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A575F" w14:textId="0CA03BB4" w:rsidR="00DD5B04" w:rsidRPr="008C036D" w:rsidRDefault="002411DE" w:rsidP="00AA7A60">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8C036D">
        <w:rPr>
          <w:rFonts w:ascii="Arial" w:hAnsi="Arial" w:cs="Arial"/>
          <w:b/>
          <w:color w:val="000000" w:themeColor="text1"/>
          <w:sz w:val="16"/>
          <w:szCs w:val="16"/>
          <w:lang w:val="es-ES_tradnl" w:eastAsia="es-ES"/>
        </w:rPr>
        <w:t>CCE-DES-FM-17</w:t>
      </w:r>
    </w:p>
    <w:bookmarkEnd w:id="0"/>
    <w:bookmarkEnd w:id="1"/>
    <w:p w14:paraId="71C0E23D" w14:textId="77777777" w:rsidR="00DE2B07" w:rsidRPr="008462A0" w:rsidRDefault="00DE2B07" w:rsidP="00E548C3">
      <w:pPr>
        <w:jc w:val="both"/>
        <w:rPr>
          <w:rFonts w:ascii="Arial" w:eastAsia="Calibri" w:hAnsi="Arial" w:cs="Arial"/>
          <w:color w:val="000000" w:themeColor="text1"/>
          <w:sz w:val="20"/>
          <w:szCs w:val="20"/>
          <w:lang w:val="es-ES_tradnl"/>
        </w:rPr>
      </w:pPr>
    </w:p>
    <w:p w14:paraId="1BED658F" w14:textId="3AFF5DDE" w:rsidR="00F02D25" w:rsidRDefault="006170F7" w:rsidP="00E548C3">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LEY 2020 DE 2020 –</w:t>
      </w:r>
      <w:r w:rsidRPr="006170F7">
        <w:rPr>
          <w:rFonts w:ascii="Arial" w:eastAsia="Calibri" w:hAnsi="Arial" w:cs="Arial"/>
          <w:b/>
          <w:bCs/>
          <w:color w:val="000000" w:themeColor="text1"/>
          <w:sz w:val="22"/>
          <w:lang w:val="es-ES_tradnl"/>
        </w:rPr>
        <w:t xml:space="preserve"> </w:t>
      </w:r>
      <w:r>
        <w:rPr>
          <w:rFonts w:ascii="Arial" w:eastAsia="Calibri" w:hAnsi="Arial" w:cs="Arial"/>
          <w:b/>
          <w:bCs/>
          <w:color w:val="000000" w:themeColor="text1"/>
          <w:sz w:val="22"/>
          <w:lang w:val="es-ES_tradnl"/>
        </w:rPr>
        <w:t>Exposición de Motivos</w:t>
      </w:r>
    </w:p>
    <w:p w14:paraId="2D93CA15" w14:textId="77777777" w:rsidR="00EC36B1" w:rsidRPr="00EC36B1" w:rsidRDefault="00EC36B1" w:rsidP="00E548C3">
      <w:pPr>
        <w:jc w:val="both"/>
        <w:rPr>
          <w:rFonts w:ascii="Arial" w:eastAsia="Calibri" w:hAnsi="Arial" w:cs="Arial"/>
          <w:sz w:val="20"/>
          <w:szCs w:val="20"/>
          <w:lang w:val="es-ES_tradnl"/>
        </w:rPr>
      </w:pPr>
    </w:p>
    <w:p w14:paraId="1EBBF7F6" w14:textId="2E7F8956" w:rsidR="00EC36B1" w:rsidRDefault="008462A0" w:rsidP="00B95C30">
      <w:pPr>
        <w:jc w:val="both"/>
        <w:rPr>
          <w:rFonts w:ascii="Arial" w:eastAsia="Calibri" w:hAnsi="Arial" w:cs="Arial"/>
          <w:sz w:val="20"/>
          <w:szCs w:val="20"/>
          <w:lang w:val="es-ES_tradnl"/>
        </w:rPr>
      </w:pPr>
      <w:r w:rsidRPr="008462A0">
        <w:rPr>
          <w:rFonts w:ascii="Arial" w:eastAsia="Calibri" w:hAnsi="Arial" w:cs="Arial"/>
          <w:sz w:val="20"/>
          <w:szCs w:val="20"/>
          <w:lang w:val="es-ES_tradnl"/>
        </w:rPr>
        <w:t xml:space="preserve">Sobre el espíritu de la ley, la exposición de motivos explica que el proyecto «[…] pretende establecer medidas para la detección y valoración de las obras públicas que no se hayan concluido de acuerdo con lo planeado por la entidad estatal a su cargo, para someterlas a evaluación técnica y financiera, dirigida a establecer si se concluyen o se procede a su demolición. Como fin esencial del proyecto se señala el de “salvaguardar las vidas como derecho fundamental”, que se entienden amenazadas por los efectos desfavorables de las obras inconclusas». En esta medida, el propósito de la norma subyace no solo en estructurar un sistema de registro, sino también en identificar el estado real de la infraestructura de obra en cada institución pública, con miras a elaborar un diagnóstico sobre la viabilidad técnica, financiera y jurídica de terminar o demoler la obra, asegurando que pueda realizar una inversión de sus recursos para la intervención de </w:t>
      </w:r>
      <w:proofErr w:type="gramStart"/>
      <w:r w:rsidRPr="008462A0">
        <w:rPr>
          <w:rFonts w:ascii="Arial" w:eastAsia="Calibri" w:hAnsi="Arial" w:cs="Arial"/>
          <w:sz w:val="20"/>
          <w:szCs w:val="20"/>
          <w:lang w:val="es-ES_tradnl"/>
        </w:rPr>
        <w:t>la misma</w:t>
      </w:r>
      <w:proofErr w:type="gramEnd"/>
      <w:r w:rsidRPr="008462A0">
        <w:rPr>
          <w:rFonts w:ascii="Arial" w:eastAsia="Calibri" w:hAnsi="Arial" w:cs="Arial"/>
          <w:sz w:val="20"/>
          <w:szCs w:val="20"/>
          <w:lang w:val="es-ES_tradnl"/>
        </w:rPr>
        <w:t>.</w:t>
      </w:r>
    </w:p>
    <w:p w14:paraId="6DC46C80" w14:textId="77777777" w:rsidR="003A6BA5" w:rsidRPr="003A6BA5" w:rsidRDefault="003A6BA5" w:rsidP="00B95C30">
      <w:pPr>
        <w:jc w:val="both"/>
        <w:rPr>
          <w:rFonts w:ascii="Arial" w:eastAsia="Calibri" w:hAnsi="Arial" w:cs="Arial"/>
          <w:sz w:val="22"/>
          <w:lang w:val="es-ES_tradnl"/>
        </w:rPr>
      </w:pPr>
    </w:p>
    <w:p w14:paraId="208B97B7" w14:textId="026A2940" w:rsidR="00B95C30" w:rsidRPr="00E23980" w:rsidRDefault="00C97106" w:rsidP="00B95C30">
      <w:pPr>
        <w:jc w:val="both"/>
        <w:rPr>
          <w:rFonts w:ascii="Arial" w:eastAsia="Calibri" w:hAnsi="Arial" w:cs="Arial"/>
          <w:b/>
          <w:sz w:val="22"/>
          <w:lang w:val="es-ES_tradnl"/>
        </w:rPr>
      </w:pPr>
      <w:r>
        <w:rPr>
          <w:rFonts w:ascii="Arial" w:eastAsia="Calibri" w:hAnsi="Arial" w:cs="Arial"/>
          <w:b/>
          <w:sz w:val="22"/>
          <w:lang w:val="es-ES_tradnl"/>
        </w:rPr>
        <w:t>REGISTRO NACIONAL DE OBRAS CIVILES INCONCLUSAS</w:t>
      </w:r>
      <w:r w:rsidR="00B95C30" w:rsidRPr="00E23980">
        <w:rPr>
          <w:rFonts w:ascii="Arial" w:eastAsia="Calibri" w:hAnsi="Arial" w:cs="Arial"/>
          <w:b/>
          <w:sz w:val="22"/>
          <w:lang w:val="es-ES_tradnl"/>
        </w:rPr>
        <w:t xml:space="preserve"> </w:t>
      </w:r>
      <w:bookmarkStart w:id="2" w:name="_Hlk39666823"/>
      <w:r w:rsidR="00B95C30" w:rsidRPr="00E23980">
        <w:rPr>
          <w:rFonts w:ascii="Arial" w:eastAsia="Calibri" w:hAnsi="Arial" w:cs="Arial"/>
          <w:b/>
          <w:color w:val="000000" w:themeColor="text1"/>
          <w:sz w:val="22"/>
          <w:lang w:val="es-ES_tradnl"/>
        </w:rPr>
        <w:t>–</w:t>
      </w:r>
      <w:bookmarkEnd w:id="2"/>
      <w:r w:rsidR="00B95C30" w:rsidRPr="00E23980">
        <w:rPr>
          <w:rFonts w:ascii="Arial" w:eastAsia="Calibri" w:hAnsi="Arial" w:cs="Arial"/>
          <w:b/>
          <w:sz w:val="22"/>
          <w:lang w:val="es-ES_tradnl"/>
        </w:rPr>
        <w:t xml:space="preserve"> </w:t>
      </w:r>
      <w:r w:rsidR="009B3163">
        <w:rPr>
          <w:rFonts w:ascii="Arial" w:eastAsia="Calibri" w:hAnsi="Arial" w:cs="Arial"/>
          <w:b/>
          <w:sz w:val="22"/>
          <w:lang w:val="es-ES_tradnl"/>
        </w:rPr>
        <w:t>Concepto</w:t>
      </w:r>
      <w:r w:rsidR="00A97C93" w:rsidRPr="00E23980">
        <w:rPr>
          <w:rFonts w:ascii="Arial" w:eastAsia="Calibri" w:hAnsi="Arial" w:cs="Arial"/>
          <w:b/>
          <w:sz w:val="22"/>
          <w:lang w:val="es-ES_tradnl"/>
        </w:rPr>
        <w:t xml:space="preserve"> </w:t>
      </w:r>
      <w:r w:rsidR="00A97C93" w:rsidRPr="00E23980">
        <w:rPr>
          <w:rFonts w:ascii="Arial" w:eastAsia="Calibri" w:hAnsi="Arial" w:cs="Arial"/>
          <w:b/>
          <w:color w:val="000000" w:themeColor="text1"/>
          <w:sz w:val="22"/>
          <w:lang w:val="es-ES_tradnl"/>
        </w:rPr>
        <w:t xml:space="preserve">– </w:t>
      </w:r>
      <w:r w:rsidR="009B3163">
        <w:rPr>
          <w:rFonts w:ascii="Arial" w:eastAsia="Calibri" w:hAnsi="Arial" w:cs="Arial"/>
          <w:b/>
          <w:color w:val="000000" w:themeColor="text1"/>
          <w:sz w:val="22"/>
          <w:lang w:val="es-ES_tradnl"/>
        </w:rPr>
        <w:t>Ley 2020 de 2020</w:t>
      </w:r>
    </w:p>
    <w:p w14:paraId="26480898" w14:textId="77777777" w:rsidR="00B95C30" w:rsidRPr="00E23980" w:rsidRDefault="00B95C30" w:rsidP="00B95C30">
      <w:pPr>
        <w:jc w:val="both"/>
        <w:rPr>
          <w:rFonts w:ascii="Arial" w:eastAsia="Calibri" w:hAnsi="Arial" w:cs="Arial"/>
          <w:sz w:val="20"/>
          <w:szCs w:val="20"/>
          <w:lang w:val="es-ES_tradnl"/>
        </w:rPr>
      </w:pPr>
    </w:p>
    <w:p w14:paraId="271628E0" w14:textId="3033D41F" w:rsidR="003F63EE" w:rsidRPr="0081325C" w:rsidRDefault="00DE3F63" w:rsidP="003F63EE">
      <w:pPr>
        <w:jc w:val="both"/>
        <w:rPr>
          <w:rFonts w:ascii="Arial" w:eastAsia="Calibri" w:hAnsi="Arial" w:cs="Arial"/>
          <w:sz w:val="20"/>
          <w:szCs w:val="20"/>
          <w:lang w:val="es-ES_tradnl"/>
        </w:rPr>
      </w:pPr>
      <w:r>
        <w:rPr>
          <w:rFonts w:ascii="Arial" w:eastAsia="Calibri" w:hAnsi="Arial" w:cs="Arial"/>
          <w:sz w:val="20"/>
          <w:szCs w:val="20"/>
          <w:lang w:val="es-ES_tradnl"/>
        </w:rPr>
        <w:t>E</w:t>
      </w:r>
      <w:r w:rsidR="008462A0" w:rsidRPr="008462A0">
        <w:rPr>
          <w:rFonts w:ascii="Arial" w:eastAsia="Calibri" w:hAnsi="Arial" w:cs="Arial"/>
          <w:sz w:val="20"/>
          <w:szCs w:val="20"/>
          <w:lang w:val="es-ES_tradnl"/>
        </w:rPr>
        <w:t>l Registro Nacional de Obras Civiles Inconclusas es un sistema administrado por la Contraloría General de la República, construido a partir de la información remitida por las entidades estatales en los distintos niveles o los datos obtenidos por dicho órgano de control fiscal, sobre las obras inconclusas del país. El artículo 2, literal b) de la Ley 2020 de 2020 complementa esta noción, indicando que el Registro Nacional de Obras Civiles Inconclusas «Es un sistema que contiene los datos sobre obras inconclusas en todo el territorio nacional. El inventario de obras civiles inconclusas reportado por las entidades estatales hará parte integral del banco de proyectos de la respectiva entidad».</w:t>
      </w:r>
    </w:p>
    <w:p w14:paraId="5F267DC8" w14:textId="34E17EB8" w:rsidR="007E0812" w:rsidRDefault="007E0812" w:rsidP="007E0812">
      <w:pPr>
        <w:jc w:val="both"/>
        <w:rPr>
          <w:rFonts w:ascii="Arial" w:eastAsia="Calibri" w:hAnsi="Arial" w:cs="Arial"/>
          <w:sz w:val="20"/>
          <w:szCs w:val="20"/>
          <w:lang w:val="es-ES_tradnl"/>
        </w:rPr>
      </w:pPr>
    </w:p>
    <w:p w14:paraId="7ACAAB6A" w14:textId="316074A2" w:rsidR="00FE24F4" w:rsidRPr="00E23980" w:rsidRDefault="00FE24F4" w:rsidP="00FE24F4">
      <w:pPr>
        <w:jc w:val="both"/>
        <w:rPr>
          <w:rFonts w:ascii="Arial" w:eastAsia="Calibri" w:hAnsi="Arial" w:cs="Arial"/>
          <w:b/>
          <w:sz w:val="22"/>
          <w:lang w:val="es-ES_tradnl"/>
        </w:rPr>
      </w:pPr>
      <w:r>
        <w:rPr>
          <w:rFonts w:ascii="Arial" w:eastAsia="Calibri" w:hAnsi="Arial" w:cs="Arial"/>
          <w:b/>
          <w:sz w:val="22"/>
          <w:lang w:val="es-ES_tradnl"/>
        </w:rPr>
        <w:t>OBRA</w:t>
      </w:r>
      <w:r w:rsidR="00C36845">
        <w:rPr>
          <w:rFonts w:ascii="Arial" w:eastAsia="Calibri" w:hAnsi="Arial" w:cs="Arial"/>
          <w:b/>
          <w:sz w:val="22"/>
          <w:lang w:val="es-ES_tradnl"/>
        </w:rPr>
        <w:t xml:space="preserve"> CIVIL</w:t>
      </w:r>
      <w:r>
        <w:rPr>
          <w:rFonts w:ascii="Arial" w:eastAsia="Calibri" w:hAnsi="Arial" w:cs="Arial"/>
          <w:b/>
          <w:sz w:val="22"/>
          <w:lang w:val="es-ES_tradnl"/>
        </w:rPr>
        <w:t xml:space="preserve"> </w:t>
      </w:r>
      <w:r w:rsidR="00A77D21">
        <w:rPr>
          <w:rFonts w:ascii="Arial" w:eastAsia="Calibri" w:hAnsi="Arial" w:cs="Arial"/>
          <w:b/>
          <w:sz w:val="22"/>
          <w:lang w:val="es-ES_tradnl"/>
        </w:rPr>
        <w:t>INCONCLUSA</w:t>
      </w:r>
      <w:r w:rsidRPr="00E23980">
        <w:rPr>
          <w:rFonts w:ascii="Arial" w:eastAsia="Calibri" w:hAnsi="Arial" w:cs="Arial"/>
          <w:b/>
          <w:sz w:val="22"/>
          <w:lang w:val="es-ES_tradnl"/>
        </w:rPr>
        <w:t xml:space="preserve"> </w:t>
      </w:r>
      <w:r w:rsidRPr="00E23980">
        <w:rPr>
          <w:rFonts w:ascii="Arial" w:eastAsia="Calibri" w:hAnsi="Arial" w:cs="Arial"/>
          <w:b/>
          <w:color w:val="000000" w:themeColor="text1"/>
          <w:sz w:val="22"/>
          <w:lang w:val="es-ES_tradnl"/>
        </w:rPr>
        <w:t>–</w:t>
      </w:r>
      <w:r w:rsidRPr="00E23980">
        <w:rPr>
          <w:rFonts w:ascii="Arial" w:eastAsia="Calibri" w:hAnsi="Arial" w:cs="Arial"/>
          <w:b/>
          <w:sz w:val="22"/>
          <w:lang w:val="es-ES_tradnl"/>
        </w:rPr>
        <w:t xml:space="preserve"> </w:t>
      </w:r>
      <w:r w:rsidR="00A77D21">
        <w:rPr>
          <w:rFonts w:ascii="Arial" w:eastAsia="Calibri" w:hAnsi="Arial" w:cs="Arial"/>
          <w:b/>
          <w:sz w:val="22"/>
          <w:lang w:val="es-ES_tradnl"/>
        </w:rPr>
        <w:t>Definición</w:t>
      </w:r>
      <w:r w:rsidRPr="00E23980">
        <w:rPr>
          <w:rFonts w:ascii="Arial" w:eastAsia="Calibri" w:hAnsi="Arial" w:cs="Arial"/>
          <w:b/>
          <w:sz w:val="22"/>
          <w:lang w:val="es-ES_tradnl"/>
        </w:rPr>
        <w:t xml:space="preserve"> </w:t>
      </w:r>
    </w:p>
    <w:p w14:paraId="4C1EFAF7" w14:textId="77777777" w:rsidR="00FE24F4" w:rsidRPr="00E23980" w:rsidRDefault="00FE24F4" w:rsidP="00FE24F4">
      <w:pPr>
        <w:jc w:val="both"/>
        <w:rPr>
          <w:rFonts w:ascii="Arial" w:eastAsia="Calibri" w:hAnsi="Arial" w:cs="Arial"/>
          <w:sz w:val="20"/>
          <w:szCs w:val="20"/>
          <w:lang w:val="es-ES_tradnl"/>
        </w:rPr>
      </w:pPr>
    </w:p>
    <w:p w14:paraId="381A59AF" w14:textId="44D5EFA1" w:rsidR="003F63EE" w:rsidRDefault="008462A0" w:rsidP="003F63EE">
      <w:pPr>
        <w:jc w:val="both"/>
        <w:rPr>
          <w:rFonts w:ascii="Arial" w:eastAsia="Calibri" w:hAnsi="Arial" w:cs="Arial"/>
          <w:sz w:val="20"/>
          <w:szCs w:val="20"/>
          <w:lang w:val="es-ES_tradnl"/>
        </w:rPr>
      </w:pPr>
      <w:r w:rsidRPr="008462A0">
        <w:rPr>
          <w:rFonts w:ascii="Arial" w:eastAsia="Calibri" w:hAnsi="Arial" w:cs="Arial"/>
          <w:sz w:val="20"/>
          <w:szCs w:val="20"/>
          <w:lang w:val="es-ES_tradnl"/>
        </w:rPr>
        <w:t xml:space="preserve">Según el inciso primero del literal a) del artículo 2 de esta ley, se entiende por obra civil inconclusa la «Construcción,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 </w:t>
      </w:r>
    </w:p>
    <w:p w14:paraId="45185539" w14:textId="77777777" w:rsidR="00C36845" w:rsidRDefault="00C36845" w:rsidP="007E0812">
      <w:pPr>
        <w:jc w:val="both"/>
        <w:rPr>
          <w:rFonts w:ascii="Arial" w:eastAsia="Calibri" w:hAnsi="Arial" w:cs="Arial"/>
          <w:sz w:val="20"/>
          <w:szCs w:val="20"/>
          <w:lang w:val="es-ES_tradnl"/>
        </w:rPr>
      </w:pPr>
    </w:p>
    <w:p w14:paraId="39589435" w14:textId="565F7162" w:rsidR="002C11FA" w:rsidRPr="00E23980" w:rsidRDefault="00A77D21" w:rsidP="002C11FA">
      <w:pPr>
        <w:jc w:val="both"/>
        <w:rPr>
          <w:rFonts w:ascii="Arial" w:eastAsia="Calibri" w:hAnsi="Arial" w:cs="Arial"/>
          <w:b/>
          <w:sz w:val="22"/>
          <w:lang w:val="es-ES_tradnl"/>
        </w:rPr>
      </w:pPr>
      <w:r>
        <w:rPr>
          <w:rFonts w:ascii="Arial" w:eastAsia="Calibri" w:hAnsi="Arial" w:cs="Arial"/>
          <w:b/>
          <w:sz w:val="22"/>
          <w:lang w:val="es-ES_tradnl"/>
        </w:rPr>
        <w:t xml:space="preserve">REGISTRO NACIONAL DE OBRAS CIVILES INCONCLUSAS </w:t>
      </w:r>
      <w:r w:rsidRPr="00E23980">
        <w:rPr>
          <w:rFonts w:ascii="Arial" w:eastAsia="Calibri" w:hAnsi="Arial" w:cs="Arial"/>
          <w:b/>
          <w:color w:val="000000" w:themeColor="text1"/>
          <w:sz w:val="22"/>
          <w:lang w:val="es-ES_tradnl"/>
        </w:rPr>
        <w:t>–</w:t>
      </w:r>
      <w:r w:rsidRPr="00E23980">
        <w:rPr>
          <w:rFonts w:ascii="Arial" w:eastAsia="Calibri" w:hAnsi="Arial" w:cs="Arial"/>
          <w:b/>
          <w:sz w:val="22"/>
          <w:lang w:val="es-ES_tradnl"/>
        </w:rPr>
        <w:t xml:space="preserve"> </w:t>
      </w:r>
      <w:r w:rsidR="00EC36B1">
        <w:rPr>
          <w:rFonts w:ascii="Arial" w:eastAsia="Calibri" w:hAnsi="Arial" w:cs="Arial"/>
          <w:b/>
          <w:sz w:val="22"/>
          <w:lang w:val="es-ES_tradnl"/>
        </w:rPr>
        <w:t xml:space="preserve">Reporte de información </w:t>
      </w:r>
      <w:r w:rsidR="002C11FA">
        <w:rPr>
          <w:rFonts w:ascii="Arial" w:eastAsia="Calibri" w:hAnsi="Arial" w:cs="Arial"/>
          <w:b/>
          <w:sz w:val="22"/>
          <w:lang w:val="es-ES_tradnl"/>
        </w:rPr>
        <w:t>–</w:t>
      </w:r>
      <w:r w:rsidR="002C11FA" w:rsidRPr="00E23980">
        <w:rPr>
          <w:rFonts w:ascii="Arial" w:eastAsia="Calibri" w:hAnsi="Arial" w:cs="Arial"/>
          <w:b/>
          <w:sz w:val="22"/>
          <w:lang w:val="es-ES_tradnl"/>
        </w:rPr>
        <w:t xml:space="preserve"> </w:t>
      </w:r>
      <w:r w:rsidR="002C11FA">
        <w:rPr>
          <w:rFonts w:ascii="Arial" w:eastAsia="Calibri" w:hAnsi="Arial" w:cs="Arial"/>
          <w:b/>
          <w:sz w:val="22"/>
          <w:lang w:val="es-ES_tradnl"/>
        </w:rPr>
        <w:t>Deber de verificación</w:t>
      </w:r>
      <w:r w:rsidR="002C11FA" w:rsidRPr="00E23980">
        <w:rPr>
          <w:rFonts w:ascii="Arial" w:eastAsia="Calibri" w:hAnsi="Arial" w:cs="Arial"/>
          <w:b/>
          <w:sz w:val="22"/>
          <w:lang w:val="es-ES_tradnl"/>
        </w:rPr>
        <w:t xml:space="preserve"> </w:t>
      </w:r>
    </w:p>
    <w:p w14:paraId="5AB3437B" w14:textId="77777777" w:rsidR="00EC36B1" w:rsidRDefault="00EC36B1" w:rsidP="00A77D21">
      <w:pPr>
        <w:jc w:val="both"/>
        <w:rPr>
          <w:rFonts w:ascii="Arial" w:eastAsia="Calibri" w:hAnsi="Arial" w:cs="Arial"/>
          <w:b/>
          <w:sz w:val="22"/>
          <w:lang w:val="es-ES_tradnl"/>
        </w:rPr>
      </w:pPr>
    </w:p>
    <w:p w14:paraId="2A65E9B6" w14:textId="29A35053" w:rsidR="002C11FA" w:rsidRPr="002C11FA" w:rsidRDefault="00DE3F63" w:rsidP="002C11FA">
      <w:pPr>
        <w:jc w:val="both"/>
        <w:rPr>
          <w:rFonts w:ascii="Arial" w:eastAsia="Calibri" w:hAnsi="Arial" w:cs="Arial"/>
          <w:sz w:val="20"/>
          <w:szCs w:val="20"/>
          <w:lang w:val="es-ES_tradnl"/>
        </w:rPr>
      </w:pPr>
      <w:r>
        <w:rPr>
          <w:rFonts w:ascii="Arial" w:eastAsia="Calibri" w:hAnsi="Arial" w:cs="Arial"/>
          <w:sz w:val="20"/>
          <w:szCs w:val="20"/>
          <w:lang w:val="es-ES_tradnl"/>
        </w:rPr>
        <w:t>E</w:t>
      </w:r>
      <w:r w:rsidR="008462A0" w:rsidRPr="008462A0">
        <w:rPr>
          <w:rFonts w:ascii="Arial" w:eastAsia="Calibri" w:hAnsi="Arial" w:cs="Arial"/>
          <w:sz w:val="20"/>
          <w:szCs w:val="20"/>
          <w:lang w:val="es-ES_tradnl"/>
        </w:rPr>
        <w:t xml:space="preserve">l artículo 4 determina la información mínima que debe reportarse por las entidades públicas. Entre otros, deberá contener datos sobre la identificación del contratista, consultores, interventores y demás personas naturales y/o jurídicas que intervinieron en la planeación y ejecución del proyecto, las razones técnicas y/o jurídicas por las cuales la obra civil quedó inconclusa; los pagos efectuados; los procesos en curso y/o fallos que hayan declarado responsabilidades penales, fiscales, civiles y disciplinarias derivadas de la obra inconclusa; así como los actos administrativos que declaren el incumplimiento de los contratistas o caducidad de los contratos. Igualmente, en este Registro constará la información de las obras civiles ya terminadas que no se encuentre en funcionamiento conforme al artículo 15. </w:t>
      </w:r>
      <w:r>
        <w:rPr>
          <w:rFonts w:ascii="Arial" w:eastAsia="Calibri" w:hAnsi="Arial" w:cs="Arial"/>
          <w:sz w:val="20"/>
          <w:szCs w:val="20"/>
          <w:lang w:val="es-ES_tradnl"/>
        </w:rPr>
        <w:t>[…]</w:t>
      </w:r>
    </w:p>
    <w:p w14:paraId="53AE6B40" w14:textId="77777777" w:rsidR="00A77D21" w:rsidRPr="00E23980" w:rsidRDefault="00A77D21" w:rsidP="00A77D21">
      <w:pPr>
        <w:jc w:val="both"/>
        <w:rPr>
          <w:rFonts w:ascii="Arial" w:eastAsia="Calibri" w:hAnsi="Arial" w:cs="Arial"/>
          <w:sz w:val="20"/>
          <w:szCs w:val="20"/>
          <w:lang w:val="es-ES_tradnl"/>
        </w:rPr>
      </w:pPr>
    </w:p>
    <w:p w14:paraId="33C92489" w14:textId="42FBAAE4" w:rsidR="003F63EE" w:rsidRDefault="00A77D21" w:rsidP="003F63EE">
      <w:pPr>
        <w:tabs>
          <w:tab w:val="left" w:pos="0"/>
        </w:tabs>
        <w:jc w:val="both"/>
        <w:rPr>
          <w:rFonts w:ascii="Arial" w:eastAsia="Calibri" w:hAnsi="Arial" w:cs="Arial"/>
          <w:color w:val="000000"/>
          <w:sz w:val="20"/>
          <w:szCs w:val="20"/>
          <w:lang w:val="es-ES_tradnl" w:eastAsia="en-GB"/>
        </w:rPr>
      </w:pPr>
      <w:r w:rsidRPr="00A77D21">
        <w:rPr>
          <w:rFonts w:ascii="Arial" w:eastAsia="Calibri" w:hAnsi="Arial" w:cs="Arial"/>
          <w:color w:val="000000"/>
          <w:sz w:val="20"/>
          <w:szCs w:val="20"/>
          <w:lang w:val="es-ES_tradnl" w:eastAsia="en-GB"/>
        </w:rPr>
        <w:t xml:space="preserve"> </w:t>
      </w:r>
      <w:r w:rsidR="00DE3F63">
        <w:rPr>
          <w:rFonts w:ascii="Arial" w:eastAsia="Calibri" w:hAnsi="Arial" w:cs="Arial"/>
          <w:color w:val="000000"/>
          <w:sz w:val="20"/>
          <w:szCs w:val="20"/>
          <w:lang w:val="es-ES_tradnl" w:eastAsia="en-GB"/>
        </w:rPr>
        <w:t>E</w:t>
      </w:r>
      <w:r w:rsidR="008462A0" w:rsidRPr="008462A0">
        <w:rPr>
          <w:rFonts w:ascii="Arial" w:eastAsia="Calibri" w:hAnsi="Arial" w:cs="Arial"/>
          <w:color w:val="000000"/>
          <w:sz w:val="20"/>
          <w:szCs w:val="20"/>
          <w:lang w:val="es-ES_tradnl" w:eastAsia="en-GB"/>
        </w:rPr>
        <w:t xml:space="preserve">l artículo 6 de la Ley 2020 de 2020 establece un deber a cargo de las entidades estatales dentro de los procedimientos que adelanten para la contratación de obras públicas. Consiste en la </w:t>
      </w:r>
      <w:r w:rsidR="008462A0" w:rsidRPr="008462A0">
        <w:rPr>
          <w:rFonts w:ascii="Arial" w:eastAsia="Calibri" w:hAnsi="Arial" w:cs="Arial"/>
          <w:color w:val="000000"/>
          <w:sz w:val="20"/>
          <w:szCs w:val="20"/>
          <w:lang w:val="es-ES_tradnl" w:eastAsia="en-GB"/>
        </w:rPr>
        <w:lastRenderedPageBreak/>
        <w:t>obligación de consultar y analizar la información contenida en el Registro Nacional de Obras Civiles Inconclusas. Además, dispone que en los procesos de selección de contratistas de obra e interventores han de considerarse las anotaciones del registro en la evaluación de los factores de calidad</w:t>
      </w:r>
      <w:r w:rsidR="008462A0">
        <w:rPr>
          <w:rFonts w:ascii="Arial" w:eastAsia="Calibri" w:hAnsi="Arial" w:cs="Arial"/>
          <w:color w:val="000000"/>
          <w:sz w:val="20"/>
          <w:szCs w:val="20"/>
          <w:lang w:val="es-ES_tradnl" w:eastAsia="en-GB"/>
        </w:rPr>
        <w:t>.</w:t>
      </w:r>
    </w:p>
    <w:p w14:paraId="236B9204" w14:textId="77777777" w:rsidR="00873863" w:rsidRDefault="00873863" w:rsidP="00873863">
      <w:pPr>
        <w:tabs>
          <w:tab w:val="left" w:pos="0"/>
        </w:tabs>
        <w:jc w:val="both"/>
        <w:rPr>
          <w:rFonts w:ascii="Arial" w:eastAsia="Calibri" w:hAnsi="Arial" w:cs="Arial"/>
          <w:color w:val="000000"/>
          <w:sz w:val="20"/>
          <w:szCs w:val="20"/>
          <w:lang w:val="es-ES_tradnl" w:eastAsia="en-GB"/>
        </w:rPr>
      </w:pPr>
    </w:p>
    <w:p w14:paraId="097D19CB" w14:textId="1DBE4DA6" w:rsidR="00EC36B1" w:rsidRDefault="006174FA" w:rsidP="00EC36B1">
      <w:pPr>
        <w:tabs>
          <w:tab w:val="left" w:pos="1073"/>
        </w:tabs>
        <w:spacing w:line="276" w:lineRule="auto"/>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ANOTACIONES EN EL REGISTRO NACIONAL DE OBRAS INCONCLUSAS – Consultar y analizar </w:t>
      </w:r>
      <w:r w:rsidR="002C11FA">
        <w:rPr>
          <w:rFonts w:ascii="Arial" w:eastAsia="Calibri" w:hAnsi="Arial" w:cs="Arial"/>
          <w:b/>
          <w:color w:val="000000" w:themeColor="text1"/>
          <w:sz w:val="22"/>
          <w:lang w:val="es-ES_tradnl"/>
        </w:rPr>
        <w:t>– Anotaciones vigentes</w:t>
      </w:r>
    </w:p>
    <w:p w14:paraId="5E1665AA" w14:textId="77777777" w:rsidR="006174FA" w:rsidRDefault="006174FA" w:rsidP="00EC36B1">
      <w:pPr>
        <w:tabs>
          <w:tab w:val="left" w:pos="1073"/>
        </w:tabs>
        <w:spacing w:line="276" w:lineRule="auto"/>
        <w:jc w:val="both"/>
        <w:rPr>
          <w:rFonts w:ascii="Arial" w:eastAsia="Calibri" w:hAnsi="Arial" w:cs="Arial"/>
          <w:b/>
          <w:color w:val="000000" w:themeColor="text1"/>
          <w:sz w:val="22"/>
          <w:lang w:val="es-ES_tradnl"/>
        </w:rPr>
      </w:pPr>
    </w:p>
    <w:p w14:paraId="72912F5C" w14:textId="681B2AE4" w:rsidR="003F63EE" w:rsidRPr="006174FA" w:rsidRDefault="00DE3F63" w:rsidP="003F63EE">
      <w:pPr>
        <w:tabs>
          <w:tab w:val="left" w:pos="0"/>
        </w:tabs>
        <w:jc w:val="both"/>
        <w:rPr>
          <w:rFonts w:ascii="Arial" w:eastAsia="Calibri" w:hAnsi="Arial" w:cs="Arial"/>
          <w:color w:val="000000"/>
          <w:sz w:val="20"/>
          <w:szCs w:val="20"/>
          <w:lang w:eastAsia="en-GB"/>
        </w:rPr>
      </w:pPr>
      <w:r>
        <w:rPr>
          <w:rFonts w:ascii="Arial" w:eastAsia="Calibri" w:hAnsi="Arial" w:cs="Arial"/>
          <w:color w:val="000000"/>
          <w:sz w:val="20"/>
          <w:szCs w:val="20"/>
          <w:lang w:eastAsia="en-GB"/>
        </w:rPr>
        <w:t>L</w:t>
      </w:r>
      <w:r w:rsidR="008462A0" w:rsidRPr="008462A0">
        <w:rPr>
          <w:rFonts w:ascii="Arial" w:eastAsia="Calibri" w:hAnsi="Arial" w:cs="Arial"/>
          <w:color w:val="000000"/>
          <w:sz w:val="20"/>
          <w:szCs w:val="20"/>
          <w:lang w:eastAsia="en-GB"/>
        </w:rPr>
        <w:t>a connotación de las palabras «consultar y analizar» constituyen el marco respecto del cual se circunscribe el deber de la entidad de tener en cuenta las anotaciones en el Registro Nacional de Obras Civiles Inconclusas, para efectos de la evaluación de los factores de ponderación de calidad. En otras palabras, las expresiones «consultar y analizar», determinan el alcance de la interpretación tanto del contenido del artículo 6 de la Ley 2020 de 2020, como en el texto establecido en los Documentos Base, sobre el Registro Nacional de Obras Civiles Inconclusas</w:t>
      </w:r>
      <w:r w:rsidR="008462A0">
        <w:rPr>
          <w:rFonts w:ascii="Arial" w:eastAsia="Calibri" w:hAnsi="Arial" w:cs="Arial"/>
          <w:color w:val="000000"/>
          <w:sz w:val="20"/>
          <w:szCs w:val="20"/>
          <w:lang w:eastAsia="en-GB"/>
        </w:rPr>
        <w:t>.</w:t>
      </w:r>
      <w:r w:rsidR="003F63EE">
        <w:rPr>
          <w:rFonts w:ascii="Arial" w:eastAsia="Calibri" w:hAnsi="Arial" w:cs="Arial"/>
          <w:color w:val="000000"/>
          <w:sz w:val="20"/>
          <w:szCs w:val="20"/>
          <w:lang w:eastAsia="en-GB"/>
        </w:rPr>
        <w:t xml:space="preserve"> </w:t>
      </w:r>
    </w:p>
    <w:p w14:paraId="1D21AB49" w14:textId="77777777" w:rsidR="002C11FA" w:rsidRDefault="002C11FA" w:rsidP="002C11FA">
      <w:pPr>
        <w:tabs>
          <w:tab w:val="left" w:pos="1073"/>
        </w:tabs>
        <w:spacing w:line="276" w:lineRule="auto"/>
        <w:jc w:val="both"/>
        <w:rPr>
          <w:rFonts w:ascii="Arial" w:eastAsia="Calibri" w:hAnsi="Arial" w:cs="Arial"/>
          <w:color w:val="000000"/>
          <w:sz w:val="20"/>
          <w:szCs w:val="20"/>
          <w:lang w:val="es-MX" w:eastAsia="en-GB"/>
        </w:rPr>
      </w:pPr>
    </w:p>
    <w:p w14:paraId="5AD4D5B8" w14:textId="00DA832E" w:rsidR="002C11FA" w:rsidRPr="002C11FA" w:rsidRDefault="00DE3F63" w:rsidP="002C11FA">
      <w:pPr>
        <w:tabs>
          <w:tab w:val="left" w:pos="0"/>
        </w:tabs>
        <w:jc w:val="both"/>
        <w:rPr>
          <w:rFonts w:ascii="Arial" w:eastAsia="Calibri" w:hAnsi="Arial" w:cs="Arial"/>
          <w:color w:val="000000"/>
          <w:sz w:val="20"/>
          <w:szCs w:val="20"/>
          <w:lang w:eastAsia="en-GB"/>
        </w:rPr>
      </w:pPr>
      <w:r>
        <w:rPr>
          <w:rFonts w:ascii="Arial" w:eastAsia="Calibri" w:hAnsi="Arial" w:cs="Arial"/>
          <w:color w:val="000000"/>
          <w:sz w:val="20"/>
          <w:szCs w:val="20"/>
          <w:lang w:val="es-MX" w:eastAsia="en-GB"/>
        </w:rPr>
        <w:t>L</w:t>
      </w:r>
      <w:r w:rsidR="008462A0" w:rsidRPr="008462A0">
        <w:rPr>
          <w:rFonts w:ascii="Arial" w:eastAsia="Calibri" w:hAnsi="Arial" w:cs="Arial"/>
          <w:color w:val="000000"/>
          <w:sz w:val="20"/>
          <w:szCs w:val="20"/>
          <w:lang w:eastAsia="en-GB"/>
        </w:rPr>
        <w:t xml:space="preserve">as anotaciones vigentes en el Registro Nacional de Obras Civiles Inconclusas corresponden a las que reposan en este, teniendo en cuenta las actualizaciones que realice la Contraloría General de la República y las entidades estatales, conforme al artículo 3 de la Ley 2020 de 2020. En tal sentido, para efectos del descuento del puntaje establecido en numeral 4.2 del documento base, la entidad estatal –al momento de evaluar el factor de calidad– deberá consultar y analizar las anotaciones en el registro con sus respectivas actualizaciones.  </w:t>
      </w:r>
    </w:p>
    <w:p w14:paraId="5665A24E" w14:textId="77777777" w:rsidR="002C11FA" w:rsidRDefault="002C11FA" w:rsidP="008C036D">
      <w:pPr>
        <w:tabs>
          <w:tab w:val="left" w:pos="1073"/>
        </w:tabs>
        <w:spacing w:line="276" w:lineRule="auto"/>
        <w:jc w:val="both"/>
        <w:rPr>
          <w:rFonts w:ascii="Arial" w:eastAsia="Calibri" w:hAnsi="Arial" w:cs="Arial"/>
          <w:b/>
          <w:sz w:val="22"/>
          <w:lang w:val="es-ES_tradnl"/>
        </w:rPr>
      </w:pPr>
    </w:p>
    <w:p w14:paraId="797AC596" w14:textId="3217CECF" w:rsidR="00EC36B1" w:rsidRDefault="006174FA" w:rsidP="008C036D">
      <w:pPr>
        <w:tabs>
          <w:tab w:val="left" w:pos="1073"/>
        </w:tabs>
        <w:spacing w:line="276" w:lineRule="auto"/>
        <w:jc w:val="both"/>
        <w:rPr>
          <w:rFonts w:ascii="Arial" w:eastAsia="Calibri" w:hAnsi="Arial" w:cs="Arial"/>
          <w:b/>
          <w:sz w:val="22"/>
          <w:lang w:val="es-ES_tradnl"/>
        </w:rPr>
      </w:pPr>
      <w:r>
        <w:rPr>
          <w:rFonts w:ascii="Arial" w:eastAsia="Calibri" w:hAnsi="Arial" w:cs="Arial"/>
          <w:b/>
          <w:sz w:val="22"/>
          <w:lang w:val="es-ES_tradnl"/>
        </w:rPr>
        <w:t>DESCUENTO PUNTAJE EN LOS FACTORES DE CALIDAD</w:t>
      </w:r>
      <w:r w:rsidR="00AD5CED">
        <w:rPr>
          <w:rFonts w:ascii="Arial" w:eastAsia="Calibri" w:hAnsi="Arial" w:cs="Arial"/>
          <w:b/>
          <w:sz w:val="22"/>
          <w:lang w:val="es-ES_tradnl"/>
        </w:rPr>
        <w:t xml:space="preserve"> </w:t>
      </w:r>
      <w:r>
        <w:rPr>
          <w:rFonts w:ascii="Arial" w:eastAsia="Calibri" w:hAnsi="Arial" w:cs="Arial"/>
          <w:b/>
          <w:sz w:val="22"/>
          <w:lang w:val="es-ES_tradnl"/>
        </w:rPr>
        <w:t>– Incumplimiento del contratista</w:t>
      </w:r>
    </w:p>
    <w:p w14:paraId="4DF899F3" w14:textId="77777777" w:rsidR="00EC36B1" w:rsidRDefault="00EC36B1" w:rsidP="008C036D">
      <w:pPr>
        <w:tabs>
          <w:tab w:val="left" w:pos="1073"/>
        </w:tabs>
        <w:spacing w:line="276" w:lineRule="auto"/>
        <w:jc w:val="both"/>
        <w:rPr>
          <w:rFonts w:ascii="Arial" w:eastAsia="Calibri" w:hAnsi="Arial" w:cs="Arial"/>
          <w:b/>
          <w:sz w:val="22"/>
          <w:lang w:val="es-ES_tradnl"/>
        </w:rPr>
      </w:pPr>
    </w:p>
    <w:p w14:paraId="2C062931" w14:textId="308E4742" w:rsidR="003F63EE" w:rsidRPr="003A6BA5" w:rsidRDefault="00DE3F63" w:rsidP="003F63EE">
      <w:pPr>
        <w:tabs>
          <w:tab w:val="left" w:pos="0"/>
        </w:tabs>
        <w:jc w:val="both"/>
        <w:rPr>
          <w:rFonts w:ascii="Arial" w:eastAsia="Calibri" w:hAnsi="Arial" w:cs="Arial"/>
          <w:color w:val="000000"/>
          <w:sz w:val="20"/>
          <w:szCs w:val="20"/>
          <w:lang w:eastAsia="en-GB"/>
        </w:rPr>
      </w:pPr>
      <w:r>
        <w:rPr>
          <w:rFonts w:ascii="Arial" w:eastAsia="Calibri" w:hAnsi="Arial" w:cs="Arial"/>
          <w:color w:val="000000"/>
          <w:sz w:val="20"/>
          <w:szCs w:val="20"/>
          <w:lang w:eastAsia="en-GB"/>
        </w:rPr>
        <w:t>E</w:t>
      </w:r>
      <w:r w:rsidR="003A6BA5" w:rsidRPr="003A6BA5">
        <w:rPr>
          <w:rFonts w:ascii="Arial" w:eastAsia="Calibri" w:hAnsi="Arial" w:cs="Arial"/>
          <w:color w:val="000000"/>
          <w:sz w:val="20"/>
          <w:szCs w:val="20"/>
          <w:lang w:eastAsia="en-GB"/>
        </w:rPr>
        <w:t xml:space="preserve">l descuento del punto de la sumatoria obtenida en relación con el factor de calidad, del que trata el texto de los documentos base adoptados por la Agencia Nacional de Contratación Pública – Colombia Compra Eficiente, deberá efectuarse una vez la entidad realice la consulta y el análisis de las anotaciones vigentes en el Registro Nacional de Obras Civiles Inconclusas y determine si esa anotación se dio por un incumplimiento del contratista. De esta manera, dependiendo del supuesto la entidad descontará el punto. </w:t>
      </w:r>
    </w:p>
    <w:p w14:paraId="0366F47A" w14:textId="77777777" w:rsidR="003F63EE" w:rsidRDefault="003F63EE" w:rsidP="003F63EE">
      <w:pPr>
        <w:tabs>
          <w:tab w:val="left" w:pos="0"/>
        </w:tabs>
        <w:jc w:val="both"/>
        <w:rPr>
          <w:rFonts w:ascii="Arial" w:eastAsia="Calibri" w:hAnsi="Arial" w:cs="Arial"/>
          <w:color w:val="000000"/>
          <w:sz w:val="20"/>
          <w:szCs w:val="20"/>
          <w:lang w:eastAsia="en-GB"/>
        </w:rPr>
      </w:pPr>
    </w:p>
    <w:p w14:paraId="1FBD9E3A" w14:textId="086824EF" w:rsidR="003F63EE" w:rsidRPr="006E3D9D" w:rsidRDefault="00DE3F63" w:rsidP="003F63EE">
      <w:pPr>
        <w:tabs>
          <w:tab w:val="left" w:pos="0"/>
        </w:tabs>
        <w:jc w:val="both"/>
        <w:rPr>
          <w:rFonts w:ascii="Arial" w:eastAsia="Calibri" w:hAnsi="Arial" w:cs="Arial"/>
          <w:color w:val="000000"/>
          <w:sz w:val="20"/>
          <w:szCs w:val="20"/>
          <w:lang w:val="es-MX" w:eastAsia="en-GB"/>
        </w:rPr>
      </w:pPr>
      <w:r>
        <w:rPr>
          <w:rFonts w:ascii="Arial" w:eastAsia="Calibri" w:hAnsi="Arial" w:cs="Arial"/>
          <w:color w:val="000000"/>
          <w:sz w:val="20"/>
          <w:szCs w:val="20"/>
          <w:lang w:val="es-MX" w:eastAsia="en-GB"/>
        </w:rPr>
        <w:t>L</w:t>
      </w:r>
      <w:r w:rsidR="003A6BA5" w:rsidRPr="003A6BA5">
        <w:rPr>
          <w:rFonts w:ascii="Arial" w:eastAsia="Calibri" w:hAnsi="Arial" w:cs="Arial"/>
          <w:color w:val="000000"/>
          <w:sz w:val="20"/>
          <w:szCs w:val="20"/>
          <w:lang w:val="es-MX" w:eastAsia="en-GB"/>
        </w:rPr>
        <w:t xml:space="preserve">a sola inclusión en el Registro Nacional de Obras Civiles Inconclusas no puede entenderse suficiente para descontar el punto de la sumatoria obtenida de los factores de calidad. De todas formas, si en el informe de evaluación que realiza la entidad se produce la reducción del punto del factor de calidad bajo el único argumento de encontrarse en dicho Registro, sin efectuar un análisis previo de las anotaciones, el proponente, con fundamento en la interpretación de las normas, podrá formular la observación respectiva. </w:t>
      </w:r>
    </w:p>
    <w:p w14:paraId="5536E57B" w14:textId="199A2654" w:rsidR="00EC36B1" w:rsidRPr="003F63EE" w:rsidRDefault="00784181" w:rsidP="003F63EE">
      <w:pPr>
        <w:spacing w:after="200" w:line="276" w:lineRule="auto"/>
        <w:rPr>
          <w:rFonts w:ascii="Arial" w:eastAsia="Calibri" w:hAnsi="Arial" w:cs="Arial"/>
          <w:color w:val="000000"/>
          <w:sz w:val="20"/>
          <w:szCs w:val="20"/>
          <w:lang w:eastAsia="en-GB"/>
        </w:rPr>
      </w:pPr>
      <w:r>
        <w:rPr>
          <w:rFonts w:ascii="Arial" w:eastAsia="Calibri" w:hAnsi="Arial" w:cs="Arial"/>
          <w:color w:val="000000"/>
          <w:sz w:val="20"/>
          <w:szCs w:val="20"/>
          <w:lang w:eastAsia="en-GB"/>
        </w:rPr>
        <w:br w:type="page"/>
      </w:r>
    </w:p>
    <w:p w14:paraId="160CD82C" w14:textId="7682D062" w:rsidR="00EE6A1A" w:rsidRDefault="00EE6A1A" w:rsidP="00AB75CB">
      <w:pPr>
        <w:jc w:val="both"/>
        <w:rPr>
          <w:rFonts w:ascii="Arial" w:hAnsi="Arial" w:cs="Arial"/>
          <w:noProof/>
          <w:color w:val="000000" w:themeColor="text1"/>
          <w:sz w:val="22"/>
          <w:lang w:val="es-ES_tradnl"/>
        </w:rPr>
      </w:pPr>
    </w:p>
    <w:p w14:paraId="138124D5" w14:textId="77777777" w:rsidR="00B0742F" w:rsidRDefault="00B0742F" w:rsidP="00C118DB">
      <w:pPr>
        <w:spacing w:line="276" w:lineRule="auto"/>
        <w:jc w:val="both"/>
        <w:rPr>
          <w:rFonts w:ascii="Arial" w:hAnsi="Arial" w:cs="Arial"/>
          <w:noProof/>
          <w:color w:val="000000" w:themeColor="text1"/>
          <w:sz w:val="22"/>
          <w:lang w:val="es-ES_tradnl"/>
        </w:rPr>
      </w:pPr>
    </w:p>
    <w:p w14:paraId="7DD48F49" w14:textId="360C9F38" w:rsidR="00B95C30" w:rsidRDefault="00B95C30" w:rsidP="00C118DB">
      <w:pPr>
        <w:spacing w:line="276" w:lineRule="auto"/>
        <w:jc w:val="both"/>
        <w:rPr>
          <w:rFonts w:ascii="Arial" w:hAnsi="Arial" w:cs="Arial"/>
          <w:b/>
          <w:color w:val="000000" w:themeColor="text1"/>
          <w:sz w:val="22"/>
          <w:lang w:val="es-ES"/>
        </w:rPr>
      </w:pPr>
      <w:r w:rsidRPr="00993140">
        <w:rPr>
          <w:rFonts w:ascii="Arial" w:hAnsi="Arial" w:cs="Arial"/>
          <w:noProof/>
          <w:color w:val="000000" w:themeColor="text1"/>
          <w:sz w:val="22"/>
        </w:rPr>
        <w:t xml:space="preserve">Bogotá D.C., </w:t>
      </w:r>
      <w:r w:rsidR="002D760C">
        <w:rPr>
          <w:rFonts w:ascii="Arial" w:hAnsi="Arial" w:cs="Arial"/>
          <w:b/>
          <w:color w:val="000000" w:themeColor="text1"/>
          <w:sz w:val="22"/>
        </w:rPr>
        <w:t>26/10/2021 11:10:07</w:t>
      </w:r>
    </w:p>
    <w:p w14:paraId="7DF86128" w14:textId="5C6EC223" w:rsidR="00784181" w:rsidRPr="00993140" w:rsidRDefault="00784181" w:rsidP="00C118DB">
      <w:pPr>
        <w:spacing w:line="276" w:lineRule="auto"/>
        <w:jc w:val="both"/>
        <w:rPr>
          <w:rFonts w:ascii="Arial" w:eastAsia="Calibri" w:hAnsi="Arial" w:cs="Arial"/>
          <w:noProof/>
          <w:color w:val="000000" w:themeColor="text1"/>
          <w:sz w:val="22"/>
          <w:szCs w:val="22"/>
        </w:rPr>
      </w:pPr>
    </w:p>
    <w:p w14:paraId="201AB2DA" w14:textId="77777777" w:rsidR="00B0742F" w:rsidRPr="00993140" w:rsidRDefault="00B0742F" w:rsidP="00AB75CB">
      <w:pPr>
        <w:jc w:val="both"/>
        <w:rPr>
          <w:rFonts w:ascii="Arial" w:eastAsia="Calibri" w:hAnsi="Arial" w:cs="Arial"/>
          <w:noProof/>
          <w:color w:val="000000" w:themeColor="text1"/>
          <w:sz w:val="22"/>
          <w:szCs w:val="22"/>
        </w:rPr>
      </w:pPr>
    </w:p>
    <w:p w14:paraId="6A8A869B" w14:textId="70126649" w:rsidR="00B95C30" w:rsidRPr="00993140" w:rsidRDefault="002D760C" w:rsidP="002D760C">
      <w:pPr>
        <w:jc w:val="right"/>
        <w:rPr>
          <w:rFonts w:ascii="Arial" w:hAnsi="Arial" w:cs="Arial"/>
          <w:b/>
          <w:color w:val="000000" w:themeColor="text1"/>
          <w:sz w:val="22"/>
        </w:rPr>
      </w:pPr>
      <w:r w:rsidRPr="002D760C">
        <w:rPr>
          <w:rFonts w:ascii="Arial" w:hAnsi="Arial" w:cs="Arial"/>
          <w:b/>
          <w:noProof/>
          <w:color w:val="000000" w:themeColor="text1"/>
          <w:sz w:val="22"/>
        </w:rPr>
        <w:drawing>
          <wp:inline distT="0" distB="0" distL="0" distR="0" wp14:anchorId="4E6A7DF2" wp14:editId="3F87E4DD">
            <wp:extent cx="2707005" cy="7620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07005" cy="762000"/>
                    </a:xfrm>
                    <a:prstGeom prst="rect">
                      <a:avLst/>
                    </a:prstGeom>
                    <a:noFill/>
                    <a:ln>
                      <a:noFill/>
                    </a:ln>
                  </pic:spPr>
                </pic:pic>
              </a:graphicData>
            </a:graphic>
          </wp:inline>
        </w:drawing>
      </w:r>
    </w:p>
    <w:p w14:paraId="6F62BB3D" w14:textId="77777777" w:rsidR="00B0742F" w:rsidRPr="00993140" w:rsidRDefault="00B0742F" w:rsidP="00B95C30">
      <w:pPr>
        <w:jc w:val="both"/>
        <w:rPr>
          <w:rFonts w:ascii="Arial" w:hAnsi="Arial" w:cs="Arial"/>
          <w:b/>
          <w:color w:val="000000" w:themeColor="text1"/>
          <w:sz w:val="22"/>
        </w:rPr>
      </w:pPr>
    </w:p>
    <w:p w14:paraId="5F5AE9EF" w14:textId="075D5443" w:rsidR="00B95C30" w:rsidRPr="00E23980" w:rsidRDefault="00B95C30" w:rsidP="00B95C30">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Señor</w:t>
      </w:r>
      <w:r w:rsidR="00A374EF">
        <w:rPr>
          <w:rFonts w:ascii="Arial" w:eastAsia="Calibri" w:hAnsi="Arial" w:cs="Arial"/>
          <w:color w:val="000000" w:themeColor="text1"/>
          <w:sz w:val="22"/>
          <w:lang w:val="es-ES_tradnl"/>
        </w:rPr>
        <w:t>a</w:t>
      </w:r>
    </w:p>
    <w:p w14:paraId="3F9ED760" w14:textId="6088CC28" w:rsidR="00E027D8" w:rsidRPr="00DE3F63" w:rsidRDefault="00A374EF" w:rsidP="00B95C30">
      <w:pPr>
        <w:jc w:val="both"/>
        <w:rPr>
          <w:rFonts w:ascii="Arial" w:eastAsia="Calibri" w:hAnsi="Arial" w:cs="Arial"/>
          <w:b/>
          <w:color w:val="000000" w:themeColor="text1"/>
          <w:sz w:val="22"/>
          <w:lang w:val="pt-BR"/>
        </w:rPr>
      </w:pPr>
      <w:r w:rsidRPr="00DE3F63">
        <w:rPr>
          <w:rFonts w:ascii="Arial" w:eastAsia="Calibri" w:hAnsi="Arial" w:cs="Arial"/>
          <w:b/>
          <w:color w:val="000000" w:themeColor="text1"/>
          <w:sz w:val="22"/>
          <w:lang w:val="pt-BR"/>
        </w:rPr>
        <w:t>Angela Soriano Lozano</w:t>
      </w:r>
    </w:p>
    <w:p w14:paraId="09D4AEA8" w14:textId="6FC5FDBE" w:rsidR="00B95C30" w:rsidRPr="00DE3F63" w:rsidRDefault="00AB75CB" w:rsidP="00B95C30">
      <w:pPr>
        <w:jc w:val="both"/>
        <w:rPr>
          <w:rFonts w:ascii="Arial" w:eastAsia="Calibri" w:hAnsi="Arial" w:cs="Arial"/>
          <w:color w:val="000000" w:themeColor="text1"/>
          <w:sz w:val="22"/>
          <w:lang w:val="pt-BR"/>
        </w:rPr>
      </w:pPr>
      <w:r w:rsidRPr="00DE3F63">
        <w:rPr>
          <w:rFonts w:ascii="Arial" w:eastAsia="Calibri" w:hAnsi="Arial" w:cs="Arial"/>
          <w:color w:val="000000" w:themeColor="text1"/>
          <w:sz w:val="22"/>
          <w:lang w:val="pt-BR"/>
        </w:rPr>
        <w:t xml:space="preserve">Bogotá D.C </w:t>
      </w:r>
    </w:p>
    <w:p w14:paraId="6AEE3B40" w14:textId="35F568D0" w:rsidR="00784181" w:rsidRPr="00DE3F63" w:rsidRDefault="00784181" w:rsidP="00B95C30">
      <w:pPr>
        <w:jc w:val="both"/>
        <w:rPr>
          <w:rFonts w:ascii="Arial" w:eastAsia="Calibri" w:hAnsi="Arial" w:cs="Arial"/>
          <w:color w:val="000000" w:themeColor="text1"/>
          <w:sz w:val="22"/>
          <w:lang w:val="pt-BR"/>
        </w:rPr>
      </w:pPr>
    </w:p>
    <w:p w14:paraId="22C2B5F3" w14:textId="77777777" w:rsidR="00044498" w:rsidRPr="00DE3F63" w:rsidRDefault="00044498" w:rsidP="00B95C30">
      <w:pPr>
        <w:jc w:val="both"/>
        <w:rPr>
          <w:rFonts w:ascii="Arial" w:eastAsia="Calibri" w:hAnsi="Arial" w:cs="Arial"/>
          <w:color w:val="000000" w:themeColor="text1"/>
          <w:sz w:val="22"/>
          <w:lang w:val="pt-BR"/>
        </w:rPr>
      </w:pPr>
    </w:p>
    <w:p w14:paraId="12E66182" w14:textId="17FEDFAF" w:rsidR="00B95C30" w:rsidRPr="00E23980" w:rsidRDefault="00784181" w:rsidP="003F63EE">
      <w:pPr>
        <w:rPr>
          <w:rFonts w:ascii="Arial" w:eastAsia="Calibri" w:hAnsi="Arial" w:cs="Arial"/>
          <w:b/>
          <w:bCs/>
          <w:color w:val="000000" w:themeColor="text1"/>
          <w:sz w:val="22"/>
          <w:lang w:val="es-ES_tradnl"/>
        </w:rPr>
      </w:pPr>
      <w:r w:rsidRPr="00DE3F63">
        <w:rPr>
          <w:rFonts w:ascii="Arial" w:eastAsia="Calibri" w:hAnsi="Arial" w:cs="Arial"/>
          <w:b/>
          <w:bCs/>
          <w:color w:val="000000" w:themeColor="text1"/>
          <w:sz w:val="22"/>
          <w:lang w:val="pt-BR"/>
        </w:rPr>
        <w:t xml:space="preserve">                                            </w:t>
      </w:r>
      <w:r w:rsidR="00864CD5">
        <w:rPr>
          <w:rFonts w:ascii="Arial" w:eastAsia="Calibri" w:hAnsi="Arial" w:cs="Arial"/>
          <w:b/>
          <w:bCs/>
          <w:color w:val="000000" w:themeColor="text1"/>
          <w:sz w:val="22"/>
          <w:lang w:val="es-ES_tradnl"/>
        </w:rPr>
        <w:t xml:space="preserve">Concepto </w:t>
      </w:r>
      <w:r w:rsidR="00864CD5" w:rsidRPr="00E876FD">
        <w:rPr>
          <w:rFonts w:ascii="Arial" w:eastAsia="Calibri" w:hAnsi="Arial" w:cs="Arial"/>
          <w:b/>
          <w:bCs/>
          <w:color w:val="000000" w:themeColor="text1"/>
          <w:sz w:val="22"/>
          <w:lang w:val="es-ES_tradnl"/>
        </w:rPr>
        <w:t xml:space="preserve">C ‒ </w:t>
      </w:r>
      <w:r w:rsidR="00E876FD">
        <w:rPr>
          <w:rFonts w:ascii="Arial" w:eastAsia="Calibri" w:hAnsi="Arial" w:cs="Arial"/>
          <w:b/>
          <w:bCs/>
          <w:color w:val="000000" w:themeColor="text1"/>
          <w:sz w:val="22"/>
          <w:lang w:val="es-ES_tradnl"/>
        </w:rPr>
        <w:t>600</w:t>
      </w:r>
      <w:r w:rsidR="00AD5CED" w:rsidRPr="00E876FD">
        <w:rPr>
          <w:rFonts w:ascii="Arial" w:eastAsia="Calibri" w:hAnsi="Arial" w:cs="Arial"/>
          <w:b/>
          <w:bCs/>
          <w:color w:val="000000" w:themeColor="text1"/>
          <w:sz w:val="22"/>
          <w:lang w:val="es-ES_tradnl"/>
        </w:rPr>
        <w:t xml:space="preserve"> </w:t>
      </w:r>
      <w:r w:rsidR="00275FBF" w:rsidRPr="00E876FD">
        <w:rPr>
          <w:rFonts w:ascii="Arial" w:eastAsia="Calibri" w:hAnsi="Arial" w:cs="Arial"/>
          <w:b/>
          <w:bCs/>
          <w:color w:val="000000" w:themeColor="text1"/>
          <w:sz w:val="22"/>
          <w:lang w:val="es-ES_tradnl"/>
        </w:rPr>
        <w:t>de 2021</w:t>
      </w:r>
    </w:p>
    <w:p w14:paraId="1BD594F9" w14:textId="77777777" w:rsidR="00B95C30" w:rsidRPr="00E2398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23980" w14:paraId="19DFC051" w14:textId="77777777" w:rsidTr="00D15356">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0D3E61F2" w:rsidR="00B95C30" w:rsidRPr="00891838" w:rsidRDefault="006174FA" w:rsidP="00864CD5">
            <w:pPr>
              <w:jc w:val="both"/>
              <w:rPr>
                <w:rFonts w:ascii="Arial" w:eastAsia="Calibri" w:hAnsi="Arial" w:cs="Arial"/>
                <w:bCs/>
                <w:color w:val="000000" w:themeColor="text1"/>
                <w:sz w:val="22"/>
                <w:lang w:val="es-ES_tradnl"/>
              </w:rPr>
            </w:pPr>
            <w:r w:rsidRPr="00891838">
              <w:rPr>
                <w:rFonts w:ascii="Arial" w:eastAsia="Calibri" w:hAnsi="Arial" w:cs="Arial"/>
                <w:bCs/>
                <w:color w:val="000000" w:themeColor="text1"/>
                <w:sz w:val="22"/>
                <w:lang w:val="es-ES_tradnl"/>
              </w:rPr>
              <w:t xml:space="preserve">Ley 2020 de </w:t>
            </w:r>
            <w:r w:rsidR="003F63EE" w:rsidRPr="00891838">
              <w:rPr>
                <w:rFonts w:ascii="Arial" w:eastAsia="Calibri" w:hAnsi="Arial" w:cs="Arial"/>
                <w:bCs/>
                <w:color w:val="000000" w:themeColor="text1"/>
                <w:sz w:val="22"/>
                <w:lang w:val="es-ES_tradnl"/>
              </w:rPr>
              <w:t xml:space="preserve">2020 </w:t>
            </w:r>
            <w:r w:rsidR="006170F7" w:rsidRPr="00891838">
              <w:rPr>
                <w:rFonts w:ascii="Arial" w:eastAsia="Calibri" w:hAnsi="Arial" w:cs="Arial"/>
                <w:bCs/>
                <w:color w:val="000000" w:themeColor="text1"/>
                <w:sz w:val="22"/>
                <w:lang w:val="es-ES_tradnl"/>
              </w:rPr>
              <w:t>–</w:t>
            </w:r>
            <w:r w:rsidR="006170F7">
              <w:rPr>
                <w:rFonts w:ascii="Arial" w:eastAsia="Calibri" w:hAnsi="Arial" w:cs="Arial"/>
                <w:bCs/>
                <w:color w:val="000000" w:themeColor="text1"/>
                <w:sz w:val="22"/>
                <w:lang w:val="es-ES_tradnl"/>
              </w:rPr>
              <w:t xml:space="preserve"> </w:t>
            </w:r>
            <w:r w:rsidR="006170F7" w:rsidRPr="00891838">
              <w:rPr>
                <w:rFonts w:ascii="Arial" w:eastAsia="Calibri" w:hAnsi="Arial" w:cs="Arial"/>
                <w:bCs/>
                <w:color w:val="000000" w:themeColor="text1"/>
                <w:sz w:val="22"/>
                <w:lang w:val="es-ES_tradnl"/>
              </w:rPr>
              <w:t xml:space="preserve">Exposición </w:t>
            </w:r>
            <w:r w:rsidR="006170F7">
              <w:rPr>
                <w:rFonts w:ascii="Arial" w:eastAsia="Calibri" w:hAnsi="Arial" w:cs="Arial"/>
                <w:bCs/>
                <w:color w:val="000000" w:themeColor="text1"/>
                <w:sz w:val="22"/>
                <w:lang w:val="es-ES_tradnl"/>
              </w:rPr>
              <w:t>d</w:t>
            </w:r>
            <w:r w:rsidR="006170F7" w:rsidRPr="00891838">
              <w:rPr>
                <w:rFonts w:ascii="Arial" w:eastAsia="Calibri" w:hAnsi="Arial" w:cs="Arial"/>
                <w:bCs/>
                <w:color w:val="000000" w:themeColor="text1"/>
                <w:sz w:val="22"/>
                <w:lang w:val="es-ES_tradnl"/>
              </w:rPr>
              <w:t xml:space="preserve">e Motivos </w:t>
            </w:r>
            <w:r w:rsidR="004C683D" w:rsidRPr="00891838">
              <w:rPr>
                <w:rFonts w:ascii="Arial" w:eastAsia="Calibri" w:hAnsi="Arial" w:cs="Arial"/>
                <w:bCs/>
                <w:color w:val="000000" w:themeColor="text1"/>
                <w:sz w:val="22"/>
                <w:lang w:val="es-ES_tradnl"/>
              </w:rPr>
              <w:t>/</w:t>
            </w:r>
            <w:r w:rsidR="004C683D" w:rsidRPr="00891838">
              <w:rPr>
                <w:rFonts w:ascii="Arial" w:eastAsia="Calibri" w:hAnsi="Arial" w:cs="Arial"/>
                <w:bCs/>
                <w:sz w:val="22"/>
                <w:lang w:val="es-ES_tradnl"/>
              </w:rPr>
              <w:t xml:space="preserve"> </w:t>
            </w:r>
            <w:r w:rsidR="004C683D">
              <w:rPr>
                <w:rFonts w:ascii="Arial" w:eastAsia="Calibri" w:hAnsi="Arial" w:cs="Arial"/>
                <w:bCs/>
                <w:color w:val="000000" w:themeColor="text1"/>
                <w:sz w:val="22"/>
                <w:lang w:val="es-ES_tradnl"/>
              </w:rPr>
              <w:t>REGISTRO</w:t>
            </w:r>
            <w:r w:rsidR="002415B8" w:rsidRPr="00891838">
              <w:rPr>
                <w:rFonts w:ascii="Arial" w:eastAsia="Calibri" w:hAnsi="Arial" w:cs="Arial"/>
                <w:bCs/>
                <w:sz w:val="22"/>
                <w:lang w:val="es-ES_tradnl"/>
              </w:rPr>
              <w:t xml:space="preserve"> NACIONAL DE OBRAS CIVILES INCONCLUSAS – Concepto – Ley 2020 de 2020</w:t>
            </w:r>
            <w:r w:rsidR="00B95C30" w:rsidRPr="00891838">
              <w:rPr>
                <w:rFonts w:ascii="Arial" w:eastAsia="Calibri" w:hAnsi="Arial" w:cs="Arial"/>
                <w:bCs/>
                <w:sz w:val="22"/>
                <w:lang w:val="es-ES_tradnl"/>
              </w:rPr>
              <w:t xml:space="preserve"> /</w:t>
            </w:r>
            <w:r w:rsidR="002415B8" w:rsidRPr="00891838">
              <w:rPr>
                <w:rFonts w:ascii="Arial" w:eastAsia="Calibri" w:hAnsi="Arial" w:cs="Arial"/>
                <w:bCs/>
                <w:sz w:val="22"/>
                <w:lang w:val="es-ES_tradnl"/>
              </w:rPr>
              <w:t xml:space="preserve"> OBRA </w:t>
            </w:r>
            <w:r w:rsidR="00AD5CED">
              <w:rPr>
                <w:rFonts w:ascii="Arial" w:eastAsia="Calibri" w:hAnsi="Arial" w:cs="Arial"/>
                <w:bCs/>
                <w:sz w:val="22"/>
                <w:lang w:val="es-ES_tradnl"/>
              </w:rPr>
              <w:t xml:space="preserve">CIVIL </w:t>
            </w:r>
            <w:r w:rsidR="00F6091B" w:rsidRPr="00891838">
              <w:rPr>
                <w:rFonts w:ascii="Arial" w:eastAsia="Calibri" w:hAnsi="Arial" w:cs="Arial"/>
                <w:bCs/>
                <w:sz w:val="22"/>
                <w:lang w:val="es-ES_tradnl"/>
              </w:rPr>
              <w:t>INCONCLUSA –</w:t>
            </w:r>
            <w:r w:rsidR="002415B8" w:rsidRPr="00891838">
              <w:rPr>
                <w:rFonts w:ascii="Arial" w:eastAsia="Calibri" w:hAnsi="Arial" w:cs="Arial"/>
                <w:bCs/>
                <w:sz w:val="22"/>
                <w:lang w:val="es-ES_tradnl"/>
              </w:rPr>
              <w:t xml:space="preserve"> Definición / REGISTRO NACIONAL DE OBRAS CIVILES </w:t>
            </w:r>
            <w:r w:rsidR="000D152A" w:rsidRPr="00891838">
              <w:rPr>
                <w:rFonts w:ascii="Arial" w:eastAsia="Calibri" w:hAnsi="Arial" w:cs="Arial"/>
                <w:bCs/>
                <w:sz w:val="22"/>
                <w:lang w:val="es-ES_tradnl"/>
              </w:rPr>
              <w:t>INCONCLUSAS –</w:t>
            </w:r>
            <w:r w:rsidR="002415B8" w:rsidRPr="00891838">
              <w:rPr>
                <w:rFonts w:ascii="Arial" w:eastAsia="Calibri" w:hAnsi="Arial" w:cs="Arial"/>
                <w:bCs/>
                <w:sz w:val="22"/>
                <w:lang w:val="es-ES_tradnl"/>
              </w:rPr>
              <w:t xml:space="preserve"> </w:t>
            </w:r>
            <w:r w:rsidRPr="00891838">
              <w:rPr>
                <w:rFonts w:ascii="Arial" w:eastAsia="Calibri" w:hAnsi="Arial" w:cs="Arial"/>
                <w:bCs/>
                <w:sz w:val="22"/>
                <w:lang w:val="es-ES_tradnl"/>
              </w:rPr>
              <w:t>Reporte de información</w:t>
            </w:r>
            <w:r w:rsidR="002C11FA">
              <w:rPr>
                <w:rFonts w:ascii="Arial" w:eastAsia="Calibri" w:hAnsi="Arial" w:cs="Arial"/>
                <w:bCs/>
                <w:sz w:val="22"/>
                <w:lang w:val="es-ES_tradnl"/>
              </w:rPr>
              <w:t xml:space="preserve"> </w:t>
            </w:r>
            <w:r w:rsidRPr="00891838">
              <w:rPr>
                <w:rFonts w:ascii="Arial" w:eastAsia="Calibri" w:hAnsi="Arial" w:cs="Arial"/>
                <w:bCs/>
                <w:sz w:val="22"/>
                <w:lang w:val="es-ES_tradnl"/>
              </w:rPr>
              <w:t xml:space="preserve">– </w:t>
            </w:r>
            <w:r w:rsidR="00864CD5">
              <w:rPr>
                <w:rFonts w:ascii="Arial" w:eastAsia="Calibri" w:hAnsi="Arial" w:cs="Arial"/>
                <w:bCs/>
                <w:sz w:val="22"/>
                <w:lang w:val="es-ES_tradnl"/>
              </w:rPr>
              <w:t xml:space="preserve">Deber de verificación </w:t>
            </w:r>
            <w:r w:rsidRPr="00891838">
              <w:rPr>
                <w:rFonts w:ascii="Arial" w:eastAsia="Calibri" w:hAnsi="Arial" w:cs="Arial"/>
                <w:color w:val="000000" w:themeColor="text1"/>
                <w:sz w:val="22"/>
                <w:lang w:val="es-ES_tradnl"/>
              </w:rPr>
              <w:t>/ ANOTACIONES EN EL REGISTRO NACIONAL DE OBRAS INCONCLUSAS – Consultar y analizar</w:t>
            </w:r>
            <w:r w:rsidR="002C11FA">
              <w:rPr>
                <w:rFonts w:ascii="Arial" w:eastAsia="Calibri" w:hAnsi="Arial" w:cs="Arial"/>
                <w:color w:val="000000" w:themeColor="text1"/>
                <w:sz w:val="22"/>
                <w:lang w:val="es-ES_tradnl"/>
              </w:rPr>
              <w:t xml:space="preserve"> – Anotaciones </w:t>
            </w:r>
            <w:r w:rsidR="004E6F55">
              <w:rPr>
                <w:rFonts w:ascii="Arial" w:eastAsia="Calibri" w:hAnsi="Arial" w:cs="Arial"/>
                <w:color w:val="000000" w:themeColor="text1"/>
                <w:sz w:val="22"/>
                <w:lang w:val="es-ES_tradnl"/>
              </w:rPr>
              <w:t xml:space="preserve">vigentes </w:t>
            </w:r>
            <w:r w:rsidR="004E6F55" w:rsidRPr="00891838">
              <w:rPr>
                <w:rFonts w:ascii="Arial" w:eastAsia="Calibri" w:hAnsi="Arial" w:cs="Arial"/>
                <w:color w:val="000000" w:themeColor="text1"/>
                <w:sz w:val="22"/>
                <w:lang w:val="es-ES_tradnl"/>
              </w:rPr>
              <w:t>/</w:t>
            </w:r>
            <w:r w:rsidRPr="00891838">
              <w:rPr>
                <w:rFonts w:ascii="Arial" w:eastAsia="Calibri" w:hAnsi="Arial" w:cs="Arial"/>
                <w:color w:val="000000" w:themeColor="text1"/>
                <w:sz w:val="22"/>
                <w:lang w:val="es-ES_tradnl"/>
              </w:rPr>
              <w:t xml:space="preserve"> </w:t>
            </w:r>
            <w:r w:rsidR="00891838" w:rsidRPr="00891838">
              <w:rPr>
                <w:rFonts w:ascii="Arial" w:eastAsia="Calibri" w:hAnsi="Arial" w:cs="Arial"/>
                <w:sz w:val="22"/>
                <w:lang w:val="es-ES_tradnl"/>
              </w:rPr>
              <w:t>DESCUENTO PUNTAJE EN LOS FACTORES DE CALIDAD – Incumplimiento del contratista</w:t>
            </w:r>
          </w:p>
        </w:tc>
      </w:tr>
      <w:tr w:rsidR="00B95C30" w:rsidRPr="00E23980" w14:paraId="27CD52AB" w14:textId="77777777" w:rsidTr="00D15356">
        <w:tc>
          <w:tcPr>
            <w:tcW w:w="2689" w:type="dxa"/>
          </w:tcPr>
          <w:p w14:paraId="37E195A1" w14:textId="3D4EB451" w:rsidR="00B95C30" w:rsidRPr="00E23980" w:rsidRDefault="00B95C30"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Radicación:</w:t>
            </w:r>
            <w:r w:rsidRPr="00E23980">
              <w:rPr>
                <w:rFonts w:ascii="Arial" w:eastAsia="Calibri" w:hAnsi="Arial" w:cs="Arial"/>
                <w:color w:val="000000" w:themeColor="text1"/>
                <w:sz w:val="22"/>
                <w:lang w:val="es-ES_tradnl"/>
              </w:rPr>
              <w:t xml:space="preserve">                              </w:t>
            </w:r>
          </w:p>
        </w:tc>
        <w:tc>
          <w:tcPr>
            <w:tcW w:w="6237" w:type="dxa"/>
          </w:tcPr>
          <w:p w14:paraId="09088B1B" w14:textId="3BD32596" w:rsidR="00B95C30" w:rsidRPr="00E23980" w:rsidRDefault="00B95C30" w:rsidP="00D15356">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Respuesta a consulta</w:t>
            </w:r>
            <w:r w:rsidR="00A374EF">
              <w:rPr>
                <w:rFonts w:ascii="Arial" w:eastAsia="Calibri" w:hAnsi="Arial" w:cs="Arial"/>
                <w:color w:val="000000" w:themeColor="text1"/>
                <w:sz w:val="22"/>
                <w:lang w:val="es-ES_tradnl"/>
              </w:rPr>
              <w:t xml:space="preserve"> </w:t>
            </w:r>
            <w:r w:rsidR="00A374EF" w:rsidRPr="00A374EF">
              <w:rPr>
                <w:rFonts w:ascii="Arial" w:eastAsia="Calibri" w:hAnsi="Arial" w:cs="Arial"/>
                <w:color w:val="000000" w:themeColor="text1"/>
                <w:sz w:val="22"/>
              </w:rPr>
              <w:t>P20210913008355</w:t>
            </w:r>
          </w:p>
        </w:tc>
      </w:tr>
    </w:tbl>
    <w:p w14:paraId="635FAA34" w14:textId="37DE2A66" w:rsidR="006D69FA" w:rsidRDefault="006D69FA" w:rsidP="003C3339">
      <w:pPr>
        <w:jc w:val="both"/>
        <w:rPr>
          <w:rFonts w:ascii="Arial" w:eastAsia="Calibri" w:hAnsi="Arial" w:cs="Arial"/>
          <w:color w:val="000000" w:themeColor="text1"/>
          <w:sz w:val="22"/>
          <w:lang w:val="es-ES_tradnl"/>
        </w:rPr>
      </w:pPr>
    </w:p>
    <w:p w14:paraId="610D5130" w14:textId="77777777" w:rsidR="00784181" w:rsidRDefault="00784181" w:rsidP="003C3339">
      <w:pPr>
        <w:jc w:val="both"/>
        <w:rPr>
          <w:rFonts w:ascii="Arial" w:eastAsia="Calibri" w:hAnsi="Arial" w:cs="Arial"/>
          <w:color w:val="000000" w:themeColor="text1"/>
          <w:sz w:val="22"/>
          <w:lang w:val="es-ES_tradnl"/>
        </w:rPr>
      </w:pPr>
    </w:p>
    <w:p w14:paraId="1CF4AEA0" w14:textId="604179BD"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w:t>
      </w:r>
      <w:r w:rsidR="00A374EF">
        <w:rPr>
          <w:rFonts w:ascii="Arial" w:eastAsia="Calibri" w:hAnsi="Arial" w:cs="Arial"/>
          <w:color w:val="000000" w:themeColor="text1"/>
          <w:sz w:val="22"/>
          <w:lang w:val="es-ES_tradnl"/>
        </w:rPr>
        <w:t>a</w:t>
      </w:r>
      <w:r w:rsidRPr="00E23980">
        <w:rPr>
          <w:rFonts w:ascii="Arial" w:eastAsia="Calibri" w:hAnsi="Arial" w:cs="Arial"/>
          <w:color w:val="000000" w:themeColor="text1"/>
          <w:sz w:val="22"/>
          <w:lang w:val="es-ES_tradnl"/>
        </w:rPr>
        <w:t xml:space="preserve"> señor</w:t>
      </w:r>
      <w:r w:rsidR="00A374EF">
        <w:rPr>
          <w:rFonts w:ascii="Arial" w:eastAsia="Calibri" w:hAnsi="Arial" w:cs="Arial"/>
          <w:color w:val="000000" w:themeColor="text1"/>
          <w:sz w:val="22"/>
          <w:lang w:val="es-ES_tradnl"/>
        </w:rPr>
        <w:t>a</w:t>
      </w:r>
      <w:r w:rsidRPr="00E23980">
        <w:rPr>
          <w:rFonts w:ascii="Arial" w:eastAsia="Calibri" w:hAnsi="Arial" w:cs="Arial"/>
          <w:color w:val="000000" w:themeColor="text1"/>
          <w:sz w:val="22"/>
          <w:lang w:val="es-ES_tradnl"/>
        </w:rPr>
        <w:t xml:space="preserve"> </w:t>
      </w:r>
      <w:r w:rsidR="00A374EF">
        <w:rPr>
          <w:rFonts w:ascii="Arial" w:eastAsia="Calibri" w:hAnsi="Arial" w:cs="Arial"/>
          <w:color w:val="000000" w:themeColor="text1"/>
          <w:sz w:val="22"/>
          <w:lang w:val="es-ES_tradnl"/>
        </w:rPr>
        <w:t>Soriano</w:t>
      </w:r>
      <w:r w:rsidRPr="00E23980">
        <w:rPr>
          <w:rFonts w:ascii="Arial" w:eastAsia="Calibri" w:hAnsi="Arial" w:cs="Arial"/>
          <w:color w:val="000000" w:themeColor="text1"/>
          <w:sz w:val="22"/>
          <w:lang w:val="es-ES_tradnl"/>
        </w:rPr>
        <w:t>:</w:t>
      </w:r>
    </w:p>
    <w:p w14:paraId="1EAE5543" w14:textId="77777777" w:rsidR="00DD5B04" w:rsidRPr="00E23980" w:rsidRDefault="00DD5B04" w:rsidP="00DF76A2">
      <w:pPr>
        <w:jc w:val="both"/>
        <w:rPr>
          <w:rFonts w:ascii="Arial" w:eastAsia="Calibri" w:hAnsi="Arial" w:cs="Arial"/>
          <w:color w:val="000000" w:themeColor="text1"/>
          <w:sz w:val="22"/>
          <w:lang w:val="es-ES_tradnl"/>
        </w:rPr>
      </w:pPr>
    </w:p>
    <w:p w14:paraId="2109B2D3" w14:textId="477B3FFC"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784181">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w:t>
      </w:r>
      <w:r w:rsidR="00CE69CC" w:rsidRPr="00E23980">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responde su consulta del </w:t>
      </w:r>
      <w:r w:rsidR="00A374EF">
        <w:rPr>
          <w:rFonts w:ascii="Arial" w:eastAsia="Calibri" w:hAnsi="Arial" w:cs="Arial"/>
          <w:color w:val="000000" w:themeColor="text1"/>
          <w:sz w:val="22"/>
          <w:lang w:val="es-ES_tradnl"/>
        </w:rPr>
        <w:t>13</w:t>
      </w:r>
      <w:r w:rsidR="00AD5CED">
        <w:rPr>
          <w:rFonts w:ascii="Arial" w:eastAsia="Calibri" w:hAnsi="Arial" w:cs="Arial"/>
          <w:color w:val="000000" w:themeColor="text1"/>
          <w:sz w:val="22"/>
          <w:lang w:val="es-ES_tradnl"/>
        </w:rPr>
        <w:t xml:space="preserve"> </w:t>
      </w:r>
      <w:r w:rsidR="00FD4AF3" w:rsidRPr="00E23980">
        <w:rPr>
          <w:rFonts w:ascii="Arial" w:eastAsia="Calibri" w:hAnsi="Arial" w:cs="Arial"/>
          <w:color w:val="000000" w:themeColor="text1"/>
          <w:sz w:val="22"/>
          <w:lang w:val="es-ES_tradnl"/>
        </w:rPr>
        <w:t xml:space="preserve">de </w:t>
      </w:r>
      <w:r w:rsidR="00A374EF">
        <w:rPr>
          <w:rFonts w:ascii="Arial" w:eastAsia="Calibri" w:hAnsi="Arial" w:cs="Arial"/>
          <w:color w:val="000000" w:themeColor="text1"/>
          <w:sz w:val="22"/>
          <w:lang w:val="es-ES_tradnl"/>
        </w:rPr>
        <w:t>septiembre</w:t>
      </w:r>
      <w:r w:rsidRPr="00E23980">
        <w:rPr>
          <w:rFonts w:ascii="Arial" w:eastAsia="Calibri" w:hAnsi="Arial" w:cs="Arial"/>
          <w:color w:val="000000" w:themeColor="text1"/>
          <w:sz w:val="22"/>
          <w:lang w:val="es-ES_tradnl"/>
        </w:rPr>
        <w:t xml:space="preserve"> del</w:t>
      </w:r>
      <w:r w:rsidR="007E74BF" w:rsidRPr="00E23980">
        <w:rPr>
          <w:rFonts w:ascii="Arial" w:eastAsia="Calibri" w:hAnsi="Arial" w:cs="Arial"/>
          <w:color w:val="000000" w:themeColor="text1"/>
          <w:sz w:val="22"/>
          <w:lang w:val="es-ES_tradnl"/>
        </w:rPr>
        <w:t xml:space="preserve"> </w:t>
      </w:r>
      <w:r w:rsidR="006D69FA">
        <w:rPr>
          <w:rFonts w:ascii="Arial" w:eastAsia="Calibri" w:hAnsi="Arial" w:cs="Arial"/>
          <w:color w:val="000000" w:themeColor="text1"/>
          <w:sz w:val="22"/>
          <w:lang w:val="es-ES_tradnl"/>
        </w:rPr>
        <w:t xml:space="preserve">2021. </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14941EBB"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Problema</w:t>
      </w:r>
      <w:r w:rsidR="00C02DBF">
        <w:rPr>
          <w:rFonts w:ascii="Arial" w:eastAsia="Calibri" w:hAnsi="Arial" w:cs="Arial"/>
          <w:b/>
          <w:color w:val="000000" w:themeColor="text1"/>
          <w:sz w:val="22"/>
          <w:lang w:val="es-ES_tradnl"/>
        </w:rPr>
        <w:t>s</w:t>
      </w:r>
      <w:r w:rsidRPr="00E23980">
        <w:rPr>
          <w:rFonts w:ascii="Arial" w:eastAsia="Calibri" w:hAnsi="Arial" w:cs="Arial"/>
          <w:b/>
          <w:color w:val="000000" w:themeColor="text1"/>
          <w:sz w:val="22"/>
          <w:lang w:val="es-ES_tradnl"/>
        </w:rPr>
        <w:t xml:space="preserve"> planteado</w:t>
      </w:r>
      <w:r w:rsidR="00C02DBF">
        <w:rPr>
          <w:rFonts w:ascii="Arial" w:eastAsia="Calibri" w:hAnsi="Arial" w:cs="Arial"/>
          <w:b/>
          <w:color w:val="000000" w:themeColor="text1"/>
          <w:sz w:val="22"/>
          <w:lang w:val="es-ES_tradnl"/>
        </w:rPr>
        <w:t>s</w:t>
      </w:r>
      <w:r w:rsidRPr="00E23980">
        <w:rPr>
          <w:rFonts w:ascii="Arial" w:eastAsia="Calibri" w:hAnsi="Arial" w:cs="Arial"/>
          <w:b/>
          <w:color w:val="000000" w:themeColor="text1"/>
          <w:sz w:val="22"/>
          <w:lang w:val="es-ES_tradnl"/>
        </w:rPr>
        <w:t xml:space="preserve"> </w:t>
      </w:r>
    </w:p>
    <w:p w14:paraId="224B43D3" w14:textId="77777777" w:rsidR="00DD5B04" w:rsidRPr="00E2398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ACACCD0" w14:textId="020ED873" w:rsidR="00A374EF" w:rsidRPr="00A374EF" w:rsidRDefault="00A374EF" w:rsidP="00A374EF">
      <w:pPr>
        <w:spacing w:line="276" w:lineRule="auto"/>
        <w:jc w:val="both"/>
        <w:rPr>
          <w:rFonts w:ascii="Arial" w:hAnsi="Arial" w:cs="Arial"/>
          <w:bCs/>
          <w:color w:val="000000" w:themeColor="text1"/>
          <w:sz w:val="22"/>
        </w:rPr>
      </w:pPr>
      <w:bookmarkStart w:id="3" w:name="_Hlk70876531"/>
      <w:r>
        <w:rPr>
          <w:rFonts w:ascii="Arial" w:hAnsi="Arial" w:cs="Arial"/>
          <w:color w:val="000000" w:themeColor="text1"/>
          <w:sz w:val="22"/>
          <w:lang w:val="es-ES_tradnl"/>
        </w:rPr>
        <w:t>En relación con el artículo 6 de la Ley 2020 de 2020</w:t>
      </w:r>
      <w:bookmarkEnd w:id="3"/>
      <w:r w:rsidR="00C02DBF">
        <w:rPr>
          <w:rFonts w:ascii="Arial" w:hAnsi="Arial" w:cs="Arial"/>
          <w:color w:val="000000" w:themeColor="text1"/>
          <w:sz w:val="22"/>
          <w:lang w:val="es-ES_tradnl"/>
        </w:rPr>
        <w:t>, usted realiza la</w:t>
      </w:r>
      <w:r>
        <w:rPr>
          <w:rFonts w:ascii="Arial" w:hAnsi="Arial" w:cs="Arial"/>
          <w:color w:val="000000" w:themeColor="text1"/>
          <w:sz w:val="22"/>
          <w:lang w:val="es-ES_tradnl"/>
        </w:rPr>
        <w:t>s</w:t>
      </w:r>
      <w:r w:rsidR="000E4EA2">
        <w:rPr>
          <w:rFonts w:ascii="Arial" w:hAnsi="Arial" w:cs="Arial"/>
          <w:color w:val="000000" w:themeColor="text1"/>
          <w:sz w:val="22"/>
          <w:lang w:val="es-ES_tradnl"/>
        </w:rPr>
        <w:t xml:space="preserve"> </w:t>
      </w:r>
      <w:r w:rsidR="00C02DBF">
        <w:rPr>
          <w:rFonts w:ascii="Arial" w:hAnsi="Arial" w:cs="Arial"/>
          <w:color w:val="000000" w:themeColor="text1"/>
          <w:sz w:val="22"/>
          <w:lang w:val="es-ES_tradnl"/>
        </w:rPr>
        <w:t>siguiente</w:t>
      </w:r>
      <w:r>
        <w:rPr>
          <w:rFonts w:ascii="Arial" w:hAnsi="Arial" w:cs="Arial"/>
          <w:color w:val="000000" w:themeColor="text1"/>
          <w:sz w:val="22"/>
          <w:lang w:val="es-ES_tradnl"/>
        </w:rPr>
        <w:t>s</w:t>
      </w:r>
      <w:r w:rsidR="00C02DBF">
        <w:rPr>
          <w:rFonts w:ascii="Arial" w:hAnsi="Arial" w:cs="Arial"/>
          <w:color w:val="000000" w:themeColor="text1"/>
          <w:sz w:val="22"/>
          <w:lang w:val="es-ES_tradnl"/>
        </w:rPr>
        <w:t xml:space="preserve"> pregunta</w:t>
      </w:r>
      <w:r>
        <w:rPr>
          <w:rFonts w:ascii="Arial" w:hAnsi="Arial" w:cs="Arial"/>
          <w:color w:val="000000" w:themeColor="text1"/>
          <w:sz w:val="22"/>
          <w:lang w:val="es-ES_tradnl"/>
        </w:rPr>
        <w:t>s</w:t>
      </w:r>
      <w:r w:rsidR="00497B15">
        <w:rPr>
          <w:rFonts w:ascii="Arial" w:hAnsi="Arial" w:cs="Arial"/>
          <w:color w:val="000000" w:themeColor="text1"/>
          <w:sz w:val="22"/>
          <w:lang w:val="es-ES_tradnl"/>
        </w:rPr>
        <w:t>:</w:t>
      </w:r>
      <w:r w:rsidR="00493078">
        <w:rPr>
          <w:rFonts w:ascii="Arial" w:hAnsi="Arial" w:cs="Arial"/>
          <w:color w:val="000000" w:themeColor="text1"/>
          <w:sz w:val="22"/>
          <w:lang w:val="es-ES_tradnl"/>
        </w:rPr>
        <w:t xml:space="preserve"> </w:t>
      </w:r>
      <w:r w:rsidRPr="00A374EF">
        <w:rPr>
          <w:rFonts w:ascii="Arial" w:hAnsi="Arial" w:cs="Arial"/>
          <w:bCs/>
          <w:color w:val="000000" w:themeColor="text1"/>
          <w:sz w:val="22"/>
        </w:rPr>
        <w:t>i) «¿Cuál es el alcance que las entidades estatales deben dar a las expresiones; “consultar y analizar las anotaciones vigentes”?»</w:t>
      </w:r>
      <w:r>
        <w:rPr>
          <w:rFonts w:ascii="Arial" w:hAnsi="Arial" w:cs="Arial"/>
          <w:bCs/>
          <w:color w:val="000000" w:themeColor="text1"/>
          <w:sz w:val="22"/>
        </w:rPr>
        <w:t xml:space="preserve">, </w:t>
      </w:r>
      <w:proofErr w:type="spellStart"/>
      <w:r w:rsidRPr="00A374EF">
        <w:rPr>
          <w:rFonts w:ascii="Arial" w:hAnsi="Arial" w:cs="Arial"/>
          <w:bCs/>
          <w:color w:val="000000" w:themeColor="text1"/>
          <w:sz w:val="22"/>
        </w:rPr>
        <w:t>ii</w:t>
      </w:r>
      <w:proofErr w:type="spellEnd"/>
      <w:r w:rsidRPr="00A374EF">
        <w:rPr>
          <w:rFonts w:ascii="Arial" w:hAnsi="Arial" w:cs="Arial"/>
          <w:bCs/>
          <w:color w:val="000000" w:themeColor="text1"/>
          <w:sz w:val="22"/>
        </w:rPr>
        <w:t>) «¿Cuándo hace referencia a “las anotaciones vigentes” decir que, por el hecho de estar reportado se enmarca como vigentes o las anotaciones tienen un término vigencia y cuál sería»</w:t>
      </w:r>
      <w:r>
        <w:rPr>
          <w:rFonts w:ascii="Arial" w:hAnsi="Arial" w:cs="Arial"/>
          <w:bCs/>
          <w:color w:val="000000" w:themeColor="text1"/>
          <w:sz w:val="22"/>
        </w:rPr>
        <w:t xml:space="preserve">, </w:t>
      </w:r>
      <w:proofErr w:type="spellStart"/>
      <w:r w:rsidRPr="00A374EF">
        <w:rPr>
          <w:rFonts w:ascii="Arial" w:hAnsi="Arial" w:cs="Arial"/>
          <w:bCs/>
          <w:color w:val="000000" w:themeColor="text1"/>
          <w:sz w:val="22"/>
        </w:rPr>
        <w:t>iii</w:t>
      </w:r>
      <w:proofErr w:type="spellEnd"/>
      <w:r w:rsidRPr="00A374EF">
        <w:rPr>
          <w:rFonts w:ascii="Arial" w:hAnsi="Arial" w:cs="Arial"/>
          <w:bCs/>
          <w:color w:val="000000" w:themeColor="text1"/>
          <w:sz w:val="22"/>
        </w:rPr>
        <w:t>) «¿Cuándo la norma señala tener en cuenta las anotaciones vigentes en el Registro</w:t>
      </w:r>
      <w:r>
        <w:rPr>
          <w:rFonts w:ascii="Arial" w:hAnsi="Arial" w:cs="Arial"/>
          <w:bCs/>
          <w:color w:val="000000" w:themeColor="text1"/>
          <w:sz w:val="22"/>
        </w:rPr>
        <w:t xml:space="preserve"> </w:t>
      </w:r>
      <w:r w:rsidRPr="00A374EF">
        <w:rPr>
          <w:rFonts w:ascii="Arial" w:hAnsi="Arial" w:cs="Arial"/>
          <w:bCs/>
          <w:color w:val="000000" w:themeColor="text1"/>
          <w:sz w:val="22"/>
        </w:rPr>
        <w:t xml:space="preserve">Nacional de Obras Civiles Inconclusas al </w:t>
      </w:r>
      <w:r w:rsidRPr="00A374EF">
        <w:rPr>
          <w:rFonts w:ascii="Arial" w:hAnsi="Arial" w:cs="Arial"/>
          <w:bCs/>
          <w:color w:val="000000" w:themeColor="text1"/>
          <w:sz w:val="22"/>
        </w:rPr>
        <w:lastRenderedPageBreak/>
        <w:t>momento de evaluar los factores de calidad,</w:t>
      </w:r>
      <w:r>
        <w:rPr>
          <w:rFonts w:ascii="Arial" w:hAnsi="Arial" w:cs="Arial"/>
          <w:bCs/>
          <w:color w:val="000000" w:themeColor="text1"/>
          <w:sz w:val="22"/>
        </w:rPr>
        <w:t xml:space="preserve"> </w:t>
      </w:r>
      <w:r w:rsidRPr="00A374EF">
        <w:rPr>
          <w:rFonts w:ascii="Arial" w:hAnsi="Arial" w:cs="Arial"/>
          <w:bCs/>
          <w:color w:val="000000" w:themeColor="text1"/>
          <w:sz w:val="22"/>
        </w:rPr>
        <w:t>implican que las entidades estatales deben establecer en los pliegos de condiciones</w:t>
      </w:r>
      <w:r>
        <w:rPr>
          <w:rFonts w:ascii="Arial" w:hAnsi="Arial" w:cs="Arial"/>
          <w:bCs/>
          <w:color w:val="000000" w:themeColor="text1"/>
          <w:sz w:val="22"/>
        </w:rPr>
        <w:t xml:space="preserve"> </w:t>
      </w:r>
      <w:r w:rsidRPr="00A374EF">
        <w:rPr>
          <w:rFonts w:ascii="Arial" w:hAnsi="Arial" w:cs="Arial"/>
          <w:bCs/>
          <w:color w:val="000000" w:themeColor="text1"/>
          <w:sz w:val="22"/>
        </w:rPr>
        <w:t>una forma de valorar dichas anotaciones y sus posibles consecuencias en los factores</w:t>
      </w:r>
      <w:r>
        <w:rPr>
          <w:rFonts w:ascii="Arial" w:hAnsi="Arial" w:cs="Arial"/>
          <w:bCs/>
          <w:color w:val="000000" w:themeColor="text1"/>
          <w:sz w:val="22"/>
        </w:rPr>
        <w:t xml:space="preserve"> </w:t>
      </w:r>
      <w:r w:rsidRPr="00A374EF">
        <w:rPr>
          <w:rFonts w:ascii="Arial" w:hAnsi="Arial" w:cs="Arial"/>
          <w:bCs/>
          <w:color w:val="000000" w:themeColor="text1"/>
          <w:sz w:val="22"/>
        </w:rPr>
        <w:t>de ponderación de calidad?»</w:t>
      </w:r>
      <w:r w:rsidR="00677D4A">
        <w:rPr>
          <w:rFonts w:ascii="Arial" w:hAnsi="Arial" w:cs="Arial"/>
          <w:bCs/>
          <w:color w:val="000000" w:themeColor="text1"/>
          <w:sz w:val="22"/>
        </w:rPr>
        <w:t xml:space="preserve"> y</w:t>
      </w:r>
      <w:r>
        <w:rPr>
          <w:rFonts w:ascii="Arial" w:hAnsi="Arial" w:cs="Arial"/>
          <w:bCs/>
          <w:color w:val="000000" w:themeColor="text1"/>
          <w:sz w:val="22"/>
        </w:rPr>
        <w:t xml:space="preserve"> </w:t>
      </w:r>
      <w:proofErr w:type="spellStart"/>
      <w:r w:rsidRPr="00A374EF">
        <w:rPr>
          <w:rFonts w:ascii="Arial" w:hAnsi="Arial" w:cs="Arial"/>
          <w:bCs/>
          <w:color w:val="000000" w:themeColor="text1"/>
          <w:sz w:val="22"/>
        </w:rPr>
        <w:t>iv</w:t>
      </w:r>
      <w:proofErr w:type="spellEnd"/>
      <w:r w:rsidRPr="00A374EF">
        <w:rPr>
          <w:rFonts w:ascii="Arial" w:hAnsi="Arial" w:cs="Arial"/>
          <w:bCs/>
          <w:color w:val="000000" w:themeColor="text1"/>
          <w:sz w:val="22"/>
        </w:rPr>
        <w:t>) «¿Valorar las anotaciones sólo implica revisar la información contenida en el reporte o adicionalmente se debe valorar información que aporte el proponente reportado?»</w:t>
      </w:r>
    </w:p>
    <w:p w14:paraId="2A79DF8F" w14:textId="77777777" w:rsidR="00864CD5" w:rsidRPr="00A374EF" w:rsidRDefault="00864CD5" w:rsidP="00864CD5">
      <w:pPr>
        <w:ind w:left="709" w:right="709"/>
        <w:jc w:val="both"/>
        <w:rPr>
          <w:rFonts w:ascii="Arial" w:hAnsi="Arial" w:cs="Arial"/>
          <w:color w:val="000000" w:themeColor="text1"/>
          <w:sz w:val="21"/>
          <w:szCs w:val="21"/>
        </w:rPr>
      </w:pPr>
    </w:p>
    <w:p w14:paraId="505D2AC2" w14:textId="36A001B5" w:rsidR="00904C33" w:rsidRDefault="00DD5B04" w:rsidP="00904C33">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336E5625" w14:textId="77777777" w:rsidR="00904C33" w:rsidRPr="00904C33" w:rsidRDefault="00904C33" w:rsidP="00904C33">
      <w:pPr>
        <w:pStyle w:val="Prrafodelista"/>
        <w:tabs>
          <w:tab w:val="left" w:pos="0"/>
          <w:tab w:val="left" w:pos="284"/>
        </w:tabs>
        <w:ind w:left="0"/>
        <w:jc w:val="both"/>
        <w:rPr>
          <w:rFonts w:ascii="Arial" w:eastAsia="Calibri" w:hAnsi="Arial" w:cs="Arial"/>
          <w:b/>
          <w:color w:val="000000" w:themeColor="text1"/>
          <w:sz w:val="22"/>
          <w:lang w:val="es-ES_tradnl"/>
        </w:rPr>
      </w:pPr>
    </w:p>
    <w:p w14:paraId="603D3970" w14:textId="301934F5" w:rsidR="00904C33" w:rsidRDefault="00904C33" w:rsidP="00904C33">
      <w:pPr>
        <w:spacing w:line="276" w:lineRule="auto"/>
        <w:jc w:val="both"/>
        <w:rPr>
          <w:rFonts w:ascii="Arial" w:hAnsi="Arial" w:cs="Arial"/>
          <w:color w:val="000000" w:themeColor="text1"/>
          <w:sz w:val="22"/>
          <w:lang w:val="es-ES_tradnl"/>
        </w:rPr>
      </w:pPr>
      <w:r w:rsidRPr="00904C33">
        <w:rPr>
          <w:rFonts w:ascii="Arial" w:hAnsi="Arial" w:cs="Arial"/>
          <w:color w:val="000000" w:themeColor="text1"/>
          <w:sz w:val="22"/>
          <w:lang w:val="es-ES_tradnl"/>
        </w:rPr>
        <w:t xml:space="preserve">Para resolver su consulta, se analizarán los siguientes temas: i) el Registro Nacional de Obras Civiles Inconclusas, </w:t>
      </w:r>
      <w:proofErr w:type="spellStart"/>
      <w:r w:rsidRPr="00904C33">
        <w:rPr>
          <w:rFonts w:ascii="Arial" w:hAnsi="Arial" w:cs="Arial"/>
          <w:color w:val="000000" w:themeColor="text1"/>
          <w:sz w:val="22"/>
          <w:lang w:val="es-ES_tradnl"/>
        </w:rPr>
        <w:t>ii</w:t>
      </w:r>
      <w:proofErr w:type="spellEnd"/>
      <w:r w:rsidRPr="00904C33">
        <w:rPr>
          <w:rFonts w:ascii="Arial" w:hAnsi="Arial" w:cs="Arial"/>
          <w:color w:val="000000" w:themeColor="text1"/>
          <w:sz w:val="22"/>
          <w:lang w:val="es-ES_tradnl"/>
        </w:rPr>
        <w:t>) interpretación del artículo 6 de la Ley 2020 de 2020</w:t>
      </w:r>
      <w:r>
        <w:rPr>
          <w:rFonts w:ascii="Arial" w:hAnsi="Arial" w:cs="Arial"/>
          <w:color w:val="000000" w:themeColor="text1"/>
          <w:sz w:val="22"/>
          <w:lang w:val="es-ES_tradnl"/>
        </w:rPr>
        <w:t>,</w:t>
      </w:r>
      <w:r w:rsidRPr="00904C33">
        <w:rPr>
          <w:rFonts w:ascii="Arial" w:hAnsi="Arial" w:cs="Arial"/>
          <w:color w:val="000000" w:themeColor="text1"/>
          <w:sz w:val="22"/>
          <w:lang w:val="es-ES_tradnl"/>
        </w:rPr>
        <w:t xml:space="preserve"> en relación con la evaluación de los factores de ponderación de calidad</w:t>
      </w:r>
      <w:r w:rsidR="00A83A06" w:rsidRPr="00A83A06">
        <w:t xml:space="preserve"> </w:t>
      </w:r>
      <w:r w:rsidR="00A83A06" w:rsidRPr="00A83A06">
        <w:rPr>
          <w:rFonts w:ascii="Arial" w:hAnsi="Arial" w:cs="Arial"/>
          <w:color w:val="000000" w:themeColor="text1"/>
          <w:sz w:val="22"/>
          <w:lang w:val="es-ES_tradnl"/>
        </w:rPr>
        <w:t>para la selección de contratistas de obra o interventores</w:t>
      </w:r>
      <w:r w:rsidRPr="00904C33">
        <w:rPr>
          <w:rFonts w:ascii="Arial" w:hAnsi="Arial" w:cs="Arial"/>
          <w:color w:val="000000" w:themeColor="text1"/>
          <w:sz w:val="22"/>
          <w:lang w:val="es-ES_tradnl"/>
        </w:rPr>
        <w:t xml:space="preserve"> </w:t>
      </w:r>
      <w:r>
        <w:rPr>
          <w:rFonts w:ascii="Arial" w:hAnsi="Arial" w:cs="Arial"/>
          <w:color w:val="000000" w:themeColor="text1"/>
          <w:sz w:val="22"/>
          <w:lang w:val="es-ES_tradnl"/>
        </w:rPr>
        <w:t xml:space="preserve">y </w:t>
      </w:r>
      <w:proofErr w:type="spellStart"/>
      <w:r w:rsidRPr="00904C33">
        <w:rPr>
          <w:rFonts w:ascii="Arial" w:hAnsi="Arial" w:cs="Arial"/>
          <w:color w:val="000000" w:themeColor="text1"/>
          <w:sz w:val="22"/>
          <w:lang w:val="es-ES_tradnl"/>
        </w:rPr>
        <w:t>iii</w:t>
      </w:r>
      <w:proofErr w:type="spellEnd"/>
      <w:r w:rsidRPr="00904C33">
        <w:rPr>
          <w:rFonts w:ascii="Arial" w:hAnsi="Arial" w:cs="Arial"/>
          <w:color w:val="000000" w:themeColor="text1"/>
          <w:sz w:val="22"/>
          <w:lang w:val="es-ES_tradnl"/>
        </w:rPr>
        <w:t xml:space="preserve">) análisis de las anotaciones del Registro Nacional de Obras </w:t>
      </w:r>
      <w:r w:rsidR="00A83A06">
        <w:rPr>
          <w:rFonts w:ascii="Arial" w:hAnsi="Arial" w:cs="Arial"/>
          <w:color w:val="000000" w:themeColor="text1"/>
          <w:sz w:val="22"/>
          <w:lang w:val="es-ES_tradnl"/>
        </w:rPr>
        <w:t xml:space="preserve">Civiles </w:t>
      </w:r>
      <w:r w:rsidRPr="00904C33">
        <w:rPr>
          <w:rFonts w:ascii="Arial" w:hAnsi="Arial" w:cs="Arial"/>
          <w:color w:val="000000" w:themeColor="text1"/>
          <w:sz w:val="22"/>
          <w:lang w:val="es-ES_tradnl"/>
        </w:rPr>
        <w:t>Inconclusas en los documentos tipos</w:t>
      </w:r>
      <w:r w:rsidR="006F7607">
        <w:rPr>
          <w:rFonts w:ascii="Arial" w:hAnsi="Arial" w:cs="Arial"/>
          <w:color w:val="000000" w:themeColor="text1"/>
          <w:sz w:val="22"/>
          <w:lang w:val="es-ES_tradnl"/>
        </w:rPr>
        <w:t>.</w:t>
      </w:r>
    </w:p>
    <w:p w14:paraId="66E96B5E" w14:textId="3AF2A93E" w:rsidR="00E07AAA" w:rsidRPr="002B17AD" w:rsidRDefault="00E07AAA" w:rsidP="002B17AD">
      <w:pPr>
        <w:spacing w:before="120" w:line="276" w:lineRule="auto"/>
        <w:ind w:firstLine="709"/>
        <w:jc w:val="both"/>
        <w:rPr>
          <w:rFonts w:ascii="Arial" w:hAnsi="Arial" w:cs="Arial"/>
          <w:color w:val="000000" w:themeColor="text1"/>
          <w:sz w:val="22"/>
          <w:lang w:val="es-ES_tradnl"/>
        </w:rPr>
      </w:pPr>
      <w:r w:rsidRPr="00E07AAA">
        <w:rPr>
          <w:rFonts w:ascii="Arial" w:hAnsi="Arial" w:cs="Arial"/>
          <w:color w:val="000000" w:themeColor="text1"/>
          <w:sz w:val="22"/>
          <w:lang w:val="es-ES_tradnl"/>
        </w:rPr>
        <w:t>L</w:t>
      </w:r>
      <w:r w:rsidRPr="00222BE8">
        <w:rPr>
          <w:rFonts w:ascii="Arial" w:hAnsi="Arial" w:cs="Arial"/>
          <w:color w:val="000000" w:themeColor="text1"/>
          <w:sz w:val="22"/>
          <w:lang w:val="es-ES_tradnl"/>
        </w:rPr>
        <w:t xml:space="preserve">a Agencia Nacional de Contratación Pública </w:t>
      </w:r>
      <w:r w:rsidR="001369F5">
        <w:rPr>
          <w:rFonts w:ascii="Arial" w:hAnsi="Arial" w:cs="Arial"/>
          <w:color w:val="000000" w:themeColor="text1"/>
          <w:sz w:val="22"/>
          <w:lang w:val="es-ES_tradnl"/>
        </w:rPr>
        <w:t>–</w:t>
      </w:r>
      <w:r w:rsidR="001369F5" w:rsidRPr="00222BE8">
        <w:rPr>
          <w:rFonts w:ascii="Arial" w:hAnsi="Arial" w:cs="Arial"/>
          <w:color w:val="000000" w:themeColor="text1"/>
          <w:sz w:val="22"/>
          <w:lang w:val="es-ES_tradnl"/>
        </w:rPr>
        <w:t xml:space="preserve"> </w:t>
      </w:r>
      <w:r w:rsidRPr="00222BE8">
        <w:rPr>
          <w:rFonts w:ascii="Arial" w:hAnsi="Arial" w:cs="Arial"/>
          <w:color w:val="000000" w:themeColor="text1"/>
          <w:sz w:val="22"/>
          <w:lang w:val="es-ES_tradnl"/>
        </w:rPr>
        <w:t>Colombia Compra Eficiente se pronunció sobre</w:t>
      </w:r>
      <w:r>
        <w:rPr>
          <w:rFonts w:ascii="Arial" w:hAnsi="Arial" w:cs="Arial"/>
          <w:color w:val="000000" w:themeColor="text1"/>
          <w:sz w:val="22"/>
          <w:lang w:val="es-ES_tradnl"/>
        </w:rPr>
        <w:t xml:space="preserve"> el Registro Nacional de Obras Civiles Inconclusas en </w:t>
      </w:r>
      <w:r w:rsidR="003B28F8">
        <w:rPr>
          <w:rFonts w:ascii="Arial" w:hAnsi="Arial" w:cs="Arial"/>
          <w:color w:val="000000" w:themeColor="text1"/>
          <w:sz w:val="22"/>
          <w:lang w:val="es-ES_tradnl"/>
        </w:rPr>
        <w:t>los</w:t>
      </w:r>
      <w:r>
        <w:rPr>
          <w:rFonts w:ascii="Arial" w:hAnsi="Arial" w:cs="Arial"/>
          <w:color w:val="000000" w:themeColor="text1"/>
          <w:sz w:val="22"/>
          <w:lang w:val="es-ES_tradnl"/>
        </w:rPr>
        <w:t xml:space="preserve"> concepto</w:t>
      </w:r>
      <w:r w:rsidR="003B28F8">
        <w:rPr>
          <w:rFonts w:ascii="Arial" w:hAnsi="Arial" w:cs="Arial"/>
          <w:color w:val="000000" w:themeColor="text1"/>
          <w:sz w:val="22"/>
          <w:lang w:val="es-ES_tradnl"/>
        </w:rPr>
        <w:t>s</w:t>
      </w:r>
      <w:r>
        <w:rPr>
          <w:rFonts w:ascii="Arial" w:hAnsi="Arial" w:cs="Arial"/>
          <w:color w:val="000000" w:themeColor="text1"/>
          <w:sz w:val="22"/>
          <w:lang w:val="es-ES_tradnl"/>
        </w:rPr>
        <w:t xml:space="preserve"> C</w:t>
      </w:r>
      <w:r w:rsidR="00054252">
        <w:rPr>
          <w:rFonts w:ascii="Arial" w:hAnsi="Arial" w:cs="Arial"/>
          <w:color w:val="000000" w:themeColor="text1"/>
          <w:sz w:val="22"/>
          <w:lang w:val="es-ES_tradnl"/>
        </w:rPr>
        <w:t>-712</w:t>
      </w:r>
      <w:r w:rsidR="003F63EE">
        <w:rPr>
          <w:rFonts w:ascii="Arial" w:hAnsi="Arial" w:cs="Arial"/>
          <w:color w:val="000000" w:themeColor="text1"/>
          <w:sz w:val="22"/>
          <w:lang w:val="es-ES_tradnl"/>
        </w:rPr>
        <w:t xml:space="preserve"> del 28 de diciembre </w:t>
      </w:r>
      <w:r w:rsidR="00054252">
        <w:rPr>
          <w:rFonts w:ascii="Arial" w:hAnsi="Arial" w:cs="Arial"/>
          <w:color w:val="000000" w:themeColor="text1"/>
          <w:sz w:val="22"/>
          <w:lang w:val="es-ES_tradnl"/>
        </w:rPr>
        <w:t>de 2020</w:t>
      </w:r>
      <w:r w:rsidR="00A83A06">
        <w:rPr>
          <w:rFonts w:ascii="Arial" w:hAnsi="Arial" w:cs="Arial"/>
          <w:color w:val="000000" w:themeColor="text1"/>
          <w:sz w:val="22"/>
          <w:lang w:val="es-ES_tradnl"/>
        </w:rPr>
        <w:t>,</w:t>
      </w:r>
      <w:r w:rsidR="003F63EE">
        <w:rPr>
          <w:rFonts w:ascii="Arial" w:hAnsi="Arial" w:cs="Arial"/>
          <w:color w:val="000000" w:themeColor="text1"/>
          <w:sz w:val="22"/>
          <w:lang w:val="es-ES_tradnl"/>
        </w:rPr>
        <w:t xml:space="preserve"> C-088 del 17 de marzo de 2021</w:t>
      </w:r>
      <w:r w:rsidR="002B17AD">
        <w:rPr>
          <w:rFonts w:ascii="Arial" w:hAnsi="Arial" w:cs="Arial"/>
          <w:color w:val="000000" w:themeColor="text1"/>
          <w:sz w:val="22"/>
          <w:lang w:val="es-ES_tradnl"/>
        </w:rPr>
        <w:t>,</w:t>
      </w:r>
      <w:r w:rsidR="00A83A06">
        <w:rPr>
          <w:rFonts w:ascii="Arial" w:hAnsi="Arial" w:cs="Arial"/>
          <w:color w:val="000000" w:themeColor="text1"/>
          <w:sz w:val="22"/>
          <w:lang w:val="es-ES_tradnl"/>
        </w:rPr>
        <w:t xml:space="preserve"> C-110 del 29 de marzo de 2021</w:t>
      </w:r>
      <w:r w:rsidR="002B17AD">
        <w:rPr>
          <w:rFonts w:ascii="Arial" w:hAnsi="Arial" w:cs="Arial"/>
          <w:color w:val="000000" w:themeColor="text1"/>
          <w:sz w:val="22"/>
          <w:lang w:val="es-ES_tradnl"/>
        </w:rPr>
        <w:t>, C-203 del 3 de mayo de 2021</w:t>
      </w:r>
      <w:r w:rsidR="00105671">
        <w:rPr>
          <w:rFonts w:ascii="Arial" w:hAnsi="Arial" w:cs="Arial"/>
          <w:color w:val="000000" w:themeColor="text1"/>
          <w:sz w:val="22"/>
          <w:lang w:val="es-ES_tradnl"/>
        </w:rPr>
        <w:t>,</w:t>
      </w:r>
      <w:r w:rsidR="002B17AD">
        <w:rPr>
          <w:rFonts w:ascii="Arial" w:hAnsi="Arial" w:cs="Arial"/>
          <w:color w:val="000000" w:themeColor="text1"/>
          <w:sz w:val="22"/>
          <w:lang w:val="es-ES_tradnl"/>
        </w:rPr>
        <w:t xml:space="preserve"> C-333 del 9 de julio de 2021</w:t>
      </w:r>
      <w:r w:rsidR="003B5AB7">
        <w:rPr>
          <w:rFonts w:ascii="Arial" w:hAnsi="Arial" w:cs="Arial"/>
          <w:color w:val="000000" w:themeColor="text1"/>
          <w:sz w:val="22"/>
          <w:lang w:val="es-ES_tradnl"/>
        </w:rPr>
        <w:t>,</w:t>
      </w:r>
      <w:r w:rsidR="00105671">
        <w:rPr>
          <w:rFonts w:ascii="Arial" w:hAnsi="Arial" w:cs="Arial"/>
          <w:color w:val="000000" w:themeColor="text1"/>
          <w:sz w:val="22"/>
          <w:lang w:val="es-ES_tradnl"/>
        </w:rPr>
        <w:t xml:space="preserve"> C-551 del 30 de septiembre de 2021</w:t>
      </w:r>
      <w:r w:rsidR="003B5AB7">
        <w:rPr>
          <w:rFonts w:ascii="Arial" w:hAnsi="Arial" w:cs="Arial"/>
          <w:color w:val="000000" w:themeColor="text1"/>
          <w:sz w:val="22"/>
          <w:lang w:val="es-ES_tradnl"/>
        </w:rPr>
        <w:t>, C-571 del 13 de octubre de 2021 y 591 del 21 de octubre de 2021</w:t>
      </w:r>
      <w:r w:rsidR="002B17AD">
        <w:rPr>
          <w:rFonts w:ascii="Arial" w:hAnsi="Arial" w:cs="Arial"/>
          <w:color w:val="000000" w:themeColor="text1"/>
          <w:sz w:val="22"/>
          <w:lang w:val="es-ES_tradnl"/>
        </w:rPr>
        <w:t xml:space="preserve">. </w:t>
      </w:r>
      <w:r w:rsidR="00054252">
        <w:rPr>
          <w:rFonts w:ascii="Arial" w:eastAsiaTheme="minorHAnsi" w:hAnsi="Arial" w:cs="Arial"/>
          <w:color w:val="000000" w:themeColor="text1"/>
          <w:sz w:val="22"/>
          <w:szCs w:val="22"/>
          <w:lang w:val="es-ES_tradnl" w:eastAsia="en-US"/>
        </w:rPr>
        <w:t>La tesis expuesta</w:t>
      </w:r>
      <w:r w:rsidR="00054252" w:rsidRPr="00054252">
        <w:rPr>
          <w:rFonts w:ascii="Arial" w:eastAsiaTheme="minorHAnsi" w:hAnsi="Arial" w:cs="Arial"/>
          <w:color w:val="000000" w:themeColor="text1"/>
          <w:sz w:val="22"/>
          <w:szCs w:val="22"/>
          <w:lang w:val="es-ES_tradnl" w:eastAsia="en-US"/>
        </w:rPr>
        <w:t xml:space="preserve"> </w:t>
      </w:r>
      <w:r w:rsidR="00054252">
        <w:rPr>
          <w:rFonts w:ascii="Arial" w:eastAsiaTheme="minorHAnsi" w:hAnsi="Arial" w:cs="Arial"/>
          <w:color w:val="000000" w:themeColor="text1"/>
          <w:sz w:val="22"/>
          <w:szCs w:val="22"/>
          <w:lang w:val="es-ES_tradnl" w:eastAsia="en-US"/>
        </w:rPr>
        <w:t xml:space="preserve">se reitera </w:t>
      </w:r>
      <w:r w:rsidR="00054252" w:rsidRPr="00054252">
        <w:rPr>
          <w:rFonts w:ascii="Arial" w:eastAsiaTheme="minorHAnsi" w:hAnsi="Arial" w:cs="Arial"/>
          <w:color w:val="000000" w:themeColor="text1"/>
          <w:sz w:val="22"/>
          <w:szCs w:val="22"/>
          <w:lang w:val="es-ES_tradnl" w:eastAsia="en-US"/>
        </w:rPr>
        <w:t>a</w:t>
      </w:r>
      <w:r w:rsidR="00054252">
        <w:rPr>
          <w:rFonts w:ascii="Arial" w:eastAsiaTheme="minorHAnsi" w:hAnsi="Arial" w:cs="Arial"/>
          <w:color w:val="000000" w:themeColor="text1"/>
          <w:sz w:val="22"/>
          <w:szCs w:val="22"/>
          <w:lang w:val="es-ES_tradnl" w:eastAsia="en-US"/>
        </w:rPr>
        <w:t xml:space="preserve"> continuación y se complementa</w:t>
      </w:r>
      <w:r w:rsidR="00105671">
        <w:rPr>
          <w:rFonts w:ascii="Arial" w:eastAsiaTheme="minorHAnsi" w:hAnsi="Arial" w:cs="Arial"/>
          <w:color w:val="000000" w:themeColor="text1"/>
          <w:sz w:val="22"/>
          <w:szCs w:val="22"/>
          <w:lang w:val="es-ES_tradnl" w:eastAsia="en-US"/>
        </w:rPr>
        <w:t>n</w:t>
      </w:r>
      <w:r w:rsidR="00054252">
        <w:rPr>
          <w:rFonts w:ascii="Arial" w:eastAsiaTheme="minorHAnsi" w:hAnsi="Arial" w:cs="Arial"/>
          <w:color w:val="000000" w:themeColor="text1"/>
          <w:sz w:val="22"/>
          <w:szCs w:val="22"/>
          <w:lang w:val="es-ES_tradnl" w:eastAsia="en-US"/>
        </w:rPr>
        <w:t xml:space="preserve"> en lo pertinente</w:t>
      </w:r>
      <w:r w:rsidR="00154933">
        <w:rPr>
          <w:rFonts w:ascii="Arial" w:eastAsiaTheme="minorHAnsi" w:hAnsi="Arial" w:cs="Arial"/>
          <w:color w:val="000000" w:themeColor="text1"/>
          <w:sz w:val="22"/>
          <w:szCs w:val="22"/>
          <w:lang w:val="es-ES_tradnl" w:eastAsia="en-US"/>
        </w:rPr>
        <w:t>:</w:t>
      </w:r>
      <w:r w:rsidR="00054252">
        <w:rPr>
          <w:rFonts w:ascii="Arial" w:eastAsiaTheme="minorHAnsi" w:hAnsi="Arial" w:cs="Arial"/>
          <w:color w:val="000000" w:themeColor="text1"/>
          <w:sz w:val="22"/>
          <w:szCs w:val="22"/>
          <w:lang w:val="es-ES_tradnl" w:eastAsia="en-US"/>
        </w:rPr>
        <w:t xml:space="preserve"> </w:t>
      </w:r>
    </w:p>
    <w:p w14:paraId="2427DFC4" w14:textId="338F37A8" w:rsidR="004427AC" w:rsidRPr="00E23980" w:rsidRDefault="004427AC" w:rsidP="00510DE9">
      <w:pPr>
        <w:tabs>
          <w:tab w:val="left" w:pos="0"/>
        </w:tabs>
        <w:jc w:val="both"/>
        <w:rPr>
          <w:rFonts w:ascii="Arial" w:eastAsia="Calibri" w:hAnsi="Arial" w:cs="Arial"/>
          <w:b/>
          <w:color w:val="000000" w:themeColor="text1"/>
          <w:sz w:val="22"/>
          <w:lang w:val="es-ES_tradnl"/>
        </w:rPr>
      </w:pPr>
    </w:p>
    <w:p w14:paraId="18570445" w14:textId="3D019A03" w:rsidR="00505DCB" w:rsidRPr="00993140" w:rsidRDefault="00505DCB" w:rsidP="00510DE9">
      <w:pPr>
        <w:tabs>
          <w:tab w:val="left" w:pos="0"/>
        </w:tabs>
        <w:jc w:val="both"/>
        <w:rPr>
          <w:rFonts w:ascii="Arial" w:eastAsia="Calibri" w:hAnsi="Arial" w:cs="Arial"/>
          <w:b/>
          <w:bCs/>
          <w:color w:val="000000" w:themeColor="text1"/>
          <w:sz w:val="22"/>
          <w:lang w:val="pt-BR"/>
        </w:rPr>
      </w:pPr>
      <w:r w:rsidRPr="007A3967">
        <w:rPr>
          <w:rFonts w:ascii="Arial" w:eastAsia="Calibri" w:hAnsi="Arial" w:cs="Arial"/>
          <w:b/>
          <w:bCs/>
          <w:color w:val="000000"/>
          <w:sz w:val="22"/>
          <w:lang w:val="pt-BR" w:eastAsia="en-GB"/>
        </w:rPr>
        <w:t>2.1. Registro Nacional de Obras Civiles Inconclusas</w:t>
      </w:r>
    </w:p>
    <w:p w14:paraId="5716FC05" w14:textId="3B1CC33D" w:rsidR="00004556" w:rsidRPr="00993140" w:rsidRDefault="00004556" w:rsidP="00D40F8B">
      <w:pPr>
        <w:tabs>
          <w:tab w:val="left" w:pos="0"/>
        </w:tabs>
        <w:spacing w:line="276" w:lineRule="auto"/>
        <w:jc w:val="both"/>
        <w:rPr>
          <w:rFonts w:ascii="Arial" w:eastAsia="Calibri" w:hAnsi="Arial" w:cs="Arial"/>
          <w:b/>
          <w:color w:val="000000" w:themeColor="text1"/>
          <w:sz w:val="22"/>
          <w:lang w:val="pt-BR"/>
        </w:rPr>
      </w:pPr>
    </w:p>
    <w:p w14:paraId="72529C40" w14:textId="1EA4FCD1" w:rsidR="003F63EE" w:rsidRDefault="003F63EE" w:rsidP="003F63EE">
      <w:pPr>
        <w:tabs>
          <w:tab w:val="left" w:pos="0"/>
        </w:tabs>
        <w:spacing w:line="276" w:lineRule="auto"/>
        <w:jc w:val="both"/>
        <w:rPr>
          <w:rFonts w:ascii="Arial" w:eastAsia="Calibri" w:hAnsi="Arial" w:cs="Arial"/>
          <w:color w:val="000000"/>
          <w:sz w:val="22"/>
          <w:lang w:val="es-ES_tradnl" w:eastAsia="en-GB"/>
        </w:rPr>
      </w:pPr>
      <w:r w:rsidRPr="00E23980">
        <w:rPr>
          <w:rFonts w:ascii="Arial" w:eastAsia="Calibri" w:hAnsi="Arial" w:cs="Arial"/>
          <w:bCs/>
          <w:color w:val="000000" w:themeColor="text1"/>
          <w:sz w:val="22"/>
          <w:lang w:val="es-ES_tradnl"/>
        </w:rPr>
        <w:t xml:space="preserve">La Ley 2020 de 2020 creó el </w:t>
      </w:r>
      <w:r w:rsidRPr="00E23980">
        <w:rPr>
          <w:rFonts w:ascii="Arial" w:eastAsia="Calibri" w:hAnsi="Arial" w:cs="Arial"/>
          <w:color w:val="000000"/>
          <w:sz w:val="22"/>
          <w:lang w:val="es-ES_tradnl" w:eastAsia="en-GB"/>
        </w:rPr>
        <w:t xml:space="preserve">Registro Nacional de Obras Civiles Inconclusas. Se trata de un sistema que permite identificar el estado de ejecución o terminación de las obras </w:t>
      </w:r>
      <w:r>
        <w:rPr>
          <w:rFonts w:ascii="Arial" w:eastAsia="Calibri" w:hAnsi="Arial" w:cs="Arial"/>
          <w:color w:val="000000"/>
          <w:sz w:val="22"/>
          <w:lang w:val="es-ES_tradnl" w:eastAsia="en-GB"/>
        </w:rPr>
        <w:t xml:space="preserve">financiadas total o parcialmente con recursos públicos, para concretar su destinación definitiva. </w:t>
      </w:r>
      <w:bookmarkStart w:id="4" w:name="_Hlk71184857"/>
      <w:r>
        <w:rPr>
          <w:rFonts w:ascii="Arial" w:eastAsia="Calibri" w:hAnsi="Arial" w:cs="Arial"/>
          <w:color w:val="000000"/>
          <w:sz w:val="22"/>
          <w:lang w:val="es-ES_tradnl" w:eastAsia="en-GB"/>
        </w:rPr>
        <w:t>S</w:t>
      </w:r>
      <w:r w:rsidRPr="00E23980">
        <w:rPr>
          <w:rFonts w:ascii="Arial" w:eastAsia="Calibri" w:hAnsi="Arial" w:cs="Arial"/>
          <w:color w:val="000000"/>
          <w:sz w:val="22"/>
          <w:lang w:val="es-ES_tradnl" w:eastAsia="en-GB"/>
        </w:rPr>
        <w:t xml:space="preserve">egún el </w:t>
      </w:r>
      <w:r>
        <w:rPr>
          <w:rFonts w:ascii="Arial" w:eastAsia="Calibri" w:hAnsi="Arial" w:cs="Arial"/>
          <w:color w:val="000000"/>
          <w:sz w:val="22"/>
          <w:lang w:val="es-ES_tradnl" w:eastAsia="en-GB"/>
        </w:rPr>
        <w:t xml:space="preserve">inciso primero del </w:t>
      </w:r>
      <w:r w:rsidRPr="00E23980">
        <w:rPr>
          <w:rFonts w:ascii="Arial" w:eastAsia="Calibri" w:hAnsi="Arial" w:cs="Arial"/>
          <w:color w:val="000000"/>
          <w:sz w:val="22"/>
          <w:lang w:val="es-ES_tradnl" w:eastAsia="en-GB"/>
        </w:rPr>
        <w:t>literal a)</w:t>
      </w:r>
      <w:r>
        <w:rPr>
          <w:rFonts w:ascii="Arial" w:eastAsia="Calibri" w:hAnsi="Arial" w:cs="Arial"/>
          <w:color w:val="000000"/>
          <w:sz w:val="22"/>
          <w:lang w:val="es-ES_tradnl" w:eastAsia="en-GB"/>
        </w:rPr>
        <w:t xml:space="preserve"> del artículo 2 </w:t>
      </w:r>
      <w:r w:rsidRPr="00E23980">
        <w:rPr>
          <w:rFonts w:ascii="Arial" w:eastAsia="Calibri" w:hAnsi="Arial" w:cs="Arial"/>
          <w:color w:val="000000"/>
          <w:sz w:val="22"/>
          <w:lang w:val="es-ES_tradnl" w:eastAsia="en-GB"/>
        </w:rPr>
        <w:t xml:space="preserve">de </w:t>
      </w:r>
      <w:r w:rsidR="004F4248">
        <w:rPr>
          <w:rFonts w:ascii="Arial" w:eastAsia="Calibri" w:hAnsi="Arial" w:cs="Arial"/>
          <w:color w:val="000000"/>
          <w:sz w:val="22"/>
          <w:lang w:val="es-ES_tradnl" w:eastAsia="en-GB"/>
        </w:rPr>
        <w:t>esta l</w:t>
      </w:r>
      <w:r w:rsidRPr="00E23980">
        <w:rPr>
          <w:rFonts w:ascii="Arial" w:eastAsia="Calibri" w:hAnsi="Arial" w:cs="Arial"/>
          <w:color w:val="000000"/>
          <w:sz w:val="22"/>
          <w:lang w:val="es-ES_tradnl" w:eastAsia="en-GB"/>
        </w:rPr>
        <w:t xml:space="preserve">ey, se entiende </w:t>
      </w:r>
      <w:r>
        <w:rPr>
          <w:rFonts w:ascii="Arial" w:eastAsia="Calibri" w:hAnsi="Arial" w:cs="Arial"/>
          <w:color w:val="000000"/>
          <w:sz w:val="22"/>
          <w:lang w:val="es-ES_tradnl" w:eastAsia="en-GB"/>
        </w:rPr>
        <w:t>p</w:t>
      </w:r>
      <w:r w:rsidRPr="00E23980">
        <w:rPr>
          <w:rFonts w:ascii="Arial" w:eastAsia="Calibri" w:hAnsi="Arial" w:cs="Arial"/>
          <w:color w:val="000000"/>
          <w:sz w:val="22"/>
          <w:lang w:val="es-ES_tradnl" w:eastAsia="en-GB"/>
        </w:rPr>
        <w:t xml:space="preserve">or </w:t>
      </w:r>
      <w:r w:rsidRPr="00E23980">
        <w:rPr>
          <w:rFonts w:ascii="Arial" w:eastAsia="Calibri" w:hAnsi="Arial" w:cs="Arial"/>
          <w:i/>
          <w:iCs/>
          <w:color w:val="000000"/>
          <w:sz w:val="22"/>
          <w:lang w:val="es-ES_tradnl" w:eastAsia="en-GB"/>
        </w:rPr>
        <w:t>obra</w:t>
      </w:r>
      <w:r>
        <w:rPr>
          <w:rFonts w:ascii="Arial" w:eastAsia="Calibri" w:hAnsi="Arial" w:cs="Arial"/>
          <w:i/>
          <w:iCs/>
          <w:color w:val="000000"/>
          <w:sz w:val="22"/>
          <w:lang w:val="es-ES_tradnl" w:eastAsia="en-GB"/>
        </w:rPr>
        <w:t xml:space="preserve"> civil</w:t>
      </w:r>
      <w:r w:rsidRPr="00E23980">
        <w:rPr>
          <w:rFonts w:ascii="Arial" w:eastAsia="Calibri" w:hAnsi="Arial" w:cs="Arial"/>
          <w:i/>
          <w:iCs/>
          <w:color w:val="000000"/>
          <w:sz w:val="22"/>
          <w:lang w:val="es-ES_tradnl" w:eastAsia="en-GB"/>
        </w:rPr>
        <w:t xml:space="preserve"> inconclusa</w:t>
      </w:r>
      <w:r>
        <w:rPr>
          <w:rFonts w:ascii="Arial" w:eastAsia="Calibri" w:hAnsi="Arial" w:cs="Arial"/>
          <w:color w:val="000000"/>
          <w:sz w:val="22"/>
          <w:lang w:val="es-ES_tradnl" w:eastAsia="en-GB"/>
        </w:rPr>
        <w:t xml:space="preserve"> la </w:t>
      </w:r>
      <w:r w:rsidRPr="00E23980">
        <w:rPr>
          <w:rFonts w:ascii="Arial" w:eastAsia="Calibri" w:hAnsi="Arial" w:cs="Arial"/>
          <w:color w:val="000000"/>
          <w:sz w:val="22"/>
          <w:lang w:val="es-ES_tradnl" w:eastAsia="en-GB"/>
        </w:rPr>
        <w:t>«Construcción, mantenimiento, instalación o realización de cualquier otro trabajo material sobre bienes inmuebles, cualquiera que sea la modalidad de ejecución y pago, que un (1) año después de vencido el término de liquidación contractual, no haya concluido de manera satisfactoria para el interés general o el definido por la entidad estatal contratante, o no esté prestando el servicio para el cual fue contratada».</w:t>
      </w:r>
      <w:r>
        <w:rPr>
          <w:rFonts w:ascii="Arial" w:eastAsia="Calibri" w:hAnsi="Arial" w:cs="Arial"/>
          <w:color w:val="000000"/>
          <w:sz w:val="22"/>
          <w:lang w:val="es-ES_tradnl" w:eastAsia="en-GB"/>
        </w:rPr>
        <w:t xml:space="preserve"> </w:t>
      </w:r>
      <w:bookmarkEnd w:id="4"/>
    </w:p>
    <w:p w14:paraId="66414AA5" w14:textId="67A1B259"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sidRPr="00E23980">
        <w:rPr>
          <w:rFonts w:ascii="Arial" w:eastAsia="Calibri" w:hAnsi="Arial" w:cs="Arial"/>
          <w:color w:val="000000"/>
          <w:sz w:val="22"/>
          <w:lang w:val="es-ES_tradnl" w:eastAsia="en-GB"/>
        </w:rPr>
        <w:t>En otras palabras, el concepto de obra</w:t>
      </w:r>
      <w:r>
        <w:rPr>
          <w:rFonts w:ascii="Arial" w:eastAsia="Calibri" w:hAnsi="Arial" w:cs="Arial"/>
          <w:color w:val="000000"/>
          <w:sz w:val="22"/>
          <w:lang w:val="es-ES_tradnl" w:eastAsia="en-GB"/>
        </w:rPr>
        <w:t xml:space="preserve"> civil</w:t>
      </w:r>
      <w:r w:rsidRPr="00E23980">
        <w:rPr>
          <w:rFonts w:ascii="Arial" w:eastAsia="Calibri" w:hAnsi="Arial" w:cs="Arial"/>
          <w:color w:val="000000"/>
          <w:sz w:val="22"/>
          <w:lang w:val="es-ES_tradnl" w:eastAsia="en-GB"/>
        </w:rPr>
        <w:t xml:space="preserve"> inconclusa </w:t>
      </w:r>
      <w:r w:rsidR="00A5101D">
        <w:rPr>
          <w:rFonts w:ascii="Arial" w:eastAsia="Calibri" w:hAnsi="Arial" w:cs="Arial"/>
          <w:color w:val="000000"/>
          <w:sz w:val="22"/>
          <w:lang w:val="es-ES_tradnl" w:eastAsia="en-GB"/>
        </w:rPr>
        <w:t>es</w:t>
      </w:r>
      <w:r w:rsidR="00A5101D" w:rsidRPr="00E23980">
        <w:rPr>
          <w:rFonts w:ascii="Arial" w:eastAsia="Calibri" w:hAnsi="Arial" w:cs="Arial"/>
          <w:color w:val="000000"/>
          <w:sz w:val="22"/>
          <w:lang w:val="es-ES_tradnl" w:eastAsia="en-GB"/>
        </w:rPr>
        <w:t xml:space="preserve"> </w:t>
      </w:r>
      <w:r w:rsidR="000429AA" w:rsidRPr="00E23980">
        <w:rPr>
          <w:rFonts w:ascii="Arial" w:eastAsia="Calibri" w:hAnsi="Arial" w:cs="Arial"/>
          <w:color w:val="000000"/>
          <w:sz w:val="22"/>
          <w:lang w:val="es-ES_tradnl" w:eastAsia="en-GB"/>
        </w:rPr>
        <w:t>armón</w:t>
      </w:r>
      <w:r w:rsidR="000429AA">
        <w:rPr>
          <w:rFonts w:ascii="Arial" w:eastAsia="Calibri" w:hAnsi="Arial" w:cs="Arial"/>
          <w:color w:val="000000"/>
          <w:sz w:val="22"/>
          <w:lang w:val="es-ES_tradnl" w:eastAsia="en-GB"/>
        </w:rPr>
        <w:t>ico</w:t>
      </w:r>
      <w:r w:rsidRPr="00E23980">
        <w:rPr>
          <w:rFonts w:ascii="Arial" w:eastAsia="Calibri" w:hAnsi="Arial" w:cs="Arial"/>
          <w:color w:val="000000"/>
          <w:sz w:val="22"/>
          <w:lang w:val="es-ES_tradnl" w:eastAsia="en-GB"/>
        </w:rPr>
        <w:t xml:space="preserve"> con la definición del contrato de obra</w:t>
      </w:r>
      <w:r>
        <w:rPr>
          <w:rFonts w:ascii="Arial" w:eastAsia="Calibri" w:hAnsi="Arial" w:cs="Arial"/>
          <w:color w:val="000000"/>
          <w:sz w:val="22"/>
          <w:lang w:val="es-ES_tradnl" w:eastAsia="en-GB"/>
        </w:rPr>
        <w:t>,</w:t>
      </w:r>
      <w:r w:rsidRPr="00E23980">
        <w:rPr>
          <w:rFonts w:ascii="Arial" w:eastAsia="Calibri" w:hAnsi="Arial" w:cs="Arial"/>
          <w:color w:val="000000"/>
          <w:sz w:val="22"/>
          <w:lang w:val="es-ES_tradnl" w:eastAsia="en-GB"/>
        </w:rPr>
        <w:t xml:space="preserve"> prevista en el artículo 32</w:t>
      </w:r>
      <w:r>
        <w:rPr>
          <w:rFonts w:ascii="Arial" w:eastAsia="Calibri" w:hAnsi="Arial" w:cs="Arial"/>
          <w:color w:val="000000"/>
          <w:sz w:val="22"/>
          <w:lang w:val="es-ES_tradnl" w:eastAsia="en-GB"/>
        </w:rPr>
        <w:t xml:space="preserve"> de la Ley 80 de 1993</w:t>
      </w:r>
      <w:r w:rsidRPr="00E23980">
        <w:rPr>
          <w:rFonts w:ascii="Arial" w:eastAsia="Calibri" w:hAnsi="Arial" w:cs="Arial"/>
          <w:color w:val="000000"/>
          <w:sz w:val="22"/>
          <w:lang w:val="es-ES_tradnl" w:eastAsia="en-GB"/>
        </w:rPr>
        <w:t xml:space="preserve">, </w:t>
      </w:r>
      <w:r w:rsidR="00A5101D">
        <w:rPr>
          <w:rFonts w:ascii="Arial" w:eastAsia="Calibri" w:hAnsi="Arial" w:cs="Arial"/>
          <w:color w:val="000000"/>
          <w:sz w:val="22"/>
          <w:lang w:val="es-ES_tradnl" w:eastAsia="en-GB"/>
        </w:rPr>
        <w:t>según el cual</w:t>
      </w:r>
      <w:r>
        <w:rPr>
          <w:rFonts w:ascii="Arial" w:eastAsia="Calibri" w:hAnsi="Arial" w:cs="Arial"/>
          <w:color w:val="000000"/>
          <w:sz w:val="22"/>
          <w:lang w:val="es-ES_tradnl" w:eastAsia="en-GB"/>
        </w:rPr>
        <w:t xml:space="preserve"> «Son contratos de obra los que </w:t>
      </w:r>
      <w:r w:rsidRPr="00E23980">
        <w:rPr>
          <w:rFonts w:ascii="Arial" w:eastAsia="Calibri" w:hAnsi="Arial" w:cs="Arial"/>
          <w:color w:val="000000"/>
          <w:sz w:val="22"/>
          <w:lang w:val="es-ES_tradnl" w:eastAsia="en-GB"/>
        </w:rPr>
        <w:t>celebren las entidades estatales para la construcción, mantenimiento, instalación y, en general, para la realización de cualquier otro trabajo material sobre bienes inmuebles, cualquiera que sea la modalidad de ejecución y pago». Por tanto, cuando el trabajo material sobre el bien inmueble no ha finalizado satisfactoriamente o no se adecua a la función para la cual fue contratada la obra, esto se puede constatar en el registro creado por el artículo 3 de la Ley 2020 de 2020</w:t>
      </w:r>
      <w:r>
        <w:rPr>
          <w:rFonts w:ascii="Arial" w:eastAsia="Calibri" w:hAnsi="Arial" w:cs="Arial"/>
          <w:color w:val="000000"/>
          <w:sz w:val="22"/>
          <w:lang w:val="es-ES_tradnl" w:eastAsia="en-GB"/>
        </w:rPr>
        <w:t>.</w:t>
      </w:r>
    </w:p>
    <w:p w14:paraId="71D97E78" w14:textId="77777777"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lastRenderedPageBreak/>
        <w:t xml:space="preserve">Por su parte, el inciso segundo del </w:t>
      </w:r>
      <w:r w:rsidRPr="00E23980">
        <w:rPr>
          <w:rFonts w:ascii="Arial" w:eastAsia="Calibri" w:hAnsi="Arial" w:cs="Arial"/>
          <w:color w:val="000000"/>
          <w:sz w:val="22"/>
          <w:lang w:val="es-ES_tradnl" w:eastAsia="en-GB"/>
        </w:rPr>
        <w:t>literal a)</w:t>
      </w:r>
      <w:r>
        <w:rPr>
          <w:rFonts w:ascii="Arial" w:eastAsia="Calibri" w:hAnsi="Arial" w:cs="Arial"/>
          <w:color w:val="000000"/>
          <w:sz w:val="22"/>
          <w:lang w:val="es-ES_tradnl" w:eastAsia="en-GB"/>
        </w:rPr>
        <w:t xml:space="preserve"> del</w:t>
      </w:r>
      <w:r w:rsidRPr="00E23980">
        <w:rPr>
          <w:rFonts w:ascii="Arial" w:eastAsia="Calibri" w:hAnsi="Arial" w:cs="Arial"/>
          <w:color w:val="000000"/>
          <w:sz w:val="22"/>
          <w:lang w:val="es-ES_tradnl" w:eastAsia="en-GB"/>
        </w:rPr>
        <w:t xml:space="preserve"> art</w:t>
      </w:r>
      <w:r>
        <w:rPr>
          <w:rFonts w:ascii="Arial" w:eastAsia="Calibri" w:hAnsi="Arial" w:cs="Arial"/>
          <w:color w:val="000000"/>
          <w:sz w:val="22"/>
          <w:lang w:val="es-ES_tradnl" w:eastAsia="en-GB"/>
        </w:rPr>
        <w:t xml:space="preserve">ículo 2 </w:t>
      </w:r>
      <w:r w:rsidRPr="00E23980">
        <w:rPr>
          <w:rFonts w:ascii="Arial" w:eastAsia="Calibri" w:hAnsi="Arial" w:cs="Arial"/>
          <w:color w:val="000000"/>
          <w:sz w:val="22"/>
          <w:lang w:val="es-ES_tradnl" w:eastAsia="en-GB"/>
        </w:rPr>
        <w:t>de dicha Ley,</w:t>
      </w:r>
      <w:r>
        <w:rPr>
          <w:rFonts w:ascii="Arial" w:eastAsia="Calibri" w:hAnsi="Arial" w:cs="Arial"/>
          <w:color w:val="000000"/>
          <w:sz w:val="22"/>
          <w:lang w:val="es-ES_tradnl" w:eastAsia="en-GB"/>
        </w:rPr>
        <w:t xml:space="preserve"> establece la hipótesis en la que no se haya concluido satisfactoriamente la obra civil por causas no imputables al contratista. A este respecto, señala que «Cuando</w:t>
      </w:r>
      <w:r w:rsidRPr="00A12384">
        <w:rPr>
          <w:rFonts w:ascii="Arial" w:eastAsia="Calibri" w:hAnsi="Arial" w:cs="Arial"/>
          <w:color w:val="000000"/>
          <w:sz w:val="22"/>
          <w:lang w:val="es-ES_tradnl" w:eastAsia="en-GB"/>
        </w:rPr>
        <w:t xml:space="preserve"> la obra civil no haya concluido de manera satisfactoria por causas que no sean imputables al contratista, un comité técnico, designado por el representante legal de la entidad contratante, definirá si efectivamente corresponde a una obra civil inconclusa</w:t>
      </w:r>
      <w:r>
        <w:rPr>
          <w:rFonts w:ascii="Arial" w:eastAsia="Calibri" w:hAnsi="Arial" w:cs="Arial"/>
          <w:color w:val="000000"/>
          <w:sz w:val="22"/>
          <w:lang w:val="es-ES_tradnl" w:eastAsia="en-GB"/>
        </w:rPr>
        <w:t>»</w:t>
      </w:r>
      <w:r w:rsidRPr="00A12384">
        <w:rPr>
          <w:rFonts w:ascii="Arial" w:eastAsia="Calibri" w:hAnsi="Arial" w:cs="Arial"/>
          <w:color w:val="000000"/>
          <w:sz w:val="22"/>
          <w:lang w:val="es-ES_tradnl" w:eastAsia="en-GB"/>
        </w:rPr>
        <w:t>.</w:t>
      </w:r>
    </w:p>
    <w:p w14:paraId="3FD5BC54" w14:textId="67FAE345"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sidRPr="00EA2726">
        <w:rPr>
          <w:rFonts w:ascii="Arial" w:eastAsia="Calibri" w:hAnsi="Arial" w:cs="Arial"/>
          <w:color w:val="000000"/>
          <w:sz w:val="22"/>
          <w:lang w:val="es-ES_tradnl" w:eastAsia="en-GB"/>
        </w:rPr>
        <w:t>De</w:t>
      </w:r>
      <w:r>
        <w:rPr>
          <w:rFonts w:ascii="Arial" w:eastAsia="Calibri" w:hAnsi="Arial" w:cs="Arial"/>
          <w:color w:val="000000"/>
          <w:sz w:val="22"/>
          <w:lang w:val="es-ES_tradnl" w:eastAsia="en-GB"/>
        </w:rPr>
        <w:t xml:space="preserve"> la definición del artículo 2 de la Ley 2020 de 2020 </w:t>
      </w:r>
      <w:r w:rsidRPr="00EA2726">
        <w:rPr>
          <w:rFonts w:ascii="Arial" w:eastAsia="Calibri" w:hAnsi="Arial" w:cs="Arial"/>
          <w:color w:val="000000"/>
          <w:sz w:val="22"/>
          <w:lang w:val="es-ES_tradnl" w:eastAsia="en-GB"/>
        </w:rPr>
        <w:t xml:space="preserve">se </w:t>
      </w:r>
      <w:r>
        <w:rPr>
          <w:rFonts w:ascii="Arial" w:eastAsia="Calibri" w:hAnsi="Arial" w:cs="Arial"/>
          <w:color w:val="000000"/>
          <w:sz w:val="22"/>
          <w:lang w:val="es-ES_tradnl" w:eastAsia="en-GB"/>
        </w:rPr>
        <w:t xml:space="preserve">resalta </w:t>
      </w:r>
      <w:r w:rsidRPr="00EA2726">
        <w:rPr>
          <w:rFonts w:ascii="Arial" w:eastAsia="Calibri" w:hAnsi="Arial" w:cs="Arial"/>
          <w:color w:val="000000"/>
          <w:sz w:val="22"/>
          <w:lang w:val="es-ES_tradnl" w:eastAsia="en-GB"/>
        </w:rPr>
        <w:t>lo siguiente</w:t>
      </w:r>
      <w:r>
        <w:rPr>
          <w:rFonts w:ascii="Arial" w:eastAsia="Calibri" w:hAnsi="Arial" w:cs="Arial"/>
          <w:color w:val="000000"/>
          <w:sz w:val="22"/>
          <w:lang w:val="es-ES_tradnl" w:eastAsia="en-GB"/>
        </w:rPr>
        <w:t>. Por un lado,</w:t>
      </w:r>
      <w:r w:rsidRPr="00EA2726">
        <w:rPr>
          <w:rFonts w:ascii="Arial" w:eastAsia="Calibri" w:hAnsi="Arial" w:cs="Arial"/>
          <w:color w:val="000000"/>
          <w:sz w:val="22"/>
          <w:lang w:val="es-ES_tradnl" w:eastAsia="en-GB"/>
        </w:rPr>
        <w:t xml:space="preserve"> cuando la obra civil cumpla con lo</w:t>
      </w:r>
      <w:r>
        <w:rPr>
          <w:rFonts w:ascii="Arial" w:eastAsia="Calibri" w:hAnsi="Arial" w:cs="Arial"/>
          <w:color w:val="000000"/>
          <w:sz w:val="22"/>
          <w:lang w:val="es-ES_tradnl" w:eastAsia="en-GB"/>
        </w:rPr>
        <w:t xml:space="preserve">s elementos establecidos </w:t>
      </w:r>
      <w:r w:rsidRPr="00EA2726">
        <w:rPr>
          <w:rFonts w:ascii="Arial" w:eastAsia="Calibri" w:hAnsi="Arial" w:cs="Arial"/>
          <w:color w:val="000000"/>
          <w:sz w:val="22"/>
          <w:lang w:val="es-ES_tradnl" w:eastAsia="en-GB"/>
        </w:rPr>
        <w:t>en el inciso primero literal a</w:t>
      </w:r>
      <w:r>
        <w:rPr>
          <w:rFonts w:ascii="Arial" w:eastAsia="Calibri" w:hAnsi="Arial" w:cs="Arial"/>
          <w:color w:val="000000"/>
          <w:sz w:val="22"/>
          <w:lang w:val="es-ES_tradnl" w:eastAsia="en-GB"/>
        </w:rPr>
        <w:t>)</w:t>
      </w:r>
      <w:r w:rsidRPr="00EA2726">
        <w:rPr>
          <w:rFonts w:ascii="Arial" w:eastAsia="Calibri" w:hAnsi="Arial" w:cs="Arial"/>
          <w:color w:val="000000"/>
          <w:sz w:val="22"/>
          <w:lang w:val="es-ES_tradnl" w:eastAsia="en-GB"/>
        </w:rPr>
        <w:t xml:space="preserve"> del artículo 2, deberá cataloga</w:t>
      </w:r>
      <w:r w:rsidR="0004080C">
        <w:rPr>
          <w:rFonts w:ascii="Arial" w:eastAsia="Calibri" w:hAnsi="Arial" w:cs="Arial"/>
          <w:color w:val="000000"/>
          <w:sz w:val="22"/>
          <w:lang w:val="es-ES_tradnl" w:eastAsia="en-GB"/>
        </w:rPr>
        <w:t>rse</w:t>
      </w:r>
      <w:r w:rsidRPr="00EA2726">
        <w:rPr>
          <w:rFonts w:ascii="Arial" w:eastAsia="Calibri" w:hAnsi="Arial" w:cs="Arial"/>
          <w:color w:val="000000"/>
          <w:sz w:val="22"/>
          <w:lang w:val="es-ES_tradnl" w:eastAsia="en-GB"/>
        </w:rPr>
        <w:t xml:space="preserve"> como obra</w:t>
      </w:r>
      <w:r>
        <w:rPr>
          <w:rFonts w:ascii="Arial" w:eastAsia="Calibri" w:hAnsi="Arial" w:cs="Arial"/>
          <w:color w:val="000000"/>
          <w:sz w:val="22"/>
          <w:lang w:val="es-ES_tradnl" w:eastAsia="en-GB"/>
        </w:rPr>
        <w:t xml:space="preserve"> civil</w:t>
      </w:r>
      <w:r w:rsidRPr="00EA2726">
        <w:rPr>
          <w:rFonts w:ascii="Arial" w:eastAsia="Calibri" w:hAnsi="Arial" w:cs="Arial"/>
          <w:color w:val="000000"/>
          <w:sz w:val="22"/>
          <w:lang w:val="es-ES_tradnl" w:eastAsia="en-GB"/>
        </w:rPr>
        <w:t xml:space="preserve"> inconclusa</w:t>
      </w:r>
      <w:r>
        <w:rPr>
          <w:rFonts w:ascii="Arial" w:eastAsia="Calibri" w:hAnsi="Arial" w:cs="Arial"/>
          <w:color w:val="000000"/>
          <w:sz w:val="22"/>
          <w:lang w:val="es-ES_tradnl" w:eastAsia="en-GB"/>
        </w:rPr>
        <w:t>. Es decir, si el trabajo material sobre el bien inmueble no ha concluido o no está prestando el servicio para el que se contrató y ha transcurrido un año o más desde que se venció el término de liquidación contractual, se considera obra civil inconclusa. Por otra parte,</w:t>
      </w:r>
      <w:r w:rsidRPr="00EA2726">
        <w:rPr>
          <w:rFonts w:ascii="Arial" w:eastAsia="Calibri" w:hAnsi="Arial" w:cs="Arial"/>
          <w:color w:val="000000"/>
          <w:sz w:val="22"/>
          <w:lang w:val="es-ES_tradnl" w:eastAsia="en-GB"/>
        </w:rPr>
        <w:t xml:space="preserve"> </w:t>
      </w:r>
      <w:r>
        <w:rPr>
          <w:rFonts w:ascii="Arial" w:eastAsia="Calibri" w:hAnsi="Arial" w:cs="Arial"/>
          <w:color w:val="000000"/>
          <w:sz w:val="22"/>
          <w:lang w:val="es-ES_tradnl" w:eastAsia="en-GB"/>
        </w:rPr>
        <w:t>c</w:t>
      </w:r>
      <w:r w:rsidRPr="00EA2726">
        <w:rPr>
          <w:rFonts w:ascii="Arial" w:eastAsia="Calibri" w:hAnsi="Arial" w:cs="Arial"/>
          <w:color w:val="000000"/>
          <w:sz w:val="22"/>
          <w:lang w:val="es-ES_tradnl" w:eastAsia="en-GB"/>
        </w:rPr>
        <w:t>uando la obra civil cumple los presupuestos anteriores</w:t>
      </w:r>
      <w:r>
        <w:rPr>
          <w:rFonts w:ascii="Arial" w:eastAsia="Calibri" w:hAnsi="Arial" w:cs="Arial"/>
          <w:color w:val="000000"/>
          <w:sz w:val="22"/>
          <w:lang w:val="es-ES_tradnl" w:eastAsia="en-GB"/>
        </w:rPr>
        <w:t>,</w:t>
      </w:r>
      <w:r w:rsidRPr="00EA2726">
        <w:rPr>
          <w:rFonts w:ascii="Arial" w:eastAsia="Calibri" w:hAnsi="Arial" w:cs="Arial"/>
          <w:color w:val="000000"/>
          <w:sz w:val="22"/>
          <w:lang w:val="es-ES_tradnl" w:eastAsia="en-GB"/>
        </w:rPr>
        <w:t xml:space="preserve"> pero no</w:t>
      </w:r>
      <w:r>
        <w:rPr>
          <w:rFonts w:ascii="Arial" w:eastAsia="Calibri" w:hAnsi="Arial" w:cs="Arial"/>
          <w:color w:val="000000"/>
          <w:sz w:val="22"/>
          <w:lang w:val="es-ES_tradnl" w:eastAsia="en-GB"/>
        </w:rPr>
        <w:t xml:space="preserve"> concluyó</w:t>
      </w:r>
      <w:r w:rsidRPr="00EA2726">
        <w:rPr>
          <w:rFonts w:ascii="Arial" w:eastAsia="Calibri" w:hAnsi="Arial" w:cs="Arial"/>
          <w:color w:val="000000"/>
          <w:sz w:val="22"/>
          <w:lang w:val="es-ES_tradnl" w:eastAsia="en-GB"/>
        </w:rPr>
        <w:t xml:space="preserve"> por causas no</w:t>
      </w:r>
      <w:r>
        <w:rPr>
          <w:rFonts w:ascii="Arial" w:eastAsia="Calibri" w:hAnsi="Arial" w:cs="Arial"/>
          <w:color w:val="000000"/>
          <w:sz w:val="22"/>
          <w:lang w:val="es-ES_tradnl" w:eastAsia="en-GB"/>
        </w:rPr>
        <w:t xml:space="preserve"> imputables al contratista, </w:t>
      </w:r>
      <w:r w:rsidRPr="00EA2726">
        <w:rPr>
          <w:rFonts w:ascii="Arial" w:eastAsia="Calibri" w:hAnsi="Arial" w:cs="Arial"/>
          <w:color w:val="000000"/>
          <w:sz w:val="22"/>
          <w:lang w:val="es-ES_tradnl" w:eastAsia="en-GB"/>
        </w:rPr>
        <w:t>la entidad contratante</w:t>
      </w:r>
      <w:r>
        <w:rPr>
          <w:rFonts w:ascii="Arial" w:eastAsia="Calibri" w:hAnsi="Arial" w:cs="Arial"/>
          <w:color w:val="000000"/>
          <w:sz w:val="22"/>
          <w:lang w:val="es-ES_tradnl" w:eastAsia="en-GB"/>
        </w:rPr>
        <w:t xml:space="preserve"> será</w:t>
      </w:r>
      <w:r w:rsidRPr="00EA2726">
        <w:rPr>
          <w:rFonts w:ascii="Arial" w:eastAsia="Calibri" w:hAnsi="Arial" w:cs="Arial"/>
          <w:color w:val="000000"/>
          <w:sz w:val="22"/>
          <w:lang w:val="es-ES_tradnl" w:eastAsia="en-GB"/>
        </w:rPr>
        <w:t xml:space="preserve"> la encargada de determinar si la misma se define como obra </w:t>
      </w:r>
      <w:r>
        <w:rPr>
          <w:rFonts w:ascii="Arial" w:eastAsia="Calibri" w:hAnsi="Arial" w:cs="Arial"/>
          <w:color w:val="000000"/>
          <w:sz w:val="22"/>
          <w:lang w:val="es-ES_tradnl" w:eastAsia="en-GB"/>
        </w:rPr>
        <w:t xml:space="preserve">civil </w:t>
      </w:r>
      <w:r w:rsidRPr="00EA2726">
        <w:rPr>
          <w:rFonts w:ascii="Arial" w:eastAsia="Calibri" w:hAnsi="Arial" w:cs="Arial"/>
          <w:color w:val="000000"/>
          <w:sz w:val="22"/>
          <w:lang w:val="es-ES_tradnl" w:eastAsia="en-GB"/>
        </w:rPr>
        <w:t xml:space="preserve">inconclusa, </w:t>
      </w:r>
      <w:r>
        <w:rPr>
          <w:rFonts w:ascii="Arial" w:eastAsia="Calibri" w:hAnsi="Arial" w:cs="Arial"/>
          <w:color w:val="000000"/>
          <w:sz w:val="22"/>
          <w:lang w:val="es-ES_tradnl" w:eastAsia="en-GB"/>
        </w:rPr>
        <w:t>previa valoración</w:t>
      </w:r>
      <w:r w:rsidRPr="00EA2726">
        <w:rPr>
          <w:rFonts w:ascii="Arial" w:eastAsia="Calibri" w:hAnsi="Arial" w:cs="Arial"/>
          <w:color w:val="000000"/>
          <w:sz w:val="22"/>
          <w:lang w:val="es-ES_tradnl" w:eastAsia="en-GB"/>
        </w:rPr>
        <w:t xml:space="preserve"> de un comité técnico</w:t>
      </w:r>
      <w:r>
        <w:rPr>
          <w:rFonts w:ascii="Arial" w:eastAsia="Calibri" w:hAnsi="Arial" w:cs="Arial"/>
          <w:color w:val="000000"/>
          <w:sz w:val="22"/>
          <w:lang w:val="es-ES_tradnl" w:eastAsia="en-GB"/>
        </w:rPr>
        <w:t xml:space="preserve"> designado por el representante legal de la entidad contratante. </w:t>
      </w:r>
    </w:p>
    <w:p w14:paraId="05A6AA60" w14:textId="1EEDADC1"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Esta última precisión es importante, debido a que el propósito del </w:t>
      </w:r>
      <w:r w:rsidRPr="00E23980">
        <w:rPr>
          <w:rFonts w:ascii="Arial" w:eastAsia="Calibri" w:hAnsi="Arial" w:cs="Arial"/>
          <w:color w:val="000000"/>
          <w:sz w:val="22"/>
          <w:lang w:val="es-ES_tradnl" w:eastAsia="en-GB"/>
        </w:rPr>
        <w:t>literal a)</w:t>
      </w:r>
      <w:r>
        <w:rPr>
          <w:rFonts w:ascii="Arial" w:eastAsia="Calibri" w:hAnsi="Arial" w:cs="Arial"/>
          <w:color w:val="000000"/>
          <w:sz w:val="22"/>
          <w:lang w:val="es-ES_tradnl" w:eastAsia="en-GB"/>
        </w:rPr>
        <w:t xml:space="preserve"> del artículo de la Ley 2020 de 2020 es definir el concepto de obra civil inconclusa, sin desconocer que durante la ejecución de un contrato pueden presentarse situaciones ajenas y exógenas al contratista que impiden la culminación de la obra. En esta hipótesis, lo que pretende el legislador es que sea un órgano o una autoridad determinada, la que analice las circunstancias particulares del caso y las razones técnicas por las cuales la obra civil quedó en estado incompleto</w:t>
      </w:r>
      <w:r>
        <w:rPr>
          <w:rStyle w:val="Refdenotaalpie"/>
          <w:rFonts w:ascii="Arial" w:eastAsia="Calibri" w:hAnsi="Arial" w:cs="Arial"/>
          <w:color w:val="000000"/>
          <w:sz w:val="22"/>
          <w:lang w:val="es-ES_tradnl" w:eastAsia="en-GB"/>
        </w:rPr>
        <w:footnoteReference w:id="2"/>
      </w:r>
      <w:r>
        <w:rPr>
          <w:rFonts w:ascii="Arial" w:eastAsia="Calibri" w:hAnsi="Arial" w:cs="Arial"/>
          <w:color w:val="000000"/>
          <w:sz w:val="22"/>
          <w:lang w:val="es-ES_tradnl" w:eastAsia="en-GB"/>
        </w:rPr>
        <w:t xml:space="preserve">. De esta manera, en el evento en que se defina por parte de este comité técnico que la obra civil es catalogada como inconclusa, pero por causas no imputables al contratista, deberá incluir en el Registro Nacional de Obras Civiles Inconclusas los datos correspondientes que den cuenta de esta situación.  </w:t>
      </w:r>
    </w:p>
    <w:p w14:paraId="131C0769" w14:textId="69E32FAA" w:rsidR="00805882" w:rsidRDefault="003F63EE" w:rsidP="00805882">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De conformidad con el artículo 3 de la Ley 2020 de 2020</w:t>
      </w:r>
      <w:r>
        <w:rPr>
          <w:rStyle w:val="Refdenotaalpie"/>
          <w:rFonts w:ascii="Arial" w:eastAsia="Calibri" w:hAnsi="Arial" w:cs="Arial"/>
          <w:color w:val="000000"/>
          <w:sz w:val="22"/>
          <w:lang w:val="es-ES_tradnl" w:eastAsia="en-GB"/>
        </w:rPr>
        <w:footnoteReference w:id="3"/>
      </w:r>
      <w:r w:rsidRPr="00E23980">
        <w:rPr>
          <w:rFonts w:ascii="Arial" w:eastAsia="Calibri" w:hAnsi="Arial" w:cs="Arial"/>
          <w:color w:val="000000"/>
          <w:sz w:val="22"/>
          <w:lang w:val="es-ES_tradnl" w:eastAsia="en-GB"/>
        </w:rPr>
        <w:t xml:space="preserve">, el Registro Nacional de Obras Civiles Inconclusas es un </w:t>
      </w:r>
      <w:r>
        <w:rPr>
          <w:rFonts w:ascii="Arial" w:eastAsia="Calibri" w:hAnsi="Arial" w:cs="Arial"/>
          <w:color w:val="000000"/>
          <w:sz w:val="22"/>
          <w:lang w:val="es-ES_tradnl" w:eastAsia="en-GB"/>
        </w:rPr>
        <w:t>sistema</w:t>
      </w:r>
      <w:r w:rsidRPr="00E23980">
        <w:rPr>
          <w:rFonts w:ascii="Arial" w:eastAsia="Calibri" w:hAnsi="Arial" w:cs="Arial"/>
          <w:color w:val="000000"/>
          <w:sz w:val="22"/>
          <w:lang w:val="es-ES_tradnl" w:eastAsia="en-GB"/>
        </w:rPr>
        <w:t xml:space="preserve"> administrado por la Contraloría General de la </w:t>
      </w:r>
      <w:r w:rsidRPr="00E23980">
        <w:rPr>
          <w:rFonts w:ascii="Arial" w:eastAsia="Calibri" w:hAnsi="Arial" w:cs="Arial"/>
          <w:color w:val="000000"/>
          <w:sz w:val="22"/>
          <w:lang w:val="es-ES_tradnl" w:eastAsia="en-GB"/>
        </w:rPr>
        <w:lastRenderedPageBreak/>
        <w:t>República</w:t>
      </w:r>
      <w:r>
        <w:rPr>
          <w:rStyle w:val="Refdenotaalpie"/>
          <w:rFonts w:ascii="Arial" w:eastAsia="Calibri" w:hAnsi="Arial" w:cs="Arial"/>
          <w:color w:val="000000"/>
          <w:sz w:val="22"/>
          <w:lang w:val="es-ES_tradnl" w:eastAsia="en-GB"/>
        </w:rPr>
        <w:footnoteReference w:id="4"/>
      </w:r>
      <w:r w:rsidRPr="00E23980">
        <w:rPr>
          <w:rFonts w:ascii="Arial" w:eastAsia="Calibri" w:hAnsi="Arial" w:cs="Arial"/>
          <w:color w:val="000000"/>
          <w:sz w:val="22"/>
          <w:lang w:val="es-ES_tradnl" w:eastAsia="en-GB"/>
        </w:rPr>
        <w:t>, construido a partir de la información remitida por las entidades estatales en los distintos niveles o los datos obtenidos por dicho órgano de control fiscal, sobre las obras inconclusas del país. El artículo 2, literal b)</w:t>
      </w:r>
      <w:r w:rsidR="00677D4A">
        <w:rPr>
          <w:rFonts w:ascii="Arial" w:eastAsia="Calibri" w:hAnsi="Arial" w:cs="Arial"/>
          <w:color w:val="000000"/>
          <w:sz w:val="22"/>
          <w:lang w:val="es-ES_tradnl" w:eastAsia="en-GB"/>
        </w:rPr>
        <w:t>,</w:t>
      </w:r>
      <w:r w:rsidRPr="00E23980">
        <w:rPr>
          <w:rFonts w:ascii="Arial" w:eastAsia="Calibri" w:hAnsi="Arial" w:cs="Arial"/>
          <w:color w:val="000000"/>
          <w:sz w:val="22"/>
          <w:lang w:val="es-ES_tradnl" w:eastAsia="en-GB"/>
        </w:rPr>
        <w:t xml:space="preserve"> de la Ley 2020 de 2020 complementa esta noción, indicando que el Registro </w:t>
      </w:r>
      <w:r>
        <w:rPr>
          <w:rFonts w:ascii="Arial" w:eastAsia="Calibri" w:hAnsi="Arial" w:cs="Arial"/>
          <w:color w:val="000000"/>
          <w:sz w:val="22"/>
          <w:lang w:val="es-ES_tradnl" w:eastAsia="en-GB"/>
        </w:rPr>
        <w:t xml:space="preserve">Nacional </w:t>
      </w:r>
      <w:r w:rsidRPr="00E23980">
        <w:rPr>
          <w:rFonts w:ascii="Arial" w:eastAsia="Calibri" w:hAnsi="Arial" w:cs="Arial"/>
          <w:color w:val="000000"/>
          <w:sz w:val="22"/>
          <w:lang w:val="es-ES_tradnl" w:eastAsia="en-GB"/>
        </w:rPr>
        <w:t>de Obras Civiles Inconclusas «Es un sistema que contiene los datos sobre obras inconclusas en todo el territorio nacional. El inventario de obras civiles inconclusas reportado por las entidades estatales hará parte integral del banco de proyectos de la respectiva entidad».</w:t>
      </w:r>
      <w:r w:rsidR="00EE46A2">
        <w:rPr>
          <w:rFonts w:ascii="Arial" w:eastAsia="Calibri" w:hAnsi="Arial" w:cs="Arial"/>
          <w:color w:val="000000"/>
          <w:sz w:val="22"/>
          <w:lang w:val="es-ES_tradnl" w:eastAsia="en-GB"/>
        </w:rPr>
        <w:t xml:space="preserve"> </w:t>
      </w:r>
    </w:p>
    <w:p w14:paraId="73ADF90D" w14:textId="3B9EDBD8" w:rsidR="006D05C0" w:rsidRDefault="00805882" w:rsidP="00805882">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La información de este</w:t>
      </w:r>
      <w:r>
        <w:rPr>
          <w:rFonts w:ascii="Arial" w:hAnsi="Arial" w:cs="Arial"/>
          <w:color w:val="000000" w:themeColor="text1"/>
          <w:sz w:val="22"/>
        </w:rPr>
        <w:t xml:space="preserve"> registro debe actualiza</w:t>
      </w:r>
      <w:r w:rsidR="00D84E19">
        <w:rPr>
          <w:rFonts w:ascii="Arial" w:hAnsi="Arial" w:cs="Arial"/>
          <w:color w:val="000000" w:themeColor="text1"/>
          <w:sz w:val="22"/>
        </w:rPr>
        <w:t>rse</w:t>
      </w:r>
      <w:r>
        <w:rPr>
          <w:rFonts w:ascii="Arial" w:hAnsi="Arial" w:cs="Arial"/>
          <w:color w:val="000000" w:themeColor="text1"/>
          <w:sz w:val="22"/>
        </w:rPr>
        <w:t xml:space="preserve"> permanentemente. </w:t>
      </w:r>
      <w:r w:rsidR="00CD7924">
        <w:rPr>
          <w:rFonts w:ascii="Arial" w:hAnsi="Arial" w:cs="Arial"/>
          <w:color w:val="000000" w:themeColor="text1"/>
          <w:sz w:val="22"/>
        </w:rPr>
        <w:t xml:space="preserve">Conforme </w:t>
      </w:r>
      <w:r w:rsidR="002B0598">
        <w:rPr>
          <w:rFonts w:ascii="Arial" w:hAnsi="Arial" w:cs="Arial"/>
          <w:color w:val="000000" w:themeColor="text1"/>
          <w:sz w:val="22"/>
        </w:rPr>
        <w:t>a</w:t>
      </w:r>
      <w:r w:rsidR="00CD7924" w:rsidRPr="00F80DAD">
        <w:rPr>
          <w:rFonts w:ascii="Arial" w:hAnsi="Arial" w:cs="Arial"/>
          <w:color w:val="000000" w:themeColor="text1"/>
          <w:sz w:val="22"/>
        </w:rPr>
        <w:t xml:space="preserve">l artículo 3 de la Ley 2020 de 2020, la Contraloría General de la República y las entidades estatales deberán realizar el seguimiento y actualización del Registro Nacional de Obras Civiles Inconclusas con el fin de establecer la realidad respecto de la condición técnica, física y financiera de aquellas. Además, las entidades estatales deberán garantizar la actualización permanente del Registro Nacional de Obras Civiles Inconclusas en los términos y condiciones que </w:t>
      </w:r>
      <w:r w:rsidR="002B0598">
        <w:rPr>
          <w:rFonts w:ascii="Arial" w:hAnsi="Arial" w:cs="Arial"/>
          <w:color w:val="000000" w:themeColor="text1"/>
          <w:sz w:val="22"/>
        </w:rPr>
        <w:t>disponga</w:t>
      </w:r>
      <w:r w:rsidR="00CD7924" w:rsidRPr="00F80DAD">
        <w:rPr>
          <w:rFonts w:ascii="Arial" w:hAnsi="Arial" w:cs="Arial"/>
          <w:color w:val="000000" w:themeColor="text1"/>
          <w:sz w:val="22"/>
        </w:rPr>
        <w:t xml:space="preserve"> la Contraloría General de la República</w:t>
      </w:r>
      <w:r w:rsidR="006D05C0">
        <w:rPr>
          <w:rStyle w:val="Refdenotaalpie"/>
          <w:rFonts w:ascii="Arial" w:eastAsia="Calibri" w:hAnsi="Arial" w:cs="Arial"/>
          <w:color w:val="000000"/>
          <w:sz w:val="22"/>
          <w:lang w:val="es-ES_tradnl" w:eastAsia="en-GB"/>
        </w:rPr>
        <w:footnoteReference w:id="5"/>
      </w:r>
      <w:r w:rsidR="00D84E19">
        <w:rPr>
          <w:rFonts w:ascii="Arial" w:hAnsi="Arial" w:cs="Arial"/>
          <w:color w:val="000000" w:themeColor="text1"/>
          <w:sz w:val="22"/>
        </w:rPr>
        <w:t>.</w:t>
      </w:r>
    </w:p>
    <w:p w14:paraId="4BAF5990" w14:textId="3F686F63" w:rsidR="003F63EE" w:rsidRDefault="003F63EE" w:rsidP="00271098">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Sobre el espíritu de la </w:t>
      </w:r>
      <w:r w:rsidR="00653F57">
        <w:rPr>
          <w:rFonts w:ascii="Arial" w:eastAsia="Calibri" w:hAnsi="Arial" w:cs="Arial"/>
          <w:color w:val="000000"/>
          <w:sz w:val="22"/>
          <w:lang w:val="es-ES_tradnl" w:eastAsia="en-GB"/>
        </w:rPr>
        <w:t>l</w:t>
      </w:r>
      <w:r>
        <w:rPr>
          <w:rFonts w:ascii="Arial" w:eastAsia="Calibri" w:hAnsi="Arial" w:cs="Arial"/>
          <w:color w:val="000000"/>
          <w:sz w:val="22"/>
          <w:lang w:val="es-ES_tradnl" w:eastAsia="en-GB"/>
        </w:rPr>
        <w:t>ey, la exposición de motivos explica que el proyecto «[…]</w:t>
      </w:r>
      <w:r w:rsidRPr="00651B9C">
        <w:rPr>
          <w:rFonts w:ascii="Arial" w:eastAsia="Calibri" w:hAnsi="Arial" w:cs="Arial"/>
          <w:color w:val="000000"/>
          <w:sz w:val="22"/>
          <w:lang w:val="es-ES_tradnl" w:eastAsia="en-GB"/>
        </w:rPr>
        <w:t xml:space="preserve"> pretende establecer medidas</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para la detección y valoración de las obras</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públicas que no se hayan concluido de acuerdo</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con lo planeado por la entidad estatal a su cargo,</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para someterlas a evaluación técnica y financiera,</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dirigida a establecer si se concluyen o se procede</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a su demolición. Como fin esencial del proyecto se</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señala el de “salvaguardar las vidas como derecho</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fundamental”, que se entienden amenazadas por los</w:t>
      </w:r>
      <w:r>
        <w:rPr>
          <w:rFonts w:ascii="Arial" w:eastAsia="Calibri" w:hAnsi="Arial" w:cs="Arial"/>
          <w:color w:val="000000"/>
          <w:sz w:val="22"/>
          <w:lang w:val="es-ES_tradnl" w:eastAsia="en-GB"/>
        </w:rPr>
        <w:t xml:space="preserve"> </w:t>
      </w:r>
      <w:r w:rsidRPr="00651B9C">
        <w:rPr>
          <w:rFonts w:ascii="Arial" w:eastAsia="Calibri" w:hAnsi="Arial" w:cs="Arial"/>
          <w:color w:val="000000"/>
          <w:sz w:val="22"/>
          <w:lang w:val="es-ES_tradnl" w:eastAsia="en-GB"/>
        </w:rPr>
        <w:t>efectos desfavorables de las obras inconclusas</w:t>
      </w:r>
      <w:r>
        <w:rPr>
          <w:rFonts w:ascii="Arial" w:eastAsia="Calibri" w:hAnsi="Arial" w:cs="Arial"/>
          <w:color w:val="000000"/>
          <w:sz w:val="22"/>
          <w:lang w:val="es-ES_tradnl" w:eastAsia="en-GB"/>
        </w:rPr>
        <w:t>»</w:t>
      </w:r>
      <w:r>
        <w:rPr>
          <w:rStyle w:val="Refdenotaalpie"/>
          <w:rFonts w:ascii="Arial" w:eastAsia="Calibri" w:hAnsi="Arial" w:cs="Arial"/>
          <w:color w:val="000000"/>
          <w:sz w:val="22"/>
          <w:lang w:val="es-ES_tradnl" w:eastAsia="en-GB"/>
        </w:rPr>
        <w:footnoteReference w:id="6"/>
      </w:r>
      <w:r w:rsidRPr="00651B9C">
        <w:rPr>
          <w:rFonts w:ascii="Arial" w:eastAsia="Calibri" w:hAnsi="Arial" w:cs="Arial"/>
          <w:color w:val="000000"/>
          <w:sz w:val="22"/>
          <w:lang w:val="es-ES_tradnl" w:eastAsia="en-GB"/>
        </w:rPr>
        <w:t>.</w:t>
      </w:r>
      <w:r>
        <w:rPr>
          <w:rFonts w:ascii="Arial" w:eastAsia="Calibri" w:hAnsi="Arial" w:cs="Arial"/>
          <w:color w:val="000000"/>
          <w:sz w:val="22"/>
          <w:lang w:val="es-ES_tradnl" w:eastAsia="en-GB"/>
        </w:rPr>
        <w:t xml:space="preserve"> En esta medida, el propósito de la norma subyace no solo en estructurar un sistema de registro, sino también en identificar el estado real de la infraestructura de obra en cada institución pública, con miras a elaborar un diagnóstico sobre la viabilidad técnica, financiera y jurídica de </w:t>
      </w:r>
      <w:r w:rsidRPr="004F091D">
        <w:rPr>
          <w:rFonts w:ascii="Arial" w:eastAsia="Calibri" w:hAnsi="Arial" w:cs="Arial"/>
          <w:color w:val="000000"/>
          <w:sz w:val="22"/>
          <w:lang w:val="es-ES_tradnl" w:eastAsia="en-GB"/>
        </w:rPr>
        <w:t>terminar o demoler la obra</w:t>
      </w:r>
      <w:r>
        <w:rPr>
          <w:rFonts w:ascii="Arial" w:eastAsia="Calibri" w:hAnsi="Arial" w:cs="Arial"/>
          <w:color w:val="000000"/>
          <w:sz w:val="22"/>
          <w:lang w:val="es-ES_tradnl" w:eastAsia="en-GB"/>
        </w:rPr>
        <w:t xml:space="preserve">, </w:t>
      </w:r>
      <w:r>
        <w:rPr>
          <w:rFonts w:ascii="Arial" w:eastAsia="Calibri" w:hAnsi="Arial" w:cs="Arial"/>
          <w:color w:val="000000"/>
          <w:sz w:val="22"/>
          <w:lang w:val="es-ES_tradnl" w:eastAsia="en-GB"/>
        </w:rPr>
        <w:lastRenderedPageBreak/>
        <w:t xml:space="preserve">asegurando que pueda realizar una inversión de sus recursos para la intervención de </w:t>
      </w:r>
      <w:proofErr w:type="gramStart"/>
      <w:r>
        <w:rPr>
          <w:rFonts w:ascii="Arial" w:eastAsia="Calibri" w:hAnsi="Arial" w:cs="Arial"/>
          <w:color w:val="000000"/>
          <w:sz w:val="22"/>
          <w:lang w:val="es-ES_tradnl" w:eastAsia="en-GB"/>
        </w:rPr>
        <w:t>la misma</w:t>
      </w:r>
      <w:proofErr w:type="gramEnd"/>
      <w:r>
        <w:rPr>
          <w:rFonts w:ascii="Arial" w:eastAsia="Calibri" w:hAnsi="Arial" w:cs="Arial"/>
          <w:color w:val="000000"/>
          <w:sz w:val="22"/>
          <w:lang w:val="es-ES_tradnl" w:eastAsia="en-GB"/>
        </w:rPr>
        <w:t>.</w:t>
      </w:r>
    </w:p>
    <w:p w14:paraId="210BD0B7" w14:textId="093A0EB2"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 </w:t>
      </w:r>
      <w:r w:rsidR="00653F57">
        <w:rPr>
          <w:rFonts w:ascii="Arial" w:eastAsia="Calibri" w:hAnsi="Arial" w:cs="Arial"/>
          <w:color w:val="000000"/>
          <w:sz w:val="22"/>
          <w:lang w:val="es-ES_tradnl" w:eastAsia="en-GB"/>
        </w:rPr>
        <w:t>P</w:t>
      </w:r>
      <w:r>
        <w:rPr>
          <w:rFonts w:ascii="Arial" w:eastAsia="Calibri" w:hAnsi="Arial" w:cs="Arial"/>
          <w:color w:val="000000"/>
          <w:sz w:val="22"/>
          <w:lang w:val="es-ES_tradnl" w:eastAsia="en-GB"/>
        </w:rPr>
        <w:t xml:space="preserve">or ello los artículos 5 y 13 </w:t>
      </w:r>
      <w:proofErr w:type="spellStart"/>
      <w:r w:rsidRPr="000060D0">
        <w:rPr>
          <w:rFonts w:ascii="Arial" w:eastAsia="Calibri" w:hAnsi="Arial" w:cs="Arial"/>
          <w:i/>
          <w:color w:val="000000"/>
          <w:sz w:val="22"/>
          <w:lang w:val="es-ES_tradnl" w:eastAsia="en-GB"/>
        </w:rPr>
        <w:t>ibídem</w:t>
      </w:r>
      <w:proofErr w:type="spellEnd"/>
      <w:r>
        <w:rPr>
          <w:rFonts w:ascii="Arial" w:eastAsia="Calibri" w:hAnsi="Arial" w:cs="Arial"/>
          <w:color w:val="000000"/>
          <w:sz w:val="22"/>
          <w:lang w:val="es-ES_tradnl" w:eastAsia="en-GB"/>
        </w:rPr>
        <w:t xml:space="preserve"> </w:t>
      </w:r>
      <w:r w:rsidR="007C5A9F">
        <w:rPr>
          <w:rFonts w:ascii="Arial" w:eastAsia="Calibri" w:hAnsi="Arial" w:cs="Arial"/>
          <w:color w:val="000000"/>
          <w:sz w:val="22"/>
          <w:lang w:val="es-ES_tradnl" w:eastAsia="en-GB"/>
        </w:rPr>
        <w:t>disponen</w:t>
      </w:r>
      <w:r>
        <w:rPr>
          <w:rFonts w:ascii="Arial" w:eastAsia="Calibri" w:hAnsi="Arial" w:cs="Arial"/>
          <w:color w:val="000000"/>
          <w:sz w:val="22"/>
          <w:lang w:val="es-ES_tradnl" w:eastAsia="en-GB"/>
        </w:rPr>
        <w:t xml:space="preserve"> que l</w:t>
      </w:r>
      <w:r w:rsidRPr="007B57A5">
        <w:rPr>
          <w:rFonts w:ascii="Arial" w:eastAsia="Calibri" w:hAnsi="Arial" w:cs="Arial"/>
          <w:color w:val="000000"/>
          <w:sz w:val="22"/>
          <w:lang w:val="es-ES_tradnl" w:eastAsia="en-GB"/>
        </w:rPr>
        <w:t>a enti</w:t>
      </w:r>
      <w:r>
        <w:rPr>
          <w:rFonts w:ascii="Arial" w:eastAsia="Calibri" w:hAnsi="Arial" w:cs="Arial"/>
          <w:color w:val="000000"/>
          <w:sz w:val="22"/>
          <w:lang w:val="es-ES_tradnl" w:eastAsia="en-GB"/>
        </w:rPr>
        <w:t>dad estatal contratante</w:t>
      </w:r>
      <w:r w:rsidRPr="001E56FF">
        <w:rPr>
          <w:rFonts w:ascii="Arial" w:eastAsia="Calibri" w:hAnsi="Arial" w:cs="Arial"/>
          <w:color w:val="000000"/>
          <w:sz w:val="22"/>
          <w:lang w:val="es-ES_tradnl" w:eastAsia="en-GB"/>
        </w:rPr>
        <w:t xml:space="preserve"> </w:t>
      </w:r>
      <w:r w:rsidRPr="007B57A5">
        <w:rPr>
          <w:rFonts w:ascii="Arial" w:eastAsia="Calibri" w:hAnsi="Arial" w:cs="Arial"/>
          <w:color w:val="000000"/>
          <w:sz w:val="22"/>
          <w:lang w:val="es-ES_tradnl" w:eastAsia="en-GB"/>
        </w:rPr>
        <w:t>decidirá sobre la intervención física de terminación o demolición de la obra civil inconclusa</w:t>
      </w:r>
      <w:r>
        <w:rPr>
          <w:rFonts w:ascii="Arial" w:eastAsia="Calibri" w:hAnsi="Arial" w:cs="Arial"/>
          <w:color w:val="000000"/>
          <w:sz w:val="22"/>
          <w:lang w:val="es-ES_tradnl" w:eastAsia="en-GB"/>
        </w:rPr>
        <w:t>,</w:t>
      </w:r>
      <w:r w:rsidRPr="001E56FF">
        <w:rPr>
          <w:rFonts w:ascii="Arial" w:eastAsia="Calibri" w:hAnsi="Arial" w:cs="Arial"/>
          <w:color w:val="000000"/>
          <w:sz w:val="22"/>
          <w:lang w:val="es-ES_tradnl" w:eastAsia="en-GB"/>
        </w:rPr>
        <w:t xml:space="preserve"> </w:t>
      </w:r>
      <w:r>
        <w:rPr>
          <w:rFonts w:ascii="Arial" w:eastAsia="Calibri" w:hAnsi="Arial" w:cs="Arial"/>
          <w:color w:val="000000"/>
          <w:sz w:val="22"/>
          <w:lang w:val="es-ES_tradnl" w:eastAsia="en-GB"/>
        </w:rPr>
        <w:t xml:space="preserve">para lo cual podrá disponer de las partidas necesarias, según </w:t>
      </w:r>
      <w:r w:rsidRPr="007B57A5">
        <w:rPr>
          <w:rFonts w:ascii="Arial" w:eastAsia="Calibri" w:hAnsi="Arial" w:cs="Arial"/>
          <w:color w:val="000000"/>
          <w:sz w:val="22"/>
          <w:lang w:val="es-ES_tradnl" w:eastAsia="en-GB"/>
        </w:rPr>
        <w:t>la disponibilidad de recursos compatibles con el marco fiscal de mediano plazo y l</w:t>
      </w:r>
      <w:r>
        <w:rPr>
          <w:rFonts w:ascii="Arial" w:eastAsia="Calibri" w:hAnsi="Arial" w:cs="Arial"/>
          <w:color w:val="000000"/>
          <w:sz w:val="22"/>
          <w:lang w:val="es-ES_tradnl" w:eastAsia="en-GB"/>
        </w:rPr>
        <w:t>a regla fiscal de cada entidad. Además, se podrá presentar en el plan de desarrollo de la entidad, una estrategia de atención para determinar la intervención de las obras que se encuentren en el Registro Nacional de Obras Civiles Inconclusas, con énfasis en aquellas que lleven más tiempo sin intervención, siempre atendiendo a la disponibilidad de recursos</w:t>
      </w:r>
      <w:r>
        <w:rPr>
          <w:rStyle w:val="Refdenotaalpie"/>
          <w:rFonts w:ascii="Arial" w:eastAsia="Calibri" w:hAnsi="Arial" w:cs="Arial"/>
          <w:color w:val="000000"/>
          <w:sz w:val="22"/>
          <w:lang w:val="es-ES_tradnl" w:eastAsia="en-GB"/>
        </w:rPr>
        <w:footnoteReference w:id="7"/>
      </w:r>
      <w:r>
        <w:rPr>
          <w:rFonts w:ascii="Arial" w:eastAsia="Calibri" w:hAnsi="Arial" w:cs="Arial"/>
          <w:color w:val="000000"/>
          <w:sz w:val="22"/>
          <w:lang w:val="es-ES_tradnl" w:eastAsia="en-GB"/>
        </w:rPr>
        <w:t xml:space="preserve">. </w:t>
      </w:r>
    </w:p>
    <w:p w14:paraId="10F12519" w14:textId="3EFC458B" w:rsidR="00EE46A2" w:rsidRDefault="003F63EE" w:rsidP="00271098">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En tal sentido, esta l</w:t>
      </w:r>
      <w:r w:rsidRPr="003B4B1C">
        <w:rPr>
          <w:rFonts w:ascii="Arial" w:eastAsia="Calibri" w:hAnsi="Arial" w:cs="Arial"/>
          <w:color w:val="000000"/>
          <w:sz w:val="22"/>
          <w:lang w:val="es-ES_tradnl" w:eastAsia="en-GB"/>
        </w:rPr>
        <w:t>ey busca que</w:t>
      </w:r>
      <w:r>
        <w:rPr>
          <w:rFonts w:ascii="Arial" w:eastAsia="Calibri" w:hAnsi="Arial" w:cs="Arial"/>
          <w:color w:val="000000"/>
          <w:sz w:val="22"/>
          <w:lang w:val="es-ES_tradnl" w:eastAsia="en-GB"/>
        </w:rPr>
        <w:t xml:space="preserve"> la entidad estatal determine el destino definitivo la obra, a través del concepto jurídico, técnico y financiero que emitan las áreas de la entidad cuyas funciones y competencias se encuentran relacionadas con la obra inconclusa, observando, en todo caso, el deber de apropiar las partidas presupuestales correspondientes. De todas formas, si se opta por la demolición, esta deberá ser adoptada por acto administrativo </w:t>
      </w:r>
      <w:r w:rsidRPr="00EC5ACE">
        <w:rPr>
          <w:rFonts w:ascii="Arial" w:eastAsia="Calibri" w:hAnsi="Arial" w:cs="Arial"/>
          <w:color w:val="000000"/>
          <w:sz w:val="22"/>
          <w:lang w:val="es-ES_tradnl" w:eastAsia="en-GB"/>
        </w:rPr>
        <w:t>por el representante legal de la entidad a cargo de la obra</w:t>
      </w:r>
      <w:r>
        <w:rPr>
          <w:rFonts w:ascii="Arial" w:eastAsia="Calibri" w:hAnsi="Arial" w:cs="Arial"/>
          <w:color w:val="000000"/>
          <w:sz w:val="22"/>
          <w:lang w:val="es-ES_tradnl" w:eastAsia="en-GB"/>
        </w:rPr>
        <w:t xml:space="preserve"> y </w:t>
      </w:r>
      <w:r w:rsidR="009C37EA">
        <w:rPr>
          <w:rFonts w:ascii="Arial" w:eastAsia="Calibri" w:hAnsi="Arial" w:cs="Arial"/>
          <w:color w:val="000000"/>
          <w:sz w:val="22"/>
          <w:lang w:val="es-ES_tradnl" w:eastAsia="en-GB"/>
        </w:rPr>
        <w:t xml:space="preserve">solo </w:t>
      </w:r>
      <w:r w:rsidR="009C37EA" w:rsidRPr="00EC5ACE">
        <w:rPr>
          <w:rFonts w:ascii="Arial" w:eastAsia="Calibri" w:hAnsi="Arial" w:cs="Arial"/>
          <w:color w:val="000000"/>
          <w:sz w:val="22"/>
          <w:lang w:val="es-ES_tradnl" w:eastAsia="en-GB"/>
        </w:rPr>
        <w:t>podrá</w:t>
      </w:r>
      <w:r w:rsidRPr="00EC5ACE">
        <w:rPr>
          <w:rFonts w:ascii="Arial" w:eastAsia="Calibri" w:hAnsi="Arial" w:cs="Arial"/>
          <w:color w:val="000000"/>
          <w:sz w:val="22"/>
          <w:lang w:val="es-ES_tradnl" w:eastAsia="en-GB"/>
        </w:rPr>
        <w:t xml:space="preserve"> ser ordenada en casos de ruina o grave amenaza a los derechos fundamentales o colectivos, debidamente evaluada. </w:t>
      </w:r>
    </w:p>
    <w:p w14:paraId="34153240" w14:textId="1352831B" w:rsidR="00271098" w:rsidRDefault="00D051BB" w:rsidP="009C37EA">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Respecto a</w:t>
      </w:r>
      <w:r w:rsidR="003F63EE">
        <w:rPr>
          <w:rFonts w:ascii="Arial" w:eastAsia="Calibri" w:hAnsi="Arial" w:cs="Arial"/>
          <w:color w:val="000000"/>
          <w:sz w:val="22"/>
          <w:lang w:val="es-ES_tradnl" w:eastAsia="en-GB"/>
        </w:rPr>
        <w:t xml:space="preserve">l contenido del Registro Nacional de Obras Civiles Inconclusas, </w:t>
      </w:r>
      <w:bookmarkStart w:id="5" w:name="_Hlk71184896"/>
      <w:r w:rsidR="003F63EE">
        <w:rPr>
          <w:rFonts w:ascii="Arial" w:eastAsia="Calibri" w:hAnsi="Arial" w:cs="Arial"/>
          <w:color w:val="000000"/>
          <w:sz w:val="22"/>
          <w:lang w:val="es-ES_tradnl" w:eastAsia="en-GB"/>
        </w:rPr>
        <w:t>el artículo 4 determina la información mínima que debe reportarse por las entidades públicas. Entre otros, deberá contener datos sobre la</w:t>
      </w:r>
      <w:r w:rsidR="00271098">
        <w:rPr>
          <w:rFonts w:ascii="Arial" w:eastAsia="Calibri" w:hAnsi="Arial" w:cs="Arial"/>
          <w:color w:val="000000"/>
          <w:sz w:val="22"/>
          <w:lang w:val="es-ES_tradnl" w:eastAsia="en-GB"/>
        </w:rPr>
        <w:t xml:space="preserve"> identificación del contratista, consultores, interventores y demás personas naturales y/o jurídicas</w:t>
      </w:r>
      <w:r w:rsidR="003F63EE">
        <w:rPr>
          <w:rFonts w:ascii="Arial" w:eastAsia="Calibri" w:hAnsi="Arial" w:cs="Arial"/>
          <w:color w:val="000000"/>
          <w:sz w:val="22"/>
          <w:lang w:val="es-ES_tradnl" w:eastAsia="en-GB"/>
        </w:rPr>
        <w:t xml:space="preserve"> </w:t>
      </w:r>
      <w:r w:rsidR="00271098">
        <w:rPr>
          <w:rFonts w:ascii="Arial" w:eastAsia="Calibri" w:hAnsi="Arial" w:cs="Arial"/>
          <w:color w:val="000000"/>
          <w:sz w:val="22"/>
          <w:lang w:val="es-ES_tradnl" w:eastAsia="en-GB"/>
        </w:rPr>
        <w:t xml:space="preserve">que intervinieron en la planeación y ejecución del proyecto, las </w:t>
      </w:r>
      <w:r w:rsidR="003F63EE">
        <w:rPr>
          <w:rFonts w:ascii="Arial" w:eastAsia="Calibri" w:hAnsi="Arial" w:cs="Arial"/>
          <w:color w:val="000000"/>
          <w:sz w:val="22"/>
          <w:lang w:val="es-ES_tradnl" w:eastAsia="en-GB"/>
        </w:rPr>
        <w:t>r</w:t>
      </w:r>
      <w:r w:rsidR="003F63EE" w:rsidRPr="00B13533">
        <w:rPr>
          <w:rFonts w:ascii="Arial" w:eastAsia="Calibri" w:hAnsi="Arial" w:cs="Arial"/>
          <w:color w:val="000000"/>
          <w:sz w:val="22"/>
          <w:lang w:val="es-ES_tradnl" w:eastAsia="en-GB"/>
        </w:rPr>
        <w:t>azones técnicas y/o jurídicas por las cuales la obra civil quedó inconclusa;</w:t>
      </w:r>
      <w:r w:rsidR="003F63EE">
        <w:rPr>
          <w:rFonts w:ascii="Arial" w:eastAsia="Calibri" w:hAnsi="Arial" w:cs="Arial"/>
          <w:color w:val="000000"/>
          <w:sz w:val="22"/>
          <w:lang w:val="es-ES_tradnl" w:eastAsia="en-GB"/>
        </w:rPr>
        <w:t xml:space="preserve"> los pagos efectuados; los p</w:t>
      </w:r>
      <w:r w:rsidR="003F63EE" w:rsidRPr="00B13533">
        <w:rPr>
          <w:rFonts w:ascii="Arial" w:eastAsia="Calibri" w:hAnsi="Arial" w:cs="Arial"/>
          <w:color w:val="000000"/>
          <w:sz w:val="22"/>
          <w:lang w:val="es-ES_tradnl" w:eastAsia="en-GB"/>
        </w:rPr>
        <w:t xml:space="preserve">rocesos en curso y/o fallos que hayan declarado responsabilidades penales, fiscales, civiles y disciplinarias derivadas de la obra inconclusa; así como los actos administrativos que declaren el incumplimiento de los contratistas o caducidad de los </w:t>
      </w:r>
      <w:r w:rsidR="003F63EE">
        <w:rPr>
          <w:rFonts w:ascii="Arial" w:eastAsia="Calibri" w:hAnsi="Arial" w:cs="Arial"/>
          <w:color w:val="000000"/>
          <w:sz w:val="22"/>
          <w:lang w:val="es-ES_tradnl" w:eastAsia="en-GB"/>
        </w:rPr>
        <w:t xml:space="preserve">contratos. Igualmente, en este Registro constará la información de las obras civiles ya terminadas que no se encuentre en funcionamiento conforme al artículo 15. </w:t>
      </w:r>
    </w:p>
    <w:bookmarkEnd w:id="5"/>
    <w:p w14:paraId="2DF83810" w14:textId="4E70ED9A" w:rsidR="003F63EE" w:rsidRDefault="003F63EE" w:rsidP="003F63EE">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Según artículo 9 de la Ley 2020 de 2020, </w:t>
      </w:r>
      <w:r w:rsidRPr="00EC5ACE">
        <w:rPr>
          <w:rFonts w:ascii="Arial" w:eastAsia="Calibri" w:hAnsi="Arial" w:cs="Arial"/>
          <w:color w:val="000000"/>
          <w:sz w:val="22"/>
          <w:lang w:val="es-ES_tradnl" w:eastAsia="en-GB"/>
        </w:rPr>
        <w:t>la obligación</w:t>
      </w:r>
      <w:r>
        <w:rPr>
          <w:rFonts w:ascii="Arial" w:eastAsia="Calibri" w:hAnsi="Arial" w:cs="Arial"/>
          <w:color w:val="000000"/>
          <w:sz w:val="22"/>
          <w:lang w:val="es-ES_tradnl" w:eastAsia="en-GB"/>
        </w:rPr>
        <w:t xml:space="preserve"> de reportar esta información</w:t>
      </w:r>
      <w:r w:rsidRPr="00EC5ACE">
        <w:rPr>
          <w:rFonts w:ascii="Arial" w:eastAsia="Calibri" w:hAnsi="Arial" w:cs="Arial"/>
          <w:color w:val="000000"/>
          <w:sz w:val="22"/>
          <w:lang w:val="es-ES_tradnl" w:eastAsia="en-GB"/>
        </w:rPr>
        <w:t xml:space="preserve"> recae en los representantes leg</w:t>
      </w:r>
      <w:r>
        <w:rPr>
          <w:rFonts w:ascii="Arial" w:eastAsia="Calibri" w:hAnsi="Arial" w:cs="Arial"/>
          <w:color w:val="000000"/>
          <w:sz w:val="22"/>
          <w:lang w:val="es-ES_tradnl" w:eastAsia="en-GB"/>
        </w:rPr>
        <w:t xml:space="preserve">ales de las entidades estatales y su incumplimiento genera </w:t>
      </w:r>
      <w:r>
        <w:rPr>
          <w:rFonts w:ascii="Arial" w:eastAsia="Calibri" w:hAnsi="Arial" w:cs="Arial"/>
          <w:color w:val="000000"/>
          <w:sz w:val="22"/>
          <w:lang w:val="es-ES_tradnl" w:eastAsia="en-GB"/>
        </w:rPr>
        <w:lastRenderedPageBreak/>
        <w:t>las sanciones respectivas conforme a la normativa vigente</w:t>
      </w:r>
      <w:r>
        <w:rPr>
          <w:rStyle w:val="Refdenotaalpie"/>
          <w:rFonts w:ascii="Arial" w:eastAsia="Calibri" w:hAnsi="Arial" w:cs="Arial"/>
          <w:color w:val="000000"/>
          <w:sz w:val="22"/>
          <w:lang w:val="es-ES_tradnl" w:eastAsia="en-GB"/>
        </w:rPr>
        <w:footnoteReference w:id="8"/>
      </w:r>
      <w:r>
        <w:rPr>
          <w:rFonts w:ascii="Arial" w:eastAsia="Calibri" w:hAnsi="Arial" w:cs="Arial"/>
          <w:color w:val="000000"/>
          <w:sz w:val="22"/>
          <w:lang w:val="es-ES_tradnl" w:eastAsia="en-GB"/>
        </w:rPr>
        <w:t>. En todo caso, la información que consta en el Registro podrá tenerse en cuenta por los entes de control o por las entidades públicas sometidas al Estatuto General de Contratación Pública en</w:t>
      </w:r>
      <w:r w:rsidRPr="00B31710">
        <w:rPr>
          <w:rFonts w:ascii="Arial" w:eastAsia="Calibri" w:hAnsi="Arial" w:cs="Arial"/>
          <w:color w:val="000000"/>
          <w:sz w:val="22"/>
          <w:lang w:val="es-ES_tradnl" w:eastAsia="en-GB"/>
        </w:rPr>
        <w:t xml:space="preserve"> los procesos fiscales, </w:t>
      </w:r>
      <w:r>
        <w:rPr>
          <w:rFonts w:ascii="Arial" w:eastAsia="Calibri" w:hAnsi="Arial" w:cs="Arial"/>
          <w:color w:val="000000"/>
          <w:sz w:val="22"/>
          <w:lang w:val="es-ES_tradnl" w:eastAsia="en-GB"/>
        </w:rPr>
        <w:t xml:space="preserve">disciplinarios o sancionatorios que se adelanten </w:t>
      </w:r>
      <w:proofErr w:type="gramStart"/>
      <w:r>
        <w:rPr>
          <w:rFonts w:ascii="Arial" w:eastAsia="Calibri" w:hAnsi="Arial" w:cs="Arial"/>
          <w:color w:val="000000"/>
          <w:sz w:val="22"/>
          <w:lang w:val="es-ES_tradnl" w:eastAsia="en-GB"/>
        </w:rPr>
        <w:t>en razón de</w:t>
      </w:r>
      <w:proofErr w:type="gramEnd"/>
      <w:r>
        <w:rPr>
          <w:rFonts w:ascii="Arial" w:eastAsia="Calibri" w:hAnsi="Arial" w:cs="Arial"/>
          <w:color w:val="000000"/>
          <w:sz w:val="22"/>
          <w:lang w:val="es-ES_tradnl" w:eastAsia="en-GB"/>
        </w:rPr>
        <w:t xml:space="preserve"> la obra civil inconclusa. Igualmente, e</w:t>
      </w:r>
      <w:r w:rsidRPr="00103361">
        <w:rPr>
          <w:rFonts w:ascii="Arial" w:eastAsia="Calibri" w:hAnsi="Arial" w:cs="Arial"/>
          <w:color w:val="000000"/>
          <w:sz w:val="22"/>
          <w:lang w:val="es-ES_tradnl" w:eastAsia="en-GB"/>
        </w:rPr>
        <w:t xml:space="preserve">l acto administrativo que declare el incumplimiento, caducidad y/o terminación </w:t>
      </w:r>
      <w:r>
        <w:rPr>
          <w:rFonts w:ascii="Arial" w:eastAsia="Calibri" w:hAnsi="Arial" w:cs="Arial"/>
          <w:color w:val="000000"/>
          <w:sz w:val="22"/>
          <w:lang w:val="es-ES_tradnl" w:eastAsia="en-GB"/>
        </w:rPr>
        <w:t xml:space="preserve">unilateral del contrato de obra, tendrá en cuenta en la parte motiva, la documentación que repose en el registro. </w:t>
      </w:r>
    </w:p>
    <w:p w14:paraId="2CEC3A73" w14:textId="345096D0" w:rsidR="00466861" w:rsidRDefault="003F63EE" w:rsidP="00360E6D">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De esta manera, debido al carácter público de la información del registro, se podrá verificar en el sistema dispuesto por la Contraloría General de la Nación, el motivo por el cual la obra civil quedo inconclusa, así como las situaciones de incumplimiento del contratista y en general el estado jurídico, técnico y financiero de la obra. Si se presenta alguna controversia respecto de la información suministrada por la entidad estatal, esta será la encargada de resolverla </w:t>
      </w:r>
      <w:r w:rsidRPr="000F2739">
        <w:rPr>
          <w:rFonts w:ascii="Arial" w:eastAsia="Calibri" w:hAnsi="Arial" w:cs="Arial"/>
          <w:color w:val="000000"/>
          <w:sz w:val="22"/>
          <w:lang w:val="es-ES_tradnl" w:eastAsia="en-GB"/>
        </w:rPr>
        <w:t>atendiendo los principios y disposiciones establecidos en la normatividad vigente.</w:t>
      </w:r>
      <w:r>
        <w:rPr>
          <w:rFonts w:ascii="Arial" w:eastAsia="Calibri" w:hAnsi="Arial" w:cs="Arial"/>
          <w:color w:val="000000"/>
          <w:sz w:val="22"/>
          <w:lang w:val="es-ES_tradnl" w:eastAsia="en-GB"/>
        </w:rPr>
        <w:t xml:space="preserve"> Conforme al artículo 12, es preciso señalar que la cancelación de la anotación de la obra en el Registro Nacional de Obras Civiles Inconclusas solo operará a solicitud de la entidad estatal una vez haya sido demolida o finalizada exitosamente.</w:t>
      </w:r>
    </w:p>
    <w:p w14:paraId="12B66FEC" w14:textId="77777777" w:rsidR="00360E6D" w:rsidRPr="00466861" w:rsidRDefault="00360E6D" w:rsidP="004C34CD">
      <w:pPr>
        <w:tabs>
          <w:tab w:val="left" w:pos="0"/>
        </w:tabs>
        <w:spacing w:line="276" w:lineRule="auto"/>
        <w:ind w:firstLine="709"/>
        <w:jc w:val="both"/>
        <w:rPr>
          <w:rFonts w:ascii="Arial" w:eastAsia="Calibri" w:hAnsi="Arial" w:cs="Arial"/>
          <w:color w:val="000000"/>
          <w:sz w:val="22"/>
          <w:lang w:val="es-ES_tradnl" w:eastAsia="en-GB"/>
        </w:rPr>
      </w:pPr>
    </w:p>
    <w:p w14:paraId="557C39B2" w14:textId="77B3FB9C" w:rsidR="00E5756C" w:rsidRPr="00E23980" w:rsidRDefault="00E5756C" w:rsidP="00BD67B2">
      <w:pPr>
        <w:tabs>
          <w:tab w:val="left" w:pos="0"/>
        </w:tabs>
        <w:spacing w:line="276" w:lineRule="auto"/>
        <w:jc w:val="both"/>
        <w:rPr>
          <w:rFonts w:ascii="Arial" w:eastAsia="Calibri" w:hAnsi="Arial" w:cs="Arial"/>
          <w:b/>
          <w:bCs/>
          <w:color w:val="000000"/>
          <w:sz w:val="22"/>
          <w:lang w:val="es-ES_tradnl" w:eastAsia="en-GB"/>
        </w:rPr>
      </w:pPr>
      <w:r w:rsidRPr="00E23980">
        <w:rPr>
          <w:rFonts w:ascii="Arial" w:eastAsia="Calibri" w:hAnsi="Arial" w:cs="Arial"/>
          <w:b/>
          <w:bCs/>
          <w:color w:val="000000"/>
          <w:sz w:val="22"/>
          <w:lang w:val="es-ES_tradnl" w:eastAsia="en-GB"/>
        </w:rPr>
        <w:t xml:space="preserve">2.2. </w:t>
      </w:r>
      <w:r w:rsidR="00360E6D" w:rsidRPr="00E23980">
        <w:rPr>
          <w:rFonts w:ascii="Arial" w:eastAsia="Calibri" w:hAnsi="Arial" w:cs="Arial"/>
          <w:b/>
          <w:bCs/>
          <w:color w:val="000000"/>
          <w:sz w:val="22"/>
          <w:lang w:val="es-ES_tradnl" w:eastAsia="en-GB"/>
        </w:rPr>
        <w:t xml:space="preserve">Deber de verificación del Registro Nacional de Obras Civiles Inconclusas en </w:t>
      </w:r>
      <w:r w:rsidR="00360E6D">
        <w:rPr>
          <w:rFonts w:ascii="Arial" w:eastAsia="Calibri" w:hAnsi="Arial" w:cs="Arial"/>
          <w:b/>
          <w:bCs/>
          <w:color w:val="000000"/>
          <w:sz w:val="22"/>
          <w:lang w:val="es-ES_tradnl" w:eastAsia="en-GB"/>
        </w:rPr>
        <w:t>la evaluación de</w:t>
      </w:r>
      <w:r w:rsidR="00105671">
        <w:rPr>
          <w:rFonts w:ascii="Arial" w:eastAsia="Calibri" w:hAnsi="Arial" w:cs="Arial"/>
          <w:b/>
          <w:bCs/>
          <w:color w:val="000000"/>
          <w:sz w:val="22"/>
          <w:lang w:val="es-ES_tradnl" w:eastAsia="en-GB"/>
        </w:rPr>
        <w:t xml:space="preserve"> los</w:t>
      </w:r>
      <w:r w:rsidR="00360E6D">
        <w:rPr>
          <w:rFonts w:ascii="Arial" w:eastAsia="Calibri" w:hAnsi="Arial" w:cs="Arial"/>
          <w:b/>
          <w:bCs/>
          <w:color w:val="000000"/>
          <w:sz w:val="22"/>
          <w:lang w:val="es-ES_tradnl" w:eastAsia="en-GB"/>
        </w:rPr>
        <w:t xml:space="preserve"> factores de calidad para la selección de contratistas de obra o interventores</w:t>
      </w:r>
    </w:p>
    <w:p w14:paraId="47C4BBD9" w14:textId="252A38FB" w:rsidR="00BD67B2" w:rsidRPr="00E23980" w:rsidRDefault="00BD67B2" w:rsidP="00567723">
      <w:pPr>
        <w:tabs>
          <w:tab w:val="left" w:pos="0"/>
        </w:tabs>
        <w:spacing w:line="276" w:lineRule="auto"/>
        <w:jc w:val="both"/>
        <w:rPr>
          <w:rFonts w:ascii="Arial" w:eastAsia="Calibri" w:hAnsi="Arial" w:cs="Arial"/>
          <w:color w:val="000000"/>
          <w:sz w:val="22"/>
          <w:lang w:val="es-ES_tradnl" w:eastAsia="en-GB"/>
        </w:rPr>
      </w:pPr>
    </w:p>
    <w:p w14:paraId="1EE85E77" w14:textId="77777777" w:rsidR="00466861" w:rsidRPr="00E23980" w:rsidRDefault="00466861" w:rsidP="00466861">
      <w:pPr>
        <w:tabs>
          <w:tab w:val="left" w:pos="0"/>
        </w:tabs>
        <w:spacing w:line="276" w:lineRule="auto"/>
        <w:jc w:val="both"/>
        <w:rPr>
          <w:rFonts w:ascii="Arial" w:eastAsia="Calibri" w:hAnsi="Arial" w:cs="Arial"/>
          <w:color w:val="000000"/>
          <w:sz w:val="22"/>
          <w:lang w:val="es-ES_tradnl" w:eastAsia="en-GB"/>
        </w:rPr>
      </w:pPr>
      <w:r w:rsidRPr="00E23980">
        <w:rPr>
          <w:rFonts w:ascii="Arial" w:eastAsia="Calibri" w:hAnsi="Arial" w:cs="Arial"/>
          <w:color w:val="000000"/>
          <w:sz w:val="22"/>
          <w:lang w:val="es-ES_tradnl" w:eastAsia="en-GB"/>
        </w:rPr>
        <w:t xml:space="preserve">El artículo 6 de la Ley 2020 de 2020 establece un deber a cargo de las entidades estatales dentro de los procedimientos que adelanten para la contratación de obras públicas. Consiste en la obligación de </w:t>
      </w:r>
      <w:r w:rsidRPr="0081325C">
        <w:rPr>
          <w:rFonts w:ascii="Arial" w:eastAsia="Calibri" w:hAnsi="Arial" w:cs="Arial"/>
          <w:i/>
          <w:iCs/>
          <w:color w:val="000000"/>
          <w:sz w:val="22"/>
          <w:lang w:val="es-ES_tradnl" w:eastAsia="en-GB"/>
        </w:rPr>
        <w:t>consultar</w:t>
      </w:r>
      <w:r w:rsidRPr="00E23980">
        <w:rPr>
          <w:rFonts w:ascii="Arial" w:eastAsia="Calibri" w:hAnsi="Arial" w:cs="Arial"/>
          <w:color w:val="000000"/>
          <w:sz w:val="22"/>
          <w:lang w:val="es-ES_tradnl" w:eastAsia="en-GB"/>
        </w:rPr>
        <w:t xml:space="preserve"> y </w:t>
      </w:r>
      <w:r w:rsidRPr="0081325C">
        <w:rPr>
          <w:rFonts w:ascii="Arial" w:eastAsia="Calibri" w:hAnsi="Arial" w:cs="Arial"/>
          <w:i/>
          <w:iCs/>
          <w:color w:val="000000"/>
          <w:sz w:val="22"/>
          <w:lang w:val="es-ES_tradnl" w:eastAsia="en-GB"/>
        </w:rPr>
        <w:t>analizar</w:t>
      </w:r>
      <w:r w:rsidRPr="00E23980">
        <w:rPr>
          <w:rFonts w:ascii="Arial" w:eastAsia="Calibri" w:hAnsi="Arial" w:cs="Arial"/>
          <w:color w:val="000000"/>
          <w:sz w:val="22"/>
          <w:lang w:val="es-ES_tradnl" w:eastAsia="en-GB"/>
        </w:rPr>
        <w:t xml:space="preserve"> la información contenida en el Registro Nacional de Obras Civiles Inconclusas. Además, </w:t>
      </w:r>
      <w:r>
        <w:rPr>
          <w:rFonts w:ascii="Arial" w:eastAsia="Calibri" w:hAnsi="Arial" w:cs="Arial"/>
          <w:color w:val="000000"/>
          <w:sz w:val="22"/>
          <w:lang w:val="es-ES_tradnl" w:eastAsia="en-GB"/>
        </w:rPr>
        <w:t>dispone</w:t>
      </w:r>
      <w:r w:rsidRPr="00E23980">
        <w:rPr>
          <w:rFonts w:ascii="Arial" w:eastAsia="Calibri" w:hAnsi="Arial" w:cs="Arial"/>
          <w:color w:val="000000"/>
          <w:sz w:val="22"/>
          <w:lang w:val="es-ES_tradnl" w:eastAsia="en-GB"/>
        </w:rPr>
        <w:t xml:space="preserve"> que en los procesos de selección </w:t>
      </w:r>
      <w:r>
        <w:rPr>
          <w:rFonts w:ascii="Arial" w:eastAsia="Calibri" w:hAnsi="Arial" w:cs="Arial"/>
          <w:color w:val="000000"/>
          <w:sz w:val="22"/>
          <w:lang w:val="es-ES_tradnl" w:eastAsia="en-GB"/>
        </w:rPr>
        <w:t>d</w:t>
      </w:r>
      <w:r w:rsidRPr="00E23980">
        <w:rPr>
          <w:rFonts w:ascii="Arial" w:eastAsia="Calibri" w:hAnsi="Arial" w:cs="Arial"/>
          <w:color w:val="000000"/>
          <w:sz w:val="22"/>
          <w:lang w:val="es-ES_tradnl" w:eastAsia="en-GB"/>
        </w:rPr>
        <w:t>e contratistas de obra e interventores han de considerarse las anotaciones de</w:t>
      </w:r>
      <w:r>
        <w:rPr>
          <w:rFonts w:ascii="Arial" w:eastAsia="Calibri" w:hAnsi="Arial" w:cs="Arial"/>
          <w:color w:val="000000"/>
          <w:sz w:val="22"/>
          <w:lang w:val="es-ES_tradnl" w:eastAsia="en-GB"/>
        </w:rPr>
        <w:t>l</w:t>
      </w:r>
      <w:r w:rsidRPr="00E23980">
        <w:rPr>
          <w:rFonts w:ascii="Arial" w:eastAsia="Calibri" w:hAnsi="Arial" w:cs="Arial"/>
          <w:color w:val="000000"/>
          <w:sz w:val="22"/>
          <w:lang w:val="es-ES_tradnl" w:eastAsia="en-GB"/>
        </w:rPr>
        <w:t xml:space="preserve"> registro en la evaluación de los factores de calidad. </w:t>
      </w:r>
      <w:r>
        <w:rPr>
          <w:rFonts w:ascii="Arial" w:eastAsia="Calibri" w:hAnsi="Arial" w:cs="Arial"/>
          <w:color w:val="000000"/>
          <w:sz w:val="22"/>
          <w:lang w:val="es-ES_tradnl" w:eastAsia="en-GB"/>
        </w:rPr>
        <w:t>La norma prescribe lo siguiente</w:t>
      </w:r>
      <w:r w:rsidRPr="00E23980">
        <w:rPr>
          <w:rFonts w:ascii="Arial" w:eastAsia="Calibri" w:hAnsi="Arial" w:cs="Arial"/>
          <w:color w:val="000000"/>
          <w:sz w:val="22"/>
          <w:lang w:val="es-ES_tradnl" w:eastAsia="en-GB"/>
        </w:rPr>
        <w:t>:</w:t>
      </w:r>
    </w:p>
    <w:p w14:paraId="537CB646" w14:textId="77777777" w:rsidR="00466861" w:rsidRPr="00E23980" w:rsidRDefault="00466861" w:rsidP="00466861">
      <w:pPr>
        <w:tabs>
          <w:tab w:val="left" w:pos="0"/>
        </w:tabs>
        <w:ind w:left="709" w:right="709"/>
        <w:jc w:val="both"/>
        <w:rPr>
          <w:rFonts w:ascii="Arial" w:eastAsia="Calibri" w:hAnsi="Arial" w:cs="Arial"/>
          <w:color w:val="000000"/>
          <w:sz w:val="21"/>
          <w:szCs w:val="21"/>
          <w:lang w:val="es-ES_tradnl" w:eastAsia="en-GB"/>
        </w:rPr>
      </w:pPr>
    </w:p>
    <w:p w14:paraId="72697A5C" w14:textId="77777777" w:rsidR="00466861" w:rsidRPr="00E23980"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E23980">
        <w:rPr>
          <w:rFonts w:ascii="Arial" w:eastAsia="Calibri" w:hAnsi="Arial" w:cs="Arial"/>
          <w:color w:val="000000"/>
          <w:sz w:val="21"/>
          <w:szCs w:val="21"/>
          <w:lang w:val="es-ES_tradnl" w:eastAsia="en-GB"/>
        </w:rPr>
        <w:t>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w:t>
      </w:r>
    </w:p>
    <w:p w14:paraId="538820F1" w14:textId="77777777" w:rsidR="00466861" w:rsidRPr="00E23980"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E23980">
        <w:rPr>
          <w:rFonts w:ascii="Arial" w:eastAsia="Calibri" w:hAnsi="Arial" w:cs="Arial"/>
          <w:color w:val="000000"/>
          <w:sz w:val="21"/>
          <w:szCs w:val="21"/>
          <w:lang w:val="es-ES_tradnl" w:eastAsia="en-GB"/>
        </w:rPr>
        <w:t xml:space="preserve">Durante los procesos de selección objetiva para contratistas de obra o interventores, se tendrán en cuenta las anotaciones vigentes en el Registro Nacional de Obras Civiles Inconclusas al momento de evaluar los factores de </w:t>
      </w:r>
      <w:r w:rsidRPr="00E23980">
        <w:rPr>
          <w:rFonts w:ascii="Arial" w:eastAsia="Calibri" w:hAnsi="Arial" w:cs="Arial"/>
          <w:color w:val="000000"/>
          <w:sz w:val="21"/>
          <w:szCs w:val="21"/>
          <w:lang w:val="es-ES_tradnl" w:eastAsia="en-GB"/>
        </w:rPr>
        <w:lastRenderedPageBreak/>
        <w:t>ponderación de calidad, establecidos en el literal a) del artículo 5o de la Ley 1150 de 2007 o la norma que la modifique.</w:t>
      </w:r>
    </w:p>
    <w:p w14:paraId="2864B1C4" w14:textId="77777777" w:rsidR="00466861" w:rsidRPr="00E23980" w:rsidRDefault="00466861" w:rsidP="00466861">
      <w:pPr>
        <w:tabs>
          <w:tab w:val="left" w:pos="0"/>
        </w:tabs>
        <w:ind w:left="709" w:right="709"/>
        <w:jc w:val="both"/>
        <w:rPr>
          <w:rFonts w:ascii="Arial" w:eastAsia="Calibri" w:hAnsi="Arial" w:cs="Arial"/>
          <w:color w:val="000000"/>
          <w:sz w:val="21"/>
          <w:szCs w:val="21"/>
          <w:lang w:val="es-ES_tradnl" w:eastAsia="en-GB"/>
        </w:rPr>
      </w:pPr>
      <w:r w:rsidRPr="00E23980">
        <w:rPr>
          <w:rFonts w:ascii="Arial" w:eastAsia="Calibri" w:hAnsi="Arial" w:cs="Arial"/>
          <w:color w:val="000000"/>
          <w:sz w:val="21"/>
          <w:szCs w:val="21"/>
          <w:lang w:val="es-ES_tradnl" w:eastAsia="en-GB"/>
        </w:rPr>
        <w:t>Cualquier controversia o solicitud que surja en relación con los reportes eje información que suministre la entidad contratante, serán resueltos por esta, atendiendo los principios y disposiciones establecidos en la normatividad vigente.</w:t>
      </w:r>
    </w:p>
    <w:p w14:paraId="3A047B7A" w14:textId="77777777" w:rsidR="00466861" w:rsidRPr="00E23980" w:rsidRDefault="00466861" w:rsidP="00466861">
      <w:pPr>
        <w:tabs>
          <w:tab w:val="left" w:pos="0"/>
        </w:tabs>
        <w:spacing w:line="276" w:lineRule="auto"/>
        <w:jc w:val="both"/>
        <w:rPr>
          <w:rFonts w:ascii="Arial" w:eastAsia="Calibri" w:hAnsi="Arial" w:cs="Arial"/>
          <w:color w:val="000000"/>
          <w:sz w:val="22"/>
          <w:lang w:val="es-ES_tradnl" w:eastAsia="en-GB"/>
        </w:rPr>
      </w:pPr>
    </w:p>
    <w:p w14:paraId="5901D7E7" w14:textId="77777777" w:rsidR="00466861" w:rsidRDefault="00466861" w:rsidP="00466861">
      <w:pPr>
        <w:tabs>
          <w:tab w:val="left" w:pos="0"/>
        </w:tabs>
        <w:spacing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Como se observa, el artículo citado prescribe que las entidades estatales deben revisar «</w:t>
      </w:r>
      <w:r w:rsidRPr="00C62BBB">
        <w:rPr>
          <w:rFonts w:ascii="Arial" w:eastAsia="Calibri" w:hAnsi="Arial" w:cs="Arial"/>
          <w:color w:val="000000"/>
          <w:sz w:val="22"/>
          <w:lang w:val="es-ES_tradnl" w:eastAsia="en-GB"/>
        </w:rPr>
        <w:t xml:space="preserve">[…] las </w:t>
      </w:r>
      <w:r w:rsidRPr="00414246">
        <w:rPr>
          <w:rFonts w:ascii="Arial" w:eastAsia="Calibri" w:hAnsi="Arial" w:cs="Arial"/>
          <w:color w:val="000000"/>
          <w:sz w:val="22"/>
          <w:lang w:val="es-ES_tradnl" w:eastAsia="en-GB"/>
        </w:rPr>
        <w:t>anotaciones vigentes en el Registro Nacional de Obras Civiles Inconclusas al momento de evaluar los factores de ponderación de calidad, establecidos en el literal a) del artículo 5o de la Ley 1150 de 2007 o la norma que la modifique</w:t>
      </w:r>
      <w:r>
        <w:rPr>
          <w:rFonts w:ascii="Arial" w:eastAsia="Calibri" w:hAnsi="Arial" w:cs="Arial"/>
          <w:color w:val="000000"/>
          <w:sz w:val="22"/>
          <w:lang w:val="es-ES_tradnl" w:eastAsia="en-GB"/>
        </w:rPr>
        <w:t>»</w:t>
      </w:r>
      <w:r w:rsidRPr="00414246">
        <w:rPr>
          <w:rFonts w:ascii="Arial" w:eastAsia="Calibri" w:hAnsi="Arial" w:cs="Arial"/>
          <w:color w:val="000000"/>
          <w:sz w:val="22"/>
          <w:lang w:val="es-ES_tradnl" w:eastAsia="en-GB"/>
        </w:rPr>
        <w:t>.</w:t>
      </w:r>
      <w:r>
        <w:rPr>
          <w:rFonts w:ascii="Arial" w:eastAsia="Calibri" w:hAnsi="Arial" w:cs="Arial"/>
          <w:color w:val="000000"/>
          <w:sz w:val="22"/>
          <w:lang w:val="es-ES_tradnl" w:eastAsia="en-GB"/>
        </w:rPr>
        <w:t xml:space="preserve"> Teniendo en cuenta que el artículo 6 de la Ley 2020 de 2020 se remite al literal a) del artículo 5 de la Ley 1150 de 2007, conviene recordar lo señalado en dicho enunciado normativo. Este consagra los criterios para garantizar la </w:t>
      </w:r>
      <w:r w:rsidRPr="00B1741D">
        <w:rPr>
          <w:rFonts w:ascii="Arial" w:eastAsia="Calibri" w:hAnsi="Arial" w:cs="Arial"/>
          <w:i/>
          <w:iCs/>
          <w:color w:val="000000"/>
          <w:sz w:val="22"/>
          <w:lang w:val="es-ES_tradnl" w:eastAsia="en-GB"/>
        </w:rPr>
        <w:t>selección objetiva</w:t>
      </w:r>
      <w:r>
        <w:rPr>
          <w:rFonts w:ascii="Arial" w:eastAsia="Calibri" w:hAnsi="Arial" w:cs="Arial"/>
          <w:color w:val="000000"/>
          <w:sz w:val="22"/>
          <w:lang w:val="es-ES_tradnl" w:eastAsia="en-GB"/>
        </w:rPr>
        <w:t xml:space="preserve"> en los procedimientos contractuales, precisando la metodología con la cual pueden establecerse tanto los requisitos habilitantes como los criterios de evaluación. En lo pertinente, la norma dispone que:</w:t>
      </w:r>
    </w:p>
    <w:p w14:paraId="36C497EE" w14:textId="77777777" w:rsidR="00466861" w:rsidRPr="00B92751" w:rsidRDefault="00466861" w:rsidP="00466861">
      <w:pPr>
        <w:tabs>
          <w:tab w:val="left" w:pos="0"/>
        </w:tabs>
        <w:ind w:right="709"/>
        <w:jc w:val="both"/>
        <w:rPr>
          <w:rFonts w:ascii="Arial" w:eastAsia="Calibri" w:hAnsi="Arial" w:cs="Arial"/>
          <w:color w:val="000000"/>
          <w:sz w:val="21"/>
          <w:szCs w:val="21"/>
          <w:lang w:val="es-ES_tradnl" w:eastAsia="en-GB"/>
        </w:rPr>
      </w:pPr>
    </w:p>
    <w:p w14:paraId="2F05453A" w14:textId="77777777" w:rsidR="00466861" w:rsidRPr="00B92751"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Pr>
          <w:rFonts w:ascii="Arial" w:eastAsia="Calibri" w:hAnsi="Arial" w:cs="Arial"/>
          <w:color w:val="000000"/>
          <w:sz w:val="21"/>
          <w:szCs w:val="21"/>
          <w:lang w:val="es-ES_tradnl" w:eastAsia="en-GB"/>
        </w:rPr>
        <w:t xml:space="preserve">[…] </w:t>
      </w:r>
      <w:r w:rsidRPr="00B92751">
        <w:rPr>
          <w:rFonts w:ascii="Arial" w:eastAsia="Calibri" w:hAnsi="Arial" w:cs="Arial"/>
          <w:color w:val="000000"/>
          <w:sz w:val="21"/>
          <w:szCs w:val="21"/>
          <w:lang w:val="es-ES_tradnl" w:eastAsia="en-GB"/>
        </w:rPr>
        <w:t>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783D8BA6" w14:textId="77777777" w:rsidR="00466861" w:rsidRPr="00B92751"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B92751">
        <w:rPr>
          <w:rFonts w:ascii="Arial" w:eastAsia="Calibri" w:hAnsi="Arial" w:cs="Arial"/>
          <w:color w:val="000000"/>
          <w:sz w:val="21"/>
          <w:szCs w:val="21"/>
          <w:lang w:val="es-ES_tradnl" w:eastAsia="en-GB"/>
        </w:rPr>
        <w:t>En los procesos de selección en los que se tenga en cuenta los factores técnicos y económicos, la oferta más ventajosa será la que resulte de aplicar alguna de las siguientes alternativas:</w:t>
      </w:r>
    </w:p>
    <w:p w14:paraId="6C234761" w14:textId="77777777" w:rsidR="00466861" w:rsidRPr="00B92751"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78286B">
        <w:rPr>
          <w:rFonts w:ascii="Arial" w:eastAsia="Calibri" w:hAnsi="Arial" w:cs="Arial"/>
          <w:i/>
          <w:iCs/>
          <w:color w:val="000000"/>
          <w:sz w:val="21"/>
          <w:szCs w:val="21"/>
          <w:lang w:val="es-ES_tradnl" w:eastAsia="en-GB"/>
        </w:rPr>
        <w:t>a) La ponderación de los elementos de calidad y precio soportados en puntajes o fórmulas señaladas en el pliego de condiciones; o</w:t>
      </w:r>
    </w:p>
    <w:p w14:paraId="2076399E" w14:textId="77777777" w:rsidR="00466861" w:rsidRPr="00B92751" w:rsidRDefault="00466861" w:rsidP="00466861">
      <w:pPr>
        <w:tabs>
          <w:tab w:val="left" w:pos="0"/>
        </w:tabs>
        <w:ind w:left="709" w:right="709"/>
        <w:jc w:val="both"/>
        <w:rPr>
          <w:rFonts w:ascii="Arial" w:eastAsia="Calibri" w:hAnsi="Arial" w:cs="Arial"/>
          <w:color w:val="000000"/>
          <w:sz w:val="21"/>
          <w:szCs w:val="21"/>
          <w:lang w:val="es-ES_tradnl" w:eastAsia="en-GB"/>
        </w:rPr>
      </w:pPr>
      <w:r w:rsidRPr="00B92751">
        <w:rPr>
          <w:rFonts w:ascii="Arial" w:eastAsia="Calibri" w:hAnsi="Arial" w:cs="Arial"/>
          <w:color w:val="000000"/>
          <w:sz w:val="21"/>
          <w:szCs w:val="21"/>
          <w:lang w:val="es-ES_tradnl" w:eastAsia="en-GB"/>
        </w:rPr>
        <w:t>b) La ponderación de los elementos de calidad y precio que representen la mejor relación de costo-beneficio para la entidad</w:t>
      </w:r>
      <w:r>
        <w:rPr>
          <w:rFonts w:ascii="Arial" w:eastAsia="Calibri" w:hAnsi="Arial" w:cs="Arial"/>
          <w:color w:val="000000"/>
          <w:sz w:val="21"/>
          <w:szCs w:val="21"/>
          <w:lang w:val="es-ES_tradnl" w:eastAsia="en-GB"/>
        </w:rPr>
        <w:t>. (Énfasis fuera de texto)</w:t>
      </w:r>
    </w:p>
    <w:p w14:paraId="728D3318" w14:textId="77777777" w:rsidR="00466861" w:rsidRDefault="00466861" w:rsidP="00466861">
      <w:pPr>
        <w:tabs>
          <w:tab w:val="left" w:pos="0"/>
        </w:tabs>
        <w:ind w:left="709" w:right="709"/>
        <w:jc w:val="both"/>
        <w:rPr>
          <w:rFonts w:ascii="Arial" w:eastAsia="Calibri" w:hAnsi="Arial" w:cs="Arial"/>
          <w:color w:val="000000"/>
          <w:sz w:val="21"/>
          <w:szCs w:val="21"/>
          <w:lang w:val="es-ES_tradnl" w:eastAsia="en-GB"/>
        </w:rPr>
      </w:pPr>
    </w:p>
    <w:p w14:paraId="2DEE119C" w14:textId="77777777" w:rsidR="00466861" w:rsidRDefault="00466861" w:rsidP="00466861">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Así las cosas, para interpretar el apartado del artículo 6 de la Ley 2020 de 2020 –referido a la evaluación de los factores de ponderación de calidad, previo análisis de las anotaciones del Registro Nacional de Obras Civiles Inconclusas–, debe resaltarse que el artículo 5 de la Ley 1150 de 2007 </w:t>
      </w:r>
      <w:r w:rsidRPr="004B76D3">
        <w:rPr>
          <w:rFonts w:ascii="Arial" w:eastAsia="Calibri" w:hAnsi="Arial" w:cs="Arial"/>
          <w:iCs/>
          <w:color w:val="000000"/>
          <w:sz w:val="22"/>
          <w:lang w:val="es-ES_tradnl" w:eastAsia="en-GB"/>
        </w:rPr>
        <w:t>no</w:t>
      </w:r>
      <w:r w:rsidRPr="004B76D3">
        <w:rPr>
          <w:rFonts w:ascii="Arial" w:eastAsia="Calibri" w:hAnsi="Arial" w:cs="Arial"/>
          <w:color w:val="000000"/>
          <w:sz w:val="22"/>
          <w:lang w:val="es-ES_tradnl" w:eastAsia="en-GB"/>
        </w:rPr>
        <w:t xml:space="preserve"> los define,</w:t>
      </w:r>
      <w:r>
        <w:rPr>
          <w:rFonts w:ascii="Arial" w:eastAsia="Calibri" w:hAnsi="Arial" w:cs="Arial"/>
          <w:color w:val="000000"/>
          <w:sz w:val="22"/>
          <w:lang w:val="es-ES_tradnl" w:eastAsia="en-GB"/>
        </w:rPr>
        <w:t xml:space="preserve"> sino que se limita a mencionarlos de manera genérica. En efecto, el literal a) de dicho artículo está precedido por un inciso que establece: «</w:t>
      </w:r>
      <w:r w:rsidRPr="00F93E41">
        <w:rPr>
          <w:rFonts w:ascii="Arial" w:eastAsia="Calibri" w:hAnsi="Arial" w:cs="Arial"/>
          <w:color w:val="000000"/>
          <w:sz w:val="22"/>
          <w:lang w:val="es-ES_tradnl" w:eastAsia="en-GB"/>
        </w:rPr>
        <w:t>En los procesos de selección en los que se tenga en cuenta los factores técnicos y económicos, la oferta más ventajosa será la que resulte de aplicar alguna de las siguientes alternativas</w:t>
      </w:r>
      <w:r>
        <w:rPr>
          <w:rFonts w:ascii="Arial" w:eastAsia="Calibri" w:hAnsi="Arial" w:cs="Arial"/>
          <w:color w:val="000000"/>
          <w:sz w:val="22"/>
          <w:lang w:val="es-ES_tradnl" w:eastAsia="en-GB"/>
        </w:rPr>
        <w:t xml:space="preserve">»; y, a renglón seguido, dentro de las «alternativas», el legislador incorpora la </w:t>
      </w:r>
      <w:r>
        <w:rPr>
          <w:rFonts w:ascii="Arial" w:eastAsia="Calibri" w:hAnsi="Arial" w:cs="Arial"/>
          <w:color w:val="000000"/>
          <w:sz w:val="22"/>
          <w:lang w:val="es-ES_tradnl" w:eastAsia="en-GB"/>
        </w:rPr>
        <w:lastRenderedPageBreak/>
        <w:t>siguiente: «</w:t>
      </w:r>
      <w:r w:rsidRPr="006959A5">
        <w:rPr>
          <w:rFonts w:ascii="Arial" w:eastAsia="Calibri" w:hAnsi="Arial" w:cs="Arial"/>
          <w:color w:val="000000"/>
          <w:sz w:val="22"/>
          <w:lang w:val="es-ES_tradnl" w:eastAsia="en-GB"/>
        </w:rPr>
        <w:t>a) La ponderación de los elementos de calidad y precio soportados en puntajes o fórmulas señaladas en el pliego de condiciones</w:t>
      </w:r>
      <w:r>
        <w:rPr>
          <w:rFonts w:ascii="Arial" w:eastAsia="Calibri" w:hAnsi="Arial" w:cs="Arial"/>
          <w:color w:val="000000"/>
          <w:sz w:val="22"/>
          <w:lang w:val="es-ES_tradnl" w:eastAsia="en-GB"/>
        </w:rPr>
        <w:t>».</w:t>
      </w:r>
    </w:p>
    <w:p w14:paraId="21266B1C" w14:textId="5D58128C" w:rsidR="00466861" w:rsidRDefault="00466861" w:rsidP="00466861">
      <w:pPr>
        <w:tabs>
          <w:tab w:val="left" w:pos="0"/>
        </w:tabs>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Como puede apreciarse, el Congreso de la República optó por conceder a las entidades estatales un margen de discrecionalidad administrativa para determinar en los procedimientos de selección que realicen cuáles serán los elementos de calidad y precio que tendrán en cuenta en la calificación o ponderación</w:t>
      </w:r>
      <w:r w:rsidRPr="00241618">
        <w:rPr>
          <w:rFonts w:ascii="Arial" w:eastAsia="Calibri" w:hAnsi="Arial" w:cs="Arial"/>
          <w:color w:val="FF0000"/>
          <w:sz w:val="22"/>
          <w:lang w:val="es-ES_tradnl" w:eastAsia="en-GB"/>
        </w:rPr>
        <w:t xml:space="preserve">. </w:t>
      </w:r>
      <w:r>
        <w:rPr>
          <w:rFonts w:ascii="Arial" w:eastAsia="Calibri" w:hAnsi="Arial" w:cs="Arial"/>
          <w:color w:val="000000"/>
          <w:sz w:val="22"/>
          <w:lang w:val="es-ES_tradnl" w:eastAsia="en-GB"/>
        </w:rPr>
        <w:t>De igual forma, el legislador no estableció una fórmula o metodología específica para realizar esta ponderación, sino que también lo dejó librado a la apreciación de las entidades públicas interesadas en contratar.</w:t>
      </w:r>
    </w:p>
    <w:p w14:paraId="59E7D80E" w14:textId="103D9BD5" w:rsidR="00466861" w:rsidRDefault="00466861" w:rsidP="00466861">
      <w:pPr>
        <w:tabs>
          <w:tab w:val="left" w:pos="0"/>
        </w:tabs>
        <w:spacing w:before="120" w:line="276" w:lineRule="auto"/>
        <w:ind w:firstLine="709"/>
        <w:jc w:val="both"/>
        <w:rPr>
          <w:rFonts w:ascii="Arial" w:hAnsi="Arial" w:cs="Arial"/>
          <w:color w:val="000000" w:themeColor="text1"/>
          <w:sz w:val="22"/>
        </w:rPr>
      </w:pPr>
      <w:r>
        <w:rPr>
          <w:rFonts w:ascii="Arial" w:eastAsia="Calibri" w:hAnsi="Arial" w:cs="Arial"/>
          <w:color w:val="000000"/>
          <w:sz w:val="22"/>
          <w:lang w:val="es-ES_tradnl" w:eastAsia="en-GB"/>
        </w:rPr>
        <w:t xml:space="preserve">Esta Subdirección se ha pronunciado sobre el reconocimiento de la discrecionalidad administrativa como modelo de asignación de potestades en la contratación estatal. Por ejemplo, en el Concepto C-120 del 3 de marzo de 2020 </w:t>
      </w:r>
      <w:r w:rsidR="003C784E">
        <w:rPr>
          <w:rFonts w:ascii="Arial" w:eastAsia="Calibri" w:hAnsi="Arial" w:cs="Arial"/>
          <w:color w:val="000000"/>
          <w:sz w:val="22"/>
          <w:lang w:val="es-ES_tradnl" w:eastAsia="en-GB"/>
        </w:rPr>
        <w:t>señaló</w:t>
      </w:r>
      <w:r>
        <w:rPr>
          <w:rFonts w:ascii="Arial" w:eastAsia="Calibri" w:hAnsi="Arial" w:cs="Arial"/>
          <w:color w:val="000000"/>
          <w:sz w:val="22"/>
          <w:lang w:val="es-ES_tradnl" w:eastAsia="en-GB"/>
        </w:rPr>
        <w:t xml:space="preserve"> que si bien la discrecionalidad implica un espacio de libertad para las entidades estales, en todo caso, al hacer uso de ella, deben observar el artículo 44 de la Ley 1437 de 2011, según el cual </w:t>
      </w:r>
      <w:r>
        <w:rPr>
          <w:rFonts w:ascii="Arial" w:hAnsi="Arial" w:cs="Arial"/>
          <w:color w:val="000000" w:themeColor="text1"/>
          <w:sz w:val="22"/>
        </w:rPr>
        <w:t xml:space="preserve">la decisión debe ser </w:t>
      </w:r>
      <w:r w:rsidRPr="00ED3C26">
        <w:rPr>
          <w:rFonts w:ascii="Arial" w:hAnsi="Arial" w:cs="Arial"/>
          <w:color w:val="000000" w:themeColor="text1"/>
          <w:sz w:val="22"/>
        </w:rPr>
        <w:t>adecuada y proporcional al trámite y a los hechos que lo motivaron</w:t>
      </w:r>
      <w:r>
        <w:rPr>
          <w:rStyle w:val="Refdenotaalpie"/>
          <w:rFonts w:ascii="Arial" w:hAnsi="Arial" w:cs="Arial"/>
          <w:color w:val="000000" w:themeColor="text1"/>
          <w:sz w:val="22"/>
        </w:rPr>
        <w:footnoteReference w:id="9"/>
      </w:r>
      <w:r>
        <w:rPr>
          <w:rFonts w:ascii="Arial" w:hAnsi="Arial" w:cs="Arial"/>
          <w:color w:val="000000" w:themeColor="text1"/>
          <w:sz w:val="22"/>
        </w:rPr>
        <w:t xml:space="preserve">. Este también ha sido el entendimiento de la doctrina, que ha considerado que el ejercicio de la discrecionalidad administrativa debe respetar </w:t>
      </w:r>
      <w:r w:rsidRPr="00ED3C26">
        <w:rPr>
          <w:rFonts w:ascii="Arial" w:hAnsi="Arial" w:cs="Arial"/>
          <w:color w:val="000000" w:themeColor="text1"/>
          <w:sz w:val="22"/>
        </w:rPr>
        <w:t>el principio de proporcionalidad</w:t>
      </w:r>
      <w:r w:rsidRPr="00ED3C26">
        <w:rPr>
          <w:rStyle w:val="Refdenotaalpie"/>
          <w:rFonts w:ascii="Arial" w:hAnsi="Arial" w:cs="Arial"/>
          <w:color w:val="000000" w:themeColor="text1"/>
          <w:sz w:val="22"/>
        </w:rPr>
        <w:footnoteReference w:id="10"/>
      </w:r>
      <w:r>
        <w:rPr>
          <w:rFonts w:ascii="Arial" w:hAnsi="Arial" w:cs="Arial"/>
          <w:color w:val="000000" w:themeColor="text1"/>
          <w:sz w:val="22"/>
        </w:rPr>
        <w:t>.</w:t>
      </w:r>
    </w:p>
    <w:p w14:paraId="2E58647C" w14:textId="00F1FD68" w:rsidR="00466861" w:rsidRDefault="00466861" w:rsidP="00466861">
      <w:pPr>
        <w:tabs>
          <w:tab w:val="left" w:pos="0"/>
        </w:tabs>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 xml:space="preserve">Esta discrecionalidad también se encuentra presente al momento de elaborar el pliego de condiciones y específicamente, al definir los criterios de calificación con puntos. </w:t>
      </w:r>
      <w:r w:rsidR="003C784E">
        <w:rPr>
          <w:rFonts w:ascii="Arial" w:hAnsi="Arial" w:cs="Arial"/>
          <w:color w:val="000000" w:themeColor="text1"/>
          <w:sz w:val="22"/>
        </w:rPr>
        <w:t>E</w:t>
      </w:r>
      <w:r>
        <w:rPr>
          <w:rFonts w:ascii="Arial" w:hAnsi="Arial" w:cs="Arial"/>
          <w:color w:val="000000" w:themeColor="text1"/>
          <w:sz w:val="22"/>
        </w:rPr>
        <w:t>ntr</w:t>
      </w:r>
      <w:r w:rsidR="003C784E">
        <w:rPr>
          <w:rFonts w:ascii="Arial" w:hAnsi="Arial" w:cs="Arial"/>
          <w:color w:val="000000" w:themeColor="text1"/>
          <w:sz w:val="22"/>
        </w:rPr>
        <w:t>e</w:t>
      </w:r>
      <w:r>
        <w:rPr>
          <w:rFonts w:ascii="Arial" w:hAnsi="Arial" w:cs="Arial"/>
          <w:color w:val="000000" w:themeColor="text1"/>
          <w:sz w:val="22"/>
        </w:rPr>
        <w:t xml:space="preserve"> estos criterios se encuentran los elementos de calidad y precio indicados en el artículo 5, numeral 2, literal a), de la Ley 1150 de 2007. Por ello la Sección Tercera del Consejo de Estado considera que: </w:t>
      </w:r>
    </w:p>
    <w:p w14:paraId="1013A2E5" w14:textId="77777777" w:rsidR="00466861" w:rsidRPr="0081325C" w:rsidRDefault="00466861" w:rsidP="00466861">
      <w:pPr>
        <w:tabs>
          <w:tab w:val="left" w:pos="0"/>
        </w:tabs>
        <w:spacing w:line="276" w:lineRule="auto"/>
        <w:ind w:left="709" w:right="709"/>
        <w:jc w:val="both"/>
        <w:rPr>
          <w:rFonts w:ascii="Arial" w:eastAsia="Calibri" w:hAnsi="Arial" w:cs="Arial"/>
          <w:color w:val="000000"/>
          <w:sz w:val="22"/>
          <w:szCs w:val="22"/>
          <w:lang w:val="es-ES_tradnl" w:eastAsia="en-GB"/>
        </w:rPr>
      </w:pPr>
    </w:p>
    <w:p w14:paraId="5C5CE75C" w14:textId="77777777" w:rsidR="00466861" w:rsidRPr="00DB02D7" w:rsidRDefault="00466861" w:rsidP="00466861">
      <w:pPr>
        <w:tabs>
          <w:tab w:val="left" w:pos="0"/>
        </w:tabs>
        <w:ind w:left="709" w:right="709"/>
        <w:jc w:val="both"/>
        <w:rPr>
          <w:rFonts w:ascii="Arial" w:eastAsia="Calibri" w:hAnsi="Arial" w:cs="Arial"/>
          <w:color w:val="000000"/>
          <w:sz w:val="21"/>
          <w:szCs w:val="21"/>
          <w:lang w:val="es-ES_tradnl" w:eastAsia="en-GB"/>
        </w:rPr>
      </w:pPr>
      <w:r w:rsidRPr="00A63DF7">
        <w:rPr>
          <w:rFonts w:ascii="Arial" w:eastAsia="Calibri" w:hAnsi="Arial" w:cs="Arial"/>
          <w:color w:val="000000"/>
          <w:sz w:val="21"/>
          <w:szCs w:val="21"/>
          <w:lang w:val="es-ES_tradnl" w:eastAsia="en-GB"/>
        </w:rPr>
        <w:t xml:space="preserve">Bajo esta premisa debe entenderse el deber de selección objetiva consagrado en el artículo 5 de la Ley 1150 de 2007, disposición que otorga discrecionalidad a las diversas entidades estatales para que establezcan en los pliegos de </w:t>
      </w:r>
      <w:r w:rsidRPr="00A63DF7">
        <w:rPr>
          <w:rFonts w:ascii="Arial" w:eastAsia="Calibri" w:hAnsi="Arial" w:cs="Arial"/>
          <w:color w:val="000000"/>
          <w:sz w:val="21"/>
          <w:szCs w:val="21"/>
          <w:lang w:val="es-ES_tradnl" w:eastAsia="en-GB"/>
        </w:rPr>
        <w:lastRenderedPageBreak/>
        <w:t>condiciones los diferentes factores de escogencia y calificación. Por ende, es cierto, como se desprende del libelo de la demanda, que el legislador otorgó a la Administración una libertad de elección de los distintos criterios de ponderación para asegurar que se contratará con la mejor oferta, esto es, aquella que se ajuste mejor a las finalidades de interés general</w:t>
      </w:r>
      <w:r>
        <w:rPr>
          <w:rStyle w:val="Refdenotaalpie"/>
          <w:rFonts w:ascii="Arial" w:eastAsia="Calibri" w:hAnsi="Arial" w:cs="Arial"/>
          <w:color w:val="000000"/>
          <w:sz w:val="21"/>
          <w:szCs w:val="21"/>
          <w:lang w:val="es-ES_tradnl" w:eastAsia="en-GB"/>
        </w:rPr>
        <w:footnoteReference w:id="11"/>
      </w:r>
      <w:r w:rsidRPr="00A63DF7">
        <w:rPr>
          <w:rFonts w:ascii="Arial" w:eastAsia="Calibri" w:hAnsi="Arial" w:cs="Arial"/>
          <w:color w:val="000000"/>
          <w:sz w:val="21"/>
          <w:szCs w:val="21"/>
          <w:lang w:val="es-ES_tradnl" w:eastAsia="en-GB"/>
        </w:rPr>
        <w:t>.</w:t>
      </w:r>
    </w:p>
    <w:p w14:paraId="732488CA" w14:textId="77777777" w:rsidR="00466861" w:rsidRDefault="00466861" w:rsidP="00466861">
      <w:pPr>
        <w:tabs>
          <w:tab w:val="left" w:pos="0"/>
        </w:tabs>
        <w:spacing w:line="276" w:lineRule="auto"/>
        <w:ind w:firstLine="709"/>
        <w:jc w:val="both"/>
        <w:rPr>
          <w:rFonts w:ascii="Arial" w:hAnsi="Arial" w:cs="Arial"/>
          <w:color w:val="000000" w:themeColor="text1"/>
          <w:sz w:val="22"/>
        </w:rPr>
      </w:pPr>
    </w:p>
    <w:p w14:paraId="2745E9EF" w14:textId="7D46B202" w:rsidR="00AC6801" w:rsidRPr="003B5AB7" w:rsidRDefault="00466861" w:rsidP="00AC6801">
      <w:pPr>
        <w:spacing w:line="276" w:lineRule="auto"/>
        <w:ind w:firstLine="709"/>
        <w:jc w:val="both"/>
        <w:rPr>
          <w:rFonts w:ascii="Arial" w:hAnsi="Arial" w:cs="Arial"/>
          <w:color w:val="000000" w:themeColor="text1"/>
          <w:sz w:val="22"/>
          <w:lang w:val="es-ES_tradnl"/>
        </w:rPr>
      </w:pPr>
      <w:r>
        <w:rPr>
          <w:rFonts w:ascii="Arial" w:hAnsi="Arial" w:cs="Arial"/>
          <w:color w:val="000000" w:themeColor="text1"/>
          <w:sz w:val="22"/>
        </w:rPr>
        <w:t>Por lo tanto, cuando el artículo 6 de la Ley 2020 de 2020 establece que «</w:t>
      </w:r>
      <w:r w:rsidRPr="00DB3165">
        <w:rPr>
          <w:rFonts w:ascii="Arial" w:hAnsi="Arial" w:cs="Arial"/>
          <w:color w:val="000000" w:themeColor="text1"/>
          <w:sz w:val="22"/>
        </w:rPr>
        <w:t>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w:t>
      </w:r>
      <w:r>
        <w:rPr>
          <w:rFonts w:ascii="Arial" w:hAnsi="Arial" w:cs="Arial"/>
          <w:color w:val="000000" w:themeColor="text1"/>
          <w:sz w:val="22"/>
        </w:rPr>
        <w:t>», significa que al aplicar dichos criterios de calificación con puntos dentro del procedimiento contractual, las entidades estatales deben servirse de la información contenida en el Registro</w:t>
      </w:r>
      <w:r w:rsidR="006204FE">
        <w:rPr>
          <w:rFonts w:ascii="Arial" w:hAnsi="Arial" w:cs="Arial"/>
          <w:color w:val="000000" w:themeColor="text1"/>
          <w:sz w:val="22"/>
        </w:rPr>
        <w:t xml:space="preserve"> y de las actualizaciones </w:t>
      </w:r>
      <w:r w:rsidR="006C4461">
        <w:rPr>
          <w:rFonts w:ascii="Arial" w:hAnsi="Arial" w:cs="Arial"/>
          <w:color w:val="000000" w:themeColor="text1"/>
          <w:sz w:val="22"/>
        </w:rPr>
        <w:t>de dicha información</w:t>
      </w:r>
      <w:r w:rsidR="00C35206">
        <w:rPr>
          <w:rFonts w:ascii="Arial" w:hAnsi="Arial" w:cs="Arial"/>
          <w:color w:val="000000" w:themeColor="text1"/>
          <w:sz w:val="22"/>
        </w:rPr>
        <w:t xml:space="preserve"> </w:t>
      </w:r>
      <w:r w:rsidR="006204FE">
        <w:rPr>
          <w:rFonts w:ascii="Arial" w:hAnsi="Arial" w:cs="Arial"/>
          <w:color w:val="000000" w:themeColor="text1"/>
          <w:sz w:val="22"/>
        </w:rPr>
        <w:t xml:space="preserve">que se reporten por parte de la Contraloría General </w:t>
      </w:r>
      <w:r w:rsidR="006204FE" w:rsidRPr="003B5AB7">
        <w:rPr>
          <w:rFonts w:ascii="Arial" w:hAnsi="Arial" w:cs="Arial"/>
          <w:color w:val="000000" w:themeColor="text1"/>
          <w:sz w:val="22"/>
        </w:rPr>
        <w:t>de la Rep</w:t>
      </w:r>
      <w:r w:rsidR="003C784E" w:rsidRPr="003B5AB7">
        <w:rPr>
          <w:rFonts w:ascii="Arial" w:hAnsi="Arial" w:cs="Arial"/>
          <w:color w:val="000000" w:themeColor="text1"/>
          <w:sz w:val="22"/>
        </w:rPr>
        <w:t>ú</w:t>
      </w:r>
      <w:r w:rsidR="006204FE" w:rsidRPr="003B5AB7">
        <w:rPr>
          <w:rFonts w:ascii="Arial" w:hAnsi="Arial" w:cs="Arial"/>
          <w:color w:val="000000" w:themeColor="text1"/>
          <w:sz w:val="22"/>
        </w:rPr>
        <w:t>blica y de las entidades estatales</w:t>
      </w:r>
      <w:r w:rsidR="006C4461" w:rsidRPr="003B5AB7">
        <w:rPr>
          <w:rFonts w:ascii="Arial" w:hAnsi="Arial" w:cs="Arial"/>
          <w:color w:val="000000" w:themeColor="text1"/>
          <w:sz w:val="22"/>
        </w:rPr>
        <w:t>, conf</w:t>
      </w:r>
      <w:r w:rsidR="00C35206" w:rsidRPr="003B5AB7">
        <w:rPr>
          <w:rFonts w:ascii="Arial" w:hAnsi="Arial" w:cs="Arial"/>
          <w:color w:val="000000" w:themeColor="text1"/>
          <w:sz w:val="22"/>
        </w:rPr>
        <w:t>orme lo establece el</w:t>
      </w:r>
      <w:r w:rsidR="006C4461" w:rsidRPr="003B5AB7">
        <w:rPr>
          <w:rFonts w:ascii="Arial" w:hAnsi="Arial" w:cs="Arial"/>
          <w:color w:val="000000" w:themeColor="text1"/>
          <w:sz w:val="22"/>
        </w:rPr>
        <w:t xml:space="preserve"> artículo 3 de la Ley 2020 de 2020. </w:t>
      </w:r>
      <w:r w:rsidR="003D385F" w:rsidRPr="003B5AB7">
        <w:rPr>
          <w:rFonts w:ascii="Arial" w:eastAsiaTheme="minorHAnsi" w:hAnsi="Arial" w:cs="Arial"/>
          <w:sz w:val="22"/>
          <w:szCs w:val="22"/>
          <w:lang w:val="es-MX" w:eastAsia="en-US"/>
        </w:rPr>
        <w:t>En este contexto, las entidades deberán examinar la particularidad de la anotación y determinar la forma en la que dicha anotación afectará el factor de calidad al momento de realizar la respectiva evaluación.</w:t>
      </w:r>
    </w:p>
    <w:p w14:paraId="429EE9D2" w14:textId="06B4BB57" w:rsidR="00AC6801" w:rsidRPr="003B5AB7" w:rsidRDefault="00AC6801" w:rsidP="00AC6801">
      <w:pPr>
        <w:spacing w:before="120" w:line="276" w:lineRule="auto"/>
        <w:ind w:firstLine="709"/>
        <w:jc w:val="both"/>
        <w:rPr>
          <w:rFonts w:ascii="Arial" w:hAnsi="Arial" w:cs="Arial"/>
          <w:bCs/>
          <w:color w:val="000000" w:themeColor="text1"/>
          <w:sz w:val="22"/>
          <w:lang w:val="es-ES_tradnl"/>
        </w:rPr>
      </w:pPr>
      <w:r w:rsidRPr="003B5AB7">
        <w:rPr>
          <w:rFonts w:ascii="Arial" w:hAnsi="Arial" w:cs="Arial"/>
          <w:color w:val="000000" w:themeColor="text1"/>
          <w:sz w:val="22"/>
        </w:rPr>
        <w:t xml:space="preserve">Cabe aclarar que el artículo 6 de la Ley 2020 de 2020 </w:t>
      </w:r>
      <w:r w:rsidR="00677D4A" w:rsidRPr="003B5AB7">
        <w:rPr>
          <w:rFonts w:ascii="Arial" w:hAnsi="Arial" w:cs="Arial"/>
          <w:color w:val="000000" w:themeColor="text1"/>
          <w:sz w:val="22"/>
        </w:rPr>
        <w:t xml:space="preserve">dispone </w:t>
      </w:r>
      <w:r w:rsidRPr="003B5AB7">
        <w:rPr>
          <w:rFonts w:ascii="Arial" w:hAnsi="Arial" w:cs="Arial"/>
          <w:color w:val="000000" w:themeColor="text1"/>
          <w:sz w:val="22"/>
        </w:rPr>
        <w:t>claramente que se tendrán en cuenta las anotaciones vigentes en el Registro Nacional de Obras Civiles Inconclusas al momento de evaluar los factores de ponderación de calidad</w:t>
      </w:r>
      <w:r w:rsidRPr="003B5AB7">
        <w:rPr>
          <w:rFonts w:ascii="Arial" w:hAnsi="Arial" w:cs="Arial"/>
          <w:bCs/>
          <w:color w:val="000000" w:themeColor="text1"/>
          <w:sz w:val="22"/>
        </w:rPr>
        <w:t xml:space="preserve">. Por tanto, para efectos de su valoración las entidades </w:t>
      </w:r>
      <w:r w:rsidRPr="003B5AB7">
        <w:rPr>
          <w:rFonts w:ascii="Arial" w:hAnsi="Arial" w:cs="Arial"/>
          <w:bCs/>
          <w:color w:val="000000" w:themeColor="text1"/>
          <w:sz w:val="22"/>
          <w:lang w:val="es-MX"/>
        </w:rPr>
        <w:t>deberán tener en cuenta únicamente la información contemplada en dicho Registro</w:t>
      </w:r>
      <w:r w:rsidR="00C15293" w:rsidRPr="003B5AB7">
        <w:rPr>
          <w:rFonts w:ascii="Arial" w:hAnsi="Arial" w:cs="Arial"/>
          <w:bCs/>
          <w:color w:val="000000" w:themeColor="text1"/>
          <w:sz w:val="22"/>
          <w:lang w:val="es-MX"/>
        </w:rPr>
        <w:t xml:space="preserve">, por lo que </w:t>
      </w:r>
      <w:r w:rsidRPr="003B5AB7">
        <w:rPr>
          <w:rFonts w:ascii="Arial" w:hAnsi="Arial" w:cs="Arial"/>
          <w:bCs/>
          <w:color w:val="000000" w:themeColor="text1"/>
          <w:sz w:val="22"/>
          <w:lang w:val="es-ES_tradnl"/>
        </w:rPr>
        <w:t>no podrá</w:t>
      </w:r>
      <w:r w:rsidR="009B3B9B" w:rsidRPr="003B5AB7">
        <w:rPr>
          <w:rFonts w:ascii="Arial" w:hAnsi="Arial" w:cs="Arial"/>
          <w:bCs/>
          <w:color w:val="000000" w:themeColor="text1"/>
          <w:sz w:val="22"/>
          <w:lang w:val="es-ES_tradnl"/>
        </w:rPr>
        <w:t>n</w:t>
      </w:r>
      <w:r w:rsidRPr="003B5AB7">
        <w:rPr>
          <w:rFonts w:ascii="Arial" w:hAnsi="Arial" w:cs="Arial"/>
          <w:bCs/>
          <w:color w:val="000000" w:themeColor="text1"/>
          <w:sz w:val="22"/>
          <w:lang w:val="es-ES_tradnl"/>
        </w:rPr>
        <w:t xml:space="preserve"> recopilar información adicional</w:t>
      </w:r>
      <w:r w:rsidR="00105671" w:rsidRPr="003B5AB7">
        <w:rPr>
          <w:rFonts w:ascii="Arial" w:hAnsi="Arial" w:cs="Arial"/>
          <w:bCs/>
          <w:color w:val="000000" w:themeColor="text1"/>
          <w:sz w:val="22"/>
          <w:lang w:val="es-ES_tradnl"/>
        </w:rPr>
        <w:t>.</w:t>
      </w:r>
    </w:p>
    <w:p w14:paraId="778D4829" w14:textId="3AC3C2AA" w:rsidR="00105671" w:rsidRPr="003B5AB7" w:rsidRDefault="00105671" w:rsidP="00105671">
      <w:pPr>
        <w:spacing w:before="120" w:line="276" w:lineRule="auto"/>
        <w:ind w:firstLine="709"/>
        <w:jc w:val="both"/>
        <w:rPr>
          <w:rFonts w:ascii="Arial" w:hAnsi="Arial" w:cs="Arial"/>
          <w:color w:val="000000" w:themeColor="text1"/>
          <w:sz w:val="22"/>
        </w:rPr>
      </w:pPr>
      <w:r w:rsidRPr="003B5AB7">
        <w:rPr>
          <w:rFonts w:ascii="Arial" w:hAnsi="Arial" w:cs="Arial"/>
          <w:color w:val="000000" w:themeColor="text1"/>
          <w:sz w:val="22"/>
        </w:rPr>
        <w:t>De esta manera, como las entidades estatales cuentan con discrecionalidad para determinar los criterios de calificación, corresponde a estas definir, en los pliegos de condiciones, los factores de ponderación de calidad y</w:t>
      </w:r>
      <w:r w:rsidRPr="003B5AB7">
        <w:rPr>
          <w:rFonts w:ascii="Arial" w:hAnsi="Arial" w:cs="Arial"/>
          <w:color w:val="000000" w:themeColor="text1"/>
          <w:sz w:val="22"/>
          <w:lang w:val="es-ES_tradnl"/>
        </w:rPr>
        <w:t xml:space="preserve"> la forma en que se realizará </w:t>
      </w:r>
      <w:r w:rsidR="00C15293" w:rsidRPr="003B5AB7">
        <w:rPr>
          <w:rFonts w:ascii="Arial" w:hAnsi="Arial" w:cs="Arial"/>
          <w:color w:val="000000" w:themeColor="text1"/>
          <w:sz w:val="22"/>
          <w:lang w:val="es-ES_tradnl"/>
        </w:rPr>
        <w:t>el análisis</w:t>
      </w:r>
      <w:r w:rsidRPr="003B5AB7">
        <w:rPr>
          <w:rFonts w:ascii="Arial" w:hAnsi="Arial" w:cs="Arial"/>
          <w:color w:val="000000" w:themeColor="text1"/>
          <w:sz w:val="22"/>
          <w:lang w:val="es-ES_tradnl"/>
        </w:rPr>
        <w:t xml:space="preserve"> de las anotaciones vigentes en el Registro Nacional de Obras Civiles Inconclusas al momento de ponderar los factores de calidad, conforme a los parámetros del artículo 6 de la Ley 2020 de 2020</w:t>
      </w:r>
      <w:r w:rsidRPr="003B5AB7">
        <w:rPr>
          <w:rFonts w:ascii="Arial" w:hAnsi="Arial" w:cs="Arial"/>
          <w:color w:val="000000" w:themeColor="text1"/>
          <w:sz w:val="22"/>
        </w:rPr>
        <w:t>. Lo anterior, teniendo en cuenta</w:t>
      </w:r>
      <w:r w:rsidR="00C15293" w:rsidRPr="003B5AB7">
        <w:rPr>
          <w:rFonts w:ascii="Arial" w:hAnsi="Arial" w:cs="Arial"/>
          <w:color w:val="000000" w:themeColor="text1"/>
          <w:sz w:val="22"/>
        </w:rPr>
        <w:t xml:space="preserve"> </w:t>
      </w:r>
      <w:r w:rsidRPr="003B5AB7">
        <w:rPr>
          <w:rFonts w:ascii="Arial" w:hAnsi="Arial" w:cs="Arial"/>
          <w:color w:val="000000" w:themeColor="text1"/>
          <w:sz w:val="22"/>
        </w:rPr>
        <w:t xml:space="preserve">que </w:t>
      </w:r>
      <w:r w:rsidRPr="003B5AB7">
        <w:rPr>
          <w:rFonts w:ascii="Arial" w:hAnsi="Arial" w:cs="Arial"/>
          <w:color w:val="000000" w:themeColor="text1"/>
          <w:sz w:val="22"/>
          <w:lang w:val="es-MX"/>
        </w:rPr>
        <w:t>la norma no restringió a una metodología específica el análisis y la valoración de estas anotaciones.</w:t>
      </w:r>
      <w:r w:rsidR="00C15293" w:rsidRPr="003B5AB7">
        <w:rPr>
          <w:rFonts w:ascii="Arial" w:hAnsi="Arial" w:cs="Arial"/>
          <w:color w:val="000000" w:themeColor="text1"/>
          <w:sz w:val="22"/>
          <w:lang w:val="es-MX"/>
        </w:rPr>
        <w:t xml:space="preserve"> </w:t>
      </w:r>
    </w:p>
    <w:p w14:paraId="495C4DC1" w14:textId="37A7297F" w:rsidR="00EA53D3" w:rsidRDefault="00466861" w:rsidP="00DE3F63">
      <w:pPr>
        <w:spacing w:before="120" w:line="276" w:lineRule="auto"/>
        <w:ind w:firstLine="709"/>
        <w:jc w:val="both"/>
        <w:rPr>
          <w:rFonts w:ascii="Arial" w:hAnsi="Arial" w:cs="Arial"/>
          <w:color w:val="000000" w:themeColor="text1"/>
          <w:sz w:val="22"/>
        </w:rPr>
      </w:pPr>
      <w:r w:rsidRPr="003B5AB7">
        <w:rPr>
          <w:rFonts w:ascii="Arial" w:hAnsi="Arial" w:cs="Arial"/>
          <w:color w:val="000000" w:themeColor="text1"/>
          <w:sz w:val="22"/>
        </w:rPr>
        <w:t>Situación distinta se presenta en el ejercicio</w:t>
      </w:r>
      <w:r>
        <w:rPr>
          <w:rFonts w:ascii="Arial" w:hAnsi="Arial" w:cs="Arial"/>
          <w:color w:val="000000" w:themeColor="text1"/>
          <w:sz w:val="22"/>
        </w:rPr>
        <w:t xml:space="preserve"> de la competencia de la Agencia Nacional de Contratación Pública – Colombia Compra Eficiente para la elaboración de los pliegos de condiciones tipo, pues el artículo 1 de la Ley 2022 de 2020 le permite establecer dentro de tales documentos «[…] </w:t>
      </w:r>
      <w:r w:rsidRPr="007A5947">
        <w:rPr>
          <w:rFonts w:ascii="Arial" w:hAnsi="Arial" w:cs="Arial"/>
          <w:color w:val="000000" w:themeColor="text1"/>
          <w:sz w:val="22"/>
        </w:rPr>
        <w:t xml:space="preserve">los requisitos habilitantes, factores técnicos, económicos y otros factores de escogencia, así como aquellos requisitos que, previa justificación, </w:t>
      </w:r>
      <w:r w:rsidRPr="007A5947">
        <w:rPr>
          <w:rFonts w:ascii="Arial" w:hAnsi="Arial" w:cs="Arial"/>
          <w:color w:val="000000" w:themeColor="text1"/>
          <w:sz w:val="22"/>
        </w:rPr>
        <w:lastRenderedPageBreak/>
        <w:t>representen buenas prácticas contractuales que procuren el adecuado desarrollo de los principios que rigen la contratación pública</w:t>
      </w:r>
      <w:r>
        <w:rPr>
          <w:rFonts w:ascii="Arial" w:hAnsi="Arial" w:cs="Arial"/>
          <w:color w:val="000000" w:themeColor="text1"/>
          <w:sz w:val="22"/>
        </w:rPr>
        <w:t>»</w:t>
      </w:r>
      <w:r>
        <w:rPr>
          <w:rStyle w:val="Refdenotaalpie"/>
          <w:rFonts w:ascii="Arial" w:hAnsi="Arial" w:cs="Arial"/>
          <w:color w:val="000000" w:themeColor="text1"/>
          <w:sz w:val="22"/>
        </w:rPr>
        <w:footnoteReference w:id="12"/>
      </w:r>
      <w:r w:rsidR="00DE6119">
        <w:rPr>
          <w:rFonts w:ascii="Arial" w:hAnsi="Arial" w:cs="Arial"/>
          <w:color w:val="000000" w:themeColor="text1"/>
          <w:sz w:val="22"/>
        </w:rPr>
        <w:t xml:space="preserve">. </w:t>
      </w:r>
      <w:r w:rsidR="00943B7F">
        <w:rPr>
          <w:rFonts w:ascii="Arial" w:hAnsi="Arial" w:cs="Arial"/>
          <w:color w:val="000000" w:themeColor="text1"/>
          <w:sz w:val="22"/>
        </w:rPr>
        <w:t xml:space="preserve"> </w:t>
      </w:r>
    </w:p>
    <w:p w14:paraId="3557038E" w14:textId="058AB4F3" w:rsidR="00276373" w:rsidRDefault="000F3D39" w:rsidP="00276373">
      <w:pPr>
        <w:spacing w:before="120" w:line="276" w:lineRule="auto"/>
        <w:jc w:val="both"/>
        <w:rPr>
          <w:rFonts w:ascii="Arial" w:hAnsi="Arial" w:cs="Arial"/>
          <w:b/>
          <w:color w:val="000000" w:themeColor="text1"/>
          <w:sz w:val="22"/>
        </w:rPr>
      </w:pPr>
      <w:r>
        <w:rPr>
          <w:rFonts w:ascii="Arial" w:hAnsi="Arial" w:cs="Arial"/>
          <w:b/>
          <w:color w:val="000000" w:themeColor="text1"/>
          <w:sz w:val="22"/>
        </w:rPr>
        <w:t>2.3</w:t>
      </w:r>
      <w:r w:rsidR="00E11CF0" w:rsidRPr="00E11CF0">
        <w:rPr>
          <w:rFonts w:ascii="Arial" w:hAnsi="Arial" w:cs="Arial"/>
          <w:b/>
          <w:color w:val="000000" w:themeColor="text1"/>
          <w:sz w:val="22"/>
        </w:rPr>
        <w:t>.</w:t>
      </w:r>
      <w:r w:rsidR="00EA53D3">
        <w:rPr>
          <w:rFonts w:ascii="Arial" w:hAnsi="Arial" w:cs="Arial"/>
          <w:b/>
          <w:color w:val="000000" w:themeColor="text1"/>
          <w:sz w:val="22"/>
        </w:rPr>
        <w:t xml:space="preserve"> </w:t>
      </w:r>
      <w:r w:rsidR="00466861">
        <w:rPr>
          <w:rFonts w:ascii="Arial" w:hAnsi="Arial" w:cs="Arial"/>
          <w:b/>
          <w:color w:val="000000" w:themeColor="text1"/>
          <w:sz w:val="22"/>
        </w:rPr>
        <w:t>Análisis de las anotaciones del Registro Nacional de Obras Civiles Inconclusas en los documentos tipo</w:t>
      </w:r>
      <w:r w:rsidR="00044498">
        <w:rPr>
          <w:rFonts w:ascii="Arial" w:hAnsi="Arial" w:cs="Arial"/>
          <w:b/>
          <w:color w:val="000000" w:themeColor="text1"/>
          <w:sz w:val="22"/>
        </w:rPr>
        <w:t xml:space="preserve"> </w:t>
      </w:r>
    </w:p>
    <w:p w14:paraId="17F05E34" w14:textId="77777777" w:rsidR="00FD2CA6" w:rsidRDefault="00FD2CA6" w:rsidP="00D40F8B">
      <w:pPr>
        <w:spacing w:line="276" w:lineRule="auto"/>
        <w:jc w:val="both"/>
        <w:rPr>
          <w:rFonts w:ascii="Arial" w:hAnsi="Arial" w:cs="Arial"/>
          <w:b/>
          <w:color w:val="000000" w:themeColor="text1"/>
          <w:sz w:val="22"/>
        </w:rPr>
      </w:pPr>
    </w:p>
    <w:p w14:paraId="6B05E2A9" w14:textId="34AAB4CF" w:rsidR="00466861" w:rsidRPr="00D35C93" w:rsidRDefault="00466861" w:rsidP="00466861">
      <w:pPr>
        <w:spacing w:line="276" w:lineRule="auto"/>
        <w:jc w:val="both"/>
        <w:rPr>
          <w:rFonts w:ascii="Arial" w:eastAsiaTheme="minorHAnsi" w:hAnsi="Arial" w:cs="Arial"/>
          <w:sz w:val="22"/>
          <w:szCs w:val="22"/>
          <w:lang w:val="es-MX" w:eastAsia="en-US"/>
        </w:rPr>
      </w:pPr>
      <w:r w:rsidRPr="00B437F8">
        <w:rPr>
          <w:rFonts w:ascii="Arial" w:eastAsiaTheme="minorHAnsi" w:hAnsi="Arial" w:cs="Arial"/>
          <w:sz w:val="22"/>
          <w:szCs w:val="22"/>
          <w:lang w:val="es-MX" w:eastAsia="en-US"/>
        </w:rPr>
        <w:t>El artículo 4 de la Ley 1882 de 2018, modificado por la</w:t>
      </w:r>
      <w:r>
        <w:rPr>
          <w:rFonts w:ascii="Arial" w:eastAsiaTheme="minorHAnsi" w:hAnsi="Arial" w:cs="Arial"/>
          <w:sz w:val="22"/>
          <w:szCs w:val="22"/>
          <w:lang w:val="es-MX" w:eastAsia="en-US"/>
        </w:rPr>
        <w:t xml:space="preserve"> Ley 2022 de 2020, dispone que</w:t>
      </w:r>
      <w:r w:rsidRPr="00B437F8">
        <w:rPr>
          <w:rFonts w:ascii="Arial" w:eastAsiaTheme="minorHAnsi" w:hAnsi="Arial" w:cs="Arial"/>
          <w:sz w:val="22"/>
          <w:szCs w:val="22"/>
          <w:lang w:val="es-MX" w:eastAsia="en-US"/>
        </w:rPr>
        <w:t xml:space="preserve"> la Agencia Nacional de Contratación Pública le corresponde adoptar los «</w:t>
      </w:r>
      <w:bookmarkStart w:id="6" w:name="ver_30223091"/>
      <w:r w:rsidRPr="00B437F8">
        <w:rPr>
          <w:rFonts w:ascii="Arial" w:eastAsiaTheme="minorHAnsi" w:hAnsi="Arial" w:cs="Arial"/>
          <w:sz w:val="22"/>
          <w:szCs w:val="22"/>
          <w:lang w:val="es-MX" w:eastAsia="en-US"/>
        </w:rPr>
        <w:t>documentos tipo que serán de obligatorio cumplimiento en la actividad contractual de todas las entidades sometidas al Estatuto General de Contratación de la Administración Pública».</w:t>
      </w:r>
      <w:r w:rsidR="00B24542">
        <w:rPr>
          <w:rFonts w:ascii="Arial" w:eastAsiaTheme="minorHAnsi" w:hAnsi="Arial" w:cs="Arial"/>
          <w:sz w:val="22"/>
          <w:szCs w:val="22"/>
          <w:lang w:val="es-MX" w:eastAsia="en-US"/>
        </w:rPr>
        <w:t xml:space="preserve"> </w:t>
      </w:r>
      <w:r w:rsidRPr="00066821">
        <w:rPr>
          <w:rFonts w:ascii="Arial" w:hAnsi="Arial" w:cs="Arial"/>
          <w:sz w:val="22"/>
          <w:szCs w:val="22"/>
        </w:rPr>
        <w:t>Adicionalmente señala, frente a su contenido,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5BD5656E" w14:textId="4EFE47F1" w:rsidR="00466861" w:rsidRDefault="00466861" w:rsidP="00466861">
      <w:pPr>
        <w:spacing w:before="120" w:line="276" w:lineRule="auto"/>
        <w:ind w:firstLine="709"/>
        <w:jc w:val="both"/>
        <w:rPr>
          <w:rFonts w:ascii="Arial" w:hAnsi="Arial" w:cs="Arial"/>
          <w:sz w:val="22"/>
        </w:rPr>
      </w:pPr>
      <w:r>
        <w:rPr>
          <w:rFonts w:ascii="Arial" w:eastAsiaTheme="minorHAnsi" w:hAnsi="Arial" w:cs="Arial"/>
          <w:sz w:val="22"/>
          <w:szCs w:val="22"/>
          <w:lang w:val="es-MX" w:eastAsia="en-US"/>
        </w:rPr>
        <w:t>De conformidad con las competencias asignadas,</w:t>
      </w:r>
      <w:r w:rsidRPr="004A4E65">
        <w:rPr>
          <w:rFonts w:ascii="Arial" w:hAnsi="Arial" w:cs="Arial"/>
          <w:sz w:val="22"/>
          <w:shd w:val="clear" w:color="auto" w:fill="FFFFFF"/>
        </w:rPr>
        <w:t xml:space="preserve"> </w:t>
      </w:r>
      <w:r w:rsidRPr="00066821">
        <w:rPr>
          <w:rFonts w:ascii="Arial" w:hAnsi="Arial" w:cs="Arial"/>
          <w:sz w:val="22"/>
          <w:shd w:val="clear" w:color="auto" w:fill="FFFFFF"/>
        </w:rPr>
        <w:t xml:space="preserve">la Agencia Nacional de Contratación Pública – Colombia Compra Eficiente </w:t>
      </w:r>
      <w:r>
        <w:rPr>
          <w:rFonts w:ascii="Arial" w:hAnsi="Arial" w:cs="Arial"/>
          <w:sz w:val="22"/>
          <w:shd w:val="clear" w:color="auto" w:fill="FFFFFF"/>
        </w:rPr>
        <w:t xml:space="preserve">ha expedido </w:t>
      </w:r>
      <w:r w:rsidRPr="00066821">
        <w:rPr>
          <w:rFonts w:ascii="Arial" w:hAnsi="Arial" w:cs="Arial"/>
          <w:sz w:val="22"/>
          <w:shd w:val="clear" w:color="auto" w:fill="FFFFFF"/>
        </w:rPr>
        <w:t>la</w:t>
      </w:r>
      <w:r>
        <w:rPr>
          <w:rFonts w:ascii="Arial" w:hAnsi="Arial" w:cs="Arial"/>
          <w:sz w:val="22"/>
          <w:shd w:val="clear" w:color="auto" w:fill="FFFFFF"/>
        </w:rPr>
        <w:t>s</w:t>
      </w:r>
      <w:r w:rsidRPr="00066821">
        <w:rPr>
          <w:rFonts w:ascii="Arial" w:hAnsi="Arial" w:cs="Arial"/>
          <w:sz w:val="22"/>
        </w:rPr>
        <w:t xml:space="preserve"> Resoluci</w:t>
      </w:r>
      <w:r>
        <w:rPr>
          <w:rFonts w:ascii="Arial" w:hAnsi="Arial" w:cs="Arial"/>
          <w:sz w:val="22"/>
        </w:rPr>
        <w:t>o</w:t>
      </w:r>
      <w:r w:rsidRPr="00066821">
        <w:rPr>
          <w:rFonts w:ascii="Arial" w:hAnsi="Arial" w:cs="Arial"/>
          <w:sz w:val="22"/>
        </w:rPr>
        <w:t>n</w:t>
      </w:r>
      <w:r>
        <w:rPr>
          <w:rFonts w:ascii="Arial" w:hAnsi="Arial" w:cs="Arial"/>
          <w:sz w:val="22"/>
        </w:rPr>
        <w:t xml:space="preserve">es respectivas, </w:t>
      </w:r>
      <w:r w:rsidRPr="00066821">
        <w:rPr>
          <w:rFonts w:ascii="Arial" w:hAnsi="Arial" w:cs="Arial"/>
          <w:sz w:val="22"/>
        </w:rPr>
        <w:t xml:space="preserve"> mediante la</w:t>
      </w:r>
      <w:r>
        <w:rPr>
          <w:rFonts w:ascii="Arial" w:hAnsi="Arial" w:cs="Arial"/>
          <w:sz w:val="22"/>
        </w:rPr>
        <w:t>s</w:t>
      </w:r>
      <w:r w:rsidRPr="00066821">
        <w:rPr>
          <w:rFonts w:ascii="Arial" w:hAnsi="Arial" w:cs="Arial"/>
          <w:sz w:val="22"/>
        </w:rPr>
        <w:t xml:space="preserve"> cual</w:t>
      </w:r>
      <w:r>
        <w:rPr>
          <w:rFonts w:ascii="Arial" w:hAnsi="Arial" w:cs="Arial"/>
          <w:sz w:val="22"/>
        </w:rPr>
        <w:t>es</w:t>
      </w:r>
      <w:r w:rsidRPr="00066821">
        <w:rPr>
          <w:rFonts w:ascii="Arial" w:hAnsi="Arial" w:cs="Arial"/>
          <w:sz w:val="22"/>
        </w:rPr>
        <w:t xml:space="preserve"> </w:t>
      </w:r>
      <w:r>
        <w:rPr>
          <w:rFonts w:ascii="Arial" w:hAnsi="Arial" w:cs="Arial"/>
          <w:sz w:val="22"/>
        </w:rPr>
        <w:t>implementa y desarrolla</w:t>
      </w:r>
      <w:r w:rsidR="00105671">
        <w:rPr>
          <w:rFonts w:ascii="Arial" w:hAnsi="Arial" w:cs="Arial"/>
          <w:sz w:val="22"/>
        </w:rPr>
        <w:t>, entre otros,</w:t>
      </w:r>
      <w:r w:rsidRPr="00066821">
        <w:rPr>
          <w:rFonts w:ascii="Arial" w:hAnsi="Arial" w:cs="Arial"/>
          <w:sz w:val="22"/>
        </w:rPr>
        <w:t xml:space="preserve"> los Documentos Tipo aplicables a los procesos </w:t>
      </w:r>
      <w:r>
        <w:rPr>
          <w:rFonts w:ascii="Arial" w:hAnsi="Arial" w:cs="Arial"/>
          <w:sz w:val="22"/>
        </w:rPr>
        <w:t xml:space="preserve">de </w:t>
      </w:r>
      <w:r w:rsidRPr="00066821">
        <w:rPr>
          <w:rFonts w:ascii="Arial" w:hAnsi="Arial" w:cs="Arial"/>
          <w:sz w:val="22"/>
        </w:rPr>
        <w:t>obra pública de infraestructura de transporte,</w:t>
      </w:r>
      <w:r>
        <w:rPr>
          <w:rFonts w:ascii="Arial" w:hAnsi="Arial" w:cs="Arial"/>
          <w:sz w:val="22"/>
        </w:rPr>
        <w:t xml:space="preserve"> en las modalidades de licitación pública, selección abreviada de menor cuantía, mínima cuantía</w:t>
      </w:r>
      <w:r w:rsidR="00DE6119">
        <w:rPr>
          <w:rFonts w:ascii="Arial" w:hAnsi="Arial" w:cs="Arial"/>
          <w:sz w:val="22"/>
        </w:rPr>
        <w:t xml:space="preserve"> e interventoría</w:t>
      </w:r>
      <w:r>
        <w:rPr>
          <w:rFonts w:ascii="Arial" w:hAnsi="Arial" w:cs="Arial"/>
          <w:sz w:val="22"/>
        </w:rPr>
        <w:t>, así como</w:t>
      </w:r>
      <w:r w:rsidRPr="004A4E65">
        <w:rPr>
          <w:rFonts w:ascii="Arial" w:hAnsi="Arial" w:cs="Arial"/>
          <w:sz w:val="22"/>
        </w:rPr>
        <w:t xml:space="preserve"> </w:t>
      </w:r>
      <w:r w:rsidRPr="00066821">
        <w:rPr>
          <w:rFonts w:ascii="Arial" w:hAnsi="Arial" w:cs="Arial"/>
          <w:sz w:val="22"/>
        </w:rPr>
        <w:t xml:space="preserve">los </w:t>
      </w:r>
      <w:r>
        <w:rPr>
          <w:rFonts w:ascii="Arial" w:hAnsi="Arial" w:cs="Arial"/>
          <w:sz w:val="22"/>
        </w:rPr>
        <w:t xml:space="preserve">Documentos </w:t>
      </w:r>
      <w:r w:rsidR="0011177B">
        <w:rPr>
          <w:rFonts w:ascii="Arial" w:hAnsi="Arial" w:cs="Arial"/>
          <w:sz w:val="22"/>
        </w:rPr>
        <w:t>T</w:t>
      </w:r>
      <w:r>
        <w:rPr>
          <w:rFonts w:ascii="Arial" w:hAnsi="Arial" w:cs="Arial"/>
          <w:sz w:val="22"/>
        </w:rPr>
        <w:t xml:space="preserve">ipo para los procesos de licitación de </w:t>
      </w:r>
      <w:r w:rsidRPr="00066821">
        <w:rPr>
          <w:rFonts w:ascii="Arial" w:hAnsi="Arial" w:cs="Arial"/>
          <w:sz w:val="22"/>
        </w:rPr>
        <w:t>obra pública de</w:t>
      </w:r>
      <w:r>
        <w:rPr>
          <w:rFonts w:ascii="Arial" w:hAnsi="Arial" w:cs="Arial"/>
          <w:sz w:val="22"/>
        </w:rPr>
        <w:t xml:space="preserve"> infraestructura de agua potable y saneamiento básico</w:t>
      </w:r>
      <w:r w:rsidR="006F7607">
        <w:rPr>
          <w:rFonts w:ascii="Arial" w:hAnsi="Arial" w:cs="Arial"/>
          <w:sz w:val="22"/>
        </w:rPr>
        <w:t xml:space="preserve"> y los de obra pública de </w:t>
      </w:r>
      <w:r w:rsidR="006F7607">
        <w:rPr>
          <w:rFonts w:ascii="Arial" w:hAnsi="Arial" w:cs="Arial"/>
          <w:sz w:val="22"/>
        </w:rPr>
        <w:lastRenderedPageBreak/>
        <w:t>infraestructura social</w:t>
      </w:r>
      <w:r w:rsidR="006F7607">
        <w:rPr>
          <w:rStyle w:val="Refdenotaalpie"/>
          <w:rFonts w:ascii="Arial" w:hAnsi="Arial" w:cs="Arial"/>
          <w:sz w:val="22"/>
        </w:rPr>
        <w:footnoteReference w:id="13"/>
      </w:r>
      <w:r>
        <w:rPr>
          <w:rFonts w:ascii="Arial" w:hAnsi="Arial" w:cs="Arial"/>
          <w:sz w:val="22"/>
        </w:rPr>
        <w:t xml:space="preserve">. </w:t>
      </w:r>
      <w:r w:rsidRPr="00066821">
        <w:rPr>
          <w:rFonts w:ascii="Arial" w:hAnsi="Arial" w:cs="Arial"/>
          <w:sz w:val="22"/>
        </w:rPr>
        <w:t>De acuerdo</w:t>
      </w:r>
      <w:r>
        <w:rPr>
          <w:rFonts w:ascii="Arial" w:hAnsi="Arial" w:cs="Arial"/>
          <w:sz w:val="22"/>
        </w:rPr>
        <w:t xml:space="preserve"> con</w:t>
      </w:r>
      <w:r w:rsidRPr="00066821">
        <w:rPr>
          <w:rFonts w:ascii="Arial" w:hAnsi="Arial" w:cs="Arial"/>
          <w:sz w:val="22"/>
        </w:rPr>
        <w:t xml:space="preserve"> </w:t>
      </w:r>
      <w:r>
        <w:rPr>
          <w:rFonts w:ascii="Arial" w:hAnsi="Arial" w:cs="Arial"/>
          <w:sz w:val="22"/>
        </w:rPr>
        <w:t>el</w:t>
      </w:r>
      <w:r w:rsidRPr="00066821">
        <w:rPr>
          <w:rFonts w:ascii="Arial" w:hAnsi="Arial" w:cs="Arial"/>
          <w:sz w:val="22"/>
        </w:rPr>
        <w:t xml:space="preserve"> «Documento Base»</w:t>
      </w:r>
      <w:r>
        <w:rPr>
          <w:rFonts w:ascii="Arial" w:hAnsi="Arial" w:cs="Arial"/>
          <w:sz w:val="22"/>
        </w:rPr>
        <w:t xml:space="preserve"> de dichos procesos</w:t>
      </w:r>
      <w:r w:rsidR="0011177B">
        <w:rPr>
          <w:rStyle w:val="Refdenotaalpie"/>
          <w:rFonts w:ascii="Arial" w:hAnsi="Arial" w:cs="Arial"/>
          <w:sz w:val="22"/>
        </w:rPr>
        <w:footnoteReference w:id="14"/>
      </w:r>
      <w:r>
        <w:rPr>
          <w:rFonts w:ascii="Arial" w:hAnsi="Arial" w:cs="Arial"/>
          <w:sz w:val="22"/>
        </w:rPr>
        <w:t xml:space="preserve">, con excepción de la mínima cuantía, en el numeral 4.2 </w:t>
      </w:r>
      <w:r w:rsidRPr="00066821">
        <w:rPr>
          <w:rFonts w:ascii="Arial" w:hAnsi="Arial" w:cs="Arial"/>
          <w:sz w:val="22"/>
        </w:rPr>
        <w:t>«</w:t>
      </w:r>
      <w:r>
        <w:rPr>
          <w:rFonts w:ascii="Arial" w:hAnsi="Arial" w:cs="Arial"/>
          <w:sz w:val="22"/>
        </w:rPr>
        <w:t>Factor de Calidad</w:t>
      </w:r>
      <w:r w:rsidRPr="00066821">
        <w:rPr>
          <w:rFonts w:ascii="Arial" w:hAnsi="Arial" w:cs="Arial"/>
          <w:sz w:val="22"/>
        </w:rPr>
        <w:t>»</w:t>
      </w:r>
      <w:r>
        <w:rPr>
          <w:rFonts w:ascii="Arial" w:hAnsi="Arial" w:cs="Arial"/>
          <w:sz w:val="22"/>
        </w:rPr>
        <w:t xml:space="preserve"> se contempló que: </w:t>
      </w:r>
    </w:p>
    <w:p w14:paraId="24A10681" w14:textId="77777777" w:rsidR="00466861" w:rsidRDefault="00466861" w:rsidP="00466861">
      <w:pPr>
        <w:spacing w:line="276" w:lineRule="auto"/>
        <w:ind w:firstLine="709"/>
        <w:jc w:val="both"/>
        <w:rPr>
          <w:rFonts w:ascii="Arial" w:eastAsiaTheme="minorHAnsi" w:hAnsi="Arial" w:cs="Arial"/>
          <w:sz w:val="22"/>
          <w:szCs w:val="22"/>
          <w:lang w:val="es-MX" w:eastAsia="en-US"/>
        </w:rPr>
      </w:pPr>
    </w:p>
    <w:p w14:paraId="508338A9" w14:textId="77777777" w:rsidR="00466861" w:rsidRPr="0081325C" w:rsidRDefault="00466861" w:rsidP="00466861">
      <w:pPr>
        <w:tabs>
          <w:tab w:val="left" w:pos="0"/>
        </w:tabs>
        <w:ind w:left="709" w:right="709"/>
        <w:jc w:val="both"/>
        <w:rPr>
          <w:rFonts w:ascii="Arial" w:eastAsia="Calibri" w:hAnsi="Arial" w:cs="Arial"/>
          <w:i/>
          <w:iCs/>
          <w:color w:val="000000"/>
          <w:sz w:val="21"/>
          <w:szCs w:val="21"/>
          <w:lang w:val="es-ES_tradnl" w:eastAsia="en-GB"/>
        </w:rPr>
      </w:pPr>
      <w:r w:rsidRPr="00433ACB">
        <w:rPr>
          <w:rFonts w:ascii="Arial" w:eastAsia="Calibri" w:hAnsi="Arial" w:cs="Arial"/>
          <w:color w:val="000000"/>
          <w:sz w:val="21"/>
          <w:szCs w:val="21"/>
          <w:lang w:val="es-ES_tradnl" w:eastAsia="en-GB"/>
        </w:rPr>
        <w:t xml:space="preserve">Las entidades estatales deben </w:t>
      </w:r>
      <w:r w:rsidRPr="0081325C">
        <w:rPr>
          <w:rFonts w:ascii="Arial" w:eastAsia="Calibri" w:hAnsi="Arial" w:cs="Arial"/>
          <w:bCs/>
          <w:i/>
          <w:iCs/>
          <w:color w:val="000000"/>
          <w:sz w:val="21"/>
          <w:szCs w:val="21"/>
          <w:lang w:val="es-ES_tradnl" w:eastAsia="en-GB"/>
        </w:rPr>
        <w:t>consultar</w:t>
      </w:r>
      <w:r w:rsidRPr="0081325C">
        <w:rPr>
          <w:rFonts w:ascii="Arial" w:eastAsia="Calibri" w:hAnsi="Arial" w:cs="Arial"/>
          <w:bCs/>
          <w:color w:val="000000"/>
          <w:sz w:val="21"/>
          <w:szCs w:val="21"/>
          <w:lang w:val="es-ES_tradnl" w:eastAsia="en-GB"/>
        </w:rPr>
        <w:t xml:space="preserve"> y </w:t>
      </w:r>
      <w:r w:rsidRPr="0081325C">
        <w:rPr>
          <w:rFonts w:ascii="Arial" w:eastAsia="Calibri" w:hAnsi="Arial" w:cs="Arial"/>
          <w:bCs/>
          <w:i/>
          <w:iCs/>
          <w:color w:val="000000"/>
          <w:sz w:val="21"/>
          <w:szCs w:val="21"/>
          <w:lang w:val="es-ES_tradnl" w:eastAsia="en-GB"/>
        </w:rPr>
        <w:t>analizar</w:t>
      </w:r>
      <w:r w:rsidRPr="00CA2E65">
        <w:rPr>
          <w:rFonts w:ascii="Arial" w:eastAsia="Calibri" w:hAnsi="Arial" w:cs="Arial"/>
          <w:b/>
          <w:color w:val="000000"/>
          <w:sz w:val="21"/>
          <w:szCs w:val="21"/>
          <w:lang w:val="es-ES_tradnl" w:eastAsia="en-GB"/>
        </w:rPr>
        <w:t xml:space="preserve"> </w:t>
      </w:r>
      <w:r w:rsidRPr="00433ACB">
        <w:rPr>
          <w:rFonts w:ascii="Arial" w:eastAsia="Calibri" w:hAnsi="Arial" w:cs="Arial"/>
          <w:color w:val="000000"/>
          <w:sz w:val="21"/>
          <w:szCs w:val="21"/>
          <w:lang w:val="es-ES_tradnl" w:eastAsia="en-GB"/>
        </w:rPr>
        <w:t xml:space="preserve">las anotaciones vigentes que reposen en el Registro Nacional de Obras Civiles Inconclusas, de que trata la Ley 2020 de 2020. En el evento que las personas naturales o jurídicas, nacionales o extranjeras domiciliadas o con sucursal en Colombia, o integrantes de proponentes plurales, cuenten con alguna anotación vigente de obra civil inconclusa, en el mencionado registro, se descontará un (1) punto de la sumatoria obtenida en relación con el factor de calidad. </w:t>
      </w:r>
      <w:r w:rsidRPr="000F622C">
        <w:rPr>
          <w:rFonts w:ascii="Arial" w:eastAsia="Calibri" w:hAnsi="Arial" w:cs="Arial"/>
          <w:color w:val="000000"/>
          <w:sz w:val="21"/>
          <w:szCs w:val="21"/>
          <w:lang w:val="es-ES_tradnl" w:eastAsia="en-GB"/>
        </w:rPr>
        <w:t>(</w:t>
      </w:r>
      <w:r>
        <w:rPr>
          <w:rFonts w:ascii="Arial" w:eastAsia="Calibri" w:hAnsi="Arial" w:cs="Arial"/>
          <w:color w:val="000000"/>
          <w:sz w:val="21"/>
          <w:szCs w:val="21"/>
          <w:lang w:val="es-ES_tradnl" w:eastAsia="en-GB"/>
        </w:rPr>
        <w:t>Énfasis fuera de texto)</w:t>
      </w:r>
    </w:p>
    <w:p w14:paraId="55219544" w14:textId="77777777" w:rsidR="00466861" w:rsidRPr="00F4518D" w:rsidRDefault="00466861" w:rsidP="00466861">
      <w:pPr>
        <w:spacing w:line="276" w:lineRule="auto"/>
        <w:jc w:val="both"/>
        <w:rPr>
          <w:rFonts w:ascii="Arial" w:eastAsiaTheme="minorHAnsi" w:hAnsi="Arial" w:cs="Arial"/>
          <w:sz w:val="22"/>
          <w:szCs w:val="22"/>
          <w:lang w:val="es-MX" w:eastAsia="en-US"/>
        </w:rPr>
      </w:pPr>
    </w:p>
    <w:p w14:paraId="046844CC" w14:textId="0C1AC0F8" w:rsidR="00466861" w:rsidRDefault="00466861" w:rsidP="00243319">
      <w:pPr>
        <w:spacing w:line="276" w:lineRule="auto"/>
        <w:ind w:firstLine="709"/>
        <w:jc w:val="both"/>
        <w:rPr>
          <w:rFonts w:ascii="Arial" w:eastAsiaTheme="minorHAnsi" w:hAnsi="Arial" w:cs="Arial"/>
          <w:sz w:val="22"/>
          <w:szCs w:val="22"/>
          <w:lang w:val="es-MX" w:eastAsia="en-US"/>
        </w:rPr>
      </w:pPr>
      <w:r w:rsidRPr="00F4518D">
        <w:rPr>
          <w:rFonts w:ascii="Arial" w:eastAsiaTheme="minorHAnsi" w:hAnsi="Arial" w:cs="Arial"/>
          <w:sz w:val="22"/>
          <w:szCs w:val="22"/>
          <w:lang w:val="es-MX" w:eastAsia="en-US"/>
        </w:rPr>
        <w:t>Para comprender íntegramente la forma de aplicación de</w:t>
      </w:r>
      <w:r>
        <w:rPr>
          <w:rFonts w:ascii="Arial" w:eastAsiaTheme="minorHAnsi" w:hAnsi="Arial" w:cs="Arial"/>
          <w:sz w:val="22"/>
          <w:szCs w:val="22"/>
          <w:lang w:val="es-MX" w:eastAsia="en-US"/>
        </w:rPr>
        <w:t>l numeral citado</w:t>
      </w:r>
      <w:r w:rsidRPr="00F4518D">
        <w:rPr>
          <w:rFonts w:ascii="Arial" w:eastAsiaTheme="minorHAnsi" w:hAnsi="Arial" w:cs="Arial"/>
          <w:sz w:val="22"/>
          <w:szCs w:val="22"/>
          <w:lang w:val="es-MX" w:eastAsia="en-US"/>
        </w:rPr>
        <w:t>, se revisarán dos temas que a nuestro juicio son esenciales</w:t>
      </w:r>
      <w:r w:rsidR="00105671">
        <w:rPr>
          <w:rFonts w:ascii="Arial" w:eastAsiaTheme="minorHAnsi" w:hAnsi="Arial" w:cs="Arial"/>
          <w:sz w:val="22"/>
          <w:szCs w:val="22"/>
          <w:lang w:val="es-MX" w:eastAsia="en-US"/>
        </w:rPr>
        <w:t>:</w:t>
      </w:r>
      <w:r w:rsidRPr="00F4518D">
        <w:rPr>
          <w:rFonts w:ascii="Arial" w:eastAsiaTheme="minorHAnsi" w:hAnsi="Arial" w:cs="Arial"/>
          <w:sz w:val="22"/>
          <w:szCs w:val="22"/>
          <w:lang w:val="es-MX" w:eastAsia="en-US"/>
        </w:rPr>
        <w:t xml:space="preserve"> i) el alcance de los vocablos </w:t>
      </w:r>
      <w:r w:rsidRPr="00066821">
        <w:rPr>
          <w:rFonts w:ascii="Arial" w:hAnsi="Arial" w:cs="Arial"/>
          <w:sz w:val="22"/>
        </w:rPr>
        <w:t>«</w:t>
      </w:r>
      <w:r w:rsidRPr="00F4518D">
        <w:rPr>
          <w:rFonts w:ascii="Arial" w:eastAsia="Calibri" w:hAnsi="Arial" w:cs="Arial"/>
          <w:color w:val="000000"/>
          <w:sz w:val="22"/>
          <w:szCs w:val="22"/>
          <w:lang w:val="es-ES_tradnl" w:eastAsia="en-GB"/>
        </w:rPr>
        <w:t>consultar y analizar</w:t>
      </w:r>
      <w:r w:rsidRPr="00066821">
        <w:rPr>
          <w:rFonts w:ascii="Arial" w:hAnsi="Arial" w:cs="Arial"/>
          <w:sz w:val="22"/>
        </w:rPr>
        <w:t>»</w:t>
      </w:r>
      <w:r w:rsidRPr="00F4518D">
        <w:rPr>
          <w:rFonts w:ascii="Arial" w:eastAsia="Calibri" w:hAnsi="Arial" w:cs="Arial"/>
          <w:color w:val="000000"/>
          <w:sz w:val="22"/>
          <w:szCs w:val="22"/>
          <w:lang w:val="es-ES_tradnl" w:eastAsia="en-GB"/>
        </w:rPr>
        <w:t xml:space="preserve"> y </w:t>
      </w:r>
      <w:proofErr w:type="spellStart"/>
      <w:r w:rsidRPr="00F4518D">
        <w:rPr>
          <w:rFonts w:ascii="Arial" w:eastAsia="Calibri" w:hAnsi="Arial" w:cs="Arial"/>
          <w:color w:val="000000"/>
          <w:sz w:val="22"/>
          <w:szCs w:val="22"/>
          <w:lang w:val="es-ES_tradnl" w:eastAsia="en-GB"/>
        </w:rPr>
        <w:t>ii</w:t>
      </w:r>
      <w:proofErr w:type="spellEnd"/>
      <w:r w:rsidRPr="00F4518D">
        <w:rPr>
          <w:rFonts w:ascii="Arial" w:eastAsia="Calibri" w:hAnsi="Arial" w:cs="Arial"/>
          <w:color w:val="000000"/>
          <w:sz w:val="22"/>
          <w:szCs w:val="22"/>
          <w:lang w:val="es-ES_tradnl" w:eastAsia="en-GB"/>
        </w:rPr>
        <w:t xml:space="preserve">) </w:t>
      </w:r>
      <w:r>
        <w:rPr>
          <w:rFonts w:ascii="Arial" w:eastAsia="Calibri" w:hAnsi="Arial" w:cs="Arial"/>
          <w:color w:val="000000"/>
          <w:sz w:val="22"/>
          <w:szCs w:val="22"/>
          <w:lang w:val="es-ES_tradnl" w:eastAsia="en-GB"/>
        </w:rPr>
        <w:t xml:space="preserve">las anotaciones en el Registro Nacional de Obras Civiles Inconclusas. </w:t>
      </w:r>
    </w:p>
    <w:p w14:paraId="2F23F996" w14:textId="67020AD6" w:rsidR="00466861" w:rsidRDefault="00466861" w:rsidP="00466861">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Como punto de partida, es preciso señalar que el inicio del párrafo del documento base, prescribe el deber de las entidades estatales de consultar y analizar las anotaciones vigentes que reposan en el Registro Nacional de Obras Civiles Inconclusas</w:t>
      </w:r>
      <w:r w:rsidR="003C784E">
        <w:rPr>
          <w:rFonts w:ascii="Arial" w:eastAsiaTheme="minorHAnsi" w:hAnsi="Arial" w:cs="Arial"/>
          <w:sz w:val="22"/>
          <w:szCs w:val="22"/>
          <w:lang w:val="es-MX" w:eastAsia="en-US"/>
        </w:rPr>
        <w:t xml:space="preserve">, lo cual </w:t>
      </w:r>
      <w:r>
        <w:rPr>
          <w:rFonts w:ascii="Arial" w:eastAsiaTheme="minorHAnsi" w:hAnsi="Arial" w:cs="Arial"/>
          <w:sz w:val="22"/>
          <w:szCs w:val="22"/>
          <w:lang w:val="es-MX" w:eastAsia="en-US"/>
        </w:rPr>
        <w:t xml:space="preserve">guarda coherencia con el artículo 6 de la Ley 2020 de 2020. En efecto, este primer aparte del párrafo de los </w:t>
      </w:r>
      <w:r w:rsidRPr="00066821">
        <w:rPr>
          <w:rFonts w:ascii="Arial" w:hAnsi="Arial" w:cs="Arial"/>
          <w:sz w:val="22"/>
        </w:rPr>
        <w:t>«</w:t>
      </w:r>
      <w:r>
        <w:rPr>
          <w:rFonts w:ascii="Arial" w:eastAsiaTheme="minorHAnsi" w:hAnsi="Arial" w:cs="Arial"/>
          <w:sz w:val="22"/>
          <w:szCs w:val="22"/>
          <w:lang w:val="es-MX" w:eastAsia="en-US"/>
        </w:rPr>
        <w:t>Documentos Base</w:t>
      </w:r>
      <w:r w:rsidRPr="00066821">
        <w:rPr>
          <w:rFonts w:ascii="Arial" w:hAnsi="Arial" w:cs="Arial"/>
          <w:sz w:val="22"/>
        </w:rPr>
        <w:t>»</w:t>
      </w:r>
      <w:r>
        <w:rPr>
          <w:rFonts w:ascii="Arial" w:eastAsiaTheme="minorHAnsi" w:hAnsi="Arial" w:cs="Arial"/>
          <w:sz w:val="22"/>
          <w:szCs w:val="22"/>
          <w:lang w:val="es-MX" w:eastAsia="en-US"/>
        </w:rPr>
        <w:t xml:space="preserve"> es esencialmente una transcripción del inciso primero del artículo 6, el cual dispone que </w:t>
      </w:r>
      <w:r w:rsidRPr="00066821">
        <w:rPr>
          <w:rFonts w:ascii="Arial" w:hAnsi="Arial" w:cs="Arial"/>
          <w:sz w:val="22"/>
        </w:rPr>
        <w:t>«</w:t>
      </w:r>
      <w:r w:rsidRPr="004F034D">
        <w:rPr>
          <w:rFonts w:ascii="Arial" w:eastAsiaTheme="minorHAnsi" w:hAnsi="Arial" w:cs="Arial"/>
          <w:sz w:val="22"/>
          <w:szCs w:val="22"/>
          <w:lang w:val="es-MX" w:eastAsia="en-US"/>
        </w:rPr>
        <w:t>En los procesos de contratación de obras públicas que adelanten las entidades estatales contratantes, sin importar la cuantía, deberán</w:t>
      </w:r>
      <w:r w:rsidRPr="007F665F">
        <w:rPr>
          <w:rFonts w:ascii="Arial" w:eastAsiaTheme="minorHAnsi" w:hAnsi="Arial" w:cs="Arial"/>
          <w:b/>
          <w:sz w:val="22"/>
          <w:szCs w:val="22"/>
          <w:lang w:val="es-MX" w:eastAsia="en-US"/>
        </w:rPr>
        <w:t xml:space="preserve"> </w:t>
      </w:r>
      <w:r w:rsidRPr="00A413AD">
        <w:rPr>
          <w:rFonts w:ascii="Arial" w:eastAsiaTheme="minorHAnsi" w:hAnsi="Arial" w:cs="Arial"/>
          <w:sz w:val="22"/>
          <w:szCs w:val="22"/>
          <w:lang w:val="es-MX" w:eastAsia="en-US"/>
        </w:rPr>
        <w:t>consultar y analizar</w:t>
      </w:r>
      <w:r w:rsidRPr="004F034D">
        <w:rPr>
          <w:rFonts w:ascii="Arial" w:eastAsiaTheme="minorHAnsi" w:hAnsi="Arial" w:cs="Arial"/>
          <w:sz w:val="22"/>
          <w:szCs w:val="22"/>
          <w:lang w:val="es-MX" w:eastAsia="en-US"/>
        </w:rPr>
        <w:t xml:space="preserve"> las anotaciones vigentes que presenten las personas naturales o jurídicas, nacionales o extranjeras domiciliadas o con sucursal en Colombia, en el Registro Nacional de Obras Civiles Inconclusas</w:t>
      </w:r>
      <w:r w:rsidRPr="00066821">
        <w:rPr>
          <w:rFonts w:ascii="Arial" w:hAnsi="Arial" w:cs="Arial"/>
          <w:sz w:val="22"/>
        </w:rPr>
        <w:t>»</w:t>
      </w:r>
      <w:r>
        <w:rPr>
          <w:rFonts w:ascii="Arial" w:eastAsiaTheme="minorHAnsi" w:hAnsi="Arial" w:cs="Arial"/>
          <w:sz w:val="22"/>
          <w:szCs w:val="22"/>
          <w:lang w:val="es-MX" w:eastAsia="en-US"/>
        </w:rPr>
        <w:t xml:space="preserve">. Nótese que los términos de </w:t>
      </w:r>
      <w:r w:rsidRPr="00066821">
        <w:rPr>
          <w:rFonts w:ascii="Arial" w:hAnsi="Arial" w:cs="Arial"/>
          <w:sz w:val="22"/>
        </w:rPr>
        <w:t>«</w:t>
      </w:r>
      <w:r>
        <w:rPr>
          <w:rFonts w:ascii="Arial" w:eastAsiaTheme="minorHAnsi" w:hAnsi="Arial" w:cs="Arial"/>
          <w:sz w:val="22"/>
          <w:szCs w:val="22"/>
          <w:lang w:val="es-MX" w:eastAsia="en-US"/>
        </w:rPr>
        <w:t>consultar y analizar</w:t>
      </w:r>
      <w:r w:rsidRPr="00066821">
        <w:rPr>
          <w:rFonts w:ascii="Arial" w:hAnsi="Arial" w:cs="Arial"/>
          <w:sz w:val="22"/>
        </w:rPr>
        <w:t>»</w:t>
      </w:r>
      <w:r>
        <w:rPr>
          <w:rFonts w:ascii="Arial" w:eastAsiaTheme="minorHAnsi" w:hAnsi="Arial" w:cs="Arial"/>
          <w:sz w:val="22"/>
          <w:szCs w:val="22"/>
          <w:lang w:val="es-MX" w:eastAsia="en-US"/>
        </w:rPr>
        <w:t xml:space="preserve">, son empleados tanto en los Documento Base, como en la disposición señalada. </w:t>
      </w:r>
    </w:p>
    <w:p w14:paraId="122AC12B" w14:textId="77777777" w:rsidR="00466861" w:rsidRDefault="00466861" w:rsidP="00466861">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Según su significado literal, consultar es </w:t>
      </w:r>
      <w:r w:rsidRPr="00066821">
        <w:rPr>
          <w:rFonts w:ascii="Arial" w:hAnsi="Arial" w:cs="Arial"/>
          <w:sz w:val="22"/>
        </w:rPr>
        <w:t>«</w:t>
      </w:r>
      <w:r>
        <w:rPr>
          <w:rFonts w:ascii="Arial" w:eastAsiaTheme="minorHAnsi" w:hAnsi="Arial" w:cs="Arial"/>
          <w:sz w:val="22"/>
          <w:szCs w:val="22"/>
          <w:lang w:val="es-MX" w:eastAsia="en-US"/>
        </w:rPr>
        <w:t>b</w:t>
      </w:r>
      <w:r w:rsidRPr="00D65DFE">
        <w:rPr>
          <w:rFonts w:ascii="Arial" w:eastAsiaTheme="minorHAnsi" w:hAnsi="Arial" w:cs="Arial"/>
          <w:sz w:val="22"/>
          <w:szCs w:val="22"/>
          <w:lang w:val="es-MX" w:eastAsia="en-US"/>
        </w:rPr>
        <w:t xml:space="preserve">uscar documentación o datos sobre algún asunto o </w:t>
      </w:r>
      <w:r>
        <w:rPr>
          <w:rFonts w:ascii="Arial" w:eastAsiaTheme="minorHAnsi" w:hAnsi="Arial" w:cs="Arial"/>
          <w:sz w:val="22"/>
          <w:szCs w:val="22"/>
          <w:lang w:val="es-MX" w:eastAsia="en-US"/>
        </w:rPr>
        <w:t>materia</w:t>
      </w:r>
      <w:r w:rsidRPr="00066821">
        <w:rPr>
          <w:rFonts w:ascii="Arial" w:hAnsi="Arial" w:cs="Arial"/>
          <w:sz w:val="22"/>
        </w:rPr>
        <w:t>»</w:t>
      </w:r>
      <w:r>
        <w:rPr>
          <w:rStyle w:val="Refdenotaalpie"/>
          <w:rFonts w:ascii="Arial" w:eastAsiaTheme="minorHAnsi" w:hAnsi="Arial" w:cs="Arial"/>
          <w:sz w:val="22"/>
          <w:szCs w:val="22"/>
          <w:lang w:val="es-MX" w:eastAsia="en-US"/>
        </w:rPr>
        <w:footnoteReference w:id="15"/>
      </w:r>
      <w:r>
        <w:rPr>
          <w:rFonts w:ascii="Arial" w:hAnsi="Arial" w:cs="Arial"/>
          <w:sz w:val="22"/>
        </w:rPr>
        <w:t xml:space="preserve"> y analizar </w:t>
      </w:r>
      <w:r>
        <w:rPr>
          <w:rFonts w:ascii="Arial" w:eastAsiaTheme="minorHAnsi" w:hAnsi="Arial" w:cs="Arial"/>
          <w:sz w:val="22"/>
          <w:szCs w:val="22"/>
          <w:lang w:val="es-MX" w:eastAsia="en-US"/>
        </w:rPr>
        <w:t xml:space="preserve">se refiere al </w:t>
      </w:r>
      <w:r w:rsidRPr="00066821">
        <w:rPr>
          <w:rFonts w:ascii="Arial" w:hAnsi="Arial" w:cs="Arial"/>
          <w:sz w:val="22"/>
        </w:rPr>
        <w:t>«</w:t>
      </w:r>
      <w:r>
        <w:rPr>
          <w:rFonts w:ascii="Arial" w:eastAsiaTheme="minorHAnsi" w:hAnsi="Arial" w:cs="Arial"/>
          <w:sz w:val="22"/>
          <w:szCs w:val="22"/>
          <w:lang w:val="es-MX" w:eastAsia="en-US"/>
        </w:rPr>
        <w:t>e</w:t>
      </w:r>
      <w:r w:rsidRPr="00D65DFE">
        <w:rPr>
          <w:rFonts w:ascii="Arial" w:eastAsiaTheme="minorHAnsi" w:hAnsi="Arial" w:cs="Arial"/>
          <w:sz w:val="22"/>
          <w:szCs w:val="22"/>
          <w:lang w:val="es-MX" w:eastAsia="en-US"/>
        </w:rPr>
        <w:t>xamen que se hace de una obra, de un escrito o de cualquier realidad susceptible de estudio intelectual</w:t>
      </w:r>
      <w:r w:rsidRPr="00066821">
        <w:rPr>
          <w:rFonts w:ascii="Arial" w:hAnsi="Arial" w:cs="Arial"/>
          <w:sz w:val="22"/>
        </w:rPr>
        <w:t>»</w:t>
      </w:r>
      <w:r>
        <w:rPr>
          <w:rStyle w:val="Refdenotaalpie"/>
          <w:rFonts w:ascii="Arial" w:eastAsiaTheme="minorHAnsi" w:hAnsi="Arial" w:cs="Arial"/>
          <w:sz w:val="22"/>
          <w:szCs w:val="22"/>
          <w:lang w:val="es-MX" w:eastAsia="en-US"/>
        </w:rPr>
        <w:footnoteReference w:id="16"/>
      </w:r>
      <w:r w:rsidRPr="00D65DFE">
        <w:rPr>
          <w:rFonts w:ascii="Arial" w:eastAsiaTheme="minorHAnsi" w:hAnsi="Arial" w:cs="Arial"/>
          <w:sz w:val="22"/>
          <w:szCs w:val="22"/>
          <w:lang w:val="es-MX" w:eastAsia="en-US"/>
        </w:rPr>
        <w:t>.</w:t>
      </w:r>
      <w:r>
        <w:rPr>
          <w:rFonts w:ascii="Arial" w:eastAsiaTheme="minorHAnsi" w:hAnsi="Arial" w:cs="Arial"/>
          <w:sz w:val="22"/>
          <w:szCs w:val="22"/>
          <w:lang w:val="es-MX" w:eastAsia="en-US"/>
        </w:rPr>
        <w:t xml:space="preserve"> El propósito de estas </w:t>
      </w:r>
      <w:r>
        <w:rPr>
          <w:rFonts w:ascii="Arial" w:eastAsiaTheme="minorHAnsi" w:hAnsi="Arial" w:cs="Arial"/>
          <w:sz w:val="22"/>
          <w:szCs w:val="22"/>
          <w:lang w:val="es-MX" w:eastAsia="en-US"/>
        </w:rPr>
        <w:lastRenderedPageBreak/>
        <w:t xml:space="preserve">expresiones, entonces, es el de realizar un examen minucioso de un asunto, para conocer sus características, factores, naturaleza y demás condiciones necesarias para entender el sentido del objeto de estudio. </w:t>
      </w:r>
    </w:p>
    <w:p w14:paraId="0D4141A7" w14:textId="5ED51B73" w:rsidR="00466861" w:rsidRDefault="00466861" w:rsidP="00466861">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Estos vocablos, revisten especial importancia en este estudio, p</w:t>
      </w:r>
      <w:r w:rsidR="00873162">
        <w:rPr>
          <w:rFonts w:ascii="Arial" w:eastAsiaTheme="minorHAnsi" w:hAnsi="Arial" w:cs="Arial"/>
          <w:sz w:val="22"/>
          <w:szCs w:val="22"/>
          <w:lang w:val="es-MX" w:eastAsia="en-US"/>
        </w:rPr>
        <w:t>ues</w:t>
      </w:r>
      <w:r>
        <w:rPr>
          <w:rFonts w:ascii="Arial" w:eastAsiaTheme="minorHAnsi" w:hAnsi="Arial" w:cs="Arial"/>
          <w:sz w:val="22"/>
          <w:szCs w:val="22"/>
          <w:lang w:val="es-MX" w:eastAsia="en-US"/>
        </w:rPr>
        <w:t xml:space="preserve"> con base en ese análisis la entidad estatal descontará un punto de la sumatoria obtenida en relación con el factor calidad. En otras palabras, en el evento en que </w:t>
      </w:r>
      <w:r w:rsidRPr="009246C4">
        <w:rPr>
          <w:rFonts w:ascii="Arial" w:eastAsiaTheme="minorHAnsi" w:hAnsi="Arial" w:cs="Arial"/>
          <w:sz w:val="22"/>
          <w:szCs w:val="22"/>
          <w:lang w:val="es-MX" w:eastAsia="en-US"/>
        </w:rPr>
        <w:t>las personas naturales o jurídicas, nacionales o extranjeras domiciliadas o con sucursal en Colombia, o integrantes de proponentes plurales</w:t>
      </w:r>
      <w:r>
        <w:rPr>
          <w:rFonts w:ascii="Arial" w:eastAsiaTheme="minorHAnsi" w:hAnsi="Arial" w:cs="Arial"/>
          <w:sz w:val="22"/>
          <w:szCs w:val="22"/>
          <w:lang w:val="es-MX" w:eastAsia="en-US"/>
        </w:rPr>
        <w:t xml:space="preserve">, cuenten con una anotación en dicho registro, le corresponde a la entidad examinar la particularidad de la anotación y determinar si la misma es suficiente para descontar el punto de la sumatoria total </w:t>
      </w:r>
      <w:r w:rsidRPr="005D749F">
        <w:rPr>
          <w:rFonts w:ascii="Arial" w:eastAsiaTheme="minorHAnsi" w:hAnsi="Arial" w:cs="Arial"/>
          <w:sz w:val="22"/>
          <w:szCs w:val="22"/>
          <w:lang w:val="es-MX" w:eastAsia="en-US"/>
        </w:rPr>
        <w:t>en relación con el factor de calidad.</w:t>
      </w:r>
      <w:r>
        <w:rPr>
          <w:rFonts w:ascii="Arial" w:eastAsiaTheme="minorHAnsi" w:hAnsi="Arial" w:cs="Arial"/>
          <w:sz w:val="22"/>
          <w:szCs w:val="22"/>
          <w:lang w:val="es-MX" w:eastAsia="en-US"/>
        </w:rPr>
        <w:t xml:space="preserve"> Ello encuentra sustento, a su vez, en desarrollo del trámite legislativo que se surtió en el Congreso de la República, en el cual se incorporó en el artículo 6 de la Ley 2020 de 2020 los vocablos </w:t>
      </w:r>
      <w:r w:rsidRPr="00066821">
        <w:rPr>
          <w:rFonts w:ascii="Arial" w:hAnsi="Arial" w:cs="Arial"/>
          <w:sz w:val="22"/>
        </w:rPr>
        <w:t>«</w:t>
      </w:r>
      <w:r>
        <w:rPr>
          <w:rFonts w:ascii="Arial" w:hAnsi="Arial" w:cs="Arial"/>
          <w:sz w:val="22"/>
        </w:rPr>
        <w:t xml:space="preserve">consultar y </w:t>
      </w:r>
      <w:r>
        <w:rPr>
          <w:rFonts w:ascii="Arial" w:eastAsiaTheme="minorHAnsi" w:hAnsi="Arial" w:cs="Arial"/>
          <w:sz w:val="22"/>
          <w:szCs w:val="22"/>
          <w:lang w:val="es-MX" w:eastAsia="en-US"/>
        </w:rPr>
        <w:t>analizar</w:t>
      </w:r>
      <w:r w:rsidRPr="00066821">
        <w:rPr>
          <w:rFonts w:ascii="Arial" w:hAnsi="Arial" w:cs="Arial"/>
          <w:sz w:val="22"/>
        </w:rPr>
        <w:t>»</w:t>
      </w:r>
      <w:r>
        <w:rPr>
          <w:rFonts w:ascii="Arial" w:hAnsi="Arial" w:cs="Arial"/>
          <w:sz w:val="22"/>
        </w:rPr>
        <w:t xml:space="preserve">, en el entendido que </w:t>
      </w:r>
      <w:r w:rsidRPr="00066821">
        <w:rPr>
          <w:rFonts w:ascii="Arial" w:hAnsi="Arial" w:cs="Arial"/>
          <w:sz w:val="22"/>
        </w:rPr>
        <w:t>«</w:t>
      </w:r>
      <w:r>
        <w:rPr>
          <w:rFonts w:ascii="Arial" w:hAnsi="Arial" w:cs="Arial"/>
          <w:sz w:val="22"/>
        </w:rPr>
        <w:t>no toda inclusión en el registro es imputable al contratista</w:t>
      </w:r>
      <w:r w:rsidRPr="00066821">
        <w:rPr>
          <w:rFonts w:ascii="Arial" w:hAnsi="Arial" w:cs="Arial"/>
          <w:sz w:val="22"/>
        </w:rPr>
        <w:t>»</w:t>
      </w:r>
      <w:r>
        <w:rPr>
          <w:rStyle w:val="Refdenotaalpie"/>
          <w:rFonts w:ascii="Arial" w:hAnsi="Arial" w:cs="Arial"/>
          <w:sz w:val="22"/>
        </w:rPr>
        <w:footnoteReference w:id="17"/>
      </w:r>
      <w:r>
        <w:rPr>
          <w:rFonts w:ascii="Arial" w:hAnsi="Arial" w:cs="Arial"/>
          <w:sz w:val="22"/>
        </w:rPr>
        <w:t xml:space="preserve">. </w:t>
      </w:r>
    </w:p>
    <w:p w14:paraId="1B804B88" w14:textId="7EDA6533" w:rsidR="00466861" w:rsidRPr="003B5AB7" w:rsidRDefault="00466861" w:rsidP="00466861">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De esta manera, la connotación de las palabras </w:t>
      </w:r>
      <w:r w:rsidRPr="00066821">
        <w:rPr>
          <w:rFonts w:ascii="Arial" w:hAnsi="Arial" w:cs="Arial"/>
          <w:sz w:val="22"/>
        </w:rPr>
        <w:t>«</w:t>
      </w:r>
      <w:r>
        <w:rPr>
          <w:rFonts w:ascii="Arial" w:hAnsi="Arial" w:cs="Arial"/>
          <w:sz w:val="22"/>
        </w:rPr>
        <w:t xml:space="preserve">consultar y </w:t>
      </w:r>
      <w:r>
        <w:rPr>
          <w:rFonts w:ascii="Arial" w:eastAsiaTheme="minorHAnsi" w:hAnsi="Arial" w:cs="Arial"/>
          <w:sz w:val="22"/>
          <w:szCs w:val="22"/>
          <w:lang w:val="es-MX" w:eastAsia="en-US"/>
        </w:rPr>
        <w:t>analizar</w:t>
      </w:r>
      <w:r w:rsidRPr="00066821">
        <w:rPr>
          <w:rFonts w:ascii="Arial" w:hAnsi="Arial" w:cs="Arial"/>
          <w:sz w:val="22"/>
        </w:rPr>
        <w:t>»</w:t>
      </w:r>
      <w:r>
        <w:rPr>
          <w:rFonts w:ascii="Arial" w:hAnsi="Arial" w:cs="Arial"/>
          <w:sz w:val="22"/>
        </w:rPr>
        <w:t xml:space="preserve"> </w:t>
      </w:r>
      <w:r>
        <w:rPr>
          <w:rFonts w:ascii="Arial" w:eastAsiaTheme="minorHAnsi" w:hAnsi="Arial" w:cs="Arial"/>
          <w:sz w:val="22"/>
          <w:szCs w:val="22"/>
          <w:lang w:val="es-MX" w:eastAsia="en-US"/>
        </w:rPr>
        <w:t xml:space="preserve">constituyen el marco respecto del cual se circunscribe el deber de la entidad de tener en cuenta las anotaciones en el Registro Nacional de Obras Civiles Inconclusas, para efectos de la evaluación de los factores de ponderación de calidad. En otras palabras, las expresiones </w:t>
      </w:r>
      <w:r w:rsidRPr="00066821">
        <w:rPr>
          <w:rFonts w:ascii="Arial" w:hAnsi="Arial" w:cs="Arial"/>
          <w:sz w:val="22"/>
        </w:rPr>
        <w:t>«</w:t>
      </w:r>
      <w:r>
        <w:rPr>
          <w:rFonts w:ascii="Arial" w:hAnsi="Arial" w:cs="Arial"/>
          <w:sz w:val="22"/>
        </w:rPr>
        <w:t xml:space="preserve">consultar y </w:t>
      </w:r>
      <w:r>
        <w:rPr>
          <w:rFonts w:ascii="Arial" w:eastAsiaTheme="minorHAnsi" w:hAnsi="Arial" w:cs="Arial"/>
          <w:sz w:val="22"/>
          <w:szCs w:val="22"/>
          <w:lang w:val="es-MX" w:eastAsia="en-US"/>
        </w:rPr>
        <w:t>analizar</w:t>
      </w:r>
      <w:r w:rsidRPr="00066821">
        <w:rPr>
          <w:rFonts w:ascii="Arial" w:hAnsi="Arial" w:cs="Arial"/>
          <w:sz w:val="22"/>
        </w:rPr>
        <w:t>»</w:t>
      </w:r>
      <w:r>
        <w:rPr>
          <w:rFonts w:ascii="Arial" w:eastAsiaTheme="minorHAnsi" w:hAnsi="Arial" w:cs="Arial"/>
          <w:sz w:val="22"/>
          <w:szCs w:val="22"/>
          <w:lang w:val="es-MX" w:eastAsia="en-US"/>
        </w:rPr>
        <w:t xml:space="preserve">, determinan el alcance de la interpretación tanto del contenido del artículo 6 de la Ley 2020 de 2020, como en </w:t>
      </w:r>
      <w:r w:rsidRPr="003B5AB7">
        <w:rPr>
          <w:rFonts w:ascii="Arial" w:eastAsiaTheme="minorHAnsi" w:hAnsi="Arial" w:cs="Arial"/>
          <w:sz w:val="22"/>
          <w:szCs w:val="22"/>
          <w:lang w:val="es-MX" w:eastAsia="en-US"/>
        </w:rPr>
        <w:t xml:space="preserve">el texto establecido en los Documentos Base, sobre el Registro Nacional de Obras Civiles Inconclusas. En consecuencia, el primer aparte del párrafo del </w:t>
      </w:r>
      <w:r w:rsidR="00CD68FF" w:rsidRPr="003B5AB7">
        <w:rPr>
          <w:rFonts w:ascii="Arial" w:eastAsiaTheme="minorHAnsi" w:hAnsi="Arial" w:cs="Arial"/>
          <w:sz w:val="22"/>
          <w:szCs w:val="22"/>
          <w:lang w:val="es-MX" w:eastAsia="en-US"/>
        </w:rPr>
        <w:t>documento base</w:t>
      </w:r>
      <w:r w:rsidRPr="003B5AB7">
        <w:rPr>
          <w:rFonts w:ascii="Arial" w:eastAsiaTheme="minorHAnsi" w:hAnsi="Arial" w:cs="Arial"/>
          <w:sz w:val="22"/>
          <w:szCs w:val="22"/>
          <w:lang w:val="es-MX" w:eastAsia="en-US"/>
        </w:rPr>
        <w:t xml:space="preserve"> determina el alcance </w:t>
      </w:r>
      <w:r w:rsidR="00CD68FF" w:rsidRPr="003B5AB7">
        <w:rPr>
          <w:rFonts w:ascii="Arial" w:eastAsiaTheme="minorHAnsi" w:hAnsi="Arial" w:cs="Arial"/>
          <w:sz w:val="22"/>
          <w:szCs w:val="22"/>
          <w:lang w:val="es-MX" w:eastAsia="en-US"/>
        </w:rPr>
        <w:t>de</w:t>
      </w:r>
      <w:r w:rsidRPr="003B5AB7">
        <w:rPr>
          <w:rFonts w:ascii="Arial" w:eastAsiaTheme="minorHAnsi" w:hAnsi="Arial" w:cs="Arial"/>
          <w:sz w:val="22"/>
          <w:szCs w:val="22"/>
          <w:lang w:val="es-MX" w:eastAsia="en-US"/>
        </w:rPr>
        <w:t xml:space="preserve">l texto, </w:t>
      </w:r>
      <w:r w:rsidR="004A3EAB" w:rsidRPr="003B5AB7">
        <w:rPr>
          <w:rFonts w:ascii="Arial" w:eastAsiaTheme="minorHAnsi" w:hAnsi="Arial" w:cs="Arial"/>
          <w:sz w:val="22"/>
          <w:szCs w:val="22"/>
          <w:lang w:val="es-MX" w:eastAsia="en-US"/>
        </w:rPr>
        <w:t>mientras que el segundo fragmento dispone la consecuencia jurídica, por lo que este último no puede desligarse del otro y su interpretación debe realizarse en contexto.</w:t>
      </w:r>
    </w:p>
    <w:p w14:paraId="23DE6C29" w14:textId="5FC5853B" w:rsidR="00466861" w:rsidRPr="003B5AB7" w:rsidRDefault="00466861" w:rsidP="00466861">
      <w:pPr>
        <w:spacing w:before="120" w:line="276" w:lineRule="auto"/>
        <w:ind w:firstLine="709"/>
        <w:jc w:val="both"/>
        <w:rPr>
          <w:rFonts w:ascii="Arial" w:eastAsiaTheme="minorHAnsi" w:hAnsi="Arial" w:cs="Arial"/>
          <w:sz w:val="22"/>
          <w:szCs w:val="22"/>
          <w:lang w:val="es-MX" w:eastAsia="en-US"/>
        </w:rPr>
      </w:pPr>
      <w:r w:rsidRPr="003B5AB7">
        <w:rPr>
          <w:rFonts w:ascii="Arial" w:eastAsiaTheme="minorHAnsi" w:hAnsi="Arial" w:cs="Arial"/>
          <w:sz w:val="22"/>
          <w:szCs w:val="22"/>
          <w:lang w:val="es-MX" w:eastAsia="en-US"/>
        </w:rPr>
        <w:t>Bajo estas consideraciones, la interpretación adecuada para lo dispuesto en el Documento Base es que</w:t>
      </w:r>
      <w:r w:rsidR="00445DBE" w:rsidRPr="003B5AB7">
        <w:rPr>
          <w:rFonts w:ascii="Arial" w:eastAsiaTheme="minorHAnsi" w:hAnsi="Arial" w:cs="Arial"/>
          <w:sz w:val="22"/>
          <w:szCs w:val="22"/>
          <w:lang w:val="es-MX" w:eastAsia="en-US"/>
        </w:rPr>
        <w:t>,</w:t>
      </w:r>
      <w:r w:rsidRPr="003B5AB7">
        <w:rPr>
          <w:rFonts w:ascii="Arial" w:eastAsiaTheme="minorHAnsi" w:hAnsi="Arial" w:cs="Arial"/>
          <w:sz w:val="22"/>
          <w:szCs w:val="22"/>
          <w:lang w:val="es-MX" w:eastAsia="en-US"/>
        </w:rPr>
        <w:t xml:space="preserve"> para descontar el punto de la sumatoria obtenida en relación con el factor de calidad</w:t>
      </w:r>
      <w:r w:rsidR="00445DBE" w:rsidRPr="003B5AB7">
        <w:rPr>
          <w:rFonts w:ascii="Arial" w:eastAsiaTheme="minorHAnsi" w:hAnsi="Arial" w:cs="Arial"/>
          <w:sz w:val="22"/>
          <w:szCs w:val="22"/>
          <w:lang w:val="es-MX" w:eastAsia="en-US"/>
        </w:rPr>
        <w:t>,</w:t>
      </w:r>
      <w:r w:rsidRPr="003B5AB7">
        <w:rPr>
          <w:rFonts w:ascii="Arial" w:eastAsiaTheme="minorHAnsi" w:hAnsi="Arial" w:cs="Arial"/>
          <w:sz w:val="22"/>
          <w:szCs w:val="22"/>
          <w:lang w:val="es-MX" w:eastAsia="en-US"/>
        </w:rPr>
        <w:t xml:space="preserve"> la entidad deberá consultar y analizar las anotaciones vigentes en el Registro Nacional de Obras Civiles Inconclusas. Con este panorama, la pregunta que surge a continuación es</w:t>
      </w:r>
      <w:r w:rsidR="003C784E" w:rsidRPr="003B5AB7">
        <w:rPr>
          <w:rFonts w:ascii="Arial" w:eastAsiaTheme="minorHAnsi" w:hAnsi="Arial" w:cs="Arial"/>
          <w:sz w:val="22"/>
          <w:szCs w:val="22"/>
          <w:lang w:val="es-MX" w:eastAsia="en-US"/>
        </w:rPr>
        <w:t xml:space="preserve"> la siguiente</w:t>
      </w:r>
      <w:r w:rsidRPr="003B5AB7">
        <w:rPr>
          <w:rFonts w:ascii="Arial" w:eastAsiaTheme="minorHAnsi" w:hAnsi="Arial" w:cs="Arial"/>
          <w:sz w:val="22"/>
          <w:szCs w:val="22"/>
          <w:lang w:val="es-MX" w:eastAsia="en-US"/>
        </w:rPr>
        <w:t xml:space="preserve"> ¿cómo analizar las anotaciones para descontar el punto del factor de calidad? Consideramos adecuado, por ejemplo, que en este análisis la entidad verifique si existen anotaciones relacionadas con el incumplimiento del contratista, que permita determinar que la obra no concluyó como consecuencia de este</w:t>
      </w:r>
      <w:r w:rsidR="004A3EAB" w:rsidRPr="003B5AB7">
        <w:rPr>
          <w:rFonts w:ascii="Arial" w:eastAsiaTheme="minorHAnsi" w:hAnsi="Arial" w:cs="Arial"/>
          <w:sz w:val="22"/>
          <w:szCs w:val="22"/>
          <w:lang w:val="es-MX" w:eastAsia="en-US"/>
        </w:rPr>
        <w:t>, en cuyo caso descontará el punto.</w:t>
      </w:r>
    </w:p>
    <w:p w14:paraId="26E82CE0" w14:textId="464109C5" w:rsidR="00466861" w:rsidRDefault="00466861" w:rsidP="00466861">
      <w:pPr>
        <w:spacing w:before="120" w:line="276" w:lineRule="auto"/>
        <w:ind w:firstLine="709"/>
        <w:jc w:val="both"/>
        <w:rPr>
          <w:rFonts w:ascii="Arial" w:eastAsiaTheme="minorHAnsi" w:hAnsi="Arial" w:cs="Arial"/>
          <w:sz w:val="22"/>
          <w:szCs w:val="22"/>
          <w:lang w:val="es-MX" w:eastAsia="en-US"/>
        </w:rPr>
      </w:pPr>
      <w:r w:rsidRPr="003B5AB7">
        <w:rPr>
          <w:rFonts w:ascii="Arial" w:eastAsiaTheme="minorHAnsi" w:hAnsi="Arial" w:cs="Arial"/>
          <w:sz w:val="22"/>
          <w:szCs w:val="22"/>
          <w:lang w:val="es-MX" w:eastAsia="en-US"/>
        </w:rPr>
        <w:t>Para clarificar el argumento anterior, es pertinente considerar</w:t>
      </w:r>
      <w:r w:rsidR="004A3EAB" w:rsidRPr="003B5AB7">
        <w:rPr>
          <w:rFonts w:ascii="Arial" w:eastAsiaTheme="minorHAnsi" w:hAnsi="Arial" w:cs="Arial"/>
          <w:sz w:val="22"/>
          <w:szCs w:val="22"/>
          <w:lang w:val="es-MX" w:eastAsia="en-US"/>
        </w:rPr>
        <w:t xml:space="preserve"> los cambios que tuvo</w:t>
      </w:r>
      <w:r w:rsidRPr="003B5AB7">
        <w:rPr>
          <w:rFonts w:ascii="Arial" w:eastAsiaTheme="minorHAnsi" w:hAnsi="Arial" w:cs="Arial"/>
          <w:sz w:val="22"/>
          <w:szCs w:val="22"/>
          <w:lang w:val="es-MX" w:eastAsia="en-US"/>
        </w:rPr>
        <w:t xml:space="preserve"> el artículo 6 de la Ley 2020 de 2020 durante el trámite legislativo en el Congreso de</w:t>
      </w:r>
      <w:r>
        <w:rPr>
          <w:rFonts w:ascii="Arial" w:eastAsiaTheme="minorHAnsi" w:hAnsi="Arial" w:cs="Arial"/>
          <w:sz w:val="22"/>
          <w:szCs w:val="22"/>
          <w:lang w:val="es-MX" w:eastAsia="en-US"/>
        </w:rPr>
        <w:t xml:space="preserve"> la </w:t>
      </w:r>
      <w:r>
        <w:rPr>
          <w:rFonts w:ascii="Arial" w:eastAsiaTheme="minorHAnsi" w:hAnsi="Arial" w:cs="Arial"/>
          <w:sz w:val="22"/>
          <w:szCs w:val="22"/>
          <w:lang w:val="es-MX" w:eastAsia="en-US"/>
        </w:rPr>
        <w:lastRenderedPageBreak/>
        <w:t>República, desde la radicación del proyecto hasta su versión final. Esto con el objetivo de evidenciar que el alcance del análisis de las anotaciones en el registro</w:t>
      </w:r>
      <w:r w:rsidR="00DF30B5">
        <w:rPr>
          <w:rFonts w:ascii="Arial" w:eastAsiaTheme="minorHAnsi" w:hAnsi="Arial" w:cs="Arial"/>
          <w:sz w:val="22"/>
          <w:szCs w:val="22"/>
          <w:lang w:val="es-MX" w:eastAsia="en-US"/>
        </w:rPr>
        <w:t xml:space="preserve"> también</w:t>
      </w:r>
      <w:r>
        <w:rPr>
          <w:rFonts w:ascii="Arial" w:eastAsiaTheme="minorHAnsi" w:hAnsi="Arial" w:cs="Arial"/>
          <w:sz w:val="22"/>
          <w:szCs w:val="22"/>
          <w:lang w:val="es-MX" w:eastAsia="en-US"/>
        </w:rPr>
        <w:t xml:space="preserve"> incluye la verificación de los incumplimientos del contratista respecto de las obras civiles inconclusas. </w:t>
      </w:r>
    </w:p>
    <w:p w14:paraId="340E47E5" w14:textId="77777777" w:rsidR="00466861" w:rsidRDefault="00466861" w:rsidP="00466861">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En la presentación inicial del proyecto de Ley No. 025 de 2018, </w:t>
      </w:r>
      <w:r w:rsidRPr="00066821">
        <w:rPr>
          <w:rFonts w:ascii="Arial" w:hAnsi="Arial" w:cs="Arial"/>
          <w:sz w:val="22"/>
        </w:rPr>
        <w:t>«</w:t>
      </w:r>
      <w:r w:rsidRPr="00C820AD">
        <w:rPr>
          <w:rFonts w:ascii="Arial" w:eastAsiaTheme="minorHAnsi" w:hAnsi="Arial" w:cs="Arial"/>
          <w:sz w:val="22"/>
          <w:szCs w:val="22"/>
          <w:lang w:val="es-MX" w:eastAsia="en-US"/>
        </w:rPr>
        <w:t xml:space="preserve">por medio de la cual </w:t>
      </w:r>
      <w:r>
        <w:rPr>
          <w:rFonts w:ascii="Arial" w:eastAsiaTheme="minorHAnsi" w:hAnsi="Arial" w:cs="Arial"/>
          <w:sz w:val="22"/>
          <w:szCs w:val="22"/>
          <w:lang w:val="es-MX" w:eastAsia="en-US"/>
        </w:rPr>
        <w:t xml:space="preserve">se crea el registro nacional de </w:t>
      </w:r>
      <w:r w:rsidRPr="00C820AD">
        <w:rPr>
          <w:rFonts w:ascii="Arial" w:eastAsiaTheme="minorHAnsi" w:hAnsi="Arial" w:cs="Arial"/>
          <w:sz w:val="22"/>
          <w:szCs w:val="22"/>
          <w:lang w:val="es-MX" w:eastAsia="en-US"/>
        </w:rPr>
        <w:t>obras civiles inconcl</w:t>
      </w:r>
      <w:r>
        <w:rPr>
          <w:rFonts w:ascii="Arial" w:eastAsiaTheme="minorHAnsi" w:hAnsi="Arial" w:cs="Arial"/>
          <w:sz w:val="22"/>
          <w:szCs w:val="22"/>
          <w:lang w:val="es-MX" w:eastAsia="en-US"/>
        </w:rPr>
        <w:t xml:space="preserve">usas de las entidades estatales </w:t>
      </w:r>
      <w:r w:rsidRPr="00C820AD">
        <w:rPr>
          <w:rFonts w:ascii="Arial" w:eastAsiaTheme="minorHAnsi" w:hAnsi="Arial" w:cs="Arial"/>
          <w:sz w:val="22"/>
          <w:szCs w:val="22"/>
          <w:lang w:val="es-MX" w:eastAsia="en-US"/>
        </w:rPr>
        <w:t>y se dictan otras disposiciones</w:t>
      </w:r>
      <w:r w:rsidRPr="00066821">
        <w:rPr>
          <w:rFonts w:ascii="Arial" w:hAnsi="Arial" w:cs="Arial"/>
          <w:sz w:val="22"/>
        </w:rPr>
        <w:t>»</w:t>
      </w:r>
      <w:r>
        <w:rPr>
          <w:rFonts w:ascii="Arial" w:eastAsiaTheme="minorHAnsi" w:hAnsi="Arial" w:cs="Arial"/>
          <w:sz w:val="22"/>
          <w:szCs w:val="22"/>
          <w:lang w:val="es-MX" w:eastAsia="en-US"/>
        </w:rPr>
        <w:t>, la redacción del artículo 6 distaba mucho de la versión final</w:t>
      </w:r>
      <w:r w:rsidRPr="00BE45DF">
        <w:rPr>
          <w:rFonts w:ascii="Arial" w:eastAsiaTheme="minorHAnsi" w:hAnsi="Arial" w:cs="Arial"/>
          <w:sz w:val="22"/>
          <w:szCs w:val="22"/>
          <w:lang w:val="es-MX" w:eastAsia="en-US"/>
        </w:rPr>
        <w:t xml:space="preserve"> </w:t>
      </w:r>
      <w:r>
        <w:rPr>
          <w:rFonts w:ascii="Arial" w:eastAsiaTheme="minorHAnsi" w:hAnsi="Arial" w:cs="Arial"/>
          <w:sz w:val="22"/>
          <w:szCs w:val="22"/>
          <w:lang w:val="es-MX" w:eastAsia="en-US"/>
        </w:rPr>
        <w:t xml:space="preserve">de la Ley 2020 de 2020. El texto original no involucraba asuntos relacionados con la contratación pública. La disposición establecía lo siguiente: </w:t>
      </w:r>
    </w:p>
    <w:p w14:paraId="22E8F0B6" w14:textId="37122370" w:rsidR="00466861" w:rsidRDefault="002F1E67" w:rsidP="0011177B">
      <w:pPr>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 </w:t>
      </w:r>
    </w:p>
    <w:p w14:paraId="5D674BC2" w14:textId="31CD57BC" w:rsidR="00466861" w:rsidRDefault="00466861" w:rsidP="0011177B">
      <w:pPr>
        <w:tabs>
          <w:tab w:val="left" w:pos="0"/>
        </w:tabs>
        <w:ind w:left="709" w:right="709"/>
        <w:jc w:val="both"/>
        <w:rPr>
          <w:rFonts w:ascii="Arial" w:eastAsia="Calibri" w:hAnsi="Arial" w:cs="Arial"/>
          <w:color w:val="000000"/>
          <w:sz w:val="21"/>
          <w:szCs w:val="21"/>
          <w:lang w:val="es-ES_tradnl" w:eastAsia="en-GB"/>
        </w:rPr>
      </w:pPr>
      <w:r w:rsidRPr="00BE45DF">
        <w:rPr>
          <w:rFonts w:ascii="Arial" w:eastAsia="Calibri" w:hAnsi="Arial" w:cs="Arial"/>
          <w:color w:val="000000"/>
          <w:sz w:val="21"/>
          <w:szCs w:val="21"/>
          <w:lang w:val="es-ES_tradnl" w:eastAsia="en-GB"/>
        </w:rPr>
        <w:t>Artículo 6°. Actuaciones. En todas las entidades estatales, a instancia de la Secretaría, Departamento u Oficina de Planeación, según el caso, funcionará el Registro Departamental, Municipal, Distrital o institucional de Obras Civiles Inconclusas, que progresivamente se incorporarán al Registro Nacional de Obras Civiles Inconclusas.</w:t>
      </w:r>
    </w:p>
    <w:p w14:paraId="2DAB96F2" w14:textId="77777777" w:rsidR="0011177B" w:rsidRPr="00BE45DF" w:rsidRDefault="0011177B" w:rsidP="0011177B">
      <w:pPr>
        <w:tabs>
          <w:tab w:val="left" w:pos="0"/>
        </w:tabs>
        <w:ind w:left="709" w:right="709"/>
        <w:jc w:val="both"/>
        <w:rPr>
          <w:rFonts w:ascii="Arial" w:eastAsia="Calibri" w:hAnsi="Arial" w:cs="Arial"/>
          <w:color w:val="000000"/>
          <w:sz w:val="21"/>
          <w:szCs w:val="21"/>
          <w:lang w:val="es-ES_tradnl" w:eastAsia="en-GB"/>
        </w:rPr>
      </w:pPr>
    </w:p>
    <w:p w14:paraId="5ED242EB" w14:textId="7EFF4E3C" w:rsidR="00466861" w:rsidRDefault="00466861" w:rsidP="0011177B">
      <w:pPr>
        <w:tabs>
          <w:tab w:val="left" w:pos="0"/>
        </w:tabs>
        <w:ind w:left="709" w:right="709"/>
        <w:jc w:val="both"/>
        <w:rPr>
          <w:rFonts w:ascii="Arial" w:eastAsia="Calibri" w:hAnsi="Arial" w:cs="Arial"/>
          <w:color w:val="000000"/>
          <w:sz w:val="21"/>
          <w:szCs w:val="21"/>
          <w:lang w:val="es-ES_tradnl" w:eastAsia="en-GB"/>
        </w:rPr>
      </w:pPr>
      <w:r w:rsidRPr="00BE45DF">
        <w:rPr>
          <w:rFonts w:ascii="Arial" w:eastAsia="Calibri" w:hAnsi="Arial" w:cs="Arial"/>
          <w:color w:val="000000"/>
          <w:sz w:val="21"/>
          <w:szCs w:val="21"/>
          <w:lang w:val="es-ES_tradnl" w:eastAsia="en-GB"/>
        </w:rPr>
        <w:t xml:space="preserve">Parágrafo 1°. La administración del Registro Nacional de Obras Civiles Inconclusas estará a cargo del Departamento Nacional de Planeación, el cual consolidará la información suministrada por las Entidades Estatales y deberá emitir informe cada seis (6) meses sobre las medidas desarrolladas durante dicho periodo y el seguimiento que se ha realizado. En el informe se deberá relacionar con claridad el nombre de los contratistas y sociedades que presenten un mayor número de obras inconclusas. </w:t>
      </w:r>
    </w:p>
    <w:p w14:paraId="2369471D" w14:textId="77777777" w:rsidR="000C76A6" w:rsidRPr="00BE45DF" w:rsidRDefault="000C76A6" w:rsidP="0011177B">
      <w:pPr>
        <w:tabs>
          <w:tab w:val="left" w:pos="0"/>
        </w:tabs>
        <w:ind w:left="709" w:right="709"/>
        <w:jc w:val="both"/>
        <w:rPr>
          <w:rFonts w:ascii="Arial" w:eastAsia="Calibri" w:hAnsi="Arial" w:cs="Arial"/>
          <w:color w:val="000000"/>
          <w:sz w:val="21"/>
          <w:szCs w:val="21"/>
          <w:lang w:val="es-ES_tradnl" w:eastAsia="en-GB"/>
        </w:rPr>
      </w:pPr>
    </w:p>
    <w:p w14:paraId="435E0B5C" w14:textId="77777777" w:rsidR="00466861" w:rsidRPr="00BE45DF" w:rsidRDefault="00466861" w:rsidP="0011177B">
      <w:pPr>
        <w:tabs>
          <w:tab w:val="left" w:pos="0"/>
        </w:tabs>
        <w:ind w:left="709" w:right="709"/>
        <w:jc w:val="both"/>
        <w:rPr>
          <w:rFonts w:ascii="Arial" w:eastAsia="Calibri" w:hAnsi="Arial" w:cs="Arial"/>
          <w:color w:val="000000"/>
          <w:sz w:val="21"/>
          <w:szCs w:val="21"/>
          <w:lang w:val="es-ES_tradnl" w:eastAsia="en-GB"/>
        </w:rPr>
      </w:pPr>
      <w:r w:rsidRPr="00BE45DF">
        <w:rPr>
          <w:rFonts w:ascii="Arial" w:eastAsia="Calibri" w:hAnsi="Arial" w:cs="Arial"/>
          <w:color w:val="000000"/>
          <w:sz w:val="21"/>
          <w:szCs w:val="21"/>
          <w:lang w:val="es-ES_tradnl" w:eastAsia="en-GB"/>
        </w:rPr>
        <w:t>Parágrafo 2°. Las entidades estatales deberán enviar copia al Registro Departamental, Municipal, Distrital o institucional de Obras Civiles Inconclusas a la Contraloría General de Nación o Contralorías Territoriales según el caso</w:t>
      </w:r>
      <w:r>
        <w:rPr>
          <w:rFonts w:ascii="Arial" w:eastAsia="Calibri" w:hAnsi="Arial" w:cs="Arial"/>
          <w:color w:val="000000"/>
          <w:sz w:val="21"/>
          <w:szCs w:val="21"/>
          <w:lang w:val="es-ES_tradnl" w:eastAsia="en-GB"/>
        </w:rPr>
        <w:t>.</w:t>
      </w:r>
      <w:r>
        <w:rPr>
          <w:rStyle w:val="Refdenotaalpie"/>
          <w:rFonts w:ascii="Arial" w:eastAsiaTheme="minorHAnsi" w:hAnsi="Arial" w:cs="Arial"/>
          <w:sz w:val="22"/>
          <w:szCs w:val="22"/>
          <w:lang w:val="es-MX" w:eastAsia="en-US"/>
        </w:rPr>
        <w:footnoteReference w:id="18"/>
      </w:r>
    </w:p>
    <w:p w14:paraId="09E6A809" w14:textId="77777777" w:rsidR="00466861" w:rsidRPr="00472D8E" w:rsidRDefault="00466861" w:rsidP="00466861">
      <w:pPr>
        <w:spacing w:line="276" w:lineRule="auto"/>
        <w:ind w:firstLine="709"/>
        <w:jc w:val="both"/>
        <w:rPr>
          <w:rFonts w:ascii="Arial" w:eastAsiaTheme="minorHAnsi" w:hAnsi="Arial" w:cs="Arial"/>
          <w:sz w:val="22"/>
          <w:szCs w:val="22"/>
          <w:lang w:val="es-MX" w:eastAsia="en-US"/>
        </w:rPr>
      </w:pPr>
    </w:p>
    <w:p w14:paraId="70C90C0D" w14:textId="77777777" w:rsidR="00466861" w:rsidRPr="00472D8E" w:rsidRDefault="00466861" w:rsidP="00466861">
      <w:pPr>
        <w:spacing w:line="276" w:lineRule="auto"/>
        <w:ind w:firstLine="709"/>
        <w:jc w:val="both"/>
        <w:rPr>
          <w:rFonts w:ascii="Arial" w:eastAsia="Calibri" w:hAnsi="Arial" w:cs="Arial"/>
          <w:color w:val="000000"/>
          <w:sz w:val="22"/>
          <w:szCs w:val="22"/>
          <w:lang w:val="es-ES_tradnl" w:eastAsia="en-GB"/>
        </w:rPr>
      </w:pPr>
      <w:r w:rsidRPr="00472D8E">
        <w:rPr>
          <w:rFonts w:ascii="Arial" w:eastAsiaTheme="minorHAnsi" w:hAnsi="Arial" w:cs="Arial"/>
          <w:sz w:val="22"/>
          <w:szCs w:val="22"/>
          <w:lang w:val="es-MX" w:eastAsia="en-US"/>
        </w:rPr>
        <w:t xml:space="preserve">Como se </w:t>
      </w:r>
      <w:r>
        <w:rPr>
          <w:rFonts w:ascii="Arial" w:eastAsiaTheme="minorHAnsi" w:hAnsi="Arial" w:cs="Arial"/>
          <w:sz w:val="22"/>
          <w:szCs w:val="22"/>
          <w:lang w:val="es-MX" w:eastAsia="en-US"/>
        </w:rPr>
        <w:t>observa</w:t>
      </w:r>
      <w:r w:rsidRPr="00472D8E">
        <w:rPr>
          <w:rFonts w:ascii="Arial" w:eastAsiaTheme="minorHAnsi" w:hAnsi="Arial" w:cs="Arial"/>
          <w:sz w:val="22"/>
          <w:szCs w:val="22"/>
          <w:lang w:val="es-MX" w:eastAsia="en-US"/>
        </w:rPr>
        <w:t xml:space="preserve">, el enfoque de esta redacción se caracterizó por determinar un Registro a nivel territorial de obras civiles inconclusas que se incorporaran en al Registro Nacional de Obras Inconclusas. Así mismo, establecía al </w:t>
      </w:r>
      <w:r w:rsidRPr="00472D8E">
        <w:rPr>
          <w:rFonts w:ascii="Arial" w:eastAsia="Calibri" w:hAnsi="Arial" w:cs="Arial"/>
          <w:color w:val="000000"/>
          <w:sz w:val="22"/>
          <w:szCs w:val="22"/>
          <w:lang w:val="es-ES_tradnl" w:eastAsia="en-GB"/>
        </w:rPr>
        <w:t xml:space="preserve">Departamento Nacional de Planeación, como la entidad encargada de consolidar la información suministrada por las entidades estatales. </w:t>
      </w:r>
    </w:p>
    <w:p w14:paraId="6BE0440F" w14:textId="6E4ADDA5" w:rsidR="00466861" w:rsidRDefault="00466861" w:rsidP="00466861">
      <w:pPr>
        <w:spacing w:before="120" w:line="276" w:lineRule="auto"/>
        <w:ind w:firstLine="709"/>
        <w:jc w:val="both"/>
        <w:rPr>
          <w:rFonts w:ascii="Arial" w:eastAsia="Calibri" w:hAnsi="Arial" w:cs="Arial"/>
          <w:color w:val="000000"/>
          <w:sz w:val="22"/>
          <w:szCs w:val="22"/>
          <w:lang w:val="es-ES_tradnl" w:eastAsia="en-GB"/>
        </w:rPr>
      </w:pPr>
      <w:r w:rsidRPr="00472D8E">
        <w:rPr>
          <w:rFonts w:ascii="Arial" w:eastAsia="Calibri" w:hAnsi="Arial" w:cs="Arial"/>
          <w:color w:val="000000"/>
          <w:sz w:val="22"/>
          <w:szCs w:val="22"/>
          <w:lang w:val="es-ES_tradnl" w:eastAsia="en-GB"/>
        </w:rPr>
        <w:t>Posteriormente, la modificación del artículo supuso la inclusión de una obligación a cargo de las entidades estatales</w:t>
      </w:r>
      <w:r>
        <w:rPr>
          <w:rFonts w:ascii="Arial" w:eastAsia="Calibri" w:hAnsi="Arial" w:cs="Arial"/>
          <w:color w:val="000000"/>
          <w:sz w:val="22"/>
          <w:szCs w:val="22"/>
          <w:lang w:val="es-ES_tradnl" w:eastAsia="en-GB"/>
        </w:rPr>
        <w:t xml:space="preserve"> en su parágrafo segundo. Según esta versión, </w:t>
      </w:r>
      <w:r w:rsidRPr="00066821">
        <w:rPr>
          <w:rFonts w:ascii="Arial" w:hAnsi="Arial" w:cs="Arial"/>
          <w:sz w:val="22"/>
        </w:rPr>
        <w:t>«</w:t>
      </w:r>
      <w:r w:rsidRPr="001F512D">
        <w:rPr>
          <w:rFonts w:ascii="Arial" w:eastAsia="Calibri" w:hAnsi="Arial" w:cs="Arial"/>
          <w:color w:val="000000"/>
          <w:sz w:val="22"/>
          <w:szCs w:val="22"/>
          <w:lang w:val="es-ES_tradnl" w:eastAsia="en-GB"/>
        </w:rPr>
        <w:t xml:space="preserve">Las entidades de las que trata la presente ley, tendrán la obligación de consultar el registro de obras inconclusas antes de contratar obras públicas, con el fin de observar si los contratistas </w:t>
      </w:r>
      <w:r w:rsidRPr="001F512D">
        <w:rPr>
          <w:rFonts w:ascii="Arial" w:eastAsia="Calibri" w:hAnsi="Arial" w:cs="Arial"/>
          <w:color w:val="000000"/>
          <w:sz w:val="22"/>
          <w:szCs w:val="22"/>
          <w:lang w:val="es-ES_tradnl" w:eastAsia="en-GB"/>
        </w:rPr>
        <w:lastRenderedPageBreak/>
        <w:t>licitantes tienen antecedentes de incumplimiento</w:t>
      </w:r>
      <w:r w:rsidRPr="00066821">
        <w:rPr>
          <w:rFonts w:ascii="Arial" w:hAnsi="Arial" w:cs="Arial"/>
          <w:sz w:val="22"/>
        </w:rPr>
        <w:t>»</w:t>
      </w:r>
      <w:r>
        <w:rPr>
          <w:rStyle w:val="Refdenotaalpie"/>
          <w:rFonts w:ascii="Arial" w:eastAsia="Calibri" w:hAnsi="Arial" w:cs="Arial"/>
          <w:color w:val="000000"/>
          <w:sz w:val="22"/>
          <w:szCs w:val="22"/>
          <w:lang w:val="es-ES_tradnl" w:eastAsia="en-GB"/>
        </w:rPr>
        <w:footnoteReference w:id="19"/>
      </w:r>
      <w:r w:rsidRPr="001F512D">
        <w:rPr>
          <w:rFonts w:ascii="Arial" w:eastAsia="Calibri" w:hAnsi="Arial" w:cs="Arial"/>
          <w:color w:val="000000"/>
          <w:sz w:val="22"/>
          <w:szCs w:val="22"/>
          <w:lang w:val="es-ES_tradnl" w:eastAsia="en-GB"/>
        </w:rPr>
        <w:t>.</w:t>
      </w:r>
      <w:r>
        <w:rPr>
          <w:rFonts w:ascii="Arial" w:eastAsia="Calibri" w:hAnsi="Arial" w:cs="Arial"/>
          <w:color w:val="000000"/>
          <w:sz w:val="22"/>
          <w:szCs w:val="22"/>
          <w:lang w:val="es-ES_tradnl" w:eastAsia="en-GB"/>
        </w:rPr>
        <w:t xml:space="preserve"> </w:t>
      </w:r>
      <w:r w:rsidR="00DF30B5">
        <w:rPr>
          <w:rFonts w:ascii="Arial" w:eastAsia="Calibri" w:hAnsi="Arial" w:cs="Arial"/>
          <w:color w:val="000000"/>
          <w:sz w:val="22"/>
          <w:szCs w:val="22"/>
          <w:lang w:val="es-ES_tradnl" w:eastAsia="en-GB"/>
        </w:rPr>
        <w:t>E</w:t>
      </w:r>
      <w:r>
        <w:rPr>
          <w:rFonts w:ascii="Arial" w:eastAsia="Calibri" w:hAnsi="Arial" w:cs="Arial"/>
          <w:color w:val="000000"/>
          <w:sz w:val="22"/>
          <w:szCs w:val="22"/>
          <w:lang w:val="es-ES_tradnl" w:eastAsia="en-GB"/>
        </w:rPr>
        <w:t xml:space="preserve">sta glosa comprende dos términos claves, </w:t>
      </w:r>
      <w:r w:rsidRPr="00066821">
        <w:rPr>
          <w:rFonts w:ascii="Arial" w:hAnsi="Arial" w:cs="Arial"/>
          <w:sz w:val="22"/>
        </w:rPr>
        <w:t>«</w:t>
      </w:r>
      <w:r>
        <w:rPr>
          <w:rFonts w:ascii="Arial" w:eastAsia="Calibri" w:hAnsi="Arial" w:cs="Arial"/>
          <w:color w:val="000000"/>
          <w:sz w:val="22"/>
          <w:szCs w:val="22"/>
          <w:lang w:val="es-ES_tradnl" w:eastAsia="en-GB"/>
        </w:rPr>
        <w:t>consultar</w:t>
      </w:r>
      <w:r w:rsidRPr="00066821">
        <w:rPr>
          <w:rFonts w:ascii="Arial" w:hAnsi="Arial" w:cs="Arial"/>
          <w:sz w:val="22"/>
        </w:rPr>
        <w:t>»</w:t>
      </w:r>
      <w:r>
        <w:rPr>
          <w:rFonts w:ascii="Arial" w:eastAsia="Calibri" w:hAnsi="Arial" w:cs="Arial"/>
          <w:color w:val="000000"/>
          <w:sz w:val="22"/>
          <w:szCs w:val="22"/>
          <w:lang w:val="es-ES_tradnl" w:eastAsia="en-GB"/>
        </w:rPr>
        <w:t xml:space="preserve"> e </w:t>
      </w:r>
      <w:r w:rsidRPr="00066821">
        <w:rPr>
          <w:rFonts w:ascii="Arial" w:hAnsi="Arial" w:cs="Arial"/>
          <w:sz w:val="22"/>
        </w:rPr>
        <w:t>«</w:t>
      </w:r>
      <w:r>
        <w:rPr>
          <w:rFonts w:ascii="Arial" w:eastAsia="Calibri" w:hAnsi="Arial" w:cs="Arial"/>
          <w:color w:val="000000"/>
          <w:sz w:val="22"/>
          <w:szCs w:val="22"/>
          <w:lang w:val="es-ES_tradnl" w:eastAsia="en-GB"/>
        </w:rPr>
        <w:t>incumplimiento</w:t>
      </w:r>
      <w:r w:rsidRPr="00066821">
        <w:rPr>
          <w:rFonts w:ascii="Arial" w:hAnsi="Arial" w:cs="Arial"/>
          <w:sz w:val="22"/>
        </w:rPr>
        <w:t>»</w:t>
      </w:r>
      <w:r>
        <w:rPr>
          <w:rFonts w:ascii="Arial" w:eastAsia="Calibri" w:hAnsi="Arial" w:cs="Arial"/>
          <w:color w:val="000000"/>
          <w:sz w:val="22"/>
          <w:szCs w:val="22"/>
          <w:lang w:val="es-ES_tradnl" w:eastAsia="en-GB"/>
        </w:rPr>
        <w:t xml:space="preserve">. Así, </w:t>
      </w:r>
      <w:r w:rsidR="004E7A24">
        <w:rPr>
          <w:rFonts w:ascii="Arial" w:eastAsia="Calibri" w:hAnsi="Arial" w:cs="Arial"/>
          <w:color w:val="000000"/>
          <w:sz w:val="22"/>
          <w:szCs w:val="22"/>
          <w:lang w:val="es-ES_tradnl" w:eastAsia="en-GB"/>
        </w:rPr>
        <w:t xml:space="preserve">antes de contratar obras públicas, </w:t>
      </w:r>
      <w:r>
        <w:rPr>
          <w:rFonts w:ascii="Arial" w:eastAsia="Calibri" w:hAnsi="Arial" w:cs="Arial"/>
          <w:color w:val="000000"/>
          <w:sz w:val="22"/>
          <w:szCs w:val="22"/>
          <w:lang w:val="es-ES_tradnl" w:eastAsia="en-GB"/>
        </w:rPr>
        <w:t>las entidades</w:t>
      </w:r>
      <w:r w:rsidRPr="00A467C4">
        <w:rPr>
          <w:rFonts w:ascii="Arial" w:eastAsia="Calibri" w:hAnsi="Arial" w:cs="Arial"/>
          <w:color w:val="000000"/>
          <w:sz w:val="22"/>
          <w:szCs w:val="22"/>
          <w:lang w:val="es-ES_tradnl" w:eastAsia="en-GB"/>
        </w:rPr>
        <w:t xml:space="preserve"> </w:t>
      </w:r>
      <w:r>
        <w:rPr>
          <w:rFonts w:ascii="Arial" w:eastAsia="Calibri" w:hAnsi="Arial" w:cs="Arial"/>
          <w:color w:val="000000"/>
          <w:sz w:val="22"/>
          <w:szCs w:val="22"/>
          <w:lang w:val="es-ES_tradnl" w:eastAsia="en-GB"/>
        </w:rPr>
        <w:t xml:space="preserve">debían consultar los incumplimientos de los contratistas en </w:t>
      </w:r>
      <w:r w:rsidR="004E7A24">
        <w:rPr>
          <w:rFonts w:ascii="Arial" w:eastAsia="Calibri" w:hAnsi="Arial" w:cs="Arial"/>
          <w:color w:val="000000"/>
          <w:sz w:val="22"/>
          <w:szCs w:val="22"/>
          <w:lang w:val="es-ES_tradnl" w:eastAsia="en-GB"/>
        </w:rPr>
        <w:t>el</w:t>
      </w:r>
      <w:r>
        <w:rPr>
          <w:rFonts w:ascii="Arial" w:eastAsia="Calibri" w:hAnsi="Arial" w:cs="Arial"/>
          <w:color w:val="000000"/>
          <w:sz w:val="22"/>
          <w:szCs w:val="22"/>
          <w:lang w:val="es-ES_tradnl" w:eastAsia="en-GB"/>
        </w:rPr>
        <w:t xml:space="preserve"> registro, </w:t>
      </w:r>
      <w:r w:rsidR="0063306E">
        <w:rPr>
          <w:rFonts w:ascii="Arial" w:eastAsia="Calibri" w:hAnsi="Arial" w:cs="Arial"/>
          <w:color w:val="000000"/>
          <w:sz w:val="22"/>
          <w:szCs w:val="22"/>
          <w:lang w:val="es-ES_tradnl" w:eastAsia="en-GB"/>
        </w:rPr>
        <w:t>pero</w:t>
      </w:r>
      <w:r>
        <w:rPr>
          <w:rFonts w:ascii="Arial" w:eastAsia="Calibri" w:hAnsi="Arial" w:cs="Arial"/>
          <w:color w:val="000000"/>
          <w:sz w:val="22"/>
          <w:szCs w:val="22"/>
          <w:lang w:val="es-ES_tradnl" w:eastAsia="en-GB"/>
        </w:rPr>
        <w:t xml:space="preserve"> no se estableció ninguna consecuencia jurídica. En ponencias siguientes, el parágrafo segundo del artículo 6 cambi</w:t>
      </w:r>
      <w:r w:rsidR="003C784E">
        <w:rPr>
          <w:rFonts w:ascii="Arial" w:eastAsia="Calibri" w:hAnsi="Arial" w:cs="Arial"/>
          <w:color w:val="000000"/>
          <w:sz w:val="22"/>
          <w:szCs w:val="22"/>
          <w:lang w:val="es-ES_tradnl" w:eastAsia="en-GB"/>
        </w:rPr>
        <w:t>ó</w:t>
      </w:r>
      <w:r>
        <w:rPr>
          <w:rFonts w:ascii="Arial" w:eastAsia="Calibri" w:hAnsi="Arial" w:cs="Arial"/>
          <w:color w:val="000000"/>
          <w:sz w:val="22"/>
          <w:szCs w:val="22"/>
          <w:lang w:val="es-ES_tradnl" w:eastAsia="en-GB"/>
        </w:rPr>
        <w:t xml:space="preserve"> radicalmente. Este aparte dispuso</w:t>
      </w:r>
      <w:r>
        <w:rPr>
          <w:rStyle w:val="Refdenotaalpie"/>
          <w:rFonts w:ascii="Arial" w:eastAsia="Calibri" w:hAnsi="Arial" w:cs="Arial"/>
          <w:color w:val="000000"/>
          <w:sz w:val="22"/>
          <w:szCs w:val="22"/>
          <w:lang w:val="es-ES_tradnl" w:eastAsia="en-GB"/>
        </w:rPr>
        <w:footnoteReference w:id="20"/>
      </w:r>
      <w:r>
        <w:rPr>
          <w:rFonts w:ascii="Arial" w:eastAsia="Calibri" w:hAnsi="Arial" w:cs="Arial"/>
          <w:color w:val="000000"/>
          <w:sz w:val="22"/>
          <w:szCs w:val="22"/>
          <w:lang w:val="es-ES_tradnl" w:eastAsia="en-GB"/>
        </w:rPr>
        <w:t>:</w:t>
      </w:r>
    </w:p>
    <w:p w14:paraId="159FDEAD" w14:textId="77777777" w:rsidR="00466861" w:rsidRPr="00EE6A1A" w:rsidRDefault="00466861" w:rsidP="00466861">
      <w:pPr>
        <w:spacing w:line="276" w:lineRule="auto"/>
        <w:ind w:firstLine="709"/>
        <w:jc w:val="both"/>
        <w:rPr>
          <w:rFonts w:ascii="Arial" w:eastAsia="Calibri" w:hAnsi="Arial" w:cs="Arial"/>
          <w:color w:val="000000"/>
          <w:sz w:val="22"/>
          <w:szCs w:val="22"/>
          <w:lang w:val="es-ES_tradnl" w:eastAsia="en-GB"/>
        </w:rPr>
      </w:pPr>
    </w:p>
    <w:p w14:paraId="312E43A1" w14:textId="77777777" w:rsidR="00466861" w:rsidRPr="00576233"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576233">
        <w:rPr>
          <w:rFonts w:ascii="Arial" w:eastAsia="Calibri" w:hAnsi="Arial" w:cs="Arial"/>
          <w:color w:val="000000"/>
          <w:sz w:val="21"/>
          <w:szCs w:val="21"/>
          <w:lang w:val="es-ES_tradnl" w:eastAsia="en-GB"/>
        </w:rPr>
        <w:t xml:space="preserve">Parágrafo 2°. En los procesos de contratación de obras públicas que adelanten las entidades estatales, sin importar la cuantía, los contratistas e interventores deberán allegar la certificación virtual sobre las anotaciones que presenten en el Registro Nacional de Obras Civiles Inconclusas. </w:t>
      </w:r>
    </w:p>
    <w:p w14:paraId="56E5347B" w14:textId="77777777" w:rsidR="00466861" w:rsidRPr="00576233"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576233">
        <w:rPr>
          <w:rFonts w:ascii="Arial" w:eastAsia="Calibri" w:hAnsi="Arial" w:cs="Arial"/>
          <w:color w:val="000000"/>
          <w:sz w:val="21"/>
          <w:szCs w:val="21"/>
          <w:lang w:val="es-ES_tradnl" w:eastAsia="en-GB"/>
        </w:rPr>
        <w:t>La entidad contratante tendrá en cuenta el</w:t>
      </w:r>
      <w:r w:rsidRPr="00576233">
        <w:rPr>
          <w:rFonts w:ascii="Arial" w:eastAsia="Calibri" w:hAnsi="Arial" w:cs="Arial"/>
          <w:b/>
          <w:color w:val="000000"/>
          <w:sz w:val="21"/>
          <w:szCs w:val="21"/>
          <w:lang w:val="es-ES_tradnl" w:eastAsia="en-GB"/>
        </w:rPr>
        <w:t xml:space="preserve"> </w:t>
      </w:r>
      <w:r w:rsidRPr="0081325C">
        <w:rPr>
          <w:rFonts w:ascii="Arial" w:eastAsia="Calibri" w:hAnsi="Arial" w:cs="Arial"/>
          <w:bCs/>
          <w:i/>
          <w:iCs/>
          <w:color w:val="000000"/>
          <w:sz w:val="21"/>
          <w:szCs w:val="21"/>
          <w:lang w:val="es-ES_tradnl" w:eastAsia="en-GB"/>
        </w:rPr>
        <w:t>cumplimiento</w:t>
      </w:r>
      <w:r w:rsidRPr="00576233">
        <w:rPr>
          <w:rFonts w:ascii="Arial" w:eastAsia="Calibri" w:hAnsi="Arial" w:cs="Arial"/>
          <w:color w:val="000000"/>
          <w:sz w:val="21"/>
          <w:szCs w:val="21"/>
          <w:lang w:val="es-ES_tradnl" w:eastAsia="en-GB"/>
        </w:rPr>
        <w:t xml:space="preserve"> de los contratistas licitantes, reflejado en el certificado allegado por los mismos y </w:t>
      </w:r>
      <w:r w:rsidRPr="0081325C">
        <w:rPr>
          <w:rFonts w:ascii="Arial" w:eastAsia="Calibri" w:hAnsi="Arial" w:cs="Arial"/>
          <w:bCs/>
          <w:i/>
          <w:iCs/>
          <w:color w:val="000000"/>
          <w:sz w:val="21"/>
          <w:szCs w:val="21"/>
          <w:lang w:val="es-ES_tradnl" w:eastAsia="en-GB"/>
        </w:rPr>
        <w:t>evaluarán</w:t>
      </w:r>
      <w:r w:rsidRPr="00576233">
        <w:rPr>
          <w:rFonts w:ascii="Arial" w:eastAsia="Calibri" w:hAnsi="Arial" w:cs="Arial"/>
          <w:color w:val="000000"/>
          <w:sz w:val="21"/>
          <w:szCs w:val="21"/>
          <w:lang w:val="es-ES_tradnl" w:eastAsia="en-GB"/>
        </w:rPr>
        <w:t xml:space="preserve"> sus antecedentes </w:t>
      </w:r>
      <w:proofErr w:type="gramStart"/>
      <w:r w:rsidRPr="00576233">
        <w:rPr>
          <w:rFonts w:ascii="Arial" w:eastAsia="Calibri" w:hAnsi="Arial" w:cs="Arial"/>
          <w:color w:val="000000"/>
          <w:sz w:val="21"/>
          <w:szCs w:val="21"/>
          <w:lang w:val="es-ES_tradnl" w:eastAsia="en-GB"/>
        </w:rPr>
        <w:t>de acuerdo a</w:t>
      </w:r>
      <w:proofErr w:type="gramEnd"/>
      <w:r w:rsidRPr="00576233">
        <w:rPr>
          <w:rFonts w:ascii="Arial" w:eastAsia="Calibri" w:hAnsi="Arial" w:cs="Arial"/>
          <w:color w:val="000000"/>
          <w:sz w:val="21"/>
          <w:szCs w:val="21"/>
          <w:lang w:val="es-ES_tradnl" w:eastAsia="en-GB"/>
        </w:rPr>
        <w:t xml:space="preserve"> la puntación que para ellos determine la Agencia Nacional de Contratación Pública Colombia Compra Eficiente esta última pondrá a disposición el recurso tecnológico para descargar el certificado del que habla el presente artículo y establecerá la vigencia del mismo. </w:t>
      </w:r>
    </w:p>
    <w:p w14:paraId="56B32BEC" w14:textId="2ACA9EFA" w:rsidR="00466861" w:rsidRPr="0011177B" w:rsidRDefault="00466861" w:rsidP="0011177B">
      <w:pPr>
        <w:tabs>
          <w:tab w:val="left" w:pos="0"/>
        </w:tabs>
        <w:ind w:left="709" w:right="709"/>
        <w:jc w:val="both"/>
        <w:rPr>
          <w:rFonts w:ascii="Arial" w:eastAsia="Calibri" w:hAnsi="Arial" w:cs="Arial"/>
          <w:color w:val="000000"/>
          <w:sz w:val="21"/>
          <w:szCs w:val="21"/>
          <w:lang w:val="es-ES_tradnl" w:eastAsia="en-GB"/>
        </w:rPr>
      </w:pPr>
      <w:r w:rsidRPr="00576233">
        <w:rPr>
          <w:rFonts w:ascii="Arial" w:eastAsia="Calibri" w:hAnsi="Arial" w:cs="Arial"/>
          <w:color w:val="000000"/>
          <w:sz w:val="21"/>
          <w:szCs w:val="21"/>
          <w:lang w:val="es-ES_tradnl" w:eastAsia="en-GB"/>
        </w:rPr>
        <w:t xml:space="preserve">El Ministerio de Hacienda y Crédito Público en un término de (6) meses contados a partir de la </w:t>
      </w:r>
      <w:proofErr w:type="gramStart"/>
      <w:r w:rsidRPr="00576233">
        <w:rPr>
          <w:rFonts w:ascii="Arial" w:eastAsia="Calibri" w:hAnsi="Arial" w:cs="Arial"/>
          <w:color w:val="000000"/>
          <w:sz w:val="21"/>
          <w:szCs w:val="21"/>
          <w:lang w:val="es-ES_tradnl" w:eastAsia="en-GB"/>
        </w:rPr>
        <w:t>entrada en vigencia</w:t>
      </w:r>
      <w:proofErr w:type="gramEnd"/>
      <w:r w:rsidRPr="00576233">
        <w:rPr>
          <w:rFonts w:ascii="Arial" w:eastAsia="Calibri" w:hAnsi="Arial" w:cs="Arial"/>
          <w:color w:val="000000"/>
          <w:sz w:val="21"/>
          <w:szCs w:val="21"/>
          <w:lang w:val="es-ES_tradnl" w:eastAsia="en-GB"/>
        </w:rPr>
        <w:t xml:space="preserve"> de la presente ley, reglamentará la tarifa a cobrar por el certificado.</w:t>
      </w:r>
      <w:r>
        <w:rPr>
          <w:rFonts w:ascii="Arial" w:eastAsia="Calibri" w:hAnsi="Arial" w:cs="Arial"/>
          <w:color w:val="000000"/>
          <w:sz w:val="21"/>
          <w:szCs w:val="21"/>
          <w:lang w:val="es-ES_tradnl" w:eastAsia="en-GB"/>
        </w:rPr>
        <w:t xml:space="preserve"> (Énfasis fuera de texto)</w:t>
      </w:r>
    </w:p>
    <w:p w14:paraId="73CB7018" w14:textId="77777777" w:rsidR="00906560" w:rsidRDefault="00906560" w:rsidP="00466861">
      <w:pPr>
        <w:spacing w:line="276" w:lineRule="auto"/>
        <w:ind w:firstLine="709"/>
        <w:jc w:val="both"/>
        <w:rPr>
          <w:rFonts w:ascii="Arial" w:eastAsia="Calibri" w:hAnsi="Arial" w:cs="Arial"/>
          <w:color w:val="000000"/>
          <w:sz w:val="22"/>
          <w:szCs w:val="22"/>
          <w:lang w:val="es-ES_tradnl" w:eastAsia="en-GB"/>
        </w:rPr>
      </w:pPr>
    </w:p>
    <w:p w14:paraId="32A8D42D" w14:textId="2B7CF4E3" w:rsidR="00466861" w:rsidRDefault="00466861" w:rsidP="00466861">
      <w:pPr>
        <w:spacing w:line="276" w:lineRule="auto"/>
        <w:ind w:firstLine="709"/>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Tres (3) aspectos merecen la atención. Primero, establece un certificado virtual sobre anotaciones que los contratistas presenten en el registro; segundo, de dicho certificado deberá tener</w:t>
      </w:r>
      <w:r w:rsidR="005E17CA">
        <w:rPr>
          <w:rFonts w:ascii="Arial" w:eastAsia="Calibri" w:hAnsi="Arial" w:cs="Arial"/>
          <w:color w:val="000000"/>
          <w:sz w:val="22"/>
          <w:szCs w:val="22"/>
          <w:lang w:val="es-ES_tradnl" w:eastAsia="en-GB"/>
        </w:rPr>
        <w:t>se</w:t>
      </w:r>
      <w:r>
        <w:rPr>
          <w:rFonts w:ascii="Arial" w:eastAsia="Calibri" w:hAnsi="Arial" w:cs="Arial"/>
          <w:color w:val="000000"/>
          <w:sz w:val="22"/>
          <w:szCs w:val="22"/>
          <w:lang w:val="es-ES_tradnl" w:eastAsia="en-GB"/>
        </w:rPr>
        <w:t xml:space="preserve"> en cuenta el cumplimiento de los contratistas; </w:t>
      </w:r>
      <w:proofErr w:type="gramStart"/>
      <w:r>
        <w:rPr>
          <w:rFonts w:ascii="Arial" w:eastAsia="Calibri" w:hAnsi="Arial" w:cs="Arial"/>
          <w:color w:val="000000"/>
          <w:sz w:val="22"/>
          <w:szCs w:val="22"/>
          <w:lang w:val="es-ES_tradnl" w:eastAsia="en-GB"/>
        </w:rPr>
        <w:t>y</w:t>
      </w:r>
      <w:proofErr w:type="gramEnd"/>
      <w:r>
        <w:rPr>
          <w:rFonts w:ascii="Arial" w:eastAsia="Calibri" w:hAnsi="Arial" w:cs="Arial"/>
          <w:color w:val="000000"/>
          <w:sz w:val="22"/>
          <w:szCs w:val="22"/>
          <w:lang w:val="es-ES_tradnl" w:eastAsia="en-GB"/>
        </w:rPr>
        <w:t xml:space="preserve"> por último, se evaluarán los antecedentes del contratista, de acuerdo a la puntuación que se determine. Según se evidencia, nuevamente el cumplimiento del contratista resulta relevante. En este caso, se le atribuye una consecuencia a</w:t>
      </w:r>
      <w:r w:rsidR="00647CDF">
        <w:rPr>
          <w:rFonts w:ascii="Arial" w:eastAsia="Calibri" w:hAnsi="Arial" w:cs="Arial"/>
          <w:color w:val="000000"/>
          <w:sz w:val="22"/>
          <w:szCs w:val="22"/>
          <w:lang w:val="es-ES_tradnl" w:eastAsia="en-GB"/>
        </w:rPr>
        <w:t>l</w:t>
      </w:r>
      <w:r>
        <w:rPr>
          <w:rFonts w:ascii="Arial" w:eastAsia="Calibri" w:hAnsi="Arial" w:cs="Arial"/>
          <w:color w:val="000000"/>
          <w:sz w:val="22"/>
          <w:szCs w:val="22"/>
          <w:lang w:val="es-ES_tradnl" w:eastAsia="en-GB"/>
        </w:rPr>
        <w:t xml:space="preserve"> cumplimiento, el cual se tendrá en cuenta para la puntuación en la evaluación de la oferta. </w:t>
      </w:r>
    </w:p>
    <w:p w14:paraId="11E09B37" w14:textId="0665AF18" w:rsidR="00466861" w:rsidRDefault="00466861" w:rsidP="003C784E">
      <w:pPr>
        <w:spacing w:before="120" w:line="276" w:lineRule="auto"/>
        <w:ind w:firstLine="709"/>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Así, el artículo 6 contin</w:t>
      </w:r>
      <w:r w:rsidR="003C784E">
        <w:rPr>
          <w:rFonts w:ascii="Arial" w:eastAsia="Calibri" w:hAnsi="Arial" w:cs="Arial"/>
          <w:color w:val="000000"/>
          <w:sz w:val="22"/>
          <w:szCs w:val="22"/>
          <w:lang w:val="es-ES_tradnl" w:eastAsia="en-GB"/>
        </w:rPr>
        <w:t>uó</w:t>
      </w:r>
      <w:r>
        <w:rPr>
          <w:rFonts w:ascii="Arial" w:eastAsia="Calibri" w:hAnsi="Arial" w:cs="Arial"/>
          <w:color w:val="000000"/>
          <w:sz w:val="22"/>
          <w:szCs w:val="22"/>
          <w:lang w:val="es-ES_tradnl" w:eastAsia="en-GB"/>
        </w:rPr>
        <w:t xml:space="preserve"> en transformación</w:t>
      </w:r>
      <w:r w:rsidR="003C784E">
        <w:rPr>
          <w:rFonts w:ascii="Arial" w:eastAsia="Calibri" w:hAnsi="Arial" w:cs="Arial"/>
          <w:color w:val="000000"/>
          <w:sz w:val="22"/>
          <w:szCs w:val="22"/>
          <w:lang w:val="es-ES_tradnl" w:eastAsia="en-GB"/>
        </w:rPr>
        <w:t>,</w:t>
      </w:r>
      <w:r>
        <w:rPr>
          <w:rFonts w:ascii="Arial" w:eastAsia="Calibri" w:hAnsi="Arial" w:cs="Arial"/>
          <w:color w:val="000000"/>
          <w:sz w:val="22"/>
          <w:szCs w:val="22"/>
          <w:lang w:val="es-ES_tradnl" w:eastAsia="en-GB"/>
        </w:rPr>
        <w:t xml:space="preserve"> en particular, el parágrafo segundo.</w:t>
      </w:r>
      <w:r w:rsidR="003C784E">
        <w:rPr>
          <w:rFonts w:ascii="Arial" w:eastAsia="Calibri" w:hAnsi="Arial" w:cs="Arial"/>
          <w:color w:val="000000"/>
          <w:sz w:val="22"/>
          <w:szCs w:val="22"/>
          <w:lang w:val="es-ES_tradnl" w:eastAsia="en-GB"/>
        </w:rPr>
        <w:t xml:space="preserve"> De esta manera,</w:t>
      </w:r>
      <w:r>
        <w:rPr>
          <w:rFonts w:ascii="Arial" w:eastAsia="Calibri" w:hAnsi="Arial" w:cs="Arial"/>
          <w:color w:val="000000"/>
          <w:sz w:val="22"/>
          <w:szCs w:val="22"/>
          <w:lang w:val="es-ES_tradnl" w:eastAsia="en-GB"/>
        </w:rPr>
        <w:t xml:space="preserve"> </w:t>
      </w:r>
      <w:r w:rsidR="003C784E">
        <w:rPr>
          <w:rFonts w:ascii="Arial" w:eastAsia="Calibri" w:hAnsi="Arial" w:cs="Arial"/>
          <w:color w:val="000000"/>
          <w:sz w:val="22"/>
          <w:szCs w:val="22"/>
          <w:lang w:val="es-ES_tradnl" w:eastAsia="en-GB"/>
        </w:rPr>
        <w:t>e</w:t>
      </w:r>
      <w:r>
        <w:rPr>
          <w:rFonts w:ascii="Arial" w:eastAsia="Calibri" w:hAnsi="Arial" w:cs="Arial"/>
          <w:color w:val="000000"/>
          <w:sz w:val="22"/>
          <w:szCs w:val="22"/>
          <w:lang w:val="es-ES_tradnl" w:eastAsia="en-GB"/>
        </w:rPr>
        <w:t xml:space="preserve">l texto siguiente eliminó la certificación virtual y en cambio determinó que </w:t>
      </w:r>
      <w:r w:rsidRPr="001D4141">
        <w:rPr>
          <w:rFonts w:ascii="Arial" w:eastAsia="Calibri" w:hAnsi="Arial" w:cs="Arial"/>
          <w:color w:val="000000"/>
          <w:sz w:val="22"/>
          <w:szCs w:val="22"/>
          <w:lang w:val="es-ES_tradnl" w:eastAsia="en-GB"/>
        </w:rPr>
        <w:t xml:space="preserve">las entidades contratantes en los pliegos de condiciones o sus equivalentes, </w:t>
      </w:r>
      <w:r w:rsidRPr="00066821">
        <w:rPr>
          <w:rFonts w:ascii="Arial" w:hAnsi="Arial" w:cs="Arial"/>
          <w:sz w:val="22"/>
        </w:rPr>
        <w:t>«</w:t>
      </w:r>
      <w:r w:rsidRPr="001D4141">
        <w:rPr>
          <w:rFonts w:ascii="Arial" w:eastAsia="Calibri" w:hAnsi="Arial" w:cs="Arial"/>
          <w:color w:val="000000"/>
          <w:sz w:val="22"/>
          <w:szCs w:val="22"/>
          <w:lang w:val="es-ES_tradnl" w:eastAsia="en-GB"/>
        </w:rPr>
        <w:t>deberán tener en cuenta y evaluar las anotaciones vigentes que presenten las personas naturales o jurídicas, nacionales o extranjeras domiciliadas o con sucursal en Colombia en el Registro Nacional de Obras Civiles Inconclusas, reseñadas en el Registro Único de Proponentes (RUP</w:t>
      </w:r>
      <w:r w:rsidR="004C34CD" w:rsidRPr="001D4141">
        <w:rPr>
          <w:rFonts w:ascii="Arial" w:eastAsia="Calibri" w:hAnsi="Arial" w:cs="Arial"/>
          <w:color w:val="000000"/>
          <w:sz w:val="22"/>
          <w:szCs w:val="22"/>
          <w:lang w:val="es-ES_tradnl" w:eastAsia="en-GB"/>
        </w:rPr>
        <w:t>)</w:t>
      </w:r>
      <w:r w:rsidR="004C34CD" w:rsidRPr="00066821">
        <w:rPr>
          <w:rFonts w:ascii="Arial" w:hAnsi="Arial" w:cs="Arial"/>
          <w:sz w:val="22"/>
        </w:rPr>
        <w:t>»</w:t>
      </w:r>
      <w:r w:rsidRPr="001D4141">
        <w:rPr>
          <w:rFonts w:ascii="Arial" w:eastAsia="Calibri" w:hAnsi="Arial" w:cs="Arial"/>
          <w:color w:val="000000"/>
          <w:sz w:val="22"/>
          <w:szCs w:val="22"/>
          <w:lang w:val="es-ES_tradnl" w:eastAsia="en-GB"/>
        </w:rPr>
        <w:t>.</w:t>
      </w:r>
      <w:r>
        <w:rPr>
          <w:rFonts w:ascii="Arial" w:eastAsia="Calibri" w:hAnsi="Arial" w:cs="Arial"/>
          <w:color w:val="000000"/>
          <w:sz w:val="22"/>
          <w:szCs w:val="22"/>
          <w:lang w:val="es-ES_tradnl" w:eastAsia="en-GB"/>
        </w:rPr>
        <w:t xml:space="preserve"> De igual manera, señaló que </w:t>
      </w:r>
      <w:r w:rsidRPr="00066821">
        <w:rPr>
          <w:rFonts w:ascii="Arial" w:hAnsi="Arial" w:cs="Arial"/>
          <w:sz w:val="22"/>
        </w:rPr>
        <w:t>«</w:t>
      </w:r>
      <w:r w:rsidRPr="001D4141">
        <w:rPr>
          <w:rFonts w:ascii="Arial" w:eastAsia="Calibri" w:hAnsi="Arial" w:cs="Arial"/>
          <w:color w:val="000000"/>
          <w:sz w:val="22"/>
          <w:szCs w:val="22"/>
          <w:lang w:val="es-ES_tradnl" w:eastAsia="en-GB"/>
        </w:rPr>
        <w:t xml:space="preserve">Durante los procesos de selección objetiva para </w:t>
      </w:r>
      <w:r w:rsidRPr="001D4141">
        <w:rPr>
          <w:rFonts w:ascii="Arial" w:eastAsia="Calibri" w:hAnsi="Arial" w:cs="Arial"/>
          <w:color w:val="000000"/>
          <w:sz w:val="22"/>
          <w:szCs w:val="22"/>
          <w:lang w:val="es-ES_tradnl" w:eastAsia="en-GB"/>
        </w:rPr>
        <w:lastRenderedPageBreak/>
        <w:t>contratistas de obra o interventores, se descontará hasta tres (3) por ciento de los puntos por cada anotación en los factores de ponderación de calidad, establecido en el literal a) del artículo 5° de la Ley 1150 de 2007 o la norma que la modifique</w:t>
      </w:r>
      <w:r w:rsidRPr="00066821">
        <w:rPr>
          <w:rFonts w:ascii="Arial" w:hAnsi="Arial" w:cs="Arial"/>
          <w:sz w:val="22"/>
        </w:rPr>
        <w:t>»</w:t>
      </w:r>
      <w:r>
        <w:rPr>
          <w:rStyle w:val="Refdenotaalpie"/>
          <w:rFonts w:ascii="Arial" w:eastAsia="Calibri" w:hAnsi="Arial" w:cs="Arial"/>
          <w:color w:val="000000"/>
          <w:sz w:val="22"/>
          <w:szCs w:val="22"/>
          <w:lang w:val="es-ES_tradnl" w:eastAsia="en-GB"/>
        </w:rPr>
        <w:footnoteReference w:id="21"/>
      </w:r>
      <w:r w:rsidRPr="001D4141">
        <w:rPr>
          <w:rFonts w:ascii="Arial" w:eastAsia="Calibri" w:hAnsi="Arial" w:cs="Arial"/>
          <w:color w:val="000000"/>
          <w:sz w:val="22"/>
          <w:szCs w:val="22"/>
          <w:lang w:val="es-ES_tradnl" w:eastAsia="en-GB"/>
        </w:rPr>
        <w:t>.</w:t>
      </w:r>
    </w:p>
    <w:p w14:paraId="70AF50CA" w14:textId="77777777" w:rsidR="00466861" w:rsidRDefault="00466861" w:rsidP="00466861">
      <w:pPr>
        <w:spacing w:before="120" w:line="276" w:lineRule="auto"/>
        <w:ind w:firstLine="709"/>
        <w:jc w:val="both"/>
        <w:rPr>
          <w:rFonts w:ascii="Arial" w:eastAsia="Calibri" w:hAnsi="Arial" w:cs="Arial"/>
          <w:color w:val="000000"/>
          <w:sz w:val="22"/>
          <w:szCs w:val="22"/>
          <w:lang w:val="es-ES_tradnl" w:eastAsia="en-GB"/>
        </w:rPr>
      </w:pPr>
      <w:r>
        <w:rPr>
          <w:rFonts w:ascii="Arial" w:eastAsia="Calibri" w:hAnsi="Arial" w:cs="Arial"/>
          <w:color w:val="000000"/>
          <w:sz w:val="22"/>
          <w:szCs w:val="22"/>
          <w:lang w:val="es-ES_tradnl" w:eastAsia="en-GB"/>
        </w:rPr>
        <w:t xml:space="preserve">Como se evidencia, la versión en este punto se centró en las anotaciones que presenten </w:t>
      </w:r>
      <w:r w:rsidRPr="001D4141">
        <w:rPr>
          <w:rFonts w:ascii="Arial" w:eastAsia="Calibri" w:hAnsi="Arial" w:cs="Arial"/>
          <w:color w:val="000000"/>
          <w:sz w:val="22"/>
          <w:szCs w:val="22"/>
          <w:lang w:val="es-ES_tradnl" w:eastAsia="en-GB"/>
        </w:rPr>
        <w:t>las personas naturales o jurídicas, nacionales o extranjeras domiciliadas o con sucursal en Colombia en el Registro Nacional de Obras Civiles Inconclusas</w:t>
      </w:r>
      <w:r>
        <w:rPr>
          <w:rFonts w:ascii="Arial" w:eastAsia="Calibri" w:hAnsi="Arial" w:cs="Arial"/>
          <w:color w:val="000000"/>
          <w:sz w:val="22"/>
          <w:szCs w:val="22"/>
          <w:lang w:val="es-ES_tradnl" w:eastAsia="en-GB"/>
        </w:rPr>
        <w:t>.</w:t>
      </w:r>
      <w:r w:rsidRPr="009153F6">
        <w:rPr>
          <w:rFonts w:ascii="Arial" w:eastAsia="Calibri" w:hAnsi="Arial" w:cs="Arial"/>
          <w:color w:val="000000"/>
          <w:sz w:val="22"/>
          <w:szCs w:val="22"/>
          <w:lang w:val="es-ES_tradnl" w:eastAsia="en-GB"/>
        </w:rPr>
        <w:t xml:space="preserve"> </w:t>
      </w:r>
      <w:r>
        <w:rPr>
          <w:rFonts w:ascii="Arial" w:eastAsia="Calibri" w:hAnsi="Arial" w:cs="Arial"/>
          <w:color w:val="000000"/>
          <w:sz w:val="22"/>
          <w:szCs w:val="22"/>
          <w:lang w:val="es-ES_tradnl" w:eastAsia="en-GB"/>
        </w:rPr>
        <w:t xml:space="preserve">La consecuencia jurídica era aparentemente clara, por cada anotación se descontaría 3% de los puntos </w:t>
      </w:r>
      <w:r w:rsidRPr="001D4141">
        <w:rPr>
          <w:rFonts w:ascii="Arial" w:eastAsia="Calibri" w:hAnsi="Arial" w:cs="Arial"/>
          <w:color w:val="000000"/>
          <w:sz w:val="22"/>
          <w:szCs w:val="22"/>
          <w:lang w:val="es-ES_tradnl" w:eastAsia="en-GB"/>
        </w:rPr>
        <w:t>en los fac</w:t>
      </w:r>
      <w:r>
        <w:rPr>
          <w:rFonts w:ascii="Arial" w:eastAsia="Calibri" w:hAnsi="Arial" w:cs="Arial"/>
          <w:color w:val="000000"/>
          <w:sz w:val="22"/>
          <w:szCs w:val="22"/>
          <w:lang w:val="es-ES_tradnl" w:eastAsia="en-GB"/>
        </w:rPr>
        <w:t xml:space="preserve">tores de ponderación de calidad. No obstante, lo expuesto no se consideró suficiente. Por tanto, en ponencias siguientes el artículo fue modificado completamente. Se eliminaron los parágrafos y el artículo quedó compuesto por dos párrafos, de la siguiente manera: </w:t>
      </w:r>
    </w:p>
    <w:p w14:paraId="10BB3DFC" w14:textId="77777777" w:rsidR="00466861" w:rsidRDefault="00466861" w:rsidP="00466861">
      <w:pPr>
        <w:spacing w:line="276" w:lineRule="auto"/>
        <w:ind w:firstLine="709"/>
        <w:jc w:val="both"/>
        <w:rPr>
          <w:rFonts w:ascii="Arial" w:eastAsia="Calibri" w:hAnsi="Arial" w:cs="Arial"/>
          <w:color w:val="000000"/>
          <w:sz w:val="22"/>
          <w:szCs w:val="22"/>
          <w:lang w:val="es-ES_tradnl" w:eastAsia="en-GB"/>
        </w:rPr>
      </w:pPr>
    </w:p>
    <w:p w14:paraId="7A45B5E6" w14:textId="77777777" w:rsidR="00466861" w:rsidRPr="00380576" w:rsidRDefault="00466861" w:rsidP="00466861">
      <w:pPr>
        <w:tabs>
          <w:tab w:val="left" w:pos="0"/>
        </w:tabs>
        <w:spacing w:after="120"/>
        <w:ind w:left="709" w:right="709"/>
        <w:jc w:val="both"/>
        <w:rPr>
          <w:rFonts w:ascii="Arial" w:eastAsia="Calibri" w:hAnsi="Arial" w:cs="Arial"/>
          <w:color w:val="000000"/>
          <w:sz w:val="21"/>
          <w:szCs w:val="21"/>
          <w:lang w:val="es-ES_tradnl" w:eastAsia="en-GB"/>
        </w:rPr>
      </w:pPr>
      <w:r w:rsidRPr="00380576">
        <w:rPr>
          <w:rFonts w:ascii="Arial" w:eastAsia="Calibri" w:hAnsi="Arial" w:cs="Arial"/>
          <w:color w:val="000000"/>
          <w:sz w:val="21"/>
          <w:szCs w:val="21"/>
          <w:lang w:val="es-ES_tradnl" w:eastAsia="en-GB"/>
        </w:rPr>
        <w:t xml:space="preserve">Artículo 6°. Actuaciones. 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 </w:t>
      </w:r>
    </w:p>
    <w:p w14:paraId="5F603216" w14:textId="77777777" w:rsidR="00466861" w:rsidRDefault="00466861" w:rsidP="00466861">
      <w:pPr>
        <w:tabs>
          <w:tab w:val="left" w:pos="0"/>
        </w:tabs>
        <w:ind w:left="709" w:right="709"/>
        <w:jc w:val="both"/>
        <w:rPr>
          <w:rFonts w:ascii="Arial" w:eastAsia="Calibri" w:hAnsi="Arial" w:cs="Arial"/>
          <w:color w:val="000000"/>
          <w:sz w:val="21"/>
          <w:szCs w:val="21"/>
          <w:lang w:val="es-ES_tradnl" w:eastAsia="en-GB"/>
        </w:rPr>
      </w:pPr>
      <w:r w:rsidRPr="00380576">
        <w:rPr>
          <w:rFonts w:ascii="Arial" w:eastAsia="Calibri" w:hAnsi="Arial" w:cs="Arial"/>
          <w:color w:val="000000"/>
          <w:sz w:val="21"/>
          <w:szCs w:val="21"/>
          <w:lang w:val="es-ES_tradnl" w:eastAsia="en-GB"/>
        </w:rPr>
        <w:t>Durante los procesos de selección objetiva para contratistas de obra o interventores, se descontará hasta tres (3) por ciento de los puntos por cada anotación en el Registro Nacional de Obras Civiles Inconclusas, por causas imputables a ellos, en los factores de ponderación de calidad, establecido en el literal a) del artículo 5° de la Ley 1150 de 2007 o la norma que la modifique</w:t>
      </w:r>
      <w:r>
        <w:rPr>
          <w:rStyle w:val="Refdenotaalpie"/>
          <w:rFonts w:ascii="Arial" w:eastAsia="Calibri" w:hAnsi="Arial" w:cs="Arial"/>
          <w:color w:val="000000"/>
          <w:sz w:val="22"/>
          <w:szCs w:val="22"/>
          <w:lang w:val="es-ES_tradnl" w:eastAsia="en-GB"/>
        </w:rPr>
        <w:footnoteReference w:id="22"/>
      </w:r>
      <w:r w:rsidRPr="00380576">
        <w:rPr>
          <w:rFonts w:ascii="Arial" w:eastAsia="Calibri" w:hAnsi="Arial" w:cs="Arial"/>
          <w:color w:val="000000"/>
          <w:sz w:val="21"/>
          <w:szCs w:val="21"/>
          <w:lang w:val="es-ES_tradnl" w:eastAsia="en-GB"/>
        </w:rPr>
        <w:t>.</w:t>
      </w:r>
    </w:p>
    <w:p w14:paraId="086E67D0" w14:textId="77777777" w:rsidR="00466861" w:rsidRDefault="00466861" w:rsidP="00466861">
      <w:pPr>
        <w:tabs>
          <w:tab w:val="left" w:pos="0"/>
        </w:tabs>
        <w:spacing w:line="276" w:lineRule="auto"/>
        <w:ind w:left="709" w:right="709"/>
        <w:jc w:val="both"/>
        <w:rPr>
          <w:rFonts w:ascii="Arial" w:eastAsia="Calibri" w:hAnsi="Arial" w:cs="Arial"/>
          <w:color w:val="000000"/>
          <w:sz w:val="21"/>
          <w:szCs w:val="21"/>
          <w:lang w:val="es-ES_tradnl" w:eastAsia="en-GB"/>
        </w:rPr>
      </w:pPr>
    </w:p>
    <w:p w14:paraId="0E9146AB" w14:textId="77777777" w:rsidR="00466861" w:rsidRDefault="00466861" w:rsidP="00466861">
      <w:pPr>
        <w:spacing w:line="276" w:lineRule="auto"/>
        <w:ind w:firstLine="709"/>
        <w:jc w:val="both"/>
        <w:rPr>
          <w:rFonts w:ascii="Arial" w:eastAsia="Calibri" w:hAnsi="Arial" w:cs="Arial"/>
          <w:color w:val="000000"/>
          <w:sz w:val="22"/>
          <w:szCs w:val="22"/>
          <w:lang w:val="es-ES_tradnl" w:eastAsia="en-GB"/>
        </w:rPr>
      </w:pPr>
      <w:r w:rsidRPr="00266CB5">
        <w:rPr>
          <w:rFonts w:ascii="Arial" w:eastAsia="Calibri" w:hAnsi="Arial" w:cs="Arial"/>
          <w:color w:val="000000"/>
          <w:sz w:val="22"/>
          <w:szCs w:val="22"/>
          <w:lang w:val="es-ES_tradnl" w:eastAsia="en-GB"/>
        </w:rPr>
        <w:t>En esta versión se incluye</w:t>
      </w:r>
      <w:r>
        <w:rPr>
          <w:rFonts w:ascii="Arial" w:eastAsia="Calibri" w:hAnsi="Arial" w:cs="Arial"/>
          <w:color w:val="000000"/>
          <w:sz w:val="22"/>
          <w:szCs w:val="22"/>
          <w:lang w:val="es-ES_tradnl" w:eastAsia="en-GB"/>
        </w:rPr>
        <w:t>ro</w:t>
      </w:r>
      <w:r w:rsidRPr="00266CB5">
        <w:rPr>
          <w:rFonts w:ascii="Arial" w:eastAsia="Calibri" w:hAnsi="Arial" w:cs="Arial"/>
          <w:color w:val="000000"/>
          <w:sz w:val="22"/>
          <w:szCs w:val="22"/>
          <w:lang w:val="es-ES_tradnl" w:eastAsia="en-GB"/>
        </w:rPr>
        <w:t xml:space="preserve">n los vocablos </w:t>
      </w:r>
      <w:r w:rsidRPr="00266CB5">
        <w:rPr>
          <w:rFonts w:ascii="Arial" w:hAnsi="Arial" w:cs="Arial"/>
          <w:sz w:val="22"/>
          <w:szCs w:val="22"/>
        </w:rPr>
        <w:t>«</w:t>
      </w:r>
      <w:r w:rsidRPr="00266CB5">
        <w:rPr>
          <w:rFonts w:ascii="Arial" w:eastAsia="Calibri" w:hAnsi="Arial" w:cs="Arial"/>
          <w:color w:val="000000"/>
          <w:sz w:val="22"/>
          <w:szCs w:val="22"/>
          <w:lang w:val="es-ES_tradnl" w:eastAsia="en-GB"/>
        </w:rPr>
        <w:t>consultar y analizar</w:t>
      </w:r>
      <w:r w:rsidRPr="00266CB5">
        <w:rPr>
          <w:rFonts w:ascii="Arial" w:hAnsi="Arial" w:cs="Arial"/>
          <w:sz w:val="22"/>
          <w:szCs w:val="22"/>
        </w:rPr>
        <w:t xml:space="preserve">» para efectos de las anotaciones </w:t>
      </w:r>
      <w:r w:rsidRPr="00266CB5">
        <w:rPr>
          <w:rFonts w:ascii="Arial" w:eastAsia="Calibri" w:hAnsi="Arial" w:cs="Arial"/>
          <w:color w:val="000000"/>
          <w:sz w:val="22"/>
          <w:szCs w:val="22"/>
          <w:lang w:val="es-ES_tradnl" w:eastAsia="en-GB"/>
        </w:rPr>
        <w:t xml:space="preserve">vigentes que presenten las personas naturales o jurídicas, nacionales o extranjeras domiciliadas o con sucursal en Colombia, en el Registro Nacional de Obras Civiles Inconclusas. </w:t>
      </w:r>
      <w:r>
        <w:rPr>
          <w:rFonts w:ascii="Arial" w:eastAsia="Calibri" w:hAnsi="Arial" w:cs="Arial"/>
          <w:color w:val="000000"/>
          <w:sz w:val="22"/>
          <w:szCs w:val="22"/>
          <w:lang w:val="es-ES_tradnl" w:eastAsia="en-GB"/>
        </w:rPr>
        <w:t>Se resalta</w:t>
      </w:r>
      <w:r w:rsidRPr="00266CB5">
        <w:rPr>
          <w:rFonts w:ascii="Arial" w:eastAsia="Calibri" w:hAnsi="Arial" w:cs="Arial"/>
          <w:color w:val="000000"/>
          <w:sz w:val="22"/>
          <w:szCs w:val="22"/>
          <w:lang w:val="es-ES_tradnl" w:eastAsia="en-GB"/>
        </w:rPr>
        <w:t xml:space="preserve"> la consecuencia</w:t>
      </w:r>
      <w:r>
        <w:rPr>
          <w:rFonts w:ascii="Arial" w:eastAsia="Calibri" w:hAnsi="Arial" w:cs="Arial"/>
          <w:color w:val="000000"/>
          <w:sz w:val="22"/>
          <w:szCs w:val="22"/>
          <w:lang w:val="es-ES_tradnl" w:eastAsia="en-GB"/>
        </w:rPr>
        <w:t xml:space="preserve"> que le atribuye el artículo a las anotaciones en el Registro. De esta manera, el descuento de hasta 3% de los puntos en los factores de ponderación se realiza si la anotación es por causas imputables a ellos. </w:t>
      </w:r>
    </w:p>
    <w:p w14:paraId="7650D91F" w14:textId="51850455" w:rsidR="00466861" w:rsidRDefault="00466861" w:rsidP="00466861">
      <w:pPr>
        <w:spacing w:before="120" w:line="276" w:lineRule="auto"/>
        <w:ind w:firstLine="709"/>
        <w:jc w:val="both"/>
        <w:rPr>
          <w:rFonts w:ascii="Arial" w:eastAsia="Calibri" w:hAnsi="Arial" w:cs="Arial"/>
          <w:color w:val="000000"/>
          <w:sz w:val="22"/>
          <w:szCs w:val="22"/>
          <w:lang w:eastAsia="en-GB"/>
        </w:rPr>
      </w:pPr>
      <w:r>
        <w:rPr>
          <w:rFonts w:ascii="Arial" w:eastAsia="Calibri" w:hAnsi="Arial" w:cs="Arial"/>
          <w:color w:val="000000"/>
          <w:sz w:val="22"/>
          <w:szCs w:val="22"/>
          <w:lang w:val="es-ES_tradnl" w:eastAsia="en-GB"/>
        </w:rPr>
        <w:t xml:space="preserve">Vale la pena destacar los comentarios que se realizaron en esta ponencia, en relación con la modificación efectuada. Según se indicó </w:t>
      </w:r>
      <w:r w:rsidRPr="00066821">
        <w:rPr>
          <w:rFonts w:ascii="Arial" w:hAnsi="Arial" w:cs="Arial"/>
          <w:sz w:val="22"/>
        </w:rPr>
        <w:t>«</w:t>
      </w:r>
      <w:r w:rsidRPr="005F730E">
        <w:rPr>
          <w:rFonts w:ascii="Arial" w:eastAsia="Calibri" w:hAnsi="Arial" w:cs="Arial"/>
          <w:color w:val="000000"/>
          <w:sz w:val="22"/>
          <w:szCs w:val="22"/>
          <w:lang w:eastAsia="en-GB"/>
        </w:rPr>
        <w:t>Se revisa la viabilidad jurídica de incluir la anotación en el registro como factor a evaluar de conformidad con las previsiones del estatuto contractual y teniendo en cuenta que no toda inclusión en el registro es imputable al contratista y se puede incurrir en vicio de constitucionalidad</w:t>
      </w:r>
      <w:r w:rsidRPr="00066821">
        <w:rPr>
          <w:rFonts w:ascii="Arial" w:hAnsi="Arial" w:cs="Arial"/>
          <w:sz w:val="22"/>
        </w:rPr>
        <w:t>»</w:t>
      </w:r>
      <w:r w:rsidRPr="005F730E">
        <w:rPr>
          <w:rFonts w:ascii="Arial" w:eastAsia="Calibri" w:hAnsi="Arial" w:cs="Arial"/>
          <w:color w:val="000000"/>
          <w:sz w:val="22"/>
          <w:szCs w:val="22"/>
          <w:lang w:eastAsia="en-GB"/>
        </w:rPr>
        <w:t>.</w:t>
      </w:r>
    </w:p>
    <w:p w14:paraId="72697783" w14:textId="77777777" w:rsidR="00CC7849" w:rsidRPr="003B5AB7" w:rsidRDefault="00466861" w:rsidP="00CC7849">
      <w:pPr>
        <w:spacing w:before="120" w:line="276" w:lineRule="auto"/>
        <w:ind w:firstLine="709"/>
        <w:jc w:val="both"/>
        <w:rPr>
          <w:rFonts w:ascii="Arial" w:eastAsia="Calibri" w:hAnsi="Arial" w:cs="Arial"/>
          <w:color w:val="000000"/>
          <w:sz w:val="22"/>
          <w:szCs w:val="22"/>
          <w:lang w:eastAsia="en-GB"/>
        </w:rPr>
      </w:pPr>
      <w:r>
        <w:rPr>
          <w:rFonts w:ascii="Arial" w:eastAsia="Calibri" w:hAnsi="Arial" w:cs="Arial"/>
          <w:color w:val="000000"/>
          <w:sz w:val="22"/>
          <w:szCs w:val="22"/>
          <w:lang w:eastAsia="en-GB"/>
        </w:rPr>
        <w:lastRenderedPageBreak/>
        <w:t xml:space="preserve">De lo expuesto se puede concluir lo siguiente: i) para el legislador es claro que  no toda anotación en el Registro Nacional de Obras Civiles Inconclusa corresponde a una causa atribuible al contratista; </w:t>
      </w:r>
      <w:proofErr w:type="spellStart"/>
      <w:r>
        <w:rPr>
          <w:rFonts w:ascii="Arial" w:eastAsia="Calibri" w:hAnsi="Arial" w:cs="Arial"/>
          <w:color w:val="000000"/>
          <w:sz w:val="22"/>
          <w:szCs w:val="22"/>
          <w:lang w:eastAsia="en-GB"/>
        </w:rPr>
        <w:t>ii</w:t>
      </w:r>
      <w:proofErr w:type="spellEnd"/>
      <w:r>
        <w:rPr>
          <w:rFonts w:ascii="Arial" w:eastAsia="Calibri" w:hAnsi="Arial" w:cs="Arial"/>
          <w:color w:val="000000"/>
          <w:sz w:val="22"/>
          <w:szCs w:val="22"/>
          <w:lang w:eastAsia="en-GB"/>
        </w:rPr>
        <w:t>) e</w:t>
      </w:r>
      <w:r w:rsidRPr="00AD46A2">
        <w:rPr>
          <w:rFonts w:ascii="Arial" w:eastAsia="Calibri" w:hAnsi="Arial" w:cs="Arial"/>
          <w:color w:val="000000"/>
          <w:sz w:val="22"/>
          <w:szCs w:val="22"/>
          <w:lang w:eastAsia="en-GB"/>
        </w:rPr>
        <w:t>n los procesos de contratación de obras públicas que adelanten las entidades estatales contratantes</w:t>
      </w:r>
      <w:r>
        <w:rPr>
          <w:rFonts w:ascii="Arial" w:eastAsia="Calibri" w:hAnsi="Arial" w:cs="Arial"/>
          <w:color w:val="000000"/>
          <w:sz w:val="22"/>
          <w:szCs w:val="22"/>
          <w:lang w:eastAsia="en-GB"/>
        </w:rPr>
        <w:t xml:space="preserve">, las anotaciones en el registro deberán consultarse y analizarse; y </w:t>
      </w:r>
      <w:proofErr w:type="spellStart"/>
      <w:r>
        <w:rPr>
          <w:rFonts w:ascii="Arial" w:eastAsia="Calibri" w:hAnsi="Arial" w:cs="Arial"/>
          <w:color w:val="000000"/>
          <w:sz w:val="22"/>
          <w:szCs w:val="22"/>
          <w:lang w:eastAsia="en-GB"/>
        </w:rPr>
        <w:t>iii</w:t>
      </w:r>
      <w:proofErr w:type="spellEnd"/>
      <w:r>
        <w:rPr>
          <w:rFonts w:ascii="Arial" w:eastAsia="Calibri" w:hAnsi="Arial" w:cs="Arial"/>
          <w:color w:val="000000"/>
          <w:sz w:val="22"/>
          <w:szCs w:val="22"/>
          <w:lang w:eastAsia="en-GB"/>
        </w:rPr>
        <w:t xml:space="preserve">) cuando en la anotación se evidencie una causa atribuible al contratista se descontará un porcentaje de los puntos en los factores de ponderación de calidad. </w:t>
      </w:r>
      <w:r w:rsidR="00CC7849">
        <w:rPr>
          <w:rFonts w:ascii="Arial" w:eastAsia="Calibri" w:hAnsi="Arial" w:cs="Arial"/>
          <w:color w:val="000000"/>
          <w:sz w:val="22"/>
          <w:szCs w:val="22"/>
          <w:lang w:eastAsia="en-GB"/>
        </w:rPr>
        <w:t xml:space="preserve">Este aspecto guarda coherencia con las </w:t>
      </w:r>
      <w:r w:rsidR="00CC7849" w:rsidRPr="003B5AB7">
        <w:rPr>
          <w:rFonts w:ascii="Arial" w:eastAsia="Calibri" w:hAnsi="Arial" w:cs="Arial"/>
          <w:color w:val="000000"/>
          <w:sz w:val="22"/>
          <w:szCs w:val="22"/>
          <w:lang w:eastAsia="en-GB"/>
        </w:rPr>
        <w:t xml:space="preserve">diferentes redacciones del artículo 6 en el trámite legislativo, de las cuales se acentúa el especial énfasis en el incumplimiento del contratista. </w:t>
      </w:r>
    </w:p>
    <w:p w14:paraId="0AAF64AD" w14:textId="63C43084" w:rsidR="00466861" w:rsidRDefault="00466861" w:rsidP="00466861">
      <w:pPr>
        <w:spacing w:before="120" w:line="276" w:lineRule="auto"/>
        <w:ind w:firstLine="709"/>
        <w:jc w:val="both"/>
        <w:rPr>
          <w:rFonts w:ascii="Arial" w:eastAsia="Calibri" w:hAnsi="Arial" w:cs="Arial"/>
          <w:color w:val="000000"/>
          <w:sz w:val="22"/>
          <w:szCs w:val="22"/>
          <w:lang w:val="es-ES_tradnl" w:eastAsia="en-GB"/>
        </w:rPr>
      </w:pPr>
      <w:r w:rsidRPr="003B5AB7">
        <w:rPr>
          <w:rFonts w:ascii="Arial" w:eastAsia="Calibri" w:hAnsi="Arial" w:cs="Arial"/>
          <w:color w:val="000000"/>
          <w:sz w:val="22"/>
          <w:szCs w:val="22"/>
          <w:lang w:val="es-ES_tradnl" w:eastAsia="en-GB"/>
        </w:rPr>
        <w:t>Finalmente, la versión actual del artículo 6 de la Ley 2020 de 2020 conserva el párrafo primero de manera idéntica a la redacción anterior</w:t>
      </w:r>
      <w:r w:rsidR="004A3EAB" w:rsidRPr="003B5AB7">
        <w:rPr>
          <w:rFonts w:ascii="Arial" w:eastAsia="Calibri" w:hAnsi="Arial" w:cs="Arial"/>
          <w:color w:val="000000"/>
          <w:sz w:val="22"/>
          <w:szCs w:val="22"/>
          <w:lang w:val="es-ES_tradnl" w:eastAsia="en-GB"/>
        </w:rPr>
        <w:t xml:space="preserve"> al tiempo que modificó el párrafo</w:t>
      </w:r>
      <w:r w:rsidRPr="003B5AB7">
        <w:rPr>
          <w:rFonts w:ascii="Arial" w:eastAsia="Calibri" w:hAnsi="Arial" w:cs="Arial"/>
          <w:color w:val="000000"/>
          <w:sz w:val="22"/>
          <w:szCs w:val="22"/>
          <w:lang w:val="es-ES_tradnl" w:eastAsia="en-GB"/>
        </w:rPr>
        <w:t>, dejando abierta el método o la forma en la cual se tendrá en cuenta las anotaciones en el</w:t>
      </w:r>
      <w:r>
        <w:rPr>
          <w:rFonts w:ascii="Arial" w:eastAsia="Calibri" w:hAnsi="Arial" w:cs="Arial"/>
          <w:color w:val="000000"/>
          <w:sz w:val="22"/>
          <w:szCs w:val="22"/>
          <w:lang w:val="es-ES_tradnl" w:eastAsia="en-GB"/>
        </w:rPr>
        <w:t xml:space="preserve"> registro al momento de evaluar los factores de ponderación de calidad. Además, agrega un párrafo relacionado con las controversias que surjan respecto de los reportes de la información que suministre la entidad contratante. </w:t>
      </w:r>
    </w:p>
    <w:p w14:paraId="361AE5DB" w14:textId="37E6F02D" w:rsidR="006C4461" w:rsidRPr="003B5AB7" w:rsidRDefault="004A3EAB">
      <w:pPr>
        <w:spacing w:before="120" w:line="276" w:lineRule="auto"/>
        <w:ind w:firstLine="709"/>
        <w:jc w:val="both"/>
        <w:rPr>
          <w:rFonts w:ascii="Arial" w:eastAsiaTheme="minorHAnsi" w:hAnsi="Arial" w:cs="Arial"/>
          <w:sz w:val="22"/>
          <w:szCs w:val="22"/>
          <w:lang w:val="es-MX" w:eastAsia="en-US"/>
        </w:rPr>
      </w:pPr>
      <w:r>
        <w:rPr>
          <w:rFonts w:ascii="Arial" w:eastAsia="Calibri" w:hAnsi="Arial" w:cs="Arial"/>
          <w:color w:val="000000"/>
          <w:sz w:val="22"/>
          <w:szCs w:val="22"/>
          <w:lang w:val="es-ES_tradnl" w:eastAsia="en-GB"/>
        </w:rPr>
        <w:t>Por ello</w:t>
      </w:r>
      <w:r w:rsidR="00466861">
        <w:rPr>
          <w:rFonts w:ascii="Arial" w:eastAsia="Calibri" w:hAnsi="Arial" w:cs="Arial"/>
          <w:color w:val="000000"/>
          <w:sz w:val="22"/>
          <w:szCs w:val="22"/>
          <w:lang w:val="es-ES_tradnl" w:eastAsia="en-GB"/>
        </w:rPr>
        <w:t xml:space="preserve">, atendiendo los antecedentes legislativos del artículo 6 de la Ley 2020 de 2020 anteriormente expuestos, se precisa que el descuento del punto </w:t>
      </w:r>
      <w:r w:rsidR="00466861" w:rsidRPr="001C6407">
        <w:rPr>
          <w:rFonts w:ascii="Arial" w:eastAsia="Calibri" w:hAnsi="Arial" w:cs="Arial"/>
          <w:color w:val="000000"/>
          <w:sz w:val="22"/>
          <w:szCs w:val="22"/>
          <w:lang w:val="es-ES_tradnl" w:eastAsia="en-GB"/>
        </w:rPr>
        <w:t>de la sumatoria obtenida en re</w:t>
      </w:r>
      <w:r w:rsidR="00466861">
        <w:rPr>
          <w:rFonts w:ascii="Arial" w:eastAsia="Calibri" w:hAnsi="Arial" w:cs="Arial"/>
          <w:color w:val="000000"/>
          <w:sz w:val="22"/>
          <w:szCs w:val="22"/>
          <w:lang w:val="es-ES_tradnl" w:eastAsia="en-GB"/>
        </w:rPr>
        <w:t xml:space="preserve">lación con el factor de calidad, </w:t>
      </w:r>
      <w:r w:rsidR="00466861" w:rsidRPr="003B5AB7">
        <w:rPr>
          <w:rFonts w:ascii="Arial" w:eastAsia="Calibri" w:hAnsi="Arial" w:cs="Arial"/>
          <w:color w:val="000000"/>
          <w:sz w:val="22"/>
          <w:szCs w:val="22"/>
          <w:lang w:val="es-ES_tradnl" w:eastAsia="en-GB"/>
        </w:rPr>
        <w:t xml:space="preserve">del que trata el texto de los documentos base adoptados por la Agencia Nacional de Contratación Pública – Colombia Compra Eficiente, deberá efectuarse una vez la entidad realice la consulta y el análisis de las anotaciones </w:t>
      </w:r>
      <w:r w:rsidR="006C4461" w:rsidRPr="003B5AB7">
        <w:rPr>
          <w:rFonts w:ascii="Arial" w:eastAsia="Calibri" w:hAnsi="Arial" w:cs="Arial"/>
          <w:color w:val="000000"/>
          <w:sz w:val="22"/>
          <w:szCs w:val="22"/>
          <w:lang w:val="es-ES_tradnl" w:eastAsia="en-GB"/>
        </w:rPr>
        <w:t xml:space="preserve">vigentes </w:t>
      </w:r>
      <w:r w:rsidR="00466861" w:rsidRPr="003B5AB7">
        <w:rPr>
          <w:rFonts w:ascii="Arial" w:eastAsia="Calibri" w:hAnsi="Arial" w:cs="Arial"/>
          <w:color w:val="000000"/>
          <w:sz w:val="22"/>
          <w:szCs w:val="22"/>
          <w:lang w:val="es-ES_tradnl" w:eastAsia="en-GB"/>
        </w:rPr>
        <w:t xml:space="preserve">en el Registro Nacional de Obras Civiles Inconclusas y determine </w:t>
      </w:r>
      <w:r w:rsidR="00466861" w:rsidRPr="003B5AB7">
        <w:rPr>
          <w:rFonts w:ascii="Arial" w:eastAsiaTheme="minorHAnsi" w:hAnsi="Arial" w:cs="Arial"/>
          <w:sz w:val="22"/>
          <w:szCs w:val="22"/>
          <w:lang w:val="es-MX" w:eastAsia="en-US"/>
        </w:rPr>
        <w:t>si esa anotación se dio por un incumplimiento del contratista.</w:t>
      </w:r>
      <w:r w:rsidRPr="003B5AB7">
        <w:rPr>
          <w:rFonts w:ascii="Arial" w:eastAsiaTheme="minorHAnsi" w:hAnsi="Arial" w:cs="Arial"/>
          <w:sz w:val="22"/>
          <w:szCs w:val="22"/>
          <w:lang w:val="es-MX" w:eastAsia="en-US"/>
        </w:rPr>
        <w:t xml:space="preserve"> </w:t>
      </w:r>
      <w:r w:rsidR="00FD42A7" w:rsidRPr="003B5AB7">
        <w:rPr>
          <w:rFonts w:ascii="Arial" w:eastAsiaTheme="minorHAnsi" w:hAnsi="Arial" w:cs="Arial"/>
          <w:sz w:val="22"/>
          <w:szCs w:val="22"/>
          <w:lang w:val="es-MX" w:eastAsia="en-US"/>
        </w:rPr>
        <w:t>D</w:t>
      </w:r>
      <w:r w:rsidRPr="003B5AB7">
        <w:rPr>
          <w:rFonts w:ascii="Arial" w:eastAsiaTheme="minorHAnsi" w:hAnsi="Arial" w:cs="Arial"/>
          <w:sz w:val="22"/>
          <w:szCs w:val="22"/>
          <w:lang w:val="es-MX" w:eastAsia="en-US"/>
        </w:rPr>
        <w:t xml:space="preserve">e esta manera, dependiendo del supuesto, la entidad descontará el punto. </w:t>
      </w:r>
    </w:p>
    <w:p w14:paraId="74077DEE" w14:textId="2A91882D" w:rsidR="006C4461" w:rsidRPr="003B5AB7" w:rsidRDefault="006C4461" w:rsidP="00466861">
      <w:pPr>
        <w:spacing w:before="120" w:line="276" w:lineRule="auto"/>
        <w:ind w:firstLine="709"/>
        <w:jc w:val="both"/>
        <w:rPr>
          <w:rFonts w:ascii="Arial" w:eastAsiaTheme="minorHAnsi" w:hAnsi="Arial" w:cs="Arial"/>
          <w:sz w:val="22"/>
          <w:szCs w:val="22"/>
          <w:lang w:val="es-MX" w:eastAsia="en-US"/>
        </w:rPr>
      </w:pPr>
      <w:bookmarkStart w:id="7" w:name="_Hlk68164749"/>
      <w:r w:rsidRPr="003B5AB7">
        <w:rPr>
          <w:rFonts w:ascii="Arial" w:hAnsi="Arial" w:cs="Arial"/>
          <w:color w:val="000000" w:themeColor="text1"/>
          <w:sz w:val="22"/>
        </w:rPr>
        <w:t>Debe precisarse que las anotaciones vigentes en</w:t>
      </w:r>
      <w:r w:rsidRPr="00F80DAD">
        <w:rPr>
          <w:rFonts w:ascii="Arial" w:hAnsi="Arial" w:cs="Arial"/>
          <w:color w:val="000000" w:themeColor="text1"/>
          <w:sz w:val="22"/>
        </w:rPr>
        <w:t xml:space="preserve"> el Registro Nacional de Obras Civiles </w:t>
      </w:r>
      <w:r w:rsidR="006170F7" w:rsidRPr="00F80DAD">
        <w:rPr>
          <w:rFonts w:ascii="Arial" w:hAnsi="Arial" w:cs="Arial"/>
          <w:color w:val="000000" w:themeColor="text1"/>
          <w:sz w:val="22"/>
        </w:rPr>
        <w:t>Inconclusas</w:t>
      </w:r>
      <w:r w:rsidR="006170F7">
        <w:rPr>
          <w:rFonts w:ascii="Arial" w:hAnsi="Arial" w:cs="Arial"/>
          <w:color w:val="000000" w:themeColor="text1"/>
          <w:sz w:val="22"/>
        </w:rPr>
        <w:t xml:space="preserve"> </w:t>
      </w:r>
      <w:r w:rsidRPr="00F80DAD">
        <w:rPr>
          <w:rFonts w:ascii="Arial" w:hAnsi="Arial" w:cs="Arial"/>
          <w:color w:val="000000" w:themeColor="text1"/>
          <w:sz w:val="22"/>
        </w:rPr>
        <w:t xml:space="preserve">corresponden a </w:t>
      </w:r>
      <w:r w:rsidR="00AF7F35">
        <w:rPr>
          <w:rFonts w:ascii="Arial" w:hAnsi="Arial" w:cs="Arial"/>
          <w:color w:val="000000" w:themeColor="text1"/>
          <w:sz w:val="22"/>
        </w:rPr>
        <w:t>las</w:t>
      </w:r>
      <w:r w:rsidRPr="00F80DAD">
        <w:rPr>
          <w:rFonts w:ascii="Arial" w:hAnsi="Arial" w:cs="Arial"/>
          <w:color w:val="000000" w:themeColor="text1"/>
          <w:sz w:val="22"/>
        </w:rPr>
        <w:t xml:space="preserve"> que reposan en </w:t>
      </w:r>
      <w:r w:rsidR="00AF7F35">
        <w:rPr>
          <w:rFonts w:ascii="Arial" w:hAnsi="Arial" w:cs="Arial"/>
          <w:color w:val="000000" w:themeColor="text1"/>
          <w:sz w:val="22"/>
        </w:rPr>
        <w:t>este</w:t>
      </w:r>
      <w:r w:rsidRPr="00F80DAD">
        <w:rPr>
          <w:rFonts w:ascii="Arial" w:hAnsi="Arial" w:cs="Arial"/>
          <w:color w:val="000000" w:themeColor="text1"/>
          <w:sz w:val="22"/>
        </w:rPr>
        <w:t>, teniendo en cuenta las actualizaciones que realice la Contraloría General de la República y las entidades estatales</w:t>
      </w:r>
      <w:r w:rsidR="006170F7">
        <w:rPr>
          <w:rFonts w:ascii="Arial" w:hAnsi="Arial" w:cs="Arial"/>
          <w:color w:val="000000" w:themeColor="text1"/>
          <w:sz w:val="22"/>
        </w:rPr>
        <w:t xml:space="preserve">, conforme </w:t>
      </w:r>
      <w:r w:rsidR="00D90023">
        <w:rPr>
          <w:rFonts w:ascii="Arial" w:hAnsi="Arial" w:cs="Arial"/>
          <w:color w:val="000000" w:themeColor="text1"/>
          <w:sz w:val="22"/>
        </w:rPr>
        <w:t>a</w:t>
      </w:r>
      <w:r w:rsidR="006170F7">
        <w:rPr>
          <w:rFonts w:ascii="Arial" w:hAnsi="Arial" w:cs="Arial"/>
          <w:color w:val="000000" w:themeColor="text1"/>
          <w:sz w:val="22"/>
        </w:rPr>
        <w:t>l artículo 3 de la Ley 2020 de 2020.</w:t>
      </w:r>
      <w:r w:rsidRPr="00523363">
        <w:rPr>
          <w:rFonts w:ascii="Arial" w:hAnsi="Arial" w:cs="Arial"/>
          <w:color w:val="000000" w:themeColor="text1"/>
          <w:sz w:val="22"/>
        </w:rPr>
        <w:t xml:space="preserve"> </w:t>
      </w:r>
      <w:bookmarkStart w:id="8" w:name="_Hlk70876793"/>
      <w:r w:rsidRPr="00523363">
        <w:rPr>
          <w:rFonts w:ascii="Arial" w:hAnsi="Arial" w:cs="Arial"/>
          <w:color w:val="000000" w:themeColor="text1"/>
          <w:sz w:val="22"/>
        </w:rPr>
        <w:t xml:space="preserve">En tal sentido, para efectos del descuento del puntaje establecido en numeral 4.2 del documento base, la entidad estatal </w:t>
      </w:r>
      <w:r w:rsidR="000D378E">
        <w:rPr>
          <w:rFonts w:ascii="Arial" w:hAnsi="Arial" w:cs="Arial"/>
          <w:color w:val="000000" w:themeColor="text1"/>
          <w:sz w:val="22"/>
        </w:rPr>
        <w:t>–</w:t>
      </w:r>
      <w:r w:rsidRPr="00523363">
        <w:rPr>
          <w:rFonts w:ascii="Arial" w:hAnsi="Arial" w:cs="Arial"/>
          <w:color w:val="000000" w:themeColor="text1"/>
          <w:sz w:val="22"/>
        </w:rPr>
        <w:t>al momento de evaluar el factor de calidad</w:t>
      </w:r>
      <w:r w:rsidR="000D378E">
        <w:rPr>
          <w:rFonts w:ascii="Arial" w:hAnsi="Arial" w:cs="Arial"/>
          <w:color w:val="000000" w:themeColor="text1"/>
          <w:sz w:val="22"/>
        </w:rPr>
        <w:t>–</w:t>
      </w:r>
      <w:r w:rsidRPr="00523363">
        <w:rPr>
          <w:rFonts w:ascii="Arial" w:hAnsi="Arial" w:cs="Arial"/>
          <w:color w:val="000000" w:themeColor="text1"/>
          <w:sz w:val="22"/>
        </w:rPr>
        <w:t xml:space="preserve"> deberá </w:t>
      </w:r>
      <w:r w:rsidR="00BC5BBD" w:rsidRPr="00523363">
        <w:rPr>
          <w:rFonts w:ascii="Arial" w:hAnsi="Arial" w:cs="Arial"/>
          <w:color w:val="000000" w:themeColor="text1"/>
          <w:sz w:val="22"/>
        </w:rPr>
        <w:t>consulta</w:t>
      </w:r>
      <w:r w:rsidR="0017118C">
        <w:rPr>
          <w:rFonts w:ascii="Arial" w:hAnsi="Arial" w:cs="Arial"/>
          <w:color w:val="000000" w:themeColor="text1"/>
          <w:sz w:val="22"/>
        </w:rPr>
        <w:t>r</w:t>
      </w:r>
      <w:r w:rsidR="00BC5BBD" w:rsidRPr="00523363">
        <w:rPr>
          <w:rFonts w:ascii="Arial" w:hAnsi="Arial" w:cs="Arial"/>
          <w:color w:val="000000" w:themeColor="text1"/>
          <w:sz w:val="22"/>
        </w:rPr>
        <w:t xml:space="preserve"> y analizar la</w:t>
      </w:r>
      <w:r w:rsidRPr="00523363">
        <w:rPr>
          <w:rFonts w:ascii="Arial" w:hAnsi="Arial" w:cs="Arial"/>
          <w:color w:val="000000" w:themeColor="text1"/>
          <w:sz w:val="22"/>
        </w:rPr>
        <w:t xml:space="preserve">s anotaciones en el </w:t>
      </w:r>
      <w:r w:rsidR="000D378E">
        <w:rPr>
          <w:rFonts w:ascii="Arial" w:hAnsi="Arial" w:cs="Arial"/>
          <w:color w:val="000000" w:themeColor="text1"/>
          <w:sz w:val="22"/>
        </w:rPr>
        <w:t>r</w:t>
      </w:r>
      <w:r w:rsidRPr="00523363">
        <w:rPr>
          <w:rFonts w:ascii="Arial" w:hAnsi="Arial" w:cs="Arial"/>
          <w:color w:val="000000" w:themeColor="text1"/>
          <w:sz w:val="22"/>
        </w:rPr>
        <w:t xml:space="preserve">egistro con sus respectivas </w:t>
      </w:r>
      <w:r w:rsidRPr="003B5AB7">
        <w:rPr>
          <w:rFonts w:ascii="Arial" w:hAnsi="Arial" w:cs="Arial"/>
          <w:color w:val="000000" w:themeColor="text1"/>
          <w:sz w:val="22"/>
        </w:rPr>
        <w:t>actualizaciones.</w:t>
      </w:r>
      <w:r w:rsidR="00BC5BBD" w:rsidRPr="003B5AB7">
        <w:rPr>
          <w:rFonts w:ascii="Arial" w:hAnsi="Arial" w:cs="Arial"/>
          <w:color w:val="000000" w:themeColor="text1"/>
          <w:sz w:val="22"/>
        </w:rPr>
        <w:t xml:space="preserve"> </w:t>
      </w:r>
      <w:bookmarkEnd w:id="8"/>
      <w:r w:rsidR="00BC5BBD" w:rsidRPr="003B5AB7">
        <w:rPr>
          <w:rFonts w:ascii="Arial" w:hAnsi="Arial" w:cs="Arial"/>
          <w:color w:val="000000" w:themeColor="text1"/>
          <w:sz w:val="22"/>
        </w:rPr>
        <w:t xml:space="preserve"> </w:t>
      </w:r>
    </w:p>
    <w:bookmarkEnd w:id="7"/>
    <w:p w14:paraId="12B6F6F5" w14:textId="77777777" w:rsidR="004A3EAB" w:rsidRDefault="004A3EAB" w:rsidP="004A3EAB">
      <w:pPr>
        <w:spacing w:before="120" w:line="276" w:lineRule="auto"/>
        <w:ind w:firstLine="709"/>
        <w:jc w:val="both"/>
        <w:rPr>
          <w:rFonts w:ascii="Arial" w:eastAsia="Calibri" w:hAnsi="Arial" w:cs="Arial"/>
          <w:color w:val="000000"/>
          <w:sz w:val="22"/>
          <w:lang w:val="es-ES_tradnl" w:eastAsia="en-GB"/>
        </w:rPr>
      </w:pPr>
      <w:r w:rsidRPr="003B5AB7">
        <w:rPr>
          <w:rFonts w:ascii="Arial" w:eastAsiaTheme="minorHAnsi" w:hAnsi="Arial" w:cs="Arial"/>
          <w:sz w:val="22"/>
          <w:szCs w:val="22"/>
          <w:lang w:val="es-MX" w:eastAsia="en-US"/>
        </w:rPr>
        <w:t>En este escenario, es pertinente aclarar que el simple hecho de encontrarse incluido en el Registro Nacional de Obras Civiles Inconclusas no da lugar a descontar el punto señalado. En otras palabras, la anotación en el registro no genera automáticamente el descuento del punto, pues los efectos de encontrarse en dicho registro no siempre obedecen a responsabilidad o causas imputables al contratista. Debido a lo anterior, las anotaciones incluidas en el Registro Nacional de Obras Civiles inconclusas deben ser consultadas y analizadas. En efecto, la información que reposa en dicho Registro contiene</w:t>
      </w:r>
      <w:r>
        <w:rPr>
          <w:rFonts w:ascii="Arial" w:eastAsiaTheme="minorHAnsi" w:hAnsi="Arial" w:cs="Arial"/>
          <w:sz w:val="22"/>
          <w:szCs w:val="22"/>
          <w:lang w:val="es-MX" w:eastAsia="en-US"/>
        </w:rPr>
        <w:t xml:space="preserve"> las obras que </w:t>
      </w:r>
      <w:r>
        <w:rPr>
          <w:rFonts w:ascii="Arial" w:eastAsia="Calibri" w:hAnsi="Arial" w:cs="Arial"/>
          <w:color w:val="000000"/>
          <w:sz w:val="22"/>
          <w:lang w:val="es-ES_tradnl" w:eastAsia="en-GB"/>
        </w:rPr>
        <w:t xml:space="preserve">no hayan </w:t>
      </w:r>
      <w:r w:rsidRPr="00E23980">
        <w:rPr>
          <w:rFonts w:ascii="Arial" w:eastAsia="Calibri" w:hAnsi="Arial" w:cs="Arial"/>
          <w:color w:val="000000"/>
          <w:sz w:val="22"/>
          <w:lang w:val="es-ES_tradnl" w:eastAsia="en-GB"/>
        </w:rPr>
        <w:t xml:space="preserve">concluido de manera satisfactoria para el interés general o el definido por la entidad estatal contratante, </w:t>
      </w:r>
      <w:r>
        <w:rPr>
          <w:rFonts w:ascii="Arial" w:eastAsia="Calibri" w:hAnsi="Arial" w:cs="Arial"/>
          <w:color w:val="000000"/>
          <w:sz w:val="22"/>
          <w:lang w:val="es-ES_tradnl" w:eastAsia="en-GB"/>
        </w:rPr>
        <w:t>así como aquellas que</w:t>
      </w:r>
      <w:r w:rsidRPr="00E23980">
        <w:rPr>
          <w:rFonts w:ascii="Arial" w:eastAsia="Calibri" w:hAnsi="Arial" w:cs="Arial"/>
          <w:color w:val="000000"/>
          <w:sz w:val="22"/>
          <w:lang w:val="es-ES_tradnl" w:eastAsia="en-GB"/>
        </w:rPr>
        <w:t xml:space="preserve"> no est</w:t>
      </w:r>
      <w:r>
        <w:rPr>
          <w:rFonts w:ascii="Arial" w:eastAsia="Calibri" w:hAnsi="Arial" w:cs="Arial"/>
          <w:color w:val="000000"/>
          <w:sz w:val="22"/>
          <w:lang w:val="es-ES_tradnl" w:eastAsia="en-GB"/>
        </w:rPr>
        <w:t xml:space="preserve">én prestando el </w:t>
      </w:r>
      <w:r>
        <w:rPr>
          <w:rFonts w:ascii="Arial" w:eastAsia="Calibri" w:hAnsi="Arial" w:cs="Arial"/>
          <w:color w:val="000000"/>
          <w:sz w:val="22"/>
          <w:lang w:val="es-ES_tradnl" w:eastAsia="en-GB"/>
        </w:rPr>
        <w:lastRenderedPageBreak/>
        <w:t xml:space="preserve">servicio para la </w:t>
      </w:r>
      <w:r w:rsidRPr="00E23980">
        <w:rPr>
          <w:rFonts w:ascii="Arial" w:eastAsia="Calibri" w:hAnsi="Arial" w:cs="Arial"/>
          <w:color w:val="000000"/>
          <w:sz w:val="22"/>
          <w:lang w:val="es-ES_tradnl" w:eastAsia="en-GB"/>
        </w:rPr>
        <w:t>cual fue contratada</w:t>
      </w:r>
      <w:r>
        <w:rPr>
          <w:rFonts w:ascii="Arial" w:eastAsia="Calibri" w:hAnsi="Arial" w:cs="Arial"/>
          <w:color w:val="000000"/>
          <w:sz w:val="22"/>
          <w:lang w:val="es-ES_tradnl" w:eastAsia="en-GB"/>
        </w:rPr>
        <w:t xml:space="preserve">. Este evento, en principio, no implica </w:t>
      </w:r>
      <w:r w:rsidRPr="008234E0">
        <w:rPr>
          <w:rFonts w:ascii="Arial" w:eastAsia="Calibri" w:hAnsi="Arial" w:cs="Arial"/>
          <w:i/>
          <w:color w:val="000000"/>
          <w:sz w:val="22"/>
          <w:lang w:val="es-ES_tradnl" w:eastAsia="en-GB"/>
        </w:rPr>
        <w:t>per se</w:t>
      </w:r>
      <w:r>
        <w:rPr>
          <w:rFonts w:ascii="Arial" w:eastAsia="Calibri" w:hAnsi="Arial" w:cs="Arial"/>
          <w:i/>
          <w:color w:val="000000"/>
          <w:sz w:val="22"/>
          <w:lang w:val="es-ES_tradnl" w:eastAsia="en-GB"/>
        </w:rPr>
        <w:t xml:space="preserve"> </w:t>
      </w:r>
      <w:r>
        <w:rPr>
          <w:rFonts w:ascii="Arial" w:eastAsia="Calibri" w:hAnsi="Arial" w:cs="Arial"/>
          <w:color w:val="000000"/>
          <w:sz w:val="22"/>
          <w:lang w:val="es-ES_tradnl" w:eastAsia="en-GB"/>
        </w:rPr>
        <w:t xml:space="preserve">un incumplimiento del contratista. Las razones por las cuales la obra no esté prestando el servicio pueden ir desde defectos en el diseño, calidad de la obra, hasta falta de presupuesto para funcionamiento, razón por la cual es importante analizar los datos consignados en el registro. </w:t>
      </w:r>
    </w:p>
    <w:p w14:paraId="16FB65F6" w14:textId="68874FBC" w:rsidR="00D92B9B" w:rsidRDefault="00466861" w:rsidP="00466861">
      <w:pPr>
        <w:spacing w:before="120" w:line="276" w:lineRule="auto"/>
        <w:ind w:firstLine="709"/>
        <w:jc w:val="both"/>
        <w:rPr>
          <w:rFonts w:ascii="Arial" w:eastAsia="Calibri" w:hAnsi="Arial" w:cs="Arial"/>
          <w:color w:val="000000"/>
          <w:sz w:val="22"/>
          <w:lang w:val="es-ES_tradnl" w:eastAsia="en-GB"/>
        </w:rPr>
      </w:pPr>
      <w:r>
        <w:rPr>
          <w:rFonts w:ascii="Arial" w:eastAsia="Calibri" w:hAnsi="Arial" w:cs="Arial"/>
          <w:color w:val="000000"/>
          <w:sz w:val="22"/>
          <w:lang w:val="es-ES_tradnl" w:eastAsia="en-GB"/>
        </w:rPr>
        <w:t xml:space="preserve">Además, debe agregarse que la entidad reportará en el Registro solo la información que posea en relación con la Obra Civil Inconclusa. En efecto, aunque el artículo 4 de la Ley 2020 de 2020 </w:t>
      </w:r>
      <w:r w:rsidR="00E70E47">
        <w:rPr>
          <w:rFonts w:ascii="Arial" w:eastAsia="Calibri" w:hAnsi="Arial" w:cs="Arial"/>
          <w:color w:val="000000"/>
          <w:sz w:val="22"/>
          <w:lang w:val="es-ES_tradnl" w:eastAsia="en-GB"/>
        </w:rPr>
        <w:t xml:space="preserve">dispone </w:t>
      </w:r>
      <w:r>
        <w:rPr>
          <w:rFonts w:ascii="Arial" w:eastAsia="Calibri" w:hAnsi="Arial" w:cs="Arial"/>
          <w:color w:val="000000"/>
          <w:sz w:val="22"/>
          <w:lang w:val="es-ES_tradnl" w:eastAsia="en-GB"/>
        </w:rPr>
        <w:t xml:space="preserve">el contenido mínimo de información que se debe incorporar en el Registro Nacional de Obras Civiles Inconclusas, puede suceder que la entidad no cuente con toda la información requerida </w:t>
      </w:r>
      <w:r w:rsidR="000D152A">
        <w:rPr>
          <w:rFonts w:ascii="Arial" w:eastAsia="Calibri" w:hAnsi="Arial" w:cs="Arial"/>
          <w:color w:val="000000"/>
          <w:sz w:val="22"/>
          <w:lang w:val="es-ES_tradnl" w:eastAsia="en-GB"/>
        </w:rPr>
        <w:t>y,</w:t>
      </w:r>
      <w:r>
        <w:rPr>
          <w:rFonts w:ascii="Arial" w:eastAsia="Calibri" w:hAnsi="Arial" w:cs="Arial"/>
          <w:color w:val="000000"/>
          <w:sz w:val="22"/>
          <w:lang w:val="es-ES_tradnl" w:eastAsia="en-GB"/>
        </w:rPr>
        <w:t xml:space="preserve"> por ende, no podría efectuar el registro de la información señalada en dicho artículo. Para esta situación, la Dirección de Información, Análisis y Reacción Inmediata de la Contraloría General de la República, en las capacitaciones impartidas, ha indicado que </w:t>
      </w:r>
      <w:r w:rsidRPr="00066821">
        <w:rPr>
          <w:rFonts w:ascii="Arial" w:hAnsi="Arial" w:cs="Arial"/>
          <w:sz w:val="22"/>
        </w:rPr>
        <w:t>«</w:t>
      </w:r>
      <w:r>
        <w:rPr>
          <w:rFonts w:ascii="Arial" w:eastAsia="Calibri" w:hAnsi="Arial" w:cs="Arial"/>
          <w:color w:val="000000"/>
          <w:sz w:val="22"/>
          <w:lang w:val="es-ES_tradnl" w:eastAsia="en-GB"/>
        </w:rPr>
        <w:t>si se trata de un campo numérico y no se tenga información que reportar se coloca 0 y cuando sea un campo alfanumérico se coloca no aplica</w:t>
      </w:r>
      <w:r w:rsidRPr="00066821">
        <w:rPr>
          <w:rFonts w:ascii="Arial" w:hAnsi="Arial" w:cs="Arial"/>
          <w:sz w:val="22"/>
        </w:rPr>
        <w:t>»</w:t>
      </w:r>
      <w:r>
        <w:rPr>
          <w:rStyle w:val="Refdenotaalpie"/>
          <w:rFonts w:ascii="Arial" w:eastAsia="Calibri" w:hAnsi="Arial" w:cs="Arial"/>
          <w:color w:val="000000"/>
          <w:sz w:val="22"/>
          <w:lang w:val="es-ES_tradnl" w:eastAsia="en-GB"/>
        </w:rPr>
        <w:footnoteReference w:id="23"/>
      </w:r>
      <w:r>
        <w:rPr>
          <w:rFonts w:ascii="Arial" w:eastAsia="Calibri" w:hAnsi="Arial" w:cs="Arial"/>
          <w:color w:val="000000"/>
          <w:sz w:val="22"/>
          <w:lang w:val="es-ES_tradnl" w:eastAsia="en-GB"/>
        </w:rPr>
        <w:t xml:space="preserve">. Esta ilustración </w:t>
      </w:r>
      <w:r w:rsidR="00E70E47">
        <w:rPr>
          <w:rFonts w:ascii="Arial" w:eastAsia="Calibri" w:hAnsi="Arial" w:cs="Arial"/>
          <w:color w:val="000000"/>
          <w:sz w:val="22"/>
          <w:lang w:val="es-ES_tradnl" w:eastAsia="en-GB"/>
        </w:rPr>
        <w:t>de</w:t>
      </w:r>
      <w:r>
        <w:rPr>
          <w:rFonts w:ascii="Arial" w:eastAsia="Calibri" w:hAnsi="Arial" w:cs="Arial"/>
          <w:color w:val="000000"/>
          <w:sz w:val="22"/>
          <w:lang w:val="es-ES_tradnl" w:eastAsia="en-GB"/>
        </w:rPr>
        <w:t>muestra que en el Registro Nacional de Obras Civiles Inconclusas no necesariamente se encontrará toda la información que dé cuenta del cumplimiento o el incumplimiento del contratista.</w:t>
      </w:r>
      <w:r w:rsidR="00A3483C">
        <w:rPr>
          <w:rFonts w:ascii="Arial" w:eastAsia="Calibri" w:hAnsi="Arial" w:cs="Arial"/>
          <w:color w:val="000000"/>
          <w:sz w:val="22"/>
          <w:lang w:val="es-ES_tradnl" w:eastAsia="en-GB"/>
        </w:rPr>
        <w:t xml:space="preserve"> </w:t>
      </w:r>
    </w:p>
    <w:p w14:paraId="4EF2F0B0" w14:textId="49EFE1BB" w:rsidR="00466861" w:rsidRPr="00D92B9B" w:rsidRDefault="001E218A" w:rsidP="00D92B9B">
      <w:pPr>
        <w:spacing w:before="120" w:line="276" w:lineRule="auto"/>
        <w:ind w:firstLine="709"/>
        <w:jc w:val="both"/>
        <w:rPr>
          <w:rFonts w:ascii="Arial" w:eastAsiaTheme="minorHAnsi" w:hAnsi="Arial" w:cs="Arial"/>
          <w:sz w:val="22"/>
          <w:szCs w:val="22"/>
          <w:lang w:val="es-MX" w:eastAsia="en-US"/>
        </w:rPr>
      </w:pPr>
      <w:r>
        <w:rPr>
          <w:rFonts w:ascii="Arial" w:eastAsia="Calibri" w:hAnsi="Arial" w:cs="Arial"/>
          <w:color w:val="000000"/>
          <w:sz w:val="22"/>
          <w:lang w:val="es-ES_tradnl" w:eastAsia="en-GB"/>
        </w:rPr>
        <w:t>En este punto</w:t>
      </w:r>
      <w:r w:rsidR="00D92B9B">
        <w:rPr>
          <w:rFonts w:ascii="Arial" w:eastAsia="Calibri" w:hAnsi="Arial" w:cs="Arial"/>
          <w:color w:val="000000"/>
          <w:sz w:val="22"/>
          <w:lang w:val="es-ES_tradnl" w:eastAsia="en-GB"/>
        </w:rPr>
        <w:t>,</w:t>
      </w:r>
      <w:r>
        <w:rPr>
          <w:rFonts w:ascii="Arial" w:eastAsia="Calibri" w:hAnsi="Arial" w:cs="Arial"/>
          <w:color w:val="000000"/>
          <w:sz w:val="22"/>
          <w:lang w:val="es-ES_tradnl" w:eastAsia="en-GB"/>
        </w:rPr>
        <w:t xml:space="preserve"> cabe destacar que</w:t>
      </w:r>
      <w:r w:rsidR="00D92B9B">
        <w:rPr>
          <w:rFonts w:ascii="Arial" w:eastAsia="Calibri" w:hAnsi="Arial" w:cs="Arial"/>
          <w:color w:val="000000"/>
          <w:sz w:val="22"/>
          <w:lang w:val="es-ES_tradnl" w:eastAsia="en-GB"/>
        </w:rPr>
        <w:t xml:space="preserve"> para </w:t>
      </w:r>
      <w:r w:rsidR="00A3483C">
        <w:rPr>
          <w:rFonts w:ascii="Arial" w:eastAsia="Calibri" w:hAnsi="Arial" w:cs="Arial"/>
          <w:color w:val="000000"/>
          <w:sz w:val="22"/>
          <w:lang w:val="es-ES_tradnl" w:eastAsia="en-GB"/>
        </w:rPr>
        <w:t>desc</w:t>
      </w:r>
      <w:r w:rsidR="00D92B9B">
        <w:rPr>
          <w:rFonts w:ascii="Arial" w:eastAsia="Calibri" w:hAnsi="Arial" w:cs="Arial"/>
          <w:color w:val="000000"/>
          <w:sz w:val="22"/>
          <w:lang w:val="es-ES_tradnl" w:eastAsia="en-GB"/>
        </w:rPr>
        <w:t>ontar e</w:t>
      </w:r>
      <w:r w:rsidR="00A3483C">
        <w:rPr>
          <w:rFonts w:ascii="Arial" w:eastAsiaTheme="minorHAnsi" w:hAnsi="Arial" w:cs="Arial"/>
          <w:sz w:val="22"/>
          <w:szCs w:val="22"/>
          <w:lang w:val="es-MX" w:eastAsia="en-US"/>
        </w:rPr>
        <w:t>l puntaje</w:t>
      </w:r>
      <w:r w:rsidR="00D92B9B">
        <w:rPr>
          <w:rFonts w:ascii="Arial" w:eastAsiaTheme="minorHAnsi" w:hAnsi="Arial" w:cs="Arial"/>
          <w:sz w:val="22"/>
          <w:szCs w:val="22"/>
          <w:lang w:val="es-MX" w:eastAsia="en-US"/>
        </w:rPr>
        <w:t xml:space="preserve"> conforme al numeral</w:t>
      </w:r>
      <w:r w:rsidR="00D92B9B" w:rsidRPr="00E70850">
        <w:rPr>
          <w:rFonts w:ascii="Arial" w:hAnsi="Arial" w:cs="Arial"/>
          <w:color w:val="000000" w:themeColor="text1"/>
          <w:sz w:val="22"/>
        </w:rPr>
        <w:t xml:space="preserve"> 4.2 «Factor de Calidad»</w:t>
      </w:r>
      <w:r w:rsidR="00D92B9B">
        <w:rPr>
          <w:rFonts w:ascii="Arial" w:hAnsi="Arial" w:cs="Arial"/>
          <w:color w:val="000000" w:themeColor="text1"/>
          <w:sz w:val="22"/>
        </w:rPr>
        <w:t xml:space="preserve"> del documento base</w:t>
      </w:r>
      <w:r w:rsidR="00A3483C">
        <w:rPr>
          <w:rFonts w:ascii="Arial" w:eastAsiaTheme="minorHAnsi" w:hAnsi="Arial" w:cs="Arial"/>
          <w:sz w:val="22"/>
          <w:szCs w:val="22"/>
          <w:lang w:val="es-MX" w:eastAsia="en-US"/>
        </w:rPr>
        <w:t>,</w:t>
      </w:r>
      <w:r w:rsidR="00D92B9B">
        <w:rPr>
          <w:rFonts w:ascii="Arial" w:eastAsiaTheme="minorHAnsi" w:hAnsi="Arial" w:cs="Arial"/>
          <w:sz w:val="22"/>
          <w:szCs w:val="22"/>
          <w:lang w:val="es-MX" w:eastAsia="en-US"/>
        </w:rPr>
        <w:t xml:space="preserve"> deberá tener</w:t>
      </w:r>
      <w:r w:rsidR="00F757A8">
        <w:rPr>
          <w:rFonts w:ascii="Arial" w:eastAsiaTheme="minorHAnsi" w:hAnsi="Arial" w:cs="Arial"/>
          <w:sz w:val="22"/>
          <w:szCs w:val="22"/>
          <w:lang w:val="es-MX" w:eastAsia="en-US"/>
        </w:rPr>
        <w:t>se</w:t>
      </w:r>
      <w:r w:rsidR="00D92B9B">
        <w:rPr>
          <w:rFonts w:ascii="Arial" w:eastAsiaTheme="minorHAnsi" w:hAnsi="Arial" w:cs="Arial"/>
          <w:sz w:val="22"/>
          <w:szCs w:val="22"/>
          <w:lang w:val="es-MX" w:eastAsia="en-US"/>
        </w:rPr>
        <w:t xml:space="preserve"> en cuenta únicamente la información co</w:t>
      </w:r>
      <w:r w:rsidR="00A3483C">
        <w:rPr>
          <w:rFonts w:ascii="Arial" w:eastAsiaTheme="minorHAnsi" w:hAnsi="Arial" w:cs="Arial"/>
          <w:sz w:val="22"/>
          <w:szCs w:val="22"/>
          <w:lang w:val="es-MX" w:eastAsia="en-US"/>
        </w:rPr>
        <w:t>ntemplada en dicho Registro</w:t>
      </w:r>
      <w:r>
        <w:rPr>
          <w:rFonts w:ascii="Arial" w:eastAsiaTheme="minorHAnsi" w:hAnsi="Arial" w:cs="Arial"/>
          <w:sz w:val="22"/>
          <w:szCs w:val="22"/>
          <w:lang w:val="es-MX" w:eastAsia="en-US"/>
        </w:rPr>
        <w:t>, la cual</w:t>
      </w:r>
      <w:r w:rsidR="00F757A8">
        <w:rPr>
          <w:rFonts w:ascii="Arial" w:eastAsiaTheme="minorHAnsi" w:hAnsi="Arial" w:cs="Arial"/>
          <w:sz w:val="22"/>
          <w:szCs w:val="22"/>
          <w:lang w:val="es-MX" w:eastAsia="en-US"/>
        </w:rPr>
        <w:t xml:space="preserve"> </w:t>
      </w:r>
      <w:r>
        <w:rPr>
          <w:rFonts w:ascii="Arial" w:eastAsiaTheme="minorHAnsi" w:hAnsi="Arial" w:cs="Arial"/>
          <w:sz w:val="22"/>
          <w:szCs w:val="22"/>
          <w:lang w:val="es-MX" w:eastAsia="en-US"/>
        </w:rPr>
        <w:t>debe ser consultada y analizada</w:t>
      </w:r>
      <w:r w:rsidR="00D92B9B">
        <w:rPr>
          <w:rFonts w:ascii="Arial" w:eastAsia="Calibri" w:hAnsi="Arial" w:cs="Arial"/>
          <w:color w:val="000000"/>
          <w:sz w:val="22"/>
          <w:lang w:val="es-ES_tradnl" w:eastAsia="en-GB"/>
        </w:rPr>
        <w:t>. E</w:t>
      </w:r>
      <w:r>
        <w:rPr>
          <w:rFonts w:ascii="Arial" w:eastAsia="Calibri" w:hAnsi="Arial" w:cs="Arial"/>
          <w:color w:val="000000"/>
          <w:sz w:val="22"/>
          <w:lang w:val="es-ES_tradnl" w:eastAsia="en-GB"/>
        </w:rPr>
        <w:t>sto</w:t>
      </w:r>
      <w:r w:rsidR="00D92B9B">
        <w:rPr>
          <w:rFonts w:ascii="Arial" w:eastAsia="Calibri" w:hAnsi="Arial" w:cs="Arial"/>
          <w:color w:val="000000"/>
          <w:sz w:val="22"/>
          <w:lang w:val="es-ES_tradnl" w:eastAsia="en-GB"/>
        </w:rPr>
        <w:t xml:space="preserve"> por cuanto el mismo artículo 6 de la Ley 2020 de 2020 establece que durante los procesos de selección objetiva para contratistas de obra o interventores se tendrán en cuenta las anotaciones vigentes en el Registro Nacional de Obras Inconclusas</w:t>
      </w:r>
      <w:r w:rsidR="002C11FA">
        <w:rPr>
          <w:rFonts w:ascii="Arial" w:eastAsia="Calibri" w:hAnsi="Arial" w:cs="Arial"/>
          <w:color w:val="000000"/>
          <w:sz w:val="22"/>
          <w:lang w:val="es-ES_tradnl" w:eastAsia="en-GB"/>
        </w:rPr>
        <w:t xml:space="preserve">. </w:t>
      </w:r>
      <w:r w:rsidR="00996D6F">
        <w:rPr>
          <w:rFonts w:ascii="Arial" w:eastAsia="Calibri" w:hAnsi="Arial" w:cs="Arial"/>
          <w:color w:val="000000"/>
          <w:sz w:val="22"/>
          <w:lang w:val="es-ES_tradnl" w:eastAsia="en-GB"/>
        </w:rPr>
        <w:t>Por tanto</w:t>
      </w:r>
      <w:r w:rsidR="002C11FA">
        <w:rPr>
          <w:rFonts w:ascii="Arial" w:eastAsia="Calibri" w:hAnsi="Arial" w:cs="Arial"/>
          <w:color w:val="000000"/>
          <w:sz w:val="22"/>
          <w:lang w:val="es-ES_tradnl" w:eastAsia="en-GB"/>
        </w:rPr>
        <w:t>, solo podrá acudirse a la información allí reportada para efectos del numeral 4.2 del documento base</w:t>
      </w:r>
      <w:r>
        <w:rPr>
          <w:rFonts w:ascii="Arial" w:eastAsia="Calibri" w:hAnsi="Arial" w:cs="Arial"/>
          <w:color w:val="000000"/>
          <w:sz w:val="22"/>
          <w:lang w:val="es-ES_tradnl" w:eastAsia="en-GB"/>
        </w:rPr>
        <w:t xml:space="preserve">. </w:t>
      </w:r>
      <w:r w:rsidR="002C11FA">
        <w:rPr>
          <w:rFonts w:ascii="Arial" w:eastAsia="Calibri" w:hAnsi="Arial" w:cs="Arial"/>
          <w:color w:val="000000"/>
          <w:sz w:val="22"/>
          <w:lang w:val="es-ES_tradnl" w:eastAsia="en-GB"/>
        </w:rPr>
        <w:t xml:space="preserve"> </w:t>
      </w:r>
    </w:p>
    <w:p w14:paraId="59085FE3" w14:textId="1511B1AC" w:rsidR="00466861" w:rsidRPr="003B5AB7" w:rsidRDefault="002C11FA" w:rsidP="00466861">
      <w:pPr>
        <w:spacing w:before="120" w:line="276" w:lineRule="auto"/>
        <w:ind w:firstLine="709"/>
        <w:jc w:val="both"/>
        <w:rPr>
          <w:rFonts w:ascii="Arial" w:eastAsiaTheme="minorHAnsi" w:hAnsi="Arial" w:cs="Arial"/>
          <w:sz w:val="22"/>
          <w:szCs w:val="22"/>
          <w:lang w:val="es-MX" w:eastAsia="en-US"/>
        </w:rPr>
      </w:pPr>
      <w:r>
        <w:rPr>
          <w:rFonts w:ascii="Arial" w:eastAsia="Calibri" w:hAnsi="Arial" w:cs="Arial"/>
          <w:color w:val="000000"/>
          <w:sz w:val="22"/>
          <w:lang w:val="es-ES_tradnl" w:eastAsia="en-GB"/>
        </w:rPr>
        <w:t>Así las cosas</w:t>
      </w:r>
      <w:r w:rsidR="00466861">
        <w:rPr>
          <w:rFonts w:ascii="Arial" w:eastAsia="Calibri" w:hAnsi="Arial" w:cs="Arial"/>
          <w:color w:val="000000"/>
          <w:sz w:val="22"/>
          <w:lang w:val="es-ES_tradnl" w:eastAsia="en-GB"/>
        </w:rPr>
        <w:t xml:space="preserve">, la sola inclusión en el Registro Nacional de Obras Civiles Inconclusas no puede entenderse suficiente para descontar el punto de la sumatoria obtenida de los factores de calidad. </w:t>
      </w:r>
      <w:r w:rsidR="00466861">
        <w:rPr>
          <w:rFonts w:ascii="Arial" w:eastAsiaTheme="minorHAnsi" w:hAnsi="Arial" w:cs="Arial"/>
          <w:sz w:val="22"/>
          <w:szCs w:val="22"/>
          <w:lang w:val="es-MX" w:eastAsia="en-US"/>
        </w:rPr>
        <w:t>De todas formas, si en el informe de evaluación que realiza la entidad se produce la reducción del punto del factor de calidad bajo el único argumento de encontrarse en dicho Registro, sin efectuar un análisis previo de las anotaciones, el proponente, con fundamento en la interpretación de las normas</w:t>
      </w:r>
      <w:r w:rsidR="00CC7849">
        <w:rPr>
          <w:rFonts w:ascii="Arial" w:eastAsiaTheme="minorHAnsi" w:hAnsi="Arial" w:cs="Arial"/>
          <w:sz w:val="22"/>
          <w:szCs w:val="22"/>
          <w:lang w:val="es-MX" w:eastAsia="en-US"/>
        </w:rPr>
        <w:t xml:space="preserve"> analizadas</w:t>
      </w:r>
      <w:r w:rsidR="00466861">
        <w:rPr>
          <w:rFonts w:ascii="Arial" w:eastAsiaTheme="minorHAnsi" w:hAnsi="Arial" w:cs="Arial"/>
          <w:sz w:val="22"/>
          <w:szCs w:val="22"/>
          <w:lang w:val="es-MX" w:eastAsia="en-US"/>
        </w:rPr>
        <w:t xml:space="preserve">, podrá formular la observación respectiva. En caso de que se presente alguna inconformidad en relación con la información reportada en </w:t>
      </w:r>
      <w:r w:rsidR="00466861" w:rsidRPr="003B5AB7">
        <w:rPr>
          <w:rFonts w:ascii="Arial" w:eastAsiaTheme="minorHAnsi" w:hAnsi="Arial" w:cs="Arial"/>
          <w:sz w:val="22"/>
          <w:szCs w:val="22"/>
          <w:lang w:val="es-MX" w:eastAsia="en-US"/>
        </w:rPr>
        <w:t xml:space="preserve">el Registro por la entidad contratante, el artículo 6 de la Ley 2020 de 2020 dispuso que tal controversia o solicitud será resuelta por la entidad contratante que suministró dicha información. </w:t>
      </w:r>
      <w:bookmarkEnd w:id="6"/>
    </w:p>
    <w:p w14:paraId="4ED0713C" w14:textId="063BD627" w:rsidR="00AB09DA" w:rsidRPr="003D3707" w:rsidRDefault="00AB09DA" w:rsidP="00466861">
      <w:pPr>
        <w:spacing w:before="120" w:line="276" w:lineRule="auto"/>
        <w:ind w:firstLine="709"/>
        <w:jc w:val="both"/>
        <w:rPr>
          <w:rFonts w:ascii="Arial" w:eastAsiaTheme="minorHAnsi" w:hAnsi="Arial" w:cs="Arial"/>
          <w:sz w:val="22"/>
          <w:szCs w:val="22"/>
          <w:lang w:val="es-MX" w:eastAsia="en-US"/>
        </w:rPr>
      </w:pPr>
      <w:r w:rsidRPr="003B5AB7">
        <w:rPr>
          <w:rFonts w:ascii="Arial" w:eastAsiaTheme="minorHAnsi" w:hAnsi="Arial" w:cs="Arial"/>
          <w:sz w:val="22"/>
          <w:szCs w:val="22"/>
          <w:lang w:val="es-MX" w:eastAsia="en-US"/>
        </w:rPr>
        <w:t xml:space="preserve">En resumen, para efectos de </w:t>
      </w:r>
      <w:r w:rsidRPr="003B5AB7">
        <w:rPr>
          <w:rFonts w:ascii="Arial" w:eastAsia="Calibri" w:hAnsi="Arial" w:cs="Arial"/>
          <w:color w:val="000000"/>
          <w:sz w:val="22"/>
          <w:lang w:val="es-ES_tradnl" w:eastAsia="en-GB"/>
        </w:rPr>
        <w:t>descontar e</w:t>
      </w:r>
      <w:r w:rsidRPr="003B5AB7">
        <w:rPr>
          <w:rFonts w:ascii="Arial" w:eastAsiaTheme="minorHAnsi" w:hAnsi="Arial" w:cs="Arial"/>
          <w:sz w:val="22"/>
          <w:szCs w:val="22"/>
          <w:lang w:val="es-MX" w:eastAsia="en-US"/>
        </w:rPr>
        <w:t>l puntaje conforme al numeral</w:t>
      </w:r>
      <w:r w:rsidRPr="003B5AB7">
        <w:rPr>
          <w:rFonts w:ascii="Arial" w:hAnsi="Arial" w:cs="Arial"/>
          <w:color w:val="000000" w:themeColor="text1"/>
          <w:sz w:val="22"/>
        </w:rPr>
        <w:t xml:space="preserve"> 4.2 «Factor de Calidad» del documento base</w:t>
      </w:r>
      <w:r w:rsidRPr="003B5AB7">
        <w:rPr>
          <w:rFonts w:ascii="Arial" w:eastAsiaTheme="minorHAnsi" w:hAnsi="Arial" w:cs="Arial"/>
          <w:sz w:val="22"/>
          <w:szCs w:val="22"/>
          <w:lang w:val="es-MX" w:eastAsia="en-US"/>
        </w:rPr>
        <w:t xml:space="preserve"> de los documentos tipo, se tendrá en cuenta lo siguiente: i) la entidad deberá </w:t>
      </w:r>
      <w:r w:rsidRPr="003B5AB7">
        <w:rPr>
          <w:rFonts w:ascii="Arial" w:eastAsia="Calibri" w:hAnsi="Arial" w:cs="Arial"/>
          <w:color w:val="000000"/>
          <w:sz w:val="22"/>
          <w:szCs w:val="22"/>
          <w:lang w:val="es-ES_tradnl" w:eastAsia="en-GB"/>
        </w:rPr>
        <w:t xml:space="preserve">consultar y analizar las anotaciones vigentes en el Registro Nacional </w:t>
      </w:r>
      <w:r w:rsidRPr="003B5AB7">
        <w:rPr>
          <w:rFonts w:ascii="Arial" w:eastAsia="Calibri" w:hAnsi="Arial" w:cs="Arial"/>
          <w:color w:val="000000"/>
          <w:sz w:val="22"/>
          <w:szCs w:val="22"/>
          <w:lang w:val="es-ES_tradnl" w:eastAsia="en-GB"/>
        </w:rPr>
        <w:lastRenderedPageBreak/>
        <w:t xml:space="preserve">de Obras Civiles Inconclusas, </w:t>
      </w:r>
      <w:proofErr w:type="spellStart"/>
      <w:r w:rsidRPr="003B5AB7">
        <w:rPr>
          <w:rFonts w:ascii="Arial" w:eastAsia="Calibri" w:hAnsi="Arial" w:cs="Arial"/>
          <w:color w:val="000000"/>
          <w:sz w:val="22"/>
          <w:szCs w:val="22"/>
          <w:lang w:val="es-ES_tradnl" w:eastAsia="en-GB"/>
        </w:rPr>
        <w:t>ii</w:t>
      </w:r>
      <w:proofErr w:type="spellEnd"/>
      <w:r w:rsidRPr="003B5AB7">
        <w:rPr>
          <w:rFonts w:ascii="Arial" w:eastAsia="Calibri" w:hAnsi="Arial" w:cs="Arial"/>
          <w:color w:val="000000"/>
          <w:sz w:val="22"/>
          <w:szCs w:val="22"/>
          <w:lang w:val="es-ES_tradnl" w:eastAsia="en-GB"/>
        </w:rPr>
        <w:t xml:space="preserve">) dicha anotación debe corresponder a un incumplimiento del contratista y </w:t>
      </w:r>
      <w:proofErr w:type="spellStart"/>
      <w:r w:rsidRPr="003B5AB7">
        <w:rPr>
          <w:rFonts w:ascii="Arial" w:eastAsia="Calibri" w:hAnsi="Arial" w:cs="Arial"/>
          <w:color w:val="000000"/>
          <w:sz w:val="22"/>
          <w:szCs w:val="22"/>
          <w:lang w:val="es-ES_tradnl" w:eastAsia="en-GB"/>
        </w:rPr>
        <w:t>iii</w:t>
      </w:r>
      <w:proofErr w:type="spellEnd"/>
      <w:r w:rsidRPr="003B5AB7">
        <w:rPr>
          <w:rFonts w:ascii="Arial" w:eastAsia="Calibri" w:hAnsi="Arial" w:cs="Arial"/>
          <w:color w:val="000000"/>
          <w:sz w:val="22"/>
          <w:szCs w:val="22"/>
          <w:lang w:val="es-ES_tradnl" w:eastAsia="en-GB"/>
        </w:rPr>
        <w:t>) el descuento del punto únicamente procede con base en la información contemplada en el Registro.</w:t>
      </w:r>
      <w:r>
        <w:rPr>
          <w:rFonts w:ascii="Arial" w:eastAsia="Calibri" w:hAnsi="Arial" w:cs="Arial"/>
          <w:color w:val="000000"/>
          <w:sz w:val="22"/>
          <w:szCs w:val="22"/>
          <w:lang w:val="es-ES_tradnl" w:eastAsia="en-GB"/>
        </w:rPr>
        <w:t xml:space="preserve"> </w:t>
      </w:r>
    </w:p>
    <w:p w14:paraId="3B4B5DF5" w14:textId="77777777" w:rsidR="00747529" w:rsidRPr="00DB3165" w:rsidRDefault="00747529" w:rsidP="007B18FD">
      <w:pPr>
        <w:spacing w:line="276" w:lineRule="auto"/>
        <w:ind w:firstLine="709"/>
        <w:jc w:val="both"/>
        <w:rPr>
          <w:rFonts w:ascii="Arial" w:hAnsi="Arial" w:cs="Arial"/>
          <w:color w:val="000000" w:themeColor="text1"/>
          <w:sz w:val="22"/>
        </w:rPr>
      </w:pPr>
    </w:p>
    <w:p w14:paraId="37CA9805" w14:textId="4838EADE" w:rsidR="00DD5B04"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15069738" w14:textId="77777777" w:rsidR="00DE3F63" w:rsidRDefault="00DE3F63" w:rsidP="00523363">
      <w:pPr>
        <w:tabs>
          <w:tab w:val="left" w:pos="0"/>
        </w:tabs>
        <w:spacing w:line="276" w:lineRule="auto"/>
        <w:jc w:val="both"/>
        <w:rPr>
          <w:rFonts w:ascii="Arial" w:eastAsia="Calibri" w:hAnsi="Arial" w:cs="Arial"/>
          <w:b/>
          <w:color w:val="000000" w:themeColor="text1"/>
          <w:sz w:val="22"/>
          <w:lang w:val="es-ES_tradnl"/>
        </w:rPr>
      </w:pPr>
    </w:p>
    <w:p w14:paraId="7123A881" w14:textId="1DC527DC" w:rsidR="00A374EF" w:rsidRDefault="00A374EF" w:rsidP="00A374EF">
      <w:pPr>
        <w:ind w:left="709" w:right="474"/>
        <w:jc w:val="both"/>
        <w:rPr>
          <w:rFonts w:ascii="Arial" w:eastAsia="Calibri" w:hAnsi="Arial" w:cs="Arial"/>
          <w:bCs/>
          <w:sz w:val="21"/>
          <w:szCs w:val="21"/>
        </w:rPr>
      </w:pPr>
      <w:r w:rsidRPr="00A374EF">
        <w:rPr>
          <w:rFonts w:ascii="Arial" w:eastAsia="Calibri" w:hAnsi="Arial" w:cs="Arial"/>
          <w:bCs/>
          <w:sz w:val="21"/>
          <w:szCs w:val="21"/>
        </w:rPr>
        <w:t>i) «¿Cuál es el alcance que las entidades estatales deben dar a las expresiones; “consultar y analizar las anotaciones vigentes”?»</w:t>
      </w:r>
    </w:p>
    <w:p w14:paraId="2F96E695" w14:textId="4B18BCCB" w:rsidR="00A374EF" w:rsidRDefault="00A374EF" w:rsidP="00A374EF">
      <w:pPr>
        <w:ind w:left="709" w:right="474"/>
        <w:jc w:val="both"/>
        <w:rPr>
          <w:rFonts w:ascii="Arial" w:eastAsia="Calibri" w:hAnsi="Arial" w:cs="Arial"/>
          <w:bCs/>
          <w:sz w:val="21"/>
          <w:szCs w:val="21"/>
        </w:rPr>
      </w:pPr>
    </w:p>
    <w:p w14:paraId="03B7C19F" w14:textId="79C92B91" w:rsidR="00DE3F63" w:rsidRDefault="00A374EF" w:rsidP="00DE3F63">
      <w:pPr>
        <w:ind w:left="709" w:right="474"/>
        <w:jc w:val="both"/>
        <w:rPr>
          <w:rFonts w:ascii="Arial" w:eastAsia="Calibri" w:hAnsi="Arial" w:cs="Arial"/>
          <w:bCs/>
          <w:sz w:val="21"/>
          <w:szCs w:val="21"/>
        </w:rPr>
      </w:pPr>
      <w:proofErr w:type="spellStart"/>
      <w:r w:rsidRPr="00A374EF">
        <w:rPr>
          <w:rFonts w:ascii="Arial" w:eastAsia="Calibri" w:hAnsi="Arial" w:cs="Arial"/>
          <w:bCs/>
          <w:sz w:val="21"/>
          <w:szCs w:val="21"/>
        </w:rPr>
        <w:t>iii</w:t>
      </w:r>
      <w:proofErr w:type="spellEnd"/>
      <w:r w:rsidRPr="00A374EF">
        <w:rPr>
          <w:rFonts w:ascii="Arial" w:eastAsia="Calibri" w:hAnsi="Arial" w:cs="Arial"/>
          <w:bCs/>
          <w:sz w:val="21"/>
          <w:szCs w:val="21"/>
        </w:rPr>
        <w:t>) «¿Cuándo la norma señala tener en cuenta las anotaciones vigentes en el Registro</w:t>
      </w:r>
      <w:r>
        <w:rPr>
          <w:rFonts w:ascii="Arial" w:eastAsia="Calibri" w:hAnsi="Arial" w:cs="Arial"/>
          <w:bCs/>
          <w:sz w:val="21"/>
          <w:szCs w:val="21"/>
        </w:rPr>
        <w:t xml:space="preserve"> </w:t>
      </w:r>
      <w:r w:rsidRPr="00A374EF">
        <w:rPr>
          <w:rFonts w:ascii="Arial" w:eastAsia="Calibri" w:hAnsi="Arial" w:cs="Arial"/>
          <w:bCs/>
          <w:sz w:val="21"/>
          <w:szCs w:val="21"/>
        </w:rPr>
        <w:t>Nacional de Obras Civiles Inconclusas al momento de evaluar los factores de calidad,</w:t>
      </w:r>
      <w:r>
        <w:rPr>
          <w:rFonts w:ascii="Arial" w:eastAsia="Calibri" w:hAnsi="Arial" w:cs="Arial"/>
          <w:bCs/>
          <w:sz w:val="21"/>
          <w:szCs w:val="21"/>
        </w:rPr>
        <w:t xml:space="preserve"> </w:t>
      </w:r>
      <w:r w:rsidRPr="00A374EF">
        <w:rPr>
          <w:rFonts w:ascii="Arial" w:eastAsia="Calibri" w:hAnsi="Arial" w:cs="Arial"/>
          <w:bCs/>
          <w:sz w:val="21"/>
          <w:szCs w:val="21"/>
        </w:rPr>
        <w:t>implican que las entidades estatales deben establecer en los pliegos de condiciones</w:t>
      </w:r>
      <w:r>
        <w:rPr>
          <w:rFonts w:ascii="Arial" w:eastAsia="Calibri" w:hAnsi="Arial" w:cs="Arial"/>
          <w:bCs/>
          <w:sz w:val="21"/>
          <w:szCs w:val="21"/>
        </w:rPr>
        <w:t xml:space="preserve"> </w:t>
      </w:r>
      <w:r w:rsidRPr="00A374EF">
        <w:rPr>
          <w:rFonts w:ascii="Arial" w:eastAsia="Calibri" w:hAnsi="Arial" w:cs="Arial"/>
          <w:bCs/>
          <w:sz w:val="21"/>
          <w:szCs w:val="21"/>
        </w:rPr>
        <w:t>una forma de valorar dichas anotaciones y sus posibles consecuencias en los factores</w:t>
      </w:r>
      <w:r>
        <w:rPr>
          <w:rFonts w:ascii="Arial" w:eastAsia="Calibri" w:hAnsi="Arial" w:cs="Arial"/>
          <w:bCs/>
          <w:sz w:val="21"/>
          <w:szCs w:val="21"/>
        </w:rPr>
        <w:t xml:space="preserve"> </w:t>
      </w:r>
      <w:r w:rsidRPr="00A374EF">
        <w:rPr>
          <w:rFonts w:ascii="Arial" w:eastAsia="Calibri" w:hAnsi="Arial" w:cs="Arial"/>
          <w:bCs/>
          <w:sz w:val="21"/>
          <w:szCs w:val="21"/>
        </w:rPr>
        <w:t>de ponderación de calidad?»</w:t>
      </w:r>
    </w:p>
    <w:p w14:paraId="3599542F" w14:textId="77777777" w:rsidR="00DE3F63" w:rsidRDefault="00DE3F63" w:rsidP="00DE3F63">
      <w:pPr>
        <w:spacing w:line="276" w:lineRule="auto"/>
        <w:ind w:left="709" w:right="476"/>
        <w:jc w:val="both"/>
        <w:rPr>
          <w:rFonts w:ascii="Arial" w:eastAsia="Calibri" w:hAnsi="Arial" w:cs="Arial"/>
          <w:bCs/>
          <w:sz w:val="21"/>
          <w:szCs w:val="21"/>
        </w:rPr>
      </w:pPr>
    </w:p>
    <w:p w14:paraId="19126861" w14:textId="5E17CE79" w:rsidR="00906560" w:rsidRPr="000C76A6" w:rsidRDefault="00906560" w:rsidP="000C76A6">
      <w:pPr>
        <w:spacing w:before="120" w:line="276" w:lineRule="auto"/>
        <w:jc w:val="both"/>
        <w:rPr>
          <w:rFonts w:ascii="Arial" w:eastAsia="Calibri" w:hAnsi="Arial" w:cs="Arial"/>
          <w:bCs/>
          <w:sz w:val="21"/>
          <w:szCs w:val="21"/>
        </w:rPr>
      </w:pPr>
      <w:r w:rsidRPr="00064495">
        <w:rPr>
          <w:rFonts w:ascii="Arial" w:hAnsi="Arial" w:cs="Arial"/>
          <w:color w:val="000000" w:themeColor="text1"/>
          <w:sz w:val="22"/>
          <w:lang w:val="es-ES_tradnl"/>
        </w:rPr>
        <w:t xml:space="preserve">El artículo 6 de la Ley 2020 de 2020 establece un deber a cargo de las entidades estatales dentro de los procedimientos que adelanten para la contratación de obras públicas, que consiste en la obligación de consultar y analizar la información contenida en el Registro Nacional de Obras Civiles Inconclusas. A su vez indica que, durante </w:t>
      </w:r>
      <w:r w:rsidRPr="00064495">
        <w:rPr>
          <w:rFonts w:ascii="Arial" w:hAnsi="Arial" w:cs="Arial"/>
          <w:color w:val="000000" w:themeColor="text1"/>
          <w:sz w:val="22"/>
        </w:rPr>
        <w:t>los procesos de selección objetiva para contratistas de obra o interventores, se tendrán en cuenta las anotaciones vigentes en el Registro Nacional de Obras Civiles Inconclusas al momento de evaluar los factores de ponderación de calidad</w:t>
      </w:r>
      <w:r w:rsidRPr="00064495">
        <w:rPr>
          <w:rFonts w:ascii="Arial" w:hAnsi="Arial" w:cs="Arial"/>
          <w:i/>
          <w:iCs/>
          <w:color w:val="000000" w:themeColor="text1"/>
          <w:sz w:val="22"/>
        </w:rPr>
        <w:t>,</w:t>
      </w:r>
      <w:r w:rsidRPr="00064495">
        <w:rPr>
          <w:rFonts w:ascii="Arial" w:hAnsi="Arial" w:cs="Arial"/>
          <w:color w:val="000000" w:themeColor="text1"/>
          <w:sz w:val="22"/>
        </w:rPr>
        <w:t xml:space="preserve"> establecidos en el literal a) del artículo 5o de la Ley 1150 de 2007 o la norma que la modifique. Esto significa que, para efectos de evaluar el factor de calidad dentro del procedimiento contractual, las entidades estatales deben servirse de la información contenida en el registro, realizando el respectivo análisis de la información.</w:t>
      </w:r>
      <w:r w:rsidRPr="00906560">
        <w:rPr>
          <w:rFonts w:ascii="Arial" w:eastAsiaTheme="minorHAnsi" w:hAnsi="Arial" w:cs="Arial"/>
          <w:sz w:val="22"/>
          <w:szCs w:val="22"/>
          <w:lang w:val="es-MX" w:eastAsia="en-US"/>
        </w:rPr>
        <w:t xml:space="preserve"> </w:t>
      </w:r>
    </w:p>
    <w:p w14:paraId="1060484E" w14:textId="3A49AB45" w:rsidR="00906560" w:rsidRPr="000C76A6" w:rsidRDefault="00906560" w:rsidP="000C76A6">
      <w:pPr>
        <w:spacing w:before="120" w:line="276" w:lineRule="auto"/>
        <w:ind w:firstLine="709"/>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Según su significado literal, consultar es </w:t>
      </w:r>
      <w:r w:rsidRPr="00066821">
        <w:rPr>
          <w:rFonts w:ascii="Arial" w:hAnsi="Arial" w:cs="Arial"/>
          <w:sz w:val="22"/>
        </w:rPr>
        <w:t>«</w:t>
      </w:r>
      <w:r>
        <w:rPr>
          <w:rFonts w:ascii="Arial" w:eastAsiaTheme="minorHAnsi" w:hAnsi="Arial" w:cs="Arial"/>
          <w:sz w:val="22"/>
          <w:szCs w:val="22"/>
          <w:lang w:val="es-MX" w:eastAsia="en-US"/>
        </w:rPr>
        <w:t>b</w:t>
      </w:r>
      <w:r w:rsidRPr="00D65DFE">
        <w:rPr>
          <w:rFonts w:ascii="Arial" w:eastAsiaTheme="minorHAnsi" w:hAnsi="Arial" w:cs="Arial"/>
          <w:sz w:val="22"/>
          <w:szCs w:val="22"/>
          <w:lang w:val="es-MX" w:eastAsia="en-US"/>
        </w:rPr>
        <w:t xml:space="preserve">uscar documentación o datos sobre algún asunto o </w:t>
      </w:r>
      <w:r>
        <w:rPr>
          <w:rFonts w:ascii="Arial" w:eastAsiaTheme="minorHAnsi" w:hAnsi="Arial" w:cs="Arial"/>
          <w:sz w:val="22"/>
          <w:szCs w:val="22"/>
          <w:lang w:val="es-MX" w:eastAsia="en-US"/>
        </w:rPr>
        <w:t>materia</w:t>
      </w:r>
      <w:r w:rsidRPr="00066821">
        <w:rPr>
          <w:rFonts w:ascii="Arial" w:hAnsi="Arial" w:cs="Arial"/>
          <w:sz w:val="22"/>
        </w:rPr>
        <w:t>»</w:t>
      </w:r>
      <w:r>
        <w:rPr>
          <w:rFonts w:ascii="Arial" w:hAnsi="Arial" w:cs="Arial"/>
          <w:sz w:val="22"/>
        </w:rPr>
        <w:t xml:space="preserve"> y analizar </w:t>
      </w:r>
      <w:r>
        <w:rPr>
          <w:rFonts w:ascii="Arial" w:eastAsiaTheme="minorHAnsi" w:hAnsi="Arial" w:cs="Arial"/>
          <w:sz w:val="22"/>
          <w:szCs w:val="22"/>
          <w:lang w:val="es-MX" w:eastAsia="en-US"/>
        </w:rPr>
        <w:t xml:space="preserve">se refiere al </w:t>
      </w:r>
      <w:r w:rsidRPr="00066821">
        <w:rPr>
          <w:rFonts w:ascii="Arial" w:hAnsi="Arial" w:cs="Arial"/>
          <w:sz w:val="22"/>
        </w:rPr>
        <w:t>«</w:t>
      </w:r>
      <w:r>
        <w:rPr>
          <w:rFonts w:ascii="Arial" w:eastAsiaTheme="minorHAnsi" w:hAnsi="Arial" w:cs="Arial"/>
          <w:sz w:val="22"/>
          <w:szCs w:val="22"/>
          <w:lang w:val="es-MX" w:eastAsia="en-US"/>
        </w:rPr>
        <w:t>e</w:t>
      </w:r>
      <w:r w:rsidRPr="00D65DFE">
        <w:rPr>
          <w:rFonts w:ascii="Arial" w:eastAsiaTheme="minorHAnsi" w:hAnsi="Arial" w:cs="Arial"/>
          <w:sz w:val="22"/>
          <w:szCs w:val="22"/>
          <w:lang w:val="es-MX" w:eastAsia="en-US"/>
        </w:rPr>
        <w:t>xamen que se hace de una obra, de un escrito o de cualquier realidad susceptible de estudio intelectual</w:t>
      </w:r>
      <w:r w:rsidRPr="00066821">
        <w:rPr>
          <w:rFonts w:ascii="Arial" w:hAnsi="Arial" w:cs="Arial"/>
          <w:sz w:val="22"/>
        </w:rPr>
        <w:t>»</w:t>
      </w:r>
      <w:r w:rsidRPr="00D65DFE">
        <w:rPr>
          <w:rFonts w:ascii="Arial" w:eastAsiaTheme="minorHAnsi" w:hAnsi="Arial" w:cs="Arial"/>
          <w:sz w:val="22"/>
          <w:szCs w:val="22"/>
          <w:lang w:val="es-MX" w:eastAsia="en-US"/>
        </w:rPr>
        <w:t>.</w:t>
      </w:r>
      <w:r>
        <w:rPr>
          <w:rFonts w:ascii="Arial" w:eastAsiaTheme="minorHAnsi" w:hAnsi="Arial" w:cs="Arial"/>
          <w:sz w:val="22"/>
          <w:szCs w:val="22"/>
          <w:lang w:val="es-MX" w:eastAsia="en-US"/>
        </w:rPr>
        <w:t xml:space="preserve"> El propósito de estas expresiones, entonces, es el de realizar un examen minucioso de un asunto, para conocer sus características, factores, naturaleza y demás condiciones necesarias para entender el sentido del objeto de estudio. En este contexto, las entidades </w:t>
      </w:r>
      <w:r w:rsidR="000C76A6">
        <w:rPr>
          <w:rFonts w:ascii="Arial" w:eastAsiaTheme="minorHAnsi" w:hAnsi="Arial" w:cs="Arial"/>
          <w:sz w:val="22"/>
          <w:szCs w:val="22"/>
          <w:lang w:val="es-MX" w:eastAsia="en-US"/>
        </w:rPr>
        <w:t xml:space="preserve">deberán </w:t>
      </w:r>
      <w:r>
        <w:rPr>
          <w:rFonts w:ascii="Arial" w:eastAsiaTheme="minorHAnsi" w:hAnsi="Arial" w:cs="Arial"/>
          <w:sz w:val="22"/>
          <w:szCs w:val="22"/>
          <w:lang w:val="es-MX" w:eastAsia="en-US"/>
        </w:rPr>
        <w:t xml:space="preserve">examinar la particularidad de la anotación y </w:t>
      </w:r>
      <w:r w:rsidR="000C76A6">
        <w:rPr>
          <w:rFonts w:ascii="Arial" w:eastAsiaTheme="minorHAnsi" w:hAnsi="Arial" w:cs="Arial"/>
          <w:sz w:val="22"/>
          <w:szCs w:val="22"/>
          <w:lang w:val="es-MX" w:eastAsia="en-US"/>
        </w:rPr>
        <w:t xml:space="preserve">determinar la forma en la que dicha anotación afectará el factor de calidad al momento de realizar la respectiva evaluación. </w:t>
      </w:r>
    </w:p>
    <w:p w14:paraId="58C29E05" w14:textId="41D1829A" w:rsidR="00906560" w:rsidRPr="00DB3EB8" w:rsidRDefault="00DB3EB8" w:rsidP="00DB3EB8">
      <w:pPr>
        <w:spacing w:before="120" w:line="276" w:lineRule="auto"/>
        <w:ind w:firstLine="709"/>
        <w:jc w:val="both"/>
        <w:rPr>
          <w:rFonts w:ascii="Arial" w:eastAsia="Calibri" w:hAnsi="Arial" w:cs="Arial"/>
          <w:color w:val="000000"/>
          <w:sz w:val="22"/>
          <w:lang w:val="es-ES_tradnl" w:eastAsia="en-GB"/>
        </w:rPr>
      </w:pPr>
      <w:r>
        <w:rPr>
          <w:rFonts w:ascii="Arial" w:hAnsi="Arial" w:cs="Arial"/>
          <w:color w:val="000000" w:themeColor="text1"/>
          <w:sz w:val="22"/>
        </w:rPr>
        <w:t xml:space="preserve">En consecuencia, en los procesos de selección de contratación de obra y de interventoría que no resulten obligatorios la aplicación de los documentos tipo, cada entidad estatal tiene la discrecionalidad de determinar, en los pliegos de condiciones, la forma </w:t>
      </w:r>
      <w:r w:rsidRPr="009B6801">
        <w:rPr>
          <w:rFonts w:ascii="Arial" w:hAnsi="Arial" w:cs="Arial"/>
          <w:color w:val="000000" w:themeColor="text1"/>
          <w:sz w:val="22"/>
        </w:rPr>
        <w:t xml:space="preserve">en que se realizará </w:t>
      </w:r>
      <w:r w:rsidR="00BF486E">
        <w:rPr>
          <w:rFonts w:ascii="Arial" w:hAnsi="Arial" w:cs="Arial"/>
          <w:color w:val="000000" w:themeColor="text1"/>
          <w:sz w:val="22"/>
        </w:rPr>
        <w:t>el análisis</w:t>
      </w:r>
      <w:r w:rsidRPr="009B6801">
        <w:rPr>
          <w:rFonts w:ascii="Arial" w:hAnsi="Arial" w:cs="Arial"/>
          <w:color w:val="000000" w:themeColor="text1"/>
          <w:sz w:val="22"/>
        </w:rPr>
        <w:t xml:space="preserve"> de las anotaciones vigentes en el Registro Nacional de</w:t>
      </w:r>
      <w:r>
        <w:rPr>
          <w:rFonts w:ascii="Arial" w:hAnsi="Arial" w:cs="Arial"/>
          <w:color w:val="000000" w:themeColor="text1"/>
          <w:sz w:val="22"/>
        </w:rPr>
        <w:t xml:space="preserve"> Obras Civiles Inconclusas </w:t>
      </w:r>
      <w:r w:rsidRPr="00276373">
        <w:rPr>
          <w:rFonts w:ascii="Arial" w:hAnsi="Arial" w:cs="Arial"/>
          <w:color w:val="000000" w:themeColor="text1"/>
          <w:sz w:val="22"/>
        </w:rPr>
        <w:t>al momento de ponderar los factores de calidad</w:t>
      </w:r>
      <w:r>
        <w:rPr>
          <w:rFonts w:ascii="Arial" w:hAnsi="Arial" w:cs="Arial"/>
          <w:color w:val="000000" w:themeColor="text1"/>
          <w:sz w:val="22"/>
        </w:rPr>
        <w:t>, conforme a los parámetros del artículo 6 de la ley 2020 de 2020</w:t>
      </w:r>
      <w:r>
        <w:rPr>
          <w:rFonts w:ascii="Arial" w:eastAsia="Calibri" w:hAnsi="Arial" w:cs="Arial"/>
          <w:color w:val="000000"/>
          <w:sz w:val="22"/>
          <w:lang w:val="es-ES_tradnl" w:eastAsia="en-GB"/>
        </w:rPr>
        <w:t xml:space="preserve">. </w:t>
      </w:r>
      <w:r w:rsidR="000C76A6" w:rsidRPr="000C76A6">
        <w:rPr>
          <w:rFonts w:ascii="Arial" w:hAnsi="Arial" w:cs="Arial"/>
          <w:color w:val="000000" w:themeColor="text1"/>
          <w:sz w:val="22"/>
        </w:rPr>
        <w:t>Lo anterior, teniendo en cuenta</w:t>
      </w:r>
      <w:r w:rsidR="000A1949">
        <w:rPr>
          <w:rFonts w:ascii="Arial" w:hAnsi="Arial" w:cs="Arial"/>
          <w:color w:val="000000" w:themeColor="text1"/>
          <w:sz w:val="22"/>
        </w:rPr>
        <w:t xml:space="preserve"> </w:t>
      </w:r>
      <w:r w:rsidR="000C76A6" w:rsidRPr="000C76A6">
        <w:rPr>
          <w:rFonts w:ascii="Arial" w:hAnsi="Arial" w:cs="Arial"/>
          <w:color w:val="000000" w:themeColor="text1"/>
          <w:sz w:val="22"/>
        </w:rPr>
        <w:t xml:space="preserve">que </w:t>
      </w:r>
      <w:r w:rsidR="000C76A6" w:rsidRPr="000C76A6">
        <w:rPr>
          <w:rFonts w:ascii="Arial" w:hAnsi="Arial" w:cs="Arial"/>
          <w:color w:val="000000" w:themeColor="text1"/>
          <w:sz w:val="22"/>
          <w:lang w:val="es-MX"/>
        </w:rPr>
        <w:t xml:space="preserve">la </w:t>
      </w:r>
      <w:r w:rsidR="000C76A6" w:rsidRPr="000C76A6">
        <w:rPr>
          <w:rFonts w:ascii="Arial" w:hAnsi="Arial" w:cs="Arial"/>
          <w:color w:val="000000" w:themeColor="text1"/>
          <w:sz w:val="22"/>
          <w:lang w:val="es-MX"/>
        </w:rPr>
        <w:lastRenderedPageBreak/>
        <w:t>norma no restringió a una metodología específica el análisis y la valoración de estas anotaciones</w:t>
      </w:r>
      <w:r w:rsidR="000C76A6">
        <w:rPr>
          <w:rFonts w:ascii="Arial" w:hAnsi="Arial" w:cs="Arial"/>
          <w:color w:val="000000" w:themeColor="text1"/>
          <w:sz w:val="22"/>
          <w:lang w:val="es-MX"/>
        </w:rPr>
        <w:t xml:space="preserve">. </w:t>
      </w:r>
    </w:p>
    <w:p w14:paraId="0D5754BF" w14:textId="4490A8C4" w:rsidR="00DB3EB8" w:rsidRPr="00DB3EB8" w:rsidRDefault="00DB3EB8" w:rsidP="00DB3EB8">
      <w:pPr>
        <w:spacing w:before="120" w:line="276" w:lineRule="auto"/>
        <w:ind w:firstLine="709"/>
        <w:jc w:val="both"/>
        <w:rPr>
          <w:rFonts w:ascii="Arial" w:eastAsiaTheme="minorHAnsi" w:hAnsi="Arial" w:cs="Arial"/>
          <w:color w:val="000000" w:themeColor="text1"/>
          <w:sz w:val="22"/>
          <w:szCs w:val="22"/>
          <w:lang w:val="es-MX" w:eastAsia="en-US"/>
        </w:rPr>
      </w:pPr>
      <w:r w:rsidRPr="00DB3EB8">
        <w:rPr>
          <w:rFonts w:ascii="Arial" w:eastAsiaTheme="minorHAnsi" w:hAnsi="Arial" w:cs="Arial"/>
          <w:color w:val="000000" w:themeColor="text1"/>
          <w:sz w:val="22"/>
          <w:szCs w:val="22"/>
          <w:lang w:val="es-MX" w:eastAsia="en-US"/>
        </w:rPr>
        <w:t>En lo que atañe a</w:t>
      </w:r>
      <w:r>
        <w:rPr>
          <w:rFonts w:ascii="Arial" w:eastAsiaTheme="minorHAnsi" w:hAnsi="Arial" w:cs="Arial"/>
          <w:color w:val="000000" w:themeColor="text1"/>
          <w:sz w:val="22"/>
          <w:szCs w:val="22"/>
          <w:lang w:val="es-MX" w:eastAsia="en-US"/>
        </w:rPr>
        <w:t xml:space="preserve"> los documentos tipo de obra e interventoría</w:t>
      </w:r>
      <w:r w:rsidRPr="00DB3EB8">
        <w:rPr>
          <w:rFonts w:ascii="Arial" w:eastAsiaTheme="minorHAnsi" w:hAnsi="Arial" w:cs="Arial"/>
          <w:color w:val="000000" w:themeColor="text1"/>
          <w:sz w:val="22"/>
          <w:szCs w:val="22"/>
          <w:lang w:val="es-MX" w:eastAsia="en-US"/>
        </w:rPr>
        <w:t>,</w:t>
      </w:r>
      <w:r>
        <w:rPr>
          <w:rFonts w:ascii="Arial" w:hAnsi="Arial" w:cs="Arial"/>
          <w:sz w:val="22"/>
        </w:rPr>
        <w:t xml:space="preserve"> el </w:t>
      </w:r>
      <w:r w:rsidRPr="00DB3EB8">
        <w:rPr>
          <w:rFonts w:ascii="Arial" w:hAnsi="Arial" w:cs="Arial"/>
          <w:sz w:val="22"/>
        </w:rPr>
        <w:t xml:space="preserve">numeral 4.2 «Factor de </w:t>
      </w:r>
      <w:r w:rsidRPr="00DB3EB8">
        <w:rPr>
          <w:rFonts w:ascii="Arial" w:hAnsi="Arial" w:cs="Arial"/>
          <w:sz w:val="22"/>
          <w:szCs w:val="22"/>
        </w:rPr>
        <w:t xml:space="preserve">Calidad» contempló que </w:t>
      </w:r>
      <w:r w:rsidRPr="00066821">
        <w:rPr>
          <w:rFonts w:ascii="Arial" w:hAnsi="Arial" w:cs="Arial"/>
          <w:sz w:val="22"/>
        </w:rPr>
        <w:t>«</w:t>
      </w:r>
      <w:r w:rsidRPr="00DB3EB8">
        <w:rPr>
          <w:rFonts w:ascii="Arial" w:eastAsia="Calibri" w:hAnsi="Arial" w:cs="Arial"/>
          <w:color w:val="000000"/>
          <w:sz w:val="22"/>
          <w:szCs w:val="22"/>
          <w:lang w:val="es-ES_tradnl" w:eastAsia="en-GB"/>
        </w:rPr>
        <w:t xml:space="preserve">Las entidades estatales deben </w:t>
      </w:r>
      <w:r w:rsidRPr="00DB3EB8">
        <w:rPr>
          <w:rFonts w:ascii="Arial" w:eastAsia="Calibri" w:hAnsi="Arial" w:cs="Arial"/>
          <w:bCs/>
          <w:color w:val="000000"/>
          <w:sz w:val="22"/>
          <w:szCs w:val="22"/>
          <w:lang w:val="es-ES_tradnl" w:eastAsia="en-GB"/>
        </w:rPr>
        <w:t>consultar y analizar</w:t>
      </w:r>
      <w:r w:rsidRPr="00DB3EB8">
        <w:rPr>
          <w:rFonts w:ascii="Arial" w:eastAsia="Calibri" w:hAnsi="Arial" w:cs="Arial"/>
          <w:b/>
          <w:color w:val="000000"/>
          <w:sz w:val="22"/>
          <w:szCs w:val="22"/>
          <w:lang w:val="es-ES_tradnl" w:eastAsia="en-GB"/>
        </w:rPr>
        <w:t xml:space="preserve"> </w:t>
      </w:r>
      <w:r w:rsidRPr="00DB3EB8">
        <w:rPr>
          <w:rFonts w:ascii="Arial" w:eastAsia="Calibri" w:hAnsi="Arial" w:cs="Arial"/>
          <w:color w:val="000000"/>
          <w:sz w:val="22"/>
          <w:szCs w:val="22"/>
          <w:lang w:val="es-ES_tradnl" w:eastAsia="en-GB"/>
        </w:rPr>
        <w:t>las anotaciones vigentes que reposen en el Registro Nacional de Obras Civiles Inconclusas, de que trata la Ley 2020 de 2020. En el evento que las personas naturales o jurídicas, nacionales o extranjeras domiciliadas o con sucursal en Colombia, o integrantes de proponentes plurales, cuenten con alguna anotación vigente de obra civil inconclusa, en el mencionado registro, se descontará un (1) punto de la sumatoria obtenida en relación con el factor de calidad</w:t>
      </w:r>
      <w:r w:rsidRPr="00066821">
        <w:rPr>
          <w:rFonts w:ascii="Arial" w:hAnsi="Arial" w:cs="Arial"/>
          <w:sz w:val="22"/>
        </w:rPr>
        <w:t>»</w:t>
      </w:r>
      <w:r>
        <w:rPr>
          <w:rFonts w:ascii="Arial" w:hAnsi="Arial" w:cs="Arial"/>
          <w:sz w:val="22"/>
        </w:rPr>
        <w:t>.</w:t>
      </w:r>
    </w:p>
    <w:p w14:paraId="6264FDD1" w14:textId="714344E0" w:rsidR="00AC6801" w:rsidRPr="00AC6801" w:rsidRDefault="004746A1" w:rsidP="00AC6801">
      <w:pPr>
        <w:spacing w:before="120" w:line="276" w:lineRule="auto"/>
        <w:ind w:firstLine="709"/>
        <w:jc w:val="both"/>
        <w:rPr>
          <w:rFonts w:ascii="Arial" w:eastAsiaTheme="minorHAnsi" w:hAnsi="Arial" w:cs="Arial"/>
          <w:sz w:val="22"/>
          <w:szCs w:val="22"/>
          <w:lang w:val="es-MX" w:eastAsia="en-US"/>
        </w:rPr>
      </w:pPr>
      <w:r>
        <w:rPr>
          <w:rFonts w:ascii="Arial" w:eastAsia="Calibri" w:hAnsi="Arial" w:cs="Arial"/>
          <w:color w:val="000000"/>
          <w:sz w:val="22"/>
          <w:szCs w:val="22"/>
          <w:lang w:val="es-ES_tradnl" w:eastAsia="en-GB"/>
        </w:rPr>
        <w:t>Conforme a lo anterior y a</w:t>
      </w:r>
      <w:r w:rsidR="00DB3EB8" w:rsidRPr="00DB3EB8">
        <w:rPr>
          <w:rFonts w:ascii="Arial" w:eastAsia="Calibri" w:hAnsi="Arial" w:cs="Arial"/>
          <w:color w:val="000000"/>
          <w:sz w:val="22"/>
          <w:szCs w:val="22"/>
          <w:lang w:val="es-ES_tradnl" w:eastAsia="en-GB"/>
        </w:rPr>
        <w:t>tendiendo l</w:t>
      </w:r>
      <w:r>
        <w:rPr>
          <w:rFonts w:ascii="Arial" w:eastAsia="Calibri" w:hAnsi="Arial" w:cs="Arial"/>
          <w:color w:val="000000"/>
          <w:sz w:val="22"/>
          <w:szCs w:val="22"/>
          <w:lang w:val="es-ES_tradnl" w:eastAsia="en-GB"/>
        </w:rPr>
        <w:t>os</w:t>
      </w:r>
      <w:r w:rsidR="00DB3EB8" w:rsidRPr="00DB3EB8">
        <w:rPr>
          <w:rFonts w:ascii="Arial" w:eastAsia="Calibri" w:hAnsi="Arial" w:cs="Arial"/>
          <w:color w:val="000000"/>
          <w:sz w:val="22"/>
          <w:szCs w:val="22"/>
          <w:lang w:val="es-ES_tradnl" w:eastAsia="en-GB"/>
        </w:rPr>
        <w:t xml:space="preserve"> antecedentes legislativos del artículo 6 de la Ley 2020 de 2020, se precisa que el descuento del punto de la sumatoria obtenida en relación con el factor de calidad, del que trata el texto de los documentos base adoptados por la Agencia Nacional de Contratación Pública – Colombia Compra Eficiente, deberá efectuarse una vez la entidad realice la consulta y el análisis de las anotaciones en el Registro Nacional de Obras Civiles Inconclusas y determine </w:t>
      </w:r>
      <w:r w:rsidR="00DB3EB8" w:rsidRPr="00DB3EB8">
        <w:rPr>
          <w:rFonts w:ascii="Arial" w:eastAsiaTheme="minorHAnsi" w:hAnsi="Arial" w:cs="Arial"/>
          <w:sz w:val="22"/>
          <w:szCs w:val="22"/>
          <w:lang w:val="es-MX" w:eastAsia="en-US"/>
        </w:rPr>
        <w:t>si esa anotación se dio por un incumplimiento del contratista</w:t>
      </w:r>
      <w:r w:rsidR="004A3EAB">
        <w:rPr>
          <w:rFonts w:ascii="Arial" w:eastAsiaTheme="minorHAnsi" w:hAnsi="Arial" w:cs="Arial"/>
          <w:sz w:val="22"/>
          <w:szCs w:val="22"/>
          <w:lang w:val="es-MX" w:eastAsia="en-US"/>
        </w:rPr>
        <w:t>;</w:t>
      </w:r>
      <w:r w:rsidR="00DB3EB8" w:rsidRPr="00DB3EB8">
        <w:rPr>
          <w:rFonts w:ascii="Arial" w:eastAsiaTheme="minorHAnsi" w:hAnsi="Arial" w:cs="Arial"/>
          <w:sz w:val="22"/>
          <w:szCs w:val="22"/>
          <w:lang w:val="es-MX" w:eastAsia="en-US"/>
        </w:rPr>
        <w:t xml:space="preserve"> </w:t>
      </w:r>
      <w:r w:rsidR="004A3EAB">
        <w:rPr>
          <w:rFonts w:ascii="Arial" w:eastAsiaTheme="minorHAnsi" w:hAnsi="Arial" w:cs="Arial"/>
          <w:sz w:val="22"/>
          <w:szCs w:val="22"/>
          <w:lang w:val="es-MX" w:eastAsia="en-US"/>
        </w:rPr>
        <w:t>d</w:t>
      </w:r>
      <w:r w:rsidR="00DB3EB8" w:rsidRPr="00DB3EB8">
        <w:rPr>
          <w:rFonts w:ascii="Arial" w:eastAsiaTheme="minorHAnsi" w:hAnsi="Arial" w:cs="Arial"/>
          <w:sz w:val="22"/>
          <w:szCs w:val="22"/>
          <w:lang w:val="es-MX" w:eastAsia="en-US"/>
        </w:rPr>
        <w:t xml:space="preserve">e esta manera, dependiendo del supuesto, la entidad descontará el punto. </w:t>
      </w:r>
    </w:p>
    <w:p w14:paraId="5B2465C7" w14:textId="1C1B7AA6" w:rsidR="004746A1" w:rsidRPr="00070AEB" w:rsidRDefault="004746A1" w:rsidP="004746A1">
      <w:pPr>
        <w:spacing w:before="120" w:line="276" w:lineRule="auto"/>
        <w:ind w:firstLine="709"/>
        <w:jc w:val="both"/>
        <w:rPr>
          <w:rFonts w:ascii="Arial" w:hAnsi="Arial" w:cs="Arial"/>
          <w:color w:val="000000" w:themeColor="text1"/>
          <w:sz w:val="22"/>
        </w:rPr>
      </w:pPr>
      <w:r w:rsidRPr="00E70850">
        <w:rPr>
          <w:rFonts w:ascii="Arial" w:hAnsi="Arial" w:cs="Arial"/>
          <w:color w:val="000000" w:themeColor="text1"/>
          <w:sz w:val="22"/>
        </w:rPr>
        <w:t>Así, la sola inclusión en el Registro Nacional de Obras Civiles Inconclusas no puede entenderse suficiente para descontar el punto de la sumatoria obtenida de los factores de calidad. En otras palabras, la anotación en el registro no genera automáticamente el descuento del punto, por cuanto la entidad está en la obligación de consultar y analizar la anotación.</w:t>
      </w:r>
      <w:r>
        <w:rPr>
          <w:rFonts w:ascii="Arial" w:hAnsi="Arial" w:cs="Arial"/>
          <w:color w:val="000000" w:themeColor="text1"/>
          <w:sz w:val="22"/>
        </w:rPr>
        <w:t xml:space="preserve"> Esto aplica tanto en los procesos de selección objetiva para contratistas de obra como para interventores. </w:t>
      </w:r>
      <w:r w:rsidRPr="00E70850">
        <w:rPr>
          <w:rFonts w:ascii="Arial" w:hAnsi="Arial" w:cs="Arial"/>
          <w:color w:val="000000" w:themeColor="text1"/>
          <w:sz w:val="22"/>
        </w:rPr>
        <w:t xml:space="preserve">De todas formas, si en el informe de evaluación que realiza la entidad se produce la reducción del punto del factor de calidad bajo el único argumento de encontrarse en dicho </w:t>
      </w:r>
      <w:r>
        <w:rPr>
          <w:rFonts w:ascii="Arial" w:hAnsi="Arial" w:cs="Arial"/>
          <w:color w:val="000000" w:themeColor="text1"/>
          <w:sz w:val="22"/>
        </w:rPr>
        <w:t>r</w:t>
      </w:r>
      <w:r w:rsidRPr="00E70850">
        <w:rPr>
          <w:rFonts w:ascii="Arial" w:hAnsi="Arial" w:cs="Arial"/>
          <w:color w:val="000000" w:themeColor="text1"/>
          <w:sz w:val="22"/>
        </w:rPr>
        <w:t>egistro sin efectuar un análisis previo de las anotaciones, el proponente, con fundamento en la interpretación</w:t>
      </w:r>
      <w:r w:rsidR="00A778F0">
        <w:rPr>
          <w:rFonts w:ascii="Arial" w:hAnsi="Arial" w:cs="Arial"/>
          <w:color w:val="000000" w:themeColor="text1"/>
          <w:sz w:val="22"/>
        </w:rPr>
        <w:t xml:space="preserve"> mencionada</w:t>
      </w:r>
      <w:r w:rsidRPr="00E70850">
        <w:rPr>
          <w:rFonts w:ascii="Arial" w:hAnsi="Arial" w:cs="Arial"/>
          <w:color w:val="000000" w:themeColor="text1"/>
          <w:sz w:val="22"/>
        </w:rPr>
        <w:t>, podrá formular la observación respectiva</w:t>
      </w:r>
      <w:r>
        <w:rPr>
          <w:rFonts w:ascii="Arial" w:eastAsiaTheme="minorHAnsi" w:hAnsi="Arial" w:cs="Arial"/>
          <w:sz w:val="22"/>
          <w:szCs w:val="22"/>
          <w:lang w:val="es-MX" w:eastAsia="en-US"/>
        </w:rPr>
        <w:t xml:space="preserve">. </w:t>
      </w:r>
    </w:p>
    <w:p w14:paraId="367A6CB1" w14:textId="368CA2CE" w:rsidR="00A374EF" w:rsidRPr="00A374EF" w:rsidRDefault="00A374EF" w:rsidP="00DE3F63">
      <w:pPr>
        <w:spacing w:line="276" w:lineRule="auto"/>
        <w:ind w:right="476"/>
        <w:jc w:val="both"/>
        <w:rPr>
          <w:rFonts w:ascii="Arial" w:eastAsia="Calibri" w:hAnsi="Arial" w:cs="Arial"/>
          <w:bCs/>
          <w:sz w:val="21"/>
          <w:szCs w:val="21"/>
        </w:rPr>
      </w:pPr>
    </w:p>
    <w:p w14:paraId="11A88BA9" w14:textId="5B65DDAA" w:rsidR="00A374EF" w:rsidRDefault="00A374EF" w:rsidP="00A374EF">
      <w:pPr>
        <w:ind w:left="709" w:right="474"/>
        <w:jc w:val="both"/>
        <w:rPr>
          <w:rFonts w:ascii="Arial" w:eastAsia="Calibri" w:hAnsi="Arial" w:cs="Arial"/>
          <w:bCs/>
          <w:sz w:val="21"/>
          <w:szCs w:val="21"/>
        </w:rPr>
      </w:pPr>
      <w:proofErr w:type="spellStart"/>
      <w:r w:rsidRPr="00A374EF">
        <w:rPr>
          <w:rFonts w:ascii="Arial" w:eastAsia="Calibri" w:hAnsi="Arial" w:cs="Arial"/>
          <w:bCs/>
          <w:sz w:val="21"/>
          <w:szCs w:val="21"/>
        </w:rPr>
        <w:t>ii</w:t>
      </w:r>
      <w:proofErr w:type="spellEnd"/>
      <w:r w:rsidRPr="00A374EF">
        <w:rPr>
          <w:rFonts w:ascii="Arial" w:eastAsia="Calibri" w:hAnsi="Arial" w:cs="Arial"/>
          <w:bCs/>
          <w:sz w:val="21"/>
          <w:szCs w:val="21"/>
        </w:rPr>
        <w:t>) «¿Cuándo hace referencia a “las anotaciones vigentes” decir que, por el hecho de estar reportado se enmarca como vigentes o las anotaciones tienen un término vigencia y cuál sería»</w:t>
      </w:r>
    </w:p>
    <w:p w14:paraId="6DF5A343" w14:textId="1ACB35AB" w:rsidR="00906560" w:rsidRDefault="00906560" w:rsidP="00DE3F63">
      <w:pPr>
        <w:spacing w:line="276" w:lineRule="auto"/>
        <w:ind w:right="476"/>
        <w:jc w:val="both"/>
        <w:rPr>
          <w:rFonts w:ascii="Arial" w:eastAsia="Calibri" w:hAnsi="Arial" w:cs="Arial"/>
          <w:bCs/>
          <w:sz w:val="21"/>
          <w:szCs w:val="21"/>
        </w:rPr>
      </w:pPr>
    </w:p>
    <w:p w14:paraId="00D6ABC1" w14:textId="26158DBA" w:rsidR="004746A1" w:rsidRPr="00683F67" w:rsidRDefault="004746A1" w:rsidP="003B5AB7">
      <w:pPr>
        <w:spacing w:line="276" w:lineRule="auto"/>
        <w:jc w:val="both"/>
        <w:rPr>
          <w:rFonts w:ascii="Arial" w:eastAsia="Calibri" w:hAnsi="Arial" w:cs="Arial"/>
          <w:color w:val="000000"/>
          <w:sz w:val="22"/>
          <w:szCs w:val="22"/>
          <w:lang w:val="es-ES_tradnl" w:eastAsia="en-GB"/>
        </w:rPr>
      </w:pPr>
      <w:r w:rsidRPr="004746A1">
        <w:rPr>
          <w:rFonts w:ascii="Arial" w:eastAsia="Calibri" w:hAnsi="Arial" w:cs="Arial"/>
          <w:color w:val="000000"/>
          <w:sz w:val="22"/>
          <w:szCs w:val="22"/>
          <w:lang w:val="es-ES_tradnl" w:eastAsia="en-GB"/>
        </w:rPr>
        <w:t xml:space="preserve">De conformidad con el artículo 3 de la Ley 2020 de 2020, la Contraloría General de la República y las entidades estatales deberán realizar el seguimiento y actualización del Registro Nacional de Obras Civiles Inconclusas con el fin de establecer la realidad respecto de la condición técnica, física y financiera de aquellas. Además, las entidades estatales deberán garantizar la actualización permanente del registro en los términos y condiciones que disponga la Contraloría General de la República. En esta medida, las anotaciones vigentes en el Registro Nacional de Obras Civiles Inconclusas corresponden a las que </w:t>
      </w:r>
      <w:r w:rsidRPr="004746A1">
        <w:rPr>
          <w:rFonts w:ascii="Arial" w:eastAsia="Calibri" w:hAnsi="Arial" w:cs="Arial"/>
          <w:color w:val="000000"/>
          <w:sz w:val="22"/>
          <w:szCs w:val="22"/>
          <w:lang w:val="es-ES_tradnl" w:eastAsia="en-GB"/>
        </w:rPr>
        <w:lastRenderedPageBreak/>
        <w:t xml:space="preserve">reposan en este, teniendo en cuenta las actualizaciones que realice la Contraloría General de la República y las entidades estatales y siempre que las mismas no hayan sido canceladas en los términos del artículo 12 de la Ley 2020 de 2020. </w:t>
      </w:r>
      <w:r w:rsidR="00F603C6">
        <w:rPr>
          <w:rFonts w:ascii="Arial" w:eastAsia="Calibri" w:hAnsi="Arial" w:cs="Arial"/>
          <w:color w:val="000000"/>
          <w:sz w:val="22"/>
          <w:szCs w:val="22"/>
          <w:lang w:val="es-ES_tradnl" w:eastAsia="en-GB"/>
        </w:rPr>
        <w:t>En</w:t>
      </w:r>
      <w:r w:rsidR="00683F67">
        <w:rPr>
          <w:rFonts w:ascii="Arial" w:eastAsia="Calibri" w:hAnsi="Arial" w:cs="Arial"/>
          <w:color w:val="000000"/>
          <w:sz w:val="22"/>
          <w:szCs w:val="22"/>
          <w:lang w:val="es-ES_tradnl" w:eastAsia="en-GB"/>
        </w:rPr>
        <w:t xml:space="preserve"> este contexto, debido a que </w:t>
      </w:r>
      <w:r w:rsidRPr="004746A1">
        <w:rPr>
          <w:rFonts w:ascii="Arial" w:eastAsia="Calibri" w:hAnsi="Arial" w:cs="Arial"/>
          <w:color w:val="000000"/>
          <w:sz w:val="22"/>
          <w:szCs w:val="22"/>
          <w:lang w:val="es-ES_tradnl" w:eastAsia="en-GB"/>
        </w:rPr>
        <w:t>la norma no determina un</w:t>
      </w:r>
      <w:r w:rsidR="00683F67">
        <w:rPr>
          <w:rFonts w:ascii="Arial" w:eastAsia="Calibri" w:hAnsi="Arial" w:cs="Arial"/>
          <w:color w:val="000000"/>
          <w:sz w:val="22"/>
          <w:szCs w:val="22"/>
          <w:lang w:val="es-ES_tradnl" w:eastAsia="en-GB"/>
        </w:rPr>
        <w:t xml:space="preserve"> término de </w:t>
      </w:r>
      <w:r w:rsidRPr="004746A1">
        <w:rPr>
          <w:rFonts w:ascii="Arial" w:eastAsia="Calibri" w:hAnsi="Arial" w:cs="Arial"/>
          <w:color w:val="000000"/>
          <w:sz w:val="22"/>
          <w:szCs w:val="22"/>
          <w:lang w:val="es-ES_tradnl" w:eastAsia="en-GB"/>
        </w:rPr>
        <w:t>vigencia para estas anotaciones, se entiende que las mismas</w:t>
      </w:r>
      <w:r w:rsidR="00A778F0">
        <w:rPr>
          <w:rFonts w:ascii="Arial" w:eastAsia="Calibri" w:hAnsi="Arial" w:cs="Arial"/>
          <w:color w:val="000000"/>
          <w:sz w:val="22"/>
          <w:szCs w:val="22"/>
          <w:lang w:val="es-ES_tradnl" w:eastAsia="en-GB"/>
        </w:rPr>
        <w:t xml:space="preserve"> </w:t>
      </w:r>
      <w:r w:rsidRPr="004746A1">
        <w:rPr>
          <w:rFonts w:ascii="Arial" w:eastAsia="Calibri" w:hAnsi="Arial" w:cs="Arial"/>
          <w:color w:val="000000"/>
          <w:sz w:val="22"/>
          <w:szCs w:val="22"/>
          <w:lang w:val="es-ES_tradnl" w:eastAsia="en-GB"/>
        </w:rPr>
        <w:t>se encuentr</w:t>
      </w:r>
      <w:r w:rsidR="00735220">
        <w:rPr>
          <w:rFonts w:ascii="Arial" w:eastAsia="Calibri" w:hAnsi="Arial" w:cs="Arial"/>
          <w:color w:val="000000"/>
          <w:sz w:val="22"/>
          <w:szCs w:val="22"/>
          <w:lang w:val="es-ES_tradnl" w:eastAsia="en-GB"/>
        </w:rPr>
        <w:t>a</w:t>
      </w:r>
      <w:r w:rsidRPr="004746A1">
        <w:rPr>
          <w:rFonts w:ascii="Arial" w:eastAsia="Calibri" w:hAnsi="Arial" w:cs="Arial"/>
          <w:color w:val="000000"/>
          <w:sz w:val="22"/>
          <w:szCs w:val="22"/>
          <w:lang w:val="es-ES_tradnl" w:eastAsia="en-GB"/>
        </w:rPr>
        <w:t xml:space="preserve">n vigentes mientras </w:t>
      </w:r>
      <w:r w:rsidR="00683F67">
        <w:rPr>
          <w:rFonts w:ascii="Arial" w:eastAsia="Calibri" w:hAnsi="Arial" w:cs="Arial"/>
          <w:color w:val="000000"/>
          <w:sz w:val="22"/>
          <w:szCs w:val="22"/>
          <w:lang w:val="es-ES_tradnl" w:eastAsia="en-GB"/>
        </w:rPr>
        <w:t xml:space="preserve">reposen </w:t>
      </w:r>
      <w:r w:rsidRPr="004746A1">
        <w:rPr>
          <w:rFonts w:ascii="Arial" w:eastAsia="Calibri" w:hAnsi="Arial" w:cs="Arial"/>
          <w:color w:val="000000"/>
          <w:sz w:val="22"/>
          <w:szCs w:val="22"/>
          <w:lang w:val="es-ES_tradnl" w:eastAsia="en-GB"/>
        </w:rPr>
        <w:t>en dicho registro y no hayan sido canceladas</w:t>
      </w:r>
      <w:r w:rsidR="00A778F0">
        <w:rPr>
          <w:rFonts w:ascii="Arial" w:eastAsia="Calibri" w:hAnsi="Arial" w:cs="Arial"/>
          <w:color w:val="000000"/>
          <w:sz w:val="22"/>
          <w:szCs w:val="22"/>
          <w:lang w:val="es-ES_tradnl" w:eastAsia="en-GB"/>
        </w:rPr>
        <w:t xml:space="preserve">. </w:t>
      </w:r>
    </w:p>
    <w:p w14:paraId="29EB4659" w14:textId="77777777" w:rsidR="00906560" w:rsidRPr="00A374EF" w:rsidRDefault="00906560" w:rsidP="00A374EF">
      <w:pPr>
        <w:ind w:left="709" w:right="474"/>
        <w:jc w:val="both"/>
        <w:rPr>
          <w:rFonts w:ascii="Arial" w:eastAsia="Calibri" w:hAnsi="Arial" w:cs="Arial"/>
          <w:bCs/>
          <w:sz w:val="21"/>
          <w:szCs w:val="21"/>
        </w:rPr>
      </w:pPr>
    </w:p>
    <w:p w14:paraId="6D0945A6" w14:textId="77777777" w:rsidR="00A374EF" w:rsidRPr="00A374EF" w:rsidRDefault="00A374EF" w:rsidP="00A374EF">
      <w:pPr>
        <w:ind w:left="709" w:right="474"/>
        <w:jc w:val="both"/>
        <w:rPr>
          <w:rFonts w:ascii="Arial" w:eastAsia="Calibri" w:hAnsi="Arial" w:cs="Arial"/>
          <w:bCs/>
          <w:sz w:val="21"/>
          <w:szCs w:val="21"/>
        </w:rPr>
      </w:pPr>
      <w:proofErr w:type="spellStart"/>
      <w:r w:rsidRPr="00A374EF">
        <w:rPr>
          <w:rFonts w:ascii="Arial" w:eastAsia="Calibri" w:hAnsi="Arial" w:cs="Arial"/>
          <w:bCs/>
          <w:sz w:val="21"/>
          <w:szCs w:val="21"/>
        </w:rPr>
        <w:t>iv</w:t>
      </w:r>
      <w:proofErr w:type="spellEnd"/>
      <w:r w:rsidRPr="00A374EF">
        <w:rPr>
          <w:rFonts w:ascii="Arial" w:eastAsia="Calibri" w:hAnsi="Arial" w:cs="Arial"/>
          <w:bCs/>
          <w:sz w:val="21"/>
          <w:szCs w:val="21"/>
        </w:rPr>
        <w:t>) «¿Valorar las anotaciones sólo implica revisar la información contenida en el reporte o adicionalmente se debe valorar información que aporte el proponente reportado?»</w:t>
      </w:r>
    </w:p>
    <w:p w14:paraId="23355F5A" w14:textId="77777777" w:rsidR="00044498" w:rsidRPr="00044498" w:rsidRDefault="00044498" w:rsidP="00A374EF">
      <w:pPr>
        <w:spacing w:line="276" w:lineRule="auto"/>
        <w:ind w:right="709"/>
        <w:jc w:val="both"/>
        <w:rPr>
          <w:rFonts w:ascii="Arial" w:hAnsi="Arial" w:cs="Arial"/>
          <w:color w:val="000000" w:themeColor="text1"/>
          <w:sz w:val="21"/>
          <w:szCs w:val="21"/>
          <w:lang w:val="es-ES_tradnl"/>
        </w:rPr>
      </w:pPr>
    </w:p>
    <w:p w14:paraId="410DF43B" w14:textId="3275B915" w:rsidR="00291917" w:rsidRDefault="00EA44C5" w:rsidP="00EA44C5">
      <w:pPr>
        <w:spacing w:line="276" w:lineRule="auto"/>
        <w:jc w:val="both"/>
        <w:rPr>
          <w:rFonts w:ascii="Arial" w:hAnsi="Arial" w:cs="Arial"/>
          <w:bCs/>
          <w:color w:val="000000" w:themeColor="text1"/>
          <w:sz w:val="22"/>
          <w:lang w:val="es-ES_tradnl"/>
        </w:rPr>
      </w:pPr>
      <w:r w:rsidRPr="00EA44C5">
        <w:rPr>
          <w:rFonts w:ascii="Arial" w:hAnsi="Arial" w:cs="Arial"/>
          <w:color w:val="000000" w:themeColor="text1"/>
          <w:sz w:val="22"/>
        </w:rPr>
        <w:t>El artículo 6 de la Ley 2020 de 2020 establece</w:t>
      </w:r>
      <w:r>
        <w:rPr>
          <w:rFonts w:ascii="Arial" w:hAnsi="Arial" w:cs="Arial"/>
          <w:color w:val="000000" w:themeColor="text1"/>
          <w:sz w:val="22"/>
        </w:rPr>
        <w:t xml:space="preserve"> claramente que</w:t>
      </w:r>
      <w:r w:rsidRPr="00EA44C5">
        <w:rPr>
          <w:rFonts w:ascii="Arial" w:hAnsi="Arial" w:cs="Arial"/>
          <w:color w:val="000000" w:themeColor="text1"/>
          <w:sz w:val="22"/>
        </w:rPr>
        <w:t xml:space="preserve"> se tendrán en cuenta las anotaciones vigentes en el Registro Nacional de Obras Civiles Inconclusas al momento de evaluar los factores de ponderación de calidad</w:t>
      </w:r>
      <w:r w:rsidR="00291917">
        <w:rPr>
          <w:rFonts w:ascii="Arial" w:hAnsi="Arial" w:cs="Arial"/>
          <w:bCs/>
          <w:color w:val="000000" w:themeColor="text1"/>
          <w:sz w:val="22"/>
        </w:rPr>
        <w:t>. P</w:t>
      </w:r>
      <w:r w:rsidRPr="00EA44C5">
        <w:rPr>
          <w:rFonts w:ascii="Arial" w:hAnsi="Arial" w:cs="Arial"/>
          <w:bCs/>
          <w:color w:val="000000" w:themeColor="text1"/>
          <w:sz w:val="22"/>
        </w:rPr>
        <w:t>or tanto, para efectos de su valoración</w:t>
      </w:r>
      <w:r w:rsidR="00291917">
        <w:rPr>
          <w:rFonts w:ascii="Arial" w:hAnsi="Arial" w:cs="Arial"/>
          <w:bCs/>
          <w:color w:val="000000" w:themeColor="text1"/>
          <w:sz w:val="22"/>
        </w:rPr>
        <w:t xml:space="preserve"> </w:t>
      </w:r>
      <w:r w:rsidRPr="00EA44C5">
        <w:rPr>
          <w:rFonts w:ascii="Arial" w:hAnsi="Arial" w:cs="Arial"/>
          <w:bCs/>
          <w:color w:val="000000" w:themeColor="text1"/>
          <w:sz w:val="22"/>
        </w:rPr>
        <w:t>la</w:t>
      </w:r>
      <w:r w:rsidR="00291917">
        <w:rPr>
          <w:rFonts w:ascii="Arial" w:hAnsi="Arial" w:cs="Arial"/>
          <w:bCs/>
          <w:color w:val="000000" w:themeColor="text1"/>
          <w:sz w:val="22"/>
        </w:rPr>
        <w:t>s</w:t>
      </w:r>
      <w:r w:rsidRPr="00EA44C5">
        <w:rPr>
          <w:rFonts w:ascii="Arial" w:hAnsi="Arial" w:cs="Arial"/>
          <w:bCs/>
          <w:color w:val="000000" w:themeColor="text1"/>
          <w:sz w:val="22"/>
        </w:rPr>
        <w:t xml:space="preserve"> entidad</w:t>
      </w:r>
      <w:r w:rsidR="00291917">
        <w:rPr>
          <w:rFonts w:ascii="Arial" w:hAnsi="Arial" w:cs="Arial"/>
          <w:bCs/>
          <w:color w:val="000000" w:themeColor="text1"/>
          <w:sz w:val="22"/>
        </w:rPr>
        <w:t>es</w:t>
      </w:r>
      <w:r w:rsidRPr="00EA44C5">
        <w:rPr>
          <w:rFonts w:ascii="Arial" w:hAnsi="Arial" w:cs="Arial"/>
          <w:bCs/>
          <w:color w:val="000000" w:themeColor="text1"/>
          <w:sz w:val="22"/>
        </w:rPr>
        <w:t xml:space="preserve"> </w:t>
      </w:r>
      <w:r w:rsidRPr="00EA44C5">
        <w:rPr>
          <w:rFonts w:ascii="Arial" w:hAnsi="Arial" w:cs="Arial"/>
          <w:bCs/>
          <w:color w:val="000000" w:themeColor="text1"/>
          <w:sz w:val="22"/>
          <w:lang w:val="es-MX"/>
        </w:rPr>
        <w:t>deberá</w:t>
      </w:r>
      <w:r w:rsidR="00291917">
        <w:rPr>
          <w:rFonts w:ascii="Arial" w:hAnsi="Arial" w:cs="Arial"/>
          <w:bCs/>
          <w:color w:val="000000" w:themeColor="text1"/>
          <w:sz w:val="22"/>
          <w:lang w:val="es-MX"/>
        </w:rPr>
        <w:t>n</w:t>
      </w:r>
      <w:r w:rsidRPr="00EA44C5">
        <w:rPr>
          <w:rFonts w:ascii="Arial" w:hAnsi="Arial" w:cs="Arial"/>
          <w:bCs/>
          <w:color w:val="000000" w:themeColor="text1"/>
          <w:sz w:val="22"/>
          <w:lang w:val="es-MX"/>
        </w:rPr>
        <w:t xml:space="preserve"> tener en cuenta únicamente la información contemplada en dicho Registro</w:t>
      </w:r>
      <w:r>
        <w:rPr>
          <w:rFonts w:ascii="Arial" w:hAnsi="Arial" w:cs="Arial"/>
          <w:bCs/>
          <w:color w:val="000000" w:themeColor="text1"/>
          <w:sz w:val="22"/>
          <w:lang w:val="es-MX"/>
        </w:rPr>
        <w:t xml:space="preserve">. </w:t>
      </w:r>
      <w:r w:rsidRPr="00EA44C5">
        <w:rPr>
          <w:rFonts w:ascii="Arial" w:hAnsi="Arial" w:cs="Arial"/>
          <w:bCs/>
          <w:color w:val="000000" w:themeColor="text1"/>
          <w:sz w:val="22"/>
          <w:lang w:val="es-ES_tradnl"/>
        </w:rPr>
        <w:t>En este sentido, la</w:t>
      </w:r>
      <w:r w:rsidR="009B3B9B">
        <w:rPr>
          <w:rFonts w:ascii="Arial" w:hAnsi="Arial" w:cs="Arial"/>
          <w:bCs/>
          <w:color w:val="000000" w:themeColor="text1"/>
          <w:sz w:val="22"/>
          <w:lang w:val="es-ES_tradnl"/>
        </w:rPr>
        <w:t>s</w:t>
      </w:r>
      <w:r w:rsidRPr="00EA44C5">
        <w:rPr>
          <w:rFonts w:ascii="Arial" w:hAnsi="Arial" w:cs="Arial"/>
          <w:bCs/>
          <w:color w:val="000000" w:themeColor="text1"/>
          <w:sz w:val="22"/>
          <w:lang w:val="es-ES_tradnl"/>
        </w:rPr>
        <w:t xml:space="preserve"> entidad</w:t>
      </w:r>
      <w:r w:rsidR="009B3B9B">
        <w:rPr>
          <w:rFonts w:ascii="Arial" w:hAnsi="Arial" w:cs="Arial"/>
          <w:bCs/>
          <w:color w:val="000000" w:themeColor="text1"/>
          <w:sz w:val="22"/>
          <w:lang w:val="es-ES_tradnl"/>
        </w:rPr>
        <w:t>es</w:t>
      </w:r>
      <w:r w:rsidRPr="00EA44C5">
        <w:rPr>
          <w:rFonts w:ascii="Arial" w:hAnsi="Arial" w:cs="Arial"/>
          <w:bCs/>
          <w:color w:val="000000" w:themeColor="text1"/>
          <w:sz w:val="22"/>
          <w:lang w:val="es-ES_tradnl"/>
        </w:rPr>
        <w:t xml:space="preserve"> </w:t>
      </w:r>
      <w:r w:rsidR="00291917">
        <w:rPr>
          <w:rFonts w:ascii="Arial" w:hAnsi="Arial" w:cs="Arial"/>
          <w:bCs/>
          <w:color w:val="000000" w:themeColor="text1"/>
          <w:sz w:val="22"/>
          <w:lang w:val="es-ES_tradnl"/>
        </w:rPr>
        <w:t>no podrá</w:t>
      </w:r>
      <w:r w:rsidR="009B3B9B">
        <w:rPr>
          <w:rFonts w:ascii="Arial" w:hAnsi="Arial" w:cs="Arial"/>
          <w:bCs/>
          <w:color w:val="000000" w:themeColor="text1"/>
          <w:sz w:val="22"/>
          <w:lang w:val="es-ES_tradnl"/>
        </w:rPr>
        <w:t>n</w:t>
      </w:r>
      <w:r w:rsidR="00291917">
        <w:rPr>
          <w:rFonts w:ascii="Arial" w:hAnsi="Arial" w:cs="Arial"/>
          <w:bCs/>
          <w:color w:val="000000" w:themeColor="text1"/>
          <w:sz w:val="22"/>
          <w:lang w:val="es-ES_tradnl"/>
        </w:rPr>
        <w:t xml:space="preserve"> recopilar información adicional, ni realizar un procedimiento particular para </w:t>
      </w:r>
      <w:r w:rsidRPr="00EA44C5">
        <w:rPr>
          <w:rFonts w:ascii="Arial" w:hAnsi="Arial" w:cs="Arial"/>
          <w:bCs/>
          <w:color w:val="000000" w:themeColor="text1"/>
          <w:sz w:val="22"/>
          <w:lang w:val="es-ES_tradnl"/>
        </w:rPr>
        <w:t>el efecto</w:t>
      </w:r>
      <w:r w:rsidR="00FB6D41">
        <w:rPr>
          <w:rFonts w:ascii="Arial" w:hAnsi="Arial" w:cs="Arial"/>
          <w:bCs/>
          <w:color w:val="000000" w:themeColor="text1"/>
          <w:sz w:val="22"/>
          <w:lang w:val="es-ES_tradnl"/>
        </w:rPr>
        <w:t xml:space="preserve">, puesto que la norma no lo establece. </w:t>
      </w:r>
    </w:p>
    <w:p w14:paraId="3D13477C" w14:textId="71C61E9F" w:rsidR="00EA44C5" w:rsidRPr="00EA44C5" w:rsidRDefault="00EA44C5" w:rsidP="00291917">
      <w:pPr>
        <w:spacing w:before="120" w:line="276" w:lineRule="auto"/>
        <w:ind w:firstLine="709"/>
        <w:jc w:val="both"/>
        <w:rPr>
          <w:rFonts w:ascii="Arial" w:hAnsi="Arial" w:cs="Arial"/>
          <w:bCs/>
          <w:color w:val="000000" w:themeColor="text1"/>
          <w:sz w:val="22"/>
        </w:rPr>
      </w:pPr>
      <w:r w:rsidRPr="00EA44C5">
        <w:rPr>
          <w:rFonts w:ascii="Arial" w:hAnsi="Arial" w:cs="Arial"/>
          <w:bCs/>
          <w:color w:val="000000" w:themeColor="text1"/>
          <w:sz w:val="22"/>
          <w:lang w:val="es-ES_tradnl"/>
        </w:rPr>
        <w:t>Frente a este aspecto es importante aclara</w:t>
      </w:r>
      <w:r w:rsidR="007A450E">
        <w:rPr>
          <w:rFonts w:ascii="Arial" w:hAnsi="Arial" w:cs="Arial"/>
          <w:bCs/>
          <w:color w:val="000000" w:themeColor="text1"/>
          <w:sz w:val="22"/>
          <w:lang w:val="es-ES_tradnl"/>
        </w:rPr>
        <w:t>r</w:t>
      </w:r>
      <w:r w:rsidRPr="00EA44C5">
        <w:rPr>
          <w:rFonts w:ascii="Arial" w:hAnsi="Arial" w:cs="Arial"/>
          <w:bCs/>
          <w:color w:val="000000" w:themeColor="text1"/>
          <w:sz w:val="22"/>
          <w:lang w:val="es-ES_tradnl"/>
        </w:rPr>
        <w:t xml:space="preserve"> que </w:t>
      </w:r>
      <w:r w:rsidRPr="00EA44C5">
        <w:rPr>
          <w:rFonts w:ascii="Arial" w:hAnsi="Arial" w:cs="Arial"/>
          <w:bCs/>
          <w:color w:val="000000" w:themeColor="text1"/>
          <w:sz w:val="22"/>
          <w:lang w:val="es-MX"/>
        </w:rPr>
        <w:t xml:space="preserve">en caso de que se presente alguna inconformidad en relación con la información reportada en el Registro por la entidad contratante, el artículo 6 de la Ley 2020 de 2020 dispuso que tal controversia o solicitud será resuelta por la entidad contratante que suministró dicha información. En consecuencia, el contratista deberá presentar directamente su reclamación ante la entidad contratante, la cual deberá atenderla </w:t>
      </w:r>
      <w:r w:rsidR="007341E0">
        <w:rPr>
          <w:rFonts w:ascii="Arial" w:hAnsi="Arial" w:cs="Arial"/>
          <w:bCs/>
          <w:color w:val="000000" w:themeColor="text1"/>
          <w:sz w:val="22"/>
          <w:lang w:val="es-MX"/>
        </w:rPr>
        <w:t xml:space="preserve">de acuerdo con </w:t>
      </w:r>
      <w:r w:rsidRPr="00EA44C5">
        <w:rPr>
          <w:rFonts w:ascii="Arial" w:hAnsi="Arial" w:cs="Arial"/>
          <w:bCs/>
          <w:color w:val="000000" w:themeColor="text1"/>
          <w:sz w:val="22"/>
          <w:lang w:val="es-MX"/>
        </w:rPr>
        <w:t xml:space="preserve">los principios y disposiciones establecidos en la normatividad vigente. </w:t>
      </w:r>
    </w:p>
    <w:p w14:paraId="4848191E" w14:textId="77777777" w:rsidR="00AC6801" w:rsidRDefault="00AC6801" w:rsidP="003B5AB7">
      <w:pPr>
        <w:spacing w:after="120" w:line="276" w:lineRule="auto"/>
        <w:jc w:val="both"/>
        <w:rPr>
          <w:rFonts w:ascii="Arial" w:hAnsi="Arial" w:cs="Arial"/>
          <w:color w:val="000000" w:themeColor="text1"/>
          <w:sz w:val="22"/>
          <w:lang w:val="es-ES_tradnl"/>
        </w:rPr>
      </w:pPr>
    </w:p>
    <w:p w14:paraId="77EE5912" w14:textId="25299BBB" w:rsidR="00DD5B04" w:rsidRDefault="00DD5B04" w:rsidP="0011177B">
      <w:pPr>
        <w:spacing w:line="276" w:lineRule="auto"/>
        <w:jc w:val="both"/>
        <w:rPr>
          <w:rFonts w:ascii="Arial" w:hAnsi="Arial" w:cs="Arial"/>
          <w:color w:val="000000" w:themeColor="text1"/>
          <w:sz w:val="22"/>
          <w:lang w:val="es-ES_tradnl"/>
        </w:rPr>
      </w:pPr>
      <w:r w:rsidRPr="00E23980">
        <w:rPr>
          <w:rFonts w:ascii="Arial" w:hAnsi="Arial" w:cs="Arial"/>
          <w:color w:val="000000" w:themeColor="text1"/>
          <w:sz w:val="22"/>
          <w:lang w:val="es-ES_tradnl"/>
        </w:rPr>
        <w:t>Este concepto tiene el alcance previsto en el artículo 28 del Código de Procedimiento Administrativo y de</w:t>
      </w:r>
      <w:r w:rsidR="00D40F8B">
        <w:rPr>
          <w:rFonts w:ascii="Arial" w:hAnsi="Arial" w:cs="Arial"/>
          <w:color w:val="000000" w:themeColor="text1"/>
          <w:sz w:val="22"/>
          <w:lang w:val="es-ES_tradnl"/>
        </w:rPr>
        <w:t xml:space="preserve"> lo Contencioso Administrativo.</w:t>
      </w:r>
    </w:p>
    <w:p w14:paraId="056816F7" w14:textId="77777777" w:rsidR="00D40F8B" w:rsidRPr="00D40F8B" w:rsidRDefault="00D40F8B" w:rsidP="00D40F8B">
      <w:pPr>
        <w:spacing w:before="120" w:line="276" w:lineRule="auto"/>
        <w:jc w:val="both"/>
        <w:rPr>
          <w:rFonts w:ascii="Arial" w:hAnsi="Arial" w:cs="Arial"/>
          <w:color w:val="000000" w:themeColor="text1"/>
          <w:sz w:val="22"/>
          <w:lang w:val="es-ES_tradnl"/>
        </w:rPr>
      </w:pPr>
    </w:p>
    <w:p w14:paraId="349855C9" w14:textId="61EA81F9" w:rsidR="00D40F8B" w:rsidRPr="00E2398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49730030" w14:textId="1C3177A1" w:rsidR="00DD5B04" w:rsidRDefault="001534D2" w:rsidP="00D40F8B">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lang w:val="es-ES" w:eastAsia="es-ES"/>
        </w:rPr>
        <w:drawing>
          <wp:inline distT="0" distB="0" distL="0" distR="0" wp14:anchorId="30C71B07" wp14:editId="544DD944">
            <wp:extent cx="2781300" cy="990600"/>
            <wp:effectExtent l="0" t="0" r="0" b="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81300" cy="990600"/>
                    </a:xfrm>
                    <a:prstGeom prst="rect">
                      <a:avLst/>
                    </a:prstGeom>
                    <a:noFill/>
                    <a:ln>
                      <a:noFill/>
                    </a:ln>
                  </pic:spPr>
                </pic:pic>
              </a:graphicData>
            </a:graphic>
          </wp:inline>
        </w:drawing>
      </w:r>
    </w:p>
    <w:p w14:paraId="10A1E411" w14:textId="77777777" w:rsidR="00D40F8B" w:rsidRPr="00D40F8B" w:rsidRDefault="00D40F8B" w:rsidP="008462A0">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1534D2" w14:paraId="0C7DC5F7" w14:textId="77777777" w:rsidTr="00D40F8B">
        <w:trPr>
          <w:trHeight w:val="160"/>
        </w:trPr>
        <w:tc>
          <w:tcPr>
            <w:tcW w:w="812" w:type="dxa"/>
            <w:vAlign w:val="center"/>
            <w:hideMark/>
          </w:tcPr>
          <w:p w14:paraId="5BDB1AC9" w14:textId="77777777" w:rsidR="00DD5B04" w:rsidRPr="001534D2" w:rsidRDefault="00DD5B04" w:rsidP="00DF76A2">
            <w:pPr>
              <w:jc w:val="both"/>
              <w:rPr>
                <w:rFonts w:ascii="Arial" w:hAnsi="Arial" w:cs="Arial"/>
                <w:color w:val="000000" w:themeColor="text1"/>
                <w:sz w:val="14"/>
                <w:szCs w:val="14"/>
                <w:lang w:val="es-ES_tradnl" w:eastAsia="es-ES"/>
              </w:rPr>
            </w:pPr>
            <w:r w:rsidRPr="001534D2">
              <w:rPr>
                <w:rFonts w:ascii="Arial" w:hAnsi="Arial" w:cs="Arial"/>
                <w:color w:val="000000" w:themeColor="text1"/>
                <w:sz w:val="14"/>
                <w:szCs w:val="14"/>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1534D2" w:rsidRDefault="00F412DF" w:rsidP="00DF76A2">
            <w:pPr>
              <w:jc w:val="both"/>
              <w:rPr>
                <w:rFonts w:ascii="Arial" w:hAnsi="Arial" w:cs="Arial"/>
                <w:color w:val="000000" w:themeColor="text1"/>
                <w:sz w:val="14"/>
                <w:szCs w:val="14"/>
                <w:lang w:val="es-ES_tradnl" w:eastAsia="es-ES"/>
              </w:rPr>
            </w:pPr>
            <w:r w:rsidRPr="001534D2">
              <w:rPr>
                <w:rFonts w:ascii="Arial" w:hAnsi="Arial" w:cs="Arial"/>
                <w:color w:val="000000" w:themeColor="text1"/>
                <w:sz w:val="14"/>
                <w:szCs w:val="14"/>
                <w:lang w:val="es-ES_tradnl" w:eastAsia="es-ES"/>
              </w:rPr>
              <w:t>Tatiana Baquero Iguarán</w:t>
            </w:r>
          </w:p>
          <w:p w14:paraId="240C71FD" w14:textId="31312C95" w:rsidR="00DD5B04" w:rsidRPr="001534D2" w:rsidRDefault="00DD5B04" w:rsidP="00DF76A2">
            <w:pPr>
              <w:jc w:val="both"/>
              <w:rPr>
                <w:rFonts w:ascii="Arial" w:hAnsi="Arial" w:cs="Arial"/>
                <w:color w:val="000000" w:themeColor="text1"/>
                <w:sz w:val="14"/>
                <w:szCs w:val="14"/>
                <w:lang w:val="es-ES_tradnl" w:eastAsia="es-ES"/>
              </w:rPr>
            </w:pPr>
            <w:r w:rsidRPr="001534D2">
              <w:rPr>
                <w:rFonts w:ascii="Arial" w:hAnsi="Arial" w:cs="Arial"/>
                <w:color w:val="000000" w:themeColor="text1"/>
                <w:sz w:val="14"/>
                <w:szCs w:val="14"/>
                <w:lang w:val="es-ES_tradnl" w:eastAsia="es-ES"/>
              </w:rPr>
              <w:t>Contratista</w:t>
            </w:r>
            <w:r w:rsidR="00FF0050" w:rsidRPr="001534D2">
              <w:rPr>
                <w:rFonts w:ascii="Arial" w:hAnsi="Arial" w:cs="Arial"/>
                <w:color w:val="000000" w:themeColor="text1"/>
                <w:sz w:val="14"/>
                <w:szCs w:val="14"/>
                <w:lang w:val="es-ES_tradnl" w:eastAsia="es-ES"/>
              </w:rPr>
              <w:t xml:space="preserve"> de la </w:t>
            </w:r>
            <w:r w:rsidRPr="001534D2">
              <w:rPr>
                <w:rFonts w:ascii="Arial" w:hAnsi="Arial" w:cs="Arial"/>
                <w:color w:val="000000" w:themeColor="text1"/>
                <w:sz w:val="14"/>
                <w:szCs w:val="14"/>
                <w:lang w:val="es-ES_tradnl" w:eastAsia="es-ES"/>
              </w:rPr>
              <w:t>Subdirección de Gestión Contractual</w:t>
            </w:r>
          </w:p>
        </w:tc>
      </w:tr>
      <w:tr w:rsidR="00DD5B04" w:rsidRPr="001534D2" w14:paraId="2F8FD650" w14:textId="77777777" w:rsidTr="00D15356">
        <w:trPr>
          <w:trHeight w:val="330"/>
        </w:trPr>
        <w:tc>
          <w:tcPr>
            <w:tcW w:w="812" w:type="dxa"/>
            <w:vAlign w:val="center"/>
            <w:hideMark/>
          </w:tcPr>
          <w:p w14:paraId="50203A0B" w14:textId="77777777" w:rsidR="00DD5B04" w:rsidRPr="001534D2" w:rsidRDefault="00DD5B04" w:rsidP="00DF76A2">
            <w:pPr>
              <w:jc w:val="both"/>
              <w:rPr>
                <w:rFonts w:ascii="Arial" w:hAnsi="Arial" w:cs="Arial"/>
                <w:color w:val="000000" w:themeColor="text1"/>
                <w:sz w:val="14"/>
                <w:szCs w:val="14"/>
                <w:lang w:val="es-ES_tradnl" w:eastAsia="es-ES"/>
              </w:rPr>
            </w:pPr>
            <w:r w:rsidRPr="001534D2">
              <w:rPr>
                <w:rFonts w:ascii="Arial" w:hAnsi="Arial" w:cs="Arial"/>
                <w:color w:val="000000" w:themeColor="text1"/>
                <w:sz w:val="14"/>
                <w:szCs w:val="14"/>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EFE0803" w14:textId="77777777" w:rsidR="00F412DF" w:rsidRPr="001534D2" w:rsidRDefault="00F412DF" w:rsidP="00F412DF">
            <w:pPr>
              <w:rPr>
                <w:rFonts w:ascii="Arial" w:hAnsi="Arial" w:cs="Arial"/>
                <w:color w:val="000000" w:themeColor="text1"/>
                <w:sz w:val="14"/>
                <w:szCs w:val="14"/>
                <w:lang w:val="es-ES" w:eastAsia="es-ES"/>
              </w:rPr>
            </w:pPr>
            <w:r w:rsidRPr="001534D2">
              <w:rPr>
                <w:rFonts w:ascii="Arial" w:hAnsi="Arial" w:cs="Arial"/>
                <w:color w:val="000000" w:themeColor="text1"/>
                <w:sz w:val="14"/>
                <w:szCs w:val="14"/>
                <w:lang w:val="es-ES" w:eastAsia="es-ES"/>
              </w:rPr>
              <w:t>Juan David Montoya Penagos</w:t>
            </w:r>
          </w:p>
          <w:p w14:paraId="130B3228" w14:textId="128627BF" w:rsidR="00DD5B04" w:rsidRPr="001534D2" w:rsidRDefault="00F412DF" w:rsidP="00F412DF">
            <w:pPr>
              <w:jc w:val="both"/>
              <w:rPr>
                <w:rFonts w:ascii="Arial" w:hAnsi="Arial" w:cs="Arial"/>
                <w:color w:val="000000" w:themeColor="text1"/>
                <w:sz w:val="14"/>
                <w:szCs w:val="14"/>
                <w:lang w:val="es-ES_tradnl" w:eastAsia="es-ES"/>
              </w:rPr>
            </w:pPr>
            <w:r w:rsidRPr="001534D2">
              <w:rPr>
                <w:rFonts w:ascii="Arial" w:hAnsi="Arial" w:cs="Arial"/>
                <w:color w:val="000000"/>
                <w:sz w:val="14"/>
                <w:szCs w:val="14"/>
                <w:shd w:val="clear" w:color="auto" w:fill="FFFFFF"/>
              </w:rPr>
              <w:t>Gestor T1-15 de la </w:t>
            </w:r>
            <w:r w:rsidRPr="001534D2">
              <w:rPr>
                <w:rFonts w:ascii="Arial" w:hAnsi="Arial" w:cs="Arial"/>
                <w:color w:val="000000" w:themeColor="text1"/>
                <w:sz w:val="14"/>
                <w:szCs w:val="14"/>
                <w:lang w:val="es-ES" w:eastAsia="es-ES"/>
              </w:rPr>
              <w:t>Subdirección de Gestión Contractual</w:t>
            </w:r>
          </w:p>
        </w:tc>
      </w:tr>
      <w:tr w:rsidR="00DD5B04" w:rsidRPr="001534D2" w14:paraId="0FCBCA4A" w14:textId="77777777" w:rsidTr="0011177B">
        <w:trPr>
          <w:trHeight w:val="223"/>
        </w:trPr>
        <w:tc>
          <w:tcPr>
            <w:tcW w:w="812" w:type="dxa"/>
            <w:vAlign w:val="center"/>
            <w:hideMark/>
          </w:tcPr>
          <w:p w14:paraId="3C1D943A" w14:textId="77777777" w:rsidR="00DD5B04" w:rsidRPr="001534D2" w:rsidRDefault="00DD5B04" w:rsidP="00DF76A2">
            <w:pPr>
              <w:jc w:val="both"/>
              <w:rPr>
                <w:rFonts w:ascii="Arial" w:hAnsi="Arial" w:cs="Arial"/>
                <w:color w:val="000000" w:themeColor="text1"/>
                <w:sz w:val="14"/>
                <w:szCs w:val="14"/>
                <w:lang w:val="es-ES_tradnl" w:eastAsia="es-ES"/>
              </w:rPr>
            </w:pPr>
            <w:r w:rsidRPr="001534D2">
              <w:rPr>
                <w:rFonts w:ascii="Arial" w:hAnsi="Arial" w:cs="Arial"/>
                <w:color w:val="000000" w:themeColor="text1"/>
                <w:sz w:val="14"/>
                <w:szCs w:val="14"/>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1534D2" w:rsidRDefault="00C05A61" w:rsidP="00DF76A2">
            <w:pPr>
              <w:jc w:val="both"/>
              <w:rPr>
                <w:rFonts w:ascii="Arial" w:hAnsi="Arial" w:cs="Arial"/>
                <w:color w:val="000000" w:themeColor="text1"/>
                <w:sz w:val="14"/>
                <w:szCs w:val="14"/>
                <w:lang w:val="es-ES_tradnl" w:eastAsia="es-ES"/>
              </w:rPr>
            </w:pPr>
            <w:r w:rsidRPr="001534D2">
              <w:rPr>
                <w:rFonts w:ascii="Arial" w:hAnsi="Arial" w:cs="Arial"/>
                <w:color w:val="000000" w:themeColor="text1"/>
                <w:sz w:val="14"/>
                <w:szCs w:val="14"/>
                <w:lang w:val="es-ES_tradnl" w:eastAsia="es-ES"/>
              </w:rPr>
              <w:t xml:space="preserve">Jorge </w:t>
            </w:r>
            <w:r w:rsidR="00647A36" w:rsidRPr="001534D2">
              <w:rPr>
                <w:rFonts w:ascii="Arial" w:hAnsi="Arial" w:cs="Arial"/>
                <w:color w:val="000000" w:themeColor="text1"/>
                <w:sz w:val="14"/>
                <w:szCs w:val="14"/>
                <w:lang w:val="es-ES_tradnl" w:eastAsia="es-ES"/>
              </w:rPr>
              <w:t xml:space="preserve">Augusto </w:t>
            </w:r>
            <w:r w:rsidRPr="001534D2">
              <w:rPr>
                <w:rFonts w:ascii="Arial" w:hAnsi="Arial" w:cs="Arial"/>
                <w:color w:val="000000" w:themeColor="text1"/>
                <w:sz w:val="14"/>
                <w:szCs w:val="14"/>
                <w:lang w:val="es-ES_tradnl" w:eastAsia="es-ES"/>
              </w:rPr>
              <w:t>Tirado Navarro</w:t>
            </w:r>
          </w:p>
          <w:p w14:paraId="1ADC483B" w14:textId="2EC8CC51" w:rsidR="00DD5B04" w:rsidRPr="001534D2" w:rsidRDefault="00DD5B04" w:rsidP="00DF76A2">
            <w:pPr>
              <w:jc w:val="both"/>
              <w:rPr>
                <w:rFonts w:ascii="Arial" w:hAnsi="Arial" w:cs="Arial"/>
                <w:color w:val="000000" w:themeColor="text1"/>
                <w:sz w:val="14"/>
                <w:szCs w:val="14"/>
                <w:lang w:val="es-ES_tradnl" w:eastAsia="es-ES"/>
              </w:rPr>
            </w:pPr>
            <w:r w:rsidRPr="001534D2">
              <w:rPr>
                <w:rFonts w:ascii="Arial" w:hAnsi="Arial" w:cs="Arial"/>
                <w:color w:val="000000" w:themeColor="text1"/>
                <w:sz w:val="14"/>
                <w:szCs w:val="14"/>
                <w:lang w:val="es-ES_tradnl" w:eastAsia="es-ES"/>
              </w:rPr>
              <w:t>Subdirector de Gestión Contractual</w:t>
            </w:r>
            <w:r w:rsidR="00973AA2" w:rsidRPr="001534D2">
              <w:rPr>
                <w:rFonts w:ascii="Arial" w:hAnsi="Arial" w:cs="Arial"/>
                <w:color w:val="000000" w:themeColor="text1"/>
                <w:sz w:val="14"/>
                <w:szCs w:val="14"/>
                <w:lang w:val="es-ES_tradnl" w:eastAsia="es-ES"/>
              </w:rPr>
              <w:t xml:space="preserve"> </w:t>
            </w:r>
            <w:r w:rsidR="00973AA2" w:rsidRPr="001534D2">
              <w:rPr>
                <w:rFonts w:ascii="Arial" w:hAnsi="Arial" w:cs="Arial"/>
                <w:color w:val="000000" w:themeColor="text1"/>
                <w:sz w:val="14"/>
                <w:szCs w:val="14"/>
                <w:lang w:eastAsia="es-ES"/>
              </w:rPr>
              <w:t>ANCP – CCE</w:t>
            </w:r>
          </w:p>
        </w:tc>
      </w:tr>
    </w:tbl>
    <w:p w14:paraId="35B56F46" w14:textId="77777777" w:rsidR="00746E08" w:rsidRPr="00E23980" w:rsidRDefault="00746E08" w:rsidP="00215B8E">
      <w:pPr>
        <w:jc w:val="both"/>
        <w:rPr>
          <w:rFonts w:ascii="Arial" w:hAnsi="Arial" w:cs="Arial"/>
          <w:lang w:val="es-ES_tradnl"/>
        </w:rPr>
      </w:pPr>
    </w:p>
    <w:sectPr w:rsidR="00746E08" w:rsidRPr="00E2398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E25ACA" w14:textId="77777777" w:rsidR="0058177A" w:rsidRDefault="0058177A">
      <w:r>
        <w:separator/>
      </w:r>
    </w:p>
  </w:endnote>
  <w:endnote w:type="continuationSeparator" w:id="0">
    <w:p w14:paraId="4EB552B1" w14:textId="77777777" w:rsidR="0058177A" w:rsidRDefault="0058177A">
      <w:r>
        <w:continuationSeparator/>
      </w:r>
    </w:p>
  </w:endnote>
  <w:endnote w:type="continuationNotice" w:id="1">
    <w:p w14:paraId="26EF4B1E" w14:textId="77777777" w:rsidR="0058177A" w:rsidRDefault="005817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C36B1" w:rsidRPr="008217B7" w:rsidRDefault="00EC36B1"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A41BA">
      <w:rPr>
        <w:rFonts w:ascii="Arial" w:hAnsi="Arial" w:cs="Arial"/>
        <w:b/>
        <w:bCs/>
        <w:noProof/>
        <w:color w:val="7F7F7F" w:themeColor="text1" w:themeTint="80"/>
        <w:sz w:val="16"/>
        <w:szCs w:val="16"/>
      </w:rPr>
      <w:t>20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A41BA">
      <w:rPr>
        <w:rFonts w:ascii="Arial" w:hAnsi="Arial" w:cs="Arial"/>
        <w:b/>
        <w:bCs/>
        <w:noProof/>
        <w:color w:val="7F7F7F" w:themeColor="text1" w:themeTint="80"/>
        <w:sz w:val="16"/>
        <w:szCs w:val="16"/>
      </w:rPr>
      <w:t>20</w:t>
    </w:r>
    <w:r w:rsidRPr="00084B97">
      <w:rPr>
        <w:rFonts w:ascii="Arial" w:hAnsi="Arial" w:cs="Arial"/>
        <w:b/>
        <w:bCs/>
        <w:color w:val="7F7F7F" w:themeColor="text1" w:themeTint="80"/>
        <w:sz w:val="16"/>
        <w:szCs w:val="16"/>
      </w:rPr>
      <w:fldChar w:fldCharType="end"/>
    </w:r>
  </w:p>
  <w:p w14:paraId="48FC6A04" w14:textId="5FD1A7C9" w:rsidR="00EC36B1" w:rsidRDefault="00EC36B1"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C36B1" w:rsidRDefault="00EC36B1" w:rsidP="007B0854">
    <w:pPr>
      <w:pStyle w:val="Piedepgina"/>
      <w:jc w:val="center"/>
      <w:rPr>
        <w:lang w:val="es-ES"/>
      </w:rPr>
    </w:pPr>
  </w:p>
  <w:p w14:paraId="6C0EFC49" w14:textId="77777777" w:rsidR="00EC36B1" w:rsidRPr="007B0854" w:rsidRDefault="00EC36B1"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489FC" w14:textId="77777777" w:rsidR="0058177A" w:rsidRDefault="0058177A">
      <w:r>
        <w:separator/>
      </w:r>
    </w:p>
  </w:footnote>
  <w:footnote w:type="continuationSeparator" w:id="0">
    <w:p w14:paraId="4001D2D2" w14:textId="77777777" w:rsidR="0058177A" w:rsidRDefault="0058177A">
      <w:r>
        <w:continuationSeparator/>
      </w:r>
    </w:p>
  </w:footnote>
  <w:footnote w:type="continuationNotice" w:id="1">
    <w:p w14:paraId="5664E8EF" w14:textId="77777777" w:rsidR="0058177A" w:rsidRDefault="0058177A"/>
  </w:footnote>
  <w:footnote w:id="2">
    <w:p w14:paraId="545F922D" w14:textId="4A86AA48" w:rsidR="003F63EE" w:rsidRDefault="003F63EE" w:rsidP="003F63EE">
      <w:pPr>
        <w:pStyle w:val="Textonotapie"/>
        <w:ind w:firstLine="709"/>
        <w:jc w:val="both"/>
      </w:pPr>
      <w:r>
        <w:rPr>
          <w:rStyle w:val="Refdenotaalpie"/>
        </w:rPr>
        <w:footnoteRef/>
      </w:r>
      <w:r>
        <w:t xml:space="preserve"> </w:t>
      </w:r>
      <w:r>
        <w:rPr>
          <w:rFonts w:ascii="Arial" w:hAnsi="Arial" w:cs="Arial"/>
          <w:sz w:val="19"/>
          <w:szCs w:val="19"/>
          <w:lang w:val="es-ES"/>
        </w:rPr>
        <w:t>Sobre el particular</w:t>
      </w:r>
      <w:r w:rsidRPr="00C44E61">
        <w:rPr>
          <w:rFonts w:ascii="Arial" w:hAnsi="Arial" w:cs="Arial"/>
          <w:sz w:val="19"/>
          <w:szCs w:val="19"/>
          <w:lang w:val="es-ES"/>
        </w:rPr>
        <w:t>, se puede consultar la Gaceta 158 del cuarto deba</w:t>
      </w:r>
      <w:r>
        <w:rPr>
          <w:rFonts w:ascii="Arial" w:hAnsi="Arial" w:cs="Arial"/>
          <w:sz w:val="19"/>
          <w:szCs w:val="19"/>
          <w:lang w:val="es-ES"/>
        </w:rPr>
        <w:t xml:space="preserve">te en el Senado. Disponible en: </w:t>
      </w:r>
      <w:hyperlink r:id="rId1" w:history="1">
        <w:r w:rsidRPr="00C44E61">
          <w:rPr>
            <w:rFonts w:ascii="Arial" w:hAnsi="Arial" w:cs="Arial"/>
            <w:sz w:val="19"/>
            <w:szCs w:val="19"/>
            <w:lang w:val="es-ES"/>
          </w:rPr>
          <w:t>http://svrpubindc.imprenta.gov.co/senado/index.xhtml;jsessionid=b3ba7213a248bacd37376ffcedca</w:t>
        </w:r>
      </w:hyperlink>
      <w:r w:rsidR="002B17AD">
        <w:rPr>
          <w:rFonts w:ascii="Arial" w:hAnsi="Arial" w:cs="Arial"/>
          <w:sz w:val="19"/>
          <w:szCs w:val="19"/>
          <w:lang w:val="es-ES"/>
        </w:rPr>
        <w:t xml:space="preserve">  </w:t>
      </w:r>
      <w:r w:rsidRPr="00C44E61">
        <w:t xml:space="preserve"> </w:t>
      </w:r>
    </w:p>
    <w:p w14:paraId="7177A302" w14:textId="77777777" w:rsidR="003F63EE" w:rsidRPr="00C44E61" w:rsidRDefault="003F63EE" w:rsidP="003F63EE">
      <w:pPr>
        <w:pStyle w:val="Textonotapie"/>
        <w:ind w:firstLine="709"/>
        <w:rPr>
          <w:lang w:val="es-CO"/>
        </w:rPr>
      </w:pPr>
    </w:p>
  </w:footnote>
  <w:footnote w:id="3">
    <w:p w14:paraId="15B57BB1" w14:textId="77777777" w:rsidR="003F63EE" w:rsidRPr="00AB3BAD" w:rsidRDefault="003F63EE" w:rsidP="003F63EE">
      <w:pPr>
        <w:pStyle w:val="Textonotapie"/>
        <w:ind w:firstLine="709"/>
        <w:jc w:val="both"/>
        <w:rPr>
          <w:rFonts w:ascii="Arial" w:hAnsi="Arial" w:cs="Arial"/>
          <w:sz w:val="19"/>
          <w:szCs w:val="19"/>
          <w:lang w:val="es-ES"/>
        </w:rPr>
      </w:pPr>
      <w:r>
        <w:rPr>
          <w:rStyle w:val="Refdenotaalpie"/>
        </w:rPr>
        <w:footnoteRef/>
      </w:r>
      <w:r>
        <w:t xml:space="preserve"> </w:t>
      </w:r>
      <w:r w:rsidRPr="00AB3BAD">
        <w:rPr>
          <w:rFonts w:ascii="Arial" w:hAnsi="Arial" w:cs="Arial"/>
          <w:sz w:val="19"/>
          <w:szCs w:val="19"/>
          <w:lang w:val="es-ES"/>
        </w:rPr>
        <w:t>Dicho artículo establece: «Créese el Registro Nacional de Obras Civiles Inconclusas, bajo la dirección y coordinación de la Dirección de Información, Análisis y Reacción Inmediata de la Contraloría General de la República, el cual contendrá el inventario actualizado de obras civiles inconclusas y estará compuesto por la información reportada por las entidades estatales del orden nacional, departamental, municipal, distrital y demás órdenes institucionales, sobre las obras civiles inconclusas de su jurisdicción, o la información obtenida por la Contraloría General de la República sobre el particular.</w:t>
      </w:r>
    </w:p>
    <w:p w14:paraId="6E56E16E" w14:textId="77777777" w:rsidR="003F63EE" w:rsidRPr="0031232F" w:rsidRDefault="003F63EE" w:rsidP="003F63EE">
      <w:pPr>
        <w:pStyle w:val="Textonotapie"/>
        <w:ind w:firstLine="709"/>
        <w:jc w:val="both"/>
        <w:rPr>
          <w:rFonts w:ascii="Arial" w:hAnsi="Arial" w:cs="Arial"/>
          <w:sz w:val="19"/>
          <w:szCs w:val="19"/>
          <w:lang w:val="es-ES"/>
        </w:rPr>
      </w:pPr>
      <w:proofErr w:type="gramStart"/>
      <w:r w:rsidRPr="00AB3BAD">
        <w:rPr>
          <w:rFonts w:ascii="Arial" w:hAnsi="Arial" w:cs="Arial"/>
          <w:sz w:val="19"/>
          <w:szCs w:val="19"/>
          <w:lang w:val="es-ES"/>
        </w:rPr>
        <w:t>»La</w:t>
      </w:r>
      <w:proofErr w:type="gramEnd"/>
      <w:r w:rsidRPr="00AB3BAD">
        <w:rPr>
          <w:rFonts w:ascii="Arial" w:hAnsi="Arial" w:cs="Arial"/>
          <w:sz w:val="19"/>
          <w:szCs w:val="19"/>
          <w:lang w:val="es-ES"/>
        </w:rPr>
        <w:t xml:space="preserve"> Contraloría General de la República y las entidades estatales deberán realizar el seguimiento y actualización del Registro Nacional de Obras Civiles Inconclusas con el fin de establecer la realidad respecto de la condición técnica, física y financiera de aquellas. </w:t>
      </w:r>
      <w:r>
        <w:rPr>
          <w:rFonts w:ascii="Arial" w:hAnsi="Arial" w:cs="Arial"/>
          <w:sz w:val="19"/>
          <w:szCs w:val="19"/>
          <w:lang w:val="es-ES"/>
        </w:rPr>
        <w:t>[…]</w:t>
      </w:r>
      <w:r w:rsidRPr="00AB3BAD">
        <w:rPr>
          <w:rFonts w:ascii="Arial" w:hAnsi="Arial" w:cs="Arial"/>
          <w:sz w:val="19"/>
          <w:szCs w:val="19"/>
          <w:lang w:val="es-ES"/>
        </w:rPr>
        <w:t>».</w:t>
      </w:r>
    </w:p>
  </w:footnote>
  <w:footnote w:id="4">
    <w:p w14:paraId="7A70B2D5" w14:textId="5933E695" w:rsidR="003F63EE" w:rsidRPr="00044498" w:rsidRDefault="003F63EE" w:rsidP="003F63EE">
      <w:pPr>
        <w:pStyle w:val="Textonotapie"/>
        <w:ind w:firstLine="709"/>
        <w:jc w:val="both"/>
        <w:rPr>
          <w:rFonts w:ascii="Arial" w:hAnsi="Arial" w:cs="Arial"/>
          <w:sz w:val="19"/>
          <w:szCs w:val="19"/>
          <w:lang w:val="es-ES"/>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AB3BAD">
        <w:rPr>
          <w:rFonts w:ascii="Arial" w:hAnsi="Arial" w:cs="Arial"/>
          <w:sz w:val="19"/>
          <w:szCs w:val="19"/>
          <w:lang w:val="es-ES"/>
        </w:rPr>
        <w:t xml:space="preserve">Sobre la competencia de la Contraloría General de la República respecto de la administración del Registro Nacional de Obras Civiles Inconclusas, puede consultarse la circular con radicado No. 2020EE0096013 del 28 de agosto de 2020, en el siguiente enlace: </w:t>
      </w:r>
      <w:hyperlink r:id="rId2" w:history="1">
        <w:r w:rsidR="004A4241" w:rsidRPr="00044498">
          <w:rPr>
            <w:rStyle w:val="Hipervnculo"/>
            <w:rFonts w:ascii="Arial" w:hAnsi="Arial" w:cs="Arial"/>
            <w:color w:val="auto"/>
            <w:sz w:val="19"/>
            <w:szCs w:val="19"/>
            <w:lang w:val="es-ES"/>
          </w:rPr>
          <w:t>https://www.contraloria.gov.co/documents/20181/1776254/CIRCULAR_2020EE0096013_REGISTRO_NACIONAL_OBRAS_INCONCLUSAS.PDF/785952d4-4b41-48cb-916b-4881c3b4a095</w:t>
        </w:r>
      </w:hyperlink>
    </w:p>
    <w:p w14:paraId="25AF1AE1" w14:textId="77777777" w:rsidR="004A4241" w:rsidRPr="00AB3BAD" w:rsidRDefault="004A4241" w:rsidP="003F63EE">
      <w:pPr>
        <w:pStyle w:val="Textonotapie"/>
        <w:ind w:firstLine="709"/>
        <w:jc w:val="both"/>
        <w:rPr>
          <w:rFonts w:ascii="Arial" w:hAnsi="Arial" w:cs="Arial"/>
          <w:sz w:val="19"/>
          <w:szCs w:val="19"/>
          <w:lang w:val="es-ES"/>
        </w:rPr>
      </w:pPr>
    </w:p>
  </w:footnote>
  <w:footnote w:id="5">
    <w:p w14:paraId="30B5FAEA" w14:textId="77777777" w:rsidR="006D05C0" w:rsidRPr="00EE46A2" w:rsidRDefault="006D05C0" w:rsidP="006D05C0">
      <w:pPr>
        <w:pStyle w:val="Textonotapie"/>
        <w:ind w:firstLine="709"/>
        <w:jc w:val="both"/>
        <w:rPr>
          <w:rFonts w:ascii="Arial" w:eastAsia="Calibri" w:hAnsi="Arial" w:cs="Arial"/>
          <w:color w:val="000000"/>
          <w:sz w:val="19"/>
          <w:szCs w:val="19"/>
          <w:lang w:val="es-ES_tradnl" w:eastAsia="en-GB"/>
        </w:rPr>
      </w:pPr>
      <w:r>
        <w:rPr>
          <w:rStyle w:val="Refdenotaalpie"/>
        </w:rPr>
        <w:footnoteRef/>
      </w:r>
      <w:r>
        <w:t xml:space="preserve"> </w:t>
      </w:r>
      <w:r w:rsidRPr="00EE46A2">
        <w:rPr>
          <w:rFonts w:ascii="Arial" w:hAnsi="Arial" w:cs="Arial"/>
          <w:sz w:val="19"/>
          <w:szCs w:val="19"/>
          <w:lang w:val="es-CO"/>
        </w:rPr>
        <w:t xml:space="preserve">Al respecto, el parágrafo 3 </w:t>
      </w:r>
      <w:r w:rsidRPr="00EE46A2">
        <w:rPr>
          <w:rFonts w:ascii="Arial" w:eastAsia="Calibri" w:hAnsi="Arial" w:cs="Arial"/>
          <w:color w:val="000000"/>
          <w:sz w:val="19"/>
          <w:szCs w:val="19"/>
          <w:lang w:val="es-ES_tradnl" w:eastAsia="en-GB"/>
        </w:rPr>
        <w:t>del artículo 3 de la Ley 2020 de 2020 establece lo siguiente:</w:t>
      </w:r>
      <w:r>
        <w:rPr>
          <w:rFonts w:ascii="Arial" w:eastAsia="Calibri" w:hAnsi="Arial" w:cs="Arial"/>
          <w:color w:val="000000"/>
          <w:sz w:val="22"/>
          <w:lang w:val="es-ES_tradnl" w:eastAsia="en-GB"/>
        </w:rPr>
        <w:t xml:space="preserve"> </w:t>
      </w:r>
      <w:r w:rsidRPr="00AB3BAD">
        <w:rPr>
          <w:rFonts w:ascii="Arial" w:hAnsi="Arial" w:cs="Arial"/>
          <w:sz w:val="19"/>
          <w:szCs w:val="19"/>
          <w:lang w:val="es-ES"/>
        </w:rPr>
        <w:t>«</w:t>
      </w:r>
      <w:r w:rsidRPr="00EE46A2">
        <w:rPr>
          <w:rFonts w:ascii="Arial" w:eastAsia="Calibri" w:hAnsi="Arial" w:cs="Arial"/>
          <w:color w:val="000000"/>
          <w:sz w:val="19"/>
          <w:szCs w:val="19"/>
          <w:lang w:val="es-ES_tradnl" w:eastAsia="en-GB"/>
        </w:rPr>
        <w:t>PARÁGRAFO 3°. Las entidades estatales deberán garantizar la actualización permanente del Registro Nacional de Obras Civiles Inconclusas, en los términos y condiciones que al respecto establezca la Contraloría General de la República, a través de la Dirección de Información, Análisis y Reacción Inmediata.</w:t>
      </w:r>
    </w:p>
    <w:p w14:paraId="5067BAC0" w14:textId="77777777" w:rsidR="006D05C0" w:rsidRPr="00EE46A2" w:rsidRDefault="006D05C0" w:rsidP="006D05C0">
      <w:pPr>
        <w:pStyle w:val="Textonotapie"/>
        <w:ind w:firstLine="709"/>
        <w:jc w:val="both"/>
        <w:rPr>
          <w:lang w:val="es-CO"/>
        </w:rPr>
      </w:pPr>
      <w:r w:rsidRPr="00AB3BAD">
        <w:rPr>
          <w:rFonts w:ascii="Arial" w:hAnsi="Arial" w:cs="Arial"/>
          <w:sz w:val="19"/>
          <w:szCs w:val="19"/>
          <w:lang w:val="es-ES"/>
        </w:rPr>
        <w:t>«</w:t>
      </w:r>
      <w:r w:rsidRPr="00EE46A2">
        <w:rPr>
          <w:rFonts w:ascii="Arial" w:eastAsia="Calibri" w:hAnsi="Arial" w:cs="Arial"/>
          <w:color w:val="000000"/>
          <w:sz w:val="19"/>
          <w:szCs w:val="19"/>
          <w:lang w:val="es-ES_tradnl" w:eastAsia="en-GB"/>
        </w:rPr>
        <w:t>Así mismo, las entidades estatales deben garantizar el acceso y suministro de la información en tiempo real, sobre la ejecución de los proyectos o contratos de obras civiles. Para tales efectos, podrán exigir las condiciones necesarias a sus futuros contratistas.</w:t>
      </w:r>
      <w:r w:rsidRPr="00AB3BAD">
        <w:rPr>
          <w:rFonts w:ascii="Arial" w:hAnsi="Arial" w:cs="Arial"/>
          <w:sz w:val="19"/>
          <w:szCs w:val="19"/>
          <w:lang w:val="es-ES"/>
        </w:rPr>
        <w:t>»</w:t>
      </w:r>
    </w:p>
  </w:footnote>
  <w:footnote w:id="6">
    <w:p w14:paraId="50898B9D" w14:textId="77777777" w:rsidR="003F63EE" w:rsidRDefault="003F63EE" w:rsidP="003F63EE">
      <w:pPr>
        <w:pStyle w:val="Textonotapie"/>
        <w:jc w:val="both"/>
        <w:rPr>
          <w:rFonts w:ascii="Arial" w:hAnsi="Arial" w:cs="Arial"/>
          <w:sz w:val="19"/>
          <w:szCs w:val="19"/>
        </w:rPr>
      </w:pPr>
    </w:p>
    <w:p w14:paraId="47BDF827" w14:textId="77777777" w:rsidR="003F63EE" w:rsidRDefault="003F63EE" w:rsidP="003F63EE">
      <w:pPr>
        <w:pStyle w:val="Textonotapie"/>
        <w:ind w:firstLine="709"/>
        <w:jc w:val="both"/>
        <w:rPr>
          <w:rFonts w:ascii="Arial" w:hAnsi="Arial" w:cs="Arial"/>
          <w:sz w:val="19"/>
          <w:szCs w:val="19"/>
          <w:lang w:val="es-ES"/>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AB3BAD">
        <w:rPr>
          <w:rFonts w:ascii="Arial" w:hAnsi="Arial" w:cs="Arial"/>
          <w:sz w:val="19"/>
          <w:szCs w:val="19"/>
          <w:lang w:val="es-ES"/>
        </w:rPr>
        <w:t>Exposición de motivos del Proyecto de Ley No. 025 de 2018 Cámara. Disponible en: http://leyes.senado.gov.co/proyectos/images/documentos/Textos%20Radicados/Ponencias/2018/gaceta_563.pdf</w:t>
      </w:r>
    </w:p>
    <w:p w14:paraId="5DE5BC25" w14:textId="77777777" w:rsidR="003F63EE" w:rsidRPr="00AB3BAD" w:rsidRDefault="003F63EE" w:rsidP="003F63EE">
      <w:pPr>
        <w:pStyle w:val="Textonotapie"/>
        <w:ind w:firstLine="709"/>
        <w:jc w:val="both"/>
        <w:rPr>
          <w:rFonts w:ascii="Arial" w:hAnsi="Arial" w:cs="Arial"/>
          <w:sz w:val="19"/>
          <w:szCs w:val="19"/>
          <w:lang w:val="es-ES"/>
        </w:rPr>
      </w:pPr>
    </w:p>
  </w:footnote>
  <w:footnote w:id="7">
    <w:p w14:paraId="516FB853" w14:textId="77777777" w:rsidR="003F63EE" w:rsidRDefault="003F63EE" w:rsidP="003F63EE">
      <w:pPr>
        <w:pStyle w:val="Textonotapie"/>
        <w:ind w:firstLine="709"/>
        <w:jc w:val="both"/>
        <w:rPr>
          <w:rFonts w:ascii="Arial" w:hAnsi="Arial" w:cs="Arial"/>
          <w:sz w:val="19"/>
          <w:szCs w:val="19"/>
          <w:lang w:val="es-ES"/>
        </w:rPr>
      </w:pPr>
      <w:r>
        <w:rPr>
          <w:rStyle w:val="Refdenotaalpie"/>
        </w:rPr>
        <w:footnoteRef/>
      </w:r>
      <w:r>
        <w:t xml:space="preserve"> </w:t>
      </w:r>
      <w:r w:rsidRPr="00AB3BAD">
        <w:rPr>
          <w:rFonts w:ascii="Arial" w:hAnsi="Arial" w:cs="Arial"/>
          <w:sz w:val="19"/>
          <w:szCs w:val="19"/>
          <w:lang w:val="es-ES"/>
        </w:rPr>
        <w:t>«</w:t>
      </w:r>
      <w:r w:rsidRPr="00F8415D">
        <w:rPr>
          <w:rFonts w:ascii="Arial" w:hAnsi="Arial" w:cs="Arial"/>
          <w:sz w:val="19"/>
          <w:szCs w:val="19"/>
          <w:lang w:val="es-ES"/>
        </w:rPr>
        <w:t xml:space="preserve">Artículo 11. Planeación. La secretaría, departamento u oficina de planeación o quien haga sus veces podrá presentar en el plan nacional, departamental, distrital o municipal de desarrollo, según sea el caso, una estrategia o medida de atención para determinar la intervención física de terminación o demolición de aquellas obras que figuren en el Registro Nacional de Obras Civiles Inconclusas durante la vigencia del plan, dando énfasis a las obras que más tiempo llevan en el informe sin ser intervenidas, de acuerdo a la disponibilidad de recursos </w:t>
      </w:r>
      <w:r>
        <w:rPr>
          <w:rFonts w:ascii="Arial" w:hAnsi="Arial" w:cs="Arial"/>
          <w:sz w:val="19"/>
          <w:szCs w:val="19"/>
          <w:lang w:val="es-ES"/>
        </w:rPr>
        <w:t>con que cuente en cada vigencia</w:t>
      </w:r>
      <w:r w:rsidRPr="00AB3BAD">
        <w:rPr>
          <w:rFonts w:ascii="Arial" w:hAnsi="Arial" w:cs="Arial"/>
          <w:sz w:val="19"/>
          <w:szCs w:val="19"/>
          <w:lang w:val="es-ES"/>
        </w:rPr>
        <w:t>»</w:t>
      </w:r>
      <w:r>
        <w:rPr>
          <w:rFonts w:ascii="Arial" w:hAnsi="Arial" w:cs="Arial"/>
          <w:sz w:val="19"/>
          <w:szCs w:val="19"/>
          <w:lang w:val="es-ES"/>
        </w:rPr>
        <w:t>.</w:t>
      </w:r>
    </w:p>
    <w:p w14:paraId="45FF1CAC" w14:textId="77777777" w:rsidR="003F63EE" w:rsidRPr="00F8415D" w:rsidRDefault="003F63EE" w:rsidP="003F63EE">
      <w:pPr>
        <w:pStyle w:val="Textonotapie"/>
        <w:ind w:firstLine="709"/>
        <w:jc w:val="both"/>
        <w:rPr>
          <w:lang w:val="es-CO"/>
        </w:rPr>
      </w:pPr>
    </w:p>
  </w:footnote>
  <w:footnote w:id="8">
    <w:p w14:paraId="66FBC820" w14:textId="77777777" w:rsidR="003F63EE" w:rsidRPr="004347DA" w:rsidRDefault="003F63EE" w:rsidP="003F63EE">
      <w:pPr>
        <w:pStyle w:val="Textonotapie"/>
        <w:ind w:firstLine="709"/>
        <w:jc w:val="both"/>
        <w:rPr>
          <w:lang w:val="es-CO"/>
        </w:rPr>
      </w:pPr>
      <w:r>
        <w:rPr>
          <w:rStyle w:val="Refdenotaalpie"/>
        </w:rPr>
        <w:footnoteRef/>
      </w:r>
      <w:r>
        <w:t xml:space="preserve"> </w:t>
      </w:r>
      <w:r w:rsidRPr="00AB3BAD">
        <w:rPr>
          <w:rFonts w:ascii="Arial" w:hAnsi="Arial" w:cs="Arial"/>
          <w:sz w:val="19"/>
          <w:szCs w:val="19"/>
          <w:lang w:val="es-ES"/>
        </w:rPr>
        <w:t>«</w:t>
      </w:r>
      <w:r>
        <w:rPr>
          <w:rFonts w:ascii="Arial" w:hAnsi="Arial" w:cs="Arial"/>
          <w:sz w:val="19"/>
          <w:szCs w:val="19"/>
          <w:lang w:val="es-ES"/>
        </w:rPr>
        <w:t>Artículo 9. Responsables.</w:t>
      </w:r>
      <w:r w:rsidRPr="000F2739">
        <w:rPr>
          <w:rFonts w:ascii="Arial" w:hAnsi="Arial" w:cs="Arial"/>
          <w:sz w:val="19"/>
          <w:szCs w:val="19"/>
          <w:lang w:val="es-ES"/>
        </w:rPr>
        <w:t xml:space="preserve"> Los responsables de hacer el inventario de obras </w:t>
      </w:r>
      <w:proofErr w:type="gramStart"/>
      <w:r w:rsidRPr="000F2739">
        <w:rPr>
          <w:rFonts w:ascii="Arial" w:hAnsi="Arial" w:cs="Arial"/>
          <w:sz w:val="19"/>
          <w:szCs w:val="19"/>
          <w:lang w:val="es-ES"/>
        </w:rPr>
        <w:t>inconclusas,</w:t>
      </w:r>
      <w:proofErr w:type="gramEnd"/>
      <w:r w:rsidRPr="000F2739">
        <w:rPr>
          <w:rFonts w:ascii="Arial" w:hAnsi="Arial" w:cs="Arial"/>
          <w:sz w:val="19"/>
          <w:szCs w:val="19"/>
          <w:lang w:val="es-ES"/>
        </w:rPr>
        <w:t xml:space="preserve"> serán los ministros, gerentes, presidentes, directores, superintendentes, gobernadores, alcaldes, y demás representantes legales de entidades estatales, en cualquiera de sus esferas nacionales o territoriales, y los demás ordenadores del gasto de quien dependa la toma</w:t>
      </w:r>
      <w:r>
        <w:rPr>
          <w:rFonts w:ascii="Arial" w:hAnsi="Arial" w:cs="Arial"/>
          <w:sz w:val="19"/>
          <w:szCs w:val="19"/>
          <w:lang w:val="es-ES"/>
        </w:rPr>
        <w:t xml:space="preserve"> de decisiones sobre la materia</w:t>
      </w:r>
      <w:r w:rsidRPr="00AB3BAD">
        <w:rPr>
          <w:rFonts w:ascii="Arial" w:hAnsi="Arial" w:cs="Arial"/>
          <w:sz w:val="19"/>
          <w:szCs w:val="19"/>
          <w:lang w:val="es-ES"/>
        </w:rPr>
        <w:t>»</w:t>
      </w:r>
      <w:r>
        <w:rPr>
          <w:rFonts w:ascii="Arial" w:hAnsi="Arial" w:cs="Arial"/>
          <w:sz w:val="19"/>
          <w:szCs w:val="19"/>
          <w:lang w:val="es-ES"/>
        </w:rPr>
        <w:t>.</w:t>
      </w:r>
    </w:p>
  </w:footnote>
  <w:footnote w:id="9">
    <w:p w14:paraId="19815BFB" w14:textId="77777777" w:rsidR="00466861" w:rsidRDefault="00466861" w:rsidP="00466861">
      <w:pPr>
        <w:pStyle w:val="Textonotapie"/>
        <w:ind w:firstLine="709"/>
        <w:jc w:val="both"/>
        <w:rPr>
          <w:rFonts w:ascii="Arial" w:hAnsi="Arial" w:cs="Arial"/>
          <w:color w:val="000000" w:themeColor="text1"/>
          <w:sz w:val="19"/>
          <w:szCs w:val="19"/>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AB3BAD">
        <w:rPr>
          <w:rFonts w:ascii="Arial" w:hAnsi="Arial" w:cs="Arial"/>
          <w:color w:val="000000" w:themeColor="text1"/>
          <w:sz w:val="19"/>
          <w:szCs w:val="19"/>
          <w:lang w:eastAsia="es-CO"/>
        </w:rPr>
        <w:t>Ley 1437 de 2011:</w:t>
      </w:r>
      <w:r w:rsidRPr="00AB3BAD">
        <w:rPr>
          <w:rFonts w:ascii="Arial" w:hAnsi="Arial" w:cs="Arial"/>
          <w:color w:val="000000" w:themeColor="text1"/>
          <w:sz w:val="19"/>
          <w:szCs w:val="19"/>
        </w:rPr>
        <w:t xml:space="preserve"> «Artículo 44. Decisiones discrecionales. En la medida en que el contenido de una decisión de carácter general o particular sea discrecional, debe ser adecuada a los fines de la norma que la autoriza, y proporcional a los hechos que le sirven de causa</w:t>
      </w:r>
      <w:r w:rsidRPr="00AB3BAD">
        <w:rPr>
          <w:rFonts w:ascii="Arial" w:hAnsi="Arial" w:cs="Arial"/>
          <w:color w:val="000000" w:themeColor="text1"/>
          <w:sz w:val="19"/>
          <w:szCs w:val="19"/>
          <w:lang w:eastAsia="es-CO"/>
        </w:rPr>
        <w:t>»</w:t>
      </w:r>
      <w:r w:rsidRPr="00AB3BAD">
        <w:rPr>
          <w:rFonts w:ascii="Arial" w:hAnsi="Arial" w:cs="Arial"/>
          <w:color w:val="000000" w:themeColor="text1"/>
          <w:sz w:val="19"/>
          <w:szCs w:val="19"/>
        </w:rPr>
        <w:t>.</w:t>
      </w:r>
    </w:p>
    <w:p w14:paraId="12B2685B" w14:textId="77777777" w:rsidR="00466861" w:rsidRPr="00AB3BAD" w:rsidRDefault="00466861" w:rsidP="00466861">
      <w:pPr>
        <w:pStyle w:val="Textonotapie"/>
        <w:ind w:firstLine="709"/>
        <w:jc w:val="both"/>
        <w:rPr>
          <w:rFonts w:ascii="Arial" w:hAnsi="Arial" w:cs="Arial"/>
          <w:sz w:val="19"/>
          <w:szCs w:val="19"/>
          <w:lang w:val="es-ES"/>
        </w:rPr>
      </w:pPr>
    </w:p>
  </w:footnote>
  <w:footnote w:id="10">
    <w:p w14:paraId="615A1910" w14:textId="77777777" w:rsidR="00466861" w:rsidRPr="00AB3BAD" w:rsidRDefault="00466861" w:rsidP="00466861">
      <w:pPr>
        <w:pStyle w:val="Textonotapie"/>
        <w:ind w:firstLine="709"/>
        <w:jc w:val="both"/>
        <w:rPr>
          <w:rFonts w:ascii="Arial" w:hAnsi="Arial" w:cs="Arial"/>
          <w:color w:val="000000" w:themeColor="text1"/>
          <w:sz w:val="19"/>
          <w:szCs w:val="19"/>
          <w:lang w:val="es-ES"/>
        </w:rPr>
      </w:pPr>
      <w:r w:rsidRPr="00AB3BAD">
        <w:rPr>
          <w:rStyle w:val="Refdenotaalpie"/>
          <w:rFonts w:ascii="Arial" w:hAnsi="Arial" w:cs="Arial"/>
          <w:color w:val="000000" w:themeColor="text1"/>
          <w:sz w:val="19"/>
          <w:szCs w:val="19"/>
        </w:rPr>
        <w:footnoteRef/>
      </w:r>
      <w:r w:rsidRPr="00AB3BAD">
        <w:rPr>
          <w:rFonts w:ascii="Arial" w:hAnsi="Arial" w:cs="Arial"/>
          <w:color w:val="000000" w:themeColor="text1"/>
          <w:sz w:val="19"/>
          <w:szCs w:val="19"/>
        </w:rPr>
        <w:t xml:space="preserve"> </w:t>
      </w:r>
      <w:r w:rsidRPr="00AB3BAD">
        <w:rPr>
          <w:rFonts w:ascii="Arial" w:hAnsi="Arial" w:cs="Arial"/>
          <w:color w:val="000000" w:themeColor="text1"/>
          <w:sz w:val="19"/>
          <w:szCs w:val="19"/>
          <w:lang w:val="es-ES"/>
        </w:rPr>
        <w:t xml:space="preserve">Principio que se compone a su vez de «tres subprincipios, etapas o mandatos parciales: el </w:t>
      </w:r>
      <w:r w:rsidRPr="00AB3BAD">
        <w:rPr>
          <w:rFonts w:ascii="Arial" w:hAnsi="Arial" w:cs="Arial"/>
          <w:i/>
          <w:iCs/>
          <w:color w:val="000000" w:themeColor="text1"/>
          <w:sz w:val="19"/>
          <w:szCs w:val="19"/>
          <w:lang w:val="es-ES"/>
        </w:rPr>
        <w:t>subprincipio o mandato de adecuación, de idoneidad o de congruencia</w:t>
      </w:r>
      <w:r w:rsidRPr="00AB3BAD">
        <w:rPr>
          <w:rFonts w:ascii="Arial" w:hAnsi="Arial" w:cs="Arial"/>
          <w:color w:val="000000" w:themeColor="text1"/>
          <w:sz w:val="19"/>
          <w:szCs w:val="19"/>
          <w:lang w:val="es-ES"/>
        </w:rPr>
        <w:t xml:space="preserve">, por virtud del cual la medida limitadora de los derechos o intereses del administrado debe ser útil, apropiada o idónea para obtener el fin buscado, esto es, que el abanico de posibles medidas que ha de adoptar la Administración se limita a las que resulten congruentes con el entramado fáctico del caso y aptas para la consecución del cometido fijado por el ordenamiento jurídico al atribuir la potestad correspondiente a la Administración; el </w:t>
      </w:r>
      <w:r w:rsidRPr="00AB3BAD">
        <w:rPr>
          <w:rFonts w:ascii="Arial" w:hAnsi="Arial" w:cs="Arial"/>
          <w:i/>
          <w:iCs/>
          <w:color w:val="000000" w:themeColor="text1"/>
          <w:sz w:val="19"/>
          <w:szCs w:val="19"/>
          <w:lang w:val="es-ES"/>
        </w:rPr>
        <w:t>subprincipio o mandato de necesidad, intervención mínima o menor lesividad</w:t>
      </w:r>
      <w:r w:rsidRPr="00AB3BAD">
        <w:rPr>
          <w:rFonts w:ascii="Arial" w:hAnsi="Arial" w:cs="Arial"/>
          <w:color w:val="000000" w:themeColor="text1"/>
          <w:sz w:val="19"/>
          <w:szCs w:val="19"/>
          <w:lang w:val="es-ES"/>
        </w:rPr>
        <w:t xml:space="preserve">, de acuerdo con el cual la adopción de la medida elegida debe ser indispensable, dada la inexistencia de una alternativa distinta que sea tan eficaz para satisfacer el fin de interés público al cual apunta, pero menos limitativa del otro u otros principios, derechos o intereses en tensión; y en tercer lugar, </w:t>
      </w:r>
      <w:r w:rsidRPr="00AB3BAD">
        <w:rPr>
          <w:rFonts w:ascii="Arial" w:hAnsi="Arial" w:cs="Arial"/>
          <w:i/>
          <w:iCs/>
          <w:color w:val="000000" w:themeColor="text1"/>
          <w:sz w:val="19"/>
          <w:szCs w:val="19"/>
          <w:lang w:val="es-ES"/>
        </w:rPr>
        <w:t>el subprincipio o mandato de proporcionalidad en sentido estricto</w:t>
      </w:r>
      <w:r w:rsidRPr="00AB3BAD">
        <w:rPr>
          <w:rFonts w:ascii="Arial" w:hAnsi="Arial" w:cs="Arial"/>
          <w:color w:val="000000" w:themeColor="text1"/>
          <w:sz w:val="19"/>
          <w:szCs w:val="19"/>
          <w:lang w:val="es-ES"/>
        </w:rPr>
        <w:t>, de acuerdo con el cual debe producirse un equilibrio entre el perjuicio irrogado al derecho o interés que se limita y el beneficio que de ello se deriva para el bien jurídico que la medida prohíja» (MARÍN HERNÁNDEZ, Hugo Alberto. El principio de proporcionalidad en el derecho administrativo colombiano. Bogotá: Universidad Externado de Colombia, 2018. p. 34).</w:t>
      </w:r>
    </w:p>
    <w:p w14:paraId="588068E2" w14:textId="77777777" w:rsidR="00466861" w:rsidRPr="00AB3BAD" w:rsidRDefault="00466861" w:rsidP="00466861">
      <w:pPr>
        <w:pStyle w:val="Textonotapie"/>
        <w:ind w:firstLine="709"/>
        <w:jc w:val="both"/>
        <w:rPr>
          <w:rFonts w:ascii="Arial" w:hAnsi="Arial" w:cs="Arial"/>
          <w:color w:val="000000" w:themeColor="text1"/>
          <w:sz w:val="19"/>
          <w:szCs w:val="19"/>
          <w:lang w:val="es-ES"/>
        </w:rPr>
      </w:pPr>
    </w:p>
  </w:footnote>
  <w:footnote w:id="11">
    <w:p w14:paraId="5144796C" w14:textId="32289649" w:rsidR="00466861" w:rsidRPr="00AB3BAD" w:rsidRDefault="00466861" w:rsidP="00466861">
      <w:pPr>
        <w:ind w:firstLine="709"/>
        <w:jc w:val="both"/>
        <w:rPr>
          <w:rFonts w:ascii="Arial" w:eastAsiaTheme="minorHAnsi" w:hAnsi="Arial" w:cs="Arial"/>
          <w:sz w:val="19"/>
          <w:szCs w:val="19"/>
          <w:lang w:val="es-ES" w:eastAsia="en-US"/>
        </w:rPr>
      </w:pPr>
      <w:r w:rsidRPr="00AB3BAD">
        <w:rPr>
          <w:rStyle w:val="Refdenotaalpie"/>
          <w:rFonts w:ascii="Arial" w:hAnsi="Arial" w:cs="Arial"/>
          <w:sz w:val="19"/>
          <w:szCs w:val="19"/>
        </w:rPr>
        <w:footnoteRef/>
      </w:r>
      <w:r w:rsidRPr="00AB3BAD">
        <w:rPr>
          <w:rFonts w:ascii="Arial" w:hAnsi="Arial" w:cs="Arial"/>
          <w:sz w:val="19"/>
          <w:szCs w:val="19"/>
        </w:rPr>
        <w:t xml:space="preserve"> </w:t>
      </w:r>
      <w:r w:rsidRPr="00AB3BAD">
        <w:rPr>
          <w:rFonts w:ascii="Arial" w:hAnsi="Arial" w:cs="Arial"/>
          <w:sz w:val="19"/>
          <w:szCs w:val="19"/>
          <w:lang w:val="es-ES"/>
        </w:rPr>
        <w:t xml:space="preserve">Consejo de Estado. Sección Tercera. Sentencia del 14 de abril de 2010. Consejero Ponente: Enrique Gil Botero. </w:t>
      </w:r>
      <w:r w:rsidRPr="00AB3BAD">
        <w:rPr>
          <w:rFonts w:ascii="Arial" w:eastAsiaTheme="minorHAnsi" w:hAnsi="Arial" w:cs="Arial"/>
          <w:sz w:val="19"/>
          <w:szCs w:val="19"/>
          <w:lang w:val="es-ES" w:eastAsia="en-US"/>
        </w:rPr>
        <w:t>Radicación número: 11001-03-26-000-2008-00101-00(36054)</w:t>
      </w:r>
      <w:r w:rsidR="00F80DAD">
        <w:rPr>
          <w:rFonts w:ascii="Arial" w:eastAsiaTheme="minorHAnsi" w:hAnsi="Arial" w:cs="Arial"/>
          <w:sz w:val="19"/>
          <w:szCs w:val="19"/>
          <w:lang w:val="es-ES" w:eastAsia="en-US"/>
        </w:rPr>
        <w:t>.</w:t>
      </w:r>
    </w:p>
    <w:p w14:paraId="4AF2FD79" w14:textId="77777777" w:rsidR="00466861" w:rsidRPr="00AB3BAD" w:rsidRDefault="00466861" w:rsidP="00466861">
      <w:pPr>
        <w:pStyle w:val="Textonotapie"/>
        <w:ind w:firstLine="709"/>
        <w:jc w:val="both"/>
        <w:rPr>
          <w:rFonts w:ascii="Arial" w:hAnsi="Arial" w:cs="Arial"/>
          <w:sz w:val="19"/>
          <w:szCs w:val="19"/>
          <w:lang w:val="es-ES"/>
        </w:rPr>
      </w:pPr>
    </w:p>
  </w:footnote>
  <w:footnote w:id="12">
    <w:p w14:paraId="66F2F19B" w14:textId="77777777" w:rsidR="00466861" w:rsidRPr="00AB3BAD" w:rsidRDefault="00466861" w:rsidP="00466861">
      <w:pPr>
        <w:pStyle w:val="Textonotapie"/>
        <w:ind w:firstLine="709"/>
        <w:jc w:val="both"/>
        <w:rPr>
          <w:rFonts w:ascii="Arial" w:hAnsi="Arial" w:cs="Arial"/>
          <w:sz w:val="19"/>
          <w:szCs w:val="19"/>
        </w:rPr>
      </w:pPr>
      <w:r w:rsidRPr="00AB3BAD">
        <w:rPr>
          <w:rStyle w:val="Refdenotaalpie"/>
          <w:rFonts w:ascii="Arial" w:hAnsi="Arial" w:cs="Arial"/>
          <w:sz w:val="19"/>
          <w:szCs w:val="19"/>
        </w:rPr>
        <w:footnoteRef/>
      </w:r>
      <w:r w:rsidRPr="00AB3BAD">
        <w:rPr>
          <w:rFonts w:ascii="Arial" w:hAnsi="Arial" w:cs="Arial"/>
          <w:sz w:val="19"/>
          <w:szCs w:val="19"/>
        </w:rPr>
        <w:t xml:space="preserve"> «ARTÍCULO 1o. Modifíquese el artículo 4o de la Ley 1882 de 2018, el cual quedará así:</w:t>
      </w:r>
    </w:p>
    <w:p w14:paraId="112BC1AB" w14:textId="77777777" w:rsidR="00466861" w:rsidRPr="00AB3BAD" w:rsidRDefault="00466861" w:rsidP="00466861">
      <w:pPr>
        <w:pStyle w:val="Textonotapie"/>
        <w:ind w:firstLine="709"/>
        <w:jc w:val="both"/>
        <w:rPr>
          <w:rFonts w:ascii="Arial" w:hAnsi="Arial" w:cs="Arial"/>
          <w:sz w:val="19"/>
          <w:szCs w:val="19"/>
        </w:rPr>
      </w:pPr>
      <w:proofErr w:type="gramStart"/>
      <w:r w:rsidRPr="00AB3BAD">
        <w:rPr>
          <w:rFonts w:ascii="Arial" w:hAnsi="Arial" w:cs="Arial"/>
          <w:sz w:val="19"/>
          <w:szCs w:val="19"/>
        </w:rPr>
        <w:t>»Artículo</w:t>
      </w:r>
      <w:proofErr w:type="gramEnd"/>
      <w:r w:rsidRPr="00AB3BAD">
        <w:rPr>
          <w:rFonts w:ascii="Arial" w:hAnsi="Arial" w:cs="Arial"/>
          <w:sz w:val="19"/>
          <w:szCs w:val="19"/>
        </w:rPr>
        <w:t xml:space="preserve"> 4o. Adiciónese el siguiente parágrafo al artículo 2o de la Ley 1150 de 2007.</w:t>
      </w:r>
    </w:p>
    <w:p w14:paraId="56B18859" w14:textId="16BB05F3" w:rsidR="00466861" w:rsidRPr="00AB3BAD" w:rsidRDefault="00466861" w:rsidP="00466861">
      <w:pPr>
        <w:pStyle w:val="Textonotapie"/>
        <w:ind w:firstLine="709"/>
        <w:jc w:val="both"/>
        <w:rPr>
          <w:rFonts w:ascii="Arial" w:hAnsi="Arial" w:cs="Arial"/>
          <w:sz w:val="19"/>
          <w:szCs w:val="19"/>
        </w:rPr>
      </w:pPr>
      <w:proofErr w:type="gramStart"/>
      <w:r w:rsidRPr="00AB3BAD">
        <w:rPr>
          <w:rFonts w:ascii="Arial" w:hAnsi="Arial" w:cs="Arial"/>
          <w:sz w:val="19"/>
          <w:szCs w:val="19"/>
        </w:rPr>
        <w:t>»PARÁGRAFO</w:t>
      </w:r>
      <w:proofErr w:type="gramEnd"/>
      <w:r w:rsidRPr="00AB3BAD">
        <w:rPr>
          <w:rFonts w:ascii="Arial" w:hAnsi="Arial" w:cs="Arial"/>
          <w:sz w:val="19"/>
          <w:szCs w:val="19"/>
        </w:rPr>
        <w:t xml:space="preserve">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73C8A641" w14:textId="77777777" w:rsidR="00466861" w:rsidRPr="00AB3BAD" w:rsidRDefault="00466861" w:rsidP="00466861">
      <w:pPr>
        <w:pStyle w:val="Textonotapie"/>
        <w:ind w:firstLine="709"/>
        <w:jc w:val="both"/>
        <w:rPr>
          <w:rFonts w:ascii="Arial" w:hAnsi="Arial" w:cs="Arial"/>
          <w:sz w:val="19"/>
          <w:szCs w:val="19"/>
        </w:rPr>
      </w:pPr>
      <w:proofErr w:type="gramStart"/>
      <w:r w:rsidRPr="00AB3BAD">
        <w:rPr>
          <w:rFonts w:ascii="Arial" w:hAnsi="Arial" w:cs="Arial"/>
          <w:sz w:val="19"/>
          <w:szCs w:val="19"/>
        </w:rPr>
        <w:t>»Dentro</w:t>
      </w:r>
      <w:proofErr w:type="gramEnd"/>
      <w:r w:rsidRPr="00AB3BAD">
        <w:rPr>
          <w:rFonts w:ascii="Arial" w:hAnsi="Arial" w:cs="Arial"/>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739F0957" w14:textId="77777777" w:rsidR="00466861" w:rsidRPr="00AB3BAD" w:rsidRDefault="00466861" w:rsidP="00466861">
      <w:pPr>
        <w:pStyle w:val="Textonotapie"/>
        <w:ind w:firstLine="709"/>
        <w:jc w:val="both"/>
        <w:rPr>
          <w:rFonts w:ascii="Arial" w:hAnsi="Arial" w:cs="Arial"/>
          <w:sz w:val="19"/>
          <w:szCs w:val="19"/>
        </w:rPr>
      </w:pPr>
      <w:proofErr w:type="gramStart"/>
      <w:r w:rsidRPr="00AB3BAD">
        <w:rPr>
          <w:rFonts w:ascii="Arial" w:hAnsi="Arial" w:cs="Arial"/>
          <w:sz w:val="19"/>
          <w:szCs w:val="19"/>
        </w:rPr>
        <w:t>»Con</w:t>
      </w:r>
      <w:proofErr w:type="gramEnd"/>
      <w:r w:rsidRPr="00AB3BAD">
        <w:rPr>
          <w:rFonts w:ascii="Arial" w:hAnsi="Arial" w:cs="Arial"/>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37364704" w14:textId="77777777" w:rsidR="00466861" w:rsidRPr="00AB3BAD" w:rsidRDefault="00466861" w:rsidP="00466861">
      <w:pPr>
        <w:pStyle w:val="Textonotapie"/>
        <w:ind w:firstLine="709"/>
        <w:jc w:val="both"/>
        <w:rPr>
          <w:rFonts w:ascii="Arial" w:hAnsi="Arial" w:cs="Arial"/>
          <w:sz w:val="19"/>
          <w:szCs w:val="19"/>
        </w:rPr>
      </w:pPr>
      <w:r w:rsidRPr="00AB3BAD">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384F3A66" w14:textId="77777777" w:rsidR="00466861" w:rsidRPr="00AB3BAD" w:rsidRDefault="00466861" w:rsidP="00466861">
      <w:pPr>
        <w:pStyle w:val="Textonotapie"/>
        <w:ind w:firstLine="709"/>
        <w:jc w:val="both"/>
        <w:rPr>
          <w:rFonts w:ascii="Arial" w:hAnsi="Arial" w:cs="Arial"/>
          <w:sz w:val="19"/>
          <w:szCs w:val="19"/>
          <w:lang w:val="es-CO"/>
        </w:rPr>
      </w:pPr>
      <w:proofErr w:type="gramStart"/>
      <w:r w:rsidRPr="00AB3BAD">
        <w:rPr>
          <w:rFonts w:ascii="Arial" w:hAnsi="Arial" w:cs="Arial"/>
          <w:sz w:val="19"/>
          <w:szCs w:val="19"/>
        </w:rPr>
        <w:t>»En</w:t>
      </w:r>
      <w:proofErr w:type="gramEnd"/>
      <w:r w:rsidRPr="00AB3BAD">
        <w:rPr>
          <w:rFonts w:ascii="Arial" w:hAnsi="Arial" w:cs="Arial"/>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13">
    <w:p w14:paraId="214E32E3" w14:textId="60EA5A72" w:rsidR="006F7607" w:rsidRDefault="006F7607" w:rsidP="006F7607">
      <w:pPr>
        <w:pStyle w:val="Textonotapie"/>
        <w:ind w:firstLine="709"/>
        <w:jc w:val="both"/>
        <w:rPr>
          <w:color w:val="000000" w:themeColor="text1"/>
          <w:lang w:val="es-CO"/>
        </w:rPr>
      </w:pPr>
      <w:r>
        <w:rPr>
          <w:rStyle w:val="Refdenotaalpie"/>
        </w:rPr>
        <w:footnoteRef/>
      </w:r>
      <w:r>
        <w:t xml:space="preserve"> </w:t>
      </w:r>
      <w:r w:rsidRPr="00B40B47">
        <w:rPr>
          <w:rFonts w:ascii="Arial" w:hAnsi="Arial" w:cs="Arial"/>
          <w:sz w:val="19"/>
          <w:szCs w:val="19"/>
        </w:rPr>
        <w:t xml:space="preserve">Para el efecto, se puede consultar el siguiente enlace en el cual </w:t>
      </w:r>
      <w:r>
        <w:rPr>
          <w:rFonts w:ascii="Arial" w:hAnsi="Arial" w:cs="Arial"/>
          <w:sz w:val="19"/>
          <w:szCs w:val="19"/>
        </w:rPr>
        <w:t>se encuentran</w:t>
      </w:r>
      <w:r w:rsidRPr="00B40B47">
        <w:rPr>
          <w:rFonts w:ascii="Arial" w:hAnsi="Arial" w:cs="Arial"/>
          <w:sz w:val="19"/>
          <w:szCs w:val="19"/>
        </w:rPr>
        <w:t xml:space="preserve"> todos los documentos</w:t>
      </w:r>
      <w:r>
        <w:rPr>
          <w:rFonts w:ascii="Arial" w:hAnsi="Arial" w:cs="Arial"/>
          <w:sz w:val="19"/>
          <w:szCs w:val="19"/>
        </w:rPr>
        <w:t xml:space="preserve"> tipo actualmente implementados por Colombia Compra Eficiente </w:t>
      </w:r>
      <w:hyperlink r:id="rId3" w:history="1">
        <w:r w:rsidRPr="00B40B47">
          <w:rPr>
            <w:rFonts w:ascii="Arial" w:hAnsi="Arial" w:cs="Arial"/>
            <w:sz w:val="19"/>
            <w:szCs w:val="19"/>
          </w:rPr>
          <w:t>https://www.colombiacompra.gov.co/documentos-tipo/documentos-tipo</w:t>
        </w:r>
      </w:hyperlink>
      <w:r>
        <w:rPr>
          <w:rFonts w:ascii="Arial" w:hAnsi="Arial" w:cs="Arial"/>
          <w:sz w:val="19"/>
          <w:szCs w:val="19"/>
        </w:rPr>
        <w:t xml:space="preserve"> </w:t>
      </w:r>
      <w:r>
        <w:rPr>
          <w:color w:val="000000" w:themeColor="text1"/>
          <w:lang w:val="es-CO"/>
        </w:rPr>
        <w:t xml:space="preserve"> </w:t>
      </w:r>
      <w:r w:rsidRPr="00B40B47">
        <w:rPr>
          <w:color w:val="000000" w:themeColor="text1"/>
          <w:lang w:val="es-CO"/>
        </w:rPr>
        <w:t xml:space="preserve"> </w:t>
      </w:r>
    </w:p>
    <w:p w14:paraId="59346024" w14:textId="3D840BA4" w:rsidR="006F7607" w:rsidRPr="00DE3F63" w:rsidRDefault="006F7607" w:rsidP="00DE3F63">
      <w:pPr>
        <w:pStyle w:val="Textonotapie"/>
        <w:ind w:firstLine="709"/>
        <w:jc w:val="both"/>
        <w:rPr>
          <w:rFonts w:ascii="Arial" w:hAnsi="Arial" w:cs="Arial"/>
          <w:color w:val="000000" w:themeColor="text1"/>
          <w:sz w:val="19"/>
          <w:szCs w:val="19"/>
          <w:lang w:val="es-CO"/>
        </w:rPr>
      </w:pPr>
      <w:r w:rsidRPr="006F7607">
        <w:rPr>
          <w:rFonts w:ascii="Arial" w:hAnsi="Arial" w:cs="Arial"/>
          <w:color w:val="000000" w:themeColor="text1"/>
          <w:sz w:val="19"/>
          <w:szCs w:val="19"/>
          <w:lang w:val="es-CO"/>
        </w:rPr>
        <w:t xml:space="preserve">Los documentos tipo de obra pública de infraestructura social y de obra pública de infraestructura social </w:t>
      </w:r>
      <w:r>
        <w:rPr>
          <w:rFonts w:ascii="Arial" w:hAnsi="Arial" w:cs="Arial"/>
          <w:color w:val="000000" w:themeColor="text1"/>
          <w:sz w:val="19"/>
          <w:szCs w:val="19"/>
          <w:lang w:val="es-CO"/>
        </w:rPr>
        <w:t xml:space="preserve">relacionados con el sector educativo </w:t>
      </w:r>
      <w:r w:rsidRPr="006F7607">
        <w:rPr>
          <w:rFonts w:ascii="Arial" w:hAnsi="Arial" w:cs="Arial"/>
          <w:color w:val="000000" w:themeColor="text1"/>
          <w:sz w:val="19"/>
          <w:szCs w:val="19"/>
          <w:lang w:val="es-CO"/>
        </w:rPr>
        <w:t>adoptados mediante Resoluciones 219 y 220 de 2021,</w:t>
      </w:r>
      <w:r>
        <w:rPr>
          <w:rFonts w:ascii="Arial" w:hAnsi="Arial" w:cs="Arial"/>
          <w:color w:val="000000" w:themeColor="text1"/>
          <w:sz w:val="19"/>
          <w:szCs w:val="19"/>
          <w:lang w:val="es-CO"/>
        </w:rPr>
        <w:t xml:space="preserve"> respectivamente,</w:t>
      </w:r>
      <w:r w:rsidRPr="006F7607">
        <w:rPr>
          <w:rFonts w:ascii="Arial" w:hAnsi="Arial" w:cs="Arial"/>
          <w:color w:val="000000" w:themeColor="text1"/>
          <w:sz w:val="19"/>
          <w:szCs w:val="19"/>
          <w:lang w:val="es-CO"/>
        </w:rPr>
        <w:t xml:space="preserve"> </w:t>
      </w:r>
      <w:proofErr w:type="gramStart"/>
      <w:r w:rsidRPr="006F7607">
        <w:rPr>
          <w:rFonts w:ascii="Arial" w:hAnsi="Arial" w:cs="Arial"/>
          <w:color w:val="000000" w:themeColor="text1"/>
          <w:sz w:val="19"/>
          <w:szCs w:val="19"/>
          <w:lang w:val="es-CO"/>
        </w:rPr>
        <w:t>entran en vigencia</w:t>
      </w:r>
      <w:proofErr w:type="gramEnd"/>
      <w:r w:rsidRPr="006F7607">
        <w:rPr>
          <w:rFonts w:ascii="Arial" w:hAnsi="Arial" w:cs="Arial"/>
          <w:color w:val="000000" w:themeColor="text1"/>
          <w:sz w:val="19"/>
          <w:szCs w:val="19"/>
          <w:lang w:val="es-CO"/>
        </w:rPr>
        <w:t xml:space="preserve"> a partir del 2 de noviembre de 2021 conforme lo dispone la Resolución 261 del 2021. </w:t>
      </w:r>
    </w:p>
  </w:footnote>
  <w:footnote w:id="14">
    <w:p w14:paraId="450BBCF3" w14:textId="05FB7C9F" w:rsidR="0011177B" w:rsidRPr="0011177B" w:rsidRDefault="0011177B" w:rsidP="0011177B">
      <w:pPr>
        <w:pStyle w:val="Textonotapie"/>
        <w:ind w:firstLine="709"/>
        <w:jc w:val="both"/>
        <w:rPr>
          <w:bCs/>
        </w:rPr>
      </w:pPr>
      <w:r>
        <w:rPr>
          <w:rStyle w:val="Refdenotaalpie"/>
        </w:rPr>
        <w:footnoteRef/>
      </w:r>
      <w:r w:rsidRPr="0011177B">
        <w:rPr>
          <w:rFonts w:ascii="Arial" w:hAnsi="Arial" w:cs="Arial"/>
          <w:sz w:val="19"/>
          <w:szCs w:val="19"/>
        </w:rPr>
        <w:t xml:space="preserve"> </w:t>
      </w:r>
      <w:r>
        <w:rPr>
          <w:rFonts w:ascii="Arial" w:hAnsi="Arial" w:cs="Arial"/>
          <w:sz w:val="19"/>
          <w:szCs w:val="19"/>
          <w:lang w:val="es-CO"/>
        </w:rPr>
        <w:t>E</w:t>
      </w:r>
      <w:r w:rsidRPr="0011177B">
        <w:rPr>
          <w:rFonts w:ascii="Arial" w:hAnsi="Arial" w:cs="Arial"/>
          <w:sz w:val="19"/>
          <w:szCs w:val="19"/>
          <w:lang w:val="es-CO"/>
        </w:rPr>
        <w:t xml:space="preserve">n los documentos tipo para selección de interventoría de obra pública de infraestructura de transporte se encuentra incluido en el inciso segundo del capítulo </w:t>
      </w:r>
      <w:r w:rsidRPr="0011177B">
        <w:rPr>
          <w:rFonts w:ascii="Arial" w:hAnsi="Arial" w:cs="Arial"/>
          <w:bCs/>
          <w:sz w:val="19"/>
          <w:szCs w:val="19"/>
          <w:lang w:val="es-CO"/>
        </w:rPr>
        <w:t>IV.</w:t>
      </w:r>
      <w:r w:rsidRPr="0011177B">
        <w:rPr>
          <w:rFonts w:ascii="Arial" w:hAnsi="Arial" w:cs="Arial"/>
          <w:bCs/>
          <w:sz w:val="19"/>
          <w:szCs w:val="19"/>
        </w:rPr>
        <w:t xml:space="preserve"> Criterios de Evaluación, Asignación de Puntaje y Criterios de Desempate</w:t>
      </w:r>
      <w:r>
        <w:rPr>
          <w:rFonts w:ascii="Arial" w:hAnsi="Arial" w:cs="Arial"/>
          <w:bCs/>
          <w:sz w:val="19"/>
          <w:szCs w:val="19"/>
        </w:rPr>
        <w:t xml:space="preserve">. </w:t>
      </w:r>
    </w:p>
    <w:p w14:paraId="30CEBAEF" w14:textId="6E5C85A0" w:rsidR="0011177B" w:rsidRPr="0011177B" w:rsidRDefault="0011177B">
      <w:pPr>
        <w:pStyle w:val="Textonotapie"/>
        <w:rPr>
          <w:lang w:val="es-CO"/>
        </w:rPr>
      </w:pPr>
    </w:p>
  </w:footnote>
  <w:footnote w:id="15">
    <w:p w14:paraId="75A669B8" w14:textId="77777777" w:rsidR="00466861" w:rsidRDefault="00466861" w:rsidP="00466861">
      <w:pPr>
        <w:pStyle w:val="Textonotapie"/>
        <w:ind w:firstLine="709"/>
        <w:rPr>
          <w:rFonts w:ascii="Arial" w:hAnsi="Arial" w:cs="Arial"/>
          <w:sz w:val="19"/>
          <w:szCs w:val="19"/>
          <w:lang w:val="es-CO"/>
        </w:rPr>
      </w:pPr>
      <w:r w:rsidRPr="00D65DFE">
        <w:rPr>
          <w:rStyle w:val="Refdenotaalpie"/>
          <w:rFonts w:ascii="Arial" w:hAnsi="Arial" w:cs="Arial"/>
          <w:sz w:val="19"/>
          <w:szCs w:val="19"/>
        </w:rPr>
        <w:footnoteRef/>
      </w:r>
      <w:r w:rsidRPr="00D65DFE">
        <w:rPr>
          <w:rFonts w:ascii="Arial" w:hAnsi="Arial" w:cs="Arial"/>
          <w:sz w:val="19"/>
          <w:szCs w:val="19"/>
        </w:rPr>
        <w:t xml:space="preserve"> </w:t>
      </w:r>
      <w:r w:rsidRPr="00D65DFE">
        <w:rPr>
          <w:rFonts w:ascii="Arial" w:hAnsi="Arial" w:cs="Arial"/>
          <w:sz w:val="19"/>
          <w:szCs w:val="19"/>
          <w:lang w:val="es-CO"/>
        </w:rPr>
        <w:t>Definición Rae</w:t>
      </w:r>
      <w:r>
        <w:rPr>
          <w:rFonts w:ascii="Arial" w:hAnsi="Arial" w:cs="Arial"/>
          <w:sz w:val="19"/>
          <w:szCs w:val="19"/>
          <w:lang w:val="es-CO"/>
        </w:rPr>
        <w:t>. Disponible en</w:t>
      </w:r>
      <w:r w:rsidRPr="00873863">
        <w:rPr>
          <w:rFonts w:ascii="Arial" w:hAnsi="Arial" w:cs="Arial"/>
          <w:color w:val="000000" w:themeColor="text1"/>
          <w:sz w:val="19"/>
          <w:szCs w:val="19"/>
          <w:lang w:val="es-CO"/>
        </w:rPr>
        <w:t xml:space="preserve"> </w:t>
      </w:r>
      <w:hyperlink r:id="rId4" w:history="1">
        <w:r w:rsidRPr="00873863">
          <w:rPr>
            <w:rStyle w:val="Hipervnculo"/>
            <w:rFonts w:ascii="Arial" w:hAnsi="Arial" w:cs="Arial"/>
            <w:color w:val="000000" w:themeColor="text1"/>
            <w:sz w:val="19"/>
            <w:szCs w:val="19"/>
            <w:u w:val="none"/>
            <w:lang w:val="es-CO"/>
          </w:rPr>
          <w:t>https://dle.rae.es/consultar</w:t>
        </w:r>
      </w:hyperlink>
      <w:r>
        <w:rPr>
          <w:rStyle w:val="Hipervnculo"/>
          <w:rFonts w:ascii="Arial" w:hAnsi="Arial" w:cs="Arial"/>
          <w:color w:val="000000" w:themeColor="text1"/>
          <w:sz w:val="19"/>
          <w:szCs w:val="19"/>
          <w:u w:val="none"/>
          <w:lang w:val="es-CO"/>
        </w:rPr>
        <w:t xml:space="preserve"> </w:t>
      </w:r>
    </w:p>
    <w:p w14:paraId="0C32AE75" w14:textId="77777777" w:rsidR="00466861" w:rsidRPr="00D65DFE" w:rsidRDefault="00466861" w:rsidP="00466861">
      <w:pPr>
        <w:pStyle w:val="Textonotapie"/>
        <w:ind w:firstLine="709"/>
        <w:rPr>
          <w:rFonts w:ascii="Arial" w:hAnsi="Arial" w:cs="Arial"/>
          <w:sz w:val="19"/>
          <w:szCs w:val="19"/>
          <w:lang w:val="es-CO"/>
        </w:rPr>
      </w:pPr>
    </w:p>
  </w:footnote>
  <w:footnote w:id="16">
    <w:p w14:paraId="0F5B86AA" w14:textId="77777777" w:rsidR="00466861" w:rsidRPr="00D65DFE" w:rsidRDefault="00466861" w:rsidP="00466861">
      <w:pPr>
        <w:pStyle w:val="Textonotapie"/>
        <w:ind w:firstLine="709"/>
        <w:rPr>
          <w:lang w:val="es-CO"/>
        </w:rPr>
      </w:pPr>
      <w:r>
        <w:rPr>
          <w:rStyle w:val="Refdenotaalpie"/>
        </w:rPr>
        <w:footnoteRef/>
      </w:r>
      <w:r>
        <w:t xml:space="preserve"> </w:t>
      </w:r>
      <w:r w:rsidRPr="00D65DFE">
        <w:rPr>
          <w:rFonts w:ascii="Arial" w:hAnsi="Arial" w:cs="Arial"/>
          <w:sz w:val="19"/>
          <w:szCs w:val="19"/>
          <w:lang w:val="es-CO"/>
        </w:rPr>
        <w:t>Ibídem. Disponible en</w:t>
      </w:r>
      <w:r>
        <w:rPr>
          <w:rFonts w:ascii="Arial" w:hAnsi="Arial" w:cs="Arial"/>
          <w:sz w:val="19"/>
          <w:szCs w:val="19"/>
          <w:lang w:val="es-CO"/>
        </w:rPr>
        <w:t>:</w:t>
      </w:r>
      <w:r w:rsidRPr="00D65DFE">
        <w:rPr>
          <w:rFonts w:ascii="Arial" w:hAnsi="Arial" w:cs="Arial"/>
          <w:sz w:val="19"/>
          <w:szCs w:val="19"/>
          <w:lang w:val="es-CO"/>
        </w:rPr>
        <w:t xml:space="preserve"> https://www.rae.es/drae2001/an%C3%A1lisis</w:t>
      </w:r>
    </w:p>
  </w:footnote>
  <w:footnote w:id="17">
    <w:p w14:paraId="4549D829" w14:textId="77777777" w:rsidR="00466861" w:rsidRPr="00360E6D" w:rsidRDefault="00466861" w:rsidP="00466861">
      <w:pPr>
        <w:pStyle w:val="Textonotapie"/>
        <w:ind w:firstLine="709"/>
        <w:jc w:val="both"/>
        <w:rPr>
          <w:rFonts w:ascii="Arial" w:hAnsi="Arial" w:cs="Arial"/>
          <w:sz w:val="19"/>
          <w:szCs w:val="19"/>
        </w:rPr>
      </w:pPr>
      <w:r>
        <w:rPr>
          <w:rStyle w:val="Refdenotaalpie"/>
        </w:rPr>
        <w:footnoteRef/>
      </w:r>
      <w:r>
        <w:t xml:space="preserve"> </w:t>
      </w:r>
      <w:r w:rsidRPr="007128E3">
        <w:rPr>
          <w:rFonts w:ascii="Arial" w:hAnsi="Arial" w:cs="Arial"/>
          <w:sz w:val="19"/>
          <w:szCs w:val="19"/>
        </w:rPr>
        <w:t>Gaceta del Congreso de la República No.</w:t>
      </w:r>
      <w:r>
        <w:rPr>
          <w:rFonts w:ascii="Arial" w:hAnsi="Arial" w:cs="Arial"/>
          <w:sz w:val="19"/>
          <w:szCs w:val="19"/>
        </w:rPr>
        <w:t xml:space="preserve">1187/19. </w:t>
      </w:r>
      <w:r w:rsidRPr="007128E3">
        <w:rPr>
          <w:rFonts w:ascii="Arial" w:hAnsi="Arial" w:cs="Arial"/>
          <w:sz w:val="19"/>
          <w:szCs w:val="19"/>
        </w:rPr>
        <w:t>Disponible en:</w:t>
      </w:r>
      <w:r>
        <w:t xml:space="preserve"> </w:t>
      </w:r>
      <w:hyperlink r:id="rId5" w:history="1">
        <w:r w:rsidRPr="00360E6D">
          <w:rPr>
            <w:rStyle w:val="Hipervnculo"/>
            <w:rFonts w:ascii="Arial" w:hAnsi="Arial" w:cs="Arial"/>
            <w:color w:val="auto"/>
            <w:sz w:val="19"/>
            <w:szCs w:val="19"/>
            <w:u w:val="none"/>
          </w:rPr>
          <w:t>http://leyes.senado.gov.co/proyectos/images/documentos/Textos%20Radicados/Ponencias/2019/gaceta_1187.pdf</w:t>
        </w:r>
      </w:hyperlink>
      <w:r w:rsidRPr="00360E6D">
        <w:rPr>
          <w:rFonts w:ascii="Arial" w:hAnsi="Arial" w:cs="Arial"/>
          <w:sz w:val="19"/>
          <w:szCs w:val="19"/>
        </w:rPr>
        <w:t xml:space="preserve"> </w:t>
      </w:r>
    </w:p>
    <w:p w14:paraId="3CF683C6" w14:textId="77777777" w:rsidR="00466861" w:rsidRPr="0026608D" w:rsidRDefault="00466861" w:rsidP="00466861">
      <w:pPr>
        <w:pStyle w:val="Textonotapie"/>
        <w:ind w:firstLine="709"/>
        <w:rPr>
          <w:lang w:val="es-CO"/>
        </w:rPr>
      </w:pPr>
    </w:p>
  </w:footnote>
  <w:footnote w:id="18">
    <w:p w14:paraId="582A0577" w14:textId="77777777" w:rsidR="00466861" w:rsidRDefault="00466861" w:rsidP="00466861">
      <w:pPr>
        <w:pStyle w:val="Textonotapie"/>
        <w:ind w:firstLine="709"/>
        <w:jc w:val="both"/>
        <w:rPr>
          <w:rFonts w:ascii="Arial" w:hAnsi="Arial" w:cs="Arial"/>
          <w:sz w:val="19"/>
          <w:szCs w:val="19"/>
          <w:lang w:val="es-ES"/>
        </w:rPr>
      </w:pPr>
      <w:r w:rsidRPr="007128E3">
        <w:rPr>
          <w:rStyle w:val="Refdenotaalpie"/>
          <w:rFonts w:ascii="Arial" w:hAnsi="Arial" w:cs="Arial"/>
          <w:sz w:val="19"/>
          <w:szCs w:val="19"/>
        </w:rPr>
        <w:footnoteRef/>
      </w:r>
      <w:r w:rsidRPr="007128E3">
        <w:rPr>
          <w:rFonts w:ascii="Arial" w:hAnsi="Arial" w:cs="Arial"/>
          <w:sz w:val="19"/>
          <w:szCs w:val="19"/>
        </w:rPr>
        <w:t xml:space="preserve">Gaceta del Congreso de la República No. 563/18. Disponible en: </w:t>
      </w:r>
      <w:hyperlink r:id="rId6" w:history="1">
        <w:r w:rsidRPr="00360E6D">
          <w:rPr>
            <w:rStyle w:val="Hipervnculo"/>
            <w:rFonts w:ascii="Arial" w:hAnsi="Arial" w:cs="Arial"/>
            <w:color w:val="auto"/>
            <w:sz w:val="19"/>
            <w:szCs w:val="19"/>
            <w:u w:val="none"/>
            <w:lang w:val="es-ES"/>
          </w:rPr>
          <w:t>http://leyes.senado.gov.co/proyectos/images/documentos/Textos%20Radicados/Ponencias/2018/gaceta_563.pdf</w:t>
        </w:r>
      </w:hyperlink>
      <w:r w:rsidRPr="00472D8E">
        <w:rPr>
          <w:rFonts w:ascii="Arial" w:hAnsi="Arial" w:cs="Arial"/>
          <w:sz w:val="19"/>
          <w:szCs w:val="19"/>
          <w:lang w:val="es-ES"/>
        </w:rPr>
        <w:t xml:space="preserve"> </w:t>
      </w:r>
    </w:p>
    <w:p w14:paraId="5F208B75" w14:textId="77777777" w:rsidR="00466861" w:rsidRPr="007128E3" w:rsidRDefault="00466861" w:rsidP="00466861">
      <w:pPr>
        <w:pStyle w:val="Textonotapie"/>
        <w:ind w:firstLine="709"/>
        <w:jc w:val="both"/>
        <w:rPr>
          <w:rFonts w:ascii="Arial" w:hAnsi="Arial" w:cs="Arial"/>
          <w:sz w:val="19"/>
          <w:szCs w:val="19"/>
          <w:lang w:val="es-CO"/>
        </w:rPr>
      </w:pPr>
    </w:p>
  </w:footnote>
  <w:footnote w:id="19">
    <w:p w14:paraId="7E92F08D" w14:textId="77777777" w:rsidR="00466861" w:rsidRDefault="00466861" w:rsidP="00466861">
      <w:pPr>
        <w:pStyle w:val="Textonotapie"/>
        <w:ind w:firstLine="709"/>
        <w:jc w:val="both"/>
        <w:rPr>
          <w:rFonts w:ascii="Arial" w:hAnsi="Arial" w:cs="Arial"/>
          <w:sz w:val="19"/>
          <w:szCs w:val="19"/>
        </w:rPr>
      </w:pPr>
      <w:r>
        <w:rPr>
          <w:rStyle w:val="Refdenotaalpie"/>
        </w:rPr>
        <w:footnoteRef/>
      </w:r>
      <w:r w:rsidRPr="009609F0">
        <w:rPr>
          <w:rFonts w:ascii="Arial" w:hAnsi="Arial" w:cs="Arial"/>
          <w:sz w:val="19"/>
          <w:szCs w:val="19"/>
        </w:rPr>
        <w:t xml:space="preserve">Gaceta </w:t>
      </w:r>
      <w:r w:rsidRPr="007128E3">
        <w:rPr>
          <w:rFonts w:ascii="Arial" w:hAnsi="Arial" w:cs="Arial"/>
          <w:sz w:val="19"/>
          <w:szCs w:val="19"/>
        </w:rPr>
        <w:t>del Congreso de la República No.</w:t>
      </w:r>
      <w:r w:rsidRPr="009609F0">
        <w:rPr>
          <w:rFonts w:ascii="Arial" w:hAnsi="Arial" w:cs="Arial"/>
          <w:sz w:val="19"/>
          <w:szCs w:val="19"/>
        </w:rPr>
        <w:t xml:space="preserve"> 1154/18 </w:t>
      </w:r>
      <w:r w:rsidRPr="007128E3">
        <w:rPr>
          <w:rFonts w:ascii="Arial" w:hAnsi="Arial" w:cs="Arial"/>
          <w:sz w:val="19"/>
          <w:szCs w:val="19"/>
        </w:rPr>
        <w:t>Disponible en:</w:t>
      </w:r>
      <w:r>
        <w:rPr>
          <w:rFonts w:ascii="Arial" w:hAnsi="Arial" w:cs="Arial"/>
          <w:sz w:val="19"/>
          <w:szCs w:val="19"/>
        </w:rPr>
        <w:t xml:space="preserve"> </w:t>
      </w:r>
      <w:hyperlink r:id="rId7" w:history="1">
        <w:r w:rsidRPr="00360E6D">
          <w:rPr>
            <w:rStyle w:val="Hipervnculo"/>
            <w:rFonts w:ascii="Arial" w:hAnsi="Arial" w:cs="Arial"/>
            <w:color w:val="auto"/>
            <w:sz w:val="19"/>
            <w:szCs w:val="19"/>
            <w:u w:val="none"/>
          </w:rPr>
          <w:t>http://leyes.senado.gov.co/proyectos/images/documentos/Textos%20Radicados/Ponencias/2018/gaceta_1154.pdf</w:t>
        </w:r>
      </w:hyperlink>
      <w:r w:rsidRPr="009609F0">
        <w:rPr>
          <w:rFonts w:ascii="Arial" w:hAnsi="Arial" w:cs="Arial"/>
          <w:sz w:val="19"/>
          <w:szCs w:val="19"/>
        </w:rPr>
        <w:t xml:space="preserve"> </w:t>
      </w:r>
    </w:p>
    <w:p w14:paraId="66234463" w14:textId="77777777" w:rsidR="00466861" w:rsidRPr="009609F0" w:rsidRDefault="00466861" w:rsidP="00466861">
      <w:pPr>
        <w:pStyle w:val="Textonotapie"/>
        <w:ind w:firstLine="709"/>
        <w:jc w:val="both"/>
        <w:rPr>
          <w:lang w:val="es-CO"/>
        </w:rPr>
      </w:pPr>
    </w:p>
  </w:footnote>
  <w:footnote w:id="20">
    <w:p w14:paraId="72036AD8" w14:textId="77777777" w:rsidR="00466861" w:rsidRDefault="00466861" w:rsidP="00466861">
      <w:pPr>
        <w:pStyle w:val="Textonotapie"/>
        <w:ind w:firstLine="709"/>
        <w:jc w:val="both"/>
        <w:rPr>
          <w:rFonts w:ascii="Arial" w:hAnsi="Arial" w:cs="Arial"/>
          <w:sz w:val="19"/>
          <w:szCs w:val="19"/>
        </w:rPr>
      </w:pPr>
      <w:r>
        <w:rPr>
          <w:rStyle w:val="Refdenotaalpie"/>
        </w:rPr>
        <w:footnoteRef/>
      </w:r>
      <w:r w:rsidRPr="009609F0">
        <w:rPr>
          <w:rFonts w:ascii="Arial" w:hAnsi="Arial" w:cs="Arial"/>
          <w:sz w:val="19"/>
          <w:szCs w:val="19"/>
        </w:rPr>
        <w:t xml:space="preserve">Gaceta </w:t>
      </w:r>
      <w:r w:rsidRPr="007128E3">
        <w:rPr>
          <w:rFonts w:ascii="Arial" w:hAnsi="Arial" w:cs="Arial"/>
          <w:sz w:val="19"/>
          <w:szCs w:val="19"/>
        </w:rPr>
        <w:t>del Congreso de la República No.</w:t>
      </w:r>
      <w:r>
        <w:rPr>
          <w:rFonts w:ascii="Arial" w:hAnsi="Arial" w:cs="Arial"/>
          <w:sz w:val="19"/>
          <w:szCs w:val="19"/>
        </w:rPr>
        <w:t xml:space="preserve"> 423/19. </w:t>
      </w:r>
      <w:r w:rsidRPr="007128E3">
        <w:rPr>
          <w:rFonts w:ascii="Arial" w:hAnsi="Arial" w:cs="Arial"/>
          <w:sz w:val="19"/>
          <w:szCs w:val="19"/>
        </w:rPr>
        <w:t>Disponible e</w:t>
      </w:r>
      <w:r>
        <w:rPr>
          <w:rFonts w:ascii="Arial" w:hAnsi="Arial" w:cs="Arial"/>
          <w:sz w:val="19"/>
          <w:szCs w:val="19"/>
        </w:rPr>
        <w:t xml:space="preserve">n: </w:t>
      </w:r>
      <w:hyperlink r:id="rId8" w:history="1">
        <w:r w:rsidRPr="00360E6D">
          <w:rPr>
            <w:rStyle w:val="Hipervnculo"/>
            <w:rFonts w:ascii="Arial" w:hAnsi="Arial" w:cs="Arial"/>
            <w:color w:val="auto"/>
            <w:sz w:val="19"/>
            <w:szCs w:val="19"/>
            <w:u w:val="none"/>
          </w:rPr>
          <w:t>http://leyes.senado.gov.co/proyectos/images/documentos/Textos%20Radicados/Ponencias/2019/gaceta_423.pdf</w:t>
        </w:r>
      </w:hyperlink>
      <w:r w:rsidRPr="006F458D">
        <w:rPr>
          <w:rFonts w:ascii="Arial" w:hAnsi="Arial" w:cs="Arial"/>
          <w:sz w:val="19"/>
          <w:szCs w:val="19"/>
        </w:rPr>
        <w:t xml:space="preserve"> </w:t>
      </w:r>
    </w:p>
    <w:p w14:paraId="0826DB5B" w14:textId="77777777" w:rsidR="00466861" w:rsidRPr="006F458D" w:rsidRDefault="00466861" w:rsidP="00466861">
      <w:pPr>
        <w:pStyle w:val="Textonotapie"/>
        <w:ind w:firstLine="709"/>
        <w:jc w:val="both"/>
        <w:rPr>
          <w:lang w:val="es-CO"/>
        </w:rPr>
      </w:pPr>
    </w:p>
  </w:footnote>
  <w:footnote w:id="21">
    <w:p w14:paraId="55B9E156" w14:textId="77777777" w:rsidR="00466861" w:rsidRPr="00466861" w:rsidRDefault="00466861" w:rsidP="00466861">
      <w:pPr>
        <w:pStyle w:val="Textonotapie"/>
        <w:ind w:firstLine="709"/>
        <w:jc w:val="both"/>
        <w:rPr>
          <w:rFonts w:ascii="Arial" w:hAnsi="Arial" w:cs="Arial"/>
          <w:sz w:val="19"/>
          <w:szCs w:val="19"/>
        </w:rPr>
      </w:pPr>
      <w:r>
        <w:rPr>
          <w:rStyle w:val="Refdenotaalpie"/>
        </w:rPr>
        <w:footnoteRef/>
      </w:r>
      <w:r w:rsidRPr="009609F0">
        <w:rPr>
          <w:rFonts w:ascii="Arial" w:hAnsi="Arial" w:cs="Arial"/>
          <w:sz w:val="19"/>
          <w:szCs w:val="19"/>
        </w:rPr>
        <w:t xml:space="preserve">Gaceta </w:t>
      </w:r>
      <w:r w:rsidRPr="007128E3">
        <w:rPr>
          <w:rFonts w:ascii="Arial" w:hAnsi="Arial" w:cs="Arial"/>
          <w:sz w:val="19"/>
          <w:szCs w:val="19"/>
        </w:rPr>
        <w:t>del Congreso de la República No.</w:t>
      </w:r>
      <w:r>
        <w:rPr>
          <w:rFonts w:ascii="Arial" w:hAnsi="Arial" w:cs="Arial"/>
          <w:sz w:val="19"/>
          <w:szCs w:val="19"/>
        </w:rPr>
        <w:t xml:space="preserve"> 963/19</w:t>
      </w:r>
      <w:r w:rsidRPr="001D4141">
        <w:t xml:space="preserve"> </w:t>
      </w:r>
      <w:r w:rsidRPr="007128E3">
        <w:rPr>
          <w:rFonts w:ascii="Arial" w:hAnsi="Arial" w:cs="Arial"/>
          <w:sz w:val="19"/>
          <w:szCs w:val="19"/>
        </w:rPr>
        <w:t>Disponible e</w:t>
      </w:r>
      <w:r>
        <w:rPr>
          <w:rFonts w:ascii="Arial" w:hAnsi="Arial" w:cs="Arial"/>
          <w:sz w:val="19"/>
          <w:szCs w:val="19"/>
        </w:rPr>
        <w:t xml:space="preserve">n: </w:t>
      </w:r>
      <w:hyperlink r:id="rId9" w:history="1">
        <w:r w:rsidRPr="00466861">
          <w:rPr>
            <w:rStyle w:val="Hipervnculo"/>
            <w:rFonts w:ascii="Arial" w:hAnsi="Arial" w:cs="Arial"/>
            <w:color w:val="auto"/>
            <w:sz w:val="19"/>
            <w:szCs w:val="19"/>
            <w:u w:val="none"/>
          </w:rPr>
          <w:t>http://leyes.senado.gov.co/proyectos/images/documentos/Textos%20Radicados/Ponencias/2019/gaceta_963.pdf</w:t>
        </w:r>
      </w:hyperlink>
    </w:p>
    <w:p w14:paraId="570691AF" w14:textId="77777777" w:rsidR="00466861" w:rsidRPr="009153F6" w:rsidRDefault="00466861" w:rsidP="00466861">
      <w:pPr>
        <w:pStyle w:val="Textonotapie"/>
        <w:ind w:firstLine="709"/>
        <w:jc w:val="both"/>
        <w:rPr>
          <w:lang w:val="es-CO"/>
        </w:rPr>
      </w:pPr>
    </w:p>
  </w:footnote>
  <w:footnote w:id="22">
    <w:p w14:paraId="320FC090" w14:textId="77777777" w:rsidR="00466861" w:rsidRPr="00266CB5" w:rsidRDefault="00466861" w:rsidP="00466861">
      <w:pPr>
        <w:pStyle w:val="Textonotapie"/>
        <w:ind w:firstLine="709"/>
        <w:jc w:val="both"/>
        <w:rPr>
          <w:lang w:val="es-CO"/>
        </w:rPr>
      </w:pPr>
      <w:r w:rsidRPr="00266CB5">
        <w:rPr>
          <w:rStyle w:val="Refdenotaalpie"/>
        </w:rPr>
        <w:footnoteRef/>
      </w:r>
      <w:r w:rsidRPr="00266CB5">
        <w:rPr>
          <w:rFonts w:ascii="Arial" w:hAnsi="Arial" w:cs="Arial"/>
          <w:sz w:val="19"/>
          <w:szCs w:val="19"/>
        </w:rPr>
        <w:t>Gaceta del Congreso de la República No. 1187/19</w:t>
      </w:r>
      <w:r w:rsidRPr="00266CB5">
        <w:t xml:space="preserve"> </w:t>
      </w:r>
      <w:r w:rsidRPr="00266CB5">
        <w:rPr>
          <w:rFonts w:ascii="Arial" w:hAnsi="Arial" w:cs="Arial"/>
          <w:sz w:val="19"/>
          <w:szCs w:val="19"/>
        </w:rPr>
        <w:t xml:space="preserve">Disponible en: </w:t>
      </w:r>
      <w:hyperlink r:id="rId10" w:history="1">
        <w:r w:rsidRPr="00466861">
          <w:rPr>
            <w:rStyle w:val="Hipervnculo"/>
            <w:rFonts w:ascii="Arial" w:hAnsi="Arial" w:cs="Arial"/>
            <w:color w:val="auto"/>
            <w:sz w:val="19"/>
            <w:szCs w:val="19"/>
            <w:u w:val="none"/>
          </w:rPr>
          <w:t>http://leyes.senado.gov.co/proyectos/images/documentos/Textos%20Radicados/Ponencias/2019/gaceta_1187.pdf</w:t>
        </w:r>
      </w:hyperlink>
      <w:r w:rsidRPr="00266CB5">
        <w:rPr>
          <w:rFonts w:ascii="Arial" w:hAnsi="Arial" w:cs="Arial"/>
          <w:sz w:val="19"/>
          <w:szCs w:val="19"/>
        </w:rPr>
        <w:t xml:space="preserve"> </w:t>
      </w:r>
    </w:p>
  </w:footnote>
  <w:footnote w:id="23">
    <w:p w14:paraId="215B33EC" w14:textId="77777777" w:rsidR="00466861" w:rsidRPr="00AC6886" w:rsidRDefault="00466861" w:rsidP="00466861">
      <w:pPr>
        <w:pStyle w:val="Textonotapie"/>
        <w:ind w:firstLine="709"/>
        <w:rPr>
          <w:rFonts w:ascii="Arial" w:hAnsi="Arial" w:cs="Arial"/>
          <w:lang w:val="es-CO"/>
        </w:rPr>
      </w:pPr>
      <w:r w:rsidRPr="00AC6886">
        <w:rPr>
          <w:rStyle w:val="Refdenotaalpie"/>
          <w:rFonts w:ascii="Arial" w:hAnsi="Arial" w:cs="Arial"/>
        </w:rPr>
        <w:footnoteRef/>
      </w:r>
      <w:r w:rsidRPr="00AC6886">
        <w:rPr>
          <w:rFonts w:ascii="Arial" w:hAnsi="Arial" w:cs="Arial"/>
        </w:rPr>
        <w:t xml:space="preserve"> </w:t>
      </w:r>
      <w:r w:rsidRPr="00AC6886">
        <w:rPr>
          <w:rFonts w:ascii="Arial" w:hAnsi="Arial" w:cs="Arial"/>
          <w:sz w:val="19"/>
          <w:szCs w:val="19"/>
          <w:lang w:val="es-CO"/>
        </w:rPr>
        <w:t>Disponible en https://www.contraloria.gov.co/web/registro-de-obras-inconclusas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C36B1" w:rsidRDefault="00EC36B1">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3"/>
  </w:num>
  <w:num w:numId="4">
    <w:abstractNumId w:val="16"/>
  </w:num>
  <w:num w:numId="5">
    <w:abstractNumId w:val="2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2"/>
  </w:num>
  <w:num w:numId="14">
    <w:abstractNumId w:val="6"/>
  </w:num>
  <w:num w:numId="15">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4"/>
  </w:num>
  <w:num w:numId="19">
    <w:abstractNumId w:val="2"/>
  </w:num>
  <w:num w:numId="20">
    <w:abstractNumId w:val="23"/>
  </w:num>
  <w:num w:numId="21">
    <w:abstractNumId w:val="15"/>
  </w:num>
  <w:num w:numId="22">
    <w:abstractNumId w:val="5"/>
  </w:num>
  <w:num w:numId="23">
    <w:abstractNumId w:val="4"/>
  </w:num>
  <w:num w:numId="24">
    <w:abstractNumId w:val="18"/>
  </w:num>
  <w:num w:numId="25">
    <w:abstractNumId w:val="1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CO" w:vendorID="64" w:dllVersion="4096" w:nlCheck="1" w:checkStyle="0"/>
  <w:activeWritingStyle w:appName="MSWord" w:lang="pt-BR"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ctiveWritingStyle w:appName="MSWord" w:lang="es-MX"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C5C"/>
    <w:rsid w:val="000040D7"/>
    <w:rsid w:val="00004556"/>
    <w:rsid w:val="000051AF"/>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71A2"/>
    <w:rsid w:val="00017B65"/>
    <w:rsid w:val="00020158"/>
    <w:rsid w:val="000207E0"/>
    <w:rsid w:val="00020F8F"/>
    <w:rsid w:val="00021A95"/>
    <w:rsid w:val="0002256F"/>
    <w:rsid w:val="00023DAE"/>
    <w:rsid w:val="00024592"/>
    <w:rsid w:val="00024896"/>
    <w:rsid w:val="00026092"/>
    <w:rsid w:val="000263F0"/>
    <w:rsid w:val="00026407"/>
    <w:rsid w:val="000264F6"/>
    <w:rsid w:val="00026608"/>
    <w:rsid w:val="00026C0C"/>
    <w:rsid w:val="00027787"/>
    <w:rsid w:val="000278D2"/>
    <w:rsid w:val="00031384"/>
    <w:rsid w:val="000315E1"/>
    <w:rsid w:val="0003236E"/>
    <w:rsid w:val="0003339A"/>
    <w:rsid w:val="000341F2"/>
    <w:rsid w:val="00034651"/>
    <w:rsid w:val="000351F2"/>
    <w:rsid w:val="00036E03"/>
    <w:rsid w:val="000406DB"/>
    <w:rsid w:val="0004080C"/>
    <w:rsid w:val="0004094D"/>
    <w:rsid w:val="00041029"/>
    <w:rsid w:val="0004149B"/>
    <w:rsid w:val="00041CA0"/>
    <w:rsid w:val="00042961"/>
    <w:rsid w:val="000429AA"/>
    <w:rsid w:val="00042C25"/>
    <w:rsid w:val="00042D03"/>
    <w:rsid w:val="00043086"/>
    <w:rsid w:val="000430A0"/>
    <w:rsid w:val="00043A33"/>
    <w:rsid w:val="00043D3B"/>
    <w:rsid w:val="00043DFA"/>
    <w:rsid w:val="0004418C"/>
    <w:rsid w:val="00044204"/>
    <w:rsid w:val="00044498"/>
    <w:rsid w:val="000449D4"/>
    <w:rsid w:val="00046717"/>
    <w:rsid w:val="00046A63"/>
    <w:rsid w:val="00046C09"/>
    <w:rsid w:val="0004716A"/>
    <w:rsid w:val="00047385"/>
    <w:rsid w:val="000473E8"/>
    <w:rsid w:val="000504DE"/>
    <w:rsid w:val="00050E84"/>
    <w:rsid w:val="00051074"/>
    <w:rsid w:val="00051C8A"/>
    <w:rsid w:val="00052B79"/>
    <w:rsid w:val="00052EA0"/>
    <w:rsid w:val="000536E3"/>
    <w:rsid w:val="00054252"/>
    <w:rsid w:val="0005474D"/>
    <w:rsid w:val="00055CB9"/>
    <w:rsid w:val="00056F66"/>
    <w:rsid w:val="0005702F"/>
    <w:rsid w:val="0005779C"/>
    <w:rsid w:val="00061D06"/>
    <w:rsid w:val="00061E28"/>
    <w:rsid w:val="0006294B"/>
    <w:rsid w:val="00062CDD"/>
    <w:rsid w:val="00063FA5"/>
    <w:rsid w:val="000640AF"/>
    <w:rsid w:val="00064495"/>
    <w:rsid w:val="00064626"/>
    <w:rsid w:val="00064940"/>
    <w:rsid w:val="00064CAE"/>
    <w:rsid w:val="00064DB7"/>
    <w:rsid w:val="00064FA7"/>
    <w:rsid w:val="00065195"/>
    <w:rsid w:val="00070AEB"/>
    <w:rsid w:val="00070AF1"/>
    <w:rsid w:val="000714DE"/>
    <w:rsid w:val="0007254F"/>
    <w:rsid w:val="00073C30"/>
    <w:rsid w:val="00074305"/>
    <w:rsid w:val="00074B2A"/>
    <w:rsid w:val="00075B3E"/>
    <w:rsid w:val="00076456"/>
    <w:rsid w:val="0007779B"/>
    <w:rsid w:val="000777E7"/>
    <w:rsid w:val="0007790A"/>
    <w:rsid w:val="0008017B"/>
    <w:rsid w:val="00080ACD"/>
    <w:rsid w:val="00080C31"/>
    <w:rsid w:val="000811ED"/>
    <w:rsid w:val="00081284"/>
    <w:rsid w:val="00081D62"/>
    <w:rsid w:val="0008205C"/>
    <w:rsid w:val="00082B74"/>
    <w:rsid w:val="00083099"/>
    <w:rsid w:val="00083EDC"/>
    <w:rsid w:val="00084B97"/>
    <w:rsid w:val="0008510E"/>
    <w:rsid w:val="000856DE"/>
    <w:rsid w:val="00085F17"/>
    <w:rsid w:val="00085FB3"/>
    <w:rsid w:val="00086617"/>
    <w:rsid w:val="0008686B"/>
    <w:rsid w:val="00086B2A"/>
    <w:rsid w:val="00086ED2"/>
    <w:rsid w:val="000914D6"/>
    <w:rsid w:val="00091569"/>
    <w:rsid w:val="00092DCA"/>
    <w:rsid w:val="000942EB"/>
    <w:rsid w:val="00095B70"/>
    <w:rsid w:val="0009617E"/>
    <w:rsid w:val="000979CF"/>
    <w:rsid w:val="000A03C8"/>
    <w:rsid w:val="000A05F2"/>
    <w:rsid w:val="000A06C4"/>
    <w:rsid w:val="000A0861"/>
    <w:rsid w:val="000A0ED1"/>
    <w:rsid w:val="000A12DB"/>
    <w:rsid w:val="000A17C8"/>
    <w:rsid w:val="000A1949"/>
    <w:rsid w:val="000A20D7"/>
    <w:rsid w:val="000A2128"/>
    <w:rsid w:val="000A362F"/>
    <w:rsid w:val="000A3B49"/>
    <w:rsid w:val="000A5AAF"/>
    <w:rsid w:val="000A5F97"/>
    <w:rsid w:val="000A648E"/>
    <w:rsid w:val="000A73BB"/>
    <w:rsid w:val="000A7EF4"/>
    <w:rsid w:val="000B0A15"/>
    <w:rsid w:val="000B103F"/>
    <w:rsid w:val="000B1437"/>
    <w:rsid w:val="000B1470"/>
    <w:rsid w:val="000B2B86"/>
    <w:rsid w:val="000B3051"/>
    <w:rsid w:val="000B419B"/>
    <w:rsid w:val="000B41E7"/>
    <w:rsid w:val="000B5781"/>
    <w:rsid w:val="000C0185"/>
    <w:rsid w:val="000C0F81"/>
    <w:rsid w:val="000C128D"/>
    <w:rsid w:val="000C17A3"/>
    <w:rsid w:val="000C1D4B"/>
    <w:rsid w:val="000C2E4D"/>
    <w:rsid w:val="000C3260"/>
    <w:rsid w:val="000C3803"/>
    <w:rsid w:val="000C3B77"/>
    <w:rsid w:val="000C4F49"/>
    <w:rsid w:val="000C5861"/>
    <w:rsid w:val="000C639D"/>
    <w:rsid w:val="000C6C31"/>
    <w:rsid w:val="000C6DBC"/>
    <w:rsid w:val="000C6F79"/>
    <w:rsid w:val="000C7476"/>
    <w:rsid w:val="000C76A6"/>
    <w:rsid w:val="000C7711"/>
    <w:rsid w:val="000C7AA2"/>
    <w:rsid w:val="000D0462"/>
    <w:rsid w:val="000D053D"/>
    <w:rsid w:val="000D0AA7"/>
    <w:rsid w:val="000D0ED2"/>
    <w:rsid w:val="000D152A"/>
    <w:rsid w:val="000D1CEB"/>
    <w:rsid w:val="000D2563"/>
    <w:rsid w:val="000D25BF"/>
    <w:rsid w:val="000D378E"/>
    <w:rsid w:val="000D3FDC"/>
    <w:rsid w:val="000D4E38"/>
    <w:rsid w:val="000D50DB"/>
    <w:rsid w:val="000D6288"/>
    <w:rsid w:val="000D6CAF"/>
    <w:rsid w:val="000D7541"/>
    <w:rsid w:val="000D75E1"/>
    <w:rsid w:val="000E22CF"/>
    <w:rsid w:val="000E2977"/>
    <w:rsid w:val="000E30AC"/>
    <w:rsid w:val="000E3B46"/>
    <w:rsid w:val="000E3E11"/>
    <w:rsid w:val="000E4596"/>
    <w:rsid w:val="000E4EA2"/>
    <w:rsid w:val="000E5768"/>
    <w:rsid w:val="000E5843"/>
    <w:rsid w:val="000E6139"/>
    <w:rsid w:val="000E6BE1"/>
    <w:rsid w:val="000E7E0B"/>
    <w:rsid w:val="000F078A"/>
    <w:rsid w:val="000F122D"/>
    <w:rsid w:val="000F1450"/>
    <w:rsid w:val="000F14E8"/>
    <w:rsid w:val="000F1BBD"/>
    <w:rsid w:val="000F1FC6"/>
    <w:rsid w:val="000F2739"/>
    <w:rsid w:val="000F3138"/>
    <w:rsid w:val="000F3D39"/>
    <w:rsid w:val="000F4403"/>
    <w:rsid w:val="000F4C85"/>
    <w:rsid w:val="000F4E17"/>
    <w:rsid w:val="000F6578"/>
    <w:rsid w:val="000F70CD"/>
    <w:rsid w:val="000F7ABD"/>
    <w:rsid w:val="000F7E8F"/>
    <w:rsid w:val="000F7FBB"/>
    <w:rsid w:val="001000FB"/>
    <w:rsid w:val="00102605"/>
    <w:rsid w:val="00102686"/>
    <w:rsid w:val="00102745"/>
    <w:rsid w:val="00103361"/>
    <w:rsid w:val="00103855"/>
    <w:rsid w:val="00103915"/>
    <w:rsid w:val="00103EA0"/>
    <w:rsid w:val="00104F1C"/>
    <w:rsid w:val="001051E5"/>
    <w:rsid w:val="00105671"/>
    <w:rsid w:val="00105A74"/>
    <w:rsid w:val="00105ACB"/>
    <w:rsid w:val="00105AEF"/>
    <w:rsid w:val="00106259"/>
    <w:rsid w:val="001068EB"/>
    <w:rsid w:val="001078CE"/>
    <w:rsid w:val="00110CEB"/>
    <w:rsid w:val="00110F61"/>
    <w:rsid w:val="001111BD"/>
    <w:rsid w:val="0011165A"/>
    <w:rsid w:val="0011177B"/>
    <w:rsid w:val="00111B2B"/>
    <w:rsid w:val="00112774"/>
    <w:rsid w:val="00112B2E"/>
    <w:rsid w:val="00113003"/>
    <w:rsid w:val="00113062"/>
    <w:rsid w:val="00113705"/>
    <w:rsid w:val="00113975"/>
    <w:rsid w:val="00113CFC"/>
    <w:rsid w:val="00113FEA"/>
    <w:rsid w:val="00114A22"/>
    <w:rsid w:val="00114E9D"/>
    <w:rsid w:val="0011507B"/>
    <w:rsid w:val="00116328"/>
    <w:rsid w:val="001174C9"/>
    <w:rsid w:val="00117E69"/>
    <w:rsid w:val="00121103"/>
    <w:rsid w:val="0012156A"/>
    <w:rsid w:val="00121BAB"/>
    <w:rsid w:val="00121E3C"/>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1B5A"/>
    <w:rsid w:val="00132C30"/>
    <w:rsid w:val="00132EFD"/>
    <w:rsid w:val="00133AED"/>
    <w:rsid w:val="00134FF9"/>
    <w:rsid w:val="00135E88"/>
    <w:rsid w:val="0013695C"/>
    <w:rsid w:val="001369F5"/>
    <w:rsid w:val="00136BF7"/>
    <w:rsid w:val="001378B9"/>
    <w:rsid w:val="00137FFA"/>
    <w:rsid w:val="00140109"/>
    <w:rsid w:val="0014029B"/>
    <w:rsid w:val="00140A4F"/>
    <w:rsid w:val="001413AB"/>
    <w:rsid w:val="001440D0"/>
    <w:rsid w:val="00144335"/>
    <w:rsid w:val="0014502F"/>
    <w:rsid w:val="00145282"/>
    <w:rsid w:val="001453B0"/>
    <w:rsid w:val="001454D9"/>
    <w:rsid w:val="00145D8E"/>
    <w:rsid w:val="00146083"/>
    <w:rsid w:val="001462F7"/>
    <w:rsid w:val="001466F0"/>
    <w:rsid w:val="00147798"/>
    <w:rsid w:val="00150005"/>
    <w:rsid w:val="00151B99"/>
    <w:rsid w:val="001521B2"/>
    <w:rsid w:val="00152288"/>
    <w:rsid w:val="00152EDD"/>
    <w:rsid w:val="00153491"/>
    <w:rsid w:val="001534D2"/>
    <w:rsid w:val="0015361C"/>
    <w:rsid w:val="0015372F"/>
    <w:rsid w:val="00153BFB"/>
    <w:rsid w:val="0015407E"/>
    <w:rsid w:val="0015448E"/>
    <w:rsid w:val="00154933"/>
    <w:rsid w:val="00154A6F"/>
    <w:rsid w:val="00155D08"/>
    <w:rsid w:val="00156BE5"/>
    <w:rsid w:val="00157232"/>
    <w:rsid w:val="00160401"/>
    <w:rsid w:val="00160D4E"/>
    <w:rsid w:val="0016125D"/>
    <w:rsid w:val="00161E62"/>
    <w:rsid w:val="00161F1C"/>
    <w:rsid w:val="0016200B"/>
    <w:rsid w:val="00163D7A"/>
    <w:rsid w:val="00164281"/>
    <w:rsid w:val="00167503"/>
    <w:rsid w:val="001676A9"/>
    <w:rsid w:val="00167A15"/>
    <w:rsid w:val="00167A50"/>
    <w:rsid w:val="00167DF5"/>
    <w:rsid w:val="00170001"/>
    <w:rsid w:val="0017118C"/>
    <w:rsid w:val="00172198"/>
    <w:rsid w:val="00172612"/>
    <w:rsid w:val="00172817"/>
    <w:rsid w:val="001734E3"/>
    <w:rsid w:val="001742BF"/>
    <w:rsid w:val="00175E49"/>
    <w:rsid w:val="001764C4"/>
    <w:rsid w:val="00177076"/>
    <w:rsid w:val="001805C1"/>
    <w:rsid w:val="00180A2E"/>
    <w:rsid w:val="001813AF"/>
    <w:rsid w:val="001829CD"/>
    <w:rsid w:val="00182F01"/>
    <w:rsid w:val="00184E59"/>
    <w:rsid w:val="00184F27"/>
    <w:rsid w:val="0018519B"/>
    <w:rsid w:val="00185AFE"/>
    <w:rsid w:val="00185E78"/>
    <w:rsid w:val="00187177"/>
    <w:rsid w:val="00187443"/>
    <w:rsid w:val="00187ABD"/>
    <w:rsid w:val="001904E3"/>
    <w:rsid w:val="0019087A"/>
    <w:rsid w:val="00191C5A"/>
    <w:rsid w:val="00191CEB"/>
    <w:rsid w:val="00191E63"/>
    <w:rsid w:val="00192D68"/>
    <w:rsid w:val="0019388B"/>
    <w:rsid w:val="00193B9A"/>
    <w:rsid w:val="001946AE"/>
    <w:rsid w:val="001946D5"/>
    <w:rsid w:val="00194E8C"/>
    <w:rsid w:val="0019541E"/>
    <w:rsid w:val="001962EC"/>
    <w:rsid w:val="001963DD"/>
    <w:rsid w:val="001965DB"/>
    <w:rsid w:val="00196DC9"/>
    <w:rsid w:val="001A01ED"/>
    <w:rsid w:val="001A0236"/>
    <w:rsid w:val="001A0AF8"/>
    <w:rsid w:val="001A18D5"/>
    <w:rsid w:val="001A1D4A"/>
    <w:rsid w:val="001A3011"/>
    <w:rsid w:val="001A4DAF"/>
    <w:rsid w:val="001A66DF"/>
    <w:rsid w:val="001A67D0"/>
    <w:rsid w:val="001A7591"/>
    <w:rsid w:val="001A75B1"/>
    <w:rsid w:val="001B0366"/>
    <w:rsid w:val="001B0444"/>
    <w:rsid w:val="001B096B"/>
    <w:rsid w:val="001B0F9F"/>
    <w:rsid w:val="001B123C"/>
    <w:rsid w:val="001B1A0D"/>
    <w:rsid w:val="001B1BF1"/>
    <w:rsid w:val="001B2456"/>
    <w:rsid w:val="001B449C"/>
    <w:rsid w:val="001B4AA2"/>
    <w:rsid w:val="001B4ADE"/>
    <w:rsid w:val="001B5EF8"/>
    <w:rsid w:val="001B7F0B"/>
    <w:rsid w:val="001C07C6"/>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2A4A"/>
    <w:rsid w:val="001D30F3"/>
    <w:rsid w:val="001D31A0"/>
    <w:rsid w:val="001D338E"/>
    <w:rsid w:val="001D4141"/>
    <w:rsid w:val="001D56E9"/>
    <w:rsid w:val="001D7923"/>
    <w:rsid w:val="001D796A"/>
    <w:rsid w:val="001D7A84"/>
    <w:rsid w:val="001D7C79"/>
    <w:rsid w:val="001E15F0"/>
    <w:rsid w:val="001E1CC4"/>
    <w:rsid w:val="001E1D38"/>
    <w:rsid w:val="001E218A"/>
    <w:rsid w:val="001E4258"/>
    <w:rsid w:val="001E56FF"/>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44"/>
    <w:rsid w:val="00202F83"/>
    <w:rsid w:val="002037AA"/>
    <w:rsid w:val="00203FE3"/>
    <w:rsid w:val="002042D8"/>
    <w:rsid w:val="00204515"/>
    <w:rsid w:val="00204BF5"/>
    <w:rsid w:val="00204E6B"/>
    <w:rsid w:val="002058D4"/>
    <w:rsid w:val="00205BAA"/>
    <w:rsid w:val="0020632A"/>
    <w:rsid w:val="0020697F"/>
    <w:rsid w:val="002110EB"/>
    <w:rsid w:val="00211338"/>
    <w:rsid w:val="00211388"/>
    <w:rsid w:val="0021148C"/>
    <w:rsid w:val="00211694"/>
    <w:rsid w:val="0021201A"/>
    <w:rsid w:val="00213A1F"/>
    <w:rsid w:val="00213C63"/>
    <w:rsid w:val="00214502"/>
    <w:rsid w:val="00214741"/>
    <w:rsid w:val="0021539A"/>
    <w:rsid w:val="00215852"/>
    <w:rsid w:val="00215B8E"/>
    <w:rsid w:val="00216264"/>
    <w:rsid w:val="002176B6"/>
    <w:rsid w:val="0021792D"/>
    <w:rsid w:val="00217DB8"/>
    <w:rsid w:val="0022032A"/>
    <w:rsid w:val="002221CE"/>
    <w:rsid w:val="00222BE8"/>
    <w:rsid w:val="00223102"/>
    <w:rsid w:val="002232CB"/>
    <w:rsid w:val="00224022"/>
    <w:rsid w:val="00226055"/>
    <w:rsid w:val="0022613F"/>
    <w:rsid w:val="00226236"/>
    <w:rsid w:val="002270C9"/>
    <w:rsid w:val="00227A8B"/>
    <w:rsid w:val="0023146B"/>
    <w:rsid w:val="002315A0"/>
    <w:rsid w:val="00231EC7"/>
    <w:rsid w:val="00232E15"/>
    <w:rsid w:val="00233079"/>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5B8"/>
    <w:rsid w:val="00241618"/>
    <w:rsid w:val="00242D62"/>
    <w:rsid w:val="002431D7"/>
    <w:rsid w:val="00243319"/>
    <w:rsid w:val="00244058"/>
    <w:rsid w:val="0024465A"/>
    <w:rsid w:val="00245718"/>
    <w:rsid w:val="00245E07"/>
    <w:rsid w:val="00247712"/>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600BD"/>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CB5"/>
    <w:rsid w:val="00271098"/>
    <w:rsid w:val="002711A4"/>
    <w:rsid w:val="00271F13"/>
    <w:rsid w:val="00274DB5"/>
    <w:rsid w:val="00275BB1"/>
    <w:rsid w:val="00275FBF"/>
    <w:rsid w:val="00276373"/>
    <w:rsid w:val="00277933"/>
    <w:rsid w:val="00277F8D"/>
    <w:rsid w:val="00277FA7"/>
    <w:rsid w:val="00280F3D"/>
    <w:rsid w:val="0028106A"/>
    <w:rsid w:val="0028187B"/>
    <w:rsid w:val="00281EB4"/>
    <w:rsid w:val="0028308E"/>
    <w:rsid w:val="002834E9"/>
    <w:rsid w:val="00283A52"/>
    <w:rsid w:val="00283C5E"/>
    <w:rsid w:val="00283E26"/>
    <w:rsid w:val="0028428F"/>
    <w:rsid w:val="00284CFC"/>
    <w:rsid w:val="00285832"/>
    <w:rsid w:val="00285969"/>
    <w:rsid w:val="0028663B"/>
    <w:rsid w:val="00286CEC"/>
    <w:rsid w:val="002871A9"/>
    <w:rsid w:val="00290781"/>
    <w:rsid w:val="002907A4"/>
    <w:rsid w:val="00291784"/>
    <w:rsid w:val="00291917"/>
    <w:rsid w:val="002929BB"/>
    <w:rsid w:val="00294368"/>
    <w:rsid w:val="00294B78"/>
    <w:rsid w:val="00295949"/>
    <w:rsid w:val="0029624A"/>
    <w:rsid w:val="00296922"/>
    <w:rsid w:val="00297098"/>
    <w:rsid w:val="002A05D4"/>
    <w:rsid w:val="002A09FF"/>
    <w:rsid w:val="002A0E60"/>
    <w:rsid w:val="002A1A58"/>
    <w:rsid w:val="002A1B02"/>
    <w:rsid w:val="002A1C53"/>
    <w:rsid w:val="002A28FC"/>
    <w:rsid w:val="002A2B44"/>
    <w:rsid w:val="002A2EA5"/>
    <w:rsid w:val="002A3D94"/>
    <w:rsid w:val="002A4736"/>
    <w:rsid w:val="002A4B1C"/>
    <w:rsid w:val="002A4CC8"/>
    <w:rsid w:val="002A6AFB"/>
    <w:rsid w:val="002A733D"/>
    <w:rsid w:val="002A774A"/>
    <w:rsid w:val="002A7E5C"/>
    <w:rsid w:val="002A7F6D"/>
    <w:rsid w:val="002B0598"/>
    <w:rsid w:val="002B1342"/>
    <w:rsid w:val="002B17AD"/>
    <w:rsid w:val="002B27C8"/>
    <w:rsid w:val="002B2A7F"/>
    <w:rsid w:val="002B330B"/>
    <w:rsid w:val="002B3717"/>
    <w:rsid w:val="002B39BE"/>
    <w:rsid w:val="002B438C"/>
    <w:rsid w:val="002B48DB"/>
    <w:rsid w:val="002B4B34"/>
    <w:rsid w:val="002B541A"/>
    <w:rsid w:val="002B5D32"/>
    <w:rsid w:val="002B6407"/>
    <w:rsid w:val="002B6416"/>
    <w:rsid w:val="002B6459"/>
    <w:rsid w:val="002B73B0"/>
    <w:rsid w:val="002C1143"/>
    <w:rsid w:val="002C11FA"/>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D0845"/>
    <w:rsid w:val="002D0933"/>
    <w:rsid w:val="002D19BB"/>
    <w:rsid w:val="002D1A9B"/>
    <w:rsid w:val="002D22C5"/>
    <w:rsid w:val="002D301F"/>
    <w:rsid w:val="002D302A"/>
    <w:rsid w:val="002D36C6"/>
    <w:rsid w:val="002D37C1"/>
    <w:rsid w:val="002D444B"/>
    <w:rsid w:val="002D4A45"/>
    <w:rsid w:val="002D4A73"/>
    <w:rsid w:val="002D4B42"/>
    <w:rsid w:val="002D4DBA"/>
    <w:rsid w:val="002D5A1B"/>
    <w:rsid w:val="002D65BC"/>
    <w:rsid w:val="002D6AD0"/>
    <w:rsid w:val="002D6D7E"/>
    <w:rsid w:val="002D760C"/>
    <w:rsid w:val="002E055C"/>
    <w:rsid w:val="002E1050"/>
    <w:rsid w:val="002E18E5"/>
    <w:rsid w:val="002E1953"/>
    <w:rsid w:val="002E2D7D"/>
    <w:rsid w:val="002E3AB5"/>
    <w:rsid w:val="002E3D76"/>
    <w:rsid w:val="002E40A1"/>
    <w:rsid w:val="002E48EC"/>
    <w:rsid w:val="002E4B44"/>
    <w:rsid w:val="002E4ECB"/>
    <w:rsid w:val="002E4F23"/>
    <w:rsid w:val="002E7847"/>
    <w:rsid w:val="002F0073"/>
    <w:rsid w:val="002F0618"/>
    <w:rsid w:val="002F1E67"/>
    <w:rsid w:val="002F240B"/>
    <w:rsid w:val="002F2F50"/>
    <w:rsid w:val="002F3601"/>
    <w:rsid w:val="002F45F6"/>
    <w:rsid w:val="002F692F"/>
    <w:rsid w:val="002F7B66"/>
    <w:rsid w:val="00300CB4"/>
    <w:rsid w:val="00300E24"/>
    <w:rsid w:val="003033BA"/>
    <w:rsid w:val="003043A3"/>
    <w:rsid w:val="00304BD4"/>
    <w:rsid w:val="0030500A"/>
    <w:rsid w:val="0030517B"/>
    <w:rsid w:val="003052EB"/>
    <w:rsid w:val="00305FCB"/>
    <w:rsid w:val="003063C3"/>
    <w:rsid w:val="00306B44"/>
    <w:rsid w:val="00307C44"/>
    <w:rsid w:val="0031088E"/>
    <w:rsid w:val="00310D01"/>
    <w:rsid w:val="00311376"/>
    <w:rsid w:val="00311A1F"/>
    <w:rsid w:val="00311B47"/>
    <w:rsid w:val="00311D52"/>
    <w:rsid w:val="00312190"/>
    <w:rsid w:val="003125E0"/>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137B"/>
    <w:rsid w:val="00321BD6"/>
    <w:rsid w:val="00321FA3"/>
    <w:rsid w:val="003227D3"/>
    <w:rsid w:val="00322937"/>
    <w:rsid w:val="00322A46"/>
    <w:rsid w:val="00322A84"/>
    <w:rsid w:val="00323881"/>
    <w:rsid w:val="00323B73"/>
    <w:rsid w:val="00325D98"/>
    <w:rsid w:val="0032682A"/>
    <w:rsid w:val="00327A5C"/>
    <w:rsid w:val="0033092C"/>
    <w:rsid w:val="0033122A"/>
    <w:rsid w:val="003315AC"/>
    <w:rsid w:val="00331932"/>
    <w:rsid w:val="00333A88"/>
    <w:rsid w:val="00335B15"/>
    <w:rsid w:val="00335B21"/>
    <w:rsid w:val="00335D3F"/>
    <w:rsid w:val="00336104"/>
    <w:rsid w:val="00336729"/>
    <w:rsid w:val="0033726D"/>
    <w:rsid w:val="00337362"/>
    <w:rsid w:val="00337CA8"/>
    <w:rsid w:val="0034177C"/>
    <w:rsid w:val="00342345"/>
    <w:rsid w:val="00342C27"/>
    <w:rsid w:val="003430C8"/>
    <w:rsid w:val="003432C8"/>
    <w:rsid w:val="003434B3"/>
    <w:rsid w:val="00343536"/>
    <w:rsid w:val="00343EFB"/>
    <w:rsid w:val="00344760"/>
    <w:rsid w:val="0034680A"/>
    <w:rsid w:val="00346C62"/>
    <w:rsid w:val="0034778E"/>
    <w:rsid w:val="003501E2"/>
    <w:rsid w:val="0035071F"/>
    <w:rsid w:val="00351E10"/>
    <w:rsid w:val="0035273A"/>
    <w:rsid w:val="003533F4"/>
    <w:rsid w:val="003536F6"/>
    <w:rsid w:val="00353DD5"/>
    <w:rsid w:val="00355131"/>
    <w:rsid w:val="00356438"/>
    <w:rsid w:val="00360E6D"/>
    <w:rsid w:val="00361A59"/>
    <w:rsid w:val="00363348"/>
    <w:rsid w:val="00363857"/>
    <w:rsid w:val="00363D59"/>
    <w:rsid w:val="003640F7"/>
    <w:rsid w:val="00364300"/>
    <w:rsid w:val="00365D3A"/>
    <w:rsid w:val="003664FF"/>
    <w:rsid w:val="00366BD2"/>
    <w:rsid w:val="003670B8"/>
    <w:rsid w:val="003704A3"/>
    <w:rsid w:val="003706F2"/>
    <w:rsid w:val="0037124F"/>
    <w:rsid w:val="00371CA6"/>
    <w:rsid w:val="00373827"/>
    <w:rsid w:val="0037401C"/>
    <w:rsid w:val="00374A1E"/>
    <w:rsid w:val="0037507B"/>
    <w:rsid w:val="00375C7C"/>
    <w:rsid w:val="00377027"/>
    <w:rsid w:val="00377135"/>
    <w:rsid w:val="00380272"/>
    <w:rsid w:val="00380576"/>
    <w:rsid w:val="003805DB"/>
    <w:rsid w:val="003813F4"/>
    <w:rsid w:val="0038152A"/>
    <w:rsid w:val="00381B96"/>
    <w:rsid w:val="00382BAD"/>
    <w:rsid w:val="00384DF1"/>
    <w:rsid w:val="00384FF3"/>
    <w:rsid w:val="00386456"/>
    <w:rsid w:val="003865A9"/>
    <w:rsid w:val="00387642"/>
    <w:rsid w:val="00390F32"/>
    <w:rsid w:val="0039135E"/>
    <w:rsid w:val="0039319C"/>
    <w:rsid w:val="00393CAE"/>
    <w:rsid w:val="003945DC"/>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4A8E"/>
    <w:rsid w:val="003A563C"/>
    <w:rsid w:val="003A581E"/>
    <w:rsid w:val="003A5CEF"/>
    <w:rsid w:val="003A6160"/>
    <w:rsid w:val="003A65A5"/>
    <w:rsid w:val="003A6BA5"/>
    <w:rsid w:val="003A72F5"/>
    <w:rsid w:val="003A78E5"/>
    <w:rsid w:val="003B0341"/>
    <w:rsid w:val="003B120F"/>
    <w:rsid w:val="003B1E57"/>
    <w:rsid w:val="003B28F8"/>
    <w:rsid w:val="003B2EF3"/>
    <w:rsid w:val="003B4B1C"/>
    <w:rsid w:val="003B4CB2"/>
    <w:rsid w:val="003B534F"/>
    <w:rsid w:val="003B5391"/>
    <w:rsid w:val="003B5AB7"/>
    <w:rsid w:val="003B65D7"/>
    <w:rsid w:val="003B65E0"/>
    <w:rsid w:val="003B6BD4"/>
    <w:rsid w:val="003B6F4D"/>
    <w:rsid w:val="003B6FE7"/>
    <w:rsid w:val="003C01C6"/>
    <w:rsid w:val="003C0D1F"/>
    <w:rsid w:val="003C116A"/>
    <w:rsid w:val="003C1AF4"/>
    <w:rsid w:val="003C1B63"/>
    <w:rsid w:val="003C1CB8"/>
    <w:rsid w:val="003C2550"/>
    <w:rsid w:val="003C287F"/>
    <w:rsid w:val="003C3339"/>
    <w:rsid w:val="003C375A"/>
    <w:rsid w:val="003C4D9F"/>
    <w:rsid w:val="003C622C"/>
    <w:rsid w:val="003C6E89"/>
    <w:rsid w:val="003C73C7"/>
    <w:rsid w:val="003C784E"/>
    <w:rsid w:val="003D050B"/>
    <w:rsid w:val="003D0B98"/>
    <w:rsid w:val="003D0C3C"/>
    <w:rsid w:val="003D0DE5"/>
    <w:rsid w:val="003D1351"/>
    <w:rsid w:val="003D21C1"/>
    <w:rsid w:val="003D3707"/>
    <w:rsid w:val="003D385F"/>
    <w:rsid w:val="003D3B15"/>
    <w:rsid w:val="003D3B2E"/>
    <w:rsid w:val="003D484D"/>
    <w:rsid w:val="003D49CB"/>
    <w:rsid w:val="003D4BD6"/>
    <w:rsid w:val="003D6B8F"/>
    <w:rsid w:val="003D7566"/>
    <w:rsid w:val="003E09BB"/>
    <w:rsid w:val="003E159D"/>
    <w:rsid w:val="003E20EA"/>
    <w:rsid w:val="003E210C"/>
    <w:rsid w:val="003E2F55"/>
    <w:rsid w:val="003E34DB"/>
    <w:rsid w:val="003E3833"/>
    <w:rsid w:val="003E389E"/>
    <w:rsid w:val="003E3AF9"/>
    <w:rsid w:val="003E4A70"/>
    <w:rsid w:val="003E4C48"/>
    <w:rsid w:val="003E4CD9"/>
    <w:rsid w:val="003E54B3"/>
    <w:rsid w:val="003E5780"/>
    <w:rsid w:val="003E5B9F"/>
    <w:rsid w:val="003E6072"/>
    <w:rsid w:val="003E6AB6"/>
    <w:rsid w:val="003E6E0B"/>
    <w:rsid w:val="003E71CD"/>
    <w:rsid w:val="003E78DA"/>
    <w:rsid w:val="003E7A8B"/>
    <w:rsid w:val="003F0212"/>
    <w:rsid w:val="003F0F7F"/>
    <w:rsid w:val="003F300D"/>
    <w:rsid w:val="003F391F"/>
    <w:rsid w:val="003F4599"/>
    <w:rsid w:val="003F45E1"/>
    <w:rsid w:val="003F4F6C"/>
    <w:rsid w:val="003F516A"/>
    <w:rsid w:val="003F559E"/>
    <w:rsid w:val="003F6181"/>
    <w:rsid w:val="003F63EE"/>
    <w:rsid w:val="003F7343"/>
    <w:rsid w:val="00400002"/>
    <w:rsid w:val="00400054"/>
    <w:rsid w:val="004016A3"/>
    <w:rsid w:val="00401B31"/>
    <w:rsid w:val="0040202B"/>
    <w:rsid w:val="00402DE1"/>
    <w:rsid w:val="00402EEB"/>
    <w:rsid w:val="004037C2"/>
    <w:rsid w:val="00404041"/>
    <w:rsid w:val="00404B43"/>
    <w:rsid w:val="00404C61"/>
    <w:rsid w:val="00405487"/>
    <w:rsid w:val="0040602B"/>
    <w:rsid w:val="00407A7A"/>
    <w:rsid w:val="00407ABC"/>
    <w:rsid w:val="00407F1E"/>
    <w:rsid w:val="00410A88"/>
    <w:rsid w:val="00411317"/>
    <w:rsid w:val="00411A9E"/>
    <w:rsid w:val="0041259F"/>
    <w:rsid w:val="00412B4D"/>
    <w:rsid w:val="00412C51"/>
    <w:rsid w:val="00413262"/>
    <w:rsid w:val="0041329C"/>
    <w:rsid w:val="004139F4"/>
    <w:rsid w:val="00413FFA"/>
    <w:rsid w:val="00414246"/>
    <w:rsid w:val="0041475B"/>
    <w:rsid w:val="00414D9A"/>
    <w:rsid w:val="00415194"/>
    <w:rsid w:val="00415816"/>
    <w:rsid w:val="00415B88"/>
    <w:rsid w:val="00415D32"/>
    <w:rsid w:val="004160A2"/>
    <w:rsid w:val="004170D7"/>
    <w:rsid w:val="004177A6"/>
    <w:rsid w:val="00417EFD"/>
    <w:rsid w:val="004200EE"/>
    <w:rsid w:val="004205A4"/>
    <w:rsid w:val="004209D2"/>
    <w:rsid w:val="00420D6E"/>
    <w:rsid w:val="00421BD2"/>
    <w:rsid w:val="00421E00"/>
    <w:rsid w:val="00421FCB"/>
    <w:rsid w:val="00422DCA"/>
    <w:rsid w:val="00423F9F"/>
    <w:rsid w:val="00425C43"/>
    <w:rsid w:val="00426C69"/>
    <w:rsid w:val="004273FA"/>
    <w:rsid w:val="00430186"/>
    <w:rsid w:val="0043269A"/>
    <w:rsid w:val="004333C2"/>
    <w:rsid w:val="00433ACB"/>
    <w:rsid w:val="00433C27"/>
    <w:rsid w:val="00434787"/>
    <w:rsid w:val="004347DA"/>
    <w:rsid w:val="00434C13"/>
    <w:rsid w:val="00436323"/>
    <w:rsid w:val="0043683F"/>
    <w:rsid w:val="00436F40"/>
    <w:rsid w:val="004370FA"/>
    <w:rsid w:val="00440096"/>
    <w:rsid w:val="004403DD"/>
    <w:rsid w:val="00440DB0"/>
    <w:rsid w:val="00440FAD"/>
    <w:rsid w:val="00441291"/>
    <w:rsid w:val="004420AB"/>
    <w:rsid w:val="004422D6"/>
    <w:rsid w:val="004427AC"/>
    <w:rsid w:val="00442D4D"/>
    <w:rsid w:val="00443613"/>
    <w:rsid w:val="0044374D"/>
    <w:rsid w:val="00443865"/>
    <w:rsid w:val="00443B55"/>
    <w:rsid w:val="00443D27"/>
    <w:rsid w:val="00445AC2"/>
    <w:rsid w:val="00445DBE"/>
    <w:rsid w:val="00446037"/>
    <w:rsid w:val="0044642F"/>
    <w:rsid w:val="0044772C"/>
    <w:rsid w:val="00447E82"/>
    <w:rsid w:val="00450846"/>
    <w:rsid w:val="00451A52"/>
    <w:rsid w:val="00451FC8"/>
    <w:rsid w:val="0045271D"/>
    <w:rsid w:val="00452755"/>
    <w:rsid w:val="00452803"/>
    <w:rsid w:val="004529C6"/>
    <w:rsid w:val="00452EAD"/>
    <w:rsid w:val="004533D1"/>
    <w:rsid w:val="004534D1"/>
    <w:rsid w:val="00454548"/>
    <w:rsid w:val="00454717"/>
    <w:rsid w:val="00455047"/>
    <w:rsid w:val="00455354"/>
    <w:rsid w:val="0045558D"/>
    <w:rsid w:val="00456970"/>
    <w:rsid w:val="00456BB1"/>
    <w:rsid w:val="00456DDB"/>
    <w:rsid w:val="00457570"/>
    <w:rsid w:val="00460915"/>
    <w:rsid w:val="00460946"/>
    <w:rsid w:val="004613D2"/>
    <w:rsid w:val="004614A9"/>
    <w:rsid w:val="00461E97"/>
    <w:rsid w:val="0046268F"/>
    <w:rsid w:val="0046284F"/>
    <w:rsid w:val="00462B10"/>
    <w:rsid w:val="00462C04"/>
    <w:rsid w:val="0046320A"/>
    <w:rsid w:val="0046361D"/>
    <w:rsid w:val="004638E2"/>
    <w:rsid w:val="00464030"/>
    <w:rsid w:val="004647F8"/>
    <w:rsid w:val="004647FB"/>
    <w:rsid w:val="00464EF5"/>
    <w:rsid w:val="00465677"/>
    <w:rsid w:val="00465AC3"/>
    <w:rsid w:val="00465D00"/>
    <w:rsid w:val="00466616"/>
    <w:rsid w:val="00466861"/>
    <w:rsid w:val="00466A0C"/>
    <w:rsid w:val="00470A6A"/>
    <w:rsid w:val="00470D92"/>
    <w:rsid w:val="004712D1"/>
    <w:rsid w:val="00471DF7"/>
    <w:rsid w:val="00471F6B"/>
    <w:rsid w:val="0047295C"/>
    <w:rsid w:val="00472D8E"/>
    <w:rsid w:val="004734CF"/>
    <w:rsid w:val="004746A1"/>
    <w:rsid w:val="00475C5A"/>
    <w:rsid w:val="00475C9C"/>
    <w:rsid w:val="0047676B"/>
    <w:rsid w:val="0047773C"/>
    <w:rsid w:val="00477C5F"/>
    <w:rsid w:val="00480050"/>
    <w:rsid w:val="004808DE"/>
    <w:rsid w:val="00481AC4"/>
    <w:rsid w:val="00481DC1"/>
    <w:rsid w:val="00482507"/>
    <w:rsid w:val="0048268A"/>
    <w:rsid w:val="0048308A"/>
    <w:rsid w:val="00483356"/>
    <w:rsid w:val="004835CA"/>
    <w:rsid w:val="004836F8"/>
    <w:rsid w:val="004836FE"/>
    <w:rsid w:val="004843F9"/>
    <w:rsid w:val="004847E6"/>
    <w:rsid w:val="00484F0F"/>
    <w:rsid w:val="00484F40"/>
    <w:rsid w:val="0048540C"/>
    <w:rsid w:val="0048592F"/>
    <w:rsid w:val="004861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078"/>
    <w:rsid w:val="00493E04"/>
    <w:rsid w:val="004940E3"/>
    <w:rsid w:val="0049530F"/>
    <w:rsid w:val="00496664"/>
    <w:rsid w:val="00496786"/>
    <w:rsid w:val="0049695B"/>
    <w:rsid w:val="00496D8F"/>
    <w:rsid w:val="00497463"/>
    <w:rsid w:val="00497B15"/>
    <w:rsid w:val="004A054C"/>
    <w:rsid w:val="004A08D1"/>
    <w:rsid w:val="004A16C1"/>
    <w:rsid w:val="004A1CE2"/>
    <w:rsid w:val="004A2800"/>
    <w:rsid w:val="004A34D2"/>
    <w:rsid w:val="004A3EAB"/>
    <w:rsid w:val="004A41BA"/>
    <w:rsid w:val="004A4241"/>
    <w:rsid w:val="004A4301"/>
    <w:rsid w:val="004A4E65"/>
    <w:rsid w:val="004A58EE"/>
    <w:rsid w:val="004A59B7"/>
    <w:rsid w:val="004A623B"/>
    <w:rsid w:val="004A6A04"/>
    <w:rsid w:val="004A6A52"/>
    <w:rsid w:val="004B0F0B"/>
    <w:rsid w:val="004B2197"/>
    <w:rsid w:val="004B298A"/>
    <w:rsid w:val="004B578D"/>
    <w:rsid w:val="004B5BE7"/>
    <w:rsid w:val="004B5E2D"/>
    <w:rsid w:val="004B6C07"/>
    <w:rsid w:val="004B74D3"/>
    <w:rsid w:val="004B76D3"/>
    <w:rsid w:val="004B788E"/>
    <w:rsid w:val="004B7E5D"/>
    <w:rsid w:val="004C0DD8"/>
    <w:rsid w:val="004C22F7"/>
    <w:rsid w:val="004C2B27"/>
    <w:rsid w:val="004C34CD"/>
    <w:rsid w:val="004C3929"/>
    <w:rsid w:val="004C3C93"/>
    <w:rsid w:val="004C4DCB"/>
    <w:rsid w:val="004C5212"/>
    <w:rsid w:val="004C5EF0"/>
    <w:rsid w:val="004C683D"/>
    <w:rsid w:val="004C7226"/>
    <w:rsid w:val="004C74C9"/>
    <w:rsid w:val="004C7D70"/>
    <w:rsid w:val="004D02F9"/>
    <w:rsid w:val="004D03FE"/>
    <w:rsid w:val="004D0446"/>
    <w:rsid w:val="004D0F95"/>
    <w:rsid w:val="004D106A"/>
    <w:rsid w:val="004D31EE"/>
    <w:rsid w:val="004D36AF"/>
    <w:rsid w:val="004D3BD1"/>
    <w:rsid w:val="004D4BA1"/>
    <w:rsid w:val="004D584D"/>
    <w:rsid w:val="004D5E20"/>
    <w:rsid w:val="004D6826"/>
    <w:rsid w:val="004E023F"/>
    <w:rsid w:val="004E0742"/>
    <w:rsid w:val="004E0C64"/>
    <w:rsid w:val="004E0F6B"/>
    <w:rsid w:val="004E1545"/>
    <w:rsid w:val="004E1F1C"/>
    <w:rsid w:val="004E2A35"/>
    <w:rsid w:val="004E40CE"/>
    <w:rsid w:val="004E518D"/>
    <w:rsid w:val="004E5736"/>
    <w:rsid w:val="004E5B36"/>
    <w:rsid w:val="004E6045"/>
    <w:rsid w:val="004E6F43"/>
    <w:rsid w:val="004E6F55"/>
    <w:rsid w:val="004E7200"/>
    <w:rsid w:val="004E7A24"/>
    <w:rsid w:val="004F034D"/>
    <w:rsid w:val="004F053F"/>
    <w:rsid w:val="004F091D"/>
    <w:rsid w:val="004F0960"/>
    <w:rsid w:val="004F0A5C"/>
    <w:rsid w:val="004F163F"/>
    <w:rsid w:val="004F18A0"/>
    <w:rsid w:val="004F1A08"/>
    <w:rsid w:val="004F2B64"/>
    <w:rsid w:val="004F2E3D"/>
    <w:rsid w:val="004F3764"/>
    <w:rsid w:val="004F3EEF"/>
    <w:rsid w:val="004F4248"/>
    <w:rsid w:val="004F5930"/>
    <w:rsid w:val="004F5970"/>
    <w:rsid w:val="004F5F0C"/>
    <w:rsid w:val="004F6121"/>
    <w:rsid w:val="004F6161"/>
    <w:rsid w:val="004F66BC"/>
    <w:rsid w:val="004F6C26"/>
    <w:rsid w:val="004F7AC9"/>
    <w:rsid w:val="00500135"/>
    <w:rsid w:val="0050062F"/>
    <w:rsid w:val="005012E2"/>
    <w:rsid w:val="0050160F"/>
    <w:rsid w:val="0050284E"/>
    <w:rsid w:val="00505DCB"/>
    <w:rsid w:val="005075CA"/>
    <w:rsid w:val="0051074C"/>
    <w:rsid w:val="00510DE9"/>
    <w:rsid w:val="005111E2"/>
    <w:rsid w:val="00511218"/>
    <w:rsid w:val="00511231"/>
    <w:rsid w:val="00512779"/>
    <w:rsid w:val="00512C4F"/>
    <w:rsid w:val="00513042"/>
    <w:rsid w:val="0051334F"/>
    <w:rsid w:val="00513399"/>
    <w:rsid w:val="00513AA0"/>
    <w:rsid w:val="00513AF2"/>
    <w:rsid w:val="00514575"/>
    <w:rsid w:val="00514C03"/>
    <w:rsid w:val="00514D67"/>
    <w:rsid w:val="00515515"/>
    <w:rsid w:val="0051635C"/>
    <w:rsid w:val="00516C5B"/>
    <w:rsid w:val="00517612"/>
    <w:rsid w:val="00517CFB"/>
    <w:rsid w:val="00517F85"/>
    <w:rsid w:val="00520899"/>
    <w:rsid w:val="00520922"/>
    <w:rsid w:val="005209FC"/>
    <w:rsid w:val="005224E5"/>
    <w:rsid w:val="005226BE"/>
    <w:rsid w:val="00523363"/>
    <w:rsid w:val="00523903"/>
    <w:rsid w:val="005239B6"/>
    <w:rsid w:val="00523C45"/>
    <w:rsid w:val="00524165"/>
    <w:rsid w:val="005246E7"/>
    <w:rsid w:val="00524FD2"/>
    <w:rsid w:val="00525621"/>
    <w:rsid w:val="00526431"/>
    <w:rsid w:val="005265D8"/>
    <w:rsid w:val="00527E57"/>
    <w:rsid w:val="00530405"/>
    <w:rsid w:val="00530522"/>
    <w:rsid w:val="005305E5"/>
    <w:rsid w:val="00530F38"/>
    <w:rsid w:val="00531F26"/>
    <w:rsid w:val="0053277C"/>
    <w:rsid w:val="005327C0"/>
    <w:rsid w:val="00533101"/>
    <w:rsid w:val="00533CA9"/>
    <w:rsid w:val="005346AD"/>
    <w:rsid w:val="00534EFB"/>
    <w:rsid w:val="00534F60"/>
    <w:rsid w:val="005357F1"/>
    <w:rsid w:val="00536053"/>
    <w:rsid w:val="005369E6"/>
    <w:rsid w:val="005371AC"/>
    <w:rsid w:val="00537672"/>
    <w:rsid w:val="0053772F"/>
    <w:rsid w:val="00537B77"/>
    <w:rsid w:val="00540C4C"/>
    <w:rsid w:val="00541571"/>
    <w:rsid w:val="0054275A"/>
    <w:rsid w:val="005428B8"/>
    <w:rsid w:val="00542BD7"/>
    <w:rsid w:val="00543084"/>
    <w:rsid w:val="0054413A"/>
    <w:rsid w:val="00544288"/>
    <w:rsid w:val="005446BB"/>
    <w:rsid w:val="00545E30"/>
    <w:rsid w:val="00545EA3"/>
    <w:rsid w:val="00546293"/>
    <w:rsid w:val="00546C9B"/>
    <w:rsid w:val="00547BF6"/>
    <w:rsid w:val="00551098"/>
    <w:rsid w:val="00551598"/>
    <w:rsid w:val="0055162B"/>
    <w:rsid w:val="00551BFF"/>
    <w:rsid w:val="00551D68"/>
    <w:rsid w:val="00552B3E"/>
    <w:rsid w:val="005551AA"/>
    <w:rsid w:val="005564CA"/>
    <w:rsid w:val="005568EA"/>
    <w:rsid w:val="00557140"/>
    <w:rsid w:val="00560C87"/>
    <w:rsid w:val="00560EF9"/>
    <w:rsid w:val="00560F51"/>
    <w:rsid w:val="00561249"/>
    <w:rsid w:val="0056182B"/>
    <w:rsid w:val="00561AF3"/>
    <w:rsid w:val="00561E0B"/>
    <w:rsid w:val="00562141"/>
    <w:rsid w:val="00562D86"/>
    <w:rsid w:val="00563985"/>
    <w:rsid w:val="005642EC"/>
    <w:rsid w:val="00564704"/>
    <w:rsid w:val="00564712"/>
    <w:rsid w:val="005657A8"/>
    <w:rsid w:val="00565952"/>
    <w:rsid w:val="00566866"/>
    <w:rsid w:val="005670A5"/>
    <w:rsid w:val="00567723"/>
    <w:rsid w:val="00567AB8"/>
    <w:rsid w:val="00570A26"/>
    <w:rsid w:val="0057221F"/>
    <w:rsid w:val="00572539"/>
    <w:rsid w:val="0057337D"/>
    <w:rsid w:val="00573504"/>
    <w:rsid w:val="00574708"/>
    <w:rsid w:val="00574D81"/>
    <w:rsid w:val="005756AA"/>
    <w:rsid w:val="00576233"/>
    <w:rsid w:val="0057696F"/>
    <w:rsid w:val="005774FE"/>
    <w:rsid w:val="0058040C"/>
    <w:rsid w:val="005807B3"/>
    <w:rsid w:val="00580D6D"/>
    <w:rsid w:val="005813DE"/>
    <w:rsid w:val="0058177A"/>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87585"/>
    <w:rsid w:val="00590F1A"/>
    <w:rsid w:val="00591C03"/>
    <w:rsid w:val="00591E2A"/>
    <w:rsid w:val="005923C4"/>
    <w:rsid w:val="00593F75"/>
    <w:rsid w:val="005940A0"/>
    <w:rsid w:val="0059429A"/>
    <w:rsid w:val="00596AF7"/>
    <w:rsid w:val="00596CCE"/>
    <w:rsid w:val="00597E38"/>
    <w:rsid w:val="005A1976"/>
    <w:rsid w:val="005A2120"/>
    <w:rsid w:val="005A2501"/>
    <w:rsid w:val="005A2C80"/>
    <w:rsid w:val="005A3066"/>
    <w:rsid w:val="005A3B35"/>
    <w:rsid w:val="005A3C4B"/>
    <w:rsid w:val="005A3E5A"/>
    <w:rsid w:val="005A43F3"/>
    <w:rsid w:val="005A496F"/>
    <w:rsid w:val="005A4A56"/>
    <w:rsid w:val="005A5A3D"/>
    <w:rsid w:val="005A5CF8"/>
    <w:rsid w:val="005A6035"/>
    <w:rsid w:val="005A6B75"/>
    <w:rsid w:val="005A6E00"/>
    <w:rsid w:val="005A718A"/>
    <w:rsid w:val="005B09BE"/>
    <w:rsid w:val="005B12B2"/>
    <w:rsid w:val="005B143B"/>
    <w:rsid w:val="005B1E45"/>
    <w:rsid w:val="005B21C4"/>
    <w:rsid w:val="005B2A28"/>
    <w:rsid w:val="005B3621"/>
    <w:rsid w:val="005B3A07"/>
    <w:rsid w:val="005B3ECA"/>
    <w:rsid w:val="005B4948"/>
    <w:rsid w:val="005B501D"/>
    <w:rsid w:val="005B54CC"/>
    <w:rsid w:val="005B74AD"/>
    <w:rsid w:val="005B7E96"/>
    <w:rsid w:val="005C0429"/>
    <w:rsid w:val="005C084F"/>
    <w:rsid w:val="005C0EE9"/>
    <w:rsid w:val="005C1716"/>
    <w:rsid w:val="005C1954"/>
    <w:rsid w:val="005C1C0B"/>
    <w:rsid w:val="005C2011"/>
    <w:rsid w:val="005C3EA3"/>
    <w:rsid w:val="005C5011"/>
    <w:rsid w:val="005C529E"/>
    <w:rsid w:val="005C57BA"/>
    <w:rsid w:val="005C5C52"/>
    <w:rsid w:val="005C5D3D"/>
    <w:rsid w:val="005C5F05"/>
    <w:rsid w:val="005C7F3E"/>
    <w:rsid w:val="005D1051"/>
    <w:rsid w:val="005D2044"/>
    <w:rsid w:val="005D2917"/>
    <w:rsid w:val="005D2EB2"/>
    <w:rsid w:val="005D2F48"/>
    <w:rsid w:val="005D464B"/>
    <w:rsid w:val="005D466F"/>
    <w:rsid w:val="005D49F0"/>
    <w:rsid w:val="005D51FA"/>
    <w:rsid w:val="005D53E8"/>
    <w:rsid w:val="005D5A9D"/>
    <w:rsid w:val="005D6651"/>
    <w:rsid w:val="005D691D"/>
    <w:rsid w:val="005D6A72"/>
    <w:rsid w:val="005D749F"/>
    <w:rsid w:val="005D791B"/>
    <w:rsid w:val="005D7CF2"/>
    <w:rsid w:val="005D7F92"/>
    <w:rsid w:val="005E0D7B"/>
    <w:rsid w:val="005E1595"/>
    <w:rsid w:val="005E17CA"/>
    <w:rsid w:val="005E1F1D"/>
    <w:rsid w:val="005E273D"/>
    <w:rsid w:val="005E3278"/>
    <w:rsid w:val="005E363B"/>
    <w:rsid w:val="005E3B0D"/>
    <w:rsid w:val="005F1D89"/>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2B45"/>
    <w:rsid w:val="00603499"/>
    <w:rsid w:val="006035F5"/>
    <w:rsid w:val="00603CC2"/>
    <w:rsid w:val="006047D1"/>
    <w:rsid w:val="00604A55"/>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C2B"/>
    <w:rsid w:val="006170F7"/>
    <w:rsid w:val="006174FA"/>
    <w:rsid w:val="006178D1"/>
    <w:rsid w:val="006204FE"/>
    <w:rsid w:val="00620719"/>
    <w:rsid w:val="006212C9"/>
    <w:rsid w:val="00621D0C"/>
    <w:rsid w:val="00622470"/>
    <w:rsid w:val="00622725"/>
    <w:rsid w:val="006231AA"/>
    <w:rsid w:val="00623482"/>
    <w:rsid w:val="00623AC2"/>
    <w:rsid w:val="00625F38"/>
    <w:rsid w:val="006266D7"/>
    <w:rsid w:val="00626D42"/>
    <w:rsid w:val="00626EE3"/>
    <w:rsid w:val="006274AD"/>
    <w:rsid w:val="00627532"/>
    <w:rsid w:val="006302AA"/>
    <w:rsid w:val="006310C3"/>
    <w:rsid w:val="0063161E"/>
    <w:rsid w:val="0063167C"/>
    <w:rsid w:val="00631BB5"/>
    <w:rsid w:val="00631DD0"/>
    <w:rsid w:val="0063306E"/>
    <w:rsid w:val="00633DBF"/>
    <w:rsid w:val="00634122"/>
    <w:rsid w:val="006355B6"/>
    <w:rsid w:val="00635E32"/>
    <w:rsid w:val="006365DE"/>
    <w:rsid w:val="00636BE4"/>
    <w:rsid w:val="00637802"/>
    <w:rsid w:val="00637836"/>
    <w:rsid w:val="00637C26"/>
    <w:rsid w:val="00637F44"/>
    <w:rsid w:val="00640659"/>
    <w:rsid w:val="00641078"/>
    <w:rsid w:val="00641242"/>
    <w:rsid w:val="00642A32"/>
    <w:rsid w:val="006433D5"/>
    <w:rsid w:val="00646B20"/>
    <w:rsid w:val="00646D0F"/>
    <w:rsid w:val="0064708F"/>
    <w:rsid w:val="00647A36"/>
    <w:rsid w:val="00647CDF"/>
    <w:rsid w:val="00647DCC"/>
    <w:rsid w:val="00647EFA"/>
    <w:rsid w:val="00647F14"/>
    <w:rsid w:val="00650027"/>
    <w:rsid w:val="00651B9C"/>
    <w:rsid w:val="00651C47"/>
    <w:rsid w:val="00652854"/>
    <w:rsid w:val="00652E70"/>
    <w:rsid w:val="0065339A"/>
    <w:rsid w:val="00653469"/>
    <w:rsid w:val="00653F57"/>
    <w:rsid w:val="00654A38"/>
    <w:rsid w:val="00655301"/>
    <w:rsid w:val="00655371"/>
    <w:rsid w:val="00655876"/>
    <w:rsid w:val="00656C4B"/>
    <w:rsid w:val="006573EA"/>
    <w:rsid w:val="00661029"/>
    <w:rsid w:val="00661042"/>
    <w:rsid w:val="0066135A"/>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2E80"/>
    <w:rsid w:val="006739E4"/>
    <w:rsid w:val="00673ECF"/>
    <w:rsid w:val="00673F26"/>
    <w:rsid w:val="0067426B"/>
    <w:rsid w:val="00674A1B"/>
    <w:rsid w:val="006754F8"/>
    <w:rsid w:val="00676127"/>
    <w:rsid w:val="00676AED"/>
    <w:rsid w:val="00677D4A"/>
    <w:rsid w:val="00677F03"/>
    <w:rsid w:val="00677F26"/>
    <w:rsid w:val="006802A7"/>
    <w:rsid w:val="006811C9"/>
    <w:rsid w:val="006812CE"/>
    <w:rsid w:val="006823DC"/>
    <w:rsid w:val="00682791"/>
    <w:rsid w:val="00682C89"/>
    <w:rsid w:val="006832B8"/>
    <w:rsid w:val="006837B2"/>
    <w:rsid w:val="00683800"/>
    <w:rsid w:val="00683F67"/>
    <w:rsid w:val="00684411"/>
    <w:rsid w:val="00684434"/>
    <w:rsid w:val="00684C8A"/>
    <w:rsid w:val="00684CF5"/>
    <w:rsid w:val="0068553E"/>
    <w:rsid w:val="00685E7B"/>
    <w:rsid w:val="00686551"/>
    <w:rsid w:val="0068730C"/>
    <w:rsid w:val="00687504"/>
    <w:rsid w:val="00687A14"/>
    <w:rsid w:val="00687A8C"/>
    <w:rsid w:val="00690839"/>
    <w:rsid w:val="006908DB"/>
    <w:rsid w:val="00690DE9"/>
    <w:rsid w:val="00691DE9"/>
    <w:rsid w:val="00691EAA"/>
    <w:rsid w:val="00692245"/>
    <w:rsid w:val="00692FFA"/>
    <w:rsid w:val="00693772"/>
    <w:rsid w:val="00694160"/>
    <w:rsid w:val="006959A5"/>
    <w:rsid w:val="00695C0C"/>
    <w:rsid w:val="00696A05"/>
    <w:rsid w:val="00697665"/>
    <w:rsid w:val="00697C9A"/>
    <w:rsid w:val="00697E68"/>
    <w:rsid w:val="006A0274"/>
    <w:rsid w:val="006A2A43"/>
    <w:rsid w:val="006A2BF1"/>
    <w:rsid w:val="006A2F9A"/>
    <w:rsid w:val="006A34E4"/>
    <w:rsid w:val="006A3A5A"/>
    <w:rsid w:val="006A44CF"/>
    <w:rsid w:val="006A457D"/>
    <w:rsid w:val="006A55EE"/>
    <w:rsid w:val="006A575B"/>
    <w:rsid w:val="006A59DE"/>
    <w:rsid w:val="006A6655"/>
    <w:rsid w:val="006A6BF9"/>
    <w:rsid w:val="006A7CB5"/>
    <w:rsid w:val="006A7FD0"/>
    <w:rsid w:val="006B025C"/>
    <w:rsid w:val="006B0EB7"/>
    <w:rsid w:val="006B2534"/>
    <w:rsid w:val="006B2CB2"/>
    <w:rsid w:val="006B347D"/>
    <w:rsid w:val="006B3E19"/>
    <w:rsid w:val="006B4488"/>
    <w:rsid w:val="006B67AC"/>
    <w:rsid w:val="006B786A"/>
    <w:rsid w:val="006B7E4E"/>
    <w:rsid w:val="006C003A"/>
    <w:rsid w:val="006C2454"/>
    <w:rsid w:val="006C2551"/>
    <w:rsid w:val="006C37CA"/>
    <w:rsid w:val="006C40D2"/>
    <w:rsid w:val="006C4461"/>
    <w:rsid w:val="006C5B15"/>
    <w:rsid w:val="006C5D32"/>
    <w:rsid w:val="006C5DCB"/>
    <w:rsid w:val="006C70C4"/>
    <w:rsid w:val="006D04DA"/>
    <w:rsid w:val="006D05C0"/>
    <w:rsid w:val="006D10F6"/>
    <w:rsid w:val="006D1544"/>
    <w:rsid w:val="006D1688"/>
    <w:rsid w:val="006D1FF3"/>
    <w:rsid w:val="006D2C65"/>
    <w:rsid w:val="006D32C6"/>
    <w:rsid w:val="006D360E"/>
    <w:rsid w:val="006D3697"/>
    <w:rsid w:val="006D39D2"/>
    <w:rsid w:val="006D3F2A"/>
    <w:rsid w:val="006D4370"/>
    <w:rsid w:val="006D46A3"/>
    <w:rsid w:val="006D658F"/>
    <w:rsid w:val="006D69FA"/>
    <w:rsid w:val="006D6A12"/>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7B8"/>
    <w:rsid w:val="006F15CC"/>
    <w:rsid w:val="006F4147"/>
    <w:rsid w:val="006F4315"/>
    <w:rsid w:val="006F458D"/>
    <w:rsid w:val="006F4A6D"/>
    <w:rsid w:val="006F4CB0"/>
    <w:rsid w:val="006F4F78"/>
    <w:rsid w:val="006F547E"/>
    <w:rsid w:val="006F5CA8"/>
    <w:rsid w:val="006F5CCF"/>
    <w:rsid w:val="006F7607"/>
    <w:rsid w:val="006F772B"/>
    <w:rsid w:val="0070138A"/>
    <w:rsid w:val="0070157E"/>
    <w:rsid w:val="007030D4"/>
    <w:rsid w:val="0070317C"/>
    <w:rsid w:val="00703279"/>
    <w:rsid w:val="00703B61"/>
    <w:rsid w:val="00703E11"/>
    <w:rsid w:val="00704102"/>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A16"/>
    <w:rsid w:val="00712B63"/>
    <w:rsid w:val="00713526"/>
    <w:rsid w:val="00713FC5"/>
    <w:rsid w:val="00715BBF"/>
    <w:rsid w:val="00715C29"/>
    <w:rsid w:val="00715CBD"/>
    <w:rsid w:val="00715EAA"/>
    <w:rsid w:val="00716CAD"/>
    <w:rsid w:val="00716F18"/>
    <w:rsid w:val="00717363"/>
    <w:rsid w:val="00717786"/>
    <w:rsid w:val="00717ACB"/>
    <w:rsid w:val="00721BFF"/>
    <w:rsid w:val="00722FD8"/>
    <w:rsid w:val="007236C4"/>
    <w:rsid w:val="00724635"/>
    <w:rsid w:val="0072554B"/>
    <w:rsid w:val="00725AFD"/>
    <w:rsid w:val="00726603"/>
    <w:rsid w:val="00727DDC"/>
    <w:rsid w:val="00730CD6"/>
    <w:rsid w:val="00730F74"/>
    <w:rsid w:val="0073114B"/>
    <w:rsid w:val="007341E0"/>
    <w:rsid w:val="00734414"/>
    <w:rsid w:val="00734952"/>
    <w:rsid w:val="00734990"/>
    <w:rsid w:val="00734FF5"/>
    <w:rsid w:val="00735220"/>
    <w:rsid w:val="00735B78"/>
    <w:rsid w:val="00735DA7"/>
    <w:rsid w:val="007368B4"/>
    <w:rsid w:val="007378E0"/>
    <w:rsid w:val="00737C5C"/>
    <w:rsid w:val="00740529"/>
    <w:rsid w:val="00741358"/>
    <w:rsid w:val="00741626"/>
    <w:rsid w:val="00742332"/>
    <w:rsid w:val="00742886"/>
    <w:rsid w:val="00742DD2"/>
    <w:rsid w:val="00742E00"/>
    <w:rsid w:val="007437C6"/>
    <w:rsid w:val="007439EE"/>
    <w:rsid w:val="007441A2"/>
    <w:rsid w:val="00744E80"/>
    <w:rsid w:val="00745035"/>
    <w:rsid w:val="0074531C"/>
    <w:rsid w:val="00745547"/>
    <w:rsid w:val="007459D0"/>
    <w:rsid w:val="0074623A"/>
    <w:rsid w:val="00746420"/>
    <w:rsid w:val="00746E04"/>
    <w:rsid w:val="00746E08"/>
    <w:rsid w:val="00746E3D"/>
    <w:rsid w:val="007473B9"/>
    <w:rsid w:val="00747529"/>
    <w:rsid w:val="00747C96"/>
    <w:rsid w:val="00750075"/>
    <w:rsid w:val="007502EC"/>
    <w:rsid w:val="00750382"/>
    <w:rsid w:val="0075094E"/>
    <w:rsid w:val="00750FA8"/>
    <w:rsid w:val="00750FB5"/>
    <w:rsid w:val="00751E4F"/>
    <w:rsid w:val="007522E8"/>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9B7"/>
    <w:rsid w:val="00762E60"/>
    <w:rsid w:val="007634AD"/>
    <w:rsid w:val="00766ECC"/>
    <w:rsid w:val="007672F3"/>
    <w:rsid w:val="007677B5"/>
    <w:rsid w:val="007678B1"/>
    <w:rsid w:val="007708A8"/>
    <w:rsid w:val="00772275"/>
    <w:rsid w:val="007734E4"/>
    <w:rsid w:val="0077380D"/>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4181"/>
    <w:rsid w:val="00784FC4"/>
    <w:rsid w:val="00785BBB"/>
    <w:rsid w:val="0078673D"/>
    <w:rsid w:val="00786FAD"/>
    <w:rsid w:val="007873C9"/>
    <w:rsid w:val="00787D90"/>
    <w:rsid w:val="00787F5E"/>
    <w:rsid w:val="00790164"/>
    <w:rsid w:val="007906E2"/>
    <w:rsid w:val="00790A24"/>
    <w:rsid w:val="00790A37"/>
    <w:rsid w:val="00790A60"/>
    <w:rsid w:val="0079146D"/>
    <w:rsid w:val="00791C32"/>
    <w:rsid w:val="00791FF0"/>
    <w:rsid w:val="007923D0"/>
    <w:rsid w:val="0079302C"/>
    <w:rsid w:val="007930D3"/>
    <w:rsid w:val="0079381F"/>
    <w:rsid w:val="00793B2E"/>
    <w:rsid w:val="007948F5"/>
    <w:rsid w:val="00795647"/>
    <w:rsid w:val="007963F6"/>
    <w:rsid w:val="00796418"/>
    <w:rsid w:val="00796E80"/>
    <w:rsid w:val="007979AD"/>
    <w:rsid w:val="00797A9C"/>
    <w:rsid w:val="007A0EAB"/>
    <w:rsid w:val="007A2341"/>
    <w:rsid w:val="007A38A1"/>
    <w:rsid w:val="007A3967"/>
    <w:rsid w:val="007A3BBE"/>
    <w:rsid w:val="007A450E"/>
    <w:rsid w:val="007A4766"/>
    <w:rsid w:val="007A5816"/>
    <w:rsid w:val="007A5947"/>
    <w:rsid w:val="007B0313"/>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7A5"/>
    <w:rsid w:val="007B6C64"/>
    <w:rsid w:val="007B6EC8"/>
    <w:rsid w:val="007B6F81"/>
    <w:rsid w:val="007B7EA2"/>
    <w:rsid w:val="007C097D"/>
    <w:rsid w:val="007C13FA"/>
    <w:rsid w:val="007C1672"/>
    <w:rsid w:val="007C312A"/>
    <w:rsid w:val="007C3570"/>
    <w:rsid w:val="007C3F3B"/>
    <w:rsid w:val="007C4241"/>
    <w:rsid w:val="007C55FF"/>
    <w:rsid w:val="007C5A9F"/>
    <w:rsid w:val="007C6339"/>
    <w:rsid w:val="007C7C43"/>
    <w:rsid w:val="007C7F0D"/>
    <w:rsid w:val="007D1134"/>
    <w:rsid w:val="007D23F7"/>
    <w:rsid w:val="007D2566"/>
    <w:rsid w:val="007D2C18"/>
    <w:rsid w:val="007D2D74"/>
    <w:rsid w:val="007D3395"/>
    <w:rsid w:val="007D3693"/>
    <w:rsid w:val="007D3C6D"/>
    <w:rsid w:val="007D481A"/>
    <w:rsid w:val="007D5648"/>
    <w:rsid w:val="007D58C5"/>
    <w:rsid w:val="007D5D2A"/>
    <w:rsid w:val="007D5DE8"/>
    <w:rsid w:val="007D7CFC"/>
    <w:rsid w:val="007E0812"/>
    <w:rsid w:val="007E18DF"/>
    <w:rsid w:val="007E2A04"/>
    <w:rsid w:val="007E2C36"/>
    <w:rsid w:val="007E350D"/>
    <w:rsid w:val="007E5C4A"/>
    <w:rsid w:val="007E64D4"/>
    <w:rsid w:val="007E66E9"/>
    <w:rsid w:val="007E69F2"/>
    <w:rsid w:val="007E7432"/>
    <w:rsid w:val="007E74BF"/>
    <w:rsid w:val="007F14D3"/>
    <w:rsid w:val="007F1D9D"/>
    <w:rsid w:val="007F1E28"/>
    <w:rsid w:val="007F1F63"/>
    <w:rsid w:val="007F22A0"/>
    <w:rsid w:val="007F2F90"/>
    <w:rsid w:val="007F3320"/>
    <w:rsid w:val="007F392A"/>
    <w:rsid w:val="007F3AC1"/>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F9E"/>
    <w:rsid w:val="00803116"/>
    <w:rsid w:val="00803700"/>
    <w:rsid w:val="00803D9D"/>
    <w:rsid w:val="00805882"/>
    <w:rsid w:val="008059C6"/>
    <w:rsid w:val="00805AD7"/>
    <w:rsid w:val="00805BD6"/>
    <w:rsid w:val="00805DE3"/>
    <w:rsid w:val="00807C35"/>
    <w:rsid w:val="00807F69"/>
    <w:rsid w:val="008100F7"/>
    <w:rsid w:val="00810206"/>
    <w:rsid w:val="00811898"/>
    <w:rsid w:val="008124D8"/>
    <w:rsid w:val="00813A7B"/>
    <w:rsid w:val="00813F04"/>
    <w:rsid w:val="00814A58"/>
    <w:rsid w:val="00814B72"/>
    <w:rsid w:val="00815DA5"/>
    <w:rsid w:val="00816221"/>
    <w:rsid w:val="0081766B"/>
    <w:rsid w:val="00820705"/>
    <w:rsid w:val="00820CBF"/>
    <w:rsid w:val="00820FA8"/>
    <w:rsid w:val="008212FD"/>
    <w:rsid w:val="00821489"/>
    <w:rsid w:val="008217B7"/>
    <w:rsid w:val="0082239B"/>
    <w:rsid w:val="0082292E"/>
    <w:rsid w:val="00822D06"/>
    <w:rsid w:val="0082348D"/>
    <w:rsid w:val="008234E0"/>
    <w:rsid w:val="008236BE"/>
    <w:rsid w:val="008241CE"/>
    <w:rsid w:val="00825240"/>
    <w:rsid w:val="00825B43"/>
    <w:rsid w:val="00827203"/>
    <w:rsid w:val="00827CC0"/>
    <w:rsid w:val="00831026"/>
    <w:rsid w:val="0083119B"/>
    <w:rsid w:val="00831BAE"/>
    <w:rsid w:val="00832216"/>
    <w:rsid w:val="00832CD0"/>
    <w:rsid w:val="00833430"/>
    <w:rsid w:val="00834128"/>
    <w:rsid w:val="0083417F"/>
    <w:rsid w:val="00835143"/>
    <w:rsid w:val="00835741"/>
    <w:rsid w:val="00836E74"/>
    <w:rsid w:val="00836EAB"/>
    <w:rsid w:val="00837673"/>
    <w:rsid w:val="00837937"/>
    <w:rsid w:val="00837D82"/>
    <w:rsid w:val="00840893"/>
    <w:rsid w:val="00840E88"/>
    <w:rsid w:val="008423EC"/>
    <w:rsid w:val="0084332E"/>
    <w:rsid w:val="00843615"/>
    <w:rsid w:val="00843698"/>
    <w:rsid w:val="00843A4B"/>
    <w:rsid w:val="00843B57"/>
    <w:rsid w:val="00843B60"/>
    <w:rsid w:val="00843D33"/>
    <w:rsid w:val="00844D4F"/>
    <w:rsid w:val="00845AE3"/>
    <w:rsid w:val="008462A0"/>
    <w:rsid w:val="008466A0"/>
    <w:rsid w:val="00847535"/>
    <w:rsid w:val="00847B6D"/>
    <w:rsid w:val="0085092D"/>
    <w:rsid w:val="00850D82"/>
    <w:rsid w:val="00850F79"/>
    <w:rsid w:val="0085100B"/>
    <w:rsid w:val="0085304C"/>
    <w:rsid w:val="008548CA"/>
    <w:rsid w:val="00856C06"/>
    <w:rsid w:val="0085790B"/>
    <w:rsid w:val="00857C95"/>
    <w:rsid w:val="00857E78"/>
    <w:rsid w:val="00860AEF"/>
    <w:rsid w:val="0086122C"/>
    <w:rsid w:val="00861310"/>
    <w:rsid w:val="00861F0F"/>
    <w:rsid w:val="00861F53"/>
    <w:rsid w:val="0086289E"/>
    <w:rsid w:val="0086394E"/>
    <w:rsid w:val="00863F8A"/>
    <w:rsid w:val="00863FE3"/>
    <w:rsid w:val="00864241"/>
    <w:rsid w:val="0086468A"/>
    <w:rsid w:val="00864CD5"/>
    <w:rsid w:val="008650BE"/>
    <w:rsid w:val="0086633B"/>
    <w:rsid w:val="00866495"/>
    <w:rsid w:val="00866931"/>
    <w:rsid w:val="00867512"/>
    <w:rsid w:val="0087033C"/>
    <w:rsid w:val="00870B44"/>
    <w:rsid w:val="008715ED"/>
    <w:rsid w:val="008717D8"/>
    <w:rsid w:val="00871E3C"/>
    <w:rsid w:val="00872F97"/>
    <w:rsid w:val="00873162"/>
    <w:rsid w:val="00873863"/>
    <w:rsid w:val="00874607"/>
    <w:rsid w:val="00874915"/>
    <w:rsid w:val="00874B89"/>
    <w:rsid w:val="00875403"/>
    <w:rsid w:val="00875434"/>
    <w:rsid w:val="00876215"/>
    <w:rsid w:val="0087646C"/>
    <w:rsid w:val="00876815"/>
    <w:rsid w:val="00877932"/>
    <w:rsid w:val="008808C7"/>
    <w:rsid w:val="0088106B"/>
    <w:rsid w:val="0088107D"/>
    <w:rsid w:val="0088168A"/>
    <w:rsid w:val="00881E64"/>
    <w:rsid w:val="00882E39"/>
    <w:rsid w:val="008850E3"/>
    <w:rsid w:val="008850EB"/>
    <w:rsid w:val="00886DF2"/>
    <w:rsid w:val="00886FB9"/>
    <w:rsid w:val="00887080"/>
    <w:rsid w:val="00887C79"/>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82D"/>
    <w:rsid w:val="008959C6"/>
    <w:rsid w:val="0089606D"/>
    <w:rsid w:val="00896129"/>
    <w:rsid w:val="008965DF"/>
    <w:rsid w:val="00897066"/>
    <w:rsid w:val="0089774F"/>
    <w:rsid w:val="00897875"/>
    <w:rsid w:val="00897B8F"/>
    <w:rsid w:val="008A00D8"/>
    <w:rsid w:val="008A00D9"/>
    <w:rsid w:val="008A07D5"/>
    <w:rsid w:val="008A2A23"/>
    <w:rsid w:val="008A2AF5"/>
    <w:rsid w:val="008A2B5A"/>
    <w:rsid w:val="008A3F9D"/>
    <w:rsid w:val="008A5474"/>
    <w:rsid w:val="008A5C9A"/>
    <w:rsid w:val="008A6A55"/>
    <w:rsid w:val="008A6DF0"/>
    <w:rsid w:val="008A6F6E"/>
    <w:rsid w:val="008A7888"/>
    <w:rsid w:val="008A796E"/>
    <w:rsid w:val="008B0862"/>
    <w:rsid w:val="008B088C"/>
    <w:rsid w:val="008B1BF5"/>
    <w:rsid w:val="008B263F"/>
    <w:rsid w:val="008B47A6"/>
    <w:rsid w:val="008B672C"/>
    <w:rsid w:val="008C036D"/>
    <w:rsid w:val="008C0743"/>
    <w:rsid w:val="008C0B4C"/>
    <w:rsid w:val="008C11F0"/>
    <w:rsid w:val="008C1DBA"/>
    <w:rsid w:val="008C24E7"/>
    <w:rsid w:val="008C2500"/>
    <w:rsid w:val="008C2CAC"/>
    <w:rsid w:val="008C3E2A"/>
    <w:rsid w:val="008C45BD"/>
    <w:rsid w:val="008C4B19"/>
    <w:rsid w:val="008C568F"/>
    <w:rsid w:val="008C62D4"/>
    <w:rsid w:val="008C6B89"/>
    <w:rsid w:val="008D18AA"/>
    <w:rsid w:val="008D1A2A"/>
    <w:rsid w:val="008D29B1"/>
    <w:rsid w:val="008D35D9"/>
    <w:rsid w:val="008D3B85"/>
    <w:rsid w:val="008D462D"/>
    <w:rsid w:val="008D66CA"/>
    <w:rsid w:val="008D69B1"/>
    <w:rsid w:val="008D7338"/>
    <w:rsid w:val="008E0012"/>
    <w:rsid w:val="008E0DF7"/>
    <w:rsid w:val="008E0FAD"/>
    <w:rsid w:val="008E1347"/>
    <w:rsid w:val="008E16E0"/>
    <w:rsid w:val="008E1C15"/>
    <w:rsid w:val="008E1C9A"/>
    <w:rsid w:val="008E28BD"/>
    <w:rsid w:val="008E38B4"/>
    <w:rsid w:val="008E3BA4"/>
    <w:rsid w:val="008E44AB"/>
    <w:rsid w:val="008E5179"/>
    <w:rsid w:val="008E6598"/>
    <w:rsid w:val="008E7214"/>
    <w:rsid w:val="008E7348"/>
    <w:rsid w:val="008E7884"/>
    <w:rsid w:val="008E7D6E"/>
    <w:rsid w:val="008F1056"/>
    <w:rsid w:val="008F2E8D"/>
    <w:rsid w:val="008F387B"/>
    <w:rsid w:val="008F3DD9"/>
    <w:rsid w:val="008F4814"/>
    <w:rsid w:val="008F4DA6"/>
    <w:rsid w:val="008F538E"/>
    <w:rsid w:val="008F5A20"/>
    <w:rsid w:val="008F5ABA"/>
    <w:rsid w:val="008F7905"/>
    <w:rsid w:val="008F7989"/>
    <w:rsid w:val="00901ADC"/>
    <w:rsid w:val="009026AF"/>
    <w:rsid w:val="009028E8"/>
    <w:rsid w:val="00902E5C"/>
    <w:rsid w:val="0090350D"/>
    <w:rsid w:val="009046E5"/>
    <w:rsid w:val="009047C5"/>
    <w:rsid w:val="00904C33"/>
    <w:rsid w:val="00906560"/>
    <w:rsid w:val="00910683"/>
    <w:rsid w:val="00910E00"/>
    <w:rsid w:val="009116CE"/>
    <w:rsid w:val="00911714"/>
    <w:rsid w:val="00911A5B"/>
    <w:rsid w:val="00913203"/>
    <w:rsid w:val="009136D4"/>
    <w:rsid w:val="00914B9A"/>
    <w:rsid w:val="00914C3F"/>
    <w:rsid w:val="00914F33"/>
    <w:rsid w:val="009153F6"/>
    <w:rsid w:val="00915FCE"/>
    <w:rsid w:val="00916AFE"/>
    <w:rsid w:val="00916FC8"/>
    <w:rsid w:val="009170D3"/>
    <w:rsid w:val="0091759C"/>
    <w:rsid w:val="00920026"/>
    <w:rsid w:val="009203E2"/>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7401"/>
    <w:rsid w:val="009376FB"/>
    <w:rsid w:val="00937D6B"/>
    <w:rsid w:val="00940477"/>
    <w:rsid w:val="00940876"/>
    <w:rsid w:val="00940A53"/>
    <w:rsid w:val="00940F3C"/>
    <w:rsid w:val="009410E0"/>
    <w:rsid w:val="00943B7F"/>
    <w:rsid w:val="009444B4"/>
    <w:rsid w:val="00944644"/>
    <w:rsid w:val="009460F9"/>
    <w:rsid w:val="00946A24"/>
    <w:rsid w:val="009470D4"/>
    <w:rsid w:val="00947337"/>
    <w:rsid w:val="009512FA"/>
    <w:rsid w:val="00951E57"/>
    <w:rsid w:val="00953018"/>
    <w:rsid w:val="009533E2"/>
    <w:rsid w:val="00953554"/>
    <w:rsid w:val="0095385A"/>
    <w:rsid w:val="00953928"/>
    <w:rsid w:val="0095780A"/>
    <w:rsid w:val="009579E4"/>
    <w:rsid w:val="00957AA4"/>
    <w:rsid w:val="00957ACB"/>
    <w:rsid w:val="00957F27"/>
    <w:rsid w:val="009609F0"/>
    <w:rsid w:val="00960BDB"/>
    <w:rsid w:val="0096147D"/>
    <w:rsid w:val="00961E5F"/>
    <w:rsid w:val="009625C6"/>
    <w:rsid w:val="00962861"/>
    <w:rsid w:val="009629B5"/>
    <w:rsid w:val="00962A50"/>
    <w:rsid w:val="009631BD"/>
    <w:rsid w:val="00964138"/>
    <w:rsid w:val="00964B3F"/>
    <w:rsid w:val="00964C98"/>
    <w:rsid w:val="00966214"/>
    <w:rsid w:val="009675D1"/>
    <w:rsid w:val="00970786"/>
    <w:rsid w:val="00971441"/>
    <w:rsid w:val="009715D4"/>
    <w:rsid w:val="009739A9"/>
    <w:rsid w:val="00973AA2"/>
    <w:rsid w:val="0097494E"/>
    <w:rsid w:val="00974B58"/>
    <w:rsid w:val="009761ED"/>
    <w:rsid w:val="009801E7"/>
    <w:rsid w:val="0098022F"/>
    <w:rsid w:val="009810DE"/>
    <w:rsid w:val="009822D7"/>
    <w:rsid w:val="009827E6"/>
    <w:rsid w:val="00982F84"/>
    <w:rsid w:val="0098427D"/>
    <w:rsid w:val="00984567"/>
    <w:rsid w:val="00985102"/>
    <w:rsid w:val="009865D5"/>
    <w:rsid w:val="009876F2"/>
    <w:rsid w:val="00987C77"/>
    <w:rsid w:val="00990345"/>
    <w:rsid w:val="00990701"/>
    <w:rsid w:val="0099119C"/>
    <w:rsid w:val="0099137A"/>
    <w:rsid w:val="0099211C"/>
    <w:rsid w:val="00993140"/>
    <w:rsid w:val="00993B78"/>
    <w:rsid w:val="00993E1D"/>
    <w:rsid w:val="0099483A"/>
    <w:rsid w:val="00995119"/>
    <w:rsid w:val="009953AD"/>
    <w:rsid w:val="0099583D"/>
    <w:rsid w:val="00996992"/>
    <w:rsid w:val="00996D6F"/>
    <w:rsid w:val="00996E1E"/>
    <w:rsid w:val="00997392"/>
    <w:rsid w:val="0099747C"/>
    <w:rsid w:val="0099771C"/>
    <w:rsid w:val="009A01E4"/>
    <w:rsid w:val="009A0917"/>
    <w:rsid w:val="009A0A33"/>
    <w:rsid w:val="009A1351"/>
    <w:rsid w:val="009A2435"/>
    <w:rsid w:val="009A35DC"/>
    <w:rsid w:val="009A38AB"/>
    <w:rsid w:val="009A3CFB"/>
    <w:rsid w:val="009A3D47"/>
    <w:rsid w:val="009A4D63"/>
    <w:rsid w:val="009A5356"/>
    <w:rsid w:val="009A5468"/>
    <w:rsid w:val="009A5D99"/>
    <w:rsid w:val="009A608C"/>
    <w:rsid w:val="009A6CA7"/>
    <w:rsid w:val="009A6FDF"/>
    <w:rsid w:val="009A76D6"/>
    <w:rsid w:val="009B199E"/>
    <w:rsid w:val="009B2E29"/>
    <w:rsid w:val="009B3163"/>
    <w:rsid w:val="009B3B9B"/>
    <w:rsid w:val="009B412E"/>
    <w:rsid w:val="009B422F"/>
    <w:rsid w:val="009B46BC"/>
    <w:rsid w:val="009B4D1A"/>
    <w:rsid w:val="009B558B"/>
    <w:rsid w:val="009B565F"/>
    <w:rsid w:val="009B6801"/>
    <w:rsid w:val="009B6D21"/>
    <w:rsid w:val="009B78ED"/>
    <w:rsid w:val="009C181C"/>
    <w:rsid w:val="009C1C7F"/>
    <w:rsid w:val="009C28A2"/>
    <w:rsid w:val="009C3239"/>
    <w:rsid w:val="009C37EA"/>
    <w:rsid w:val="009C3828"/>
    <w:rsid w:val="009C3D2C"/>
    <w:rsid w:val="009C4987"/>
    <w:rsid w:val="009C523F"/>
    <w:rsid w:val="009C59BF"/>
    <w:rsid w:val="009C5E4F"/>
    <w:rsid w:val="009C5F64"/>
    <w:rsid w:val="009C5F82"/>
    <w:rsid w:val="009C6194"/>
    <w:rsid w:val="009C70F8"/>
    <w:rsid w:val="009C78A3"/>
    <w:rsid w:val="009D0156"/>
    <w:rsid w:val="009D05DA"/>
    <w:rsid w:val="009D11F6"/>
    <w:rsid w:val="009D13B9"/>
    <w:rsid w:val="009D1A14"/>
    <w:rsid w:val="009D1E2A"/>
    <w:rsid w:val="009D1FA0"/>
    <w:rsid w:val="009D2BDF"/>
    <w:rsid w:val="009D3736"/>
    <w:rsid w:val="009D4529"/>
    <w:rsid w:val="009D4B03"/>
    <w:rsid w:val="009D604F"/>
    <w:rsid w:val="009D61BB"/>
    <w:rsid w:val="009D6410"/>
    <w:rsid w:val="009D65FF"/>
    <w:rsid w:val="009D68BB"/>
    <w:rsid w:val="009D70C2"/>
    <w:rsid w:val="009D7ADB"/>
    <w:rsid w:val="009D7B33"/>
    <w:rsid w:val="009E0703"/>
    <w:rsid w:val="009E16DA"/>
    <w:rsid w:val="009E1CD4"/>
    <w:rsid w:val="009E2391"/>
    <w:rsid w:val="009E476A"/>
    <w:rsid w:val="009E4E05"/>
    <w:rsid w:val="009E56FF"/>
    <w:rsid w:val="009E5CB1"/>
    <w:rsid w:val="009E5E56"/>
    <w:rsid w:val="009E61EA"/>
    <w:rsid w:val="009E6990"/>
    <w:rsid w:val="009E6FEE"/>
    <w:rsid w:val="009F060F"/>
    <w:rsid w:val="009F0781"/>
    <w:rsid w:val="009F0850"/>
    <w:rsid w:val="009F1BDF"/>
    <w:rsid w:val="009F1EAE"/>
    <w:rsid w:val="009F369D"/>
    <w:rsid w:val="009F36FE"/>
    <w:rsid w:val="009F4F25"/>
    <w:rsid w:val="009F59C2"/>
    <w:rsid w:val="009F7263"/>
    <w:rsid w:val="009F76EA"/>
    <w:rsid w:val="009F78EB"/>
    <w:rsid w:val="009F7F32"/>
    <w:rsid w:val="009F7FEB"/>
    <w:rsid w:val="00A01852"/>
    <w:rsid w:val="00A0188B"/>
    <w:rsid w:val="00A01E73"/>
    <w:rsid w:val="00A023E7"/>
    <w:rsid w:val="00A02B88"/>
    <w:rsid w:val="00A03160"/>
    <w:rsid w:val="00A035CB"/>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8"/>
    <w:rsid w:val="00A12355"/>
    <w:rsid w:val="00A12384"/>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4560"/>
    <w:rsid w:val="00A25B0F"/>
    <w:rsid w:val="00A25BBB"/>
    <w:rsid w:val="00A25F8E"/>
    <w:rsid w:val="00A27643"/>
    <w:rsid w:val="00A27F18"/>
    <w:rsid w:val="00A27FB6"/>
    <w:rsid w:val="00A30121"/>
    <w:rsid w:val="00A30368"/>
    <w:rsid w:val="00A3043A"/>
    <w:rsid w:val="00A30E02"/>
    <w:rsid w:val="00A30F6A"/>
    <w:rsid w:val="00A31BA2"/>
    <w:rsid w:val="00A31C3E"/>
    <w:rsid w:val="00A34538"/>
    <w:rsid w:val="00A34677"/>
    <w:rsid w:val="00A3483C"/>
    <w:rsid w:val="00A3540F"/>
    <w:rsid w:val="00A35630"/>
    <w:rsid w:val="00A35914"/>
    <w:rsid w:val="00A36189"/>
    <w:rsid w:val="00A374EF"/>
    <w:rsid w:val="00A37E73"/>
    <w:rsid w:val="00A37FB6"/>
    <w:rsid w:val="00A4104A"/>
    <w:rsid w:val="00A41081"/>
    <w:rsid w:val="00A411CA"/>
    <w:rsid w:val="00A413AD"/>
    <w:rsid w:val="00A42096"/>
    <w:rsid w:val="00A426F3"/>
    <w:rsid w:val="00A42FDF"/>
    <w:rsid w:val="00A430A9"/>
    <w:rsid w:val="00A431FE"/>
    <w:rsid w:val="00A439E5"/>
    <w:rsid w:val="00A4497A"/>
    <w:rsid w:val="00A44BE8"/>
    <w:rsid w:val="00A44C96"/>
    <w:rsid w:val="00A44F54"/>
    <w:rsid w:val="00A45F9B"/>
    <w:rsid w:val="00A462A8"/>
    <w:rsid w:val="00A46574"/>
    <w:rsid w:val="00A467C4"/>
    <w:rsid w:val="00A500B1"/>
    <w:rsid w:val="00A5101D"/>
    <w:rsid w:val="00A52D3F"/>
    <w:rsid w:val="00A52EE5"/>
    <w:rsid w:val="00A53037"/>
    <w:rsid w:val="00A532B9"/>
    <w:rsid w:val="00A5351D"/>
    <w:rsid w:val="00A53E79"/>
    <w:rsid w:val="00A54031"/>
    <w:rsid w:val="00A5426D"/>
    <w:rsid w:val="00A54FC2"/>
    <w:rsid w:val="00A55122"/>
    <w:rsid w:val="00A56DE7"/>
    <w:rsid w:val="00A57EB2"/>
    <w:rsid w:val="00A6009E"/>
    <w:rsid w:val="00A60B1F"/>
    <w:rsid w:val="00A61C60"/>
    <w:rsid w:val="00A62589"/>
    <w:rsid w:val="00A62C3A"/>
    <w:rsid w:val="00A63812"/>
    <w:rsid w:val="00A63DF7"/>
    <w:rsid w:val="00A64505"/>
    <w:rsid w:val="00A668BA"/>
    <w:rsid w:val="00A66FA7"/>
    <w:rsid w:val="00A67E16"/>
    <w:rsid w:val="00A703CC"/>
    <w:rsid w:val="00A70C5C"/>
    <w:rsid w:val="00A71EA7"/>
    <w:rsid w:val="00A730AD"/>
    <w:rsid w:val="00A73855"/>
    <w:rsid w:val="00A73D64"/>
    <w:rsid w:val="00A74216"/>
    <w:rsid w:val="00A744B4"/>
    <w:rsid w:val="00A751E3"/>
    <w:rsid w:val="00A75504"/>
    <w:rsid w:val="00A75A7E"/>
    <w:rsid w:val="00A75CD9"/>
    <w:rsid w:val="00A76438"/>
    <w:rsid w:val="00A77168"/>
    <w:rsid w:val="00A7723B"/>
    <w:rsid w:val="00A778F0"/>
    <w:rsid w:val="00A7793C"/>
    <w:rsid w:val="00A77D21"/>
    <w:rsid w:val="00A80085"/>
    <w:rsid w:val="00A8043B"/>
    <w:rsid w:val="00A81323"/>
    <w:rsid w:val="00A820CB"/>
    <w:rsid w:val="00A82342"/>
    <w:rsid w:val="00A83A06"/>
    <w:rsid w:val="00A83BEF"/>
    <w:rsid w:val="00A84443"/>
    <w:rsid w:val="00A8487F"/>
    <w:rsid w:val="00A849A3"/>
    <w:rsid w:val="00A84A0E"/>
    <w:rsid w:val="00A86E0B"/>
    <w:rsid w:val="00A90F12"/>
    <w:rsid w:val="00A916D0"/>
    <w:rsid w:val="00A93101"/>
    <w:rsid w:val="00A94293"/>
    <w:rsid w:val="00A9496E"/>
    <w:rsid w:val="00A949F0"/>
    <w:rsid w:val="00A94BDE"/>
    <w:rsid w:val="00A94D26"/>
    <w:rsid w:val="00A94FCA"/>
    <w:rsid w:val="00A95E4C"/>
    <w:rsid w:val="00A96C60"/>
    <w:rsid w:val="00A9740B"/>
    <w:rsid w:val="00A97548"/>
    <w:rsid w:val="00A9766C"/>
    <w:rsid w:val="00A977F8"/>
    <w:rsid w:val="00A97C93"/>
    <w:rsid w:val="00AA08E7"/>
    <w:rsid w:val="00AA0A06"/>
    <w:rsid w:val="00AA1351"/>
    <w:rsid w:val="00AA1859"/>
    <w:rsid w:val="00AA1C84"/>
    <w:rsid w:val="00AA3D7B"/>
    <w:rsid w:val="00AA42A0"/>
    <w:rsid w:val="00AA442B"/>
    <w:rsid w:val="00AA46A4"/>
    <w:rsid w:val="00AA5779"/>
    <w:rsid w:val="00AA58A1"/>
    <w:rsid w:val="00AA61C7"/>
    <w:rsid w:val="00AA669D"/>
    <w:rsid w:val="00AA66ED"/>
    <w:rsid w:val="00AA6BE1"/>
    <w:rsid w:val="00AA7416"/>
    <w:rsid w:val="00AA7A60"/>
    <w:rsid w:val="00AA7B42"/>
    <w:rsid w:val="00AB041C"/>
    <w:rsid w:val="00AB09DA"/>
    <w:rsid w:val="00AB14E8"/>
    <w:rsid w:val="00AB1B1D"/>
    <w:rsid w:val="00AB2216"/>
    <w:rsid w:val="00AB30BE"/>
    <w:rsid w:val="00AB358D"/>
    <w:rsid w:val="00AB37A1"/>
    <w:rsid w:val="00AB3BAD"/>
    <w:rsid w:val="00AB3CFD"/>
    <w:rsid w:val="00AB49BC"/>
    <w:rsid w:val="00AB4DEE"/>
    <w:rsid w:val="00AB4E32"/>
    <w:rsid w:val="00AB579A"/>
    <w:rsid w:val="00AB5D03"/>
    <w:rsid w:val="00AB724B"/>
    <w:rsid w:val="00AB726C"/>
    <w:rsid w:val="00AB72B4"/>
    <w:rsid w:val="00AB75CB"/>
    <w:rsid w:val="00AC02AA"/>
    <w:rsid w:val="00AC0537"/>
    <w:rsid w:val="00AC0A84"/>
    <w:rsid w:val="00AC2A0B"/>
    <w:rsid w:val="00AC2BEE"/>
    <w:rsid w:val="00AC2E53"/>
    <w:rsid w:val="00AC484F"/>
    <w:rsid w:val="00AC4B20"/>
    <w:rsid w:val="00AC56F2"/>
    <w:rsid w:val="00AC6801"/>
    <w:rsid w:val="00AC6886"/>
    <w:rsid w:val="00AC71C3"/>
    <w:rsid w:val="00AD1EFA"/>
    <w:rsid w:val="00AD2072"/>
    <w:rsid w:val="00AD2DBD"/>
    <w:rsid w:val="00AD2FBF"/>
    <w:rsid w:val="00AD455D"/>
    <w:rsid w:val="00AD463C"/>
    <w:rsid w:val="00AD46A2"/>
    <w:rsid w:val="00AD4F60"/>
    <w:rsid w:val="00AD5044"/>
    <w:rsid w:val="00AD5114"/>
    <w:rsid w:val="00AD5CED"/>
    <w:rsid w:val="00AD6236"/>
    <w:rsid w:val="00AD7619"/>
    <w:rsid w:val="00AD7770"/>
    <w:rsid w:val="00AE0C2C"/>
    <w:rsid w:val="00AE1772"/>
    <w:rsid w:val="00AE1990"/>
    <w:rsid w:val="00AE25E8"/>
    <w:rsid w:val="00AE2AD4"/>
    <w:rsid w:val="00AE2CA7"/>
    <w:rsid w:val="00AE2F1D"/>
    <w:rsid w:val="00AE586F"/>
    <w:rsid w:val="00AE6582"/>
    <w:rsid w:val="00AE6DC5"/>
    <w:rsid w:val="00AE7686"/>
    <w:rsid w:val="00AE799A"/>
    <w:rsid w:val="00AF0E81"/>
    <w:rsid w:val="00AF117A"/>
    <w:rsid w:val="00AF186E"/>
    <w:rsid w:val="00AF19DF"/>
    <w:rsid w:val="00AF26CF"/>
    <w:rsid w:val="00AF4E92"/>
    <w:rsid w:val="00AF554B"/>
    <w:rsid w:val="00AF5C9B"/>
    <w:rsid w:val="00AF5D53"/>
    <w:rsid w:val="00AF5E2D"/>
    <w:rsid w:val="00AF644B"/>
    <w:rsid w:val="00AF6CA6"/>
    <w:rsid w:val="00AF6EB6"/>
    <w:rsid w:val="00AF7796"/>
    <w:rsid w:val="00AF7F35"/>
    <w:rsid w:val="00B011A9"/>
    <w:rsid w:val="00B024ED"/>
    <w:rsid w:val="00B02EB3"/>
    <w:rsid w:val="00B02FCB"/>
    <w:rsid w:val="00B033F8"/>
    <w:rsid w:val="00B03C1E"/>
    <w:rsid w:val="00B04400"/>
    <w:rsid w:val="00B04835"/>
    <w:rsid w:val="00B05A55"/>
    <w:rsid w:val="00B05DE1"/>
    <w:rsid w:val="00B06595"/>
    <w:rsid w:val="00B0742F"/>
    <w:rsid w:val="00B10109"/>
    <w:rsid w:val="00B10388"/>
    <w:rsid w:val="00B1085E"/>
    <w:rsid w:val="00B10FD1"/>
    <w:rsid w:val="00B12735"/>
    <w:rsid w:val="00B129C6"/>
    <w:rsid w:val="00B13386"/>
    <w:rsid w:val="00B13533"/>
    <w:rsid w:val="00B13C48"/>
    <w:rsid w:val="00B13E35"/>
    <w:rsid w:val="00B13EC0"/>
    <w:rsid w:val="00B14102"/>
    <w:rsid w:val="00B14D32"/>
    <w:rsid w:val="00B1557C"/>
    <w:rsid w:val="00B155DC"/>
    <w:rsid w:val="00B15766"/>
    <w:rsid w:val="00B1666A"/>
    <w:rsid w:val="00B1686D"/>
    <w:rsid w:val="00B1741D"/>
    <w:rsid w:val="00B17447"/>
    <w:rsid w:val="00B1771D"/>
    <w:rsid w:val="00B17B91"/>
    <w:rsid w:val="00B20209"/>
    <w:rsid w:val="00B203AF"/>
    <w:rsid w:val="00B203C9"/>
    <w:rsid w:val="00B2088D"/>
    <w:rsid w:val="00B208FF"/>
    <w:rsid w:val="00B22C58"/>
    <w:rsid w:val="00B22E22"/>
    <w:rsid w:val="00B22F5F"/>
    <w:rsid w:val="00B23813"/>
    <w:rsid w:val="00B23FD9"/>
    <w:rsid w:val="00B24542"/>
    <w:rsid w:val="00B24591"/>
    <w:rsid w:val="00B245D5"/>
    <w:rsid w:val="00B24C36"/>
    <w:rsid w:val="00B24F94"/>
    <w:rsid w:val="00B25126"/>
    <w:rsid w:val="00B25A52"/>
    <w:rsid w:val="00B25B0A"/>
    <w:rsid w:val="00B25FC3"/>
    <w:rsid w:val="00B27026"/>
    <w:rsid w:val="00B27875"/>
    <w:rsid w:val="00B3008D"/>
    <w:rsid w:val="00B30E11"/>
    <w:rsid w:val="00B30EEB"/>
    <w:rsid w:val="00B31423"/>
    <w:rsid w:val="00B31710"/>
    <w:rsid w:val="00B323E0"/>
    <w:rsid w:val="00B32DC0"/>
    <w:rsid w:val="00B3346C"/>
    <w:rsid w:val="00B335E4"/>
    <w:rsid w:val="00B33C23"/>
    <w:rsid w:val="00B345B4"/>
    <w:rsid w:val="00B348B1"/>
    <w:rsid w:val="00B34A28"/>
    <w:rsid w:val="00B35046"/>
    <w:rsid w:val="00B35B6A"/>
    <w:rsid w:val="00B37657"/>
    <w:rsid w:val="00B37AFD"/>
    <w:rsid w:val="00B37B07"/>
    <w:rsid w:val="00B4046F"/>
    <w:rsid w:val="00B40B47"/>
    <w:rsid w:val="00B41D39"/>
    <w:rsid w:val="00B422C0"/>
    <w:rsid w:val="00B426CA"/>
    <w:rsid w:val="00B426E1"/>
    <w:rsid w:val="00B437F8"/>
    <w:rsid w:val="00B4387A"/>
    <w:rsid w:val="00B44260"/>
    <w:rsid w:val="00B44746"/>
    <w:rsid w:val="00B44854"/>
    <w:rsid w:val="00B458D0"/>
    <w:rsid w:val="00B4792C"/>
    <w:rsid w:val="00B50CAE"/>
    <w:rsid w:val="00B512AD"/>
    <w:rsid w:val="00B5196C"/>
    <w:rsid w:val="00B525CB"/>
    <w:rsid w:val="00B52697"/>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416D"/>
    <w:rsid w:val="00B64246"/>
    <w:rsid w:val="00B64EDB"/>
    <w:rsid w:val="00B65938"/>
    <w:rsid w:val="00B65C8A"/>
    <w:rsid w:val="00B65CE2"/>
    <w:rsid w:val="00B660AD"/>
    <w:rsid w:val="00B66109"/>
    <w:rsid w:val="00B66349"/>
    <w:rsid w:val="00B67630"/>
    <w:rsid w:val="00B67FBF"/>
    <w:rsid w:val="00B71FA7"/>
    <w:rsid w:val="00B72110"/>
    <w:rsid w:val="00B72B91"/>
    <w:rsid w:val="00B73019"/>
    <w:rsid w:val="00B7315F"/>
    <w:rsid w:val="00B7323A"/>
    <w:rsid w:val="00B73356"/>
    <w:rsid w:val="00B7353B"/>
    <w:rsid w:val="00B7358A"/>
    <w:rsid w:val="00B737FB"/>
    <w:rsid w:val="00B7423D"/>
    <w:rsid w:val="00B74D05"/>
    <w:rsid w:val="00B777FA"/>
    <w:rsid w:val="00B77850"/>
    <w:rsid w:val="00B7796B"/>
    <w:rsid w:val="00B80C72"/>
    <w:rsid w:val="00B81964"/>
    <w:rsid w:val="00B81E6F"/>
    <w:rsid w:val="00B82123"/>
    <w:rsid w:val="00B8225B"/>
    <w:rsid w:val="00B82BB5"/>
    <w:rsid w:val="00B83182"/>
    <w:rsid w:val="00B83322"/>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A0C54"/>
    <w:rsid w:val="00BA1382"/>
    <w:rsid w:val="00BA20D8"/>
    <w:rsid w:val="00BA22FC"/>
    <w:rsid w:val="00BA2F30"/>
    <w:rsid w:val="00BA4771"/>
    <w:rsid w:val="00BA5027"/>
    <w:rsid w:val="00BA665B"/>
    <w:rsid w:val="00BA7370"/>
    <w:rsid w:val="00BA778B"/>
    <w:rsid w:val="00BB0888"/>
    <w:rsid w:val="00BB0DF1"/>
    <w:rsid w:val="00BB0E9B"/>
    <w:rsid w:val="00BB2841"/>
    <w:rsid w:val="00BB300F"/>
    <w:rsid w:val="00BB32C9"/>
    <w:rsid w:val="00BB35C5"/>
    <w:rsid w:val="00BB4C8E"/>
    <w:rsid w:val="00BB57ED"/>
    <w:rsid w:val="00BB65C3"/>
    <w:rsid w:val="00BB662E"/>
    <w:rsid w:val="00BB67A9"/>
    <w:rsid w:val="00BB6C01"/>
    <w:rsid w:val="00BB7608"/>
    <w:rsid w:val="00BB7942"/>
    <w:rsid w:val="00BB7CD1"/>
    <w:rsid w:val="00BC0F33"/>
    <w:rsid w:val="00BC14A7"/>
    <w:rsid w:val="00BC17CC"/>
    <w:rsid w:val="00BC229E"/>
    <w:rsid w:val="00BC2898"/>
    <w:rsid w:val="00BC2928"/>
    <w:rsid w:val="00BC2BB1"/>
    <w:rsid w:val="00BC34A3"/>
    <w:rsid w:val="00BC3FF9"/>
    <w:rsid w:val="00BC4834"/>
    <w:rsid w:val="00BC4A97"/>
    <w:rsid w:val="00BC5A25"/>
    <w:rsid w:val="00BC5BBD"/>
    <w:rsid w:val="00BC5FDD"/>
    <w:rsid w:val="00BC68B4"/>
    <w:rsid w:val="00BD0140"/>
    <w:rsid w:val="00BD023B"/>
    <w:rsid w:val="00BD02CC"/>
    <w:rsid w:val="00BD1675"/>
    <w:rsid w:val="00BD2063"/>
    <w:rsid w:val="00BD33D9"/>
    <w:rsid w:val="00BD38C5"/>
    <w:rsid w:val="00BD3CF1"/>
    <w:rsid w:val="00BD3DEA"/>
    <w:rsid w:val="00BD3E97"/>
    <w:rsid w:val="00BD40E4"/>
    <w:rsid w:val="00BD52FE"/>
    <w:rsid w:val="00BD62CF"/>
    <w:rsid w:val="00BD67B2"/>
    <w:rsid w:val="00BD78AB"/>
    <w:rsid w:val="00BD78FE"/>
    <w:rsid w:val="00BE0149"/>
    <w:rsid w:val="00BE0767"/>
    <w:rsid w:val="00BE12D7"/>
    <w:rsid w:val="00BE1372"/>
    <w:rsid w:val="00BE1775"/>
    <w:rsid w:val="00BE18DA"/>
    <w:rsid w:val="00BE26C0"/>
    <w:rsid w:val="00BE3442"/>
    <w:rsid w:val="00BE45DF"/>
    <w:rsid w:val="00BE47B2"/>
    <w:rsid w:val="00BE48C7"/>
    <w:rsid w:val="00BE4F66"/>
    <w:rsid w:val="00BE5238"/>
    <w:rsid w:val="00BE6074"/>
    <w:rsid w:val="00BE7257"/>
    <w:rsid w:val="00BF020D"/>
    <w:rsid w:val="00BF1DD2"/>
    <w:rsid w:val="00BF23A3"/>
    <w:rsid w:val="00BF2A7E"/>
    <w:rsid w:val="00BF3331"/>
    <w:rsid w:val="00BF3A45"/>
    <w:rsid w:val="00BF436F"/>
    <w:rsid w:val="00BF486E"/>
    <w:rsid w:val="00BF5723"/>
    <w:rsid w:val="00BF5C05"/>
    <w:rsid w:val="00BF6FC6"/>
    <w:rsid w:val="00BF7C52"/>
    <w:rsid w:val="00BF7F99"/>
    <w:rsid w:val="00C00713"/>
    <w:rsid w:val="00C009A0"/>
    <w:rsid w:val="00C01F74"/>
    <w:rsid w:val="00C02558"/>
    <w:rsid w:val="00C0285F"/>
    <w:rsid w:val="00C02DBF"/>
    <w:rsid w:val="00C02F35"/>
    <w:rsid w:val="00C03305"/>
    <w:rsid w:val="00C03515"/>
    <w:rsid w:val="00C03738"/>
    <w:rsid w:val="00C037A6"/>
    <w:rsid w:val="00C043F5"/>
    <w:rsid w:val="00C044E3"/>
    <w:rsid w:val="00C04BDB"/>
    <w:rsid w:val="00C052C6"/>
    <w:rsid w:val="00C05A61"/>
    <w:rsid w:val="00C06CCF"/>
    <w:rsid w:val="00C108B8"/>
    <w:rsid w:val="00C11503"/>
    <w:rsid w:val="00C1159D"/>
    <w:rsid w:val="00C11683"/>
    <w:rsid w:val="00C118DB"/>
    <w:rsid w:val="00C1233E"/>
    <w:rsid w:val="00C125C1"/>
    <w:rsid w:val="00C12FB3"/>
    <w:rsid w:val="00C138BC"/>
    <w:rsid w:val="00C13D85"/>
    <w:rsid w:val="00C14639"/>
    <w:rsid w:val="00C14E82"/>
    <w:rsid w:val="00C14FF6"/>
    <w:rsid w:val="00C15293"/>
    <w:rsid w:val="00C15A85"/>
    <w:rsid w:val="00C1641B"/>
    <w:rsid w:val="00C165FC"/>
    <w:rsid w:val="00C176D5"/>
    <w:rsid w:val="00C2082C"/>
    <w:rsid w:val="00C20EB0"/>
    <w:rsid w:val="00C21005"/>
    <w:rsid w:val="00C220B6"/>
    <w:rsid w:val="00C22D7C"/>
    <w:rsid w:val="00C22DDE"/>
    <w:rsid w:val="00C2338B"/>
    <w:rsid w:val="00C233CE"/>
    <w:rsid w:val="00C23661"/>
    <w:rsid w:val="00C237DD"/>
    <w:rsid w:val="00C238F4"/>
    <w:rsid w:val="00C23A99"/>
    <w:rsid w:val="00C245EE"/>
    <w:rsid w:val="00C24AE1"/>
    <w:rsid w:val="00C24B8D"/>
    <w:rsid w:val="00C24BD7"/>
    <w:rsid w:val="00C25813"/>
    <w:rsid w:val="00C27143"/>
    <w:rsid w:val="00C27490"/>
    <w:rsid w:val="00C27A55"/>
    <w:rsid w:val="00C27D37"/>
    <w:rsid w:val="00C302E5"/>
    <w:rsid w:val="00C309E8"/>
    <w:rsid w:val="00C32017"/>
    <w:rsid w:val="00C325CD"/>
    <w:rsid w:val="00C3322E"/>
    <w:rsid w:val="00C337F5"/>
    <w:rsid w:val="00C33B90"/>
    <w:rsid w:val="00C34B5F"/>
    <w:rsid w:val="00C35206"/>
    <w:rsid w:val="00C358D4"/>
    <w:rsid w:val="00C36785"/>
    <w:rsid w:val="00C36845"/>
    <w:rsid w:val="00C3711C"/>
    <w:rsid w:val="00C37256"/>
    <w:rsid w:val="00C37A7B"/>
    <w:rsid w:val="00C37FFE"/>
    <w:rsid w:val="00C40B50"/>
    <w:rsid w:val="00C41858"/>
    <w:rsid w:val="00C419E3"/>
    <w:rsid w:val="00C419F4"/>
    <w:rsid w:val="00C41E6A"/>
    <w:rsid w:val="00C42247"/>
    <w:rsid w:val="00C439BE"/>
    <w:rsid w:val="00C44972"/>
    <w:rsid w:val="00C44E61"/>
    <w:rsid w:val="00C4539B"/>
    <w:rsid w:val="00C45466"/>
    <w:rsid w:val="00C455C1"/>
    <w:rsid w:val="00C4581D"/>
    <w:rsid w:val="00C47472"/>
    <w:rsid w:val="00C500F0"/>
    <w:rsid w:val="00C504A7"/>
    <w:rsid w:val="00C506C9"/>
    <w:rsid w:val="00C50A16"/>
    <w:rsid w:val="00C5122B"/>
    <w:rsid w:val="00C51C9A"/>
    <w:rsid w:val="00C52C68"/>
    <w:rsid w:val="00C52D98"/>
    <w:rsid w:val="00C53D24"/>
    <w:rsid w:val="00C54640"/>
    <w:rsid w:val="00C547A6"/>
    <w:rsid w:val="00C54A3A"/>
    <w:rsid w:val="00C5503F"/>
    <w:rsid w:val="00C55C32"/>
    <w:rsid w:val="00C56A67"/>
    <w:rsid w:val="00C56CC2"/>
    <w:rsid w:val="00C57498"/>
    <w:rsid w:val="00C5763C"/>
    <w:rsid w:val="00C5780C"/>
    <w:rsid w:val="00C5796B"/>
    <w:rsid w:val="00C619A1"/>
    <w:rsid w:val="00C62370"/>
    <w:rsid w:val="00C62545"/>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70012"/>
    <w:rsid w:val="00C71E2A"/>
    <w:rsid w:val="00C733BA"/>
    <w:rsid w:val="00C760DC"/>
    <w:rsid w:val="00C8082B"/>
    <w:rsid w:val="00C81A88"/>
    <w:rsid w:val="00C81AEC"/>
    <w:rsid w:val="00C81D46"/>
    <w:rsid w:val="00C820AD"/>
    <w:rsid w:val="00C82298"/>
    <w:rsid w:val="00C833B4"/>
    <w:rsid w:val="00C84284"/>
    <w:rsid w:val="00C84E33"/>
    <w:rsid w:val="00C85FFC"/>
    <w:rsid w:val="00C861FC"/>
    <w:rsid w:val="00C86C87"/>
    <w:rsid w:val="00C9005E"/>
    <w:rsid w:val="00C90111"/>
    <w:rsid w:val="00C90CA9"/>
    <w:rsid w:val="00C915F2"/>
    <w:rsid w:val="00C917B1"/>
    <w:rsid w:val="00C9193C"/>
    <w:rsid w:val="00C91B77"/>
    <w:rsid w:val="00C920E2"/>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41E7"/>
    <w:rsid w:val="00CA4B2B"/>
    <w:rsid w:val="00CA5520"/>
    <w:rsid w:val="00CA5812"/>
    <w:rsid w:val="00CA5BD4"/>
    <w:rsid w:val="00CA5C14"/>
    <w:rsid w:val="00CA76FC"/>
    <w:rsid w:val="00CA7E7B"/>
    <w:rsid w:val="00CB0236"/>
    <w:rsid w:val="00CB19E3"/>
    <w:rsid w:val="00CB2C3A"/>
    <w:rsid w:val="00CB2D38"/>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61B7"/>
    <w:rsid w:val="00CC61CA"/>
    <w:rsid w:val="00CC69EC"/>
    <w:rsid w:val="00CC71D3"/>
    <w:rsid w:val="00CC743D"/>
    <w:rsid w:val="00CC7849"/>
    <w:rsid w:val="00CD050A"/>
    <w:rsid w:val="00CD205D"/>
    <w:rsid w:val="00CD2A22"/>
    <w:rsid w:val="00CD2B50"/>
    <w:rsid w:val="00CD4506"/>
    <w:rsid w:val="00CD520B"/>
    <w:rsid w:val="00CD592E"/>
    <w:rsid w:val="00CD5982"/>
    <w:rsid w:val="00CD5A1A"/>
    <w:rsid w:val="00CD68FF"/>
    <w:rsid w:val="00CD7924"/>
    <w:rsid w:val="00CD7EFA"/>
    <w:rsid w:val="00CE020E"/>
    <w:rsid w:val="00CE0566"/>
    <w:rsid w:val="00CE1CD4"/>
    <w:rsid w:val="00CE23FE"/>
    <w:rsid w:val="00CE2761"/>
    <w:rsid w:val="00CE314E"/>
    <w:rsid w:val="00CE31F9"/>
    <w:rsid w:val="00CE3D5C"/>
    <w:rsid w:val="00CE3E14"/>
    <w:rsid w:val="00CE44C7"/>
    <w:rsid w:val="00CE53CC"/>
    <w:rsid w:val="00CE5FA4"/>
    <w:rsid w:val="00CE65A7"/>
    <w:rsid w:val="00CE68FE"/>
    <w:rsid w:val="00CE69CC"/>
    <w:rsid w:val="00CE6EC4"/>
    <w:rsid w:val="00CE7F26"/>
    <w:rsid w:val="00CF1226"/>
    <w:rsid w:val="00CF1ABB"/>
    <w:rsid w:val="00CF1E1D"/>
    <w:rsid w:val="00CF24FE"/>
    <w:rsid w:val="00CF35D0"/>
    <w:rsid w:val="00CF3DD5"/>
    <w:rsid w:val="00CF4AF7"/>
    <w:rsid w:val="00CF4D20"/>
    <w:rsid w:val="00CF73F8"/>
    <w:rsid w:val="00CF7928"/>
    <w:rsid w:val="00CF7CA2"/>
    <w:rsid w:val="00D00A8E"/>
    <w:rsid w:val="00D00DE0"/>
    <w:rsid w:val="00D00F79"/>
    <w:rsid w:val="00D012BF"/>
    <w:rsid w:val="00D0143F"/>
    <w:rsid w:val="00D01760"/>
    <w:rsid w:val="00D0368E"/>
    <w:rsid w:val="00D03D2D"/>
    <w:rsid w:val="00D03E7B"/>
    <w:rsid w:val="00D0401A"/>
    <w:rsid w:val="00D047E0"/>
    <w:rsid w:val="00D04B9F"/>
    <w:rsid w:val="00D04FFB"/>
    <w:rsid w:val="00D051BB"/>
    <w:rsid w:val="00D058E9"/>
    <w:rsid w:val="00D05D09"/>
    <w:rsid w:val="00D0612A"/>
    <w:rsid w:val="00D1060D"/>
    <w:rsid w:val="00D10E7C"/>
    <w:rsid w:val="00D11182"/>
    <w:rsid w:val="00D1137B"/>
    <w:rsid w:val="00D11807"/>
    <w:rsid w:val="00D11DB3"/>
    <w:rsid w:val="00D12D82"/>
    <w:rsid w:val="00D1306E"/>
    <w:rsid w:val="00D134CD"/>
    <w:rsid w:val="00D14B5F"/>
    <w:rsid w:val="00D14E13"/>
    <w:rsid w:val="00D14F23"/>
    <w:rsid w:val="00D15356"/>
    <w:rsid w:val="00D16740"/>
    <w:rsid w:val="00D16A8B"/>
    <w:rsid w:val="00D16E39"/>
    <w:rsid w:val="00D17951"/>
    <w:rsid w:val="00D17AD8"/>
    <w:rsid w:val="00D2104A"/>
    <w:rsid w:val="00D21BB5"/>
    <w:rsid w:val="00D21FFC"/>
    <w:rsid w:val="00D223B6"/>
    <w:rsid w:val="00D223E8"/>
    <w:rsid w:val="00D22DC8"/>
    <w:rsid w:val="00D2522A"/>
    <w:rsid w:val="00D2531C"/>
    <w:rsid w:val="00D2643E"/>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9A5"/>
    <w:rsid w:val="00D401BE"/>
    <w:rsid w:val="00D4043A"/>
    <w:rsid w:val="00D40A8E"/>
    <w:rsid w:val="00D40DB0"/>
    <w:rsid w:val="00D40F8B"/>
    <w:rsid w:val="00D41858"/>
    <w:rsid w:val="00D422DB"/>
    <w:rsid w:val="00D42AC2"/>
    <w:rsid w:val="00D43B8A"/>
    <w:rsid w:val="00D44866"/>
    <w:rsid w:val="00D4498E"/>
    <w:rsid w:val="00D4515F"/>
    <w:rsid w:val="00D451E8"/>
    <w:rsid w:val="00D4636B"/>
    <w:rsid w:val="00D466C9"/>
    <w:rsid w:val="00D467D8"/>
    <w:rsid w:val="00D47275"/>
    <w:rsid w:val="00D50C39"/>
    <w:rsid w:val="00D51E15"/>
    <w:rsid w:val="00D52B7E"/>
    <w:rsid w:val="00D52E2F"/>
    <w:rsid w:val="00D52F59"/>
    <w:rsid w:val="00D53E3E"/>
    <w:rsid w:val="00D55904"/>
    <w:rsid w:val="00D5616F"/>
    <w:rsid w:val="00D57940"/>
    <w:rsid w:val="00D60327"/>
    <w:rsid w:val="00D61526"/>
    <w:rsid w:val="00D61F81"/>
    <w:rsid w:val="00D62BE6"/>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4E19"/>
    <w:rsid w:val="00D85494"/>
    <w:rsid w:val="00D8582C"/>
    <w:rsid w:val="00D85D61"/>
    <w:rsid w:val="00D8616D"/>
    <w:rsid w:val="00D8711B"/>
    <w:rsid w:val="00D87384"/>
    <w:rsid w:val="00D90023"/>
    <w:rsid w:val="00D90683"/>
    <w:rsid w:val="00D915C8"/>
    <w:rsid w:val="00D9261C"/>
    <w:rsid w:val="00D92B9B"/>
    <w:rsid w:val="00D9310B"/>
    <w:rsid w:val="00D93726"/>
    <w:rsid w:val="00D93DD3"/>
    <w:rsid w:val="00D93F3E"/>
    <w:rsid w:val="00D9405B"/>
    <w:rsid w:val="00D94942"/>
    <w:rsid w:val="00D95145"/>
    <w:rsid w:val="00D967CB"/>
    <w:rsid w:val="00D96EE0"/>
    <w:rsid w:val="00D97BD1"/>
    <w:rsid w:val="00DA06B8"/>
    <w:rsid w:val="00DA286D"/>
    <w:rsid w:val="00DA2969"/>
    <w:rsid w:val="00DA29B7"/>
    <w:rsid w:val="00DA4842"/>
    <w:rsid w:val="00DA5989"/>
    <w:rsid w:val="00DA5AB1"/>
    <w:rsid w:val="00DA5F9D"/>
    <w:rsid w:val="00DA69B2"/>
    <w:rsid w:val="00DA7462"/>
    <w:rsid w:val="00DA7AD0"/>
    <w:rsid w:val="00DB02D7"/>
    <w:rsid w:val="00DB03CC"/>
    <w:rsid w:val="00DB12D4"/>
    <w:rsid w:val="00DB14F0"/>
    <w:rsid w:val="00DB1745"/>
    <w:rsid w:val="00DB1AFF"/>
    <w:rsid w:val="00DB219A"/>
    <w:rsid w:val="00DB3165"/>
    <w:rsid w:val="00DB3EB8"/>
    <w:rsid w:val="00DB4292"/>
    <w:rsid w:val="00DB6E46"/>
    <w:rsid w:val="00DB7117"/>
    <w:rsid w:val="00DB7760"/>
    <w:rsid w:val="00DB7DD4"/>
    <w:rsid w:val="00DC00B4"/>
    <w:rsid w:val="00DC0954"/>
    <w:rsid w:val="00DC15BA"/>
    <w:rsid w:val="00DC18CD"/>
    <w:rsid w:val="00DC1A68"/>
    <w:rsid w:val="00DC30B8"/>
    <w:rsid w:val="00DC32C6"/>
    <w:rsid w:val="00DC478F"/>
    <w:rsid w:val="00DC62E5"/>
    <w:rsid w:val="00DC6F33"/>
    <w:rsid w:val="00DC7349"/>
    <w:rsid w:val="00DD14D8"/>
    <w:rsid w:val="00DD1599"/>
    <w:rsid w:val="00DD1B03"/>
    <w:rsid w:val="00DD2A62"/>
    <w:rsid w:val="00DD2F2F"/>
    <w:rsid w:val="00DD2F7A"/>
    <w:rsid w:val="00DD3885"/>
    <w:rsid w:val="00DD5056"/>
    <w:rsid w:val="00DD5808"/>
    <w:rsid w:val="00DD5946"/>
    <w:rsid w:val="00DD5B04"/>
    <w:rsid w:val="00DD5DAE"/>
    <w:rsid w:val="00DD5EC6"/>
    <w:rsid w:val="00DD605F"/>
    <w:rsid w:val="00DD72A0"/>
    <w:rsid w:val="00DD735D"/>
    <w:rsid w:val="00DE0159"/>
    <w:rsid w:val="00DE064A"/>
    <w:rsid w:val="00DE082D"/>
    <w:rsid w:val="00DE1410"/>
    <w:rsid w:val="00DE2B07"/>
    <w:rsid w:val="00DE3119"/>
    <w:rsid w:val="00DE3F63"/>
    <w:rsid w:val="00DE3FF0"/>
    <w:rsid w:val="00DE4105"/>
    <w:rsid w:val="00DE5189"/>
    <w:rsid w:val="00DE6119"/>
    <w:rsid w:val="00DE6230"/>
    <w:rsid w:val="00DE7108"/>
    <w:rsid w:val="00DE78D1"/>
    <w:rsid w:val="00DF0263"/>
    <w:rsid w:val="00DF0EB4"/>
    <w:rsid w:val="00DF1E36"/>
    <w:rsid w:val="00DF1FDB"/>
    <w:rsid w:val="00DF236B"/>
    <w:rsid w:val="00DF2A91"/>
    <w:rsid w:val="00DF30B5"/>
    <w:rsid w:val="00DF3889"/>
    <w:rsid w:val="00DF3CC9"/>
    <w:rsid w:val="00DF4451"/>
    <w:rsid w:val="00DF49FF"/>
    <w:rsid w:val="00DF4FFB"/>
    <w:rsid w:val="00DF5236"/>
    <w:rsid w:val="00DF651F"/>
    <w:rsid w:val="00DF6E10"/>
    <w:rsid w:val="00DF6F43"/>
    <w:rsid w:val="00DF752F"/>
    <w:rsid w:val="00DF76A2"/>
    <w:rsid w:val="00DF7B33"/>
    <w:rsid w:val="00DF7DF9"/>
    <w:rsid w:val="00E00B7A"/>
    <w:rsid w:val="00E02186"/>
    <w:rsid w:val="00E026BB"/>
    <w:rsid w:val="00E027C5"/>
    <w:rsid w:val="00E027D8"/>
    <w:rsid w:val="00E03124"/>
    <w:rsid w:val="00E03951"/>
    <w:rsid w:val="00E03DB8"/>
    <w:rsid w:val="00E05E70"/>
    <w:rsid w:val="00E064BC"/>
    <w:rsid w:val="00E07225"/>
    <w:rsid w:val="00E07AAA"/>
    <w:rsid w:val="00E109DD"/>
    <w:rsid w:val="00E11229"/>
    <w:rsid w:val="00E114CA"/>
    <w:rsid w:val="00E11CF0"/>
    <w:rsid w:val="00E1397F"/>
    <w:rsid w:val="00E13AB8"/>
    <w:rsid w:val="00E1482E"/>
    <w:rsid w:val="00E16382"/>
    <w:rsid w:val="00E1699C"/>
    <w:rsid w:val="00E16E75"/>
    <w:rsid w:val="00E1746D"/>
    <w:rsid w:val="00E2012A"/>
    <w:rsid w:val="00E205A2"/>
    <w:rsid w:val="00E20BA4"/>
    <w:rsid w:val="00E23137"/>
    <w:rsid w:val="00E23980"/>
    <w:rsid w:val="00E241E9"/>
    <w:rsid w:val="00E257C3"/>
    <w:rsid w:val="00E25CB3"/>
    <w:rsid w:val="00E25DA4"/>
    <w:rsid w:val="00E26CB8"/>
    <w:rsid w:val="00E26FCF"/>
    <w:rsid w:val="00E27165"/>
    <w:rsid w:val="00E27226"/>
    <w:rsid w:val="00E3044A"/>
    <w:rsid w:val="00E31A4A"/>
    <w:rsid w:val="00E3344A"/>
    <w:rsid w:val="00E33B29"/>
    <w:rsid w:val="00E33B62"/>
    <w:rsid w:val="00E3403D"/>
    <w:rsid w:val="00E34E6C"/>
    <w:rsid w:val="00E350D8"/>
    <w:rsid w:val="00E353E2"/>
    <w:rsid w:val="00E36345"/>
    <w:rsid w:val="00E36C86"/>
    <w:rsid w:val="00E36CEB"/>
    <w:rsid w:val="00E37A28"/>
    <w:rsid w:val="00E40430"/>
    <w:rsid w:val="00E40690"/>
    <w:rsid w:val="00E40AEB"/>
    <w:rsid w:val="00E4143A"/>
    <w:rsid w:val="00E421AB"/>
    <w:rsid w:val="00E424C8"/>
    <w:rsid w:val="00E4251D"/>
    <w:rsid w:val="00E43D00"/>
    <w:rsid w:val="00E445E4"/>
    <w:rsid w:val="00E457CB"/>
    <w:rsid w:val="00E45D47"/>
    <w:rsid w:val="00E45DE4"/>
    <w:rsid w:val="00E45E63"/>
    <w:rsid w:val="00E50A7B"/>
    <w:rsid w:val="00E50B0B"/>
    <w:rsid w:val="00E510FE"/>
    <w:rsid w:val="00E51E25"/>
    <w:rsid w:val="00E5205B"/>
    <w:rsid w:val="00E521AE"/>
    <w:rsid w:val="00E53BCA"/>
    <w:rsid w:val="00E53F02"/>
    <w:rsid w:val="00E54534"/>
    <w:rsid w:val="00E548C3"/>
    <w:rsid w:val="00E54F27"/>
    <w:rsid w:val="00E55FF1"/>
    <w:rsid w:val="00E56090"/>
    <w:rsid w:val="00E565B9"/>
    <w:rsid w:val="00E5733B"/>
    <w:rsid w:val="00E5756C"/>
    <w:rsid w:val="00E601BE"/>
    <w:rsid w:val="00E60B5F"/>
    <w:rsid w:val="00E613AE"/>
    <w:rsid w:val="00E61429"/>
    <w:rsid w:val="00E61ABB"/>
    <w:rsid w:val="00E61FD7"/>
    <w:rsid w:val="00E623E6"/>
    <w:rsid w:val="00E630C0"/>
    <w:rsid w:val="00E63107"/>
    <w:rsid w:val="00E634E6"/>
    <w:rsid w:val="00E63DCE"/>
    <w:rsid w:val="00E64700"/>
    <w:rsid w:val="00E65074"/>
    <w:rsid w:val="00E65E70"/>
    <w:rsid w:val="00E66087"/>
    <w:rsid w:val="00E66D79"/>
    <w:rsid w:val="00E66FF9"/>
    <w:rsid w:val="00E67856"/>
    <w:rsid w:val="00E679C8"/>
    <w:rsid w:val="00E70314"/>
    <w:rsid w:val="00E70850"/>
    <w:rsid w:val="00E70E47"/>
    <w:rsid w:val="00E724E7"/>
    <w:rsid w:val="00E72B41"/>
    <w:rsid w:val="00E7347B"/>
    <w:rsid w:val="00E73D03"/>
    <w:rsid w:val="00E7471C"/>
    <w:rsid w:val="00E7498A"/>
    <w:rsid w:val="00E7514E"/>
    <w:rsid w:val="00E75B34"/>
    <w:rsid w:val="00E77AF5"/>
    <w:rsid w:val="00E8029A"/>
    <w:rsid w:val="00E823F9"/>
    <w:rsid w:val="00E82C1F"/>
    <w:rsid w:val="00E83671"/>
    <w:rsid w:val="00E84A71"/>
    <w:rsid w:val="00E86556"/>
    <w:rsid w:val="00E86798"/>
    <w:rsid w:val="00E86D35"/>
    <w:rsid w:val="00E86DC2"/>
    <w:rsid w:val="00E86E32"/>
    <w:rsid w:val="00E8732E"/>
    <w:rsid w:val="00E876FD"/>
    <w:rsid w:val="00E9011F"/>
    <w:rsid w:val="00E906EB"/>
    <w:rsid w:val="00E9241E"/>
    <w:rsid w:val="00E92460"/>
    <w:rsid w:val="00E92E62"/>
    <w:rsid w:val="00E93804"/>
    <w:rsid w:val="00E93A86"/>
    <w:rsid w:val="00E94DA5"/>
    <w:rsid w:val="00E95434"/>
    <w:rsid w:val="00E96467"/>
    <w:rsid w:val="00E966DA"/>
    <w:rsid w:val="00E96948"/>
    <w:rsid w:val="00E9737B"/>
    <w:rsid w:val="00E97A3F"/>
    <w:rsid w:val="00E97F0A"/>
    <w:rsid w:val="00EA0100"/>
    <w:rsid w:val="00EA04DC"/>
    <w:rsid w:val="00EA0886"/>
    <w:rsid w:val="00EA0BCE"/>
    <w:rsid w:val="00EA15E0"/>
    <w:rsid w:val="00EA16E1"/>
    <w:rsid w:val="00EA2726"/>
    <w:rsid w:val="00EA2744"/>
    <w:rsid w:val="00EA37B9"/>
    <w:rsid w:val="00EA39F7"/>
    <w:rsid w:val="00EA3B27"/>
    <w:rsid w:val="00EA3DC2"/>
    <w:rsid w:val="00EA434E"/>
    <w:rsid w:val="00EA44C5"/>
    <w:rsid w:val="00EA4757"/>
    <w:rsid w:val="00EA53D3"/>
    <w:rsid w:val="00EA560B"/>
    <w:rsid w:val="00EA5669"/>
    <w:rsid w:val="00EA5C05"/>
    <w:rsid w:val="00EA63EF"/>
    <w:rsid w:val="00EA6750"/>
    <w:rsid w:val="00EB0A89"/>
    <w:rsid w:val="00EB1573"/>
    <w:rsid w:val="00EB1650"/>
    <w:rsid w:val="00EB1910"/>
    <w:rsid w:val="00EB1D24"/>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6B1"/>
    <w:rsid w:val="00EC3C94"/>
    <w:rsid w:val="00EC44DF"/>
    <w:rsid w:val="00EC4AB1"/>
    <w:rsid w:val="00EC4FB9"/>
    <w:rsid w:val="00EC5393"/>
    <w:rsid w:val="00EC5741"/>
    <w:rsid w:val="00EC5ACE"/>
    <w:rsid w:val="00EC5DA3"/>
    <w:rsid w:val="00EC6014"/>
    <w:rsid w:val="00EC6B3E"/>
    <w:rsid w:val="00EC73DE"/>
    <w:rsid w:val="00EC7637"/>
    <w:rsid w:val="00EC7CF2"/>
    <w:rsid w:val="00ED046B"/>
    <w:rsid w:val="00ED046C"/>
    <w:rsid w:val="00ED053A"/>
    <w:rsid w:val="00ED1F03"/>
    <w:rsid w:val="00ED2D27"/>
    <w:rsid w:val="00ED3347"/>
    <w:rsid w:val="00ED3954"/>
    <w:rsid w:val="00ED43A2"/>
    <w:rsid w:val="00ED4967"/>
    <w:rsid w:val="00ED4EC8"/>
    <w:rsid w:val="00ED5140"/>
    <w:rsid w:val="00ED538C"/>
    <w:rsid w:val="00ED5771"/>
    <w:rsid w:val="00ED587F"/>
    <w:rsid w:val="00ED5964"/>
    <w:rsid w:val="00ED623F"/>
    <w:rsid w:val="00ED69BA"/>
    <w:rsid w:val="00ED72E9"/>
    <w:rsid w:val="00ED732E"/>
    <w:rsid w:val="00ED77F0"/>
    <w:rsid w:val="00ED7FBC"/>
    <w:rsid w:val="00EE0253"/>
    <w:rsid w:val="00EE0297"/>
    <w:rsid w:val="00EE1258"/>
    <w:rsid w:val="00EE13DA"/>
    <w:rsid w:val="00EE162F"/>
    <w:rsid w:val="00EE1668"/>
    <w:rsid w:val="00EE366D"/>
    <w:rsid w:val="00EE46A2"/>
    <w:rsid w:val="00EE5454"/>
    <w:rsid w:val="00EE58B8"/>
    <w:rsid w:val="00EE59B5"/>
    <w:rsid w:val="00EE5D1D"/>
    <w:rsid w:val="00EE5FB7"/>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6784"/>
    <w:rsid w:val="00EF688A"/>
    <w:rsid w:val="00EF6A03"/>
    <w:rsid w:val="00EF6DC2"/>
    <w:rsid w:val="00EF7BF4"/>
    <w:rsid w:val="00F0030F"/>
    <w:rsid w:val="00F00674"/>
    <w:rsid w:val="00F01657"/>
    <w:rsid w:val="00F01E67"/>
    <w:rsid w:val="00F02744"/>
    <w:rsid w:val="00F02BFD"/>
    <w:rsid w:val="00F02D25"/>
    <w:rsid w:val="00F0435D"/>
    <w:rsid w:val="00F04580"/>
    <w:rsid w:val="00F04ECA"/>
    <w:rsid w:val="00F06E19"/>
    <w:rsid w:val="00F06F84"/>
    <w:rsid w:val="00F076E7"/>
    <w:rsid w:val="00F07AA1"/>
    <w:rsid w:val="00F105AE"/>
    <w:rsid w:val="00F10618"/>
    <w:rsid w:val="00F1108B"/>
    <w:rsid w:val="00F11768"/>
    <w:rsid w:val="00F11951"/>
    <w:rsid w:val="00F12262"/>
    <w:rsid w:val="00F12AF8"/>
    <w:rsid w:val="00F12C52"/>
    <w:rsid w:val="00F148B7"/>
    <w:rsid w:val="00F14EA9"/>
    <w:rsid w:val="00F14F7B"/>
    <w:rsid w:val="00F15505"/>
    <w:rsid w:val="00F15BFF"/>
    <w:rsid w:val="00F213A0"/>
    <w:rsid w:val="00F21A51"/>
    <w:rsid w:val="00F21D54"/>
    <w:rsid w:val="00F21EF4"/>
    <w:rsid w:val="00F2230E"/>
    <w:rsid w:val="00F23113"/>
    <w:rsid w:val="00F23255"/>
    <w:rsid w:val="00F23393"/>
    <w:rsid w:val="00F23759"/>
    <w:rsid w:val="00F23B7F"/>
    <w:rsid w:val="00F24644"/>
    <w:rsid w:val="00F256FD"/>
    <w:rsid w:val="00F26F33"/>
    <w:rsid w:val="00F26F4F"/>
    <w:rsid w:val="00F300A8"/>
    <w:rsid w:val="00F30400"/>
    <w:rsid w:val="00F3079E"/>
    <w:rsid w:val="00F33980"/>
    <w:rsid w:val="00F3399B"/>
    <w:rsid w:val="00F33C1A"/>
    <w:rsid w:val="00F3461B"/>
    <w:rsid w:val="00F346ED"/>
    <w:rsid w:val="00F34945"/>
    <w:rsid w:val="00F34E1E"/>
    <w:rsid w:val="00F3570C"/>
    <w:rsid w:val="00F368FF"/>
    <w:rsid w:val="00F37068"/>
    <w:rsid w:val="00F37F3F"/>
    <w:rsid w:val="00F40992"/>
    <w:rsid w:val="00F412DF"/>
    <w:rsid w:val="00F41596"/>
    <w:rsid w:val="00F41D8B"/>
    <w:rsid w:val="00F42121"/>
    <w:rsid w:val="00F424B3"/>
    <w:rsid w:val="00F428B1"/>
    <w:rsid w:val="00F428B4"/>
    <w:rsid w:val="00F4345D"/>
    <w:rsid w:val="00F4387B"/>
    <w:rsid w:val="00F4518D"/>
    <w:rsid w:val="00F45B91"/>
    <w:rsid w:val="00F46639"/>
    <w:rsid w:val="00F46692"/>
    <w:rsid w:val="00F47AAA"/>
    <w:rsid w:val="00F50183"/>
    <w:rsid w:val="00F50D92"/>
    <w:rsid w:val="00F51765"/>
    <w:rsid w:val="00F51A51"/>
    <w:rsid w:val="00F51CB4"/>
    <w:rsid w:val="00F52324"/>
    <w:rsid w:val="00F52950"/>
    <w:rsid w:val="00F52C9D"/>
    <w:rsid w:val="00F533F1"/>
    <w:rsid w:val="00F55679"/>
    <w:rsid w:val="00F561E3"/>
    <w:rsid w:val="00F565E6"/>
    <w:rsid w:val="00F56AFA"/>
    <w:rsid w:val="00F575E2"/>
    <w:rsid w:val="00F579FF"/>
    <w:rsid w:val="00F600E0"/>
    <w:rsid w:val="00F600FD"/>
    <w:rsid w:val="00F603C6"/>
    <w:rsid w:val="00F605EC"/>
    <w:rsid w:val="00F6091B"/>
    <w:rsid w:val="00F60F60"/>
    <w:rsid w:val="00F612CE"/>
    <w:rsid w:val="00F624A7"/>
    <w:rsid w:val="00F62AB6"/>
    <w:rsid w:val="00F65A3C"/>
    <w:rsid w:val="00F66282"/>
    <w:rsid w:val="00F67D8B"/>
    <w:rsid w:val="00F70961"/>
    <w:rsid w:val="00F70A8F"/>
    <w:rsid w:val="00F71397"/>
    <w:rsid w:val="00F72389"/>
    <w:rsid w:val="00F72516"/>
    <w:rsid w:val="00F72FB4"/>
    <w:rsid w:val="00F735E5"/>
    <w:rsid w:val="00F73E80"/>
    <w:rsid w:val="00F7469C"/>
    <w:rsid w:val="00F7492E"/>
    <w:rsid w:val="00F74945"/>
    <w:rsid w:val="00F749A3"/>
    <w:rsid w:val="00F74A04"/>
    <w:rsid w:val="00F74AE8"/>
    <w:rsid w:val="00F757A8"/>
    <w:rsid w:val="00F76C11"/>
    <w:rsid w:val="00F77021"/>
    <w:rsid w:val="00F77E61"/>
    <w:rsid w:val="00F80DAD"/>
    <w:rsid w:val="00F815AC"/>
    <w:rsid w:val="00F83B33"/>
    <w:rsid w:val="00F83CAE"/>
    <w:rsid w:val="00F840BF"/>
    <w:rsid w:val="00F8415D"/>
    <w:rsid w:val="00F8427A"/>
    <w:rsid w:val="00F843DF"/>
    <w:rsid w:val="00F84899"/>
    <w:rsid w:val="00F85585"/>
    <w:rsid w:val="00F859F0"/>
    <w:rsid w:val="00F85CC1"/>
    <w:rsid w:val="00F86B5D"/>
    <w:rsid w:val="00F87464"/>
    <w:rsid w:val="00F87634"/>
    <w:rsid w:val="00F87C13"/>
    <w:rsid w:val="00F87C5A"/>
    <w:rsid w:val="00F87E29"/>
    <w:rsid w:val="00F87F18"/>
    <w:rsid w:val="00F87F68"/>
    <w:rsid w:val="00F90C4D"/>
    <w:rsid w:val="00F9167D"/>
    <w:rsid w:val="00F91CB2"/>
    <w:rsid w:val="00F9289C"/>
    <w:rsid w:val="00F933A1"/>
    <w:rsid w:val="00F93DBC"/>
    <w:rsid w:val="00F93E41"/>
    <w:rsid w:val="00F94644"/>
    <w:rsid w:val="00F9537B"/>
    <w:rsid w:val="00F963FC"/>
    <w:rsid w:val="00FA015F"/>
    <w:rsid w:val="00FA0FAC"/>
    <w:rsid w:val="00FA1DA2"/>
    <w:rsid w:val="00FA2420"/>
    <w:rsid w:val="00FA3414"/>
    <w:rsid w:val="00FA347A"/>
    <w:rsid w:val="00FA3CDE"/>
    <w:rsid w:val="00FA49B7"/>
    <w:rsid w:val="00FA5043"/>
    <w:rsid w:val="00FA6F8B"/>
    <w:rsid w:val="00FA7A30"/>
    <w:rsid w:val="00FB033F"/>
    <w:rsid w:val="00FB12E3"/>
    <w:rsid w:val="00FB1570"/>
    <w:rsid w:val="00FB193B"/>
    <w:rsid w:val="00FB1FBC"/>
    <w:rsid w:val="00FB27B7"/>
    <w:rsid w:val="00FB3483"/>
    <w:rsid w:val="00FB35E3"/>
    <w:rsid w:val="00FB583C"/>
    <w:rsid w:val="00FB62CE"/>
    <w:rsid w:val="00FB630E"/>
    <w:rsid w:val="00FB6738"/>
    <w:rsid w:val="00FB691B"/>
    <w:rsid w:val="00FB6D41"/>
    <w:rsid w:val="00FB731C"/>
    <w:rsid w:val="00FC05A0"/>
    <w:rsid w:val="00FC0811"/>
    <w:rsid w:val="00FC1196"/>
    <w:rsid w:val="00FC15EB"/>
    <w:rsid w:val="00FC18DC"/>
    <w:rsid w:val="00FC2AC4"/>
    <w:rsid w:val="00FC2F73"/>
    <w:rsid w:val="00FC3A9B"/>
    <w:rsid w:val="00FC3AE1"/>
    <w:rsid w:val="00FC3DFC"/>
    <w:rsid w:val="00FC3EF4"/>
    <w:rsid w:val="00FC431B"/>
    <w:rsid w:val="00FC434C"/>
    <w:rsid w:val="00FC4FDF"/>
    <w:rsid w:val="00FC5CF4"/>
    <w:rsid w:val="00FC68B2"/>
    <w:rsid w:val="00FC6A39"/>
    <w:rsid w:val="00FC79AB"/>
    <w:rsid w:val="00FC7BE7"/>
    <w:rsid w:val="00FC7DAC"/>
    <w:rsid w:val="00FD04AE"/>
    <w:rsid w:val="00FD1890"/>
    <w:rsid w:val="00FD1994"/>
    <w:rsid w:val="00FD2CA6"/>
    <w:rsid w:val="00FD3508"/>
    <w:rsid w:val="00FD393C"/>
    <w:rsid w:val="00FD42A7"/>
    <w:rsid w:val="00FD43BB"/>
    <w:rsid w:val="00FD4AF3"/>
    <w:rsid w:val="00FD798D"/>
    <w:rsid w:val="00FD7FB9"/>
    <w:rsid w:val="00FE141E"/>
    <w:rsid w:val="00FE144E"/>
    <w:rsid w:val="00FE1768"/>
    <w:rsid w:val="00FE24F4"/>
    <w:rsid w:val="00FE2560"/>
    <w:rsid w:val="00FE35D0"/>
    <w:rsid w:val="00FE41AC"/>
    <w:rsid w:val="00FE42ED"/>
    <w:rsid w:val="00FE55A7"/>
    <w:rsid w:val="00FE55E6"/>
    <w:rsid w:val="00FE56D5"/>
    <w:rsid w:val="00FE5C5A"/>
    <w:rsid w:val="00FE6432"/>
    <w:rsid w:val="00FE72A0"/>
    <w:rsid w:val="00FF0050"/>
    <w:rsid w:val="00FF045F"/>
    <w:rsid w:val="00FF13D4"/>
    <w:rsid w:val="00FF2053"/>
    <w:rsid w:val="00FF3B37"/>
    <w:rsid w:val="00FF3D6F"/>
    <w:rsid w:val="00FF4BD8"/>
    <w:rsid w:val="00FF4D11"/>
    <w:rsid w:val="00FF5214"/>
    <w:rsid w:val="00FF596E"/>
    <w:rsid w:val="00FF5B59"/>
    <w:rsid w:val="00FF5BFD"/>
    <w:rsid w:val="00FF6095"/>
    <w:rsid w:val="00FF62FE"/>
    <w:rsid w:val="00FF655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character" w:styleId="Mencinsinresolver">
    <w:name w:val="Unresolved Mention"/>
    <w:basedOn w:val="Fuentedeprrafopredeter"/>
    <w:uiPriority w:val="99"/>
    <w:semiHidden/>
    <w:unhideWhenUsed/>
    <w:rsid w:val="004A42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097834">
      <w:bodyDiv w:val="1"/>
      <w:marLeft w:val="0"/>
      <w:marRight w:val="0"/>
      <w:marTop w:val="0"/>
      <w:marBottom w:val="0"/>
      <w:divBdr>
        <w:top w:val="none" w:sz="0" w:space="0" w:color="auto"/>
        <w:left w:val="none" w:sz="0" w:space="0" w:color="auto"/>
        <w:bottom w:val="none" w:sz="0" w:space="0" w:color="auto"/>
        <w:right w:val="none" w:sz="0" w:space="0" w:color="auto"/>
      </w:divBdr>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77346864">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1501415">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560749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leyes.senado.gov.co/proyectos/images/documentos/Textos%20Radicados/Ponencias/2019/gaceta_423.pdf" TargetMode="External"/><Relationship Id="rId3" Type="http://schemas.openxmlformats.org/officeDocument/2006/relationships/hyperlink" Target="https://www.colombiacompra.gov.co/documentos-tipo/documentos-tipo" TargetMode="External"/><Relationship Id="rId7" Type="http://schemas.openxmlformats.org/officeDocument/2006/relationships/hyperlink" Target="http://leyes.senado.gov.co/proyectos/images/documentos/Textos%20Radicados/Ponencias/2018/gaceta_1154.pdf" TargetMode="External"/><Relationship Id="rId2" Type="http://schemas.openxmlformats.org/officeDocument/2006/relationships/hyperlink" Target="https://www.contraloria.gov.co/documents/20181/1776254/CIRCULAR_2020EE0096013_REGISTRO_NACIONAL_OBRAS_INCONCLUSAS.PDF/785952d4-4b41-48cb-916b-4881c3b4a095" TargetMode="External"/><Relationship Id="rId1" Type="http://schemas.openxmlformats.org/officeDocument/2006/relationships/hyperlink" Target="http://svrpubindc.imprenta.gov.co/senado/index.xhtml;jsessionid=b3ba7213a248bacd37376ffcedca" TargetMode="External"/><Relationship Id="rId6" Type="http://schemas.openxmlformats.org/officeDocument/2006/relationships/hyperlink" Target="http://leyes.senado.gov.co/proyectos/images/documentos/Textos%20Radicados/Ponencias/2018/gaceta_563.pdf" TargetMode="External"/><Relationship Id="rId5" Type="http://schemas.openxmlformats.org/officeDocument/2006/relationships/hyperlink" Target="http://leyes.senado.gov.co/proyectos/images/documentos/Textos%20Radicados/Ponencias/2019/gaceta_1187.pdf" TargetMode="External"/><Relationship Id="rId10" Type="http://schemas.openxmlformats.org/officeDocument/2006/relationships/hyperlink" Target="http://leyes.senado.gov.co/proyectos/images/documentos/Textos%20Radicados/Ponencias/2019/gaceta_1187.pdf" TargetMode="External"/><Relationship Id="rId4" Type="http://schemas.openxmlformats.org/officeDocument/2006/relationships/hyperlink" Target="https://dle.rae.es/consultar" TargetMode="External"/><Relationship Id="rId9" Type="http://schemas.openxmlformats.org/officeDocument/2006/relationships/hyperlink" Target="http://leyes.senado.gov.co/proyectos/images/documentos/Textos%20Radicados/Ponencias/2019/gaceta_963.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FB403457-0D1F-4CEC-BE31-277489902569}">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900F28FC-8600-427E-907E-F811FDA955FA}"/>
</file>

<file path=docProps/app.xml><?xml version="1.0" encoding="utf-8"?>
<Properties xmlns="http://schemas.openxmlformats.org/officeDocument/2006/extended-properties" xmlns:vt="http://schemas.openxmlformats.org/officeDocument/2006/docPropsVTypes">
  <Template>Respuesta a consultas</Template>
  <TotalTime>19</TotalTime>
  <Pages>22</Pages>
  <Words>8684</Words>
  <Characters>47762</Characters>
  <Application>Microsoft Office Word</Application>
  <DocSecurity>0</DocSecurity>
  <Lines>398</Lines>
  <Paragraphs>112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4</cp:revision>
  <cp:lastPrinted>2020-01-30T15:05:00Z</cp:lastPrinted>
  <dcterms:created xsi:type="dcterms:W3CDTF">2021-10-26T16:54:00Z</dcterms:created>
  <dcterms:modified xsi:type="dcterms:W3CDTF">2021-10-26T17:11:00Z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