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97115B" w14:textId="77777777" w:rsidR="009C1766" w:rsidRDefault="009C1766" w:rsidP="009C1766">
      <w:pPr>
        <w:spacing w:after="0" w:line="240" w:lineRule="auto"/>
        <w:jc w:val="both"/>
        <w:rPr>
          <w:rFonts w:ascii="Verdana" w:hAnsi="Verdana"/>
          <w:b/>
          <w:bCs/>
          <w:kern w:val="2"/>
          <w14:ligatures w14:val="standardContextual"/>
        </w:rPr>
      </w:pPr>
      <w:bookmarkStart w:id="0" w:name="_GoBack"/>
      <w:bookmarkEnd w:id="0"/>
      <w:r>
        <w:rPr>
          <w:rFonts w:ascii="Verdana" w:hAnsi="Verdana"/>
          <w:b/>
          <w:bCs/>
          <w:kern w:val="2"/>
          <w14:ligatures w14:val="standardContextual"/>
        </w:rPr>
        <w:t>VIGILANCIA DE LOS CONTRATOS ESTATALES – Marco jurídico – Obligación de la entidad – Objetivo</w:t>
      </w:r>
    </w:p>
    <w:p w14:paraId="6581C565" w14:textId="77777777" w:rsidR="009C1766" w:rsidRDefault="009C1766" w:rsidP="009C1766">
      <w:pPr>
        <w:spacing w:after="0" w:line="240" w:lineRule="auto"/>
        <w:jc w:val="both"/>
        <w:rPr>
          <w:rFonts w:ascii="Verdana" w:hAnsi="Verdana"/>
          <w:b/>
          <w:bCs/>
          <w:kern w:val="2"/>
          <w14:ligatures w14:val="standardContextual"/>
        </w:rPr>
      </w:pPr>
    </w:p>
    <w:p w14:paraId="3E7E9EC4" w14:textId="77777777" w:rsidR="009C1766" w:rsidRDefault="009C1766" w:rsidP="009C1766">
      <w:pPr>
        <w:spacing w:after="0" w:line="240" w:lineRule="auto"/>
        <w:jc w:val="both"/>
        <w:rPr>
          <w:rFonts w:ascii="Verdana" w:hAnsi="Verdana"/>
          <w:kern w:val="2"/>
          <w:sz w:val="20"/>
          <w:szCs w:val="20"/>
          <w14:ligatures w14:val="standardContextual"/>
        </w:rPr>
      </w:pPr>
      <w:r w:rsidRPr="007B0856">
        <w:rPr>
          <w:rFonts w:ascii="Verdana" w:hAnsi="Verdana"/>
          <w:kern w:val="2"/>
          <w:sz w:val="20"/>
          <w:szCs w:val="20"/>
          <w14:ligatures w14:val="standardContextual"/>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1A9D8E56" w14:textId="77777777" w:rsidR="009C1766" w:rsidRDefault="009C1766" w:rsidP="009C1766">
      <w:pPr>
        <w:spacing w:after="0" w:line="240" w:lineRule="auto"/>
        <w:jc w:val="both"/>
        <w:rPr>
          <w:rFonts w:ascii="Verdana" w:hAnsi="Verdana"/>
          <w:kern w:val="2"/>
          <w:sz w:val="20"/>
          <w:szCs w:val="20"/>
          <w14:ligatures w14:val="standardContextual"/>
        </w:rPr>
      </w:pPr>
    </w:p>
    <w:p w14:paraId="296A3782" w14:textId="77777777" w:rsidR="009C1766" w:rsidRPr="007B0856" w:rsidRDefault="009C1766" w:rsidP="009C1766">
      <w:pPr>
        <w:spacing w:after="0" w:line="240" w:lineRule="auto"/>
        <w:jc w:val="both"/>
        <w:rPr>
          <w:rFonts w:ascii="Verdana" w:hAnsi="Verdana"/>
          <w:kern w:val="2"/>
          <w:sz w:val="20"/>
          <w:szCs w:val="20"/>
          <w14:ligatures w14:val="standardContextual"/>
        </w:rPr>
      </w:pPr>
      <w:r>
        <w:rPr>
          <w:rFonts w:ascii="Verdana" w:hAnsi="Verdana"/>
          <w:kern w:val="2"/>
          <w:sz w:val="20"/>
          <w:szCs w:val="20"/>
          <w14:ligatures w14:val="standardContextual"/>
        </w:rPr>
        <w:t>[…]</w:t>
      </w:r>
      <w:r w:rsidRPr="007B0856">
        <w:rPr>
          <w:rFonts w:ascii="Verdana" w:hAnsi="Verdana"/>
          <w:kern w:val="2"/>
          <w:sz w:val="20"/>
          <w:szCs w:val="20"/>
          <w14:ligatures w14:val="standardContextual"/>
        </w:rPr>
        <w:t>, las Leyes 1150 de 2007 y 1474 de 2011, complementan el régimen jurídico de la obligación de vigilar la correcta ejecución de los contratos estatales.</w:t>
      </w:r>
      <w:r>
        <w:rPr>
          <w:rFonts w:ascii="Verdana" w:hAnsi="Verdana"/>
          <w:kern w:val="2"/>
          <w:sz w:val="20"/>
          <w:szCs w:val="20"/>
          <w14:ligatures w14:val="standardContextual"/>
        </w:rPr>
        <w:t xml:space="preserve"> […]</w:t>
      </w:r>
      <w:r w:rsidRPr="007B0856">
        <w:rPr>
          <w:rFonts w:ascii="Verdana" w:hAnsi="Verdana"/>
          <w:kern w:val="2"/>
          <w:sz w:val="20"/>
          <w:szCs w:val="20"/>
          <w14:ligatures w14:val="standardContextual"/>
        </w:rPr>
        <w:t>se establecen los límites de la responsabilidad del representante legal ante la delegación de sus funciones en materia contractual y se regula la supervisión y la interventoría de los contratos estatales.</w:t>
      </w:r>
    </w:p>
    <w:p w14:paraId="6AE04DE4" w14:textId="77777777" w:rsidR="009C1766" w:rsidRDefault="009C1766" w:rsidP="009C1766">
      <w:pPr>
        <w:spacing w:after="0" w:line="240" w:lineRule="auto"/>
        <w:jc w:val="both"/>
        <w:rPr>
          <w:rFonts w:ascii="Verdana" w:hAnsi="Verdana"/>
          <w:b/>
          <w:bCs/>
          <w:kern w:val="2"/>
          <w14:ligatures w14:val="standardContextual"/>
        </w:rPr>
      </w:pPr>
    </w:p>
    <w:p w14:paraId="3A191199" w14:textId="77777777" w:rsidR="009C1766" w:rsidRPr="007B0856" w:rsidRDefault="009C1766" w:rsidP="009C1766">
      <w:pPr>
        <w:spacing w:after="0" w:line="240" w:lineRule="auto"/>
        <w:jc w:val="both"/>
        <w:rPr>
          <w:rFonts w:ascii="Verdana" w:hAnsi="Verdana"/>
          <w:b/>
          <w:bCs/>
          <w:kern w:val="2"/>
          <w14:ligatures w14:val="standardContextual"/>
        </w:rPr>
      </w:pPr>
      <w:r>
        <w:rPr>
          <w:rFonts w:ascii="Verdana" w:hAnsi="Verdana"/>
          <w:b/>
          <w:bCs/>
          <w:kern w:val="2"/>
          <w14:ligatures w14:val="standardContextual"/>
        </w:rPr>
        <w:t xml:space="preserve">SUPERVISIÓN E INTERVENTORÍA – Marco jurídico – Finalidad </w:t>
      </w:r>
    </w:p>
    <w:p w14:paraId="6EC4F877" w14:textId="77777777" w:rsidR="009C1766" w:rsidRPr="007B0856" w:rsidRDefault="009C1766" w:rsidP="009C1766">
      <w:pPr>
        <w:spacing w:after="0" w:line="278" w:lineRule="auto"/>
        <w:jc w:val="both"/>
        <w:rPr>
          <w:rFonts w:ascii="Verdana" w:hAnsi="Verdana"/>
          <w:b/>
          <w:bCs/>
          <w:kern w:val="2"/>
          <w:sz w:val="20"/>
          <w:szCs w:val="20"/>
          <w14:ligatures w14:val="standardContextual"/>
        </w:rPr>
      </w:pPr>
    </w:p>
    <w:p w14:paraId="157CDDED" w14:textId="77777777" w:rsidR="009C1766" w:rsidRDefault="009C1766" w:rsidP="009C1766">
      <w:pPr>
        <w:spacing w:after="0"/>
        <w:jc w:val="both"/>
        <w:rPr>
          <w:rFonts w:ascii="Verdana" w:hAnsi="Verdana"/>
          <w:kern w:val="2"/>
          <w:sz w:val="20"/>
          <w:szCs w:val="20"/>
          <w14:ligatures w14:val="standardContextual"/>
        </w:rPr>
      </w:pPr>
      <w:r w:rsidRPr="007B0856">
        <w:rPr>
          <w:rFonts w:ascii="Verdana" w:hAnsi="Verdana"/>
          <w:kern w:val="2"/>
          <w:sz w:val="20"/>
          <w:szCs w:val="20"/>
          <w14:ligatures w14:val="standardContextual"/>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p w14:paraId="725A87C4" w14:textId="77777777" w:rsidR="009C1766" w:rsidRDefault="009C1766" w:rsidP="009C1766">
      <w:pPr>
        <w:spacing w:after="0" w:line="240" w:lineRule="auto"/>
        <w:jc w:val="both"/>
        <w:rPr>
          <w:rFonts w:ascii="Verdana" w:hAnsi="Verdana"/>
          <w:b/>
          <w:bCs/>
          <w:kern w:val="2"/>
          <w14:ligatures w14:val="standardContextual"/>
        </w:rPr>
      </w:pPr>
    </w:p>
    <w:p w14:paraId="16174CA9" w14:textId="77777777" w:rsidR="009C1766" w:rsidRPr="007B0856" w:rsidRDefault="009C1766" w:rsidP="009C1766">
      <w:pPr>
        <w:spacing w:after="0" w:line="240" w:lineRule="auto"/>
        <w:jc w:val="both"/>
        <w:rPr>
          <w:rFonts w:ascii="Verdana" w:hAnsi="Verdana"/>
          <w:b/>
          <w:bCs/>
          <w:kern w:val="2"/>
          <w14:ligatures w14:val="standardContextual"/>
        </w:rPr>
      </w:pPr>
      <w:r>
        <w:rPr>
          <w:rFonts w:ascii="Verdana" w:hAnsi="Verdana"/>
          <w:b/>
          <w:bCs/>
          <w:kern w:val="2"/>
          <w14:ligatures w14:val="standardContextual"/>
        </w:rPr>
        <w:t>SUPERVISIÓN DEL CONTRATO – Características</w:t>
      </w:r>
    </w:p>
    <w:p w14:paraId="16E4BCF3" w14:textId="77777777" w:rsidR="009C1766" w:rsidRPr="007B0856" w:rsidRDefault="009C1766" w:rsidP="009C1766">
      <w:pPr>
        <w:spacing w:after="0" w:line="278" w:lineRule="auto"/>
        <w:jc w:val="both"/>
        <w:rPr>
          <w:rFonts w:ascii="Verdana" w:hAnsi="Verdana"/>
          <w:b/>
          <w:bCs/>
          <w:kern w:val="2"/>
          <w:sz w:val="20"/>
          <w:szCs w:val="20"/>
          <w14:ligatures w14:val="standardContextual"/>
        </w:rPr>
      </w:pPr>
    </w:p>
    <w:p w14:paraId="603169AD" w14:textId="77777777" w:rsidR="009C1766" w:rsidRDefault="009C1766" w:rsidP="009C1766">
      <w:pPr>
        <w:jc w:val="both"/>
      </w:pPr>
      <w:r>
        <w:rPr>
          <w:rFonts w:ascii="Verdana" w:hAnsi="Verdana"/>
          <w:kern w:val="2"/>
          <w:sz w:val="20"/>
          <w:szCs w:val="20"/>
          <w14:ligatures w14:val="standardContextual"/>
        </w:rPr>
        <w:t xml:space="preserve">[…] </w:t>
      </w:r>
      <w:r w:rsidRPr="007B0856">
        <w:rPr>
          <w:rFonts w:ascii="Verdana" w:hAnsi="Verdana"/>
          <w:kern w:val="2"/>
          <w:sz w:val="20"/>
          <w:szCs w:val="20"/>
          <w14:ligatures w14:val="standardContextual"/>
        </w:rPr>
        <w:t xml:space="preserve">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7B0856">
        <w:rPr>
          <w:rFonts w:ascii="Verdana" w:hAnsi="Verdana"/>
          <w:kern w:val="2"/>
          <w:sz w:val="20"/>
          <w:szCs w:val="20"/>
          <w14:ligatures w14:val="standardContextual"/>
        </w:rPr>
        <w:t>ii</w:t>
      </w:r>
      <w:proofErr w:type="spellEnd"/>
      <w:r w:rsidRPr="007B0856">
        <w:rPr>
          <w:rFonts w:ascii="Verdana" w:hAnsi="Verdana"/>
          <w:kern w:val="2"/>
          <w:sz w:val="20"/>
          <w:szCs w:val="20"/>
          <w14:ligatures w14:val="standardContextual"/>
        </w:rPr>
        <w:t xml:space="preserve">) no requiere conocimientos tan especializados como la interventoría; </w:t>
      </w:r>
      <w:proofErr w:type="spellStart"/>
      <w:r w:rsidRPr="007B0856">
        <w:rPr>
          <w:rFonts w:ascii="Verdana" w:hAnsi="Verdana"/>
          <w:kern w:val="2"/>
          <w:sz w:val="20"/>
          <w:szCs w:val="20"/>
          <w14:ligatures w14:val="standardContextual"/>
        </w:rPr>
        <w:t>iii</w:t>
      </w:r>
      <w:proofErr w:type="spellEnd"/>
      <w:r w:rsidRPr="007B0856">
        <w:rPr>
          <w:rFonts w:ascii="Verdana" w:hAnsi="Verdana"/>
          <w:kern w:val="2"/>
          <w:sz w:val="20"/>
          <w:szCs w:val="20"/>
          <w14:ligatures w14:val="standardContextual"/>
        </w:rPr>
        <w:t xml:space="preserve">) se ejerce por la Entidad Estatal por conducto de la designación de servidores públicos idóneos para cumplir la función; </w:t>
      </w:r>
      <w:proofErr w:type="spellStart"/>
      <w:r w:rsidRPr="007B0856">
        <w:rPr>
          <w:rFonts w:ascii="Verdana" w:hAnsi="Verdana"/>
          <w:kern w:val="2"/>
          <w:sz w:val="20"/>
          <w:szCs w:val="20"/>
          <w14:ligatures w14:val="standardContextual"/>
        </w:rPr>
        <w:t>iv</w:t>
      </w:r>
      <w:proofErr w:type="spellEnd"/>
      <w:r w:rsidRPr="007B0856">
        <w:rPr>
          <w:rFonts w:ascii="Verdana" w:hAnsi="Verdana"/>
          <w:kern w:val="2"/>
          <w:sz w:val="20"/>
          <w:szCs w:val="20"/>
          <w14:ligatures w14:val="standardContextual"/>
        </w:rPr>
        <w:t>) puede recibir apoyo de personal contratado para tal fin mediante contratos de prestación de servicios; y v) le es inseparable el seguimiento técnico, administrativo, financiero, contable y jurídico del contrato vigilado.</w:t>
      </w:r>
    </w:p>
    <w:p w14:paraId="62B002EA" w14:textId="77777777" w:rsidR="009C1766" w:rsidRDefault="009C1766" w:rsidP="009C1766">
      <w:pPr>
        <w:spacing w:after="0" w:line="240" w:lineRule="auto"/>
        <w:rPr>
          <w:rFonts w:ascii="Verdana" w:eastAsia="Aptos" w:hAnsi="Verdana" w:cs="Times New Roman"/>
          <w:sz w:val="20"/>
          <w:szCs w:val="20"/>
        </w:rPr>
      </w:pPr>
    </w:p>
    <w:p w14:paraId="156CA885" w14:textId="77777777" w:rsidR="009C1766" w:rsidRDefault="009C1766" w:rsidP="009C1766">
      <w:pPr>
        <w:spacing w:after="0" w:line="240" w:lineRule="auto"/>
        <w:rPr>
          <w:rFonts w:ascii="Verdana" w:eastAsia="Aptos" w:hAnsi="Verdana" w:cs="Times New Roman"/>
          <w:sz w:val="20"/>
          <w:szCs w:val="20"/>
        </w:rPr>
      </w:pPr>
    </w:p>
    <w:p w14:paraId="0489C42C" w14:textId="77777777" w:rsidR="009C1766" w:rsidRDefault="009C1766" w:rsidP="009C1766">
      <w:pPr>
        <w:spacing w:after="0" w:line="240" w:lineRule="auto"/>
        <w:rPr>
          <w:rFonts w:ascii="Verdana" w:eastAsia="Aptos" w:hAnsi="Verdana" w:cs="Times New Roman"/>
          <w:sz w:val="20"/>
          <w:szCs w:val="20"/>
        </w:rPr>
      </w:pPr>
    </w:p>
    <w:p w14:paraId="343774E5" w14:textId="77777777" w:rsidR="009C1766" w:rsidRDefault="009C1766" w:rsidP="009C1766">
      <w:pPr>
        <w:spacing w:after="0" w:line="240" w:lineRule="auto"/>
        <w:rPr>
          <w:rFonts w:ascii="Verdana" w:eastAsia="Aptos" w:hAnsi="Verdana" w:cs="Times New Roman"/>
          <w:sz w:val="20"/>
          <w:szCs w:val="20"/>
        </w:rPr>
      </w:pPr>
    </w:p>
    <w:p w14:paraId="4E8C55C6" w14:textId="77777777" w:rsidR="009C1766" w:rsidRDefault="009C1766" w:rsidP="009C1766">
      <w:pPr>
        <w:spacing w:after="0" w:line="240" w:lineRule="auto"/>
        <w:rPr>
          <w:rFonts w:ascii="Verdana" w:eastAsia="Aptos" w:hAnsi="Verdana" w:cs="Times New Roman"/>
          <w:sz w:val="20"/>
          <w:szCs w:val="20"/>
        </w:rPr>
      </w:pPr>
    </w:p>
    <w:p w14:paraId="78C36BF0" w14:textId="77777777" w:rsidR="009C1766" w:rsidRPr="0047490F" w:rsidRDefault="009C1766" w:rsidP="009C1766">
      <w:pPr>
        <w:spacing w:after="0" w:line="240" w:lineRule="auto"/>
        <w:rPr>
          <w:rFonts w:ascii="Verdana" w:eastAsia="Geomanist Light" w:hAnsi="Verdana" w:cs="Arial"/>
          <w:lang w:val="es-MX"/>
        </w:rPr>
      </w:pPr>
      <w:r w:rsidRPr="0047490F">
        <w:rPr>
          <w:rFonts w:ascii="Verdana" w:eastAsia="Geomanist Light" w:hAnsi="Verdana" w:cs="Arial"/>
          <w:lang w:val="es-MX"/>
        </w:rPr>
        <w:lastRenderedPageBreak/>
        <w:t>Bogotá D.C., [Día] de [</w:t>
      </w:r>
      <w:proofErr w:type="spellStart"/>
      <w:r w:rsidRPr="0047490F">
        <w:rPr>
          <w:rFonts w:ascii="Verdana" w:eastAsia="Geomanist Light" w:hAnsi="Verdana" w:cs="Arial"/>
          <w:lang w:val="es-MX"/>
        </w:rPr>
        <w:t>Mes.NombreCapitalizado</w:t>
      </w:r>
      <w:proofErr w:type="spellEnd"/>
      <w:r w:rsidRPr="0047490F">
        <w:rPr>
          <w:rFonts w:ascii="Verdana" w:eastAsia="Geomanist Light" w:hAnsi="Verdana" w:cs="Arial"/>
          <w:lang w:val="es-MX"/>
        </w:rPr>
        <w:t>] de [Año]</w:t>
      </w:r>
    </w:p>
    <w:p w14:paraId="7C10BC50" w14:textId="77777777" w:rsidR="009C1766" w:rsidRPr="0047490F" w:rsidRDefault="009C1766" w:rsidP="009C1766">
      <w:pPr>
        <w:spacing w:after="0" w:line="240" w:lineRule="auto"/>
        <w:jc w:val="both"/>
        <w:rPr>
          <w:rFonts w:ascii="Verdana" w:eastAsia="Calibri" w:hAnsi="Verdana" w:cs="Arial"/>
          <w:lang w:val="es-ES"/>
        </w:rPr>
      </w:pPr>
    </w:p>
    <w:p w14:paraId="29153915" w14:textId="4C68444B" w:rsidR="009C1766" w:rsidRPr="0047490F" w:rsidRDefault="00530CBA" w:rsidP="009C1766">
      <w:pPr>
        <w:spacing w:after="0" w:line="240" w:lineRule="auto"/>
        <w:jc w:val="right"/>
        <w:rPr>
          <w:rFonts w:ascii="Verdana" w:eastAsia="Calibri" w:hAnsi="Verdana" w:cs="Arial"/>
          <w:lang w:val="es-ES"/>
        </w:rPr>
      </w:pPr>
      <w:r w:rsidRPr="00530CBA">
        <w:rPr>
          <w:rFonts w:ascii="Verdana" w:eastAsia="Calibri" w:hAnsi="Verdana" w:cs="Arial"/>
          <w:noProof/>
          <w:lang w:val="es-ES"/>
        </w:rPr>
        <w:drawing>
          <wp:inline distT="0" distB="0" distL="0" distR="0" wp14:anchorId="5710CE88" wp14:editId="5C04461E">
            <wp:extent cx="3305636" cy="981212"/>
            <wp:effectExtent l="0" t="0" r="0" b="9525"/>
            <wp:docPr id="6878349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34922" name="Imagen 1" descr="Texto&#10;&#10;Descripción generada automáticamente"/>
                    <pic:cNvPicPr/>
                  </pic:nvPicPr>
                  <pic:blipFill>
                    <a:blip r:embed="rId10"/>
                    <a:stretch>
                      <a:fillRect/>
                    </a:stretch>
                  </pic:blipFill>
                  <pic:spPr>
                    <a:xfrm>
                      <a:off x="0" y="0"/>
                      <a:ext cx="3305636" cy="981212"/>
                    </a:xfrm>
                    <a:prstGeom prst="rect">
                      <a:avLst/>
                    </a:prstGeom>
                  </pic:spPr>
                </pic:pic>
              </a:graphicData>
            </a:graphic>
          </wp:inline>
        </w:drawing>
      </w:r>
    </w:p>
    <w:p w14:paraId="2E3BA363" w14:textId="77777777" w:rsidR="009C1766" w:rsidRPr="0047490F" w:rsidRDefault="009C1766" w:rsidP="009C1766">
      <w:pPr>
        <w:spacing w:after="0" w:line="240" w:lineRule="auto"/>
        <w:jc w:val="both"/>
        <w:rPr>
          <w:rFonts w:ascii="Verdana" w:eastAsia="Calibri" w:hAnsi="Verdana" w:cs="Arial"/>
          <w:lang w:val="es-ES" w:eastAsia="es-ES"/>
        </w:rPr>
      </w:pPr>
      <w:r w:rsidRPr="0047490F">
        <w:rPr>
          <w:rFonts w:ascii="Verdana" w:eastAsia="Calibri" w:hAnsi="Verdana" w:cs="Arial"/>
          <w:lang w:val="es-ES" w:eastAsia="es-ES"/>
        </w:rPr>
        <w:t>Señor</w:t>
      </w:r>
    </w:p>
    <w:p w14:paraId="40F7CEC1" w14:textId="77777777" w:rsidR="009C1766" w:rsidRPr="0047490F" w:rsidRDefault="009C1766" w:rsidP="009C1766">
      <w:pPr>
        <w:spacing w:after="0" w:line="240" w:lineRule="auto"/>
        <w:rPr>
          <w:rFonts w:ascii="Verdana" w:eastAsia="Calibri" w:hAnsi="Verdana" w:cs="Arial"/>
          <w:b/>
          <w:lang w:val="es-ES" w:eastAsia="es-ES"/>
        </w:rPr>
      </w:pPr>
      <w:r w:rsidRPr="2A4696E1">
        <w:rPr>
          <w:rFonts w:ascii="Verdana" w:eastAsia="Calibri" w:hAnsi="Verdana" w:cs="Arial"/>
          <w:b/>
          <w:lang w:val="es-ES" w:eastAsia="es-ES"/>
        </w:rPr>
        <w:t xml:space="preserve">Luis Mogollón </w:t>
      </w:r>
      <w:proofErr w:type="spellStart"/>
      <w:r w:rsidRPr="2A4696E1">
        <w:rPr>
          <w:rFonts w:ascii="Verdana" w:eastAsia="Calibri" w:hAnsi="Verdana" w:cs="Arial"/>
          <w:b/>
          <w:lang w:val="es-ES" w:eastAsia="es-ES"/>
        </w:rPr>
        <w:t>Behaine</w:t>
      </w:r>
      <w:proofErr w:type="spellEnd"/>
    </w:p>
    <w:p w14:paraId="7DC38805" w14:textId="77777777" w:rsidR="009C1766" w:rsidRPr="008A6864" w:rsidRDefault="008C2D3E" w:rsidP="009C1766">
      <w:pPr>
        <w:spacing w:after="0" w:line="240" w:lineRule="auto"/>
        <w:rPr>
          <w:rFonts w:ascii="Verdana" w:hAnsi="Verdana"/>
        </w:rPr>
      </w:pPr>
      <w:hyperlink r:id="rId11" w:history="1">
        <w:r w:rsidR="009C1766" w:rsidRPr="008A6864">
          <w:rPr>
            <w:rStyle w:val="Hipervnculo"/>
            <w:rFonts w:ascii="Verdana" w:hAnsi="Verdana"/>
          </w:rPr>
          <w:t>luismogollon20@hotmail.com</w:t>
        </w:r>
      </w:hyperlink>
      <w:r w:rsidR="009C1766" w:rsidRPr="008A6864">
        <w:rPr>
          <w:rFonts w:ascii="Verdana" w:hAnsi="Verdana"/>
        </w:rPr>
        <w:t xml:space="preserve"> </w:t>
      </w:r>
    </w:p>
    <w:p w14:paraId="514613B6" w14:textId="77777777" w:rsidR="009C1766" w:rsidRPr="0047490F" w:rsidRDefault="009C1766" w:rsidP="009C1766">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086F1C8A" w14:textId="77777777" w:rsidR="009C1766" w:rsidRPr="0047490F" w:rsidRDefault="009C1766" w:rsidP="009C1766">
      <w:pPr>
        <w:spacing w:after="0" w:line="240" w:lineRule="auto"/>
        <w:rPr>
          <w:rFonts w:ascii="Verdana" w:eastAsia="Calibri" w:hAnsi="Verdana" w:cs="Arial"/>
          <w:b/>
          <w:bCs/>
          <w:lang w:val="es-ES_tradnl" w:eastAsia="es-ES_tradnl"/>
        </w:rPr>
      </w:pPr>
    </w:p>
    <w:p w14:paraId="29A6916E" w14:textId="77777777" w:rsidR="009C1766" w:rsidRPr="0047490F" w:rsidRDefault="009C1766" w:rsidP="009C176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C1766" w:rsidRPr="0047490F" w14:paraId="74D7D9FC" w14:textId="77777777" w:rsidTr="00390161">
        <w:trPr>
          <w:trHeight w:val="884"/>
        </w:trPr>
        <w:tc>
          <w:tcPr>
            <w:tcW w:w="2689" w:type="dxa"/>
          </w:tcPr>
          <w:p w14:paraId="762604BF" w14:textId="77777777" w:rsidR="009C1766" w:rsidRPr="00554239" w:rsidRDefault="009C1766" w:rsidP="00390161">
            <w:pPr>
              <w:jc w:val="both"/>
              <w:rPr>
                <w:rFonts w:ascii="Verdana" w:eastAsia="Calibri" w:hAnsi="Verdana" w:cs="Arial"/>
                <w:b/>
                <w:bCs/>
                <w:lang w:val="es-ES_tradnl" w:eastAsia="es-ES_tradnl"/>
              </w:rPr>
            </w:pPr>
          </w:p>
        </w:tc>
        <w:tc>
          <w:tcPr>
            <w:tcW w:w="6100" w:type="dxa"/>
          </w:tcPr>
          <w:p w14:paraId="2B9100C9" w14:textId="77777777" w:rsidR="009C1766" w:rsidRPr="00554239" w:rsidRDefault="009C1766" w:rsidP="00390161">
            <w:pPr>
              <w:jc w:val="both"/>
              <w:rPr>
                <w:rFonts w:ascii="Verdana" w:eastAsia="Calibri" w:hAnsi="Verdana" w:cs="Arial"/>
                <w:b/>
                <w:bCs/>
                <w:lang w:val="es-ES" w:eastAsia="es-ES"/>
              </w:rPr>
            </w:pPr>
            <w:r w:rsidRPr="00554239">
              <w:rPr>
                <w:rFonts w:ascii="Verdana" w:eastAsia="Calibri" w:hAnsi="Verdana" w:cs="Arial"/>
                <w:b/>
                <w:bCs/>
                <w:lang w:val="es-ES" w:eastAsia="es-ES"/>
              </w:rPr>
              <w:t>Concepto C-600 de 2024</w:t>
            </w:r>
          </w:p>
        </w:tc>
      </w:tr>
      <w:tr w:rsidR="009C1766" w:rsidRPr="0047490F" w14:paraId="44F93610" w14:textId="77777777" w:rsidTr="00390161">
        <w:trPr>
          <w:trHeight w:val="884"/>
        </w:trPr>
        <w:tc>
          <w:tcPr>
            <w:tcW w:w="2689" w:type="dxa"/>
          </w:tcPr>
          <w:p w14:paraId="17D296E1" w14:textId="77777777" w:rsidR="009C1766" w:rsidRPr="00554239" w:rsidRDefault="009C1766" w:rsidP="00390161">
            <w:pPr>
              <w:jc w:val="both"/>
              <w:rPr>
                <w:rFonts w:ascii="Verdana" w:eastAsia="Calibri" w:hAnsi="Verdana" w:cs="Arial"/>
                <w:lang w:val="es-ES_tradnl" w:eastAsia="es-ES_tradnl"/>
              </w:rPr>
            </w:pPr>
            <w:r w:rsidRPr="00554239">
              <w:rPr>
                <w:rFonts w:ascii="Verdana" w:eastAsia="Calibri" w:hAnsi="Verdana" w:cs="Arial"/>
                <w:b/>
                <w:lang w:val="es-ES_tradnl" w:eastAsia="es-ES_tradnl"/>
              </w:rPr>
              <w:t>Temas:</w:t>
            </w:r>
            <w:r w:rsidRPr="00554239">
              <w:rPr>
                <w:rFonts w:ascii="Verdana" w:eastAsia="Calibri" w:hAnsi="Verdana" w:cs="Arial"/>
                <w:lang w:val="es-ES_tradnl" w:eastAsia="es-ES_tradnl"/>
              </w:rPr>
              <w:t xml:space="preserve">                   </w:t>
            </w:r>
          </w:p>
        </w:tc>
        <w:tc>
          <w:tcPr>
            <w:tcW w:w="6100" w:type="dxa"/>
          </w:tcPr>
          <w:p w14:paraId="04F2F2CF" w14:textId="77777777" w:rsidR="009C1766" w:rsidRPr="00554239" w:rsidRDefault="009C1766" w:rsidP="00390161">
            <w:pPr>
              <w:spacing w:line="276" w:lineRule="auto"/>
              <w:jc w:val="both"/>
              <w:rPr>
                <w:rFonts w:ascii="Verdana" w:eastAsia="Calibri" w:hAnsi="Verdana" w:cs="Arial"/>
                <w:lang w:val="es-ES" w:eastAsia="es-ES"/>
              </w:rPr>
            </w:pPr>
            <w:r w:rsidRPr="00554239">
              <w:rPr>
                <w:rFonts w:ascii="Verdana" w:eastAsia="Calibri" w:hAnsi="Verdana" w:cs="Arial"/>
                <w:lang w:val="es-ES" w:eastAsia="es-ES"/>
              </w:rPr>
              <w:t>VIGILANCIA DE LOS CONTRATOS ESTATALES – Marco jurídico – Obligación de la entidad – Objetivo</w:t>
            </w:r>
            <w:r>
              <w:rPr>
                <w:rFonts w:ascii="Verdana" w:eastAsia="Calibri" w:hAnsi="Verdana" w:cs="Arial"/>
                <w:lang w:val="es-ES" w:eastAsia="es-ES"/>
              </w:rPr>
              <w:t xml:space="preserve"> </w:t>
            </w:r>
            <w:r w:rsidRPr="00554239">
              <w:rPr>
                <w:rFonts w:ascii="Verdana" w:eastAsia="Calibri" w:hAnsi="Verdana" w:cs="Arial"/>
                <w:lang w:val="es-ES" w:eastAsia="es-ES"/>
              </w:rPr>
              <w:t>/ SUPERVISIÓN E INTERVENTORÍA – Marco jurídico – Finalidad / SUPERVISIÓN DEL CONTRATO – Características</w:t>
            </w:r>
          </w:p>
          <w:p w14:paraId="7759A418" w14:textId="77777777" w:rsidR="009C1766" w:rsidRPr="00554239" w:rsidRDefault="009C1766" w:rsidP="00390161">
            <w:pPr>
              <w:spacing w:line="276" w:lineRule="auto"/>
              <w:jc w:val="both"/>
              <w:rPr>
                <w:rFonts w:ascii="Verdana" w:eastAsia="Calibri" w:hAnsi="Verdana" w:cs="Arial"/>
                <w:lang w:val="es-ES" w:eastAsia="es-ES"/>
              </w:rPr>
            </w:pPr>
          </w:p>
        </w:tc>
      </w:tr>
      <w:tr w:rsidR="009C1766" w:rsidRPr="0047490F" w14:paraId="714C1ED6" w14:textId="77777777" w:rsidTr="00390161">
        <w:tc>
          <w:tcPr>
            <w:tcW w:w="2689" w:type="dxa"/>
          </w:tcPr>
          <w:p w14:paraId="279BDBB5" w14:textId="77777777" w:rsidR="009C1766" w:rsidRPr="0047490F" w:rsidRDefault="009C1766" w:rsidP="00390161">
            <w:pPr>
              <w:jc w:val="both"/>
              <w:rPr>
                <w:rFonts w:ascii="Verdana" w:eastAsia="Calibri" w:hAnsi="Verdana" w:cs="Arial"/>
                <w:b/>
                <w:lang w:val="es-ES_tradnl" w:eastAsia="es-ES_tradnl"/>
              </w:rPr>
            </w:pPr>
            <w:r w:rsidRPr="0047490F">
              <w:rPr>
                <w:rFonts w:ascii="Verdana" w:eastAsia="Calibri" w:hAnsi="Verdana" w:cs="Arial"/>
                <w:b/>
                <w:lang w:val="es-ES_tradnl" w:eastAsia="es-ES_tradnl"/>
              </w:rPr>
              <w:t>Radicación:</w:t>
            </w:r>
            <w:r w:rsidRPr="0047490F">
              <w:rPr>
                <w:rFonts w:ascii="Verdana" w:eastAsia="Calibri" w:hAnsi="Verdana" w:cs="Arial"/>
                <w:lang w:val="es-ES_tradnl" w:eastAsia="es-ES_tradnl"/>
              </w:rPr>
              <w:t xml:space="preserve">               </w:t>
            </w:r>
          </w:p>
        </w:tc>
        <w:tc>
          <w:tcPr>
            <w:tcW w:w="6100" w:type="dxa"/>
          </w:tcPr>
          <w:p w14:paraId="214864B4" w14:textId="77777777" w:rsidR="009C1766" w:rsidRPr="0047490F" w:rsidRDefault="009C1766" w:rsidP="00390161">
            <w:pPr>
              <w:jc w:val="both"/>
              <w:rPr>
                <w:rFonts w:ascii="Verdana" w:eastAsia="Calibri" w:hAnsi="Verdana" w:cs="Arial"/>
                <w:lang w:val="es-ES_tradnl" w:eastAsia="es-ES_tradnl"/>
              </w:rPr>
            </w:pPr>
            <w:r w:rsidRPr="0047490F">
              <w:rPr>
                <w:rFonts w:ascii="Verdana" w:eastAsia="Calibri" w:hAnsi="Verdana" w:cs="Arial"/>
                <w:lang w:val="es-ES_tradnl" w:eastAsia="es-ES_tradnl"/>
              </w:rPr>
              <w:t>Respuesta a consulta con radicado No.  </w:t>
            </w:r>
            <w:r w:rsidRPr="00242D56">
              <w:rPr>
                <w:rFonts w:ascii="Verdana" w:eastAsia="Calibri" w:hAnsi="Verdana" w:cs="Arial"/>
                <w:lang w:val="es-ES_tradnl" w:eastAsia="es-ES_tradnl"/>
              </w:rPr>
              <w:t>P20240912009297</w:t>
            </w:r>
          </w:p>
        </w:tc>
      </w:tr>
    </w:tbl>
    <w:p w14:paraId="1047E298" w14:textId="77777777" w:rsidR="009C1766" w:rsidRPr="0047490F" w:rsidRDefault="009C1766" w:rsidP="009C1766">
      <w:pPr>
        <w:spacing w:after="0" w:line="240" w:lineRule="auto"/>
        <w:jc w:val="both"/>
        <w:rPr>
          <w:rFonts w:ascii="Verdana" w:eastAsia="Calibri" w:hAnsi="Verdana" w:cs="Arial"/>
          <w:lang w:val="es-ES_tradnl" w:eastAsia="es-ES_tradnl"/>
        </w:rPr>
      </w:pPr>
    </w:p>
    <w:p w14:paraId="30CC9598" w14:textId="77777777" w:rsidR="009C1766" w:rsidRPr="0047490F" w:rsidRDefault="009C1766" w:rsidP="009C1766">
      <w:pPr>
        <w:spacing w:after="0" w:line="240" w:lineRule="auto"/>
        <w:jc w:val="both"/>
        <w:rPr>
          <w:rFonts w:ascii="Verdana" w:eastAsia="Calibri" w:hAnsi="Verdana" w:cs="Arial"/>
          <w:lang w:val="es-ES_tradnl" w:eastAsia="es-ES_tradnl"/>
        </w:rPr>
      </w:pPr>
    </w:p>
    <w:p w14:paraId="3393C0C9" w14:textId="77777777" w:rsidR="009C1766" w:rsidRPr="0047490F" w:rsidRDefault="009C1766" w:rsidP="009C1766">
      <w:pPr>
        <w:spacing w:after="0" w:line="276" w:lineRule="auto"/>
        <w:jc w:val="both"/>
        <w:rPr>
          <w:rFonts w:ascii="Verdana" w:eastAsia="Calibri" w:hAnsi="Verdana" w:cs="Arial"/>
          <w:lang w:val="es-ES" w:eastAsia="es-ES"/>
        </w:rPr>
      </w:pPr>
      <w:r w:rsidRPr="0047490F">
        <w:rPr>
          <w:rFonts w:ascii="Verdana" w:eastAsia="Calibri" w:hAnsi="Verdana" w:cs="Arial"/>
          <w:lang w:val="es-ES" w:eastAsia="es-ES"/>
        </w:rPr>
        <w:t xml:space="preserve">Estimado señor </w:t>
      </w:r>
      <w:r>
        <w:rPr>
          <w:rFonts w:ascii="Verdana" w:eastAsia="Calibri" w:hAnsi="Verdana" w:cs="Arial"/>
          <w:lang w:val="es-ES" w:eastAsia="es-ES"/>
        </w:rPr>
        <w:t>Mogollón</w:t>
      </w:r>
      <w:r w:rsidRPr="0047490F">
        <w:rPr>
          <w:rFonts w:ascii="Verdana" w:eastAsia="Calibri" w:hAnsi="Verdana" w:cs="Arial"/>
          <w:lang w:val="es-ES" w:eastAsia="es-ES"/>
        </w:rPr>
        <w:t xml:space="preserve">: </w:t>
      </w:r>
    </w:p>
    <w:p w14:paraId="4657AD52" w14:textId="77777777" w:rsidR="009C1766" w:rsidRPr="0047490F" w:rsidRDefault="009C1766" w:rsidP="009C1766">
      <w:pPr>
        <w:tabs>
          <w:tab w:val="left" w:pos="3768"/>
        </w:tabs>
        <w:spacing w:after="0" w:line="276" w:lineRule="auto"/>
        <w:jc w:val="both"/>
        <w:rPr>
          <w:rFonts w:ascii="Verdana" w:eastAsia="Calibri" w:hAnsi="Verdana" w:cs="Arial"/>
          <w:lang w:val="es-ES" w:eastAsia="es-ES"/>
        </w:rPr>
      </w:pPr>
    </w:p>
    <w:p w14:paraId="2CA0F583" w14:textId="77777777" w:rsidR="009C1766" w:rsidRPr="0047490F" w:rsidRDefault="009C1766" w:rsidP="009C1766">
      <w:pPr>
        <w:spacing w:after="0" w:line="276" w:lineRule="auto"/>
        <w:jc w:val="both"/>
        <w:rPr>
          <w:rFonts w:ascii="Verdana" w:eastAsia="Calibri" w:hAnsi="Verdana" w:cs="Arial"/>
          <w:lang w:val="es-ES" w:eastAsia="es-ES"/>
        </w:rPr>
      </w:pPr>
      <w:r w:rsidRPr="0047490F">
        <w:rPr>
          <w:rFonts w:ascii="Verdana" w:eastAsia="Calibri" w:hAnsi="Verdana" w:cs="Arial"/>
          <w:lang w:val="es-ES" w:eastAsia="es-ES"/>
        </w:rPr>
        <w:t>En ejercicio de la competencia otorgada por los artículos 3, numeral 5º, y 11, numeral 8º, del Decreto Ley 4170 de 2011,</w:t>
      </w:r>
      <w:r w:rsidRPr="0047490F">
        <w:rPr>
          <w:rFonts w:ascii="Verdana" w:eastAsia="Arial MT" w:hAnsi="Verdana" w:cs="Arial MT"/>
          <w:lang w:val="es-ES" w:eastAsia="es-ES"/>
        </w:rPr>
        <w:t xml:space="preserve"> </w:t>
      </w:r>
      <w:r w:rsidRPr="0047490F">
        <w:rPr>
          <w:rFonts w:ascii="Verdana" w:eastAsia="Aptos" w:hAnsi="Verdana" w:cs="Arial"/>
        </w:rPr>
        <w:t xml:space="preserve">así como lo establecido en el artículo 4 de la Resolución 1707 de 2018 expedida por esta Entidad, </w:t>
      </w:r>
      <w:r w:rsidRPr="0047490F">
        <w:rPr>
          <w:rFonts w:ascii="Verdana" w:eastAsia="Calibri" w:hAnsi="Verdana" w:cs="Arial"/>
          <w:lang w:val="es-ES" w:eastAsia="es-ES"/>
        </w:rPr>
        <w:t xml:space="preserve">la Agencia Nacional de Contratación Pública – Colombia Compra Eficiente– responde su solicitud de petición de fecha del </w:t>
      </w:r>
      <w:r>
        <w:rPr>
          <w:rFonts w:ascii="Verdana" w:eastAsia="Calibri" w:hAnsi="Verdana" w:cs="Arial"/>
          <w:lang w:val="es-ES" w:eastAsia="es-ES"/>
        </w:rPr>
        <w:t>12 de septiembre</w:t>
      </w:r>
      <w:r w:rsidRPr="0047490F">
        <w:rPr>
          <w:rFonts w:ascii="Verdana" w:eastAsia="Calibri" w:hAnsi="Verdana" w:cs="Arial"/>
          <w:lang w:val="es-ES" w:eastAsia="es-ES"/>
        </w:rPr>
        <w:t xml:space="preserve"> de 2024, en la que realiza la siguiente consulta: </w:t>
      </w:r>
    </w:p>
    <w:p w14:paraId="35F76A72" w14:textId="77777777" w:rsidR="009C1766" w:rsidRPr="0047490F" w:rsidRDefault="009C1766" w:rsidP="009C1766">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6FBB78AB" w14:textId="77777777" w:rsidR="009C1766" w:rsidRDefault="009C1766" w:rsidP="009C1766">
      <w:pPr>
        <w:tabs>
          <w:tab w:val="left" w:pos="709"/>
        </w:tabs>
        <w:spacing w:after="0" w:line="240" w:lineRule="auto"/>
        <w:ind w:left="709" w:right="709"/>
        <w:jc w:val="both"/>
        <w:rPr>
          <w:rFonts w:ascii="Verdana" w:eastAsia="Calibri" w:hAnsi="Verdana" w:cs="Arial"/>
          <w:sz w:val="21"/>
          <w:szCs w:val="21"/>
          <w:lang w:val="es-MX"/>
        </w:rPr>
      </w:pPr>
      <w:r w:rsidRPr="0047490F">
        <w:rPr>
          <w:rFonts w:ascii="Verdana" w:eastAsia="Calibri" w:hAnsi="Verdana" w:cs="Arial"/>
          <w:sz w:val="21"/>
          <w:szCs w:val="21"/>
          <w:lang w:val="es-MX"/>
        </w:rPr>
        <w:t>“</w:t>
      </w:r>
      <w:r>
        <w:rPr>
          <w:rFonts w:ascii="Verdana" w:eastAsia="Calibri" w:hAnsi="Verdana" w:cs="Arial"/>
          <w:sz w:val="21"/>
          <w:szCs w:val="21"/>
          <w:lang w:val="es-MX"/>
        </w:rPr>
        <w:t>¿En el marco de la ejecución de un contrato estatal de suministro o compraventa, la entrada a almacén de los bienes entregados se debe hacer con la factura, o basta con la mera entrega del contratista o con un documento de remisión?</w:t>
      </w:r>
    </w:p>
    <w:p w14:paraId="06112F7C" w14:textId="77777777" w:rsidR="009C1766" w:rsidRPr="0047490F" w:rsidRDefault="009C1766" w:rsidP="009C1766">
      <w:pPr>
        <w:tabs>
          <w:tab w:val="left" w:pos="709"/>
        </w:tabs>
        <w:spacing w:before="120" w:after="0" w:line="240" w:lineRule="auto"/>
        <w:ind w:left="709" w:right="709"/>
        <w:jc w:val="both"/>
        <w:rPr>
          <w:rFonts w:ascii="Verdana" w:eastAsia="Calibri" w:hAnsi="Verdana" w:cs="Arial"/>
          <w:sz w:val="21"/>
          <w:szCs w:val="21"/>
          <w:lang w:val="es-MX"/>
        </w:rPr>
      </w:pPr>
      <w:r>
        <w:rPr>
          <w:rFonts w:ascii="Verdana" w:eastAsia="Calibri" w:hAnsi="Verdana" w:cs="Arial"/>
          <w:sz w:val="21"/>
          <w:szCs w:val="21"/>
          <w:lang w:val="es-MX"/>
        </w:rPr>
        <w:lastRenderedPageBreak/>
        <w:t>¿En el marco de la ejecución de un contrato estatal de suministro o compraventa, para verificar el cumplimiento del contrato el contratista debe expedir la factura dentro del plazo de ejecución o lo puede hacer luego de finalizado el mismo?” [sic]</w:t>
      </w:r>
    </w:p>
    <w:p w14:paraId="5C576928" w14:textId="77777777" w:rsidR="009C1766" w:rsidRPr="0047490F" w:rsidRDefault="009C1766" w:rsidP="009C1766">
      <w:pPr>
        <w:tabs>
          <w:tab w:val="left" w:pos="142"/>
          <w:tab w:val="left" w:pos="284"/>
        </w:tabs>
        <w:spacing w:line="276" w:lineRule="auto"/>
        <w:contextualSpacing/>
        <w:jc w:val="both"/>
        <w:rPr>
          <w:rFonts w:ascii="Verdana" w:eastAsia="Century Gothic" w:hAnsi="Verdana" w:cs="Century Gothic"/>
          <w:b/>
          <w:bCs/>
          <w:lang w:val="es-ES"/>
        </w:rPr>
      </w:pPr>
    </w:p>
    <w:p w14:paraId="206A1DD1" w14:textId="77777777" w:rsidR="009C1766" w:rsidRPr="0047490F" w:rsidRDefault="009C1766" w:rsidP="009C1766">
      <w:pPr>
        <w:spacing w:after="120" w:line="276" w:lineRule="auto"/>
        <w:ind w:firstLine="709"/>
        <w:jc w:val="both"/>
        <w:rPr>
          <w:rFonts w:ascii="Verdana" w:eastAsia="Calibri" w:hAnsi="Verdana" w:cs="Arial"/>
          <w:szCs w:val="24"/>
          <w:lang w:val="es-ES_tradnl" w:eastAsia="es-ES_tradnl"/>
        </w:rPr>
      </w:pPr>
      <w:r w:rsidRPr="0047490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2069F30" w14:textId="77777777" w:rsidR="009C1766" w:rsidRPr="0047490F" w:rsidRDefault="009C1766" w:rsidP="009C1766">
      <w:pPr>
        <w:spacing w:after="0" w:line="276" w:lineRule="auto"/>
        <w:ind w:firstLine="709"/>
        <w:jc w:val="both"/>
        <w:rPr>
          <w:rFonts w:ascii="Verdana" w:eastAsia="Calibri" w:hAnsi="Verdana" w:cs="Arial"/>
          <w:lang w:val="es-ES" w:eastAsia="es-ES"/>
        </w:rPr>
      </w:pPr>
      <w:r w:rsidRPr="0047490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315BA1E" w14:textId="77777777" w:rsidR="009C1766" w:rsidRPr="0047490F" w:rsidRDefault="009C1766" w:rsidP="009C1766">
      <w:pPr>
        <w:spacing w:after="0" w:line="276" w:lineRule="auto"/>
        <w:ind w:firstLine="709"/>
        <w:jc w:val="both"/>
        <w:rPr>
          <w:rFonts w:ascii="Verdana" w:eastAsia="Calibri" w:hAnsi="Verdana" w:cs="Arial"/>
          <w:lang w:val="es-ES" w:eastAsia="es-ES"/>
        </w:rPr>
      </w:pPr>
    </w:p>
    <w:p w14:paraId="23920E41" w14:textId="77777777" w:rsidR="009C1766" w:rsidRPr="0047490F" w:rsidRDefault="009C1766" w:rsidP="009C1766">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47490F">
        <w:rPr>
          <w:rFonts w:ascii="Verdana" w:eastAsia="Arial" w:hAnsi="Verdana" w:cs="Arial"/>
          <w:b/>
          <w:bCs/>
          <w:lang w:val="es-ES"/>
        </w:rPr>
        <w:t>1. Problema planteado:</w:t>
      </w:r>
    </w:p>
    <w:p w14:paraId="3539A91C" w14:textId="77777777" w:rsidR="009C1766" w:rsidRPr="0047490F" w:rsidRDefault="009C1766" w:rsidP="009C1766">
      <w:pPr>
        <w:tabs>
          <w:tab w:val="left" w:pos="426"/>
        </w:tabs>
        <w:spacing w:after="0" w:line="276" w:lineRule="auto"/>
        <w:jc w:val="both"/>
        <w:rPr>
          <w:rFonts w:ascii="Verdana" w:eastAsia="Century Gothic" w:hAnsi="Verdana" w:cs="Century Gothic"/>
          <w:lang w:val="es-ES"/>
        </w:rPr>
      </w:pPr>
    </w:p>
    <w:p w14:paraId="00195451" w14:textId="77777777" w:rsidR="009C1766" w:rsidRDefault="009C1766" w:rsidP="009C1766">
      <w:pPr>
        <w:spacing w:after="0" w:line="276" w:lineRule="auto"/>
        <w:jc w:val="both"/>
        <w:rPr>
          <w:rFonts w:ascii="Verdana" w:eastAsia="Century Gothic" w:hAnsi="Verdana" w:cs="Century Gothic"/>
        </w:rPr>
      </w:pPr>
      <w:r w:rsidRPr="0047490F">
        <w:rPr>
          <w:rFonts w:ascii="Verdana" w:eastAsia="Century Gothic" w:hAnsi="Verdana" w:cs="Century Gothic"/>
        </w:rPr>
        <w:t xml:space="preserve">De acuerdo con el contenido de su solicitud, </w:t>
      </w:r>
      <w:r>
        <w:rPr>
          <w:rFonts w:ascii="Verdana" w:eastAsia="Century Gothic" w:hAnsi="Verdana" w:cs="Century Gothic"/>
        </w:rPr>
        <w:t xml:space="preserve">le informamos que la misma se </w:t>
      </w:r>
      <w:r w:rsidRPr="0047490F">
        <w:rPr>
          <w:rFonts w:ascii="Verdana" w:eastAsia="Century Gothic" w:hAnsi="Verdana" w:cs="Century Gothic"/>
        </w:rPr>
        <w:t xml:space="preserve">resolverá desde </w:t>
      </w:r>
      <w:r>
        <w:rPr>
          <w:rFonts w:ascii="Verdana" w:eastAsia="Century Gothic" w:hAnsi="Verdana" w:cs="Century Gothic"/>
        </w:rPr>
        <w:t>el</w:t>
      </w:r>
      <w:r w:rsidRPr="0047490F">
        <w:rPr>
          <w:rFonts w:ascii="Verdana" w:eastAsia="Century Gothic" w:hAnsi="Verdana" w:cs="Century Gothic"/>
        </w:rPr>
        <w:t xml:space="preserve"> siguiente </w:t>
      </w:r>
      <w:r>
        <w:rPr>
          <w:rFonts w:ascii="Verdana" w:eastAsia="Century Gothic" w:hAnsi="Verdana" w:cs="Century Gothic"/>
        </w:rPr>
        <w:t>problema jurídico</w:t>
      </w:r>
      <w:bookmarkStart w:id="1" w:name="_Hlk171070029"/>
      <w:r>
        <w:rPr>
          <w:rFonts w:ascii="Verdana" w:eastAsia="Century Gothic" w:hAnsi="Verdana" w:cs="Century Gothic"/>
        </w:rPr>
        <w:t>: ¿Cómo debe verificarse el cumplimiento de un contrato estatal?</w:t>
      </w:r>
    </w:p>
    <w:p w14:paraId="66C4634B" w14:textId="77777777" w:rsidR="009C1766" w:rsidRPr="00044AA2" w:rsidRDefault="009C1766" w:rsidP="009C1766">
      <w:pPr>
        <w:spacing w:after="0" w:line="276" w:lineRule="auto"/>
        <w:jc w:val="both"/>
        <w:rPr>
          <w:rFonts w:ascii="Verdana" w:eastAsia="Calibri" w:hAnsi="Verdana" w:cs="Arial"/>
          <w:lang w:val="es-ES"/>
        </w:rPr>
      </w:pPr>
    </w:p>
    <w:bookmarkEnd w:id="1"/>
    <w:p w14:paraId="1722131C" w14:textId="77777777" w:rsidR="009C1766" w:rsidRPr="0047490F" w:rsidRDefault="009C1766" w:rsidP="009C1766">
      <w:pPr>
        <w:widowControl w:val="0"/>
        <w:autoSpaceDE w:val="0"/>
        <w:autoSpaceDN w:val="0"/>
        <w:spacing w:before="1" w:after="0" w:line="240" w:lineRule="auto"/>
        <w:jc w:val="both"/>
        <w:outlineLvl w:val="0"/>
        <w:rPr>
          <w:rFonts w:ascii="Verdana" w:eastAsia="Arial" w:hAnsi="Verdana" w:cs="Arial"/>
          <w:b/>
          <w:bCs/>
          <w:lang w:val="es-ES"/>
        </w:rPr>
      </w:pPr>
      <w:r w:rsidRPr="0047490F">
        <w:rPr>
          <w:rFonts w:ascii="Verdana" w:eastAsia="Arial" w:hAnsi="Verdana" w:cs="Arial"/>
          <w:b/>
          <w:bCs/>
          <w:lang w:val="es-ES"/>
        </w:rPr>
        <w:t>2. Respuesta:</w:t>
      </w:r>
    </w:p>
    <w:p w14:paraId="1143D8A4" w14:textId="77777777" w:rsidR="009C1766" w:rsidRPr="0047490F" w:rsidRDefault="009C1766" w:rsidP="009C1766">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C1766" w:rsidRPr="0047490F" w14:paraId="1C4EA722" w14:textId="77777777" w:rsidTr="00390161">
        <w:tc>
          <w:tcPr>
            <w:tcW w:w="8828" w:type="dxa"/>
            <w:shd w:val="clear" w:color="auto" w:fill="auto"/>
          </w:tcPr>
          <w:p w14:paraId="72DAB948" w14:textId="77777777" w:rsidR="009C1766" w:rsidRDefault="009C1766" w:rsidP="00390161">
            <w:pPr>
              <w:spacing w:after="120" w:line="276" w:lineRule="auto"/>
              <w:jc w:val="both"/>
              <w:rPr>
                <w:rFonts w:ascii="Verdana" w:eastAsia="Calibri" w:hAnsi="Verdana" w:cs="Arial"/>
                <w:lang w:val="es-ES"/>
              </w:rPr>
            </w:pPr>
            <w:bookmarkStart w:id="2" w:name="_Hlk171067516"/>
            <w:r>
              <w:rPr>
                <w:rFonts w:ascii="Verdana" w:eastAsia="Calibri" w:hAnsi="Verdana" w:cs="Arial"/>
                <w:lang w:val="es-ES"/>
              </w:rPr>
              <w:t xml:space="preserve">De acuerdo con lo establecido en el artículo 83 de la Ley 1474 de 2011, las Entidades Estatales tienen el deber de realizar el seguimiento, control y vigilancia de los contratos que suscriban mediante la supervisión o la interventoría, según corresponda. Sin embargo, debe precisarse que esta última, es decir, la interventoría, no aplica para todos los contratos que </w:t>
            </w:r>
            <w:r>
              <w:rPr>
                <w:rFonts w:ascii="Verdana" w:eastAsia="Calibri" w:hAnsi="Verdana" w:cs="Arial"/>
                <w:lang w:val="es-ES"/>
              </w:rPr>
              <w:lastRenderedPageBreak/>
              <w:t xml:space="preserve">celebren las entidades públicas sino, para los casos particulares y específicos que establezca la ley. </w:t>
            </w:r>
          </w:p>
          <w:p w14:paraId="4C02F7B7" w14:textId="77777777" w:rsidR="009C1766" w:rsidRDefault="009C1766" w:rsidP="00390161">
            <w:pPr>
              <w:spacing w:after="120" w:line="276" w:lineRule="auto"/>
              <w:ind w:firstLine="709"/>
              <w:jc w:val="both"/>
              <w:rPr>
                <w:rFonts w:ascii="Verdana" w:eastAsia="Calibri" w:hAnsi="Verdana" w:cs="Arial"/>
                <w:lang w:val="es-ES"/>
              </w:rPr>
            </w:pPr>
            <w:r>
              <w:rPr>
                <w:rFonts w:ascii="Verdana" w:eastAsia="Calibri" w:hAnsi="Verdana" w:cs="Arial"/>
                <w:lang w:val="es-ES"/>
              </w:rPr>
              <w:t>En ese sentido, en lo correspondiente a la supervisión, es importante indicar que esta constituye uno de los medios para que las entidades ejerzan la dirección, control y vigilancia de sus contratos, con el fin de lograr el cumplimiento del objeto contractual. Por ello, el supervisor, de acuerdo con lo señalado en la Ley 80 de 1993, tiene la obligación de desarrollar las actividades que impliquen la vigilancia y seguimiento del cumplimento de los contratos, función que puede ser designada a un empleado público siempre que se ajusten a las fijadas para el cargo. Por último, dicho seguimiento se hace durante el plazo de ejecución del contrato y también durante la liquidación del mismo.</w:t>
            </w:r>
          </w:p>
          <w:p w14:paraId="28E60B5D" w14:textId="77777777" w:rsidR="009C1766" w:rsidRPr="0047490F" w:rsidRDefault="009C1766" w:rsidP="00390161">
            <w:pPr>
              <w:spacing w:after="120" w:line="276" w:lineRule="auto"/>
              <w:ind w:firstLine="709"/>
              <w:jc w:val="both"/>
              <w:rPr>
                <w:rFonts w:ascii="Verdana" w:eastAsia="Calibri" w:hAnsi="Verdana" w:cs="Arial"/>
                <w:lang w:val="es-ES"/>
              </w:rPr>
            </w:pPr>
            <w:r>
              <w:rPr>
                <w:rFonts w:ascii="Verdana" w:eastAsia="Calibri" w:hAnsi="Verdana" w:cs="Arial"/>
                <w:lang w:val="es-ES"/>
              </w:rPr>
              <w:t>Finalmente, es de menester aclarar que Colombia Compra Eficiente sólo está facultada para resolver inquietudes de carácter general y que versen sobre la interpretación de las normas que rigen el Sistema de Compras y Contratación Pública. Por lo que, no será posible que se manifieste sobre aquellas que no se encuentren dentro del marco anterior, como temas contables o de inventarios, pues hacerlo implicaría una extralimitación de las funciones y competencias que le fueron conferidas por el legislador.</w:t>
            </w:r>
          </w:p>
        </w:tc>
      </w:tr>
      <w:bookmarkEnd w:id="2"/>
    </w:tbl>
    <w:p w14:paraId="106E8D9C" w14:textId="77777777" w:rsidR="009C1766" w:rsidRPr="00A9193C" w:rsidRDefault="009C1766" w:rsidP="009C1766">
      <w:pPr>
        <w:widowControl w:val="0"/>
        <w:autoSpaceDE w:val="0"/>
        <w:autoSpaceDN w:val="0"/>
        <w:spacing w:before="1" w:after="0" w:line="240" w:lineRule="auto"/>
        <w:ind w:left="360" w:hanging="360"/>
        <w:outlineLvl w:val="0"/>
        <w:rPr>
          <w:rFonts w:ascii="Verdana" w:eastAsia="Arial" w:hAnsi="Verdana" w:cs="Arial"/>
          <w:b/>
        </w:rPr>
      </w:pPr>
    </w:p>
    <w:p w14:paraId="7C3B4D5E" w14:textId="77777777" w:rsidR="009C1766" w:rsidRPr="0047490F" w:rsidRDefault="009C1766" w:rsidP="009C1766">
      <w:pPr>
        <w:widowControl w:val="0"/>
        <w:autoSpaceDE w:val="0"/>
        <w:autoSpaceDN w:val="0"/>
        <w:spacing w:before="1" w:after="0" w:line="240" w:lineRule="auto"/>
        <w:ind w:left="360" w:hanging="360"/>
        <w:outlineLvl w:val="0"/>
        <w:rPr>
          <w:rFonts w:ascii="Verdana" w:eastAsia="Arial" w:hAnsi="Verdana" w:cs="Arial"/>
          <w:b/>
          <w:bCs/>
          <w:lang w:val="es-ES"/>
        </w:rPr>
      </w:pPr>
      <w:r w:rsidRPr="0047490F">
        <w:rPr>
          <w:rFonts w:ascii="Verdana" w:eastAsia="Arial" w:hAnsi="Verdana" w:cs="Arial"/>
          <w:b/>
          <w:bCs/>
          <w:lang w:val="es-ES"/>
        </w:rPr>
        <w:t>3. Razones de la respuesta</w:t>
      </w:r>
    </w:p>
    <w:p w14:paraId="0A141C18" w14:textId="77777777" w:rsidR="009C1766" w:rsidRPr="0047490F" w:rsidRDefault="009C1766" w:rsidP="009C1766">
      <w:pPr>
        <w:spacing w:after="0" w:line="276" w:lineRule="auto"/>
        <w:jc w:val="both"/>
        <w:rPr>
          <w:rFonts w:ascii="Verdana" w:eastAsia="Calibri" w:hAnsi="Verdana" w:cs="Arial"/>
          <w:lang w:val="es-ES"/>
        </w:rPr>
      </w:pPr>
    </w:p>
    <w:p w14:paraId="40866B75" w14:textId="77777777" w:rsidR="009C1766" w:rsidRDefault="009C1766" w:rsidP="009C1766">
      <w:pPr>
        <w:spacing w:after="0" w:line="276" w:lineRule="auto"/>
        <w:jc w:val="both"/>
        <w:rPr>
          <w:rFonts w:ascii="Verdana" w:eastAsia="Calibri" w:hAnsi="Verdana" w:cs="Arial"/>
          <w:lang w:val="es-ES"/>
        </w:rPr>
      </w:pPr>
      <w:r w:rsidRPr="0047490F">
        <w:rPr>
          <w:rFonts w:ascii="Verdana" w:eastAsia="Calibri" w:hAnsi="Verdana" w:cs="Arial"/>
          <w:lang w:val="es-ES"/>
        </w:rPr>
        <w:t xml:space="preserve">Las respuestas anteriores se sustentan en las siguientes consideraciones: </w:t>
      </w:r>
    </w:p>
    <w:p w14:paraId="7FD53DD1" w14:textId="77777777" w:rsidR="009C1766" w:rsidRPr="0047490F" w:rsidRDefault="009C1766" w:rsidP="009C1766">
      <w:pPr>
        <w:spacing w:after="0" w:line="276" w:lineRule="auto"/>
        <w:jc w:val="both"/>
        <w:rPr>
          <w:rFonts w:ascii="Verdana" w:eastAsia="Calibri" w:hAnsi="Verdana" w:cs="Arial"/>
          <w:lang w:val="es-ES"/>
        </w:rPr>
      </w:pPr>
    </w:p>
    <w:p w14:paraId="32B184B8" w14:textId="77777777" w:rsidR="009C1766" w:rsidRPr="00CC1094" w:rsidRDefault="009C1766" w:rsidP="009C1766">
      <w:pPr>
        <w:pStyle w:val="Prrafodelista"/>
        <w:numPr>
          <w:ilvl w:val="0"/>
          <w:numId w:val="2"/>
        </w:numPr>
        <w:spacing w:line="276" w:lineRule="auto"/>
        <w:jc w:val="both"/>
        <w:rPr>
          <w:rFonts w:ascii="Verdana" w:eastAsia="Aptos" w:hAnsi="Verdana" w:cs="Arial"/>
          <w:lang w:val="es-ES_tradnl" w:eastAsia="es-MX"/>
        </w:rPr>
      </w:pPr>
      <w:bookmarkStart w:id="3" w:name="_Hlk173311098"/>
      <w:r>
        <w:rPr>
          <w:rFonts w:ascii="Verdana" w:eastAsia="Calibri" w:hAnsi="Verdana" w:cs="Arial"/>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5F3D622E" w14:textId="77777777" w:rsidR="009C1766" w:rsidRDefault="009C1766" w:rsidP="009C1766">
      <w:pPr>
        <w:pStyle w:val="Prrafodelista"/>
        <w:spacing w:line="276" w:lineRule="auto"/>
        <w:jc w:val="both"/>
        <w:rPr>
          <w:rFonts w:ascii="Verdana" w:eastAsia="Aptos" w:hAnsi="Verdana" w:cs="Arial"/>
          <w:lang w:val="es-ES_tradnl" w:eastAsia="es-MX"/>
        </w:rPr>
      </w:pPr>
    </w:p>
    <w:p w14:paraId="50EC68A9" w14:textId="77777777" w:rsidR="009C1766" w:rsidRPr="00630CEA" w:rsidRDefault="009C1766" w:rsidP="009C1766">
      <w:pPr>
        <w:pStyle w:val="Prrafodelista"/>
        <w:numPr>
          <w:ilvl w:val="0"/>
          <w:numId w:val="2"/>
        </w:numPr>
        <w:spacing w:line="276" w:lineRule="auto"/>
        <w:jc w:val="both"/>
        <w:textAlignment w:val="baseline"/>
        <w:rPr>
          <w:rFonts w:ascii="Verdana" w:eastAsia="Aptos" w:hAnsi="Verdana" w:cs="Arial"/>
          <w:lang w:val="es-ES_tradnl" w:eastAsia="es-MX"/>
        </w:rPr>
      </w:pPr>
      <w:r w:rsidRPr="006E14E6">
        <w:rPr>
          <w:rFonts w:ascii="Verdana" w:eastAsia="Aptos" w:hAnsi="Verdana" w:cs="Arial"/>
          <w:lang w:val="es-ES_tradnl" w:eastAsia="es-MX"/>
        </w:rPr>
        <w:t xml:space="preserve">En ese sentido, </w:t>
      </w:r>
      <w:r>
        <w:rPr>
          <w:rFonts w:ascii="Verdana" w:eastAsia="Aptos" w:hAnsi="Verdana" w:cs="Arial"/>
          <w:lang w:val="es-ES_tradnl" w:eastAsia="es-MX"/>
        </w:rPr>
        <w:t xml:space="preserve">las Leyes 1150 de 2007 y 1474 de 2011, complementan el régimen jurídico de la obligación de vigilar la correcta ejecución de los </w:t>
      </w:r>
      <w:r>
        <w:rPr>
          <w:rFonts w:ascii="Verdana" w:eastAsia="Aptos" w:hAnsi="Verdana" w:cs="Arial"/>
          <w:lang w:val="es-ES_tradnl" w:eastAsia="es-MX"/>
        </w:rPr>
        <w:lastRenderedPageBreak/>
        <w:t>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Pr>
          <w:rStyle w:val="Refdenotaalpie"/>
          <w:rFonts w:ascii="Verdana" w:eastAsia="Aptos" w:hAnsi="Verdana" w:cs="Arial"/>
          <w:lang w:val="es-ES_tradnl" w:eastAsia="es-MX"/>
        </w:rPr>
        <w:footnoteReference w:id="1"/>
      </w:r>
      <w:r>
        <w:rPr>
          <w:rFonts w:ascii="Verdana" w:eastAsia="Aptos" w:hAnsi="Verdana" w:cs="Arial"/>
          <w:lang w:val="es-ES_tradnl" w:eastAsia="es-MX"/>
        </w:rPr>
        <w:t>. También se establecen los límites de la responsabilidad del representante legal ante la delegación de sus funciones en materia contractual</w:t>
      </w:r>
      <w:r>
        <w:rPr>
          <w:rStyle w:val="Refdenotaalpie"/>
          <w:rFonts w:ascii="Verdana" w:eastAsia="Aptos" w:hAnsi="Verdana" w:cs="Arial"/>
          <w:lang w:val="es-ES_tradnl" w:eastAsia="es-MX"/>
        </w:rPr>
        <w:footnoteReference w:id="2"/>
      </w:r>
      <w:r>
        <w:rPr>
          <w:rFonts w:ascii="Verdana" w:eastAsia="Aptos" w:hAnsi="Verdana" w:cs="Arial"/>
          <w:lang w:val="es-ES_tradnl" w:eastAsia="es-MX"/>
        </w:rPr>
        <w:t xml:space="preserve"> </w:t>
      </w:r>
      <w:r w:rsidRPr="00630CEA">
        <w:rPr>
          <w:rFonts w:ascii="Verdana" w:eastAsia="Aptos" w:hAnsi="Verdana" w:cs="Arial"/>
          <w:lang w:val="es-ES_tradnl" w:eastAsia="es-MX"/>
        </w:rPr>
        <w:t>y se regula la supervisión y la interventoría de los contratos estatales</w:t>
      </w:r>
      <w:r>
        <w:rPr>
          <w:rStyle w:val="Refdenotaalpie"/>
          <w:rFonts w:ascii="Verdana" w:eastAsia="Aptos" w:hAnsi="Verdana" w:cs="Arial"/>
          <w:lang w:val="es-ES_tradnl" w:eastAsia="es-MX"/>
        </w:rPr>
        <w:footnoteReference w:id="3"/>
      </w:r>
      <w:r w:rsidRPr="00630CEA">
        <w:rPr>
          <w:rFonts w:ascii="Verdana" w:eastAsia="Aptos" w:hAnsi="Verdana" w:cs="Arial"/>
          <w:lang w:val="es-ES_tradnl" w:eastAsia="es-MX"/>
        </w:rPr>
        <w:t>.</w:t>
      </w:r>
    </w:p>
    <w:p w14:paraId="1877EF18" w14:textId="77777777" w:rsidR="009C1766" w:rsidRPr="00A25753" w:rsidRDefault="009C1766" w:rsidP="009C1766">
      <w:pPr>
        <w:pStyle w:val="Prrafodelista"/>
        <w:rPr>
          <w:rFonts w:ascii="Verdana" w:eastAsia="Aptos" w:hAnsi="Verdana" w:cs="Arial"/>
          <w:lang w:val="es-ES_tradnl" w:eastAsia="es-MX"/>
        </w:rPr>
      </w:pPr>
    </w:p>
    <w:p w14:paraId="4C1C1B13" w14:textId="77777777" w:rsidR="009C1766" w:rsidRDefault="009C1766" w:rsidP="009C1766">
      <w:pPr>
        <w:pStyle w:val="Prrafodelista"/>
        <w:numPr>
          <w:ilvl w:val="0"/>
          <w:numId w:val="2"/>
        </w:numPr>
        <w:spacing w:before="120" w:after="120" w:line="276" w:lineRule="auto"/>
        <w:jc w:val="both"/>
        <w:textAlignment w:val="baseline"/>
        <w:rPr>
          <w:rFonts w:ascii="Verdana" w:eastAsia="Aptos" w:hAnsi="Verdana" w:cs="Arial"/>
          <w:lang w:val="es-ES_tradnl" w:eastAsia="es-MX"/>
        </w:rPr>
      </w:pPr>
      <w:r w:rsidRPr="006E14E6">
        <w:rPr>
          <w:rFonts w:ascii="Verdana" w:eastAsia="Aptos" w:hAnsi="Verdana" w:cs="Arial"/>
          <w:lang w:val="es-ES_tradnl" w:eastAsia="es-MX"/>
        </w:rPr>
        <w:t xml:space="preserve">En consecuencia, </w:t>
      </w:r>
      <w:r>
        <w:rPr>
          <w:rFonts w:ascii="Verdana" w:eastAsia="Aptos" w:hAnsi="Verdana" w:cs="Arial"/>
          <w:lang w:val="es-ES_tradnl" w:eastAsia="es-MX"/>
        </w:rPr>
        <w:t xml:space="preserve">se tiene que, la jurisprudencia contencioso-administrativa, por su parte, ha considerado que la obligación de vigilar la correcta ejecución del objeto contractual es una función de la entidad contratante, en los siguientes términos: </w:t>
      </w:r>
    </w:p>
    <w:p w14:paraId="6D4779F2" w14:textId="77777777" w:rsidR="009C1766" w:rsidRDefault="009C1766" w:rsidP="009C1766">
      <w:pPr>
        <w:pStyle w:val="Prrafodelista"/>
        <w:spacing w:after="0"/>
        <w:ind w:left="709"/>
        <w:jc w:val="both"/>
        <w:rPr>
          <w:rFonts w:ascii="Verdana" w:eastAsia="Aptos" w:hAnsi="Verdana" w:cs="Arial"/>
          <w:lang w:val="es-ES_tradnl" w:eastAsia="es-MX"/>
        </w:rPr>
      </w:pPr>
    </w:p>
    <w:p w14:paraId="6A1E3525" w14:textId="77777777" w:rsidR="009C1766" w:rsidRPr="004C66BB" w:rsidRDefault="009C1766" w:rsidP="009C1766">
      <w:pPr>
        <w:pStyle w:val="Prrafodelista"/>
        <w:spacing w:after="0" w:line="240" w:lineRule="auto"/>
        <w:ind w:left="1416" w:right="709"/>
        <w:jc w:val="both"/>
        <w:rPr>
          <w:rFonts w:ascii="Verdana" w:eastAsia="Aptos" w:hAnsi="Verdana" w:cs="Arial"/>
          <w:sz w:val="20"/>
          <w:szCs w:val="20"/>
          <w:lang w:val="es-ES_tradnl" w:eastAsia="es-MX"/>
        </w:rPr>
      </w:pPr>
      <w:bookmarkStart w:id="4" w:name="_Hlk178671999"/>
      <w:r w:rsidRPr="004C66BB">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4"/>
      <w:r w:rsidRPr="004C66BB">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4C66BB">
        <w:rPr>
          <w:rStyle w:val="Refdenotaalpie"/>
          <w:rFonts w:ascii="Verdana" w:eastAsia="Aptos" w:hAnsi="Verdana" w:cs="Arial"/>
          <w:sz w:val="20"/>
          <w:szCs w:val="20"/>
          <w:lang w:val="es-ES_tradnl" w:eastAsia="es-MX"/>
        </w:rPr>
        <w:footnoteReference w:id="4"/>
      </w:r>
      <w:r w:rsidRPr="004C66BB">
        <w:rPr>
          <w:rFonts w:ascii="Verdana" w:eastAsia="Aptos" w:hAnsi="Verdana" w:cs="Arial"/>
          <w:sz w:val="20"/>
          <w:szCs w:val="20"/>
          <w:lang w:val="es-ES_tradnl" w:eastAsia="es-MX"/>
        </w:rPr>
        <w:t>.</w:t>
      </w:r>
    </w:p>
    <w:p w14:paraId="23E9AC94" w14:textId="77777777" w:rsidR="009C1766" w:rsidRPr="00C60C02" w:rsidRDefault="009C1766" w:rsidP="009C1766">
      <w:pPr>
        <w:pStyle w:val="Prrafodelista"/>
        <w:rPr>
          <w:rFonts w:ascii="Verdana" w:eastAsia="Aptos" w:hAnsi="Verdana" w:cs="Arial"/>
          <w:lang w:val="es-ES_tradnl" w:eastAsia="es-MX"/>
        </w:rPr>
      </w:pPr>
    </w:p>
    <w:p w14:paraId="568E5EF7" w14:textId="77777777" w:rsidR="009C1766" w:rsidRDefault="009C1766" w:rsidP="009C1766">
      <w:pPr>
        <w:pStyle w:val="Prrafodelista"/>
        <w:numPr>
          <w:ilvl w:val="0"/>
          <w:numId w:val="2"/>
        </w:numPr>
        <w:spacing w:after="0" w:line="276" w:lineRule="auto"/>
        <w:jc w:val="both"/>
        <w:textAlignment w:val="baseline"/>
        <w:rPr>
          <w:rFonts w:ascii="Verdana" w:eastAsia="Aptos" w:hAnsi="Verdana" w:cs="Arial"/>
          <w:lang w:eastAsia="es-MX"/>
        </w:rPr>
      </w:pPr>
      <w:r>
        <w:rPr>
          <w:rFonts w:ascii="Verdana" w:eastAsia="Aptos" w:hAnsi="Verdana" w:cs="Arial"/>
          <w:lang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w:t>
      </w:r>
      <w:r>
        <w:rPr>
          <w:rFonts w:ascii="Verdana" w:eastAsia="Aptos" w:hAnsi="Verdana" w:cs="Arial"/>
          <w:lang w:eastAsia="es-MX"/>
        </w:rPr>
        <w:lastRenderedPageBreak/>
        <w:t xml:space="preserve">pueden usar las Entidades Estatales para vigilar el contrato, en estos términos: </w:t>
      </w:r>
    </w:p>
    <w:p w14:paraId="2EDE0239" w14:textId="77777777" w:rsidR="009C1766" w:rsidRPr="00454574" w:rsidRDefault="009C1766" w:rsidP="009C1766">
      <w:pPr>
        <w:pStyle w:val="Prrafodelista"/>
        <w:spacing w:after="0" w:line="276" w:lineRule="auto"/>
        <w:jc w:val="both"/>
        <w:textAlignment w:val="baseline"/>
        <w:rPr>
          <w:rFonts w:ascii="Verdana" w:eastAsia="Aptos" w:hAnsi="Verdana" w:cs="Arial"/>
          <w:lang w:val="es-ES_tradnl" w:eastAsia="es-MX"/>
        </w:rPr>
      </w:pPr>
    </w:p>
    <w:p w14:paraId="16080C0B" w14:textId="77777777" w:rsidR="009C1766" w:rsidRPr="004C66BB" w:rsidRDefault="009C1766" w:rsidP="009C1766">
      <w:pPr>
        <w:spacing w:after="0" w:line="240" w:lineRule="auto"/>
        <w:ind w:left="1417" w:right="709"/>
        <w:jc w:val="both"/>
        <w:textAlignment w:val="baseline"/>
        <w:rPr>
          <w:rFonts w:ascii="Verdana" w:eastAsia="Aptos" w:hAnsi="Verdana" w:cs="Arial"/>
          <w:sz w:val="20"/>
          <w:szCs w:val="20"/>
          <w:lang w:val="es-ES" w:eastAsia="es-MX"/>
        </w:rPr>
      </w:pPr>
      <w:r w:rsidRPr="2A4696E1">
        <w:rPr>
          <w:rFonts w:ascii="Verdana" w:eastAsia="Aptos" w:hAnsi="Verdana" w:cs="Arial"/>
          <w:sz w:val="20"/>
          <w:szCs w:val="20"/>
          <w:lang w:val="es-ES" w:eastAsia="es-MX"/>
        </w:rPr>
        <w:t xml:space="preserve">“La supervisión consistirá en el seguimiento técnico, administrativo, financiero, contable, y jurídico </w:t>
      </w:r>
      <w:proofErr w:type="gramStart"/>
      <w:r w:rsidRPr="2A4696E1">
        <w:rPr>
          <w:rFonts w:ascii="Verdana" w:eastAsia="Aptos" w:hAnsi="Verdana" w:cs="Arial"/>
          <w:sz w:val="20"/>
          <w:szCs w:val="20"/>
          <w:lang w:val="es-ES" w:eastAsia="es-MX"/>
        </w:rPr>
        <w:t>que</w:t>
      </w:r>
      <w:proofErr w:type="gramEnd"/>
      <w:r w:rsidRPr="2A4696E1">
        <w:rPr>
          <w:rFonts w:ascii="Verdana" w:eastAsia="Aptos"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4DC2B279" w14:textId="77777777" w:rsidR="009C1766" w:rsidRPr="004C66BB" w:rsidRDefault="009C1766" w:rsidP="009C1766">
      <w:pPr>
        <w:spacing w:after="0" w:line="240" w:lineRule="auto"/>
        <w:ind w:left="1418" w:right="709"/>
        <w:jc w:val="both"/>
        <w:textAlignment w:val="baseline"/>
        <w:rPr>
          <w:rFonts w:ascii="Verdana" w:eastAsia="Aptos" w:hAnsi="Verdana" w:cs="Arial"/>
          <w:sz w:val="20"/>
          <w:szCs w:val="20"/>
          <w:lang w:val="es-ES" w:eastAsia="es-MX"/>
        </w:rPr>
      </w:pPr>
      <w:r w:rsidRPr="2A4696E1">
        <w:rPr>
          <w:rFonts w:ascii="Verdana" w:eastAsia="Aptos"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2A4696E1">
        <w:rPr>
          <w:rStyle w:val="Refdenotaalpie"/>
          <w:rFonts w:ascii="Verdana" w:eastAsia="Aptos" w:hAnsi="Verdana" w:cs="Arial"/>
          <w:sz w:val="20"/>
          <w:szCs w:val="20"/>
          <w:lang w:val="es-ES" w:eastAsia="es-MX"/>
        </w:rPr>
        <w:footnoteReference w:id="5"/>
      </w:r>
      <w:r w:rsidRPr="2A4696E1">
        <w:rPr>
          <w:rFonts w:ascii="Verdana" w:eastAsia="Aptos" w:hAnsi="Verdana" w:cs="Arial"/>
          <w:sz w:val="20"/>
          <w:szCs w:val="20"/>
          <w:lang w:val="es-ES" w:eastAsia="es-MX"/>
        </w:rPr>
        <w:t>.</w:t>
      </w:r>
    </w:p>
    <w:p w14:paraId="4145B9CD" w14:textId="77777777" w:rsidR="009C1766" w:rsidRPr="006E14E6" w:rsidRDefault="009C1766" w:rsidP="009C1766">
      <w:pPr>
        <w:pStyle w:val="Prrafodelista"/>
        <w:spacing w:after="0" w:line="276" w:lineRule="auto"/>
        <w:jc w:val="both"/>
        <w:textAlignment w:val="baseline"/>
        <w:rPr>
          <w:rFonts w:ascii="Verdana" w:eastAsia="Aptos" w:hAnsi="Verdana" w:cs="Arial"/>
          <w:lang w:eastAsia="es-MX"/>
        </w:rPr>
      </w:pPr>
    </w:p>
    <w:p w14:paraId="2AF5D241" w14:textId="77777777" w:rsidR="009C1766" w:rsidRPr="00A25753" w:rsidRDefault="009C1766" w:rsidP="009C1766">
      <w:pPr>
        <w:pStyle w:val="Prrafodelista"/>
        <w:numPr>
          <w:ilvl w:val="0"/>
          <w:numId w:val="2"/>
        </w:numPr>
        <w:tabs>
          <w:tab w:val="left" w:pos="709"/>
        </w:tabs>
        <w:spacing w:before="120" w:after="120" w:line="276" w:lineRule="auto"/>
        <w:jc w:val="both"/>
        <w:rPr>
          <w:rFonts w:ascii="Verdana" w:eastAsia="Calibri" w:hAnsi="Verdana" w:cs="Arial"/>
          <w:shd w:val="clear" w:color="auto" w:fill="FFFFFF"/>
        </w:rPr>
      </w:pPr>
      <w:r>
        <w:rPr>
          <w:rFonts w:ascii="Verdana" w:eastAsia="Aptos" w:hAnsi="Verdana" w:cs="Arial"/>
          <w:bCs/>
        </w:rPr>
        <w:t xml:space="preserve">Sin perjuicio de lo anterior, según lo expresado por esta Agencia en el concepto No. </w:t>
      </w:r>
      <w:r w:rsidRPr="00B00A4B">
        <w:rPr>
          <w:rFonts w:ascii="Verdana" w:eastAsia="Aptos" w:hAnsi="Verdana" w:cs="Arial"/>
          <w:bCs/>
        </w:rPr>
        <w:t>4201913000008240</w:t>
      </w:r>
      <w:r>
        <w:rPr>
          <w:rFonts w:ascii="Verdana" w:eastAsia="Aptos" w:hAnsi="Verdana" w:cs="Arial"/>
          <w:bCs/>
        </w:rPr>
        <w:t xml:space="preserve">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Pr>
          <w:rStyle w:val="Refdenotaalpie"/>
          <w:rFonts w:ascii="Verdana" w:eastAsia="Aptos" w:hAnsi="Verdana" w:cs="Arial"/>
          <w:bCs/>
        </w:rPr>
        <w:footnoteReference w:id="6"/>
      </w:r>
      <w:r>
        <w:rPr>
          <w:rFonts w:ascii="Verdana" w:eastAsia="Aptos" w:hAnsi="Verdana" w:cs="Arial"/>
          <w:bCs/>
        </w:rPr>
        <w:t xml:space="preserve">–; </w:t>
      </w:r>
      <w:proofErr w:type="spellStart"/>
      <w:r>
        <w:rPr>
          <w:rFonts w:ascii="Verdana" w:eastAsia="Aptos" w:hAnsi="Verdana" w:cs="Arial"/>
          <w:bCs/>
        </w:rPr>
        <w:t>ii</w:t>
      </w:r>
      <w:proofErr w:type="spellEnd"/>
      <w:r>
        <w:rPr>
          <w:rFonts w:ascii="Verdana" w:eastAsia="Aptos" w:hAnsi="Verdana" w:cs="Arial"/>
          <w:bCs/>
        </w:rPr>
        <w:t xml:space="preserve">) no requiere conocimientos tan especializados como la interventoría; </w:t>
      </w:r>
      <w:proofErr w:type="spellStart"/>
      <w:r>
        <w:rPr>
          <w:rFonts w:ascii="Verdana" w:eastAsia="Aptos" w:hAnsi="Verdana" w:cs="Arial"/>
          <w:bCs/>
        </w:rPr>
        <w:t>iii</w:t>
      </w:r>
      <w:proofErr w:type="spellEnd"/>
      <w:r>
        <w:rPr>
          <w:rFonts w:ascii="Verdana" w:eastAsia="Aptos" w:hAnsi="Verdana" w:cs="Arial"/>
          <w:bCs/>
        </w:rPr>
        <w:t xml:space="preserve">) se ejerce por la Entidad Estatal por conducto de la designación de servidores públicos idóneos para cumplir la función; </w:t>
      </w:r>
      <w:proofErr w:type="spellStart"/>
      <w:r>
        <w:rPr>
          <w:rFonts w:ascii="Verdana" w:eastAsia="Aptos" w:hAnsi="Verdana" w:cs="Arial"/>
          <w:bCs/>
        </w:rPr>
        <w:t>iv</w:t>
      </w:r>
      <w:proofErr w:type="spellEnd"/>
      <w:r>
        <w:rPr>
          <w:rFonts w:ascii="Verdana" w:eastAsia="Aptos" w:hAnsi="Verdana" w:cs="Arial"/>
          <w:bCs/>
        </w:rPr>
        <w:t xml:space="preserve">) puede recibir apoyo de personal contratado para tal fin mediante contratos de prestación de servicios; y v) le es inseparable el seguimiento técnico, administrativo, financiero, contable y jurídico del contrato vigilado. </w:t>
      </w:r>
    </w:p>
    <w:p w14:paraId="338FC6DB" w14:textId="77777777" w:rsidR="009C1766" w:rsidRPr="00A25753" w:rsidRDefault="009C1766" w:rsidP="009C1766">
      <w:pPr>
        <w:pStyle w:val="Prrafodelista"/>
        <w:rPr>
          <w:rFonts w:ascii="Verdana" w:eastAsia="Calibri" w:hAnsi="Verdana" w:cs="Arial"/>
          <w:shd w:val="clear" w:color="auto" w:fill="FFFFFF"/>
        </w:rPr>
      </w:pPr>
    </w:p>
    <w:p w14:paraId="2DCC7EB9" w14:textId="77777777" w:rsidR="009C1766" w:rsidRPr="00B018BD" w:rsidRDefault="009C1766" w:rsidP="009C1766">
      <w:pPr>
        <w:pStyle w:val="Prrafodelista"/>
        <w:numPr>
          <w:ilvl w:val="0"/>
          <w:numId w:val="2"/>
        </w:numPr>
        <w:spacing w:before="120" w:line="276" w:lineRule="auto"/>
        <w:jc w:val="both"/>
        <w:rPr>
          <w:rFonts w:ascii="Verdana" w:eastAsia="Calibri" w:hAnsi="Verdana" w:cs="Arial"/>
          <w:color w:val="000000"/>
          <w:lang w:val="es-ES_tradnl"/>
        </w:rPr>
      </w:pPr>
      <w:r>
        <w:rPr>
          <w:rFonts w:ascii="Verdana" w:eastAsia="Calibri" w:hAnsi="Verdana" w:cs="Arial"/>
          <w:shd w:val="clear" w:color="auto" w:fill="FFFFFF"/>
        </w:rPr>
        <w:t>En ese sentido</w:t>
      </w:r>
      <w:r w:rsidRPr="006E14E6">
        <w:rPr>
          <w:rFonts w:ascii="Verdana" w:eastAsia="Calibri" w:hAnsi="Verdana" w:cs="Arial"/>
          <w:shd w:val="clear" w:color="auto" w:fill="FFFFFF"/>
        </w:rPr>
        <w:t xml:space="preserve">, </w:t>
      </w:r>
      <w:r>
        <w:rPr>
          <w:rFonts w:ascii="Verdana" w:eastAsia="Calibri" w:hAnsi="Verdana" w:cs="Arial"/>
          <w:shd w:val="clear" w:color="auto" w:fill="FFFFFF"/>
        </w:rPr>
        <w:t xml:space="preserve">puede colegirse que la supervisión es uno de los medios para que las entidades ejerzan la dirección, control y vigilancia de sus contratos, con el fin de lograr el objeto contractual. Por consiguiente, el supervisor, de acuerdo con lo señalado en la Ley 80 de 1993, tiene la </w:t>
      </w:r>
      <w:r>
        <w:rPr>
          <w:rFonts w:ascii="Verdana" w:eastAsia="Calibri" w:hAnsi="Verdana" w:cs="Arial"/>
          <w:shd w:val="clear" w:color="auto" w:fill="FFFFFF"/>
        </w:rPr>
        <w:lastRenderedPageBreak/>
        <w:t>obligación de desarrollar las actividades que impliquen la vigilancia y seguimiento del cumplimiento de los contratos, función que puede ser asignada a un empleado público siempre que se ajusten a las fijadas para el cargo.</w:t>
      </w:r>
    </w:p>
    <w:p w14:paraId="19265DC5" w14:textId="77777777" w:rsidR="009C1766" w:rsidRPr="00B018BD" w:rsidRDefault="009C1766" w:rsidP="009C1766">
      <w:pPr>
        <w:pStyle w:val="Prrafodelista"/>
        <w:rPr>
          <w:rFonts w:ascii="Verdana" w:eastAsia="Calibri" w:hAnsi="Verdana" w:cs="Arial"/>
          <w:shd w:val="clear" w:color="auto" w:fill="FFFFFF"/>
        </w:rPr>
      </w:pPr>
    </w:p>
    <w:p w14:paraId="6FE80AE2" w14:textId="77777777" w:rsidR="009C1766" w:rsidRPr="006A1412" w:rsidRDefault="009C1766" w:rsidP="009C1766">
      <w:pPr>
        <w:pStyle w:val="Prrafodelista"/>
        <w:numPr>
          <w:ilvl w:val="0"/>
          <w:numId w:val="2"/>
        </w:numPr>
        <w:spacing w:before="120" w:line="276" w:lineRule="auto"/>
        <w:jc w:val="both"/>
        <w:rPr>
          <w:rFonts w:ascii="Verdana" w:eastAsia="Calibri" w:hAnsi="Verdana" w:cs="Arial"/>
          <w:color w:val="000000"/>
          <w:lang w:val="es-ES_tradnl"/>
        </w:rPr>
      </w:pPr>
      <w:r w:rsidRPr="00287D6D">
        <w:rPr>
          <w:rFonts w:ascii="Verdana" w:eastAsia="Times New Roman" w:hAnsi="Verdana" w:cs="Arial"/>
          <w:color w:val="000000"/>
          <w:szCs w:val="24"/>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w:t>
      </w:r>
      <w:r>
        <w:rPr>
          <w:rFonts w:ascii="Verdana" w:eastAsia="Times New Roman" w:hAnsi="Verdana" w:cs="Arial"/>
          <w:color w:val="000000"/>
          <w:szCs w:val="24"/>
          <w:lang w:val="es-ES_tradnl" w:eastAsia="es-ES_tradnl"/>
        </w:rPr>
        <w:t>, que se encuentra disponible para su consulta en el siguiente enlace:</w:t>
      </w:r>
    </w:p>
    <w:p w14:paraId="33F66269" w14:textId="77777777" w:rsidR="009C1766" w:rsidRPr="00287D6D" w:rsidRDefault="008C2D3E" w:rsidP="009C1766">
      <w:pPr>
        <w:pStyle w:val="Prrafodelista"/>
        <w:spacing w:before="120" w:line="276" w:lineRule="auto"/>
        <w:jc w:val="both"/>
        <w:rPr>
          <w:rFonts w:ascii="Verdana" w:eastAsia="Calibri" w:hAnsi="Verdana" w:cs="Arial"/>
          <w:color w:val="000000"/>
          <w:lang w:val="es-ES_tradnl"/>
        </w:rPr>
      </w:pPr>
      <w:hyperlink r:id="rId12" w:history="1">
        <w:r w:rsidR="009C1766" w:rsidRPr="00DC669E">
          <w:rPr>
            <w:rStyle w:val="Hipervnculo"/>
            <w:rFonts w:ascii="Verdana" w:eastAsia="Times New Roman" w:hAnsi="Verdana" w:cs="Arial"/>
            <w:szCs w:val="24"/>
            <w:lang w:val="es-ES_tradnl" w:eastAsia="es-ES_tradnl"/>
          </w:rPr>
          <w:t>https://www.colombiacompra.gov.co/sites/cce_public/files/cce_documents/cce_guia_para_el_ejercicio_de_las_funciones_de_supervision_e_interventoria_de_los_contratos_del_estado.pdf</w:t>
        </w:r>
      </w:hyperlink>
      <w:r w:rsidR="009C1766">
        <w:rPr>
          <w:rFonts w:ascii="Verdana" w:eastAsia="Times New Roman" w:hAnsi="Verdana" w:cs="Arial"/>
          <w:color w:val="000000"/>
          <w:szCs w:val="24"/>
          <w:lang w:val="es-ES_tradnl" w:eastAsia="es-ES_tradnl"/>
        </w:rPr>
        <w:t xml:space="preserve"> </w:t>
      </w:r>
    </w:p>
    <w:bookmarkEnd w:id="3"/>
    <w:p w14:paraId="0E2A159D" w14:textId="77777777" w:rsidR="009C1766" w:rsidRPr="002700D3" w:rsidRDefault="009C1766" w:rsidP="009C1766">
      <w:pPr>
        <w:pStyle w:val="Prrafodelista"/>
        <w:spacing w:after="0" w:line="276" w:lineRule="auto"/>
        <w:jc w:val="both"/>
        <w:rPr>
          <w:rFonts w:ascii="Verdana" w:eastAsia="Calibri" w:hAnsi="Verdana" w:cs="Arial"/>
        </w:rPr>
      </w:pPr>
    </w:p>
    <w:p w14:paraId="7F8BD5BD" w14:textId="77777777" w:rsidR="009C1766" w:rsidRPr="0047490F" w:rsidRDefault="009C1766" w:rsidP="009C1766">
      <w:pPr>
        <w:widowControl w:val="0"/>
        <w:autoSpaceDE w:val="0"/>
        <w:autoSpaceDN w:val="0"/>
        <w:spacing w:before="1" w:after="0" w:line="240" w:lineRule="auto"/>
        <w:outlineLvl w:val="0"/>
        <w:rPr>
          <w:rFonts w:ascii="Verdana" w:eastAsia="Arial" w:hAnsi="Verdana" w:cs="Arial"/>
          <w:b/>
          <w:bCs/>
          <w:lang w:val="es-ES"/>
        </w:rPr>
      </w:pPr>
      <w:r w:rsidRPr="0047490F">
        <w:rPr>
          <w:rFonts w:ascii="Verdana" w:eastAsia="Arial" w:hAnsi="Verdana" w:cs="Arial"/>
          <w:b/>
          <w:bCs/>
          <w:lang w:val="es-ES"/>
        </w:rPr>
        <w:t>4.Referencias normativas, jurisprudenciales y otras fuentes:</w:t>
      </w:r>
    </w:p>
    <w:p w14:paraId="3293AC39" w14:textId="77777777" w:rsidR="009C1766" w:rsidRPr="0047490F" w:rsidRDefault="009C1766" w:rsidP="009C1766">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C1766" w:rsidRPr="0047490F" w14:paraId="5771CF50" w14:textId="77777777" w:rsidTr="00390161">
        <w:trPr>
          <w:trHeight w:val="870"/>
        </w:trPr>
        <w:tc>
          <w:tcPr>
            <w:tcW w:w="8647" w:type="dxa"/>
          </w:tcPr>
          <w:p w14:paraId="6642C439" w14:textId="77777777" w:rsidR="009C1766" w:rsidRPr="00253E20" w:rsidRDefault="009C1766" w:rsidP="009C1766">
            <w:pPr>
              <w:widowControl w:val="0"/>
              <w:numPr>
                <w:ilvl w:val="0"/>
                <w:numId w:val="1"/>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80 de 1993. Artículos 4, 5, 12, 14 y 26</w:t>
            </w:r>
          </w:p>
          <w:p w14:paraId="2A6E9D6B" w14:textId="77777777" w:rsidR="009C1766" w:rsidRPr="0047490F" w:rsidRDefault="009C1766" w:rsidP="009C1766">
            <w:pPr>
              <w:widowControl w:val="0"/>
              <w:numPr>
                <w:ilvl w:val="0"/>
                <w:numId w:val="1"/>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1150 de 2007. Artículos 17 y 21</w:t>
            </w:r>
          </w:p>
          <w:p w14:paraId="7099DC1F" w14:textId="77777777" w:rsidR="009C1766" w:rsidRPr="0047490F" w:rsidRDefault="009C1766" w:rsidP="009C1766">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 xml:space="preserve">Ley </w:t>
            </w:r>
            <w:r>
              <w:rPr>
                <w:rFonts w:ascii="Verdana" w:eastAsia="Calibri" w:hAnsi="Verdana" w:cs="Arial"/>
                <w:lang w:val="es-ES"/>
              </w:rPr>
              <w:t>1474 de 2011. Artículos 83, 84, 85 y 86</w:t>
            </w:r>
          </w:p>
          <w:p w14:paraId="599E91B0" w14:textId="77777777" w:rsidR="009C1766" w:rsidRDefault="009C1766" w:rsidP="009C1766">
            <w:pPr>
              <w:widowControl w:val="0"/>
              <w:numPr>
                <w:ilvl w:val="0"/>
                <w:numId w:val="1"/>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2195 de 2022. Artículo 53</w:t>
            </w:r>
          </w:p>
          <w:p w14:paraId="3347F3AA" w14:textId="77777777" w:rsidR="009C1766" w:rsidRPr="00F97DC2" w:rsidRDefault="009C1766" w:rsidP="009C1766">
            <w:pPr>
              <w:widowControl w:val="0"/>
              <w:numPr>
                <w:ilvl w:val="0"/>
                <w:numId w:val="1"/>
              </w:numPr>
              <w:autoSpaceDE w:val="0"/>
              <w:autoSpaceDN w:val="0"/>
              <w:spacing w:line="276" w:lineRule="auto"/>
              <w:contextualSpacing/>
              <w:jc w:val="both"/>
              <w:rPr>
                <w:rFonts w:ascii="Verdana" w:eastAsia="Aptos" w:hAnsi="Verdana" w:cs="Arial"/>
              </w:rPr>
            </w:pPr>
            <w:r>
              <w:rPr>
                <w:rFonts w:ascii="Verdana" w:eastAsia="Calibri" w:hAnsi="Verdana" w:cs="Arial"/>
                <w:lang w:val="es-ES"/>
              </w:rPr>
              <w:t xml:space="preserve">Colombia Compra Eficiente, </w:t>
            </w:r>
            <w:r w:rsidRPr="00E82C52">
              <w:rPr>
                <w:rFonts w:ascii="Verdana" w:eastAsia="Calibri" w:hAnsi="Verdana" w:cs="Arial"/>
                <w:lang w:val="es-ES"/>
              </w:rPr>
              <w:t>Guía para el ejercicio de las funciones de Supervisión e Interventoría de los contratos del Estado</w:t>
            </w:r>
            <w:r>
              <w:rPr>
                <w:rFonts w:ascii="Verdana" w:eastAsia="Calibri" w:hAnsi="Verdana" w:cs="Arial"/>
                <w:lang w:val="es-ES"/>
              </w:rPr>
              <w:t xml:space="preserve">, disponible </w:t>
            </w:r>
            <w:hyperlink r:id="rId13" w:history="1">
              <w:r w:rsidRPr="00E82C52">
                <w:rPr>
                  <w:rStyle w:val="Hipervnculo"/>
                  <w:rFonts w:ascii="Verdana" w:eastAsia="Calibri" w:hAnsi="Verdana" w:cs="Arial"/>
                  <w:lang w:val="es-ES"/>
                </w:rPr>
                <w:t>aquí</w:t>
              </w:r>
            </w:hyperlink>
          </w:p>
          <w:p w14:paraId="6A5B9BB8" w14:textId="77777777" w:rsidR="009C1766" w:rsidRPr="00D450FB" w:rsidRDefault="009C1766" w:rsidP="009C1766">
            <w:pPr>
              <w:widowControl w:val="0"/>
              <w:numPr>
                <w:ilvl w:val="0"/>
                <w:numId w:val="1"/>
              </w:numPr>
              <w:autoSpaceDE w:val="0"/>
              <w:autoSpaceDN w:val="0"/>
              <w:spacing w:line="276" w:lineRule="auto"/>
              <w:contextualSpacing/>
              <w:jc w:val="both"/>
              <w:rPr>
                <w:rFonts w:ascii="Verdana" w:eastAsia="Calibri" w:hAnsi="Verdana" w:cs="Arial"/>
                <w:lang w:val="es-ES"/>
              </w:rPr>
            </w:pPr>
            <w:r w:rsidRPr="00D450FB">
              <w:rPr>
                <w:rFonts w:ascii="Verdana" w:eastAsia="Calibri" w:hAnsi="Verdana" w:cs="Arial"/>
                <w:lang w:val="es-ES"/>
              </w:rPr>
              <w:t>Consejo de Estado. Sección 3ª. Sentencia del 27 de noviembre de 2017. M.P. Jaime Orlando</w:t>
            </w:r>
            <w:r>
              <w:rPr>
                <w:rFonts w:ascii="Verdana" w:eastAsia="Calibri" w:hAnsi="Verdana" w:cs="Arial"/>
                <w:lang w:val="es-ES"/>
              </w:rPr>
              <w:t xml:space="preserve"> </w:t>
            </w:r>
            <w:r w:rsidRPr="00D450FB">
              <w:rPr>
                <w:rFonts w:ascii="Verdana" w:eastAsia="Calibri" w:hAnsi="Verdana" w:cs="Arial"/>
                <w:lang w:val="es-ES"/>
              </w:rPr>
              <w:t xml:space="preserve">Santofimio. </w:t>
            </w:r>
            <w:proofErr w:type="spellStart"/>
            <w:r w:rsidRPr="00D450FB">
              <w:rPr>
                <w:rFonts w:ascii="Verdana" w:eastAsia="Calibri" w:hAnsi="Verdana" w:cs="Arial"/>
                <w:lang w:val="es-ES"/>
              </w:rPr>
              <w:t>Exp</w:t>
            </w:r>
            <w:proofErr w:type="spellEnd"/>
            <w:r w:rsidRPr="00D450FB">
              <w:rPr>
                <w:rFonts w:ascii="Verdana" w:eastAsia="Calibri" w:hAnsi="Verdana" w:cs="Arial"/>
                <w:lang w:val="es-ES"/>
              </w:rPr>
              <w:t>. 51.802</w:t>
            </w:r>
          </w:p>
        </w:tc>
      </w:tr>
    </w:tbl>
    <w:p w14:paraId="442B185D" w14:textId="77777777" w:rsidR="009C1766" w:rsidRPr="0047490F" w:rsidRDefault="009C1766" w:rsidP="009C1766">
      <w:pPr>
        <w:widowControl w:val="0"/>
        <w:autoSpaceDE w:val="0"/>
        <w:autoSpaceDN w:val="0"/>
        <w:spacing w:after="0" w:line="276" w:lineRule="auto"/>
        <w:jc w:val="both"/>
        <w:rPr>
          <w:rFonts w:ascii="Verdana" w:eastAsia="Aptos" w:hAnsi="Verdana" w:cs="Arial"/>
        </w:rPr>
      </w:pPr>
    </w:p>
    <w:p w14:paraId="44527BA1" w14:textId="77777777" w:rsidR="009C1766" w:rsidRPr="0047490F" w:rsidRDefault="009C1766" w:rsidP="009C1766">
      <w:pPr>
        <w:widowControl w:val="0"/>
        <w:autoSpaceDE w:val="0"/>
        <w:autoSpaceDN w:val="0"/>
        <w:spacing w:before="1" w:after="0" w:line="240" w:lineRule="auto"/>
        <w:outlineLvl w:val="0"/>
        <w:rPr>
          <w:rFonts w:ascii="Verdana" w:eastAsia="Arial" w:hAnsi="Verdana" w:cs="Arial"/>
          <w:b/>
          <w:bCs/>
          <w:lang w:val="es-ES"/>
        </w:rPr>
      </w:pPr>
      <w:r w:rsidRPr="0047490F">
        <w:rPr>
          <w:rFonts w:ascii="Verdana" w:eastAsia="Arial" w:hAnsi="Verdana" w:cs="Arial"/>
          <w:b/>
          <w:bCs/>
          <w:lang w:val="es-ES"/>
        </w:rPr>
        <w:t>5. Doctrina de la Agencia Nacional de Contratación Pública:</w:t>
      </w:r>
    </w:p>
    <w:p w14:paraId="2B5DB325" w14:textId="77777777" w:rsidR="009C1766" w:rsidRPr="0047490F" w:rsidRDefault="009C1766" w:rsidP="009C1766">
      <w:pPr>
        <w:widowControl w:val="0"/>
        <w:autoSpaceDE w:val="0"/>
        <w:autoSpaceDN w:val="0"/>
        <w:spacing w:after="0" w:line="276" w:lineRule="auto"/>
        <w:jc w:val="both"/>
        <w:rPr>
          <w:rFonts w:ascii="Verdana" w:eastAsia="Aptos" w:hAnsi="Verdana" w:cs="Arial"/>
        </w:rPr>
      </w:pPr>
    </w:p>
    <w:p w14:paraId="44AE5C3F" w14:textId="77777777" w:rsidR="009C1766" w:rsidRPr="0047490F" w:rsidRDefault="009C1766" w:rsidP="009C1766">
      <w:pPr>
        <w:widowControl w:val="0"/>
        <w:autoSpaceDE w:val="0"/>
        <w:autoSpaceDN w:val="0"/>
        <w:spacing w:after="0" w:line="276" w:lineRule="auto"/>
        <w:jc w:val="both"/>
        <w:rPr>
          <w:rFonts w:ascii="Verdana" w:eastAsia="Aptos" w:hAnsi="Verdana" w:cs="Arial"/>
          <w:shd w:val="clear" w:color="auto" w:fill="FFFFFF"/>
          <w:lang w:val="es-ES"/>
        </w:rPr>
      </w:pPr>
      <w:r w:rsidRPr="0047490F">
        <w:rPr>
          <w:rFonts w:ascii="Verdana" w:eastAsia="Aptos" w:hAnsi="Verdana" w:cs="Arial"/>
          <w:shd w:val="clear" w:color="auto" w:fill="FFFFFF"/>
          <w:lang w:val="es-ES"/>
        </w:rPr>
        <w:t xml:space="preserve">Sobre </w:t>
      </w:r>
      <w:r>
        <w:rPr>
          <w:rFonts w:ascii="Verdana" w:eastAsia="Aptos" w:hAnsi="Verdana" w:cs="Arial"/>
          <w:shd w:val="clear" w:color="auto" w:fill="FFFFFF"/>
          <w:lang w:val="es-ES"/>
        </w:rPr>
        <w:t>la obligación de controlar y vigilar la ejecución de los contratos estatales</w:t>
      </w:r>
      <w:r w:rsidRPr="0047490F">
        <w:rPr>
          <w:rFonts w:ascii="Verdana" w:eastAsia="Aptos" w:hAnsi="Verdana" w:cs="Arial"/>
          <w:shd w:val="clear" w:color="auto" w:fill="FFFFFF"/>
          <w:lang w:val="es-ES"/>
        </w:rPr>
        <w:t xml:space="preserve">, esta Subdirección se ha referido en los Conceptos </w:t>
      </w:r>
      <w:r w:rsidRPr="00AB7309">
        <w:rPr>
          <w:rFonts w:ascii="Verdana" w:eastAsia="Calibri" w:hAnsi="Verdana" w:cs="Arial"/>
          <w:lang w:val="es-ES_tradnl" w:eastAsia="es-MX"/>
        </w:rPr>
        <w:t xml:space="preserve">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w:t>
      </w:r>
      <w:r w:rsidRPr="00AB7309">
        <w:rPr>
          <w:rFonts w:ascii="Verdana" w:eastAsia="Calibri" w:hAnsi="Verdana" w:cs="Arial"/>
          <w:lang w:val="es-ES_tradnl" w:eastAsia="es-MX"/>
        </w:rPr>
        <w:lastRenderedPageBreak/>
        <w:t>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47490F">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47490F">
          <w:rPr>
            <w:rStyle w:val="Hipervnculo"/>
            <w:rFonts w:ascii="Verdana" w:eastAsia="Aptos" w:hAnsi="Verdana" w:cs="Arial"/>
            <w:shd w:val="clear" w:color="auto" w:fill="FFFFFF"/>
            <w:lang w:val="es-ES"/>
          </w:rPr>
          <w:t>https://relatoria.colombiacompra.gov.co/</w:t>
        </w:r>
      </w:hyperlink>
      <w:r w:rsidRPr="0047490F">
        <w:rPr>
          <w:rFonts w:ascii="Verdana" w:eastAsia="Aptos" w:hAnsi="Verdana" w:cs="Arial"/>
          <w:shd w:val="clear" w:color="auto" w:fill="FFFFFF"/>
          <w:lang w:val="es-ES"/>
        </w:rPr>
        <w:t xml:space="preserve">. </w:t>
      </w:r>
    </w:p>
    <w:p w14:paraId="7015B380" w14:textId="77777777" w:rsidR="009C1766" w:rsidRPr="0047490F" w:rsidRDefault="009C1766" w:rsidP="009C1766">
      <w:pPr>
        <w:widowControl w:val="0"/>
        <w:autoSpaceDE w:val="0"/>
        <w:autoSpaceDN w:val="0"/>
        <w:spacing w:after="0" w:line="276" w:lineRule="auto"/>
        <w:jc w:val="both"/>
        <w:rPr>
          <w:rFonts w:ascii="Verdana" w:eastAsia="Aptos" w:hAnsi="Verdana" w:cs="Arial"/>
          <w:shd w:val="clear" w:color="auto" w:fill="FFFFFF"/>
          <w:lang w:val="es-ES"/>
        </w:rPr>
      </w:pPr>
    </w:p>
    <w:p w14:paraId="0B9434CF" w14:textId="77777777" w:rsidR="009C1766" w:rsidRPr="0047490F" w:rsidRDefault="009C1766" w:rsidP="009C1766">
      <w:pPr>
        <w:widowControl w:val="0"/>
        <w:autoSpaceDE w:val="0"/>
        <w:autoSpaceDN w:val="0"/>
        <w:spacing w:after="0" w:line="276" w:lineRule="auto"/>
        <w:jc w:val="both"/>
        <w:rPr>
          <w:rFonts w:ascii="Verdana" w:eastAsia="Aptos" w:hAnsi="Verdana" w:cs="Arial"/>
          <w:shd w:val="clear" w:color="auto" w:fill="FFFFFF"/>
          <w:lang w:val="es-ES"/>
        </w:rPr>
      </w:pPr>
      <w:r w:rsidRPr="00510A1F">
        <w:rPr>
          <w:rFonts w:ascii="Verdana" w:eastAsia="Aptos" w:hAnsi="Verdana" w:cs="Arial"/>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5" w:tgtFrame="_blank" w:tooltip="Dirección URL original: https://www.colombiacompra.gov.co/sala-de-prensa/boletin-digital/boletin-de-relatoria-2024-iv. Haga clic o pulse si confía en este vínculo." w:history="1">
        <w:r w:rsidRPr="00510A1F">
          <w:rPr>
            <w:rStyle w:val="Hipervnculo"/>
            <w:rFonts w:ascii="Verdana" w:eastAsia="Aptos" w:hAnsi="Verdana" w:cs="Arial"/>
            <w:shd w:val="clear" w:color="auto" w:fill="FFFFFF"/>
          </w:rPr>
          <w:t>BOLETÍN DE RELATORÍA 2024 – IV | Colombia Compra Eficiente | Agencia Nacional de Contratación Pública</w:t>
        </w:r>
      </w:hyperlink>
    </w:p>
    <w:p w14:paraId="4FBA8DB0" w14:textId="77777777" w:rsidR="009C1766" w:rsidRPr="0047490F" w:rsidRDefault="009C1766" w:rsidP="009C1766">
      <w:pPr>
        <w:widowControl w:val="0"/>
        <w:autoSpaceDE w:val="0"/>
        <w:autoSpaceDN w:val="0"/>
        <w:spacing w:after="0" w:line="276" w:lineRule="auto"/>
        <w:jc w:val="both"/>
        <w:rPr>
          <w:rFonts w:ascii="Verdana" w:eastAsia="Aptos" w:hAnsi="Verdana" w:cs="Arial"/>
          <w:shd w:val="clear" w:color="auto" w:fill="FFFFFF"/>
          <w:lang w:val="es-ES"/>
        </w:rPr>
      </w:pPr>
    </w:p>
    <w:p w14:paraId="42DA8463" w14:textId="77777777" w:rsidR="009C1766" w:rsidRPr="0047490F" w:rsidRDefault="009C1766" w:rsidP="009C1766">
      <w:pPr>
        <w:spacing w:after="0" w:line="240" w:lineRule="auto"/>
        <w:jc w:val="both"/>
        <w:rPr>
          <w:rFonts w:ascii="Verdana" w:eastAsia="Aptos" w:hAnsi="Verdana" w:cs="Times New Roman"/>
        </w:rPr>
      </w:pPr>
      <w:r w:rsidRPr="0047490F">
        <w:rPr>
          <w:rFonts w:ascii="Verdana" w:eastAsia="Aptos" w:hAnsi="Verdana" w:cs="Times New Roman"/>
        </w:rPr>
        <w:t xml:space="preserve">Por último, lo invitamos a seguirnos en las redes sociales en las cuales se difunde información institucional: </w:t>
      </w:r>
    </w:p>
    <w:p w14:paraId="54158F93" w14:textId="77777777" w:rsidR="009C1766" w:rsidRPr="0047490F" w:rsidRDefault="009C1766" w:rsidP="009C1766">
      <w:pPr>
        <w:spacing w:after="0" w:line="240" w:lineRule="auto"/>
        <w:jc w:val="both"/>
        <w:rPr>
          <w:rFonts w:ascii="Verdana" w:eastAsia="Aptos" w:hAnsi="Verdana" w:cs="Times New Roman"/>
        </w:rPr>
      </w:pPr>
    </w:p>
    <w:p w14:paraId="5A31CA6D" w14:textId="77777777" w:rsidR="009C1766" w:rsidRPr="0047490F" w:rsidRDefault="009C1766" w:rsidP="009C1766">
      <w:pPr>
        <w:spacing w:after="0" w:line="240" w:lineRule="auto"/>
        <w:jc w:val="both"/>
        <w:rPr>
          <w:rFonts w:ascii="Verdana" w:eastAsia="Aptos" w:hAnsi="Verdana" w:cs="Times New Roman"/>
        </w:rPr>
      </w:pPr>
      <w:r w:rsidRPr="0047490F">
        <w:rPr>
          <w:rFonts w:ascii="Verdana" w:eastAsia="Aptos" w:hAnsi="Verdana" w:cs="Times New Roman"/>
        </w:rPr>
        <w:t xml:space="preserve">Twitter: </w:t>
      </w:r>
      <w:r w:rsidRPr="0047490F">
        <w:rPr>
          <w:rStyle w:val="Hipervnculo"/>
          <w:rFonts w:ascii="Verdana" w:hAnsi="Verdana" w:cs="Arial"/>
          <w:shd w:val="clear" w:color="auto" w:fill="FFFFFF"/>
          <w:lang w:val="es-ES"/>
        </w:rPr>
        <w:t>@colombiacompra</w:t>
      </w:r>
      <w:r w:rsidRPr="0047490F">
        <w:rPr>
          <w:rFonts w:ascii="Verdana" w:eastAsia="Aptos" w:hAnsi="Verdana" w:cs="Times New Roman"/>
          <w:color w:val="156082"/>
        </w:rPr>
        <w:t xml:space="preserve"> </w:t>
      </w:r>
    </w:p>
    <w:p w14:paraId="432F9123" w14:textId="77777777" w:rsidR="009C1766" w:rsidRPr="0047490F" w:rsidRDefault="009C1766" w:rsidP="009C1766">
      <w:pPr>
        <w:spacing w:after="0" w:line="240" w:lineRule="auto"/>
        <w:jc w:val="both"/>
        <w:rPr>
          <w:rFonts w:ascii="Verdana" w:eastAsia="Aptos" w:hAnsi="Verdana" w:cs="Times New Roman"/>
        </w:rPr>
      </w:pPr>
      <w:r w:rsidRPr="0047490F">
        <w:rPr>
          <w:rFonts w:ascii="Verdana" w:eastAsia="Aptos" w:hAnsi="Verdana" w:cs="Times New Roman"/>
        </w:rPr>
        <w:t xml:space="preserve">Facebook: </w:t>
      </w:r>
      <w:proofErr w:type="spellStart"/>
      <w:r w:rsidRPr="0047490F">
        <w:rPr>
          <w:rStyle w:val="Hipervnculo"/>
          <w:rFonts w:ascii="Verdana" w:hAnsi="Verdana" w:cs="Arial"/>
          <w:shd w:val="clear" w:color="auto" w:fill="FFFFFF"/>
          <w:lang w:val="es-ES"/>
        </w:rPr>
        <w:t>ColombiaCompraEficiente</w:t>
      </w:r>
      <w:proofErr w:type="spellEnd"/>
    </w:p>
    <w:p w14:paraId="12DFC7E1" w14:textId="77777777" w:rsidR="009C1766" w:rsidRPr="0047490F" w:rsidRDefault="009C1766" w:rsidP="009C1766">
      <w:pPr>
        <w:spacing w:after="0" w:line="240" w:lineRule="auto"/>
        <w:jc w:val="both"/>
        <w:rPr>
          <w:rFonts w:ascii="Verdana" w:eastAsia="Aptos" w:hAnsi="Verdana" w:cs="Times New Roman"/>
        </w:rPr>
      </w:pPr>
      <w:r w:rsidRPr="0047490F">
        <w:rPr>
          <w:rFonts w:ascii="Verdana" w:eastAsia="Aptos" w:hAnsi="Verdana" w:cs="Times New Roman"/>
        </w:rPr>
        <w:t xml:space="preserve">LinkedIn: </w:t>
      </w:r>
      <w:r w:rsidRPr="0047490F">
        <w:rPr>
          <w:rStyle w:val="Hipervnculo"/>
          <w:rFonts w:ascii="Verdana" w:hAnsi="Verdana" w:cs="Arial"/>
          <w:shd w:val="clear" w:color="auto" w:fill="FFFFFF"/>
          <w:lang w:val="es-ES"/>
        </w:rPr>
        <w:t>Agencia Nacional de Contratación Pública - Colombia Compra Eficiente</w:t>
      </w:r>
      <w:r w:rsidRPr="0047490F">
        <w:rPr>
          <w:rFonts w:ascii="Verdana" w:eastAsia="Aptos" w:hAnsi="Verdana" w:cs="Times New Roman"/>
          <w:color w:val="156082"/>
        </w:rPr>
        <w:t xml:space="preserve"> </w:t>
      </w:r>
      <w:r w:rsidRPr="0047490F">
        <w:rPr>
          <w:rFonts w:ascii="Verdana" w:eastAsia="Aptos" w:hAnsi="Verdana" w:cs="Times New Roman"/>
        </w:rPr>
        <w:t xml:space="preserve">Instagram: </w:t>
      </w:r>
      <w:r w:rsidRPr="0047490F">
        <w:rPr>
          <w:rStyle w:val="Hipervnculo"/>
          <w:rFonts w:ascii="Verdana" w:hAnsi="Verdana" w:cs="Arial"/>
          <w:shd w:val="clear" w:color="auto" w:fill="FFFFFF"/>
          <w:lang w:val="es-ES"/>
        </w:rPr>
        <w:t>@colombiacompraeficiente_cce</w:t>
      </w:r>
    </w:p>
    <w:p w14:paraId="2E03C640" w14:textId="77777777" w:rsidR="009C1766" w:rsidRPr="0047490F" w:rsidRDefault="009C1766" w:rsidP="009C1766">
      <w:pPr>
        <w:widowControl w:val="0"/>
        <w:autoSpaceDE w:val="0"/>
        <w:autoSpaceDN w:val="0"/>
        <w:spacing w:after="0" w:line="276" w:lineRule="auto"/>
        <w:jc w:val="both"/>
        <w:rPr>
          <w:rFonts w:ascii="Verdana" w:eastAsia="Aptos" w:hAnsi="Verdana" w:cs="Arial"/>
        </w:rPr>
      </w:pPr>
    </w:p>
    <w:p w14:paraId="61D951FA" w14:textId="77777777" w:rsidR="009C1766" w:rsidRPr="0047490F" w:rsidRDefault="009C1766" w:rsidP="009C1766">
      <w:pPr>
        <w:widowControl w:val="0"/>
        <w:autoSpaceDE w:val="0"/>
        <w:autoSpaceDN w:val="0"/>
        <w:spacing w:after="0" w:line="276" w:lineRule="auto"/>
        <w:jc w:val="both"/>
        <w:rPr>
          <w:rFonts w:ascii="Verdana" w:eastAsia="Aptos" w:hAnsi="Verdana" w:cs="Arial"/>
          <w:lang w:val="es-ES_tradnl"/>
        </w:rPr>
      </w:pPr>
      <w:r w:rsidRPr="0047490F">
        <w:rPr>
          <w:rFonts w:ascii="Verdana" w:eastAsia="Aptos" w:hAnsi="Verdana" w:cs="Arial"/>
        </w:rPr>
        <w:t xml:space="preserve">Este concepto tiene el alcance previsto en el artículo 28 del Código de Procedimiento Administrativo y de lo Contencioso Administrativo </w:t>
      </w:r>
      <w:r w:rsidRPr="0047490F">
        <w:rPr>
          <w:rFonts w:ascii="Verdana" w:eastAsia="Aptos" w:hAnsi="Verdana" w:cs="Arial"/>
          <w:lang w:val="es-ES_tradnl"/>
        </w:rPr>
        <w:t>y las expresiones aquí utilizadas con mayúscula inicial deben ser entendidas con el significado que les otorga el artículo 2.2.1.1.1.3.1. del Decreto 1082 de 2015.</w:t>
      </w:r>
    </w:p>
    <w:p w14:paraId="692ABDA8" w14:textId="77777777" w:rsidR="009C1766" w:rsidRPr="0047490F" w:rsidRDefault="009C1766" w:rsidP="009C1766">
      <w:pPr>
        <w:widowControl w:val="0"/>
        <w:autoSpaceDE w:val="0"/>
        <w:autoSpaceDN w:val="0"/>
        <w:spacing w:after="0" w:line="276" w:lineRule="auto"/>
        <w:jc w:val="both"/>
        <w:rPr>
          <w:rFonts w:ascii="Verdana" w:eastAsia="Aptos" w:hAnsi="Verdana" w:cs="Arial"/>
        </w:rPr>
      </w:pPr>
    </w:p>
    <w:p w14:paraId="27BACE11" w14:textId="77777777" w:rsidR="009C1766" w:rsidRPr="0047490F" w:rsidRDefault="009C1766" w:rsidP="009C1766">
      <w:pPr>
        <w:spacing w:after="0" w:line="240" w:lineRule="auto"/>
        <w:rPr>
          <w:rFonts w:ascii="Verdana" w:eastAsia="Aptos" w:hAnsi="Verdana" w:cs="Arial"/>
          <w:lang w:eastAsia="es-CO"/>
        </w:rPr>
      </w:pPr>
      <w:r w:rsidRPr="0047490F">
        <w:rPr>
          <w:rFonts w:ascii="Verdana" w:eastAsia="Times New Roman" w:hAnsi="Verdana" w:cs="Arial"/>
          <w:lang w:eastAsia="es-CO"/>
        </w:rPr>
        <w:t>Atentamente,</w:t>
      </w:r>
      <w:r w:rsidRPr="0047490F">
        <w:rPr>
          <w:rFonts w:ascii="Verdana" w:eastAsia="Aptos" w:hAnsi="Verdana" w:cs="Arial"/>
          <w:lang w:eastAsia="es-CO"/>
        </w:rPr>
        <w:t xml:space="preserve"> </w:t>
      </w:r>
    </w:p>
    <w:p w14:paraId="44803B91" w14:textId="16BF6206" w:rsidR="009C1766" w:rsidRPr="0047490F" w:rsidRDefault="002D4D3B" w:rsidP="009C1766">
      <w:pPr>
        <w:spacing w:line="276" w:lineRule="auto"/>
        <w:jc w:val="center"/>
        <w:rPr>
          <w:rFonts w:ascii="Verdana" w:eastAsia="Aptos" w:hAnsi="Verdana" w:cs="Arial"/>
          <w:lang w:val="es-ES_tradnl" w:eastAsia="es-CO"/>
        </w:rPr>
      </w:pPr>
      <w:r w:rsidRPr="002D4D3B">
        <w:rPr>
          <w:rFonts w:ascii="Verdana" w:eastAsia="Aptos" w:hAnsi="Verdana" w:cs="Arial"/>
          <w:noProof/>
          <w:lang w:eastAsia="es-CO"/>
        </w:rPr>
        <w:lastRenderedPageBreak/>
        <w:drawing>
          <wp:inline distT="0" distB="0" distL="0" distR="0" wp14:anchorId="748CD315" wp14:editId="2DB617E9">
            <wp:extent cx="3771900" cy="1400175"/>
            <wp:effectExtent l="0" t="0" r="0" b="9525"/>
            <wp:docPr id="8406615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2D4D3B">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9C1766" w:rsidRPr="0047490F" w14:paraId="5FE5DDBF" w14:textId="77777777" w:rsidTr="00390161">
        <w:trPr>
          <w:trHeight w:val="286"/>
        </w:trPr>
        <w:tc>
          <w:tcPr>
            <w:tcW w:w="901" w:type="dxa"/>
            <w:vAlign w:val="center"/>
            <w:hideMark/>
          </w:tcPr>
          <w:p w14:paraId="0679F7E8" w14:textId="77777777" w:rsidR="009C1766" w:rsidRPr="0047490F" w:rsidRDefault="009C1766" w:rsidP="00390161">
            <w:pPr>
              <w:rPr>
                <w:rFonts w:ascii="Verdana" w:eastAsia="Aptos" w:hAnsi="Verdana" w:cs="Arial"/>
                <w:sz w:val="14"/>
                <w:szCs w:val="14"/>
                <w:lang w:eastAsia="es-ES"/>
              </w:rPr>
            </w:pPr>
            <w:r w:rsidRPr="0047490F">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102824AC" w14:textId="77777777" w:rsidR="009C1766" w:rsidRPr="0047490F" w:rsidRDefault="009C1766" w:rsidP="00390161">
            <w:pPr>
              <w:rPr>
                <w:rFonts w:ascii="Verdana" w:eastAsia="Aptos" w:hAnsi="Verdana" w:cs="Arial"/>
                <w:sz w:val="14"/>
                <w:szCs w:val="14"/>
                <w:lang w:eastAsia="es-ES"/>
              </w:rPr>
            </w:pPr>
            <w:r w:rsidRPr="0047490F">
              <w:rPr>
                <w:rFonts w:ascii="Verdana" w:eastAsia="Aptos" w:hAnsi="Verdana" w:cs="Arial"/>
                <w:sz w:val="14"/>
                <w:szCs w:val="14"/>
                <w:lang w:eastAsia="es-ES"/>
              </w:rPr>
              <w:t>Nasly Yeana Mosquera Rivas</w:t>
            </w:r>
          </w:p>
          <w:p w14:paraId="6F13A676" w14:textId="77777777" w:rsidR="009C1766" w:rsidRPr="0047490F" w:rsidRDefault="009C1766" w:rsidP="00390161">
            <w:pPr>
              <w:rPr>
                <w:rFonts w:ascii="Verdana" w:eastAsia="Aptos" w:hAnsi="Verdana" w:cs="Arial"/>
                <w:sz w:val="14"/>
                <w:szCs w:val="14"/>
                <w:lang w:eastAsia="es-ES"/>
              </w:rPr>
            </w:pPr>
            <w:r w:rsidRPr="0047490F">
              <w:rPr>
                <w:rFonts w:ascii="Verdana" w:eastAsia="Aptos" w:hAnsi="Verdana" w:cs="Arial"/>
                <w:sz w:val="14"/>
                <w:szCs w:val="14"/>
                <w:lang w:eastAsia="es-ES"/>
              </w:rPr>
              <w:t>Analista T2–06 de la Subdirección de Gestión Contractual</w:t>
            </w:r>
          </w:p>
        </w:tc>
      </w:tr>
      <w:tr w:rsidR="009C1766" w:rsidRPr="0047490F" w14:paraId="7FD6D05A" w14:textId="77777777" w:rsidTr="00390161">
        <w:trPr>
          <w:trHeight w:val="299"/>
        </w:trPr>
        <w:tc>
          <w:tcPr>
            <w:tcW w:w="901" w:type="dxa"/>
            <w:vAlign w:val="center"/>
          </w:tcPr>
          <w:p w14:paraId="1078E359" w14:textId="77777777" w:rsidR="009C1766" w:rsidRPr="0047490F" w:rsidRDefault="009C1766" w:rsidP="00390161">
            <w:pPr>
              <w:rPr>
                <w:rFonts w:ascii="Verdana" w:eastAsia="Aptos" w:hAnsi="Verdana" w:cs="Arial"/>
                <w:sz w:val="14"/>
                <w:szCs w:val="14"/>
                <w:lang w:eastAsia="es-ES"/>
              </w:rPr>
            </w:pPr>
            <w:r w:rsidRPr="0047490F">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08B68395" w14:textId="77777777" w:rsidR="009C1766" w:rsidRPr="0047490F" w:rsidRDefault="009C1766" w:rsidP="00390161">
            <w:pPr>
              <w:rPr>
                <w:rFonts w:ascii="Verdana" w:eastAsia="Aptos" w:hAnsi="Verdana" w:cs="Arial"/>
                <w:sz w:val="14"/>
                <w:szCs w:val="14"/>
                <w:lang w:eastAsia="es-ES"/>
              </w:rPr>
            </w:pPr>
            <w:r>
              <w:rPr>
                <w:rFonts w:ascii="Verdana" w:eastAsia="Aptos" w:hAnsi="Verdana" w:cs="Arial"/>
                <w:sz w:val="14"/>
                <w:szCs w:val="14"/>
                <w:lang w:eastAsia="es-ES"/>
              </w:rPr>
              <w:t>Ximeno Ríos López</w:t>
            </w:r>
          </w:p>
          <w:p w14:paraId="5CE2B216" w14:textId="77777777" w:rsidR="009C1766" w:rsidRPr="0047490F" w:rsidRDefault="009C1766" w:rsidP="00390161">
            <w:pPr>
              <w:rPr>
                <w:rFonts w:ascii="Verdana" w:eastAsia="Aptos" w:hAnsi="Verdana" w:cs="Arial"/>
                <w:sz w:val="14"/>
                <w:szCs w:val="14"/>
                <w:lang w:eastAsia="es-ES"/>
              </w:rPr>
            </w:pPr>
            <w:r>
              <w:rPr>
                <w:rFonts w:ascii="Verdana" w:eastAsia="Aptos" w:hAnsi="Verdana" w:cs="Arial"/>
                <w:sz w:val="14"/>
                <w:szCs w:val="14"/>
                <w:lang w:eastAsia="es-ES"/>
              </w:rPr>
              <w:t>Gestor T1 - 11</w:t>
            </w:r>
            <w:r w:rsidRPr="0047490F">
              <w:rPr>
                <w:rFonts w:ascii="Verdana" w:eastAsia="Aptos" w:hAnsi="Verdana" w:cs="Arial"/>
                <w:sz w:val="14"/>
                <w:szCs w:val="14"/>
                <w:lang w:eastAsia="es-ES"/>
              </w:rPr>
              <w:t xml:space="preserve"> de la Subdirección de Gestión Contractual</w:t>
            </w:r>
          </w:p>
        </w:tc>
      </w:tr>
      <w:tr w:rsidR="009C1766" w:rsidRPr="0047490F" w14:paraId="6621DBEF" w14:textId="77777777" w:rsidTr="00390161">
        <w:trPr>
          <w:trHeight w:val="272"/>
        </w:trPr>
        <w:tc>
          <w:tcPr>
            <w:tcW w:w="901" w:type="dxa"/>
            <w:vAlign w:val="center"/>
            <w:hideMark/>
          </w:tcPr>
          <w:p w14:paraId="6F040F25" w14:textId="77777777" w:rsidR="009C1766" w:rsidRPr="0047490F" w:rsidRDefault="009C1766" w:rsidP="00390161">
            <w:pPr>
              <w:rPr>
                <w:rFonts w:ascii="Verdana" w:eastAsia="Aptos" w:hAnsi="Verdana" w:cs="Arial"/>
                <w:sz w:val="14"/>
                <w:szCs w:val="14"/>
                <w:lang w:eastAsia="es-ES"/>
              </w:rPr>
            </w:pPr>
            <w:r w:rsidRPr="0047490F">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09C5E16D" w14:textId="77777777" w:rsidR="009C1766" w:rsidRPr="0047490F" w:rsidRDefault="009C1766" w:rsidP="00390161">
            <w:pPr>
              <w:rPr>
                <w:rFonts w:ascii="Verdana" w:eastAsia="Aptos" w:hAnsi="Verdana" w:cs="Arial"/>
                <w:sz w:val="14"/>
                <w:szCs w:val="14"/>
                <w:lang w:eastAsia="es-ES"/>
              </w:rPr>
            </w:pPr>
            <w:r w:rsidRPr="0047490F">
              <w:rPr>
                <w:rFonts w:ascii="Verdana" w:eastAsia="Aptos" w:hAnsi="Verdana" w:cs="Arial"/>
                <w:sz w:val="14"/>
                <w:szCs w:val="14"/>
                <w:lang w:eastAsia="es-ES"/>
              </w:rPr>
              <w:t>Carolina Quintero Gacharná</w:t>
            </w:r>
          </w:p>
          <w:p w14:paraId="0765C421" w14:textId="77777777" w:rsidR="009C1766" w:rsidRPr="0047490F" w:rsidRDefault="009C1766" w:rsidP="00390161">
            <w:pPr>
              <w:rPr>
                <w:rFonts w:ascii="Verdana" w:eastAsia="Aptos" w:hAnsi="Verdana" w:cs="Arial"/>
                <w:sz w:val="14"/>
                <w:szCs w:val="14"/>
                <w:lang w:eastAsia="es-ES"/>
              </w:rPr>
            </w:pPr>
            <w:r w:rsidRPr="0047490F">
              <w:rPr>
                <w:rFonts w:ascii="Verdana" w:eastAsia="Aptos" w:hAnsi="Verdana" w:cs="Arial"/>
                <w:sz w:val="14"/>
                <w:szCs w:val="14"/>
                <w:lang w:eastAsia="es-ES"/>
              </w:rPr>
              <w:t>Subdirectora de Gestión Contractual ANCP – CCE</w:t>
            </w:r>
          </w:p>
        </w:tc>
      </w:tr>
    </w:tbl>
    <w:p w14:paraId="3BFF57A3" w14:textId="77777777" w:rsidR="009C1766" w:rsidRPr="0047490F" w:rsidRDefault="009C1766" w:rsidP="009C1766">
      <w:pPr>
        <w:spacing w:after="0" w:line="240" w:lineRule="auto"/>
        <w:rPr>
          <w:rFonts w:ascii="Verdana" w:eastAsia="Times New Roman" w:hAnsi="Verdana" w:cs="Arial"/>
          <w:sz w:val="24"/>
          <w:szCs w:val="24"/>
          <w:lang w:eastAsia="es-ES"/>
        </w:rPr>
      </w:pPr>
    </w:p>
    <w:p w14:paraId="4DD1CCB3" w14:textId="77777777" w:rsidR="009C1766" w:rsidRPr="0047490F" w:rsidRDefault="009C1766" w:rsidP="009C1766">
      <w:pPr>
        <w:rPr>
          <w:rFonts w:ascii="Verdana" w:eastAsia="Aptos" w:hAnsi="Verdana" w:cs="Times New Roman"/>
        </w:rPr>
      </w:pPr>
    </w:p>
    <w:p w14:paraId="04A6C99F" w14:textId="77777777" w:rsidR="009C1766" w:rsidRPr="0047490F" w:rsidRDefault="009C1766" w:rsidP="009C1766">
      <w:pPr>
        <w:rPr>
          <w:rFonts w:ascii="Verdana" w:hAnsi="Verdana"/>
        </w:rPr>
      </w:pPr>
    </w:p>
    <w:p w14:paraId="528C0444" w14:textId="77777777" w:rsidR="009C1766" w:rsidRDefault="009C1766"/>
    <w:sectPr w:rsidR="009C1766" w:rsidSect="009C1766">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6BC963" w14:textId="77777777" w:rsidR="009C1766" w:rsidRDefault="009C1766" w:rsidP="009C1766">
      <w:pPr>
        <w:spacing w:after="0" w:line="240" w:lineRule="auto"/>
      </w:pPr>
      <w:r>
        <w:separator/>
      </w:r>
    </w:p>
  </w:endnote>
  <w:endnote w:type="continuationSeparator" w:id="0">
    <w:p w14:paraId="0F8E753B" w14:textId="77777777" w:rsidR="009C1766" w:rsidRDefault="009C1766" w:rsidP="009C1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E5EB24" w14:textId="77777777" w:rsidR="0023120E" w:rsidRDefault="0023120E">
    <w:pPr>
      <w:pStyle w:val="Piedepgina"/>
    </w:pPr>
  </w:p>
  <w:p w14:paraId="607A7F58" w14:textId="77777777" w:rsidR="0023120E" w:rsidRPr="00174B77" w:rsidRDefault="0023120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67446CF" w14:textId="77777777" w:rsidR="0023120E" w:rsidRDefault="0023120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5CD45FF" w14:textId="77777777" w:rsidR="0023120E" w:rsidRPr="00E41027" w:rsidRDefault="0023120E" w:rsidP="00D520D8">
    <w:pPr>
      <w:spacing w:after="0"/>
      <w:jc w:val="both"/>
      <w:rPr>
        <w:rFonts w:ascii="Verdana" w:hAnsi="Verdana"/>
        <w:sz w:val="18"/>
        <w:szCs w:val="18"/>
      </w:rPr>
    </w:pPr>
    <w:r w:rsidRPr="00E41027">
      <w:rPr>
        <w:rFonts w:ascii="Verdana" w:hAnsi="Verdana"/>
        <w:sz w:val="18"/>
        <w:szCs w:val="18"/>
      </w:rPr>
      <w:t>Mesa de servicio: (+57) 601 7456788</w:t>
    </w:r>
  </w:p>
  <w:p w14:paraId="6F031675" w14:textId="77777777" w:rsidR="0023120E" w:rsidRDefault="0023120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C9E582" w14:textId="77777777" w:rsidR="009C1766" w:rsidRDefault="009C1766" w:rsidP="009C1766">
      <w:pPr>
        <w:spacing w:after="0" w:line="240" w:lineRule="auto"/>
      </w:pPr>
      <w:r>
        <w:separator/>
      </w:r>
    </w:p>
  </w:footnote>
  <w:footnote w:type="continuationSeparator" w:id="0">
    <w:p w14:paraId="766FF7D4" w14:textId="77777777" w:rsidR="009C1766" w:rsidRDefault="009C1766" w:rsidP="009C1766">
      <w:pPr>
        <w:spacing w:after="0" w:line="240" w:lineRule="auto"/>
      </w:pPr>
      <w:r>
        <w:continuationSeparator/>
      </w:r>
    </w:p>
  </w:footnote>
  <w:footnote w:id="1">
    <w:p w14:paraId="5251B9F7" w14:textId="77777777" w:rsidR="009C1766" w:rsidRPr="00916DF1" w:rsidRDefault="009C1766" w:rsidP="009C1766">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17 de la Ley 1150 de 2007</w:t>
      </w:r>
    </w:p>
    <w:p w14:paraId="245807A2" w14:textId="77777777" w:rsidR="009C1766" w:rsidRPr="00916DF1" w:rsidRDefault="009C1766" w:rsidP="009C1766">
      <w:pPr>
        <w:pStyle w:val="Textonotapie"/>
        <w:ind w:firstLine="708"/>
        <w:jc w:val="both"/>
        <w:rPr>
          <w:rFonts w:ascii="Verdana" w:hAnsi="Verdana"/>
          <w:sz w:val="16"/>
          <w:szCs w:val="16"/>
          <w:lang w:val="es-CO"/>
        </w:rPr>
      </w:pPr>
    </w:p>
  </w:footnote>
  <w:footnote w:id="2">
    <w:p w14:paraId="60298F97" w14:textId="77777777" w:rsidR="009C1766" w:rsidRPr="00916DF1" w:rsidRDefault="009C1766" w:rsidP="009C1766">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21 de la Ley 1150 de 2007</w:t>
      </w:r>
    </w:p>
    <w:p w14:paraId="35768779" w14:textId="77777777" w:rsidR="009C1766" w:rsidRPr="00916DF1" w:rsidRDefault="009C1766" w:rsidP="009C1766">
      <w:pPr>
        <w:pStyle w:val="Textonotapie"/>
        <w:ind w:firstLine="708"/>
        <w:jc w:val="both"/>
        <w:rPr>
          <w:rFonts w:ascii="Verdana" w:hAnsi="Verdana"/>
          <w:sz w:val="16"/>
          <w:szCs w:val="16"/>
          <w:lang w:val="es-CO"/>
        </w:rPr>
      </w:pPr>
    </w:p>
  </w:footnote>
  <w:footnote w:id="3">
    <w:p w14:paraId="1F37EADA" w14:textId="77777777" w:rsidR="009C1766" w:rsidRPr="00916DF1" w:rsidRDefault="009C1766" w:rsidP="009C1766">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Artículos 83 a 86 de la Ley 1474 de 2011</w:t>
      </w:r>
    </w:p>
    <w:p w14:paraId="3F396205" w14:textId="77777777" w:rsidR="009C1766" w:rsidRPr="00916DF1" w:rsidRDefault="009C1766" w:rsidP="009C1766">
      <w:pPr>
        <w:pStyle w:val="Textonotapie"/>
        <w:ind w:firstLine="708"/>
        <w:jc w:val="both"/>
        <w:rPr>
          <w:rFonts w:ascii="Verdana" w:hAnsi="Verdana"/>
          <w:sz w:val="16"/>
          <w:szCs w:val="16"/>
          <w:lang w:val="es-CO"/>
        </w:rPr>
      </w:pPr>
    </w:p>
  </w:footnote>
  <w:footnote w:id="4">
    <w:p w14:paraId="177235D5" w14:textId="77777777" w:rsidR="009C1766" w:rsidRPr="00916DF1" w:rsidRDefault="009C1766" w:rsidP="009C1766">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Consejo de Estado. Sección 3ª. Sentencia del 27 de noviembre de 2017. M.P. Jaime Orlando</w:t>
      </w:r>
    </w:p>
    <w:p w14:paraId="1387E1F5" w14:textId="77777777" w:rsidR="009C1766" w:rsidRPr="00916DF1" w:rsidRDefault="009C1766" w:rsidP="009C1766">
      <w:pPr>
        <w:pStyle w:val="Textonotapie"/>
        <w:jc w:val="both"/>
        <w:rPr>
          <w:rFonts w:ascii="Verdana" w:hAnsi="Verdana"/>
          <w:sz w:val="16"/>
          <w:szCs w:val="16"/>
        </w:rPr>
      </w:pPr>
      <w:r w:rsidRPr="00916DF1">
        <w:rPr>
          <w:rFonts w:ascii="Verdana" w:hAnsi="Verdana"/>
          <w:sz w:val="16"/>
          <w:szCs w:val="16"/>
        </w:rPr>
        <w:t>Santofimio. Exp. 51.802</w:t>
      </w:r>
    </w:p>
    <w:p w14:paraId="5EF4229C" w14:textId="77777777" w:rsidR="009C1766" w:rsidRPr="00916DF1" w:rsidRDefault="009C1766" w:rsidP="009C1766">
      <w:pPr>
        <w:pStyle w:val="Textonotapie"/>
        <w:jc w:val="both"/>
        <w:rPr>
          <w:rFonts w:ascii="Verdana" w:hAnsi="Verdana"/>
          <w:sz w:val="16"/>
          <w:szCs w:val="16"/>
          <w:lang w:val="es-CO"/>
        </w:rPr>
      </w:pPr>
    </w:p>
  </w:footnote>
  <w:footnote w:id="5">
    <w:p w14:paraId="56E093C3" w14:textId="77777777" w:rsidR="009C1766" w:rsidRPr="00916DF1" w:rsidRDefault="009C1766" w:rsidP="009C1766">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83 de la Ley 1474 de 2011</w:t>
      </w:r>
    </w:p>
    <w:p w14:paraId="0091788F" w14:textId="77777777" w:rsidR="009C1766" w:rsidRPr="00916DF1" w:rsidRDefault="009C1766" w:rsidP="009C1766">
      <w:pPr>
        <w:pStyle w:val="Textonotapie"/>
        <w:ind w:firstLine="708"/>
        <w:jc w:val="both"/>
        <w:rPr>
          <w:rFonts w:ascii="Verdana" w:hAnsi="Verdana"/>
          <w:sz w:val="16"/>
          <w:szCs w:val="16"/>
          <w:lang w:val="es-CO"/>
        </w:rPr>
      </w:pPr>
    </w:p>
  </w:footnote>
  <w:footnote w:id="6">
    <w:p w14:paraId="67CABBD2" w14:textId="77777777" w:rsidR="009C1766" w:rsidRPr="00916DF1" w:rsidRDefault="009C1766" w:rsidP="009C1766">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 excepción de la interventoría del contrato de obra adjudicado por licitación pública que es</w:t>
      </w:r>
    </w:p>
    <w:p w14:paraId="67945821" w14:textId="77777777" w:rsidR="009C1766" w:rsidRPr="00916DF1" w:rsidRDefault="009C1766" w:rsidP="009C1766">
      <w:pPr>
        <w:pStyle w:val="Textonotapie"/>
        <w:ind w:firstLine="708"/>
        <w:jc w:val="both"/>
        <w:rPr>
          <w:rFonts w:ascii="Verdana" w:hAnsi="Verdana"/>
          <w:sz w:val="16"/>
          <w:szCs w:val="16"/>
          <w:lang w:val="es-CO"/>
        </w:rPr>
      </w:pPr>
      <w:r w:rsidRPr="00916DF1">
        <w:rPr>
          <w:rFonts w:ascii="Verdana" w:hAnsi="Verdana"/>
          <w:sz w:val="16"/>
          <w:szCs w:val="16"/>
        </w:rPr>
        <w:t>obligatoria según el numeral 1° del artículo 32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5E46C" w14:textId="77777777" w:rsidR="0023120E" w:rsidRDefault="0023120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89819CF" wp14:editId="5E23050C">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08577F4" wp14:editId="1B576FE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A18D56F" w14:textId="77777777" w:rsidR="0023120E" w:rsidRDefault="0023120E">
    <w:pPr>
      <w:pStyle w:val="Encabezado"/>
    </w:pPr>
  </w:p>
  <w:p w14:paraId="45C0C0C4" w14:textId="77777777" w:rsidR="0023120E" w:rsidRDefault="0023120E" w:rsidP="004A305D">
    <w:pPr>
      <w:spacing w:after="0"/>
      <w:rPr>
        <w:rFonts w:ascii="Verdana" w:hAnsi="Verdana"/>
        <w:b/>
        <w:bCs/>
      </w:rPr>
    </w:pPr>
  </w:p>
  <w:p w14:paraId="0EAFF6F3" w14:textId="77777777" w:rsidR="0023120E" w:rsidRPr="004A305D" w:rsidRDefault="0023120E" w:rsidP="00B01B1A">
    <w:pPr>
      <w:spacing w:after="0" w:line="120" w:lineRule="auto"/>
      <w:rPr>
        <w:rFonts w:ascii="Century Gothic" w:eastAsia="Geo" w:hAnsi="Century Gothic" w:cs="Geo"/>
        <w:sz w:val="16"/>
        <w:szCs w:val="16"/>
        <w:lang w:eastAsia="es-CO"/>
      </w:rPr>
    </w:pPr>
  </w:p>
  <w:p w14:paraId="0FA1704B" w14:textId="77777777" w:rsidR="0023120E" w:rsidRDefault="0023120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766"/>
    <w:rsid w:val="0023120E"/>
    <w:rsid w:val="002D4D3B"/>
    <w:rsid w:val="00495502"/>
    <w:rsid w:val="00530CBA"/>
    <w:rsid w:val="008C2D3E"/>
    <w:rsid w:val="008E0C3F"/>
    <w:rsid w:val="009C17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2E84"/>
  <w15:chartTrackingRefBased/>
  <w15:docId w15:val="{66EC8B08-D89A-41EE-B266-3F522067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766"/>
    <w:pPr>
      <w:spacing w:line="259" w:lineRule="auto"/>
    </w:pPr>
    <w:rPr>
      <w:kern w:val="0"/>
      <w:sz w:val="22"/>
      <w:szCs w:val="22"/>
      <w14:ligatures w14:val="none"/>
    </w:rPr>
  </w:style>
  <w:style w:type="paragraph" w:styleId="Ttulo1">
    <w:name w:val="heading 1"/>
    <w:basedOn w:val="Normal"/>
    <w:next w:val="Normal"/>
    <w:link w:val="Ttulo1Car"/>
    <w:uiPriority w:val="9"/>
    <w:qFormat/>
    <w:rsid w:val="009C1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1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17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17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17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17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17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17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17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17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C17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C17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C17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C17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C17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17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17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1766"/>
    <w:rPr>
      <w:rFonts w:eastAsiaTheme="majorEastAsia" w:cstheme="majorBidi"/>
      <w:color w:val="272727" w:themeColor="text1" w:themeTint="D8"/>
    </w:rPr>
  </w:style>
  <w:style w:type="paragraph" w:styleId="Ttulo">
    <w:name w:val="Title"/>
    <w:basedOn w:val="Normal"/>
    <w:next w:val="Normal"/>
    <w:link w:val="TtuloCar"/>
    <w:uiPriority w:val="10"/>
    <w:qFormat/>
    <w:rsid w:val="009C1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17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17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17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1766"/>
    <w:pPr>
      <w:spacing w:before="160"/>
      <w:jc w:val="center"/>
    </w:pPr>
    <w:rPr>
      <w:i/>
      <w:iCs/>
      <w:color w:val="404040" w:themeColor="text1" w:themeTint="BF"/>
    </w:rPr>
  </w:style>
  <w:style w:type="character" w:customStyle="1" w:styleId="CitaCar">
    <w:name w:val="Cita Car"/>
    <w:basedOn w:val="Fuentedeprrafopredeter"/>
    <w:link w:val="Cita"/>
    <w:uiPriority w:val="29"/>
    <w:rsid w:val="009C1766"/>
    <w:rPr>
      <w:i/>
      <w:iCs/>
      <w:color w:val="404040" w:themeColor="text1" w:themeTint="BF"/>
    </w:rPr>
  </w:style>
  <w:style w:type="paragraph" w:styleId="Prrafodelista">
    <w:name w:val="List Paragraph"/>
    <w:basedOn w:val="Normal"/>
    <w:uiPriority w:val="34"/>
    <w:qFormat/>
    <w:rsid w:val="009C1766"/>
    <w:pPr>
      <w:ind w:left="720"/>
      <w:contextualSpacing/>
    </w:pPr>
  </w:style>
  <w:style w:type="character" w:styleId="nfasisintenso">
    <w:name w:val="Intense Emphasis"/>
    <w:basedOn w:val="Fuentedeprrafopredeter"/>
    <w:uiPriority w:val="21"/>
    <w:qFormat/>
    <w:rsid w:val="009C1766"/>
    <w:rPr>
      <w:i/>
      <w:iCs/>
      <w:color w:val="0F4761" w:themeColor="accent1" w:themeShade="BF"/>
    </w:rPr>
  </w:style>
  <w:style w:type="paragraph" w:styleId="Citadestacada">
    <w:name w:val="Intense Quote"/>
    <w:basedOn w:val="Normal"/>
    <w:next w:val="Normal"/>
    <w:link w:val="CitadestacadaCar"/>
    <w:uiPriority w:val="30"/>
    <w:qFormat/>
    <w:rsid w:val="009C1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1766"/>
    <w:rPr>
      <w:i/>
      <w:iCs/>
      <w:color w:val="0F4761" w:themeColor="accent1" w:themeShade="BF"/>
    </w:rPr>
  </w:style>
  <w:style w:type="character" w:styleId="Referenciaintensa">
    <w:name w:val="Intense Reference"/>
    <w:basedOn w:val="Fuentedeprrafopredeter"/>
    <w:uiPriority w:val="32"/>
    <w:qFormat/>
    <w:rsid w:val="009C1766"/>
    <w:rPr>
      <w:b/>
      <w:bCs/>
      <w:smallCaps/>
      <w:color w:val="0F4761" w:themeColor="accent1" w:themeShade="BF"/>
      <w:spacing w:val="5"/>
    </w:rPr>
  </w:style>
  <w:style w:type="paragraph" w:styleId="Encabezado">
    <w:name w:val="header"/>
    <w:basedOn w:val="Normal"/>
    <w:link w:val="EncabezadoCar"/>
    <w:uiPriority w:val="99"/>
    <w:unhideWhenUsed/>
    <w:rsid w:val="009C17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1766"/>
    <w:rPr>
      <w:kern w:val="0"/>
      <w:sz w:val="22"/>
      <w:szCs w:val="22"/>
      <w14:ligatures w14:val="none"/>
    </w:rPr>
  </w:style>
  <w:style w:type="paragraph" w:styleId="Piedepgina">
    <w:name w:val="footer"/>
    <w:basedOn w:val="Normal"/>
    <w:link w:val="PiedepginaCar"/>
    <w:uiPriority w:val="99"/>
    <w:unhideWhenUsed/>
    <w:rsid w:val="009C17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1766"/>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C176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C176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C176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C1766"/>
    <w:rPr>
      <w:vertAlign w:val="superscript"/>
    </w:rPr>
  </w:style>
  <w:style w:type="table" w:styleId="Tablaconcuadrcula">
    <w:name w:val="Table Grid"/>
    <w:basedOn w:val="Tablanormal"/>
    <w:uiPriority w:val="39"/>
    <w:qFormat/>
    <w:rsid w:val="009C17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C1766"/>
    <w:rPr>
      <w:color w:val="0000FF"/>
      <w:u w:val="single"/>
    </w:rPr>
  </w:style>
  <w:style w:type="paragraph" w:customStyle="1" w:styleId="Appelnotedebasde">
    <w:name w:val="Appel note de bas de..."/>
    <w:basedOn w:val="Normal"/>
    <w:link w:val="Refdenotaalpie"/>
    <w:uiPriority w:val="99"/>
    <w:rsid w:val="009C1766"/>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9C17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mogollon20@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2Fboletin-de-relatoria-2024-iv&amp;data=05%7C02%7Cnasly.mosquera%40colombiacompra.gov.co%7C616b83c3423e4d31151908dce489c00d%7C7b09041e245149d08cb179d5e3d8c1be%7C0%7C0%7C638636527545461409%7CUnknown%7CTWFpbGZsb3d8eyJWIjoiMC4wLjAwMDAiLCJQIjoiV2luMzIiLCJBTiI6Ik1haWwiLCJXVCI6Mn0%3D%7C0%7C%7C%7C&amp;sdata=MPR5YM43ByFwtUMFFN%2BFiOjKoWHC%2FUTPmiDLqlVN4AM%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EA8A1C-C50B-4EF4-BFD1-85F870F3156D}">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C6400F8A-DF8E-4D52-9583-25F30EFC4B58}">
  <ds:schemaRefs>
    <ds:schemaRef ds:uri="http://schemas.microsoft.com/sharepoint/v3/contenttype/forms"/>
  </ds:schemaRefs>
</ds:datastoreItem>
</file>

<file path=customXml/itemProps3.xml><?xml version="1.0" encoding="utf-8"?>
<ds:datastoreItem xmlns:ds="http://schemas.openxmlformats.org/officeDocument/2006/customXml" ds:itemID="{2886468B-0575-499C-A16B-78D343EC6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2722</Words>
  <Characters>14973</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2024-10-08T00:38:00Z</dcterms:created>
  <dcterms:modified xsi:type="dcterms:W3CDTF">2024-10-08T00:38:00Z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