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36EED" w14:textId="77777777" w:rsidR="00986EBC" w:rsidRPr="00552607" w:rsidRDefault="00986EBC" w:rsidP="00986EBC">
      <w:pPr>
        <w:spacing w:after="0" w:line="240" w:lineRule="auto"/>
        <w:jc w:val="both"/>
        <w:rPr>
          <w:rFonts w:ascii="Verdana" w:eastAsia="Calibri" w:hAnsi="Verdana" w:cs="Arial"/>
          <w:b/>
          <w:bCs/>
          <w:lang w:val="es-ES_tradnl" w:eastAsia="es-ES_tradnl"/>
        </w:rPr>
      </w:pPr>
      <w:r w:rsidRPr="00552607">
        <w:rPr>
          <w:rFonts w:ascii="Verdana" w:eastAsia="Calibri" w:hAnsi="Verdana" w:cs="Arial"/>
          <w:b/>
          <w:bCs/>
          <w:lang w:val="es-ES_tradnl" w:eastAsia="es-ES_tradnl"/>
        </w:rPr>
        <w:t xml:space="preserve">CONVOCATORIAS LIMITADAS A MIPYMES – Requisitos – Artículo 2.2.1.2.4.2.2 </w:t>
      </w:r>
      <w:r>
        <w:rPr>
          <w:rFonts w:ascii="Verdana" w:eastAsia="Calibri" w:hAnsi="Verdana" w:cs="Arial"/>
          <w:b/>
          <w:bCs/>
          <w:lang w:val="es-ES_tradnl" w:eastAsia="es-ES_tradnl"/>
        </w:rPr>
        <w:t>–</w:t>
      </w:r>
      <w:r w:rsidRPr="00552607">
        <w:rPr>
          <w:rFonts w:ascii="Verdana" w:eastAsia="Calibri" w:hAnsi="Verdana" w:cs="Arial"/>
          <w:b/>
          <w:bCs/>
          <w:lang w:val="es-ES_tradnl" w:eastAsia="es-ES_tradnl"/>
        </w:rPr>
        <w:t xml:space="preserve"> Decreto 1082 de 2015 </w:t>
      </w:r>
    </w:p>
    <w:p w14:paraId="3B632DB9" w14:textId="77777777" w:rsidR="00986EBC" w:rsidRPr="00186D09" w:rsidRDefault="00986EBC" w:rsidP="00986EBC">
      <w:pPr>
        <w:spacing w:after="0" w:line="240" w:lineRule="auto"/>
        <w:jc w:val="both"/>
        <w:rPr>
          <w:rFonts w:ascii="Verdana" w:eastAsia="Calibri" w:hAnsi="Verdana" w:cs="Arial"/>
          <w:b/>
          <w:bCs/>
          <w:sz w:val="20"/>
          <w:szCs w:val="20"/>
          <w:highlight w:val="yellow"/>
          <w:lang w:val="es-ES_tradnl" w:eastAsia="es-ES_tradnl"/>
        </w:rPr>
      </w:pPr>
    </w:p>
    <w:p w14:paraId="66DDF1D0" w14:textId="77777777" w:rsidR="00986EBC" w:rsidRPr="00552607" w:rsidRDefault="00986EBC" w:rsidP="00986EBC">
      <w:pPr>
        <w:spacing w:after="0" w:line="240" w:lineRule="auto"/>
        <w:jc w:val="both"/>
        <w:rPr>
          <w:rFonts w:ascii="Verdana" w:eastAsia="Aptos" w:hAnsi="Verdana" w:cs="Times New Roman"/>
          <w:sz w:val="20"/>
          <w:szCs w:val="20"/>
        </w:rPr>
      </w:pPr>
      <w:r w:rsidRPr="00552607">
        <w:rPr>
          <w:rFonts w:ascii="Verdana" w:eastAsia="Aptos" w:hAnsi="Verdana" w:cs="Times New Roman"/>
          <w:sz w:val="20"/>
          <w:szCs w:val="20"/>
        </w:rPr>
        <w:t>El numeral primero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6B92B012" w14:textId="77777777" w:rsidR="00986EBC" w:rsidRPr="00552607" w:rsidRDefault="00986EBC" w:rsidP="00986EBC">
      <w:pPr>
        <w:spacing w:after="0" w:line="240" w:lineRule="auto"/>
        <w:jc w:val="both"/>
        <w:rPr>
          <w:rFonts w:ascii="Verdana" w:eastAsia="Aptos" w:hAnsi="Verdana" w:cs="Times New Roman"/>
          <w:sz w:val="20"/>
          <w:szCs w:val="20"/>
        </w:rPr>
      </w:pPr>
    </w:p>
    <w:p w14:paraId="757997E0" w14:textId="77777777" w:rsidR="00986EBC" w:rsidRPr="00495D57" w:rsidRDefault="00986EBC" w:rsidP="00986EBC">
      <w:pPr>
        <w:spacing w:after="0" w:line="240" w:lineRule="auto"/>
        <w:jc w:val="both"/>
        <w:rPr>
          <w:rFonts w:ascii="Verdana" w:eastAsia="Aptos" w:hAnsi="Verdana" w:cs="Times New Roman"/>
          <w:sz w:val="20"/>
          <w:szCs w:val="20"/>
        </w:rPr>
      </w:pPr>
      <w:r w:rsidRPr="00552607">
        <w:rPr>
          <w:rFonts w:ascii="Verdana" w:eastAsia="Aptos" w:hAnsi="Verdana" w:cs="Times New Roman"/>
          <w:sz w:val="20"/>
          <w:szCs w:val="20"/>
        </w:rPr>
        <w:t xml:space="preserve">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realizarla las “[…] </w:t>
      </w:r>
      <w:proofErr w:type="spellStart"/>
      <w:r w:rsidRPr="00552607">
        <w:rPr>
          <w:rFonts w:ascii="Verdana" w:eastAsia="Aptos" w:hAnsi="Verdana" w:cs="Times New Roman"/>
          <w:sz w:val="20"/>
          <w:szCs w:val="20"/>
        </w:rPr>
        <w:t>Mipyme</w:t>
      </w:r>
      <w:proofErr w:type="spellEnd"/>
      <w:r w:rsidRPr="00552607">
        <w:rPr>
          <w:rFonts w:ascii="Verdana" w:eastAsia="Aptos" w:hAnsi="Verdana" w:cs="Times New Roman"/>
          <w:sz w:val="20"/>
          <w:szCs w:val="20"/>
        </w:rPr>
        <w:t xml:space="preserve">, cuyo objeto social les permita ejecutar el </w:t>
      </w:r>
      <w:r w:rsidRPr="00495D57">
        <w:rPr>
          <w:rFonts w:ascii="Verdana" w:eastAsia="Aptos" w:hAnsi="Verdana" w:cs="Times New Roman"/>
          <w:sz w:val="20"/>
          <w:szCs w:val="20"/>
        </w:rPr>
        <w:t>contrato relacionado con el proceso contractual”.</w:t>
      </w:r>
    </w:p>
    <w:p w14:paraId="54C45799" w14:textId="77777777" w:rsidR="00986EBC" w:rsidRPr="00495D57" w:rsidRDefault="00986EBC" w:rsidP="00986EBC">
      <w:pPr>
        <w:spacing w:after="0" w:line="240" w:lineRule="auto"/>
        <w:jc w:val="both"/>
        <w:rPr>
          <w:rFonts w:ascii="Verdana" w:eastAsia="Aptos" w:hAnsi="Verdana" w:cs="Times New Roman"/>
          <w:sz w:val="20"/>
          <w:szCs w:val="20"/>
        </w:rPr>
      </w:pPr>
    </w:p>
    <w:p w14:paraId="0B615FBA" w14:textId="77777777" w:rsidR="00986EBC" w:rsidRPr="00846E2D" w:rsidRDefault="00986EBC" w:rsidP="00986EBC">
      <w:pPr>
        <w:spacing w:after="0" w:line="240" w:lineRule="auto"/>
        <w:jc w:val="both"/>
        <w:rPr>
          <w:rFonts w:ascii="Verdana" w:eastAsia="Calibri" w:hAnsi="Verdana" w:cs="Arial"/>
          <w:b/>
          <w:lang w:val="es-ES" w:eastAsia="es-ES"/>
        </w:rPr>
      </w:pPr>
      <w:r w:rsidRPr="7662E7A4">
        <w:rPr>
          <w:rFonts w:ascii="Verdana" w:eastAsia="Calibri" w:hAnsi="Verdana" w:cs="Arial"/>
          <w:b/>
          <w:lang w:val="es-ES" w:eastAsia="es-ES"/>
        </w:rPr>
        <w:t xml:space="preserve">CONVOCATORIAS LIMITADAS TERRITORIALMENTE – Artículo 2.2.1.2.4.2.2 </w:t>
      </w:r>
      <w:r>
        <w:rPr>
          <w:rFonts w:ascii="Verdana" w:eastAsia="Calibri" w:hAnsi="Verdana" w:cs="Arial"/>
          <w:b/>
          <w:lang w:val="es-ES" w:eastAsia="es-ES"/>
        </w:rPr>
        <w:t>–</w:t>
      </w:r>
      <w:r w:rsidRPr="7662E7A4">
        <w:rPr>
          <w:rFonts w:ascii="Verdana" w:eastAsia="Calibri" w:hAnsi="Verdana" w:cs="Arial"/>
          <w:b/>
          <w:lang w:val="es-ES" w:eastAsia="es-ES"/>
        </w:rPr>
        <w:t xml:space="preserve"> </w:t>
      </w:r>
      <w:r>
        <w:rPr>
          <w:rFonts w:ascii="Verdana" w:eastAsia="Calibri" w:hAnsi="Verdana" w:cs="Arial"/>
          <w:b/>
          <w:lang w:val="es-ES" w:eastAsia="es-ES"/>
        </w:rPr>
        <w:t>D</w:t>
      </w:r>
      <w:r w:rsidRPr="7662E7A4">
        <w:rPr>
          <w:rFonts w:ascii="Verdana" w:eastAsia="Calibri" w:hAnsi="Verdana" w:cs="Arial"/>
          <w:b/>
          <w:lang w:val="es-ES" w:eastAsia="es-ES"/>
        </w:rPr>
        <w:t>ecreto 1082 de 2015 – Facultad de la entidad – Mipymes territoriales</w:t>
      </w:r>
    </w:p>
    <w:p w14:paraId="31A21F90" w14:textId="77777777" w:rsidR="00986EBC" w:rsidRPr="00186D09" w:rsidRDefault="00986EBC" w:rsidP="00986EBC">
      <w:pPr>
        <w:spacing w:after="0" w:line="240" w:lineRule="auto"/>
        <w:jc w:val="both"/>
        <w:rPr>
          <w:rFonts w:ascii="Verdana" w:eastAsia="Calibri" w:hAnsi="Verdana" w:cs="Arial"/>
          <w:b/>
          <w:bCs/>
          <w:sz w:val="20"/>
          <w:szCs w:val="20"/>
          <w:highlight w:val="yellow"/>
          <w:lang w:val="es-ES_tradnl" w:eastAsia="es-ES_tradnl"/>
        </w:rPr>
      </w:pPr>
    </w:p>
    <w:p w14:paraId="33A1AB9C" w14:textId="77777777" w:rsidR="00986EBC" w:rsidRDefault="00986EBC" w:rsidP="00986EBC">
      <w:pPr>
        <w:spacing w:after="0" w:line="240" w:lineRule="auto"/>
        <w:jc w:val="both"/>
        <w:rPr>
          <w:rFonts w:ascii="Verdana" w:eastAsia="Aptos" w:hAnsi="Verdana" w:cs="Times New Roman"/>
          <w:sz w:val="20"/>
          <w:szCs w:val="20"/>
        </w:rPr>
      </w:pPr>
      <w:r w:rsidRPr="008468D2">
        <w:rPr>
          <w:rFonts w:ascii="Verdana" w:eastAsia="Aptos" w:hAnsi="Verdana" w:cs="Times New Roman"/>
          <w:sz w:val="20"/>
          <w:szCs w:val="20"/>
        </w:rPr>
        <w:t xml:space="preserve">Cumplidos los dos requisitos del </w:t>
      </w:r>
      <w:bookmarkStart w:id="0" w:name="_Hlk173311353"/>
      <w:r w:rsidRPr="008468D2">
        <w:rPr>
          <w:rFonts w:ascii="Verdana" w:eastAsia="Aptos" w:hAnsi="Verdana" w:cs="Times New Roman"/>
          <w:sz w:val="20"/>
          <w:szCs w:val="20"/>
        </w:rPr>
        <w:t>artículo 2.2.1.2.4.2.2</w:t>
      </w:r>
      <w:bookmarkEnd w:id="0"/>
      <w:r w:rsidRPr="008468D2">
        <w:rPr>
          <w:rFonts w:ascii="Verdana" w:eastAsia="Aptos" w:hAnsi="Verdana" w:cs="Times New Roman"/>
          <w:sz w:val="20"/>
          <w:szCs w:val="20"/>
        </w:rPr>
        <w:t>. ibidem, la entidad puede ─no tiene que─ decidir si limita la convocatoria a las Mipymes nacionales domiciliadas en el municipio o departamento en el que se ejecutará el contrato.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p>
    <w:p w14:paraId="5C414069" w14:textId="77777777" w:rsidR="00986EBC" w:rsidRDefault="00986EBC" w:rsidP="00986EBC">
      <w:pPr>
        <w:spacing w:after="0" w:line="240" w:lineRule="auto"/>
        <w:rPr>
          <w:rFonts w:ascii="Verdana" w:eastAsia="Geomanist Light" w:hAnsi="Verdana" w:cs="Arial"/>
          <w:sz w:val="20"/>
          <w:szCs w:val="20"/>
          <w:lang w:val="es-MX"/>
        </w:rPr>
      </w:pPr>
    </w:p>
    <w:p w14:paraId="4E50D396" w14:textId="77777777" w:rsidR="00986EBC" w:rsidRDefault="00986EBC" w:rsidP="00986EBC">
      <w:pPr>
        <w:spacing w:after="0" w:line="240" w:lineRule="auto"/>
        <w:jc w:val="both"/>
        <w:rPr>
          <w:rFonts w:ascii="Verdana" w:eastAsia="Aptos" w:hAnsi="Verdana" w:cs="Times New Roman"/>
          <w:b/>
          <w:bCs/>
        </w:rPr>
      </w:pPr>
      <w:r>
        <w:rPr>
          <w:rFonts w:ascii="Verdana" w:eastAsia="Aptos" w:hAnsi="Verdana" w:cs="Times New Roman"/>
          <w:b/>
          <w:bCs/>
        </w:rPr>
        <w:t>ENTIDADES SIN ÁNIMO DE LUCRO – Entidades de economía solidaria –</w:t>
      </w:r>
    </w:p>
    <w:p w14:paraId="0DD1FA5C" w14:textId="77777777" w:rsidR="00986EBC" w:rsidRPr="00BE5A64" w:rsidRDefault="00986EBC" w:rsidP="00986EBC">
      <w:pPr>
        <w:spacing w:after="0" w:line="240" w:lineRule="auto"/>
        <w:jc w:val="both"/>
        <w:rPr>
          <w:rFonts w:ascii="Verdana" w:eastAsia="Aptos" w:hAnsi="Verdana" w:cs="Times New Roman"/>
          <w:b/>
          <w:bCs/>
        </w:rPr>
      </w:pPr>
      <w:r>
        <w:rPr>
          <w:rFonts w:ascii="Verdana" w:eastAsia="Aptos" w:hAnsi="Verdana" w:cs="Times New Roman"/>
          <w:b/>
          <w:bCs/>
        </w:rPr>
        <w:t xml:space="preserve"> Participación convocatorias limitadas – Categoría de </w:t>
      </w:r>
      <w:proofErr w:type="spellStart"/>
      <w:r>
        <w:rPr>
          <w:rFonts w:ascii="Verdana" w:eastAsia="Aptos" w:hAnsi="Verdana" w:cs="Times New Roman"/>
          <w:b/>
          <w:bCs/>
        </w:rPr>
        <w:t>Mipyme</w:t>
      </w:r>
      <w:proofErr w:type="spellEnd"/>
    </w:p>
    <w:p w14:paraId="4B7E5F3B" w14:textId="77777777" w:rsidR="00986EBC" w:rsidRPr="00BE5A64" w:rsidRDefault="00986EBC" w:rsidP="00986EBC">
      <w:pPr>
        <w:spacing w:after="0" w:line="240" w:lineRule="auto"/>
        <w:jc w:val="both"/>
        <w:rPr>
          <w:rFonts w:ascii="Verdana" w:hAnsi="Verdana"/>
        </w:rPr>
      </w:pPr>
    </w:p>
    <w:p w14:paraId="4A184308" w14:textId="77777777" w:rsidR="00986EBC" w:rsidRDefault="00986EBC" w:rsidP="00986EBC">
      <w:pPr>
        <w:spacing w:after="0" w:line="240" w:lineRule="auto"/>
        <w:jc w:val="both"/>
        <w:rPr>
          <w:rFonts w:ascii="Verdana" w:hAnsi="Verdana"/>
        </w:rPr>
      </w:pPr>
      <w:r>
        <w:rPr>
          <w:rFonts w:ascii="Verdana" w:hAnsi="Verdana"/>
        </w:rPr>
        <w:lastRenderedPageBreak/>
        <w:t xml:space="preserve">[…] </w:t>
      </w:r>
      <w:r w:rsidRPr="00BE5A64">
        <w:rPr>
          <w:rFonts w:ascii="Verdana" w:hAnsi="Verdana"/>
        </w:rPr>
        <w:t xml:space="preserve">el artículo 23 de la Ley 2069 de 2020, para efectos de la aplicación de su contenido, asimila las cooperativas y las demás entidades de economía solidaria a empresas –dentro de las cuales se encuentran las asociaciones mutualistas–, disponiendo, además, que estas deberán ser clasificadas como Mipymes, de conformidad con el artículo 2 de la Ley 590 de 2000 y el Decreto 957 de 2019, los cuales desarrollan la clasificación en las categorías micro, pequeña y mediana en función del tamaño empresarial . El principal efecto de esta norma es que, a las cooperativas, las asociaciones mutualistas y a las demás entidades de economía solidaria –al ser consideradas como </w:t>
      </w:r>
      <w:proofErr w:type="spellStart"/>
      <w:r w:rsidRPr="00BE5A64">
        <w:rPr>
          <w:rFonts w:ascii="Verdana" w:hAnsi="Verdana"/>
        </w:rPr>
        <w:t>Mipyme</w:t>
      </w:r>
      <w:proofErr w:type="spellEnd"/>
      <w:r w:rsidRPr="00BE5A64">
        <w:rPr>
          <w:rFonts w:ascii="Verdana" w:hAnsi="Verdana"/>
        </w:rPr>
        <w:t>– les son aplicables las disposiciones alusivas a estas contenidas en la Ley 2069 de 2020.</w:t>
      </w:r>
    </w:p>
    <w:p w14:paraId="1FD079A0" w14:textId="77777777" w:rsidR="00986EBC" w:rsidRDefault="00986EBC" w:rsidP="00986EBC">
      <w:pPr>
        <w:spacing w:after="0" w:line="240" w:lineRule="auto"/>
        <w:jc w:val="both"/>
        <w:rPr>
          <w:rFonts w:ascii="Verdana" w:hAnsi="Verdana"/>
        </w:rPr>
      </w:pPr>
      <w:r>
        <w:rPr>
          <w:rFonts w:ascii="Verdana" w:hAnsi="Verdana"/>
        </w:rPr>
        <w:t>[…]</w:t>
      </w:r>
    </w:p>
    <w:p w14:paraId="1BD6C24C" w14:textId="77777777" w:rsidR="00986EBC" w:rsidRDefault="00986EBC" w:rsidP="00986EBC">
      <w:pPr>
        <w:spacing w:after="0" w:line="240" w:lineRule="auto"/>
        <w:jc w:val="both"/>
        <w:rPr>
          <w:rFonts w:ascii="Verdana" w:hAnsi="Verdana"/>
        </w:rPr>
      </w:pPr>
      <w:r w:rsidRPr="00BE5A64">
        <w:rPr>
          <w:rFonts w:ascii="Verdana" w:hAnsi="Verdana"/>
        </w:rPr>
        <w:t>Así las cosas,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Mipymes, puedan ser beneficiarias de los criterios diferenciales y beneficios incorporados en el artículo 32 de la Ley 2069 de 2020 y regulados en el artículo 2.2.1.2.4.2.18 del Decreto 1082 de 2015, y participen en las convocatorias limitadas reguladas por el artículo 2.2.1.2.4.2.2 ibidem.</w:t>
      </w:r>
    </w:p>
    <w:p w14:paraId="18E8A8EA" w14:textId="77777777" w:rsidR="00986EBC" w:rsidRDefault="00986EBC" w:rsidP="00986EBC">
      <w:pPr>
        <w:spacing w:after="0" w:line="240" w:lineRule="auto"/>
        <w:jc w:val="both"/>
        <w:rPr>
          <w:rFonts w:ascii="Verdana" w:hAnsi="Verdana"/>
        </w:rPr>
      </w:pPr>
    </w:p>
    <w:p w14:paraId="30A4E18A" w14:textId="77777777" w:rsidR="00986EBC" w:rsidRPr="00BE5A64" w:rsidRDefault="00986EBC" w:rsidP="00986EBC">
      <w:pPr>
        <w:spacing w:after="0" w:line="240" w:lineRule="auto"/>
        <w:jc w:val="both"/>
        <w:rPr>
          <w:rFonts w:ascii="Verdana" w:hAnsi="Verdana"/>
        </w:rPr>
      </w:pPr>
      <w:r>
        <w:rPr>
          <w:rFonts w:ascii="Verdana" w:hAnsi="Verdana"/>
        </w:rPr>
        <w:t xml:space="preserve">[…] </w:t>
      </w:r>
      <w:r w:rsidRPr="00BE5A64">
        <w:rPr>
          <w:rFonts w:ascii="Verdana" w:hAnsi="Verdana"/>
        </w:rPr>
        <w:t>si una ESAL como las cooperativas y demás entidades de economía solidaria se clasifican como Mipymes conforme con las disposiciones legales previamente señaladas, podría ser beneficiaria de los criterios diferenciales aplicables a estas en los procesos de contratación pública, esto, siempre y cuando cumpla con las condiciones establecidas en el artículo 2.2.1.2.4.2.4 del Decreto 1082 de 2015.</w:t>
      </w:r>
    </w:p>
    <w:p w14:paraId="406D3E61" w14:textId="77777777" w:rsidR="00986EBC" w:rsidRDefault="00986EBC" w:rsidP="00986EBC">
      <w:pPr>
        <w:spacing w:after="0" w:line="240" w:lineRule="auto"/>
        <w:rPr>
          <w:rFonts w:ascii="Verdana" w:eastAsia="Geomanist Light" w:hAnsi="Verdana" w:cs="Arial"/>
          <w:sz w:val="20"/>
          <w:szCs w:val="20"/>
          <w:lang w:val="es-MX"/>
        </w:rPr>
      </w:pPr>
    </w:p>
    <w:p w14:paraId="39FEE183" w14:textId="77777777" w:rsidR="00986EBC" w:rsidRDefault="00986EBC" w:rsidP="00986EBC">
      <w:pPr>
        <w:spacing w:after="0" w:line="240" w:lineRule="auto"/>
        <w:rPr>
          <w:rFonts w:ascii="Verdana" w:eastAsia="Geomanist Light" w:hAnsi="Verdana" w:cs="Arial"/>
          <w:sz w:val="20"/>
          <w:szCs w:val="20"/>
          <w:lang w:val="es-MX"/>
        </w:rPr>
      </w:pPr>
    </w:p>
    <w:p w14:paraId="021E2301" w14:textId="77777777" w:rsidR="00986EBC" w:rsidRDefault="00986EBC" w:rsidP="00986EBC">
      <w:pPr>
        <w:spacing w:after="0" w:line="240" w:lineRule="auto"/>
        <w:rPr>
          <w:rFonts w:ascii="Verdana" w:eastAsia="Geomanist Light" w:hAnsi="Verdana" w:cs="Arial"/>
          <w:sz w:val="20"/>
          <w:szCs w:val="20"/>
          <w:lang w:val="es-MX"/>
        </w:rPr>
      </w:pPr>
    </w:p>
    <w:p w14:paraId="59318A9E" w14:textId="77777777" w:rsidR="00986EBC" w:rsidRDefault="00986EBC" w:rsidP="00986EBC">
      <w:pPr>
        <w:spacing w:after="0" w:line="240" w:lineRule="auto"/>
        <w:rPr>
          <w:rFonts w:ascii="Verdana" w:eastAsia="Geomanist Light" w:hAnsi="Verdana" w:cs="Arial"/>
          <w:sz w:val="20"/>
          <w:szCs w:val="20"/>
          <w:lang w:val="es-MX"/>
        </w:rPr>
      </w:pPr>
    </w:p>
    <w:p w14:paraId="5C9FC483" w14:textId="77777777" w:rsidR="00986EBC" w:rsidRDefault="00986EBC" w:rsidP="00986EBC">
      <w:pPr>
        <w:spacing w:after="0" w:line="240" w:lineRule="auto"/>
        <w:rPr>
          <w:rFonts w:ascii="Verdana" w:eastAsia="Geomanist Light" w:hAnsi="Verdana" w:cs="Arial"/>
          <w:sz w:val="20"/>
          <w:szCs w:val="20"/>
          <w:lang w:val="es-MX"/>
        </w:rPr>
      </w:pPr>
    </w:p>
    <w:p w14:paraId="7842C2C2" w14:textId="77777777" w:rsidR="00986EBC" w:rsidRDefault="00986EBC" w:rsidP="00986EBC">
      <w:pPr>
        <w:spacing w:after="0" w:line="240" w:lineRule="auto"/>
        <w:rPr>
          <w:rFonts w:ascii="Verdana" w:eastAsia="Geomanist Light" w:hAnsi="Verdana" w:cs="Arial"/>
          <w:sz w:val="20"/>
          <w:szCs w:val="20"/>
          <w:lang w:val="es-MX"/>
        </w:rPr>
      </w:pPr>
    </w:p>
    <w:p w14:paraId="34367F45" w14:textId="77777777" w:rsidR="00986EBC" w:rsidRDefault="00986EBC" w:rsidP="00986EBC">
      <w:pPr>
        <w:spacing w:after="0" w:line="240" w:lineRule="auto"/>
        <w:rPr>
          <w:rFonts w:ascii="Verdana" w:eastAsia="Geomanist Light" w:hAnsi="Verdana" w:cs="Arial"/>
          <w:sz w:val="20"/>
          <w:szCs w:val="20"/>
          <w:lang w:val="es-MX"/>
        </w:rPr>
      </w:pPr>
    </w:p>
    <w:p w14:paraId="29BD3809" w14:textId="77777777" w:rsidR="00986EBC" w:rsidRDefault="00986EBC" w:rsidP="00986EBC">
      <w:pPr>
        <w:spacing w:after="0" w:line="240" w:lineRule="auto"/>
        <w:rPr>
          <w:rFonts w:ascii="Verdana" w:eastAsia="Geomanist Light" w:hAnsi="Verdana" w:cs="Arial"/>
          <w:sz w:val="20"/>
          <w:szCs w:val="20"/>
          <w:lang w:val="es-MX"/>
        </w:rPr>
      </w:pPr>
    </w:p>
    <w:p w14:paraId="5B1B6D10" w14:textId="77777777" w:rsidR="00986EBC" w:rsidRDefault="00986EBC" w:rsidP="00986EBC">
      <w:pPr>
        <w:spacing w:after="0" w:line="240" w:lineRule="auto"/>
        <w:rPr>
          <w:rFonts w:ascii="Verdana" w:eastAsia="Geomanist Light" w:hAnsi="Verdana" w:cs="Arial"/>
          <w:sz w:val="20"/>
          <w:szCs w:val="20"/>
          <w:lang w:val="es-MX"/>
        </w:rPr>
      </w:pPr>
    </w:p>
    <w:p w14:paraId="4633D6B4" w14:textId="77777777" w:rsidR="00986EBC" w:rsidRDefault="00986EBC" w:rsidP="00986EBC">
      <w:pPr>
        <w:spacing w:after="0" w:line="240" w:lineRule="auto"/>
        <w:rPr>
          <w:rFonts w:ascii="Verdana" w:eastAsia="Geomanist Light" w:hAnsi="Verdana" w:cs="Arial"/>
          <w:sz w:val="20"/>
          <w:szCs w:val="20"/>
          <w:lang w:val="es-MX"/>
        </w:rPr>
      </w:pPr>
    </w:p>
    <w:p w14:paraId="4DC093B4" w14:textId="77777777" w:rsidR="00986EBC" w:rsidRDefault="00986EBC" w:rsidP="00986EBC">
      <w:pPr>
        <w:spacing w:after="0" w:line="240" w:lineRule="auto"/>
        <w:rPr>
          <w:rFonts w:ascii="Verdana" w:eastAsia="Geomanist Light" w:hAnsi="Verdana" w:cs="Arial"/>
          <w:sz w:val="20"/>
          <w:szCs w:val="20"/>
          <w:lang w:val="es-MX"/>
        </w:rPr>
      </w:pPr>
    </w:p>
    <w:p w14:paraId="6FEF31D6" w14:textId="77777777" w:rsidR="00986EBC" w:rsidRDefault="00986EBC" w:rsidP="00986EBC">
      <w:pPr>
        <w:spacing w:after="0" w:line="240" w:lineRule="auto"/>
        <w:rPr>
          <w:rFonts w:ascii="Verdana" w:eastAsia="Geomanist Light" w:hAnsi="Verdana" w:cs="Arial"/>
          <w:sz w:val="20"/>
          <w:szCs w:val="20"/>
          <w:lang w:val="es-MX"/>
        </w:rPr>
      </w:pPr>
    </w:p>
    <w:p w14:paraId="4657C997" w14:textId="77777777" w:rsidR="00986EBC" w:rsidRDefault="00986EBC" w:rsidP="00986EBC">
      <w:pPr>
        <w:spacing w:after="0" w:line="240" w:lineRule="auto"/>
        <w:rPr>
          <w:rFonts w:ascii="Verdana" w:eastAsia="Geomanist Light" w:hAnsi="Verdana" w:cs="Arial"/>
          <w:sz w:val="20"/>
          <w:szCs w:val="20"/>
          <w:lang w:val="es-MX"/>
        </w:rPr>
      </w:pPr>
    </w:p>
    <w:p w14:paraId="30DD8098" w14:textId="77777777" w:rsidR="00986EBC" w:rsidRDefault="00986EBC" w:rsidP="00986EBC">
      <w:pPr>
        <w:spacing w:after="0" w:line="240" w:lineRule="auto"/>
        <w:rPr>
          <w:rFonts w:ascii="Verdana" w:eastAsia="Geomanist Light" w:hAnsi="Verdana" w:cs="Arial"/>
          <w:sz w:val="20"/>
          <w:szCs w:val="20"/>
          <w:lang w:val="es-MX"/>
        </w:rPr>
      </w:pPr>
    </w:p>
    <w:p w14:paraId="3C9B1FC9" w14:textId="77777777" w:rsidR="00986EBC" w:rsidRDefault="00986EBC" w:rsidP="00986EBC">
      <w:pPr>
        <w:spacing w:after="0" w:line="240" w:lineRule="auto"/>
        <w:rPr>
          <w:rFonts w:ascii="Verdana" w:eastAsia="Geomanist Light" w:hAnsi="Verdana" w:cs="Arial"/>
          <w:sz w:val="20"/>
          <w:szCs w:val="20"/>
          <w:lang w:val="es-MX"/>
        </w:rPr>
      </w:pPr>
    </w:p>
    <w:p w14:paraId="261F3052" w14:textId="77777777" w:rsidR="00986EBC" w:rsidRDefault="00986EBC" w:rsidP="00986EBC">
      <w:pPr>
        <w:spacing w:after="0" w:line="240" w:lineRule="auto"/>
        <w:rPr>
          <w:rFonts w:ascii="Verdana" w:eastAsia="Geomanist Light" w:hAnsi="Verdana" w:cs="Arial"/>
          <w:sz w:val="20"/>
          <w:szCs w:val="20"/>
          <w:lang w:val="es-MX"/>
        </w:rPr>
      </w:pPr>
    </w:p>
    <w:p w14:paraId="158D8C83" w14:textId="77777777" w:rsidR="00986EBC" w:rsidRDefault="00986EBC" w:rsidP="00986EBC">
      <w:pPr>
        <w:spacing w:after="0" w:line="240" w:lineRule="auto"/>
        <w:rPr>
          <w:rFonts w:ascii="Verdana" w:eastAsia="Geomanist Light" w:hAnsi="Verdana" w:cs="Arial"/>
          <w:sz w:val="20"/>
          <w:szCs w:val="20"/>
          <w:lang w:val="es-MX"/>
        </w:rPr>
      </w:pPr>
    </w:p>
    <w:p w14:paraId="72544571" w14:textId="77777777" w:rsidR="00986EBC" w:rsidRDefault="00986EBC" w:rsidP="00986EBC">
      <w:pPr>
        <w:spacing w:after="0" w:line="240" w:lineRule="auto"/>
        <w:rPr>
          <w:rFonts w:ascii="Verdana" w:eastAsia="Geomanist Light" w:hAnsi="Verdana" w:cs="Arial"/>
          <w:sz w:val="20"/>
          <w:szCs w:val="20"/>
          <w:lang w:val="es-MX"/>
        </w:rPr>
      </w:pPr>
    </w:p>
    <w:p w14:paraId="25F907AC" w14:textId="77777777" w:rsidR="00986EBC" w:rsidRDefault="00986EBC" w:rsidP="00986EBC">
      <w:pPr>
        <w:spacing w:after="0" w:line="240" w:lineRule="auto"/>
        <w:rPr>
          <w:rFonts w:ascii="Verdana" w:eastAsia="Geomanist Light" w:hAnsi="Verdana" w:cs="Arial"/>
          <w:sz w:val="20"/>
          <w:szCs w:val="20"/>
          <w:lang w:val="es-MX"/>
        </w:rPr>
      </w:pPr>
    </w:p>
    <w:p w14:paraId="1B0C7BA9" w14:textId="4A14BC32" w:rsidR="00986EBC" w:rsidRPr="009C1EEE" w:rsidRDefault="00986EBC" w:rsidP="00986EBC">
      <w:pPr>
        <w:spacing w:after="0" w:line="240" w:lineRule="auto"/>
        <w:rPr>
          <w:rFonts w:ascii="Verdana" w:eastAsia="Geomanist Light" w:hAnsi="Verdana" w:cs="Arial"/>
          <w:lang w:val="es-MX"/>
        </w:rPr>
      </w:pPr>
      <w:r w:rsidRPr="009C1EEE">
        <w:rPr>
          <w:rFonts w:ascii="Verdana" w:eastAsia="Geomanist Light" w:hAnsi="Verdana" w:cs="Arial"/>
          <w:lang w:val="es-MX"/>
        </w:rPr>
        <w:lastRenderedPageBreak/>
        <w:t>Bogotá D.C., </w:t>
      </w:r>
      <w:r w:rsidR="00A252B6">
        <w:rPr>
          <w:rFonts w:ascii="Verdana" w:eastAsia="Geomanist Light" w:hAnsi="Verdana" w:cs="Arial"/>
          <w:lang w:val="es-MX"/>
        </w:rPr>
        <w:t>25 de junio de 2025</w:t>
      </w:r>
    </w:p>
    <w:p w14:paraId="48F0BF33" w14:textId="77777777" w:rsidR="00986EBC" w:rsidRDefault="00986EBC" w:rsidP="00986EBC">
      <w:pPr>
        <w:spacing w:after="0" w:line="240" w:lineRule="auto"/>
        <w:jc w:val="both"/>
        <w:rPr>
          <w:rFonts w:ascii="Verdana" w:eastAsia="Calibri" w:hAnsi="Verdana" w:cs="Arial"/>
          <w:lang w:val="es-ES"/>
        </w:rPr>
      </w:pPr>
    </w:p>
    <w:p w14:paraId="56E3DD95" w14:textId="3AA25A9C" w:rsidR="00986EBC" w:rsidRDefault="003518D8" w:rsidP="00986EBC">
      <w:pPr>
        <w:spacing w:after="0" w:line="240" w:lineRule="auto"/>
        <w:jc w:val="right"/>
        <w:rPr>
          <w:rFonts w:ascii="Verdana" w:eastAsia="Calibri" w:hAnsi="Verdana" w:cs="Arial"/>
          <w:lang w:val="es-ES"/>
        </w:rPr>
      </w:pPr>
      <w:r w:rsidRPr="003518D8">
        <w:rPr>
          <w:rFonts w:ascii="Verdana" w:eastAsia="Calibri" w:hAnsi="Verdana" w:cs="Arial"/>
          <w:lang w:val="es-ES"/>
        </w:rPr>
        <w:drawing>
          <wp:inline distT="0" distB="0" distL="0" distR="0" wp14:anchorId="017AF222" wp14:editId="1352FC89">
            <wp:extent cx="2448267" cy="647790"/>
            <wp:effectExtent l="0" t="0" r="9525" b="0"/>
            <wp:docPr id="109526142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261423" name="Imagen 1" descr="Texto&#10;&#10;El contenido generado por IA puede ser incorrecto."/>
                    <pic:cNvPicPr/>
                  </pic:nvPicPr>
                  <pic:blipFill>
                    <a:blip r:embed="rId10"/>
                    <a:stretch>
                      <a:fillRect/>
                    </a:stretch>
                  </pic:blipFill>
                  <pic:spPr>
                    <a:xfrm>
                      <a:off x="0" y="0"/>
                      <a:ext cx="2448267" cy="647790"/>
                    </a:xfrm>
                    <a:prstGeom prst="rect">
                      <a:avLst/>
                    </a:prstGeom>
                  </pic:spPr>
                </pic:pic>
              </a:graphicData>
            </a:graphic>
          </wp:inline>
        </w:drawing>
      </w:r>
    </w:p>
    <w:p w14:paraId="7EB87B63" w14:textId="77777777" w:rsidR="00986EBC" w:rsidRPr="009C1EEE" w:rsidRDefault="00986EBC" w:rsidP="00986EBC">
      <w:pPr>
        <w:spacing w:after="0" w:line="240" w:lineRule="auto"/>
        <w:jc w:val="both"/>
        <w:rPr>
          <w:rFonts w:ascii="Verdana" w:eastAsia="Calibri" w:hAnsi="Verdana" w:cs="Arial"/>
          <w:lang w:val="es-ES"/>
        </w:rPr>
      </w:pPr>
    </w:p>
    <w:p w14:paraId="06627224" w14:textId="77777777" w:rsidR="00986EBC" w:rsidRPr="00421DE2" w:rsidRDefault="00986EBC" w:rsidP="00986EBC">
      <w:pPr>
        <w:spacing w:after="0" w:line="240" w:lineRule="auto"/>
        <w:jc w:val="both"/>
        <w:rPr>
          <w:rFonts w:ascii="Verdana" w:eastAsia="Calibri" w:hAnsi="Verdana" w:cs="Arial"/>
          <w:lang w:val="es-ES" w:eastAsia="es-ES"/>
        </w:rPr>
      </w:pPr>
      <w:r w:rsidRPr="00421DE2">
        <w:rPr>
          <w:rFonts w:ascii="Verdana" w:eastAsia="Calibri" w:hAnsi="Verdana" w:cs="Arial"/>
          <w:lang w:val="es-ES" w:eastAsia="es-ES"/>
        </w:rPr>
        <w:t>Señora</w:t>
      </w:r>
    </w:p>
    <w:p w14:paraId="09C17538" w14:textId="77777777" w:rsidR="00986EBC" w:rsidRPr="00421DE2" w:rsidRDefault="00986EBC" w:rsidP="00986EBC">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Claudia Patricia Velasco Capacho</w:t>
      </w:r>
    </w:p>
    <w:p w14:paraId="5DBAAA47" w14:textId="77777777" w:rsidR="00986EBC" w:rsidRPr="00030C2D" w:rsidRDefault="00986EBC" w:rsidP="00986EBC">
      <w:pPr>
        <w:spacing w:after="0" w:line="240" w:lineRule="auto"/>
        <w:rPr>
          <w:rFonts w:ascii="Verdana" w:hAnsi="Verdana"/>
        </w:rPr>
      </w:pPr>
      <w:hyperlink r:id="rId11" w:history="1">
        <w:r w:rsidRPr="00030C2D">
          <w:rPr>
            <w:rStyle w:val="Hipervnculo"/>
            <w:rFonts w:ascii="Verdana" w:hAnsi="Verdana"/>
          </w:rPr>
          <w:t>claudiapvc56@hotmail.com</w:t>
        </w:r>
      </w:hyperlink>
      <w:r w:rsidRPr="00030C2D">
        <w:rPr>
          <w:rFonts w:ascii="Verdana" w:hAnsi="Verdana"/>
        </w:rPr>
        <w:t xml:space="preserve"> </w:t>
      </w:r>
    </w:p>
    <w:p w14:paraId="5D2343D4" w14:textId="77777777" w:rsidR="00986EBC" w:rsidRPr="00421DE2" w:rsidRDefault="00986EBC" w:rsidP="00986EBC">
      <w:pPr>
        <w:spacing w:after="0" w:line="240" w:lineRule="auto"/>
        <w:rPr>
          <w:rFonts w:ascii="Verdana" w:eastAsia="Calibri" w:hAnsi="Verdana" w:cs="Arial"/>
          <w:b/>
          <w:bCs/>
          <w:lang w:val="es-ES" w:eastAsia="es-ES"/>
        </w:rPr>
      </w:pPr>
      <w:r>
        <w:rPr>
          <w:rFonts w:ascii="Verdana" w:eastAsia="Calibri" w:hAnsi="Verdana" w:cs="Arial"/>
          <w:lang w:val="es-ES" w:eastAsia="es-ES"/>
        </w:rPr>
        <w:t>Pamplona, Norte de Santander</w:t>
      </w:r>
    </w:p>
    <w:p w14:paraId="2CEDF448" w14:textId="77777777" w:rsidR="00986EBC" w:rsidRPr="009C1EEE" w:rsidRDefault="00986EBC" w:rsidP="00986EBC">
      <w:pPr>
        <w:spacing w:after="0" w:line="240" w:lineRule="auto"/>
        <w:rPr>
          <w:rFonts w:ascii="Verdana" w:eastAsia="Calibri" w:hAnsi="Verdana" w:cs="Arial"/>
          <w:b/>
          <w:bCs/>
          <w:lang w:val="es-ES_tradnl" w:eastAsia="es-ES_tradnl"/>
        </w:rPr>
      </w:pPr>
    </w:p>
    <w:p w14:paraId="3FC146F2" w14:textId="77777777" w:rsidR="00986EBC" w:rsidRPr="009C1EEE" w:rsidRDefault="00986EBC" w:rsidP="00986EB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86EBC" w:rsidRPr="009C1EEE" w14:paraId="323378D1" w14:textId="77777777" w:rsidTr="00B337EC">
        <w:trPr>
          <w:trHeight w:val="884"/>
        </w:trPr>
        <w:tc>
          <w:tcPr>
            <w:tcW w:w="2689" w:type="dxa"/>
          </w:tcPr>
          <w:p w14:paraId="74CB951E" w14:textId="77777777" w:rsidR="00986EBC" w:rsidRPr="009C1EEE" w:rsidRDefault="00986EBC" w:rsidP="00B337EC">
            <w:pPr>
              <w:jc w:val="both"/>
              <w:rPr>
                <w:rFonts w:ascii="Verdana" w:eastAsia="Calibri" w:hAnsi="Verdana" w:cs="Arial"/>
                <w:b/>
                <w:bCs/>
                <w:lang w:val="es-ES_tradnl" w:eastAsia="es-ES_tradnl"/>
              </w:rPr>
            </w:pPr>
          </w:p>
        </w:tc>
        <w:tc>
          <w:tcPr>
            <w:tcW w:w="6100" w:type="dxa"/>
          </w:tcPr>
          <w:p w14:paraId="41248C9F" w14:textId="77777777" w:rsidR="00986EBC" w:rsidRPr="009C1EEE" w:rsidRDefault="00986EBC" w:rsidP="00B337EC">
            <w:pPr>
              <w:jc w:val="both"/>
              <w:rPr>
                <w:rFonts w:ascii="Verdana" w:eastAsia="Calibri" w:hAnsi="Verdana" w:cs="Arial"/>
                <w:b/>
                <w:bCs/>
                <w:lang w:val="es-ES" w:eastAsia="es-ES"/>
              </w:rPr>
            </w:pPr>
            <w:r w:rsidRPr="009C1EEE">
              <w:rPr>
                <w:rFonts w:ascii="Verdana" w:eastAsia="Calibri" w:hAnsi="Verdana" w:cs="Arial"/>
                <w:b/>
                <w:bCs/>
                <w:lang w:val="es-ES" w:eastAsia="es-ES"/>
              </w:rPr>
              <w:t>Concepto C-</w:t>
            </w:r>
            <w:r>
              <w:rPr>
                <w:rFonts w:ascii="Verdana" w:eastAsia="Calibri" w:hAnsi="Verdana" w:cs="Arial"/>
                <w:b/>
                <w:bCs/>
                <w:lang w:val="es-ES" w:eastAsia="es-ES"/>
              </w:rPr>
              <w:t>601 de 2025</w:t>
            </w:r>
          </w:p>
        </w:tc>
      </w:tr>
      <w:tr w:rsidR="00986EBC" w:rsidRPr="009C1EEE" w14:paraId="7C4B08B6" w14:textId="77777777" w:rsidTr="00B337EC">
        <w:trPr>
          <w:trHeight w:val="884"/>
        </w:trPr>
        <w:tc>
          <w:tcPr>
            <w:tcW w:w="2689" w:type="dxa"/>
          </w:tcPr>
          <w:p w14:paraId="7BAEC795" w14:textId="77777777" w:rsidR="00986EBC" w:rsidRPr="002577A3" w:rsidRDefault="00986EBC" w:rsidP="00B337EC">
            <w:pPr>
              <w:jc w:val="both"/>
              <w:rPr>
                <w:rFonts w:ascii="Verdana" w:eastAsia="Calibri" w:hAnsi="Verdana" w:cs="Arial"/>
                <w:lang w:val="es-ES_tradnl" w:eastAsia="es-ES_tradnl"/>
              </w:rPr>
            </w:pPr>
            <w:r w:rsidRPr="002577A3">
              <w:rPr>
                <w:rFonts w:ascii="Verdana" w:eastAsia="Calibri" w:hAnsi="Verdana" w:cs="Arial"/>
                <w:b/>
                <w:lang w:val="es-ES_tradnl" w:eastAsia="es-ES_tradnl"/>
              </w:rPr>
              <w:t>Temas:</w:t>
            </w:r>
            <w:r w:rsidRPr="002577A3">
              <w:rPr>
                <w:rFonts w:ascii="Verdana" w:eastAsia="Calibri" w:hAnsi="Verdana" w:cs="Arial"/>
                <w:lang w:val="es-ES_tradnl" w:eastAsia="es-ES_tradnl"/>
              </w:rPr>
              <w:t xml:space="preserve">                   </w:t>
            </w:r>
          </w:p>
        </w:tc>
        <w:tc>
          <w:tcPr>
            <w:tcW w:w="6100" w:type="dxa"/>
          </w:tcPr>
          <w:p w14:paraId="7B2BA147" w14:textId="77777777" w:rsidR="00986EBC" w:rsidRPr="002577A3" w:rsidRDefault="00986EBC" w:rsidP="00B337EC">
            <w:pPr>
              <w:spacing w:line="276" w:lineRule="auto"/>
              <w:jc w:val="both"/>
              <w:rPr>
                <w:rFonts w:ascii="Verdana" w:eastAsia="Calibri" w:hAnsi="Verdana" w:cs="Arial"/>
                <w:lang w:val="es-ES" w:eastAsia="es-ES"/>
              </w:rPr>
            </w:pPr>
            <w:r w:rsidRPr="002577A3">
              <w:rPr>
                <w:rFonts w:ascii="Verdana" w:eastAsia="Calibri" w:hAnsi="Verdana" w:cs="Arial"/>
                <w:lang w:val="es-ES" w:eastAsia="es-ES"/>
              </w:rPr>
              <w:t xml:space="preserve">CONVOCATORIAS LIMITADAS A MIPYMES – Requisitos – Artículo 2.2.1.2.4.2.2 – Decreto 1082 de 2015 / CONVOCATORIAS LIMITADAS TERRITORIALMENTE – Artículo 2.2.1.2.4.2.2 – Decreto 1082 de 2015 – Facultad de la entidad – Mipymes territoriales / ENTIDADES SIN ÁNIMO DE LUCRO – Entidades de economía solidaria – Participación convocatorias limitadas – Categoría de </w:t>
            </w:r>
            <w:proofErr w:type="spellStart"/>
            <w:r w:rsidRPr="002577A3">
              <w:rPr>
                <w:rFonts w:ascii="Verdana" w:eastAsia="Calibri" w:hAnsi="Verdana" w:cs="Arial"/>
                <w:lang w:val="es-ES" w:eastAsia="es-ES"/>
              </w:rPr>
              <w:t>mipyme</w:t>
            </w:r>
            <w:proofErr w:type="spellEnd"/>
          </w:p>
          <w:p w14:paraId="53D70E43" w14:textId="77777777" w:rsidR="00986EBC" w:rsidRPr="002577A3" w:rsidRDefault="00986EBC" w:rsidP="00B337EC">
            <w:pPr>
              <w:spacing w:line="276" w:lineRule="auto"/>
              <w:jc w:val="both"/>
              <w:rPr>
                <w:rFonts w:ascii="Verdana" w:eastAsia="Calibri" w:hAnsi="Verdana" w:cs="Arial"/>
                <w:lang w:val="es-ES" w:eastAsia="es-ES"/>
              </w:rPr>
            </w:pPr>
          </w:p>
        </w:tc>
      </w:tr>
      <w:tr w:rsidR="00986EBC" w:rsidRPr="009C1EEE" w14:paraId="32D6D5D6" w14:textId="77777777" w:rsidTr="00B337EC">
        <w:tc>
          <w:tcPr>
            <w:tcW w:w="2689" w:type="dxa"/>
          </w:tcPr>
          <w:p w14:paraId="659A2F4B" w14:textId="77777777" w:rsidR="00986EBC" w:rsidRPr="009C1EEE" w:rsidRDefault="00986EBC" w:rsidP="00B337EC">
            <w:pPr>
              <w:jc w:val="both"/>
              <w:rPr>
                <w:rFonts w:ascii="Verdana" w:eastAsia="Calibri" w:hAnsi="Verdana" w:cs="Arial"/>
                <w:b/>
                <w:lang w:val="es-ES_tradnl" w:eastAsia="es-ES_tradnl"/>
              </w:rPr>
            </w:pPr>
            <w:r w:rsidRPr="009C1EEE">
              <w:rPr>
                <w:rFonts w:ascii="Verdana" w:eastAsia="Calibri" w:hAnsi="Verdana" w:cs="Arial"/>
                <w:b/>
                <w:lang w:val="es-ES_tradnl" w:eastAsia="es-ES_tradnl"/>
              </w:rPr>
              <w:t>Radicación:</w:t>
            </w:r>
            <w:r w:rsidRPr="009C1EEE">
              <w:rPr>
                <w:rFonts w:ascii="Verdana" w:eastAsia="Calibri" w:hAnsi="Verdana" w:cs="Arial"/>
                <w:lang w:val="es-ES_tradnl" w:eastAsia="es-ES_tradnl"/>
              </w:rPr>
              <w:t xml:space="preserve">               </w:t>
            </w:r>
          </w:p>
        </w:tc>
        <w:tc>
          <w:tcPr>
            <w:tcW w:w="6100" w:type="dxa"/>
          </w:tcPr>
          <w:p w14:paraId="67152FC7" w14:textId="77777777" w:rsidR="00986EBC" w:rsidRPr="009C1EEE" w:rsidRDefault="00986EBC" w:rsidP="00B337EC">
            <w:pPr>
              <w:jc w:val="both"/>
              <w:rPr>
                <w:rFonts w:ascii="Verdana" w:eastAsia="Calibri" w:hAnsi="Verdana" w:cs="Arial"/>
                <w:lang w:val="es-ES_tradnl" w:eastAsia="es-ES_tradnl"/>
              </w:rPr>
            </w:pPr>
            <w:r w:rsidRPr="009C1EEE">
              <w:rPr>
                <w:rFonts w:ascii="Verdana" w:eastAsia="Calibri" w:hAnsi="Verdana" w:cs="Arial"/>
                <w:lang w:val="es-ES_tradnl" w:eastAsia="es-ES_tradnl"/>
              </w:rPr>
              <w:t xml:space="preserve">Respuesta a consulta con radicado No. </w:t>
            </w:r>
            <w:r w:rsidRPr="0027102B">
              <w:rPr>
                <w:rFonts w:ascii="Verdana" w:eastAsia="Calibri" w:hAnsi="Verdana" w:cs="Arial"/>
                <w:lang w:val="es-ES_tradnl" w:eastAsia="es-ES_tradnl"/>
              </w:rPr>
              <w:t>P20250515004696</w:t>
            </w:r>
            <w:r w:rsidRPr="0027102B">
              <w:rPr>
                <w:rFonts w:ascii="Verdana" w:eastAsia="Calibri" w:hAnsi="Verdana" w:cs="Arial"/>
                <w:lang w:val="es-ES_tradnl" w:eastAsia="es-ES_tradnl"/>
              </w:rPr>
              <w:tab/>
            </w:r>
          </w:p>
        </w:tc>
      </w:tr>
    </w:tbl>
    <w:p w14:paraId="76D645D6" w14:textId="77777777" w:rsidR="00986EBC" w:rsidRPr="009C1EEE" w:rsidRDefault="00986EBC" w:rsidP="00986EBC">
      <w:pPr>
        <w:spacing w:after="0" w:line="240" w:lineRule="auto"/>
        <w:jc w:val="both"/>
        <w:rPr>
          <w:rFonts w:ascii="Verdana" w:eastAsia="Calibri" w:hAnsi="Verdana" w:cs="Arial"/>
          <w:lang w:val="es-ES_tradnl" w:eastAsia="es-ES_tradnl"/>
        </w:rPr>
      </w:pPr>
    </w:p>
    <w:p w14:paraId="15420D71" w14:textId="77777777" w:rsidR="00986EBC" w:rsidRPr="009C1EEE" w:rsidRDefault="00986EBC" w:rsidP="00986EBC">
      <w:pPr>
        <w:spacing w:after="0" w:line="240" w:lineRule="auto"/>
        <w:jc w:val="both"/>
        <w:rPr>
          <w:rFonts w:ascii="Verdana" w:eastAsia="Calibri" w:hAnsi="Verdana" w:cs="Arial"/>
          <w:lang w:val="es-ES_tradnl" w:eastAsia="es-ES_tradnl"/>
        </w:rPr>
      </w:pPr>
    </w:p>
    <w:p w14:paraId="220A74B4" w14:textId="77777777" w:rsidR="00986EBC" w:rsidRPr="009C1EEE" w:rsidRDefault="00986EBC" w:rsidP="00986EBC">
      <w:pPr>
        <w:spacing w:after="0" w:line="276" w:lineRule="auto"/>
        <w:jc w:val="both"/>
        <w:rPr>
          <w:rFonts w:ascii="Verdana" w:eastAsia="Calibri" w:hAnsi="Verdana" w:cs="Arial"/>
          <w:lang w:val="es-ES" w:eastAsia="es-ES"/>
        </w:rPr>
      </w:pPr>
      <w:r w:rsidRPr="009C1EEE">
        <w:rPr>
          <w:rFonts w:ascii="Verdana" w:eastAsia="Calibri" w:hAnsi="Verdana" w:cs="Arial"/>
          <w:lang w:val="es-ES" w:eastAsia="es-ES"/>
        </w:rPr>
        <w:t>Estimad</w:t>
      </w:r>
      <w:r>
        <w:rPr>
          <w:rFonts w:ascii="Verdana" w:eastAsia="Calibri" w:hAnsi="Verdana" w:cs="Arial"/>
          <w:lang w:val="es-ES" w:eastAsia="es-ES"/>
        </w:rPr>
        <w:t>a señora Velasco:</w:t>
      </w:r>
    </w:p>
    <w:p w14:paraId="062BF044" w14:textId="77777777" w:rsidR="00986EBC" w:rsidRPr="009C1EEE" w:rsidRDefault="00986EBC" w:rsidP="00986EBC">
      <w:pPr>
        <w:tabs>
          <w:tab w:val="left" w:pos="3768"/>
        </w:tabs>
        <w:spacing w:after="0" w:line="276" w:lineRule="auto"/>
        <w:jc w:val="both"/>
        <w:rPr>
          <w:rFonts w:ascii="Verdana" w:eastAsia="Calibri" w:hAnsi="Verdana" w:cs="Arial"/>
          <w:lang w:val="es-ES" w:eastAsia="es-ES"/>
        </w:rPr>
      </w:pPr>
    </w:p>
    <w:p w14:paraId="5EAD1022" w14:textId="77777777" w:rsidR="00986EBC" w:rsidRPr="009C1EEE" w:rsidRDefault="00986EBC" w:rsidP="00986EBC">
      <w:pPr>
        <w:spacing w:after="0" w:line="276" w:lineRule="auto"/>
        <w:jc w:val="both"/>
        <w:rPr>
          <w:rFonts w:ascii="Verdana" w:eastAsia="Calibri" w:hAnsi="Verdana" w:cs="Arial"/>
          <w:lang w:val="es-ES" w:eastAsia="es-ES"/>
        </w:rPr>
      </w:pPr>
      <w:r w:rsidRPr="009C1EEE">
        <w:rPr>
          <w:rFonts w:ascii="Verdana" w:eastAsia="Calibri" w:hAnsi="Verdana" w:cs="Arial"/>
          <w:lang w:val="es-ES" w:eastAsia="es-ES"/>
        </w:rPr>
        <w:t>En ejercicio de la competencia otorgada por los artículos 3, numeral 5º, y 11, numeral 8º, del Decreto Ley 4170 de 2011,</w:t>
      </w:r>
      <w:r w:rsidRPr="009C1EEE">
        <w:rPr>
          <w:rFonts w:ascii="Verdana" w:eastAsia="Arial MT" w:hAnsi="Verdana" w:cs="Arial MT"/>
          <w:lang w:val="es-ES" w:eastAsia="es-ES"/>
        </w:rPr>
        <w:t xml:space="preserve"> </w:t>
      </w:r>
      <w:r w:rsidRPr="009C1EEE">
        <w:rPr>
          <w:rFonts w:ascii="Verdana" w:hAnsi="Verdana" w:cs="Arial"/>
        </w:rPr>
        <w:t xml:space="preserve">así como lo establecido en el artículo 4 de la Resolución 1707 de 2018 expedida por esta Entidad, </w:t>
      </w:r>
      <w:r w:rsidRPr="009C1EEE">
        <w:rPr>
          <w:rFonts w:ascii="Verdana" w:eastAsia="Calibri" w:hAnsi="Verdana" w:cs="Arial"/>
          <w:lang w:val="es-ES" w:eastAsia="es-ES"/>
        </w:rPr>
        <w:t xml:space="preserve">la Agencia Nacional de Contratación Pública – Colombia Compra Eficiente– responde su solicitud de consulta de fecha del </w:t>
      </w:r>
      <w:r>
        <w:rPr>
          <w:rFonts w:ascii="Verdana" w:eastAsia="Calibri" w:hAnsi="Verdana" w:cs="Arial"/>
          <w:lang w:val="es-ES" w:eastAsia="es-ES"/>
        </w:rPr>
        <w:t>15 de mayo de 2025</w:t>
      </w:r>
      <w:r w:rsidRPr="009C1EEE">
        <w:rPr>
          <w:rFonts w:ascii="Verdana" w:eastAsia="Calibri" w:hAnsi="Verdana" w:cs="Arial"/>
          <w:lang w:val="es-ES" w:eastAsia="es-ES"/>
        </w:rPr>
        <w:t xml:space="preserve">, en la </w:t>
      </w:r>
      <w:r>
        <w:rPr>
          <w:rFonts w:ascii="Verdana" w:eastAsia="Calibri" w:hAnsi="Verdana" w:cs="Arial"/>
          <w:lang w:val="es-ES" w:eastAsia="es-ES"/>
        </w:rPr>
        <w:t xml:space="preserve">que </w:t>
      </w:r>
      <w:r w:rsidRPr="009C1EEE">
        <w:rPr>
          <w:rFonts w:ascii="Verdana" w:eastAsia="Calibri" w:hAnsi="Verdana" w:cs="Arial"/>
          <w:lang w:val="es-ES" w:eastAsia="es-ES"/>
        </w:rPr>
        <w:t xml:space="preserve">realiza la siguiente </w:t>
      </w:r>
      <w:r>
        <w:rPr>
          <w:rFonts w:ascii="Verdana" w:eastAsia="Calibri" w:hAnsi="Verdana" w:cs="Arial"/>
          <w:lang w:val="es-ES" w:eastAsia="es-ES"/>
        </w:rPr>
        <w:t>consulta</w:t>
      </w:r>
      <w:r w:rsidRPr="009C1EEE">
        <w:rPr>
          <w:rFonts w:ascii="Verdana" w:eastAsia="Calibri" w:hAnsi="Verdana" w:cs="Arial"/>
          <w:lang w:val="es-ES" w:eastAsia="es-ES"/>
        </w:rPr>
        <w:t xml:space="preserve">: </w:t>
      </w:r>
    </w:p>
    <w:p w14:paraId="3050C15E" w14:textId="77777777" w:rsidR="00986EBC" w:rsidRPr="009C1EEE" w:rsidRDefault="00986EBC" w:rsidP="00986EBC">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251704E6" w14:textId="77777777" w:rsidR="00986EBC" w:rsidRPr="00B65473" w:rsidRDefault="00986EBC" w:rsidP="00986EBC">
      <w:pPr>
        <w:tabs>
          <w:tab w:val="left" w:pos="709"/>
        </w:tabs>
        <w:spacing w:before="120" w:after="0" w:line="240" w:lineRule="auto"/>
        <w:ind w:left="709" w:right="709"/>
        <w:jc w:val="both"/>
        <w:rPr>
          <w:rFonts w:ascii="Verdana" w:eastAsia="Calibri" w:hAnsi="Verdana" w:cs="Arial"/>
          <w:sz w:val="20"/>
          <w:szCs w:val="20"/>
          <w:lang w:val="es-MX"/>
        </w:rPr>
      </w:pPr>
      <w:r w:rsidRPr="009C1EEE">
        <w:rPr>
          <w:rFonts w:ascii="Verdana" w:eastAsia="Calibri" w:hAnsi="Verdana" w:cs="Arial"/>
          <w:sz w:val="20"/>
          <w:szCs w:val="20"/>
          <w:lang w:val="es-MX"/>
        </w:rPr>
        <w:t>“</w:t>
      </w:r>
      <w:r>
        <w:rPr>
          <w:rFonts w:ascii="Verdana" w:eastAsia="Calibri" w:hAnsi="Verdana" w:cs="Arial"/>
          <w:sz w:val="20"/>
          <w:szCs w:val="20"/>
          <w:lang w:val="es-MX"/>
        </w:rPr>
        <w:t xml:space="preserve">¿Las corporaciones, fundaciones o asociaciones: entidades sin ánimo de lucro, al ser clasificadas de acuerdo con el decreto 1074 de 2015 como </w:t>
      </w:r>
      <w:r>
        <w:rPr>
          <w:rFonts w:ascii="Verdana" w:eastAsia="Calibri" w:hAnsi="Verdana" w:cs="Arial"/>
          <w:sz w:val="20"/>
          <w:szCs w:val="20"/>
          <w:lang w:val="es-MX"/>
        </w:rPr>
        <w:lastRenderedPageBreak/>
        <w:t xml:space="preserve">MIPYMES, PUEDEN PRESENTAR OFERTAS Y/O PROPUESTA Y/O PARTICIPAR en procesos contractuales en curso, donde la entidad pública contratante a LIMITADO A </w:t>
      </w:r>
      <w:proofErr w:type="spellStart"/>
      <w:r>
        <w:rPr>
          <w:rFonts w:ascii="Verdana" w:eastAsia="Calibri" w:hAnsi="Verdana" w:cs="Arial"/>
          <w:sz w:val="20"/>
          <w:szCs w:val="20"/>
          <w:lang w:val="es-MX"/>
        </w:rPr>
        <w:t>MIPYMEs</w:t>
      </w:r>
      <w:proofErr w:type="spellEnd"/>
      <w:r>
        <w:rPr>
          <w:rFonts w:ascii="Verdana" w:eastAsia="Calibri" w:hAnsi="Verdana" w:cs="Arial"/>
          <w:sz w:val="20"/>
          <w:szCs w:val="20"/>
          <w:lang w:val="es-MX"/>
        </w:rPr>
        <w:t xml:space="preserve"> TERRITORIALES? O en que eventos es posible llegar a participar en el proceso contractual con la limitación. […]”. [sic]</w:t>
      </w:r>
    </w:p>
    <w:p w14:paraId="7F23A58C" w14:textId="77777777" w:rsidR="00986EBC" w:rsidRPr="009C1EEE" w:rsidRDefault="00986EBC" w:rsidP="00986EBC">
      <w:pPr>
        <w:tabs>
          <w:tab w:val="left" w:pos="142"/>
          <w:tab w:val="left" w:pos="284"/>
        </w:tabs>
        <w:spacing w:line="276" w:lineRule="auto"/>
        <w:contextualSpacing/>
        <w:jc w:val="both"/>
        <w:rPr>
          <w:rFonts w:ascii="Verdana" w:eastAsia="Century Gothic" w:hAnsi="Verdana" w:cs="Century Gothic"/>
          <w:b/>
          <w:bCs/>
          <w:lang w:val="es-ES"/>
        </w:rPr>
      </w:pPr>
    </w:p>
    <w:p w14:paraId="1592DC54" w14:textId="77777777" w:rsidR="00986EBC" w:rsidRPr="009C1EEE" w:rsidRDefault="00986EBC" w:rsidP="00986EBC">
      <w:pPr>
        <w:spacing w:after="120" w:line="276" w:lineRule="auto"/>
        <w:ind w:firstLine="709"/>
        <w:jc w:val="both"/>
        <w:rPr>
          <w:rFonts w:ascii="Verdana" w:eastAsia="Calibri" w:hAnsi="Verdana" w:cs="Arial"/>
          <w:szCs w:val="24"/>
          <w:lang w:val="es-ES_tradnl" w:eastAsia="es-ES_tradnl"/>
        </w:rPr>
      </w:pPr>
      <w:r w:rsidRPr="009C1EE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C1EEE">
        <w:rPr>
          <w:rFonts w:ascii="Verdana" w:eastAsia="Calibri" w:hAnsi="Verdana" w:cs="Arial"/>
          <w:szCs w:val="24"/>
          <w:lang w:val="es-ES_tradnl" w:eastAsia="es-ES_tradnl"/>
        </w:rPr>
        <w:tab/>
      </w:r>
    </w:p>
    <w:p w14:paraId="3E1B4EB8" w14:textId="77777777" w:rsidR="00986EBC" w:rsidRPr="009C1EEE" w:rsidRDefault="00986EBC" w:rsidP="00986EBC">
      <w:pPr>
        <w:spacing w:after="0" w:line="276" w:lineRule="auto"/>
        <w:ind w:firstLine="709"/>
        <w:jc w:val="both"/>
        <w:rPr>
          <w:rFonts w:ascii="Verdana" w:eastAsia="Calibri" w:hAnsi="Verdana" w:cs="Arial"/>
          <w:lang w:val="es-ES" w:eastAsia="es-ES"/>
        </w:rPr>
      </w:pPr>
      <w:r w:rsidRPr="009C1EE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8A7B845" w14:textId="77777777" w:rsidR="00986EBC" w:rsidRPr="009C1EEE" w:rsidRDefault="00986EBC" w:rsidP="00986EBC">
      <w:pPr>
        <w:spacing w:after="0" w:line="276" w:lineRule="auto"/>
        <w:ind w:firstLine="709"/>
        <w:jc w:val="both"/>
        <w:rPr>
          <w:rFonts w:ascii="Verdana" w:eastAsia="Calibri" w:hAnsi="Verdana" w:cs="Arial"/>
          <w:lang w:val="es-ES" w:eastAsia="es-ES"/>
        </w:rPr>
      </w:pPr>
    </w:p>
    <w:p w14:paraId="1554F73A" w14:textId="77777777" w:rsidR="00986EBC" w:rsidRPr="009C1EEE" w:rsidRDefault="00986EBC" w:rsidP="00986EBC">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9C1EEE">
        <w:rPr>
          <w:rFonts w:ascii="Verdana" w:eastAsia="Arial" w:hAnsi="Verdana" w:cs="Arial"/>
          <w:b/>
          <w:bCs/>
          <w:lang w:val="es-ES"/>
        </w:rPr>
        <w:t>1. Problema planteado:</w:t>
      </w:r>
    </w:p>
    <w:p w14:paraId="779D1C79" w14:textId="77777777" w:rsidR="00986EBC" w:rsidRPr="009C1EEE" w:rsidRDefault="00986EBC" w:rsidP="00986EBC">
      <w:pPr>
        <w:tabs>
          <w:tab w:val="left" w:pos="426"/>
        </w:tabs>
        <w:spacing w:after="0" w:line="276" w:lineRule="auto"/>
        <w:jc w:val="both"/>
        <w:rPr>
          <w:rFonts w:ascii="Verdana" w:eastAsia="Century Gothic" w:hAnsi="Verdana" w:cs="Century Gothic"/>
          <w:lang w:val="es-ES"/>
        </w:rPr>
      </w:pPr>
    </w:p>
    <w:p w14:paraId="615A34D5" w14:textId="77777777" w:rsidR="00986EBC" w:rsidRPr="001008BE" w:rsidRDefault="00986EBC" w:rsidP="00986EBC">
      <w:pPr>
        <w:spacing w:after="0" w:line="276" w:lineRule="auto"/>
        <w:jc w:val="both"/>
        <w:rPr>
          <w:rFonts w:ascii="Verdana" w:eastAsia="Century Gothic" w:hAnsi="Verdana" w:cs="Century Gothic"/>
        </w:rPr>
      </w:pPr>
      <w:r w:rsidRPr="006B4FA1">
        <w:rPr>
          <w:rFonts w:ascii="Verdana" w:eastAsia="Century Gothic" w:hAnsi="Verdana" w:cs="Century Gothic"/>
        </w:rPr>
        <w:t xml:space="preserve">De acuerdo con el contenido de su solicitud, le informamos que la misma será atendida desde </w:t>
      </w:r>
      <w:r>
        <w:rPr>
          <w:rFonts w:ascii="Verdana" w:eastAsia="Century Gothic" w:hAnsi="Verdana" w:cs="Century Gothic"/>
        </w:rPr>
        <w:t xml:space="preserve">el siguiente interrogante: </w:t>
      </w:r>
      <w:r w:rsidRPr="001008BE">
        <w:rPr>
          <w:rFonts w:ascii="Verdana" w:eastAsia="Century Gothic" w:hAnsi="Verdana" w:cs="Century Gothic"/>
        </w:rPr>
        <w:t>¿</w:t>
      </w:r>
      <w:r>
        <w:rPr>
          <w:rFonts w:ascii="Verdana" w:eastAsia="Century Gothic" w:hAnsi="Verdana" w:cs="Century Gothic"/>
        </w:rPr>
        <w:t xml:space="preserve">Pueden participar las Entidades Sin Ánimo de Lucro de los procesos de contratación limitados a Mipymes regulados por el artículo </w:t>
      </w:r>
      <w:r w:rsidRPr="00145CA0">
        <w:rPr>
          <w:rFonts w:ascii="Verdana" w:eastAsia="Century Gothic" w:hAnsi="Verdana" w:cs="Century Gothic"/>
        </w:rPr>
        <w:t>2.2.1.2.4.2.2.</w:t>
      </w:r>
      <w:r w:rsidRPr="00D10C00">
        <w:rPr>
          <w:rFonts w:ascii="Verdana" w:eastAsia="Century Gothic" w:hAnsi="Verdana" w:cs="Century Gothic"/>
        </w:rPr>
        <w:t>del Decreto 1082 de 2015</w:t>
      </w:r>
      <w:r>
        <w:rPr>
          <w:rFonts w:ascii="Verdana" w:eastAsia="Century Gothic" w:hAnsi="Verdana" w:cs="Century Gothic"/>
        </w:rPr>
        <w:t>?</w:t>
      </w:r>
    </w:p>
    <w:p w14:paraId="5CA9B85A" w14:textId="77777777" w:rsidR="00986EBC" w:rsidRPr="009C1EEE" w:rsidRDefault="00986EBC" w:rsidP="00986EBC">
      <w:pPr>
        <w:spacing w:after="0" w:line="276" w:lineRule="auto"/>
        <w:jc w:val="both"/>
        <w:rPr>
          <w:rFonts w:ascii="Verdana" w:eastAsia="Calibri" w:hAnsi="Verdana" w:cs="Arial"/>
          <w:lang w:val="es-ES"/>
        </w:rPr>
      </w:pPr>
      <w:bookmarkStart w:id="1" w:name="_Hlk171070029"/>
    </w:p>
    <w:bookmarkEnd w:id="1"/>
    <w:p w14:paraId="761240E4" w14:textId="77777777" w:rsidR="00986EBC" w:rsidRPr="009C1EEE" w:rsidRDefault="00986EBC" w:rsidP="00986EBC">
      <w:pPr>
        <w:widowControl w:val="0"/>
        <w:autoSpaceDE w:val="0"/>
        <w:autoSpaceDN w:val="0"/>
        <w:spacing w:before="1" w:after="0" w:line="240" w:lineRule="auto"/>
        <w:jc w:val="both"/>
        <w:outlineLvl w:val="0"/>
        <w:rPr>
          <w:rFonts w:ascii="Verdana" w:eastAsia="Arial" w:hAnsi="Verdana" w:cs="Arial"/>
          <w:b/>
          <w:bCs/>
          <w:lang w:val="es-ES"/>
        </w:rPr>
      </w:pPr>
      <w:r w:rsidRPr="009C1EEE">
        <w:rPr>
          <w:rFonts w:ascii="Verdana" w:eastAsia="Arial" w:hAnsi="Verdana" w:cs="Arial"/>
          <w:b/>
          <w:bCs/>
          <w:lang w:val="es-ES"/>
        </w:rPr>
        <w:t>2. Respuesta:</w:t>
      </w:r>
    </w:p>
    <w:p w14:paraId="35504FC2" w14:textId="77777777" w:rsidR="00986EBC" w:rsidRPr="009C1EEE" w:rsidRDefault="00986EBC" w:rsidP="00986EBC">
      <w:pPr>
        <w:spacing w:after="0"/>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6EBC" w:rsidRPr="009C1EEE" w14:paraId="2412A0D6" w14:textId="77777777" w:rsidTr="00B337EC">
        <w:tc>
          <w:tcPr>
            <w:tcW w:w="8828" w:type="dxa"/>
            <w:shd w:val="clear" w:color="auto" w:fill="auto"/>
          </w:tcPr>
          <w:p w14:paraId="651092BA" w14:textId="77777777" w:rsidR="00986EBC" w:rsidRDefault="00986EBC" w:rsidP="00B337EC">
            <w:pPr>
              <w:spacing w:before="120" w:line="276" w:lineRule="auto"/>
              <w:jc w:val="both"/>
              <w:rPr>
                <w:rFonts w:ascii="Verdana" w:eastAsia="Calibri" w:hAnsi="Verdana" w:cs="Arial"/>
              </w:rPr>
            </w:pPr>
            <w:bookmarkStart w:id="2" w:name="_Hlk171067516"/>
            <w:r w:rsidRPr="00CC12F6">
              <w:rPr>
                <w:rFonts w:ascii="Verdana" w:eastAsia="Calibri" w:hAnsi="Verdana" w:cs="Arial"/>
              </w:rPr>
              <w:t xml:space="preserve">Sobre el particular, debe precisarse inicialmente que, </w:t>
            </w:r>
            <w:r>
              <w:rPr>
                <w:rFonts w:ascii="Verdana" w:eastAsia="Calibri" w:hAnsi="Verdana" w:cs="Arial"/>
              </w:rPr>
              <w:t xml:space="preserve">esta Agencia ha mantenido de manera reiterada la postura de que las Entidades Sin Ánimo de Lucro, en adelante ESAL no pueden acceder a los beneficios establecidos para las Mipymes, ni participar en los procesos contractuales limitados a estas </w:t>
            </w:r>
            <w:r>
              <w:rPr>
                <w:rFonts w:ascii="Verdana" w:eastAsia="Calibri" w:hAnsi="Verdana" w:cs="Arial"/>
              </w:rPr>
              <w:lastRenderedPageBreak/>
              <w:t xml:space="preserve">últimas, pues de acuerdo con lo dispuesto en el artículo 43 de la Ley 1450 de 2011, que modificó el artículo 2 de la Ley 590 de 2000, sólo podrán ser consideradas Mipymes aquellas que, como unidades de explotación económica, busquen el reparto de utilidades entre </w:t>
            </w:r>
            <w:r w:rsidRPr="00485A11">
              <w:rPr>
                <w:rFonts w:ascii="Verdana" w:eastAsia="Calibri" w:hAnsi="Verdana" w:cs="Arial"/>
              </w:rPr>
              <w:t>sus miembros</w:t>
            </w:r>
            <w:r>
              <w:rPr>
                <w:rFonts w:ascii="Verdana" w:eastAsia="Calibri" w:hAnsi="Verdana" w:cs="Arial"/>
              </w:rPr>
              <w:t xml:space="preserve">, situación </w:t>
            </w:r>
            <w:proofErr w:type="spellStart"/>
            <w:r>
              <w:rPr>
                <w:rFonts w:ascii="Verdana" w:eastAsia="Calibri" w:hAnsi="Verdana" w:cs="Arial"/>
              </w:rPr>
              <w:t>esta</w:t>
            </w:r>
            <w:proofErr w:type="spellEnd"/>
            <w:r>
              <w:rPr>
                <w:rFonts w:ascii="Verdana" w:eastAsia="Calibri" w:hAnsi="Verdana" w:cs="Arial"/>
              </w:rPr>
              <w:t xml:space="preserve"> que generalmente no sucede con las ESAL</w:t>
            </w:r>
            <w:r w:rsidRPr="00485A11">
              <w:rPr>
                <w:rFonts w:ascii="Verdana" w:eastAsia="Calibri" w:hAnsi="Verdana" w:cs="Arial"/>
              </w:rPr>
              <w:t xml:space="preserve">. </w:t>
            </w:r>
          </w:p>
          <w:p w14:paraId="47D9CDD3" w14:textId="77777777" w:rsidR="00986EBC" w:rsidRDefault="00986EBC" w:rsidP="00B337EC">
            <w:pPr>
              <w:snapToGrid w:val="0"/>
              <w:spacing w:before="120" w:line="276" w:lineRule="auto"/>
              <w:ind w:firstLine="709"/>
              <w:jc w:val="both"/>
              <w:rPr>
                <w:rFonts w:ascii="Verdana" w:eastAsia="Calibri" w:hAnsi="Verdana" w:cs="Arial"/>
              </w:rPr>
            </w:pPr>
            <w:r>
              <w:rPr>
                <w:rFonts w:ascii="Verdana" w:eastAsia="Calibri" w:hAnsi="Verdana" w:cs="Arial"/>
              </w:rPr>
              <w:t xml:space="preserve">Sin embargo, resulta a bien aclarar que en atención a lo señalado en </w:t>
            </w:r>
            <w:r w:rsidRPr="00833DE0">
              <w:rPr>
                <w:rFonts w:ascii="Verdana" w:eastAsia="Calibri" w:hAnsi="Verdana" w:cs="Arial"/>
              </w:rPr>
              <w:t>el artículo 23 de la Ley 2069 de 2020 y los artículos 4 de la Ley 79 de 1988 y 6 de la Ley 454 de 1998, las cooperativas y demás entidades de economía solidaria son consideradas empresas</w:t>
            </w:r>
            <w:r>
              <w:rPr>
                <w:rFonts w:ascii="Verdana" w:eastAsia="Calibri" w:hAnsi="Verdana" w:cs="Arial"/>
              </w:rPr>
              <w:t>, tratamiento este, que</w:t>
            </w:r>
            <w:r w:rsidRPr="00833DE0">
              <w:rPr>
                <w:rFonts w:ascii="Verdana" w:eastAsia="Calibri" w:hAnsi="Verdana" w:cs="Arial"/>
              </w:rPr>
              <w:t xml:space="preserve"> permite que sean clasificadas como Mipymes, según lo dispuesto en el artículo 2 de la Ley 590 de 2000 y el Decreto 957 de 2019. A pesar de su naturaleza jurídica como ESAL, estas entidades gozan de un ámbito de explotación económica permitido por la ley, lo que les </w:t>
            </w:r>
            <w:r>
              <w:rPr>
                <w:rFonts w:ascii="Verdana" w:eastAsia="Calibri" w:hAnsi="Verdana" w:cs="Arial"/>
              </w:rPr>
              <w:t>concede la oportunidad de</w:t>
            </w:r>
            <w:r w:rsidRPr="00833DE0">
              <w:rPr>
                <w:rFonts w:ascii="Verdana" w:eastAsia="Calibri" w:hAnsi="Verdana" w:cs="Arial"/>
              </w:rPr>
              <w:t xml:space="preserve"> participar en los mercados de compra pública y aprovechar los beneficios </w:t>
            </w:r>
            <w:r>
              <w:rPr>
                <w:rFonts w:ascii="Verdana" w:eastAsia="Calibri" w:hAnsi="Verdana" w:cs="Arial"/>
              </w:rPr>
              <w:t>diferenciales</w:t>
            </w:r>
            <w:r w:rsidRPr="00833DE0">
              <w:rPr>
                <w:rFonts w:ascii="Verdana" w:eastAsia="Calibri" w:hAnsi="Verdana" w:cs="Arial"/>
              </w:rPr>
              <w:t xml:space="preserve"> para Mi</w:t>
            </w:r>
            <w:r>
              <w:rPr>
                <w:rFonts w:ascii="Verdana" w:eastAsia="Calibri" w:hAnsi="Verdana" w:cs="Arial"/>
              </w:rPr>
              <w:t>p</w:t>
            </w:r>
            <w:r w:rsidRPr="00833DE0">
              <w:rPr>
                <w:rFonts w:ascii="Verdana" w:eastAsia="Calibri" w:hAnsi="Verdana" w:cs="Arial"/>
              </w:rPr>
              <w:t xml:space="preserve">ymes, como </w:t>
            </w:r>
            <w:r>
              <w:rPr>
                <w:rFonts w:ascii="Verdana" w:eastAsia="Calibri" w:hAnsi="Verdana" w:cs="Arial"/>
              </w:rPr>
              <w:t>la limitación de los</w:t>
            </w:r>
            <w:r w:rsidRPr="00833DE0">
              <w:rPr>
                <w:rFonts w:ascii="Verdana" w:eastAsia="Calibri" w:hAnsi="Verdana" w:cs="Arial"/>
              </w:rPr>
              <w:t xml:space="preserve"> procesos de contratación pública.</w:t>
            </w:r>
            <w:r>
              <w:rPr>
                <w:rFonts w:ascii="Verdana" w:eastAsia="Calibri" w:hAnsi="Verdana" w:cs="Arial"/>
              </w:rPr>
              <w:t xml:space="preserve"> </w:t>
            </w:r>
          </w:p>
          <w:p w14:paraId="09B9F2D8" w14:textId="77777777" w:rsidR="00986EBC" w:rsidRDefault="00986EBC" w:rsidP="00B337EC">
            <w:pPr>
              <w:snapToGrid w:val="0"/>
              <w:spacing w:before="120" w:line="276" w:lineRule="auto"/>
              <w:ind w:firstLine="709"/>
              <w:jc w:val="both"/>
              <w:rPr>
                <w:rFonts w:ascii="Verdana" w:eastAsia="Calibri" w:hAnsi="Verdana" w:cs="Arial"/>
              </w:rPr>
            </w:pPr>
            <w:r>
              <w:rPr>
                <w:rFonts w:ascii="Verdana" w:eastAsia="Calibri" w:hAnsi="Verdana" w:cs="Arial"/>
              </w:rPr>
              <w:t xml:space="preserve">Por lo que, </w:t>
            </w:r>
            <w:bookmarkStart w:id="3" w:name="_Hlk200699796"/>
            <w:r>
              <w:rPr>
                <w:rFonts w:ascii="Verdana" w:eastAsia="Calibri" w:hAnsi="Verdana" w:cs="Arial"/>
              </w:rPr>
              <w:t xml:space="preserve">si una ESAL como las cooperativas y demás entidades de economía solidaria se clasifican como Mipymes conforme con las disposiciones legales previamente señaladas, podría ser beneficiaria de los criterios diferenciales aplicables a estas en los procesos de contratación pública, esto, siempre y cuando cumpla con las condiciones establecidas en el artículo </w:t>
            </w:r>
            <w:r w:rsidRPr="0033798D">
              <w:rPr>
                <w:rFonts w:ascii="Verdana" w:eastAsia="Calibri" w:hAnsi="Verdana" w:cs="Arial"/>
              </w:rPr>
              <w:t>2.2.1.2.4.2.4</w:t>
            </w:r>
            <w:r>
              <w:rPr>
                <w:rFonts w:ascii="Verdana" w:eastAsia="Calibri" w:hAnsi="Verdana" w:cs="Arial"/>
              </w:rPr>
              <w:t xml:space="preserve"> del Decreto 1082 de 2015.</w:t>
            </w:r>
          </w:p>
          <w:bookmarkEnd w:id="3"/>
          <w:p w14:paraId="3DA5FE1E" w14:textId="77777777" w:rsidR="00986EBC" w:rsidRPr="005F5EA9" w:rsidRDefault="00986EBC" w:rsidP="00B337EC">
            <w:pPr>
              <w:snapToGrid w:val="0"/>
              <w:spacing w:before="120" w:line="276" w:lineRule="auto"/>
              <w:ind w:firstLine="709"/>
              <w:jc w:val="both"/>
              <w:rPr>
                <w:rFonts w:ascii="Verdana" w:eastAsia="Calibri" w:hAnsi="Verdana" w:cs="Arial"/>
              </w:rPr>
            </w:pPr>
            <w:r>
              <w:rPr>
                <w:rFonts w:ascii="Verdana" w:eastAsia="Calibri" w:hAnsi="Verdana" w:cs="Arial"/>
              </w:rPr>
              <w:t xml:space="preserve">Finalmente, </w:t>
            </w:r>
            <w:r w:rsidRPr="006B795B">
              <w:rPr>
                <w:rFonts w:ascii="Verdana" w:eastAsia="Calibri" w:hAnsi="Verdana" w:cs="Arial"/>
              </w:rPr>
              <w:t xml:space="preserve">debe advertirse que, el análisis requerido para resolver problemas específicos en torno a </w:t>
            </w:r>
            <w:r>
              <w:rPr>
                <w:rFonts w:ascii="Verdana" w:eastAsia="Calibri" w:hAnsi="Verdana" w:cs="Arial"/>
              </w:rPr>
              <w:t xml:space="preserve">la participación de las ESAL en las convocatorias limitadas a Mipymes, </w:t>
            </w:r>
            <w:r w:rsidRPr="006B795B">
              <w:rPr>
                <w:rFonts w:ascii="Verdana" w:eastAsia="Calibri" w:hAnsi="Verdana" w:cs="Arial"/>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bookmarkEnd w:id="2"/>
    </w:tbl>
    <w:p w14:paraId="79B106B5" w14:textId="77777777" w:rsidR="00986EBC" w:rsidRPr="009C1EEE" w:rsidRDefault="00986EBC" w:rsidP="00986EBC">
      <w:pPr>
        <w:tabs>
          <w:tab w:val="left" w:pos="142"/>
          <w:tab w:val="left" w:pos="967"/>
        </w:tabs>
        <w:spacing w:after="0" w:line="276" w:lineRule="auto"/>
        <w:jc w:val="both"/>
        <w:rPr>
          <w:rFonts w:ascii="Verdana" w:eastAsia="Century Gothic" w:hAnsi="Verdana" w:cs="Century Gothic"/>
          <w:b/>
          <w:bCs/>
          <w:lang w:val="es-ES"/>
        </w:rPr>
      </w:pPr>
    </w:p>
    <w:p w14:paraId="175B4D36" w14:textId="77777777" w:rsidR="00986EBC" w:rsidRPr="009C1EEE" w:rsidRDefault="00986EBC" w:rsidP="00986EBC">
      <w:pPr>
        <w:widowControl w:val="0"/>
        <w:autoSpaceDE w:val="0"/>
        <w:autoSpaceDN w:val="0"/>
        <w:spacing w:before="1" w:after="0" w:line="240" w:lineRule="auto"/>
        <w:ind w:left="360" w:hanging="360"/>
        <w:outlineLvl w:val="0"/>
        <w:rPr>
          <w:rFonts w:ascii="Verdana" w:eastAsia="Arial" w:hAnsi="Verdana" w:cs="Arial"/>
          <w:b/>
          <w:bCs/>
          <w:lang w:val="es-ES"/>
        </w:rPr>
      </w:pPr>
      <w:r w:rsidRPr="009C1EEE">
        <w:rPr>
          <w:rFonts w:ascii="Verdana" w:eastAsia="Arial" w:hAnsi="Verdana" w:cs="Arial"/>
          <w:b/>
          <w:bCs/>
          <w:lang w:val="es-ES"/>
        </w:rPr>
        <w:t>3. Razones de la respuesta</w:t>
      </w:r>
    </w:p>
    <w:p w14:paraId="24ADC30C" w14:textId="77777777" w:rsidR="00986EBC" w:rsidRPr="009C1EEE" w:rsidRDefault="00986EBC" w:rsidP="00986EBC">
      <w:pPr>
        <w:spacing w:after="0" w:line="276" w:lineRule="auto"/>
        <w:jc w:val="both"/>
        <w:rPr>
          <w:rFonts w:ascii="Verdana" w:eastAsia="Calibri" w:hAnsi="Verdana" w:cs="Arial"/>
          <w:lang w:val="es-ES"/>
        </w:rPr>
      </w:pPr>
    </w:p>
    <w:p w14:paraId="39206034" w14:textId="77777777" w:rsidR="00986EBC" w:rsidRPr="009C1EEE" w:rsidRDefault="00986EBC" w:rsidP="00986EBC">
      <w:pPr>
        <w:spacing w:after="0" w:line="276" w:lineRule="auto"/>
        <w:jc w:val="both"/>
        <w:rPr>
          <w:rFonts w:ascii="Verdana" w:eastAsia="Calibri" w:hAnsi="Verdana" w:cs="Arial"/>
          <w:lang w:val="es-ES"/>
        </w:rPr>
      </w:pPr>
      <w:r w:rsidRPr="009C1EEE">
        <w:rPr>
          <w:rFonts w:ascii="Verdana" w:eastAsia="Calibri" w:hAnsi="Verdana" w:cs="Arial"/>
          <w:lang w:val="es-ES"/>
        </w:rPr>
        <w:t xml:space="preserve">La respuesta anterior se sustenta en las siguientes consideraciones: </w:t>
      </w:r>
    </w:p>
    <w:p w14:paraId="2A177140" w14:textId="77777777" w:rsidR="00986EBC" w:rsidRPr="009C1EEE" w:rsidRDefault="00986EBC" w:rsidP="00986EBC">
      <w:pPr>
        <w:spacing w:after="0" w:line="276" w:lineRule="auto"/>
        <w:jc w:val="both"/>
        <w:rPr>
          <w:rFonts w:ascii="Verdana" w:eastAsia="Calibri" w:hAnsi="Verdana" w:cs="Arial"/>
          <w:lang w:val="es-ES"/>
        </w:rPr>
      </w:pPr>
    </w:p>
    <w:p w14:paraId="60606D3A" w14:textId="77777777" w:rsidR="00986EBC" w:rsidRPr="00B2223C" w:rsidRDefault="00986EBC" w:rsidP="00986EBC">
      <w:pPr>
        <w:spacing w:after="120" w:line="276" w:lineRule="auto"/>
        <w:jc w:val="both"/>
        <w:rPr>
          <w:rFonts w:ascii="Verdana" w:eastAsia="Aptos" w:hAnsi="Verdana" w:cs="Arial"/>
        </w:rPr>
      </w:pPr>
      <w:r w:rsidRPr="00B2223C">
        <w:rPr>
          <w:rFonts w:ascii="Verdana" w:eastAsia="Aptos" w:hAnsi="Verdana" w:cs="Arial"/>
        </w:rPr>
        <w:lastRenderedPageBreak/>
        <w:t xml:space="preserve">El artículo 2.2.1.2.4.2.2. del Decreto 1082 de 2015 establece los requisitos que se deben atender en las “convocatorias limitadas a Mipymes”. El primer elemento delimitador del ámbito de aplicación de esta norma deriva del primer inciso en donde se estable que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B2223C">
        <w:rPr>
          <w:rFonts w:ascii="Verdana" w:eastAsia="Aptos" w:hAnsi="Verdana" w:cs="Arial"/>
        </w:rPr>
        <w:t>Mipyme</w:t>
      </w:r>
      <w:proofErr w:type="spellEnd"/>
      <w:r w:rsidRPr="00B2223C">
        <w:rPr>
          <w:rFonts w:ascii="Verdana" w:eastAsia="Aptos" w:hAnsi="Verdana" w:cs="Arial"/>
        </w:rPr>
        <w:t xml:space="preserve"> colombianas con mínimo un (1) año de existencia […]”. Esta redacción obedece a un cambio introducido por el Decreto 1860 de 2021, el cual solo permitía la limitación a Mipymes nacionales en los procedimientos de licitación pública, selección abreviada y concurso de méritos.</w:t>
      </w:r>
    </w:p>
    <w:p w14:paraId="6E4B4720" w14:textId="77777777" w:rsidR="00986EBC" w:rsidRPr="00B2223C" w:rsidRDefault="00986EBC" w:rsidP="00986EBC">
      <w:pPr>
        <w:spacing w:after="120" w:line="276" w:lineRule="auto"/>
        <w:jc w:val="both"/>
        <w:rPr>
          <w:rFonts w:ascii="Verdana" w:eastAsia="Calibri" w:hAnsi="Verdana" w:cs="Arial"/>
          <w:lang w:val="es-ES"/>
        </w:rPr>
      </w:pPr>
      <w:r w:rsidRPr="00B2223C">
        <w:rPr>
          <w:rFonts w:ascii="Verdana" w:eastAsia="Aptos" w:hAnsi="Verdana" w:cs="Arial"/>
        </w:rPr>
        <w:tab/>
        <w:t>El numeral primero del referido artículo limita cuantitativamente los procesos contractuales en los que se puede hacer esa “convocatoria limitada a Mipymes”,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representativa del mercado –TRM –, establecida diariamente por la Superintendencia Financiera de Colombia, según lo que establece el artículo 40 de la Resolución Externa No. 1 de 2018 y la Circular Reglamentaria Externa- DODM-146, ambas expedidas por el Banco de la República.</w:t>
      </w:r>
    </w:p>
    <w:p w14:paraId="58F47688" w14:textId="77777777" w:rsidR="00986EBC" w:rsidRPr="00B2223C" w:rsidRDefault="00986EBC" w:rsidP="00986EBC">
      <w:pPr>
        <w:spacing w:after="120" w:line="276" w:lineRule="auto"/>
        <w:jc w:val="both"/>
        <w:rPr>
          <w:rFonts w:ascii="Verdana" w:eastAsia="Calibri" w:hAnsi="Verdana" w:cs="Arial"/>
          <w:lang w:val="es-ES"/>
        </w:rPr>
      </w:pPr>
      <w:r w:rsidRPr="00B2223C">
        <w:rPr>
          <w:rFonts w:ascii="Verdana" w:eastAsia="Calibri" w:hAnsi="Verdana" w:cs="Arial"/>
          <w:lang w:val="es-ES"/>
        </w:rPr>
        <w:tab/>
        <w:t xml:space="preserve">El numeral segundo establece dos exigencias: por un lado, que al menos dos (2)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realizarla las “[…] </w:t>
      </w:r>
      <w:proofErr w:type="spellStart"/>
      <w:r w:rsidRPr="00B2223C">
        <w:rPr>
          <w:rFonts w:ascii="Verdana" w:eastAsia="Calibri" w:hAnsi="Verdana" w:cs="Arial"/>
          <w:lang w:val="es-ES"/>
        </w:rPr>
        <w:t>Mipyme</w:t>
      </w:r>
      <w:proofErr w:type="spellEnd"/>
      <w:r w:rsidRPr="00B2223C">
        <w:rPr>
          <w:rFonts w:ascii="Verdana" w:eastAsia="Calibri" w:hAnsi="Verdana" w:cs="Arial"/>
          <w:lang w:val="es-ES"/>
        </w:rPr>
        <w:t>, cuyo objeto social les permita ejecutar el contrato relacionado con el proceso contractual”.</w:t>
      </w:r>
    </w:p>
    <w:p w14:paraId="35742C6E" w14:textId="77777777" w:rsidR="00986EBC" w:rsidRPr="00B2223C" w:rsidRDefault="00986EBC" w:rsidP="00986EBC">
      <w:pPr>
        <w:spacing w:before="120" w:line="276" w:lineRule="auto"/>
        <w:ind w:firstLine="708"/>
        <w:jc w:val="both"/>
        <w:rPr>
          <w:rFonts w:ascii="Verdana" w:eastAsia="Calibri" w:hAnsi="Verdana" w:cs="Arial"/>
        </w:rPr>
      </w:pPr>
      <w:r w:rsidRPr="00B2223C">
        <w:rPr>
          <w:rFonts w:ascii="Verdana" w:eastAsia="Calibri" w:hAnsi="Verdana" w:cs="Arial"/>
          <w:lang w:val="es-ES"/>
        </w:rPr>
        <w:t>Cumplidos los dos requisitos del artículo 2</w:t>
      </w:r>
      <w:r w:rsidRPr="00B2223C">
        <w:rPr>
          <w:rFonts w:ascii="Verdana" w:eastAsia="Calibri" w:hAnsi="Verdana" w:cs="Arial"/>
        </w:rPr>
        <w:t xml:space="preserve">.2.1.2.4.2.2. </w:t>
      </w:r>
      <w:r w:rsidRPr="00B2223C">
        <w:rPr>
          <w:rFonts w:ascii="Verdana" w:eastAsia="Calibri" w:hAnsi="Verdana" w:cs="Arial"/>
          <w:i/>
          <w:iCs/>
        </w:rPr>
        <w:t>ibidem</w:t>
      </w:r>
      <w:r w:rsidRPr="00B2223C">
        <w:rPr>
          <w:rFonts w:ascii="Verdana" w:eastAsia="Calibri" w:hAnsi="Verdana" w:cs="Arial"/>
          <w:lang w:val="es-ES"/>
        </w:rPr>
        <w:t>, la entidad</w:t>
      </w:r>
      <w:r w:rsidRPr="00B2223C">
        <w:rPr>
          <w:rFonts w:ascii="Verdana" w:eastAsia="Calibri" w:hAnsi="Verdana" w:cs="Arial"/>
        </w:rPr>
        <w:t xml:space="preserve"> puede ─no tiene que─ decidir si limita la convocatoria a las Mipymes nacionales domiciliadas en el municipio o departamento en el que se ejecutará el contrato</w:t>
      </w:r>
      <w:r w:rsidRPr="00B2223C">
        <w:rPr>
          <w:rFonts w:ascii="Aptos" w:eastAsia="Aptos" w:hAnsi="Aptos" w:cs="Times New Roman"/>
          <w:vertAlign w:val="superscript"/>
        </w:rPr>
        <w:footnoteReference w:id="1"/>
      </w:r>
      <w:r w:rsidRPr="00B2223C">
        <w:rPr>
          <w:rFonts w:ascii="Verdana" w:eastAsia="Calibri" w:hAnsi="Verdana" w:cs="Arial"/>
        </w:rPr>
        <w:t xml:space="preserve">. </w:t>
      </w:r>
      <w:r w:rsidRPr="00B2223C">
        <w:rPr>
          <w:rFonts w:ascii="Verdana" w:eastAsia="Calibri" w:hAnsi="Verdana" w:cs="Arial"/>
        </w:rPr>
        <w:lastRenderedPageBreak/>
        <w:t>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Mipymes,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Mipymes beneficiadas deben tener su domicilio principal en el municipio o departamento donde se ejecutará el contrato para poder participar en una convocatoria limitada territorialmente</w:t>
      </w:r>
      <w:r w:rsidRPr="00B2223C">
        <w:rPr>
          <w:rFonts w:ascii="Aptos" w:eastAsia="Aptos" w:hAnsi="Aptos" w:cs="Times New Roman"/>
          <w:vertAlign w:val="superscript"/>
        </w:rPr>
        <w:footnoteReference w:id="2"/>
      </w:r>
      <w:r w:rsidRPr="00B2223C">
        <w:rPr>
          <w:rFonts w:ascii="Verdana" w:eastAsia="Calibri" w:hAnsi="Verdana" w:cs="Arial"/>
        </w:rPr>
        <w:t>.</w:t>
      </w:r>
    </w:p>
    <w:p w14:paraId="44D93673" w14:textId="77777777" w:rsidR="00986EBC" w:rsidRPr="00B2223C" w:rsidRDefault="00986EBC" w:rsidP="00986EBC">
      <w:pPr>
        <w:spacing w:after="120" w:line="276" w:lineRule="auto"/>
        <w:ind w:firstLine="708"/>
        <w:jc w:val="both"/>
        <w:rPr>
          <w:rFonts w:ascii="Verdana" w:eastAsia="Calibri" w:hAnsi="Verdana" w:cs="Arial"/>
          <w:highlight w:val="yellow"/>
          <w:lang w:val="es-ES"/>
        </w:rPr>
      </w:pPr>
      <w:r w:rsidRPr="00B2223C">
        <w:rPr>
          <w:rFonts w:ascii="Verdana" w:eastAsia="Calibri" w:hAnsi="Verdana" w:cs="Arial"/>
          <w:lang w:val="es-ES"/>
        </w:rPr>
        <w:t>En ese sentido, los artículos 2.2.1.2.4.2.2 y 2.2.1.2.4.2.3 deben ser interpretados de manera armónica, comoquiera que para proceder a hacer una limitación territorial es indispensable que se cumplan, no solo el presupuestos establecidos en el artículo 2.2.1.2.4.2.3.–domicilio en el municipio o departamento de ejecución del contrato–, sino también los establecidos en el artículo 2.2.1.2.4.2.2 –valor del proceso de contratación en el rango indicado y solicitudes de al menos dos Mipymes presentadas oportunamente–. En ese sentido, para que proceda la limitación territorial es necesario que se presenten al menos dos solicitudes de Mipymes domiciliadas en el departamento o municipio en donde se va a ejecutar el contrato.  Este entendimiento de la norma, sin embargo, da lugar a dos interpretaciones sobre las que se deben hacer unas precisiones.</w:t>
      </w:r>
    </w:p>
    <w:p w14:paraId="5C0AC659" w14:textId="77777777" w:rsidR="00986EBC" w:rsidRPr="00B2223C" w:rsidRDefault="00986EBC" w:rsidP="00986EBC">
      <w:pPr>
        <w:spacing w:after="120" w:line="276" w:lineRule="auto"/>
        <w:ind w:firstLine="708"/>
        <w:jc w:val="both"/>
        <w:rPr>
          <w:rFonts w:ascii="Verdana" w:eastAsia="Calibri" w:hAnsi="Verdana" w:cs="Arial"/>
          <w:highlight w:val="yellow"/>
          <w:lang w:val="es-ES"/>
        </w:rPr>
      </w:pPr>
      <w:r w:rsidRPr="00B2223C">
        <w:rPr>
          <w:rFonts w:ascii="Verdana" w:eastAsia="Calibri" w:hAnsi="Verdana" w:cs="Arial"/>
          <w:lang w:val="es-ES"/>
        </w:rPr>
        <w:t xml:space="preserve">Por un lado, supone que la decisión de limitar territorialmente la convocatoria opera de pleno derecho, cuando lo solicitan dos Mipymes nacionales domiciliadas en el municipio o en el departamento en el que se va a ejecutar el contrato. Sin embargo, se debe tener presente que lo que sucede de pleno derecho es la limitación a Mipymes nacionales a la que se refiere el artículo 2.2.1.2.4.2.2. del Decreto 1082 de 2015, pero no la “limitación territorial” </w:t>
      </w:r>
      <w:r w:rsidRPr="00B2223C">
        <w:rPr>
          <w:rFonts w:ascii="Verdana" w:eastAsia="Calibri" w:hAnsi="Verdana" w:cs="Arial"/>
          <w:lang w:val="es-ES"/>
        </w:rPr>
        <w:lastRenderedPageBreak/>
        <w:t xml:space="preserve">referida en el artículo 2.2.1.2.4.2.3 ibidem, pues esta, como ya se dijo, es facultativa para la entidad. Las únicas exigencias son que la convocatoria esté limitada a las </w:t>
      </w:r>
      <w:proofErr w:type="spellStart"/>
      <w:r w:rsidRPr="00B2223C">
        <w:rPr>
          <w:rFonts w:ascii="Verdana" w:eastAsia="Calibri" w:hAnsi="Verdana" w:cs="Arial"/>
          <w:lang w:val="es-ES"/>
        </w:rPr>
        <w:t>Mipyme</w:t>
      </w:r>
      <w:proofErr w:type="spellEnd"/>
      <w:r w:rsidRPr="00B2223C">
        <w:rPr>
          <w:rFonts w:ascii="Verdana" w:eastAsia="Calibri" w:hAnsi="Verdana" w:cs="Arial"/>
          <w:lang w:val="es-ES"/>
        </w:rPr>
        <w:t xml:space="preserve"> nacionales “domiciliadas en los departamentos o municipios en donde se va a ejecutar el contrato” y que la entidad justifique su decisión en los “estudios del sector”. No es procedente, entonces, que sean las Mipymes las que soliciten la “limitación territorial” a la que se refiere el artículo 2.2.1.2.4.2.3. del Decreto 1082 de 2015.</w:t>
      </w:r>
    </w:p>
    <w:p w14:paraId="246825BE" w14:textId="77777777" w:rsidR="00986EBC" w:rsidRPr="00B2223C" w:rsidRDefault="00986EBC" w:rsidP="00986EBC">
      <w:pPr>
        <w:spacing w:after="120" w:line="276" w:lineRule="auto"/>
        <w:ind w:firstLine="708"/>
        <w:jc w:val="both"/>
        <w:rPr>
          <w:rFonts w:ascii="Verdana" w:eastAsia="Times New Roman" w:hAnsi="Verdana" w:cs="Arial"/>
          <w:lang w:val="es-ES"/>
        </w:rPr>
      </w:pPr>
      <w:r w:rsidRPr="00B2223C">
        <w:rPr>
          <w:rFonts w:ascii="Verdana" w:eastAsia="Times New Roman" w:hAnsi="Verdana" w:cs="Arial"/>
          <w:lang w:val="es-ES"/>
        </w:rPr>
        <w:t>De esta forma,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Mipymes que solicitan la “limitación territorial” no es relevante frente a dicha decisión, por dos razones. Primero, porque las Mipymes no están habilitadas para pedir la “limitación territorial”, lo están para pedir la “convocatoria limitada a Mipymes”, y, segundo, porque el único criterio a tener en cuenta, una vez se ha decidido justificadamente limitar territorialmente la convocatoria previamente limitada a Mipymes, es el lugar donde se va a ejecutar el contrato.</w:t>
      </w:r>
    </w:p>
    <w:p w14:paraId="4A7CA298" w14:textId="77777777" w:rsidR="00986EBC" w:rsidRPr="00B2223C" w:rsidRDefault="00986EBC" w:rsidP="00986EBC">
      <w:pPr>
        <w:spacing w:after="120" w:line="276" w:lineRule="auto"/>
        <w:jc w:val="both"/>
        <w:rPr>
          <w:rFonts w:ascii="Verdana" w:eastAsia="Calibri" w:hAnsi="Verdana" w:cs="Arial"/>
          <w:lang w:val="es-ES"/>
        </w:rPr>
      </w:pPr>
      <w:r w:rsidRPr="00B2223C">
        <w:rPr>
          <w:rFonts w:ascii="Verdana" w:eastAsia="Calibri" w:hAnsi="Verdana" w:cs="Arial"/>
          <w:lang w:val="es-ES"/>
        </w:rPr>
        <w:tab/>
        <w:t xml:space="preserve">Por otro lado, supone que la decisión de la entidad únicamente puede darse si la solicitud provino de dos o más Mipymes domiciliadas en el municipio o departamento en donde se va a ejecutar el contrato. Sin embargo, una vez se verifican los requisitos de los numerales 1 y 2 del artículo 2.2.1.2.4.2.2. del Decreto 1082 de 2015, modificado por el Decreto 1860 de 2021, la entidad queda habilitada para decidir si limita o no la convocatoria “a </w:t>
      </w:r>
      <w:proofErr w:type="spellStart"/>
      <w:r w:rsidRPr="00B2223C">
        <w:rPr>
          <w:rFonts w:ascii="Verdana" w:eastAsia="Calibri" w:hAnsi="Verdana" w:cs="Arial"/>
          <w:lang w:val="es-ES"/>
        </w:rPr>
        <w:t>Mipyme</w:t>
      </w:r>
      <w:proofErr w:type="spellEnd"/>
      <w:r w:rsidRPr="00B2223C">
        <w:rPr>
          <w:rFonts w:ascii="Verdana" w:eastAsia="Calibri" w:hAnsi="Verdana" w:cs="Arial"/>
          <w:lang w:val="es-ES"/>
        </w:rPr>
        <w:t xml:space="preserve"> nacionales domiciliadas en los departamentos o municipios en donde se va a ejecutar el contrato”, sin que sea relevante el “domicilio” de las Mipymes nacionales que solicitaron limitar la convocatoria.</w:t>
      </w:r>
    </w:p>
    <w:p w14:paraId="2A768061" w14:textId="77777777" w:rsidR="00986EBC" w:rsidRPr="00B2223C" w:rsidRDefault="00986EBC" w:rsidP="00986EBC">
      <w:pPr>
        <w:spacing w:after="120" w:line="276" w:lineRule="auto"/>
        <w:jc w:val="both"/>
        <w:rPr>
          <w:rFonts w:ascii="Verdana" w:eastAsia="Calibri" w:hAnsi="Verdana" w:cs="Arial"/>
          <w:lang w:val="es-ES"/>
        </w:rPr>
      </w:pPr>
      <w:r w:rsidRPr="00B2223C">
        <w:rPr>
          <w:rFonts w:ascii="Verdana" w:eastAsia="Calibri" w:hAnsi="Verdana" w:cs="Arial"/>
          <w:lang w:val="es-ES"/>
        </w:rPr>
        <w:tab/>
        <w:t xml:space="preserve">Sin perjuicio de lo anterior, debe señalarse que la decisión de limitar “a </w:t>
      </w:r>
      <w:proofErr w:type="spellStart"/>
      <w:r w:rsidRPr="00B2223C">
        <w:rPr>
          <w:rFonts w:ascii="Verdana" w:eastAsia="Calibri" w:hAnsi="Verdana" w:cs="Arial"/>
          <w:lang w:val="es-ES"/>
        </w:rPr>
        <w:t>Mipyme</w:t>
      </w:r>
      <w:proofErr w:type="spellEnd"/>
      <w:r w:rsidRPr="00B2223C">
        <w:rPr>
          <w:rFonts w:ascii="Verdana" w:eastAsia="Calibri" w:hAnsi="Verdana" w:cs="Arial"/>
          <w:lang w:val="es-ES"/>
        </w:rPr>
        <w:t xml:space="preserv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Mipymes, no puede </w:t>
      </w:r>
      <w:r w:rsidRPr="00B2223C">
        <w:rPr>
          <w:rFonts w:ascii="Verdana" w:eastAsia="Calibri" w:hAnsi="Verdana" w:cs="Arial"/>
          <w:i/>
          <w:iCs/>
          <w:lang w:val="es-ES"/>
        </w:rPr>
        <w:t>motu proprio</w:t>
      </w:r>
      <w:r w:rsidRPr="00B2223C">
        <w:rPr>
          <w:rFonts w:ascii="Verdana" w:eastAsia="Calibri" w:hAnsi="Verdana" w:cs="Arial"/>
          <w:lang w:val="es-ES"/>
        </w:rPr>
        <w:t xml:space="preserve"> hacer la “limitación territorial” de que trata el artículo 2.2.1.2.4.2.3. del Decreto 1082 de 2015, ya que el ejercicio de esta facultad solo puede darse ante </w:t>
      </w:r>
      <w:r w:rsidRPr="00B2223C">
        <w:rPr>
          <w:rFonts w:ascii="Verdana" w:eastAsia="Calibri" w:hAnsi="Verdana" w:cs="Arial"/>
          <w:lang w:val="es-ES"/>
        </w:rPr>
        <w:lastRenderedPageBreak/>
        <w:t>“limitación a Mipymes nacionales”, lo cual supone la verificación de los supuestos legales establecidos en los mencionados numerales.</w:t>
      </w:r>
    </w:p>
    <w:p w14:paraId="1F27D6F1" w14:textId="77777777" w:rsidR="00986EBC" w:rsidRPr="00B2223C" w:rsidRDefault="00986EBC" w:rsidP="00986EBC">
      <w:pPr>
        <w:spacing w:after="120" w:line="276" w:lineRule="auto"/>
        <w:jc w:val="both"/>
        <w:rPr>
          <w:rFonts w:ascii="Aptos" w:eastAsia="Aptos" w:hAnsi="Aptos" w:cs="Times New Roman"/>
        </w:rPr>
      </w:pPr>
      <w:r w:rsidRPr="00B2223C">
        <w:rPr>
          <w:rFonts w:ascii="Verdana" w:eastAsia="Calibri" w:hAnsi="Verdana" w:cs="Arial"/>
          <w:lang w:val="es-ES"/>
        </w:rPr>
        <w:tab/>
        <w:t>De esta forma, debe destacarse que la Agencia Nacional de Contratación Pública – Colombia Compra Eficiente, considera que lo recomendable es que las entidades establezcan 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como por ejemplo, en relación con cuál o cuáles municipios o departamentos harían la limitación territorial de que trata el artículo 2.2.1.2.4.2.3 del Decreto 1082 de 2015.</w:t>
      </w:r>
    </w:p>
    <w:p w14:paraId="566D9CE3" w14:textId="77777777" w:rsidR="00986EBC" w:rsidRPr="00967EED" w:rsidRDefault="00986EBC" w:rsidP="00986EBC">
      <w:pPr>
        <w:spacing w:after="120" w:line="276" w:lineRule="auto"/>
        <w:ind w:firstLine="708"/>
        <w:jc w:val="both"/>
        <w:rPr>
          <w:rFonts w:ascii="Verdana" w:eastAsia="Arial" w:hAnsi="Verdana" w:cs="Arial"/>
          <w:lang w:val="es-ES_tradnl"/>
        </w:rPr>
      </w:pPr>
      <w:bookmarkStart w:id="4" w:name="_Hlk199930519"/>
      <w:r>
        <w:rPr>
          <w:rFonts w:ascii="Verdana" w:eastAsia="Arial" w:hAnsi="Verdana" w:cs="Arial"/>
          <w:lang w:val="es-MX" w:eastAsia="es-ES" w:bidi="es-ES"/>
        </w:rPr>
        <w:t>Ahora bien, y atendiendo al objeto de la consulta, se hace preciso indicar que el artículo 2 de la Ley 590 de 2000, modificado por el artículo 43 de la Ley 1450 de 2011 define la empresa como toda unidad de explotación económica que realiza una persona natural o jurídica en actividades agropecuarias, industriales, comerciales o de servicios</w:t>
      </w:r>
      <w:r w:rsidRPr="00967EED">
        <w:rPr>
          <w:rFonts w:ascii="Verdana" w:hAnsi="Verdana" w:cs="Arial"/>
          <w:vertAlign w:val="superscript"/>
          <w:lang w:val="es-ES_tradnl"/>
        </w:rPr>
        <w:footnoteReference w:id="3"/>
      </w:r>
      <w:r w:rsidRPr="00967EED">
        <w:rPr>
          <w:rFonts w:ascii="Verdana" w:hAnsi="Verdana" w:cs="Arial"/>
          <w:lang w:val="es-ES_tradnl"/>
        </w:rPr>
        <w:t>.</w:t>
      </w:r>
      <w:r>
        <w:rPr>
          <w:rFonts w:ascii="Verdana" w:hAnsi="Verdana" w:cs="Arial"/>
          <w:lang w:val="es-ES_tradnl"/>
        </w:rPr>
        <w:t xml:space="preserve"> Además, establece que estas se clasifican en micro, pequeña, mediana y gran empresa, </w:t>
      </w:r>
      <w:r w:rsidRPr="00967EED">
        <w:rPr>
          <w:rFonts w:ascii="Verdana" w:hAnsi="Verdana" w:cs="Arial"/>
          <w:lang w:val="es-ES_tradnl"/>
        </w:rPr>
        <w:t>de acuerdo con los criterios del número de trabajadores totales, el valor de ventas brutales anuales y el valor de activos totales.</w:t>
      </w:r>
      <w:r w:rsidRPr="00967EED">
        <w:rPr>
          <w:rFonts w:ascii="Verdana" w:eastAsia="Arial" w:hAnsi="Verdana" w:cs="Arial"/>
          <w:lang w:val="es-ES_tradnl"/>
        </w:rPr>
        <w:t xml:space="preserve"> </w:t>
      </w:r>
      <w:r>
        <w:rPr>
          <w:rFonts w:ascii="Verdana" w:eastAsia="Arial" w:hAnsi="Verdana" w:cs="Arial"/>
          <w:lang w:val="es-ES_tradnl"/>
        </w:rPr>
        <w:t>En ese sentido</w:t>
      </w:r>
      <w:r w:rsidRPr="00967EED">
        <w:rPr>
          <w:rFonts w:ascii="Verdana" w:eastAsia="Arial" w:hAnsi="Verdana" w:cs="Arial"/>
          <w:lang w:val="es-ES_tradnl"/>
        </w:rPr>
        <w:t xml:space="preserve">, el artículo 2.2.1.13.2.2 del Decreto 1074 de 2015, adicionado por el Decreto 957 de 2019, establece que: </w:t>
      </w:r>
    </w:p>
    <w:p w14:paraId="4628994A" w14:textId="77777777" w:rsidR="00986EBC" w:rsidRPr="00967EED" w:rsidRDefault="00986EBC" w:rsidP="00986EBC">
      <w:pPr>
        <w:spacing w:after="120" w:line="276" w:lineRule="auto"/>
        <w:ind w:firstLine="709"/>
        <w:jc w:val="both"/>
        <w:rPr>
          <w:rFonts w:ascii="Verdana" w:eastAsia="Arial" w:hAnsi="Verdana" w:cs="Arial"/>
          <w:lang w:val="es-ES_tradnl"/>
        </w:rPr>
      </w:pPr>
      <w:r w:rsidRPr="00967EED">
        <w:rPr>
          <w:rFonts w:ascii="Verdana" w:eastAsia="Arial" w:hAnsi="Verdana" w:cs="Arial"/>
          <w:lang w:val="es-ES_tradnl"/>
        </w:rPr>
        <w:lastRenderedPageBreak/>
        <w:t xml:space="preserve">i) La </w:t>
      </w:r>
      <w:r w:rsidRPr="00967EED">
        <w:rPr>
          <w:rFonts w:ascii="Verdana" w:eastAsia="Arial" w:hAnsi="Verdana" w:cs="Arial"/>
          <w:i/>
          <w:iCs/>
          <w:lang w:val="es-ES_tradnl"/>
        </w:rPr>
        <w:t>mediana empresa</w:t>
      </w:r>
      <w:r w:rsidRPr="00967EED">
        <w:rPr>
          <w:rFonts w:ascii="Verdana" w:eastAsia="Arial" w:hAnsi="Verdana" w:cs="Arial"/>
          <w:lang w:val="es-ES_tradnl"/>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(431.196 UVT) e inferiores o iguales a dos millones ciento sesenta mil seiscientos noventa y dos Unidades de Valor Tributario (2'160 .692 UVT)”.  </w:t>
      </w:r>
    </w:p>
    <w:p w14:paraId="1E8D8A25" w14:textId="77777777" w:rsidR="00986EBC" w:rsidRPr="00967EED" w:rsidRDefault="00986EBC" w:rsidP="00986EBC">
      <w:pPr>
        <w:spacing w:after="120" w:line="276" w:lineRule="auto"/>
        <w:ind w:firstLine="709"/>
        <w:jc w:val="both"/>
        <w:rPr>
          <w:rFonts w:ascii="Verdana" w:eastAsia="Arial" w:hAnsi="Verdana" w:cs="Arial"/>
          <w:lang w:val="es-ES"/>
        </w:rPr>
      </w:pPr>
      <w:proofErr w:type="spellStart"/>
      <w:r w:rsidRPr="037F31CB">
        <w:rPr>
          <w:rFonts w:ascii="Verdana" w:eastAsia="Arial" w:hAnsi="Verdana" w:cs="Arial"/>
          <w:lang w:val="es-ES"/>
        </w:rPr>
        <w:t>ii</w:t>
      </w:r>
      <w:proofErr w:type="spellEnd"/>
      <w:r w:rsidRPr="037F31CB">
        <w:rPr>
          <w:rFonts w:ascii="Verdana" w:eastAsia="Arial" w:hAnsi="Verdana" w:cs="Arial"/>
          <w:lang w:val="es-ES"/>
        </w:rPr>
        <w:t xml:space="preserve">) La </w:t>
      </w:r>
      <w:r w:rsidRPr="037F31CB">
        <w:rPr>
          <w:rFonts w:ascii="Verdana" w:eastAsia="Arial" w:hAnsi="Verdana" w:cs="Arial"/>
          <w:i/>
          <w:iCs/>
          <w:lang w:val="es-ES"/>
        </w:rPr>
        <w:t>pequeña empresa</w:t>
      </w:r>
      <w:r w:rsidRPr="037F31CB">
        <w:rPr>
          <w:rFonts w:ascii="Verdana" w:eastAsia="Arial" w:hAnsi="Verdana" w:cs="Arial"/>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36F97440" w14:textId="77777777" w:rsidR="00986EBC" w:rsidRDefault="00986EBC" w:rsidP="00986EBC">
      <w:pPr>
        <w:spacing w:after="120" w:line="276" w:lineRule="auto"/>
        <w:ind w:firstLine="708"/>
        <w:jc w:val="both"/>
        <w:rPr>
          <w:rFonts w:ascii="Verdana" w:eastAsia="Arial" w:hAnsi="Verdana" w:cs="Arial"/>
          <w:lang w:val="es-MX" w:eastAsia="es-ES" w:bidi="es-ES"/>
        </w:rPr>
      </w:pPr>
      <w:proofErr w:type="spellStart"/>
      <w:r w:rsidRPr="037F31CB">
        <w:rPr>
          <w:rFonts w:ascii="Verdana" w:eastAsia="Arial" w:hAnsi="Verdana" w:cs="Arial"/>
          <w:lang w:val="es-ES"/>
        </w:rPr>
        <w:t>iii</w:t>
      </w:r>
      <w:proofErr w:type="spellEnd"/>
      <w:r w:rsidRPr="037F31CB">
        <w:rPr>
          <w:rFonts w:ascii="Verdana" w:eastAsia="Arial" w:hAnsi="Verdana" w:cs="Arial"/>
          <w:lang w:val="es-ES"/>
        </w:rPr>
        <w:t xml:space="preserve">) La </w:t>
      </w:r>
      <w:r w:rsidRPr="037F31CB">
        <w:rPr>
          <w:rFonts w:ascii="Verdana" w:eastAsia="Arial" w:hAnsi="Verdana" w:cs="Arial"/>
          <w:i/>
          <w:iCs/>
          <w:lang w:val="es-ES"/>
        </w:rPr>
        <w:t>microempresa</w:t>
      </w:r>
      <w:r w:rsidRPr="037F31CB">
        <w:rPr>
          <w:rFonts w:ascii="Verdana" w:eastAsia="Arial" w:hAnsi="Verdana" w:cs="Arial"/>
          <w:lang w:val="es-ES"/>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Tributario (32.988 UVT)”, y en el sector comercio, la que sus “ingresos por actividades ordinarias anuales sean inferiores o iguales a cuarenta y cuatro mil setecientos sesenta y nueve Unidades de Valor Tributario (44.769 UVT)”</w:t>
      </w:r>
      <w:r w:rsidRPr="037F31CB">
        <w:rPr>
          <w:rFonts w:ascii="Verdana" w:hAnsi="Verdana" w:cs="Arial"/>
          <w:vertAlign w:val="superscript"/>
          <w:lang w:val="es-ES"/>
        </w:rPr>
        <w:footnoteReference w:id="4"/>
      </w:r>
      <w:r w:rsidRPr="037F31CB">
        <w:rPr>
          <w:rFonts w:ascii="Verdana" w:eastAsia="Arial" w:hAnsi="Verdana" w:cs="Arial"/>
          <w:lang w:val="es-ES"/>
        </w:rPr>
        <w:t>.</w:t>
      </w:r>
    </w:p>
    <w:p w14:paraId="1AED87AE" w14:textId="77777777" w:rsidR="00986EBC" w:rsidRDefault="00986EBC" w:rsidP="00986EBC">
      <w:pPr>
        <w:spacing w:after="120" w:line="276" w:lineRule="auto"/>
        <w:ind w:firstLine="708"/>
        <w:jc w:val="both"/>
        <w:rPr>
          <w:rFonts w:ascii="Verdana" w:eastAsia="Arial" w:hAnsi="Verdana" w:cs="Arial"/>
          <w:lang w:val="es-MX" w:eastAsia="es-ES" w:bidi="es-ES"/>
        </w:rPr>
      </w:pPr>
      <w:r>
        <w:rPr>
          <w:rFonts w:ascii="Verdana" w:eastAsia="Arial" w:hAnsi="Verdana" w:cs="Arial"/>
          <w:lang w:val="es-MX" w:eastAsia="es-ES" w:bidi="es-ES"/>
        </w:rPr>
        <w:lastRenderedPageBreak/>
        <w:t>Con fundamento en lo anterior, resulta a bien precisar que</w:t>
      </w:r>
      <w:r w:rsidRPr="00AE0E10">
        <w:t xml:space="preserve"> </w:t>
      </w:r>
      <w:r w:rsidRPr="00AE0E10">
        <w:rPr>
          <w:rFonts w:ascii="Verdana" w:eastAsia="Arial" w:hAnsi="Verdana" w:cs="Arial"/>
          <w:lang w:val="es-MX" w:eastAsia="es-ES" w:bidi="es-ES"/>
        </w:rPr>
        <w:t>en virtud del artículo 43 de la Ley 1450 de 2011, que modificó el artículo 2 de la Ley 590 de 2000, y a la luz de las consideraciones contenidas en los párrafos precedentes, puede decirse que solo podrán ser Mipymes las empresas, entendidas estas como las unidades de explotación económica que buscan el reparto de utilidades entre los miembros de la empresa, sin perjuicio de las precisiones que se realizarán más adelante en relación con el artículo 23 de la Ley 2069 de 2020.</w:t>
      </w:r>
      <w:r>
        <w:rPr>
          <w:rFonts w:ascii="Verdana" w:eastAsia="Arial" w:hAnsi="Verdana" w:cs="Arial"/>
          <w:lang w:val="es-MX" w:eastAsia="es-ES" w:bidi="es-ES"/>
        </w:rPr>
        <w:t xml:space="preserve"> </w:t>
      </w:r>
    </w:p>
    <w:p w14:paraId="257ADC2E" w14:textId="77777777" w:rsidR="00986EBC" w:rsidRDefault="00986EBC" w:rsidP="00986EBC">
      <w:pPr>
        <w:spacing w:after="120" w:line="276" w:lineRule="auto"/>
        <w:ind w:firstLine="708"/>
        <w:jc w:val="both"/>
        <w:rPr>
          <w:rFonts w:ascii="Verdana" w:eastAsia="Arial" w:hAnsi="Verdana" w:cs="Arial"/>
          <w:lang w:val="es-MX" w:eastAsia="es-ES" w:bidi="es-ES"/>
        </w:rPr>
      </w:pPr>
      <w:r>
        <w:rPr>
          <w:rFonts w:ascii="Verdana" w:eastAsia="Arial" w:hAnsi="Verdana" w:cs="Arial"/>
          <w:lang w:val="es-MX" w:eastAsia="es-ES" w:bidi="es-ES"/>
        </w:rPr>
        <w:t xml:space="preserve">Así pues y en razón </w:t>
      </w:r>
      <w:r w:rsidRPr="00682448">
        <w:rPr>
          <w:rFonts w:ascii="Verdana" w:eastAsia="Arial" w:hAnsi="Verdana" w:cs="Arial"/>
          <w:lang w:val="es-MX" w:eastAsia="es-ES" w:bidi="es-ES"/>
        </w:rPr>
        <w:t xml:space="preserve">a que las ESAL no persiguen el reparto de utilidades entre sus miembros, sino que su objeto está destinado a realizar una actividad de interés general sin esperar a cambio un reparto de ganancia en proporción a sus utilidades, lo cierto es que estas, por regla general, no podrán acceder a los criterios diferenciales a favor de las Mipymes en el </w:t>
      </w:r>
      <w:r>
        <w:rPr>
          <w:rFonts w:ascii="Verdana" w:eastAsia="Arial" w:hAnsi="Verdana" w:cs="Arial"/>
          <w:lang w:val="es-MX" w:eastAsia="es-ES" w:bidi="es-ES"/>
        </w:rPr>
        <w:t>S</w:t>
      </w:r>
      <w:r w:rsidRPr="00682448">
        <w:rPr>
          <w:rFonts w:ascii="Verdana" w:eastAsia="Arial" w:hAnsi="Verdana" w:cs="Arial"/>
          <w:lang w:val="es-MX" w:eastAsia="es-ES" w:bidi="es-ES"/>
        </w:rPr>
        <w:t xml:space="preserve">istema de </w:t>
      </w:r>
      <w:r>
        <w:rPr>
          <w:rFonts w:ascii="Verdana" w:eastAsia="Arial" w:hAnsi="Verdana" w:cs="Arial"/>
          <w:lang w:val="es-MX" w:eastAsia="es-ES" w:bidi="es-ES"/>
        </w:rPr>
        <w:t>C</w:t>
      </w:r>
      <w:r w:rsidRPr="00682448">
        <w:rPr>
          <w:rFonts w:ascii="Verdana" w:eastAsia="Arial" w:hAnsi="Verdana" w:cs="Arial"/>
          <w:lang w:val="es-MX" w:eastAsia="es-ES" w:bidi="es-ES"/>
        </w:rPr>
        <w:t xml:space="preserve">ompras </w:t>
      </w:r>
      <w:r>
        <w:rPr>
          <w:rFonts w:ascii="Verdana" w:eastAsia="Arial" w:hAnsi="Verdana" w:cs="Arial"/>
          <w:lang w:val="es-MX" w:eastAsia="es-ES" w:bidi="es-ES"/>
        </w:rPr>
        <w:t>P</w:t>
      </w:r>
      <w:r w:rsidRPr="00682448">
        <w:rPr>
          <w:rFonts w:ascii="Verdana" w:eastAsia="Arial" w:hAnsi="Verdana" w:cs="Arial"/>
          <w:lang w:val="es-MX" w:eastAsia="es-ES" w:bidi="es-ES"/>
        </w:rPr>
        <w:t>úblicas, ni podrán participar en los procesos de contratación limitados a Mipymes</w:t>
      </w:r>
      <w:r>
        <w:rPr>
          <w:rFonts w:ascii="Verdana" w:eastAsia="Arial" w:hAnsi="Verdana" w:cs="Arial"/>
          <w:lang w:val="es-MX" w:eastAsia="es-ES" w:bidi="es-ES"/>
        </w:rPr>
        <w:t xml:space="preserve"> regulados en el artículo </w:t>
      </w:r>
      <w:r w:rsidRPr="00C020DD">
        <w:rPr>
          <w:rFonts w:ascii="Verdana" w:eastAsia="Arial" w:hAnsi="Verdana" w:cs="Arial"/>
          <w:lang w:val="es-MX" w:eastAsia="es-ES" w:bidi="es-ES"/>
        </w:rPr>
        <w:t>2.2.1.2.4.2.2</w:t>
      </w:r>
      <w:r>
        <w:rPr>
          <w:rFonts w:ascii="Verdana" w:eastAsia="Arial" w:hAnsi="Verdana" w:cs="Arial"/>
          <w:lang w:val="es-MX" w:eastAsia="es-ES" w:bidi="es-ES"/>
        </w:rPr>
        <w:t xml:space="preserve"> del Decreto 1082 de 2015</w:t>
      </w:r>
      <w:r w:rsidRPr="00682448">
        <w:rPr>
          <w:rFonts w:ascii="Verdana" w:eastAsia="Arial" w:hAnsi="Verdana" w:cs="Arial"/>
          <w:lang w:val="es-MX" w:eastAsia="es-ES" w:bidi="es-ES"/>
        </w:rPr>
        <w:t>. Lo anterior, teniendo en cuenta que no responden al concepto de empresa por no ejercer una actividad con ánimo de lucro, por lo que no resulta jurídicamente válido aplicar a las ESAL las normas dirigidas a las Mipymes</w:t>
      </w:r>
      <w:r>
        <w:rPr>
          <w:rFonts w:ascii="Verdana" w:eastAsia="Arial" w:hAnsi="Verdana" w:cs="Arial"/>
          <w:lang w:val="es-MX" w:eastAsia="es-ES" w:bidi="es-ES"/>
        </w:rPr>
        <w:t>, pero esto no significa que estas no sean personas jurídicas o que no tengan capacidad para contratar, pues esto se les reconoce en el Decreto 092 de 2017 que regula su régimen especial de contratación.</w:t>
      </w:r>
    </w:p>
    <w:p w14:paraId="755D8C80" w14:textId="77777777" w:rsidR="00986EBC" w:rsidRPr="00732E47" w:rsidRDefault="00986EBC" w:rsidP="00986EBC">
      <w:pPr>
        <w:spacing w:after="0"/>
        <w:ind w:firstLine="709"/>
        <w:jc w:val="both"/>
        <w:rPr>
          <w:rFonts w:ascii="Verdana" w:eastAsia="Calibri" w:hAnsi="Verdana" w:cs="Arial"/>
          <w:color w:val="000000" w:themeColor="text1"/>
          <w:lang w:val="es-ES_tradnl"/>
        </w:rPr>
      </w:pPr>
      <w:r w:rsidRPr="00732E47">
        <w:rPr>
          <w:rFonts w:ascii="Verdana" w:hAnsi="Verdana" w:cs="Arial"/>
          <w:color w:val="000000" w:themeColor="text1"/>
          <w:lang w:val="es-ES_tradnl"/>
        </w:rPr>
        <w:t xml:space="preserve">La Ley 2069 de 2020 contiene varias normas en las que se hacen referencias expresas a las cooperativas y las asociaciones mutuales, algunas incluidas en el capítulo alusivo a </w:t>
      </w:r>
      <w:r>
        <w:rPr>
          <w:rFonts w:ascii="Verdana" w:hAnsi="Verdana" w:cs="Arial"/>
          <w:color w:val="000000" w:themeColor="text1"/>
          <w:lang w:val="es-ES_tradnl"/>
        </w:rPr>
        <w:t>S</w:t>
      </w:r>
      <w:r w:rsidRPr="00732E47">
        <w:rPr>
          <w:rFonts w:ascii="Verdana" w:hAnsi="Verdana" w:cs="Arial"/>
          <w:color w:val="000000" w:themeColor="text1"/>
          <w:lang w:val="es-ES_tradnl"/>
        </w:rPr>
        <w:t xml:space="preserve">istemas de </w:t>
      </w:r>
      <w:r>
        <w:rPr>
          <w:rFonts w:ascii="Verdana" w:hAnsi="Verdana" w:cs="Arial"/>
          <w:color w:val="000000" w:themeColor="text1"/>
          <w:lang w:val="es-ES_tradnl"/>
        </w:rPr>
        <w:t>C</w:t>
      </w:r>
      <w:r w:rsidRPr="00732E47">
        <w:rPr>
          <w:rFonts w:ascii="Verdana" w:hAnsi="Verdana" w:cs="Arial"/>
          <w:color w:val="000000" w:themeColor="text1"/>
          <w:lang w:val="es-ES_tradnl"/>
        </w:rPr>
        <w:t xml:space="preserve">ompras </w:t>
      </w:r>
      <w:r>
        <w:rPr>
          <w:rFonts w:ascii="Verdana" w:hAnsi="Verdana" w:cs="Arial"/>
          <w:color w:val="000000" w:themeColor="text1"/>
          <w:lang w:val="es-ES_tradnl"/>
        </w:rPr>
        <w:t>P</w:t>
      </w:r>
      <w:r w:rsidRPr="00732E47">
        <w:rPr>
          <w:rFonts w:ascii="Verdana" w:hAnsi="Verdana" w:cs="Arial"/>
          <w:color w:val="000000" w:themeColor="text1"/>
          <w:lang w:val="es-ES_tradnl"/>
        </w:rPr>
        <w:t>úblicas y otras en el capítulo precedente sobre medidas para la racionalización y simplificación de procesos. Para determinar los efectos de tales disposiciones</w:t>
      </w:r>
      <w:r>
        <w:rPr>
          <w:rFonts w:ascii="Verdana" w:hAnsi="Verdana" w:cs="Arial"/>
          <w:color w:val="000000" w:themeColor="text1"/>
          <w:lang w:val="es-ES_tradnl"/>
        </w:rPr>
        <w:t>,</w:t>
      </w:r>
      <w:r w:rsidRPr="00732E47">
        <w:rPr>
          <w:rFonts w:ascii="Verdana" w:hAnsi="Verdana" w:cs="Arial"/>
          <w:color w:val="000000" w:themeColor="text1"/>
          <w:lang w:val="es-ES_tradnl"/>
        </w:rPr>
        <w:t xml:space="preserve"> es necesario precisar los conceptos de estas modalidades asociativas. De esta manera, e</w:t>
      </w:r>
      <w:r w:rsidRPr="00732E47">
        <w:rPr>
          <w:rFonts w:ascii="Verdana" w:eastAsia="Calibri" w:hAnsi="Verdana" w:cs="Arial"/>
          <w:color w:val="000000" w:themeColor="text1"/>
          <w:lang w:val="es-ES_tradnl"/>
        </w:rPr>
        <w:t>l artículo 2 de la Ley 2143 de 2021 actualmente establece la definición y naturaleza de las asociaciones mutualistas, estableciendo que:</w:t>
      </w:r>
    </w:p>
    <w:p w14:paraId="20E408C2" w14:textId="77777777" w:rsidR="00986EBC" w:rsidRPr="00732E47" w:rsidRDefault="00986EBC" w:rsidP="00986EBC">
      <w:pPr>
        <w:spacing w:after="0" w:line="276" w:lineRule="auto"/>
        <w:ind w:left="709" w:right="760"/>
        <w:jc w:val="both"/>
        <w:rPr>
          <w:rFonts w:ascii="Verdana" w:hAnsi="Verdana" w:cs="Arial"/>
          <w:color w:val="000000" w:themeColor="text1"/>
          <w:lang w:val="es-ES_tradnl"/>
        </w:rPr>
      </w:pPr>
    </w:p>
    <w:p w14:paraId="6730B07F" w14:textId="77777777" w:rsidR="00986EBC" w:rsidRPr="00B62054" w:rsidRDefault="00986EBC" w:rsidP="00986EBC">
      <w:pPr>
        <w:spacing w:after="0" w:line="240" w:lineRule="auto"/>
        <w:ind w:left="709" w:right="709"/>
        <w:jc w:val="both"/>
        <w:rPr>
          <w:rFonts w:ascii="Verdana" w:hAnsi="Verdana" w:cs="Arial"/>
          <w:color w:val="000000" w:themeColor="text1"/>
          <w:sz w:val="20"/>
          <w:szCs w:val="20"/>
          <w:lang w:val="es-ES_tradnl"/>
        </w:rPr>
      </w:pPr>
      <w:r w:rsidRPr="00732E47">
        <w:rPr>
          <w:rFonts w:ascii="Verdana" w:hAnsi="Verdana" w:cs="Arial"/>
          <w:i/>
          <w:iCs/>
          <w:color w:val="000000" w:themeColor="text1"/>
          <w:sz w:val="20"/>
          <w:szCs w:val="20"/>
          <w:lang w:val="es-ES_tradnl"/>
        </w:rPr>
        <w:t>“</w:t>
      </w:r>
      <w:r w:rsidRPr="00B62054">
        <w:rPr>
          <w:rFonts w:ascii="Verdana" w:hAnsi="Verdana" w:cs="Arial"/>
          <w:color w:val="000000" w:themeColor="text1"/>
          <w:sz w:val="20"/>
          <w:szCs w:val="20"/>
          <w:lang w:val="es-ES_tradnl"/>
        </w:rPr>
        <w:t xml:space="preserve">Las asociaciones mutualistas son empresas de economía solidaria, de derecho privado, cuya naturaleza es sin ánimo de lucro, inspiradas en la solidaridad, con fines de interés social, constituidas libre y democráticamente por la asociación de personas naturales, personas jurídicas sin ánimo de lucro, o la mezcla de las anteriores, que se comprometen a realizar contribuciones al fondo social mutual, con el objeto de ayudarse mutuamente para la satisfacción de sus necesidades y de la comunidad en general, siempre en razón del interés social o del bienestar colectivo. </w:t>
      </w:r>
    </w:p>
    <w:p w14:paraId="51EFF6EA" w14:textId="77777777" w:rsidR="00986EBC" w:rsidRPr="00732E47" w:rsidRDefault="00986EBC" w:rsidP="00986EBC">
      <w:pPr>
        <w:spacing w:after="0" w:line="240" w:lineRule="auto"/>
        <w:ind w:left="709" w:right="709"/>
        <w:jc w:val="both"/>
        <w:rPr>
          <w:rFonts w:ascii="Verdana" w:hAnsi="Verdana" w:cs="Arial"/>
          <w:color w:val="000000" w:themeColor="text1"/>
          <w:sz w:val="20"/>
          <w:szCs w:val="20"/>
          <w:lang w:val="es-ES_tradnl"/>
        </w:rPr>
      </w:pPr>
    </w:p>
    <w:p w14:paraId="7DE055BB" w14:textId="77777777" w:rsidR="00986EBC" w:rsidRPr="00732E47" w:rsidRDefault="00986EBC" w:rsidP="00986EBC">
      <w:pPr>
        <w:spacing w:after="0" w:line="240" w:lineRule="auto"/>
        <w:ind w:left="709" w:right="709"/>
        <w:jc w:val="both"/>
        <w:rPr>
          <w:rFonts w:ascii="Verdana" w:eastAsia="Calibri" w:hAnsi="Verdana" w:cs="Arial"/>
          <w:color w:val="000000" w:themeColor="text1"/>
          <w:sz w:val="20"/>
          <w:szCs w:val="20"/>
          <w:lang w:val="es-ES_tradnl"/>
        </w:rPr>
      </w:pPr>
      <w:r w:rsidRPr="00732E47">
        <w:rPr>
          <w:rFonts w:ascii="Verdana" w:hAnsi="Verdana" w:cs="Arial"/>
          <w:color w:val="000000" w:themeColor="text1"/>
          <w:sz w:val="20"/>
          <w:szCs w:val="20"/>
          <w:lang w:val="es-ES_tradnl"/>
        </w:rPr>
        <w:lastRenderedPageBreak/>
        <w:t>Las asociaciones mutualistas podrán realizar todo tipo de actividades relacionadas con la previsión, la promoción, la protección social, así como constituir y organizar emprendimientos asociativos para la producción de bienes y otros servicios buscando el mejoramiento económico, cultural y social de sus asociados y la comunidad”</w:t>
      </w:r>
      <w:r w:rsidRPr="00732E47">
        <w:rPr>
          <w:rFonts w:ascii="Verdana" w:eastAsia="Calibri" w:hAnsi="Verdana" w:cs="Arial"/>
          <w:color w:val="000000" w:themeColor="text1"/>
          <w:sz w:val="20"/>
          <w:szCs w:val="20"/>
          <w:lang w:val="es-ES_tradnl"/>
        </w:rPr>
        <w:t>.</w:t>
      </w:r>
    </w:p>
    <w:p w14:paraId="2245E843" w14:textId="77777777" w:rsidR="00986EBC" w:rsidRPr="00732E47" w:rsidRDefault="00986EBC" w:rsidP="00986EBC">
      <w:pPr>
        <w:spacing w:after="0" w:line="276" w:lineRule="auto"/>
        <w:ind w:left="709" w:right="709"/>
        <w:jc w:val="both"/>
        <w:rPr>
          <w:rFonts w:ascii="Verdana" w:eastAsia="Calibri" w:hAnsi="Verdana" w:cs="Arial"/>
          <w:color w:val="000000" w:themeColor="text1"/>
          <w:lang w:val="es-ES_tradnl"/>
        </w:rPr>
      </w:pPr>
    </w:p>
    <w:p w14:paraId="6EEC1998" w14:textId="77777777" w:rsidR="00986EBC" w:rsidRPr="00732E47" w:rsidRDefault="00986EBC" w:rsidP="00986EBC">
      <w:pPr>
        <w:spacing w:after="120" w:line="276" w:lineRule="auto"/>
        <w:jc w:val="both"/>
        <w:rPr>
          <w:rFonts w:ascii="Verdana" w:eastAsia="Calibri" w:hAnsi="Verdana" w:cs="Arial"/>
          <w:color w:val="000000" w:themeColor="text1"/>
          <w:lang w:val="es-ES_tradnl"/>
        </w:rPr>
      </w:pPr>
      <w:r w:rsidRPr="00732E47">
        <w:rPr>
          <w:rFonts w:ascii="Verdana" w:eastAsia="Calibri" w:hAnsi="Verdana" w:cs="Arial"/>
          <w:color w:val="000000" w:themeColor="text1"/>
          <w:lang w:val="es-ES_tradnl"/>
        </w:rPr>
        <w:tab/>
        <w:t>Además de lo anterior, la Ley 2143 de 2021, “por la cual se dota a las asociaciones mutualistas de identidad, autonomía y vinculación a la economía del país como empresas solidarias y se establecen otras disposiciones”, se encarga de regular el régimen de las asociaciones mutualistas, siendo importante destacar que estas son concebidas como empresas de economía solidaria.</w:t>
      </w:r>
    </w:p>
    <w:p w14:paraId="729ED274" w14:textId="77777777" w:rsidR="00986EBC" w:rsidRPr="00732E47" w:rsidRDefault="00986EBC" w:rsidP="00986EBC">
      <w:pPr>
        <w:spacing w:after="120" w:line="276" w:lineRule="auto"/>
        <w:jc w:val="both"/>
        <w:rPr>
          <w:rFonts w:ascii="Verdana" w:eastAsia="Calibri" w:hAnsi="Verdana" w:cs="Arial"/>
          <w:color w:val="000000" w:themeColor="text1"/>
          <w:lang w:val="es-ES_tradnl"/>
        </w:rPr>
      </w:pPr>
      <w:r w:rsidRPr="00732E47">
        <w:rPr>
          <w:rFonts w:ascii="Verdana" w:eastAsia="Calibri" w:hAnsi="Verdana" w:cs="Arial"/>
          <w:color w:val="000000" w:themeColor="text1"/>
          <w:lang w:val="es-ES_tradnl"/>
        </w:rPr>
        <w:tab/>
        <w:t>Por otro lado, el artículo 4 de la Ley 79 de 1988 establece que “</w:t>
      </w:r>
      <w:r>
        <w:rPr>
          <w:rFonts w:ascii="Verdana" w:eastAsia="Calibri" w:hAnsi="Verdana" w:cs="Arial"/>
          <w:color w:val="000000" w:themeColor="text1"/>
          <w:lang w:val="es-ES_tradnl"/>
        </w:rPr>
        <w:t>[e]</w:t>
      </w:r>
      <w:r w:rsidRPr="00732E47">
        <w:rPr>
          <w:rFonts w:ascii="Verdana" w:eastAsia="Calibri" w:hAnsi="Verdana" w:cs="Arial"/>
          <w:color w:val="000000" w:themeColor="text1"/>
          <w:lang w:val="es-ES_tradnl"/>
        </w:rPr>
        <w:t>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 El artículo 14 de la Ley 79 de 1988</w:t>
      </w:r>
      <w:r w:rsidRPr="00732E47">
        <w:rPr>
          <w:rFonts w:ascii="Verdana" w:hAnsi="Verdana" w:cs="Arial"/>
          <w:color w:val="000000" w:themeColor="text1"/>
          <w:vertAlign w:val="superscript"/>
          <w:lang w:val="es-ES_tradnl"/>
        </w:rPr>
        <w:footnoteReference w:id="5"/>
      </w:r>
      <w:r w:rsidRPr="00732E47">
        <w:rPr>
          <w:rFonts w:ascii="Verdana" w:eastAsia="Calibri" w:hAnsi="Verdana" w:cs="Arial"/>
          <w:color w:val="000000" w:themeColor="text1"/>
          <w:lang w:val="es-ES_tradnl"/>
        </w:rPr>
        <w:t xml:space="preserve"> establece que las cooperativas deben ser constituidas en asamblea en la que se aprueben sus estatutos, se conformen los órganos de administración y se levante acta suscrita por un mínimo de veinte (20) fundadores. No obstante, de manera análoga a lo dispuesto por el artículo 20 de la Ley 2069 de 2020 respecto de las asociaciones mutuales, el artículo 22 de dicha norma modifica el número mínimo de socios fundadores, reduciéndolo a tres (3), disponiendo, además, algunas medidas dirigidas a regular la concentración de la participación en las cooperativas con menos de diez (10) socios</w:t>
      </w:r>
      <w:r w:rsidRPr="00732E47">
        <w:rPr>
          <w:rFonts w:ascii="Verdana" w:hAnsi="Verdana" w:cs="Arial"/>
          <w:color w:val="000000" w:themeColor="text1"/>
          <w:vertAlign w:val="superscript"/>
          <w:lang w:val="es-ES_tradnl"/>
        </w:rPr>
        <w:footnoteReference w:id="6"/>
      </w:r>
      <w:r w:rsidRPr="00732E47">
        <w:rPr>
          <w:rFonts w:ascii="Verdana" w:eastAsia="Calibri" w:hAnsi="Verdana" w:cs="Arial"/>
          <w:color w:val="000000" w:themeColor="text1"/>
          <w:lang w:val="es-ES_tradnl"/>
        </w:rPr>
        <w:t>.</w:t>
      </w:r>
    </w:p>
    <w:p w14:paraId="51FC9E41" w14:textId="77777777" w:rsidR="00986EBC" w:rsidRPr="00732E47" w:rsidRDefault="00986EBC" w:rsidP="00986EBC">
      <w:pPr>
        <w:spacing w:after="120" w:line="276" w:lineRule="auto"/>
        <w:jc w:val="both"/>
        <w:rPr>
          <w:rFonts w:ascii="Verdana" w:eastAsia="Calibri" w:hAnsi="Verdana" w:cs="Arial"/>
          <w:color w:val="000000" w:themeColor="text1"/>
          <w:lang w:val="es-ES_tradnl"/>
        </w:rPr>
      </w:pPr>
      <w:r w:rsidRPr="00732E47">
        <w:rPr>
          <w:rFonts w:ascii="Verdana" w:eastAsia="Calibri" w:hAnsi="Verdana" w:cs="Arial"/>
          <w:color w:val="000000" w:themeColor="text1"/>
          <w:lang w:val="es-ES_tradnl"/>
        </w:rPr>
        <w:lastRenderedPageBreak/>
        <w:tab/>
      </w:r>
      <w:r>
        <w:rPr>
          <w:rFonts w:ascii="Verdana" w:eastAsia="Calibri" w:hAnsi="Verdana" w:cs="Arial"/>
          <w:color w:val="000000" w:themeColor="text1"/>
          <w:lang w:val="es-ES_tradnl"/>
        </w:rPr>
        <w:t>Adicionalmente, e</w:t>
      </w:r>
      <w:r w:rsidRPr="00732E47">
        <w:rPr>
          <w:rFonts w:ascii="Verdana" w:eastAsia="Calibri" w:hAnsi="Verdana" w:cs="Arial"/>
          <w:color w:val="000000" w:themeColor="text1"/>
          <w:lang w:val="es-ES_tradnl"/>
        </w:rPr>
        <w:t>s necesario destacar que tanto las asociaciones mutualistas como las cooperativas tienen la calidad de empresas de economía solidaria de conformidad con el artículo 6 de la Ley 454 de 1998</w:t>
      </w:r>
      <w:r w:rsidRPr="00732E47">
        <w:rPr>
          <w:rFonts w:ascii="Verdana" w:hAnsi="Verdana" w:cs="Arial"/>
          <w:color w:val="000000" w:themeColor="text1"/>
          <w:vertAlign w:val="superscript"/>
          <w:lang w:val="es-ES_tradnl"/>
        </w:rPr>
        <w:footnoteReference w:id="7"/>
      </w:r>
      <w:r w:rsidRPr="00732E47">
        <w:rPr>
          <w:rFonts w:ascii="Verdana" w:eastAsia="Calibri" w:hAnsi="Verdana" w:cs="Arial"/>
          <w:color w:val="000000" w:themeColor="text1"/>
          <w:lang w:val="es-ES_tradnl"/>
        </w:rPr>
        <w:t xml:space="preserve">, lo que además </w:t>
      </w:r>
      <w:r w:rsidRPr="00732E47">
        <w:rPr>
          <w:rFonts w:ascii="Verdana" w:eastAsia="Calibri" w:hAnsi="Verdana" w:cs="Arial"/>
          <w:color w:val="000000" w:themeColor="text1"/>
          <w:lang w:val="es-ES_tradnl"/>
        </w:rPr>
        <w:lastRenderedPageBreak/>
        <w:t xml:space="preserve">es confirmado por la Ley 2143 de 2021 respecto de las asociaciones mutualistas. De esta manera, el artículo 2 de la Ley 454 de 1998 define la economía solidaria como el “sistema socioeconómico, cultural y ambiental conformado por el conjunto de fuerzas sociales organizadas en formas asociativas identificadas por prácticas autogestionarias solidarias, democráticas y humanistas, sin ánimo de lucro para el desarrollo integral del ser humano como sujeto, actor y fin de la economía”. </w:t>
      </w:r>
    </w:p>
    <w:p w14:paraId="63501607" w14:textId="77777777" w:rsidR="00986EBC" w:rsidRPr="00967EED" w:rsidRDefault="00986EBC" w:rsidP="00986EBC">
      <w:pPr>
        <w:spacing w:after="120" w:line="276" w:lineRule="auto"/>
        <w:ind w:firstLine="708"/>
        <w:jc w:val="both"/>
        <w:rPr>
          <w:rFonts w:ascii="Verdana" w:eastAsia="Calibri" w:hAnsi="Verdana" w:cs="Arial"/>
          <w:color w:val="000000" w:themeColor="text1"/>
          <w:lang w:val="es-ES"/>
        </w:rPr>
      </w:pPr>
      <w:r>
        <w:rPr>
          <w:rFonts w:ascii="Verdana" w:eastAsia="Arial" w:hAnsi="Verdana" w:cs="Arial"/>
          <w:lang w:val="es-MX" w:eastAsia="es-ES" w:bidi="es-ES"/>
        </w:rPr>
        <w:t xml:space="preserve">En consecuencia, el artículo 23 de la Ley 2069 de 2020, </w:t>
      </w:r>
      <w:r w:rsidRPr="037F31CB">
        <w:rPr>
          <w:rFonts w:ascii="Verdana" w:eastAsia="Calibri" w:hAnsi="Verdana" w:cs="Arial"/>
          <w:color w:val="000000" w:themeColor="text1"/>
          <w:lang w:val="es-ES"/>
        </w:rPr>
        <w:t xml:space="preserve">para efectos de la aplicación de su contenido, asimila las cooperativas y las </w:t>
      </w:r>
      <w:r w:rsidRPr="037F31CB">
        <w:rPr>
          <w:rFonts w:ascii="Verdana" w:eastAsia="Calibri" w:hAnsi="Verdana" w:cs="Arial"/>
          <w:i/>
          <w:iCs/>
          <w:color w:val="000000" w:themeColor="text1"/>
          <w:lang w:val="es-ES"/>
        </w:rPr>
        <w:t>demás entidades de economía solidaria</w:t>
      </w:r>
      <w:r w:rsidRPr="037F31CB">
        <w:rPr>
          <w:rFonts w:ascii="Verdana" w:eastAsia="Calibri" w:hAnsi="Verdana" w:cs="Arial"/>
          <w:color w:val="000000" w:themeColor="text1"/>
          <w:lang w:val="es-ES"/>
        </w:rPr>
        <w:t xml:space="preserve"> a empresas –dentro de las cuales se encuentran las asociaciones mutualistas–, disponiendo, además, que estas deberán ser clasificadas como Mipymes, de conformidad con el artículo 2 de la Ley 590 de 2000 y el Decreto 957 de 2019, los cuales desarrollan la clasificación en las categorías micro, pequeña y mediana en función del tamaño empresarial</w:t>
      </w:r>
      <w:r w:rsidRPr="037F31CB">
        <w:rPr>
          <w:rFonts w:ascii="Verdana" w:hAnsi="Verdana" w:cs="Arial"/>
          <w:color w:val="000000" w:themeColor="text1"/>
          <w:vertAlign w:val="superscript"/>
          <w:lang w:val="es-ES"/>
        </w:rPr>
        <w:footnoteReference w:id="8"/>
      </w:r>
      <w:r w:rsidRPr="037F31CB">
        <w:rPr>
          <w:rFonts w:ascii="Verdana" w:eastAsia="Calibri" w:hAnsi="Verdana" w:cs="Arial"/>
          <w:color w:val="000000" w:themeColor="text1"/>
          <w:lang w:val="es-ES"/>
        </w:rPr>
        <w:t xml:space="preserve">. El principal efecto de esta norma es que, a las cooperativas, las asociaciones mutualistas y a las demás entidades de economía solidaria –al ser consideradas como </w:t>
      </w:r>
      <w:proofErr w:type="spellStart"/>
      <w:r w:rsidRPr="037F31CB">
        <w:rPr>
          <w:rFonts w:ascii="Verdana" w:eastAsia="Calibri" w:hAnsi="Verdana" w:cs="Arial"/>
          <w:color w:val="000000" w:themeColor="text1"/>
          <w:lang w:val="es-ES"/>
        </w:rPr>
        <w:t>Mipyme</w:t>
      </w:r>
      <w:proofErr w:type="spellEnd"/>
      <w:r w:rsidRPr="037F31CB">
        <w:rPr>
          <w:rFonts w:ascii="Verdana" w:eastAsia="Calibri" w:hAnsi="Verdana" w:cs="Arial"/>
          <w:color w:val="000000" w:themeColor="text1"/>
          <w:lang w:val="es-ES"/>
        </w:rPr>
        <w:t>– les son aplicables las disposiciones alusivas a estas contenidas en la Ley 2069 de 2020.</w:t>
      </w:r>
    </w:p>
    <w:p w14:paraId="1269F266" w14:textId="77777777" w:rsidR="00986EBC" w:rsidRPr="00967EED" w:rsidRDefault="00986EBC" w:rsidP="00986EBC">
      <w:pPr>
        <w:spacing w:after="120" w:line="276" w:lineRule="auto"/>
        <w:ind w:firstLine="708"/>
        <w:jc w:val="both"/>
        <w:rPr>
          <w:rFonts w:ascii="Verdana" w:eastAsia="Calibri" w:hAnsi="Verdana" w:cs="Arial"/>
          <w:color w:val="000000" w:themeColor="text1"/>
          <w:lang w:val="es-ES"/>
        </w:rPr>
      </w:pPr>
      <w:r w:rsidRPr="037F31CB">
        <w:rPr>
          <w:rFonts w:ascii="Verdana" w:eastAsia="Calibri" w:hAnsi="Verdana" w:cs="Arial"/>
          <w:color w:val="000000" w:themeColor="text1"/>
          <w:lang w:val="es-ES"/>
        </w:rPr>
        <w:t xml:space="preserve">Es necesario mencionar que la asimilación dispuesta por el artículo 23 </w:t>
      </w:r>
      <w:r w:rsidRPr="007775CC">
        <w:rPr>
          <w:rFonts w:ascii="Verdana" w:eastAsia="Calibri" w:hAnsi="Verdana" w:cs="Arial"/>
          <w:color w:val="000000" w:themeColor="text1"/>
          <w:lang w:val="es-ES"/>
        </w:rPr>
        <w:t>ibidem</w:t>
      </w:r>
      <w:r w:rsidRPr="037F31CB">
        <w:rPr>
          <w:rFonts w:ascii="Verdana" w:eastAsia="Calibri" w:hAnsi="Verdana" w:cs="Arial"/>
          <w:i/>
          <w:iCs/>
          <w:color w:val="000000" w:themeColor="text1"/>
          <w:lang w:val="es-ES"/>
        </w:rPr>
        <w:t xml:space="preserve"> </w:t>
      </w:r>
      <w:r w:rsidRPr="037F31CB">
        <w:rPr>
          <w:rFonts w:ascii="Verdana" w:eastAsia="Calibri" w:hAnsi="Verdana" w:cs="Arial"/>
          <w:color w:val="000000" w:themeColor="text1"/>
          <w:lang w:val="es-ES"/>
        </w:rPr>
        <w:t xml:space="preserve">no implica una alteración sustantiva de la naturaleza jurídica de las asociaciones mutualistas, las cooperativas y las empresas de economía solidaria, concebidas por la ley como entidades sin ánimo de lucro, toda vez que tal asimilación está circunscrita a la aplicación de las materias reguladas por la Ley 2069 de 2020. En ese sentido, el mandato de considerar este tipo de entidades como empresas y clasificarlas como </w:t>
      </w:r>
      <w:proofErr w:type="spellStart"/>
      <w:r w:rsidRPr="037F31CB">
        <w:rPr>
          <w:rFonts w:ascii="Verdana" w:eastAsia="Calibri" w:hAnsi="Verdana" w:cs="Arial"/>
          <w:color w:val="000000" w:themeColor="text1"/>
          <w:lang w:val="es-ES"/>
        </w:rPr>
        <w:t>Mipyme</w:t>
      </w:r>
      <w:proofErr w:type="spellEnd"/>
      <w:r w:rsidRPr="037F31CB">
        <w:rPr>
          <w:rFonts w:ascii="Verdana" w:eastAsia="Calibri" w:hAnsi="Verdana" w:cs="Arial"/>
          <w:color w:val="000000" w:themeColor="text1"/>
          <w:lang w:val="es-ES"/>
        </w:rPr>
        <w:t xml:space="preserve"> es </w:t>
      </w:r>
      <w:proofErr w:type="gramStart"/>
      <w:r w:rsidRPr="037F31CB">
        <w:rPr>
          <w:rFonts w:ascii="Verdana" w:eastAsia="Calibri" w:hAnsi="Verdana" w:cs="Arial"/>
          <w:color w:val="000000" w:themeColor="text1"/>
          <w:lang w:val="es-ES"/>
        </w:rPr>
        <w:t>una acción tendiente a vincularlas</w:t>
      </w:r>
      <w:proofErr w:type="gramEnd"/>
      <w:r w:rsidRPr="037F31CB">
        <w:rPr>
          <w:rFonts w:ascii="Verdana" w:eastAsia="Calibri" w:hAnsi="Verdana" w:cs="Arial"/>
          <w:color w:val="000000" w:themeColor="text1"/>
          <w:lang w:val="es-ES"/>
        </w:rPr>
        <w:t xml:space="preserve"> como proveedoras del mercado de compra pública dentro del ámbito </w:t>
      </w:r>
      <w:r w:rsidRPr="037F31CB">
        <w:rPr>
          <w:rFonts w:ascii="Verdana" w:eastAsia="Calibri" w:hAnsi="Verdana" w:cs="Arial"/>
          <w:color w:val="000000" w:themeColor="text1"/>
          <w:lang w:val="es-ES"/>
        </w:rPr>
        <w:lastRenderedPageBreak/>
        <w:t xml:space="preserve">de explotación económica que la ley les ha concedido a estas entidades del sector solidario, el cual ha sido ampliado por la Ley 2069 de 2020. </w:t>
      </w:r>
    </w:p>
    <w:p w14:paraId="0584DD18" w14:textId="77777777" w:rsidR="00986EBC" w:rsidRPr="00967EED" w:rsidRDefault="00986EBC" w:rsidP="00986EBC">
      <w:pPr>
        <w:spacing w:after="120" w:line="276" w:lineRule="auto"/>
        <w:jc w:val="both"/>
        <w:rPr>
          <w:rFonts w:ascii="Verdana" w:hAnsi="Verdana" w:cs="Arial"/>
          <w:color w:val="000000" w:themeColor="text1"/>
          <w:lang w:val="es-ES"/>
        </w:rPr>
      </w:pPr>
      <w:r w:rsidRPr="00967EED">
        <w:rPr>
          <w:rFonts w:ascii="Verdana" w:eastAsia="Calibri" w:hAnsi="Verdana" w:cs="Arial"/>
          <w:color w:val="000000" w:themeColor="text1"/>
          <w:lang w:val="es-ES_tradnl"/>
        </w:rPr>
        <w:tab/>
      </w:r>
      <w:r w:rsidRPr="037F31CB">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de ESAL, se distinguen de la generalidad de las entidades sin ánimo de lucro</w:t>
      </w:r>
      <w:r w:rsidRPr="037F31CB">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5522915F" w14:textId="77777777" w:rsidR="00986EBC" w:rsidRDefault="00986EBC" w:rsidP="00986EBC">
      <w:pPr>
        <w:spacing w:after="120" w:line="276" w:lineRule="auto"/>
        <w:ind w:firstLine="708"/>
        <w:jc w:val="both"/>
        <w:rPr>
          <w:rFonts w:ascii="Verdana" w:eastAsia="Arial" w:hAnsi="Verdana" w:cs="Arial"/>
          <w:lang w:val="es-MX" w:eastAsia="es-ES" w:bidi="es-ES"/>
        </w:rPr>
      </w:pPr>
      <w:r>
        <w:rPr>
          <w:rFonts w:ascii="Verdana" w:eastAsia="Arial" w:hAnsi="Verdana" w:cs="Arial"/>
          <w:lang w:val="es-MX" w:eastAsia="es-ES" w:bidi="es-ES"/>
        </w:rPr>
        <w:t xml:space="preserve">De esta forma, tal como se desprende del inciso primero y del numeral 1 del </w:t>
      </w:r>
      <w:r w:rsidRPr="008933C5">
        <w:rPr>
          <w:rFonts w:ascii="Verdana" w:eastAsia="Arial" w:hAnsi="Verdana" w:cs="Arial"/>
          <w:lang w:val="es-MX" w:eastAsia="es-ES" w:bidi="es-ES"/>
        </w:rPr>
        <w:t xml:space="preserve">artículo 6 de la Ley 454 de 1998, las entidades de economía solidaria se caracterizan porque sus trabajadores y/o usuarios son simultáneamente sus aportantes y gestores, siendo además creadas con el objeto de producir, distribuir y consumir conjuntamente bienes y servicios para satisfacer las necesidades de sus miembros y desarrollar obras de servicio a la comunidad en general, para lo cual deben estar constituidas como empresas.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2A2FD76F" w14:textId="77777777" w:rsidR="00986EBC" w:rsidRDefault="00986EBC" w:rsidP="00986EBC">
      <w:pPr>
        <w:spacing w:after="120" w:line="276" w:lineRule="auto"/>
        <w:ind w:firstLine="708"/>
        <w:jc w:val="both"/>
        <w:rPr>
          <w:rFonts w:ascii="Verdana" w:eastAsia="Times New Roman" w:hAnsi="Verdana" w:cs="Arial"/>
          <w:lang w:eastAsia="es-MX"/>
        </w:rPr>
      </w:pPr>
      <w:r>
        <w:rPr>
          <w:rFonts w:ascii="Verdana" w:hAnsi="Verdana" w:cs="Arial"/>
          <w:color w:val="000000" w:themeColor="text1"/>
          <w:lang w:val="es-ES"/>
        </w:rPr>
        <w:t>Así las cosas</w:t>
      </w:r>
      <w:r w:rsidRPr="00967EED">
        <w:rPr>
          <w:rFonts w:ascii="Verdana" w:eastAsia="Calibri" w:hAnsi="Verdana" w:cs="Arial"/>
          <w:color w:val="000000" w:themeColor="text1"/>
          <w:lang w:val="es-ES_tradnl"/>
        </w:rPr>
        <w:t xml:space="preserve">, la entrada en vigor del artículo 23 de la Ley 2069 de 2020 avala la posibilidad de que cooperativas, asociaciones mutuales y demás entes considerados de economía solidaria, según el artículo 6 de la Ley 454 de 1998 –al que alude el propio artículo 23 de la Ley de Emprendimiento–, que sean clasificados como Mipymes, puedan ser beneficiarias de los criterios diferenciales </w:t>
      </w:r>
      <w:r>
        <w:rPr>
          <w:rFonts w:ascii="Verdana" w:eastAsia="Calibri" w:hAnsi="Verdana" w:cs="Arial"/>
          <w:color w:val="000000" w:themeColor="text1"/>
          <w:lang w:val="es-ES_tradnl"/>
        </w:rPr>
        <w:t xml:space="preserve">y beneficios </w:t>
      </w:r>
      <w:r w:rsidRPr="00967EED">
        <w:rPr>
          <w:rFonts w:ascii="Verdana" w:eastAsia="Calibri" w:hAnsi="Verdana" w:cs="Arial"/>
          <w:color w:val="000000" w:themeColor="text1"/>
          <w:lang w:val="es-ES_tradnl"/>
        </w:rPr>
        <w:t>incorporados en el artículo 32 de la Ley 2069 de 2020 y regulados en el</w:t>
      </w:r>
      <w:r>
        <w:rPr>
          <w:rFonts w:ascii="Verdana" w:eastAsia="Calibri" w:hAnsi="Verdana" w:cs="Arial"/>
          <w:color w:val="000000" w:themeColor="text1"/>
          <w:lang w:val="es-ES_tradnl"/>
        </w:rPr>
        <w:t xml:space="preserve"> artículo </w:t>
      </w:r>
      <w:bookmarkStart w:id="5" w:name="_Hlk194089059"/>
      <w:r w:rsidRPr="00967EED">
        <w:rPr>
          <w:rFonts w:ascii="Verdana" w:eastAsia="Times New Roman" w:hAnsi="Verdana" w:cs="Arial"/>
          <w:bCs/>
          <w:lang w:eastAsia="es-MX"/>
        </w:rPr>
        <w:t xml:space="preserve">2.2.1.2.4.2.18 </w:t>
      </w:r>
      <w:bookmarkEnd w:id="5"/>
      <w:r>
        <w:rPr>
          <w:rFonts w:ascii="Verdana" w:eastAsia="Times New Roman" w:hAnsi="Verdana" w:cs="Arial"/>
          <w:bCs/>
          <w:lang w:eastAsia="es-MX"/>
        </w:rPr>
        <w:t xml:space="preserve">del Decreto </w:t>
      </w:r>
      <w:r w:rsidRPr="00967EED">
        <w:rPr>
          <w:rFonts w:ascii="Verdana" w:eastAsia="Times New Roman" w:hAnsi="Verdana" w:cs="Arial"/>
          <w:lang w:eastAsia="es-MX"/>
        </w:rPr>
        <w:t>1082 de 2015</w:t>
      </w:r>
      <w:r>
        <w:rPr>
          <w:rFonts w:ascii="Verdana" w:eastAsia="Times New Roman" w:hAnsi="Verdana" w:cs="Arial"/>
          <w:lang w:eastAsia="es-MX"/>
        </w:rPr>
        <w:t xml:space="preserve">, y participen en las convocatorias limitadas reguladas por el artículo </w:t>
      </w:r>
      <w:r w:rsidRPr="00E63121">
        <w:rPr>
          <w:rFonts w:ascii="Verdana" w:eastAsia="Times New Roman" w:hAnsi="Verdana" w:cs="Arial"/>
          <w:lang w:eastAsia="es-MX"/>
        </w:rPr>
        <w:t>2.2.1.2.4.2.2</w:t>
      </w:r>
      <w:r>
        <w:rPr>
          <w:rFonts w:ascii="Verdana" w:eastAsia="Times New Roman" w:hAnsi="Verdana" w:cs="Arial"/>
          <w:lang w:eastAsia="es-MX"/>
        </w:rPr>
        <w:t xml:space="preserve"> ibidem.</w:t>
      </w:r>
    </w:p>
    <w:p w14:paraId="086882B6" w14:textId="77777777" w:rsidR="00986EBC" w:rsidRDefault="00986EBC" w:rsidP="00986EBC">
      <w:pPr>
        <w:spacing w:after="120" w:line="276" w:lineRule="auto"/>
        <w:ind w:firstLine="708"/>
        <w:jc w:val="both"/>
        <w:rPr>
          <w:rFonts w:ascii="Verdana" w:eastAsia="Calibri" w:hAnsi="Verdana" w:cs="Arial"/>
          <w:color w:val="000000" w:themeColor="text1"/>
          <w:lang w:val="es-ES_tradnl"/>
        </w:rPr>
      </w:pPr>
      <w:r>
        <w:rPr>
          <w:rFonts w:ascii="Verdana" w:eastAsia="Times New Roman" w:hAnsi="Verdana" w:cs="Arial"/>
          <w:lang w:eastAsia="es-MX"/>
        </w:rPr>
        <w:t xml:space="preserve">En ese </w:t>
      </w:r>
      <w:r w:rsidRPr="009D4411">
        <w:rPr>
          <w:rFonts w:ascii="Verdana" w:eastAsia="Times New Roman" w:hAnsi="Verdana" w:cs="Arial"/>
          <w:lang w:eastAsia="es-MX"/>
        </w:rPr>
        <w:t>contexto</w:t>
      </w:r>
      <w:r>
        <w:rPr>
          <w:rFonts w:ascii="Verdana" w:eastAsia="Times New Roman" w:hAnsi="Verdana" w:cs="Arial"/>
          <w:lang w:eastAsia="es-MX"/>
        </w:rPr>
        <w:t xml:space="preserve">, </w:t>
      </w:r>
      <w:r w:rsidRPr="009D4411">
        <w:rPr>
          <w:rFonts w:ascii="Verdana" w:eastAsia="Times New Roman" w:hAnsi="Verdana" w:cs="Arial"/>
          <w:lang w:eastAsia="es-MX"/>
        </w:rPr>
        <w:t>si una ESAL como las cooperativas y demás entidades de economía solidaria se clasifican como Mipymes conforme con las disposiciones legales previamente señaladas, podría ser beneficiaria de los criterios diferenciales aplicables a estas en los procesos de contratación pública, esto, siempre y cuando cumpla con las condiciones establecidas en el artículo 2.2.1.2.4.2.4 del Decreto 1082 de 2015.</w:t>
      </w:r>
    </w:p>
    <w:bookmarkEnd w:id="4"/>
    <w:p w14:paraId="2C6B3B3D" w14:textId="77777777" w:rsidR="00986EBC" w:rsidRPr="004675CD" w:rsidRDefault="00986EBC" w:rsidP="00986EBC">
      <w:pPr>
        <w:spacing w:after="120" w:line="276" w:lineRule="auto"/>
        <w:ind w:firstLine="708"/>
        <w:jc w:val="both"/>
        <w:rPr>
          <w:rFonts w:ascii="Verdana" w:eastAsia="Calibri" w:hAnsi="Verdana" w:cs="Arial"/>
        </w:rPr>
      </w:pPr>
      <w:r w:rsidRPr="004675CD">
        <w:rPr>
          <w:rFonts w:ascii="Verdana" w:eastAsia="Calibri" w:hAnsi="Verdana" w:cs="Arial"/>
        </w:rPr>
        <w:lastRenderedPageBreak/>
        <w:t xml:space="preserve">Finalmente, debe advertirse que el análisis requerido para resolver problemas específicos </w:t>
      </w:r>
      <w:r w:rsidRPr="006B795B">
        <w:rPr>
          <w:rFonts w:ascii="Verdana" w:eastAsia="Calibri" w:hAnsi="Verdana" w:cs="Arial"/>
        </w:rPr>
        <w:t xml:space="preserve">en torno a </w:t>
      </w:r>
      <w:r>
        <w:rPr>
          <w:rFonts w:ascii="Verdana" w:eastAsia="Calibri" w:hAnsi="Verdana" w:cs="Arial"/>
        </w:rPr>
        <w:t>la participación de las ESAL en las convocatorias limitadas a Mipymes</w:t>
      </w:r>
      <w:r w:rsidRPr="004675CD">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28CC52B3" w14:textId="77777777" w:rsidR="00986EBC" w:rsidRDefault="00986EBC" w:rsidP="00986EBC">
      <w:pPr>
        <w:spacing w:after="120" w:line="276" w:lineRule="auto"/>
        <w:ind w:firstLine="708"/>
        <w:jc w:val="both"/>
        <w:rPr>
          <w:rFonts w:ascii="Verdana" w:eastAsia="Calibri" w:hAnsi="Verdana" w:cs="Arial"/>
        </w:rPr>
      </w:pPr>
      <w:r w:rsidRPr="004675CD">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418D7811" w14:textId="77777777" w:rsidR="00986EBC" w:rsidRPr="009C1EEE" w:rsidRDefault="00986EBC" w:rsidP="00986EBC">
      <w:pPr>
        <w:widowControl w:val="0"/>
        <w:autoSpaceDE w:val="0"/>
        <w:autoSpaceDN w:val="0"/>
        <w:spacing w:after="0" w:line="276" w:lineRule="auto"/>
        <w:contextualSpacing/>
        <w:jc w:val="both"/>
        <w:rPr>
          <w:rFonts w:ascii="Verdana" w:hAnsi="Verdana" w:cs="Arial"/>
        </w:rPr>
      </w:pPr>
    </w:p>
    <w:p w14:paraId="6B43F240" w14:textId="77777777" w:rsidR="00986EBC" w:rsidRPr="009C1EEE" w:rsidRDefault="00986EBC" w:rsidP="00986EBC">
      <w:pPr>
        <w:widowControl w:val="0"/>
        <w:autoSpaceDE w:val="0"/>
        <w:autoSpaceDN w:val="0"/>
        <w:spacing w:before="1" w:after="0" w:line="240" w:lineRule="auto"/>
        <w:outlineLvl w:val="0"/>
        <w:rPr>
          <w:rFonts w:ascii="Arial" w:eastAsia="Arial" w:hAnsi="Arial" w:cs="Arial"/>
          <w:b/>
          <w:bCs/>
          <w:lang w:val="es-ES"/>
        </w:rPr>
      </w:pPr>
      <w:r w:rsidRPr="009C1EEE">
        <w:rPr>
          <w:rFonts w:ascii="Arial" w:eastAsia="Arial" w:hAnsi="Arial" w:cs="Arial"/>
          <w:b/>
          <w:bCs/>
          <w:lang w:val="es-ES"/>
        </w:rPr>
        <w:t>4.</w:t>
      </w:r>
      <w:r>
        <w:rPr>
          <w:rFonts w:ascii="Arial" w:eastAsia="Arial" w:hAnsi="Arial" w:cs="Arial"/>
          <w:b/>
          <w:bCs/>
          <w:lang w:val="es-ES"/>
        </w:rPr>
        <w:t xml:space="preserve"> </w:t>
      </w:r>
      <w:r w:rsidRPr="009C1EEE">
        <w:rPr>
          <w:rFonts w:ascii="Verdana" w:eastAsia="Arial" w:hAnsi="Verdana" w:cs="Arial"/>
          <w:b/>
          <w:bCs/>
          <w:lang w:val="es-ES"/>
        </w:rPr>
        <w:t>Referencias normativas, jurisprudenciales y otras fuentes:</w:t>
      </w:r>
    </w:p>
    <w:p w14:paraId="28B1656E" w14:textId="77777777" w:rsidR="00986EBC" w:rsidRPr="009C1EEE" w:rsidRDefault="00986EBC" w:rsidP="00986EB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86EBC" w:rsidRPr="009C1EEE" w14:paraId="17A0B6D7" w14:textId="77777777" w:rsidTr="00B337EC">
        <w:trPr>
          <w:trHeight w:val="870"/>
        </w:trPr>
        <w:tc>
          <w:tcPr>
            <w:tcW w:w="8647" w:type="dxa"/>
          </w:tcPr>
          <w:p w14:paraId="388D0142" w14:textId="77777777" w:rsidR="00986EBC" w:rsidRPr="00F65554" w:rsidRDefault="00986EBC" w:rsidP="00986EBC">
            <w:pPr>
              <w:widowControl w:val="0"/>
              <w:numPr>
                <w:ilvl w:val="0"/>
                <w:numId w:val="1"/>
              </w:numPr>
              <w:autoSpaceDE w:val="0"/>
              <w:autoSpaceDN w:val="0"/>
              <w:spacing w:after="120" w:line="276" w:lineRule="auto"/>
              <w:contextualSpacing/>
              <w:jc w:val="both"/>
              <w:rPr>
                <w:rFonts w:ascii="Verdana" w:eastAsia="Aptos" w:hAnsi="Verdana" w:cs="Arial"/>
              </w:rPr>
            </w:pPr>
            <w:r w:rsidRPr="00F65554">
              <w:rPr>
                <w:rFonts w:ascii="Verdana" w:eastAsia="Calibri" w:hAnsi="Verdana" w:cs="Arial"/>
                <w:lang w:val="es-ES"/>
              </w:rPr>
              <w:t xml:space="preserve">Decreto 1082. Artículos 2.2.1.2.4.2.2, 2.2.1.2.4.2.3 y </w:t>
            </w:r>
            <w:r w:rsidRPr="00F65554">
              <w:rPr>
                <w:rFonts w:ascii="Verdana" w:eastAsia="Calibri" w:hAnsi="Verdana" w:cs="Times New Roman"/>
                <w:lang w:val="es-ES"/>
              </w:rPr>
              <w:t xml:space="preserve">2.2.1.2.4.2.4 </w:t>
            </w:r>
          </w:p>
          <w:p w14:paraId="147601B8" w14:textId="77777777" w:rsidR="00986EBC" w:rsidRPr="002F3869" w:rsidRDefault="00986EBC" w:rsidP="00986EBC">
            <w:pPr>
              <w:widowControl w:val="0"/>
              <w:numPr>
                <w:ilvl w:val="0"/>
                <w:numId w:val="1"/>
              </w:numPr>
              <w:autoSpaceDE w:val="0"/>
              <w:autoSpaceDN w:val="0"/>
              <w:spacing w:after="120" w:line="276" w:lineRule="auto"/>
              <w:contextualSpacing/>
              <w:jc w:val="both"/>
              <w:rPr>
                <w:rFonts w:ascii="Verdana" w:eastAsia="Aptos" w:hAnsi="Verdana" w:cs="Arial"/>
              </w:rPr>
            </w:pPr>
            <w:r w:rsidRPr="002F3869">
              <w:rPr>
                <w:rFonts w:ascii="Verdana" w:eastAsia="Aptos" w:hAnsi="Verdana" w:cs="Arial"/>
              </w:rPr>
              <w:t>Ley 79 de 1988, artículo 4.</w:t>
            </w:r>
          </w:p>
          <w:p w14:paraId="0E2CA0ED" w14:textId="77777777" w:rsidR="00986EBC" w:rsidRPr="002F3869" w:rsidRDefault="00986EBC" w:rsidP="00986EBC">
            <w:pPr>
              <w:widowControl w:val="0"/>
              <w:numPr>
                <w:ilvl w:val="0"/>
                <w:numId w:val="1"/>
              </w:numPr>
              <w:autoSpaceDE w:val="0"/>
              <w:autoSpaceDN w:val="0"/>
              <w:spacing w:after="120" w:line="276" w:lineRule="auto"/>
              <w:contextualSpacing/>
              <w:jc w:val="both"/>
              <w:rPr>
                <w:rFonts w:ascii="Verdana" w:eastAsia="Aptos" w:hAnsi="Verdana" w:cs="Arial"/>
              </w:rPr>
            </w:pPr>
            <w:r w:rsidRPr="002F3869">
              <w:rPr>
                <w:rFonts w:ascii="Verdana" w:eastAsia="Aptos" w:hAnsi="Verdana" w:cs="Arial"/>
              </w:rPr>
              <w:t>Ley 454 de 1998, artículos 2 y 6.</w:t>
            </w:r>
          </w:p>
          <w:p w14:paraId="61265699" w14:textId="77777777" w:rsidR="00986EBC" w:rsidRPr="002F3869" w:rsidRDefault="00986EBC" w:rsidP="00986EBC">
            <w:pPr>
              <w:widowControl w:val="0"/>
              <w:numPr>
                <w:ilvl w:val="0"/>
                <w:numId w:val="1"/>
              </w:numPr>
              <w:autoSpaceDE w:val="0"/>
              <w:autoSpaceDN w:val="0"/>
              <w:spacing w:after="120" w:line="276" w:lineRule="auto"/>
              <w:contextualSpacing/>
              <w:jc w:val="both"/>
              <w:rPr>
                <w:rFonts w:ascii="Verdana" w:eastAsia="Aptos" w:hAnsi="Verdana" w:cs="Arial"/>
              </w:rPr>
            </w:pPr>
            <w:r w:rsidRPr="002F3869">
              <w:rPr>
                <w:rFonts w:ascii="Verdana" w:eastAsia="Aptos" w:hAnsi="Verdana" w:cs="Arial"/>
              </w:rPr>
              <w:t>Ley 590 de 2000, artículo 2.</w:t>
            </w:r>
          </w:p>
          <w:p w14:paraId="16D515C2" w14:textId="77777777" w:rsidR="00986EBC" w:rsidRPr="002F3869" w:rsidRDefault="00986EBC" w:rsidP="00986EBC">
            <w:pPr>
              <w:widowControl w:val="0"/>
              <w:numPr>
                <w:ilvl w:val="0"/>
                <w:numId w:val="1"/>
              </w:numPr>
              <w:autoSpaceDE w:val="0"/>
              <w:autoSpaceDN w:val="0"/>
              <w:spacing w:after="120" w:line="276" w:lineRule="auto"/>
              <w:contextualSpacing/>
              <w:jc w:val="both"/>
              <w:rPr>
                <w:rFonts w:ascii="Verdana" w:eastAsia="Aptos" w:hAnsi="Verdana" w:cs="Arial"/>
              </w:rPr>
            </w:pPr>
            <w:r w:rsidRPr="002F3869">
              <w:rPr>
                <w:rFonts w:ascii="Verdana" w:eastAsia="Aptos" w:hAnsi="Verdana" w:cs="Arial"/>
              </w:rPr>
              <w:t>Ley 1450 de 2011, artículo 43.</w:t>
            </w:r>
          </w:p>
          <w:p w14:paraId="07B075B8" w14:textId="77777777" w:rsidR="00986EBC" w:rsidRPr="00A9099A" w:rsidRDefault="00986EBC" w:rsidP="00986EBC">
            <w:pPr>
              <w:widowControl w:val="0"/>
              <w:numPr>
                <w:ilvl w:val="0"/>
                <w:numId w:val="1"/>
              </w:numPr>
              <w:autoSpaceDE w:val="0"/>
              <w:autoSpaceDN w:val="0"/>
              <w:spacing w:after="120" w:line="276" w:lineRule="auto"/>
              <w:contextualSpacing/>
              <w:jc w:val="both"/>
              <w:rPr>
                <w:rFonts w:ascii="Verdana" w:eastAsia="Aptos" w:hAnsi="Verdana" w:cs="Arial"/>
              </w:rPr>
            </w:pPr>
            <w:r>
              <w:rPr>
                <w:rFonts w:ascii="Verdana" w:eastAsia="Aptos" w:hAnsi="Verdana" w:cs="Arial"/>
              </w:rPr>
              <w:t>Decreto 957 de 2019</w:t>
            </w:r>
          </w:p>
        </w:tc>
      </w:tr>
    </w:tbl>
    <w:p w14:paraId="0B9302EB" w14:textId="77777777" w:rsidR="00986EBC" w:rsidRPr="009C1EEE" w:rsidRDefault="00986EBC" w:rsidP="00986EBC">
      <w:pPr>
        <w:widowControl w:val="0"/>
        <w:autoSpaceDE w:val="0"/>
        <w:autoSpaceDN w:val="0"/>
        <w:spacing w:after="0" w:line="276" w:lineRule="auto"/>
        <w:jc w:val="both"/>
        <w:rPr>
          <w:rFonts w:ascii="Verdana" w:hAnsi="Verdana" w:cs="Arial"/>
        </w:rPr>
      </w:pPr>
    </w:p>
    <w:p w14:paraId="21E39650" w14:textId="77777777" w:rsidR="00986EBC" w:rsidRPr="009C1EEE" w:rsidRDefault="00986EBC" w:rsidP="00986EBC">
      <w:pPr>
        <w:widowControl w:val="0"/>
        <w:autoSpaceDE w:val="0"/>
        <w:autoSpaceDN w:val="0"/>
        <w:spacing w:before="1" w:after="0" w:line="240" w:lineRule="auto"/>
        <w:outlineLvl w:val="0"/>
        <w:rPr>
          <w:rFonts w:ascii="Verdana" w:eastAsia="Arial" w:hAnsi="Verdana" w:cs="Arial"/>
          <w:b/>
          <w:bCs/>
          <w:lang w:val="es-ES"/>
        </w:rPr>
      </w:pPr>
      <w:r w:rsidRPr="009C1EEE">
        <w:rPr>
          <w:rFonts w:ascii="Verdana" w:eastAsia="Arial" w:hAnsi="Verdana" w:cs="Arial"/>
          <w:b/>
          <w:bCs/>
          <w:lang w:val="es-ES"/>
        </w:rPr>
        <w:t>5. Doctrina de la Agencia Nacional de Contratación Pública:</w:t>
      </w:r>
    </w:p>
    <w:p w14:paraId="330A4398" w14:textId="77777777" w:rsidR="00986EBC" w:rsidRPr="009C1EEE" w:rsidRDefault="00986EBC" w:rsidP="00986EBC">
      <w:pPr>
        <w:widowControl w:val="0"/>
        <w:autoSpaceDE w:val="0"/>
        <w:autoSpaceDN w:val="0"/>
        <w:spacing w:after="0" w:line="276" w:lineRule="auto"/>
        <w:jc w:val="both"/>
        <w:rPr>
          <w:rFonts w:ascii="Verdana" w:hAnsi="Verdana" w:cs="Arial"/>
        </w:rPr>
      </w:pPr>
    </w:p>
    <w:p w14:paraId="2BCFF177" w14:textId="77777777" w:rsidR="00986EBC" w:rsidRPr="009C1EEE" w:rsidRDefault="00986EBC" w:rsidP="00986EBC">
      <w:pPr>
        <w:widowControl w:val="0"/>
        <w:autoSpaceDE w:val="0"/>
        <w:autoSpaceDN w:val="0"/>
        <w:spacing w:after="0" w:line="276" w:lineRule="auto"/>
        <w:jc w:val="both"/>
        <w:rPr>
          <w:rFonts w:ascii="Verdana" w:hAnsi="Verdana" w:cs="Arial"/>
          <w:shd w:val="clear" w:color="auto" w:fill="FFFFFF"/>
          <w:lang w:val="es-ES"/>
        </w:rPr>
      </w:pPr>
      <w:r w:rsidRPr="006849F1">
        <w:rPr>
          <w:rFonts w:ascii="Verdana" w:hAnsi="Verdana" w:cs="Arial"/>
          <w:shd w:val="clear" w:color="auto" w:fill="FFFFFF"/>
          <w:lang w:val="es-ES"/>
        </w:rPr>
        <w:t xml:space="preserve">Sobre </w:t>
      </w:r>
      <w:r>
        <w:rPr>
          <w:rFonts w:ascii="Verdana" w:hAnsi="Verdana" w:cs="Arial"/>
          <w:shd w:val="clear" w:color="auto" w:fill="FFFFFF"/>
          <w:lang w:val="es-ES"/>
        </w:rPr>
        <w:t>la participación de las ESAL en los procesos limitados a Mipymes</w:t>
      </w:r>
      <w:r w:rsidRPr="00E0520B">
        <w:rPr>
          <w:rFonts w:ascii="Verdana" w:hAnsi="Verdana" w:cs="Arial"/>
          <w:shd w:val="clear" w:color="auto" w:fill="FFFFFF"/>
          <w:lang w:val="es-ES"/>
        </w:rPr>
        <w:t xml:space="preserve">, </w:t>
      </w:r>
      <w:r>
        <w:rPr>
          <w:rFonts w:ascii="Verdana" w:hAnsi="Verdana" w:cs="Arial"/>
          <w:shd w:val="clear" w:color="auto" w:fill="FFFFFF"/>
          <w:lang w:val="es-ES"/>
        </w:rPr>
        <w:t xml:space="preserve">esta Subdirección se manifestó </w:t>
      </w:r>
      <w:r w:rsidRPr="00E0520B">
        <w:rPr>
          <w:rFonts w:ascii="Verdana" w:hAnsi="Verdana" w:cs="Arial"/>
          <w:shd w:val="clear" w:color="auto" w:fill="FFFFFF"/>
          <w:lang w:val="es-ES"/>
        </w:rPr>
        <w:t xml:space="preserve">en </w:t>
      </w:r>
      <w:r>
        <w:rPr>
          <w:rFonts w:ascii="Verdana" w:hAnsi="Verdana" w:cs="Arial"/>
          <w:shd w:val="clear" w:color="auto" w:fill="FFFFFF"/>
          <w:lang w:val="es-ES"/>
        </w:rPr>
        <w:t>los</w:t>
      </w:r>
      <w:r w:rsidRPr="00E0520B">
        <w:rPr>
          <w:rFonts w:ascii="Verdana" w:hAnsi="Verdana" w:cs="Arial"/>
          <w:shd w:val="clear" w:color="auto" w:fill="FFFFFF"/>
          <w:lang w:val="es-ES"/>
        </w:rPr>
        <w:t xml:space="preserve"> concepto</w:t>
      </w:r>
      <w:r>
        <w:rPr>
          <w:rFonts w:ascii="Verdana" w:hAnsi="Verdana" w:cs="Arial"/>
          <w:shd w:val="clear" w:color="auto" w:fill="FFFFFF"/>
          <w:lang w:val="es-ES"/>
        </w:rPr>
        <w:t>s</w:t>
      </w:r>
      <w:r w:rsidRPr="00E0520B">
        <w:rPr>
          <w:rFonts w:ascii="Verdana" w:hAnsi="Verdana" w:cs="Arial"/>
          <w:shd w:val="clear" w:color="auto" w:fill="FFFFFF"/>
          <w:lang w:val="es-ES"/>
        </w:rPr>
        <w:t xml:space="preserve"> </w:t>
      </w:r>
      <w:r w:rsidRPr="008D18AC">
        <w:rPr>
          <w:rFonts w:ascii="Verdana" w:hAnsi="Verdana" w:cs="Arial"/>
          <w:shd w:val="clear" w:color="auto" w:fill="FFFFFF"/>
          <w:lang w:val="es-ES"/>
        </w:rPr>
        <w:t>C-020 del 14 de febrero de 2023, C-587 de septiembre de 2022, C-094 de junio de 2024 y C-206 de agosto de 2024, C-1034 de 19 de diciembre de 2024, C-081 del 19 de febrero de 2025 y C-127 del 11 de marzo de 2025</w:t>
      </w:r>
      <w:r>
        <w:rPr>
          <w:rFonts w:ascii="Verdana" w:hAnsi="Verdana" w:cs="Arial"/>
          <w:shd w:val="clear" w:color="auto" w:fill="FFFFFF"/>
          <w:lang w:val="es-ES"/>
        </w:rPr>
        <w:t>, C-257 del 01 de abril de 2025,</w:t>
      </w:r>
      <w:r w:rsidRPr="00896866">
        <w:rPr>
          <w:rFonts w:ascii="Verdana" w:hAnsi="Verdana" w:cs="Arial"/>
          <w:shd w:val="clear" w:color="auto" w:fill="FFFFFF"/>
          <w:lang w:val="es-ES"/>
        </w:rPr>
        <w:t xml:space="preserve"> entre otros</w:t>
      </w:r>
      <w:r w:rsidRPr="006849F1">
        <w:rPr>
          <w:rFonts w:ascii="Verdana" w:hAnsi="Verdana" w:cs="Arial"/>
          <w:shd w:val="clear" w:color="auto" w:fill="FFFFFF"/>
          <w:lang w:val="es-ES"/>
        </w:rPr>
        <w:t xml:space="preserve">. </w:t>
      </w:r>
      <w:r>
        <w:rPr>
          <w:rFonts w:ascii="Verdana" w:hAnsi="Verdana" w:cs="Arial"/>
          <w:shd w:val="clear" w:color="auto" w:fill="FFFFFF"/>
          <w:lang w:val="es-ES"/>
        </w:rPr>
        <w:t xml:space="preserve">Igualmente, en lo correspondiente a las </w:t>
      </w:r>
      <w:r w:rsidRPr="0054407F">
        <w:rPr>
          <w:rFonts w:ascii="Verdana" w:hAnsi="Verdana" w:cs="Arial"/>
          <w:shd w:val="clear" w:color="auto" w:fill="FFFFFF"/>
          <w:lang w:val="es-ES"/>
        </w:rPr>
        <w:t>limitaciones territoriales de convocatorias a Mipymes</w:t>
      </w:r>
      <w:r>
        <w:rPr>
          <w:rFonts w:ascii="Verdana" w:hAnsi="Verdana" w:cs="Arial"/>
          <w:shd w:val="clear" w:color="auto" w:fill="FFFFFF"/>
          <w:lang w:val="es-ES"/>
        </w:rPr>
        <w:t>, también se manifestó entre otros, en los conceptos</w:t>
      </w:r>
      <w:r w:rsidRPr="00F26920">
        <w:t xml:space="preserve"> </w:t>
      </w:r>
      <w:r w:rsidRPr="006B4229">
        <w:rPr>
          <w:rFonts w:ascii="Verdana" w:hAnsi="Verdana" w:cs="Arial"/>
          <w:shd w:val="clear" w:color="auto" w:fill="FFFFFF"/>
          <w:lang w:val="es-ES"/>
        </w:rPr>
        <w:t>C-</w:t>
      </w:r>
      <w:r w:rsidRPr="006B4229">
        <w:rPr>
          <w:rFonts w:ascii="Verdana" w:hAnsi="Verdana" w:cs="Arial"/>
          <w:shd w:val="clear" w:color="auto" w:fill="FFFFFF"/>
          <w:lang w:val="es-ES"/>
        </w:rPr>
        <w:lastRenderedPageBreak/>
        <w:t>089 del 28 de abril de 2023, C-251 del 9 de agosto de 2024, C-417 del 15 de mayo de 2025, C-483 del 20 de mayo de 2025</w:t>
      </w:r>
      <w:r>
        <w:rPr>
          <w:rFonts w:ascii="Verdana" w:hAnsi="Verdana" w:cs="Arial"/>
          <w:shd w:val="clear" w:color="auto" w:fill="FFFFFF"/>
          <w:lang w:val="es-ES"/>
        </w:rPr>
        <w:t xml:space="preserve">, C-527 del 11 de junio de 2025. </w:t>
      </w:r>
      <w:r w:rsidRPr="009C1EEE">
        <w:rPr>
          <w:rFonts w:ascii="Verdana" w:hAnsi="Verdana" w:cs="Arial"/>
          <w:shd w:val="clear" w:color="auto" w:fill="FFFFFF"/>
          <w:lang w:val="es-ES"/>
        </w:rPr>
        <w:t>Es</w:t>
      </w:r>
      <w:r w:rsidRPr="009C1EEE">
        <w:rPr>
          <w:rFonts w:ascii="Verdana" w:hAnsi="Verdana"/>
        </w:rPr>
        <w:t>tos y otros conceptos se encuentran disponibles para consulta en el Sistema de relatoría de la Agencia, al cual se puede acceder a través del siguiente enlace:</w:t>
      </w:r>
      <w:r w:rsidRPr="009C1EEE">
        <w:rPr>
          <w:rFonts w:ascii="Verdana" w:hAnsi="Verdana" w:cs="Arial"/>
          <w:shd w:val="clear" w:color="auto" w:fill="FFFFFF"/>
          <w:lang w:val="es-ES"/>
        </w:rPr>
        <w:t xml:space="preserve"> </w:t>
      </w:r>
      <w:hyperlink r:id="rId12" w:history="1">
        <w:r w:rsidRPr="009C1EEE">
          <w:rPr>
            <w:rFonts w:ascii="Verdana" w:hAnsi="Verdana" w:cs="Arial"/>
            <w:color w:val="467886" w:themeColor="hyperlink"/>
            <w:u w:val="single"/>
            <w:shd w:val="clear" w:color="auto" w:fill="FFFFFF"/>
            <w:lang w:val="es-ES"/>
          </w:rPr>
          <w:t>https://relatoria.colombiacompra.gov.co/busqueda/conceptos</w:t>
        </w:r>
      </w:hyperlink>
      <w:r w:rsidRPr="009C1EEE">
        <w:rPr>
          <w:rFonts w:ascii="Verdana" w:hAnsi="Verdana" w:cs="Arial"/>
          <w:color w:val="FF0000"/>
          <w:shd w:val="clear" w:color="auto" w:fill="FFFFFF"/>
          <w:lang w:val="es-ES"/>
        </w:rPr>
        <w:t>.</w:t>
      </w:r>
    </w:p>
    <w:p w14:paraId="636F3480" w14:textId="77777777" w:rsidR="00986EBC" w:rsidRPr="009C1EEE" w:rsidRDefault="00986EBC" w:rsidP="00986EBC">
      <w:pPr>
        <w:widowControl w:val="0"/>
        <w:autoSpaceDE w:val="0"/>
        <w:autoSpaceDN w:val="0"/>
        <w:spacing w:after="0" w:line="276" w:lineRule="auto"/>
        <w:jc w:val="both"/>
        <w:rPr>
          <w:rFonts w:ascii="Verdana" w:hAnsi="Verdana" w:cs="Arial"/>
          <w:shd w:val="clear" w:color="auto" w:fill="FFFFFF"/>
          <w:lang w:val="es-ES"/>
        </w:rPr>
      </w:pPr>
    </w:p>
    <w:p w14:paraId="3C3DFD46" w14:textId="77777777" w:rsidR="00986EBC" w:rsidRPr="009C1EEE" w:rsidRDefault="00986EBC" w:rsidP="00986EBC">
      <w:pPr>
        <w:spacing w:after="0" w:line="240" w:lineRule="auto"/>
        <w:jc w:val="both"/>
        <w:rPr>
          <w:rFonts w:ascii="Verdana" w:hAnsi="Verdana"/>
        </w:rPr>
      </w:pPr>
      <w:r w:rsidRPr="009C1EEE">
        <w:rPr>
          <w:rFonts w:ascii="Verdana" w:hAnsi="Verdana"/>
        </w:rPr>
        <w:t xml:space="preserve">Por último, lo invitamos a seguirnos en las redes sociales en las cuales se difunde información institucional: </w:t>
      </w:r>
    </w:p>
    <w:p w14:paraId="312A3A0D" w14:textId="77777777" w:rsidR="00986EBC" w:rsidRPr="009C1EEE" w:rsidRDefault="00986EBC" w:rsidP="00986EBC">
      <w:pPr>
        <w:spacing w:after="0" w:line="240" w:lineRule="auto"/>
        <w:jc w:val="both"/>
        <w:rPr>
          <w:rFonts w:ascii="Verdana" w:hAnsi="Verdana"/>
        </w:rPr>
      </w:pPr>
    </w:p>
    <w:p w14:paraId="3C01D379" w14:textId="77777777" w:rsidR="00986EBC" w:rsidRPr="009C1EEE" w:rsidRDefault="00986EBC" w:rsidP="00986EBC">
      <w:pPr>
        <w:spacing w:after="0" w:line="240" w:lineRule="auto"/>
        <w:jc w:val="both"/>
        <w:rPr>
          <w:rFonts w:ascii="Verdana" w:hAnsi="Verdana"/>
        </w:rPr>
      </w:pPr>
      <w:r w:rsidRPr="009C1EEE">
        <w:rPr>
          <w:rFonts w:ascii="Verdana" w:hAnsi="Verdana"/>
        </w:rPr>
        <w:t xml:space="preserve">Twitter: </w:t>
      </w:r>
      <w:r w:rsidRPr="009C1EEE">
        <w:rPr>
          <w:rFonts w:ascii="Verdana" w:hAnsi="Verdana"/>
          <w:color w:val="156082" w:themeColor="accent1"/>
          <w:u w:val="single"/>
        </w:rPr>
        <w:t>@colombiacompra</w:t>
      </w:r>
      <w:r w:rsidRPr="009C1EEE">
        <w:rPr>
          <w:rFonts w:ascii="Verdana" w:hAnsi="Verdana"/>
          <w:color w:val="156082" w:themeColor="accent1"/>
        </w:rPr>
        <w:t xml:space="preserve"> </w:t>
      </w:r>
    </w:p>
    <w:p w14:paraId="2D1A9F20" w14:textId="77777777" w:rsidR="00986EBC" w:rsidRPr="009C1EEE" w:rsidRDefault="00986EBC" w:rsidP="00986EBC">
      <w:pPr>
        <w:spacing w:after="0" w:line="240" w:lineRule="auto"/>
        <w:jc w:val="both"/>
        <w:rPr>
          <w:rFonts w:ascii="Verdana" w:hAnsi="Verdana"/>
        </w:rPr>
      </w:pPr>
      <w:r w:rsidRPr="009C1EEE">
        <w:rPr>
          <w:rFonts w:ascii="Verdana" w:hAnsi="Verdana"/>
        </w:rPr>
        <w:t xml:space="preserve">Facebook: </w:t>
      </w:r>
      <w:proofErr w:type="spellStart"/>
      <w:r w:rsidRPr="009C1EEE">
        <w:rPr>
          <w:rFonts w:ascii="Verdana" w:hAnsi="Verdana"/>
          <w:color w:val="156082" w:themeColor="accent1"/>
          <w:u w:val="single"/>
        </w:rPr>
        <w:t>ColombiaCompraEficiente</w:t>
      </w:r>
      <w:proofErr w:type="spellEnd"/>
    </w:p>
    <w:p w14:paraId="7157641E" w14:textId="77777777" w:rsidR="00986EBC" w:rsidRPr="009C1EEE" w:rsidRDefault="00986EBC" w:rsidP="00986EBC">
      <w:pPr>
        <w:spacing w:after="0" w:line="240" w:lineRule="auto"/>
        <w:jc w:val="both"/>
        <w:rPr>
          <w:rFonts w:ascii="Verdana" w:hAnsi="Verdana"/>
        </w:rPr>
      </w:pPr>
      <w:r w:rsidRPr="009C1EEE">
        <w:rPr>
          <w:rFonts w:ascii="Verdana" w:hAnsi="Verdana"/>
        </w:rPr>
        <w:t xml:space="preserve">LinkedIn: </w:t>
      </w:r>
      <w:r w:rsidRPr="009C1EEE">
        <w:rPr>
          <w:rFonts w:ascii="Verdana" w:hAnsi="Verdana"/>
          <w:color w:val="156082" w:themeColor="accent1"/>
          <w:u w:val="single"/>
        </w:rPr>
        <w:t>Agencia Nacional de Contratación Pública - Colombia Compra Eficiente</w:t>
      </w:r>
      <w:r w:rsidRPr="009C1EEE">
        <w:rPr>
          <w:rFonts w:ascii="Verdana" w:hAnsi="Verdana"/>
          <w:color w:val="156082" w:themeColor="accent1"/>
        </w:rPr>
        <w:t xml:space="preserve"> </w:t>
      </w:r>
      <w:r w:rsidRPr="009C1EEE">
        <w:rPr>
          <w:rFonts w:ascii="Verdana" w:hAnsi="Verdana"/>
        </w:rPr>
        <w:t xml:space="preserve">Instagram: </w:t>
      </w:r>
      <w:r w:rsidRPr="009C1EEE">
        <w:rPr>
          <w:rFonts w:ascii="Verdana" w:hAnsi="Verdana"/>
          <w:color w:val="156082" w:themeColor="accent1"/>
          <w:u w:val="single"/>
        </w:rPr>
        <w:t>@colombiacompraeficiente_cce</w:t>
      </w:r>
    </w:p>
    <w:p w14:paraId="40A8B667" w14:textId="77777777" w:rsidR="00986EBC" w:rsidRPr="009C1EEE" w:rsidRDefault="00986EBC" w:rsidP="00986EBC">
      <w:pPr>
        <w:widowControl w:val="0"/>
        <w:autoSpaceDE w:val="0"/>
        <w:autoSpaceDN w:val="0"/>
        <w:spacing w:after="0" w:line="276" w:lineRule="auto"/>
        <w:jc w:val="both"/>
        <w:rPr>
          <w:rFonts w:ascii="Verdana" w:hAnsi="Verdana" w:cs="Arial"/>
        </w:rPr>
      </w:pPr>
    </w:p>
    <w:p w14:paraId="236A6FA7" w14:textId="77777777" w:rsidR="00986EBC" w:rsidRPr="009C1EEE" w:rsidRDefault="00986EBC" w:rsidP="00986EBC">
      <w:pPr>
        <w:widowControl w:val="0"/>
        <w:autoSpaceDE w:val="0"/>
        <w:autoSpaceDN w:val="0"/>
        <w:spacing w:after="0" w:line="276" w:lineRule="auto"/>
        <w:jc w:val="both"/>
        <w:rPr>
          <w:rFonts w:ascii="Verdana" w:hAnsi="Verdana" w:cs="Arial"/>
          <w:lang w:val="es-ES_tradnl"/>
        </w:rPr>
      </w:pPr>
      <w:r w:rsidRPr="009C1EEE">
        <w:rPr>
          <w:rFonts w:ascii="Verdana" w:hAnsi="Verdana" w:cs="Arial"/>
        </w:rPr>
        <w:t xml:space="preserve">Este concepto tiene el alcance previsto en el artículo 28 del Código de Procedimiento Administrativo y de lo Contencioso Administrativo </w:t>
      </w:r>
      <w:r w:rsidRPr="009C1EEE">
        <w:rPr>
          <w:rFonts w:ascii="Verdana" w:hAnsi="Verdana" w:cs="Arial"/>
          <w:lang w:val="es-ES_tradnl"/>
        </w:rPr>
        <w:t>y las expresiones aquí utilizadas con mayúscula inicial deben ser entendidas con el significado que les otorga el artículo 2.2.1.1.1.3.1. del Decreto 1082 de 2015.</w:t>
      </w:r>
    </w:p>
    <w:p w14:paraId="454A122A" w14:textId="77777777" w:rsidR="00986EBC" w:rsidRPr="009C1EEE" w:rsidRDefault="00986EBC" w:rsidP="00986EBC">
      <w:pPr>
        <w:widowControl w:val="0"/>
        <w:autoSpaceDE w:val="0"/>
        <w:autoSpaceDN w:val="0"/>
        <w:spacing w:after="0" w:line="276" w:lineRule="auto"/>
        <w:jc w:val="both"/>
        <w:rPr>
          <w:rFonts w:ascii="Verdana" w:hAnsi="Verdana" w:cs="Arial"/>
        </w:rPr>
      </w:pPr>
    </w:p>
    <w:p w14:paraId="45A7AD73" w14:textId="77777777" w:rsidR="00986EBC" w:rsidRPr="009C1EEE" w:rsidRDefault="00986EBC" w:rsidP="00986EBC">
      <w:pPr>
        <w:spacing w:after="0" w:line="240" w:lineRule="auto"/>
        <w:rPr>
          <w:rFonts w:ascii="Verdana" w:hAnsi="Verdana" w:cs="Arial"/>
          <w:lang w:eastAsia="es-CO"/>
        </w:rPr>
      </w:pPr>
      <w:r w:rsidRPr="009C1EEE">
        <w:rPr>
          <w:rFonts w:ascii="Verdana" w:eastAsia="Times New Roman" w:hAnsi="Verdana" w:cs="Arial"/>
          <w:lang w:eastAsia="es-CO"/>
        </w:rPr>
        <w:t>Atentamente,</w:t>
      </w:r>
      <w:r w:rsidRPr="009C1EEE">
        <w:rPr>
          <w:rFonts w:ascii="Verdana" w:hAnsi="Verdana" w:cs="Arial"/>
          <w:lang w:eastAsia="es-CO"/>
        </w:rPr>
        <w:t xml:space="preserve"> </w:t>
      </w:r>
    </w:p>
    <w:p w14:paraId="4CB5E699" w14:textId="70B38246" w:rsidR="00986EBC" w:rsidRPr="009C1EEE" w:rsidRDefault="00A252B6" w:rsidP="00986EBC">
      <w:pPr>
        <w:spacing w:line="276" w:lineRule="auto"/>
        <w:jc w:val="center"/>
        <w:rPr>
          <w:rFonts w:ascii="Verdana" w:hAnsi="Verdana" w:cs="Arial"/>
          <w:lang w:val="es-ES_tradnl" w:eastAsia="es-CO"/>
        </w:rPr>
      </w:pPr>
      <w:r w:rsidRPr="00A252B6">
        <w:rPr>
          <w:rFonts w:ascii="Verdana" w:hAnsi="Verdana" w:cs="Arial"/>
          <w:lang w:eastAsia="es-CO"/>
        </w:rPr>
        <w:drawing>
          <wp:inline distT="0" distB="0" distL="0" distR="0" wp14:anchorId="55481B09" wp14:editId="18F100AC">
            <wp:extent cx="3771900" cy="1400175"/>
            <wp:effectExtent l="0" t="0" r="0" b="9525"/>
            <wp:docPr id="1822177992" name="Imagen 2"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Imag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A252B6">
        <w:rPr>
          <w:rFonts w:ascii="Verdana"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986EBC" w:rsidRPr="009C1EEE" w14:paraId="21696AF3" w14:textId="77777777" w:rsidTr="00B337EC">
        <w:trPr>
          <w:trHeight w:val="286"/>
        </w:trPr>
        <w:tc>
          <w:tcPr>
            <w:tcW w:w="901" w:type="dxa"/>
            <w:vAlign w:val="center"/>
            <w:hideMark/>
          </w:tcPr>
          <w:p w14:paraId="795C62E8" w14:textId="77777777" w:rsidR="00986EBC" w:rsidRPr="009C1EEE" w:rsidRDefault="00986EBC" w:rsidP="00B337EC">
            <w:pPr>
              <w:rPr>
                <w:rFonts w:ascii="Verdana" w:hAnsi="Verdana" w:cs="Arial"/>
                <w:sz w:val="14"/>
                <w:szCs w:val="14"/>
                <w:lang w:eastAsia="es-ES"/>
              </w:rPr>
            </w:pPr>
            <w:r w:rsidRPr="009C1EEE">
              <w:rPr>
                <w:rFonts w:ascii="Verdana"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84B4AA0" w14:textId="77777777" w:rsidR="00986EBC" w:rsidRPr="009C1EEE" w:rsidRDefault="00986EBC" w:rsidP="00B337EC">
            <w:pPr>
              <w:rPr>
                <w:rFonts w:ascii="Verdana" w:hAnsi="Verdana" w:cs="Arial"/>
                <w:sz w:val="14"/>
                <w:szCs w:val="14"/>
                <w:lang w:eastAsia="es-ES"/>
              </w:rPr>
            </w:pPr>
            <w:r w:rsidRPr="009C1EEE">
              <w:rPr>
                <w:rFonts w:ascii="Verdana" w:hAnsi="Verdana" w:cs="Arial"/>
                <w:sz w:val="14"/>
                <w:szCs w:val="14"/>
                <w:lang w:eastAsia="es-ES"/>
              </w:rPr>
              <w:t>Nasly Yeana Mosquera Rivas</w:t>
            </w:r>
          </w:p>
          <w:p w14:paraId="2B7ACF24" w14:textId="77777777" w:rsidR="00986EBC" w:rsidRPr="009C1EEE" w:rsidRDefault="00986EBC" w:rsidP="00B337EC">
            <w:pPr>
              <w:rPr>
                <w:rFonts w:ascii="Verdana" w:hAnsi="Verdana" w:cs="Arial"/>
                <w:sz w:val="14"/>
                <w:szCs w:val="14"/>
                <w:lang w:eastAsia="es-ES"/>
              </w:rPr>
            </w:pPr>
            <w:r w:rsidRPr="009C1EEE">
              <w:rPr>
                <w:rFonts w:ascii="Verdana" w:hAnsi="Verdana" w:cs="Arial"/>
                <w:sz w:val="14"/>
                <w:szCs w:val="14"/>
                <w:lang w:eastAsia="es-ES"/>
              </w:rPr>
              <w:t>Analista T2–06 de la Subdirección de Gestión Contractual</w:t>
            </w:r>
          </w:p>
        </w:tc>
      </w:tr>
      <w:tr w:rsidR="00986EBC" w:rsidRPr="009C1EEE" w14:paraId="26B19F50" w14:textId="77777777" w:rsidTr="00B337EC">
        <w:trPr>
          <w:trHeight w:val="299"/>
        </w:trPr>
        <w:tc>
          <w:tcPr>
            <w:tcW w:w="901" w:type="dxa"/>
            <w:vAlign w:val="center"/>
          </w:tcPr>
          <w:p w14:paraId="6438C211" w14:textId="77777777" w:rsidR="00986EBC" w:rsidRPr="009C1EEE" w:rsidRDefault="00986EBC" w:rsidP="00B337EC">
            <w:pPr>
              <w:rPr>
                <w:rFonts w:ascii="Verdana" w:hAnsi="Verdana" w:cs="Arial"/>
                <w:sz w:val="14"/>
                <w:szCs w:val="14"/>
                <w:lang w:eastAsia="es-ES"/>
              </w:rPr>
            </w:pPr>
            <w:r w:rsidRPr="009C1EEE">
              <w:rPr>
                <w:rFonts w:ascii="Verdana"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07A058D" w14:textId="77777777" w:rsidR="00986EBC" w:rsidRPr="009C1EEE" w:rsidRDefault="00986EBC" w:rsidP="00B337EC">
            <w:pPr>
              <w:rPr>
                <w:rFonts w:ascii="Verdana" w:hAnsi="Verdana" w:cs="Arial"/>
                <w:sz w:val="14"/>
                <w:szCs w:val="14"/>
                <w:lang w:eastAsia="es-ES"/>
              </w:rPr>
            </w:pPr>
            <w:r>
              <w:rPr>
                <w:rFonts w:ascii="Verdana" w:hAnsi="Verdana" w:cs="Arial"/>
                <w:sz w:val="14"/>
                <w:szCs w:val="14"/>
                <w:lang w:eastAsia="es-ES"/>
              </w:rPr>
              <w:t>Juan Carlos Gonzáles Vásquez</w:t>
            </w:r>
          </w:p>
          <w:p w14:paraId="1433EA56" w14:textId="77777777" w:rsidR="00986EBC" w:rsidRPr="009C1EEE" w:rsidRDefault="00986EBC" w:rsidP="00B337EC">
            <w:pPr>
              <w:rPr>
                <w:rFonts w:ascii="Verdana" w:hAnsi="Verdana" w:cs="Arial"/>
                <w:sz w:val="14"/>
                <w:szCs w:val="14"/>
                <w:lang w:eastAsia="es-ES"/>
              </w:rPr>
            </w:pPr>
            <w:r>
              <w:rPr>
                <w:rFonts w:ascii="Verdana" w:hAnsi="Verdana" w:cs="Arial"/>
                <w:sz w:val="14"/>
                <w:szCs w:val="14"/>
                <w:lang w:eastAsia="es-ES"/>
              </w:rPr>
              <w:t>Contratista</w:t>
            </w:r>
            <w:r w:rsidRPr="009C1EEE">
              <w:rPr>
                <w:rFonts w:ascii="Verdana" w:hAnsi="Verdana" w:cs="Arial"/>
                <w:sz w:val="14"/>
                <w:szCs w:val="14"/>
                <w:lang w:eastAsia="es-ES"/>
              </w:rPr>
              <w:t xml:space="preserve"> de la Subdirección de Gestión Contractual</w:t>
            </w:r>
          </w:p>
        </w:tc>
      </w:tr>
      <w:tr w:rsidR="00986EBC" w:rsidRPr="009C1EEE" w14:paraId="260E0D64" w14:textId="77777777" w:rsidTr="00B337EC">
        <w:trPr>
          <w:trHeight w:val="272"/>
        </w:trPr>
        <w:tc>
          <w:tcPr>
            <w:tcW w:w="901" w:type="dxa"/>
            <w:vAlign w:val="center"/>
            <w:hideMark/>
          </w:tcPr>
          <w:p w14:paraId="07399124" w14:textId="77777777" w:rsidR="00986EBC" w:rsidRPr="009C1EEE" w:rsidRDefault="00986EBC" w:rsidP="00B337EC">
            <w:pPr>
              <w:rPr>
                <w:rFonts w:ascii="Verdana" w:hAnsi="Verdana" w:cs="Arial"/>
                <w:sz w:val="14"/>
                <w:szCs w:val="14"/>
                <w:lang w:eastAsia="es-ES"/>
              </w:rPr>
            </w:pPr>
            <w:r w:rsidRPr="009C1EEE">
              <w:rPr>
                <w:rFonts w:ascii="Verdana"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4681B3B9" w14:textId="77777777" w:rsidR="00986EBC" w:rsidRPr="009C1EEE" w:rsidRDefault="00986EBC" w:rsidP="00B337EC">
            <w:pPr>
              <w:rPr>
                <w:rFonts w:ascii="Verdana" w:hAnsi="Verdana" w:cs="Arial"/>
                <w:sz w:val="14"/>
                <w:szCs w:val="14"/>
                <w:lang w:eastAsia="es-ES"/>
              </w:rPr>
            </w:pPr>
            <w:r w:rsidRPr="009C1EEE">
              <w:rPr>
                <w:rFonts w:ascii="Verdana" w:hAnsi="Verdana" w:cs="Arial"/>
                <w:sz w:val="14"/>
                <w:szCs w:val="14"/>
                <w:lang w:eastAsia="es-ES"/>
              </w:rPr>
              <w:t>Carolina Quintero Gacharná</w:t>
            </w:r>
          </w:p>
          <w:p w14:paraId="78D88909" w14:textId="77777777" w:rsidR="00986EBC" w:rsidRPr="009C1EEE" w:rsidRDefault="00986EBC" w:rsidP="00B337EC">
            <w:pPr>
              <w:rPr>
                <w:rFonts w:ascii="Verdana" w:hAnsi="Verdana" w:cs="Arial"/>
                <w:sz w:val="14"/>
                <w:szCs w:val="14"/>
                <w:lang w:eastAsia="es-ES"/>
              </w:rPr>
            </w:pPr>
            <w:r w:rsidRPr="009C1EEE">
              <w:rPr>
                <w:rFonts w:ascii="Verdana" w:hAnsi="Verdana" w:cs="Arial"/>
                <w:sz w:val="14"/>
                <w:szCs w:val="14"/>
                <w:lang w:eastAsia="es-ES"/>
              </w:rPr>
              <w:t>Subdirectora de Gestión Contractual ANCP – CCE</w:t>
            </w:r>
          </w:p>
        </w:tc>
      </w:tr>
    </w:tbl>
    <w:p w14:paraId="04247732" w14:textId="77777777" w:rsidR="00986EBC" w:rsidRPr="009C1EEE" w:rsidRDefault="00986EBC" w:rsidP="00986EBC">
      <w:pPr>
        <w:spacing w:after="0" w:line="240" w:lineRule="auto"/>
        <w:rPr>
          <w:rFonts w:ascii="Verdana" w:eastAsia="Times New Roman" w:hAnsi="Verdana" w:cs="Arial"/>
          <w:sz w:val="24"/>
          <w:szCs w:val="24"/>
          <w:lang w:eastAsia="es-ES"/>
        </w:rPr>
      </w:pPr>
    </w:p>
    <w:p w14:paraId="05FD5FAE" w14:textId="77777777" w:rsidR="00986EBC" w:rsidRPr="009C1EEE" w:rsidRDefault="00986EBC" w:rsidP="00986EBC"/>
    <w:p w14:paraId="644C579F" w14:textId="77777777" w:rsidR="00986EBC" w:rsidRPr="0044528D" w:rsidRDefault="00986EBC" w:rsidP="00986EBC">
      <w:pPr>
        <w:spacing w:after="0"/>
        <w:jc w:val="both"/>
        <w:rPr>
          <w:rFonts w:ascii="Verdana" w:hAnsi="Verdana"/>
        </w:rPr>
      </w:pPr>
    </w:p>
    <w:p w14:paraId="5FCA5E8E" w14:textId="77777777" w:rsidR="00986EBC" w:rsidRPr="004D3092" w:rsidRDefault="00986EBC" w:rsidP="00986EBC"/>
    <w:p w14:paraId="05A7BE1C" w14:textId="77777777" w:rsidR="00986EBC" w:rsidRDefault="00986EBC"/>
    <w:sectPr w:rsidR="00986EBC" w:rsidSect="00986EBC">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64126" w14:textId="77777777" w:rsidR="00986EBC" w:rsidRDefault="00986EBC" w:rsidP="00986EBC">
      <w:pPr>
        <w:spacing w:after="0" w:line="240" w:lineRule="auto"/>
      </w:pPr>
      <w:r>
        <w:separator/>
      </w:r>
    </w:p>
  </w:endnote>
  <w:endnote w:type="continuationSeparator" w:id="0">
    <w:p w14:paraId="52F1A92F" w14:textId="77777777" w:rsidR="00986EBC" w:rsidRDefault="00986EBC" w:rsidP="00986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26253" w14:textId="77777777" w:rsidR="00641391" w:rsidRDefault="00641391">
    <w:pPr>
      <w:pStyle w:val="Piedepgina"/>
    </w:pPr>
  </w:p>
  <w:p w14:paraId="0242F920" w14:textId="77777777" w:rsidR="00641391" w:rsidRPr="00174B77" w:rsidRDefault="00641391"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E5C0016" w14:textId="77777777" w:rsidR="00641391" w:rsidRDefault="00641391"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A7C466E" w14:textId="77777777" w:rsidR="00641391" w:rsidRPr="00E41027" w:rsidRDefault="00641391" w:rsidP="00D520D8">
    <w:pPr>
      <w:spacing w:after="0"/>
      <w:jc w:val="both"/>
      <w:rPr>
        <w:rFonts w:ascii="Verdana" w:hAnsi="Verdana"/>
        <w:sz w:val="18"/>
        <w:szCs w:val="18"/>
      </w:rPr>
    </w:pPr>
    <w:r w:rsidRPr="00E41027">
      <w:rPr>
        <w:rFonts w:ascii="Verdana" w:hAnsi="Verdana"/>
        <w:sz w:val="18"/>
        <w:szCs w:val="18"/>
      </w:rPr>
      <w:t>Mesa de servicio: (+57) 601 7456788</w:t>
    </w:r>
  </w:p>
  <w:p w14:paraId="5CA6ACCC" w14:textId="77777777" w:rsidR="00641391" w:rsidRDefault="00641391"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r>
      <w:rPr>
        <w:rFonts w:ascii="Century Gothic" w:eastAsia="Geo" w:hAnsi="Century Gothic" w:cs="Geo"/>
        <w:bCs/>
        <w:color w:val="000000"/>
        <w:sz w:val="16"/>
        <w:szCs w:val="16"/>
        <w:lang w:eastAsia="es-CO"/>
      </w:rPr>
      <w:t xml:space="preserve">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EA7F1" w14:textId="77777777" w:rsidR="00986EBC" w:rsidRDefault="00986EBC" w:rsidP="00986EBC">
      <w:pPr>
        <w:spacing w:after="0" w:line="240" w:lineRule="auto"/>
      </w:pPr>
      <w:r>
        <w:separator/>
      </w:r>
    </w:p>
  </w:footnote>
  <w:footnote w:type="continuationSeparator" w:id="0">
    <w:p w14:paraId="2C1E495B" w14:textId="77777777" w:rsidR="00986EBC" w:rsidRDefault="00986EBC" w:rsidP="00986EBC">
      <w:pPr>
        <w:spacing w:after="0" w:line="240" w:lineRule="auto"/>
      </w:pPr>
      <w:r>
        <w:continuationSeparator/>
      </w:r>
    </w:p>
  </w:footnote>
  <w:footnote w:id="1">
    <w:p w14:paraId="131EC22C" w14:textId="77777777" w:rsidR="00986EBC" w:rsidRPr="00426FA3" w:rsidRDefault="00986EBC" w:rsidP="00986EBC">
      <w:pPr>
        <w:pStyle w:val="Textonotapie"/>
        <w:ind w:firstLine="708"/>
        <w:jc w:val="both"/>
        <w:rPr>
          <w:rFonts w:ascii="Verdana" w:hAnsi="Verdana" w:cs="Arial"/>
          <w:sz w:val="18"/>
          <w:szCs w:val="18"/>
        </w:rPr>
      </w:pPr>
    </w:p>
    <w:p w14:paraId="1E0BC949" w14:textId="77777777" w:rsidR="00986EBC" w:rsidRPr="00426FA3" w:rsidRDefault="00986EBC" w:rsidP="00986EBC">
      <w:pPr>
        <w:pStyle w:val="Textonotapie"/>
        <w:ind w:firstLine="708"/>
        <w:jc w:val="both"/>
        <w:rPr>
          <w:rFonts w:ascii="Verdana" w:hAnsi="Verdana" w:cs="Arial"/>
          <w:sz w:val="18"/>
          <w:szCs w:val="18"/>
        </w:rPr>
      </w:pPr>
      <w:r w:rsidRPr="00426FA3">
        <w:rPr>
          <w:rStyle w:val="Refdenotaalpie"/>
          <w:rFonts w:ascii="Verdana" w:hAnsi="Verdana" w:cs="Arial"/>
          <w:sz w:val="18"/>
          <w:szCs w:val="18"/>
        </w:rPr>
        <w:footnoteRef/>
      </w:r>
      <w:r w:rsidRPr="00426FA3">
        <w:rPr>
          <w:rFonts w:ascii="Verdana" w:hAnsi="Verdana" w:cs="Arial"/>
          <w:sz w:val="18"/>
          <w:szCs w:val="18"/>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4535AAF2" w14:textId="77777777" w:rsidR="00986EBC" w:rsidRPr="00426FA3" w:rsidRDefault="00986EBC" w:rsidP="00986EBC">
      <w:pPr>
        <w:pStyle w:val="Textonotapie"/>
        <w:ind w:firstLine="708"/>
        <w:jc w:val="both"/>
        <w:rPr>
          <w:rFonts w:ascii="Verdana" w:hAnsi="Verdana" w:cs="Arial"/>
          <w:sz w:val="18"/>
          <w:szCs w:val="18"/>
        </w:rPr>
      </w:pPr>
    </w:p>
  </w:footnote>
  <w:footnote w:id="2">
    <w:p w14:paraId="36EBCCF2" w14:textId="77777777" w:rsidR="00986EBC" w:rsidRPr="00426FA3" w:rsidRDefault="00986EBC" w:rsidP="00986EBC">
      <w:pPr>
        <w:pStyle w:val="Textonotapie"/>
        <w:ind w:firstLine="708"/>
        <w:jc w:val="both"/>
        <w:rPr>
          <w:rFonts w:ascii="Verdana" w:hAnsi="Verdana" w:cs="Arial"/>
          <w:sz w:val="18"/>
          <w:szCs w:val="18"/>
        </w:rPr>
      </w:pPr>
      <w:r w:rsidRPr="00426FA3">
        <w:rPr>
          <w:rStyle w:val="Refdenotaalpie"/>
          <w:rFonts w:ascii="Verdana" w:hAnsi="Verdana" w:cs="Arial"/>
          <w:sz w:val="18"/>
          <w:szCs w:val="18"/>
        </w:rPr>
        <w:footnoteRef/>
      </w:r>
      <w:r w:rsidRPr="00426FA3">
        <w:rPr>
          <w:rFonts w:ascii="Verdana" w:hAnsi="Verdana" w:cs="Arial"/>
          <w:sz w:val="18"/>
          <w:szCs w:val="18"/>
        </w:rPr>
        <w:t xml:space="preserve"> Cfr. Concepto emitido en el radicado 4201913000005674, dictado el 27 de septiembre de 2019.</w:t>
      </w:r>
    </w:p>
    <w:p w14:paraId="0F224140" w14:textId="77777777" w:rsidR="00986EBC" w:rsidRPr="00426FA3" w:rsidRDefault="00986EBC" w:rsidP="00986EBC">
      <w:pPr>
        <w:pStyle w:val="Textonotapie"/>
        <w:ind w:firstLine="708"/>
        <w:jc w:val="both"/>
        <w:rPr>
          <w:rFonts w:ascii="Verdana" w:hAnsi="Verdana" w:cs="Arial"/>
          <w:sz w:val="18"/>
          <w:szCs w:val="18"/>
          <w:lang w:val="es-ES"/>
        </w:rPr>
      </w:pPr>
    </w:p>
  </w:footnote>
  <w:footnote w:id="3">
    <w:p w14:paraId="302DE5DB"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Style w:val="Refdenotaalpie"/>
          <w:rFonts w:ascii="Verdana" w:hAnsi="Verdana" w:cs="Arial"/>
          <w:sz w:val="18"/>
          <w:szCs w:val="18"/>
        </w:rPr>
        <w:footnoteRef/>
      </w:r>
      <w:r w:rsidRPr="00426FA3">
        <w:rPr>
          <w:rFonts w:ascii="Verdana" w:hAnsi="Verdana" w:cs="Arial"/>
          <w:sz w:val="18"/>
          <w:szCs w:val="18"/>
        </w:rPr>
        <w:t xml:space="preserve"> Ley 1450 de 2011. “Artículo 43. Definiciones de tamaño empresarial. El artículo 2° de la</w:t>
      </w:r>
      <w:r w:rsidRPr="00426FA3">
        <w:rPr>
          <w:rFonts w:ascii="Verdana" w:hAnsi="Verdana" w:cs="Arial"/>
          <w:sz w:val="18"/>
          <w:szCs w:val="18"/>
        </w:rPr>
        <w:t xml:space="preserve"> Ley 590 de 2000, quedará así: </w:t>
      </w:r>
    </w:p>
    <w:p w14:paraId="6BD7BF79"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4ED978A5"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1. Número de trabajadores totales. </w:t>
      </w:r>
    </w:p>
    <w:p w14:paraId="07F63D2B" w14:textId="77777777" w:rsidR="00986EBC" w:rsidRPr="00426FA3" w:rsidRDefault="00986EBC" w:rsidP="00986EBC">
      <w:pPr>
        <w:pStyle w:val="Textonotapie"/>
        <w:contextualSpacing/>
        <w:jc w:val="both"/>
        <w:rPr>
          <w:rFonts w:ascii="Verdana" w:hAnsi="Verdana" w:cs="Arial"/>
          <w:sz w:val="18"/>
          <w:szCs w:val="18"/>
        </w:rPr>
      </w:pPr>
      <w:r w:rsidRPr="00426FA3">
        <w:rPr>
          <w:rFonts w:ascii="Verdana" w:hAnsi="Verdana" w:cs="Arial"/>
          <w:sz w:val="18"/>
          <w:szCs w:val="18"/>
        </w:rPr>
        <w:t xml:space="preserve"> </w:t>
      </w:r>
      <w:r w:rsidRPr="00426FA3">
        <w:rPr>
          <w:rFonts w:ascii="Verdana" w:hAnsi="Verdana" w:cs="Arial"/>
          <w:sz w:val="18"/>
          <w:szCs w:val="18"/>
        </w:rPr>
        <w:tab/>
        <w:t xml:space="preserve">2. Valor de ventas brutas anuales. </w:t>
      </w:r>
    </w:p>
    <w:p w14:paraId="0C954B54"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3. Valor activos totales. </w:t>
      </w:r>
    </w:p>
    <w:p w14:paraId="56778B8A"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Para efectos de los beneficios otorgados por el Gobierno nacional a las micro, pequeñas y medianas empresas el criterio determinante será el valor de ventas brutas anuales. </w:t>
      </w:r>
    </w:p>
    <w:p w14:paraId="4331058C"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Parágrafo 1°. El Gobierno Nacional reglamentará los rangos que aplicarán para los tres criterios e incluirá especificidades sectoriales en los casos que considere necesario. </w:t>
      </w:r>
    </w:p>
    <w:p w14:paraId="4AAEB296"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Parágrafo 2°. Las definiciones contenidas en el artículo 2° de la Ley 590 de 2000 continuarán vigentes hasta tanto entren a regir las normas reglamentarias que profiera el Gobierno Nacional en desarrollo de lo previsto en el presente artículo"”.</w:t>
      </w:r>
    </w:p>
    <w:p w14:paraId="2B05FF75" w14:textId="77777777" w:rsidR="00986EBC" w:rsidRPr="00426FA3" w:rsidRDefault="00986EBC" w:rsidP="00986EBC">
      <w:pPr>
        <w:pStyle w:val="Textonotapie"/>
        <w:ind w:firstLine="708"/>
        <w:contextualSpacing/>
        <w:jc w:val="both"/>
        <w:rPr>
          <w:rFonts w:ascii="Verdana" w:hAnsi="Verdana" w:cs="Arial"/>
          <w:sz w:val="18"/>
          <w:szCs w:val="18"/>
          <w:lang w:val="es-CO"/>
        </w:rPr>
      </w:pPr>
    </w:p>
  </w:footnote>
  <w:footnote w:id="4">
    <w:p w14:paraId="2025F29D" w14:textId="77777777" w:rsidR="00986EBC" w:rsidRPr="00426FA3" w:rsidRDefault="00986EBC" w:rsidP="00986EBC">
      <w:pPr>
        <w:spacing w:after="0" w:line="240" w:lineRule="auto"/>
        <w:ind w:firstLine="708"/>
        <w:contextualSpacing/>
        <w:jc w:val="both"/>
        <w:rPr>
          <w:rFonts w:ascii="Verdana" w:eastAsia="Arial" w:hAnsi="Verdana" w:cs="Arial"/>
          <w:color w:val="000000"/>
          <w:sz w:val="18"/>
          <w:szCs w:val="18"/>
        </w:rPr>
      </w:pPr>
      <w:r w:rsidRPr="00426FA3">
        <w:rPr>
          <w:rStyle w:val="Refdenotaalpie"/>
          <w:rFonts w:ascii="Verdana" w:hAnsi="Verdana" w:cs="Arial"/>
          <w:sz w:val="18"/>
          <w:szCs w:val="18"/>
        </w:rPr>
        <w:footnoteRef/>
      </w:r>
      <w:r w:rsidRPr="00426FA3">
        <w:rPr>
          <w:rFonts w:ascii="Verdana" w:eastAsia="Arial" w:hAnsi="Verdana" w:cs="Arial"/>
          <w:color w:val="000000"/>
          <w:sz w:val="18"/>
          <w:szCs w:val="18"/>
        </w:rPr>
        <w:t xml:space="preserve"> Artículo 2.2.1.13.2.2. del Decreto 1074 de 2015, adicionado por el Decreto 957 de 2019.</w:t>
      </w:r>
    </w:p>
    <w:p w14:paraId="6AD932F8" w14:textId="77777777" w:rsidR="00986EBC" w:rsidRPr="00426FA3" w:rsidRDefault="00986EBC" w:rsidP="00986EBC">
      <w:pPr>
        <w:spacing w:after="0" w:line="240" w:lineRule="auto"/>
        <w:ind w:firstLine="708"/>
        <w:contextualSpacing/>
        <w:jc w:val="both"/>
        <w:rPr>
          <w:rFonts w:ascii="Verdana" w:eastAsia="Arial" w:hAnsi="Verdana" w:cs="Arial"/>
          <w:color w:val="000000"/>
          <w:sz w:val="18"/>
          <w:szCs w:val="18"/>
        </w:rPr>
      </w:pPr>
    </w:p>
  </w:footnote>
  <w:footnote w:id="5">
    <w:p w14:paraId="29854E4E" w14:textId="77777777" w:rsidR="00986EBC" w:rsidRPr="00426FA3" w:rsidRDefault="00986EBC" w:rsidP="00986EBC">
      <w:pPr>
        <w:pStyle w:val="NormalWeb"/>
        <w:spacing w:after="0"/>
        <w:ind w:firstLine="708"/>
        <w:contextualSpacing/>
        <w:jc w:val="both"/>
        <w:rPr>
          <w:rFonts w:ascii="Verdana" w:hAnsi="Verdana" w:cs="Arial"/>
          <w:color w:val="000000"/>
          <w:sz w:val="18"/>
          <w:szCs w:val="18"/>
        </w:rPr>
      </w:pPr>
      <w:r w:rsidRPr="00426FA3">
        <w:rPr>
          <w:rStyle w:val="Refdenotaalpie"/>
          <w:rFonts w:ascii="Verdana" w:eastAsiaTheme="majorEastAsia" w:hAnsi="Verdana" w:cs="Arial"/>
          <w:sz w:val="18"/>
          <w:szCs w:val="18"/>
        </w:rPr>
        <w:footnoteRef/>
      </w:r>
      <w:r w:rsidRPr="00426FA3">
        <w:rPr>
          <w:rFonts w:ascii="Verdana" w:hAnsi="Verdana" w:cs="Arial"/>
          <w:sz w:val="18"/>
          <w:szCs w:val="18"/>
        </w:rPr>
        <w:t xml:space="preserve"> “</w:t>
      </w:r>
      <w:r w:rsidRPr="00426FA3">
        <w:rPr>
          <w:rFonts w:ascii="Verdana" w:hAnsi="Verdana" w:cs="Arial"/>
          <w:color w:val="000000"/>
          <w:sz w:val="18"/>
          <w:szCs w:val="18"/>
        </w:rPr>
        <w:t>Artículo 14. La constitución de toda cooperativa se hará en asamblea de constitución, en la cual serán aprobados los estatutos y nombrados en prioridad los órganos de administración y vigilancia. </w:t>
      </w:r>
    </w:p>
    <w:p w14:paraId="7A19C3B3" w14:textId="77777777" w:rsidR="00986EBC" w:rsidRPr="00426FA3" w:rsidRDefault="00986EBC" w:rsidP="00986EBC">
      <w:pPr>
        <w:spacing w:after="0" w:line="240" w:lineRule="auto"/>
        <w:contextualSpacing/>
        <w:jc w:val="both"/>
        <w:rPr>
          <w:rFonts w:ascii="Verdana" w:hAnsi="Verdana" w:cs="Arial"/>
          <w:color w:val="000000"/>
          <w:sz w:val="18"/>
          <w:szCs w:val="18"/>
          <w:lang w:eastAsia="es-CO"/>
        </w:rPr>
      </w:pPr>
      <w:r w:rsidRPr="00426FA3">
        <w:rPr>
          <w:rFonts w:ascii="Verdana" w:hAnsi="Verdana" w:cs="Arial"/>
          <w:color w:val="000000"/>
          <w:sz w:val="18"/>
          <w:szCs w:val="18"/>
          <w:lang w:eastAsia="es-CO"/>
        </w:rPr>
        <w:t xml:space="preserve"> </w:t>
      </w:r>
      <w:r w:rsidRPr="00426FA3">
        <w:rPr>
          <w:rFonts w:ascii="Verdana" w:hAnsi="Verdana" w:cs="Arial"/>
          <w:color w:val="000000"/>
          <w:sz w:val="18"/>
          <w:szCs w:val="18"/>
          <w:lang w:eastAsia="es-CO"/>
        </w:rPr>
        <w:tab/>
        <w:t>El Consejo de Administración allí designado nombrará el representante legal de la entidad, quien será responsable de tramitar el reconocimiento de la personería jurídica. </w:t>
      </w:r>
    </w:p>
    <w:p w14:paraId="4975A12A" w14:textId="77777777" w:rsidR="00986EBC" w:rsidRPr="00426FA3" w:rsidRDefault="00986EBC" w:rsidP="00986EBC">
      <w:pPr>
        <w:spacing w:after="0" w:line="240" w:lineRule="auto"/>
        <w:contextualSpacing/>
        <w:jc w:val="both"/>
        <w:rPr>
          <w:rFonts w:ascii="Verdana" w:hAnsi="Verdana" w:cs="Arial"/>
          <w:color w:val="000000"/>
          <w:sz w:val="18"/>
          <w:szCs w:val="18"/>
          <w:lang w:eastAsia="es-CO"/>
        </w:rPr>
      </w:pPr>
      <w:r w:rsidRPr="00426FA3">
        <w:rPr>
          <w:rFonts w:ascii="Verdana" w:hAnsi="Verdana" w:cs="Arial"/>
          <w:color w:val="000000"/>
          <w:sz w:val="18"/>
          <w:szCs w:val="18"/>
          <w:lang w:eastAsia="es-CO"/>
        </w:rPr>
        <w:t xml:space="preserve"> </w:t>
      </w:r>
      <w:r w:rsidRPr="00426FA3">
        <w:rPr>
          <w:rFonts w:ascii="Verdana" w:hAnsi="Verdana" w:cs="Arial"/>
          <w:color w:val="000000"/>
          <w:sz w:val="18"/>
          <w:szCs w:val="18"/>
          <w:lang w:eastAsia="es-CO"/>
        </w:rPr>
        <w:tab/>
        <w:t xml:space="preserve">El acta de la asamblea de constitución será </w:t>
      </w:r>
      <w:proofErr w:type="gramStart"/>
      <w:r w:rsidRPr="00426FA3">
        <w:rPr>
          <w:rFonts w:ascii="Verdana" w:hAnsi="Verdana" w:cs="Arial"/>
          <w:color w:val="000000"/>
          <w:sz w:val="18"/>
          <w:szCs w:val="18"/>
          <w:lang w:eastAsia="es-CO"/>
        </w:rPr>
        <w:t>firmado</w:t>
      </w:r>
      <w:proofErr w:type="gramEnd"/>
      <w:r w:rsidRPr="00426FA3">
        <w:rPr>
          <w:rFonts w:ascii="Verdana" w:hAnsi="Verdana" w:cs="Arial"/>
          <w:color w:val="000000"/>
          <w:sz w:val="18"/>
          <w:szCs w:val="18"/>
          <w:lang w:eastAsia="es-CO"/>
        </w:rPr>
        <w:t xml:space="preserve"> por los asociados fundadores, anotando su documento de identificación legal y el valor de los aportes iniciales. </w:t>
      </w:r>
    </w:p>
    <w:p w14:paraId="40B49AE7" w14:textId="77777777" w:rsidR="00986EBC" w:rsidRPr="00426FA3" w:rsidRDefault="00986EBC" w:rsidP="00986EBC">
      <w:pPr>
        <w:spacing w:after="0" w:line="240" w:lineRule="auto"/>
        <w:contextualSpacing/>
        <w:jc w:val="both"/>
        <w:rPr>
          <w:rFonts w:ascii="Verdana" w:hAnsi="Verdana" w:cs="Arial"/>
          <w:color w:val="000000"/>
          <w:sz w:val="18"/>
          <w:szCs w:val="18"/>
          <w:lang w:eastAsia="es-CO"/>
        </w:rPr>
      </w:pPr>
      <w:r w:rsidRPr="00426FA3">
        <w:rPr>
          <w:rFonts w:ascii="Verdana" w:hAnsi="Verdana" w:cs="Arial"/>
          <w:color w:val="000000"/>
          <w:sz w:val="18"/>
          <w:szCs w:val="18"/>
          <w:lang w:eastAsia="es-CO"/>
        </w:rPr>
        <w:t xml:space="preserve"> </w:t>
      </w:r>
      <w:r w:rsidRPr="00426FA3">
        <w:rPr>
          <w:rFonts w:ascii="Verdana" w:hAnsi="Verdana" w:cs="Arial"/>
          <w:color w:val="000000"/>
          <w:sz w:val="18"/>
          <w:szCs w:val="18"/>
          <w:lang w:eastAsia="es-CO"/>
        </w:rPr>
        <w:tab/>
        <w:t>El número mínimo de fundadores será de veinte, salvo las excepciones consagradas en normas especiales”.</w:t>
      </w:r>
    </w:p>
    <w:p w14:paraId="6BA7772B" w14:textId="77777777" w:rsidR="00986EBC" w:rsidRPr="00426FA3" w:rsidRDefault="00986EBC" w:rsidP="00986EBC">
      <w:pPr>
        <w:spacing w:after="0" w:line="240" w:lineRule="auto"/>
        <w:contextualSpacing/>
        <w:jc w:val="both"/>
        <w:rPr>
          <w:rFonts w:ascii="Verdana" w:hAnsi="Verdana" w:cs="Arial"/>
          <w:sz w:val="18"/>
          <w:szCs w:val="18"/>
        </w:rPr>
      </w:pPr>
    </w:p>
  </w:footnote>
  <w:footnote w:id="6">
    <w:p w14:paraId="12939201"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Style w:val="Refdenotaalpie"/>
          <w:rFonts w:ascii="Verdana" w:hAnsi="Verdana" w:cs="Arial"/>
          <w:sz w:val="18"/>
          <w:szCs w:val="18"/>
        </w:rPr>
        <w:footnoteRef/>
      </w:r>
      <w:r w:rsidRPr="00426FA3">
        <w:rPr>
          <w:rFonts w:ascii="Verdana" w:hAnsi="Verdana" w:cs="Arial"/>
          <w:sz w:val="18"/>
          <w:szCs w:val="18"/>
        </w:rPr>
        <w:t xml:space="preserve"> “Artículo 22. Constitución de cooperativas. Modifíquese el inciso 4° del artículo 14 de la ley 79 de 1988, el cual quedará así: </w:t>
      </w:r>
    </w:p>
    <w:p w14:paraId="4254DAB3"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“El número mínimo de fundadores será de tres, salvo las excepciones consagradas en normas especiales. </w:t>
      </w:r>
    </w:p>
    <w:p w14:paraId="4C56D08E"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Para su inscripción en el registro público solo se requerirá la solicitud firmada por el representante legal, acompañada del acta de constitución y copia de los estatutos. </w:t>
      </w:r>
    </w:p>
    <w:p w14:paraId="398BB506"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En las cooperativas que tengan 10 o menos asociados, ninguna persona natural podrá tener más del 33% de los aportes sociales y ninguna persona jurídica más del cuarenta y nueve por ciento (49%) de los mismos. </w:t>
      </w:r>
    </w:p>
    <w:p w14:paraId="3FAC6E10"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En aquellas cooperativas cuyo número de asociados sea inferior a 10, en el estatuto o reglamentos se deberán adecuar los órganos de administración y vigilancia a las características de la cooperativa y al tamaño del grupo asociado. A falta de estipulación estatutaria sobre la creación de un consejo de administración, la totalidad de las funciones de administración y representación legal le corresponderán al representante legal designado por la asamblea. </w:t>
      </w:r>
    </w:p>
    <w:p w14:paraId="55072F35" w14:textId="77777777" w:rsidR="00986EBC" w:rsidRPr="00426FA3" w:rsidRDefault="00986EBC" w:rsidP="00986EBC">
      <w:pPr>
        <w:pStyle w:val="Textonotapie"/>
        <w:ind w:firstLine="708"/>
        <w:contextualSpacing/>
        <w:jc w:val="both"/>
        <w:rPr>
          <w:rFonts w:ascii="Verdana" w:hAnsi="Verdana" w:cs="Arial"/>
          <w:sz w:val="18"/>
          <w:szCs w:val="18"/>
          <w:lang w:val="es-CO"/>
        </w:rPr>
      </w:pPr>
      <w:r w:rsidRPr="00426FA3">
        <w:rPr>
          <w:rFonts w:ascii="Verdana" w:hAnsi="Verdana" w:cs="Arial"/>
          <w:sz w:val="18"/>
          <w:szCs w:val="18"/>
        </w:rPr>
        <w:t>Parágrafo primero. Cuando la Cooperativa supere los 10 asociados, deberá en un término máximo improrrogable de 6 meses, ajustar el monto mínimo de aportes que debe tener cada asociado y nombrar los órganos de administración y vigilancia, conforme a las reglas de la Ley 79 de 1988”.</w:t>
      </w:r>
    </w:p>
  </w:footnote>
  <w:footnote w:id="7">
    <w:p w14:paraId="0FAAE477" w14:textId="77777777" w:rsidR="00986EBC" w:rsidRPr="00426FA3" w:rsidRDefault="00986EBC" w:rsidP="00986EBC">
      <w:pPr>
        <w:pStyle w:val="Textonotapie"/>
        <w:ind w:firstLine="708"/>
        <w:contextualSpacing/>
        <w:jc w:val="both"/>
        <w:rPr>
          <w:rFonts w:ascii="Verdana" w:hAnsi="Verdana" w:cs="Arial"/>
          <w:sz w:val="18"/>
          <w:szCs w:val="18"/>
        </w:rPr>
      </w:pPr>
    </w:p>
    <w:p w14:paraId="2A0B6566"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Style w:val="Refdenotaalpie"/>
          <w:rFonts w:ascii="Verdana" w:hAnsi="Verdana" w:cs="Arial"/>
          <w:sz w:val="18"/>
          <w:szCs w:val="18"/>
        </w:rPr>
        <w:footnoteRef/>
      </w:r>
      <w:r w:rsidRPr="00426FA3">
        <w:rPr>
          <w:rFonts w:ascii="Verdana" w:hAnsi="Verdana" w:cs="Arial"/>
          <w:sz w:val="18"/>
          <w:szCs w:val="18"/>
        </w:rPr>
        <w:t xml:space="preserve"> “Artículo 6o. Características de las organizaciones de economía solidaria. Son sujetos de la presente ley las personas jurídicas organizadas para realizar actividades sin ánimo de lucro, en las cuales los trabajadores o los usuarios según el caso, son simultáneamente sus aportantes y gestores, creadas con el objeto de producir, distribuir y consumir conjunta y eficientemente, bienes y servicios para satisfacer las necesidades de sus miembros y al desarrollo de obras de servicio a la comunidad en general, observando en su funcionamiento las siguientes características:</w:t>
      </w:r>
    </w:p>
    <w:p w14:paraId="123DCE6D"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1. Estar organizada como empresa que contemple en su objeto social, el ejercicio de una actividad socioeconómica, tendiente a satisfacer necesidades de sus asociados y el desarrollo de obras de servicio comunitario.</w:t>
      </w:r>
    </w:p>
    <w:p w14:paraId="6824F34D"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2. Tener establecido un vínculo asociativo, fundado en los principios y fines contemplados en la presente ley.</w:t>
      </w:r>
    </w:p>
    <w:p w14:paraId="6C96CAA7"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3. Tener incluido en sus estatutos o reglas básicas de funcionamiento la ausencia de ánimo de lucro, movida por la solidaridad, el servicio social o comunitario.</w:t>
      </w:r>
    </w:p>
    <w:p w14:paraId="6FE96845"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4. Garantizar la igualdad de derechos y obligaciones de sus miembros sin consideración a sus aportes.</w:t>
      </w:r>
    </w:p>
    <w:p w14:paraId="685205CA"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5. Establecer en sus estatutos un monto mínimo de aportes sociales no reducibles, debidamente pagados, durante su existencia.</w:t>
      </w:r>
    </w:p>
    <w:p w14:paraId="2DB517C9"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6. Integrarse social y económicamente, sin perjuicio de sus vínculos con otras entidades sin ánimo de lucro que tengan por fin promover el desarrollo integral del ser humano.</w:t>
      </w:r>
    </w:p>
    <w:p w14:paraId="175E4819"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Parágrafo 1o. En todo caso, las organizaciones de la economía solidaria deberán cumplir con los siguientes principios económicos:</w:t>
      </w:r>
    </w:p>
    <w:p w14:paraId="1700A4E7"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1. Establecer la irrepartibilidad de las reservas sociales y, en caso de liquidación, la del remanente patrimonial.</w:t>
      </w:r>
    </w:p>
    <w:p w14:paraId="0EC2DFC7"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 xml:space="preserve">2. Destinar sus excedentes a la prestación de servicios de carácter social, al crecimiento de sus reservas y fondos, y a reintegrar a sus asociados parte de </w:t>
      </w:r>
      <w:proofErr w:type="gramStart"/>
      <w:r w:rsidRPr="00426FA3">
        <w:rPr>
          <w:rFonts w:ascii="Verdana" w:hAnsi="Verdana" w:cs="Arial"/>
          <w:sz w:val="18"/>
          <w:szCs w:val="18"/>
        </w:rPr>
        <w:t>los mismos</w:t>
      </w:r>
      <w:proofErr w:type="gramEnd"/>
      <w:r w:rsidRPr="00426FA3">
        <w:rPr>
          <w:rFonts w:ascii="Verdana" w:hAnsi="Verdana" w:cs="Arial"/>
          <w:sz w:val="18"/>
          <w:szCs w:val="18"/>
        </w:rPr>
        <w:t xml:space="preserve"> en proporción al uso de los servicios o a la participación en el trabajo de la empresa, sin perjuicio de amortizar los aportes y conservarlos en su valor real.</w:t>
      </w:r>
    </w:p>
    <w:p w14:paraId="650F8F10" w14:textId="77777777" w:rsidR="00986EBC" w:rsidRPr="00426FA3" w:rsidRDefault="00986EBC" w:rsidP="00986EBC">
      <w:pPr>
        <w:pStyle w:val="Textonotapie"/>
        <w:ind w:firstLine="708"/>
        <w:contextualSpacing/>
        <w:jc w:val="both"/>
        <w:rPr>
          <w:rFonts w:ascii="Verdana" w:hAnsi="Verdana" w:cs="Arial"/>
          <w:sz w:val="18"/>
          <w:szCs w:val="18"/>
        </w:rPr>
      </w:pPr>
      <w:r w:rsidRPr="00426FA3">
        <w:rPr>
          <w:rFonts w:ascii="Verdana" w:hAnsi="Verdana" w:cs="Arial"/>
          <w:sz w:val="18"/>
          <w:szCs w:val="18"/>
        </w:rPr>
        <w:t>Parágrafo 2o. Tienen el carácter de organizaciones solidarias entre otras: cooperativas, los organismos de segundo y tercer grado que agrupen cooperativas u otras formas asociativas y solidarias de propiedad, las instituciones auxiliares de la Economía solidaria, las empresas comunitarias, las empresas solidarias de salud, las precooperativas, los fondos de empleados, las asociaciones mutualistas, las empresas de servicios en las formas de administraciones públicas cooperativas, las empresas asociativas de trabajo y todas aquellas formas asociativas solidarias que cumplan con las características mencionadas en el presente capítulo”.</w:t>
      </w:r>
    </w:p>
    <w:p w14:paraId="20F03461" w14:textId="77777777" w:rsidR="00986EBC" w:rsidRPr="00426FA3" w:rsidRDefault="00986EBC" w:rsidP="00986EBC">
      <w:pPr>
        <w:pStyle w:val="Textonotapie"/>
        <w:contextualSpacing/>
        <w:jc w:val="both"/>
        <w:rPr>
          <w:rFonts w:ascii="Verdana" w:hAnsi="Verdana" w:cs="Arial"/>
          <w:sz w:val="18"/>
          <w:szCs w:val="18"/>
          <w:lang w:val="es-CO"/>
        </w:rPr>
      </w:pPr>
    </w:p>
  </w:footnote>
  <w:footnote w:id="8">
    <w:p w14:paraId="3A161F5E" w14:textId="77777777" w:rsidR="00986EBC" w:rsidRPr="00426FA3" w:rsidRDefault="00986EBC" w:rsidP="00986EBC">
      <w:pPr>
        <w:pStyle w:val="Textonotapie"/>
        <w:ind w:firstLine="708"/>
        <w:contextualSpacing/>
        <w:jc w:val="both"/>
        <w:rPr>
          <w:rFonts w:ascii="Verdana" w:hAnsi="Verdana" w:cs="Arial"/>
          <w:sz w:val="18"/>
          <w:szCs w:val="18"/>
          <w:lang w:val="es-CO"/>
        </w:rPr>
      </w:pPr>
      <w:r w:rsidRPr="00426FA3">
        <w:rPr>
          <w:rStyle w:val="Refdenotaalpie"/>
          <w:rFonts w:ascii="Verdana" w:hAnsi="Verdana" w:cs="Arial"/>
          <w:sz w:val="18"/>
          <w:szCs w:val="18"/>
        </w:rPr>
        <w:footnoteRef/>
      </w:r>
      <w:r w:rsidRPr="00426FA3">
        <w:rPr>
          <w:rFonts w:ascii="Verdana" w:hAnsi="Verdana" w:cs="Arial"/>
          <w:sz w:val="18"/>
          <w:szCs w:val="18"/>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E207A" w14:textId="77777777" w:rsidR="00641391" w:rsidRDefault="00641391">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093E82E" wp14:editId="353F05CD">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DCE6230" wp14:editId="0199A7A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1F0E588" w14:textId="77777777" w:rsidR="00641391" w:rsidRDefault="00641391">
    <w:pPr>
      <w:pStyle w:val="Encabezado"/>
    </w:pPr>
  </w:p>
  <w:p w14:paraId="11A2339A" w14:textId="77777777" w:rsidR="00641391" w:rsidRDefault="00641391" w:rsidP="004A305D">
    <w:pPr>
      <w:spacing w:after="0"/>
      <w:rPr>
        <w:rFonts w:ascii="Verdana" w:hAnsi="Verdana"/>
        <w:b/>
        <w:bCs/>
      </w:rPr>
    </w:pPr>
  </w:p>
  <w:p w14:paraId="16A26056" w14:textId="77777777" w:rsidR="00641391" w:rsidRPr="00DC39FC" w:rsidRDefault="00641391" w:rsidP="004A305D">
    <w:pPr>
      <w:spacing w:after="0"/>
      <w:rPr>
        <w:rFonts w:ascii="Verdana" w:hAnsi="Verdana"/>
        <w:b/>
        <w:bCs/>
      </w:rPr>
    </w:pPr>
    <w:r w:rsidRPr="00DC39FC">
      <w:rPr>
        <w:rFonts w:ascii="Verdana" w:hAnsi="Verdana"/>
        <w:b/>
        <w:bCs/>
      </w:rPr>
      <w:t>FORMATO PQRSD</w:t>
    </w:r>
  </w:p>
  <w:p w14:paraId="6E566EFF" w14:textId="77777777" w:rsidR="00641391" w:rsidRPr="004A305D" w:rsidRDefault="00641391" w:rsidP="00B01B1A">
    <w:pPr>
      <w:spacing w:after="0" w:line="120" w:lineRule="auto"/>
      <w:rPr>
        <w:rFonts w:ascii="Century Gothic" w:eastAsia="Geo" w:hAnsi="Century Gothic" w:cs="Geo"/>
        <w:sz w:val="16"/>
        <w:szCs w:val="16"/>
        <w:lang w:eastAsia="es-CO"/>
      </w:rPr>
    </w:pPr>
  </w:p>
  <w:p w14:paraId="04ED2FD7" w14:textId="77777777" w:rsidR="00641391" w:rsidRDefault="0064139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EBC"/>
    <w:rsid w:val="003503F0"/>
    <w:rsid w:val="003518D8"/>
    <w:rsid w:val="00986EBC"/>
    <w:rsid w:val="00A252B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2B3FA"/>
  <w15:chartTrackingRefBased/>
  <w15:docId w15:val="{D874838E-2500-4971-8B06-90E169E67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EBC"/>
    <w:pPr>
      <w:spacing w:line="259" w:lineRule="auto"/>
    </w:pPr>
    <w:rPr>
      <w:kern w:val="0"/>
      <w:sz w:val="22"/>
      <w:szCs w:val="22"/>
      <w14:ligatures w14:val="none"/>
    </w:rPr>
  </w:style>
  <w:style w:type="paragraph" w:styleId="Ttulo1">
    <w:name w:val="heading 1"/>
    <w:basedOn w:val="Normal"/>
    <w:next w:val="Normal"/>
    <w:link w:val="Ttulo1Car"/>
    <w:uiPriority w:val="9"/>
    <w:qFormat/>
    <w:rsid w:val="00986E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86E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86E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86E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86E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86E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86E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86E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86E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86EB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86EB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86E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86E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86E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86E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86E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86E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86EBC"/>
    <w:rPr>
      <w:rFonts w:eastAsiaTheme="majorEastAsia" w:cstheme="majorBidi"/>
      <w:color w:val="272727" w:themeColor="text1" w:themeTint="D8"/>
    </w:rPr>
  </w:style>
  <w:style w:type="paragraph" w:styleId="Ttulo">
    <w:name w:val="Title"/>
    <w:basedOn w:val="Normal"/>
    <w:next w:val="Normal"/>
    <w:link w:val="TtuloCar"/>
    <w:uiPriority w:val="10"/>
    <w:qFormat/>
    <w:rsid w:val="00986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86E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86E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86E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86EBC"/>
    <w:pPr>
      <w:spacing w:before="160"/>
      <w:jc w:val="center"/>
    </w:pPr>
    <w:rPr>
      <w:i/>
      <w:iCs/>
      <w:color w:val="404040" w:themeColor="text1" w:themeTint="BF"/>
    </w:rPr>
  </w:style>
  <w:style w:type="character" w:customStyle="1" w:styleId="CitaCar">
    <w:name w:val="Cita Car"/>
    <w:basedOn w:val="Fuentedeprrafopredeter"/>
    <w:link w:val="Cita"/>
    <w:uiPriority w:val="29"/>
    <w:rsid w:val="00986EBC"/>
    <w:rPr>
      <w:i/>
      <w:iCs/>
      <w:color w:val="404040" w:themeColor="text1" w:themeTint="BF"/>
    </w:rPr>
  </w:style>
  <w:style w:type="paragraph" w:styleId="Prrafodelista">
    <w:name w:val="List Paragraph"/>
    <w:basedOn w:val="Normal"/>
    <w:uiPriority w:val="34"/>
    <w:qFormat/>
    <w:rsid w:val="00986EBC"/>
    <w:pPr>
      <w:ind w:left="720"/>
      <w:contextualSpacing/>
    </w:pPr>
  </w:style>
  <w:style w:type="character" w:styleId="nfasisintenso">
    <w:name w:val="Intense Emphasis"/>
    <w:basedOn w:val="Fuentedeprrafopredeter"/>
    <w:uiPriority w:val="21"/>
    <w:qFormat/>
    <w:rsid w:val="00986EBC"/>
    <w:rPr>
      <w:i/>
      <w:iCs/>
      <w:color w:val="0F4761" w:themeColor="accent1" w:themeShade="BF"/>
    </w:rPr>
  </w:style>
  <w:style w:type="paragraph" w:styleId="Citadestacada">
    <w:name w:val="Intense Quote"/>
    <w:basedOn w:val="Normal"/>
    <w:next w:val="Normal"/>
    <w:link w:val="CitadestacadaCar"/>
    <w:uiPriority w:val="30"/>
    <w:qFormat/>
    <w:rsid w:val="00986E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86EBC"/>
    <w:rPr>
      <w:i/>
      <w:iCs/>
      <w:color w:val="0F4761" w:themeColor="accent1" w:themeShade="BF"/>
    </w:rPr>
  </w:style>
  <w:style w:type="character" w:styleId="Referenciaintensa">
    <w:name w:val="Intense Reference"/>
    <w:basedOn w:val="Fuentedeprrafopredeter"/>
    <w:uiPriority w:val="32"/>
    <w:qFormat/>
    <w:rsid w:val="00986EBC"/>
    <w:rPr>
      <w:b/>
      <w:bCs/>
      <w:smallCaps/>
      <w:color w:val="0F4761" w:themeColor="accent1" w:themeShade="BF"/>
      <w:spacing w:val="5"/>
    </w:rPr>
  </w:style>
  <w:style w:type="paragraph" w:styleId="Encabezado">
    <w:name w:val="header"/>
    <w:basedOn w:val="Normal"/>
    <w:link w:val="EncabezadoCar"/>
    <w:uiPriority w:val="99"/>
    <w:unhideWhenUsed/>
    <w:rsid w:val="00986E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86EBC"/>
    <w:rPr>
      <w:kern w:val="0"/>
      <w:sz w:val="22"/>
      <w:szCs w:val="22"/>
      <w14:ligatures w14:val="none"/>
    </w:rPr>
  </w:style>
  <w:style w:type="paragraph" w:styleId="Piedepgina">
    <w:name w:val="footer"/>
    <w:basedOn w:val="Normal"/>
    <w:link w:val="PiedepginaCar"/>
    <w:uiPriority w:val="99"/>
    <w:unhideWhenUsed/>
    <w:rsid w:val="00986E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86EBC"/>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86EB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86EB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86EB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86EBC"/>
    <w:rPr>
      <w:vertAlign w:val="superscript"/>
    </w:rPr>
  </w:style>
  <w:style w:type="table" w:styleId="Tablaconcuadrcula">
    <w:name w:val="Table Grid"/>
    <w:basedOn w:val="Tablanormal"/>
    <w:uiPriority w:val="39"/>
    <w:qFormat/>
    <w:rsid w:val="00986EB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86EBC"/>
    <w:rPr>
      <w:color w:val="0000FF"/>
      <w:u w:val="single"/>
    </w:rPr>
  </w:style>
  <w:style w:type="paragraph" w:styleId="NormalWeb">
    <w:name w:val="Normal (Web)"/>
    <w:basedOn w:val="Normal"/>
    <w:uiPriority w:val="99"/>
    <w:semiHidden/>
    <w:unhideWhenUsed/>
    <w:rsid w:val="00986EB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986EBC"/>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986EB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udiapvc56@hot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A7B959-18D0-4507-81DA-C1D9A4D6C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C336E5-C71C-4E1C-B9F2-45D459A0051C}">
  <ds:schemaRefs>
    <ds:schemaRef ds:uri="http://schemas.microsoft.com/sharepoint/v3/contenttype/forms"/>
  </ds:schemaRefs>
</ds:datastoreItem>
</file>

<file path=customXml/itemProps3.xml><?xml version="1.0" encoding="utf-8"?>
<ds:datastoreItem xmlns:ds="http://schemas.openxmlformats.org/officeDocument/2006/customXml" ds:itemID="{09C74152-F994-4D66-A5DD-B4C7E6D869C3}">
  <ds:schemaRefs>
    <ds:schemaRef ds:uri="http://purl.org/dc/terms/"/>
    <ds:schemaRef ds:uri="http://purl.org/dc/elements/1.1/"/>
    <ds:schemaRef ds:uri="http://schemas.microsoft.com/office/2006/metadata/properties"/>
    <ds:schemaRef ds:uri="http://schemas.microsoft.com/office/2006/documentManagement/types"/>
    <ds:schemaRef ds:uri="9d85dbaf-23eb-4e57-a637-93dcacc8b1a1"/>
    <ds:schemaRef ds:uri="http://www.w3.org/XML/1998/namespace"/>
    <ds:schemaRef ds:uri="http://schemas.microsoft.com/office/infopath/2007/PartnerControls"/>
    <ds:schemaRef ds:uri="http://schemas.openxmlformats.org/package/2006/metadata/core-properties"/>
    <ds:schemaRef ds:uri="a6cb9e4b-f1d1-4245-83ec-6cad768d538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5299</Words>
  <Characters>29150</Characters>
  <Application>Microsoft Office Word</Application>
  <DocSecurity>0</DocSecurity>
  <Lines>242</Lines>
  <Paragraphs>68</Paragraphs>
  <ScaleCrop>false</ScaleCrop>
  <Company/>
  <LinksUpToDate>false</LinksUpToDate>
  <CharactersWithSpaces>34381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2025-06-25T20:16:00Z</dcterms:created>
  <dcterms:modified xsi:type="dcterms:W3CDTF">2025-06-25T20:16:00Z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