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2B4DB" w14:textId="77777777" w:rsidR="00671B44" w:rsidRPr="00105CF9" w:rsidRDefault="00671B44" w:rsidP="00671B44">
      <w:pPr>
        <w:spacing w:after="0" w:line="240" w:lineRule="auto"/>
        <w:rPr>
          <w:rFonts w:ascii="Arial" w:eastAsia="Calibri" w:hAnsi="Arial" w:cs="Arial"/>
          <w:b/>
          <w:bCs/>
          <w:color w:val="000000" w:themeColor="text1"/>
          <w:sz w:val="22"/>
          <w:lang w:val="es-ES" w:eastAsia="es-ES_tradnl"/>
        </w:rPr>
      </w:pPr>
      <w:bookmarkStart w:id="0" w:name="_Hlk78821436"/>
    </w:p>
    <w:p w14:paraId="2AB10C7A" w14:textId="1BA6A7D6" w:rsidR="00671B44" w:rsidRDefault="004B47C3" w:rsidP="00210A88">
      <w:pPr>
        <w:spacing w:after="0" w:line="240" w:lineRule="auto"/>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REGISTRO NACIONAL DE OBRAS CIVILES INCONCLUSAS</w:t>
      </w:r>
      <w:r w:rsidR="00671B44">
        <w:rPr>
          <w:rFonts w:ascii="Arial" w:eastAsia="Calibri" w:hAnsi="Arial" w:cs="Arial"/>
          <w:b/>
          <w:bCs/>
          <w:color w:val="000000" w:themeColor="text1"/>
          <w:sz w:val="22"/>
          <w:lang w:val="es-ES"/>
        </w:rPr>
        <w:t xml:space="preserve"> </w:t>
      </w:r>
      <w:r w:rsidR="00671B44" w:rsidRPr="00105CF9">
        <w:rPr>
          <w:rFonts w:ascii="Arial" w:eastAsia="Calibri" w:hAnsi="Arial" w:cs="Arial"/>
          <w:b/>
          <w:bCs/>
          <w:color w:val="000000" w:themeColor="text1"/>
          <w:sz w:val="22"/>
          <w:lang w:val="es-ES"/>
        </w:rPr>
        <w:t>–</w:t>
      </w:r>
      <w:r w:rsidR="00671B44">
        <w:rPr>
          <w:rFonts w:ascii="Arial" w:eastAsia="Calibri" w:hAnsi="Arial" w:cs="Arial"/>
          <w:b/>
          <w:bCs/>
          <w:color w:val="000000" w:themeColor="text1"/>
          <w:sz w:val="22"/>
          <w:lang w:val="es-ES"/>
        </w:rPr>
        <w:t xml:space="preserve"> Marco normativo </w:t>
      </w:r>
      <w:r w:rsidR="00671B44" w:rsidRPr="00105CF9">
        <w:rPr>
          <w:rFonts w:ascii="Arial" w:eastAsia="Calibri" w:hAnsi="Arial" w:cs="Arial"/>
          <w:b/>
          <w:bCs/>
          <w:color w:val="000000" w:themeColor="text1"/>
          <w:sz w:val="22"/>
          <w:lang w:val="es-ES"/>
        </w:rPr>
        <w:t>–</w:t>
      </w:r>
      <w:r w:rsidR="00671B44">
        <w:rPr>
          <w:rFonts w:ascii="Arial" w:eastAsia="Calibri" w:hAnsi="Arial" w:cs="Arial"/>
          <w:b/>
          <w:bCs/>
          <w:color w:val="000000" w:themeColor="text1"/>
          <w:sz w:val="22"/>
          <w:lang w:val="es-ES"/>
        </w:rPr>
        <w:t xml:space="preserve"> </w:t>
      </w:r>
      <w:r w:rsidR="00733076">
        <w:rPr>
          <w:rFonts w:ascii="Arial" w:eastAsia="Calibri" w:hAnsi="Arial" w:cs="Arial"/>
          <w:b/>
          <w:bCs/>
          <w:color w:val="000000" w:themeColor="text1"/>
          <w:sz w:val="22"/>
          <w:lang w:val="es-ES"/>
        </w:rPr>
        <w:t>Concepto</w:t>
      </w:r>
      <w:r>
        <w:rPr>
          <w:rFonts w:ascii="Arial" w:eastAsia="Calibri" w:hAnsi="Arial" w:cs="Arial"/>
          <w:b/>
          <w:bCs/>
          <w:color w:val="000000" w:themeColor="text1"/>
          <w:sz w:val="22"/>
          <w:lang w:val="es-ES"/>
        </w:rPr>
        <w:t xml:space="preserve"> </w:t>
      </w:r>
      <w:r w:rsidRPr="00105CF9">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Ámbito de aplicación</w:t>
      </w:r>
    </w:p>
    <w:p w14:paraId="653872C5" w14:textId="77777777" w:rsidR="00671B44" w:rsidRDefault="00671B44" w:rsidP="00210A88">
      <w:pPr>
        <w:spacing w:after="0" w:line="240" w:lineRule="auto"/>
        <w:rPr>
          <w:rFonts w:ascii="Arial" w:eastAsia="Calibri" w:hAnsi="Arial" w:cs="Arial"/>
          <w:sz w:val="22"/>
        </w:rPr>
      </w:pPr>
    </w:p>
    <w:bookmarkEnd w:id="0"/>
    <w:p w14:paraId="1DA4311A" w14:textId="3EFC864A" w:rsidR="00B8214F" w:rsidRPr="00B8214F" w:rsidRDefault="00B8214F" w:rsidP="00B8214F">
      <w:pPr>
        <w:tabs>
          <w:tab w:val="left" w:pos="0"/>
        </w:tabs>
        <w:spacing w:after="0" w:line="240" w:lineRule="auto"/>
        <w:rPr>
          <w:rFonts w:ascii="Arial" w:eastAsia="Calibri" w:hAnsi="Arial" w:cs="Arial"/>
          <w:color w:val="000000"/>
          <w:sz w:val="20"/>
          <w:szCs w:val="21"/>
          <w:lang w:val="es-ES_tradnl" w:eastAsia="en-GB"/>
        </w:rPr>
      </w:pPr>
      <w:r w:rsidRPr="00B8214F">
        <w:rPr>
          <w:rFonts w:ascii="Arial" w:eastAsia="Calibri" w:hAnsi="Arial" w:cs="Arial"/>
          <w:bCs/>
          <w:color w:val="000000"/>
          <w:sz w:val="20"/>
          <w:szCs w:val="21"/>
          <w:lang w:val="es-ES_tradnl" w:eastAsia="es-ES_tradnl"/>
        </w:rPr>
        <w:t xml:space="preserve">La Ley 2020 de 2020 creó el </w:t>
      </w:r>
      <w:r w:rsidRPr="00B8214F">
        <w:rPr>
          <w:rFonts w:ascii="Arial" w:eastAsia="Calibri" w:hAnsi="Arial" w:cs="Arial"/>
          <w:color w:val="000000"/>
          <w:sz w:val="20"/>
          <w:szCs w:val="21"/>
          <w:lang w:val="es-ES_tradnl"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B8214F">
        <w:rPr>
          <w:rFonts w:ascii="Arial" w:eastAsia="Calibri" w:hAnsi="Arial" w:cs="Arial"/>
          <w:i/>
          <w:iCs/>
          <w:color w:val="000000"/>
          <w:sz w:val="20"/>
          <w:szCs w:val="21"/>
          <w:lang w:val="es-ES_tradnl" w:eastAsia="en-GB"/>
        </w:rPr>
        <w:t>obra civil inconclusa</w:t>
      </w:r>
      <w:r w:rsidRPr="00B8214F">
        <w:rPr>
          <w:rFonts w:ascii="Arial" w:eastAsia="Calibri" w:hAnsi="Arial" w:cs="Arial"/>
          <w:color w:val="000000"/>
          <w:sz w:val="20"/>
          <w:szCs w:val="21"/>
          <w:lang w:val="es-ES_tradnl"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En otras palabras, el concepto de obra civil inconclusa es armónico con la definición del contrato de obra, prevista en el artículo 32 de la Ley 80 de 1993, 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p>
    <w:p w14:paraId="781C00AE" w14:textId="77777777" w:rsidR="00671B44" w:rsidRPr="004B47C3" w:rsidRDefault="00671B44" w:rsidP="00B8214F">
      <w:pPr>
        <w:spacing w:after="0" w:line="240" w:lineRule="auto"/>
        <w:jc w:val="right"/>
        <w:rPr>
          <w:rFonts w:ascii="Arial" w:eastAsia="Calibri" w:hAnsi="Arial" w:cs="Arial"/>
          <w:b/>
          <w:bCs/>
          <w:color w:val="000000" w:themeColor="text1"/>
          <w:sz w:val="22"/>
          <w:lang w:val="es-ES_tradnl"/>
        </w:rPr>
      </w:pPr>
    </w:p>
    <w:p w14:paraId="4055ED15" w14:textId="31015147" w:rsidR="00671B44" w:rsidRDefault="004B47C3" w:rsidP="00B8214F">
      <w:pPr>
        <w:spacing w:after="0" w:line="240" w:lineRule="auto"/>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REGISTRO NACIONAL DE OBRAS CIVILES INCONCLUSAS</w:t>
      </w:r>
      <w:r w:rsidR="00733076">
        <w:rPr>
          <w:rFonts w:ascii="Arial" w:eastAsia="Calibri" w:hAnsi="Arial" w:cs="Arial"/>
          <w:b/>
          <w:bCs/>
          <w:color w:val="000000" w:themeColor="text1"/>
          <w:sz w:val="22"/>
          <w:lang w:val="es-ES"/>
        </w:rPr>
        <w:t xml:space="preserve"> </w:t>
      </w:r>
      <w:r w:rsidR="00733076" w:rsidRPr="00105CF9">
        <w:rPr>
          <w:rFonts w:ascii="Arial" w:eastAsia="Calibri" w:hAnsi="Arial" w:cs="Arial"/>
          <w:b/>
          <w:bCs/>
          <w:color w:val="000000" w:themeColor="text1"/>
          <w:sz w:val="22"/>
          <w:lang w:val="es-ES"/>
        </w:rPr>
        <w:t>–</w:t>
      </w:r>
      <w:r w:rsidR="00733076">
        <w:rPr>
          <w:rFonts w:ascii="Arial" w:eastAsia="Calibri" w:hAnsi="Arial" w:cs="Arial"/>
          <w:b/>
          <w:bCs/>
          <w:color w:val="000000" w:themeColor="text1"/>
          <w:sz w:val="22"/>
          <w:lang w:val="es-ES"/>
        </w:rPr>
        <w:t xml:space="preserve"> Ley 2020 de 2020</w:t>
      </w:r>
      <w:r w:rsidR="00671B44">
        <w:rPr>
          <w:rFonts w:ascii="Arial" w:eastAsia="Calibri" w:hAnsi="Arial" w:cs="Arial"/>
          <w:b/>
          <w:bCs/>
          <w:color w:val="000000" w:themeColor="text1"/>
          <w:sz w:val="22"/>
          <w:lang w:val="es-ES"/>
        </w:rPr>
        <w:t xml:space="preserve"> </w:t>
      </w:r>
      <w:r w:rsidR="00733076" w:rsidRPr="00105CF9">
        <w:rPr>
          <w:rFonts w:ascii="Arial" w:eastAsia="Calibri" w:hAnsi="Arial" w:cs="Arial"/>
          <w:b/>
          <w:bCs/>
          <w:color w:val="000000" w:themeColor="text1"/>
          <w:sz w:val="22"/>
          <w:lang w:val="es-ES"/>
        </w:rPr>
        <w:t>–</w:t>
      </w:r>
      <w:r w:rsidR="00733076">
        <w:rPr>
          <w:rFonts w:ascii="Arial" w:eastAsia="Calibri" w:hAnsi="Arial" w:cs="Arial"/>
          <w:b/>
          <w:bCs/>
          <w:color w:val="000000" w:themeColor="text1"/>
          <w:sz w:val="22"/>
          <w:lang w:val="es-ES"/>
        </w:rPr>
        <w:t xml:space="preserve"> Exposición de motivos </w:t>
      </w:r>
      <w:r w:rsidR="00671B44" w:rsidRPr="00105CF9">
        <w:rPr>
          <w:rFonts w:ascii="Arial" w:eastAsia="Calibri" w:hAnsi="Arial" w:cs="Arial"/>
          <w:b/>
          <w:bCs/>
          <w:color w:val="000000" w:themeColor="text1"/>
          <w:sz w:val="22"/>
          <w:lang w:val="es-ES"/>
        </w:rPr>
        <w:t>–</w:t>
      </w:r>
      <w:r w:rsidR="00671B44">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
        </w:rPr>
        <w:t xml:space="preserve">Interpretación teleológica </w:t>
      </w:r>
      <w:r w:rsidR="005F23E1">
        <w:rPr>
          <w:rFonts w:ascii="Arial" w:eastAsia="Calibri" w:hAnsi="Arial" w:cs="Arial"/>
          <w:b/>
          <w:bCs/>
          <w:color w:val="000000" w:themeColor="text1"/>
          <w:sz w:val="22"/>
          <w:lang w:val="es-ES"/>
        </w:rPr>
        <w:t>y contextual</w:t>
      </w:r>
    </w:p>
    <w:p w14:paraId="1A97EC82" w14:textId="77777777" w:rsidR="00B8214F" w:rsidRPr="00105CF9" w:rsidRDefault="00B8214F" w:rsidP="00B8214F">
      <w:pPr>
        <w:spacing w:after="0" w:line="240" w:lineRule="auto"/>
        <w:rPr>
          <w:rFonts w:ascii="Arial" w:eastAsia="Calibri" w:hAnsi="Arial" w:cs="Arial"/>
          <w:b/>
          <w:bCs/>
          <w:color w:val="000000" w:themeColor="text1"/>
          <w:sz w:val="22"/>
          <w:lang w:val="es-ES"/>
        </w:rPr>
      </w:pPr>
    </w:p>
    <w:p w14:paraId="3F761B47" w14:textId="77777777" w:rsidR="00B8214F" w:rsidRDefault="00B8214F" w:rsidP="00B8214F">
      <w:pPr>
        <w:spacing w:line="240" w:lineRule="auto"/>
        <w:rPr>
          <w:rFonts w:ascii="Arial" w:eastAsia="Calibri" w:hAnsi="Arial" w:cs="Arial"/>
          <w:sz w:val="20"/>
          <w:szCs w:val="20"/>
          <w:lang w:val="es-ES_tradnl" w:eastAsia="en-GB"/>
        </w:rPr>
      </w:pPr>
      <w:r w:rsidRPr="00B8214F">
        <w:rPr>
          <w:rFonts w:ascii="Arial" w:eastAsia="Calibri" w:hAnsi="Arial" w:cs="Arial"/>
          <w:sz w:val="20"/>
          <w:szCs w:val="20"/>
          <w:lang w:val="es-ES_tradnl" w:eastAsia="en-GB"/>
        </w:rPr>
        <w:t>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w:t>
      </w:r>
      <w:proofErr w:type="gramStart"/>
      <w:r w:rsidRPr="00B8214F">
        <w:rPr>
          <w:rFonts w:ascii="Arial" w:eastAsia="Calibri" w:hAnsi="Arial" w:cs="Arial"/>
          <w:sz w:val="20"/>
          <w:szCs w:val="20"/>
          <w:lang w:val="es-ES_tradnl" w:eastAsia="en-GB"/>
        </w:rPr>
        <w:t>» .</w:t>
      </w:r>
      <w:proofErr w:type="gramEnd"/>
      <w:r w:rsidRPr="00B8214F">
        <w:rPr>
          <w:rFonts w:ascii="Arial" w:eastAsia="Calibri" w:hAnsi="Arial" w:cs="Arial"/>
          <w:sz w:val="20"/>
          <w:szCs w:val="20"/>
          <w:lang w:val="es-ES_tradnl" w:eastAsia="en-GB"/>
        </w:rPr>
        <w:t xml:space="preserve">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terminar o demoler la obra, asegurando que pueda realizar una inversión de sus recursos para la intervención de esta.</w:t>
      </w:r>
    </w:p>
    <w:p w14:paraId="215696FA" w14:textId="7DBE005D" w:rsidR="00AE0A01" w:rsidRPr="004E7030" w:rsidRDefault="00AE0A01" w:rsidP="00B8214F">
      <w:pPr>
        <w:tabs>
          <w:tab w:val="left" w:pos="0"/>
        </w:tabs>
        <w:spacing w:before="120" w:line="240" w:lineRule="auto"/>
        <w:rPr>
          <w:rFonts w:ascii="Arial" w:eastAsia="Calibri" w:hAnsi="Arial" w:cs="Arial"/>
          <w:b/>
          <w:bCs/>
          <w:sz w:val="22"/>
          <w:lang w:val="es-ES_tradnl" w:eastAsia="en-GB"/>
        </w:rPr>
      </w:pPr>
      <w:r>
        <w:rPr>
          <w:rFonts w:ascii="Arial" w:eastAsia="Calibri" w:hAnsi="Arial" w:cs="Arial"/>
          <w:b/>
          <w:bCs/>
          <w:color w:val="000000" w:themeColor="text1"/>
          <w:sz w:val="22"/>
          <w:lang w:val="es-ES"/>
        </w:rPr>
        <w:t>REGISTRO NACIONAL DE OBRAS CIVILES INCONCLUSAS</w:t>
      </w:r>
      <w:r w:rsidRPr="00105CF9">
        <w:rPr>
          <w:rFonts w:ascii="Arial" w:eastAsia="Calibri" w:hAnsi="Arial" w:cs="Arial"/>
          <w:sz w:val="22"/>
        </w:rPr>
        <w:t xml:space="preserve"> </w:t>
      </w:r>
      <w:r w:rsidRPr="00105CF9">
        <w:rPr>
          <w:rFonts w:ascii="Arial" w:eastAsia="Calibri" w:hAnsi="Arial" w:cs="Arial"/>
          <w:b/>
          <w:bCs/>
          <w:color w:val="000000" w:themeColor="text1"/>
          <w:sz w:val="22"/>
          <w:lang w:eastAsia="es-ES_tradnl"/>
        </w:rPr>
        <w:t>–</w:t>
      </w:r>
      <w:r>
        <w:rPr>
          <w:rFonts w:ascii="Arial" w:eastAsia="Calibri" w:hAnsi="Arial" w:cs="Arial"/>
          <w:b/>
          <w:bCs/>
          <w:color w:val="000000" w:themeColor="text1"/>
          <w:sz w:val="22"/>
          <w:lang w:eastAsia="es-ES_tradnl"/>
        </w:rPr>
        <w:t xml:space="preserve"> </w:t>
      </w:r>
      <w:r w:rsidRPr="004E7030">
        <w:rPr>
          <w:rFonts w:ascii="Arial" w:eastAsia="Calibri" w:hAnsi="Arial" w:cs="Arial"/>
          <w:b/>
          <w:bCs/>
          <w:sz w:val="22"/>
          <w:lang w:val="es-ES_tradnl" w:eastAsia="en-GB"/>
        </w:rPr>
        <w:t>Contenido del Registro Nacional de Obras Civiles Inconclusas</w:t>
      </w:r>
    </w:p>
    <w:p w14:paraId="0A3ADDA0" w14:textId="03AF5D82" w:rsidR="00954465" w:rsidRDefault="00954465" w:rsidP="00B8214F">
      <w:pPr>
        <w:tabs>
          <w:tab w:val="left" w:pos="0"/>
        </w:tabs>
        <w:spacing w:before="120" w:line="240" w:lineRule="auto"/>
        <w:rPr>
          <w:rFonts w:ascii="Arial" w:eastAsia="Calibri" w:hAnsi="Arial" w:cs="Arial"/>
          <w:sz w:val="20"/>
          <w:szCs w:val="20"/>
          <w:lang w:val="es-ES_tradnl" w:eastAsia="en-GB"/>
        </w:rPr>
      </w:pPr>
      <w:r w:rsidRPr="00954465">
        <w:rPr>
          <w:rFonts w:ascii="Arial" w:eastAsia="Calibri" w:hAnsi="Arial" w:cs="Arial"/>
          <w:sz w:val="20"/>
          <w:szCs w:val="20"/>
          <w:lang w:val="es-ES_tradnl" w:eastAsia="en-GB"/>
        </w:rPr>
        <w:t xml:space="preserve">Respecto al contenido del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informe final presentado por el interventor del proyecto y la demás información que establezca la Contraloría General de la República. Igualmente, conforme al artículo 15 </w:t>
      </w:r>
      <w:proofErr w:type="spellStart"/>
      <w:r w:rsidRPr="00954465">
        <w:rPr>
          <w:rFonts w:ascii="Arial" w:eastAsia="Calibri" w:hAnsi="Arial" w:cs="Arial"/>
          <w:sz w:val="20"/>
          <w:szCs w:val="20"/>
          <w:lang w:val="es-ES_tradnl" w:eastAsia="en-GB"/>
        </w:rPr>
        <w:t>ibídem</w:t>
      </w:r>
      <w:proofErr w:type="spellEnd"/>
      <w:r w:rsidRPr="00954465">
        <w:rPr>
          <w:rFonts w:ascii="Arial" w:eastAsia="Calibri" w:hAnsi="Arial" w:cs="Arial"/>
          <w:sz w:val="20"/>
          <w:szCs w:val="20"/>
          <w:lang w:val="es-ES_tradnl" w:eastAsia="en-GB"/>
        </w:rPr>
        <w:t xml:space="preserve"> se incluirán en el Registro Nacional de Obras Civiles Inconclusas, las obras civiles ya terminadas que no se encuentren en funcionamiento. Para tales efectos, la Contraloría General de la República establecerá los criterios y el término para su incorporación.</w:t>
      </w:r>
    </w:p>
    <w:p w14:paraId="6CB5E419" w14:textId="0F54E6F2" w:rsidR="005F23E1" w:rsidRPr="00FD2D2B" w:rsidRDefault="00FD2D2B" w:rsidP="00B8214F">
      <w:pPr>
        <w:tabs>
          <w:tab w:val="left" w:pos="0"/>
        </w:tabs>
        <w:spacing w:before="120" w:line="240" w:lineRule="auto"/>
        <w:rPr>
          <w:rFonts w:ascii="Arial" w:eastAsia="Calibri" w:hAnsi="Arial" w:cs="Arial"/>
          <w:b/>
          <w:bCs/>
          <w:sz w:val="22"/>
          <w:lang w:val="es-ES_tradnl" w:eastAsia="en-GB"/>
        </w:rPr>
      </w:pPr>
      <w:r>
        <w:rPr>
          <w:rFonts w:ascii="Arial" w:eastAsia="Calibri" w:hAnsi="Arial" w:cs="Arial"/>
          <w:b/>
          <w:bCs/>
          <w:color w:val="000000" w:themeColor="text1"/>
          <w:sz w:val="22"/>
          <w:lang w:val="es-ES"/>
        </w:rPr>
        <w:lastRenderedPageBreak/>
        <w:t>REGISTRO NACIONAL DE OBRAS CIVILES INCONCLUSAS</w:t>
      </w:r>
      <w:r w:rsidRPr="00105CF9">
        <w:rPr>
          <w:rFonts w:ascii="Arial" w:eastAsia="Calibri" w:hAnsi="Arial" w:cs="Arial"/>
          <w:sz w:val="22"/>
        </w:rPr>
        <w:t xml:space="preserve"> </w:t>
      </w:r>
      <w:r w:rsidRPr="00105CF9">
        <w:rPr>
          <w:rFonts w:ascii="Arial" w:eastAsia="Calibri" w:hAnsi="Arial" w:cs="Arial"/>
          <w:b/>
          <w:bCs/>
          <w:color w:val="000000" w:themeColor="text1"/>
          <w:sz w:val="22"/>
          <w:lang w:eastAsia="es-ES_tradnl"/>
        </w:rPr>
        <w:t>–</w:t>
      </w:r>
      <w:r>
        <w:rPr>
          <w:rFonts w:ascii="Arial" w:eastAsia="Calibri" w:hAnsi="Arial" w:cs="Arial"/>
          <w:b/>
          <w:bCs/>
          <w:color w:val="000000" w:themeColor="text1"/>
          <w:sz w:val="22"/>
          <w:lang w:eastAsia="es-ES_tradnl"/>
        </w:rPr>
        <w:t xml:space="preserve"> </w:t>
      </w:r>
      <w:r>
        <w:rPr>
          <w:rFonts w:ascii="Arial" w:eastAsia="Calibri" w:hAnsi="Arial" w:cs="Arial"/>
          <w:b/>
          <w:bCs/>
          <w:sz w:val="22"/>
          <w:lang w:val="es-ES_tradnl" w:eastAsia="en-GB"/>
        </w:rPr>
        <w:t>Consecuencias de la</w:t>
      </w:r>
      <w:r w:rsidR="007A29BD">
        <w:rPr>
          <w:rFonts w:ascii="Arial" w:eastAsia="Calibri" w:hAnsi="Arial" w:cs="Arial"/>
          <w:b/>
          <w:bCs/>
          <w:sz w:val="22"/>
          <w:lang w:val="es-ES_tradnl" w:eastAsia="en-GB"/>
        </w:rPr>
        <w:t>s</w:t>
      </w:r>
      <w:r>
        <w:rPr>
          <w:rFonts w:ascii="Arial" w:eastAsia="Calibri" w:hAnsi="Arial" w:cs="Arial"/>
          <w:b/>
          <w:bCs/>
          <w:sz w:val="22"/>
          <w:lang w:val="es-ES_tradnl" w:eastAsia="en-GB"/>
        </w:rPr>
        <w:t xml:space="preserve"> anotaci</w:t>
      </w:r>
      <w:r w:rsidR="007A29BD">
        <w:rPr>
          <w:rFonts w:ascii="Arial" w:eastAsia="Calibri" w:hAnsi="Arial" w:cs="Arial"/>
          <w:b/>
          <w:bCs/>
          <w:sz w:val="22"/>
          <w:lang w:val="es-ES_tradnl" w:eastAsia="en-GB"/>
        </w:rPr>
        <w:t>ones en el registro</w:t>
      </w:r>
      <w:r>
        <w:rPr>
          <w:rFonts w:ascii="Arial" w:eastAsia="Calibri" w:hAnsi="Arial" w:cs="Arial"/>
          <w:b/>
          <w:bCs/>
          <w:sz w:val="22"/>
          <w:lang w:val="es-ES_tradnl" w:eastAsia="en-GB"/>
        </w:rPr>
        <w:t xml:space="preserve"> </w:t>
      </w:r>
      <w:r w:rsidRPr="004E7030">
        <w:rPr>
          <w:rFonts w:ascii="Arial" w:eastAsia="Calibri" w:hAnsi="Arial" w:cs="Arial"/>
          <w:b/>
          <w:bCs/>
          <w:sz w:val="22"/>
          <w:lang w:val="es-ES_tradnl" w:eastAsia="en-GB"/>
        </w:rPr>
        <w:t xml:space="preserve">para </w:t>
      </w:r>
      <w:r w:rsidR="007A29BD">
        <w:rPr>
          <w:rFonts w:ascii="Arial" w:eastAsia="Calibri" w:hAnsi="Arial" w:cs="Arial"/>
          <w:b/>
          <w:bCs/>
          <w:sz w:val="22"/>
          <w:lang w:val="es-ES_tradnl" w:eastAsia="en-GB"/>
        </w:rPr>
        <w:t xml:space="preserve">participar en </w:t>
      </w:r>
      <w:r w:rsidRPr="004E7030">
        <w:rPr>
          <w:rFonts w:ascii="Arial" w:eastAsia="Calibri" w:hAnsi="Arial" w:cs="Arial"/>
          <w:b/>
          <w:bCs/>
          <w:sz w:val="22"/>
          <w:lang w:val="es-ES_tradnl" w:eastAsia="en-GB"/>
        </w:rPr>
        <w:t>procesos de selección</w:t>
      </w:r>
    </w:p>
    <w:p w14:paraId="3A8A52BC" w14:textId="77777777" w:rsidR="00026B16" w:rsidRDefault="00026B16" w:rsidP="00026B16">
      <w:pPr>
        <w:tabs>
          <w:tab w:val="left" w:pos="0"/>
        </w:tabs>
        <w:spacing w:before="120" w:line="240" w:lineRule="auto"/>
        <w:rPr>
          <w:rFonts w:ascii="Arial" w:eastAsia="Times New Roman" w:hAnsi="Arial" w:cs="Arial"/>
          <w:sz w:val="20"/>
          <w:szCs w:val="20"/>
          <w:lang w:eastAsia="es-ES_tradnl"/>
        </w:rPr>
      </w:pPr>
      <w:r w:rsidRPr="00026B16">
        <w:rPr>
          <w:rFonts w:ascii="Arial" w:eastAsia="Times New Roman" w:hAnsi="Arial" w:cs="Arial"/>
          <w:sz w:val="20"/>
          <w:szCs w:val="20"/>
          <w:lang w:eastAsia="es-ES_tradnl"/>
        </w:rPr>
        <w:t>como las entidades estatales cuentan con discrecionalidad para determinar los criterios de calificación, corresponde a estas definir, en los pliegos de condiciones, los factores de asignación de puntaje y la forma en que se realizará la valoración de las anotaciones vigentes en el Registro Nacional de Obras Civiles Inconclusas al momento de evaluar las ofertas, conforme a los parámetros del artículo 6 de la Ley 2020 de 2020. Lo anterior, teniendo en cuenta que la norma no restringió a una metodología específica el análisis y la valoración de estas anotaciones. Sin embargo, debe precisarse que la sola inclusión en el Registro Nacional de Obras Civiles Inconclusas no puede entenderse suficiente para afectar la ponderación del factor de calidad del proponente, puesto que la norma establece el deber de la entidad de realizar la consulta y el análisis de la anotación. Además, como se expuso, el Registro Nacional de Nacional de Obras Civiles Inconclusas es un sistema que contiene los datos sobre obras inconclusas en todo el territorio nacional, compuesto por la información reportada por las entidades estatales o la información obtenida por la Contraloría General de la República. Esto significa que el Registro contiene toda la información necesaria que permita verificar el estado real de dicha obra, entre ellos, datos sobre la identificación del contratista, consultores, interventores y demás personas naturales y/o jurídicas que intervinieron en la planeación y ejecución del proyecto, entre otros. En este sentido, no puede entenderse que la sola inclusión de dicha información tenga incidencia automática al momento de evaluar los factores de ponderación.</w:t>
      </w:r>
    </w:p>
    <w:p w14:paraId="6D32129A" w14:textId="17F8B026" w:rsidR="007A29BD" w:rsidRPr="00026B16" w:rsidRDefault="007A29BD" w:rsidP="00026B16">
      <w:pPr>
        <w:tabs>
          <w:tab w:val="left" w:pos="0"/>
        </w:tabs>
        <w:spacing w:before="120" w:line="240" w:lineRule="auto"/>
        <w:rPr>
          <w:rFonts w:ascii="Arial" w:eastAsia="Times New Roman" w:hAnsi="Arial" w:cs="Arial"/>
          <w:sz w:val="20"/>
          <w:szCs w:val="20"/>
          <w:lang w:eastAsia="es-ES_tradnl"/>
        </w:rPr>
      </w:pPr>
      <w:r>
        <w:rPr>
          <w:rFonts w:ascii="Arial" w:eastAsia="Calibri" w:hAnsi="Arial" w:cs="Arial"/>
          <w:b/>
          <w:bCs/>
          <w:color w:val="000000" w:themeColor="text1"/>
          <w:sz w:val="22"/>
          <w:lang w:val="es-ES"/>
        </w:rPr>
        <w:t>REGISTRO NACIONAL DE OBRAS CIVILES INCONCLUSAS</w:t>
      </w:r>
      <w:r w:rsidRPr="00105CF9">
        <w:rPr>
          <w:rFonts w:ascii="Arial" w:eastAsia="Calibri" w:hAnsi="Arial" w:cs="Arial"/>
          <w:sz w:val="22"/>
        </w:rPr>
        <w:t xml:space="preserve"> </w:t>
      </w:r>
      <w:r w:rsidRPr="00105CF9">
        <w:rPr>
          <w:rFonts w:ascii="Arial" w:eastAsia="Calibri" w:hAnsi="Arial" w:cs="Arial"/>
          <w:b/>
          <w:bCs/>
          <w:color w:val="000000" w:themeColor="text1"/>
          <w:sz w:val="22"/>
          <w:lang w:eastAsia="es-ES_tradnl"/>
        </w:rPr>
        <w:t>–</w:t>
      </w:r>
      <w:r>
        <w:rPr>
          <w:rFonts w:ascii="Arial" w:eastAsia="Calibri" w:hAnsi="Arial" w:cs="Arial"/>
          <w:b/>
          <w:bCs/>
          <w:color w:val="000000" w:themeColor="text1"/>
          <w:sz w:val="22"/>
          <w:lang w:eastAsia="es-ES_tradnl"/>
        </w:rPr>
        <w:t xml:space="preserve"> </w:t>
      </w:r>
      <w:r>
        <w:rPr>
          <w:rFonts w:ascii="Arial" w:eastAsia="Calibri" w:hAnsi="Arial" w:cs="Arial"/>
          <w:b/>
          <w:bCs/>
          <w:sz w:val="22"/>
          <w:lang w:val="es-ES_tradnl" w:eastAsia="en-GB"/>
        </w:rPr>
        <w:t>Consecuencias de las anotaciones en el registro en el marco de documentos tipo</w:t>
      </w:r>
    </w:p>
    <w:p w14:paraId="3E696231" w14:textId="06BC361D" w:rsidR="007A29BD" w:rsidRDefault="007A29BD" w:rsidP="00026B16">
      <w:pPr>
        <w:spacing w:before="120" w:line="240" w:lineRule="auto"/>
        <w:rPr>
          <w:rFonts w:ascii="Arial" w:eastAsia="Calibri" w:hAnsi="Arial" w:cs="Arial"/>
          <w:sz w:val="20"/>
          <w:szCs w:val="20"/>
        </w:rPr>
      </w:pPr>
      <w:r w:rsidRPr="00954465">
        <w:rPr>
          <w:rFonts w:ascii="Arial" w:eastAsia="Calibri" w:hAnsi="Arial" w:cs="Arial"/>
          <w:color w:val="000000" w:themeColor="text1"/>
          <w:sz w:val="20"/>
          <w:szCs w:val="20"/>
          <w:lang w:val="es-ES_tradnl"/>
        </w:rPr>
        <w:t>[E]</w:t>
      </w:r>
      <w:r w:rsidR="00026B16" w:rsidRPr="00026B16">
        <w:rPr>
          <w:rFonts w:ascii="Arial" w:eastAsia="Calibri" w:hAnsi="Arial" w:cs="Arial"/>
          <w:sz w:val="20"/>
          <w:szCs w:val="20"/>
        </w:rPr>
        <w:t>n el evento en que las personas naturales o jurídicas, nacionales o extranjeras domiciliadas o con sucursal en Colombia, o integrantes de proponentes plurales, cuenten con una anotación en dicho registro, le corresponde a la entidad examinar la particularidad de la anotación y determinar si la misma es suficiente para descontar el punto de la sumatoria total en relación con el factor de calidad. Ello encuentra sustento, a su vez, en el desarrollo del trámite legislativo que se surtió en el Congreso de la República, en el cual se incorporó en el artículo 6 de la Ley 2020 de 2020 los vocablos «consultar y analizar», en el entendido que «no toda inclusión en el registro es imputable al contratista».</w:t>
      </w:r>
      <w:r w:rsidR="00026B16">
        <w:rPr>
          <w:rFonts w:ascii="Arial" w:eastAsia="Calibri" w:hAnsi="Arial" w:cs="Arial"/>
          <w:sz w:val="20"/>
          <w:szCs w:val="20"/>
        </w:rPr>
        <w:t xml:space="preserve"> </w:t>
      </w:r>
      <w:r w:rsidR="00026B16" w:rsidRPr="00B8214F">
        <w:rPr>
          <w:rFonts w:ascii="Arial" w:eastAsia="Calibri" w:hAnsi="Arial" w:cs="Arial"/>
          <w:sz w:val="20"/>
          <w:szCs w:val="20"/>
          <w:lang w:val="es-ES_tradnl" w:eastAsia="en-GB"/>
        </w:rPr>
        <w:t>[…]</w:t>
      </w:r>
      <w:r w:rsidR="00026B16" w:rsidRPr="00026B16">
        <w:rPr>
          <w:rFonts w:ascii="Arial" w:eastAsia="Calibri" w:hAnsi="Arial" w:cs="Arial"/>
          <w:sz w:val="20"/>
          <w:szCs w:val="20"/>
        </w:rPr>
        <w:t xml:space="preserve"> Así las cosas, a juicio de esta Agencia, la sola inclusión en el Registro Nacional de Obras Civiles Inconclusas no puede entenderse suficiente para descontar el puntaje en los factores de asignación de puntos establecidos en el pliego de condiciones. De todas formas, si en el informe de evaluación que realiza la entidad se produce la reducción del puntaje bajo el único argumento de encontrarse en dicho Registro, sin efectuar un análisis previo de las anotaciones, el proponente, con fundamento en la interpretación de las normas analizadas, podrá formular la observación respectiva. </w:t>
      </w:r>
    </w:p>
    <w:p w14:paraId="7D74AAAF" w14:textId="77777777" w:rsidR="008B2160" w:rsidRPr="00954465" w:rsidRDefault="008B2160" w:rsidP="00026B16">
      <w:pPr>
        <w:spacing w:before="120" w:line="240" w:lineRule="auto"/>
        <w:rPr>
          <w:rFonts w:ascii="Arial" w:eastAsia="Calibri" w:hAnsi="Arial" w:cs="Arial"/>
          <w:sz w:val="20"/>
          <w:szCs w:val="20"/>
        </w:rPr>
      </w:pPr>
    </w:p>
    <w:p w14:paraId="44F0C4FC" w14:textId="251ABAD7" w:rsidR="00671B44" w:rsidRDefault="00671B44" w:rsidP="00B8214F">
      <w:pPr>
        <w:spacing w:after="0" w:line="240" w:lineRule="auto"/>
        <w:rPr>
          <w:rFonts w:ascii="Arial" w:eastAsia="Calibri" w:hAnsi="Arial" w:cs="Arial"/>
          <w:b/>
          <w:bCs/>
          <w:color w:val="000000" w:themeColor="text1"/>
          <w:sz w:val="20"/>
          <w:szCs w:val="20"/>
        </w:rPr>
      </w:pPr>
    </w:p>
    <w:p w14:paraId="0D7E89B9" w14:textId="4A7639DA" w:rsidR="007A29BD" w:rsidRDefault="007A29BD" w:rsidP="00671B44">
      <w:pPr>
        <w:spacing w:after="0"/>
        <w:rPr>
          <w:rFonts w:ascii="Arial" w:eastAsia="Calibri" w:hAnsi="Arial" w:cs="Arial"/>
          <w:b/>
          <w:bCs/>
          <w:color w:val="000000" w:themeColor="text1"/>
          <w:sz w:val="20"/>
          <w:szCs w:val="20"/>
        </w:rPr>
      </w:pPr>
    </w:p>
    <w:p w14:paraId="34962A27" w14:textId="7FDBD85B" w:rsidR="007A29BD" w:rsidRDefault="007A29BD" w:rsidP="00671B44">
      <w:pPr>
        <w:spacing w:after="0"/>
        <w:rPr>
          <w:rFonts w:ascii="Arial" w:eastAsia="Calibri" w:hAnsi="Arial" w:cs="Arial"/>
          <w:b/>
          <w:bCs/>
          <w:color w:val="000000" w:themeColor="text1"/>
          <w:sz w:val="20"/>
          <w:szCs w:val="20"/>
        </w:rPr>
      </w:pPr>
    </w:p>
    <w:p w14:paraId="3008121F" w14:textId="40ABFADD" w:rsidR="007A29BD" w:rsidRDefault="007A29BD" w:rsidP="00671B44">
      <w:pPr>
        <w:spacing w:after="0"/>
        <w:rPr>
          <w:rFonts w:ascii="Arial" w:eastAsia="Calibri" w:hAnsi="Arial" w:cs="Arial"/>
          <w:b/>
          <w:bCs/>
          <w:color w:val="000000" w:themeColor="text1"/>
          <w:sz w:val="20"/>
          <w:szCs w:val="20"/>
        </w:rPr>
      </w:pPr>
    </w:p>
    <w:p w14:paraId="20C3D4B1" w14:textId="13C34D11" w:rsidR="007A29BD" w:rsidRDefault="007A29BD" w:rsidP="00671B44">
      <w:pPr>
        <w:spacing w:after="0"/>
        <w:rPr>
          <w:rFonts w:ascii="Arial" w:eastAsia="Calibri" w:hAnsi="Arial" w:cs="Arial"/>
          <w:b/>
          <w:bCs/>
          <w:color w:val="000000" w:themeColor="text1"/>
          <w:sz w:val="20"/>
          <w:szCs w:val="20"/>
        </w:rPr>
      </w:pPr>
    </w:p>
    <w:p w14:paraId="46703295" w14:textId="59515AD0" w:rsidR="007A29BD" w:rsidRDefault="007A29BD" w:rsidP="00671B44">
      <w:pPr>
        <w:spacing w:after="0"/>
        <w:rPr>
          <w:rFonts w:ascii="Arial" w:eastAsia="Calibri" w:hAnsi="Arial" w:cs="Arial"/>
          <w:b/>
          <w:bCs/>
          <w:color w:val="000000" w:themeColor="text1"/>
          <w:sz w:val="20"/>
          <w:szCs w:val="20"/>
        </w:rPr>
      </w:pPr>
    </w:p>
    <w:p w14:paraId="2115D1DA" w14:textId="5D206E70" w:rsidR="007A29BD" w:rsidRDefault="007A29BD" w:rsidP="00671B44">
      <w:pPr>
        <w:spacing w:after="0"/>
        <w:rPr>
          <w:rFonts w:ascii="Arial" w:eastAsia="Calibri" w:hAnsi="Arial" w:cs="Arial"/>
          <w:b/>
          <w:bCs/>
          <w:color w:val="000000" w:themeColor="text1"/>
          <w:sz w:val="20"/>
          <w:szCs w:val="20"/>
        </w:rPr>
      </w:pPr>
    </w:p>
    <w:p w14:paraId="63C1BF40" w14:textId="77777777" w:rsidR="00671B44" w:rsidRDefault="00671B44" w:rsidP="00671B44">
      <w:pPr>
        <w:spacing w:after="0"/>
        <w:rPr>
          <w:rFonts w:ascii="Arial" w:eastAsia="Calibri" w:hAnsi="Arial" w:cs="Arial"/>
          <w:b/>
          <w:bCs/>
          <w:color w:val="000000" w:themeColor="text1"/>
          <w:sz w:val="20"/>
          <w:szCs w:val="20"/>
          <w:lang w:val="es-ES"/>
        </w:rPr>
      </w:pPr>
    </w:p>
    <w:p w14:paraId="1AD2F3F0" w14:textId="77777777" w:rsidR="00671B44" w:rsidRDefault="00671B44" w:rsidP="00671B44">
      <w:pPr>
        <w:spacing w:after="0"/>
        <w:rPr>
          <w:rFonts w:ascii="Arial" w:eastAsia="Calibri" w:hAnsi="Arial" w:cs="Arial"/>
          <w:b/>
          <w:bCs/>
          <w:color w:val="000000" w:themeColor="text1"/>
          <w:sz w:val="20"/>
          <w:szCs w:val="20"/>
          <w:lang w:val="es-ES"/>
        </w:rPr>
      </w:pPr>
    </w:p>
    <w:p w14:paraId="29E4F111" w14:textId="0E93F8DA" w:rsidR="00671B44" w:rsidRDefault="0002038C" w:rsidP="00671B44">
      <w:pPr>
        <w:spacing w:after="0"/>
        <w:jc w:val="right"/>
        <w:rPr>
          <w:rFonts w:ascii="Arial" w:eastAsia="Times New Roman" w:hAnsi="Arial" w:cs="Arial"/>
          <w:b/>
          <w:bCs/>
          <w:sz w:val="16"/>
          <w:szCs w:val="16"/>
          <w:lang w:val="es-CO" w:eastAsia="es-ES"/>
        </w:rPr>
      </w:pPr>
      <w:r>
        <w:rPr>
          <w:rFonts w:ascii="Arial" w:eastAsia="Calibri" w:hAnsi="Arial" w:cs="Arial"/>
          <w:noProof/>
          <w:sz w:val="22"/>
          <w:lang w:val="es-CO"/>
        </w:rPr>
        <w:lastRenderedPageBreak/>
        <w:drawing>
          <wp:anchor distT="0" distB="0" distL="114300" distR="114300" simplePos="0" relativeHeight="251658240" behindDoc="0" locked="0" layoutInCell="1" allowOverlap="1" wp14:anchorId="57DFFADF" wp14:editId="3DBD27B8">
            <wp:simplePos x="0" y="0"/>
            <wp:positionH relativeFrom="column">
              <wp:posOffset>1903210</wp:posOffset>
            </wp:positionH>
            <wp:positionV relativeFrom="paragraph">
              <wp:posOffset>-844030</wp:posOffset>
            </wp:positionV>
            <wp:extent cx="2470882" cy="717389"/>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05778" cy="727521"/>
                    </a:xfrm>
                    <a:prstGeom prst="rect">
                      <a:avLst/>
                    </a:prstGeom>
                  </pic:spPr>
                </pic:pic>
              </a:graphicData>
            </a:graphic>
            <wp14:sizeRelH relativeFrom="page">
              <wp14:pctWidth>0</wp14:pctWidth>
            </wp14:sizeRelH>
            <wp14:sizeRelV relativeFrom="page">
              <wp14:pctHeight>0</wp14:pctHeight>
            </wp14:sizeRelV>
          </wp:anchor>
        </w:drawing>
      </w:r>
    </w:p>
    <w:p w14:paraId="4F00D977" w14:textId="5C473CA9" w:rsidR="00671B44" w:rsidRPr="00403E6E" w:rsidRDefault="00671B44" w:rsidP="00671B44">
      <w:pPr>
        <w:spacing w:after="0"/>
        <w:jc w:val="right"/>
        <w:rPr>
          <w:rFonts w:ascii="Arial" w:eastAsia="Calibri" w:hAnsi="Arial" w:cs="Arial"/>
          <w:b/>
          <w:bCs/>
          <w:sz w:val="16"/>
          <w:szCs w:val="16"/>
          <w:lang w:val="es-CO"/>
        </w:rPr>
      </w:pPr>
      <w:r w:rsidRPr="000E190F">
        <w:rPr>
          <w:rFonts w:ascii="Arial" w:eastAsia="Times New Roman" w:hAnsi="Arial" w:cs="Arial"/>
          <w:b/>
          <w:bCs/>
          <w:sz w:val="16"/>
          <w:szCs w:val="16"/>
          <w:lang w:val="es-CO" w:eastAsia="es-ES"/>
        </w:rPr>
        <w:t>CCE-DES-FM-17</w:t>
      </w:r>
    </w:p>
    <w:p w14:paraId="6EA37E39" w14:textId="640BDBDD" w:rsidR="00671B44" w:rsidRPr="00646770" w:rsidRDefault="00671B44" w:rsidP="00671B44">
      <w:pPr>
        <w:spacing w:after="0" w:line="240" w:lineRule="auto"/>
        <w:jc w:val="right"/>
        <w:rPr>
          <w:rFonts w:ascii="Times New Roman" w:eastAsia="Times New Roman" w:hAnsi="Times New Roman" w:cs="Times New Roman"/>
          <w:szCs w:val="24"/>
          <w:lang w:val="es-CO" w:eastAsia="es-MX"/>
        </w:rPr>
      </w:pPr>
    </w:p>
    <w:p w14:paraId="7434C09C" w14:textId="77777777" w:rsidR="00671B44" w:rsidRPr="00446B03" w:rsidRDefault="00671B44" w:rsidP="00671B44">
      <w:pPr>
        <w:spacing w:after="0" w:line="240" w:lineRule="auto"/>
        <w:rPr>
          <w:rFonts w:ascii="Arial" w:eastAsia="Calibri" w:hAnsi="Arial" w:cs="Arial"/>
          <w:sz w:val="22"/>
          <w:lang w:val="es-CO"/>
        </w:rPr>
      </w:pPr>
    </w:p>
    <w:p w14:paraId="26CE0F0B" w14:textId="1CA992E4" w:rsidR="00671B44" w:rsidRDefault="00671B44" w:rsidP="0002038C">
      <w:pPr>
        <w:tabs>
          <w:tab w:val="left" w:pos="5135"/>
        </w:tabs>
        <w:spacing w:after="0" w:line="240" w:lineRule="auto"/>
        <w:rPr>
          <w:rFonts w:ascii="Arial" w:eastAsia="Calibri" w:hAnsi="Arial" w:cs="Arial"/>
          <w:sz w:val="22"/>
          <w:lang w:val="es-CO"/>
        </w:rPr>
      </w:pPr>
      <w:bookmarkStart w:id="1" w:name="_Hlk96417464"/>
      <w:r>
        <w:rPr>
          <w:rFonts w:ascii="Arial" w:eastAsia="Calibri" w:hAnsi="Arial" w:cs="Arial"/>
          <w:sz w:val="22"/>
          <w:lang w:val="es-CO"/>
        </w:rPr>
        <w:t>Señor</w:t>
      </w:r>
      <w:r w:rsidR="004868EC">
        <w:rPr>
          <w:rFonts w:ascii="Arial" w:eastAsia="Calibri" w:hAnsi="Arial" w:cs="Arial"/>
          <w:sz w:val="22"/>
          <w:lang w:val="es-CO"/>
        </w:rPr>
        <w:t>a</w:t>
      </w:r>
      <w:r w:rsidR="0002038C">
        <w:rPr>
          <w:rFonts w:ascii="Arial" w:eastAsia="Calibri" w:hAnsi="Arial" w:cs="Arial"/>
          <w:sz w:val="22"/>
          <w:lang w:val="es-CO"/>
        </w:rPr>
        <w:tab/>
      </w:r>
    </w:p>
    <w:p w14:paraId="4A23E1E7" w14:textId="06EBDA05" w:rsidR="00671B44" w:rsidRPr="008E3D73" w:rsidRDefault="004868EC" w:rsidP="00671B44">
      <w:pPr>
        <w:spacing w:after="0" w:line="240" w:lineRule="auto"/>
        <w:rPr>
          <w:rFonts w:ascii="Arial" w:eastAsia="Calibri" w:hAnsi="Arial" w:cs="Arial"/>
          <w:b/>
          <w:bCs/>
          <w:sz w:val="22"/>
          <w:lang w:val="es-CO"/>
        </w:rPr>
      </w:pPr>
      <w:r>
        <w:rPr>
          <w:rFonts w:ascii="Arial" w:eastAsia="Calibri" w:hAnsi="Arial" w:cs="Arial"/>
          <w:b/>
          <w:bCs/>
          <w:sz w:val="22"/>
          <w:lang w:val="es-CO"/>
        </w:rPr>
        <w:t>Sandra Milena Reyes Carvajal</w:t>
      </w:r>
    </w:p>
    <w:p w14:paraId="5D9E2AA4" w14:textId="77777777" w:rsidR="00671B44" w:rsidRPr="00446B03" w:rsidRDefault="00671B44" w:rsidP="00671B44">
      <w:pPr>
        <w:spacing w:after="0" w:line="240" w:lineRule="auto"/>
        <w:rPr>
          <w:rFonts w:ascii="Arial" w:eastAsia="Calibri" w:hAnsi="Arial" w:cs="Arial"/>
          <w:sz w:val="22"/>
          <w:lang w:val="es-CO"/>
        </w:rPr>
      </w:pPr>
      <w:r>
        <w:rPr>
          <w:rFonts w:ascii="Arial" w:eastAsia="Calibri" w:hAnsi="Arial" w:cs="Arial"/>
          <w:sz w:val="22"/>
          <w:lang w:val="es-CO"/>
        </w:rPr>
        <w:t>Bogotá D.C.</w:t>
      </w:r>
    </w:p>
    <w:p w14:paraId="17D6B99C" w14:textId="77777777" w:rsidR="00671B44" w:rsidRDefault="00671B44" w:rsidP="00671B44">
      <w:pPr>
        <w:spacing w:after="0" w:line="240" w:lineRule="auto"/>
        <w:rPr>
          <w:rFonts w:ascii="Arial" w:eastAsia="Calibri" w:hAnsi="Arial" w:cs="Arial"/>
          <w:sz w:val="22"/>
          <w:lang w:val="es-CO"/>
        </w:rPr>
      </w:pPr>
    </w:p>
    <w:p w14:paraId="239B5BF5" w14:textId="77777777" w:rsidR="00671B44" w:rsidRPr="00446B03" w:rsidRDefault="00671B44" w:rsidP="00671B44">
      <w:pPr>
        <w:spacing w:after="0" w:line="240" w:lineRule="auto"/>
        <w:rPr>
          <w:rFonts w:ascii="Arial" w:eastAsia="Calibri" w:hAnsi="Arial" w:cs="Arial"/>
          <w:sz w:val="22"/>
          <w:lang w:val="es-CO"/>
        </w:rPr>
      </w:pPr>
    </w:p>
    <w:p w14:paraId="1A238805" w14:textId="2976D2C8" w:rsidR="00671B44" w:rsidRPr="00446B03" w:rsidRDefault="00671B44" w:rsidP="00671B44">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 xml:space="preserve">– </w:t>
      </w:r>
      <w:r>
        <w:rPr>
          <w:rFonts w:ascii="Arial" w:eastAsia="Calibri" w:hAnsi="Arial" w:cs="Arial"/>
          <w:b/>
          <w:sz w:val="22"/>
          <w:lang w:val="es-CO"/>
        </w:rPr>
        <w:t>603</w:t>
      </w:r>
      <w:r w:rsidRPr="000E190F">
        <w:rPr>
          <w:rFonts w:ascii="Arial" w:eastAsia="Calibri" w:hAnsi="Arial" w:cs="Arial"/>
          <w:b/>
          <w:sz w:val="22"/>
          <w:lang w:val="es-CO"/>
        </w:rPr>
        <w:t xml:space="preserve"> de 202</w:t>
      </w:r>
      <w:r>
        <w:rPr>
          <w:rFonts w:ascii="Arial" w:eastAsia="Calibri" w:hAnsi="Arial" w:cs="Arial"/>
          <w:b/>
          <w:sz w:val="22"/>
          <w:lang w:val="es-CO"/>
        </w:rPr>
        <w:t>2</w:t>
      </w:r>
      <w:r w:rsidRPr="00446B03">
        <w:rPr>
          <w:rFonts w:ascii="Arial" w:hAnsi="Arial" w:cs="Arial"/>
          <w:sz w:val="22"/>
          <w:lang w:val="es-CO"/>
        </w:rPr>
        <w:t xml:space="preserve"> </w:t>
      </w:r>
    </w:p>
    <w:p w14:paraId="6025DC44" w14:textId="76212D3D" w:rsidR="00671B44" w:rsidRPr="00446B03" w:rsidRDefault="00671B44" w:rsidP="00671B44">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71B44" w:rsidRPr="00446B03" w14:paraId="37EE2EB4" w14:textId="77777777" w:rsidTr="009C207B">
        <w:trPr>
          <w:trHeight w:val="485"/>
        </w:trPr>
        <w:tc>
          <w:tcPr>
            <w:tcW w:w="2689" w:type="dxa"/>
            <w:hideMark/>
          </w:tcPr>
          <w:p w14:paraId="277FFC3D" w14:textId="77777777" w:rsidR="00671B44" w:rsidRPr="00446B03" w:rsidRDefault="00671B44" w:rsidP="009C207B">
            <w:pPr>
              <w:contextualSpacing/>
              <w:rPr>
                <w:rFonts w:ascii="Arial" w:eastAsia="Calibri" w:hAnsi="Arial" w:cs="Arial"/>
                <w:noProof/>
                <w:lang w:val="es-ES_tradnl"/>
              </w:rPr>
            </w:pPr>
            <w:r w:rsidRPr="00446B03">
              <w:rPr>
                <w:rFonts w:ascii="Arial" w:eastAsia="Calibri" w:hAnsi="Arial" w:cs="Arial"/>
                <w:b/>
                <w:noProof/>
                <w:lang w:val="es-ES_tradnl"/>
              </w:rPr>
              <w:t>Temas:</w:t>
            </w:r>
            <w:r w:rsidRPr="00446B03">
              <w:rPr>
                <w:rFonts w:ascii="Arial" w:eastAsia="Calibri" w:hAnsi="Arial" w:cs="Arial"/>
                <w:noProof/>
                <w:lang w:val="es-ES_tradnl"/>
              </w:rPr>
              <w:t xml:space="preserve">        </w:t>
            </w:r>
          </w:p>
        </w:tc>
        <w:tc>
          <w:tcPr>
            <w:tcW w:w="6237" w:type="dxa"/>
            <w:hideMark/>
          </w:tcPr>
          <w:p w14:paraId="771BEA07" w14:textId="7D8FBEB4" w:rsidR="007A29BD" w:rsidRPr="007A29BD" w:rsidRDefault="007A29BD" w:rsidP="007A29BD">
            <w:pPr>
              <w:tabs>
                <w:tab w:val="left" w:pos="0"/>
              </w:tabs>
              <w:spacing w:before="120"/>
              <w:rPr>
                <w:rFonts w:ascii="Arial" w:eastAsia="Calibri" w:hAnsi="Arial" w:cs="Arial"/>
                <w:bCs/>
                <w:lang w:val="es-ES_tradnl" w:eastAsia="en-GB"/>
              </w:rPr>
            </w:pPr>
            <w:r w:rsidRPr="007A29BD">
              <w:rPr>
                <w:rFonts w:ascii="Arial" w:eastAsia="Calibri" w:hAnsi="Arial" w:cs="Arial"/>
                <w:bCs/>
              </w:rPr>
              <w:t xml:space="preserve">REGISTRO NACIONAL DE OBRAS CIVILES INCONCLUSAS – Marco normativo – Definición de Obra Civil Inconclusa – Ámbito de aplicación </w:t>
            </w:r>
            <w:r w:rsidRPr="007A29BD">
              <w:rPr>
                <w:rFonts w:ascii="Arial" w:eastAsia="Calibri" w:hAnsi="Arial" w:cs="Arial"/>
                <w:bCs/>
                <w:color w:val="000000" w:themeColor="text1"/>
                <w:lang w:val="es-ES"/>
              </w:rPr>
              <w:t xml:space="preserve">– Interpretación teleológica y contextual </w:t>
            </w:r>
            <w:r w:rsidRPr="007A29BD">
              <w:rPr>
                <w:rFonts w:ascii="Arial" w:eastAsia="Calibri" w:hAnsi="Arial" w:cs="Arial"/>
                <w:bCs/>
                <w:color w:val="000000" w:themeColor="text1"/>
                <w:lang w:eastAsia="es-ES_tradnl"/>
              </w:rPr>
              <w:t>–</w:t>
            </w:r>
            <w:r w:rsidRPr="007A29BD">
              <w:rPr>
                <w:rFonts w:ascii="Arial" w:eastAsia="Calibri" w:hAnsi="Arial" w:cs="Arial"/>
                <w:bCs/>
                <w:color w:val="000000" w:themeColor="text1"/>
                <w:lang w:val="es-ES" w:eastAsia="es-ES_tradnl"/>
              </w:rPr>
              <w:t xml:space="preserve"> </w:t>
            </w:r>
            <w:r w:rsidRPr="007A29BD">
              <w:rPr>
                <w:rFonts w:ascii="Arial" w:eastAsia="Calibri" w:hAnsi="Arial" w:cs="Arial"/>
                <w:bCs/>
                <w:lang w:val="es-ES_tradnl" w:eastAsia="en-GB"/>
              </w:rPr>
              <w:t xml:space="preserve">Deber de reportar las obras civiles inconclusas </w:t>
            </w:r>
            <w:r w:rsidRPr="007A29BD">
              <w:rPr>
                <w:rFonts w:ascii="Arial" w:eastAsia="Calibri" w:hAnsi="Arial" w:cs="Arial"/>
                <w:bCs/>
                <w:color w:val="000000" w:themeColor="text1"/>
                <w:lang w:eastAsia="es-ES_tradnl"/>
              </w:rPr>
              <w:t xml:space="preserve">– </w:t>
            </w:r>
            <w:r w:rsidRPr="007A29BD">
              <w:rPr>
                <w:rFonts w:ascii="Arial" w:eastAsia="Calibri" w:hAnsi="Arial" w:cs="Arial"/>
                <w:bCs/>
                <w:lang w:val="es-ES_tradnl" w:eastAsia="en-GB"/>
              </w:rPr>
              <w:t xml:space="preserve">Contenido del Registro Nacional de Obras Civiles Inconclusas </w:t>
            </w:r>
            <w:r w:rsidRPr="007A29BD">
              <w:rPr>
                <w:rFonts w:ascii="Arial" w:eastAsia="Calibri" w:hAnsi="Arial" w:cs="Arial"/>
                <w:bCs/>
                <w:color w:val="000000" w:themeColor="text1"/>
                <w:lang w:eastAsia="es-ES_tradnl"/>
              </w:rPr>
              <w:t xml:space="preserve">– </w:t>
            </w:r>
            <w:r w:rsidRPr="007A29BD">
              <w:rPr>
                <w:rFonts w:ascii="Arial" w:eastAsia="Calibri" w:hAnsi="Arial" w:cs="Arial"/>
                <w:bCs/>
                <w:lang w:val="es-ES_tradnl" w:eastAsia="en-GB"/>
              </w:rPr>
              <w:t xml:space="preserve">Consecuencias de las anotaciones en el registro para participar en procesos de selección </w:t>
            </w:r>
            <w:r w:rsidRPr="007A29BD">
              <w:rPr>
                <w:rFonts w:ascii="Arial" w:eastAsia="Calibri" w:hAnsi="Arial" w:cs="Arial"/>
                <w:bCs/>
                <w:color w:val="000000" w:themeColor="text1"/>
                <w:lang w:eastAsia="es-ES_tradnl"/>
              </w:rPr>
              <w:t xml:space="preserve">– </w:t>
            </w:r>
            <w:r w:rsidRPr="007A29BD">
              <w:rPr>
                <w:rFonts w:ascii="Arial" w:eastAsia="Calibri" w:hAnsi="Arial" w:cs="Arial"/>
                <w:bCs/>
                <w:lang w:val="es-ES_tradnl" w:eastAsia="en-GB"/>
              </w:rPr>
              <w:t>Consecuencias de las anotaciones en el registro en el marco de documentos tipo</w:t>
            </w:r>
          </w:p>
          <w:p w14:paraId="73FC7A56" w14:textId="04EDFBDE" w:rsidR="00671B44" w:rsidRPr="007A29BD" w:rsidRDefault="00671B44" w:rsidP="009C207B">
            <w:pPr>
              <w:spacing w:after="120"/>
              <w:ind w:right="703"/>
              <w:rPr>
                <w:rFonts w:ascii="Arial" w:eastAsia="Calibri" w:hAnsi="Arial" w:cs="Arial"/>
                <w:bCs/>
                <w:lang w:val="es-ES_tradnl"/>
              </w:rPr>
            </w:pPr>
          </w:p>
        </w:tc>
      </w:tr>
      <w:tr w:rsidR="00671B44" w:rsidRPr="00446B03" w14:paraId="674F67D6" w14:textId="77777777" w:rsidTr="009C207B">
        <w:tc>
          <w:tcPr>
            <w:tcW w:w="2689" w:type="dxa"/>
          </w:tcPr>
          <w:p w14:paraId="478273CD" w14:textId="77777777" w:rsidR="00671B44" w:rsidRPr="00446B03" w:rsidRDefault="00671B44" w:rsidP="009C207B">
            <w:pPr>
              <w:contextualSpacing/>
              <w:rPr>
                <w:rFonts w:ascii="Arial" w:eastAsia="Calibri" w:hAnsi="Arial" w:cs="Arial"/>
                <w:b/>
                <w:noProof/>
                <w:lang w:val="es-ES_tradnl"/>
              </w:rPr>
            </w:pPr>
            <w:r>
              <w:rPr>
                <w:rFonts w:ascii="Arial" w:eastAsia="Calibri" w:hAnsi="Arial" w:cs="Arial"/>
                <w:b/>
                <w:noProof/>
                <w:lang w:val="es-ES_tradnl"/>
              </w:rPr>
              <w:t xml:space="preserve"> </w:t>
            </w:r>
            <w:r w:rsidRPr="00446B03">
              <w:rPr>
                <w:rFonts w:ascii="Arial" w:eastAsia="Calibri" w:hAnsi="Arial" w:cs="Arial"/>
                <w:b/>
                <w:noProof/>
                <w:lang w:val="es-ES_tradnl"/>
              </w:rPr>
              <w:t>Radicación:</w:t>
            </w:r>
            <w:r w:rsidRPr="00446B03">
              <w:rPr>
                <w:rFonts w:ascii="Arial" w:eastAsia="Calibri" w:hAnsi="Arial" w:cs="Arial"/>
                <w:noProof/>
                <w:lang w:val="es-ES_tradnl"/>
              </w:rPr>
              <w:t xml:space="preserve">                              </w:t>
            </w:r>
          </w:p>
        </w:tc>
        <w:tc>
          <w:tcPr>
            <w:tcW w:w="6237" w:type="dxa"/>
          </w:tcPr>
          <w:p w14:paraId="72A15317" w14:textId="22AA3F3E" w:rsidR="00671B44" w:rsidRDefault="00671B44" w:rsidP="009C207B">
            <w:pPr>
              <w:contextualSpacing/>
              <w:rPr>
                <w:rFonts w:ascii="Arial" w:eastAsia="Calibri" w:hAnsi="Arial" w:cs="Arial"/>
                <w:noProof/>
                <w:lang w:val="es-ES_tradnl"/>
              </w:rPr>
            </w:pPr>
            <w:r w:rsidRPr="00446B03">
              <w:rPr>
                <w:rFonts w:ascii="Arial" w:eastAsia="Calibri" w:hAnsi="Arial" w:cs="Arial"/>
                <w:noProof/>
                <w:lang w:val="es-ES_tradnl"/>
              </w:rPr>
              <w:t xml:space="preserve">Respuesta a consulta </w:t>
            </w:r>
            <w:r w:rsidR="00C40981" w:rsidRPr="00C40981">
              <w:rPr>
                <w:rFonts w:ascii="Arial" w:eastAsia="Calibri" w:hAnsi="Arial" w:cs="Arial"/>
                <w:noProof/>
                <w:lang w:val="es-ES_tradnl"/>
              </w:rPr>
              <w:t>P20220810007926</w:t>
            </w:r>
          </w:p>
          <w:p w14:paraId="31FD8E78" w14:textId="77777777" w:rsidR="00671B44" w:rsidRPr="00446B03" w:rsidRDefault="00671B44" w:rsidP="009C207B">
            <w:pPr>
              <w:contextualSpacing/>
              <w:rPr>
                <w:rFonts w:ascii="Arial" w:eastAsia="Calibri" w:hAnsi="Arial" w:cs="Arial"/>
                <w:noProof/>
                <w:lang w:val="es-ES_tradnl"/>
              </w:rPr>
            </w:pPr>
            <w:r>
              <w:rPr>
                <w:rFonts w:ascii="Arial" w:eastAsia="Calibri" w:hAnsi="Arial" w:cs="Arial"/>
                <w:noProof/>
                <w:lang w:val="es-ES_tradnl"/>
              </w:rPr>
              <w:t xml:space="preserve">                                    </w:t>
            </w:r>
          </w:p>
        </w:tc>
      </w:tr>
    </w:tbl>
    <w:p w14:paraId="6C4F5934" w14:textId="5050364A" w:rsidR="00671B44" w:rsidRPr="00446B03" w:rsidRDefault="00671B44" w:rsidP="00671B44">
      <w:pPr>
        <w:spacing w:after="0" w:line="240" w:lineRule="auto"/>
        <w:rPr>
          <w:rFonts w:ascii="Arial" w:eastAsia="Calibri" w:hAnsi="Arial" w:cs="Arial"/>
          <w:sz w:val="22"/>
          <w:lang w:val="es-CO"/>
        </w:rPr>
      </w:pPr>
    </w:p>
    <w:p w14:paraId="3B1DFF46" w14:textId="6B1093E3" w:rsidR="00671B44" w:rsidRPr="00446B03" w:rsidRDefault="00671B44" w:rsidP="00671B44">
      <w:pPr>
        <w:spacing w:after="0"/>
        <w:rPr>
          <w:rFonts w:ascii="Arial" w:eastAsia="Calibri" w:hAnsi="Arial" w:cs="Arial"/>
          <w:sz w:val="22"/>
          <w:lang w:val="es-CO"/>
        </w:rPr>
      </w:pPr>
      <w:r w:rsidRPr="00446B03">
        <w:rPr>
          <w:rFonts w:ascii="Arial" w:eastAsia="Calibri" w:hAnsi="Arial" w:cs="Arial"/>
          <w:sz w:val="22"/>
          <w:lang w:val="es-CO"/>
        </w:rPr>
        <w:t>Estimad</w:t>
      </w:r>
      <w:r w:rsidR="0002038C">
        <w:rPr>
          <w:rFonts w:ascii="Arial" w:eastAsia="Calibri" w:hAnsi="Arial" w:cs="Arial"/>
          <w:sz w:val="22"/>
          <w:lang w:val="es-CO"/>
        </w:rPr>
        <w:t>a</w:t>
      </w:r>
      <w:r>
        <w:rPr>
          <w:rFonts w:ascii="Arial" w:eastAsia="Calibri" w:hAnsi="Arial" w:cs="Arial"/>
          <w:sz w:val="22"/>
          <w:lang w:val="es-CO"/>
        </w:rPr>
        <w:t xml:space="preserve"> Seño</w:t>
      </w:r>
      <w:r w:rsidR="004868EC">
        <w:rPr>
          <w:rFonts w:ascii="Arial" w:eastAsia="Calibri" w:hAnsi="Arial" w:cs="Arial"/>
          <w:sz w:val="22"/>
          <w:lang w:val="es-CO"/>
        </w:rPr>
        <w:t>ra Reyes</w:t>
      </w:r>
      <w:r>
        <w:rPr>
          <w:rFonts w:ascii="Arial" w:eastAsia="Calibri" w:hAnsi="Arial" w:cs="Arial"/>
          <w:sz w:val="22"/>
          <w:lang w:val="es-CO"/>
        </w:rPr>
        <w:t xml:space="preserve">: </w:t>
      </w:r>
    </w:p>
    <w:p w14:paraId="08D7031D" w14:textId="3A497D73" w:rsidR="00671B44" w:rsidRDefault="00671B44" w:rsidP="00671B44">
      <w:pPr>
        <w:spacing w:after="0"/>
        <w:ind w:firstLine="709"/>
        <w:rPr>
          <w:rFonts w:ascii="Arial" w:eastAsia="Calibri" w:hAnsi="Arial" w:cs="Arial"/>
          <w:sz w:val="22"/>
          <w:lang w:val="es-CO"/>
        </w:rPr>
      </w:pPr>
    </w:p>
    <w:p w14:paraId="3B9F2B7A" w14:textId="07138FA5" w:rsidR="00671B44" w:rsidRDefault="00671B44" w:rsidP="00671B44">
      <w:pPr>
        <w:spacing w:after="0"/>
        <w:ind w:right="51"/>
        <w:rPr>
          <w:rFonts w:ascii="Arial" w:eastAsia="Calibri" w:hAnsi="Arial" w:cs="Arial"/>
          <w:sz w:val="22"/>
          <w:lang w:val="es-CO"/>
        </w:rPr>
      </w:pPr>
      <w:r w:rsidRPr="00446B0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w:t>
      </w:r>
      <w:r>
        <w:rPr>
          <w:rFonts w:ascii="Arial" w:eastAsia="Calibri" w:hAnsi="Arial" w:cs="Arial"/>
          <w:sz w:val="22"/>
          <w:lang w:val="es-CO"/>
        </w:rPr>
        <w:t>radicada</w:t>
      </w:r>
      <w:r w:rsidRPr="00446B03">
        <w:rPr>
          <w:rFonts w:ascii="Arial" w:eastAsia="Calibri" w:hAnsi="Arial" w:cs="Arial"/>
          <w:sz w:val="22"/>
          <w:lang w:val="es-CO"/>
        </w:rPr>
        <w:t xml:space="preserve"> el </w:t>
      </w:r>
      <w:r w:rsidR="00756E3D">
        <w:rPr>
          <w:rFonts w:ascii="Arial" w:eastAsia="Calibri" w:hAnsi="Arial" w:cs="Arial"/>
          <w:sz w:val="22"/>
          <w:lang w:val="es-CO"/>
        </w:rPr>
        <w:t>10</w:t>
      </w:r>
      <w:r>
        <w:rPr>
          <w:rFonts w:ascii="Arial" w:eastAsia="Calibri" w:hAnsi="Arial" w:cs="Arial"/>
          <w:sz w:val="22"/>
          <w:lang w:val="es-CO"/>
        </w:rPr>
        <w:t xml:space="preserve"> de </w:t>
      </w:r>
      <w:r w:rsidR="00756E3D">
        <w:rPr>
          <w:rFonts w:ascii="Arial" w:eastAsia="Calibri" w:hAnsi="Arial" w:cs="Arial"/>
          <w:sz w:val="22"/>
          <w:lang w:val="es-CO"/>
        </w:rPr>
        <w:t>agosto</w:t>
      </w:r>
      <w:r>
        <w:rPr>
          <w:rFonts w:ascii="Arial" w:eastAsia="Calibri" w:hAnsi="Arial" w:cs="Arial"/>
          <w:sz w:val="22"/>
          <w:lang w:val="es-CO"/>
        </w:rPr>
        <w:t xml:space="preserve"> de 2022. </w:t>
      </w:r>
    </w:p>
    <w:p w14:paraId="6453CD25" w14:textId="77777777" w:rsidR="00671B44" w:rsidRPr="00446B03" w:rsidRDefault="00671B44" w:rsidP="00671B44">
      <w:pPr>
        <w:spacing w:after="0"/>
        <w:ind w:right="51"/>
        <w:rPr>
          <w:rFonts w:ascii="Arial" w:eastAsia="Calibri" w:hAnsi="Arial" w:cs="Arial"/>
          <w:sz w:val="22"/>
          <w:lang w:val="es-CO"/>
        </w:rPr>
      </w:pPr>
    </w:p>
    <w:p w14:paraId="7DF1FEDF" w14:textId="1B589731" w:rsidR="00671B44" w:rsidRPr="00B8214F" w:rsidRDefault="00671B44" w:rsidP="00B8214F">
      <w:pPr>
        <w:pStyle w:val="Prrafodelista"/>
        <w:numPr>
          <w:ilvl w:val="0"/>
          <w:numId w:val="1"/>
        </w:numPr>
        <w:tabs>
          <w:tab w:val="left" w:pos="284"/>
        </w:tabs>
        <w:ind w:left="426"/>
        <w:rPr>
          <w:rFonts w:ascii="Arial" w:eastAsia="Calibri" w:hAnsi="Arial" w:cs="Arial"/>
          <w:b/>
          <w:sz w:val="22"/>
        </w:rPr>
      </w:pPr>
      <w:r w:rsidRPr="00B8214F">
        <w:rPr>
          <w:rFonts w:ascii="Arial" w:eastAsia="Calibri" w:hAnsi="Arial" w:cs="Arial"/>
          <w:b/>
          <w:sz w:val="22"/>
        </w:rPr>
        <w:t xml:space="preserve">Problema planteado </w:t>
      </w:r>
    </w:p>
    <w:p w14:paraId="4862C4E8" w14:textId="77777777" w:rsidR="00210A88" w:rsidRPr="00B8214F" w:rsidRDefault="00210A88" w:rsidP="00B8214F">
      <w:pPr>
        <w:pStyle w:val="Prrafodelista"/>
        <w:tabs>
          <w:tab w:val="left" w:pos="284"/>
        </w:tabs>
        <w:rPr>
          <w:rFonts w:ascii="Arial" w:eastAsia="Calibri" w:hAnsi="Arial" w:cs="Arial"/>
          <w:b/>
          <w:sz w:val="22"/>
        </w:rPr>
      </w:pPr>
    </w:p>
    <w:p w14:paraId="7EE72D4B" w14:textId="751F0D53" w:rsidR="008A6CFB" w:rsidRPr="00B8214F" w:rsidRDefault="00210A88" w:rsidP="00B8214F">
      <w:pPr>
        <w:pStyle w:val="NormalWeb"/>
        <w:spacing w:before="0" w:beforeAutospacing="0" w:after="0" w:afterAutospacing="0"/>
        <w:ind w:right="49"/>
        <w:rPr>
          <w:rFonts w:ascii="Arial" w:hAnsi="Arial" w:cs="Arial"/>
          <w:sz w:val="22"/>
          <w:szCs w:val="22"/>
        </w:rPr>
      </w:pPr>
      <w:bookmarkStart w:id="2" w:name="_Hlk103091300"/>
      <w:r w:rsidRPr="00B8214F">
        <w:rPr>
          <w:rFonts w:ascii="Arial" w:hAnsi="Arial" w:cs="Arial"/>
          <w:sz w:val="22"/>
          <w:szCs w:val="22"/>
        </w:rPr>
        <w:t xml:space="preserve">Usted formula </w:t>
      </w:r>
      <w:r w:rsidR="008A6CFB" w:rsidRPr="00B8214F">
        <w:rPr>
          <w:rFonts w:ascii="Arial" w:hAnsi="Arial" w:cs="Arial"/>
          <w:sz w:val="22"/>
          <w:szCs w:val="22"/>
        </w:rPr>
        <w:t xml:space="preserve">solicitud de consulta compuesta por los </w:t>
      </w:r>
      <w:r w:rsidRPr="00B8214F">
        <w:rPr>
          <w:rFonts w:ascii="Arial" w:hAnsi="Arial" w:cs="Arial"/>
          <w:sz w:val="22"/>
          <w:szCs w:val="22"/>
        </w:rPr>
        <w:t>siguiente</w:t>
      </w:r>
      <w:r w:rsidR="008A6CFB" w:rsidRPr="00B8214F">
        <w:rPr>
          <w:rFonts w:ascii="Arial" w:hAnsi="Arial" w:cs="Arial"/>
          <w:sz w:val="22"/>
          <w:szCs w:val="22"/>
        </w:rPr>
        <w:t>s interrogantes:</w:t>
      </w:r>
    </w:p>
    <w:p w14:paraId="245307A7" w14:textId="7A53E0E2" w:rsidR="00210A88" w:rsidRDefault="00210A88" w:rsidP="00B8214F">
      <w:pPr>
        <w:pStyle w:val="NormalWeb"/>
        <w:spacing w:before="0" w:beforeAutospacing="0" w:after="0" w:afterAutospacing="0"/>
        <w:ind w:right="900"/>
        <w:rPr>
          <w:rFonts w:ascii="Arial" w:hAnsi="Arial" w:cs="Arial"/>
          <w:sz w:val="21"/>
          <w:szCs w:val="21"/>
        </w:rPr>
      </w:pPr>
      <w:r>
        <w:rPr>
          <w:rFonts w:ascii="Arial" w:hAnsi="Arial" w:cs="Arial"/>
          <w:sz w:val="21"/>
          <w:szCs w:val="21"/>
        </w:rPr>
        <w:t xml:space="preserve"> </w:t>
      </w:r>
    </w:p>
    <w:p w14:paraId="664973CD" w14:textId="54037958" w:rsidR="00671B44" w:rsidRPr="00B8214F" w:rsidRDefault="00671B44" w:rsidP="00B8214F">
      <w:pPr>
        <w:pStyle w:val="NormalWeb"/>
        <w:spacing w:before="0" w:beforeAutospacing="0" w:after="0" w:afterAutospacing="0" w:line="240" w:lineRule="auto"/>
        <w:ind w:left="709" w:right="709"/>
        <w:rPr>
          <w:rFonts w:ascii="Arial" w:hAnsi="Arial" w:cs="Arial"/>
          <w:sz w:val="21"/>
          <w:szCs w:val="21"/>
        </w:rPr>
      </w:pPr>
      <w:r w:rsidRPr="00210A88">
        <w:rPr>
          <w:rFonts w:ascii="Arial" w:hAnsi="Arial" w:cs="Arial"/>
          <w:sz w:val="21"/>
          <w:szCs w:val="21"/>
        </w:rPr>
        <w:t>«</w:t>
      </w:r>
      <w:r w:rsidRPr="00B8214F">
        <w:rPr>
          <w:rFonts w:ascii="Arial" w:hAnsi="Arial" w:cs="Arial"/>
          <w:sz w:val="21"/>
          <w:szCs w:val="21"/>
        </w:rPr>
        <w:t>1. ¿Qué información contiene el formulario del Registro Nacional de Obras Civiles Inconclusas?</w:t>
      </w:r>
    </w:p>
    <w:p w14:paraId="15F41B65" w14:textId="77777777" w:rsidR="008A6CFB" w:rsidRDefault="008A6CFB" w:rsidP="008A6CFB">
      <w:pPr>
        <w:pStyle w:val="NormalWeb"/>
        <w:spacing w:before="0" w:beforeAutospacing="0" w:after="0" w:afterAutospacing="0" w:line="240" w:lineRule="auto"/>
        <w:ind w:left="709" w:right="709"/>
        <w:rPr>
          <w:rFonts w:ascii="Arial" w:hAnsi="Arial" w:cs="Arial"/>
          <w:sz w:val="21"/>
          <w:szCs w:val="21"/>
        </w:rPr>
      </w:pPr>
    </w:p>
    <w:p w14:paraId="2AEC65FA" w14:textId="3DF909A7" w:rsidR="00671B44" w:rsidRPr="00B8214F" w:rsidRDefault="00671B44" w:rsidP="00B8214F">
      <w:pPr>
        <w:pStyle w:val="NormalWeb"/>
        <w:spacing w:before="0" w:beforeAutospacing="0" w:after="0" w:afterAutospacing="0" w:line="240" w:lineRule="auto"/>
        <w:ind w:left="709" w:right="709"/>
        <w:rPr>
          <w:rFonts w:ascii="Arial" w:hAnsi="Arial" w:cs="Arial"/>
          <w:sz w:val="21"/>
          <w:szCs w:val="21"/>
        </w:rPr>
      </w:pPr>
      <w:r w:rsidRPr="00B8214F">
        <w:rPr>
          <w:rFonts w:ascii="Arial" w:hAnsi="Arial" w:cs="Arial"/>
          <w:sz w:val="21"/>
          <w:szCs w:val="21"/>
        </w:rPr>
        <w:t>2. ¿Cuáles son las causas que conllevan ser sujeto de anotación en la lista de obras inconclusas creadas por la ley?</w:t>
      </w:r>
    </w:p>
    <w:p w14:paraId="35B89983" w14:textId="77777777" w:rsidR="008A6CFB" w:rsidRDefault="008A6CFB" w:rsidP="008A6CFB">
      <w:pPr>
        <w:pStyle w:val="NormalWeb"/>
        <w:spacing w:before="0" w:beforeAutospacing="0" w:after="0" w:afterAutospacing="0" w:line="240" w:lineRule="auto"/>
        <w:ind w:left="709" w:right="709"/>
        <w:rPr>
          <w:rFonts w:ascii="Arial" w:hAnsi="Arial" w:cs="Arial"/>
          <w:sz w:val="21"/>
          <w:szCs w:val="21"/>
        </w:rPr>
      </w:pPr>
    </w:p>
    <w:p w14:paraId="4A10EDE1" w14:textId="29B59241" w:rsidR="00671B44" w:rsidRPr="00B8214F" w:rsidRDefault="00671B44" w:rsidP="00B8214F">
      <w:pPr>
        <w:pStyle w:val="NormalWeb"/>
        <w:spacing w:before="0" w:beforeAutospacing="0" w:after="0" w:afterAutospacing="0" w:line="240" w:lineRule="auto"/>
        <w:ind w:left="709" w:right="709"/>
        <w:rPr>
          <w:rFonts w:ascii="Arial" w:hAnsi="Arial" w:cs="Arial"/>
          <w:sz w:val="21"/>
          <w:szCs w:val="21"/>
        </w:rPr>
      </w:pPr>
      <w:r w:rsidRPr="00B8214F">
        <w:rPr>
          <w:rFonts w:ascii="Arial" w:hAnsi="Arial" w:cs="Arial"/>
          <w:sz w:val="21"/>
          <w:szCs w:val="21"/>
        </w:rPr>
        <w:t>3. ¿Si un contrato de obra no concluyó de manera satisfactoria por causas imputables al contratista objeto de Interventoría y el interventor ejecutó a cabalidad sus obligaciones, este es sujeto de estar en dicho registro?</w:t>
      </w:r>
    </w:p>
    <w:p w14:paraId="47CBA992" w14:textId="0682A436" w:rsidR="00671B44" w:rsidRPr="00210A88" w:rsidRDefault="00671B44" w:rsidP="00B8214F">
      <w:pPr>
        <w:pStyle w:val="NormalWeb"/>
        <w:spacing w:before="0" w:beforeAutospacing="0" w:after="0" w:afterAutospacing="0" w:line="240" w:lineRule="auto"/>
        <w:ind w:left="709" w:right="709"/>
        <w:rPr>
          <w:rFonts w:ascii="Arial" w:hAnsi="Arial" w:cs="Arial"/>
          <w:sz w:val="21"/>
          <w:szCs w:val="21"/>
        </w:rPr>
      </w:pPr>
      <w:r w:rsidRPr="00B8214F">
        <w:rPr>
          <w:rFonts w:ascii="Arial" w:hAnsi="Arial" w:cs="Arial"/>
          <w:sz w:val="21"/>
          <w:szCs w:val="21"/>
        </w:rPr>
        <w:lastRenderedPageBreak/>
        <w:t>4. ¿Cuáles son los criterios que debe tener en cuenta una Entidad Estatal al momento de realizar el registro frente al papel del Interventor en el Registro Nacional de Obras Civiles Inconclusas?</w:t>
      </w:r>
      <w:r w:rsidRPr="00210A88">
        <w:rPr>
          <w:rFonts w:ascii="Arial" w:hAnsi="Arial" w:cs="Arial"/>
          <w:sz w:val="21"/>
          <w:szCs w:val="21"/>
        </w:rPr>
        <w:t>»</w:t>
      </w:r>
      <w:bookmarkEnd w:id="2"/>
      <w:r w:rsidRPr="00210A88">
        <w:rPr>
          <w:rFonts w:ascii="Arial" w:hAnsi="Arial" w:cs="Arial"/>
          <w:sz w:val="21"/>
          <w:szCs w:val="21"/>
        </w:rPr>
        <w:t>.</w:t>
      </w:r>
    </w:p>
    <w:p w14:paraId="6B3529EB" w14:textId="517FD00E" w:rsidR="00671B44" w:rsidRDefault="00671B44" w:rsidP="00B8214F">
      <w:pPr>
        <w:pStyle w:val="NormalWeb"/>
        <w:spacing w:after="0" w:afterAutospacing="0" w:line="240" w:lineRule="auto"/>
        <w:ind w:right="709"/>
        <w:rPr>
          <w:rFonts w:ascii="Arial" w:eastAsia="Calibri" w:hAnsi="Arial" w:cs="Arial"/>
          <w:b/>
          <w:sz w:val="22"/>
        </w:rPr>
      </w:pPr>
      <w:r w:rsidRPr="004438F4">
        <w:rPr>
          <w:rFonts w:ascii="Arial" w:eastAsia="Calibri" w:hAnsi="Arial" w:cs="Arial"/>
          <w:b/>
          <w:sz w:val="22"/>
        </w:rPr>
        <w:t>2. Consideraciones</w:t>
      </w:r>
    </w:p>
    <w:p w14:paraId="479FB097" w14:textId="77777777" w:rsidR="008A6CFB" w:rsidRDefault="008A6CFB" w:rsidP="00B8214F">
      <w:pPr>
        <w:spacing w:after="0"/>
        <w:rPr>
          <w:rFonts w:ascii="Arial" w:hAnsi="Arial" w:cs="Arial"/>
          <w:bCs/>
          <w:sz w:val="22"/>
        </w:rPr>
      </w:pPr>
      <w:bookmarkStart w:id="3" w:name="_Hlk96420298"/>
    </w:p>
    <w:p w14:paraId="7195FB14" w14:textId="4CD5F834" w:rsidR="00671B44" w:rsidRPr="00E45306" w:rsidRDefault="00671B44" w:rsidP="00671B44">
      <w:pPr>
        <w:spacing w:after="120"/>
        <w:rPr>
          <w:rFonts w:ascii="Arial" w:hAnsi="Arial" w:cs="Arial"/>
          <w:sz w:val="22"/>
          <w:lang w:val="es-ES"/>
        </w:rPr>
      </w:pPr>
      <w:r w:rsidRPr="00E45306">
        <w:rPr>
          <w:rFonts w:ascii="Arial" w:hAnsi="Arial" w:cs="Arial"/>
          <w:bCs/>
          <w:sz w:val="22"/>
        </w:rPr>
        <w:t xml:space="preserve">En ejercicio de las competencias establecidas en los artículos 3.5 y 11.8 del Decreto 4170 de 2011, la Agencia Nacional de Contratación Pública </w:t>
      </w:r>
      <w:bookmarkStart w:id="4" w:name="_Hlk99611965"/>
      <w:r w:rsidRPr="00E45306">
        <w:rPr>
          <w:rFonts w:ascii="Arial" w:hAnsi="Arial" w:cs="Arial"/>
          <w:bCs/>
          <w:sz w:val="22"/>
        </w:rPr>
        <w:t>–</w:t>
      </w:r>
      <w:bookmarkEnd w:id="4"/>
      <w:r w:rsidRPr="00E45306">
        <w:rPr>
          <w:rFonts w:ascii="Arial" w:hAnsi="Arial" w:cs="Arial"/>
          <w:bCs/>
          <w:sz w:val="22"/>
        </w:rPr>
        <w:t xml:space="preserve"> Colombia Compra Eficiente resuelve consultas sobre </w:t>
      </w:r>
      <w:bookmarkStart w:id="5" w:name="_Hlk61026958"/>
      <w:bookmarkStart w:id="6" w:name="_Hlk61701014"/>
      <w:bookmarkStart w:id="7" w:name="_Hlk62136649"/>
      <w:r w:rsidRPr="00E45306">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E45306">
        <w:rPr>
          <w:rFonts w:ascii="Arial" w:hAnsi="Arial" w:cs="Arial"/>
          <w:bCs/>
          <w:sz w:val="22"/>
        </w:rPr>
        <w:t xml:space="preserve"> de todos los partícipes de la contratación estatal ni para interpretar el alcance de cualquier norma vigente en el ordenamiento jurídico.</w:t>
      </w:r>
    </w:p>
    <w:bookmarkEnd w:id="5"/>
    <w:bookmarkEnd w:id="6"/>
    <w:bookmarkEnd w:id="7"/>
    <w:p w14:paraId="21CE1EE3" w14:textId="774A5BBA" w:rsidR="00671B44" w:rsidRDefault="00671B44" w:rsidP="00671B44">
      <w:pPr>
        <w:spacing w:after="120"/>
        <w:ind w:firstLine="708"/>
        <w:rPr>
          <w:rFonts w:ascii="Arial" w:eastAsia="Calibri" w:hAnsi="Arial" w:cs="Arial"/>
          <w:bCs/>
          <w:sz w:val="22"/>
          <w:lang w:val="es-CO"/>
        </w:rPr>
      </w:pPr>
      <w:r>
        <w:rPr>
          <w:rFonts w:ascii="Arial" w:eastAsia="Calibri" w:hAnsi="Arial" w:cs="Arial"/>
          <w:color w:val="000000" w:themeColor="text1"/>
          <w:sz w:val="22"/>
        </w:rPr>
        <w:t xml:space="preserve">Sin perjuicio de lo anterior, </w:t>
      </w:r>
      <w:r w:rsidR="001A3832" w:rsidRPr="001A3832">
        <w:rPr>
          <w:rFonts w:ascii="Arial" w:eastAsia="Calibri" w:hAnsi="Arial" w:cs="Arial"/>
          <w:color w:val="000000" w:themeColor="text1"/>
          <w:sz w:val="22"/>
        </w:rPr>
        <w:t>la Agencia –dentro de los límites de sus atribuciones, esto es, haciendo abstracción del caso particular expuesto–, resolverá la consulta conforme a las normas generales en materia de contratación estatal. Para responder sus interrogantes, se analizarán los siguientes temas: i) el Registro Nacional de Obras Civiles Inconclusas y iv) el deber de verificación del Registro Nacional de Obras Civiles Inconclusas en la evaluación de factores de calidad para la selección de contratistas de obra o interventores; y iii) análisis de las anotaciones del Registro Nacional de Obras Civiles Inconclusas en los documentos tipo.</w:t>
      </w:r>
    </w:p>
    <w:p w14:paraId="26AFF5F3" w14:textId="36A1317A" w:rsidR="003664D4" w:rsidRPr="003664D4" w:rsidRDefault="003664D4" w:rsidP="003664D4">
      <w:pPr>
        <w:spacing w:before="120" w:after="0"/>
        <w:ind w:firstLine="709"/>
        <w:rPr>
          <w:rFonts w:ascii="Arial" w:eastAsia="Times New Roman" w:hAnsi="Arial" w:cs="Arial"/>
          <w:sz w:val="22"/>
          <w:szCs w:val="24"/>
          <w:lang w:val="es-ES_tradnl" w:eastAsia="es-ES_tradnl"/>
        </w:rPr>
      </w:pPr>
      <w:r w:rsidRPr="003664D4">
        <w:rPr>
          <w:rFonts w:ascii="Arial" w:eastAsia="Times New Roman" w:hAnsi="Arial" w:cs="Arial"/>
          <w:sz w:val="22"/>
          <w:szCs w:val="24"/>
          <w:lang w:val="es-ES_tradnl" w:eastAsia="es-ES_tradnl"/>
        </w:rPr>
        <w:t xml:space="preserve">La Agencia Nacional de Contratación Pública – Colombia Compra Eficiente, en los conceptos </w:t>
      </w:r>
      <w:r w:rsidRPr="003664D4">
        <w:rPr>
          <w:rFonts w:ascii="Arial" w:eastAsia="Times New Roman" w:hAnsi="Arial" w:cs="Arial"/>
          <w:color w:val="000000"/>
          <w:sz w:val="22"/>
          <w:szCs w:val="24"/>
          <w:lang w:val="es-ES_tradnl" w:eastAsia="es-ES_tradnl"/>
        </w:rPr>
        <w:t>C-712 del 28 de diciembre de 2020, C-088 del 17 de marzo de 2021, C-110 del 29 de marzo de 2021, C-203 del 3 de mayo de 2021, C-333 del 9 de julio de 2021, C-551 del 30 de septiembre de 2021, C-571 del 13 de octubre de 2021, C-591 del 21 de octubre de 2021, C-600 del 26 de octubre de 2021, C-626 del 9 de noviembre de 2021 y C-747 de 4 de febrero de 2022, C-194 del 12 de abril de 2022,</w:t>
      </w:r>
      <w:r>
        <w:rPr>
          <w:rFonts w:ascii="Arial" w:eastAsia="Times New Roman" w:hAnsi="Arial" w:cs="Arial"/>
          <w:color w:val="000000"/>
          <w:sz w:val="22"/>
          <w:szCs w:val="24"/>
          <w:lang w:val="es-ES_tradnl" w:eastAsia="es-ES_tradnl"/>
        </w:rPr>
        <w:t xml:space="preserve"> C-525 del </w:t>
      </w:r>
      <w:r w:rsidR="005D6179">
        <w:rPr>
          <w:rFonts w:ascii="Arial" w:eastAsia="Times New Roman" w:hAnsi="Arial" w:cs="Arial"/>
          <w:color w:val="000000"/>
          <w:sz w:val="22"/>
          <w:szCs w:val="24"/>
          <w:lang w:val="es-ES_tradnl" w:eastAsia="es-ES_tradnl"/>
        </w:rPr>
        <w:t>16 de agosto de 2022,</w:t>
      </w:r>
      <w:r w:rsidRPr="003664D4">
        <w:rPr>
          <w:rFonts w:ascii="Arial" w:eastAsia="Times New Roman" w:hAnsi="Arial" w:cs="Arial"/>
          <w:color w:val="000000"/>
          <w:sz w:val="22"/>
          <w:szCs w:val="24"/>
          <w:lang w:val="es-ES_tradnl" w:eastAsia="es-ES_tradnl"/>
        </w:rPr>
        <w:t xml:space="preserve"> entre otros, se pronunció sobre el Registro Nacional de Obras Civiles Inconclusas.</w:t>
      </w:r>
      <w:r w:rsidRPr="003664D4">
        <w:rPr>
          <w:rFonts w:ascii="Arial" w:eastAsia="Times New Roman" w:hAnsi="Arial" w:cs="Arial"/>
          <w:sz w:val="22"/>
          <w:szCs w:val="24"/>
          <w:lang w:val="es-ES_tradnl" w:eastAsia="es-ES_tradnl"/>
        </w:rPr>
        <w:t xml:space="preserve"> Las ideas expuestas en dichas oportunidades se reiteran a continuación, y se complementan en lo resulte pertinente para resolver las inquietudes de la consulta. </w:t>
      </w:r>
    </w:p>
    <w:p w14:paraId="035A77B6" w14:textId="77777777" w:rsidR="00671B44" w:rsidRDefault="00671B44" w:rsidP="00671B44">
      <w:pPr>
        <w:spacing w:after="0"/>
        <w:rPr>
          <w:rFonts w:ascii="Arial" w:eastAsia="Calibri" w:hAnsi="Arial" w:cs="Arial"/>
          <w:bCs/>
          <w:sz w:val="22"/>
          <w:lang w:val="es-CO"/>
        </w:rPr>
      </w:pPr>
    </w:p>
    <w:bookmarkEnd w:id="3"/>
    <w:p w14:paraId="655C0A80" w14:textId="77777777" w:rsidR="00577FDB" w:rsidRPr="00577FDB" w:rsidRDefault="00577FDB" w:rsidP="00577FDB">
      <w:pPr>
        <w:spacing w:after="0"/>
        <w:rPr>
          <w:rFonts w:ascii="Arial" w:eastAsia="Calibri" w:hAnsi="Arial" w:cs="Arial"/>
          <w:color w:val="000000"/>
          <w:sz w:val="22"/>
          <w:lang w:val="es-ES_tradnl" w:eastAsia="es-ES_tradnl"/>
        </w:rPr>
      </w:pPr>
      <w:r w:rsidRPr="00577FDB">
        <w:rPr>
          <w:rFonts w:ascii="Arial" w:eastAsia="Calibri" w:hAnsi="Arial" w:cs="Arial"/>
          <w:b/>
          <w:bCs/>
          <w:color w:val="000000"/>
          <w:sz w:val="22"/>
          <w:szCs w:val="24"/>
          <w:lang w:val="es-ES_tradnl" w:eastAsia="es-ES_tradnl"/>
        </w:rPr>
        <w:t>2.1.</w:t>
      </w:r>
      <w:r w:rsidRPr="00577FDB">
        <w:rPr>
          <w:rFonts w:ascii="Arial" w:eastAsia="Calibri" w:hAnsi="Arial" w:cs="Arial"/>
          <w:b/>
          <w:bCs/>
          <w:color w:val="000000"/>
          <w:sz w:val="22"/>
          <w:szCs w:val="24"/>
          <w:lang w:val="pt-BR" w:eastAsia="en-GB"/>
        </w:rPr>
        <w:t xml:space="preserve"> Registro Nacional de Obras </w:t>
      </w:r>
      <w:proofErr w:type="spellStart"/>
      <w:r w:rsidRPr="00577FDB">
        <w:rPr>
          <w:rFonts w:ascii="Arial" w:eastAsia="Calibri" w:hAnsi="Arial" w:cs="Arial"/>
          <w:b/>
          <w:bCs/>
          <w:color w:val="000000"/>
          <w:sz w:val="22"/>
          <w:szCs w:val="24"/>
          <w:lang w:val="pt-BR" w:eastAsia="en-GB"/>
        </w:rPr>
        <w:t>Civiles</w:t>
      </w:r>
      <w:proofErr w:type="spellEnd"/>
      <w:r w:rsidRPr="00577FDB">
        <w:rPr>
          <w:rFonts w:ascii="Arial" w:eastAsia="Calibri" w:hAnsi="Arial" w:cs="Arial"/>
          <w:b/>
          <w:bCs/>
          <w:color w:val="000000"/>
          <w:sz w:val="22"/>
          <w:szCs w:val="24"/>
          <w:lang w:val="pt-BR" w:eastAsia="en-GB"/>
        </w:rPr>
        <w:t xml:space="preserve"> Inconclusas</w:t>
      </w:r>
    </w:p>
    <w:p w14:paraId="170BCB76" w14:textId="77777777" w:rsidR="00577FDB" w:rsidRPr="00577FDB" w:rsidRDefault="00577FDB" w:rsidP="00577FDB">
      <w:pPr>
        <w:tabs>
          <w:tab w:val="left" w:pos="0"/>
        </w:tabs>
        <w:spacing w:after="0"/>
        <w:rPr>
          <w:rFonts w:ascii="Arial" w:eastAsia="Calibri" w:hAnsi="Arial" w:cs="Arial"/>
          <w:b/>
          <w:color w:val="000000"/>
          <w:sz w:val="22"/>
          <w:szCs w:val="24"/>
          <w:lang w:val="pt-BR" w:eastAsia="es-ES_tradnl"/>
        </w:rPr>
      </w:pPr>
    </w:p>
    <w:p w14:paraId="3A89241E" w14:textId="77777777" w:rsidR="00577FDB" w:rsidRPr="00577FDB" w:rsidRDefault="00577FDB" w:rsidP="00577FDB">
      <w:pPr>
        <w:tabs>
          <w:tab w:val="left" w:pos="0"/>
        </w:tabs>
        <w:spacing w:after="0"/>
        <w:rPr>
          <w:rFonts w:ascii="Arial" w:eastAsia="Calibri" w:hAnsi="Arial" w:cs="Arial"/>
          <w:color w:val="000000"/>
          <w:sz w:val="22"/>
          <w:szCs w:val="24"/>
          <w:lang w:val="es-ES_tradnl" w:eastAsia="en-GB"/>
        </w:rPr>
      </w:pPr>
      <w:r w:rsidRPr="00577FDB">
        <w:rPr>
          <w:rFonts w:ascii="Arial" w:eastAsia="Calibri" w:hAnsi="Arial" w:cs="Arial"/>
          <w:bCs/>
          <w:color w:val="000000"/>
          <w:sz w:val="22"/>
          <w:szCs w:val="24"/>
          <w:lang w:val="es-ES_tradnl" w:eastAsia="es-ES_tradnl"/>
        </w:rPr>
        <w:t xml:space="preserve">La Ley 2020 de 2020 creó el </w:t>
      </w:r>
      <w:r w:rsidRPr="00577FDB">
        <w:rPr>
          <w:rFonts w:ascii="Arial" w:eastAsia="Calibri" w:hAnsi="Arial" w:cs="Arial"/>
          <w:color w:val="000000"/>
          <w:sz w:val="22"/>
          <w:szCs w:val="24"/>
          <w:lang w:val="es-ES_tradnl"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577FDB">
        <w:rPr>
          <w:rFonts w:ascii="Arial" w:eastAsia="Calibri" w:hAnsi="Arial" w:cs="Arial"/>
          <w:i/>
          <w:iCs/>
          <w:color w:val="000000"/>
          <w:sz w:val="22"/>
          <w:szCs w:val="24"/>
          <w:lang w:val="es-ES_tradnl" w:eastAsia="en-GB"/>
        </w:rPr>
        <w:t>obra civil inconclusa</w:t>
      </w:r>
      <w:r w:rsidRPr="00577FDB">
        <w:rPr>
          <w:rFonts w:ascii="Arial" w:eastAsia="Calibri" w:hAnsi="Arial" w:cs="Arial"/>
          <w:color w:val="000000"/>
          <w:sz w:val="22"/>
          <w:szCs w:val="24"/>
          <w:lang w:val="es-ES_tradnl" w:eastAsia="en-GB"/>
        </w:rPr>
        <w:t xml:space="preserve"> la «Construcción, mantenimiento, instalación o realización de cualquier </w:t>
      </w:r>
      <w:r w:rsidRPr="00577FDB">
        <w:rPr>
          <w:rFonts w:ascii="Arial" w:eastAsia="Calibri" w:hAnsi="Arial" w:cs="Arial"/>
          <w:color w:val="000000"/>
          <w:sz w:val="22"/>
          <w:szCs w:val="24"/>
          <w:lang w:val="es-ES_tradnl" w:eastAsia="en-GB"/>
        </w:rPr>
        <w:lastRenderedPageBreak/>
        <w:t xml:space="preserve">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3A3B59DB"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En otras palabras, el concepto de obra civil inconclusa es armónico con la definición del contrato de obra, prevista en el artículo 32 de la Ley 80 de 1993, 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p>
    <w:p w14:paraId="11F300ED"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Por su parte, el inciso segundo del literal a) del artículo 2 de dicha Ley, 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327739D3"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De la definición del artículo 2 de la Ley 2020 de 2020 se resalta lo siguiente. Por un lado, cuando la obra civil cumpla con los elementos establecidos en el inciso primero literal a) del artículo 2, deberá catalogarse como obra civil inconclusa.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22F21032"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Esta última precisión es importante, debido a que el propósito del literal a) del artículo 2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sidRPr="00577FDB">
        <w:rPr>
          <w:rFonts w:ascii="Arial" w:eastAsia="Calibri" w:hAnsi="Arial" w:cs="Arial"/>
          <w:color w:val="000000"/>
          <w:sz w:val="22"/>
          <w:szCs w:val="24"/>
          <w:vertAlign w:val="superscript"/>
          <w:lang w:val="es-ES_tradnl" w:eastAsia="en-GB"/>
        </w:rPr>
        <w:footnoteReference w:id="1"/>
      </w:r>
      <w:r w:rsidRPr="00577FDB">
        <w:rPr>
          <w:rFonts w:ascii="Arial" w:eastAsia="Calibri" w:hAnsi="Arial" w:cs="Arial"/>
          <w:color w:val="000000"/>
          <w:sz w:val="22"/>
          <w:szCs w:val="24"/>
          <w:lang w:val="es-ES_tradnl" w:eastAsia="en-GB"/>
        </w:rPr>
        <w:t xml:space="preserve">. De esta manera, en el evento en que se defina por parte de </w:t>
      </w:r>
      <w:r w:rsidRPr="00577FDB">
        <w:rPr>
          <w:rFonts w:ascii="Arial" w:eastAsia="Calibri" w:hAnsi="Arial" w:cs="Arial"/>
          <w:color w:val="000000"/>
          <w:sz w:val="22"/>
          <w:szCs w:val="24"/>
          <w:lang w:val="es-ES_tradnl" w:eastAsia="en-GB"/>
        </w:rPr>
        <w:lastRenderedPageBreak/>
        <w:t xml:space="preserve">este comité técnico que la obra civil es catalogada como inconclusa, pero por causas no imputables al contratista, deberá incluir en el Registro Nacional de Obras Civiles Inconclusas los datos correspondientes que den cuenta de esta situación.  </w:t>
      </w:r>
    </w:p>
    <w:p w14:paraId="3B641F03"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w:t>
      </w:r>
      <w:r w:rsidRPr="00577FDB">
        <w:rPr>
          <w:rFonts w:ascii="Arial" w:eastAsia="Calibri" w:hAnsi="Arial" w:cs="Arial"/>
          <w:color w:val="000000"/>
          <w:sz w:val="22"/>
          <w:szCs w:val="24"/>
          <w:vertAlign w:val="superscript"/>
          <w:lang w:val="es-ES_tradnl" w:eastAsia="en-GB"/>
        </w:rPr>
        <w:footnoteReference w:id="2"/>
      </w:r>
      <w:r w:rsidRPr="00577FDB">
        <w:rPr>
          <w:rFonts w:ascii="Arial" w:eastAsia="Calibri" w:hAnsi="Arial" w:cs="Arial"/>
          <w:color w:val="000000"/>
          <w:sz w:val="22"/>
          <w:szCs w:val="24"/>
          <w:lang w:val="es-ES_tradnl" w:eastAsia="en-GB"/>
        </w:rPr>
        <w:t>.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terminar o demoler la obra, asegurando que pueda realizar una inversión de sus recursos para la intervención de esta.</w:t>
      </w:r>
    </w:p>
    <w:p w14:paraId="0B068F8F"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 Por ello los artículos 5 y 13 </w:t>
      </w:r>
      <w:proofErr w:type="spellStart"/>
      <w:r w:rsidRPr="00577FDB">
        <w:rPr>
          <w:rFonts w:ascii="Arial" w:eastAsia="Calibri" w:hAnsi="Arial" w:cs="Arial"/>
          <w:i/>
          <w:color w:val="000000"/>
          <w:sz w:val="22"/>
          <w:szCs w:val="24"/>
          <w:lang w:val="es-ES_tradnl" w:eastAsia="en-GB"/>
        </w:rPr>
        <w:t>ibídem</w:t>
      </w:r>
      <w:proofErr w:type="spellEnd"/>
      <w:r w:rsidRPr="00577FDB">
        <w:rPr>
          <w:rFonts w:ascii="Arial" w:eastAsia="Calibri" w:hAnsi="Arial" w:cs="Arial"/>
          <w:color w:val="000000"/>
          <w:sz w:val="22"/>
          <w:szCs w:val="24"/>
          <w:lang w:val="es-ES_tradnl" w:eastAsia="en-GB"/>
        </w:rPr>
        <w:t xml:space="preserve"> disponen que la entidad estatal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sidRPr="00577FDB">
        <w:rPr>
          <w:rFonts w:ascii="Arial" w:eastAsia="Calibri" w:hAnsi="Arial" w:cs="Arial"/>
          <w:color w:val="000000"/>
          <w:sz w:val="22"/>
          <w:szCs w:val="24"/>
          <w:vertAlign w:val="superscript"/>
          <w:lang w:val="es-ES_tradnl" w:eastAsia="en-GB"/>
        </w:rPr>
        <w:footnoteReference w:id="3"/>
      </w:r>
      <w:r w:rsidRPr="00577FDB">
        <w:rPr>
          <w:rFonts w:ascii="Arial" w:eastAsia="Calibri" w:hAnsi="Arial" w:cs="Arial"/>
          <w:color w:val="000000"/>
          <w:sz w:val="22"/>
          <w:szCs w:val="24"/>
          <w:lang w:val="es-ES_tradnl" w:eastAsia="en-GB"/>
        </w:rPr>
        <w:t xml:space="preserve">. </w:t>
      </w:r>
    </w:p>
    <w:p w14:paraId="15BE0FC8"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En tal sentido, esta ley busca que la entidad estatal determine el destino definitivo de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decisión deberá adoptarse mediante acto administrativo expedido por el representante legal de la entidad a </w:t>
      </w:r>
      <w:r w:rsidRPr="00577FDB">
        <w:rPr>
          <w:rFonts w:ascii="Arial" w:eastAsia="Calibri" w:hAnsi="Arial" w:cs="Arial"/>
          <w:color w:val="000000"/>
          <w:sz w:val="22"/>
          <w:szCs w:val="24"/>
          <w:lang w:val="es-ES_tradnl" w:eastAsia="en-GB"/>
        </w:rPr>
        <w:lastRenderedPageBreak/>
        <w:t xml:space="preserve">cargo de la obra, y solo podrá ordenarse en casos de ruina o grave amenaza a los derechos fundamentales o colectivos, debidamente evaluada. </w:t>
      </w:r>
    </w:p>
    <w:p w14:paraId="3770334A"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De conformidad con el artículo 3 de la Ley 2020 de 2020</w:t>
      </w:r>
      <w:r w:rsidRPr="00577FDB">
        <w:rPr>
          <w:rFonts w:ascii="Arial" w:eastAsia="Calibri" w:hAnsi="Arial" w:cs="Arial"/>
          <w:color w:val="000000"/>
          <w:sz w:val="22"/>
          <w:szCs w:val="24"/>
          <w:vertAlign w:val="superscript"/>
          <w:lang w:val="es-ES_tradnl" w:eastAsia="en-GB"/>
        </w:rPr>
        <w:footnoteReference w:id="4"/>
      </w:r>
      <w:r w:rsidRPr="00577FDB">
        <w:rPr>
          <w:rFonts w:ascii="Arial" w:eastAsia="Calibri" w:hAnsi="Arial" w:cs="Arial"/>
          <w:color w:val="000000"/>
          <w:sz w:val="22"/>
          <w:szCs w:val="24"/>
          <w:lang w:val="es-ES_tradnl" w:eastAsia="en-GB"/>
        </w:rPr>
        <w:t>, el Registro Nacional de Obras Civiles Inconclusas es un sistema administrado por la Contraloría General de la República</w:t>
      </w:r>
      <w:r w:rsidRPr="00577FDB">
        <w:rPr>
          <w:rFonts w:ascii="Arial" w:eastAsia="Calibri" w:hAnsi="Arial" w:cs="Arial"/>
          <w:color w:val="000000"/>
          <w:sz w:val="22"/>
          <w:szCs w:val="24"/>
          <w:vertAlign w:val="superscript"/>
          <w:lang w:val="es-ES_tradnl" w:eastAsia="en-GB"/>
        </w:rPr>
        <w:footnoteReference w:id="5"/>
      </w:r>
      <w:r w:rsidRPr="00577FDB">
        <w:rPr>
          <w:rFonts w:ascii="Arial" w:eastAsia="Calibri" w:hAnsi="Arial" w:cs="Arial"/>
          <w:color w:val="000000"/>
          <w:sz w:val="22"/>
          <w:szCs w:val="24"/>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 </w:t>
      </w:r>
    </w:p>
    <w:p w14:paraId="666C6A3C" w14:textId="77777777" w:rsidR="00577FDB" w:rsidRPr="00577FDB" w:rsidRDefault="00577FDB" w:rsidP="00577FDB">
      <w:pPr>
        <w:tabs>
          <w:tab w:val="left" w:pos="0"/>
        </w:tabs>
        <w:spacing w:before="120" w:after="0"/>
        <w:ind w:firstLine="709"/>
        <w:rPr>
          <w:rFonts w:ascii="Arial" w:eastAsia="Times New Roman" w:hAnsi="Arial" w:cs="Arial"/>
          <w:color w:val="000000"/>
          <w:sz w:val="22"/>
          <w:szCs w:val="24"/>
          <w:lang w:val="es-CO" w:eastAsia="es-ES_tradnl"/>
        </w:rPr>
      </w:pPr>
      <w:r w:rsidRPr="00577FDB">
        <w:rPr>
          <w:rFonts w:ascii="Arial" w:eastAsia="Calibri" w:hAnsi="Arial" w:cs="Arial"/>
          <w:color w:val="000000"/>
          <w:sz w:val="22"/>
          <w:szCs w:val="24"/>
          <w:lang w:val="es-ES_tradnl" w:eastAsia="en-GB"/>
        </w:rPr>
        <w:t>Asimismo, la información de este</w:t>
      </w:r>
      <w:r w:rsidRPr="00577FDB">
        <w:rPr>
          <w:rFonts w:ascii="Arial" w:eastAsia="Times New Roman" w:hAnsi="Arial" w:cs="Arial"/>
          <w:color w:val="000000"/>
          <w:sz w:val="22"/>
          <w:szCs w:val="24"/>
          <w:lang w:val="es-CO" w:eastAsia="es-ES_tradnl"/>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r w:rsidRPr="00577FDB">
        <w:rPr>
          <w:rFonts w:ascii="Arial" w:eastAsia="Calibri" w:hAnsi="Arial" w:cs="Arial"/>
          <w:color w:val="000000"/>
          <w:sz w:val="22"/>
          <w:szCs w:val="24"/>
          <w:vertAlign w:val="superscript"/>
          <w:lang w:val="es-ES_tradnl" w:eastAsia="en-GB"/>
        </w:rPr>
        <w:footnoteReference w:id="6"/>
      </w:r>
      <w:r w:rsidRPr="00577FDB">
        <w:rPr>
          <w:rFonts w:ascii="Arial" w:eastAsia="Times New Roman" w:hAnsi="Arial" w:cs="Arial"/>
          <w:color w:val="000000"/>
          <w:sz w:val="22"/>
          <w:szCs w:val="24"/>
          <w:lang w:val="es-CO" w:eastAsia="es-ES_tradnl"/>
        </w:rPr>
        <w:t>.</w:t>
      </w:r>
    </w:p>
    <w:p w14:paraId="68345D28"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CO" w:eastAsia="en-GB"/>
        </w:rPr>
      </w:pPr>
      <w:r w:rsidRPr="00577FDB">
        <w:rPr>
          <w:rFonts w:ascii="Arial" w:eastAsia="Calibri" w:hAnsi="Arial" w:cs="Arial"/>
          <w:color w:val="000000"/>
          <w:sz w:val="22"/>
          <w:szCs w:val="24"/>
          <w:lang w:val="es-ES_tradnl" w:eastAsia="en-GB"/>
        </w:rPr>
        <w:lastRenderedPageBreak/>
        <w:t xml:space="preserve">De esta manera, la </w:t>
      </w:r>
      <w:r w:rsidRPr="00577FDB">
        <w:rPr>
          <w:rFonts w:ascii="Arial" w:eastAsia="Times New Roman" w:hAnsi="Arial" w:cs="Arial"/>
          <w:color w:val="000000"/>
          <w:sz w:val="22"/>
          <w:szCs w:val="24"/>
          <w:lang w:val="es-CO" w:eastAsia="es-ES_tradnl"/>
        </w:rPr>
        <w:t xml:space="preserve">Contraloría General de la República, a través de la Dirección de Información, Análisis y Reacción Inmediata, es la encargada de dirigir y coordinar </w:t>
      </w:r>
      <w:r w:rsidRPr="00577FDB">
        <w:rPr>
          <w:rFonts w:ascii="Arial" w:eastAsia="Calibri" w:hAnsi="Arial" w:cs="Arial"/>
          <w:color w:val="000000"/>
          <w:sz w:val="22"/>
          <w:szCs w:val="24"/>
          <w:lang w:val="es-ES_tradnl" w:eastAsia="en-GB"/>
        </w:rPr>
        <w:t xml:space="preserve">el Registro Nacional de Obras Civiles Inconclusas y realizar el seguimiento y actualización de este. Por ello, </w:t>
      </w:r>
      <w:r w:rsidRPr="00577FDB">
        <w:rPr>
          <w:rFonts w:ascii="Arial" w:eastAsia="Calibri" w:hAnsi="Arial" w:cs="Arial"/>
          <w:color w:val="000000"/>
          <w:sz w:val="22"/>
          <w:szCs w:val="24"/>
          <w:lang w:val="es-CO" w:eastAsia="en-GB"/>
        </w:rPr>
        <w:t>mediante la Resolución No. REG-ORD-0042-2020 del 25 de agosto de 2020</w:t>
      </w:r>
      <w:r w:rsidRPr="00577FDB">
        <w:rPr>
          <w:rFonts w:ascii="Arial" w:eastAsia="Calibri" w:hAnsi="Arial" w:cs="Arial"/>
          <w:color w:val="000000"/>
          <w:sz w:val="22"/>
          <w:szCs w:val="24"/>
          <w:vertAlign w:val="superscript"/>
          <w:lang w:val="es-CO" w:eastAsia="en-GB"/>
        </w:rPr>
        <w:footnoteReference w:id="7"/>
      </w:r>
      <w:r w:rsidRPr="00577FDB">
        <w:rPr>
          <w:rFonts w:ascii="Arial" w:eastAsia="Calibri" w:hAnsi="Arial" w:cs="Arial"/>
          <w:color w:val="000000"/>
          <w:sz w:val="22"/>
          <w:szCs w:val="24"/>
          <w:lang w:val="es-CO" w:eastAsia="en-GB"/>
        </w:rPr>
        <w:t xml:space="preserve">, expedida por </w:t>
      </w:r>
      <w:r w:rsidRPr="00577FDB">
        <w:rPr>
          <w:rFonts w:ascii="Arial" w:eastAsia="Calibri" w:hAnsi="Arial" w:cs="Arial"/>
          <w:color w:val="000000"/>
          <w:sz w:val="22"/>
          <w:szCs w:val="24"/>
          <w:lang w:val="es-ES_tradnl" w:eastAsia="en-GB"/>
        </w:rPr>
        <w:t xml:space="preserve">la </w:t>
      </w:r>
      <w:r w:rsidRPr="00577FDB">
        <w:rPr>
          <w:rFonts w:ascii="Arial" w:eastAsia="Times New Roman" w:hAnsi="Arial" w:cs="Arial"/>
          <w:color w:val="000000"/>
          <w:sz w:val="22"/>
          <w:szCs w:val="24"/>
          <w:lang w:val="es-CO" w:eastAsia="es-ES_tradnl"/>
        </w:rPr>
        <w:t>Contraloría General de la República,</w:t>
      </w:r>
      <w:r w:rsidRPr="00577FDB">
        <w:rPr>
          <w:rFonts w:ascii="Arial" w:eastAsia="Calibri" w:hAnsi="Arial" w:cs="Arial"/>
          <w:color w:val="000000"/>
          <w:sz w:val="22"/>
          <w:szCs w:val="24"/>
          <w:lang w:val="es-CO" w:eastAsia="en-GB"/>
        </w:rPr>
        <w:t xml:space="preserve"> se estableció que la información concerniente al Registro Nacional de Obras Civiles Inconclusas se rendiría a través del SIRECI, conforme al Capítulo II </w:t>
      </w:r>
      <w:r w:rsidRPr="00577FDB">
        <w:rPr>
          <w:rFonts w:ascii="Arial" w:eastAsia="Calibri" w:hAnsi="Arial" w:cs="Arial"/>
          <w:color w:val="000000"/>
          <w:sz w:val="22"/>
          <w:szCs w:val="24"/>
          <w:lang w:val="es-ES_tradnl" w:eastAsia="en-GB"/>
        </w:rPr>
        <w:t>«</w:t>
      </w:r>
      <w:r w:rsidRPr="00577FDB">
        <w:rPr>
          <w:rFonts w:ascii="Arial" w:eastAsia="Calibri" w:hAnsi="Arial" w:cs="Arial"/>
          <w:color w:val="000000"/>
          <w:sz w:val="22"/>
          <w:szCs w:val="24"/>
          <w:lang w:val="es-CO" w:eastAsia="en-GB"/>
        </w:rPr>
        <w:t>Información de Obras Inconclusas</w:t>
      </w:r>
      <w:r w:rsidRPr="00577FDB">
        <w:rPr>
          <w:rFonts w:ascii="Arial" w:eastAsia="Calibri" w:hAnsi="Arial" w:cs="Arial"/>
          <w:color w:val="000000"/>
          <w:sz w:val="22"/>
          <w:szCs w:val="24"/>
          <w:lang w:val="es-ES_tradnl" w:eastAsia="en-GB"/>
        </w:rPr>
        <w:t>»</w:t>
      </w:r>
      <w:r w:rsidRPr="00577FDB">
        <w:rPr>
          <w:rFonts w:ascii="Arial" w:eastAsia="Calibri" w:hAnsi="Arial" w:cs="Arial"/>
          <w:color w:val="000000"/>
          <w:sz w:val="22"/>
          <w:szCs w:val="24"/>
          <w:lang w:val="es-CO" w:eastAsia="en-GB"/>
        </w:rPr>
        <w:t xml:space="preserve"> del Título III </w:t>
      </w:r>
      <w:r w:rsidRPr="00577FDB">
        <w:rPr>
          <w:rFonts w:ascii="Arial" w:eastAsia="Calibri" w:hAnsi="Arial" w:cs="Arial"/>
          <w:color w:val="000000"/>
          <w:sz w:val="22"/>
          <w:szCs w:val="24"/>
          <w:lang w:val="es-ES_tradnl" w:eastAsia="en-GB"/>
        </w:rPr>
        <w:t>«</w:t>
      </w:r>
      <w:r w:rsidRPr="00577FDB">
        <w:rPr>
          <w:rFonts w:ascii="Arial" w:eastAsia="Calibri" w:hAnsi="Arial" w:cs="Arial"/>
          <w:color w:val="000000"/>
          <w:sz w:val="22"/>
          <w:szCs w:val="24"/>
          <w:lang w:val="es-CO" w:eastAsia="en-GB"/>
        </w:rPr>
        <w:t>Rendición de Otra Información</w:t>
      </w:r>
      <w:r w:rsidRPr="00577FDB">
        <w:rPr>
          <w:rFonts w:ascii="Arial" w:eastAsia="Calibri" w:hAnsi="Arial" w:cs="Arial"/>
          <w:color w:val="000000"/>
          <w:sz w:val="22"/>
          <w:szCs w:val="24"/>
          <w:lang w:val="es-ES_tradnl" w:eastAsia="en-GB"/>
        </w:rPr>
        <w:t>»</w:t>
      </w:r>
      <w:r w:rsidRPr="00577FDB">
        <w:rPr>
          <w:rFonts w:ascii="Arial" w:eastAsia="Calibri" w:hAnsi="Arial" w:cs="Arial"/>
          <w:color w:val="000000"/>
          <w:sz w:val="22"/>
          <w:szCs w:val="24"/>
          <w:lang w:val="es-CO" w:eastAsia="en-GB"/>
        </w:rPr>
        <w:t xml:space="preserve">. De acuerdo con el artículo 51 de dicha Resolución, el contenido de la información es la requerida en el Sistema de Rendición Electrónico de la Cuenta e Informe y Otra Información –SIRECI–, sobre la información que debe incorporarse en la relación de obras civiles inconclusas, de conformidad con la ley. </w:t>
      </w:r>
    </w:p>
    <w:p w14:paraId="3BE6ADCF"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Respecto al contenido del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577FDB">
        <w:rPr>
          <w:rFonts w:ascii="Arial" w:eastAsia="Calibri" w:hAnsi="Arial" w:cs="Arial"/>
          <w:sz w:val="22"/>
          <w:lang w:val="es-CO"/>
        </w:rPr>
        <w:t>informe final presentado por el interventor del proyecto y la demás información que establezca la Contraloría General de la República.</w:t>
      </w:r>
      <w:r w:rsidRPr="00577FDB">
        <w:rPr>
          <w:rFonts w:ascii="Arial" w:eastAsia="Calibri" w:hAnsi="Arial" w:cs="Arial"/>
          <w:color w:val="000000"/>
          <w:sz w:val="22"/>
          <w:szCs w:val="24"/>
          <w:lang w:val="es-ES_tradnl" w:eastAsia="en-GB"/>
        </w:rPr>
        <w:t xml:space="preserve"> </w:t>
      </w:r>
    </w:p>
    <w:p w14:paraId="1BA6B5B8"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Igualmente, conforme al artículo 15 </w:t>
      </w:r>
      <w:proofErr w:type="spellStart"/>
      <w:r w:rsidRPr="00577FDB">
        <w:rPr>
          <w:rFonts w:ascii="Arial" w:eastAsia="Calibri" w:hAnsi="Arial" w:cs="Arial"/>
          <w:i/>
          <w:iCs/>
          <w:color w:val="000000"/>
          <w:sz w:val="22"/>
          <w:szCs w:val="24"/>
          <w:lang w:val="es-ES_tradnl" w:eastAsia="en-GB"/>
        </w:rPr>
        <w:t>ibídem</w:t>
      </w:r>
      <w:proofErr w:type="spellEnd"/>
      <w:r w:rsidRPr="00577FDB">
        <w:rPr>
          <w:rFonts w:ascii="Arial" w:eastAsia="Calibri" w:hAnsi="Arial" w:cs="Arial"/>
          <w:color w:val="000000"/>
          <w:sz w:val="22"/>
          <w:szCs w:val="24"/>
          <w:lang w:val="es-ES_tradnl" w:eastAsia="en-GB"/>
        </w:rPr>
        <w:t xml:space="preserve"> se incluirán en </w:t>
      </w:r>
      <w:r w:rsidRPr="00577FDB">
        <w:rPr>
          <w:rFonts w:ascii="Arial" w:eastAsia="Calibri" w:hAnsi="Arial" w:cs="Arial"/>
          <w:color w:val="000000"/>
          <w:sz w:val="22"/>
          <w:szCs w:val="24"/>
          <w:lang w:val="es-CO" w:eastAsia="en-GB"/>
        </w:rPr>
        <w:t xml:space="preserve">el Registro Nacional de Obras Civiles Inconclusas, las obras civiles ya terminadas que no se encuentren en funcionamiento. Para tales efectos, la Contraloría General de la República establecerá los criterios y el término para su incorporación. </w:t>
      </w:r>
    </w:p>
    <w:p w14:paraId="65960D50" w14:textId="77777777" w:rsidR="00577FDB" w:rsidRPr="00577FDB" w:rsidRDefault="00577FDB" w:rsidP="00577FDB">
      <w:pPr>
        <w:spacing w:before="120" w:after="0"/>
        <w:ind w:firstLine="567"/>
        <w:rPr>
          <w:rFonts w:ascii="Arial" w:eastAsia="Times New Roman" w:hAnsi="Arial" w:cs="Arial"/>
          <w:bCs/>
          <w:color w:val="000000"/>
          <w:sz w:val="22"/>
          <w:lang w:val="es-CO" w:eastAsia="es-ES_tradnl"/>
        </w:rPr>
      </w:pPr>
      <w:r w:rsidRPr="00577FDB">
        <w:rPr>
          <w:rFonts w:ascii="Arial" w:eastAsia="Calibri" w:hAnsi="Arial" w:cs="Arial"/>
          <w:sz w:val="22"/>
          <w:lang w:val="es-ES_tradnl"/>
        </w:rPr>
        <w:t xml:space="preserve">En este contexto, las obras civiles inconclusas que deben incluirse en el Registro </w:t>
      </w:r>
      <w:r w:rsidRPr="00577FDB">
        <w:rPr>
          <w:rFonts w:ascii="Arial" w:eastAsia="Calibri" w:hAnsi="Arial" w:cs="Arial"/>
          <w:color w:val="000000"/>
          <w:sz w:val="22"/>
          <w:lang w:val="es-ES_tradnl" w:eastAsia="en-GB"/>
        </w:rPr>
        <w:t>Nacional de Obras Civiles Inconclusas están determinadas por la Ley 2020 de 2020, cuya administración es competencia de la Contraloría General de la República</w:t>
      </w:r>
      <w:r w:rsidRPr="00577FDB">
        <w:rPr>
          <w:rFonts w:ascii="Arial" w:eastAsia="Calibri" w:hAnsi="Arial" w:cs="Arial"/>
          <w:sz w:val="22"/>
          <w:lang w:val="es-ES_tradnl"/>
        </w:rPr>
        <w:t xml:space="preserve">. Por tanto, la entidad estatal responsable tiene la obligación de reportar la información que exige </w:t>
      </w:r>
      <w:r w:rsidRPr="00577FDB">
        <w:rPr>
          <w:rFonts w:ascii="Arial" w:eastAsia="Times New Roman" w:hAnsi="Arial" w:cs="Arial"/>
          <w:bCs/>
          <w:color w:val="000000"/>
          <w:sz w:val="22"/>
          <w:lang w:val="es-CO" w:eastAsia="es-ES_tradnl"/>
        </w:rPr>
        <w:t xml:space="preserve">el artículo 2 de dicha Ley, de acuerdo con los presupuestos allí descritos, en concordancia con lo dispuesto en el artículo 4 sobre la información mínima que debe incorporar en el Registro, </w:t>
      </w:r>
      <w:r w:rsidRPr="00577FDB">
        <w:rPr>
          <w:rFonts w:ascii="Arial" w:eastAsia="Calibri" w:hAnsi="Arial" w:cs="Arial"/>
          <w:sz w:val="22"/>
          <w:lang w:val="es-ES_tradnl"/>
        </w:rPr>
        <w:t xml:space="preserve">así como toda aquella información que establezca </w:t>
      </w:r>
      <w:r w:rsidRPr="00577FDB">
        <w:rPr>
          <w:rFonts w:ascii="Arial" w:eastAsia="Calibri" w:hAnsi="Arial" w:cs="Arial"/>
          <w:color w:val="000000"/>
          <w:sz w:val="22"/>
          <w:szCs w:val="24"/>
          <w:lang w:val="es-ES_tradnl" w:eastAsia="en-GB"/>
        </w:rPr>
        <w:t xml:space="preserve">la Contraloría General de la </w:t>
      </w:r>
      <w:r w:rsidRPr="00577FDB">
        <w:rPr>
          <w:rFonts w:ascii="Arial" w:eastAsia="Calibri" w:hAnsi="Arial" w:cs="Arial"/>
          <w:color w:val="000000"/>
          <w:sz w:val="22"/>
          <w:lang w:val="es-ES_tradnl" w:eastAsia="en-GB"/>
        </w:rPr>
        <w:t>República en el marco de sus competencias</w:t>
      </w:r>
      <w:r w:rsidRPr="00577FDB">
        <w:rPr>
          <w:rFonts w:ascii="Arial" w:eastAsia="Times New Roman" w:hAnsi="Arial" w:cs="Arial"/>
          <w:bCs/>
          <w:color w:val="000000"/>
          <w:sz w:val="22"/>
          <w:lang w:val="es-CO" w:eastAsia="es-ES_tradnl"/>
        </w:rPr>
        <w:t xml:space="preserve">. </w:t>
      </w:r>
    </w:p>
    <w:p w14:paraId="48899C1D" w14:textId="77777777" w:rsidR="00577FDB" w:rsidRPr="00577FDB" w:rsidRDefault="00577FDB" w:rsidP="00577FDB">
      <w:pPr>
        <w:spacing w:before="120" w:after="0"/>
        <w:ind w:firstLine="567"/>
        <w:rPr>
          <w:rFonts w:ascii="Arial" w:eastAsia="Calibri" w:hAnsi="Arial" w:cs="Arial"/>
          <w:sz w:val="22"/>
          <w:lang w:val="es-ES_tradnl"/>
        </w:rPr>
      </w:pPr>
      <w:r w:rsidRPr="00577FDB">
        <w:rPr>
          <w:rFonts w:ascii="Arial" w:eastAsia="Times New Roman" w:hAnsi="Arial" w:cs="Arial"/>
          <w:bCs/>
          <w:color w:val="000000"/>
          <w:sz w:val="22"/>
          <w:lang w:val="es-CO" w:eastAsia="es-ES_tradnl"/>
        </w:rPr>
        <w:lastRenderedPageBreak/>
        <w:t xml:space="preserve">El Registro Nacional de Obras Civiles Inconclusas contendrá el inventario actualizado de obras civiles inconclusas, compuesto por la información reportada por las entidades estatales sobre las obras civiles inconclusas de su jurisdicción, o la información obtenida por la Contraloría General de la República sobre el particular. Igualmente, deberá incluirse en el Registro </w:t>
      </w:r>
      <w:r w:rsidRPr="00577FDB">
        <w:rPr>
          <w:rFonts w:ascii="Arial" w:eastAsia="Calibri" w:hAnsi="Arial" w:cs="Arial"/>
          <w:color w:val="000000"/>
          <w:sz w:val="22"/>
          <w:szCs w:val="24"/>
          <w:lang w:val="es-CO" w:eastAsia="en-GB"/>
        </w:rPr>
        <w:t>las obras civiles ya terminadas que no se encuentren en funcionamiento</w:t>
      </w:r>
      <w:r w:rsidRPr="00577FDB">
        <w:rPr>
          <w:rFonts w:ascii="Arial" w:eastAsia="Times New Roman" w:hAnsi="Arial" w:cs="Arial"/>
          <w:bCs/>
          <w:color w:val="000000"/>
          <w:sz w:val="22"/>
          <w:lang w:val="es-CO" w:eastAsia="es-ES_tradnl"/>
        </w:rPr>
        <w:t xml:space="preserve"> de acuerdo con los criterios y el término para su incorporación que establezca la Contraloría General de la República. </w:t>
      </w:r>
    </w:p>
    <w:p w14:paraId="6236ED82"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Según artículo 9 de la Ley 2020 de 2020, la obligación de reportar esta información recae en </w:t>
      </w:r>
      <w:r w:rsidRPr="00577FDB">
        <w:rPr>
          <w:rFonts w:ascii="Arial" w:eastAsia="Calibri" w:hAnsi="Arial" w:cs="Arial"/>
          <w:color w:val="000000"/>
          <w:sz w:val="22"/>
          <w:szCs w:val="24"/>
          <w:lang w:val="es-CO" w:eastAsia="en-GB"/>
        </w:rPr>
        <w:t>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r w:rsidRPr="00577FDB">
        <w:rPr>
          <w:rFonts w:ascii="Arial" w:eastAsia="Calibri" w:hAnsi="Arial" w:cs="Arial"/>
          <w:color w:val="000000"/>
          <w:sz w:val="22"/>
          <w:szCs w:val="24"/>
          <w:lang w:val="es-ES_tradnl" w:eastAsia="en-GB"/>
        </w:rPr>
        <w:t xml:space="preserve"> y su incumplimiento genera las sanciones respectivas conforme a la normativa vigente</w:t>
      </w:r>
      <w:r w:rsidRPr="00577FDB">
        <w:rPr>
          <w:rFonts w:ascii="Arial" w:eastAsia="Calibri" w:hAnsi="Arial" w:cs="Arial"/>
          <w:color w:val="000000"/>
          <w:sz w:val="22"/>
          <w:szCs w:val="24"/>
          <w:vertAlign w:val="superscript"/>
          <w:lang w:val="es-ES_tradnl" w:eastAsia="en-GB"/>
        </w:rPr>
        <w:footnoteReference w:id="8"/>
      </w:r>
      <w:r w:rsidRPr="00577FDB">
        <w:rPr>
          <w:rFonts w:ascii="Arial" w:eastAsia="Calibri" w:hAnsi="Arial" w:cs="Arial"/>
          <w:color w:val="000000"/>
          <w:sz w:val="22"/>
          <w:szCs w:val="24"/>
          <w:lang w:val="es-ES_tradnl" w:eastAsia="en-GB"/>
        </w:rPr>
        <w:t xml:space="preserve">. En todo caso, la información que consta en el Registro podrá tenerse en cuenta por los entes de control o por las entidades públicas sometidas al Estatuto General de Contratación de la Administración Pública en los procesos fiscales, disciplinarios o sancionatorios que se adelanten </w:t>
      </w:r>
      <w:proofErr w:type="gramStart"/>
      <w:r w:rsidRPr="00577FDB">
        <w:rPr>
          <w:rFonts w:ascii="Arial" w:eastAsia="Calibri" w:hAnsi="Arial" w:cs="Arial"/>
          <w:color w:val="000000"/>
          <w:sz w:val="22"/>
          <w:szCs w:val="24"/>
          <w:lang w:val="es-ES_tradnl" w:eastAsia="en-GB"/>
        </w:rPr>
        <w:t>en razón de</w:t>
      </w:r>
      <w:proofErr w:type="gramEnd"/>
      <w:r w:rsidRPr="00577FDB">
        <w:rPr>
          <w:rFonts w:ascii="Arial" w:eastAsia="Calibri" w:hAnsi="Arial" w:cs="Arial"/>
          <w:color w:val="000000"/>
          <w:sz w:val="22"/>
          <w:szCs w:val="24"/>
          <w:lang w:val="es-ES_tradnl" w:eastAsia="en-GB"/>
        </w:rPr>
        <w:t xml:space="preserve"> la obra civil inconclusa. Igualmente, el acto administrativo que declare el incumplimiento, caducidad y/o terminación unilateral del contrato de obra, tendrá en cuenta en la parte motiva, la documentación que repose en el registro. </w:t>
      </w:r>
    </w:p>
    <w:p w14:paraId="7042806C"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De esta manera, debido al carácter público de la información del registro, podrá verificarse en el sistema dispuesto por la Contraloría General de la Nación, el motivo por el cual la obra civil quedo inconclusa, así como las situaciones de incumplimiento del contratista y en general el estado jurídico, técnico y financiero de la obra. Si se presenta alguna controversia respecto de la información suministrada por la entidad estatal, esta será la encargada de resolverla atendiendo los principios y disposiciones establecidos en la normativa vigente. Conforme al artículo 12, es preciso señalar que la cancelación de la anotación de la obra en el Registro Nacional de Obras Civiles Inconclusas solo operará a solicitud de la entidad estatal una vez haya sido demolida o finalizada exitosamente.</w:t>
      </w:r>
    </w:p>
    <w:p w14:paraId="4245942A" w14:textId="77777777" w:rsidR="00577FDB" w:rsidRPr="00577FDB" w:rsidRDefault="00577FDB" w:rsidP="00577FDB">
      <w:pPr>
        <w:tabs>
          <w:tab w:val="left" w:pos="0"/>
        </w:tabs>
        <w:spacing w:after="0"/>
        <w:ind w:firstLine="709"/>
        <w:rPr>
          <w:rFonts w:ascii="Arial" w:eastAsia="Calibri" w:hAnsi="Arial" w:cs="Arial"/>
          <w:color w:val="000000"/>
          <w:sz w:val="22"/>
          <w:szCs w:val="24"/>
          <w:lang w:val="es-ES_tradnl" w:eastAsia="en-GB"/>
        </w:rPr>
      </w:pPr>
    </w:p>
    <w:p w14:paraId="0251DC83" w14:textId="77777777" w:rsidR="00577FDB" w:rsidRPr="00577FDB" w:rsidRDefault="00577FDB" w:rsidP="00577FDB">
      <w:pPr>
        <w:tabs>
          <w:tab w:val="left" w:pos="0"/>
        </w:tabs>
        <w:spacing w:after="0"/>
        <w:rPr>
          <w:rFonts w:ascii="Arial" w:eastAsia="Calibri" w:hAnsi="Arial" w:cs="Arial"/>
          <w:b/>
          <w:bCs/>
          <w:color w:val="000000"/>
          <w:sz w:val="22"/>
          <w:szCs w:val="24"/>
          <w:lang w:val="es-ES_tradnl" w:eastAsia="en-GB"/>
        </w:rPr>
      </w:pPr>
      <w:r w:rsidRPr="00577FDB">
        <w:rPr>
          <w:rFonts w:ascii="Arial" w:eastAsia="Calibri" w:hAnsi="Arial" w:cs="Arial"/>
          <w:b/>
          <w:bCs/>
          <w:color w:val="000000"/>
          <w:sz w:val="22"/>
          <w:szCs w:val="24"/>
          <w:lang w:val="es-ES_tradnl" w:eastAsia="en-GB"/>
        </w:rPr>
        <w:t>2.2. Deber de verificación del Registro Nacional de Obras Civiles Inconclusas en la evaluación de las ofertas para la selección de contratistas de obra o interventores</w:t>
      </w:r>
    </w:p>
    <w:p w14:paraId="19854B7C" w14:textId="77777777" w:rsidR="00577FDB" w:rsidRPr="00577FDB" w:rsidRDefault="00577FDB" w:rsidP="00577FDB">
      <w:pPr>
        <w:tabs>
          <w:tab w:val="left" w:pos="0"/>
        </w:tabs>
        <w:spacing w:after="0"/>
        <w:rPr>
          <w:rFonts w:ascii="Arial" w:eastAsia="Calibri" w:hAnsi="Arial" w:cs="Arial"/>
          <w:color w:val="000000"/>
          <w:sz w:val="22"/>
          <w:szCs w:val="24"/>
          <w:lang w:val="es-ES_tradnl" w:eastAsia="en-GB"/>
        </w:rPr>
      </w:pPr>
    </w:p>
    <w:p w14:paraId="29AD88E0" w14:textId="77777777" w:rsidR="00577FDB" w:rsidRPr="00577FDB" w:rsidRDefault="00577FDB" w:rsidP="00577FDB">
      <w:pPr>
        <w:tabs>
          <w:tab w:val="left" w:pos="0"/>
        </w:tabs>
        <w:spacing w:after="0"/>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577FDB">
        <w:rPr>
          <w:rFonts w:ascii="Arial" w:eastAsia="Calibri" w:hAnsi="Arial" w:cs="Arial"/>
          <w:i/>
          <w:iCs/>
          <w:color w:val="000000"/>
          <w:sz w:val="22"/>
          <w:szCs w:val="24"/>
          <w:lang w:val="es-ES_tradnl" w:eastAsia="en-GB"/>
        </w:rPr>
        <w:t>consultar</w:t>
      </w:r>
      <w:r w:rsidRPr="00577FDB">
        <w:rPr>
          <w:rFonts w:ascii="Arial" w:eastAsia="Calibri" w:hAnsi="Arial" w:cs="Arial"/>
          <w:color w:val="000000"/>
          <w:sz w:val="22"/>
          <w:szCs w:val="24"/>
          <w:lang w:val="es-ES_tradnl" w:eastAsia="en-GB"/>
        </w:rPr>
        <w:t xml:space="preserve"> y </w:t>
      </w:r>
      <w:r w:rsidRPr="00577FDB">
        <w:rPr>
          <w:rFonts w:ascii="Arial" w:eastAsia="Calibri" w:hAnsi="Arial" w:cs="Arial"/>
          <w:i/>
          <w:iCs/>
          <w:color w:val="000000"/>
          <w:sz w:val="22"/>
          <w:szCs w:val="24"/>
          <w:lang w:val="es-ES_tradnl" w:eastAsia="en-GB"/>
        </w:rPr>
        <w:t>analizar</w:t>
      </w:r>
      <w:r w:rsidRPr="00577FDB">
        <w:rPr>
          <w:rFonts w:ascii="Arial" w:eastAsia="Calibri" w:hAnsi="Arial" w:cs="Arial"/>
          <w:color w:val="000000"/>
          <w:sz w:val="22"/>
          <w:szCs w:val="24"/>
          <w:lang w:val="es-ES_tradnl" w:eastAsia="en-GB"/>
        </w:rPr>
        <w:t xml:space="preserve"> la información contenida en el Registro </w:t>
      </w:r>
      <w:r w:rsidRPr="00577FDB">
        <w:rPr>
          <w:rFonts w:ascii="Arial" w:eastAsia="Calibri" w:hAnsi="Arial" w:cs="Arial"/>
          <w:color w:val="000000"/>
          <w:sz w:val="22"/>
          <w:szCs w:val="24"/>
          <w:lang w:val="es-ES_tradnl" w:eastAsia="en-GB"/>
        </w:rPr>
        <w:lastRenderedPageBreak/>
        <w:t>Nacional de Obras Civiles Inconclusas. Además, dispone que en los procesos de selección de contratistas de obra e interventores han de considerarse las anotaciones del registro en la evaluación de las ofertas. La norma prescribe lo siguiente:</w:t>
      </w:r>
    </w:p>
    <w:p w14:paraId="0168C608"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p>
    <w:p w14:paraId="2B81CD6A"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2DB2314E"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i/>
          <w:color w:val="000000"/>
          <w:sz w:val="21"/>
          <w:szCs w:val="21"/>
          <w:lang w:val="es-ES_tradnl" w:eastAsia="en-GB"/>
        </w:rPr>
        <w:t>Durante los procesos de selección objetiva para contratistas de obra o interventores</w:t>
      </w:r>
      <w:r w:rsidRPr="00577FDB">
        <w:rPr>
          <w:rFonts w:ascii="Arial" w:eastAsia="Calibri" w:hAnsi="Arial" w:cs="Arial"/>
          <w:color w:val="000000"/>
          <w:sz w:val="21"/>
          <w:szCs w:val="21"/>
          <w:lang w:val="es-ES_tradnl" w:eastAsia="en-GB"/>
        </w:rPr>
        <w:t>,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1A3B7E"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Cualquier controversia o solicitud que surja en relación con los reportes de información que suministre la entidad contratante, serán resueltos por esta, atendiendo los principios y disposiciones establecidos en la normatividad vigente [énfasis fuera de texto]</w:t>
      </w:r>
    </w:p>
    <w:p w14:paraId="11690ACF" w14:textId="77777777" w:rsidR="00577FDB" w:rsidRPr="00577FDB" w:rsidRDefault="00577FDB" w:rsidP="00577FDB">
      <w:pPr>
        <w:tabs>
          <w:tab w:val="left" w:pos="0"/>
        </w:tabs>
        <w:spacing w:after="0"/>
        <w:rPr>
          <w:rFonts w:ascii="Arial" w:eastAsia="Calibri" w:hAnsi="Arial" w:cs="Arial"/>
          <w:color w:val="000000"/>
          <w:sz w:val="22"/>
          <w:szCs w:val="24"/>
          <w:lang w:val="es-ES_tradnl" w:eastAsia="en-GB"/>
        </w:rPr>
      </w:pPr>
    </w:p>
    <w:p w14:paraId="05D0619C" w14:textId="77777777" w:rsidR="00577FDB" w:rsidRPr="00577FDB" w:rsidRDefault="00577FDB" w:rsidP="00577FDB">
      <w:pPr>
        <w:tabs>
          <w:tab w:val="left" w:pos="0"/>
        </w:tabs>
        <w:spacing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Como se observa, 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 Teniendo en cuenta que el artículo 6 de la Ley 2020 de 2020 se remite al literal a) del artículo 5 de la Ley 1150 de 2007, conviene recordar lo señalado en dicho enunciado normativo. Este consagra los criterios para garantizar la </w:t>
      </w:r>
      <w:r w:rsidRPr="00577FDB">
        <w:rPr>
          <w:rFonts w:ascii="Arial" w:eastAsia="Calibri" w:hAnsi="Arial" w:cs="Arial"/>
          <w:i/>
          <w:iCs/>
          <w:color w:val="000000"/>
          <w:sz w:val="22"/>
          <w:szCs w:val="24"/>
          <w:lang w:val="es-ES_tradnl" w:eastAsia="en-GB"/>
        </w:rPr>
        <w:t>selección objetiva</w:t>
      </w:r>
      <w:r w:rsidRPr="00577FDB">
        <w:rPr>
          <w:rFonts w:ascii="Arial" w:eastAsia="Calibri" w:hAnsi="Arial" w:cs="Arial"/>
          <w:color w:val="000000"/>
          <w:sz w:val="22"/>
          <w:szCs w:val="24"/>
          <w:lang w:val="es-ES_tradnl" w:eastAsia="en-GB"/>
        </w:rPr>
        <w:t xml:space="preserve"> en los procedimientos contractuales, precisando la metodología con la cual pueden establecerse tanto los requisitos habilitantes como los criterios de evaluación. En lo pertinente, la norma dispone:</w:t>
      </w:r>
    </w:p>
    <w:p w14:paraId="263D548F" w14:textId="77777777" w:rsidR="00577FDB" w:rsidRPr="00577FDB" w:rsidRDefault="00577FDB" w:rsidP="00577FDB">
      <w:pPr>
        <w:tabs>
          <w:tab w:val="left" w:pos="0"/>
        </w:tabs>
        <w:spacing w:after="0"/>
        <w:ind w:right="709"/>
        <w:rPr>
          <w:rFonts w:ascii="Arial" w:eastAsia="Calibri" w:hAnsi="Arial" w:cs="Arial"/>
          <w:color w:val="000000"/>
          <w:sz w:val="22"/>
          <w:lang w:val="es-ES_tradnl" w:eastAsia="en-GB"/>
        </w:rPr>
      </w:pPr>
    </w:p>
    <w:p w14:paraId="19E1BA98"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3C023BD"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7D27C291"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i/>
          <w:iCs/>
          <w:color w:val="000000"/>
          <w:sz w:val="21"/>
          <w:szCs w:val="21"/>
          <w:lang w:val="es-ES_tradnl" w:eastAsia="en-GB"/>
        </w:rPr>
        <w:lastRenderedPageBreak/>
        <w:t>a) La ponderación de los elementos de calidad y precio soportados en puntajes o fórmulas señaladas en el pliego de condiciones; o</w:t>
      </w:r>
    </w:p>
    <w:p w14:paraId="79602002"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b) La ponderación de los elementos de calidad y precio que representen la mejor relación de costo-beneficio para la entidad. (Énfasis fuera de texto)</w:t>
      </w:r>
    </w:p>
    <w:p w14:paraId="77B8E189" w14:textId="77777777" w:rsidR="00577FDB" w:rsidRPr="00577FDB" w:rsidRDefault="00577FDB" w:rsidP="00577FDB">
      <w:pPr>
        <w:tabs>
          <w:tab w:val="left" w:pos="0"/>
        </w:tabs>
        <w:spacing w:after="0"/>
        <w:ind w:left="709" w:right="709"/>
        <w:rPr>
          <w:rFonts w:ascii="Arial" w:eastAsia="Calibri" w:hAnsi="Arial" w:cs="Arial"/>
          <w:color w:val="000000"/>
          <w:sz w:val="22"/>
          <w:lang w:val="es-ES_tradnl" w:eastAsia="en-GB"/>
        </w:rPr>
      </w:pPr>
    </w:p>
    <w:p w14:paraId="0AB14BDE" w14:textId="77777777" w:rsidR="00577FDB" w:rsidRPr="00577FDB" w:rsidRDefault="00577FDB" w:rsidP="00577FDB">
      <w:pPr>
        <w:tabs>
          <w:tab w:val="left" w:pos="0"/>
        </w:tabs>
        <w:spacing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577FDB">
        <w:rPr>
          <w:rFonts w:ascii="Arial" w:eastAsia="Calibri" w:hAnsi="Arial" w:cs="Arial"/>
          <w:iCs/>
          <w:color w:val="000000"/>
          <w:sz w:val="22"/>
          <w:szCs w:val="24"/>
          <w:lang w:val="es-ES_tradnl" w:eastAsia="en-GB"/>
        </w:rPr>
        <w:t>no</w:t>
      </w:r>
      <w:r w:rsidRPr="00577FDB">
        <w:rPr>
          <w:rFonts w:ascii="Arial" w:eastAsia="Calibri" w:hAnsi="Arial" w:cs="Arial"/>
          <w:color w:val="000000"/>
          <w:sz w:val="22"/>
          <w:szCs w:val="24"/>
          <w:lang w:val="es-ES_tradnl" w:eastAsia="en-GB"/>
        </w:rPr>
        <w:t xml:space="preserve"> 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14:paraId="4EB84A4E" w14:textId="77777777" w:rsidR="00577FDB" w:rsidRPr="00577FDB" w:rsidRDefault="00577FDB" w:rsidP="00577FDB">
      <w:pPr>
        <w:tabs>
          <w:tab w:val="left" w:pos="0"/>
        </w:tabs>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577FDB">
        <w:rPr>
          <w:rFonts w:ascii="Arial" w:eastAsia="Calibri" w:hAnsi="Arial" w:cs="Arial"/>
          <w:color w:val="FF0000"/>
          <w:sz w:val="22"/>
          <w:szCs w:val="24"/>
          <w:lang w:val="es-ES_tradnl" w:eastAsia="en-GB"/>
        </w:rPr>
        <w:t xml:space="preserve">. </w:t>
      </w:r>
      <w:r w:rsidRPr="00577FDB">
        <w:rPr>
          <w:rFonts w:ascii="Arial" w:eastAsia="Calibri" w:hAnsi="Arial" w:cs="Arial"/>
          <w:color w:val="000000"/>
          <w:sz w:val="22"/>
          <w:szCs w:val="24"/>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0F077731" w14:textId="77777777" w:rsidR="00577FDB" w:rsidRPr="00577FDB" w:rsidRDefault="00577FDB" w:rsidP="00577FDB">
      <w:pPr>
        <w:tabs>
          <w:tab w:val="left" w:pos="0"/>
        </w:tabs>
        <w:spacing w:before="120" w:after="0"/>
        <w:ind w:firstLine="709"/>
        <w:rPr>
          <w:rFonts w:ascii="Arial" w:eastAsia="Times New Roman" w:hAnsi="Arial" w:cs="Arial"/>
          <w:color w:val="000000"/>
          <w:sz w:val="22"/>
          <w:szCs w:val="24"/>
          <w:lang w:val="es-CO" w:eastAsia="es-ES_tradnl"/>
        </w:rPr>
      </w:pPr>
      <w:r w:rsidRPr="00577FDB">
        <w:rPr>
          <w:rFonts w:ascii="Arial" w:eastAsia="Calibri" w:hAnsi="Arial" w:cs="Arial"/>
          <w:color w:val="000000"/>
          <w:sz w:val="22"/>
          <w:szCs w:val="24"/>
          <w:lang w:val="es-ES_tradnl" w:eastAsia="en-GB"/>
        </w:rPr>
        <w:t xml:space="preserve">Esta Subdirección se pronunció sobre el reconocimiento de la discrecionalidad administrativa como modelo de asignación de potestades en la contratación estatal. Por ejemplo, en el Concepto C-120 del 3 de marzo de 2020 señaló que si bien la discrecionalidad implica un espacio de libertad para las entidades estales, en todo caso, al hacer uso de ella, deben observar el artículo 44 de la Ley 1437 de 2011, según el cual </w:t>
      </w:r>
      <w:r w:rsidRPr="00577FDB">
        <w:rPr>
          <w:rFonts w:ascii="Arial" w:eastAsia="Times New Roman" w:hAnsi="Arial" w:cs="Arial"/>
          <w:color w:val="000000"/>
          <w:sz w:val="22"/>
          <w:szCs w:val="24"/>
          <w:lang w:val="es-CO" w:eastAsia="es-ES_tradnl"/>
        </w:rPr>
        <w:t>la decisión debe ser adecuada y proporcional al trámite y a los hechos que lo motivaron</w:t>
      </w:r>
      <w:r w:rsidRPr="00577FDB">
        <w:rPr>
          <w:rFonts w:ascii="Arial" w:eastAsia="Times New Roman" w:hAnsi="Arial" w:cs="Arial"/>
          <w:color w:val="000000"/>
          <w:sz w:val="22"/>
          <w:szCs w:val="24"/>
          <w:vertAlign w:val="superscript"/>
          <w:lang w:val="es-CO" w:eastAsia="es-ES_tradnl"/>
        </w:rPr>
        <w:footnoteReference w:id="9"/>
      </w:r>
      <w:r w:rsidRPr="00577FDB">
        <w:rPr>
          <w:rFonts w:ascii="Arial" w:eastAsia="Times New Roman" w:hAnsi="Arial" w:cs="Arial"/>
          <w:color w:val="000000"/>
          <w:sz w:val="22"/>
          <w:szCs w:val="24"/>
          <w:lang w:val="es-CO" w:eastAsia="es-ES_tradnl"/>
        </w:rPr>
        <w:t>. Este también ha sido el entendimiento de la doctrina, que ha considerado que el ejercicio de la discrecionalidad administrativa debe respetar el principio de proporcionalidad</w:t>
      </w:r>
      <w:r w:rsidRPr="00577FDB">
        <w:rPr>
          <w:rFonts w:ascii="Arial" w:eastAsia="Times New Roman" w:hAnsi="Arial" w:cs="Arial"/>
          <w:color w:val="000000"/>
          <w:sz w:val="22"/>
          <w:szCs w:val="24"/>
          <w:vertAlign w:val="superscript"/>
          <w:lang w:val="es-CO" w:eastAsia="es-ES_tradnl"/>
        </w:rPr>
        <w:footnoteReference w:id="10"/>
      </w:r>
      <w:r w:rsidRPr="00577FDB">
        <w:rPr>
          <w:rFonts w:ascii="Arial" w:eastAsia="Times New Roman" w:hAnsi="Arial" w:cs="Arial"/>
          <w:color w:val="000000"/>
          <w:sz w:val="22"/>
          <w:szCs w:val="24"/>
          <w:lang w:val="es-CO" w:eastAsia="es-ES_tradnl"/>
        </w:rPr>
        <w:t>.</w:t>
      </w:r>
    </w:p>
    <w:p w14:paraId="2C745903" w14:textId="77777777" w:rsidR="00577FDB" w:rsidRPr="00577FDB" w:rsidRDefault="00577FDB" w:rsidP="00577FDB">
      <w:pPr>
        <w:tabs>
          <w:tab w:val="left" w:pos="0"/>
        </w:tabs>
        <w:spacing w:before="120" w:after="0"/>
        <w:ind w:firstLine="709"/>
        <w:rPr>
          <w:rFonts w:ascii="Arial" w:eastAsia="Times New Roman" w:hAnsi="Arial" w:cs="Arial"/>
          <w:color w:val="000000"/>
          <w:sz w:val="22"/>
          <w:szCs w:val="24"/>
          <w:lang w:val="es-CO" w:eastAsia="es-ES_tradnl"/>
        </w:rPr>
      </w:pPr>
      <w:r w:rsidRPr="00577FDB">
        <w:rPr>
          <w:rFonts w:ascii="Arial" w:eastAsia="Times New Roman" w:hAnsi="Arial" w:cs="Arial"/>
          <w:color w:val="000000"/>
          <w:sz w:val="22"/>
          <w:szCs w:val="24"/>
          <w:lang w:val="es-CO" w:eastAsia="es-ES_tradnl"/>
        </w:rPr>
        <w:lastRenderedPageBreak/>
        <w:t xml:space="preserve">Esta discrecionalidad también se encuentra presente al momento de elaborar el pliego de condiciones y específicamente, al definir los criterios de calificación con puntos. Entre estos criterios se encuentran los elementos de calidad y precio indicados en el artículo 5, numeral 2, literal a), de la Ley 1150 de 2007. Por ello, la Sección Tercera del Consejo de Estado considera: </w:t>
      </w:r>
    </w:p>
    <w:p w14:paraId="06878323" w14:textId="77777777" w:rsidR="00577FDB" w:rsidRPr="00577FDB" w:rsidRDefault="00577FDB" w:rsidP="00577FDB">
      <w:pPr>
        <w:tabs>
          <w:tab w:val="left" w:pos="0"/>
        </w:tabs>
        <w:spacing w:after="0"/>
        <w:ind w:left="709" w:right="709"/>
        <w:rPr>
          <w:rFonts w:ascii="Arial" w:eastAsia="Calibri" w:hAnsi="Arial" w:cs="Arial"/>
          <w:color w:val="000000"/>
          <w:sz w:val="22"/>
          <w:lang w:val="es-CO" w:eastAsia="en-GB"/>
        </w:rPr>
      </w:pPr>
    </w:p>
    <w:p w14:paraId="17BE8E4A"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sidRPr="00577FDB">
        <w:rPr>
          <w:rFonts w:ascii="Arial" w:eastAsia="Calibri" w:hAnsi="Arial" w:cs="Arial"/>
          <w:color w:val="000000"/>
          <w:sz w:val="21"/>
          <w:szCs w:val="21"/>
          <w:vertAlign w:val="superscript"/>
          <w:lang w:val="es-ES_tradnl" w:eastAsia="en-GB"/>
        </w:rPr>
        <w:footnoteReference w:id="11"/>
      </w:r>
      <w:r w:rsidRPr="00577FDB">
        <w:rPr>
          <w:rFonts w:ascii="Arial" w:eastAsia="Calibri" w:hAnsi="Arial" w:cs="Arial"/>
          <w:color w:val="000000"/>
          <w:sz w:val="21"/>
          <w:szCs w:val="21"/>
          <w:lang w:val="es-ES_tradnl" w:eastAsia="en-GB"/>
        </w:rPr>
        <w:t>.</w:t>
      </w:r>
    </w:p>
    <w:p w14:paraId="046565AF" w14:textId="77777777" w:rsidR="00577FDB" w:rsidRPr="00577FDB" w:rsidRDefault="00577FDB" w:rsidP="00577FDB">
      <w:pPr>
        <w:tabs>
          <w:tab w:val="left" w:pos="0"/>
        </w:tabs>
        <w:spacing w:after="0"/>
        <w:ind w:firstLine="709"/>
        <w:rPr>
          <w:rFonts w:ascii="Arial" w:eastAsia="Times New Roman" w:hAnsi="Arial" w:cs="Arial"/>
          <w:color w:val="000000"/>
          <w:sz w:val="22"/>
          <w:szCs w:val="24"/>
          <w:lang w:val="es-CO" w:eastAsia="es-ES_tradnl"/>
        </w:rPr>
      </w:pPr>
    </w:p>
    <w:p w14:paraId="40FA91E9" w14:textId="77777777" w:rsidR="00577FDB" w:rsidRPr="00577FDB" w:rsidRDefault="00577FDB" w:rsidP="00577FDB">
      <w:pPr>
        <w:spacing w:after="120"/>
        <w:ind w:firstLine="709"/>
        <w:rPr>
          <w:rFonts w:ascii="Arial" w:eastAsia="Times New Roman" w:hAnsi="Arial" w:cs="Arial"/>
          <w:color w:val="000000"/>
          <w:sz w:val="22"/>
          <w:szCs w:val="24"/>
          <w:lang w:val="es-CO" w:eastAsia="es-ES_tradnl"/>
        </w:rPr>
      </w:pPr>
      <w:r w:rsidRPr="00577FDB">
        <w:rPr>
          <w:rFonts w:ascii="Arial" w:eastAsia="Times New Roman" w:hAnsi="Arial" w:cs="Arial"/>
          <w:color w:val="000000"/>
          <w:sz w:val="22"/>
          <w:szCs w:val="24"/>
          <w:lang w:val="es-CO" w:eastAsia="es-ES_tradnl"/>
        </w:rPr>
        <w:t>Por lo tanto, cuando el artículo 6 de la Ley 2020 de 2020 establece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577FDB">
        <w:rPr>
          <w:rFonts w:ascii="Arial" w:eastAsia="Times New Roman" w:hAnsi="Arial" w:cs="Arial"/>
          <w:color w:val="000000"/>
          <w:sz w:val="22"/>
          <w:szCs w:val="24"/>
          <w:vertAlign w:val="superscript"/>
          <w:lang w:val="es-CO" w:eastAsia="es-ES_tradnl"/>
        </w:rPr>
        <w:t>o</w:t>
      </w:r>
      <w:r w:rsidRPr="00577FDB">
        <w:rPr>
          <w:rFonts w:ascii="Arial" w:eastAsia="Times New Roman" w:hAnsi="Arial" w:cs="Arial"/>
          <w:color w:val="000000"/>
          <w:sz w:val="22"/>
          <w:szCs w:val="24"/>
          <w:lang w:val="es-CO" w:eastAsia="es-ES_tradnl"/>
        </w:rPr>
        <w:t xml:space="preserve"> de la Ley 1150 de 2007 o la norma que la modifique». De lo prescrito en la disposición precitada, se deriva de la literalidad del texto que el deber de consultar y analizar solamente aplica en </w:t>
      </w:r>
      <w:proofErr w:type="spellStart"/>
      <w:r w:rsidRPr="00577FDB">
        <w:rPr>
          <w:rFonts w:ascii="Arial" w:eastAsia="Times New Roman" w:hAnsi="Arial" w:cs="Arial"/>
          <w:color w:val="000000"/>
          <w:sz w:val="22"/>
          <w:szCs w:val="24"/>
          <w:lang w:val="es-CO" w:eastAsia="es-ES_tradnl"/>
        </w:rPr>
        <w:t>tipologias</w:t>
      </w:r>
      <w:proofErr w:type="spellEnd"/>
      <w:r w:rsidRPr="00577FDB">
        <w:rPr>
          <w:rFonts w:ascii="Arial" w:eastAsia="Times New Roman" w:hAnsi="Arial" w:cs="Arial"/>
          <w:color w:val="000000"/>
          <w:sz w:val="22"/>
          <w:szCs w:val="24"/>
          <w:lang w:val="es-CO" w:eastAsia="es-ES_tradnl"/>
        </w:rPr>
        <w:t xml:space="preserve"> contractual de obra pública y de interventoría, por lo que no se extiende al contrato de consultoría.</w:t>
      </w:r>
    </w:p>
    <w:p w14:paraId="67BC7F58" w14:textId="77777777" w:rsidR="00577FDB" w:rsidRPr="00577FDB" w:rsidRDefault="00577FDB" w:rsidP="00577FDB">
      <w:pPr>
        <w:spacing w:after="0"/>
        <w:ind w:firstLine="709"/>
        <w:rPr>
          <w:rFonts w:ascii="Arial" w:eastAsia="Times New Roman" w:hAnsi="Arial" w:cs="Arial"/>
          <w:color w:val="000000"/>
          <w:sz w:val="22"/>
          <w:szCs w:val="24"/>
          <w:lang w:val="es-CO" w:eastAsia="es-ES_tradnl"/>
        </w:rPr>
      </w:pPr>
      <w:r w:rsidRPr="00577FDB">
        <w:rPr>
          <w:rFonts w:ascii="Arial" w:eastAsia="Times New Roman" w:hAnsi="Arial" w:cs="Arial"/>
          <w:color w:val="000000"/>
          <w:sz w:val="22"/>
          <w:szCs w:val="24"/>
          <w:lang w:val="es-CO" w:eastAsia="es-ES_tradnl"/>
        </w:rPr>
        <w:t xml:space="preserve"> Para los contratos de obra pública y de interventoría, lo anterior significa que al aplicar dichos criterios de calificación con puntos dentro del procedimiento contractual, las entidades estatales deben servirse de la información contenida en el Registro y de las actualizaciones de dicha información que se reporten por parte de la Contraloría General de la República y de las entidades estatales, conforme lo establece el artículo 3 de la Ley 2020 de 2020. </w:t>
      </w:r>
      <w:r w:rsidRPr="00577FDB">
        <w:rPr>
          <w:rFonts w:ascii="Arial" w:eastAsia="Calibri" w:hAnsi="Arial" w:cs="Arial"/>
          <w:sz w:val="22"/>
        </w:rPr>
        <w:t>En este contexto, las entidades deberán examinar la particularidad de la anotación y determinar si ésta afectará la ponderación al momento de realizar la respectiva evaluación.</w:t>
      </w:r>
    </w:p>
    <w:p w14:paraId="456E3BCB" w14:textId="77777777" w:rsidR="00577FDB" w:rsidRPr="00577FDB" w:rsidRDefault="00577FDB" w:rsidP="00577FDB">
      <w:pPr>
        <w:spacing w:before="120" w:after="0"/>
        <w:ind w:firstLine="709"/>
        <w:rPr>
          <w:rFonts w:ascii="Arial" w:eastAsia="Times New Roman" w:hAnsi="Arial" w:cs="Arial"/>
          <w:color w:val="000000"/>
          <w:sz w:val="22"/>
          <w:szCs w:val="24"/>
          <w:lang w:eastAsia="es-ES_tradnl"/>
        </w:rPr>
      </w:pPr>
      <w:r w:rsidRPr="00577FDB">
        <w:rPr>
          <w:rFonts w:ascii="Arial" w:eastAsia="Times New Roman" w:hAnsi="Arial" w:cs="Arial"/>
          <w:color w:val="000000"/>
          <w:sz w:val="22"/>
          <w:szCs w:val="24"/>
          <w:lang w:val="es-CO" w:eastAsia="es-ES_tradnl"/>
        </w:rPr>
        <w:lastRenderedPageBreak/>
        <w:t>De esta manera, como las entidades estatales cuentan con discrecionalidad para determinar los criterios de calificación, corresponde a estas definir, en los pliegos de condiciones, los factores de asignación de puntaje y</w:t>
      </w:r>
      <w:r w:rsidRPr="00577FDB">
        <w:rPr>
          <w:rFonts w:ascii="Arial" w:eastAsia="Times New Roman" w:hAnsi="Arial" w:cs="Arial"/>
          <w:color w:val="000000"/>
          <w:sz w:val="22"/>
          <w:szCs w:val="24"/>
          <w:lang w:val="es-ES_tradnl" w:eastAsia="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577FDB">
        <w:rPr>
          <w:rFonts w:ascii="Arial" w:eastAsia="Times New Roman" w:hAnsi="Arial" w:cs="Arial"/>
          <w:color w:val="000000"/>
          <w:sz w:val="22"/>
          <w:szCs w:val="24"/>
          <w:lang w:val="es-CO" w:eastAsia="es-ES_tradnl"/>
        </w:rPr>
        <w:t xml:space="preserve">. Lo anterior, teniendo en cuenta que </w:t>
      </w:r>
      <w:r w:rsidRPr="00577FDB">
        <w:rPr>
          <w:rFonts w:ascii="Arial" w:eastAsia="Times New Roman" w:hAnsi="Arial" w:cs="Arial"/>
          <w:color w:val="000000"/>
          <w:sz w:val="22"/>
          <w:szCs w:val="24"/>
          <w:lang w:eastAsia="es-ES_tradnl"/>
        </w:rPr>
        <w:t xml:space="preserve">la norma no restringió a una metodología específica el análisis y la valoración de estas anotaciones. </w:t>
      </w:r>
    </w:p>
    <w:p w14:paraId="30F8B902" w14:textId="77777777" w:rsidR="00577FDB" w:rsidRPr="00577FDB" w:rsidRDefault="00577FDB" w:rsidP="00577FDB">
      <w:pPr>
        <w:spacing w:before="120" w:after="0"/>
        <w:ind w:firstLine="709"/>
        <w:rPr>
          <w:rFonts w:ascii="Arial" w:eastAsia="Calibri" w:hAnsi="Arial" w:cs="Arial"/>
          <w:color w:val="000000"/>
          <w:sz w:val="22"/>
          <w:szCs w:val="24"/>
          <w:lang w:val="es-ES_tradnl" w:eastAsia="en-GB"/>
        </w:rPr>
      </w:pPr>
      <w:r w:rsidRPr="00577FDB">
        <w:rPr>
          <w:rFonts w:ascii="Arial" w:eastAsia="Times New Roman" w:hAnsi="Arial" w:cs="Arial"/>
          <w:color w:val="000000"/>
          <w:sz w:val="22"/>
          <w:szCs w:val="24"/>
          <w:lang w:val="es-CO" w:eastAsia="es-ES_tradnl"/>
        </w:rPr>
        <w:t>Sin embargo, debe precisarse que l</w:t>
      </w:r>
      <w:r w:rsidRPr="00577FDB">
        <w:rPr>
          <w:rFonts w:ascii="Arial" w:eastAsia="Calibri" w:hAnsi="Arial" w:cs="Arial"/>
          <w:color w:val="000000"/>
          <w:sz w:val="22"/>
          <w:szCs w:val="24"/>
          <w:lang w:val="es-ES_tradnl" w:eastAsia="en-GB"/>
        </w:rPr>
        <w:t>a sola inclusión en el Registro Nacional de Obras Civiles Inconclusas no puede entenderse suficiente para</w:t>
      </w:r>
      <w:r w:rsidRPr="00577FDB">
        <w:rPr>
          <w:rFonts w:ascii="Arial" w:eastAsia="Times New Roman" w:hAnsi="Arial" w:cs="Arial"/>
          <w:color w:val="000000"/>
          <w:sz w:val="22"/>
          <w:szCs w:val="24"/>
          <w:lang w:val="es-CO" w:eastAsia="es-ES_tradnl"/>
        </w:rPr>
        <w:t xml:space="preserve"> afectar la ponderación del factor de calidad del proponente, puesto que la norma establece el deber de la entidad de realizar la consulta y el análisis de la anotación. </w:t>
      </w:r>
      <w:r w:rsidRPr="00577FDB">
        <w:rPr>
          <w:rFonts w:ascii="Arial" w:eastAsia="Calibri" w:hAnsi="Arial" w:cs="Arial"/>
          <w:color w:val="000000"/>
          <w:sz w:val="22"/>
          <w:szCs w:val="24"/>
          <w:lang w:val="es-ES_tradnl" w:eastAsia="en-GB"/>
        </w:rPr>
        <w:t xml:space="preserve">Además, como se expuso, el Registro Nacional de Nacional de Obras Civiles Inconclusas es un sistema </w:t>
      </w:r>
      <w:r w:rsidRPr="00577FDB">
        <w:rPr>
          <w:rFonts w:ascii="Arial" w:eastAsia="Calibri" w:hAnsi="Arial" w:cs="Arial"/>
          <w:color w:val="000000"/>
          <w:sz w:val="22"/>
          <w:szCs w:val="24"/>
          <w:lang w:val="es-CO" w:eastAsia="en-GB"/>
        </w:rPr>
        <w:t xml:space="preserve">que contiene los datos sobre obras inconclusas en todo el territorio nacional, compuesto por la información reportada por las entidades estatales o la información obtenida por la Contraloría General de la República. </w:t>
      </w:r>
      <w:r w:rsidRPr="00577FDB">
        <w:rPr>
          <w:rFonts w:ascii="Arial" w:eastAsia="Calibri" w:hAnsi="Arial" w:cs="Arial"/>
          <w:color w:val="000000"/>
          <w:sz w:val="22"/>
          <w:szCs w:val="24"/>
          <w:lang w:val="es-ES_tradnl" w:eastAsia="en-GB"/>
        </w:rPr>
        <w:t xml:space="preserve">Esto significa que el Registro contiene toda la información necesaria que permita verificar el estado real de dicha obra, entre ellos, datos sobre la identificación del contratista, consultores, interventores y demás personas naturales y/o jurídicas que intervinieron en la planeación y ejecución del proyecto, entre otros. En este sentido, no puede entenderse que la sola inclusión de dicha información tenga incidencia automática </w:t>
      </w:r>
      <w:r w:rsidRPr="00577FDB">
        <w:rPr>
          <w:rFonts w:ascii="Arial" w:eastAsia="Calibri" w:hAnsi="Arial" w:cs="Arial"/>
          <w:color w:val="000000"/>
          <w:sz w:val="22"/>
          <w:lang w:val="es-ES_tradnl" w:eastAsia="en-GB"/>
        </w:rPr>
        <w:t xml:space="preserve">al momento de evaluar los factores de ponderación. Por ello, el artículo 6 dispuso expresamente que las entidades estatales contratantes </w:t>
      </w:r>
      <w:r w:rsidRPr="00577FDB">
        <w:rPr>
          <w:rFonts w:ascii="Arial" w:eastAsia="Times New Roman" w:hAnsi="Arial" w:cs="Arial"/>
          <w:color w:val="000000"/>
          <w:sz w:val="22"/>
          <w:lang w:val="es-CO" w:eastAsia="es-ES_tradnl"/>
        </w:rPr>
        <w:t>«</w:t>
      </w:r>
      <w:r w:rsidRPr="00577FDB">
        <w:rPr>
          <w:rFonts w:ascii="Arial" w:eastAsia="Calibri" w:hAnsi="Arial" w:cs="Arial"/>
          <w:color w:val="000000"/>
          <w:sz w:val="22"/>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Pr="00577FDB">
        <w:rPr>
          <w:rFonts w:ascii="Arial" w:eastAsia="Times New Roman" w:hAnsi="Arial" w:cs="Arial"/>
          <w:color w:val="000000"/>
          <w:sz w:val="22"/>
          <w:lang w:val="es-CO" w:eastAsia="es-ES_tradnl"/>
        </w:rPr>
        <w:t>»</w:t>
      </w:r>
      <w:r w:rsidRPr="00577FDB">
        <w:rPr>
          <w:rFonts w:ascii="Arial" w:eastAsia="Calibri" w:hAnsi="Arial" w:cs="Arial"/>
          <w:color w:val="000000"/>
          <w:sz w:val="22"/>
          <w:lang w:val="es-ES_tradnl" w:eastAsia="en-GB"/>
        </w:rPr>
        <w:t>.</w:t>
      </w:r>
    </w:p>
    <w:p w14:paraId="50DE4888" w14:textId="77777777" w:rsidR="00577FDB" w:rsidRPr="00577FDB" w:rsidRDefault="00577FDB" w:rsidP="00577FDB">
      <w:pPr>
        <w:spacing w:before="120" w:after="0"/>
        <w:ind w:firstLine="709"/>
        <w:rPr>
          <w:rFonts w:ascii="Arial" w:eastAsia="Calibri" w:hAnsi="Arial" w:cs="Arial"/>
          <w:color w:val="000000"/>
          <w:sz w:val="22"/>
          <w:lang w:val="es-ES_tradnl" w:eastAsia="en-GB"/>
        </w:rPr>
      </w:pPr>
      <w:r w:rsidRPr="00577FDB">
        <w:rPr>
          <w:rFonts w:ascii="Arial" w:eastAsia="Times New Roman" w:hAnsi="Arial" w:cs="Arial"/>
          <w:color w:val="000000"/>
          <w:sz w:val="22"/>
          <w:szCs w:val="24"/>
          <w:lang w:val="es-CO" w:eastAsia="es-ES_tradnl"/>
        </w:rPr>
        <w:t xml:space="preserve">Así las cosas, no siempre que el contratista de obra o interventor se encuentre incluido en dicho Registro generará automáticamente una consecuencia en la ponderación de los criterios de evaluación, pues la entidad tiene el deber de </w:t>
      </w:r>
      <w:r w:rsidRPr="00577FDB">
        <w:rPr>
          <w:rFonts w:ascii="Arial" w:eastAsia="Calibri" w:hAnsi="Arial" w:cs="Arial"/>
          <w:color w:val="000000"/>
          <w:sz w:val="22"/>
          <w:lang w:val="es-ES_tradnl" w:eastAsia="en-GB"/>
        </w:rPr>
        <w:t>consultar y analizar las anotaciones vigentes. En todo caso, si se presenta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w:t>
      </w:r>
    </w:p>
    <w:p w14:paraId="7A917C31" w14:textId="77777777" w:rsidR="00577FDB" w:rsidRPr="00577FDB" w:rsidRDefault="00577FDB" w:rsidP="00577FDB">
      <w:pPr>
        <w:spacing w:after="0"/>
        <w:rPr>
          <w:rFonts w:ascii="Arial" w:eastAsia="Calibri" w:hAnsi="Arial" w:cs="Arial"/>
          <w:color w:val="000000"/>
          <w:sz w:val="22"/>
          <w:lang w:val="es-ES_tradnl" w:eastAsia="en-GB"/>
        </w:rPr>
      </w:pPr>
    </w:p>
    <w:p w14:paraId="3A566E7E" w14:textId="77777777" w:rsidR="00577FDB" w:rsidRPr="00577FDB" w:rsidRDefault="00577FDB" w:rsidP="00577FDB">
      <w:pPr>
        <w:spacing w:after="0"/>
        <w:rPr>
          <w:rFonts w:ascii="Arial" w:eastAsia="Times New Roman" w:hAnsi="Arial" w:cs="Arial"/>
          <w:b/>
          <w:color w:val="000000"/>
          <w:sz w:val="22"/>
          <w:szCs w:val="24"/>
          <w:lang w:val="es-CO" w:eastAsia="es-ES_tradnl"/>
        </w:rPr>
      </w:pPr>
      <w:r w:rsidRPr="00577FDB">
        <w:rPr>
          <w:rFonts w:ascii="Arial" w:eastAsia="Times New Roman" w:hAnsi="Arial" w:cs="Arial"/>
          <w:b/>
          <w:color w:val="000000"/>
          <w:sz w:val="22"/>
          <w:szCs w:val="24"/>
          <w:lang w:val="es-CO" w:eastAsia="es-ES_tradnl"/>
        </w:rPr>
        <w:t xml:space="preserve">2.3. Análisis de las anotaciones del Registro Nacional de Obras Civiles Inconclusas en los documentos tipo </w:t>
      </w:r>
    </w:p>
    <w:p w14:paraId="20D9BA02" w14:textId="77777777" w:rsidR="00577FDB" w:rsidRPr="00577FDB" w:rsidRDefault="00577FDB" w:rsidP="00577FDB">
      <w:pPr>
        <w:spacing w:after="0"/>
        <w:rPr>
          <w:rFonts w:ascii="Arial" w:eastAsia="Times New Roman" w:hAnsi="Arial" w:cs="Arial"/>
          <w:b/>
          <w:color w:val="000000"/>
          <w:sz w:val="22"/>
          <w:szCs w:val="24"/>
          <w:lang w:val="es-CO" w:eastAsia="es-ES_tradnl"/>
        </w:rPr>
      </w:pPr>
    </w:p>
    <w:p w14:paraId="5BC19739" w14:textId="77777777" w:rsidR="00577FDB" w:rsidRPr="00577FDB" w:rsidRDefault="00577FDB" w:rsidP="00577FDB">
      <w:pPr>
        <w:spacing w:after="0"/>
        <w:rPr>
          <w:rFonts w:ascii="Arial" w:eastAsia="Times New Roman" w:hAnsi="Arial" w:cs="Arial"/>
          <w:bCs/>
          <w:color w:val="000000"/>
          <w:sz w:val="22"/>
          <w:szCs w:val="24"/>
          <w:lang w:val="es-CO" w:eastAsia="es-ES_tradnl"/>
        </w:rPr>
      </w:pPr>
      <w:r w:rsidRPr="00577FDB">
        <w:rPr>
          <w:rFonts w:ascii="Arial" w:eastAsia="Times New Roman" w:hAnsi="Arial" w:cs="Arial"/>
          <w:bCs/>
          <w:color w:val="000000"/>
          <w:sz w:val="22"/>
          <w:szCs w:val="24"/>
          <w:lang w:val="es-CO" w:eastAsia="es-ES_tradnl"/>
        </w:rPr>
        <w:t>Debido</w:t>
      </w:r>
      <w:r w:rsidRPr="00577FDB">
        <w:rPr>
          <w:rFonts w:ascii="Arial" w:eastAsia="Times New Roman" w:hAnsi="Arial" w:cs="Arial"/>
          <w:b/>
          <w:color w:val="000000"/>
          <w:sz w:val="22"/>
          <w:szCs w:val="24"/>
          <w:lang w:val="es-CO" w:eastAsia="es-ES_tradnl"/>
        </w:rPr>
        <w:t xml:space="preserve"> </w:t>
      </w:r>
      <w:r w:rsidRPr="00577FDB">
        <w:rPr>
          <w:rFonts w:ascii="Arial" w:eastAsia="Times New Roman" w:hAnsi="Arial" w:cs="Arial"/>
          <w:bCs/>
          <w:color w:val="000000"/>
          <w:sz w:val="22"/>
          <w:szCs w:val="24"/>
          <w:lang w:val="es-CO" w:eastAsia="es-ES_tradnl"/>
        </w:rPr>
        <w:t xml:space="preserve">a que la consulta se refiere al descuento del punto en el factor de calidad por el reporte en el Registro Nacional de Obras Civiles Inconclusas, es preciso señalar </w:t>
      </w:r>
      <w:r w:rsidRPr="00577FDB">
        <w:rPr>
          <w:rFonts w:ascii="Arial" w:eastAsia="Times New Roman" w:hAnsi="Arial" w:cs="Arial"/>
          <w:color w:val="000000"/>
          <w:sz w:val="22"/>
          <w:szCs w:val="24"/>
          <w:lang w:val="es-CO" w:eastAsia="es-ES_tradnl"/>
        </w:rPr>
        <w:t xml:space="preserve">la forma en la que esta Agencia determinó en los documentos tipo el cumplimiento del artículo 6 de </w:t>
      </w:r>
      <w:r w:rsidRPr="00577FDB">
        <w:rPr>
          <w:rFonts w:ascii="Arial" w:eastAsia="Times New Roman" w:hAnsi="Arial" w:cs="Arial"/>
          <w:color w:val="000000"/>
          <w:sz w:val="22"/>
          <w:szCs w:val="24"/>
          <w:lang w:val="es-CO" w:eastAsia="es-ES_tradnl"/>
        </w:rPr>
        <w:lastRenderedPageBreak/>
        <w:t xml:space="preserve">la Ley 2020 de 2020, cuya aplicación únicamente se realizará respecto de estos documentos, puesto que, como se indicó, para los proceso de selección de contratación de obra y de interventoría que no resulten obligatorios la aplicación de los documentos tipo, cada entidad estatal tiene la discrecionalidad de determinar, en los pliegos de condiciones, la forma en que se realizará el análisis de las anotaciones vigentes en el Registro Nacional de Obras Civiles Inconclusas al momento de ponderar los criterios de evaluación. </w:t>
      </w:r>
    </w:p>
    <w:p w14:paraId="2CD33DE6" w14:textId="77777777" w:rsidR="00577FDB" w:rsidRPr="00577FDB" w:rsidRDefault="00577FDB" w:rsidP="00577FDB">
      <w:pPr>
        <w:spacing w:before="120" w:after="0"/>
        <w:ind w:firstLine="709"/>
        <w:rPr>
          <w:rFonts w:ascii="Arial" w:eastAsia="Times New Roman" w:hAnsi="Arial" w:cs="Arial"/>
          <w:sz w:val="22"/>
          <w:szCs w:val="24"/>
          <w:lang w:val="es-CO" w:eastAsia="es-ES_tradnl"/>
        </w:rPr>
      </w:pPr>
      <w:r w:rsidRPr="00577FDB">
        <w:rPr>
          <w:rFonts w:ascii="Arial" w:eastAsia="Calibri" w:hAnsi="Arial" w:cs="Arial"/>
          <w:sz w:val="22"/>
        </w:rPr>
        <w:t>Así, de conformidad con las competencias asignadas</w:t>
      </w:r>
      <w:r w:rsidRPr="00577FDB">
        <w:rPr>
          <w:rFonts w:ascii="Arial" w:eastAsia="Times New Roman" w:hAnsi="Arial" w:cs="Arial"/>
          <w:color w:val="000000"/>
          <w:sz w:val="22"/>
          <w:szCs w:val="24"/>
          <w:vertAlign w:val="superscript"/>
          <w:lang w:val="es-CO" w:eastAsia="es-ES_tradnl"/>
        </w:rPr>
        <w:footnoteReference w:id="12"/>
      </w:r>
      <w:r w:rsidRPr="00577FDB">
        <w:rPr>
          <w:rFonts w:ascii="Arial" w:eastAsia="Calibri" w:hAnsi="Arial" w:cs="Arial"/>
          <w:sz w:val="22"/>
        </w:rPr>
        <w:t>,</w:t>
      </w:r>
      <w:r w:rsidRPr="00577FDB">
        <w:rPr>
          <w:rFonts w:ascii="Arial" w:eastAsia="Times New Roman" w:hAnsi="Arial" w:cs="Arial"/>
          <w:sz w:val="22"/>
          <w:szCs w:val="24"/>
          <w:shd w:val="clear" w:color="auto" w:fill="FFFFFF"/>
          <w:lang w:val="es-CO" w:eastAsia="es-ES_tradnl"/>
        </w:rPr>
        <w:t xml:space="preserve"> la Agencia Nacional de Contratación Pública – Colombia Compra Eficiente ha expedido las</w:t>
      </w:r>
      <w:r w:rsidRPr="00577FDB">
        <w:rPr>
          <w:rFonts w:ascii="Arial" w:eastAsia="Times New Roman" w:hAnsi="Arial" w:cs="Arial"/>
          <w:sz w:val="22"/>
          <w:szCs w:val="24"/>
          <w:lang w:val="es-CO" w:eastAsia="es-ES_tradnl"/>
        </w:rPr>
        <w:t xml:space="preserve"> Resoluciones respectivas, mediante las cuales implementa y desarrolla, entre otros, los Documentos Tipo aplicables a los procesos de obra pública de infraestructura de transporte, en las modalidades de licitación pública, selección abreviada de menor cuantía, mínima cuantía e interventoría, así como los Documentos Tipo para los procesos de licitación de obra pública de infraestructura de agua potable y saneamiento básico, interventoría de obra pública de agua potable y saneamiento básico y los de obra pública de infraestructura social</w:t>
      </w:r>
      <w:r w:rsidRPr="00577FDB">
        <w:rPr>
          <w:rFonts w:ascii="Arial" w:eastAsia="Times New Roman" w:hAnsi="Arial" w:cs="Arial"/>
          <w:sz w:val="22"/>
          <w:szCs w:val="24"/>
          <w:vertAlign w:val="superscript"/>
          <w:lang w:val="es-CO" w:eastAsia="es-ES_tradnl"/>
        </w:rPr>
        <w:footnoteReference w:id="13"/>
      </w:r>
      <w:r w:rsidRPr="00577FDB">
        <w:rPr>
          <w:rFonts w:ascii="Arial" w:eastAsia="Times New Roman" w:hAnsi="Arial" w:cs="Arial"/>
          <w:sz w:val="22"/>
          <w:szCs w:val="24"/>
          <w:lang w:val="es-CO" w:eastAsia="es-ES_tradnl"/>
        </w:rPr>
        <w:t xml:space="preserve">. De </w:t>
      </w:r>
      <w:r w:rsidRPr="00577FDB">
        <w:rPr>
          <w:rFonts w:ascii="Arial" w:eastAsia="Times New Roman" w:hAnsi="Arial" w:cs="Arial"/>
          <w:sz w:val="22"/>
          <w:szCs w:val="24"/>
          <w:lang w:val="es-CO" w:eastAsia="es-ES_tradnl"/>
        </w:rPr>
        <w:lastRenderedPageBreak/>
        <w:t>acuerdo con el «Documento Base» de dichos procesos</w:t>
      </w:r>
      <w:r w:rsidRPr="00577FDB">
        <w:rPr>
          <w:rFonts w:ascii="Arial" w:eastAsia="Times New Roman" w:hAnsi="Arial" w:cs="Arial"/>
          <w:sz w:val="22"/>
          <w:szCs w:val="24"/>
          <w:vertAlign w:val="superscript"/>
          <w:lang w:val="es-CO" w:eastAsia="es-ES_tradnl"/>
        </w:rPr>
        <w:footnoteReference w:id="14"/>
      </w:r>
      <w:r w:rsidRPr="00577FDB">
        <w:rPr>
          <w:rFonts w:ascii="Arial" w:eastAsia="Times New Roman" w:hAnsi="Arial" w:cs="Arial"/>
          <w:sz w:val="22"/>
          <w:szCs w:val="24"/>
          <w:lang w:val="es-CO" w:eastAsia="es-ES_tradnl"/>
        </w:rPr>
        <w:t xml:space="preserve">, con excepción de la mínima cuantía, en el numeral 4.2 «Factor de Calidad» se contempló: </w:t>
      </w:r>
    </w:p>
    <w:p w14:paraId="3EFA7260" w14:textId="77777777" w:rsidR="00577FDB" w:rsidRPr="00577FDB" w:rsidRDefault="00577FDB" w:rsidP="00577FDB">
      <w:pPr>
        <w:spacing w:after="0"/>
        <w:ind w:firstLine="709"/>
        <w:rPr>
          <w:rFonts w:ascii="Arial" w:eastAsia="Calibri" w:hAnsi="Arial" w:cs="Arial"/>
          <w:sz w:val="22"/>
        </w:rPr>
      </w:pPr>
    </w:p>
    <w:p w14:paraId="2902B434" w14:textId="77777777" w:rsidR="00577FDB" w:rsidRPr="00577FDB" w:rsidRDefault="00577FDB" w:rsidP="00577FDB">
      <w:pPr>
        <w:tabs>
          <w:tab w:val="left" w:pos="0"/>
        </w:tabs>
        <w:spacing w:after="0" w:line="240" w:lineRule="auto"/>
        <w:ind w:left="709" w:right="709"/>
        <w:rPr>
          <w:rFonts w:ascii="Arial" w:eastAsia="Calibri" w:hAnsi="Arial" w:cs="Arial"/>
          <w:i/>
          <w:iCs/>
          <w:color w:val="000000"/>
          <w:sz w:val="21"/>
          <w:szCs w:val="21"/>
          <w:lang w:val="es-ES_tradnl" w:eastAsia="en-GB"/>
        </w:rPr>
      </w:pPr>
      <w:r w:rsidRPr="00577FDB">
        <w:rPr>
          <w:rFonts w:ascii="Arial" w:eastAsia="Calibri" w:hAnsi="Arial" w:cs="Arial"/>
          <w:color w:val="000000"/>
          <w:sz w:val="21"/>
          <w:szCs w:val="21"/>
          <w:lang w:val="es-ES_tradnl" w:eastAsia="en-GB"/>
        </w:rPr>
        <w:t xml:space="preserve">Las entidades estatales deben </w:t>
      </w:r>
      <w:r w:rsidRPr="00577FDB">
        <w:rPr>
          <w:rFonts w:ascii="Arial" w:eastAsia="Calibri" w:hAnsi="Arial" w:cs="Arial"/>
          <w:bCs/>
          <w:i/>
          <w:iCs/>
          <w:color w:val="000000"/>
          <w:sz w:val="21"/>
          <w:szCs w:val="21"/>
          <w:lang w:val="es-ES_tradnl" w:eastAsia="en-GB"/>
        </w:rPr>
        <w:t>consultar</w:t>
      </w:r>
      <w:r w:rsidRPr="00577FDB">
        <w:rPr>
          <w:rFonts w:ascii="Arial" w:eastAsia="Calibri" w:hAnsi="Arial" w:cs="Arial"/>
          <w:bCs/>
          <w:color w:val="000000"/>
          <w:sz w:val="21"/>
          <w:szCs w:val="21"/>
          <w:lang w:val="es-ES_tradnl" w:eastAsia="en-GB"/>
        </w:rPr>
        <w:t xml:space="preserve"> y </w:t>
      </w:r>
      <w:r w:rsidRPr="00577FDB">
        <w:rPr>
          <w:rFonts w:ascii="Arial" w:eastAsia="Calibri" w:hAnsi="Arial" w:cs="Arial"/>
          <w:bCs/>
          <w:i/>
          <w:iCs/>
          <w:color w:val="000000"/>
          <w:sz w:val="21"/>
          <w:szCs w:val="21"/>
          <w:lang w:val="es-ES_tradnl" w:eastAsia="en-GB"/>
        </w:rPr>
        <w:t>analizar</w:t>
      </w:r>
      <w:r w:rsidRPr="00577FDB">
        <w:rPr>
          <w:rFonts w:ascii="Arial" w:eastAsia="Calibri" w:hAnsi="Arial" w:cs="Arial"/>
          <w:b/>
          <w:color w:val="000000"/>
          <w:sz w:val="21"/>
          <w:szCs w:val="21"/>
          <w:lang w:val="es-ES_tradnl" w:eastAsia="en-GB"/>
        </w:rPr>
        <w:t xml:space="preserve"> </w:t>
      </w:r>
      <w:r w:rsidRPr="00577FDB">
        <w:rPr>
          <w:rFonts w:ascii="Arial" w:eastAsia="Calibri" w:hAnsi="Arial" w:cs="Arial"/>
          <w:color w:val="000000"/>
          <w:sz w:val="21"/>
          <w:szCs w:val="21"/>
          <w:lang w:val="es-ES_tradnl" w:eastAsia="en-GB"/>
        </w:rPr>
        <w:t>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577FDB">
        <w:rPr>
          <w:rFonts w:ascii="Arial" w:eastAsia="Calibri" w:hAnsi="Arial" w:cs="Arial"/>
          <w:color w:val="000000"/>
          <w:sz w:val="21"/>
          <w:szCs w:val="21"/>
          <w:vertAlign w:val="superscript"/>
          <w:lang w:val="es-ES_tradnl" w:eastAsia="en-GB"/>
        </w:rPr>
        <w:footnoteReference w:id="15"/>
      </w:r>
      <w:r w:rsidRPr="00577FDB">
        <w:rPr>
          <w:rFonts w:ascii="Arial" w:eastAsia="Calibri" w:hAnsi="Arial" w:cs="Arial"/>
          <w:color w:val="000000"/>
          <w:sz w:val="21"/>
          <w:szCs w:val="21"/>
          <w:lang w:val="es-ES_tradnl" w:eastAsia="en-GB"/>
        </w:rPr>
        <w:t>. [Énfasis fuera de texto]</w:t>
      </w:r>
    </w:p>
    <w:p w14:paraId="67C7F4DF" w14:textId="77777777" w:rsidR="00577FDB" w:rsidRPr="00577FDB" w:rsidRDefault="00577FDB" w:rsidP="00577FDB">
      <w:pPr>
        <w:spacing w:after="0"/>
        <w:rPr>
          <w:rFonts w:ascii="Arial" w:eastAsia="Calibri" w:hAnsi="Arial" w:cs="Arial"/>
          <w:sz w:val="22"/>
        </w:rPr>
      </w:pPr>
    </w:p>
    <w:p w14:paraId="7D0A01E0" w14:textId="77777777" w:rsidR="00577FDB" w:rsidRPr="00577FDB" w:rsidRDefault="00577FDB" w:rsidP="00577FDB">
      <w:pPr>
        <w:spacing w:after="0"/>
        <w:ind w:firstLine="709"/>
        <w:rPr>
          <w:rFonts w:ascii="Arial" w:eastAsia="Calibri" w:hAnsi="Arial" w:cs="Arial"/>
          <w:sz w:val="22"/>
        </w:rPr>
      </w:pPr>
      <w:r w:rsidRPr="00577FDB">
        <w:rPr>
          <w:rFonts w:ascii="Arial" w:eastAsia="Calibri" w:hAnsi="Arial" w:cs="Arial"/>
          <w:sz w:val="22"/>
        </w:rPr>
        <w:t xml:space="preserve">Para comprender íntegramente la forma de aplicación del numeral citado, se revisarán dos temas que a nuestro juicio son esenciales: i) el alcance de los vocablos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consultar y analizar</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 xml:space="preserve"> y </w:t>
      </w:r>
      <w:proofErr w:type="spellStart"/>
      <w:r w:rsidRPr="00577FDB">
        <w:rPr>
          <w:rFonts w:ascii="Arial" w:eastAsia="Calibri" w:hAnsi="Arial" w:cs="Arial"/>
          <w:color w:val="000000"/>
          <w:sz w:val="22"/>
          <w:lang w:val="es-ES_tradnl" w:eastAsia="en-GB"/>
        </w:rPr>
        <w:t>ii</w:t>
      </w:r>
      <w:proofErr w:type="spellEnd"/>
      <w:r w:rsidRPr="00577FDB">
        <w:rPr>
          <w:rFonts w:ascii="Arial" w:eastAsia="Calibri" w:hAnsi="Arial" w:cs="Arial"/>
          <w:color w:val="000000"/>
          <w:sz w:val="22"/>
          <w:lang w:val="es-ES_tradnl" w:eastAsia="en-GB"/>
        </w:rPr>
        <w:t xml:space="preserve">) las anotaciones en el Registro Nacional de Obras Civiles Inconclusas. </w:t>
      </w:r>
    </w:p>
    <w:p w14:paraId="03F6D9AD"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Como punto de partida, es preciso señalar que el inicio del párrafo del documento base, prescribe el deber de las entidades estatales de consultar y analizar las anotaciones vigentes que reposan en el Registro Nacional de Obras Civiles Inconclusas, lo cual guarda coherencia con el artículo 6 de la Ley 2020 de 2020. En efecto, este primer aparte del párrafo de los </w:t>
      </w:r>
      <w:r w:rsidRPr="00577FDB">
        <w:rPr>
          <w:rFonts w:ascii="Arial" w:eastAsia="Times New Roman" w:hAnsi="Arial" w:cs="Arial"/>
          <w:sz w:val="22"/>
          <w:szCs w:val="24"/>
          <w:lang w:val="es-CO" w:eastAsia="es-ES_tradnl"/>
        </w:rPr>
        <w:t>«</w:t>
      </w:r>
      <w:r w:rsidRPr="00577FDB">
        <w:rPr>
          <w:rFonts w:ascii="Arial" w:eastAsia="Calibri" w:hAnsi="Arial" w:cs="Arial"/>
          <w:sz w:val="22"/>
        </w:rPr>
        <w:t>Documentos Base</w:t>
      </w:r>
      <w:r w:rsidRPr="00577FDB">
        <w:rPr>
          <w:rFonts w:ascii="Arial" w:eastAsia="Times New Roman" w:hAnsi="Arial" w:cs="Arial"/>
          <w:sz w:val="22"/>
          <w:szCs w:val="24"/>
          <w:lang w:val="es-CO" w:eastAsia="es-ES_tradnl"/>
        </w:rPr>
        <w:t>»</w:t>
      </w:r>
      <w:r w:rsidRPr="00577FDB">
        <w:rPr>
          <w:rFonts w:ascii="Arial" w:eastAsia="Calibri" w:hAnsi="Arial" w:cs="Arial"/>
          <w:sz w:val="22"/>
        </w:rPr>
        <w:t xml:space="preserve"> es esencialmente una transcripción del inciso primero del artículo 6, el cual dispone que </w:t>
      </w:r>
      <w:r w:rsidRPr="00577FDB">
        <w:rPr>
          <w:rFonts w:ascii="Arial" w:eastAsia="Times New Roman" w:hAnsi="Arial" w:cs="Arial"/>
          <w:sz w:val="22"/>
          <w:szCs w:val="24"/>
          <w:lang w:val="es-CO" w:eastAsia="es-ES_tradnl"/>
        </w:rPr>
        <w:t>«</w:t>
      </w:r>
      <w:r w:rsidRPr="00577FDB">
        <w:rPr>
          <w:rFonts w:ascii="Arial" w:eastAsia="Calibri" w:hAnsi="Arial" w:cs="Arial"/>
          <w:sz w:val="22"/>
        </w:rPr>
        <w:t>En los procesos de contratación de obras públicas que adelanten las entidades estatales contratantes, sin importar la cuantía, deberán</w:t>
      </w:r>
      <w:r w:rsidRPr="00577FDB">
        <w:rPr>
          <w:rFonts w:ascii="Arial" w:eastAsia="Calibri" w:hAnsi="Arial" w:cs="Arial"/>
          <w:b/>
          <w:sz w:val="22"/>
        </w:rPr>
        <w:t xml:space="preserve"> </w:t>
      </w:r>
      <w:r w:rsidRPr="00577FDB">
        <w:rPr>
          <w:rFonts w:ascii="Arial" w:eastAsia="Calibri" w:hAnsi="Arial" w:cs="Arial"/>
          <w:sz w:val="22"/>
        </w:rPr>
        <w:t>consultar y analizar las anotaciones vigentes que presenten las personas naturales o jurídicas, nacionales o extranjeras domiciliadas o con sucursal en Colombia, en el Registro Nacional de Obras Civiles Inconclusas</w:t>
      </w:r>
      <w:r w:rsidRPr="00577FDB">
        <w:rPr>
          <w:rFonts w:ascii="Arial" w:eastAsia="Times New Roman" w:hAnsi="Arial" w:cs="Arial"/>
          <w:sz w:val="22"/>
          <w:szCs w:val="24"/>
          <w:lang w:val="es-CO" w:eastAsia="es-ES_tradnl"/>
        </w:rPr>
        <w:t>»</w:t>
      </w:r>
      <w:r w:rsidRPr="00577FDB">
        <w:rPr>
          <w:rFonts w:ascii="Arial" w:eastAsia="Calibri" w:hAnsi="Arial" w:cs="Arial"/>
          <w:sz w:val="22"/>
        </w:rPr>
        <w:t xml:space="preserve">. Nótese que los términos de </w:t>
      </w:r>
      <w:r w:rsidRPr="00577FDB">
        <w:rPr>
          <w:rFonts w:ascii="Arial" w:eastAsia="Times New Roman" w:hAnsi="Arial" w:cs="Arial"/>
          <w:sz w:val="22"/>
          <w:szCs w:val="24"/>
          <w:lang w:val="es-CO" w:eastAsia="es-ES_tradnl"/>
        </w:rPr>
        <w:t>«</w:t>
      </w:r>
      <w:r w:rsidRPr="00577FDB">
        <w:rPr>
          <w:rFonts w:ascii="Arial" w:eastAsia="Calibri" w:hAnsi="Arial" w:cs="Arial"/>
          <w:sz w:val="22"/>
        </w:rPr>
        <w:t>consultar y analizar</w:t>
      </w:r>
      <w:r w:rsidRPr="00577FDB">
        <w:rPr>
          <w:rFonts w:ascii="Arial" w:eastAsia="Times New Roman" w:hAnsi="Arial" w:cs="Arial"/>
          <w:sz w:val="22"/>
          <w:szCs w:val="24"/>
          <w:lang w:val="es-CO" w:eastAsia="es-ES_tradnl"/>
        </w:rPr>
        <w:t>»</w:t>
      </w:r>
      <w:r w:rsidRPr="00577FDB">
        <w:rPr>
          <w:rFonts w:ascii="Arial" w:eastAsia="Calibri" w:hAnsi="Arial" w:cs="Arial"/>
          <w:sz w:val="22"/>
        </w:rPr>
        <w:t xml:space="preserve">, son empleados tanto en los Documento Base como en la disposición señalada. </w:t>
      </w:r>
    </w:p>
    <w:p w14:paraId="30097985"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Según su significado literal, consultar es </w:t>
      </w:r>
      <w:r w:rsidRPr="00577FDB">
        <w:rPr>
          <w:rFonts w:ascii="Arial" w:eastAsia="Times New Roman" w:hAnsi="Arial" w:cs="Arial"/>
          <w:sz w:val="22"/>
          <w:szCs w:val="24"/>
          <w:lang w:val="es-CO" w:eastAsia="es-ES_tradnl"/>
        </w:rPr>
        <w:t>«</w:t>
      </w:r>
      <w:r w:rsidRPr="00577FDB">
        <w:rPr>
          <w:rFonts w:ascii="Arial" w:eastAsia="Calibri" w:hAnsi="Arial" w:cs="Arial"/>
          <w:sz w:val="22"/>
        </w:rPr>
        <w:t>buscar documentación o datos sobre algún asunto o materia</w:t>
      </w:r>
      <w:r w:rsidRPr="00577FDB">
        <w:rPr>
          <w:rFonts w:ascii="Arial" w:eastAsia="Times New Roman" w:hAnsi="Arial" w:cs="Arial"/>
          <w:sz w:val="22"/>
          <w:szCs w:val="24"/>
          <w:lang w:val="es-CO" w:eastAsia="es-ES_tradnl"/>
        </w:rPr>
        <w:t>»</w:t>
      </w:r>
      <w:r w:rsidRPr="00577FDB">
        <w:rPr>
          <w:rFonts w:ascii="Arial" w:eastAsia="Calibri" w:hAnsi="Arial" w:cs="Arial"/>
          <w:sz w:val="22"/>
          <w:vertAlign w:val="superscript"/>
        </w:rPr>
        <w:footnoteReference w:id="16"/>
      </w:r>
      <w:r w:rsidRPr="00577FDB">
        <w:rPr>
          <w:rFonts w:ascii="Arial" w:eastAsia="Times New Roman" w:hAnsi="Arial" w:cs="Arial"/>
          <w:sz w:val="22"/>
          <w:szCs w:val="24"/>
          <w:lang w:val="es-CO" w:eastAsia="es-ES_tradnl"/>
        </w:rPr>
        <w:t xml:space="preserve"> y analizar </w:t>
      </w:r>
      <w:r w:rsidRPr="00577FDB">
        <w:rPr>
          <w:rFonts w:ascii="Arial" w:eastAsia="Calibri" w:hAnsi="Arial" w:cs="Arial"/>
          <w:sz w:val="22"/>
        </w:rPr>
        <w:t xml:space="preserve">se refiere al </w:t>
      </w:r>
      <w:r w:rsidRPr="00577FDB">
        <w:rPr>
          <w:rFonts w:ascii="Arial" w:eastAsia="Times New Roman" w:hAnsi="Arial" w:cs="Arial"/>
          <w:sz w:val="22"/>
          <w:szCs w:val="24"/>
          <w:lang w:val="es-CO" w:eastAsia="es-ES_tradnl"/>
        </w:rPr>
        <w:t>«</w:t>
      </w:r>
      <w:r w:rsidRPr="00577FDB">
        <w:rPr>
          <w:rFonts w:ascii="Arial" w:eastAsia="Calibri" w:hAnsi="Arial" w:cs="Arial"/>
          <w:sz w:val="22"/>
        </w:rPr>
        <w:t>examen que se hace de una obra, de un escrito o de cualquier realidad susceptible de estudio intelectual</w:t>
      </w:r>
      <w:r w:rsidRPr="00577FDB">
        <w:rPr>
          <w:rFonts w:ascii="Arial" w:eastAsia="Times New Roman" w:hAnsi="Arial" w:cs="Arial"/>
          <w:sz w:val="22"/>
          <w:szCs w:val="24"/>
          <w:lang w:val="es-CO" w:eastAsia="es-ES_tradnl"/>
        </w:rPr>
        <w:t>»</w:t>
      </w:r>
      <w:r w:rsidRPr="00577FDB">
        <w:rPr>
          <w:rFonts w:ascii="Arial" w:eastAsia="Calibri" w:hAnsi="Arial" w:cs="Arial"/>
          <w:sz w:val="22"/>
          <w:vertAlign w:val="superscript"/>
        </w:rPr>
        <w:footnoteReference w:id="17"/>
      </w:r>
      <w:r w:rsidRPr="00577FDB">
        <w:rPr>
          <w:rFonts w:ascii="Arial" w:eastAsia="Calibri" w:hAnsi="Arial" w:cs="Arial"/>
          <w:sz w:val="22"/>
        </w:rPr>
        <w:t xml:space="preserve">. El propósito de estas </w:t>
      </w:r>
      <w:r w:rsidRPr="00577FDB">
        <w:rPr>
          <w:rFonts w:ascii="Arial" w:eastAsia="Calibri" w:hAnsi="Arial" w:cs="Arial"/>
          <w:sz w:val="22"/>
        </w:rPr>
        <w:lastRenderedPageBreak/>
        <w:t xml:space="preserve">expresiones, entonces, es el de realizar un examen minucioso de un asunto, para conocer sus características, factores, naturaleza y demás condiciones necesarias para entender el sentido del objeto de estudio. </w:t>
      </w:r>
    </w:p>
    <w:p w14:paraId="7687BB94"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Estos vocablos revisten especial importancia, pues con base en ese análisis la entidad estatal descontará un punto de la sumatoria obtenida en relación con el factor calidad. En otras palabras, en el evento en que las personas naturales o jurídicas, nacionales o extranjeras domiciliadas o con sucursal en Colombia, o integrantes de proponentes plurales, cuenten con una anotación en dicho registro, le corresponde a la entidad examinar la particularidad de la anotación y determinar si la misma es suficiente para descontar el punto de la sumatoria total en relación con el factor de calidad. Ello encuentra sustento, a su vez, en el desarrollo del trámite legislativo que se surtió en el Congreso de la República, en el cual se incorporó en el artículo 6 de la Ley 2020 de 2020 los vocablos </w:t>
      </w:r>
      <w:r w:rsidRPr="00577FDB">
        <w:rPr>
          <w:rFonts w:ascii="Arial" w:eastAsia="Times New Roman" w:hAnsi="Arial" w:cs="Arial"/>
          <w:sz w:val="22"/>
          <w:szCs w:val="24"/>
          <w:lang w:val="es-CO" w:eastAsia="es-ES_tradnl"/>
        </w:rPr>
        <w:t xml:space="preserve">«consultar y </w:t>
      </w:r>
      <w:r w:rsidRPr="00577FDB">
        <w:rPr>
          <w:rFonts w:ascii="Arial" w:eastAsia="Calibri" w:hAnsi="Arial" w:cs="Arial"/>
          <w:sz w:val="22"/>
        </w:rPr>
        <w:t>analizar</w:t>
      </w:r>
      <w:r w:rsidRPr="00577FDB">
        <w:rPr>
          <w:rFonts w:ascii="Arial" w:eastAsia="Times New Roman" w:hAnsi="Arial" w:cs="Arial"/>
          <w:sz w:val="22"/>
          <w:szCs w:val="24"/>
          <w:lang w:val="es-CO" w:eastAsia="es-ES_tradnl"/>
        </w:rPr>
        <w:t>», en el entendido que «no toda inclusión en el registro es imputable al contratista»</w:t>
      </w:r>
      <w:r w:rsidRPr="00577FDB">
        <w:rPr>
          <w:rFonts w:ascii="Arial" w:eastAsia="Times New Roman" w:hAnsi="Arial" w:cs="Arial"/>
          <w:sz w:val="22"/>
          <w:szCs w:val="24"/>
          <w:vertAlign w:val="superscript"/>
          <w:lang w:val="es-CO" w:eastAsia="es-ES_tradnl"/>
        </w:rPr>
        <w:footnoteReference w:id="18"/>
      </w:r>
      <w:r w:rsidRPr="00577FDB">
        <w:rPr>
          <w:rFonts w:ascii="Arial" w:eastAsia="Times New Roman" w:hAnsi="Arial" w:cs="Arial"/>
          <w:sz w:val="22"/>
          <w:szCs w:val="24"/>
          <w:lang w:val="es-CO" w:eastAsia="es-ES_tradnl"/>
        </w:rPr>
        <w:t xml:space="preserve">. </w:t>
      </w:r>
    </w:p>
    <w:p w14:paraId="50341BEB"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De esta manera, la connotación de las palabras </w:t>
      </w:r>
      <w:r w:rsidRPr="00577FDB">
        <w:rPr>
          <w:rFonts w:ascii="Arial" w:eastAsia="Times New Roman" w:hAnsi="Arial" w:cs="Arial"/>
          <w:sz w:val="22"/>
          <w:szCs w:val="24"/>
          <w:lang w:val="es-CO" w:eastAsia="es-ES_tradnl"/>
        </w:rPr>
        <w:t xml:space="preserve">«consultar y </w:t>
      </w:r>
      <w:r w:rsidRPr="00577FDB">
        <w:rPr>
          <w:rFonts w:ascii="Arial" w:eastAsia="Calibri" w:hAnsi="Arial" w:cs="Arial"/>
          <w:sz w:val="22"/>
        </w:rPr>
        <w:t>analizar</w:t>
      </w:r>
      <w:r w:rsidRPr="00577FDB">
        <w:rPr>
          <w:rFonts w:ascii="Arial" w:eastAsia="Times New Roman" w:hAnsi="Arial" w:cs="Arial"/>
          <w:sz w:val="22"/>
          <w:szCs w:val="24"/>
          <w:lang w:val="es-CO" w:eastAsia="es-ES_tradnl"/>
        </w:rPr>
        <w:t xml:space="preserve">» </w:t>
      </w:r>
      <w:r w:rsidRPr="00577FDB">
        <w:rPr>
          <w:rFonts w:ascii="Arial" w:eastAsia="Calibri" w:hAnsi="Arial" w:cs="Arial"/>
          <w:sz w:val="22"/>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577FDB">
        <w:rPr>
          <w:rFonts w:ascii="Arial" w:eastAsia="Times New Roman" w:hAnsi="Arial" w:cs="Arial"/>
          <w:sz w:val="22"/>
          <w:szCs w:val="24"/>
          <w:lang w:val="es-CO" w:eastAsia="es-ES_tradnl"/>
        </w:rPr>
        <w:t xml:space="preserve">«consultar y </w:t>
      </w:r>
      <w:r w:rsidRPr="00577FDB">
        <w:rPr>
          <w:rFonts w:ascii="Arial" w:eastAsia="Calibri" w:hAnsi="Arial" w:cs="Arial"/>
          <w:sz w:val="22"/>
        </w:rPr>
        <w:t>analizar</w:t>
      </w:r>
      <w:r w:rsidRPr="00577FDB">
        <w:rPr>
          <w:rFonts w:ascii="Arial" w:eastAsia="Times New Roman" w:hAnsi="Arial" w:cs="Arial"/>
          <w:sz w:val="22"/>
          <w:szCs w:val="24"/>
          <w:lang w:val="es-CO" w:eastAsia="es-ES_tradnl"/>
        </w:rPr>
        <w:t>»</w:t>
      </w:r>
      <w:r w:rsidRPr="00577FDB">
        <w:rPr>
          <w:rFonts w:ascii="Arial" w:eastAsia="Calibri" w:hAnsi="Arial" w:cs="Arial"/>
          <w:sz w:val="22"/>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 por lo que este último no puede desligarse del otro y su interpretación debe realizarse en contexto. </w:t>
      </w:r>
    </w:p>
    <w:p w14:paraId="7A1FE9A6"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Bajo estas consideraciones, la interpretación adecuada para lo dispuesto en el Documento Base es que para descontar el punto de 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por razones atribuibles a este, en cuyo caso se descontará el punto. </w:t>
      </w:r>
    </w:p>
    <w:p w14:paraId="355378FF"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Para clarificar el argumento anterior, es pertinente considerar los cambios que tuvo el artículo 6 de la Ley 2020 de 2020 durante el trámite legislativo en el Congreso de la </w:t>
      </w:r>
      <w:r w:rsidRPr="00577FDB">
        <w:rPr>
          <w:rFonts w:ascii="Arial" w:eastAsia="Calibri" w:hAnsi="Arial" w:cs="Arial"/>
          <w:sz w:val="22"/>
        </w:rPr>
        <w:lastRenderedPageBreak/>
        <w:t xml:space="preserve">República, desde la radicación del proyecto hasta su versión final. Esto con el objetivo de evidenciar que el alcance del análisis de las anotaciones en el registro también incluye la verificación de los incumplimientos del contratista respecto de las obras civiles inconclusas. </w:t>
      </w:r>
    </w:p>
    <w:p w14:paraId="5E55937F"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sz w:val="22"/>
        </w:rPr>
        <w:t xml:space="preserve">En la presentación inicial del proyecto de Ley No. 025 de 2018, </w:t>
      </w:r>
      <w:r w:rsidRPr="00577FDB">
        <w:rPr>
          <w:rFonts w:ascii="Arial" w:eastAsia="Times New Roman" w:hAnsi="Arial" w:cs="Arial"/>
          <w:sz w:val="22"/>
          <w:szCs w:val="24"/>
          <w:lang w:val="es-CO" w:eastAsia="es-ES_tradnl"/>
        </w:rPr>
        <w:t>«</w:t>
      </w:r>
      <w:r w:rsidRPr="00577FDB">
        <w:rPr>
          <w:rFonts w:ascii="Arial" w:eastAsia="Calibri" w:hAnsi="Arial" w:cs="Arial"/>
          <w:sz w:val="22"/>
        </w:rPr>
        <w:t>por medio de la cual se crea el registro nacional de obras civiles inconclusas de las entidades estatales y se dictan otras disposiciones</w:t>
      </w:r>
      <w:r w:rsidRPr="00577FDB">
        <w:rPr>
          <w:rFonts w:ascii="Arial" w:eastAsia="Times New Roman" w:hAnsi="Arial" w:cs="Arial"/>
          <w:sz w:val="22"/>
          <w:szCs w:val="24"/>
          <w:lang w:val="es-CO" w:eastAsia="es-ES_tradnl"/>
        </w:rPr>
        <w:t>»</w:t>
      </w:r>
      <w:r w:rsidRPr="00577FDB">
        <w:rPr>
          <w:rFonts w:ascii="Arial" w:eastAsia="Calibri" w:hAnsi="Arial" w:cs="Arial"/>
          <w:sz w:val="22"/>
        </w:rPr>
        <w:t xml:space="preserve">, la redacción del artículo 6 distaba mucho de la versión final de la Ley 2020 de 2020. El texto original no involucraba asuntos relacionados con la contratación pública. La disposición establecía lo siguiente: </w:t>
      </w:r>
    </w:p>
    <w:p w14:paraId="14084635" w14:textId="77777777" w:rsidR="00577FDB" w:rsidRPr="00577FDB" w:rsidRDefault="00577FDB" w:rsidP="00577FDB">
      <w:pPr>
        <w:spacing w:after="0"/>
        <w:ind w:firstLine="709"/>
        <w:rPr>
          <w:rFonts w:ascii="Arial" w:eastAsia="Calibri" w:hAnsi="Arial" w:cs="Arial"/>
          <w:sz w:val="22"/>
        </w:rPr>
      </w:pPr>
    </w:p>
    <w:p w14:paraId="1C7A1548"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128F1D36"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176060FC"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sidRPr="00577FDB">
        <w:rPr>
          <w:rFonts w:ascii="Arial" w:eastAsia="Calibri" w:hAnsi="Arial" w:cs="Arial"/>
          <w:sz w:val="22"/>
          <w:vertAlign w:val="superscript"/>
        </w:rPr>
        <w:footnoteReference w:id="19"/>
      </w:r>
    </w:p>
    <w:p w14:paraId="67755825" w14:textId="77777777" w:rsidR="00577FDB" w:rsidRPr="00577FDB" w:rsidRDefault="00577FDB" w:rsidP="00577FDB">
      <w:pPr>
        <w:spacing w:after="0"/>
        <w:ind w:firstLine="709"/>
        <w:rPr>
          <w:rFonts w:ascii="Arial" w:eastAsia="Calibri" w:hAnsi="Arial" w:cs="Arial"/>
          <w:sz w:val="22"/>
        </w:rPr>
      </w:pPr>
    </w:p>
    <w:p w14:paraId="1BC370EA" w14:textId="77777777" w:rsidR="00577FDB" w:rsidRPr="00577FDB" w:rsidRDefault="00577FDB" w:rsidP="00577FDB">
      <w:pPr>
        <w:spacing w:after="0"/>
        <w:ind w:firstLine="709"/>
        <w:rPr>
          <w:rFonts w:ascii="Arial" w:eastAsia="Calibri" w:hAnsi="Arial" w:cs="Arial"/>
          <w:color w:val="000000"/>
          <w:sz w:val="22"/>
          <w:lang w:val="es-ES_tradnl" w:eastAsia="en-GB"/>
        </w:rPr>
      </w:pPr>
      <w:r w:rsidRPr="00577FDB">
        <w:rPr>
          <w:rFonts w:ascii="Arial" w:eastAsia="Calibri" w:hAnsi="Arial" w:cs="Arial"/>
          <w:sz w:val="22"/>
        </w:rPr>
        <w:t xml:space="preserve">Como se observa, el enfoque de esta redacción se caracterizó por determinar un Registro a nivel territorial de obras civiles inconclusas que se incorporaran en al Registro Nacional de Obras Inconclusas. Además, establecía al </w:t>
      </w:r>
      <w:r w:rsidRPr="00577FDB">
        <w:rPr>
          <w:rFonts w:ascii="Arial" w:eastAsia="Calibri" w:hAnsi="Arial" w:cs="Arial"/>
          <w:color w:val="000000"/>
          <w:sz w:val="22"/>
          <w:lang w:val="es-ES_tradnl" w:eastAsia="en-GB"/>
        </w:rPr>
        <w:t xml:space="preserve">Departamento Nacional de Planeación, como la entidad encargada de consolidar la información suministrada por las entidades estatales. </w:t>
      </w:r>
    </w:p>
    <w:p w14:paraId="33CF82F2" w14:textId="77777777" w:rsidR="00577FDB" w:rsidRPr="00577FDB" w:rsidRDefault="00577FDB" w:rsidP="00577FDB">
      <w:pPr>
        <w:spacing w:before="120" w:after="0"/>
        <w:ind w:firstLine="709"/>
        <w:rPr>
          <w:rFonts w:ascii="Arial" w:eastAsia="Calibri" w:hAnsi="Arial" w:cs="Arial"/>
          <w:color w:val="000000"/>
          <w:sz w:val="22"/>
          <w:lang w:val="es-ES_tradnl" w:eastAsia="en-GB"/>
        </w:rPr>
      </w:pPr>
      <w:r w:rsidRPr="00577FDB">
        <w:rPr>
          <w:rFonts w:ascii="Arial" w:eastAsia="Calibri" w:hAnsi="Arial" w:cs="Arial"/>
          <w:color w:val="000000"/>
          <w:sz w:val="22"/>
          <w:lang w:val="es-ES_tradnl" w:eastAsia="en-GB"/>
        </w:rPr>
        <w:t xml:space="preserve">Posteriormente, la modificación del artículo supuso la inclusión de una obligación a cargo de las entidades estatales en su parágrafo segundo. Según esta versión,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 xml:space="preserve">Las entidades de las que trata la presente ley, tendrán la obligación de consultar el registro de obras inconclusas antes de contratar obras públicas, con el fin de observar si los contratistas </w:t>
      </w:r>
      <w:r w:rsidRPr="00577FDB">
        <w:rPr>
          <w:rFonts w:ascii="Arial" w:eastAsia="Calibri" w:hAnsi="Arial" w:cs="Arial"/>
          <w:color w:val="000000"/>
          <w:sz w:val="22"/>
          <w:lang w:val="es-ES_tradnl" w:eastAsia="en-GB"/>
        </w:rPr>
        <w:lastRenderedPageBreak/>
        <w:t>licitantes tienen antecedentes de incumplimiento</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vertAlign w:val="superscript"/>
          <w:lang w:val="es-ES_tradnl" w:eastAsia="en-GB"/>
        </w:rPr>
        <w:footnoteReference w:id="20"/>
      </w:r>
      <w:r w:rsidRPr="00577FDB">
        <w:rPr>
          <w:rFonts w:ascii="Arial" w:eastAsia="Calibri" w:hAnsi="Arial" w:cs="Arial"/>
          <w:color w:val="000000"/>
          <w:sz w:val="22"/>
          <w:lang w:val="es-ES_tradnl" w:eastAsia="en-GB"/>
        </w:rPr>
        <w:t xml:space="preserve">. Esta glosa comprende dos términos claves,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consultar</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 xml:space="preserve"> e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incumplimiento</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 Así, antes de contratar obras públicas, las entidades debían consultar los incumplimientos de los contratistas en el registro, pero no se estableció ninguna consecuencia jurídica. En el trámite legislativo, el parágrafo segundo del artículo 6 cambió radicalmente. Este aparte dispuso</w:t>
      </w:r>
      <w:r w:rsidRPr="00577FDB">
        <w:rPr>
          <w:rFonts w:ascii="Arial" w:eastAsia="Calibri" w:hAnsi="Arial" w:cs="Arial"/>
          <w:color w:val="000000"/>
          <w:sz w:val="22"/>
          <w:vertAlign w:val="superscript"/>
          <w:lang w:val="es-ES_tradnl" w:eastAsia="en-GB"/>
        </w:rPr>
        <w:footnoteReference w:id="21"/>
      </w:r>
      <w:r w:rsidRPr="00577FDB">
        <w:rPr>
          <w:rFonts w:ascii="Arial" w:eastAsia="Calibri" w:hAnsi="Arial" w:cs="Arial"/>
          <w:color w:val="000000"/>
          <w:sz w:val="22"/>
          <w:lang w:val="es-ES_tradnl" w:eastAsia="en-GB"/>
        </w:rPr>
        <w:t>:</w:t>
      </w:r>
    </w:p>
    <w:p w14:paraId="3ADF51C2" w14:textId="77777777" w:rsidR="00577FDB" w:rsidRPr="00577FDB" w:rsidRDefault="00577FDB" w:rsidP="00577FDB">
      <w:pPr>
        <w:spacing w:after="0"/>
        <w:ind w:firstLine="709"/>
        <w:rPr>
          <w:rFonts w:ascii="Arial" w:eastAsia="Calibri" w:hAnsi="Arial" w:cs="Arial"/>
          <w:color w:val="000000"/>
          <w:sz w:val="22"/>
          <w:lang w:val="es-ES_tradnl" w:eastAsia="en-GB"/>
        </w:rPr>
      </w:pPr>
    </w:p>
    <w:p w14:paraId="24506322"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3AF7D928"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La entidad contratante tendrá en cuenta el</w:t>
      </w:r>
      <w:r w:rsidRPr="00577FDB">
        <w:rPr>
          <w:rFonts w:ascii="Arial" w:eastAsia="Calibri" w:hAnsi="Arial" w:cs="Arial"/>
          <w:b/>
          <w:color w:val="000000"/>
          <w:sz w:val="21"/>
          <w:szCs w:val="21"/>
          <w:lang w:val="es-ES_tradnl" w:eastAsia="en-GB"/>
        </w:rPr>
        <w:t xml:space="preserve"> </w:t>
      </w:r>
      <w:r w:rsidRPr="00577FDB">
        <w:rPr>
          <w:rFonts w:ascii="Arial" w:eastAsia="Calibri" w:hAnsi="Arial" w:cs="Arial"/>
          <w:bCs/>
          <w:i/>
          <w:iCs/>
          <w:color w:val="000000"/>
          <w:sz w:val="21"/>
          <w:szCs w:val="21"/>
          <w:lang w:val="es-ES_tradnl" w:eastAsia="en-GB"/>
        </w:rPr>
        <w:t>cumplimiento</w:t>
      </w:r>
      <w:r w:rsidRPr="00577FDB">
        <w:rPr>
          <w:rFonts w:ascii="Arial" w:eastAsia="Calibri" w:hAnsi="Arial" w:cs="Arial"/>
          <w:color w:val="000000"/>
          <w:sz w:val="21"/>
          <w:szCs w:val="21"/>
          <w:lang w:val="es-ES_tradnl" w:eastAsia="en-GB"/>
        </w:rPr>
        <w:t xml:space="preserve"> de los contratistas licitantes, reflejado en el certificado allegado por los mismos y </w:t>
      </w:r>
      <w:r w:rsidRPr="00577FDB">
        <w:rPr>
          <w:rFonts w:ascii="Arial" w:eastAsia="Calibri" w:hAnsi="Arial" w:cs="Arial"/>
          <w:bCs/>
          <w:i/>
          <w:iCs/>
          <w:color w:val="000000"/>
          <w:sz w:val="21"/>
          <w:szCs w:val="21"/>
          <w:lang w:val="es-ES_tradnl" w:eastAsia="en-GB"/>
        </w:rPr>
        <w:t>evaluarán</w:t>
      </w:r>
      <w:r w:rsidRPr="00577FDB">
        <w:rPr>
          <w:rFonts w:ascii="Arial" w:eastAsia="Calibri" w:hAnsi="Arial" w:cs="Arial"/>
          <w:color w:val="000000"/>
          <w:sz w:val="21"/>
          <w:szCs w:val="21"/>
          <w:lang w:val="es-ES_tradnl" w:eastAsia="en-GB"/>
        </w:rPr>
        <w:t xml:space="preserve"> sus antecedentes </w:t>
      </w:r>
      <w:proofErr w:type="gramStart"/>
      <w:r w:rsidRPr="00577FDB">
        <w:rPr>
          <w:rFonts w:ascii="Arial" w:eastAsia="Calibri" w:hAnsi="Arial" w:cs="Arial"/>
          <w:color w:val="000000"/>
          <w:sz w:val="21"/>
          <w:szCs w:val="21"/>
          <w:lang w:val="es-ES_tradnl" w:eastAsia="en-GB"/>
        </w:rPr>
        <w:t>de acuerdo a</w:t>
      </w:r>
      <w:proofErr w:type="gramEnd"/>
      <w:r w:rsidRPr="00577FDB">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5152AA26"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 xml:space="preserve">El Ministerio de Hacienda y Crédito Público en un término de (6) meses contados a partir de la </w:t>
      </w:r>
      <w:proofErr w:type="gramStart"/>
      <w:r w:rsidRPr="00577FDB">
        <w:rPr>
          <w:rFonts w:ascii="Arial" w:eastAsia="Calibri" w:hAnsi="Arial" w:cs="Arial"/>
          <w:color w:val="000000"/>
          <w:sz w:val="21"/>
          <w:szCs w:val="21"/>
          <w:lang w:val="es-ES_tradnl" w:eastAsia="en-GB"/>
        </w:rPr>
        <w:t>entrada en vigencia</w:t>
      </w:r>
      <w:proofErr w:type="gramEnd"/>
      <w:r w:rsidRPr="00577FDB">
        <w:rPr>
          <w:rFonts w:ascii="Arial" w:eastAsia="Calibri" w:hAnsi="Arial" w:cs="Arial"/>
          <w:color w:val="000000"/>
          <w:sz w:val="21"/>
          <w:szCs w:val="21"/>
          <w:lang w:val="es-ES_tradnl" w:eastAsia="en-GB"/>
        </w:rPr>
        <w:t xml:space="preserve"> de la presente ley, reglamentará la tarifa a cobrar por el certificado. (Énfasis fuera de texto)</w:t>
      </w:r>
    </w:p>
    <w:p w14:paraId="6B564CBE" w14:textId="77777777" w:rsidR="00577FDB" w:rsidRPr="00577FDB" w:rsidRDefault="00577FDB" w:rsidP="00577FDB">
      <w:pPr>
        <w:spacing w:after="0"/>
        <w:ind w:firstLine="709"/>
        <w:rPr>
          <w:rFonts w:ascii="Arial" w:eastAsia="Calibri" w:hAnsi="Arial" w:cs="Arial"/>
          <w:color w:val="000000"/>
          <w:sz w:val="22"/>
          <w:lang w:val="es-ES_tradnl" w:eastAsia="en-GB"/>
        </w:rPr>
      </w:pPr>
    </w:p>
    <w:p w14:paraId="68CB062A" w14:textId="77777777" w:rsidR="00577FDB" w:rsidRPr="00577FDB" w:rsidRDefault="00577FDB" w:rsidP="00577FDB">
      <w:pPr>
        <w:spacing w:after="0"/>
        <w:ind w:firstLine="709"/>
        <w:rPr>
          <w:rFonts w:ascii="Arial" w:eastAsia="Calibri" w:hAnsi="Arial" w:cs="Arial"/>
          <w:color w:val="000000"/>
          <w:sz w:val="22"/>
          <w:lang w:val="es-ES_tradnl" w:eastAsia="en-GB"/>
        </w:rPr>
      </w:pPr>
      <w:r w:rsidRPr="00577FDB">
        <w:rPr>
          <w:rFonts w:ascii="Arial" w:eastAsia="Calibri" w:hAnsi="Arial" w:cs="Arial"/>
          <w:color w:val="000000"/>
          <w:sz w:val="22"/>
          <w:lang w:val="es-ES_tradnl" w:eastAsia="en-GB"/>
        </w:rPr>
        <w:t xml:space="preserve">De la cita se desprenden tres (3) aspectos que merecen atención. Primero, establece un certificado virtual sobre anotaciones que los contratistas presenten en el registro; segundo, de dicho certificado deberá tenerse en cuenta el cumplimiento de los contratistas; y, por último, se evaluarán los antecedentes del contratista, de acuerdo con la puntuación que se determine. Según se evidencia, nuevamente el cumplimiento del contratista resulta relevante, pues se tendrá en cuenta para la puntuación en la evaluación de la oferta. </w:t>
      </w:r>
    </w:p>
    <w:p w14:paraId="4FB85DE3" w14:textId="77777777" w:rsidR="00577FDB" w:rsidRPr="00577FDB" w:rsidRDefault="00577FDB" w:rsidP="00577FDB">
      <w:pPr>
        <w:spacing w:before="120" w:after="0"/>
        <w:ind w:firstLine="709"/>
        <w:rPr>
          <w:rFonts w:ascii="Arial" w:eastAsia="Calibri" w:hAnsi="Arial" w:cs="Arial"/>
          <w:color w:val="000000"/>
          <w:sz w:val="22"/>
          <w:lang w:val="es-ES_tradnl" w:eastAsia="en-GB"/>
        </w:rPr>
      </w:pPr>
      <w:r w:rsidRPr="00577FDB">
        <w:rPr>
          <w:rFonts w:ascii="Arial" w:eastAsia="Calibri" w:hAnsi="Arial" w:cs="Arial"/>
          <w:color w:val="000000"/>
          <w:sz w:val="22"/>
          <w:lang w:val="es-ES_tradnl" w:eastAsia="en-GB"/>
        </w:rPr>
        <w:t xml:space="preserve">Así, el artículo 6 continúo teniendo modificaciones en el trámite legislativo, en particular, el parágrafo segundo. De esta manera, el texto siguiente eliminó la certificación virtual y, en cambio, determinó que las entidades contratantes en los pliegos de condiciones o sus equivalentes,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 xml:space="preserve">. De igual manera, señaló que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ES_tradnl" w:eastAsia="en-GB"/>
        </w:rPr>
        <w:t xml:space="preserve">Durante los </w:t>
      </w:r>
      <w:r w:rsidRPr="00577FDB">
        <w:rPr>
          <w:rFonts w:ascii="Arial" w:eastAsia="Calibri" w:hAnsi="Arial" w:cs="Arial"/>
          <w:color w:val="000000"/>
          <w:sz w:val="22"/>
          <w:lang w:val="es-ES_tradnl" w:eastAsia="en-GB"/>
        </w:rPr>
        <w:lastRenderedPageBreak/>
        <w:t>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vertAlign w:val="superscript"/>
          <w:lang w:val="es-ES_tradnl" w:eastAsia="en-GB"/>
        </w:rPr>
        <w:footnoteReference w:id="22"/>
      </w:r>
      <w:r w:rsidRPr="00577FDB">
        <w:rPr>
          <w:rFonts w:ascii="Arial" w:eastAsia="Calibri" w:hAnsi="Arial" w:cs="Arial"/>
          <w:color w:val="000000"/>
          <w:sz w:val="22"/>
          <w:lang w:val="es-ES_tradnl" w:eastAsia="en-GB"/>
        </w:rPr>
        <w:t>.</w:t>
      </w:r>
    </w:p>
    <w:p w14:paraId="6EF6A521" w14:textId="77777777" w:rsidR="00577FDB" w:rsidRPr="00577FDB" w:rsidRDefault="00577FDB" w:rsidP="00577FDB">
      <w:pPr>
        <w:spacing w:before="120" w:after="0"/>
        <w:ind w:firstLine="709"/>
        <w:rPr>
          <w:rFonts w:ascii="Arial" w:eastAsia="Calibri" w:hAnsi="Arial" w:cs="Arial"/>
          <w:color w:val="000000"/>
          <w:sz w:val="22"/>
          <w:lang w:val="es-ES_tradnl" w:eastAsia="en-GB"/>
        </w:rPr>
      </w:pPr>
      <w:r w:rsidRPr="00577FDB">
        <w:rPr>
          <w:rFonts w:ascii="Arial" w:eastAsia="Calibri" w:hAnsi="Arial" w:cs="Arial"/>
          <w:color w:val="000000"/>
          <w:sz w:val="22"/>
          <w:lang w:val="es-ES_tradnl" w:eastAsia="en-GB"/>
        </w:rPr>
        <w:t xml:space="preserve">Como se evidencia, la versión en este punto se centró en las anotaciones que presenten las personas naturales o jurídicas, nacionales o extranjeras domiciliadas o con sucursal en Colombia en el Registro Nacional de Obras Civiles Inconclusas. La consecuencia jurídica era aparentemente clara, por cada anotación se descontaría 3% de los puntos en los factores de ponderación de calidad. No obstante, lo expuesto no se consideró suficiente, por lo que en momentos posteriores del trámite legislativo el artículo fue modificado completamente. De esta manera, se eliminaron los parágrafos y el artículo quedó compuesto por dos párrafos, de la siguiente manera: </w:t>
      </w:r>
    </w:p>
    <w:p w14:paraId="0729D0C3" w14:textId="77777777" w:rsidR="00577FDB" w:rsidRPr="00577FDB" w:rsidRDefault="00577FDB" w:rsidP="00577FDB">
      <w:pPr>
        <w:spacing w:after="0"/>
        <w:ind w:firstLine="709"/>
        <w:rPr>
          <w:rFonts w:ascii="Arial" w:eastAsia="Calibri" w:hAnsi="Arial" w:cs="Arial"/>
          <w:color w:val="000000"/>
          <w:sz w:val="22"/>
          <w:lang w:val="es-ES_tradnl" w:eastAsia="en-GB"/>
        </w:rPr>
      </w:pPr>
    </w:p>
    <w:p w14:paraId="6A3A805C" w14:textId="77777777" w:rsidR="00577FDB" w:rsidRPr="00577FDB" w:rsidRDefault="00577FDB" w:rsidP="00577FDB">
      <w:pPr>
        <w:tabs>
          <w:tab w:val="left" w:pos="0"/>
        </w:tabs>
        <w:spacing w:after="12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615B3A1D" w14:textId="77777777" w:rsidR="00577FDB" w:rsidRPr="00577FDB" w:rsidRDefault="00577FDB" w:rsidP="00577FDB">
      <w:pPr>
        <w:tabs>
          <w:tab w:val="left" w:pos="0"/>
        </w:tabs>
        <w:spacing w:after="0" w:line="240" w:lineRule="auto"/>
        <w:ind w:left="709" w:right="709"/>
        <w:rPr>
          <w:rFonts w:ascii="Arial" w:eastAsia="Calibri" w:hAnsi="Arial" w:cs="Arial"/>
          <w:color w:val="000000"/>
          <w:sz w:val="21"/>
          <w:szCs w:val="21"/>
          <w:lang w:val="es-ES_tradnl" w:eastAsia="en-GB"/>
        </w:rPr>
      </w:pPr>
      <w:r w:rsidRPr="00577FDB">
        <w:rPr>
          <w:rFonts w:ascii="Arial" w:eastAsia="Calibri" w:hAnsi="Arial" w:cs="Arial"/>
          <w:color w:val="000000"/>
          <w:sz w:val="21"/>
          <w:szCs w:val="21"/>
          <w:lang w:val="es-ES_tradnl" w:eastAsia="en-GB"/>
        </w:rPr>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sidRPr="00577FDB">
        <w:rPr>
          <w:rFonts w:ascii="Arial" w:eastAsia="Calibri" w:hAnsi="Arial" w:cs="Arial"/>
          <w:color w:val="000000"/>
          <w:sz w:val="22"/>
          <w:vertAlign w:val="superscript"/>
          <w:lang w:val="es-ES_tradnl" w:eastAsia="en-GB"/>
        </w:rPr>
        <w:footnoteReference w:id="23"/>
      </w:r>
      <w:r w:rsidRPr="00577FDB">
        <w:rPr>
          <w:rFonts w:ascii="Arial" w:eastAsia="Calibri" w:hAnsi="Arial" w:cs="Arial"/>
          <w:color w:val="000000"/>
          <w:sz w:val="21"/>
          <w:szCs w:val="21"/>
          <w:lang w:val="es-ES_tradnl" w:eastAsia="en-GB"/>
        </w:rPr>
        <w:t>.</w:t>
      </w:r>
    </w:p>
    <w:p w14:paraId="03D14B92" w14:textId="77777777" w:rsidR="00577FDB" w:rsidRPr="00577FDB" w:rsidRDefault="00577FDB" w:rsidP="00577FDB">
      <w:pPr>
        <w:tabs>
          <w:tab w:val="left" w:pos="0"/>
        </w:tabs>
        <w:spacing w:after="0"/>
        <w:ind w:left="709" w:right="709"/>
        <w:rPr>
          <w:rFonts w:ascii="Arial" w:eastAsia="Calibri" w:hAnsi="Arial" w:cs="Arial"/>
          <w:color w:val="000000"/>
          <w:sz w:val="21"/>
          <w:szCs w:val="21"/>
          <w:lang w:val="es-ES_tradnl" w:eastAsia="en-GB"/>
        </w:rPr>
      </w:pPr>
    </w:p>
    <w:p w14:paraId="0F4CDC23" w14:textId="77777777" w:rsidR="00577FDB" w:rsidRPr="00577FDB" w:rsidRDefault="00577FDB" w:rsidP="00577FDB">
      <w:pPr>
        <w:spacing w:after="0"/>
        <w:ind w:firstLine="709"/>
        <w:rPr>
          <w:rFonts w:ascii="Arial" w:eastAsia="Calibri" w:hAnsi="Arial" w:cs="Arial"/>
          <w:color w:val="000000"/>
          <w:sz w:val="22"/>
          <w:lang w:val="es-ES_tradnl" w:eastAsia="en-GB"/>
        </w:rPr>
      </w:pPr>
      <w:r w:rsidRPr="00577FDB">
        <w:rPr>
          <w:rFonts w:ascii="Arial" w:eastAsia="Calibri" w:hAnsi="Arial" w:cs="Arial"/>
          <w:color w:val="000000"/>
          <w:sz w:val="22"/>
          <w:lang w:val="es-ES_tradnl" w:eastAsia="en-GB"/>
        </w:rPr>
        <w:t xml:space="preserve">En esta versión se incluyeron los vocablos </w:t>
      </w:r>
      <w:r w:rsidRPr="00577FDB">
        <w:rPr>
          <w:rFonts w:ascii="Arial" w:eastAsia="Times New Roman" w:hAnsi="Arial" w:cs="Arial"/>
          <w:sz w:val="22"/>
          <w:lang w:val="es-CO" w:eastAsia="es-ES_tradnl"/>
        </w:rPr>
        <w:t>«</w:t>
      </w:r>
      <w:r w:rsidRPr="00577FDB">
        <w:rPr>
          <w:rFonts w:ascii="Arial" w:eastAsia="Calibri" w:hAnsi="Arial" w:cs="Arial"/>
          <w:color w:val="000000"/>
          <w:sz w:val="22"/>
          <w:lang w:val="es-ES_tradnl" w:eastAsia="en-GB"/>
        </w:rPr>
        <w:t>consultar y analizar</w:t>
      </w:r>
      <w:r w:rsidRPr="00577FDB">
        <w:rPr>
          <w:rFonts w:ascii="Arial" w:eastAsia="Times New Roman" w:hAnsi="Arial" w:cs="Arial"/>
          <w:sz w:val="22"/>
          <w:lang w:val="es-CO" w:eastAsia="es-ES_tradnl"/>
        </w:rPr>
        <w:t xml:space="preserve">» para efectos de las anotaciones </w:t>
      </w:r>
      <w:r w:rsidRPr="00577FDB">
        <w:rPr>
          <w:rFonts w:ascii="Arial" w:eastAsia="Calibri" w:hAnsi="Arial" w:cs="Arial"/>
          <w:color w:val="000000"/>
          <w:sz w:val="22"/>
          <w:lang w:val="es-ES_tradnl" w:eastAsia="en-GB"/>
        </w:rPr>
        <w:t xml:space="preserve">vigentes que presenten las personas naturales o jurídicas, nacionales o extranjeras domiciliadas o con sucursal en Colombia, en el Registro Nacional de Obras Civiles Inconclusas. Se resalta la consecuencia que le atribuye el artículo a las anotaciones en el Registro. De esta manera, el descuento de hasta 3% de los puntos en los factores de ponderación se realiza si la anotación es por causas imputables a ellos. </w:t>
      </w:r>
    </w:p>
    <w:p w14:paraId="12A5D1C1" w14:textId="77777777" w:rsidR="00577FDB" w:rsidRPr="00577FDB" w:rsidRDefault="00577FDB" w:rsidP="00577FDB">
      <w:pPr>
        <w:spacing w:before="120" w:after="0"/>
        <w:ind w:firstLine="709"/>
        <w:rPr>
          <w:rFonts w:ascii="Arial" w:eastAsia="Calibri" w:hAnsi="Arial" w:cs="Arial"/>
          <w:color w:val="000000"/>
          <w:sz w:val="22"/>
          <w:lang w:val="es-CO" w:eastAsia="en-GB"/>
        </w:rPr>
      </w:pPr>
      <w:r w:rsidRPr="00577FDB">
        <w:rPr>
          <w:rFonts w:ascii="Arial" w:eastAsia="Calibri" w:hAnsi="Arial" w:cs="Arial"/>
          <w:color w:val="000000"/>
          <w:sz w:val="22"/>
          <w:lang w:val="es-ES_tradnl" w:eastAsia="en-GB"/>
        </w:rPr>
        <w:t xml:space="preserve">Vale la pena destacar los comentarios que se realizaron en esta ponencia, en relación con la modificación efectuada. Según se indicó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CO" w:eastAsia="en-GB"/>
        </w:rPr>
        <w:t xml:space="preserve">Se revisa la viabilidad jurídica de incluir la anotación en el registro como factor a evaluar de conformidad con las previsiones </w:t>
      </w:r>
      <w:r w:rsidRPr="00577FDB">
        <w:rPr>
          <w:rFonts w:ascii="Arial" w:eastAsia="Calibri" w:hAnsi="Arial" w:cs="Arial"/>
          <w:color w:val="000000"/>
          <w:sz w:val="22"/>
          <w:lang w:val="es-CO" w:eastAsia="en-GB"/>
        </w:rPr>
        <w:lastRenderedPageBreak/>
        <w:t>del estatuto contractual y teniendo en cuenta que no toda inclusión en el registro es imputable al contratista y se puede incurrir en vicio de constitucionalidad</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lang w:val="es-CO" w:eastAsia="en-GB"/>
        </w:rPr>
        <w:t>.</w:t>
      </w:r>
    </w:p>
    <w:p w14:paraId="7E6CA4F0" w14:textId="77777777" w:rsidR="00577FDB" w:rsidRPr="00577FDB" w:rsidRDefault="00577FDB" w:rsidP="00577FDB">
      <w:pPr>
        <w:spacing w:before="120" w:after="0"/>
        <w:ind w:firstLine="709"/>
        <w:rPr>
          <w:rFonts w:ascii="Arial" w:eastAsia="Calibri" w:hAnsi="Arial" w:cs="Arial"/>
          <w:sz w:val="22"/>
          <w:lang w:val="es-CO" w:eastAsia="en-GB"/>
        </w:rPr>
      </w:pPr>
      <w:r w:rsidRPr="00577FDB">
        <w:rPr>
          <w:rFonts w:ascii="Arial" w:eastAsia="Calibri" w:hAnsi="Arial" w:cs="Arial"/>
          <w:sz w:val="22"/>
          <w:lang w:val="es-CO" w:eastAsia="en-GB"/>
        </w:rPr>
        <w:t xml:space="preserve">De lo expuesto puede concluirse lo siguiente: i) para el legislador es claro que  no toda anotación en el Registro Nacional de Obras Civiles Inconclusa corresponde a una causa atribuible al contratista; </w:t>
      </w:r>
      <w:proofErr w:type="spellStart"/>
      <w:r w:rsidRPr="00577FDB">
        <w:rPr>
          <w:rFonts w:ascii="Arial" w:eastAsia="Calibri" w:hAnsi="Arial" w:cs="Arial"/>
          <w:sz w:val="22"/>
          <w:lang w:val="es-CO" w:eastAsia="en-GB"/>
        </w:rPr>
        <w:t>ii</w:t>
      </w:r>
      <w:proofErr w:type="spellEnd"/>
      <w:r w:rsidRPr="00577FDB">
        <w:rPr>
          <w:rFonts w:ascii="Arial" w:eastAsia="Calibri" w:hAnsi="Arial" w:cs="Arial"/>
          <w:sz w:val="22"/>
          <w:lang w:val="es-CO" w:eastAsia="en-GB"/>
        </w:rPr>
        <w:t xml:space="preserve">) en los procesos de contratación de obras públicas, concretamente, para la selección de contratistas de obra o interventores, que adelanten las entidades estatales contratantes, las anotaciones en el registro deberán consultarse y analizarse; y </w:t>
      </w:r>
      <w:proofErr w:type="spellStart"/>
      <w:r w:rsidRPr="00577FDB">
        <w:rPr>
          <w:rFonts w:ascii="Arial" w:eastAsia="Calibri" w:hAnsi="Arial" w:cs="Arial"/>
          <w:sz w:val="22"/>
          <w:lang w:val="es-CO" w:eastAsia="en-GB"/>
        </w:rPr>
        <w:t>iii</w:t>
      </w:r>
      <w:proofErr w:type="spellEnd"/>
      <w:r w:rsidRPr="00577FDB">
        <w:rPr>
          <w:rFonts w:ascii="Arial" w:eastAsia="Calibri" w:hAnsi="Arial" w:cs="Arial"/>
          <w:sz w:val="22"/>
          <w:lang w:val="es-CO" w:eastAsia="en-GB"/>
        </w:rPr>
        <w:t xml:space="preserve">) cuando en la anotación se evidencie una causa atribuible al contratista se descontará un porcentaje de los puntos en los factores de ponderación de calidad. Este aspecto guarda coherencia con las diferentes redacciones del artículo 6 en el trámite legislativo, de donde se desprende un especial énfasis en el incumplimiento del contratista. En estos términos, el Registro Nacional de Obras Inconclusas no aplica para los contratos de consultoría, de acuerdo a lo que se deriva de la interpretación literal del artículo 6 de la Ley 2020 de 2020. Por tanto, la obligación aplica a los contratos de obra y de interventoría. Lo anterior, es congruente con el Capítulo IV </w:t>
      </w:r>
      <w:r w:rsidRPr="00577FDB">
        <w:rPr>
          <w:rFonts w:ascii="Arial" w:eastAsia="Times New Roman" w:hAnsi="Arial" w:cs="Arial"/>
          <w:sz w:val="22"/>
          <w:szCs w:val="24"/>
          <w:lang w:val="es-CO" w:eastAsia="es-ES_tradnl"/>
        </w:rPr>
        <w:t xml:space="preserve">«Criterios de evaluación, asignación de puntaje y criterios de desempate» </w:t>
      </w:r>
      <w:r w:rsidRPr="00577FDB">
        <w:rPr>
          <w:rFonts w:ascii="Arial" w:eastAsia="Calibri" w:hAnsi="Arial" w:cs="Arial"/>
          <w:sz w:val="22"/>
          <w:lang w:val="es-CO" w:eastAsia="en-GB"/>
        </w:rPr>
        <w:t xml:space="preserve">del documento base del Documento Tipo adoptado mediante la Resolución 193 del 2021, </w:t>
      </w:r>
      <w:r w:rsidRPr="00577FDB">
        <w:rPr>
          <w:rFonts w:ascii="Arial" w:eastAsia="Times New Roman" w:hAnsi="Arial" w:cs="Arial"/>
          <w:sz w:val="22"/>
          <w:szCs w:val="24"/>
          <w:lang w:val="es-CO" w:eastAsia="es-ES_tradnl"/>
        </w:rPr>
        <w:t>«Por la cual se adoptan los documentos tipo para los procesos de selección de concurso de méritos, para contratar la consultoría de estudios de ingeniería de infraestructura de transporte»</w:t>
      </w:r>
      <w:r w:rsidRPr="00577FDB">
        <w:rPr>
          <w:rFonts w:ascii="Arial" w:eastAsia="Calibri" w:hAnsi="Arial" w:cs="Arial"/>
          <w:sz w:val="22"/>
          <w:lang w:val="es-CO" w:eastAsia="en-GB"/>
        </w:rPr>
        <w:t xml:space="preserve">, pues en dicho capítulo no se desarrolla el deber de </w:t>
      </w:r>
      <w:r w:rsidRPr="00577FDB">
        <w:rPr>
          <w:rFonts w:ascii="Arial" w:eastAsia="Times New Roman" w:hAnsi="Arial" w:cs="Arial"/>
          <w:sz w:val="22"/>
          <w:szCs w:val="24"/>
          <w:lang w:val="es-CO" w:eastAsia="es-ES_tradnl"/>
        </w:rPr>
        <w:t>«</w:t>
      </w:r>
      <w:r w:rsidRPr="00577FDB">
        <w:rPr>
          <w:rFonts w:ascii="Arial" w:eastAsia="Calibri" w:hAnsi="Arial" w:cs="Arial"/>
          <w:sz w:val="22"/>
          <w:lang w:val="es-CO" w:eastAsia="en-GB"/>
        </w:rPr>
        <w:t>consultar y analizar</w:t>
      </w:r>
      <w:r w:rsidRPr="00577FDB">
        <w:rPr>
          <w:rFonts w:ascii="Arial" w:eastAsia="Times New Roman" w:hAnsi="Arial" w:cs="Arial"/>
          <w:sz w:val="22"/>
          <w:szCs w:val="24"/>
          <w:lang w:val="es-CO" w:eastAsia="es-ES_tradnl"/>
        </w:rPr>
        <w:t>»</w:t>
      </w:r>
      <w:r w:rsidRPr="00577FDB">
        <w:rPr>
          <w:rFonts w:ascii="Arial" w:eastAsia="Calibri" w:hAnsi="Arial" w:cs="Arial"/>
          <w:sz w:val="22"/>
          <w:lang w:val="es-CO" w:eastAsia="en-GB"/>
        </w:rPr>
        <w:t xml:space="preserve"> el Registro Nacional de Obras Civiles Inconclusas, de acuerdo a la explicación precedente. </w:t>
      </w:r>
    </w:p>
    <w:p w14:paraId="29008480" w14:textId="77777777" w:rsidR="00577FDB" w:rsidRPr="00577FDB" w:rsidRDefault="00577FDB" w:rsidP="00577FDB">
      <w:pPr>
        <w:spacing w:before="120" w:after="0"/>
        <w:ind w:firstLine="709"/>
        <w:rPr>
          <w:rFonts w:ascii="Arial" w:eastAsia="Calibri" w:hAnsi="Arial" w:cs="Arial"/>
          <w:color w:val="000000"/>
          <w:sz w:val="22"/>
          <w:lang w:val="es-ES_tradnl" w:eastAsia="en-GB"/>
        </w:rPr>
      </w:pPr>
      <w:r w:rsidRPr="00577FDB">
        <w:rPr>
          <w:rFonts w:ascii="Arial" w:eastAsia="Calibri" w:hAnsi="Arial" w:cs="Arial"/>
          <w:color w:val="000000"/>
          <w:sz w:val="22"/>
          <w:lang w:val="es-ES_tradnl" w:eastAsia="en-GB"/>
        </w:rPr>
        <w:t xml:space="preserve">Finalmente, la versión actual del artículo 6 de la Ley 2020 de 2020 conserva el párrafo primero de manera idéntica a la redacción anterior, al tiempo que modificó el párrafo segundo, dejando abierta el método o la forma en la cual se tendrá en cuenta las anotaciones en el registro al momento de evaluar. Además, adicionó un párrafo relacionado con las controversias que surjan respecto de los reportes de la información que suministre la entidad contratante. </w:t>
      </w:r>
    </w:p>
    <w:p w14:paraId="13E7D8FA"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color w:val="000000"/>
          <w:sz w:val="22"/>
          <w:lang w:val="es-ES_tradnl" w:eastAsia="en-GB"/>
        </w:rPr>
        <w:t xml:space="preserve">Por ello, </w:t>
      </w:r>
      <w:bookmarkStart w:id="8" w:name="_Hlk87533626"/>
      <w:r w:rsidRPr="00577FDB">
        <w:rPr>
          <w:rFonts w:ascii="Arial" w:eastAsia="Calibri" w:hAnsi="Arial" w:cs="Arial"/>
          <w:color w:val="000000"/>
          <w:sz w:val="22"/>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577FDB">
        <w:rPr>
          <w:rFonts w:ascii="Arial" w:eastAsia="Calibri" w:hAnsi="Arial" w:cs="Arial"/>
          <w:sz w:val="22"/>
        </w:rPr>
        <w:t xml:space="preserve">si esa anotación se dio por un incumplimiento del contratista, por lo que, dependiendo del supuesto, la entidad descontará el punto. </w:t>
      </w:r>
      <w:bookmarkEnd w:id="8"/>
    </w:p>
    <w:p w14:paraId="407BA452" w14:textId="77777777" w:rsidR="00577FDB" w:rsidRPr="00577FDB" w:rsidRDefault="00577FDB" w:rsidP="00577FDB">
      <w:pPr>
        <w:spacing w:before="120" w:after="0"/>
        <w:ind w:firstLine="709"/>
        <w:rPr>
          <w:rFonts w:ascii="Arial" w:eastAsia="Calibri" w:hAnsi="Arial" w:cs="Arial"/>
          <w:sz w:val="22"/>
        </w:rPr>
      </w:pPr>
      <w:bookmarkStart w:id="9" w:name="_Hlk68164749"/>
      <w:r w:rsidRPr="00577FDB">
        <w:rPr>
          <w:rFonts w:ascii="Arial" w:eastAsia="Times New Roman" w:hAnsi="Arial" w:cs="Arial"/>
          <w:color w:val="000000"/>
          <w:sz w:val="22"/>
          <w:szCs w:val="24"/>
          <w:lang w:val="es-CO" w:eastAsia="es-ES_tradnl"/>
        </w:rPr>
        <w:t xml:space="preserve">Debe precisarse que las anotaciones vigentes en el Registro Nacional de Obras Civiles Inconclusas corresponden a las que reposan en este, teniendo en cuenta las actualizaciones que realice la Contraloría General de la República y las entidades estatales, </w:t>
      </w:r>
      <w:r w:rsidRPr="00577FDB">
        <w:rPr>
          <w:rFonts w:ascii="Arial" w:eastAsia="Times New Roman" w:hAnsi="Arial" w:cs="Arial"/>
          <w:color w:val="000000"/>
          <w:sz w:val="22"/>
          <w:szCs w:val="24"/>
          <w:lang w:val="es-CO" w:eastAsia="es-ES_tradnl"/>
        </w:rPr>
        <w:lastRenderedPageBreak/>
        <w:t xml:space="preserve">conforme al artículo 3 de la Ley 2020 de 2020. </w:t>
      </w:r>
      <w:bookmarkStart w:id="10" w:name="_Hlk70876793"/>
      <w:r w:rsidRPr="00577FDB">
        <w:rPr>
          <w:rFonts w:ascii="Arial" w:eastAsia="Times New Roman" w:hAnsi="Arial" w:cs="Arial"/>
          <w:color w:val="000000"/>
          <w:sz w:val="22"/>
          <w:szCs w:val="24"/>
          <w:lang w:val="es-CO" w:eastAsia="es-ES_tradnl"/>
        </w:rPr>
        <w:t>En tal sentido, para efectos del descuento del puntaje establecido en el documento base, la entidad estatal –al momento de evaluar– deberá consultar y analizar las anotaciones en el registro con sus respectivas actualizaciones, sin perjuicio de que en procesos que no se rijan por documentos tipo exista una regulación distinta respecto a la consecuencia de encontrarse reportado en el registro.</w:t>
      </w:r>
      <w:bookmarkEnd w:id="9"/>
      <w:bookmarkEnd w:id="10"/>
    </w:p>
    <w:p w14:paraId="625BABCA" w14:textId="77777777" w:rsidR="00577FDB" w:rsidRPr="00577FDB" w:rsidRDefault="00577FDB" w:rsidP="00577FDB">
      <w:pPr>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sz w:val="22"/>
        </w:rPr>
        <w:t xml:space="preserve">Teniendo en cuenta lo anterior,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 por lo que las anotaciones incluidas en el Registro Nacional de Obras Civiles inconclusas deben ser </w:t>
      </w:r>
      <w:r w:rsidRPr="00577FDB">
        <w:rPr>
          <w:rFonts w:ascii="Arial" w:eastAsia="Calibri" w:hAnsi="Arial" w:cs="Arial"/>
          <w:i/>
          <w:iCs/>
          <w:sz w:val="22"/>
        </w:rPr>
        <w:t>consultadas y analizadas</w:t>
      </w:r>
      <w:r w:rsidRPr="00577FDB">
        <w:rPr>
          <w:rFonts w:ascii="Arial" w:eastAsia="Calibri" w:hAnsi="Arial" w:cs="Arial"/>
          <w:sz w:val="22"/>
        </w:rPr>
        <w:t xml:space="preserve">. En efecto, como se explicó, la información que reposa en dicho Registro contiene las obras que </w:t>
      </w:r>
      <w:r w:rsidRPr="00577FDB">
        <w:rPr>
          <w:rFonts w:ascii="Arial" w:eastAsia="Calibri" w:hAnsi="Arial" w:cs="Arial"/>
          <w:color w:val="000000"/>
          <w:sz w:val="22"/>
          <w:szCs w:val="24"/>
          <w:lang w:val="es-ES_tradnl" w:eastAsia="en-GB"/>
        </w:rPr>
        <w:t xml:space="preserve">no hayan concluido de manera satisfactoria para el interés general o el definido por la entidad estatal contratante, así como aquellas que no estén prestando el servicio para la cual fue contratada. Este evento, en principio, no implica </w:t>
      </w:r>
      <w:r w:rsidRPr="00577FDB">
        <w:rPr>
          <w:rFonts w:ascii="Arial" w:eastAsia="Calibri" w:hAnsi="Arial" w:cs="Arial"/>
          <w:i/>
          <w:color w:val="000000"/>
          <w:sz w:val="22"/>
          <w:szCs w:val="24"/>
          <w:lang w:val="es-ES_tradnl" w:eastAsia="en-GB"/>
        </w:rPr>
        <w:t xml:space="preserve">per se </w:t>
      </w:r>
      <w:r w:rsidRPr="00577FDB">
        <w:rPr>
          <w:rFonts w:ascii="Arial" w:eastAsia="Calibri" w:hAnsi="Arial" w:cs="Arial"/>
          <w:color w:val="000000"/>
          <w:sz w:val="22"/>
          <w:szCs w:val="24"/>
          <w:lang w:val="es-ES_tradnl" w:eastAsia="en-GB"/>
        </w:rPr>
        <w:t xml:space="preserve">un incumplimiento del contratista, pues las razones por las cuales la obra no esté prestando el servicio pueden ir desde defectos en el diseño, calidad de la obra, hasta falta de presupuesto para funcionamiento, razón por la que es importante analizar los datos consignados en el registro. </w:t>
      </w:r>
    </w:p>
    <w:p w14:paraId="71DA4197" w14:textId="77777777" w:rsidR="00577FDB" w:rsidRPr="00577FDB" w:rsidRDefault="00577FDB" w:rsidP="00577FDB">
      <w:pPr>
        <w:spacing w:before="120" w:after="0"/>
        <w:ind w:firstLine="709"/>
        <w:rPr>
          <w:rFonts w:ascii="Arial" w:eastAsia="Calibri" w:hAnsi="Arial" w:cs="Arial"/>
          <w:color w:val="000000"/>
          <w:sz w:val="22"/>
          <w:szCs w:val="24"/>
          <w:lang w:val="es-ES_tradnl" w:eastAsia="en-GB"/>
        </w:rPr>
      </w:pPr>
      <w:r w:rsidRPr="00577FDB">
        <w:rPr>
          <w:rFonts w:ascii="Arial" w:eastAsia="Calibri" w:hAnsi="Arial" w:cs="Arial"/>
          <w:color w:val="000000"/>
          <w:sz w:val="22"/>
          <w:szCs w:val="24"/>
          <w:lang w:val="es-ES_tradnl" w:eastAsia="en-GB"/>
        </w:rPr>
        <w:t xml:space="preserve">Además, debe agregarse que la entidad reportará en el Registro solo la información que posea en relación con la Obra Civil Inconclusa. Así las cosas,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szCs w:val="24"/>
          <w:lang w:val="es-ES_tradnl" w:eastAsia="en-GB"/>
        </w:rPr>
        <w:t>si se trata de un campo numérico y no se tenga información que reportar se coloca 0 y cuando sea un campo alfanumérico se coloca no aplica</w:t>
      </w:r>
      <w:r w:rsidRPr="00577FDB">
        <w:rPr>
          <w:rFonts w:ascii="Arial" w:eastAsia="Times New Roman" w:hAnsi="Arial" w:cs="Arial"/>
          <w:sz w:val="22"/>
          <w:szCs w:val="24"/>
          <w:lang w:val="es-CO" w:eastAsia="es-ES_tradnl"/>
        </w:rPr>
        <w:t>»</w:t>
      </w:r>
      <w:r w:rsidRPr="00577FDB">
        <w:rPr>
          <w:rFonts w:ascii="Arial" w:eastAsia="Calibri" w:hAnsi="Arial" w:cs="Arial"/>
          <w:color w:val="000000"/>
          <w:sz w:val="22"/>
          <w:szCs w:val="24"/>
          <w:vertAlign w:val="superscript"/>
          <w:lang w:val="es-ES_tradnl" w:eastAsia="en-GB"/>
        </w:rPr>
        <w:footnoteReference w:id="24"/>
      </w:r>
      <w:r w:rsidRPr="00577FDB">
        <w:rPr>
          <w:rFonts w:ascii="Arial" w:eastAsia="Calibri" w:hAnsi="Arial" w:cs="Arial"/>
          <w:color w:val="000000"/>
          <w:sz w:val="22"/>
          <w:szCs w:val="24"/>
          <w:lang w:val="es-ES_tradnl" w:eastAsia="en-GB"/>
        </w:rPr>
        <w:t xml:space="preserve">. </w:t>
      </w:r>
    </w:p>
    <w:p w14:paraId="5D133C8F" w14:textId="77777777" w:rsidR="00577FDB" w:rsidRPr="00577FDB" w:rsidRDefault="00577FDB" w:rsidP="00577FDB">
      <w:pPr>
        <w:spacing w:before="120" w:after="0"/>
        <w:ind w:firstLine="709"/>
        <w:rPr>
          <w:rFonts w:ascii="Arial" w:eastAsia="Calibri" w:hAnsi="Arial" w:cs="Arial"/>
          <w:sz w:val="22"/>
          <w:lang w:val="es-CO"/>
        </w:rPr>
      </w:pPr>
      <w:r w:rsidRPr="00577FDB">
        <w:rPr>
          <w:rFonts w:ascii="Arial" w:eastAsia="Calibri" w:hAnsi="Arial" w:cs="Arial"/>
          <w:color w:val="000000"/>
          <w:sz w:val="22"/>
          <w:szCs w:val="24"/>
          <w:lang w:val="es-ES_tradnl" w:eastAsia="en-GB"/>
        </w:rPr>
        <w:t>En este punto, cabe destacar que para descontar e</w:t>
      </w:r>
      <w:r w:rsidRPr="00577FDB">
        <w:rPr>
          <w:rFonts w:ascii="Arial" w:eastAsia="Calibri" w:hAnsi="Arial" w:cs="Arial"/>
          <w:sz w:val="22"/>
        </w:rPr>
        <w:t xml:space="preserve">l puntaje conforme al </w:t>
      </w:r>
      <w:r w:rsidRPr="00577FDB">
        <w:rPr>
          <w:rFonts w:ascii="Arial" w:eastAsia="Times New Roman" w:hAnsi="Arial" w:cs="Arial"/>
          <w:color w:val="000000"/>
          <w:sz w:val="22"/>
          <w:szCs w:val="24"/>
          <w:lang w:val="es-CO" w:eastAsia="es-ES_tradnl"/>
        </w:rPr>
        <w:t>documento base</w:t>
      </w:r>
      <w:r w:rsidRPr="00577FDB">
        <w:rPr>
          <w:rFonts w:ascii="Arial" w:eastAsia="Calibri" w:hAnsi="Arial" w:cs="Arial"/>
          <w:sz w:val="22"/>
        </w:rPr>
        <w:t>, deberá tenerse en cuenta únicamente la información contemplada en dicho Registro</w:t>
      </w:r>
      <w:r w:rsidRPr="00577FDB">
        <w:rPr>
          <w:rFonts w:ascii="Arial" w:eastAsia="Calibri" w:hAnsi="Arial" w:cs="Arial"/>
          <w:color w:val="000000"/>
          <w:sz w:val="22"/>
          <w:szCs w:val="24"/>
          <w:lang w:val="es-ES_tradnl" w:eastAsia="en-GB"/>
        </w:rPr>
        <w:t xml:space="preserve">. Esto por cuanto el mismo artículo 6 de la Ley 2020 de 2020 establece que durante los procesos de selección objetiva para contratistas de obra o interventores se tendrán en cuenta las anotaciones vigentes en el Registro Nacional de Obras Inconclusas. Por tanto, solo podrá acudirse a la información allí reportada para efectos de lo dispuesto en el </w:t>
      </w:r>
      <w:r w:rsidRPr="00577FDB">
        <w:rPr>
          <w:rFonts w:ascii="Arial" w:eastAsia="Calibri" w:hAnsi="Arial" w:cs="Arial"/>
          <w:color w:val="000000"/>
          <w:sz w:val="22"/>
          <w:szCs w:val="24"/>
          <w:lang w:val="es-ES_tradnl" w:eastAsia="en-GB"/>
        </w:rPr>
        <w:lastRenderedPageBreak/>
        <w:t xml:space="preserve">documento base. </w:t>
      </w:r>
      <w:bookmarkStart w:id="11" w:name="_Hlk84438253"/>
      <w:r w:rsidRPr="00577FDB">
        <w:rPr>
          <w:rFonts w:ascii="Arial" w:eastAsia="Times New Roman" w:hAnsi="Arial" w:cs="Arial"/>
          <w:color w:val="000000"/>
          <w:sz w:val="22"/>
          <w:szCs w:val="24"/>
          <w:lang w:val="es-CO" w:eastAsia="es-ES_tradnl"/>
        </w:rPr>
        <w:t>De este modo, la entidad no podrá descontar el puntaje respectivo con información que no se encuentre allí registrada</w:t>
      </w:r>
      <w:r w:rsidRPr="00577FDB">
        <w:rPr>
          <w:rFonts w:ascii="Arial" w:eastAsia="Times New Roman" w:hAnsi="Arial" w:cs="Arial"/>
          <w:bCs/>
          <w:color w:val="000000"/>
          <w:sz w:val="22"/>
          <w:szCs w:val="24"/>
          <w:lang w:val="es-ES_tradnl" w:eastAsia="es-ES_tradnl"/>
        </w:rPr>
        <w:t>.</w:t>
      </w:r>
    </w:p>
    <w:bookmarkEnd w:id="11"/>
    <w:p w14:paraId="460719C8" w14:textId="77777777" w:rsidR="00577FDB" w:rsidRPr="00577FDB" w:rsidRDefault="00577FDB" w:rsidP="00577FDB">
      <w:pPr>
        <w:spacing w:before="120" w:after="0"/>
        <w:ind w:firstLine="709"/>
        <w:rPr>
          <w:rFonts w:ascii="Arial" w:eastAsia="Calibri" w:hAnsi="Arial" w:cs="Arial"/>
          <w:sz w:val="22"/>
        </w:rPr>
      </w:pPr>
      <w:r w:rsidRPr="00577FDB">
        <w:rPr>
          <w:rFonts w:ascii="Arial" w:eastAsia="Calibri" w:hAnsi="Arial" w:cs="Arial"/>
          <w:color w:val="000000"/>
          <w:sz w:val="22"/>
          <w:szCs w:val="24"/>
          <w:lang w:val="es-ES_tradnl" w:eastAsia="en-GB"/>
        </w:rPr>
        <w:t xml:space="preserve">Así las cosas, a juicio de esta Agencia, la sola inclusión en el Registro Nacional de Obras Civiles Inconclusas no puede entenderse suficiente para descontar el puntaje en los factores de asignación de puntos establecidos en el pliego de condiciones. </w:t>
      </w:r>
      <w:r w:rsidRPr="00577FDB">
        <w:rPr>
          <w:rFonts w:ascii="Arial" w:eastAsia="Calibri" w:hAnsi="Arial" w:cs="Arial"/>
          <w:sz w:val="22"/>
        </w:rPr>
        <w:t>De todas formas, si en el informe de evaluación que realiza la entidad se produce la reducción del puntaje bajo el único argumento de encontrarse en dicho Registro, sin efectuar un análisis previo de las anotaciones, el proponente, con fundamento en la interpretación de las normas analizadas, podrá formular la observación respectiva. De otro lado, en caso de que se presente alguna inconformidad en relación con la información reportada en el Registro por la entidad contratante que realizó la anotación, el artículo 6 de la Ley 2020 de 2020 dispuso que tal controversia o solicitud será resuelta por la entidad contratante que suministró dicha información.</w:t>
      </w:r>
    </w:p>
    <w:p w14:paraId="3E456169" w14:textId="77777777" w:rsidR="00577FDB" w:rsidRDefault="00577FDB" w:rsidP="000B05F4">
      <w:pPr>
        <w:contextualSpacing/>
        <w:rPr>
          <w:rFonts w:ascii="Arial" w:eastAsia="Times New Roman" w:hAnsi="Arial" w:cs="Arial"/>
          <w:b/>
          <w:bCs/>
          <w:sz w:val="22"/>
          <w:lang w:val="es-ES" w:eastAsia="es-MX"/>
        </w:rPr>
      </w:pPr>
    </w:p>
    <w:p w14:paraId="3D194321" w14:textId="1F520C64" w:rsidR="000B05F4" w:rsidRDefault="00671B44" w:rsidP="000B05F4">
      <w:pPr>
        <w:tabs>
          <w:tab w:val="left" w:pos="426"/>
        </w:tabs>
        <w:spacing w:after="0" w:line="240" w:lineRule="auto"/>
        <w:rPr>
          <w:rFonts w:ascii="Arial" w:eastAsia="Calibri" w:hAnsi="Arial" w:cs="Arial"/>
          <w:b/>
          <w:sz w:val="22"/>
          <w:lang w:val="es-CO"/>
        </w:rPr>
      </w:pPr>
      <w:r>
        <w:rPr>
          <w:rFonts w:ascii="Arial" w:eastAsia="Calibri" w:hAnsi="Arial" w:cs="Arial"/>
          <w:b/>
          <w:sz w:val="22"/>
          <w:lang w:val="es-CO"/>
        </w:rPr>
        <w:t>3</w:t>
      </w:r>
      <w:r w:rsidRPr="001770E9">
        <w:rPr>
          <w:rFonts w:ascii="Arial" w:eastAsia="Calibri" w:hAnsi="Arial" w:cs="Arial"/>
          <w:b/>
          <w:sz w:val="22"/>
          <w:lang w:val="es-CO"/>
        </w:rPr>
        <w:t>. Respuest</w:t>
      </w:r>
      <w:r>
        <w:rPr>
          <w:rFonts w:ascii="Arial" w:eastAsia="Calibri" w:hAnsi="Arial" w:cs="Arial"/>
          <w:b/>
          <w:sz w:val="22"/>
          <w:lang w:val="es-CO"/>
        </w:rPr>
        <w:t>a</w:t>
      </w:r>
      <w:bookmarkStart w:id="12" w:name="_Hlk57650395"/>
    </w:p>
    <w:p w14:paraId="29B21E17" w14:textId="77777777" w:rsidR="000B05F4" w:rsidRPr="000B05F4" w:rsidRDefault="000B05F4" w:rsidP="000B05F4">
      <w:pPr>
        <w:tabs>
          <w:tab w:val="left" w:pos="426"/>
        </w:tabs>
        <w:spacing w:after="0" w:line="240" w:lineRule="auto"/>
        <w:rPr>
          <w:rFonts w:ascii="Arial" w:eastAsia="Calibri" w:hAnsi="Arial" w:cs="Arial"/>
          <w:b/>
          <w:sz w:val="22"/>
          <w:lang w:val="es-CO"/>
        </w:rPr>
      </w:pPr>
    </w:p>
    <w:p w14:paraId="0D3126E0" w14:textId="17CD5CC1" w:rsidR="000B05F4" w:rsidRPr="00B8214F" w:rsidRDefault="00EC01D8" w:rsidP="00733076">
      <w:pPr>
        <w:pStyle w:val="Prrafodelista"/>
        <w:shd w:val="clear" w:color="auto" w:fill="FFFFFF"/>
        <w:ind w:right="709"/>
        <w:jc w:val="both"/>
        <w:rPr>
          <w:rFonts w:ascii="Arial" w:eastAsia="Times New Roman" w:hAnsi="Arial" w:cs="Arial"/>
          <w:sz w:val="21"/>
          <w:szCs w:val="21"/>
          <w:lang w:val="es-ES" w:eastAsia="es-MX"/>
        </w:rPr>
      </w:pPr>
      <w:r w:rsidRPr="00B8214F">
        <w:rPr>
          <w:rFonts w:ascii="Arial" w:eastAsia="Times New Roman" w:hAnsi="Arial" w:cs="Arial"/>
          <w:sz w:val="21"/>
          <w:szCs w:val="21"/>
          <w:lang w:val="es-ES" w:eastAsia="es-MX"/>
        </w:rPr>
        <w:t>«</w:t>
      </w:r>
      <w:r w:rsidR="000B05F4" w:rsidRPr="00B8214F">
        <w:rPr>
          <w:rFonts w:ascii="Arial" w:eastAsia="Times New Roman" w:hAnsi="Arial" w:cs="Arial"/>
          <w:sz w:val="21"/>
          <w:szCs w:val="21"/>
          <w:lang w:val="es-ES" w:eastAsia="es-MX"/>
        </w:rPr>
        <w:t>1. ¿Qué información contiene el formulario del Registro Nacional de Obras Civiles Inconclusas?</w:t>
      </w:r>
      <w:r w:rsidRPr="00B8214F">
        <w:rPr>
          <w:rFonts w:ascii="Arial" w:eastAsia="Times New Roman" w:hAnsi="Arial" w:cs="Arial"/>
          <w:sz w:val="21"/>
          <w:szCs w:val="21"/>
          <w:lang w:val="es-ES" w:eastAsia="es-MX"/>
        </w:rPr>
        <w:t>»</w:t>
      </w:r>
    </w:p>
    <w:p w14:paraId="0D57EFE4" w14:textId="77777777" w:rsidR="000B05F4" w:rsidRPr="004E7030" w:rsidRDefault="000B05F4" w:rsidP="000B05F4">
      <w:pPr>
        <w:pStyle w:val="Prrafodelista"/>
        <w:shd w:val="clear" w:color="auto" w:fill="FFFFFF"/>
        <w:jc w:val="both"/>
        <w:rPr>
          <w:rFonts w:ascii="Arial" w:eastAsia="Times New Roman" w:hAnsi="Arial" w:cs="Arial"/>
          <w:i/>
          <w:iCs/>
          <w:sz w:val="22"/>
          <w:szCs w:val="22"/>
          <w:lang w:val="es-ES" w:eastAsia="es-MX"/>
        </w:rPr>
      </w:pPr>
    </w:p>
    <w:p w14:paraId="31AD29B4" w14:textId="7C6E85DC" w:rsidR="000B05F4" w:rsidRPr="004E7030" w:rsidRDefault="00A17261" w:rsidP="00B8214F">
      <w:pPr>
        <w:tabs>
          <w:tab w:val="left" w:pos="0"/>
        </w:tabs>
        <w:spacing w:after="120"/>
        <w:rPr>
          <w:rFonts w:ascii="Arial" w:eastAsia="Calibri" w:hAnsi="Arial" w:cs="Arial"/>
          <w:sz w:val="22"/>
          <w:lang w:val="es-ES_tradnl" w:eastAsia="en-GB"/>
        </w:rPr>
      </w:pPr>
      <w:r>
        <w:rPr>
          <w:rFonts w:ascii="Arial" w:eastAsia="Calibri" w:hAnsi="Arial" w:cs="Arial"/>
          <w:sz w:val="22"/>
          <w:lang w:val="es-ES_tradnl" w:eastAsia="en-GB"/>
        </w:rPr>
        <w:t xml:space="preserve">Conforme a lo </w:t>
      </w:r>
      <w:proofErr w:type="gramStart"/>
      <w:r>
        <w:rPr>
          <w:rFonts w:ascii="Arial" w:eastAsia="Calibri" w:hAnsi="Arial" w:cs="Arial"/>
          <w:sz w:val="22"/>
          <w:lang w:val="es-ES_tradnl" w:eastAsia="en-GB"/>
        </w:rPr>
        <w:t>expuesto</w:t>
      </w:r>
      <w:r w:rsidR="00DD5FE6">
        <w:rPr>
          <w:rFonts w:ascii="Arial" w:eastAsia="Calibri" w:hAnsi="Arial" w:cs="Arial"/>
          <w:sz w:val="22"/>
          <w:lang w:val="es-ES_tradnl" w:eastAsia="en-GB"/>
        </w:rPr>
        <w:t>,</w:t>
      </w:r>
      <w:r w:rsidR="000B05F4" w:rsidRPr="004E7030">
        <w:rPr>
          <w:rFonts w:ascii="Arial" w:eastAsia="Calibri" w:hAnsi="Arial" w:cs="Arial"/>
          <w:sz w:val="22"/>
          <w:lang w:val="es-ES_tradnl" w:eastAsia="en-GB"/>
        </w:rPr>
        <w:t xml:space="preserve">  el</w:t>
      </w:r>
      <w:proofErr w:type="gramEnd"/>
      <w:r w:rsidR="000B05F4" w:rsidRPr="004E7030">
        <w:rPr>
          <w:rFonts w:ascii="Arial" w:eastAsia="Calibri" w:hAnsi="Arial" w:cs="Arial"/>
          <w:sz w:val="22"/>
          <w:lang w:val="es-ES_tradnl" w:eastAsia="en-GB"/>
        </w:rPr>
        <w:t xml:space="preserve">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000B05F4" w:rsidRPr="004E7030">
        <w:rPr>
          <w:rFonts w:ascii="Arial" w:eastAsia="Calibri" w:hAnsi="Arial" w:cs="Arial"/>
          <w:sz w:val="22"/>
        </w:rPr>
        <w:t>informe final presentado por el interventor del proyecto y la demás información que establezca la Contraloría General de la República.</w:t>
      </w:r>
      <w:r w:rsidR="000B05F4" w:rsidRPr="004E7030">
        <w:rPr>
          <w:rFonts w:ascii="Arial" w:eastAsia="Calibri" w:hAnsi="Arial" w:cs="Arial"/>
          <w:sz w:val="22"/>
          <w:lang w:val="es-ES_tradnl" w:eastAsia="en-GB"/>
        </w:rPr>
        <w:t xml:space="preserve"> </w:t>
      </w:r>
    </w:p>
    <w:p w14:paraId="34E277B4" w14:textId="569DF2AC" w:rsidR="000B05F4" w:rsidRPr="000B05F4" w:rsidRDefault="000B05F4" w:rsidP="000B05F4">
      <w:pPr>
        <w:tabs>
          <w:tab w:val="left" w:pos="0"/>
        </w:tabs>
        <w:spacing w:before="120"/>
        <w:rPr>
          <w:rFonts w:ascii="Arial" w:eastAsia="Calibri" w:hAnsi="Arial" w:cs="Arial"/>
          <w:sz w:val="22"/>
          <w:lang w:val="es-ES_tradnl" w:eastAsia="en-GB"/>
        </w:rPr>
      </w:pPr>
      <w:r>
        <w:rPr>
          <w:rFonts w:ascii="Arial" w:eastAsia="Calibri" w:hAnsi="Arial" w:cs="Arial"/>
          <w:sz w:val="22"/>
          <w:lang w:val="es-ES_tradnl" w:eastAsia="en-GB"/>
        </w:rPr>
        <w:tab/>
      </w:r>
      <w:r w:rsidR="00B55752">
        <w:rPr>
          <w:rFonts w:ascii="Arial" w:eastAsia="Calibri" w:hAnsi="Arial" w:cs="Arial"/>
          <w:sz w:val="22"/>
          <w:lang w:val="es-ES_tradnl" w:eastAsia="en-GB"/>
        </w:rPr>
        <w:t>Dicha</w:t>
      </w:r>
      <w:r w:rsidR="00B55752" w:rsidRPr="004E7030">
        <w:rPr>
          <w:rFonts w:ascii="Arial" w:eastAsia="Calibri" w:hAnsi="Arial" w:cs="Arial"/>
          <w:sz w:val="22"/>
          <w:lang w:val="es-ES_tradnl" w:eastAsia="en-GB"/>
        </w:rPr>
        <w:t xml:space="preserve"> </w:t>
      </w:r>
      <w:r w:rsidRPr="004E7030">
        <w:rPr>
          <w:rFonts w:ascii="Arial" w:eastAsia="Calibri" w:hAnsi="Arial" w:cs="Arial"/>
          <w:sz w:val="22"/>
          <w:lang w:val="es-ES_tradnl" w:eastAsia="en-GB"/>
        </w:rPr>
        <w:t xml:space="preserve">entidad, </w:t>
      </w:r>
      <w:r w:rsidRPr="004E7030">
        <w:rPr>
          <w:rFonts w:ascii="Arial" w:eastAsia="Calibri" w:hAnsi="Arial" w:cs="Arial"/>
          <w:sz w:val="22"/>
          <w:lang w:eastAsia="en-GB"/>
        </w:rPr>
        <w:t>mediante la Resolución No. REG-ORD-0042-2020 del 25 de agosto de 2020</w:t>
      </w:r>
      <w:r w:rsidRPr="004E7030">
        <w:rPr>
          <w:rFonts w:ascii="Arial" w:eastAsia="Calibri" w:hAnsi="Arial" w:cs="Arial"/>
          <w:sz w:val="22"/>
          <w:vertAlign w:val="superscript"/>
          <w:lang w:eastAsia="en-GB"/>
        </w:rPr>
        <w:footnoteReference w:id="25"/>
      </w:r>
      <w:r w:rsidRPr="004E7030">
        <w:rPr>
          <w:rFonts w:ascii="Arial" w:eastAsia="Calibri" w:hAnsi="Arial" w:cs="Arial"/>
          <w:sz w:val="22"/>
          <w:lang w:eastAsia="en-GB"/>
        </w:rPr>
        <w:t xml:space="preserve">, estableció que la información concerniente al Registro Nacional de Obras Civiles Inconclusas se rendiría a través del SIRECI, conforme al Capítulo II </w:t>
      </w:r>
      <w:r w:rsidRPr="004E7030">
        <w:rPr>
          <w:rFonts w:ascii="Arial" w:eastAsia="Calibri" w:hAnsi="Arial" w:cs="Arial"/>
          <w:sz w:val="22"/>
          <w:lang w:val="es-ES_tradnl" w:eastAsia="en-GB"/>
        </w:rPr>
        <w:t>«</w:t>
      </w:r>
      <w:r w:rsidRPr="004E7030">
        <w:rPr>
          <w:rFonts w:ascii="Arial" w:eastAsia="Calibri" w:hAnsi="Arial" w:cs="Arial"/>
          <w:sz w:val="22"/>
          <w:lang w:eastAsia="en-GB"/>
        </w:rPr>
        <w:t>Información de Obras Inconclusas</w:t>
      </w:r>
      <w:r w:rsidRPr="004E7030">
        <w:rPr>
          <w:rFonts w:ascii="Arial" w:eastAsia="Calibri" w:hAnsi="Arial" w:cs="Arial"/>
          <w:sz w:val="22"/>
          <w:lang w:val="es-ES_tradnl" w:eastAsia="en-GB"/>
        </w:rPr>
        <w:t>»</w:t>
      </w:r>
      <w:r w:rsidRPr="004E7030">
        <w:rPr>
          <w:rFonts w:ascii="Arial" w:eastAsia="Calibri" w:hAnsi="Arial" w:cs="Arial"/>
          <w:sz w:val="22"/>
          <w:lang w:eastAsia="en-GB"/>
        </w:rPr>
        <w:t xml:space="preserve"> del Título III </w:t>
      </w:r>
      <w:r w:rsidRPr="004E7030">
        <w:rPr>
          <w:rFonts w:ascii="Arial" w:eastAsia="Calibri" w:hAnsi="Arial" w:cs="Arial"/>
          <w:sz w:val="22"/>
          <w:lang w:val="es-ES_tradnl" w:eastAsia="en-GB"/>
        </w:rPr>
        <w:t>«</w:t>
      </w:r>
      <w:r w:rsidRPr="004E7030">
        <w:rPr>
          <w:rFonts w:ascii="Arial" w:eastAsia="Calibri" w:hAnsi="Arial" w:cs="Arial"/>
          <w:sz w:val="22"/>
          <w:lang w:eastAsia="en-GB"/>
        </w:rPr>
        <w:t>Rendición de Otra Información</w:t>
      </w:r>
      <w:r w:rsidRPr="004E7030">
        <w:rPr>
          <w:rFonts w:ascii="Arial" w:eastAsia="Calibri" w:hAnsi="Arial" w:cs="Arial"/>
          <w:sz w:val="22"/>
          <w:lang w:val="es-ES_tradnl" w:eastAsia="en-GB"/>
        </w:rPr>
        <w:t>»</w:t>
      </w:r>
      <w:r w:rsidRPr="004E7030">
        <w:rPr>
          <w:rFonts w:ascii="Arial" w:eastAsia="Calibri" w:hAnsi="Arial" w:cs="Arial"/>
          <w:sz w:val="22"/>
          <w:lang w:eastAsia="en-GB"/>
        </w:rPr>
        <w:t xml:space="preserve">. De acuerdo con el artículo 51 de dicha Resolución, el contenido de la información es la requerida en el Sistema de Rendición Electrónico de la Cuenta e Informe y Otra Información –SIRECI–, sobre la </w:t>
      </w:r>
      <w:r w:rsidRPr="004E7030">
        <w:rPr>
          <w:rFonts w:ascii="Arial" w:eastAsia="Calibri" w:hAnsi="Arial" w:cs="Arial"/>
          <w:sz w:val="22"/>
          <w:lang w:eastAsia="en-GB"/>
        </w:rPr>
        <w:lastRenderedPageBreak/>
        <w:t xml:space="preserve">información que debe incorporarse en la relación de obras civiles inconclusas, de conformidad con la ley. </w:t>
      </w:r>
      <w:r w:rsidR="00EC01D8">
        <w:rPr>
          <w:rFonts w:ascii="Arial" w:eastAsia="Calibri" w:hAnsi="Arial" w:cs="Arial"/>
          <w:sz w:val="22"/>
          <w:lang w:val="es-ES_tradnl" w:eastAsia="en-GB"/>
        </w:rPr>
        <w:t xml:space="preserve"> En todo caso, d</w:t>
      </w:r>
      <w:r w:rsidRPr="004E7030">
        <w:rPr>
          <w:rFonts w:ascii="Arial" w:eastAsia="Calibri" w:hAnsi="Arial" w:cs="Arial"/>
          <w:sz w:val="22"/>
          <w:lang w:val="es-ES_tradnl" w:eastAsia="en-GB"/>
        </w:rPr>
        <w:t xml:space="preserve">ebido al carácter público de la información del registro, podrá verificarse en el sistema dispuesto por la Contraloría General de la Nación, el motivo por el cual la obra civil quedo inconclusa, así como las situaciones de incumplimiento del contratista y en general el estado jurídico, técnico y financiero de la obra. </w:t>
      </w:r>
    </w:p>
    <w:p w14:paraId="6070374A" w14:textId="6F770B0B" w:rsidR="000B05F4" w:rsidRPr="00B8214F" w:rsidRDefault="00D273F8" w:rsidP="00B8214F">
      <w:pPr>
        <w:pStyle w:val="Prrafodelista"/>
        <w:shd w:val="clear" w:color="auto" w:fill="FFFFFF"/>
        <w:ind w:left="709" w:right="709"/>
        <w:jc w:val="both"/>
        <w:rPr>
          <w:rFonts w:ascii="Arial" w:eastAsia="Times New Roman" w:hAnsi="Arial" w:cs="Arial"/>
          <w:sz w:val="21"/>
          <w:szCs w:val="21"/>
          <w:lang w:val="es-ES" w:eastAsia="es-MX"/>
        </w:rPr>
      </w:pPr>
      <w:r w:rsidRPr="00B8214F">
        <w:rPr>
          <w:rFonts w:ascii="Arial" w:eastAsia="Times New Roman" w:hAnsi="Arial" w:cs="Arial"/>
          <w:sz w:val="21"/>
          <w:szCs w:val="21"/>
          <w:lang w:val="es-ES" w:eastAsia="es-MX"/>
        </w:rPr>
        <w:t>«</w:t>
      </w:r>
      <w:r w:rsidR="000B05F4" w:rsidRPr="00B8214F">
        <w:rPr>
          <w:rFonts w:ascii="Arial" w:eastAsia="Times New Roman" w:hAnsi="Arial" w:cs="Arial"/>
          <w:sz w:val="21"/>
          <w:szCs w:val="21"/>
          <w:lang w:val="es-ES" w:eastAsia="es-MX"/>
        </w:rPr>
        <w:t>2. ¿Cuáles son las causas que conllevan ser sujeto de anotación en la lista de obras inconclusas creadas por la ley?</w:t>
      </w:r>
      <w:r w:rsidRPr="00B8214F">
        <w:rPr>
          <w:rFonts w:ascii="Arial" w:eastAsia="Times New Roman" w:hAnsi="Arial" w:cs="Arial"/>
          <w:sz w:val="21"/>
          <w:szCs w:val="21"/>
          <w:lang w:val="es-ES" w:eastAsia="es-MX"/>
        </w:rPr>
        <w:t>»</w:t>
      </w:r>
      <w:r w:rsidR="000B05F4" w:rsidRPr="00B8214F">
        <w:rPr>
          <w:rFonts w:ascii="Arial" w:eastAsia="Times New Roman" w:hAnsi="Arial" w:cs="Arial"/>
          <w:sz w:val="21"/>
          <w:szCs w:val="21"/>
          <w:lang w:val="es-ES" w:eastAsia="es-MX"/>
        </w:rPr>
        <w:t xml:space="preserve"> </w:t>
      </w:r>
    </w:p>
    <w:p w14:paraId="137CEFC2" w14:textId="77777777" w:rsidR="000B05F4" w:rsidRPr="004E7030" w:rsidRDefault="000B05F4" w:rsidP="000B05F4">
      <w:pPr>
        <w:pStyle w:val="Prrafodelista"/>
        <w:shd w:val="clear" w:color="auto" w:fill="FFFFFF"/>
        <w:jc w:val="both"/>
        <w:rPr>
          <w:rFonts w:ascii="Arial" w:eastAsia="Times New Roman" w:hAnsi="Arial" w:cs="Arial"/>
          <w:i/>
          <w:iCs/>
          <w:sz w:val="22"/>
          <w:szCs w:val="22"/>
          <w:lang w:val="es-ES" w:eastAsia="es-MX"/>
        </w:rPr>
      </w:pPr>
    </w:p>
    <w:p w14:paraId="6BDAE652" w14:textId="3D50D474" w:rsidR="000B05F4" w:rsidRPr="004E7030" w:rsidRDefault="000B05F4" w:rsidP="00B8214F">
      <w:pPr>
        <w:tabs>
          <w:tab w:val="left" w:pos="0"/>
        </w:tabs>
        <w:spacing w:after="120"/>
        <w:rPr>
          <w:rFonts w:ascii="Arial" w:eastAsia="Calibri" w:hAnsi="Arial" w:cs="Arial"/>
          <w:sz w:val="22"/>
          <w:lang w:val="es-ES_tradnl" w:eastAsia="en-GB"/>
        </w:rPr>
      </w:pPr>
      <w:r>
        <w:rPr>
          <w:rFonts w:ascii="Arial" w:eastAsia="Calibri" w:hAnsi="Arial" w:cs="Arial"/>
          <w:sz w:val="22"/>
          <w:lang w:val="es-ES_tradnl" w:eastAsia="en-GB"/>
        </w:rPr>
        <w:tab/>
      </w:r>
      <w:r w:rsidRPr="004E7030">
        <w:rPr>
          <w:rFonts w:ascii="Arial" w:eastAsia="Calibri" w:hAnsi="Arial" w:cs="Arial"/>
          <w:sz w:val="22"/>
          <w:lang w:val="es-ES_tradnl" w:eastAsia="en-GB"/>
        </w:rPr>
        <w:t xml:space="preserve">Conforme </w:t>
      </w:r>
      <w:r w:rsidR="00D273F8">
        <w:rPr>
          <w:rFonts w:ascii="Arial" w:eastAsia="Calibri" w:hAnsi="Arial" w:cs="Arial"/>
          <w:sz w:val="22"/>
          <w:lang w:val="es-ES_tradnl" w:eastAsia="en-GB"/>
        </w:rPr>
        <w:t>a</w:t>
      </w:r>
      <w:r w:rsidRPr="004E7030">
        <w:rPr>
          <w:rFonts w:ascii="Arial" w:eastAsia="Calibri" w:hAnsi="Arial" w:cs="Arial"/>
          <w:sz w:val="22"/>
          <w:lang w:val="es-ES_tradnl" w:eastAsia="en-GB"/>
        </w:rPr>
        <w:t xml:space="preserve">l artículo 3 de la Ley 2020 de 2020, se debe plasmar en el registro aquellas obras civiles que no han finalizado satisfactoriamente o no se adecuan a la función para la cual fue contratada la obra. </w:t>
      </w:r>
      <w:r>
        <w:rPr>
          <w:rFonts w:ascii="Arial" w:eastAsia="Calibri" w:hAnsi="Arial" w:cs="Arial"/>
          <w:sz w:val="22"/>
          <w:lang w:val="es-ES_tradnl" w:eastAsia="en-GB"/>
        </w:rPr>
        <w:tab/>
      </w:r>
      <w:r w:rsidRPr="004E7030">
        <w:rPr>
          <w:rFonts w:ascii="Arial" w:eastAsia="Calibri" w:hAnsi="Arial" w:cs="Arial"/>
          <w:sz w:val="22"/>
          <w:lang w:val="es-ES_tradnl" w:eastAsia="en-GB"/>
        </w:rPr>
        <w:t>Para tales efectos,</w:t>
      </w:r>
      <w:r w:rsidR="00D273F8">
        <w:rPr>
          <w:rFonts w:ascii="Arial" w:eastAsia="Calibri" w:hAnsi="Arial" w:cs="Arial"/>
          <w:sz w:val="22"/>
          <w:lang w:val="es-ES_tradnl" w:eastAsia="en-GB"/>
        </w:rPr>
        <w:t xml:space="preserve"> </w:t>
      </w:r>
      <w:r w:rsidR="00D273F8" w:rsidRPr="004E7030">
        <w:rPr>
          <w:rFonts w:ascii="Arial" w:eastAsia="Calibri" w:hAnsi="Arial" w:cs="Arial"/>
          <w:sz w:val="22"/>
          <w:lang w:val="es-ES_tradnl" w:eastAsia="en-GB"/>
        </w:rPr>
        <w:t xml:space="preserve">según el inciso primero del literal a) del artículo 2 de esta ley, </w:t>
      </w:r>
      <w:r w:rsidRPr="004E7030">
        <w:rPr>
          <w:rFonts w:ascii="Arial" w:eastAsia="Calibri" w:hAnsi="Arial" w:cs="Arial"/>
          <w:sz w:val="22"/>
          <w:lang w:val="es-ES_tradnl" w:eastAsia="en-GB"/>
        </w:rPr>
        <w:t xml:space="preserve">se entiende por </w:t>
      </w:r>
      <w:r w:rsidRPr="004E7030">
        <w:rPr>
          <w:rFonts w:ascii="Arial" w:eastAsia="Calibri" w:hAnsi="Arial" w:cs="Arial"/>
          <w:i/>
          <w:iCs/>
          <w:sz w:val="22"/>
          <w:lang w:val="es-ES_tradnl" w:eastAsia="en-GB"/>
        </w:rPr>
        <w:t xml:space="preserve">obra civil inconclusa </w:t>
      </w:r>
      <w:r w:rsidRPr="004E7030">
        <w:rPr>
          <w:rFonts w:ascii="Arial" w:eastAsia="Calibri" w:hAnsi="Arial" w:cs="Arial"/>
          <w:sz w:val="22"/>
          <w:lang w:val="es-ES_tradnl" w:eastAsia="en-GB"/>
        </w:rPr>
        <w:t>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En el caso en que no se haya concluido satisfactoriamente la obra civil por causas no imputables al contratista, el inciso segundo del literal a) del artículo 2 de dicha Ley establece que «[…] un comité técnico, designado por el representante legal de la entidad contratante, definirá si efectivamente corresponde a una obra civil inconclusa».</w:t>
      </w:r>
    </w:p>
    <w:p w14:paraId="47C2D67E" w14:textId="6D82E8B9" w:rsidR="000B05F4" w:rsidRPr="004E7030" w:rsidRDefault="000B05F4" w:rsidP="00B8214F">
      <w:pPr>
        <w:tabs>
          <w:tab w:val="left" w:pos="0"/>
        </w:tabs>
        <w:spacing w:before="120" w:after="120"/>
        <w:rPr>
          <w:rFonts w:ascii="Arial" w:eastAsia="Calibri" w:hAnsi="Arial" w:cs="Arial"/>
          <w:sz w:val="22"/>
          <w:lang w:val="es-ES_tradnl" w:eastAsia="en-GB"/>
        </w:rPr>
      </w:pPr>
      <w:r>
        <w:rPr>
          <w:rFonts w:ascii="Arial" w:eastAsia="Calibri" w:hAnsi="Arial" w:cs="Arial"/>
          <w:sz w:val="22"/>
          <w:lang w:val="es-ES_tradnl" w:eastAsia="en-GB"/>
        </w:rPr>
        <w:tab/>
      </w:r>
      <w:r w:rsidRPr="004E7030">
        <w:rPr>
          <w:rFonts w:ascii="Arial" w:eastAsia="Calibri" w:hAnsi="Arial" w:cs="Arial"/>
          <w:sz w:val="22"/>
          <w:lang w:val="es-ES_tradnl" w:eastAsia="en-GB"/>
        </w:rPr>
        <w:t xml:space="preserve">En otras palabras, si el trabajo material sobre el bien inmueble no ha concluido de manera satisfactoria o no está prestando el servicio para el que se contrató y ha transcurrido un año o más desde que se venció el término de liquidación contractual, se considera obra civil inconclusa. Por su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18AB7F9C" w14:textId="5226FE7D" w:rsidR="000B05F4" w:rsidRPr="004E7030" w:rsidRDefault="000B05F4" w:rsidP="00B8214F">
      <w:pPr>
        <w:tabs>
          <w:tab w:val="left" w:pos="0"/>
        </w:tabs>
        <w:spacing w:before="120" w:after="0"/>
        <w:rPr>
          <w:rFonts w:ascii="Arial" w:eastAsia="Calibri" w:hAnsi="Arial" w:cs="Arial"/>
          <w:sz w:val="22"/>
          <w:lang w:val="es-ES_tradnl" w:eastAsia="en-GB"/>
        </w:rPr>
      </w:pPr>
      <w:r>
        <w:rPr>
          <w:rFonts w:ascii="Arial" w:eastAsia="Calibri" w:hAnsi="Arial" w:cs="Arial"/>
          <w:sz w:val="22"/>
          <w:lang w:val="es-ES_tradnl" w:eastAsia="en-GB"/>
        </w:rPr>
        <w:tab/>
      </w:r>
      <w:r w:rsidRPr="004E7030">
        <w:rPr>
          <w:rFonts w:ascii="Arial" w:eastAsia="Calibri" w:hAnsi="Arial" w:cs="Arial"/>
          <w:sz w:val="22"/>
          <w:lang w:val="es-ES_tradnl" w:eastAsia="en-GB"/>
        </w:rPr>
        <w:t>Esta última precisión es importante, debido a que el propósito del literal a) del artículo 2 de la Ley 2020 de 2020 es definir el concepto de «obra civil inconclusa» en clave del estado actual de la obra, pero sin desconocer que durante la ejecución de un contrato pueden presentarse situaciones ajenas y exógenas al contratista que impiden la culminación de la obra. En esa hipótesis, lo que pretende el legislador es que sea un órgano o una autoridad determinada, la que analice las circunstancias particulares del caso y las razones técnicas por las cuales la obra civil quedó en estado incompleto</w:t>
      </w:r>
      <w:r w:rsidRPr="004E7030">
        <w:rPr>
          <w:rFonts w:ascii="Arial" w:eastAsia="Calibri" w:hAnsi="Arial" w:cs="Arial"/>
          <w:sz w:val="22"/>
          <w:vertAlign w:val="superscript"/>
          <w:lang w:val="es-ES_tradnl" w:eastAsia="en-GB"/>
        </w:rPr>
        <w:footnoteReference w:id="26"/>
      </w:r>
      <w:r w:rsidRPr="004E7030">
        <w:rPr>
          <w:rFonts w:ascii="Arial" w:eastAsia="Calibri" w:hAnsi="Arial" w:cs="Arial"/>
          <w:sz w:val="22"/>
          <w:lang w:val="es-ES_tradnl" w:eastAsia="en-GB"/>
        </w:rPr>
        <w:t xml:space="preserve">. De esta manera, </w:t>
      </w:r>
      <w:r w:rsidRPr="004E7030">
        <w:rPr>
          <w:rFonts w:ascii="Arial" w:eastAsia="Calibri" w:hAnsi="Arial" w:cs="Arial"/>
          <w:sz w:val="22"/>
          <w:lang w:val="es-ES_tradnl" w:eastAsia="en-GB"/>
        </w:rPr>
        <w:lastRenderedPageBreak/>
        <w:t xml:space="preserve">en el evento en que se defina por parte de este comité técnico que la obra civil es catalogada como inconclusa, pero por causas no imputables al contratista, se deberán incluir en el Registro Nacional de Obras Civiles Inconclusas los datos correspondientes que den cuenta de esta situación.  </w:t>
      </w:r>
    </w:p>
    <w:p w14:paraId="064B435D" w14:textId="77777777" w:rsidR="000B05F4" w:rsidRPr="004E7030" w:rsidRDefault="000B05F4" w:rsidP="000B05F4">
      <w:pPr>
        <w:pStyle w:val="Prrafodelista"/>
        <w:shd w:val="clear" w:color="auto" w:fill="FFFFFF"/>
        <w:jc w:val="both"/>
        <w:rPr>
          <w:rFonts w:ascii="Arial" w:eastAsia="Times New Roman" w:hAnsi="Arial" w:cs="Arial"/>
          <w:i/>
          <w:iCs/>
          <w:sz w:val="22"/>
          <w:szCs w:val="22"/>
          <w:lang w:val="es-ES" w:eastAsia="es-MX"/>
        </w:rPr>
      </w:pPr>
    </w:p>
    <w:p w14:paraId="10640966" w14:textId="7C79B709" w:rsidR="000B05F4" w:rsidRPr="00B8214F" w:rsidRDefault="00B50A4D" w:rsidP="00733076">
      <w:pPr>
        <w:pStyle w:val="Prrafodelista"/>
        <w:shd w:val="clear" w:color="auto" w:fill="FFFFFF"/>
        <w:ind w:right="709"/>
        <w:jc w:val="both"/>
        <w:rPr>
          <w:rFonts w:ascii="Arial" w:eastAsia="Times New Roman" w:hAnsi="Arial" w:cs="Arial"/>
          <w:sz w:val="21"/>
          <w:szCs w:val="21"/>
          <w:lang w:val="es-ES" w:eastAsia="es-MX"/>
        </w:rPr>
      </w:pPr>
      <w:r w:rsidRPr="00B8214F">
        <w:rPr>
          <w:rFonts w:ascii="Arial" w:eastAsia="Times New Roman" w:hAnsi="Arial" w:cs="Arial"/>
          <w:sz w:val="21"/>
          <w:szCs w:val="21"/>
          <w:lang w:val="es-ES" w:eastAsia="es-MX"/>
        </w:rPr>
        <w:t>«</w:t>
      </w:r>
      <w:r w:rsidR="000B05F4" w:rsidRPr="00B8214F">
        <w:rPr>
          <w:rFonts w:ascii="Arial" w:eastAsia="Times New Roman" w:hAnsi="Arial" w:cs="Arial"/>
          <w:sz w:val="21"/>
          <w:szCs w:val="21"/>
          <w:lang w:val="es-ES" w:eastAsia="es-MX"/>
        </w:rPr>
        <w:t>3. ¿Si un contrato de obra no concluyó de manera satisfactoria por causas imputables al contratista objeto de Interventoría y el interventor ejecutó a cabalidad sus obligaciones, este es sujeto de estar en dicho registro?</w:t>
      </w:r>
    </w:p>
    <w:p w14:paraId="41FF88F3" w14:textId="77777777" w:rsidR="00B50A4D" w:rsidRDefault="00B50A4D" w:rsidP="00733076">
      <w:pPr>
        <w:pStyle w:val="Prrafodelista"/>
        <w:shd w:val="clear" w:color="auto" w:fill="FFFFFF"/>
        <w:ind w:right="709"/>
        <w:jc w:val="both"/>
        <w:rPr>
          <w:rFonts w:ascii="Arial" w:eastAsia="Times New Roman" w:hAnsi="Arial" w:cs="Arial"/>
          <w:sz w:val="21"/>
          <w:szCs w:val="21"/>
          <w:lang w:val="es-ES" w:eastAsia="es-MX"/>
        </w:rPr>
      </w:pPr>
    </w:p>
    <w:p w14:paraId="68C953E3" w14:textId="785DCFF3" w:rsidR="000B05F4" w:rsidRPr="00B8214F" w:rsidRDefault="000B05F4" w:rsidP="00733076">
      <w:pPr>
        <w:pStyle w:val="Prrafodelista"/>
        <w:shd w:val="clear" w:color="auto" w:fill="FFFFFF"/>
        <w:ind w:right="709"/>
        <w:jc w:val="both"/>
        <w:rPr>
          <w:rFonts w:ascii="Arial" w:eastAsia="Times New Roman" w:hAnsi="Arial" w:cs="Arial"/>
          <w:sz w:val="21"/>
          <w:szCs w:val="21"/>
          <w:lang w:val="es-ES" w:eastAsia="es-MX"/>
        </w:rPr>
      </w:pPr>
      <w:r w:rsidRPr="00B8214F">
        <w:rPr>
          <w:rFonts w:ascii="Arial" w:eastAsia="Times New Roman" w:hAnsi="Arial" w:cs="Arial"/>
          <w:sz w:val="21"/>
          <w:szCs w:val="21"/>
          <w:lang w:val="es-ES" w:eastAsia="es-MX"/>
        </w:rPr>
        <w:t>4. ¿Cuáles son los criterios que debe tener en cuenta una Entidad Estatal al momento de realizar el registro frente al papel del Interventor en el Registro Nacional de Obras Civiles Inconclusas?</w:t>
      </w:r>
      <w:r w:rsidR="00B50A4D" w:rsidRPr="00B8214F">
        <w:rPr>
          <w:rFonts w:ascii="Arial" w:eastAsia="Times New Roman" w:hAnsi="Arial" w:cs="Arial"/>
          <w:sz w:val="21"/>
          <w:szCs w:val="21"/>
          <w:lang w:val="es-ES" w:eastAsia="es-MX"/>
        </w:rPr>
        <w:t>»</w:t>
      </w:r>
    </w:p>
    <w:p w14:paraId="0EA41066" w14:textId="77777777" w:rsidR="000B05F4" w:rsidRPr="004E7030" w:rsidRDefault="000B05F4" w:rsidP="000B05F4">
      <w:pPr>
        <w:pStyle w:val="Prrafodelista"/>
        <w:rPr>
          <w:rFonts w:ascii="Arial" w:eastAsia="Times New Roman" w:hAnsi="Arial" w:cs="Arial"/>
          <w:i/>
          <w:iCs/>
          <w:sz w:val="22"/>
          <w:szCs w:val="22"/>
          <w:lang w:val="es-ES" w:eastAsia="es-MX"/>
        </w:rPr>
      </w:pPr>
    </w:p>
    <w:p w14:paraId="286E84F0" w14:textId="5356223B" w:rsidR="000B05F4" w:rsidRPr="004E7030" w:rsidRDefault="000B05F4" w:rsidP="00B8214F">
      <w:pPr>
        <w:shd w:val="clear" w:color="auto" w:fill="FFFFFF"/>
        <w:spacing w:after="120"/>
        <w:ind w:firstLine="709"/>
        <w:rPr>
          <w:rFonts w:ascii="Arial" w:eastAsia="Times New Roman" w:hAnsi="Arial" w:cs="Arial"/>
          <w:sz w:val="22"/>
          <w:lang w:eastAsia="es-ES_tradnl"/>
        </w:rPr>
      </w:pPr>
      <w:r w:rsidRPr="004E7030">
        <w:rPr>
          <w:rFonts w:ascii="Arial" w:eastAsia="Times New Roman" w:hAnsi="Arial" w:cs="Arial"/>
          <w:sz w:val="22"/>
          <w:lang w:val="es-ES" w:eastAsia="es-MX"/>
        </w:rPr>
        <w:t xml:space="preserve">Como se expresó anteriormente, en el Registro Nacional de Obras Civiles Inconclusas reposa </w:t>
      </w:r>
      <w:r w:rsidRPr="004E7030">
        <w:rPr>
          <w:rFonts w:ascii="Arial" w:eastAsia="Calibri" w:hAnsi="Arial" w:cs="Arial"/>
          <w:sz w:val="22"/>
          <w:lang w:val="es-ES_tradnl" w:eastAsia="en-GB"/>
        </w:rPr>
        <w:t>cualquier trabajo material sobre bienes inmuebles, cualquiera que sea la modalidad de ejecución y pago, que un año después de vencido el término de liquidación contractual, no haya concluido de manera satisfactoria para el interés general, o no esté prestando el servicio para el cual fue contratada, al margen del</w:t>
      </w:r>
      <w:r w:rsidRPr="004E7030">
        <w:rPr>
          <w:rFonts w:ascii="Arial" w:eastAsia="Times New Roman" w:hAnsi="Arial" w:cs="Arial"/>
          <w:sz w:val="22"/>
          <w:lang w:val="es-ES_tradnl" w:eastAsia="es-MX"/>
        </w:rPr>
        <w:t xml:space="preserve"> </w:t>
      </w:r>
      <w:r w:rsidRPr="004E7030">
        <w:rPr>
          <w:rFonts w:ascii="Arial" w:eastAsia="Times New Roman" w:hAnsi="Arial" w:cs="Arial"/>
          <w:sz w:val="22"/>
          <w:lang w:val="es-ES" w:eastAsia="es-MX"/>
        </w:rPr>
        <w:t>comportamiento culposo o doloso del contratista de obra o del interventor.</w:t>
      </w:r>
      <w:r w:rsidR="00863E3C">
        <w:rPr>
          <w:rFonts w:ascii="Arial" w:eastAsia="Times New Roman" w:hAnsi="Arial" w:cs="Arial"/>
          <w:sz w:val="22"/>
          <w:lang w:val="es-ES" w:eastAsia="es-MX"/>
        </w:rPr>
        <w:t xml:space="preserve"> </w:t>
      </w:r>
      <w:r w:rsidR="00BF4467">
        <w:rPr>
          <w:rFonts w:ascii="Arial" w:eastAsia="Times New Roman" w:hAnsi="Arial" w:cs="Arial"/>
          <w:sz w:val="22"/>
          <w:lang w:val="es-ES" w:eastAsia="es-MX"/>
        </w:rPr>
        <w:t>No obstante, s</w:t>
      </w:r>
      <w:r w:rsidRPr="004E7030">
        <w:rPr>
          <w:rFonts w:ascii="Arial" w:eastAsia="Times New Roman" w:hAnsi="Arial" w:cs="Arial"/>
          <w:sz w:val="22"/>
          <w:lang w:val="es-ES" w:eastAsia="es-MX"/>
        </w:rPr>
        <w:t xml:space="preserve">i bien las circunstancias de incumplimiento deberán reposar también en el registro, la inclusión de una obra en el sistema </w:t>
      </w:r>
      <w:r w:rsidR="003309A3">
        <w:rPr>
          <w:rFonts w:ascii="Arial" w:eastAsia="Times New Roman" w:hAnsi="Arial" w:cs="Arial"/>
          <w:sz w:val="22"/>
          <w:lang w:val="es-ES" w:eastAsia="es-MX"/>
        </w:rPr>
        <w:t>–</w:t>
      </w:r>
      <w:r w:rsidRPr="004E7030">
        <w:rPr>
          <w:rFonts w:ascii="Arial" w:eastAsia="Times New Roman" w:hAnsi="Arial" w:cs="Arial"/>
          <w:sz w:val="22"/>
          <w:lang w:val="es-ES" w:eastAsia="es-MX"/>
        </w:rPr>
        <w:t>junto con los datos del contrato de interventoría</w:t>
      </w:r>
      <w:r w:rsidR="003309A3">
        <w:rPr>
          <w:rFonts w:ascii="Arial" w:eastAsia="Times New Roman" w:hAnsi="Arial" w:cs="Arial"/>
          <w:sz w:val="22"/>
          <w:lang w:val="es-ES" w:eastAsia="es-MX"/>
        </w:rPr>
        <w:t>–</w:t>
      </w:r>
      <w:r w:rsidRPr="004E7030">
        <w:rPr>
          <w:rFonts w:ascii="Arial" w:eastAsia="Times New Roman" w:hAnsi="Arial" w:cs="Arial"/>
          <w:sz w:val="22"/>
          <w:lang w:val="es-ES" w:eastAsia="es-MX"/>
        </w:rPr>
        <w:t>no implican automáticamente consecuencias jurídicas posteriores para el interventor</w:t>
      </w:r>
      <w:r w:rsidR="00BF4467">
        <w:rPr>
          <w:rFonts w:ascii="Arial" w:eastAsia="Times New Roman" w:hAnsi="Arial" w:cs="Arial"/>
          <w:sz w:val="22"/>
          <w:lang w:val="es-ES" w:eastAsia="es-MX"/>
        </w:rPr>
        <w:t xml:space="preserve"> ya que,</w:t>
      </w:r>
      <w:r w:rsidRPr="004E7030">
        <w:rPr>
          <w:rFonts w:ascii="Arial" w:eastAsia="Times New Roman" w:hAnsi="Arial" w:cs="Arial"/>
          <w:sz w:val="22"/>
          <w:lang w:val="es-ES" w:eastAsia="es-MX"/>
        </w:rPr>
        <w:t xml:space="preserve"> </w:t>
      </w:r>
      <w:r w:rsidR="00BF4467">
        <w:rPr>
          <w:rFonts w:ascii="Arial" w:eastAsia="Times New Roman" w:hAnsi="Arial" w:cs="Arial"/>
          <w:sz w:val="22"/>
          <w:lang w:val="es-ES" w:eastAsia="es-MX"/>
        </w:rPr>
        <w:t>s</w:t>
      </w:r>
      <w:r w:rsidRPr="004E7030">
        <w:rPr>
          <w:rFonts w:ascii="Arial" w:eastAsia="Times New Roman" w:hAnsi="Arial" w:cs="Arial"/>
          <w:sz w:val="22"/>
          <w:lang w:val="es-ES" w:eastAsia="es-MX"/>
        </w:rPr>
        <w:t xml:space="preserve">olo </w:t>
      </w:r>
      <w:r w:rsidRPr="004E7030">
        <w:rPr>
          <w:rFonts w:ascii="Arial" w:eastAsia="Times New Roman" w:hAnsi="Arial" w:cs="Arial"/>
          <w:sz w:val="22"/>
          <w:lang w:eastAsia="es-ES_tradnl"/>
        </w:rPr>
        <w:t>en aquellos casos en que el estado inconcluso de la obra se derive del incumplimiento del interventor, o de su conducta culposa o dolosa, la anotación tendrá la posibilidad de afectar la ponderación de los criterios de evaluación en un futuro proceso de selección objetiva.</w:t>
      </w:r>
    </w:p>
    <w:p w14:paraId="3517A76D" w14:textId="7EF512BD" w:rsidR="000B05F4" w:rsidRPr="000B05F4" w:rsidRDefault="000B05F4" w:rsidP="00B8214F">
      <w:pPr>
        <w:spacing w:before="120" w:after="0"/>
        <w:ind w:firstLine="708"/>
        <w:rPr>
          <w:rFonts w:ascii="Arial" w:eastAsia="Times New Roman" w:hAnsi="Arial" w:cs="Arial"/>
          <w:sz w:val="22"/>
          <w:lang w:eastAsia="es-ES_tradnl"/>
        </w:rPr>
      </w:pPr>
      <w:r w:rsidRPr="004E7030">
        <w:rPr>
          <w:rFonts w:ascii="Arial" w:eastAsia="Times New Roman" w:hAnsi="Arial" w:cs="Arial"/>
          <w:sz w:val="22"/>
          <w:lang w:eastAsia="es-ES_tradnl"/>
        </w:rPr>
        <w:t xml:space="preserve">Así, el artículo 4 </w:t>
      </w:r>
      <w:r w:rsidRPr="004E7030">
        <w:rPr>
          <w:rFonts w:ascii="Arial" w:eastAsia="Times New Roman" w:hAnsi="Arial" w:cs="Arial"/>
          <w:i/>
          <w:iCs/>
          <w:sz w:val="22"/>
          <w:lang w:eastAsia="es-ES_tradnl"/>
        </w:rPr>
        <w:t>ibídem</w:t>
      </w:r>
      <w:r w:rsidRPr="004E7030">
        <w:rPr>
          <w:rFonts w:ascii="Arial" w:eastAsia="Times New Roman" w:hAnsi="Arial" w:cs="Arial"/>
          <w:sz w:val="22"/>
          <w:lang w:eastAsia="es-ES_tradnl"/>
        </w:rPr>
        <w:t>, al establecer el contenido mínimo de la información a incorporar en el Registro cuando una obra deba ser incluida, incluye: (i) la identificación de los interventores; (ii) el informe final presentado por el interventor; así como los demás documentos que den cuenta de un posible incumplimiento de sus obligaciones. Documentación que, en todo caso, podrá dar cuenta del comportamiento diligente -a cabalidad con sus obligaciones- del interventor de la obra civil inconclusa.</w:t>
      </w:r>
    </w:p>
    <w:p w14:paraId="5D0E2930" w14:textId="77777777" w:rsidR="00671B44" w:rsidRPr="000B05F4" w:rsidRDefault="00671B44" w:rsidP="00671B44">
      <w:pPr>
        <w:spacing w:after="0"/>
        <w:rPr>
          <w:rFonts w:ascii="Arial" w:eastAsia="Calibri" w:hAnsi="Arial" w:cs="Arial"/>
          <w:sz w:val="22"/>
        </w:rPr>
      </w:pPr>
    </w:p>
    <w:p w14:paraId="034F082F" w14:textId="77777777" w:rsidR="00671B44" w:rsidRDefault="00671B44" w:rsidP="00671B44">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09F99C37" w14:textId="77777777" w:rsidR="00671B44" w:rsidRPr="00113653" w:rsidRDefault="00671B44" w:rsidP="00671B44">
      <w:pPr>
        <w:spacing w:after="0"/>
        <w:rPr>
          <w:rFonts w:ascii="Times New Roman" w:eastAsia="Times New Roman" w:hAnsi="Times New Roman" w:cs="Times New Roman"/>
          <w:szCs w:val="24"/>
          <w:lang w:val="es-CO" w:eastAsia="es-ES_tradnl"/>
        </w:rPr>
      </w:pPr>
    </w:p>
    <w:p w14:paraId="47EA92BE" w14:textId="77777777" w:rsidR="00671B44" w:rsidRPr="008E3D73" w:rsidRDefault="00671B44" w:rsidP="00671B44">
      <w:pPr>
        <w:rPr>
          <w:rFonts w:ascii="Arial" w:eastAsia="Times New Roman" w:hAnsi="Arial" w:cs="Arial"/>
          <w:sz w:val="22"/>
          <w:lang w:val="es-CO" w:eastAsia="es-CO"/>
        </w:rPr>
      </w:pPr>
      <w:r w:rsidRPr="00446B03">
        <w:rPr>
          <w:rFonts w:ascii="Arial" w:eastAsia="Times New Roman" w:hAnsi="Arial" w:cs="Arial"/>
          <w:sz w:val="22"/>
          <w:lang w:val="es-CO" w:eastAsia="es-CO"/>
        </w:rPr>
        <w:lastRenderedPageBreak/>
        <w:t>Atentamente,</w:t>
      </w:r>
      <w:bookmarkEnd w:id="1"/>
      <w:bookmarkEnd w:id="12"/>
    </w:p>
    <w:p w14:paraId="0D0C6CAB" w14:textId="5BADCC47" w:rsidR="00671B44" w:rsidRDefault="00671B44" w:rsidP="00671B44">
      <w:pPr>
        <w:jc w:val="center"/>
        <w:rPr>
          <w:rFonts w:ascii="Arial" w:eastAsia="Times New Roman" w:hAnsi="Arial" w:cs="Arial"/>
          <w:color w:val="000000"/>
          <w:lang w:val="es-ES_tradnl" w:eastAsia="es-CO"/>
        </w:rPr>
      </w:pPr>
    </w:p>
    <w:p w14:paraId="3582AFF6" w14:textId="71F26D5F" w:rsidR="0002038C" w:rsidRPr="004212E5" w:rsidRDefault="0002038C" w:rsidP="00671B44">
      <w:pPr>
        <w:jc w:val="center"/>
        <w:rPr>
          <w:rFonts w:ascii="Arial" w:eastAsia="Times New Roman" w:hAnsi="Arial" w:cs="Arial"/>
          <w:color w:val="000000"/>
          <w:lang w:val="es-ES_tradnl" w:eastAsia="es-CO"/>
        </w:rPr>
      </w:pPr>
      <w:r>
        <w:rPr>
          <w:noProof/>
        </w:rPr>
        <w:drawing>
          <wp:inline distT="0" distB="0" distL="0" distR="0" wp14:anchorId="7C5AD290" wp14:editId="434CE4A9">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71B44" w:rsidRPr="00530937" w14:paraId="2769D3FD" w14:textId="77777777" w:rsidTr="009C207B">
        <w:trPr>
          <w:trHeight w:val="315"/>
        </w:trPr>
        <w:tc>
          <w:tcPr>
            <w:tcW w:w="812" w:type="dxa"/>
            <w:vAlign w:val="center"/>
          </w:tcPr>
          <w:p w14:paraId="30B184A9" w14:textId="77777777" w:rsidR="00671B44" w:rsidRPr="00FD2DFE" w:rsidRDefault="00671B44" w:rsidP="00B8214F">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53B0523" w14:textId="77777777" w:rsidR="00671B44" w:rsidRPr="00FD2DFE" w:rsidRDefault="00671B44" w:rsidP="00B8214F">
            <w:pPr>
              <w:spacing w:after="0"/>
              <w:rPr>
                <w:rFonts w:ascii="Arial" w:eastAsia="Times New Roman" w:hAnsi="Arial" w:cs="Arial"/>
                <w:sz w:val="16"/>
                <w:szCs w:val="16"/>
                <w:lang w:eastAsia="es-ES"/>
              </w:rPr>
            </w:pPr>
            <w:r>
              <w:rPr>
                <w:rFonts w:ascii="Arial" w:eastAsia="Times New Roman" w:hAnsi="Arial" w:cs="Arial"/>
                <w:sz w:val="16"/>
                <w:szCs w:val="16"/>
                <w:lang w:eastAsia="es-ES"/>
              </w:rPr>
              <w:t>Juan Carlos Covilla Martínez</w:t>
            </w:r>
          </w:p>
          <w:p w14:paraId="6440DCF7" w14:textId="77777777" w:rsidR="00671B44" w:rsidRPr="00FD2DFE" w:rsidRDefault="00671B44" w:rsidP="00B8214F">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 xml:space="preserve">Contratista de la Subdirección de Gestión Contractual  </w:t>
            </w:r>
          </w:p>
        </w:tc>
      </w:tr>
      <w:tr w:rsidR="00671B44" w:rsidRPr="00530937" w14:paraId="22608D43" w14:textId="77777777" w:rsidTr="009C207B">
        <w:trPr>
          <w:trHeight w:val="330"/>
        </w:trPr>
        <w:tc>
          <w:tcPr>
            <w:tcW w:w="812" w:type="dxa"/>
            <w:vAlign w:val="center"/>
          </w:tcPr>
          <w:p w14:paraId="21F645BD" w14:textId="77777777" w:rsidR="00671B44" w:rsidRPr="00FD2DFE" w:rsidRDefault="00671B44" w:rsidP="00B8214F">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FDE194E" w14:textId="773B921A" w:rsidR="00671B44" w:rsidRPr="00FD2DFE" w:rsidRDefault="00671B44" w:rsidP="00B8214F">
            <w:pPr>
              <w:spacing w:after="0"/>
              <w:rPr>
                <w:rFonts w:ascii="Arial" w:hAnsi="Arial" w:cs="Arial"/>
                <w:sz w:val="16"/>
                <w:szCs w:val="16"/>
                <w:lang w:eastAsia="es-ES"/>
              </w:rPr>
            </w:pPr>
            <w:r>
              <w:rPr>
                <w:rFonts w:ascii="Arial" w:hAnsi="Arial" w:cs="Arial"/>
                <w:sz w:val="16"/>
                <w:szCs w:val="16"/>
                <w:lang w:eastAsia="es-ES"/>
              </w:rPr>
              <w:t>Alejandro Sarmiento</w:t>
            </w:r>
            <w:r w:rsidR="00A142AA">
              <w:rPr>
                <w:rFonts w:ascii="Arial" w:hAnsi="Arial" w:cs="Arial"/>
                <w:sz w:val="16"/>
                <w:szCs w:val="16"/>
                <w:lang w:eastAsia="es-ES"/>
              </w:rPr>
              <w:t xml:space="preserve"> Canti</w:t>
            </w:r>
            <w:r w:rsidR="00637950">
              <w:rPr>
                <w:rFonts w:ascii="Arial" w:hAnsi="Arial" w:cs="Arial"/>
                <w:sz w:val="16"/>
                <w:szCs w:val="16"/>
                <w:lang w:eastAsia="es-ES"/>
              </w:rPr>
              <w:t>llo</w:t>
            </w:r>
          </w:p>
          <w:p w14:paraId="067DC7A4" w14:textId="1E9F3CB9" w:rsidR="00671B44" w:rsidRPr="00FD2DFE" w:rsidRDefault="00637950" w:rsidP="00B8214F">
            <w:pPr>
              <w:spacing w:after="0"/>
              <w:rPr>
                <w:rFonts w:ascii="Arial" w:eastAsia="Times New Roman" w:hAnsi="Arial" w:cs="Arial"/>
                <w:sz w:val="16"/>
                <w:szCs w:val="16"/>
                <w:lang w:eastAsia="es-ES"/>
              </w:rPr>
            </w:pPr>
            <w:r>
              <w:rPr>
                <w:rFonts w:ascii="Arial" w:hAnsi="Arial" w:cs="Arial"/>
                <w:sz w:val="16"/>
                <w:szCs w:val="16"/>
                <w:lang w:eastAsia="es-ES"/>
              </w:rPr>
              <w:t>Gestor T1-15</w:t>
            </w:r>
            <w:r w:rsidRPr="00FD2DFE">
              <w:rPr>
                <w:rFonts w:ascii="Arial" w:hAnsi="Arial" w:cs="Arial"/>
                <w:sz w:val="16"/>
                <w:szCs w:val="16"/>
                <w:lang w:eastAsia="es-ES"/>
              </w:rPr>
              <w:t xml:space="preserve"> </w:t>
            </w:r>
            <w:r w:rsidR="00671B44" w:rsidRPr="00FD2DFE">
              <w:rPr>
                <w:rFonts w:ascii="Arial" w:hAnsi="Arial" w:cs="Arial"/>
                <w:sz w:val="16"/>
                <w:szCs w:val="16"/>
                <w:lang w:eastAsia="es-ES"/>
              </w:rPr>
              <w:t>de la Subdirección de Gestión Contractual</w:t>
            </w:r>
          </w:p>
        </w:tc>
      </w:tr>
      <w:tr w:rsidR="00671B44" w:rsidRPr="00530937" w14:paraId="7C7C3661" w14:textId="77777777" w:rsidTr="009C207B">
        <w:trPr>
          <w:trHeight w:val="300"/>
        </w:trPr>
        <w:tc>
          <w:tcPr>
            <w:tcW w:w="812" w:type="dxa"/>
            <w:vAlign w:val="center"/>
          </w:tcPr>
          <w:p w14:paraId="6D17FD08" w14:textId="77777777" w:rsidR="00671B44" w:rsidRPr="00FD2DFE" w:rsidRDefault="00671B44" w:rsidP="00B8214F">
            <w:pPr>
              <w:spacing w:after="0"/>
              <w:rPr>
                <w:rFonts w:ascii="Arial" w:eastAsia="Times New Roman" w:hAnsi="Arial" w:cs="Arial"/>
                <w:sz w:val="16"/>
                <w:szCs w:val="16"/>
                <w:lang w:eastAsia="es-ES"/>
              </w:rPr>
            </w:pPr>
            <w:r w:rsidRPr="00FD2DF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C5316DD" w14:textId="77777777" w:rsidR="00671B44" w:rsidRPr="00530937" w:rsidRDefault="00671B44" w:rsidP="00B8214F">
            <w:pPr>
              <w:spacing w:after="0"/>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2AA0F8F9" w14:textId="77777777" w:rsidR="00671B44" w:rsidRPr="00FD2DFE" w:rsidRDefault="00671B44" w:rsidP="00B8214F">
            <w:pPr>
              <w:spacing w:after="0"/>
              <w:rPr>
                <w:rFonts w:ascii="Arial" w:eastAsia="Times New Roman" w:hAnsi="Arial" w:cs="Arial"/>
                <w:sz w:val="16"/>
                <w:szCs w:val="16"/>
                <w:lang w:eastAsia="es-ES"/>
              </w:rPr>
            </w:pPr>
            <w:r w:rsidRPr="00530937">
              <w:rPr>
                <w:rFonts w:ascii="Arial" w:eastAsia="Calibri" w:hAnsi="Arial" w:cs="Arial"/>
                <w:sz w:val="16"/>
                <w:szCs w:val="16"/>
                <w:lang w:eastAsia="es-ES"/>
              </w:rPr>
              <w:t xml:space="preserve">Subdirector de Gestión Contractual </w:t>
            </w:r>
            <w:r w:rsidRPr="00530937">
              <w:rPr>
                <w:rFonts w:ascii="Arial" w:eastAsia="Calibri" w:hAnsi="Arial" w:cs="Arial"/>
                <w:sz w:val="16"/>
                <w:szCs w:val="16"/>
                <w:lang w:val="pt-BR" w:eastAsia="es-ES"/>
              </w:rPr>
              <w:t>(E)</w:t>
            </w:r>
          </w:p>
        </w:tc>
      </w:tr>
    </w:tbl>
    <w:p w14:paraId="443F23D8" w14:textId="77777777" w:rsidR="00671B44" w:rsidRPr="006674C1" w:rsidRDefault="00671B44" w:rsidP="00671B44">
      <w:pPr>
        <w:spacing w:after="120"/>
        <w:contextualSpacing/>
        <w:rPr>
          <w:rFonts w:ascii="Arial" w:eastAsia="Calibri" w:hAnsi="Arial" w:cs="Arial"/>
          <w:b/>
          <w:bCs/>
          <w:sz w:val="20"/>
          <w:szCs w:val="20"/>
        </w:rPr>
      </w:pPr>
    </w:p>
    <w:p w14:paraId="454EF201" w14:textId="77777777" w:rsidR="00671B44" w:rsidRDefault="00671B44" w:rsidP="00671B44"/>
    <w:p w14:paraId="00A6F6B8" w14:textId="77777777" w:rsidR="00671B44" w:rsidRDefault="00671B44" w:rsidP="00671B44"/>
    <w:p w14:paraId="3FB3094D" w14:textId="77777777" w:rsidR="00651A7A" w:rsidRDefault="00651A7A"/>
    <w:sectPr w:rsidR="00651A7A" w:rsidSect="00491E2D">
      <w:headerReference w:type="default" r:id="rId9"/>
      <w:footerReference w:type="default" r:id="rId10"/>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B0518" w14:textId="77777777" w:rsidR="003D68EC" w:rsidRDefault="003D68EC" w:rsidP="00671B44">
      <w:pPr>
        <w:spacing w:after="0" w:line="240" w:lineRule="auto"/>
      </w:pPr>
      <w:r>
        <w:separator/>
      </w:r>
    </w:p>
  </w:endnote>
  <w:endnote w:type="continuationSeparator" w:id="0">
    <w:p w14:paraId="72F2B28D" w14:textId="77777777" w:rsidR="003D68EC" w:rsidRDefault="003D68EC" w:rsidP="00671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F6130" w14:textId="77777777" w:rsidR="00412132" w:rsidRDefault="00000000" w:rsidP="00B6444C">
    <w:pPr>
      <w:pStyle w:val="Sinespaciado"/>
      <w:rPr>
        <w:rFonts w:ascii="Arial" w:hAnsi="Arial" w:cs="Arial"/>
        <w:sz w:val="18"/>
        <w:szCs w:val="18"/>
      </w:rPr>
    </w:pPr>
  </w:p>
  <w:p w14:paraId="3B704C9F" w14:textId="77777777" w:rsidR="00412132" w:rsidRPr="005A79FE" w:rsidRDefault="0000000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5E3855F6" w14:textId="77777777" w:rsidR="00412132" w:rsidRDefault="00000000" w:rsidP="007B0854">
    <w:pPr>
      <w:pStyle w:val="Piedepgina"/>
      <w:jc w:val="center"/>
      <w:rPr>
        <w:lang w:val="es-ES"/>
      </w:rPr>
    </w:pPr>
    <w:r>
      <w:rPr>
        <w:noProof/>
        <w:lang w:val="es-CO" w:eastAsia="es-CO"/>
      </w:rPr>
      <w:drawing>
        <wp:inline distT="0" distB="0" distL="0" distR="0" wp14:anchorId="381A5023" wp14:editId="648131C5">
          <wp:extent cx="4241994" cy="595165"/>
          <wp:effectExtent l="0" t="0" r="6350" b="0"/>
          <wp:docPr id="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3246B548" w14:textId="77777777" w:rsidR="00412132" w:rsidRPr="007B0854" w:rsidRDefault="000000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E2AEA" w14:textId="77777777" w:rsidR="003D68EC" w:rsidRDefault="003D68EC" w:rsidP="00671B44">
      <w:pPr>
        <w:spacing w:after="0" w:line="240" w:lineRule="auto"/>
      </w:pPr>
      <w:r>
        <w:separator/>
      </w:r>
    </w:p>
  </w:footnote>
  <w:footnote w:type="continuationSeparator" w:id="0">
    <w:p w14:paraId="6689BD4B" w14:textId="77777777" w:rsidR="003D68EC" w:rsidRDefault="003D68EC" w:rsidP="00671B44">
      <w:pPr>
        <w:spacing w:after="0" w:line="240" w:lineRule="auto"/>
      </w:pPr>
      <w:r>
        <w:continuationSeparator/>
      </w:r>
    </w:p>
  </w:footnote>
  <w:footnote w:id="1">
    <w:p w14:paraId="1974F3B6" w14:textId="77777777" w:rsidR="00577FDB" w:rsidRPr="00B8214F" w:rsidRDefault="00577FDB" w:rsidP="00B8214F">
      <w:pPr>
        <w:pStyle w:val="Textonotapie"/>
        <w:spacing w:after="0" w:line="240" w:lineRule="auto"/>
        <w:ind w:firstLine="709"/>
        <w:rPr>
          <w:rFonts w:ascii="Arial" w:hAnsi="Arial" w:cs="Arial"/>
          <w:sz w:val="19"/>
          <w:szCs w:val="19"/>
        </w:rPr>
      </w:pPr>
    </w:p>
    <w:p w14:paraId="36B64FBB" w14:textId="77777777" w:rsidR="00577FDB" w:rsidRPr="00B8214F" w:rsidRDefault="00577FDB" w:rsidP="00B8214F">
      <w:pPr>
        <w:pStyle w:val="Textonotapie"/>
        <w:spacing w:after="0" w:line="240" w:lineRule="auto"/>
        <w:ind w:firstLine="709"/>
        <w:rPr>
          <w:rFonts w:ascii="Arial" w:hAnsi="Arial" w:cs="Arial"/>
          <w:sz w:val="19"/>
          <w:szCs w:val="19"/>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ES"/>
        </w:rPr>
        <w:t xml:space="preserve">Sobre el particular, se puede consultar la Gaceta 158 del cuarto debate en el Senado. Disponible en: </w:t>
      </w:r>
      <w:hyperlink r:id="rId1" w:history="1">
        <w:r w:rsidRPr="00EC01D8">
          <w:rPr>
            <w:rFonts w:ascii="Arial" w:hAnsi="Arial" w:cs="Arial"/>
            <w:sz w:val="19"/>
            <w:szCs w:val="19"/>
            <w:lang w:val="es-ES"/>
          </w:rPr>
          <w:t>http://svrpubindc.imprenta.gov.co/senado/index.xhtml;jsessionid=b3ba7213a248bacd37376ffcedca</w:t>
        </w:r>
      </w:hyperlink>
      <w:r w:rsidRPr="00EC01D8">
        <w:rPr>
          <w:rFonts w:ascii="Arial" w:hAnsi="Arial" w:cs="Arial"/>
          <w:sz w:val="19"/>
          <w:szCs w:val="19"/>
          <w:lang w:val="es-ES"/>
        </w:rPr>
        <w:t xml:space="preserve">  </w:t>
      </w:r>
      <w:r w:rsidRPr="00B8214F">
        <w:rPr>
          <w:rFonts w:ascii="Arial" w:hAnsi="Arial" w:cs="Arial"/>
          <w:sz w:val="19"/>
          <w:szCs w:val="19"/>
        </w:rPr>
        <w:t xml:space="preserve"> </w:t>
      </w:r>
    </w:p>
  </w:footnote>
  <w:footnote w:id="2">
    <w:p w14:paraId="0B1D7EC5" w14:textId="77777777" w:rsidR="00577FDB" w:rsidRPr="00EC01D8" w:rsidRDefault="00577FDB" w:rsidP="00B8214F">
      <w:pPr>
        <w:pStyle w:val="Textonotapie"/>
        <w:spacing w:after="0" w:line="240" w:lineRule="auto"/>
        <w:rPr>
          <w:rFonts w:ascii="Arial" w:hAnsi="Arial" w:cs="Arial"/>
          <w:sz w:val="19"/>
          <w:szCs w:val="19"/>
        </w:rPr>
      </w:pPr>
    </w:p>
    <w:p w14:paraId="05950A23"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41B28787" w14:textId="77777777" w:rsidR="00577FDB" w:rsidRPr="00EC01D8" w:rsidRDefault="00577FDB" w:rsidP="00B8214F">
      <w:pPr>
        <w:pStyle w:val="Textonotapie"/>
        <w:spacing w:after="0" w:line="240" w:lineRule="auto"/>
        <w:ind w:firstLine="709"/>
        <w:rPr>
          <w:rFonts w:ascii="Arial" w:hAnsi="Arial" w:cs="Arial"/>
          <w:sz w:val="19"/>
          <w:szCs w:val="19"/>
          <w:lang w:val="es-ES"/>
        </w:rPr>
      </w:pPr>
    </w:p>
  </w:footnote>
  <w:footnote w:id="3">
    <w:p w14:paraId="79062353" w14:textId="77777777" w:rsidR="00577FDB" w:rsidRPr="00B8214F" w:rsidRDefault="00577FDB" w:rsidP="00B8214F">
      <w:pPr>
        <w:pStyle w:val="Textonotapie"/>
        <w:spacing w:after="0" w:line="240" w:lineRule="auto"/>
        <w:ind w:firstLine="709"/>
        <w:rPr>
          <w:rFonts w:ascii="Arial" w:hAnsi="Arial" w:cs="Arial"/>
          <w:sz w:val="19"/>
          <w:szCs w:val="19"/>
        </w:rPr>
      </w:pPr>
    </w:p>
    <w:p w14:paraId="7B862CD2"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ES"/>
        </w:rPr>
        <w:t>«Artículo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con que cuente en cada vigencia».</w:t>
      </w:r>
    </w:p>
    <w:p w14:paraId="6572764A" w14:textId="77777777" w:rsidR="00577FDB" w:rsidRPr="00B8214F" w:rsidRDefault="00577FDB" w:rsidP="00B8214F">
      <w:pPr>
        <w:pStyle w:val="Textonotapie"/>
        <w:spacing w:after="0" w:line="240" w:lineRule="auto"/>
        <w:ind w:firstLine="709"/>
        <w:rPr>
          <w:rFonts w:ascii="Arial" w:hAnsi="Arial" w:cs="Arial"/>
          <w:sz w:val="19"/>
          <w:szCs w:val="19"/>
          <w:lang w:val="es-CO"/>
        </w:rPr>
      </w:pPr>
    </w:p>
  </w:footnote>
  <w:footnote w:id="4">
    <w:p w14:paraId="7330D46A"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3351D70D"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EC01D8">
        <w:rPr>
          <w:rFonts w:ascii="Arial" w:hAnsi="Arial" w:cs="Arial"/>
          <w:sz w:val="19"/>
          <w:szCs w:val="19"/>
          <w:lang w:val="es-ES"/>
        </w:rPr>
        <w:t>»La Contraloría General de la República y las entidades estatales deberán realizar el seguimiento y actualización del Registro Nacional de Obras Civiles Inconclusas con el fin de establecer la realidad respecto de la condición técnica, física y financiera de aquellas. […]».</w:t>
      </w:r>
    </w:p>
    <w:p w14:paraId="65B3E0F7" w14:textId="77777777" w:rsidR="00577FDB" w:rsidRPr="00EC01D8" w:rsidRDefault="00577FDB" w:rsidP="00B8214F">
      <w:pPr>
        <w:pStyle w:val="Textonotapie"/>
        <w:spacing w:after="0" w:line="240" w:lineRule="auto"/>
        <w:ind w:firstLine="709"/>
        <w:rPr>
          <w:rFonts w:ascii="Arial" w:hAnsi="Arial" w:cs="Arial"/>
          <w:sz w:val="19"/>
          <w:szCs w:val="19"/>
          <w:lang w:val="es-ES"/>
        </w:rPr>
      </w:pPr>
    </w:p>
  </w:footnote>
  <w:footnote w:id="5">
    <w:p w14:paraId="40CA5C5E"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EC01D8">
          <w:rPr>
            <w:rStyle w:val="Hipervnculo1"/>
            <w:rFonts w:ascii="Arial" w:hAnsi="Arial" w:cs="Arial"/>
            <w:color w:val="auto"/>
            <w:sz w:val="19"/>
            <w:szCs w:val="19"/>
          </w:rPr>
          <w:t>https://www.contraloria.gov.co/documents/20181/1776254/CIRCULAR_2020EE0096013_REGISTRO_NACIONAL_OBRAS_INCONCLUSAS.PDF/785952d4-4b41-48cb-916b-4881c3b4a095</w:t>
        </w:r>
      </w:hyperlink>
    </w:p>
    <w:p w14:paraId="2E46468F" w14:textId="77777777" w:rsidR="00577FDB" w:rsidRPr="00EC01D8" w:rsidRDefault="00577FDB" w:rsidP="00B8214F">
      <w:pPr>
        <w:pStyle w:val="Textonotapie"/>
        <w:spacing w:after="0" w:line="240" w:lineRule="auto"/>
        <w:ind w:firstLine="709"/>
        <w:rPr>
          <w:rFonts w:ascii="Arial" w:hAnsi="Arial" w:cs="Arial"/>
          <w:sz w:val="19"/>
          <w:szCs w:val="19"/>
          <w:lang w:val="es-ES"/>
        </w:rPr>
      </w:pPr>
    </w:p>
  </w:footnote>
  <w:footnote w:id="6">
    <w:p w14:paraId="590DAF91" w14:textId="77777777" w:rsidR="00577FDB" w:rsidRPr="00B8214F" w:rsidRDefault="00577FDB" w:rsidP="00B8214F">
      <w:pPr>
        <w:pStyle w:val="Textonotapie"/>
        <w:spacing w:after="0" w:line="240" w:lineRule="auto"/>
        <w:ind w:firstLine="709"/>
        <w:rPr>
          <w:rFonts w:ascii="Arial" w:hAnsi="Arial" w:cs="Arial"/>
          <w:sz w:val="19"/>
          <w:szCs w:val="19"/>
        </w:rPr>
      </w:pPr>
    </w:p>
    <w:p w14:paraId="7D1542C9" w14:textId="77777777" w:rsidR="00577FDB" w:rsidRPr="00EC01D8" w:rsidRDefault="00577FDB" w:rsidP="00B8214F">
      <w:pPr>
        <w:pStyle w:val="Textonotapie"/>
        <w:spacing w:after="0" w:line="240" w:lineRule="auto"/>
        <w:ind w:firstLine="709"/>
        <w:rPr>
          <w:rFonts w:ascii="Arial" w:eastAsia="Calibri" w:hAnsi="Arial" w:cs="Arial"/>
          <w:sz w:val="19"/>
          <w:szCs w:val="19"/>
          <w:lang w:val="es-ES_tradnl" w:eastAsia="en-GB"/>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CO"/>
        </w:rPr>
        <w:t xml:space="preserve">Al respecto, el parágrafo 3 </w:t>
      </w:r>
      <w:r w:rsidRPr="00EC01D8">
        <w:rPr>
          <w:rFonts w:ascii="Arial" w:eastAsia="Calibri" w:hAnsi="Arial" w:cs="Arial"/>
          <w:sz w:val="19"/>
          <w:szCs w:val="19"/>
          <w:lang w:val="es-ES_tradnl" w:eastAsia="en-GB"/>
        </w:rPr>
        <w:t>del artículo 3 de la Ley 2020 de 2020 establece lo siguiente:</w:t>
      </w:r>
      <w:r w:rsidRPr="00B8214F">
        <w:rPr>
          <w:rFonts w:ascii="Arial" w:eastAsia="Calibri" w:hAnsi="Arial" w:cs="Arial"/>
          <w:sz w:val="19"/>
          <w:szCs w:val="19"/>
          <w:lang w:val="es-ES_tradnl" w:eastAsia="en-GB"/>
        </w:rPr>
        <w:t xml:space="preserve"> </w:t>
      </w:r>
      <w:r w:rsidRPr="00EC01D8">
        <w:rPr>
          <w:rFonts w:ascii="Arial" w:hAnsi="Arial" w:cs="Arial"/>
          <w:sz w:val="19"/>
          <w:szCs w:val="19"/>
          <w:lang w:val="es-ES"/>
        </w:rPr>
        <w:t>«</w:t>
      </w:r>
      <w:r w:rsidRPr="00EC01D8">
        <w:rPr>
          <w:rFonts w:ascii="Arial" w:eastAsia="Calibri" w:hAnsi="Arial" w:cs="Arial"/>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33B0158D" w14:textId="77777777" w:rsidR="00577FDB" w:rsidRPr="00B8214F" w:rsidRDefault="00577FDB" w:rsidP="00B8214F">
      <w:pPr>
        <w:pStyle w:val="Textonotapie"/>
        <w:spacing w:after="0" w:line="240" w:lineRule="auto"/>
        <w:ind w:firstLine="709"/>
        <w:rPr>
          <w:rFonts w:ascii="Arial" w:hAnsi="Arial" w:cs="Arial"/>
          <w:sz w:val="19"/>
          <w:szCs w:val="19"/>
          <w:lang w:val="es-CO"/>
        </w:rPr>
      </w:pPr>
      <w:r w:rsidRPr="00EC01D8">
        <w:rPr>
          <w:rFonts w:ascii="Arial" w:hAnsi="Arial" w:cs="Arial"/>
          <w:sz w:val="19"/>
          <w:szCs w:val="19"/>
          <w:lang w:val="es-ES"/>
        </w:rPr>
        <w:t>«</w:t>
      </w:r>
      <w:r w:rsidRPr="00EC01D8">
        <w:rPr>
          <w:rFonts w:ascii="Arial" w:eastAsia="Calibri" w:hAnsi="Arial" w:cs="Arial"/>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EC01D8">
        <w:rPr>
          <w:rFonts w:ascii="Arial" w:hAnsi="Arial" w:cs="Arial"/>
          <w:sz w:val="19"/>
          <w:szCs w:val="19"/>
          <w:lang w:val="es-ES"/>
        </w:rPr>
        <w:t>».</w:t>
      </w:r>
    </w:p>
  </w:footnote>
  <w:footnote w:id="7">
    <w:p w14:paraId="053797DF" w14:textId="77777777" w:rsidR="00577FDB" w:rsidRPr="00B8214F" w:rsidRDefault="00577FDB" w:rsidP="00B8214F">
      <w:pPr>
        <w:pStyle w:val="Textonotapie"/>
        <w:spacing w:after="0" w:line="240" w:lineRule="auto"/>
        <w:ind w:firstLine="709"/>
        <w:rPr>
          <w:rFonts w:ascii="Arial" w:hAnsi="Arial" w:cs="Arial"/>
          <w:sz w:val="19"/>
          <w:szCs w:val="19"/>
        </w:rPr>
      </w:pPr>
    </w:p>
    <w:p w14:paraId="40C9EABA" w14:textId="77777777"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rPr>
        <w:t>Puede ser consultada en:</w:t>
      </w:r>
      <w:r w:rsidRPr="00B8214F">
        <w:rPr>
          <w:rFonts w:ascii="Arial" w:hAnsi="Arial" w:cs="Arial"/>
          <w:sz w:val="19"/>
          <w:szCs w:val="19"/>
        </w:rPr>
        <w:t xml:space="preserve"> </w:t>
      </w:r>
      <w:hyperlink r:id="rId3" w:history="1">
        <w:r w:rsidRPr="00EC01D8">
          <w:rPr>
            <w:rStyle w:val="Hipervnculo1"/>
            <w:rFonts w:ascii="Arial" w:hAnsi="Arial" w:cs="Arial"/>
            <w:color w:val="auto"/>
            <w:sz w:val="19"/>
            <w:szCs w:val="19"/>
          </w:rPr>
          <w:t>https://www.contraloria.gov.co/web/relatoria/normatividad-y-relatoria</w:t>
        </w:r>
      </w:hyperlink>
      <w:r w:rsidRPr="00EC01D8">
        <w:rPr>
          <w:rStyle w:val="Hipervnculo1"/>
          <w:rFonts w:ascii="Arial" w:hAnsi="Arial" w:cs="Arial"/>
          <w:color w:val="auto"/>
          <w:sz w:val="19"/>
          <w:szCs w:val="19"/>
        </w:rPr>
        <w:t xml:space="preserve"> </w:t>
      </w:r>
      <w:r w:rsidRPr="00B8214F">
        <w:rPr>
          <w:rFonts w:ascii="Arial" w:hAnsi="Arial" w:cs="Arial"/>
          <w:sz w:val="19"/>
          <w:szCs w:val="19"/>
        </w:rPr>
        <w:t xml:space="preserve"> </w:t>
      </w:r>
      <w:r w:rsidRPr="00B8214F">
        <w:rPr>
          <w:rFonts w:ascii="Arial" w:hAnsi="Arial" w:cs="Arial"/>
          <w:sz w:val="19"/>
          <w:szCs w:val="19"/>
        </w:rPr>
        <w:tab/>
      </w:r>
    </w:p>
  </w:footnote>
  <w:footnote w:id="8">
    <w:p w14:paraId="1D3EBB90" w14:textId="77777777"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ES"/>
        </w:rPr>
        <w:t xml:space="preserve">«Artículo 9. Responsables. Los responsables de hacer el inventario de obras </w:t>
      </w:r>
      <w:r w:rsidRPr="00EC01D8">
        <w:rPr>
          <w:rFonts w:ascii="Arial" w:hAnsi="Arial" w:cs="Arial"/>
          <w:sz w:val="19"/>
          <w:szCs w:val="19"/>
          <w:lang w:val="es-ES"/>
        </w:rPr>
        <w:t>inconclusas, serán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p>
  </w:footnote>
  <w:footnote w:id="9">
    <w:p w14:paraId="0AAE3C90" w14:textId="77777777" w:rsidR="00577FDB" w:rsidRPr="00EC01D8" w:rsidRDefault="00577FDB" w:rsidP="00B8214F">
      <w:pPr>
        <w:pStyle w:val="Textonotapie"/>
        <w:spacing w:after="0" w:line="240" w:lineRule="auto"/>
        <w:ind w:firstLine="709"/>
        <w:rPr>
          <w:rFonts w:ascii="Arial" w:hAnsi="Arial" w:cs="Arial"/>
          <w:sz w:val="19"/>
          <w:szCs w:val="19"/>
        </w:rPr>
      </w:pPr>
    </w:p>
    <w:p w14:paraId="59560B18"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eastAsia="es-CO"/>
        </w:rPr>
        <w:t>Ley 1437 de 2011:</w:t>
      </w:r>
      <w:r w:rsidRPr="00EC01D8">
        <w:rPr>
          <w:rFonts w:ascii="Arial" w:hAnsi="Arial" w:cs="Arial"/>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EC01D8">
        <w:rPr>
          <w:rFonts w:ascii="Arial" w:hAnsi="Arial" w:cs="Arial"/>
          <w:sz w:val="19"/>
          <w:szCs w:val="19"/>
          <w:lang w:eastAsia="es-CO"/>
        </w:rPr>
        <w:t>»</w:t>
      </w:r>
      <w:r w:rsidRPr="00EC01D8">
        <w:rPr>
          <w:rFonts w:ascii="Arial" w:hAnsi="Arial" w:cs="Arial"/>
          <w:sz w:val="19"/>
          <w:szCs w:val="19"/>
        </w:rPr>
        <w:t>.</w:t>
      </w:r>
    </w:p>
    <w:p w14:paraId="54F48D0E" w14:textId="77777777" w:rsidR="00577FDB" w:rsidRPr="00EC01D8" w:rsidRDefault="00577FDB" w:rsidP="00B8214F">
      <w:pPr>
        <w:pStyle w:val="Textonotapie"/>
        <w:spacing w:after="0" w:line="240" w:lineRule="auto"/>
        <w:ind w:firstLine="709"/>
        <w:rPr>
          <w:rFonts w:ascii="Arial" w:hAnsi="Arial" w:cs="Arial"/>
          <w:sz w:val="19"/>
          <w:szCs w:val="19"/>
          <w:lang w:val="es-ES"/>
        </w:rPr>
      </w:pPr>
    </w:p>
  </w:footnote>
  <w:footnote w:id="10">
    <w:p w14:paraId="44D43D29"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ES"/>
        </w:rPr>
        <w:t xml:space="preserve">Principio que se compone a su vez de «tres subprincipios, etapas o mandatos parciales: el </w:t>
      </w:r>
      <w:r w:rsidRPr="00EC01D8">
        <w:rPr>
          <w:rFonts w:ascii="Arial" w:hAnsi="Arial" w:cs="Arial"/>
          <w:i/>
          <w:iCs/>
          <w:sz w:val="19"/>
          <w:szCs w:val="19"/>
          <w:lang w:val="es-ES"/>
        </w:rPr>
        <w:t>subprincipio o mandato de adecuación, de idoneidad o de congruencia</w:t>
      </w:r>
      <w:r w:rsidRPr="00EC01D8">
        <w:rPr>
          <w:rFonts w:ascii="Arial" w:hAnsi="Arial" w:cs="Arial"/>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EC01D8">
        <w:rPr>
          <w:rFonts w:ascii="Arial" w:hAnsi="Arial" w:cs="Arial"/>
          <w:i/>
          <w:iCs/>
          <w:sz w:val="19"/>
          <w:szCs w:val="19"/>
          <w:lang w:val="es-ES"/>
        </w:rPr>
        <w:t>subprincipio o mandato de necesidad, intervención mínima o menor lesividad</w:t>
      </w:r>
      <w:r w:rsidRPr="00EC01D8">
        <w:rPr>
          <w:rFonts w:ascii="Arial" w:hAnsi="Arial" w:cs="Arial"/>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EC01D8">
        <w:rPr>
          <w:rFonts w:ascii="Arial" w:hAnsi="Arial" w:cs="Arial"/>
          <w:i/>
          <w:iCs/>
          <w:sz w:val="19"/>
          <w:szCs w:val="19"/>
          <w:lang w:val="es-ES"/>
        </w:rPr>
        <w:t>el subprincipio o mandato de proporcionalidad en sentido estricto</w:t>
      </w:r>
      <w:r w:rsidRPr="00EC01D8">
        <w:rPr>
          <w:rFonts w:ascii="Arial" w:hAnsi="Arial" w:cs="Arial"/>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1D3B1707" w14:textId="77777777" w:rsidR="00577FDB" w:rsidRPr="00EC01D8" w:rsidRDefault="00577FDB" w:rsidP="00B8214F">
      <w:pPr>
        <w:pStyle w:val="Textonotapie"/>
        <w:spacing w:after="0" w:line="240" w:lineRule="auto"/>
        <w:ind w:firstLine="709"/>
        <w:rPr>
          <w:rFonts w:ascii="Arial" w:hAnsi="Arial" w:cs="Arial"/>
          <w:sz w:val="19"/>
          <w:szCs w:val="19"/>
          <w:lang w:val="es-ES"/>
        </w:rPr>
      </w:pPr>
    </w:p>
  </w:footnote>
  <w:footnote w:id="11">
    <w:p w14:paraId="7EEF25CE" w14:textId="77777777" w:rsidR="00577FDB" w:rsidRPr="00EC01D8" w:rsidRDefault="00577FDB" w:rsidP="00B8214F">
      <w:pPr>
        <w:spacing w:after="0" w:line="240" w:lineRule="auto"/>
        <w:ind w:firstLine="709"/>
        <w:rPr>
          <w:rFonts w:ascii="Arial" w:hAnsi="Arial" w:cs="Arial"/>
          <w:sz w:val="19"/>
          <w:szCs w:val="19"/>
          <w:lang w:val="es-ES"/>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ES"/>
        </w:rPr>
        <w:t>Consejo de Estado. Sección Tercera. Sentencia del 14 de abril de 2010. Consejero Ponente: Enrique Gil Botero. Radicación número: 11001-03-26-000-2008-00101-00(36054).</w:t>
      </w:r>
    </w:p>
    <w:p w14:paraId="378A4DDE" w14:textId="77777777" w:rsidR="00577FDB" w:rsidRPr="00EC01D8" w:rsidRDefault="00577FDB" w:rsidP="00B8214F">
      <w:pPr>
        <w:pStyle w:val="Textonotapie"/>
        <w:spacing w:after="0" w:line="240" w:lineRule="auto"/>
        <w:ind w:firstLine="709"/>
        <w:rPr>
          <w:rFonts w:ascii="Arial" w:hAnsi="Arial" w:cs="Arial"/>
          <w:sz w:val="19"/>
          <w:szCs w:val="19"/>
          <w:lang w:val="es-ES"/>
        </w:rPr>
      </w:pPr>
    </w:p>
  </w:footnote>
  <w:footnote w:id="12">
    <w:p w14:paraId="4FDA0534" w14:textId="77777777" w:rsidR="00577FDB" w:rsidRPr="00EC01D8" w:rsidRDefault="00577FDB" w:rsidP="00B8214F">
      <w:pPr>
        <w:pStyle w:val="Textonotapie"/>
        <w:spacing w:after="0" w:line="240" w:lineRule="auto"/>
        <w:ind w:firstLine="709"/>
        <w:rPr>
          <w:rFonts w:ascii="Arial" w:hAnsi="Arial" w:cs="Arial"/>
          <w:sz w:val="19"/>
          <w:szCs w:val="19"/>
        </w:rPr>
      </w:pPr>
    </w:p>
    <w:p w14:paraId="7A0687A2"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Style w:val="Refdenotaalpie"/>
          <w:rFonts w:ascii="Arial" w:hAnsi="Arial" w:cs="Arial"/>
          <w:sz w:val="19"/>
          <w:szCs w:val="19"/>
        </w:rPr>
        <w:footnoteRef/>
      </w:r>
      <w:r w:rsidRPr="00EC01D8">
        <w:rPr>
          <w:rFonts w:ascii="Arial" w:hAnsi="Arial" w:cs="Arial"/>
          <w:sz w:val="19"/>
          <w:szCs w:val="19"/>
        </w:rPr>
        <w:t xml:space="preserve"> «ARTÍCULO 1o. Modifíquese el artículo 4o de la Ley 1882 de 2018, el cual quedará así:</w:t>
      </w:r>
    </w:p>
    <w:p w14:paraId="678E59B2"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Fonts w:ascii="Arial" w:hAnsi="Arial" w:cs="Arial"/>
          <w:sz w:val="19"/>
          <w:szCs w:val="19"/>
        </w:rPr>
        <w:t>»Artículo 4o. Adiciónese el siguiente parágrafo al artículo 2o de la Ley 1150 de 2007.</w:t>
      </w:r>
    </w:p>
    <w:p w14:paraId="5B13E7A4"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Fonts w:ascii="Arial" w:hAnsi="Arial" w:cs="Arial"/>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5AA6096"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4482473"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EAB0DF8" w14:textId="77777777" w:rsidR="00577FDB" w:rsidRPr="00EC01D8" w:rsidRDefault="00577FDB" w:rsidP="00B8214F">
      <w:pPr>
        <w:pStyle w:val="Textonotapie"/>
        <w:spacing w:after="0" w:line="240" w:lineRule="auto"/>
        <w:ind w:firstLine="709"/>
        <w:rPr>
          <w:rFonts w:ascii="Arial" w:hAnsi="Arial" w:cs="Arial"/>
          <w:sz w:val="19"/>
          <w:szCs w:val="19"/>
        </w:rPr>
      </w:pPr>
      <w:r w:rsidRPr="00EC01D8">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343B3CA" w14:textId="77777777" w:rsidR="00577FDB" w:rsidRPr="00EC01D8" w:rsidRDefault="00577FDB" w:rsidP="00B8214F">
      <w:pPr>
        <w:pStyle w:val="Textonotapie"/>
        <w:spacing w:after="0" w:line="240" w:lineRule="auto"/>
        <w:ind w:firstLine="709"/>
        <w:rPr>
          <w:rFonts w:ascii="Arial" w:hAnsi="Arial" w:cs="Arial"/>
          <w:sz w:val="19"/>
          <w:szCs w:val="19"/>
          <w:lang w:val="es-CO"/>
        </w:rPr>
      </w:pPr>
      <w:r w:rsidRPr="00EC01D8">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3">
    <w:p w14:paraId="07553E47" w14:textId="77777777"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rPr>
        <w:t xml:space="preserve">Para el efecto, se puede consultar el siguiente enlace en el cual se encuentran todos los documentos tipo actualmente implementados por Colombia Compra Eficiente </w:t>
      </w:r>
      <w:hyperlink r:id="rId4" w:history="1">
        <w:r w:rsidRPr="00EC01D8">
          <w:rPr>
            <w:rFonts w:ascii="Arial" w:hAnsi="Arial" w:cs="Arial"/>
            <w:sz w:val="19"/>
            <w:szCs w:val="19"/>
          </w:rPr>
          <w:t>https://www.colombiacompra.gov.co/documentos-tipo/documentos-tipo</w:t>
        </w:r>
      </w:hyperlink>
      <w:r w:rsidRPr="00EC01D8">
        <w:rPr>
          <w:rFonts w:ascii="Arial" w:hAnsi="Arial" w:cs="Arial"/>
          <w:sz w:val="19"/>
          <w:szCs w:val="19"/>
        </w:rPr>
        <w:t xml:space="preserve"> </w:t>
      </w:r>
      <w:r w:rsidRPr="00B8214F">
        <w:rPr>
          <w:rFonts w:ascii="Arial" w:hAnsi="Arial" w:cs="Arial"/>
          <w:sz w:val="19"/>
          <w:szCs w:val="19"/>
          <w:lang w:val="es-CO"/>
        </w:rPr>
        <w:t xml:space="preserve">  </w:t>
      </w:r>
    </w:p>
    <w:p w14:paraId="6C42E0DD" w14:textId="77777777" w:rsidR="00577FDB" w:rsidRPr="00EC01D8" w:rsidRDefault="00577FDB" w:rsidP="00B8214F">
      <w:pPr>
        <w:pStyle w:val="Textonotapie"/>
        <w:spacing w:after="0" w:line="240" w:lineRule="auto"/>
        <w:ind w:firstLine="709"/>
        <w:rPr>
          <w:rFonts w:ascii="Arial" w:hAnsi="Arial" w:cs="Arial"/>
          <w:sz w:val="19"/>
          <w:szCs w:val="19"/>
          <w:lang w:val="es-CO"/>
        </w:rPr>
      </w:pPr>
      <w:r w:rsidRPr="00EC01D8">
        <w:rPr>
          <w:rFonts w:ascii="Arial" w:hAnsi="Arial" w:cs="Arial"/>
          <w:sz w:val="19"/>
          <w:szCs w:val="19"/>
          <w:lang w:val="es-CO"/>
        </w:rPr>
        <w:t xml:space="preserve">Los documentos tipo de obra pública de infraestructura social y de obra pública de infraestructura social relacionados con el sector educativo adoptados mediante Resoluciones 219 y 220 de 2021, respectivamente, entran en vigencia a partir del 2 de noviembre de 2021 conforme lo dispone la Resolución 336 del 2021. Por su parte, los documentos tipo complementarios para los procesos de licitación de obra pública de infraestructura social relacionados con el sector cultura, recreación y deporte, entran en vigencia de forma gradual y progresiva partir del 1 de febrero de 2022 conforme lo dispone la Resolución 454 del 2021. Así mismo, los documentos tipo complementarios para los procesos de licitación de obra pública de infraestructura social relacionados con el sector salud entran en vigencia de forma gradual y progresiva partir del 3 de enero de 2022 conforme lo dispone la Resolución 392 del 2021. </w:t>
      </w:r>
    </w:p>
  </w:footnote>
  <w:footnote w:id="14">
    <w:p w14:paraId="5CB96B87" w14:textId="77777777" w:rsidR="00577FDB" w:rsidRPr="00B8214F" w:rsidRDefault="00577FDB" w:rsidP="00B8214F">
      <w:pPr>
        <w:pStyle w:val="Textonotapie"/>
        <w:spacing w:after="0" w:line="240" w:lineRule="auto"/>
        <w:ind w:firstLine="709"/>
        <w:rPr>
          <w:rFonts w:ascii="Arial" w:hAnsi="Arial" w:cs="Arial"/>
          <w:bCs/>
          <w:sz w:val="19"/>
          <w:szCs w:val="19"/>
        </w:rPr>
      </w:pPr>
      <w:r w:rsidRPr="00B8214F">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CO"/>
        </w:rPr>
        <w:t xml:space="preserve">En los documentos tipo para selección de interventoría de obra pública de infraestructura de transporte se encuentra incluido en el inciso segundo del capítulo </w:t>
      </w:r>
      <w:r w:rsidRPr="00EC01D8">
        <w:rPr>
          <w:rFonts w:ascii="Arial" w:hAnsi="Arial" w:cs="Arial"/>
          <w:bCs/>
          <w:sz w:val="19"/>
          <w:szCs w:val="19"/>
          <w:lang w:val="es-CO"/>
        </w:rPr>
        <w:t>IV.</w:t>
      </w:r>
      <w:r w:rsidRPr="00EC01D8">
        <w:rPr>
          <w:rFonts w:ascii="Arial" w:hAnsi="Arial" w:cs="Arial"/>
          <w:bCs/>
          <w:sz w:val="19"/>
          <w:szCs w:val="19"/>
        </w:rPr>
        <w:t xml:space="preserve"> Criterios de Evaluación, Asignación de Puntaje y Criterios de Desempate. </w:t>
      </w:r>
    </w:p>
    <w:p w14:paraId="505F13F3" w14:textId="77777777" w:rsidR="00577FDB" w:rsidRPr="00B8214F" w:rsidRDefault="00577FDB" w:rsidP="00B8214F">
      <w:pPr>
        <w:pStyle w:val="Textonotapie"/>
        <w:spacing w:after="0" w:line="240" w:lineRule="auto"/>
        <w:rPr>
          <w:rFonts w:ascii="Arial" w:hAnsi="Arial" w:cs="Arial"/>
          <w:sz w:val="19"/>
          <w:szCs w:val="19"/>
          <w:lang w:val="es-CO"/>
        </w:rPr>
      </w:pPr>
    </w:p>
  </w:footnote>
  <w:footnote w:id="15">
    <w:p w14:paraId="6A8D3F6B" w14:textId="77777777" w:rsidR="00577FDB" w:rsidRPr="00EC01D8" w:rsidRDefault="00577FDB" w:rsidP="00B8214F">
      <w:pPr>
        <w:pStyle w:val="Textonotapie"/>
        <w:spacing w:after="0" w:line="240" w:lineRule="auto"/>
        <w:ind w:firstLine="708"/>
        <w:rPr>
          <w:rFonts w:ascii="Arial" w:hAnsi="Arial" w:cs="Arial"/>
          <w:sz w:val="19"/>
          <w:szCs w:val="19"/>
          <w:lang w:val="es-CO"/>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CO"/>
        </w:rPr>
        <w:t xml:space="preserve">Esta regulación se contempló en el Capítulo IV del Documento Base de los Documentos tipo de interventoría de obra pública de transporte –versión 2- y los de agua potable y saneamiento básico. </w:t>
      </w:r>
    </w:p>
  </w:footnote>
  <w:footnote w:id="16">
    <w:p w14:paraId="47C6EC86" w14:textId="77777777" w:rsidR="00577FDB" w:rsidRPr="00EC01D8" w:rsidRDefault="00577FDB" w:rsidP="00B8214F">
      <w:pPr>
        <w:pStyle w:val="Textonotapie"/>
        <w:spacing w:after="0" w:line="240" w:lineRule="auto"/>
        <w:ind w:firstLine="709"/>
        <w:rPr>
          <w:rFonts w:ascii="Arial" w:hAnsi="Arial" w:cs="Arial"/>
          <w:sz w:val="19"/>
          <w:szCs w:val="19"/>
        </w:rPr>
      </w:pPr>
    </w:p>
    <w:p w14:paraId="356CA5CD" w14:textId="77777777" w:rsidR="00577FDB" w:rsidRPr="00EC01D8" w:rsidRDefault="00577FDB" w:rsidP="00B8214F">
      <w:pPr>
        <w:pStyle w:val="Textonotapie"/>
        <w:spacing w:after="0" w:line="240" w:lineRule="auto"/>
        <w:ind w:firstLine="709"/>
        <w:rPr>
          <w:rFonts w:ascii="Arial" w:hAnsi="Arial" w:cs="Arial"/>
          <w:sz w:val="19"/>
          <w:szCs w:val="19"/>
          <w:lang w:val="es-CO"/>
        </w:rPr>
      </w:pPr>
      <w:r w:rsidRPr="00EC01D8">
        <w:rPr>
          <w:rStyle w:val="Refdenotaalpie"/>
          <w:rFonts w:ascii="Arial" w:hAnsi="Arial" w:cs="Arial"/>
          <w:sz w:val="19"/>
          <w:szCs w:val="19"/>
        </w:rPr>
        <w:footnoteRef/>
      </w:r>
      <w:r w:rsidRPr="00EC01D8">
        <w:rPr>
          <w:rFonts w:ascii="Arial" w:hAnsi="Arial" w:cs="Arial"/>
          <w:sz w:val="19"/>
          <w:szCs w:val="19"/>
        </w:rPr>
        <w:t xml:space="preserve"> </w:t>
      </w:r>
      <w:r w:rsidRPr="00EC01D8">
        <w:rPr>
          <w:rFonts w:ascii="Arial" w:hAnsi="Arial" w:cs="Arial"/>
          <w:sz w:val="19"/>
          <w:szCs w:val="19"/>
          <w:lang w:val="es-CO"/>
        </w:rPr>
        <w:t xml:space="preserve">Definición Rae. Disponible en </w:t>
      </w:r>
      <w:hyperlink r:id="rId5" w:history="1">
        <w:r w:rsidRPr="00EC01D8">
          <w:rPr>
            <w:rStyle w:val="Hipervnculo1"/>
            <w:rFonts w:ascii="Arial" w:hAnsi="Arial" w:cs="Arial"/>
            <w:color w:val="auto"/>
            <w:sz w:val="19"/>
            <w:szCs w:val="19"/>
            <w:lang w:val="es-CO"/>
          </w:rPr>
          <w:t>https://dle.rae.es/consultar</w:t>
        </w:r>
      </w:hyperlink>
      <w:r w:rsidRPr="00EC01D8">
        <w:rPr>
          <w:rStyle w:val="Hipervnculo1"/>
          <w:rFonts w:ascii="Arial" w:hAnsi="Arial" w:cs="Arial"/>
          <w:color w:val="auto"/>
          <w:sz w:val="19"/>
          <w:szCs w:val="19"/>
          <w:lang w:val="es-CO"/>
        </w:rPr>
        <w:t xml:space="preserve"> </w:t>
      </w:r>
    </w:p>
    <w:p w14:paraId="24216A23" w14:textId="77777777" w:rsidR="00577FDB" w:rsidRPr="00EC01D8" w:rsidRDefault="00577FDB" w:rsidP="00B8214F">
      <w:pPr>
        <w:pStyle w:val="Textonotapie"/>
        <w:spacing w:after="0" w:line="240" w:lineRule="auto"/>
        <w:ind w:firstLine="709"/>
        <w:rPr>
          <w:rFonts w:ascii="Arial" w:hAnsi="Arial" w:cs="Arial"/>
          <w:sz w:val="19"/>
          <w:szCs w:val="19"/>
          <w:lang w:val="es-CO"/>
        </w:rPr>
      </w:pPr>
    </w:p>
  </w:footnote>
  <w:footnote w:id="17">
    <w:p w14:paraId="3E5BBB6D" w14:textId="097EB338"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CO"/>
        </w:rPr>
        <w:t xml:space="preserve">Ibídem. Disponible en: </w:t>
      </w:r>
      <w:hyperlink r:id="rId6" w:history="1">
        <w:r w:rsidRPr="00EC01D8">
          <w:rPr>
            <w:rStyle w:val="Hipervnculo1"/>
            <w:rFonts w:ascii="Arial" w:hAnsi="Arial" w:cs="Arial"/>
            <w:color w:val="auto"/>
            <w:sz w:val="19"/>
            <w:szCs w:val="19"/>
            <w:lang w:val="es-CO"/>
          </w:rPr>
          <w:t>https://www.rae.es/drae2001/an%C3%A1lisis</w:t>
        </w:r>
      </w:hyperlink>
    </w:p>
  </w:footnote>
  <w:footnote w:id="18">
    <w:p w14:paraId="7A6B0706" w14:textId="55EDAF97"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rPr>
        <w:t>Gaceta del Congreso de la República No.1187/19. Disponible en:</w:t>
      </w:r>
      <w:r w:rsidRPr="00B8214F">
        <w:rPr>
          <w:rFonts w:ascii="Arial" w:hAnsi="Arial" w:cs="Arial"/>
          <w:sz w:val="19"/>
          <w:szCs w:val="19"/>
        </w:rPr>
        <w:t xml:space="preserve"> </w:t>
      </w:r>
      <w:hyperlink r:id="rId7" w:history="1">
        <w:r w:rsidRPr="00EC01D8">
          <w:rPr>
            <w:rStyle w:val="Hipervnculo1"/>
            <w:rFonts w:ascii="Arial" w:hAnsi="Arial" w:cs="Arial"/>
            <w:color w:val="auto"/>
            <w:sz w:val="19"/>
            <w:szCs w:val="19"/>
          </w:rPr>
          <w:t>http://leyes.senado.gov.co/proyectos/images/documentos/Textos%20Radicados/Ponencias/2019/gaceta_1187.pdf</w:t>
        </w:r>
      </w:hyperlink>
      <w:r w:rsidRPr="00EC01D8">
        <w:rPr>
          <w:rFonts w:ascii="Arial" w:hAnsi="Arial" w:cs="Arial"/>
          <w:sz w:val="19"/>
          <w:szCs w:val="19"/>
        </w:rPr>
        <w:t xml:space="preserve"> </w:t>
      </w:r>
    </w:p>
  </w:footnote>
  <w:footnote w:id="19">
    <w:p w14:paraId="76F97580" w14:textId="77777777" w:rsidR="00577FDB" w:rsidRPr="00EC01D8" w:rsidRDefault="00577FDB" w:rsidP="00B8214F">
      <w:pPr>
        <w:pStyle w:val="Textonotapie"/>
        <w:spacing w:after="0" w:line="240" w:lineRule="auto"/>
        <w:ind w:firstLine="709"/>
        <w:rPr>
          <w:rFonts w:ascii="Arial" w:hAnsi="Arial" w:cs="Arial"/>
          <w:sz w:val="19"/>
          <w:szCs w:val="19"/>
        </w:rPr>
      </w:pPr>
    </w:p>
    <w:p w14:paraId="5B1DA74F" w14:textId="77777777" w:rsidR="00577FDB" w:rsidRPr="00EC01D8" w:rsidRDefault="00577FDB" w:rsidP="00B8214F">
      <w:pPr>
        <w:pStyle w:val="Textonotapie"/>
        <w:spacing w:after="0" w:line="240" w:lineRule="auto"/>
        <w:ind w:firstLine="709"/>
        <w:rPr>
          <w:rFonts w:ascii="Arial" w:hAnsi="Arial" w:cs="Arial"/>
          <w:sz w:val="19"/>
          <w:szCs w:val="19"/>
          <w:lang w:val="es-ES"/>
        </w:rPr>
      </w:pPr>
      <w:r w:rsidRPr="00EC01D8">
        <w:rPr>
          <w:rStyle w:val="Refdenotaalpie"/>
          <w:rFonts w:ascii="Arial" w:hAnsi="Arial" w:cs="Arial"/>
          <w:sz w:val="19"/>
          <w:szCs w:val="19"/>
        </w:rPr>
        <w:footnoteRef/>
      </w:r>
      <w:r w:rsidRPr="00EC01D8">
        <w:rPr>
          <w:rFonts w:ascii="Arial" w:hAnsi="Arial" w:cs="Arial"/>
          <w:sz w:val="19"/>
          <w:szCs w:val="19"/>
        </w:rPr>
        <w:t xml:space="preserve">Gaceta del Congreso de la República No. 563/18. Disponible en: </w:t>
      </w:r>
      <w:hyperlink r:id="rId8" w:history="1">
        <w:r w:rsidRPr="00EC01D8">
          <w:rPr>
            <w:rStyle w:val="Hipervnculo1"/>
            <w:rFonts w:ascii="Arial" w:hAnsi="Arial" w:cs="Arial"/>
            <w:color w:val="auto"/>
            <w:sz w:val="19"/>
            <w:szCs w:val="19"/>
          </w:rPr>
          <w:t>http://leyes.senado.gov.co/proyectos/images/documentos/Textos%20Radicados/Ponencias/2018/gaceta_563.pdf</w:t>
        </w:r>
      </w:hyperlink>
      <w:r w:rsidRPr="00EC01D8">
        <w:rPr>
          <w:rFonts w:ascii="Arial" w:hAnsi="Arial" w:cs="Arial"/>
          <w:sz w:val="19"/>
          <w:szCs w:val="19"/>
          <w:lang w:val="es-ES"/>
        </w:rPr>
        <w:t xml:space="preserve"> </w:t>
      </w:r>
    </w:p>
    <w:p w14:paraId="1BA86CA0" w14:textId="77777777" w:rsidR="00577FDB" w:rsidRPr="00EC01D8" w:rsidRDefault="00577FDB" w:rsidP="00B8214F">
      <w:pPr>
        <w:pStyle w:val="Textonotapie"/>
        <w:spacing w:after="0" w:line="240" w:lineRule="auto"/>
        <w:ind w:firstLine="709"/>
        <w:rPr>
          <w:rFonts w:ascii="Arial" w:hAnsi="Arial" w:cs="Arial"/>
          <w:sz w:val="19"/>
          <w:szCs w:val="19"/>
          <w:lang w:val="es-CO"/>
        </w:rPr>
      </w:pPr>
    </w:p>
  </w:footnote>
  <w:footnote w:id="20">
    <w:p w14:paraId="275BF152" w14:textId="77777777" w:rsidR="00577FDB" w:rsidRPr="00EC01D8" w:rsidRDefault="00577FDB" w:rsidP="00B8214F">
      <w:pPr>
        <w:pStyle w:val="Textonotapie"/>
        <w:spacing w:after="0" w:line="240" w:lineRule="auto"/>
        <w:ind w:firstLine="709"/>
        <w:rPr>
          <w:rFonts w:ascii="Arial" w:hAnsi="Arial" w:cs="Arial"/>
          <w:sz w:val="19"/>
          <w:szCs w:val="19"/>
        </w:rPr>
      </w:pPr>
      <w:r w:rsidRPr="00B8214F">
        <w:rPr>
          <w:rStyle w:val="Refdenotaalpie"/>
          <w:rFonts w:ascii="Arial" w:hAnsi="Arial" w:cs="Arial"/>
          <w:sz w:val="19"/>
          <w:szCs w:val="19"/>
        </w:rPr>
        <w:footnoteRef/>
      </w:r>
      <w:r w:rsidRPr="00EC01D8">
        <w:rPr>
          <w:rFonts w:ascii="Arial" w:hAnsi="Arial" w:cs="Arial"/>
          <w:sz w:val="19"/>
          <w:szCs w:val="19"/>
        </w:rPr>
        <w:t xml:space="preserve">Gaceta del Congreso de la República No. 1154/18 Disponible en: </w:t>
      </w:r>
      <w:hyperlink r:id="rId9" w:history="1">
        <w:r w:rsidRPr="00EC01D8">
          <w:rPr>
            <w:rStyle w:val="Hipervnculo1"/>
            <w:rFonts w:ascii="Arial" w:hAnsi="Arial" w:cs="Arial"/>
            <w:color w:val="auto"/>
            <w:sz w:val="19"/>
            <w:szCs w:val="19"/>
          </w:rPr>
          <w:t>http://leyes.senado.gov.co/proyectos/images/documentos/Textos%20Radicados/Ponencias/2018/gaceta_1154.pdf</w:t>
        </w:r>
      </w:hyperlink>
      <w:r w:rsidRPr="00EC01D8">
        <w:rPr>
          <w:rFonts w:ascii="Arial" w:hAnsi="Arial" w:cs="Arial"/>
          <w:sz w:val="19"/>
          <w:szCs w:val="19"/>
        </w:rPr>
        <w:t xml:space="preserve"> </w:t>
      </w:r>
    </w:p>
    <w:p w14:paraId="0D459D4D" w14:textId="77777777" w:rsidR="00577FDB" w:rsidRPr="00B8214F" w:rsidRDefault="00577FDB" w:rsidP="00B8214F">
      <w:pPr>
        <w:pStyle w:val="Textonotapie"/>
        <w:spacing w:after="0" w:line="240" w:lineRule="auto"/>
        <w:ind w:firstLine="709"/>
        <w:rPr>
          <w:rFonts w:ascii="Arial" w:hAnsi="Arial" w:cs="Arial"/>
          <w:sz w:val="19"/>
          <w:szCs w:val="19"/>
          <w:lang w:val="es-CO"/>
        </w:rPr>
      </w:pPr>
    </w:p>
  </w:footnote>
  <w:footnote w:id="21">
    <w:p w14:paraId="7F1B607D" w14:textId="09EE01ED"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EC01D8">
        <w:rPr>
          <w:rFonts w:ascii="Arial" w:hAnsi="Arial" w:cs="Arial"/>
          <w:sz w:val="19"/>
          <w:szCs w:val="19"/>
        </w:rPr>
        <w:t xml:space="preserve">Gaceta del Congreso de la República No. 423/19. Disponible en: </w:t>
      </w:r>
      <w:hyperlink r:id="rId10" w:history="1">
        <w:r w:rsidRPr="00EC01D8">
          <w:rPr>
            <w:rStyle w:val="Hipervnculo1"/>
            <w:rFonts w:ascii="Arial" w:hAnsi="Arial" w:cs="Arial"/>
            <w:color w:val="auto"/>
            <w:sz w:val="19"/>
            <w:szCs w:val="19"/>
          </w:rPr>
          <w:t>http://leyes.senado.gov.co/proyectos/images/documentos/Textos%20Radicados/Ponencias/2019/gaceta_423.pdf</w:t>
        </w:r>
      </w:hyperlink>
      <w:r w:rsidRPr="00EC01D8">
        <w:rPr>
          <w:rFonts w:ascii="Arial" w:hAnsi="Arial" w:cs="Arial"/>
          <w:sz w:val="19"/>
          <w:szCs w:val="19"/>
        </w:rPr>
        <w:t xml:space="preserve"> </w:t>
      </w:r>
    </w:p>
  </w:footnote>
  <w:footnote w:id="22">
    <w:p w14:paraId="4ED13C16" w14:textId="6C83ADEE" w:rsidR="00577FDB" w:rsidRDefault="00577FDB" w:rsidP="00EC01D8">
      <w:pPr>
        <w:pStyle w:val="Textonotapie"/>
        <w:spacing w:after="0" w:line="240" w:lineRule="auto"/>
        <w:ind w:firstLine="709"/>
        <w:rPr>
          <w:rStyle w:val="Hipervnculo1"/>
          <w:rFonts w:ascii="Arial" w:hAnsi="Arial" w:cs="Arial"/>
          <w:color w:val="auto"/>
          <w:sz w:val="19"/>
          <w:szCs w:val="19"/>
        </w:rPr>
      </w:pPr>
      <w:r w:rsidRPr="00B8214F">
        <w:rPr>
          <w:rStyle w:val="Refdenotaalpie"/>
          <w:rFonts w:ascii="Arial" w:hAnsi="Arial" w:cs="Arial"/>
          <w:sz w:val="19"/>
          <w:szCs w:val="19"/>
        </w:rPr>
        <w:footnoteRef/>
      </w:r>
      <w:r w:rsidRPr="00EC01D8">
        <w:rPr>
          <w:rFonts w:ascii="Arial" w:hAnsi="Arial" w:cs="Arial"/>
          <w:sz w:val="19"/>
          <w:szCs w:val="19"/>
        </w:rPr>
        <w:t>Gaceta del Congreso de la República No. 963/19</w:t>
      </w:r>
      <w:r w:rsidRPr="00B8214F">
        <w:rPr>
          <w:rFonts w:ascii="Arial" w:hAnsi="Arial" w:cs="Arial"/>
          <w:sz w:val="19"/>
          <w:szCs w:val="19"/>
        </w:rPr>
        <w:t xml:space="preserve"> </w:t>
      </w:r>
      <w:r w:rsidRPr="00EC01D8">
        <w:rPr>
          <w:rFonts w:ascii="Arial" w:hAnsi="Arial" w:cs="Arial"/>
          <w:sz w:val="19"/>
          <w:szCs w:val="19"/>
        </w:rPr>
        <w:t xml:space="preserve">Disponible en: </w:t>
      </w:r>
      <w:hyperlink r:id="rId11" w:history="1">
        <w:r w:rsidRPr="00EC01D8">
          <w:rPr>
            <w:rStyle w:val="Hipervnculo1"/>
            <w:rFonts w:ascii="Arial" w:hAnsi="Arial" w:cs="Arial"/>
            <w:color w:val="auto"/>
            <w:sz w:val="19"/>
            <w:szCs w:val="19"/>
          </w:rPr>
          <w:t>http://leyes.senado.gov.co/proyectos/images/documentos/Textos%20Radicados/Ponencias/2019/gaceta_963.pdf</w:t>
        </w:r>
      </w:hyperlink>
    </w:p>
    <w:p w14:paraId="12B48637" w14:textId="77777777" w:rsidR="00EC01D8" w:rsidRPr="00B8214F" w:rsidRDefault="00EC01D8" w:rsidP="00B8214F">
      <w:pPr>
        <w:pStyle w:val="Textonotapie"/>
        <w:spacing w:after="0" w:line="240" w:lineRule="auto"/>
        <w:ind w:firstLine="709"/>
        <w:rPr>
          <w:rFonts w:ascii="Arial" w:hAnsi="Arial" w:cs="Arial"/>
          <w:sz w:val="19"/>
          <w:szCs w:val="19"/>
          <w:lang w:val="es-CO"/>
        </w:rPr>
      </w:pPr>
    </w:p>
  </w:footnote>
  <w:footnote w:id="23">
    <w:p w14:paraId="4BFB07EF" w14:textId="77777777"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EC01D8">
        <w:rPr>
          <w:rFonts w:ascii="Arial" w:hAnsi="Arial" w:cs="Arial"/>
          <w:sz w:val="19"/>
          <w:szCs w:val="19"/>
        </w:rPr>
        <w:t>Gaceta del Congreso de la República No. 1187/19</w:t>
      </w:r>
      <w:r w:rsidRPr="00B8214F">
        <w:rPr>
          <w:rFonts w:ascii="Arial" w:hAnsi="Arial" w:cs="Arial"/>
          <w:sz w:val="19"/>
          <w:szCs w:val="19"/>
        </w:rPr>
        <w:t xml:space="preserve"> </w:t>
      </w:r>
      <w:r w:rsidRPr="00EC01D8">
        <w:rPr>
          <w:rFonts w:ascii="Arial" w:hAnsi="Arial" w:cs="Arial"/>
          <w:sz w:val="19"/>
          <w:szCs w:val="19"/>
        </w:rPr>
        <w:t xml:space="preserve">Disponible en: </w:t>
      </w:r>
      <w:hyperlink r:id="rId12" w:history="1">
        <w:r w:rsidRPr="00EC01D8">
          <w:rPr>
            <w:rStyle w:val="Hipervnculo1"/>
            <w:rFonts w:ascii="Arial" w:hAnsi="Arial" w:cs="Arial"/>
            <w:color w:val="auto"/>
            <w:sz w:val="19"/>
            <w:szCs w:val="19"/>
          </w:rPr>
          <w:t>http://leyes.senado.gov.co/proyectos/images/documentos/Textos%20Radicados/Ponencias/2019/gaceta_1187.pdf</w:t>
        </w:r>
      </w:hyperlink>
      <w:r w:rsidRPr="00EC01D8">
        <w:rPr>
          <w:rFonts w:ascii="Arial" w:hAnsi="Arial" w:cs="Arial"/>
          <w:sz w:val="19"/>
          <w:szCs w:val="19"/>
        </w:rPr>
        <w:t xml:space="preserve"> </w:t>
      </w:r>
    </w:p>
  </w:footnote>
  <w:footnote w:id="24">
    <w:p w14:paraId="786C43E6" w14:textId="77777777" w:rsidR="00577FDB" w:rsidRPr="00B8214F" w:rsidRDefault="00577FDB" w:rsidP="00B8214F">
      <w:pPr>
        <w:pStyle w:val="Textonotapie"/>
        <w:spacing w:after="0" w:line="240" w:lineRule="auto"/>
        <w:ind w:firstLine="709"/>
        <w:rPr>
          <w:rFonts w:ascii="Arial" w:hAnsi="Arial" w:cs="Arial"/>
          <w:sz w:val="19"/>
          <w:szCs w:val="19"/>
        </w:rPr>
      </w:pPr>
    </w:p>
    <w:p w14:paraId="6C75B3DB" w14:textId="12C845EF" w:rsidR="00577FDB" w:rsidRPr="00B8214F" w:rsidRDefault="00577FDB" w:rsidP="00B8214F">
      <w:pPr>
        <w:pStyle w:val="Textonotapie"/>
        <w:spacing w:after="0" w:line="240" w:lineRule="auto"/>
        <w:ind w:firstLine="709"/>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CO"/>
        </w:rPr>
        <w:t xml:space="preserve">Disponible en </w:t>
      </w:r>
      <w:hyperlink r:id="rId13" w:history="1">
        <w:r w:rsidRPr="00B8214F">
          <w:rPr>
            <w:rStyle w:val="Hipervnculo"/>
            <w:rFonts w:ascii="Arial" w:hAnsi="Arial" w:cs="Arial"/>
            <w:color w:val="auto"/>
            <w:sz w:val="19"/>
            <w:szCs w:val="19"/>
            <w:lang w:val="es-CO"/>
          </w:rPr>
          <w:t>https://www.contraloria.gov.co/web/registro-de-obras-inconclusas</w:t>
        </w:r>
      </w:hyperlink>
    </w:p>
  </w:footnote>
  <w:footnote w:id="25">
    <w:p w14:paraId="677EC48E" w14:textId="77777777" w:rsidR="000B05F4" w:rsidRPr="00B8214F" w:rsidRDefault="000B05F4" w:rsidP="00EC01D8">
      <w:pPr>
        <w:pStyle w:val="Textonotapie"/>
        <w:spacing w:after="0" w:line="240" w:lineRule="auto"/>
        <w:ind w:firstLine="709"/>
        <w:rPr>
          <w:rFonts w:ascii="Arial" w:hAnsi="Arial" w:cs="Arial"/>
          <w:sz w:val="19"/>
          <w:szCs w:val="19"/>
        </w:rPr>
      </w:pPr>
    </w:p>
    <w:p w14:paraId="05477220" w14:textId="503D91BB" w:rsidR="000B05F4" w:rsidRPr="00B8214F" w:rsidRDefault="000B05F4" w:rsidP="00B8214F">
      <w:pPr>
        <w:pStyle w:val="Textonotapie"/>
        <w:spacing w:after="0" w:line="240" w:lineRule="auto"/>
        <w:ind w:firstLine="708"/>
        <w:rPr>
          <w:rFonts w:ascii="Arial" w:hAnsi="Arial" w:cs="Arial"/>
          <w:sz w:val="19"/>
          <w:szCs w:val="19"/>
          <w:lang w:val="es-CO"/>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rPr>
        <w:t>Puede ser consultada en:</w:t>
      </w:r>
      <w:r w:rsidRPr="00B8214F">
        <w:rPr>
          <w:rFonts w:ascii="Arial" w:hAnsi="Arial" w:cs="Arial"/>
          <w:sz w:val="19"/>
          <w:szCs w:val="19"/>
        </w:rPr>
        <w:t xml:space="preserve"> </w:t>
      </w:r>
      <w:hyperlink r:id="rId14" w:history="1">
        <w:r w:rsidRPr="00B8214F">
          <w:rPr>
            <w:rStyle w:val="Hipervnculo1"/>
            <w:rFonts w:ascii="Arial" w:hAnsi="Arial" w:cs="Arial"/>
            <w:color w:val="auto"/>
            <w:sz w:val="19"/>
            <w:szCs w:val="19"/>
          </w:rPr>
          <w:t>https://www.contraloria.gov.co/web/relatoria/normatividad-y-relatoria</w:t>
        </w:r>
      </w:hyperlink>
      <w:r w:rsidRPr="00B8214F">
        <w:rPr>
          <w:rStyle w:val="Hipervnculo1"/>
          <w:rFonts w:ascii="Arial" w:hAnsi="Arial" w:cs="Arial"/>
          <w:color w:val="auto"/>
          <w:sz w:val="19"/>
          <w:szCs w:val="19"/>
        </w:rPr>
        <w:t xml:space="preserve"> </w:t>
      </w:r>
      <w:r w:rsidRPr="00B8214F">
        <w:rPr>
          <w:rFonts w:ascii="Arial" w:hAnsi="Arial" w:cs="Arial"/>
          <w:sz w:val="19"/>
          <w:szCs w:val="19"/>
        </w:rPr>
        <w:t xml:space="preserve"> </w:t>
      </w:r>
      <w:r w:rsidRPr="00B8214F">
        <w:rPr>
          <w:rFonts w:ascii="Arial" w:hAnsi="Arial" w:cs="Arial"/>
          <w:sz w:val="19"/>
          <w:szCs w:val="19"/>
        </w:rPr>
        <w:tab/>
      </w:r>
    </w:p>
  </w:footnote>
  <w:footnote w:id="26">
    <w:p w14:paraId="20F1F6BD" w14:textId="77777777" w:rsidR="000B05F4" w:rsidRPr="00B8214F" w:rsidRDefault="000B05F4" w:rsidP="00EC01D8">
      <w:pPr>
        <w:pStyle w:val="Textonotapie"/>
        <w:spacing w:after="0" w:line="240" w:lineRule="auto"/>
        <w:rPr>
          <w:rFonts w:ascii="Arial" w:hAnsi="Arial" w:cs="Arial"/>
          <w:sz w:val="19"/>
          <w:szCs w:val="19"/>
        </w:rPr>
      </w:pPr>
      <w:r w:rsidRPr="00B8214F">
        <w:rPr>
          <w:rStyle w:val="Refdenotaalpie"/>
          <w:rFonts w:ascii="Arial" w:hAnsi="Arial" w:cs="Arial"/>
          <w:sz w:val="19"/>
          <w:szCs w:val="19"/>
        </w:rPr>
        <w:footnoteRef/>
      </w:r>
      <w:r w:rsidRPr="00B8214F">
        <w:rPr>
          <w:rFonts w:ascii="Arial" w:hAnsi="Arial" w:cs="Arial"/>
          <w:sz w:val="19"/>
          <w:szCs w:val="19"/>
        </w:rPr>
        <w:t xml:space="preserve"> </w:t>
      </w:r>
      <w:r w:rsidRPr="00EC01D8">
        <w:rPr>
          <w:rFonts w:ascii="Arial" w:hAnsi="Arial" w:cs="Arial"/>
          <w:sz w:val="19"/>
          <w:szCs w:val="19"/>
          <w:lang w:val="es-ES"/>
        </w:rPr>
        <w:t xml:space="preserve">Sobre el particular, se puede consultar la Gaceta 158 del cuarto debate en el Senado. Disponible en: </w:t>
      </w:r>
      <w:hyperlink r:id="rId15" w:history="1">
        <w:r w:rsidRPr="00EC01D8">
          <w:rPr>
            <w:rFonts w:ascii="Arial" w:hAnsi="Arial" w:cs="Arial"/>
            <w:sz w:val="19"/>
            <w:szCs w:val="19"/>
            <w:lang w:val="es-ES"/>
          </w:rPr>
          <w:t>http://svrpubindc.imprenta.gov.co/senado/index.xhtml;jsessionid=b3ba7213a248bacd37376ffcedca</w:t>
        </w:r>
      </w:hyperlink>
      <w:r w:rsidRPr="00EC01D8">
        <w:rPr>
          <w:rFonts w:ascii="Arial" w:hAnsi="Arial" w:cs="Arial"/>
          <w:sz w:val="19"/>
          <w:szCs w:val="19"/>
          <w:lang w:val="es-ES"/>
        </w:rPr>
        <w:t xml:space="preserve">. El senador ponente, Horacio Serpa, expuso que el proyecto pretendía «[…] terminar estas obras civiles inconclusas, que no existan elefantes blancos en las diferentes ciudades de Colombia. […] es un proyecto que va a servir para hacer un inventario, para saber cómo estamos en obra sin en obras inconclusas en Colombia y acabar con este costo fiscal pero también con el costo social que le genera a Colombia cada obra que no es terminada en nuestro territorio nacional.».   </w:t>
      </w:r>
      <w:r w:rsidRPr="00B8214F">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29F5" w14:textId="77777777" w:rsidR="00412132" w:rsidRDefault="00000000">
    <w:pPr>
      <w:pStyle w:val="Encabezado"/>
    </w:pPr>
    <w:r>
      <w:rPr>
        <w:noProof/>
        <w:lang w:val="es-CO" w:eastAsia="es-CO"/>
      </w:rPr>
      <w:drawing>
        <wp:anchor distT="0" distB="0" distL="114300" distR="114300" simplePos="0" relativeHeight="251659264" behindDoc="1" locked="0" layoutInCell="1" allowOverlap="1" wp14:anchorId="28E4AD11" wp14:editId="67D02B4E">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288AAC" w14:textId="77777777" w:rsidR="00FE0395" w:rsidRDefault="00000000" w:rsidP="00FE0395">
    <w:pPr>
      <w:pStyle w:val="Encabezado"/>
      <w:spacing w:after="0"/>
    </w:pPr>
  </w:p>
  <w:p w14:paraId="335CCD30" w14:textId="77777777" w:rsidR="00412132"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80773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44"/>
    <w:rsid w:val="0002038C"/>
    <w:rsid w:val="00026B16"/>
    <w:rsid w:val="000423DA"/>
    <w:rsid w:val="000B05F4"/>
    <w:rsid w:val="000D5AA5"/>
    <w:rsid w:val="000F28D6"/>
    <w:rsid w:val="00141529"/>
    <w:rsid w:val="00197419"/>
    <w:rsid w:val="001A3832"/>
    <w:rsid w:val="00210A88"/>
    <w:rsid w:val="003309A3"/>
    <w:rsid w:val="003664D4"/>
    <w:rsid w:val="003D68EC"/>
    <w:rsid w:val="004612AA"/>
    <w:rsid w:val="004868EC"/>
    <w:rsid w:val="004B47C3"/>
    <w:rsid w:val="00577FDB"/>
    <w:rsid w:val="005C46EE"/>
    <w:rsid w:val="005D6179"/>
    <w:rsid w:val="005D7306"/>
    <w:rsid w:val="005F23E1"/>
    <w:rsid w:val="00637950"/>
    <w:rsid w:val="00643B2F"/>
    <w:rsid w:val="00651A7A"/>
    <w:rsid w:val="00671B44"/>
    <w:rsid w:val="006C0ADF"/>
    <w:rsid w:val="00733076"/>
    <w:rsid w:val="00756E3D"/>
    <w:rsid w:val="007A29BD"/>
    <w:rsid w:val="00863E3C"/>
    <w:rsid w:val="008A6CFB"/>
    <w:rsid w:val="008B2160"/>
    <w:rsid w:val="00954465"/>
    <w:rsid w:val="009633F9"/>
    <w:rsid w:val="00A0787A"/>
    <w:rsid w:val="00A142AA"/>
    <w:rsid w:val="00A154B2"/>
    <w:rsid w:val="00A17261"/>
    <w:rsid w:val="00A77AAC"/>
    <w:rsid w:val="00AE0A01"/>
    <w:rsid w:val="00B30699"/>
    <w:rsid w:val="00B352FC"/>
    <w:rsid w:val="00B50A4D"/>
    <w:rsid w:val="00B55752"/>
    <w:rsid w:val="00B6222A"/>
    <w:rsid w:val="00B8214F"/>
    <w:rsid w:val="00BF4467"/>
    <w:rsid w:val="00C40981"/>
    <w:rsid w:val="00C4645C"/>
    <w:rsid w:val="00CE04D9"/>
    <w:rsid w:val="00D273F8"/>
    <w:rsid w:val="00DD5FE6"/>
    <w:rsid w:val="00E92BF7"/>
    <w:rsid w:val="00EC01D8"/>
    <w:rsid w:val="00ED2C50"/>
    <w:rsid w:val="00FD2D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AF9C9"/>
  <w15:chartTrackingRefBased/>
  <w15:docId w15:val="{B15C6382-70DF-F740-AFE1-2F2991A1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B44"/>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71B44"/>
    <w:pPr>
      <w:tabs>
        <w:tab w:val="center" w:pos="4419"/>
        <w:tab w:val="right" w:pos="8838"/>
      </w:tabs>
    </w:pPr>
  </w:style>
  <w:style w:type="character" w:customStyle="1" w:styleId="PiedepginaCar">
    <w:name w:val="Pie de página Car"/>
    <w:basedOn w:val="Fuentedeprrafopredeter"/>
    <w:link w:val="Piedepgina"/>
    <w:uiPriority w:val="99"/>
    <w:rsid w:val="00671B44"/>
    <w:rPr>
      <w:szCs w:val="22"/>
      <w:lang w:val="es-MX"/>
    </w:rPr>
  </w:style>
  <w:style w:type="paragraph" w:styleId="Encabezado">
    <w:name w:val="header"/>
    <w:basedOn w:val="Normal"/>
    <w:link w:val="EncabezadoCar"/>
    <w:uiPriority w:val="99"/>
    <w:unhideWhenUsed/>
    <w:rsid w:val="00671B44"/>
    <w:pPr>
      <w:tabs>
        <w:tab w:val="center" w:pos="4252"/>
        <w:tab w:val="right" w:pos="8504"/>
      </w:tabs>
    </w:pPr>
  </w:style>
  <w:style w:type="character" w:customStyle="1" w:styleId="EncabezadoCar">
    <w:name w:val="Encabezado Car"/>
    <w:basedOn w:val="Fuentedeprrafopredeter"/>
    <w:link w:val="Encabezado"/>
    <w:uiPriority w:val="99"/>
    <w:rsid w:val="00671B44"/>
    <w:rPr>
      <w:szCs w:val="22"/>
      <w:lang w:val="es-MX"/>
    </w:rPr>
  </w:style>
  <w:style w:type="table" w:styleId="Tablaconcuadrcula">
    <w:name w:val="Table Grid"/>
    <w:basedOn w:val="Tablanormal"/>
    <w:uiPriority w:val="59"/>
    <w:qFormat/>
    <w:rsid w:val="00671B44"/>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671B44"/>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671B44"/>
    <w:pPr>
      <w:jc w:val="both"/>
    </w:pPr>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71B4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671B44"/>
    <w:rPr>
      <w:sz w:val="20"/>
      <w:szCs w:val="20"/>
    </w:rPr>
  </w:style>
  <w:style w:type="character" w:customStyle="1" w:styleId="TextonotapieCar1">
    <w:name w:val="Texto nota pie Car1"/>
    <w:basedOn w:val="Fuentedeprrafopredeter"/>
    <w:uiPriority w:val="99"/>
    <w:semiHidden/>
    <w:rsid w:val="00671B44"/>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71B44"/>
    <w:rPr>
      <w:vertAlign w:val="superscript"/>
    </w:rPr>
  </w:style>
  <w:style w:type="paragraph" w:customStyle="1" w:styleId="Appelnotedebasde">
    <w:name w:val="Appel note de bas de..."/>
    <w:basedOn w:val="Normal"/>
    <w:link w:val="Refdenotaalpie"/>
    <w:uiPriority w:val="99"/>
    <w:rsid w:val="00671B44"/>
    <w:pPr>
      <w:spacing w:after="160" w:line="240" w:lineRule="exact"/>
    </w:pPr>
    <w:rPr>
      <w:szCs w:val="24"/>
      <w:vertAlign w:val="superscript"/>
      <w:lang w:val="es-CO"/>
    </w:rPr>
  </w:style>
  <w:style w:type="character" w:customStyle="1" w:styleId="NormalWebCar">
    <w:name w:val="Normal (Web) Car"/>
    <w:link w:val="NormalWeb"/>
    <w:uiPriority w:val="99"/>
    <w:locked/>
    <w:rsid w:val="00671B44"/>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671B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671B44"/>
    <w:pPr>
      <w:tabs>
        <w:tab w:val="left" w:pos="-142"/>
      </w:tabs>
      <w:autoSpaceDE w:val="0"/>
      <w:autoSpaceDN w:val="0"/>
      <w:adjustRightInd w:val="0"/>
      <w:spacing w:before="120" w:after="240" w:line="240" w:lineRule="auto"/>
    </w:pPr>
    <w:rPr>
      <w:rFonts w:ascii="Arial Narrow" w:eastAsia="Times New Roman" w:hAnsi="Arial Narrow" w:cs="Times New Roman"/>
      <w:color w:val="3C3C3C"/>
      <w:szCs w:val="24"/>
      <w:lang w:val="x-none" w:eastAsia="es-ES"/>
    </w:rPr>
  </w:style>
  <w:style w:type="character" w:customStyle="1" w:styleId="InviasNormalCar">
    <w:name w:val="Invias Normal Car"/>
    <w:link w:val="InviasNormal"/>
    <w:locked/>
    <w:rsid w:val="00671B44"/>
    <w:rPr>
      <w:rFonts w:ascii="Arial Narrow" w:eastAsia="Times New Roman" w:hAnsi="Arial Narrow" w:cs="Times New Roman"/>
      <w:color w:val="3C3C3C"/>
      <w:lang w:val="x-none" w:eastAsia="es-ES"/>
    </w:rPr>
  </w:style>
  <w:style w:type="character" w:customStyle="1" w:styleId="Hipervnculo1">
    <w:name w:val="Hipervínculo1"/>
    <w:basedOn w:val="Fuentedeprrafopredeter"/>
    <w:uiPriority w:val="99"/>
    <w:unhideWhenUsed/>
    <w:rsid w:val="000B05F4"/>
    <w:rPr>
      <w:color w:val="F2F2F2"/>
      <w:u w:val="single"/>
    </w:rPr>
  </w:style>
  <w:style w:type="character" w:styleId="Hipervnculo">
    <w:name w:val="Hyperlink"/>
    <w:basedOn w:val="Fuentedeprrafopredeter"/>
    <w:uiPriority w:val="99"/>
    <w:unhideWhenUsed/>
    <w:rsid w:val="000B05F4"/>
    <w:rPr>
      <w:color w:val="0563C1" w:themeColor="hyperlink"/>
      <w:u w:val="single"/>
    </w:rPr>
  </w:style>
  <w:style w:type="paragraph" w:styleId="Prrafodelista">
    <w:name w:val="List Paragraph"/>
    <w:basedOn w:val="Normal"/>
    <w:uiPriority w:val="34"/>
    <w:qFormat/>
    <w:rsid w:val="000B05F4"/>
    <w:pPr>
      <w:spacing w:after="0" w:line="240" w:lineRule="auto"/>
      <w:ind w:left="720"/>
      <w:contextualSpacing/>
      <w:jc w:val="left"/>
    </w:pPr>
    <w:rPr>
      <w:szCs w:val="24"/>
      <w:lang w:val="es-CO"/>
    </w:rPr>
  </w:style>
  <w:style w:type="paragraph" w:styleId="Revisin">
    <w:name w:val="Revision"/>
    <w:hidden/>
    <w:uiPriority w:val="99"/>
    <w:semiHidden/>
    <w:rsid w:val="00B6222A"/>
    <w:rPr>
      <w:szCs w:val="22"/>
      <w:lang w:val="es-MX"/>
    </w:rPr>
  </w:style>
  <w:style w:type="character" w:styleId="Mencinsinresolver">
    <w:name w:val="Unresolved Mention"/>
    <w:basedOn w:val="Fuentedeprrafopredeter"/>
    <w:uiPriority w:val="99"/>
    <w:semiHidden/>
    <w:unhideWhenUsed/>
    <w:rsid w:val="00A154B2"/>
    <w:rPr>
      <w:color w:val="605E5C"/>
      <w:shd w:val="clear" w:color="auto" w:fill="E1DFDD"/>
    </w:rPr>
  </w:style>
  <w:style w:type="character" w:styleId="Refdecomentario">
    <w:name w:val="annotation reference"/>
    <w:basedOn w:val="Fuentedeprrafopredeter"/>
    <w:uiPriority w:val="99"/>
    <w:semiHidden/>
    <w:unhideWhenUsed/>
    <w:rsid w:val="00C40981"/>
    <w:rPr>
      <w:sz w:val="16"/>
      <w:szCs w:val="16"/>
    </w:rPr>
  </w:style>
  <w:style w:type="paragraph" w:styleId="Textocomentario">
    <w:name w:val="annotation text"/>
    <w:basedOn w:val="Normal"/>
    <w:link w:val="TextocomentarioCar"/>
    <w:uiPriority w:val="99"/>
    <w:unhideWhenUsed/>
    <w:rsid w:val="00C40981"/>
    <w:pPr>
      <w:spacing w:line="240" w:lineRule="auto"/>
    </w:pPr>
    <w:rPr>
      <w:sz w:val="20"/>
      <w:szCs w:val="20"/>
    </w:rPr>
  </w:style>
  <w:style w:type="character" w:customStyle="1" w:styleId="TextocomentarioCar">
    <w:name w:val="Texto comentario Car"/>
    <w:basedOn w:val="Fuentedeprrafopredeter"/>
    <w:link w:val="Textocomentario"/>
    <w:uiPriority w:val="99"/>
    <w:rsid w:val="00C4098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40981"/>
    <w:rPr>
      <w:b/>
      <w:bCs/>
    </w:rPr>
  </w:style>
  <w:style w:type="character" w:customStyle="1" w:styleId="AsuntodelcomentarioCar">
    <w:name w:val="Asunto del comentario Car"/>
    <w:basedOn w:val="TextocomentarioCar"/>
    <w:link w:val="Asuntodelcomentario"/>
    <w:uiPriority w:val="99"/>
    <w:semiHidden/>
    <w:rsid w:val="00C4098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795882">
      <w:bodyDiv w:val="1"/>
      <w:marLeft w:val="0"/>
      <w:marRight w:val="0"/>
      <w:marTop w:val="0"/>
      <w:marBottom w:val="0"/>
      <w:divBdr>
        <w:top w:val="none" w:sz="0" w:space="0" w:color="auto"/>
        <w:left w:val="none" w:sz="0" w:space="0" w:color="auto"/>
        <w:bottom w:val="none" w:sz="0" w:space="0" w:color="auto"/>
        <w:right w:val="none" w:sz="0" w:space="0" w:color="auto"/>
      </w:divBdr>
      <w:divsChild>
        <w:div w:id="1019508155">
          <w:marLeft w:val="0"/>
          <w:marRight w:val="0"/>
          <w:marTop w:val="0"/>
          <w:marBottom w:val="0"/>
          <w:divBdr>
            <w:top w:val="none" w:sz="0" w:space="0" w:color="auto"/>
            <w:left w:val="none" w:sz="0" w:space="0" w:color="auto"/>
            <w:bottom w:val="none" w:sz="0" w:space="0" w:color="auto"/>
            <w:right w:val="none" w:sz="0" w:space="0" w:color="auto"/>
          </w:divBdr>
        </w:div>
      </w:divsChild>
    </w:div>
    <w:div w:id="853037543">
      <w:bodyDiv w:val="1"/>
      <w:marLeft w:val="0"/>
      <w:marRight w:val="0"/>
      <w:marTop w:val="0"/>
      <w:marBottom w:val="0"/>
      <w:divBdr>
        <w:top w:val="none" w:sz="0" w:space="0" w:color="auto"/>
        <w:left w:val="none" w:sz="0" w:space="0" w:color="auto"/>
        <w:bottom w:val="none" w:sz="0" w:space="0" w:color="auto"/>
        <w:right w:val="none" w:sz="0" w:space="0" w:color="auto"/>
      </w:divBdr>
      <w:divsChild>
        <w:div w:id="466629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8/gaceta_563.pdf" TargetMode="External"/><Relationship Id="rId13" Type="http://schemas.openxmlformats.org/officeDocument/2006/relationships/hyperlink" Target="https://www.contraloria.gov.co/web/registro-de-obras-inconclusas" TargetMode="External"/><Relationship Id="rId3" Type="http://schemas.openxmlformats.org/officeDocument/2006/relationships/hyperlink" Target="https://www.contraloria.gov.co/web/relatoria/normatividad-y-relatoria" TargetMode="External"/><Relationship Id="rId7" Type="http://schemas.openxmlformats.org/officeDocument/2006/relationships/hyperlink" Target="http://leyes.senado.gov.co/proyectos/images/documentos/Textos%20Radicados/Ponencias/2019/gaceta_1187.pdf" TargetMode="External"/><Relationship Id="rId12" Type="http://schemas.openxmlformats.org/officeDocument/2006/relationships/hyperlink" Target="http://leyes.senado.gov.co/proyectos/images/documentos/Textos%20Radicados/Ponencias/2019/gaceta_1187.pdf"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s://www.rae.es/drae2001/an%C3%A1lisis" TargetMode="External"/><Relationship Id="rId11" Type="http://schemas.openxmlformats.org/officeDocument/2006/relationships/hyperlink" Target="http://leyes.senado.gov.co/proyectos/images/documentos/Textos%20Radicados/Ponencias/2019/gaceta_963.pdf" TargetMode="External"/><Relationship Id="rId5" Type="http://schemas.openxmlformats.org/officeDocument/2006/relationships/hyperlink" Target="https://dle.rae.es/consultar" TargetMode="External"/><Relationship Id="rId15" Type="http://schemas.openxmlformats.org/officeDocument/2006/relationships/hyperlink" Target="http://svrpubindc.imprenta.gov.co/senado/index.xhtml;jsessionid=b3ba7213a248bacd37376ffcedca" TargetMode="External"/><Relationship Id="rId10" Type="http://schemas.openxmlformats.org/officeDocument/2006/relationships/hyperlink" Target="http://leyes.senado.gov.co/proyectos/images/documentos/Textos%20Radicados/Ponencias/2019/gaceta_423.pdf" TargetMode="External"/><Relationship Id="rId4" Type="http://schemas.openxmlformats.org/officeDocument/2006/relationships/hyperlink" Target="https://www.colombiacompra.gov.co/documentos-tipo/documentos-tipo" TargetMode="External"/><Relationship Id="rId9" Type="http://schemas.openxmlformats.org/officeDocument/2006/relationships/hyperlink" Target="http://leyes.senado.gov.co/proyectos/images/documentos/Textos%20Radicados/Ponencias/2018/gaceta_1154.pdf" TargetMode="External"/><Relationship Id="rId14" Type="http://schemas.openxmlformats.org/officeDocument/2006/relationships/hyperlink" Target="https://www.contraloria.gov.co/web/relatoria/normatividad-y-relato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551CE5-4D53-42BF-A321-9C7476FBAC25}"/>
</file>

<file path=customXml/itemProps2.xml><?xml version="1.0" encoding="utf-8"?>
<ds:datastoreItem xmlns:ds="http://schemas.openxmlformats.org/officeDocument/2006/customXml" ds:itemID="{32F28CD0-FCE1-4976-B52D-260BC509175F}"/>
</file>

<file path=customXml/itemProps3.xml><?xml version="1.0" encoding="utf-8"?>
<ds:datastoreItem xmlns:ds="http://schemas.openxmlformats.org/officeDocument/2006/customXml" ds:itemID="{FED88B9B-2AB8-494B-932D-36BF63E18884}"/>
</file>

<file path=docProps/app.xml><?xml version="1.0" encoding="utf-8"?>
<Properties xmlns="http://schemas.openxmlformats.org/officeDocument/2006/extended-properties" xmlns:vt="http://schemas.openxmlformats.org/officeDocument/2006/docPropsVTypes">
  <Template>Normal.dotm</Template>
  <TotalTime>0</TotalTime>
  <Pages>25</Pages>
  <Words>9661</Words>
  <Characters>53140</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Daniela Amaya</cp:lastModifiedBy>
  <cp:revision>3</cp:revision>
  <dcterms:created xsi:type="dcterms:W3CDTF">2022-10-05T16:09:00Z</dcterms:created>
  <dcterms:modified xsi:type="dcterms:W3CDTF">2022-10-05T16:10:00Z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