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EF19C" w14:textId="77777777" w:rsidR="00E608DD" w:rsidRDefault="00E608DD" w:rsidP="00E608DD">
      <w:pPr>
        <w:jc w:val="right"/>
        <w:rPr>
          <w:rFonts w:ascii="Arial" w:hAnsi="Arial" w:cs="Arial"/>
          <w:b/>
          <w:color w:val="000000" w:themeColor="text1"/>
          <w:sz w:val="16"/>
          <w:szCs w:val="16"/>
          <w:lang w:val="es-ES_tradnl" w:eastAsia="es-ES"/>
        </w:rPr>
      </w:pPr>
      <w:bookmarkStart w:id="0" w:name="_Hlk28946138"/>
      <w:bookmarkStart w:id="1" w:name="_Hlk29548183"/>
      <w:r w:rsidRPr="00FE1418">
        <w:rPr>
          <w:rFonts w:ascii="Arial" w:hAnsi="Arial" w:cs="Arial"/>
          <w:b/>
          <w:color w:val="000000" w:themeColor="text1"/>
          <w:sz w:val="16"/>
          <w:szCs w:val="16"/>
          <w:lang w:val="es-ES_tradnl" w:eastAsia="es-ES"/>
        </w:rPr>
        <w:t>CCE-DES-FM-17</w:t>
      </w:r>
      <w:bookmarkStart w:id="2" w:name="_Hlk50481752"/>
      <w:bookmarkEnd w:id="0"/>
      <w:bookmarkEnd w:id="1"/>
    </w:p>
    <w:p w14:paraId="52D7C364" w14:textId="77777777" w:rsidR="00E608DD" w:rsidRDefault="00E608DD" w:rsidP="00E608DD">
      <w:pPr>
        <w:jc w:val="right"/>
        <w:rPr>
          <w:rFonts w:ascii="Arial" w:hAnsi="Arial" w:cs="Arial"/>
          <w:b/>
          <w:color w:val="000000" w:themeColor="text1"/>
          <w:sz w:val="16"/>
          <w:szCs w:val="16"/>
          <w:lang w:val="es-ES_tradnl" w:eastAsia="es-ES"/>
        </w:rPr>
      </w:pPr>
    </w:p>
    <w:p w14:paraId="3A6FA560" w14:textId="77777777" w:rsidR="00E608DD" w:rsidRPr="0066186F" w:rsidRDefault="00E608DD" w:rsidP="00E608DD">
      <w:pPr>
        <w:tabs>
          <w:tab w:val="left" w:pos="0"/>
        </w:tabs>
        <w:jc w:val="both"/>
        <w:rPr>
          <w:rFonts w:ascii="Arial" w:eastAsia="Calibri" w:hAnsi="Arial" w:cs="Arial"/>
          <w:b/>
          <w:sz w:val="20"/>
          <w:szCs w:val="20"/>
        </w:rPr>
      </w:pPr>
      <w:r w:rsidRPr="0066186F">
        <w:rPr>
          <w:rFonts w:ascii="Arial" w:eastAsia="Calibri" w:hAnsi="Arial" w:cs="Arial"/>
          <w:b/>
          <w:sz w:val="20"/>
          <w:szCs w:val="20"/>
        </w:rPr>
        <w:t xml:space="preserve">CAPACIDAD RESIDUAL – Cálculo </w:t>
      </w:r>
    </w:p>
    <w:p w14:paraId="682829BE" w14:textId="77777777" w:rsidR="00E608DD" w:rsidRPr="0066186F" w:rsidRDefault="00E608DD" w:rsidP="00E608DD">
      <w:pPr>
        <w:tabs>
          <w:tab w:val="left" w:pos="0"/>
        </w:tabs>
        <w:jc w:val="both"/>
        <w:rPr>
          <w:rFonts w:ascii="Arial" w:eastAsia="Calibri" w:hAnsi="Arial" w:cs="Arial"/>
          <w:b/>
          <w:sz w:val="20"/>
          <w:szCs w:val="20"/>
        </w:rPr>
      </w:pPr>
    </w:p>
    <w:p w14:paraId="67D63E01" w14:textId="77777777" w:rsidR="00E608DD" w:rsidRPr="00C25DCC" w:rsidRDefault="00E608DD" w:rsidP="00E608DD">
      <w:pPr>
        <w:tabs>
          <w:tab w:val="left" w:pos="0"/>
        </w:tabs>
        <w:jc w:val="both"/>
        <w:rPr>
          <w:rFonts w:ascii="Arial" w:hAnsi="Arial" w:cs="Arial"/>
          <w:sz w:val="20"/>
          <w:szCs w:val="20"/>
        </w:rPr>
      </w:pPr>
      <w:r w:rsidRPr="0066186F">
        <w:rPr>
          <w:rFonts w:ascii="Arial" w:eastAsiaTheme="minorHAnsi" w:hAnsi="Arial" w:cs="Arial"/>
          <w:color w:val="000000" w:themeColor="text1"/>
          <w:sz w:val="20"/>
          <w:szCs w:val="20"/>
          <w:lang w:val="es-MX"/>
        </w:rPr>
        <w:t xml:space="preserve">De acuerdo con la definición establecida en el artículo 2.2.1.1.1.3.1. del Decreto 1082 de 2015, la capacidad residual es la aptitud de los oferentes para cumplir de manera oportuna y a cabalidad el objeto de un contrato de obra, sin que los demás compromisos contractuales que han adquirido </w:t>
      </w:r>
      <w:r w:rsidRPr="00C25DCC">
        <w:rPr>
          <w:rFonts w:ascii="Arial" w:eastAsiaTheme="minorHAnsi" w:hAnsi="Arial" w:cs="Arial"/>
          <w:color w:val="000000" w:themeColor="text1"/>
          <w:sz w:val="20"/>
          <w:szCs w:val="20"/>
          <w:lang w:val="es-MX"/>
        </w:rPr>
        <w:t xml:space="preserve">afecten su habilidad para cumplir el objeto del contrato que está en proceso de selección. Por su parte, el Consejo de Estado ha definido la capacidad residual como «[…] la diferencia que existe entre el potencial de contratación que se tiene y los compromisos que haya adquirido y que se encuentren en ejecución, para la fecha de presentación de la </w:t>
      </w:r>
      <w:proofErr w:type="spellStart"/>
      <w:r w:rsidRPr="00C25DCC">
        <w:rPr>
          <w:rFonts w:ascii="Arial" w:eastAsiaTheme="minorHAnsi" w:hAnsi="Arial" w:cs="Arial"/>
          <w:color w:val="000000" w:themeColor="text1"/>
          <w:sz w:val="20"/>
          <w:szCs w:val="20"/>
          <w:lang w:val="es-MX"/>
        </w:rPr>
        <w:t>oferta».En</w:t>
      </w:r>
      <w:proofErr w:type="spellEnd"/>
      <w:r w:rsidRPr="00C25DCC">
        <w:rPr>
          <w:rFonts w:ascii="Arial" w:eastAsiaTheme="minorHAnsi" w:hAnsi="Arial" w:cs="Arial"/>
          <w:color w:val="000000" w:themeColor="text1"/>
          <w:sz w:val="20"/>
          <w:szCs w:val="20"/>
          <w:lang w:val="es-MX"/>
        </w:rPr>
        <w:t xml:space="preserve"> tales términos, la capacidad residual hace referencia a la suficiencia que tiene el proponente para asumir nuevas obligaciones que se derivan del contrato objeto del proceso de contratación, en relación con las obligaciones que ya adquirió frente a otros contratos</w:t>
      </w:r>
      <w:r w:rsidRPr="00C25DCC">
        <w:rPr>
          <w:rFonts w:ascii="Arial" w:hAnsi="Arial" w:cs="Arial"/>
          <w:sz w:val="20"/>
          <w:szCs w:val="20"/>
        </w:rPr>
        <w:t xml:space="preserve">. </w:t>
      </w:r>
    </w:p>
    <w:p w14:paraId="2115A05B" w14:textId="77777777" w:rsidR="00E608DD" w:rsidRPr="00C25DCC" w:rsidRDefault="00E608DD" w:rsidP="00E608DD">
      <w:pPr>
        <w:jc w:val="right"/>
        <w:rPr>
          <w:rFonts w:ascii="Arial" w:hAnsi="Arial" w:cs="Arial"/>
          <w:b/>
          <w:color w:val="000000" w:themeColor="text1"/>
          <w:sz w:val="20"/>
          <w:szCs w:val="20"/>
          <w:lang w:val="es-ES_tradnl" w:eastAsia="es-ES"/>
        </w:rPr>
      </w:pPr>
    </w:p>
    <w:p w14:paraId="55B57D6D" w14:textId="77777777" w:rsidR="00E608DD" w:rsidRDefault="00E608DD" w:rsidP="00E608DD">
      <w:pPr>
        <w:jc w:val="both"/>
        <w:rPr>
          <w:rFonts w:ascii="Arial" w:hAnsi="Arial" w:cs="Arial"/>
          <w:b/>
          <w:color w:val="000000" w:themeColor="text1"/>
          <w:sz w:val="20"/>
          <w:szCs w:val="20"/>
          <w:lang w:val="es-ES_tradnl" w:eastAsia="es-ES"/>
        </w:rPr>
      </w:pPr>
      <w:r w:rsidRPr="00C25DCC">
        <w:rPr>
          <w:rFonts w:ascii="Arial" w:hAnsi="Arial" w:cs="Arial"/>
          <w:b/>
          <w:color w:val="000000" w:themeColor="text1"/>
          <w:sz w:val="20"/>
          <w:szCs w:val="20"/>
          <w:lang w:val="es-ES_tradnl" w:eastAsia="es-ES"/>
        </w:rPr>
        <w:t xml:space="preserve">SALDO DE CONTRATOS EN EJECUCIÓN – Cálculo </w:t>
      </w:r>
    </w:p>
    <w:p w14:paraId="2E99AB8B" w14:textId="77777777" w:rsidR="00E608DD" w:rsidRPr="00C25DCC" w:rsidRDefault="00E608DD" w:rsidP="00E608DD">
      <w:pPr>
        <w:spacing w:before="120" w:after="120"/>
        <w:jc w:val="both"/>
        <w:rPr>
          <w:rFonts w:ascii="Arial" w:hAnsi="Arial" w:cs="Arial"/>
          <w:bCs/>
          <w:sz w:val="20"/>
          <w:szCs w:val="20"/>
          <w:lang w:val="es-ES" w:eastAsia="es-CO"/>
        </w:rPr>
      </w:pPr>
      <w:r w:rsidRPr="00C25DCC">
        <w:rPr>
          <w:rFonts w:ascii="Arial" w:hAnsi="Arial" w:cs="Arial"/>
          <w:bCs/>
          <w:sz w:val="20"/>
          <w:szCs w:val="20"/>
          <w:lang w:val="es-ES" w:eastAsia="es-CO"/>
        </w:rPr>
        <w:t>Conforme a lo anterior, los «Contratos en ejecución» que deben ser tenidos en cuenta para el cálculo del factor (SCE) son aquellos que, al momento de presentarse la oferta, obligan al proponente a ejecutar obras civiles. En ese sentido, lo determinante es que del contrato derive un compromiso vinculante de ejecutar obras civiles, por lo que se requiere que el contrato se encuentre en ejecución en estricto sentido, razón por la que la propia definición establece que cobija a aquellos contratos suspendidos y a los que no cuenten con un acta de inicio.</w:t>
      </w:r>
    </w:p>
    <w:p w14:paraId="5856D161" w14:textId="77777777" w:rsidR="00E608DD" w:rsidRPr="00C25DCC" w:rsidRDefault="00E608DD" w:rsidP="00E608DD">
      <w:pPr>
        <w:spacing w:before="120" w:after="120"/>
        <w:jc w:val="both"/>
        <w:rPr>
          <w:rFonts w:ascii="Arial" w:hAnsi="Arial" w:cs="Arial"/>
          <w:bCs/>
          <w:sz w:val="20"/>
          <w:szCs w:val="20"/>
          <w:lang w:val="es-ES" w:eastAsia="es-CO"/>
        </w:rPr>
      </w:pPr>
      <w:r w:rsidRPr="00C25DCC">
        <w:rPr>
          <w:rFonts w:ascii="Arial" w:hAnsi="Arial" w:cs="Arial"/>
          <w:bCs/>
          <w:sz w:val="20"/>
          <w:szCs w:val="20"/>
          <w:lang w:val="es-ES" w:eastAsia="es-CO"/>
        </w:rPr>
        <w:t xml:space="preserve">En los documentos tipo de licitación de obra pública de infraestructura de transporte –versión 3– los aspectos relativos a Cálculo de la Capacidad </w:t>
      </w:r>
      <w:proofErr w:type="gramStart"/>
      <w:r w:rsidRPr="00C25DCC">
        <w:rPr>
          <w:rFonts w:ascii="Arial" w:hAnsi="Arial" w:cs="Arial"/>
          <w:bCs/>
          <w:sz w:val="20"/>
          <w:szCs w:val="20"/>
          <w:lang w:val="es-ES" w:eastAsia="es-CO"/>
        </w:rPr>
        <w:t>Residual,</w:t>
      </w:r>
      <w:proofErr w:type="gramEnd"/>
      <w:r w:rsidRPr="00C25DCC">
        <w:rPr>
          <w:rFonts w:ascii="Arial" w:hAnsi="Arial" w:cs="Arial"/>
          <w:bCs/>
          <w:sz w:val="20"/>
          <w:szCs w:val="20"/>
          <w:lang w:val="es-ES" w:eastAsia="es-CO"/>
        </w:rPr>
        <w:t xml:space="preserve"> aparecen regulados de manera en el numeral 3.10.2 del Documento Base o Pliego Tipo, cuyo literal E se refiere al factor saldo de contratos en ejecución (SCE). El numeral II de dicho literal reproduce la definición citada </w:t>
      </w:r>
      <w:r w:rsidRPr="00C25DCC">
        <w:rPr>
          <w:rFonts w:ascii="Arial" w:hAnsi="Arial" w:cs="Arial"/>
          <w:bCs/>
          <w:i/>
          <w:iCs/>
          <w:sz w:val="20"/>
          <w:szCs w:val="20"/>
          <w:lang w:val="es-ES" w:eastAsia="es-CO"/>
        </w:rPr>
        <w:t>supra</w:t>
      </w:r>
      <w:r w:rsidRPr="00C25DCC">
        <w:rPr>
          <w:rFonts w:ascii="Arial" w:hAnsi="Arial" w:cs="Arial"/>
          <w:bCs/>
          <w:sz w:val="20"/>
          <w:szCs w:val="20"/>
          <w:lang w:val="es-ES" w:eastAsia="es-CO"/>
        </w:rPr>
        <w:t xml:space="preserve"> según la cual «</w:t>
      </w:r>
      <w:r w:rsidRPr="00C25DCC">
        <w:rPr>
          <w:rFonts w:ascii="Arial" w:hAnsi="Arial" w:cs="Arial"/>
          <w:sz w:val="20"/>
          <w:szCs w:val="20"/>
        </w:rPr>
        <w:t>Los contratos de obras civiles en ejecución son aquellos que a la fecha de presentación de la oferta obligan al proponente con entidades estatales y con entidades privadas para ejecutar obras civiles». Asimismo, indica el numeral que dentro de estas obras civiles se encuentran «[…]los contratos de concesión y los contratos de obra suscritos con concesionarios, así como, los contratos suspendidos y aquellos que no tengan acta de inicio. No se entenderán como contratos en ejecución los que se encuentren en liquidación».</w:t>
      </w:r>
    </w:p>
    <w:p w14:paraId="15AB66EF" w14:textId="77777777" w:rsidR="00E608DD" w:rsidRDefault="00E608DD" w:rsidP="00E608DD">
      <w:pPr>
        <w:jc w:val="both"/>
        <w:rPr>
          <w:rFonts w:ascii="Arial" w:hAnsi="Arial" w:cs="Arial"/>
          <w:b/>
          <w:color w:val="000000" w:themeColor="text1"/>
          <w:sz w:val="16"/>
          <w:szCs w:val="16"/>
          <w:lang w:val="es-ES_tradnl" w:eastAsia="es-ES"/>
        </w:rPr>
      </w:pPr>
    </w:p>
    <w:p w14:paraId="6B98997E" w14:textId="77777777" w:rsidR="00E608DD" w:rsidRDefault="00E608DD" w:rsidP="00E608DD">
      <w:pPr>
        <w:jc w:val="right"/>
        <w:rPr>
          <w:rFonts w:ascii="Arial" w:hAnsi="Arial" w:cs="Arial"/>
          <w:b/>
          <w:color w:val="000000" w:themeColor="text1"/>
          <w:sz w:val="16"/>
          <w:szCs w:val="16"/>
          <w:lang w:val="es-ES_tradnl" w:eastAsia="es-ES"/>
        </w:rPr>
      </w:pPr>
    </w:p>
    <w:p w14:paraId="5845593A" w14:textId="77777777" w:rsidR="00E608DD" w:rsidRDefault="00E608DD" w:rsidP="00E608DD">
      <w:pPr>
        <w:jc w:val="right"/>
        <w:rPr>
          <w:rFonts w:ascii="Arial" w:hAnsi="Arial" w:cs="Arial"/>
          <w:b/>
          <w:color w:val="000000" w:themeColor="text1"/>
          <w:sz w:val="16"/>
          <w:szCs w:val="16"/>
          <w:lang w:val="es-ES_tradnl" w:eastAsia="es-ES"/>
        </w:rPr>
      </w:pPr>
    </w:p>
    <w:p w14:paraId="777CF9FB" w14:textId="77777777" w:rsidR="00E608DD" w:rsidRDefault="00E608DD" w:rsidP="00E608DD">
      <w:pPr>
        <w:jc w:val="right"/>
        <w:rPr>
          <w:rFonts w:ascii="Arial" w:hAnsi="Arial" w:cs="Arial"/>
          <w:b/>
          <w:color w:val="000000" w:themeColor="text1"/>
          <w:sz w:val="16"/>
          <w:szCs w:val="16"/>
          <w:lang w:val="es-ES_tradnl" w:eastAsia="es-ES"/>
        </w:rPr>
      </w:pPr>
    </w:p>
    <w:p w14:paraId="108F1250" w14:textId="77777777" w:rsidR="00E608DD" w:rsidRDefault="00E608DD" w:rsidP="00E608DD">
      <w:pPr>
        <w:jc w:val="right"/>
        <w:rPr>
          <w:rFonts w:ascii="Arial" w:hAnsi="Arial" w:cs="Arial"/>
          <w:b/>
          <w:color w:val="000000" w:themeColor="text1"/>
          <w:sz w:val="16"/>
          <w:szCs w:val="16"/>
          <w:lang w:val="es-ES_tradnl" w:eastAsia="es-ES"/>
        </w:rPr>
      </w:pPr>
    </w:p>
    <w:p w14:paraId="5BBE51EA" w14:textId="77777777" w:rsidR="00E608DD" w:rsidRDefault="00E608DD" w:rsidP="00E608DD">
      <w:pPr>
        <w:jc w:val="right"/>
        <w:rPr>
          <w:rFonts w:ascii="Arial" w:hAnsi="Arial" w:cs="Arial"/>
          <w:b/>
          <w:color w:val="000000" w:themeColor="text1"/>
          <w:sz w:val="16"/>
          <w:szCs w:val="16"/>
          <w:lang w:val="es-ES_tradnl" w:eastAsia="es-ES"/>
        </w:rPr>
      </w:pPr>
    </w:p>
    <w:p w14:paraId="2F596975" w14:textId="77777777" w:rsidR="00E608DD" w:rsidRDefault="00E608DD" w:rsidP="00E608DD">
      <w:pPr>
        <w:jc w:val="right"/>
        <w:rPr>
          <w:rFonts w:ascii="Arial" w:hAnsi="Arial" w:cs="Arial"/>
          <w:b/>
          <w:color w:val="000000" w:themeColor="text1"/>
          <w:sz w:val="16"/>
          <w:szCs w:val="16"/>
          <w:lang w:val="es-ES_tradnl" w:eastAsia="es-ES"/>
        </w:rPr>
      </w:pPr>
    </w:p>
    <w:p w14:paraId="142F731E" w14:textId="77777777" w:rsidR="00E608DD" w:rsidRDefault="00E608DD" w:rsidP="00E608DD">
      <w:pPr>
        <w:jc w:val="right"/>
        <w:rPr>
          <w:rFonts w:ascii="Arial" w:hAnsi="Arial" w:cs="Arial"/>
          <w:b/>
          <w:color w:val="000000" w:themeColor="text1"/>
          <w:sz w:val="16"/>
          <w:szCs w:val="16"/>
          <w:lang w:val="es-ES_tradnl" w:eastAsia="es-ES"/>
        </w:rPr>
      </w:pPr>
    </w:p>
    <w:p w14:paraId="7B5FEF8E" w14:textId="77777777" w:rsidR="00E608DD" w:rsidRDefault="00E608DD" w:rsidP="00E608DD">
      <w:pPr>
        <w:jc w:val="right"/>
        <w:rPr>
          <w:rFonts w:ascii="Arial" w:hAnsi="Arial" w:cs="Arial"/>
          <w:b/>
          <w:color w:val="000000" w:themeColor="text1"/>
          <w:sz w:val="16"/>
          <w:szCs w:val="16"/>
          <w:lang w:val="es-ES_tradnl" w:eastAsia="es-ES"/>
        </w:rPr>
      </w:pPr>
    </w:p>
    <w:p w14:paraId="2A761A7D" w14:textId="77777777" w:rsidR="00E608DD" w:rsidRDefault="00E608DD" w:rsidP="00E608DD">
      <w:pPr>
        <w:jc w:val="right"/>
        <w:rPr>
          <w:rFonts w:ascii="Arial" w:hAnsi="Arial" w:cs="Arial"/>
          <w:b/>
          <w:color w:val="000000" w:themeColor="text1"/>
          <w:sz w:val="16"/>
          <w:szCs w:val="16"/>
          <w:lang w:val="es-ES_tradnl" w:eastAsia="es-ES"/>
        </w:rPr>
      </w:pPr>
    </w:p>
    <w:p w14:paraId="0FE309A6" w14:textId="77777777" w:rsidR="00E608DD" w:rsidRDefault="00E608DD" w:rsidP="00E608DD">
      <w:pPr>
        <w:jc w:val="right"/>
        <w:rPr>
          <w:rFonts w:ascii="Arial" w:hAnsi="Arial" w:cs="Arial"/>
          <w:b/>
          <w:color w:val="000000" w:themeColor="text1"/>
          <w:sz w:val="16"/>
          <w:szCs w:val="16"/>
          <w:lang w:val="es-ES_tradnl" w:eastAsia="es-ES"/>
        </w:rPr>
      </w:pPr>
    </w:p>
    <w:p w14:paraId="13F5EFC9" w14:textId="77777777" w:rsidR="00E608DD" w:rsidRDefault="00E608DD" w:rsidP="00E608DD">
      <w:pPr>
        <w:jc w:val="right"/>
        <w:rPr>
          <w:rFonts w:ascii="Arial" w:hAnsi="Arial" w:cs="Arial"/>
          <w:b/>
          <w:color w:val="000000" w:themeColor="text1"/>
          <w:sz w:val="16"/>
          <w:szCs w:val="16"/>
          <w:lang w:val="es-ES_tradnl" w:eastAsia="es-ES"/>
        </w:rPr>
      </w:pPr>
    </w:p>
    <w:p w14:paraId="5CFCBAA0" w14:textId="77777777" w:rsidR="00E608DD" w:rsidRDefault="00E608DD" w:rsidP="00E608DD">
      <w:pPr>
        <w:jc w:val="right"/>
        <w:rPr>
          <w:rFonts w:ascii="Arial" w:hAnsi="Arial" w:cs="Arial"/>
          <w:b/>
          <w:color w:val="000000" w:themeColor="text1"/>
          <w:sz w:val="16"/>
          <w:szCs w:val="16"/>
          <w:lang w:val="es-ES_tradnl" w:eastAsia="es-ES"/>
        </w:rPr>
      </w:pPr>
    </w:p>
    <w:p w14:paraId="66906656" w14:textId="77777777" w:rsidR="00E608DD" w:rsidRDefault="00E608DD" w:rsidP="00E608DD">
      <w:pPr>
        <w:jc w:val="right"/>
        <w:rPr>
          <w:rFonts w:ascii="Arial" w:hAnsi="Arial" w:cs="Arial"/>
          <w:b/>
          <w:color w:val="000000" w:themeColor="text1"/>
          <w:sz w:val="16"/>
          <w:szCs w:val="16"/>
          <w:lang w:val="es-ES_tradnl" w:eastAsia="es-ES"/>
        </w:rPr>
      </w:pPr>
    </w:p>
    <w:p w14:paraId="4CB2E5C1" w14:textId="77777777" w:rsidR="00E608DD" w:rsidRDefault="00E608DD" w:rsidP="00E608DD">
      <w:pPr>
        <w:jc w:val="right"/>
        <w:rPr>
          <w:rFonts w:ascii="Arial" w:hAnsi="Arial" w:cs="Arial"/>
          <w:b/>
          <w:color w:val="000000" w:themeColor="text1"/>
          <w:sz w:val="16"/>
          <w:szCs w:val="16"/>
          <w:lang w:val="es-ES_tradnl" w:eastAsia="es-ES"/>
        </w:rPr>
      </w:pPr>
    </w:p>
    <w:p w14:paraId="06250844" w14:textId="77777777" w:rsidR="00E608DD" w:rsidRDefault="00E608DD" w:rsidP="00E608DD">
      <w:pPr>
        <w:jc w:val="right"/>
        <w:rPr>
          <w:rFonts w:ascii="Arial" w:hAnsi="Arial" w:cs="Arial"/>
          <w:b/>
          <w:color w:val="000000" w:themeColor="text1"/>
          <w:sz w:val="16"/>
          <w:szCs w:val="16"/>
          <w:lang w:val="es-ES_tradnl" w:eastAsia="es-ES"/>
        </w:rPr>
      </w:pPr>
    </w:p>
    <w:p w14:paraId="4FB6DA6C" w14:textId="0A23E125" w:rsidR="00E608DD" w:rsidRPr="00FE1418" w:rsidRDefault="00E608DD" w:rsidP="00E608DD">
      <w:pPr>
        <w:rPr>
          <w:rFonts w:ascii="Arial" w:eastAsia="Calibri" w:hAnsi="Arial" w:cs="Arial"/>
          <w:b/>
          <w:color w:val="000000" w:themeColor="text1"/>
          <w:sz w:val="20"/>
          <w:szCs w:val="20"/>
          <w:lang w:val="es-ES_tradnl"/>
        </w:rPr>
      </w:pPr>
    </w:p>
    <w:p w14:paraId="34E64377" w14:textId="77777777" w:rsidR="00E608DD" w:rsidRPr="00FE1418" w:rsidRDefault="00E608DD" w:rsidP="00E608DD">
      <w:pPr>
        <w:jc w:val="both"/>
        <w:rPr>
          <w:rFonts w:ascii="Arial" w:eastAsia="Calibri" w:hAnsi="Arial" w:cs="Arial"/>
          <w:bCs/>
          <w:sz w:val="20"/>
          <w:szCs w:val="20"/>
        </w:rPr>
      </w:pPr>
    </w:p>
    <w:bookmarkEnd w:id="2"/>
    <w:p w14:paraId="00B70B18" w14:textId="1633B7CF" w:rsidR="00E608DD" w:rsidRDefault="00E608DD" w:rsidP="00E608DD">
      <w:pPr>
        <w:spacing w:line="276" w:lineRule="auto"/>
        <w:jc w:val="both"/>
        <w:rPr>
          <w:rFonts w:ascii="Arial" w:hAnsi="Arial" w:cs="Arial"/>
          <w:noProof/>
          <w:color w:val="000000" w:themeColor="text1"/>
          <w:sz w:val="22"/>
          <w:lang w:val="pt-BR"/>
        </w:rPr>
      </w:pPr>
      <w:r w:rsidRPr="00FE1418">
        <w:rPr>
          <w:rFonts w:ascii="Arial" w:hAnsi="Arial" w:cs="Arial"/>
          <w:noProof/>
          <w:color w:val="000000" w:themeColor="text1"/>
          <w:sz w:val="22"/>
          <w:lang w:val="pt-BR"/>
        </w:rPr>
        <w:lastRenderedPageBreak/>
        <w:t>Bogotá, D.C.</w:t>
      </w:r>
      <w:r w:rsidR="00C37002">
        <w:rPr>
          <w:rFonts w:ascii="Arial" w:hAnsi="Arial" w:cs="Arial"/>
          <w:noProof/>
          <w:color w:val="000000" w:themeColor="text1"/>
          <w:sz w:val="22"/>
          <w:lang w:val="pt-BR"/>
        </w:rPr>
        <w:t xml:space="preserve"> 23 de septiembre de 2022</w:t>
      </w:r>
    </w:p>
    <w:p w14:paraId="0931498D" w14:textId="77777777" w:rsidR="00E608DD" w:rsidRPr="00E12ED4" w:rsidRDefault="00E608DD" w:rsidP="00E608DD">
      <w:pPr>
        <w:jc w:val="right"/>
      </w:pPr>
      <w:r>
        <w:fldChar w:fldCharType="begin"/>
      </w:r>
      <w:r>
        <w:instrText xml:space="preserve"> INCLUDEPICTURE "/var/folders/tb/0fmk9b510f57pz5rwhv8lnpw0000gp/T/com.microsoft.Word/WebArchiveCopyPasteTempFiles/page1image17756976" \* MERGEFORMATINET </w:instrText>
      </w:r>
      <w:r>
        <w:fldChar w:fldCharType="separate"/>
      </w:r>
      <w:r>
        <w:rPr>
          <w:noProof/>
        </w:rPr>
        <w:drawing>
          <wp:inline distT="0" distB="0" distL="0" distR="0" wp14:anchorId="74154D0D" wp14:editId="7039D0F3">
            <wp:extent cx="2402205" cy="614045"/>
            <wp:effectExtent l="0" t="0" r="0" b="0"/>
            <wp:docPr id="2" name="Imagen 2" descr="page1image17756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775697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2205" cy="614045"/>
                    </a:xfrm>
                    <a:prstGeom prst="rect">
                      <a:avLst/>
                    </a:prstGeom>
                    <a:noFill/>
                    <a:ln>
                      <a:noFill/>
                    </a:ln>
                  </pic:spPr>
                </pic:pic>
              </a:graphicData>
            </a:graphic>
          </wp:inline>
        </w:drawing>
      </w:r>
      <w:r>
        <w:fldChar w:fldCharType="end"/>
      </w:r>
    </w:p>
    <w:p w14:paraId="0C4D730B" w14:textId="77777777" w:rsidR="00E608DD" w:rsidRPr="00FE1418" w:rsidRDefault="00E608DD" w:rsidP="00E608DD">
      <w:pPr>
        <w:jc w:val="both"/>
        <w:rPr>
          <w:rFonts w:ascii="Arial" w:eastAsia="Calibri" w:hAnsi="Arial" w:cs="Arial"/>
          <w:color w:val="000000" w:themeColor="text1"/>
          <w:sz w:val="22"/>
          <w:lang w:val="es-ES_tradnl"/>
        </w:rPr>
      </w:pPr>
      <w:bookmarkStart w:id="3" w:name="_Hlk95237798"/>
      <w:r w:rsidRPr="00FE1418">
        <w:rPr>
          <w:rFonts w:ascii="Arial" w:eastAsia="Calibri" w:hAnsi="Arial" w:cs="Arial"/>
          <w:color w:val="000000" w:themeColor="text1"/>
          <w:sz w:val="22"/>
          <w:lang w:val="es-ES_tradnl"/>
        </w:rPr>
        <w:t>Señor</w:t>
      </w:r>
    </w:p>
    <w:p w14:paraId="12431B4E" w14:textId="77777777" w:rsidR="00E608DD" w:rsidRPr="00FE1418" w:rsidRDefault="00E608DD" w:rsidP="00E608DD">
      <w:pPr>
        <w:jc w:val="both"/>
        <w:rPr>
          <w:rFonts w:ascii="Arial" w:eastAsia="Calibri" w:hAnsi="Arial" w:cs="Arial"/>
          <w:b/>
          <w:color w:val="000000" w:themeColor="text1"/>
          <w:sz w:val="22"/>
          <w:lang w:val="es-ES_tradnl"/>
        </w:rPr>
      </w:pPr>
      <w:r>
        <w:rPr>
          <w:rFonts w:ascii="Arial" w:eastAsia="Calibri" w:hAnsi="Arial" w:cs="Arial"/>
          <w:b/>
          <w:color w:val="000000" w:themeColor="text1"/>
          <w:sz w:val="22"/>
        </w:rPr>
        <w:t xml:space="preserve">Andrés Mauricio Rosero Riascos </w:t>
      </w:r>
    </w:p>
    <w:p w14:paraId="337B3C8E" w14:textId="77777777" w:rsidR="00E608DD" w:rsidRPr="00FE1418" w:rsidRDefault="00E608DD" w:rsidP="00E608DD">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La estrella, Antioquia </w:t>
      </w:r>
    </w:p>
    <w:p w14:paraId="19CED66D" w14:textId="77777777" w:rsidR="00E608DD" w:rsidRPr="00FE1418" w:rsidRDefault="00E608DD" w:rsidP="00E608DD">
      <w:pPr>
        <w:jc w:val="both"/>
        <w:rPr>
          <w:rFonts w:ascii="Arial" w:eastAsia="Calibri" w:hAnsi="Arial" w:cs="Arial"/>
          <w:color w:val="000000" w:themeColor="text1"/>
          <w:sz w:val="22"/>
          <w:lang w:val="es-ES_tradnl"/>
        </w:rPr>
      </w:pPr>
    </w:p>
    <w:p w14:paraId="2F04C7F9" w14:textId="77777777" w:rsidR="00E608DD" w:rsidRPr="00FE1418" w:rsidRDefault="00E608DD" w:rsidP="00E608DD">
      <w:pPr>
        <w:rPr>
          <w:rFonts w:ascii="Arial" w:eastAsia="Calibri" w:hAnsi="Arial" w:cs="Arial"/>
          <w:b/>
          <w:bCs/>
          <w:color w:val="000000" w:themeColor="text1"/>
          <w:sz w:val="22"/>
          <w:lang w:val="es-ES_tradnl"/>
        </w:rPr>
      </w:pPr>
      <w:r w:rsidRPr="00FE1418">
        <w:rPr>
          <w:rFonts w:ascii="Arial" w:eastAsia="Calibri" w:hAnsi="Arial" w:cs="Arial"/>
          <w:b/>
          <w:bCs/>
          <w:color w:val="000000" w:themeColor="text1"/>
          <w:sz w:val="22"/>
          <w:lang w:val="es-ES_tradnl"/>
        </w:rPr>
        <w:t xml:space="preserve">                                            Concepto C ‒ </w:t>
      </w:r>
      <w:r>
        <w:rPr>
          <w:rFonts w:ascii="Arial" w:eastAsia="Calibri" w:hAnsi="Arial" w:cs="Arial"/>
          <w:b/>
          <w:bCs/>
          <w:color w:val="000000" w:themeColor="text1"/>
          <w:sz w:val="22"/>
          <w:lang w:val="es-ES_tradnl"/>
        </w:rPr>
        <w:t xml:space="preserve">606 </w:t>
      </w:r>
      <w:r w:rsidRPr="00FE1418">
        <w:rPr>
          <w:rFonts w:ascii="Arial" w:eastAsia="Calibri" w:hAnsi="Arial" w:cs="Arial"/>
          <w:b/>
          <w:bCs/>
          <w:color w:val="000000" w:themeColor="text1"/>
          <w:sz w:val="22"/>
          <w:lang w:val="es-ES_tradnl"/>
        </w:rPr>
        <w:t>de 2022</w:t>
      </w:r>
    </w:p>
    <w:p w14:paraId="65787405" w14:textId="77777777" w:rsidR="00E608DD" w:rsidRPr="00FE1418" w:rsidRDefault="00E608DD" w:rsidP="00E608DD">
      <w:pPr>
        <w:rPr>
          <w:rFonts w:ascii="Arial" w:eastAsia="Calibri" w:hAnsi="Arial" w:cs="Arial"/>
          <w:b/>
          <w:bCs/>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608DD" w:rsidRPr="00FE1418" w14:paraId="6DAF5878" w14:textId="77777777" w:rsidTr="00141EB5">
        <w:tc>
          <w:tcPr>
            <w:tcW w:w="2689" w:type="dxa"/>
          </w:tcPr>
          <w:p w14:paraId="5907D87B" w14:textId="77777777" w:rsidR="00E608DD" w:rsidRPr="00FE1418" w:rsidRDefault="00E608DD" w:rsidP="00141EB5">
            <w:pPr>
              <w:jc w:val="both"/>
              <w:rPr>
                <w:rFonts w:ascii="Arial" w:eastAsia="Calibri" w:hAnsi="Arial" w:cs="Arial"/>
                <w:color w:val="000000" w:themeColor="text1"/>
                <w:sz w:val="22"/>
                <w:szCs w:val="22"/>
                <w:lang w:val="es-ES_tradnl"/>
              </w:rPr>
            </w:pPr>
            <w:r w:rsidRPr="00FE1418">
              <w:rPr>
                <w:rFonts w:ascii="Arial" w:eastAsia="Calibri" w:hAnsi="Arial" w:cs="Arial"/>
                <w:b/>
                <w:color w:val="000000" w:themeColor="text1"/>
                <w:sz w:val="22"/>
                <w:szCs w:val="22"/>
                <w:lang w:val="es-ES_tradnl"/>
              </w:rPr>
              <w:t>Temas:</w:t>
            </w:r>
            <w:r w:rsidRPr="00FE1418">
              <w:rPr>
                <w:rFonts w:ascii="Arial" w:eastAsia="Calibri" w:hAnsi="Arial" w:cs="Arial"/>
                <w:color w:val="000000" w:themeColor="text1"/>
                <w:sz w:val="22"/>
                <w:szCs w:val="22"/>
                <w:lang w:val="es-ES_tradnl"/>
              </w:rPr>
              <w:t xml:space="preserve">                                      </w:t>
            </w:r>
          </w:p>
        </w:tc>
        <w:tc>
          <w:tcPr>
            <w:tcW w:w="6237" w:type="dxa"/>
          </w:tcPr>
          <w:p w14:paraId="1D08B968" w14:textId="77777777" w:rsidR="00E608DD" w:rsidRPr="002D780B" w:rsidRDefault="00E608DD" w:rsidP="00141EB5">
            <w:pPr>
              <w:tabs>
                <w:tab w:val="left" w:pos="6551"/>
              </w:tabs>
              <w:jc w:val="both"/>
              <w:rPr>
                <w:rFonts w:ascii="Arial" w:eastAsia="Calibri" w:hAnsi="Arial" w:cs="Arial"/>
                <w:bCs/>
                <w:color w:val="000000" w:themeColor="text1"/>
                <w:sz w:val="20"/>
                <w:szCs w:val="20"/>
                <w:lang w:val="es-ES_tradnl"/>
              </w:rPr>
            </w:pPr>
            <w:r w:rsidRPr="002D780B">
              <w:rPr>
                <w:rFonts w:ascii="Arial" w:eastAsia="Calibri" w:hAnsi="Arial" w:cs="Arial"/>
                <w:bCs/>
                <w:color w:val="000000" w:themeColor="text1"/>
                <w:sz w:val="20"/>
                <w:szCs w:val="20"/>
                <w:lang w:val="es-ES_tradnl"/>
              </w:rPr>
              <w:t>CAPACIDAD RESIDUAL – Cálculo / SALDOS DE CONTRATOS EN EJECUCIÓN – Cálculo</w:t>
            </w:r>
          </w:p>
          <w:p w14:paraId="72BD92A2" w14:textId="77777777" w:rsidR="00E608DD" w:rsidRPr="00C25DCC" w:rsidRDefault="00E608DD" w:rsidP="00141EB5">
            <w:pPr>
              <w:tabs>
                <w:tab w:val="left" w:pos="6551"/>
              </w:tabs>
              <w:jc w:val="both"/>
              <w:rPr>
                <w:rFonts w:ascii="Arial" w:eastAsia="Calibri" w:hAnsi="Arial" w:cs="Arial"/>
                <w:b/>
                <w:color w:val="000000" w:themeColor="text1"/>
                <w:sz w:val="20"/>
                <w:szCs w:val="20"/>
                <w:lang w:val="es-ES_tradnl"/>
              </w:rPr>
            </w:pPr>
          </w:p>
        </w:tc>
      </w:tr>
      <w:tr w:rsidR="00E608DD" w:rsidRPr="00FE1418" w14:paraId="33E750D3" w14:textId="77777777" w:rsidTr="00141EB5">
        <w:tc>
          <w:tcPr>
            <w:tcW w:w="2689" w:type="dxa"/>
          </w:tcPr>
          <w:p w14:paraId="7AE1EB1A" w14:textId="77777777" w:rsidR="00E608DD" w:rsidRPr="00FE1418" w:rsidRDefault="00E608DD" w:rsidP="00141EB5">
            <w:pPr>
              <w:spacing w:before="120"/>
              <w:jc w:val="both"/>
              <w:rPr>
                <w:rFonts w:ascii="Arial" w:eastAsia="Calibri" w:hAnsi="Arial" w:cs="Arial"/>
                <w:b/>
                <w:color w:val="000000" w:themeColor="text1"/>
                <w:sz w:val="22"/>
                <w:szCs w:val="22"/>
                <w:lang w:val="es-ES_tradnl"/>
              </w:rPr>
            </w:pPr>
            <w:r w:rsidRPr="00FE1418">
              <w:rPr>
                <w:rFonts w:ascii="Arial" w:eastAsia="Calibri" w:hAnsi="Arial" w:cs="Arial"/>
                <w:b/>
                <w:color w:val="000000" w:themeColor="text1"/>
                <w:sz w:val="22"/>
                <w:szCs w:val="22"/>
                <w:lang w:val="es-ES_tradnl"/>
              </w:rPr>
              <w:t>Radicación:</w:t>
            </w:r>
            <w:r w:rsidRPr="00FE1418">
              <w:rPr>
                <w:rFonts w:ascii="Arial" w:eastAsia="Calibri" w:hAnsi="Arial" w:cs="Arial"/>
                <w:color w:val="000000" w:themeColor="text1"/>
                <w:sz w:val="22"/>
                <w:szCs w:val="22"/>
                <w:lang w:val="es-ES_tradnl"/>
              </w:rPr>
              <w:t xml:space="preserve">                              </w:t>
            </w:r>
          </w:p>
        </w:tc>
        <w:tc>
          <w:tcPr>
            <w:tcW w:w="6237" w:type="dxa"/>
          </w:tcPr>
          <w:p w14:paraId="480539DC" w14:textId="77777777" w:rsidR="00E608DD" w:rsidRPr="00021C6E" w:rsidRDefault="00E608DD" w:rsidP="00141EB5">
            <w:pPr>
              <w:spacing w:line="276" w:lineRule="auto"/>
              <w:rPr>
                <w:rFonts w:ascii="Arial" w:hAnsi="Arial" w:cs="Arial"/>
                <w:sz w:val="22"/>
                <w:szCs w:val="22"/>
              </w:rPr>
            </w:pPr>
            <w:r w:rsidRPr="00FE1418">
              <w:rPr>
                <w:rFonts w:ascii="Arial" w:eastAsia="Calibri" w:hAnsi="Arial" w:cs="Arial"/>
                <w:color w:val="000000" w:themeColor="text1"/>
                <w:sz w:val="22"/>
                <w:szCs w:val="22"/>
                <w:lang w:val="es-ES_tradnl"/>
              </w:rPr>
              <w:t xml:space="preserve">Respuesta a consulta </w:t>
            </w:r>
            <w:r w:rsidRPr="00021C6E">
              <w:rPr>
                <w:rFonts w:ascii="Arial" w:hAnsi="Arial" w:cs="Arial"/>
                <w:sz w:val="22"/>
                <w:szCs w:val="22"/>
              </w:rPr>
              <w:t>P20220811007981</w:t>
            </w:r>
          </w:p>
          <w:p w14:paraId="0B8978AE" w14:textId="77777777" w:rsidR="00E608DD" w:rsidRPr="00FE1418" w:rsidRDefault="00E608DD" w:rsidP="00141EB5">
            <w:pPr>
              <w:spacing w:before="120"/>
              <w:jc w:val="both"/>
              <w:rPr>
                <w:rFonts w:ascii="Arial" w:eastAsia="Calibri" w:hAnsi="Arial" w:cs="Arial"/>
                <w:color w:val="000000" w:themeColor="text1"/>
                <w:sz w:val="22"/>
                <w:szCs w:val="22"/>
                <w:lang w:val="es-ES_tradnl"/>
              </w:rPr>
            </w:pPr>
          </w:p>
        </w:tc>
      </w:tr>
    </w:tbl>
    <w:p w14:paraId="4C148F89" w14:textId="77777777" w:rsidR="00E608DD" w:rsidRPr="00FE1418" w:rsidRDefault="00E608DD" w:rsidP="00E608DD">
      <w:pPr>
        <w:jc w:val="both"/>
        <w:rPr>
          <w:rFonts w:ascii="Arial" w:eastAsia="Calibri" w:hAnsi="Arial" w:cs="Arial"/>
          <w:color w:val="000000" w:themeColor="text1"/>
          <w:sz w:val="22"/>
          <w:lang w:val="es-ES_tradnl"/>
        </w:rPr>
      </w:pPr>
    </w:p>
    <w:p w14:paraId="4BD34F4A" w14:textId="77777777" w:rsidR="00E608DD" w:rsidRPr="00FE1418" w:rsidRDefault="00E608DD" w:rsidP="00E608DD">
      <w:pPr>
        <w:jc w:val="both"/>
        <w:rPr>
          <w:rFonts w:ascii="Arial" w:eastAsia="Calibri" w:hAnsi="Arial" w:cs="Arial"/>
          <w:color w:val="000000" w:themeColor="text1"/>
          <w:sz w:val="22"/>
          <w:lang w:val="es-ES_tradnl"/>
        </w:rPr>
      </w:pPr>
      <w:r w:rsidRPr="00FE1418">
        <w:rPr>
          <w:rFonts w:ascii="Arial" w:eastAsia="Calibri" w:hAnsi="Arial" w:cs="Arial"/>
          <w:color w:val="000000" w:themeColor="text1"/>
          <w:sz w:val="22"/>
          <w:lang w:val="es-ES_tradnl"/>
        </w:rPr>
        <w:t xml:space="preserve">Estimado señor </w:t>
      </w:r>
      <w:r>
        <w:rPr>
          <w:rFonts w:ascii="Arial" w:eastAsia="Calibri" w:hAnsi="Arial" w:cs="Arial"/>
          <w:color w:val="000000" w:themeColor="text1"/>
          <w:sz w:val="22"/>
          <w:lang w:val="es-ES_tradnl"/>
        </w:rPr>
        <w:t>Rosero</w:t>
      </w:r>
      <w:r w:rsidRPr="00FE1418">
        <w:rPr>
          <w:rFonts w:ascii="Arial" w:eastAsia="Calibri" w:hAnsi="Arial" w:cs="Arial"/>
          <w:color w:val="000000" w:themeColor="text1"/>
          <w:sz w:val="22"/>
          <w:lang w:val="es-ES_tradnl"/>
        </w:rPr>
        <w:t>:</w:t>
      </w:r>
    </w:p>
    <w:p w14:paraId="04959F88" w14:textId="77777777" w:rsidR="00E608DD" w:rsidRPr="00FE1418" w:rsidRDefault="00E608DD" w:rsidP="00E608DD">
      <w:pPr>
        <w:jc w:val="both"/>
        <w:rPr>
          <w:rFonts w:ascii="Arial" w:eastAsia="Calibri" w:hAnsi="Arial" w:cs="Arial"/>
          <w:color w:val="000000" w:themeColor="text1"/>
          <w:sz w:val="22"/>
          <w:lang w:val="es-ES_tradnl"/>
        </w:rPr>
      </w:pPr>
    </w:p>
    <w:p w14:paraId="7B15C91E" w14:textId="77777777" w:rsidR="00E608DD" w:rsidRPr="00FE1418" w:rsidRDefault="00E608DD" w:rsidP="00E608DD">
      <w:pPr>
        <w:spacing w:line="276" w:lineRule="auto"/>
        <w:jc w:val="both"/>
        <w:rPr>
          <w:rFonts w:ascii="Arial" w:eastAsia="Calibri" w:hAnsi="Arial" w:cs="Arial"/>
          <w:color w:val="000000" w:themeColor="text1"/>
          <w:sz w:val="22"/>
          <w:lang w:val="es-ES_tradnl"/>
        </w:rPr>
      </w:pPr>
      <w:r w:rsidRPr="00FE1418">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Pr>
          <w:rFonts w:ascii="Arial" w:eastAsia="Calibri" w:hAnsi="Arial" w:cs="Arial"/>
          <w:color w:val="000000" w:themeColor="text1"/>
          <w:sz w:val="22"/>
          <w:lang w:val="es-ES_tradnl"/>
        </w:rPr>
        <w:t>11 de agosto</w:t>
      </w:r>
      <w:r w:rsidRPr="00FE1418">
        <w:rPr>
          <w:rFonts w:ascii="Arial" w:eastAsia="Calibri" w:hAnsi="Arial" w:cs="Arial"/>
          <w:color w:val="000000" w:themeColor="text1"/>
          <w:sz w:val="22"/>
          <w:lang w:val="es-ES_tradnl"/>
        </w:rPr>
        <w:t xml:space="preserve"> de 2022.</w:t>
      </w:r>
    </w:p>
    <w:p w14:paraId="0DD18441" w14:textId="77777777" w:rsidR="00E608DD" w:rsidRPr="00FE1418" w:rsidRDefault="00E608DD" w:rsidP="00E608DD">
      <w:pPr>
        <w:spacing w:line="276" w:lineRule="auto"/>
        <w:jc w:val="both"/>
        <w:rPr>
          <w:rFonts w:ascii="Arial" w:eastAsia="Calibri" w:hAnsi="Arial" w:cs="Arial"/>
          <w:b/>
          <w:color w:val="000000" w:themeColor="text1"/>
          <w:sz w:val="22"/>
          <w:lang w:val="es-ES_tradnl"/>
        </w:rPr>
      </w:pPr>
    </w:p>
    <w:p w14:paraId="39CB6AEF" w14:textId="77777777" w:rsidR="00E608DD" w:rsidRPr="00FE1418" w:rsidRDefault="00E608DD" w:rsidP="00E608DD">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FE1418">
        <w:rPr>
          <w:rFonts w:ascii="Arial" w:eastAsia="Calibri" w:hAnsi="Arial" w:cs="Arial"/>
          <w:b/>
          <w:color w:val="000000" w:themeColor="text1"/>
          <w:sz w:val="22"/>
          <w:lang w:val="es-ES_tradnl"/>
        </w:rPr>
        <w:t xml:space="preserve">Problema planteado </w:t>
      </w:r>
    </w:p>
    <w:p w14:paraId="4BD22AF1" w14:textId="77777777" w:rsidR="00E608DD" w:rsidRDefault="00E608DD" w:rsidP="00E608DD">
      <w:pPr>
        <w:pStyle w:val="NormalWeb"/>
        <w:spacing w:before="0" w:beforeAutospacing="0" w:after="0" w:afterAutospacing="0" w:line="276" w:lineRule="auto"/>
        <w:jc w:val="both"/>
        <w:rPr>
          <w:rFonts w:ascii="Arial" w:hAnsi="Arial" w:cs="Arial"/>
          <w:color w:val="000000" w:themeColor="text1"/>
          <w:sz w:val="22"/>
          <w:lang w:val="es-ES_tradnl"/>
        </w:rPr>
      </w:pPr>
    </w:p>
    <w:p w14:paraId="58C62A67" w14:textId="77777777" w:rsidR="00E608DD" w:rsidRDefault="00E608DD" w:rsidP="00E608DD">
      <w:pPr>
        <w:pStyle w:val="NormalWeb"/>
        <w:spacing w:before="0" w:beforeAutospacing="0" w:after="0" w:afterAutospacing="0"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 xml:space="preserve">En relación con el cálculo de la capacidad residual, </w:t>
      </w:r>
      <w:r w:rsidRPr="00FE1418">
        <w:rPr>
          <w:rFonts w:ascii="Arial" w:hAnsi="Arial" w:cs="Arial"/>
          <w:color w:val="000000" w:themeColor="text1"/>
          <w:sz w:val="22"/>
          <w:lang w:val="es-ES_tradnl"/>
        </w:rPr>
        <w:t xml:space="preserve">usted realiza la siguiente consulta: </w:t>
      </w:r>
      <w:bookmarkStart w:id="4" w:name="_Hlk103091320"/>
    </w:p>
    <w:p w14:paraId="45559CDD" w14:textId="77777777" w:rsidR="00E608DD" w:rsidRDefault="00E608DD" w:rsidP="00E608DD">
      <w:pPr>
        <w:pStyle w:val="NormalWeb"/>
        <w:spacing w:before="0" w:beforeAutospacing="0" w:after="0" w:afterAutospacing="0" w:line="276" w:lineRule="auto"/>
        <w:jc w:val="both"/>
        <w:rPr>
          <w:rFonts w:ascii="Arial" w:hAnsi="Arial" w:cs="Arial"/>
          <w:color w:val="000000" w:themeColor="text1"/>
          <w:sz w:val="22"/>
          <w:lang w:val="es-ES_tradnl"/>
        </w:rPr>
      </w:pPr>
    </w:p>
    <w:p w14:paraId="006FB643" w14:textId="77777777" w:rsidR="00E608DD" w:rsidRPr="00EE2854" w:rsidRDefault="00E608DD" w:rsidP="00E608DD">
      <w:pPr>
        <w:pStyle w:val="NormalWeb"/>
        <w:spacing w:before="0" w:beforeAutospacing="0" w:after="0" w:afterAutospacing="0"/>
        <w:ind w:left="709" w:right="709"/>
        <w:jc w:val="both"/>
        <w:rPr>
          <w:rFonts w:ascii="Arial" w:hAnsi="Arial" w:cs="Arial"/>
          <w:sz w:val="21"/>
          <w:szCs w:val="21"/>
        </w:rPr>
      </w:pPr>
      <w:r w:rsidRPr="005C69F7">
        <w:rPr>
          <w:rFonts w:ascii="Arial" w:hAnsi="Arial" w:cs="Arial"/>
          <w:sz w:val="21"/>
          <w:szCs w:val="21"/>
        </w:rPr>
        <w:t>«</w:t>
      </w:r>
      <w:bookmarkEnd w:id="4"/>
      <w:r w:rsidRPr="00EE2854">
        <w:rPr>
          <w:rFonts w:ascii="Arial" w:hAnsi="Arial" w:cs="Arial"/>
          <w:sz w:val="21"/>
          <w:szCs w:val="21"/>
        </w:rPr>
        <w:t>[…] solicitar aclaración respecto al cálculo de la capacidad residual de un proponente en un proceso de contratación. Dentro del cuadro de saldo de contratos en ejecución se debe incorporar los contratos de obra pública suscritos antes de la fecha de cierre del proceso de contratación aun cuando los mismos no cuenten con fecha de inicio?</w:t>
      </w:r>
      <w:bookmarkStart w:id="5" w:name="_Hlk103091300"/>
      <w:r w:rsidRPr="005C69F7">
        <w:rPr>
          <w:rFonts w:ascii="Arial" w:hAnsi="Arial" w:cs="Arial"/>
          <w:sz w:val="21"/>
          <w:szCs w:val="21"/>
        </w:rPr>
        <w:t>»</w:t>
      </w:r>
      <w:bookmarkEnd w:id="5"/>
      <w:r w:rsidRPr="00EE2854">
        <w:rPr>
          <w:rFonts w:ascii="Arial" w:hAnsi="Arial" w:cs="Arial"/>
          <w:sz w:val="21"/>
          <w:szCs w:val="21"/>
        </w:rPr>
        <w:t xml:space="preserve">. </w:t>
      </w:r>
    </w:p>
    <w:p w14:paraId="58AFD200" w14:textId="77777777" w:rsidR="00E608DD" w:rsidRDefault="00E608DD" w:rsidP="00E608DD">
      <w:pPr>
        <w:pStyle w:val="NormalWeb"/>
        <w:spacing w:before="0" w:beforeAutospacing="0" w:after="0" w:afterAutospacing="0" w:line="276" w:lineRule="auto"/>
        <w:jc w:val="both"/>
        <w:rPr>
          <w:rFonts w:ascii="Arial" w:hAnsi="Arial" w:cs="Arial"/>
          <w:sz w:val="22"/>
          <w:szCs w:val="22"/>
        </w:rPr>
      </w:pPr>
    </w:p>
    <w:p w14:paraId="6C18238A" w14:textId="77777777" w:rsidR="00E608DD" w:rsidRPr="00384466" w:rsidRDefault="00E608DD" w:rsidP="00E608DD">
      <w:pPr>
        <w:pStyle w:val="NormalWeb"/>
        <w:numPr>
          <w:ilvl w:val="0"/>
          <w:numId w:val="8"/>
        </w:numPr>
        <w:spacing w:before="0" w:beforeAutospacing="0" w:after="0" w:afterAutospacing="0" w:line="276" w:lineRule="auto"/>
        <w:ind w:left="360"/>
        <w:jc w:val="both"/>
        <w:rPr>
          <w:rFonts w:ascii="Arial" w:hAnsi="Arial" w:cs="Arial"/>
          <w:sz w:val="22"/>
          <w:szCs w:val="22"/>
        </w:rPr>
      </w:pPr>
      <w:r w:rsidRPr="00FE1418">
        <w:rPr>
          <w:rFonts w:ascii="Arial" w:eastAsia="Calibri" w:hAnsi="Arial" w:cs="Arial"/>
          <w:b/>
          <w:color w:val="000000" w:themeColor="text1"/>
          <w:sz w:val="22"/>
          <w:lang w:val="es-ES_tradnl"/>
        </w:rPr>
        <w:t>Consideraciones</w:t>
      </w:r>
    </w:p>
    <w:p w14:paraId="75184CC1" w14:textId="77777777" w:rsidR="00E608DD" w:rsidRPr="00FE1418" w:rsidRDefault="00E608DD" w:rsidP="00E608DD">
      <w:pPr>
        <w:spacing w:line="276" w:lineRule="auto"/>
        <w:jc w:val="both"/>
        <w:rPr>
          <w:rFonts w:ascii="Arial" w:eastAsia="Calibri" w:hAnsi="Arial" w:cs="Arial"/>
          <w:sz w:val="22"/>
          <w:szCs w:val="22"/>
          <w:lang w:val="es-ES_tradnl"/>
        </w:rPr>
      </w:pPr>
    </w:p>
    <w:p w14:paraId="40459068" w14:textId="77777777" w:rsidR="00E608DD" w:rsidRPr="00FE1418" w:rsidRDefault="00E608DD" w:rsidP="00E608DD">
      <w:pPr>
        <w:spacing w:line="276" w:lineRule="auto"/>
        <w:jc w:val="both"/>
        <w:rPr>
          <w:rFonts w:ascii="Arial" w:eastAsia="Calibri" w:hAnsi="Arial" w:cs="Arial"/>
          <w:sz w:val="22"/>
          <w:szCs w:val="22"/>
          <w:lang w:val="es-ES_tradnl"/>
        </w:rPr>
      </w:pPr>
      <w:r w:rsidRPr="00FE1418">
        <w:rPr>
          <w:rFonts w:ascii="Arial" w:eastAsia="Calibri" w:hAnsi="Arial" w:cs="Arial"/>
          <w:sz w:val="22"/>
          <w:szCs w:val="22"/>
          <w:lang w:val="es-ES_tradnl"/>
        </w:rPr>
        <w:t>La Subdirección de Gestión Contractual responderá la consulta, luego de analizar los siguientes temas: i</w:t>
      </w:r>
      <w:r>
        <w:rPr>
          <w:rFonts w:ascii="Arial" w:eastAsia="Calibri" w:hAnsi="Arial" w:cs="Arial"/>
          <w:sz w:val="22"/>
          <w:szCs w:val="22"/>
          <w:lang w:val="es-ES_tradnl"/>
        </w:rPr>
        <w:t xml:space="preserve">) capacidad residual: Generalidades; </w:t>
      </w:r>
      <w:proofErr w:type="spellStart"/>
      <w:r>
        <w:rPr>
          <w:rFonts w:ascii="Arial" w:eastAsia="Calibri" w:hAnsi="Arial" w:cs="Arial"/>
          <w:sz w:val="22"/>
          <w:szCs w:val="22"/>
          <w:lang w:val="es-ES_tradnl"/>
        </w:rPr>
        <w:t>ii</w:t>
      </w:r>
      <w:proofErr w:type="spellEnd"/>
      <w:r>
        <w:rPr>
          <w:rFonts w:ascii="Arial" w:eastAsia="Calibri" w:hAnsi="Arial" w:cs="Arial"/>
          <w:sz w:val="22"/>
          <w:szCs w:val="22"/>
          <w:lang w:val="es-ES_tradnl"/>
        </w:rPr>
        <w:t xml:space="preserve">) contratos </w:t>
      </w:r>
      <w:proofErr w:type="gramStart"/>
      <w:r>
        <w:rPr>
          <w:rFonts w:ascii="Arial" w:eastAsia="Calibri" w:hAnsi="Arial" w:cs="Arial"/>
          <w:sz w:val="22"/>
          <w:szCs w:val="22"/>
          <w:lang w:val="es-ES_tradnl"/>
        </w:rPr>
        <w:t>a</w:t>
      </w:r>
      <w:proofErr w:type="gramEnd"/>
      <w:r>
        <w:rPr>
          <w:rFonts w:ascii="Arial" w:eastAsia="Calibri" w:hAnsi="Arial" w:cs="Arial"/>
          <w:sz w:val="22"/>
          <w:szCs w:val="22"/>
          <w:lang w:val="es-ES_tradnl"/>
        </w:rPr>
        <w:t xml:space="preserve"> tener en cuenta para el cálculo del factor Saldos de contratos en ejecución (SCE) de la fórmula para determinar la capacidad residual del proponente (CRP).</w:t>
      </w:r>
    </w:p>
    <w:p w14:paraId="47C1CF35" w14:textId="77777777" w:rsidR="00E608DD" w:rsidRPr="00464278" w:rsidRDefault="00E608DD" w:rsidP="00E608DD">
      <w:pPr>
        <w:spacing w:before="120" w:line="276" w:lineRule="auto"/>
        <w:ind w:firstLine="705"/>
        <w:jc w:val="both"/>
        <w:textAlignment w:val="baseline"/>
        <w:rPr>
          <w:rFonts w:ascii="Segoe UI" w:hAnsi="Segoe UI" w:cs="Segoe UI"/>
          <w:sz w:val="14"/>
          <w:szCs w:val="14"/>
        </w:rPr>
      </w:pPr>
      <w:r w:rsidRPr="00FE1418">
        <w:rPr>
          <w:rFonts w:ascii="Arial" w:eastAsia="Calibri" w:hAnsi="Arial" w:cs="Arial"/>
          <w:sz w:val="22"/>
          <w:szCs w:val="22"/>
          <w:lang w:val="es-ES_tradnl"/>
        </w:rPr>
        <w:t xml:space="preserve">Es importante destacar que la Agencia Nacional de Contratación Pública – Colombia Compra Eficiente se pronunció </w:t>
      </w:r>
      <w:r w:rsidRPr="003D4D1F">
        <w:rPr>
          <w:rFonts w:ascii="Arial" w:hAnsi="Arial" w:cs="Arial"/>
          <w:sz w:val="22"/>
        </w:rPr>
        <w:t xml:space="preserve">sobre la capacidad residual y la forma como </w:t>
      </w:r>
      <w:r w:rsidRPr="003D4D1F">
        <w:rPr>
          <w:rFonts w:ascii="Arial" w:hAnsi="Arial" w:cs="Arial"/>
          <w:sz w:val="22"/>
        </w:rPr>
        <w:lastRenderedPageBreak/>
        <w:t>esta se debe acreditar en los conceptos 2201913000006275 del 27 de agosto de 2019, 2201913000009465 del 20 de diciembre de 2019, 2201913000009642 y 2201913000009640 del 26 de diciembre de 2019; así como en los conceptos C–022 del 20 de febrero de 2020, C–089 del 4 de marzo de 2020, C–112 del 16 de marzo de 2020, C–133 del 25 de marzo de 2020, C–194 del 21 de abril de 2020, C–326 del 9 de junio de 2020, C–446 del 6 de julio de 2020,</w:t>
      </w:r>
      <w:r w:rsidRPr="003D4D1F">
        <w:t xml:space="preserve"> </w:t>
      </w:r>
      <w:r w:rsidRPr="003D4D1F">
        <w:rPr>
          <w:rFonts w:ascii="Arial" w:hAnsi="Arial" w:cs="Arial"/>
          <w:sz w:val="22"/>
        </w:rPr>
        <w:t>C-461 del 13 de julio de 2020, C–668 del 20 de noviembre de 2020, C–742 del 16 de diciembre de 2020, C–045 del 5 de marzo de 2021, C–003 del 26 de marzo de 2021, C–121 del 31 de marzo de 2021, C–143 del 9 de abril de 2021, C–202 del 7 de mayo de 2021, C–219 del 19 de mayo de 2021, C–368 del 28 de julio de 2021, C–392 del 5 de agosto de 2021, C–513 del 23 de septiembre de 2021 y C–590 del 12 de octubre de 2021. En lo pertinente, las ideas expuestas en estos conceptos se reiteran y complementan a continuación.</w:t>
      </w:r>
      <w:r w:rsidRPr="003D4D1F">
        <w:rPr>
          <w:rFonts w:ascii="Arial" w:hAnsi="Arial" w:cs="Arial"/>
          <w:sz w:val="22"/>
          <w:szCs w:val="22"/>
        </w:rPr>
        <w:t> </w:t>
      </w:r>
    </w:p>
    <w:p w14:paraId="7136ED88" w14:textId="77777777" w:rsidR="00E608DD" w:rsidRPr="00021C6E" w:rsidRDefault="00E608DD" w:rsidP="00E608DD">
      <w:pPr>
        <w:pStyle w:val="NormalWeb"/>
        <w:spacing w:before="0" w:beforeAutospacing="0" w:after="0" w:afterAutospacing="0" w:line="276" w:lineRule="auto"/>
        <w:jc w:val="both"/>
        <w:rPr>
          <w:rFonts w:ascii="Arial" w:hAnsi="Arial" w:cs="Arial"/>
          <w:sz w:val="22"/>
          <w:szCs w:val="22"/>
        </w:rPr>
      </w:pPr>
    </w:p>
    <w:p w14:paraId="63436CF8" w14:textId="77777777" w:rsidR="00E608DD" w:rsidRPr="003D4D1F" w:rsidRDefault="00E608DD" w:rsidP="00E608DD">
      <w:pPr>
        <w:spacing w:line="276" w:lineRule="auto"/>
        <w:jc w:val="both"/>
        <w:rPr>
          <w:rFonts w:ascii="Arial" w:hAnsi="Arial" w:cs="Arial"/>
          <w:b/>
          <w:bCs/>
          <w:sz w:val="22"/>
          <w:lang w:val="es-ES"/>
        </w:rPr>
      </w:pPr>
      <w:r w:rsidRPr="003D4D1F">
        <w:rPr>
          <w:rFonts w:ascii="Arial" w:eastAsia="Calibri" w:hAnsi="Arial" w:cs="Arial"/>
          <w:b/>
          <w:bCs/>
          <w:sz w:val="22"/>
          <w:szCs w:val="22"/>
          <w:lang w:val="es-ES"/>
        </w:rPr>
        <w:t>2.1.</w:t>
      </w:r>
      <w:r w:rsidRPr="003D4D1F">
        <w:rPr>
          <w:rFonts w:ascii="Arial" w:hAnsi="Arial" w:cs="Arial"/>
          <w:b/>
          <w:bCs/>
          <w:sz w:val="22"/>
          <w:lang w:val="es-ES"/>
        </w:rPr>
        <w:t xml:space="preserve"> Capacidad residual: Generalidades </w:t>
      </w:r>
    </w:p>
    <w:p w14:paraId="2CB85BF5" w14:textId="77777777" w:rsidR="00E608DD" w:rsidRPr="003D4D1F" w:rsidRDefault="00E608DD" w:rsidP="00E608DD">
      <w:pPr>
        <w:widowControl w:val="0"/>
        <w:autoSpaceDE w:val="0"/>
        <w:autoSpaceDN w:val="0"/>
        <w:spacing w:line="276" w:lineRule="auto"/>
        <w:jc w:val="both"/>
        <w:rPr>
          <w:rFonts w:ascii="Arial" w:eastAsia="Calibri" w:hAnsi="Arial" w:cs="Arial"/>
          <w:color w:val="000000"/>
          <w:sz w:val="22"/>
          <w:szCs w:val="22"/>
          <w:lang w:val="es-MX"/>
        </w:rPr>
      </w:pPr>
    </w:p>
    <w:p w14:paraId="37AC9521" w14:textId="77777777" w:rsidR="00E608DD" w:rsidRPr="003D4D1F" w:rsidRDefault="00E608DD" w:rsidP="00E608DD">
      <w:pPr>
        <w:widowControl w:val="0"/>
        <w:autoSpaceDE w:val="0"/>
        <w:autoSpaceDN w:val="0"/>
        <w:spacing w:after="120" w:line="276" w:lineRule="auto"/>
        <w:jc w:val="both"/>
        <w:rPr>
          <w:rFonts w:ascii="Arial" w:eastAsia="Calibri" w:hAnsi="Arial" w:cs="Arial"/>
          <w:color w:val="000000"/>
          <w:sz w:val="22"/>
          <w:szCs w:val="22"/>
          <w:lang w:val="es-MX"/>
        </w:rPr>
      </w:pPr>
      <w:r w:rsidRPr="003D4D1F">
        <w:rPr>
          <w:rFonts w:ascii="Arial" w:eastAsia="Calibri" w:hAnsi="Arial" w:cs="Arial"/>
          <w:color w:val="000000"/>
          <w:sz w:val="22"/>
          <w:szCs w:val="22"/>
          <w:lang w:val="es-MX"/>
        </w:rPr>
        <w:t>De acuerdo con la definición establecida en el artículo 2.2.1.1.1.3.1. del Decreto 1082 de 2015, la capacidad residual es la aptitud de los oferentes para cumplir de manera oportuna y a cabalidad el objeto de un contrato de obra, sin que los demás compromisos contractuales que han adquirido afecten su habilidad para cumplir el objeto del contrato que está en proceso de selección</w:t>
      </w:r>
      <w:r w:rsidRPr="003D4D1F">
        <w:rPr>
          <w:rFonts w:ascii="Arial" w:eastAsia="Calibri" w:hAnsi="Arial" w:cs="Arial"/>
          <w:color w:val="000000"/>
          <w:sz w:val="22"/>
          <w:szCs w:val="20"/>
          <w:vertAlign w:val="superscript"/>
          <w:lang w:val="es-MX"/>
        </w:rPr>
        <w:footnoteReference w:id="2"/>
      </w:r>
      <w:r w:rsidRPr="003D4D1F">
        <w:rPr>
          <w:rFonts w:ascii="Arial" w:eastAsia="Calibri" w:hAnsi="Arial" w:cs="Arial"/>
          <w:color w:val="000000"/>
          <w:sz w:val="22"/>
          <w:szCs w:val="22"/>
          <w:lang w:val="es-MX"/>
        </w:rPr>
        <w:t>. Por su parte, el Consejo de Estado ha definido la capacidad residual como «[…] la diferencia que existe entre el potencial de contratación que se tiene y los compromisos que haya adquirido y que se encuentren en ejecución, para la fecha de presentación de la oferta»</w:t>
      </w:r>
      <w:r w:rsidRPr="003D4D1F">
        <w:rPr>
          <w:rFonts w:ascii="Arial" w:eastAsia="Calibri" w:hAnsi="Arial" w:cs="Arial"/>
          <w:color w:val="000000"/>
          <w:sz w:val="22"/>
          <w:szCs w:val="22"/>
          <w:vertAlign w:val="superscript"/>
          <w:lang w:val="es-MX"/>
        </w:rPr>
        <w:footnoteReference w:id="3"/>
      </w:r>
      <w:r w:rsidRPr="003D4D1F">
        <w:rPr>
          <w:rFonts w:ascii="Arial" w:eastAsia="Calibri" w:hAnsi="Arial" w:cs="Arial"/>
          <w:color w:val="000000"/>
          <w:sz w:val="22"/>
          <w:szCs w:val="22"/>
          <w:lang w:val="es-MX"/>
        </w:rPr>
        <w:t>. En tales términos, la capacidad residual hace referencia a la suficiencia que tiene el proponente para asumir nuevas obligaciones que se derivan del contrato objeto del proceso de contratación, en relación con las obligaciones que ya adquirió frente a otros contratos.</w:t>
      </w:r>
    </w:p>
    <w:p w14:paraId="72E1E5A2" w14:textId="77777777" w:rsidR="00E608DD" w:rsidRPr="003D4D1F" w:rsidRDefault="00E608DD" w:rsidP="00E608DD">
      <w:pPr>
        <w:spacing w:before="120" w:line="276" w:lineRule="auto"/>
        <w:ind w:firstLine="708"/>
        <w:jc w:val="both"/>
        <w:rPr>
          <w:rFonts w:ascii="Arial" w:hAnsi="Arial" w:cs="Arial"/>
          <w:color w:val="000000"/>
          <w:sz w:val="22"/>
          <w:szCs w:val="22"/>
          <w:lang w:val="es-MX"/>
        </w:rPr>
      </w:pPr>
      <w:r w:rsidRPr="003D4D1F">
        <w:rPr>
          <w:rFonts w:ascii="Arial" w:hAnsi="Arial" w:cs="Arial"/>
          <w:color w:val="000000"/>
          <w:sz w:val="22"/>
          <w:szCs w:val="22"/>
          <w:lang w:val="es-MX"/>
        </w:rPr>
        <w:t xml:space="preserve">El artículo 6 de la Ley 1150 de 2007 estableció como condición «para poder participar en los procesos de selección de los contratos de obra, la capacidad residual </w:t>
      </w:r>
      <w:r w:rsidRPr="003D4D1F">
        <w:rPr>
          <w:rFonts w:ascii="Arial" w:hAnsi="Arial" w:cs="Arial"/>
          <w:color w:val="000000"/>
          <w:sz w:val="22"/>
          <w:szCs w:val="22"/>
          <w:lang w:val="es-MX"/>
        </w:rPr>
        <w:lastRenderedPageBreak/>
        <w:t xml:space="preserve">del proponente o </w:t>
      </w:r>
      <w:r w:rsidRPr="003D4D1F">
        <w:rPr>
          <w:rFonts w:ascii="Arial" w:hAnsi="Arial" w:cs="Arial"/>
          <w:i/>
          <w:iCs/>
          <w:color w:val="000000"/>
          <w:sz w:val="22"/>
          <w:szCs w:val="22"/>
          <w:lang w:val="es-MX"/>
        </w:rPr>
        <w:t>K</w:t>
      </w:r>
      <w:r w:rsidRPr="003D4D1F">
        <w:rPr>
          <w:rFonts w:ascii="Arial" w:hAnsi="Arial" w:cs="Arial"/>
          <w:color w:val="000000"/>
          <w:sz w:val="22"/>
          <w:szCs w:val="22"/>
          <w:lang w:val="es-MX"/>
        </w:rPr>
        <w:t xml:space="preserve"> de contratación». Además, determinó que esta debe ser igual o superior a la establecida en los pliegos de condiciones, en los siguientes términos: </w:t>
      </w:r>
    </w:p>
    <w:p w14:paraId="5F335F1A" w14:textId="77777777" w:rsidR="00E608DD" w:rsidRPr="003D4D1F" w:rsidRDefault="00E608DD" w:rsidP="00E608DD">
      <w:pPr>
        <w:ind w:right="709"/>
        <w:jc w:val="both"/>
        <w:rPr>
          <w:rFonts w:ascii="Arial" w:eastAsia="Calibri" w:hAnsi="Arial" w:cs="Arial"/>
          <w:color w:val="000000"/>
          <w:sz w:val="21"/>
          <w:szCs w:val="21"/>
          <w:lang w:val="es-MX"/>
        </w:rPr>
      </w:pPr>
    </w:p>
    <w:p w14:paraId="50D44DF9" w14:textId="77777777" w:rsidR="00E608DD" w:rsidRDefault="00E608DD" w:rsidP="00E608DD">
      <w:pPr>
        <w:ind w:left="708" w:right="709"/>
        <w:jc w:val="both"/>
        <w:rPr>
          <w:rFonts w:ascii="Arial" w:hAnsi="Arial" w:cs="Arial"/>
          <w:sz w:val="21"/>
          <w:szCs w:val="21"/>
        </w:rPr>
      </w:pPr>
      <w:r w:rsidRPr="006337DF">
        <w:rPr>
          <w:rFonts w:ascii="Arial" w:hAnsi="Arial" w:cs="Arial"/>
          <w:sz w:val="21"/>
          <w:szCs w:val="21"/>
        </w:rPr>
        <w:t>«</w:t>
      </w:r>
      <w:r>
        <w:rPr>
          <w:rFonts w:ascii="Arial" w:hAnsi="Arial" w:cs="Arial"/>
          <w:sz w:val="21"/>
          <w:szCs w:val="21"/>
        </w:rPr>
        <w:t>[…]</w:t>
      </w:r>
    </w:p>
    <w:p w14:paraId="7BC02803" w14:textId="77777777" w:rsidR="00E608DD" w:rsidRDefault="00E608DD" w:rsidP="00E608DD">
      <w:pPr>
        <w:ind w:left="708" w:right="709"/>
        <w:jc w:val="both"/>
        <w:rPr>
          <w:rFonts w:ascii="Arial" w:hAnsi="Arial" w:cs="Arial"/>
          <w:sz w:val="21"/>
          <w:szCs w:val="21"/>
        </w:rPr>
      </w:pPr>
    </w:p>
    <w:p w14:paraId="15CC0423" w14:textId="77777777" w:rsidR="00E608DD" w:rsidRPr="003D4D1F" w:rsidRDefault="00E608DD" w:rsidP="00E608DD">
      <w:pPr>
        <w:ind w:left="708" w:right="709"/>
        <w:jc w:val="both"/>
        <w:rPr>
          <w:rFonts w:ascii="Arial" w:eastAsia="Calibri" w:hAnsi="Arial" w:cs="Arial"/>
          <w:color w:val="000000"/>
          <w:sz w:val="21"/>
          <w:szCs w:val="21"/>
          <w:lang w:val="es-MX"/>
        </w:rPr>
      </w:pPr>
      <w:r w:rsidRPr="003D4D1F">
        <w:rPr>
          <w:rFonts w:ascii="Arial" w:eastAsia="Calibri" w:hAnsi="Arial" w:cs="Arial"/>
          <w:color w:val="000000"/>
          <w:sz w:val="21"/>
          <w:szCs w:val="21"/>
          <w:lang w:val="es-MX"/>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4EC76EBB" w14:textId="77777777" w:rsidR="00E608DD" w:rsidRPr="003D4D1F" w:rsidRDefault="00E608DD" w:rsidP="00E608DD">
      <w:pPr>
        <w:ind w:left="708" w:right="709"/>
        <w:jc w:val="both"/>
        <w:rPr>
          <w:rFonts w:ascii="Arial" w:eastAsia="Calibri" w:hAnsi="Arial" w:cs="Arial"/>
          <w:color w:val="000000"/>
          <w:sz w:val="21"/>
          <w:szCs w:val="21"/>
          <w:lang w:val="es-MX"/>
        </w:rPr>
      </w:pPr>
    </w:p>
    <w:p w14:paraId="53EFE8BB" w14:textId="77777777" w:rsidR="00E608DD" w:rsidRPr="003D4D1F" w:rsidRDefault="00E608DD" w:rsidP="00E608DD">
      <w:pPr>
        <w:ind w:left="708" w:right="709"/>
        <w:jc w:val="both"/>
        <w:rPr>
          <w:rFonts w:ascii="Arial" w:eastAsia="Calibri" w:hAnsi="Arial" w:cs="Arial"/>
          <w:color w:val="000000"/>
          <w:sz w:val="22"/>
          <w:szCs w:val="22"/>
          <w:lang w:val="es-MX"/>
        </w:rPr>
      </w:pPr>
      <w:r w:rsidRPr="003D4D1F">
        <w:rPr>
          <w:rFonts w:ascii="Arial" w:eastAsia="Calibri" w:hAnsi="Arial" w:cs="Arial"/>
          <w:color w:val="000000"/>
          <w:sz w:val="21"/>
          <w:szCs w:val="21"/>
          <w:lang w:val="es-MX"/>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r w:rsidRPr="006337DF">
        <w:rPr>
          <w:rFonts w:ascii="Arial" w:hAnsi="Arial" w:cs="Arial"/>
          <w:sz w:val="21"/>
          <w:szCs w:val="21"/>
        </w:rPr>
        <w:t>»</w:t>
      </w:r>
    </w:p>
    <w:p w14:paraId="35C01DE2" w14:textId="77777777" w:rsidR="00E608DD" w:rsidRPr="003D4D1F" w:rsidRDefault="00E608DD" w:rsidP="00E608DD">
      <w:pPr>
        <w:widowControl w:val="0"/>
        <w:autoSpaceDE w:val="0"/>
        <w:autoSpaceDN w:val="0"/>
        <w:ind w:right="49"/>
        <w:rPr>
          <w:rFonts w:ascii="Arial" w:eastAsia="Arial" w:hAnsi="Arial" w:cs="Arial"/>
          <w:sz w:val="22"/>
          <w:szCs w:val="22"/>
        </w:rPr>
      </w:pPr>
    </w:p>
    <w:p w14:paraId="264739AD" w14:textId="77777777" w:rsidR="00E608DD" w:rsidRPr="003D4D1F" w:rsidRDefault="00E608DD" w:rsidP="00E608DD">
      <w:pPr>
        <w:spacing w:before="120" w:line="276" w:lineRule="auto"/>
        <w:ind w:firstLine="709"/>
        <w:jc w:val="both"/>
        <w:rPr>
          <w:rFonts w:ascii="Arial" w:hAnsi="Arial" w:cs="Arial"/>
          <w:color w:val="000000"/>
          <w:sz w:val="22"/>
          <w:szCs w:val="22"/>
          <w:lang w:val="es-MX"/>
        </w:rPr>
      </w:pPr>
      <w:r w:rsidRPr="003D4D1F">
        <w:rPr>
          <w:rFonts w:ascii="Arial" w:hAnsi="Arial" w:cs="Arial"/>
          <w:color w:val="000000"/>
          <w:sz w:val="22"/>
          <w:szCs w:val="22"/>
          <w:lang w:val="es-MX"/>
        </w:rPr>
        <w:t xml:space="preserve">Por su parte, el artículo 72 de la Ley 1682 de 2013, por la cual se adoptan medidas y disposiciones para los proyectos de infraestructura de transporte, estableció que la capacidad residual del proponente se debe calcular mediante la evaluación de los siguientes factores: Experiencia –E–, Capacidad Financiera –CF–, Capacidad Técnica –CT– y Capacidad de </w:t>
      </w:r>
      <w:r w:rsidRPr="003D4D1F">
        <w:rPr>
          <w:rFonts w:ascii="Arial" w:eastAsia="Calibri" w:hAnsi="Arial" w:cs="Arial"/>
          <w:bCs/>
          <w:color w:val="000000"/>
          <w:sz w:val="22"/>
          <w:szCs w:val="22"/>
          <w:lang w:val="es-MX"/>
        </w:rPr>
        <w:t>Organización</w:t>
      </w:r>
      <w:r w:rsidRPr="003D4D1F">
        <w:rPr>
          <w:rFonts w:ascii="Arial" w:hAnsi="Arial" w:cs="Arial"/>
          <w:color w:val="000000"/>
          <w:sz w:val="22"/>
          <w:szCs w:val="22"/>
          <w:lang w:val="es-MX"/>
        </w:rPr>
        <w:t xml:space="preserve"> –CO–. </w:t>
      </w:r>
    </w:p>
    <w:p w14:paraId="157C5BC5" w14:textId="77777777" w:rsidR="00E608DD" w:rsidRPr="003D4D1F" w:rsidRDefault="00E608DD" w:rsidP="00E608DD">
      <w:pPr>
        <w:spacing w:before="120" w:line="276" w:lineRule="auto"/>
        <w:ind w:firstLine="709"/>
        <w:jc w:val="both"/>
        <w:rPr>
          <w:rFonts w:ascii="Arial" w:eastAsia="Calibri" w:hAnsi="Arial" w:cs="Arial"/>
          <w:color w:val="000000"/>
          <w:sz w:val="22"/>
          <w:szCs w:val="22"/>
          <w:lang w:val="es-MX"/>
        </w:rPr>
      </w:pPr>
      <w:r w:rsidRPr="003D4D1F">
        <w:rPr>
          <w:rFonts w:ascii="Arial" w:eastAsia="Calibri" w:hAnsi="Arial" w:cs="Arial"/>
          <w:color w:val="000000"/>
          <w:sz w:val="22"/>
          <w:szCs w:val="22"/>
          <w:lang w:val="es-MX"/>
        </w:rPr>
        <w:t xml:space="preserve">Igualmente, el artículo 2.2.1.1.1.6.4 del Decreto 1082 de 2015, establece que las entidades estatales deberán calcular la capacidad residual conforme a la metodología definida por </w:t>
      </w:r>
      <w:r>
        <w:rPr>
          <w:rFonts w:ascii="Arial" w:eastAsia="Calibri" w:hAnsi="Arial" w:cs="Arial"/>
          <w:color w:val="000000"/>
          <w:sz w:val="22"/>
          <w:szCs w:val="22"/>
          <w:lang w:val="es-MX"/>
        </w:rPr>
        <w:t xml:space="preserve">la Agencia Nacional de Contratación Pública - </w:t>
      </w:r>
      <w:r w:rsidRPr="003D4D1F">
        <w:rPr>
          <w:rFonts w:ascii="Arial" w:eastAsia="Calibri" w:hAnsi="Arial" w:cs="Arial"/>
          <w:color w:val="000000"/>
          <w:sz w:val="22"/>
          <w:szCs w:val="22"/>
          <w:lang w:val="es-MX"/>
        </w:rPr>
        <w:t xml:space="preserve">Colombia Compre Eficiente y precisó que, para tales fines, resulta necesario tener en cuenta los factores de: i) experiencia; </w:t>
      </w:r>
      <w:proofErr w:type="spellStart"/>
      <w:r w:rsidRPr="003D4D1F">
        <w:rPr>
          <w:rFonts w:ascii="Arial" w:eastAsia="Calibri" w:hAnsi="Arial" w:cs="Arial"/>
          <w:color w:val="000000"/>
          <w:sz w:val="22"/>
          <w:szCs w:val="22"/>
          <w:lang w:val="es-MX"/>
        </w:rPr>
        <w:t>ii</w:t>
      </w:r>
      <w:proofErr w:type="spellEnd"/>
      <w:r w:rsidRPr="003D4D1F">
        <w:rPr>
          <w:rFonts w:ascii="Arial" w:eastAsia="Calibri" w:hAnsi="Arial" w:cs="Arial"/>
          <w:color w:val="000000"/>
          <w:sz w:val="22"/>
          <w:szCs w:val="22"/>
          <w:lang w:val="es-MX"/>
        </w:rPr>
        <w:t xml:space="preserve">) capacidad financiera; </w:t>
      </w:r>
      <w:proofErr w:type="spellStart"/>
      <w:r w:rsidRPr="003D4D1F">
        <w:rPr>
          <w:rFonts w:ascii="Arial" w:eastAsia="Calibri" w:hAnsi="Arial" w:cs="Arial"/>
          <w:color w:val="000000"/>
          <w:sz w:val="22"/>
          <w:szCs w:val="22"/>
          <w:lang w:val="es-MX"/>
        </w:rPr>
        <w:t>iii</w:t>
      </w:r>
      <w:proofErr w:type="spellEnd"/>
      <w:r w:rsidRPr="003D4D1F">
        <w:rPr>
          <w:rFonts w:ascii="Arial" w:eastAsia="Calibri" w:hAnsi="Arial" w:cs="Arial"/>
          <w:color w:val="000000"/>
          <w:sz w:val="22"/>
          <w:szCs w:val="22"/>
          <w:lang w:val="es-MX"/>
        </w:rPr>
        <w:t xml:space="preserve">) capacidad técnica; </w:t>
      </w:r>
      <w:proofErr w:type="spellStart"/>
      <w:r w:rsidRPr="003D4D1F">
        <w:rPr>
          <w:rFonts w:ascii="Arial" w:eastAsia="Calibri" w:hAnsi="Arial" w:cs="Arial"/>
          <w:color w:val="000000"/>
          <w:sz w:val="22"/>
          <w:szCs w:val="22"/>
          <w:lang w:val="es-MX"/>
        </w:rPr>
        <w:t>iv</w:t>
      </w:r>
      <w:proofErr w:type="spellEnd"/>
      <w:r w:rsidRPr="003D4D1F">
        <w:rPr>
          <w:rFonts w:ascii="Arial" w:eastAsia="Calibri" w:hAnsi="Arial" w:cs="Arial"/>
          <w:color w:val="000000"/>
          <w:sz w:val="22"/>
          <w:szCs w:val="22"/>
          <w:lang w:val="es-MX"/>
        </w:rPr>
        <w:t>) capacidad de organización; y v) los saldos de los contratos en ejecución, así:</w:t>
      </w:r>
    </w:p>
    <w:p w14:paraId="5ED957B3" w14:textId="77777777" w:rsidR="00E608DD" w:rsidRPr="003D4D1F" w:rsidRDefault="00E608DD" w:rsidP="00E608DD">
      <w:pPr>
        <w:spacing w:line="276" w:lineRule="auto"/>
        <w:ind w:right="709"/>
        <w:jc w:val="both"/>
        <w:rPr>
          <w:rFonts w:ascii="Arial" w:eastAsia="Calibri" w:hAnsi="Arial" w:cs="Arial"/>
          <w:color w:val="000000"/>
          <w:sz w:val="21"/>
          <w:szCs w:val="21"/>
          <w:lang w:val="es-MX"/>
        </w:rPr>
      </w:pPr>
    </w:p>
    <w:p w14:paraId="530664A3" w14:textId="77777777" w:rsidR="00E608DD" w:rsidRDefault="00E608DD" w:rsidP="00E608DD">
      <w:pPr>
        <w:ind w:left="708" w:right="709"/>
        <w:jc w:val="both"/>
        <w:rPr>
          <w:rFonts w:ascii="Arial" w:eastAsia="Calibri" w:hAnsi="Arial" w:cs="Arial"/>
          <w:color w:val="000000"/>
          <w:sz w:val="21"/>
          <w:szCs w:val="21"/>
          <w:lang w:val="es-MX"/>
        </w:rPr>
      </w:pPr>
      <w:r w:rsidRPr="006337DF">
        <w:rPr>
          <w:rFonts w:ascii="Arial" w:hAnsi="Arial" w:cs="Arial"/>
          <w:sz w:val="21"/>
          <w:szCs w:val="21"/>
        </w:rPr>
        <w:t>«</w:t>
      </w:r>
      <w:r w:rsidRPr="003D4D1F">
        <w:rPr>
          <w:rFonts w:ascii="Arial" w:eastAsia="Calibri" w:hAnsi="Arial" w:cs="Arial"/>
          <w:color w:val="000000"/>
          <w:sz w:val="21"/>
          <w:szCs w:val="21"/>
          <w:lang w:val="es-MX"/>
        </w:rPr>
        <w:t xml:space="preserve">Artículo 2.2.1.1.1.6.4. Capacidad Residual. El interesado en celebrar contratos de obra pública con Entidades Estatales debe acreditar su Capacidad Residual o K de Contratación con los siguientes documentos: </w:t>
      </w:r>
    </w:p>
    <w:p w14:paraId="374FAFA9" w14:textId="77777777" w:rsidR="00E608DD" w:rsidRDefault="00E608DD" w:rsidP="00E608DD">
      <w:pPr>
        <w:ind w:left="708" w:right="709"/>
        <w:jc w:val="both"/>
        <w:rPr>
          <w:rFonts w:ascii="Arial" w:eastAsia="Calibri" w:hAnsi="Arial" w:cs="Arial"/>
          <w:color w:val="000000"/>
          <w:sz w:val="21"/>
          <w:szCs w:val="21"/>
          <w:lang w:val="es-MX"/>
        </w:rPr>
      </w:pPr>
    </w:p>
    <w:p w14:paraId="0712B632" w14:textId="77777777" w:rsidR="00E608DD" w:rsidRPr="003D4D1F" w:rsidRDefault="00E608DD" w:rsidP="00E608DD">
      <w:pPr>
        <w:ind w:left="708" w:right="709"/>
        <w:jc w:val="both"/>
        <w:rPr>
          <w:rFonts w:ascii="Arial" w:eastAsia="Calibri" w:hAnsi="Arial" w:cs="Arial"/>
          <w:color w:val="000000"/>
          <w:sz w:val="21"/>
          <w:szCs w:val="21"/>
          <w:lang w:val="es-MX"/>
        </w:rPr>
      </w:pPr>
      <w:r w:rsidRPr="003D4D1F">
        <w:rPr>
          <w:rFonts w:ascii="Arial" w:eastAsia="Calibri" w:hAnsi="Arial" w:cs="Arial"/>
          <w:color w:val="000000"/>
          <w:sz w:val="21"/>
          <w:szCs w:val="21"/>
          <w:lang w:val="es-MX"/>
        </w:rPr>
        <w:t>[…]</w:t>
      </w:r>
    </w:p>
    <w:p w14:paraId="73E460CC" w14:textId="77777777" w:rsidR="00E608DD" w:rsidRPr="003D4D1F" w:rsidRDefault="00E608DD" w:rsidP="00E608DD">
      <w:pPr>
        <w:ind w:left="708" w:right="709"/>
        <w:jc w:val="both"/>
        <w:rPr>
          <w:rFonts w:ascii="Arial" w:eastAsia="Calibri" w:hAnsi="Arial" w:cs="Arial"/>
          <w:color w:val="000000"/>
          <w:sz w:val="21"/>
          <w:szCs w:val="21"/>
          <w:lang w:val="es-MX"/>
        </w:rPr>
      </w:pPr>
    </w:p>
    <w:p w14:paraId="1B625AA3" w14:textId="77777777" w:rsidR="00E608DD" w:rsidRPr="003D4D1F" w:rsidRDefault="00E608DD" w:rsidP="00E608DD">
      <w:pPr>
        <w:widowControl w:val="0"/>
        <w:autoSpaceDE w:val="0"/>
        <w:autoSpaceDN w:val="0"/>
        <w:spacing w:before="120" w:line="276" w:lineRule="auto"/>
        <w:ind w:left="708" w:right="616" w:firstLine="1"/>
        <w:jc w:val="both"/>
        <w:rPr>
          <w:rFonts w:ascii="Arial" w:eastAsia="Arial" w:hAnsi="Arial" w:cs="Arial"/>
          <w:sz w:val="22"/>
          <w:szCs w:val="22"/>
        </w:rPr>
      </w:pPr>
      <w:r w:rsidRPr="003D4D1F">
        <w:rPr>
          <w:rFonts w:ascii="Arial" w:eastAsia="Calibri" w:hAnsi="Arial" w:cs="Arial"/>
          <w:color w:val="000000"/>
          <w:sz w:val="21"/>
          <w:szCs w:val="21"/>
          <w:lang w:val="es-MX"/>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r w:rsidRPr="006337DF">
        <w:rPr>
          <w:rFonts w:ascii="Arial" w:hAnsi="Arial" w:cs="Arial"/>
          <w:sz w:val="21"/>
          <w:szCs w:val="21"/>
        </w:rPr>
        <w:t>»</w:t>
      </w:r>
      <w:r>
        <w:rPr>
          <w:rFonts w:ascii="Arial" w:hAnsi="Arial" w:cs="Arial"/>
          <w:sz w:val="21"/>
          <w:szCs w:val="21"/>
        </w:rPr>
        <w:t>.</w:t>
      </w:r>
    </w:p>
    <w:p w14:paraId="273BE1AE" w14:textId="77777777" w:rsidR="00E608DD" w:rsidRPr="003D4D1F" w:rsidRDefault="00E608DD" w:rsidP="00E608DD">
      <w:pPr>
        <w:widowControl w:val="0"/>
        <w:autoSpaceDE w:val="0"/>
        <w:autoSpaceDN w:val="0"/>
        <w:ind w:right="49"/>
        <w:rPr>
          <w:rFonts w:ascii="Arial" w:eastAsia="Arial" w:hAnsi="Arial" w:cs="Arial"/>
          <w:sz w:val="22"/>
          <w:szCs w:val="22"/>
        </w:rPr>
      </w:pPr>
    </w:p>
    <w:p w14:paraId="3F4D881C" w14:textId="77777777" w:rsidR="00E608DD" w:rsidRPr="003D4D1F" w:rsidRDefault="00E608DD" w:rsidP="00E608DD">
      <w:pPr>
        <w:widowControl w:val="0"/>
        <w:autoSpaceDE w:val="0"/>
        <w:autoSpaceDN w:val="0"/>
        <w:spacing w:line="276" w:lineRule="auto"/>
        <w:ind w:firstLine="709"/>
        <w:jc w:val="both"/>
        <w:rPr>
          <w:rFonts w:ascii="Arial" w:eastAsia="Arial" w:hAnsi="Arial" w:cs="Arial"/>
          <w:sz w:val="22"/>
          <w:szCs w:val="22"/>
        </w:rPr>
      </w:pPr>
      <w:r w:rsidRPr="003D4D1F">
        <w:rPr>
          <w:rFonts w:ascii="Arial" w:eastAsia="Arial" w:hAnsi="Arial" w:cs="Arial"/>
          <w:sz w:val="22"/>
          <w:szCs w:val="22"/>
        </w:rPr>
        <w:lastRenderedPageBreak/>
        <w:t xml:space="preserve">De conformidad con lo anterior, esta Agencia expidió la </w:t>
      </w:r>
      <w:r w:rsidRPr="006337DF">
        <w:rPr>
          <w:rFonts w:ascii="Arial" w:hAnsi="Arial" w:cs="Arial"/>
          <w:sz w:val="21"/>
          <w:szCs w:val="21"/>
        </w:rPr>
        <w:t>«</w:t>
      </w:r>
      <w:r w:rsidRPr="003D4D1F">
        <w:rPr>
          <w:rFonts w:ascii="Arial" w:eastAsia="Arial" w:hAnsi="Arial" w:cs="Arial"/>
          <w:i/>
          <w:iCs/>
          <w:sz w:val="22"/>
          <w:szCs w:val="22"/>
        </w:rPr>
        <w:t>Guía para Determinar y Verificar la Capacidad Residual del Proponente en los Procesos de Contratación de Obra Pública</w:t>
      </w:r>
      <w:r w:rsidRPr="006337DF">
        <w:rPr>
          <w:rFonts w:ascii="Arial" w:hAnsi="Arial" w:cs="Arial"/>
          <w:sz w:val="21"/>
          <w:szCs w:val="21"/>
        </w:rPr>
        <w:t>»</w:t>
      </w:r>
      <w:r w:rsidRPr="003D4D1F">
        <w:rPr>
          <w:rFonts w:ascii="Arial" w:eastAsia="Arial" w:hAnsi="Arial" w:cs="Arial"/>
          <w:sz w:val="22"/>
          <w:szCs w:val="22"/>
        </w:rPr>
        <w:t>. En este documento se establece, entre otras cuestiones, que a la entidad contratante le corresponde, primero, establecer la capacidad residual del proceso de contratación –</w:t>
      </w:r>
      <w:r w:rsidRPr="003D4D1F">
        <w:rPr>
          <w:rFonts w:ascii="Arial" w:eastAsia="Arial" w:hAnsi="Arial" w:cs="Arial"/>
          <w:i/>
          <w:iCs/>
          <w:sz w:val="22"/>
          <w:szCs w:val="22"/>
        </w:rPr>
        <w:t>CRPC–</w:t>
      </w:r>
      <w:r w:rsidRPr="003D4D1F">
        <w:rPr>
          <w:rFonts w:ascii="Arial" w:eastAsia="Arial" w:hAnsi="Arial" w:cs="Arial"/>
          <w:sz w:val="22"/>
          <w:szCs w:val="22"/>
        </w:rPr>
        <w:t xml:space="preserve"> y, segundo, determinar si los proponentes cumplen con la capacidad residual del proceso de contratación, claro está, teniendo en cuenta la siguiente información aportada por el proponente:</w:t>
      </w:r>
    </w:p>
    <w:p w14:paraId="1C6B60FB" w14:textId="77777777" w:rsidR="00E608DD" w:rsidRPr="003D4D1F" w:rsidRDefault="00E608DD" w:rsidP="00E608DD">
      <w:pPr>
        <w:widowControl w:val="0"/>
        <w:autoSpaceDE w:val="0"/>
        <w:autoSpaceDN w:val="0"/>
        <w:ind w:left="709" w:right="760"/>
        <w:jc w:val="both"/>
        <w:rPr>
          <w:rFonts w:ascii="Arial" w:eastAsia="Arial" w:hAnsi="Arial" w:cs="Arial"/>
          <w:sz w:val="22"/>
          <w:szCs w:val="22"/>
        </w:rPr>
      </w:pPr>
    </w:p>
    <w:p w14:paraId="5E74499C" w14:textId="77777777" w:rsidR="00E608DD" w:rsidRPr="003D4D1F" w:rsidRDefault="00E608DD" w:rsidP="00E608DD">
      <w:pPr>
        <w:widowControl w:val="0"/>
        <w:numPr>
          <w:ilvl w:val="0"/>
          <w:numId w:val="45"/>
        </w:numPr>
        <w:tabs>
          <w:tab w:val="left" w:pos="993"/>
        </w:tabs>
        <w:autoSpaceDE w:val="0"/>
        <w:autoSpaceDN w:val="0"/>
        <w:ind w:left="709" w:right="709" w:firstLine="0"/>
        <w:jc w:val="both"/>
        <w:rPr>
          <w:rFonts w:ascii="Arial" w:eastAsia="Arial" w:hAnsi="Arial" w:cs="Arial"/>
          <w:sz w:val="22"/>
          <w:szCs w:val="22"/>
        </w:rPr>
      </w:pPr>
      <w:r w:rsidRPr="003D4D1F">
        <w:rPr>
          <w:rFonts w:ascii="Arial" w:eastAsia="Arial" w:hAnsi="Arial" w:cs="Arial"/>
          <w:sz w:val="22"/>
          <w:szCs w:val="22"/>
        </w:rPr>
        <w:t>La lista de los Contratos en Ejecución, así como el valor y plazo de tales contratos.</w:t>
      </w:r>
    </w:p>
    <w:p w14:paraId="2E38CA01" w14:textId="77777777" w:rsidR="00E608DD" w:rsidRPr="003D4D1F" w:rsidRDefault="00E608DD" w:rsidP="00E608DD">
      <w:pPr>
        <w:widowControl w:val="0"/>
        <w:tabs>
          <w:tab w:val="left" w:pos="993"/>
        </w:tabs>
        <w:autoSpaceDE w:val="0"/>
        <w:autoSpaceDN w:val="0"/>
        <w:ind w:left="709" w:right="709"/>
        <w:jc w:val="both"/>
        <w:rPr>
          <w:rFonts w:ascii="Arial" w:eastAsia="Arial" w:hAnsi="Arial" w:cs="Arial"/>
          <w:sz w:val="22"/>
          <w:szCs w:val="22"/>
        </w:rPr>
      </w:pPr>
    </w:p>
    <w:p w14:paraId="53AA4428" w14:textId="77777777" w:rsidR="00E608DD" w:rsidRPr="003D4D1F" w:rsidRDefault="00E608DD" w:rsidP="00E608DD">
      <w:pPr>
        <w:widowControl w:val="0"/>
        <w:numPr>
          <w:ilvl w:val="0"/>
          <w:numId w:val="45"/>
        </w:numPr>
        <w:tabs>
          <w:tab w:val="left" w:pos="993"/>
        </w:tabs>
        <w:autoSpaceDE w:val="0"/>
        <w:autoSpaceDN w:val="0"/>
        <w:ind w:left="709" w:right="709" w:firstLine="0"/>
        <w:jc w:val="both"/>
        <w:rPr>
          <w:rFonts w:ascii="Arial" w:eastAsia="Arial" w:hAnsi="Arial" w:cs="Arial"/>
          <w:sz w:val="22"/>
          <w:szCs w:val="22"/>
        </w:rPr>
      </w:pPr>
      <w:r w:rsidRPr="003D4D1F">
        <w:rPr>
          <w:rFonts w:ascii="Arial" w:eastAsia="Arial" w:hAnsi="Arial" w:cs="Arial"/>
          <w:sz w:val="22"/>
          <w:szCs w:val="22"/>
        </w:rPr>
        <w:t>La lista de los Contratos en Ejecución, suscritos por sociedades, consorcios o uniones temporales, en los cuales el proponente tenga participación, así como el valor y plazo de tales contratos.</w:t>
      </w:r>
    </w:p>
    <w:p w14:paraId="46058A6C" w14:textId="77777777" w:rsidR="00E608DD" w:rsidRPr="003D4D1F" w:rsidRDefault="00E608DD" w:rsidP="00E608DD">
      <w:pPr>
        <w:widowControl w:val="0"/>
        <w:tabs>
          <w:tab w:val="left" w:pos="993"/>
        </w:tabs>
        <w:autoSpaceDE w:val="0"/>
        <w:autoSpaceDN w:val="0"/>
        <w:ind w:right="709"/>
        <w:jc w:val="both"/>
        <w:rPr>
          <w:rFonts w:ascii="Arial" w:eastAsia="Arial" w:hAnsi="Arial" w:cs="Arial"/>
          <w:sz w:val="22"/>
          <w:szCs w:val="22"/>
        </w:rPr>
      </w:pPr>
    </w:p>
    <w:p w14:paraId="5D9C2D8B" w14:textId="77777777" w:rsidR="00E608DD" w:rsidRPr="003D4D1F" w:rsidRDefault="00E608DD" w:rsidP="00E608DD">
      <w:pPr>
        <w:widowControl w:val="0"/>
        <w:numPr>
          <w:ilvl w:val="0"/>
          <w:numId w:val="45"/>
        </w:numPr>
        <w:tabs>
          <w:tab w:val="left" w:pos="993"/>
        </w:tabs>
        <w:autoSpaceDE w:val="0"/>
        <w:autoSpaceDN w:val="0"/>
        <w:ind w:left="709" w:right="709" w:firstLine="0"/>
        <w:jc w:val="both"/>
        <w:rPr>
          <w:rFonts w:ascii="Arial" w:eastAsia="Arial" w:hAnsi="Arial" w:cs="Arial"/>
          <w:sz w:val="22"/>
          <w:szCs w:val="22"/>
        </w:rPr>
      </w:pPr>
      <w:r w:rsidRPr="003D4D1F">
        <w:rPr>
          <w:rFonts w:ascii="Arial" w:eastAsia="Arial" w:hAnsi="Arial" w:cs="Arial"/>
          <w:sz w:val="22"/>
          <w:szCs w:val="22"/>
        </w:rPr>
        <w:t>El estado de resultados auditado que contiene el mejor ingreso operacional de los últimos cinco (5) años y el balance general auditado del último año, suscrito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que contiene el mejor ingreso operacional de los últimos cinco (5) años puesto que la información de la liquidez se encuentra en el RUP.</w:t>
      </w:r>
    </w:p>
    <w:p w14:paraId="4B8C254E" w14:textId="77777777" w:rsidR="00E608DD" w:rsidRPr="003D4D1F" w:rsidRDefault="00E608DD" w:rsidP="00E608DD">
      <w:pPr>
        <w:widowControl w:val="0"/>
        <w:autoSpaceDE w:val="0"/>
        <w:autoSpaceDN w:val="0"/>
        <w:spacing w:line="276" w:lineRule="auto"/>
        <w:ind w:firstLine="709"/>
        <w:jc w:val="both"/>
        <w:rPr>
          <w:rFonts w:ascii="Arial" w:eastAsia="Arial" w:hAnsi="Arial" w:cs="Arial"/>
          <w:sz w:val="22"/>
          <w:szCs w:val="22"/>
        </w:rPr>
      </w:pPr>
    </w:p>
    <w:p w14:paraId="5A800C2F" w14:textId="77777777" w:rsidR="00E608DD" w:rsidRPr="003D4D1F" w:rsidRDefault="00E608DD" w:rsidP="00E608DD">
      <w:pPr>
        <w:widowControl w:val="0"/>
        <w:autoSpaceDE w:val="0"/>
        <w:autoSpaceDN w:val="0"/>
        <w:spacing w:after="120" w:line="276" w:lineRule="auto"/>
        <w:ind w:firstLine="709"/>
        <w:jc w:val="both"/>
        <w:rPr>
          <w:rFonts w:ascii="Arial" w:eastAsia="Arial" w:hAnsi="Arial" w:cs="Arial"/>
          <w:sz w:val="22"/>
          <w:szCs w:val="22"/>
        </w:rPr>
      </w:pPr>
      <w:r w:rsidRPr="003D4D1F">
        <w:rPr>
          <w:rFonts w:ascii="Arial" w:eastAsia="Arial" w:hAnsi="Arial" w:cs="Arial"/>
          <w:sz w:val="22"/>
          <w:szCs w:val="22"/>
        </w:rPr>
        <w:t xml:space="preserve">Ahora bien, para lo primero, esto es, para establecer la capacidad residual del proceso de contratación «CRPC», se debe determinar si el plazo del contrato es superior a doce </w:t>
      </w:r>
      <w:r>
        <w:rPr>
          <w:rFonts w:ascii="Arial" w:eastAsia="Arial" w:hAnsi="Arial" w:cs="Arial"/>
          <w:sz w:val="22"/>
          <w:szCs w:val="22"/>
        </w:rPr>
        <w:t xml:space="preserve">(12) </w:t>
      </w:r>
      <w:r w:rsidRPr="003D4D1F">
        <w:rPr>
          <w:rFonts w:ascii="Arial" w:eastAsia="Arial" w:hAnsi="Arial" w:cs="Arial"/>
          <w:sz w:val="22"/>
          <w:szCs w:val="22"/>
        </w:rPr>
        <w:t xml:space="preserve">meses. Si no lo es, la CRPC equivale al presupuesto oficial estimado del Proceso de Contratación menos el anticipo o pago anticipado cuando haya lugar. Si lo es, equivale a la proporción lineal de </w:t>
      </w:r>
      <w:r>
        <w:rPr>
          <w:rFonts w:ascii="Arial" w:eastAsia="Arial" w:hAnsi="Arial" w:cs="Arial"/>
          <w:sz w:val="22"/>
          <w:szCs w:val="22"/>
        </w:rPr>
        <w:t>doce (</w:t>
      </w:r>
      <w:r w:rsidRPr="003D4D1F">
        <w:rPr>
          <w:rFonts w:ascii="Arial" w:eastAsia="Arial" w:hAnsi="Arial" w:cs="Arial"/>
          <w:sz w:val="22"/>
          <w:szCs w:val="22"/>
        </w:rPr>
        <w:t>12</w:t>
      </w:r>
      <w:r>
        <w:rPr>
          <w:rFonts w:ascii="Arial" w:eastAsia="Arial" w:hAnsi="Arial" w:cs="Arial"/>
          <w:sz w:val="22"/>
          <w:szCs w:val="22"/>
        </w:rPr>
        <w:t>)</w:t>
      </w:r>
      <w:r w:rsidRPr="003D4D1F">
        <w:rPr>
          <w:rFonts w:ascii="Arial" w:eastAsia="Arial" w:hAnsi="Arial" w:cs="Arial"/>
          <w:sz w:val="22"/>
          <w:szCs w:val="22"/>
        </w:rPr>
        <w:t xml:space="preserve"> meses del presupuesto oficial estimado menos el anticipo o pago anticipado.</w:t>
      </w:r>
    </w:p>
    <w:p w14:paraId="7D6041A9" w14:textId="77777777" w:rsidR="00E608DD" w:rsidRPr="003D4D1F" w:rsidRDefault="00E608DD" w:rsidP="00E608DD">
      <w:pPr>
        <w:widowControl w:val="0"/>
        <w:autoSpaceDE w:val="0"/>
        <w:autoSpaceDN w:val="0"/>
        <w:spacing w:before="120" w:after="120" w:line="276" w:lineRule="auto"/>
        <w:ind w:firstLine="709"/>
        <w:jc w:val="both"/>
        <w:rPr>
          <w:rFonts w:ascii="Arial" w:eastAsia="Arial" w:hAnsi="Arial" w:cs="Arial"/>
          <w:sz w:val="22"/>
          <w:szCs w:val="22"/>
        </w:rPr>
      </w:pPr>
      <w:r w:rsidRPr="003D4D1F">
        <w:rPr>
          <w:rFonts w:ascii="Arial" w:eastAsia="Arial" w:hAnsi="Arial" w:cs="Arial"/>
          <w:sz w:val="22"/>
          <w:szCs w:val="22"/>
        </w:rPr>
        <w:t xml:space="preserve">Para lo segundo, es decir, para verificar que cada proponente cumple con la CRPC, la entidad pública debe verificar que la capacidad residual del proponente «CRP» sea igual o superior a la capacidad referida en el párrafo precedente. De todas formas, previamente debe establecer la CRP, con fundamento en los siguientes factores: i) experiencia «E»; </w:t>
      </w:r>
      <w:proofErr w:type="spellStart"/>
      <w:r w:rsidRPr="003D4D1F">
        <w:rPr>
          <w:rFonts w:ascii="Arial" w:eastAsia="Arial" w:hAnsi="Arial" w:cs="Arial"/>
          <w:sz w:val="22"/>
          <w:szCs w:val="22"/>
        </w:rPr>
        <w:t>ii</w:t>
      </w:r>
      <w:proofErr w:type="spellEnd"/>
      <w:r w:rsidRPr="003D4D1F">
        <w:rPr>
          <w:rFonts w:ascii="Arial" w:eastAsia="Arial" w:hAnsi="Arial" w:cs="Arial"/>
          <w:sz w:val="22"/>
          <w:szCs w:val="22"/>
        </w:rPr>
        <w:t xml:space="preserve">) capacidad financiera «CF»; </w:t>
      </w:r>
      <w:proofErr w:type="spellStart"/>
      <w:r w:rsidRPr="003D4D1F">
        <w:rPr>
          <w:rFonts w:ascii="Arial" w:eastAsia="Arial" w:hAnsi="Arial" w:cs="Arial"/>
          <w:sz w:val="22"/>
          <w:szCs w:val="22"/>
        </w:rPr>
        <w:t>iii</w:t>
      </w:r>
      <w:proofErr w:type="spellEnd"/>
      <w:r w:rsidRPr="003D4D1F">
        <w:rPr>
          <w:rFonts w:ascii="Arial" w:eastAsia="Arial" w:hAnsi="Arial" w:cs="Arial"/>
          <w:sz w:val="22"/>
          <w:szCs w:val="22"/>
        </w:rPr>
        <w:t xml:space="preserve">) capacidad técnica «CT», </w:t>
      </w:r>
      <w:proofErr w:type="spellStart"/>
      <w:r w:rsidRPr="003D4D1F">
        <w:rPr>
          <w:rFonts w:ascii="Arial" w:eastAsia="Arial" w:hAnsi="Arial" w:cs="Arial"/>
          <w:sz w:val="22"/>
          <w:szCs w:val="22"/>
        </w:rPr>
        <w:t>iv</w:t>
      </w:r>
      <w:proofErr w:type="spellEnd"/>
      <w:r w:rsidRPr="003D4D1F">
        <w:rPr>
          <w:rFonts w:ascii="Arial" w:eastAsia="Arial" w:hAnsi="Arial" w:cs="Arial"/>
          <w:sz w:val="22"/>
          <w:szCs w:val="22"/>
        </w:rPr>
        <w:t>) capacidad de organización «CO»; y v) los saldos de los contratos en ejecución «SCE», según la siguiente fórmula:</w:t>
      </w:r>
    </w:p>
    <w:p w14:paraId="70C3E162" w14:textId="77777777" w:rsidR="00E608DD" w:rsidRPr="003D4D1F" w:rsidRDefault="00E608DD" w:rsidP="00E608DD">
      <w:pPr>
        <w:widowControl w:val="0"/>
        <w:tabs>
          <w:tab w:val="left" w:pos="709"/>
          <w:tab w:val="left" w:pos="8080"/>
        </w:tabs>
        <w:autoSpaceDE w:val="0"/>
        <w:autoSpaceDN w:val="0"/>
        <w:spacing w:before="10"/>
        <w:ind w:right="49"/>
        <w:rPr>
          <w:rFonts w:ascii="Arial" w:eastAsia="Arial" w:hAnsi="Arial" w:cs="Arial"/>
          <w:sz w:val="22"/>
          <w:szCs w:val="22"/>
        </w:rPr>
      </w:pPr>
      <w:r w:rsidRPr="003D4D1F">
        <w:rPr>
          <w:rFonts w:ascii="Arial" w:eastAsia="Arial" w:hAnsi="Arial" w:cs="Arial"/>
          <w:noProof/>
          <w:sz w:val="22"/>
          <w:szCs w:val="22"/>
        </w:rPr>
        <w:lastRenderedPageBreak/>
        <w:drawing>
          <wp:anchor distT="0" distB="0" distL="0" distR="0" simplePos="0" relativeHeight="251659264" behindDoc="0" locked="0" layoutInCell="1" allowOverlap="1" wp14:anchorId="7511E366" wp14:editId="4A4DBA43">
            <wp:simplePos x="0" y="0"/>
            <wp:positionH relativeFrom="page">
              <wp:posOffset>1545590</wp:posOffset>
            </wp:positionH>
            <wp:positionV relativeFrom="paragraph">
              <wp:posOffset>160655</wp:posOffset>
            </wp:positionV>
            <wp:extent cx="4638040" cy="67437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2" cstate="print"/>
                    <a:stretch>
                      <a:fillRect/>
                    </a:stretch>
                  </pic:blipFill>
                  <pic:spPr>
                    <a:xfrm>
                      <a:off x="0" y="0"/>
                      <a:ext cx="4638040" cy="674370"/>
                    </a:xfrm>
                    <a:prstGeom prst="rect">
                      <a:avLst/>
                    </a:prstGeom>
                  </pic:spPr>
                </pic:pic>
              </a:graphicData>
            </a:graphic>
            <wp14:sizeRelH relativeFrom="margin">
              <wp14:pctWidth>0</wp14:pctWidth>
            </wp14:sizeRelH>
          </wp:anchor>
        </w:drawing>
      </w:r>
    </w:p>
    <w:p w14:paraId="25AA6982" w14:textId="77777777" w:rsidR="00E608DD" w:rsidRPr="003D4D1F" w:rsidRDefault="00E608DD" w:rsidP="00E608DD">
      <w:pPr>
        <w:widowControl w:val="0"/>
        <w:autoSpaceDE w:val="0"/>
        <w:autoSpaceDN w:val="0"/>
        <w:spacing w:before="120" w:line="276" w:lineRule="auto"/>
        <w:ind w:right="51" w:firstLine="709"/>
        <w:jc w:val="both"/>
        <w:rPr>
          <w:rFonts w:ascii="Arial" w:eastAsia="Arial" w:hAnsi="Arial" w:cs="Arial"/>
          <w:sz w:val="22"/>
          <w:szCs w:val="22"/>
        </w:rPr>
      </w:pPr>
    </w:p>
    <w:p w14:paraId="159E7247" w14:textId="77777777" w:rsidR="00E608DD" w:rsidRPr="003D4D1F" w:rsidRDefault="00E608DD" w:rsidP="00E608DD">
      <w:pPr>
        <w:widowControl w:val="0"/>
        <w:autoSpaceDE w:val="0"/>
        <w:autoSpaceDN w:val="0"/>
        <w:spacing w:before="120" w:after="120" w:line="276" w:lineRule="auto"/>
        <w:ind w:firstLine="709"/>
        <w:jc w:val="both"/>
        <w:rPr>
          <w:rFonts w:ascii="Arial" w:eastAsia="Arial" w:hAnsi="Arial" w:cs="Arial"/>
          <w:sz w:val="22"/>
          <w:szCs w:val="22"/>
        </w:rPr>
      </w:pPr>
      <w:r w:rsidRPr="003D4D1F">
        <w:rPr>
          <w:rFonts w:ascii="Arial" w:eastAsia="Arial" w:hAnsi="Arial" w:cs="Arial"/>
          <w:sz w:val="22"/>
          <w:szCs w:val="22"/>
        </w:rPr>
        <w:t xml:space="preserve">A cada uno de estos factores se les debe asignar el siguiente puntaje máximo: i) «E» 120; </w:t>
      </w:r>
      <w:proofErr w:type="spellStart"/>
      <w:r w:rsidRPr="003D4D1F">
        <w:rPr>
          <w:rFonts w:ascii="Arial" w:eastAsia="Arial" w:hAnsi="Arial" w:cs="Arial"/>
          <w:sz w:val="22"/>
          <w:szCs w:val="22"/>
        </w:rPr>
        <w:t>ii</w:t>
      </w:r>
      <w:proofErr w:type="spellEnd"/>
      <w:r w:rsidRPr="003D4D1F">
        <w:rPr>
          <w:rFonts w:ascii="Arial" w:eastAsia="Arial" w:hAnsi="Arial" w:cs="Arial"/>
          <w:sz w:val="22"/>
          <w:szCs w:val="22"/>
        </w:rPr>
        <w:t xml:space="preserve">) «CF» 40; y </w:t>
      </w:r>
      <w:proofErr w:type="spellStart"/>
      <w:r w:rsidRPr="003D4D1F">
        <w:rPr>
          <w:rFonts w:ascii="Arial" w:eastAsia="Arial" w:hAnsi="Arial" w:cs="Arial"/>
          <w:sz w:val="22"/>
          <w:szCs w:val="22"/>
        </w:rPr>
        <w:t>iii</w:t>
      </w:r>
      <w:proofErr w:type="spellEnd"/>
      <w:r w:rsidRPr="003D4D1F">
        <w:rPr>
          <w:rFonts w:ascii="Arial" w:eastAsia="Arial" w:hAnsi="Arial" w:cs="Arial"/>
          <w:sz w:val="22"/>
          <w:szCs w:val="22"/>
        </w:rPr>
        <w:t>) «CT» 40. La «CO» no tiene asignación de puntaje en la fórmula, por un lado, porque su unidad de medida es en pesos colombianos «COP» y, por el otro, debido a que el mismo constituye un factor multiplicador de los demás factores en la fórmula. A continuación, se explicará, en términos generales, cómo calcular cada factor:</w:t>
      </w:r>
    </w:p>
    <w:p w14:paraId="7A92BD4B" w14:textId="77777777" w:rsidR="00E608DD" w:rsidRPr="003D4D1F" w:rsidRDefault="00E608DD" w:rsidP="00E608DD">
      <w:pPr>
        <w:widowControl w:val="0"/>
        <w:numPr>
          <w:ilvl w:val="0"/>
          <w:numId w:val="46"/>
        </w:numPr>
        <w:tabs>
          <w:tab w:val="left" w:pos="993"/>
        </w:tabs>
        <w:autoSpaceDE w:val="0"/>
        <w:autoSpaceDN w:val="0"/>
        <w:spacing w:before="120" w:after="120" w:line="276" w:lineRule="auto"/>
        <w:ind w:left="0" w:firstLine="709"/>
        <w:jc w:val="both"/>
        <w:rPr>
          <w:rFonts w:ascii="Arial" w:eastAsia="Arial" w:hAnsi="Arial" w:cs="Arial"/>
          <w:i/>
          <w:iCs/>
          <w:sz w:val="22"/>
          <w:szCs w:val="22"/>
        </w:rPr>
      </w:pPr>
      <w:r w:rsidRPr="003D4D1F">
        <w:rPr>
          <w:rFonts w:ascii="Arial" w:eastAsia="Arial" w:hAnsi="Arial" w:cs="Arial"/>
          <w:i/>
          <w:iCs/>
          <w:sz w:val="22"/>
          <w:szCs w:val="22"/>
        </w:rPr>
        <w:t>Capacidad financiera (CF).</w:t>
      </w:r>
      <w:r w:rsidRPr="003D4D1F">
        <w:rPr>
          <w:rFonts w:ascii="Arial" w:eastAsia="Arial" w:hAnsi="Arial" w:cs="Arial"/>
          <w:sz w:val="22"/>
          <w:szCs w:val="22"/>
        </w:rPr>
        <w:t xml:space="preserve"> Se mide por el «índice de liquidez» y este, a su vez, corresponde al resultado de dividir el «activo corriente» sobre el «pasivo corriente». El resultado puede ser calificado entre 20 y cuarenta puntos, según se explica en la Guía.</w:t>
      </w:r>
    </w:p>
    <w:p w14:paraId="6A74EC97" w14:textId="77777777" w:rsidR="00E608DD" w:rsidRPr="003D4D1F" w:rsidRDefault="00E608DD" w:rsidP="00E608DD">
      <w:pPr>
        <w:widowControl w:val="0"/>
        <w:numPr>
          <w:ilvl w:val="0"/>
          <w:numId w:val="46"/>
        </w:numPr>
        <w:tabs>
          <w:tab w:val="left" w:pos="993"/>
        </w:tabs>
        <w:autoSpaceDE w:val="0"/>
        <w:autoSpaceDN w:val="0"/>
        <w:spacing w:before="120" w:after="120" w:line="276" w:lineRule="auto"/>
        <w:ind w:left="0" w:firstLine="709"/>
        <w:jc w:val="both"/>
        <w:rPr>
          <w:rFonts w:ascii="Arial" w:eastAsia="Arial" w:hAnsi="Arial" w:cs="Arial"/>
          <w:i/>
          <w:iCs/>
          <w:sz w:val="22"/>
          <w:szCs w:val="22"/>
        </w:rPr>
      </w:pPr>
      <w:r w:rsidRPr="003D4D1F">
        <w:rPr>
          <w:rFonts w:ascii="Arial" w:eastAsia="Arial" w:hAnsi="Arial" w:cs="Arial"/>
          <w:i/>
          <w:iCs/>
          <w:sz w:val="22"/>
          <w:szCs w:val="22"/>
        </w:rPr>
        <w:t>Capacidad técnica (CT)</w:t>
      </w:r>
      <w:r w:rsidRPr="003D4D1F">
        <w:rPr>
          <w:rFonts w:ascii="Arial" w:eastAsia="Arial" w:hAnsi="Arial" w:cs="Arial"/>
          <w:sz w:val="22"/>
          <w:szCs w:val="22"/>
        </w:rPr>
        <w:t>. Se determina teniendo en cuenta el número de socios y profesionales de la arquitectura, ingeniería y geología vinculados mediante una relación laboral o contractual. El puntaje a asignar, según la Guía, oscila entre 20 y 40 puntos. Para tales fines, se aclara, el proponente debe diligenciar el Anexo 2 de la «Guía para Determinar y Verificar la Capacidad Residual del Proponente en los Procesos de Contratación de Obra Pública» .</w:t>
      </w:r>
    </w:p>
    <w:p w14:paraId="22A550EC" w14:textId="77777777" w:rsidR="00E608DD" w:rsidRPr="003D4D1F" w:rsidRDefault="00E608DD" w:rsidP="00E608DD">
      <w:pPr>
        <w:widowControl w:val="0"/>
        <w:numPr>
          <w:ilvl w:val="0"/>
          <w:numId w:val="46"/>
        </w:numPr>
        <w:tabs>
          <w:tab w:val="left" w:pos="993"/>
        </w:tabs>
        <w:autoSpaceDE w:val="0"/>
        <w:autoSpaceDN w:val="0"/>
        <w:spacing w:before="120" w:after="120" w:line="276" w:lineRule="auto"/>
        <w:ind w:left="0" w:firstLine="709"/>
        <w:jc w:val="both"/>
        <w:rPr>
          <w:rFonts w:ascii="Arial" w:eastAsia="Arial" w:hAnsi="Arial" w:cs="Arial"/>
          <w:i/>
          <w:iCs/>
          <w:sz w:val="22"/>
          <w:szCs w:val="22"/>
        </w:rPr>
      </w:pPr>
      <w:r w:rsidRPr="003D4D1F">
        <w:rPr>
          <w:rFonts w:ascii="Arial" w:eastAsia="Arial" w:hAnsi="Arial" w:cs="Arial"/>
          <w:i/>
          <w:iCs/>
          <w:sz w:val="22"/>
          <w:szCs w:val="22"/>
        </w:rPr>
        <w:t>Capacidad de organización (CO)</w:t>
      </w:r>
      <w:r w:rsidRPr="003D4D1F">
        <w:rPr>
          <w:rFonts w:ascii="Arial" w:eastAsia="Arial" w:hAnsi="Arial" w:cs="Arial"/>
          <w:sz w:val="22"/>
          <w:szCs w:val="22"/>
        </w:rPr>
        <w:t>. Corresponde a los ingresos operacionales, según el siguiente cuadro:</w:t>
      </w:r>
    </w:p>
    <w:tbl>
      <w:tblPr>
        <w:tblStyle w:val="Tablaconcuadrcula3"/>
        <w:tblW w:w="7366" w:type="dxa"/>
        <w:tblInd w:w="709" w:type="dxa"/>
        <w:tblLook w:val="04A0" w:firstRow="1" w:lastRow="0" w:firstColumn="1" w:lastColumn="0" w:noHBand="0" w:noVBand="1"/>
      </w:tblPr>
      <w:tblGrid>
        <w:gridCol w:w="4053"/>
        <w:gridCol w:w="3313"/>
      </w:tblGrid>
      <w:tr w:rsidR="00E608DD" w:rsidRPr="002D780B" w14:paraId="052E040D" w14:textId="77777777" w:rsidTr="00141EB5">
        <w:tc>
          <w:tcPr>
            <w:tcW w:w="4053" w:type="dxa"/>
            <w:shd w:val="clear" w:color="auto" w:fill="D9D9D9"/>
          </w:tcPr>
          <w:p w14:paraId="3B1E2F13" w14:textId="77777777" w:rsidR="00E608DD" w:rsidRPr="002D780B" w:rsidRDefault="00E608DD" w:rsidP="00141EB5">
            <w:pPr>
              <w:widowControl w:val="0"/>
              <w:tabs>
                <w:tab w:val="left" w:pos="993"/>
              </w:tabs>
              <w:autoSpaceDE w:val="0"/>
              <w:autoSpaceDN w:val="0"/>
              <w:spacing w:before="120" w:line="276" w:lineRule="auto"/>
              <w:ind w:right="51"/>
              <w:jc w:val="center"/>
              <w:rPr>
                <w:rFonts w:ascii="Arial" w:eastAsia="Arial" w:hAnsi="Arial" w:cs="Arial"/>
                <w:b/>
                <w:bCs/>
                <w:sz w:val="22"/>
                <w:szCs w:val="22"/>
              </w:rPr>
            </w:pPr>
            <w:r w:rsidRPr="002D780B">
              <w:rPr>
                <w:rFonts w:ascii="Arial" w:eastAsia="Arial" w:hAnsi="Arial" w:cs="Arial"/>
                <w:b/>
                <w:bCs/>
                <w:sz w:val="22"/>
                <w:szCs w:val="22"/>
              </w:rPr>
              <w:t>Años de información financiera</w:t>
            </w:r>
          </w:p>
        </w:tc>
        <w:tc>
          <w:tcPr>
            <w:tcW w:w="3313" w:type="dxa"/>
            <w:shd w:val="clear" w:color="auto" w:fill="D9D9D9"/>
          </w:tcPr>
          <w:p w14:paraId="1000AE5E" w14:textId="77777777" w:rsidR="00E608DD" w:rsidRPr="002D780B" w:rsidRDefault="00E608DD" w:rsidP="00141EB5">
            <w:pPr>
              <w:widowControl w:val="0"/>
              <w:tabs>
                <w:tab w:val="left" w:pos="993"/>
              </w:tabs>
              <w:autoSpaceDE w:val="0"/>
              <w:autoSpaceDN w:val="0"/>
              <w:spacing w:before="120" w:line="276" w:lineRule="auto"/>
              <w:ind w:right="51"/>
              <w:jc w:val="center"/>
              <w:rPr>
                <w:rFonts w:ascii="Arial" w:eastAsia="Arial" w:hAnsi="Arial" w:cs="Arial"/>
                <w:b/>
                <w:bCs/>
                <w:sz w:val="22"/>
                <w:szCs w:val="22"/>
              </w:rPr>
            </w:pPr>
            <w:r w:rsidRPr="002D780B">
              <w:rPr>
                <w:rFonts w:ascii="Arial" w:eastAsia="Arial" w:hAnsi="Arial" w:cs="Arial"/>
                <w:b/>
                <w:bCs/>
                <w:sz w:val="22"/>
                <w:szCs w:val="22"/>
              </w:rPr>
              <w:t>Capacidad de organización</w:t>
            </w:r>
          </w:p>
        </w:tc>
      </w:tr>
      <w:tr w:rsidR="00E608DD" w:rsidRPr="002D780B" w14:paraId="533EB5B0" w14:textId="77777777" w:rsidTr="00141EB5">
        <w:tc>
          <w:tcPr>
            <w:tcW w:w="4053" w:type="dxa"/>
          </w:tcPr>
          <w:p w14:paraId="515E072A" w14:textId="77777777" w:rsidR="00E608DD" w:rsidRPr="002D780B" w:rsidRDefault="00E608DD" w:rsidP="00141EB5">
            <w:pPr>
              <w:widowControl w:val="0"/>
              <w:tabs>
                <w:tab w:val="left" w:pos="993"/>
              </w:tabs>
              <w:autoSpaceDE w:val="0"/>
              <w:autoSpaceDN w:val="0"/>
              <w:spacing w:before="120" w:line="276" w:lineRule="auto"/>
              <w:ind w:right="51"/>
              <w:jc w:val="both"/>
              <w:rPr>
                <w:rFonts w:ascii="Arial" w:eastAsia="Arial" w:hAnsi="Arial" w:cs="Arial"/>
                <w:sz w:val="22"/>
                <w:szCs w:val="22"/>
              </w:rPr>
            </w:pPr>
            <w:r w:rsidRPr="002D780B">
              <w:rPr>
                <w:rFonts w:ascii="Arial" w:eastAsia="Arial" w:hAnsi="Arial" w:cs="Arial"/>
                <w:sz w:val="22"/>
                <w:szCs w:val="22"/>
              </w:rPr>
              <w:t>Cinco (5) años o más</w:t>
            </w:r>
          </w:p>
        </w:tc>
        <w:tc>
          <w:tcPr>
            <w:tcW w:w="3313" w:type="dxa"/>
          </w:tcPr>
          <w:p w14:paraId="1F45C90D" w14:textId="77777777" w:rsidR="00E608DD" w:rsidRPr="002D780B" w:rsidRDefault="00E608DD" w:rsidP="00141EB5">
            <w:pPr>
              <w:widowControl w:val="0"/>
              <w:tabs>
                <w:tab w:val="left" w:pos="993"/>
              </w:tabs>
              <w:autoSpaceDE w:val="0"/>
              <w:autoSpaceDN w:val="0"/>
              <w:spacing w:before="120" w:line="276" w:lineRule="auto"/>
              <w:ind w:right="51"/>
              <w:jc w:val="both"/>
              <w:rPr>
                <w:rFonts w:ascii="Arial" w:eastAsia="Arial" w:hAnsi="Arial" w:cs="Arial"/>
                <w:sz w:val="22"/>
                <w:szCs w:val="22"/>
              </w:rPr>
            </w:pPr>
            <w:r w:rsidRPr="002D780B">
              <w:rPr>
                <w:rFonts w:ascii="Arial" w:eastAsia="Arial" w:hAnsi="Arial" w:cs="Arial"/>
                <w:sz w:val="22"/>
                <w:szCs w:val="22"/>
              </w:rPr>
              <w:t>Mayor ingreso operacional de los últimos cinco años</w:t>
            </w:r>
          </w:p>
        </w:tc>
      </w:tr>
      <w:tr w:rsidR="00E608DD" w:rsidRPr="002D780B" w14:paraId="38EB47FC" w14:textId="77777777" w:rsidTr="00141EB5">
        <w:tc>
          <w:tcPr>
            <w:tcW w:w="4053" w:type="dxa"/>
          </w:tcPr>
          <w:p w14:paraId="27CD0318" w14:textId="77777777" w:rsidR="00E608DD" w:rsidRPr="002D780B" w:rsidRDefault="00E608DD" w:rsidP="00141EB5">
            <w:pPr>
              <w:widowControl w:val="0"/>
              <w:tabs>
                <w:tab w:val="left" w:pos="993"/>
              </w:tabs>
              <w:autoSpaceDE w:val="0"/>
              <w:autoSpaceDN w:val="0"/>
              <w:spacing w:before="120" w:line="276" w:lineRule="auto"/>
              <w:ind w:right="51"/>
              <w:jc w:val="both"/>
              <w:rPr>
                <w:rFonts w:ascii="Arial" w:eastAsia="Arial" w:hAnsi="Arial" w:cs="Arial"/>
                <w:sz w:val="22"/>
                <w:szCs w:val="22"/>
              </w:rPr>
            </w:pPr>
            <w:r w:rsidRPr="002D780B">
              <w:rPr>
                <w:rFonts w:ascii="Arial" w:eastAsia="Arial" w:hAnsi="Arial" w:cs="Arial"/>
                <w:sz w:val="22"/>
                <w:szCs w:val="22"/>
              </w:rPr>
              <w:t>Entre uno (1) y cinco (5) años</w:t>
            </w:r>
          </w:p>
        </w:tc>
        <w:tc>
          <w:tcPr>
            <w:tcW w:w="3313" w:type="dxa"/>
          </w:tcPr>
          <w:p w14:paraId="7EFC879B" w14:textId="77777777" w:rsidR="00E608DD" w:rsidRPr="002D780B" w:rsidRDefault="00E608DD" w:rsidP="00141EB5">
            <w:pPr>
              <w:widowControl w:val="0"/>
              <w:tabs>
                <w:tab w:val="left" w:pos="993"/>
              </w:tabs>
              <w:autoSpaceDE w:val="0"/>
              <w:autoSpaceDN w:val="0"/>
              <w:spacing w:before="120" w:line="276" w:lineRule="auto"/>
              <w:ind w:right="51"/>
              <w:jc w:val="both"/>
              <w:rPr>
                <w:rFonts w:ascii="Arial" w:eastAsia="Arial" w:hAnsi="Arial" w:cs="Arial"/>
                <w:sz w:val="22"/>
                <w:szCs w:val="22"/>
              </w:rPr>
            </w:pPr>
            <w:r w:rsidRPr="002D780B">
              <w:rPr>
                <w:rFonts w:ascii="Arial" w:eastAsia="Arial" w:hAnsi="Arial" w:cs="Arial"/>
                <w:sz w:val="22"/>
                <w:szCs w:val="22"/>
              </w:rPr>
              <w:t>Mayor ingreso operacional de los años de vida del oferente</w:t>
            </w:r>
          </w:p>
        </w:tc>
      </w:tr>
      <w:tr w:rsidR="00E608DD" w:rsidRPr="002D780B" w14:paraId="1CE345DA" w14:textId="77777777" w:rsidTr="00141EB5">
        <w:tc>
          <w:tcPr>
            <w:tcW w:w="4053" w:type="dxa"/>
          </w:tcPr>
          <w:p w14:paraId="35355FFF" w14:textId="77777777" w:rsidR="00E608DD" w:rsidRPr="002D780B" w:rsidRDefault="00E608DD" w:rsidP="00141EB5">
            <w:pPr>
              <w:widowControl w:val="0"/>
              <w:tabs>
                <w:tab w:val="left" w:pos="993"/>
              </w:tabs>
              <w:autoSpaceDE w:val="0"/>
              <w:autoSpaceDN w:val="0"/>
              <w:spacing w:before="120" w:line="276" w:lineRule="auto"/>
              <w:ind w:right="51"/>
              <w:jc w:val="both"/>
              <w:rPr>
                <w:rFonts w:ascii="Arial" w:eastAsia="Arial" w:hAnsi="Arial" w:cs="Arial"/>
                <w:sz w:val="22"/>
                <w:szCs w:val="22"/>
              </w:rPr>
            </w:pPr>
            <w:r w:rsidRPr="002D780B">
              <w:rPr>
                <w:rFonts w:ascii="Arial" w:eastAsia="Arial" w:hAnsi="Arial" w:cs="Arial"/>
                <w:sz w:val="22"/>
                <w:szCs w:val="22"/>
              </w:rPr>
              <w:t>Menos de un (1) año</w:t>
            </w:r>
          </w:p>
        </w:tc>
        <w:tc>
          <w:tcPr>
            <w:tcW w:w="3313" w:type="dxa"/>
          </w:tcPr>
          <w:p w14:paraId="5BB07E1F" w14:textId="77777777" w:rsidR="00E608DD" w:rsidRPr="002D780B" w:rsidRDefault="00E608DD" w:rsidP="00141EB5">
            <w:pPr>
              <w:widowControl w:val="0"/>
              <w:tabs>
                <w:tab w:val="left" w:pos="993"/>
              </w:tabs>
              <w:autoSpaceDE w:val="0"/>
              <w:autoSpaceDN w:val="0"/>
              <w:spacing w:before="120" w:line="276" w:lineRule="auto"/>
              <w:ind w:right="51"/>
              <w:jc w:val="both"/>
              <w:rPr>
                <w:rFonts w:ascii="Arial" w:eastAsia="Arial" w:hAnsi="Arial" w:cs="Arial"/>
                <w:sz w:val="22"/>
                <w:szCs w:val="22"/>
              </w:rPr>
            </w:pPr>
            <w:r w:rsidRPr="002D780B">
              <w:rPr>
                <w:rFonts w:ascii="Arial" w:eastAsia="Arial" w:hAnsi="Arial" w:cs="Arial"/>
                <w:sz w:val="22"/>
                <w:szCs w:val="22"/>
              </w:rPr>
              <w:t>USD 125.000</w:t>
            </w:r>
          </w:p>
        </w:tc>
      </w:tr>
    </w:tbl>
    <w:p w14:paraId="55FB86D3" w14:textId="77777777" w:rsidR="00E608DD" w:rsidRPr="003D4D1F" w:rsidRDefault="00E608DD" w:rsidP="00E608DD">
      <w:pPr>
        <w:widowControl w:val="0"/>
        <w:numPr>
          <w:ilvl w:val="0"/>
          <w:numId w:val="46"/>
        </w:numPr>
        <w:tabs>
          <w:tab w:val="left" w:pos="993"/>
        </w:tabs>
        <w:autoSpaceDE w:val="0"/>
        <w:autoSpaceDN w:val="0"/>
        <w:spacing w:before="120" w:after="120" w:line="276" w:lineRule="auto"/>
        <w:ind w:left="0" w:firstLine="709"/>
        <w:jc w:val="both"/>
        <w:rPr>
          <w:rFonts w:ascii="Arial" w:eastAsia="Arial" w:hAnsi="Arial" w:cs="Arial"/>
          <w:sz w:val="22"/>
          <w:szCs w:val="22"/>
        </w:rPr>
      </w:pPr>
      <w:r w:rsidRPr="003D4D1F">
        <w:rPr>
          <w:rFonts w:ascii="Arial" w:eastAsia="Arial" w:hAnsi="Arial" w:cs="Arial"/>
          <w:i/>
          <w:iCs/>
          <w:sz w:val="22"/>
          <w:szCs w:val="22"/>
        </w:rPr>
        <w:t>Saldos de los Contratos en ejecución (SCE)</w:t>
      </w:r>
      <w:r w:rsidRPr="003D4D1F">
        <w:rPr>
          <w:rFonts w:ascii="Arial" w:eastAsia="Arial" w:hAnsi="Arial" w:cs="Arial"/>
          <w:sz w:val="22"/>
          <w:szCs w:val="22"/>
        </w:rPr>
        <w:t xml:space="preserve">. Debe hacerse linealmente y calculando una «ejecución diaria equivalente al valor del contrato dividido por el plazo del contrato expresado en días». El resultado obtenido se debe multiplicar por el número de días pendientes para cumplir el plazo del contrato. Si el número de días por </w:t>
      </w:r>
      <w:r w:rsidRPr="003D4D1F">
        <w:rPr>
          <w:rFonts w:ascii="Arial" w:eastAsia="Arial" w:hAnsi="Arial" w:cs="Arial"/>
          <w:sz w:val="22"/>
          <w:szCs w:val="22"/>
        </w:rPr>
        <w:lastRenderedPageBreak/>
        <w:t>ejecutar un contrato es superior a 360 días, solo se tendrá en cuenta la proporción lineal de 12 meses.</w:t>
      </w:r>
    </w:p>
    <w:p w14:paraId="2D702332" w14:textId="77777777" w:rsidR="00E608DD" w:rsidRPr="003D4D1F" w:rsidRDefault="00E608DD" w:rsidP="00E608DD">
      <w:pPr>
        <w:widowControl w:val="0"/>
        <w:numPr>
          <w:ilvl w:val="0"/>
          <w:numId w:val="46"/>
        </w:numPr>
        <w:tabs>
          <w:tab w:val="left" w:pos="993"/>
        </w:tabs>
        <w:autoSpaceDE w:val="0"/>
        <w:autoSpaceDN w:val="0"/>
        <w:spacing w:before="120" w:after="120" w:line="276" w:lineRule="auto"/>
        <w:ind w:left="0" w:firstLine="709"/>
        <w:jc w:val="both"/>
        <w:rPr>
          <w:rFonts w:ascii="Arial" w:eastAsia="Arial" w:hAnsi="Arial" w:cs="Arial"/>
          <w:sz w:val="22"/>
          <w:szCs w:val="22"/>
        </w:rPr>
      </w:pPr>
      <w:r w:rsidRPr="003D4D1F">
        <w:rPr>
          <w:rFonts w:ascii="Arial" w:eastAsia="Arial" w:hAnsi="Arial" w:cs="Arial"/>
          <w:i/>
          <w:iCs/>
          <w:sz w:val="22"/>
          <w:szCs w:val="22"/>
        </w:rPr>
        <w:t>Experiencia</w:t>
      </w:r>
      <w:r w:rsidRPr="003D4D1F">
        <w:rPr>
          <w:rFonts w:ascii="Arial" w:eastAsia="Arial" w:hAnsi="Arial" w:cs="Arial"/>
          <w:sz w:val="22"/>
          <w:szCs w:val="22"/>
        </w:rPr>
        <w:t xml:space="preserve"> </w:t>
      </w:r>
      <w:r w:rsidRPr="003D4D1F">
        <w:rPr>
          <w:rFonts w:ascii="Arial" w:eastAsia="Arial" w:hAnsi="Arial" w:cs="Arial"/>
          <w:i/>
          <w:iCs/>
          <w:sz w:val="22"/>
          <w:szCs w:val="22"/>
        </w:rPr>
        <w:t>(E).</w:t>
      </w:r>
      <w:r w:rsidRPr="003D4D1F">
        <w:rPr>
          <w:rFonts w:ascii="Arial" w:eastAsia="Arial" w:hAnsi="Arial" w:cs="Arial"/>
          <w:sz w:val="22"/>
          <w:szCs w:val="22"/>
        </w:rPr>
        <w:t xml:space="preserve"> Para los efectos de la capacidad residual, corresponde de un lado, a la relación entre «el valor total en pesos de los contratos relacionados con la actividad de la construcción inscritos por el proponente en el Registro Único de Proponentes “RUP” en el segmento 72 […] del Clasificador de Bienes y Servicios», y del otro, al presupuesto oficial estimado del Proceso de Contratación. La relación indica el número de veces que el proponente ha ejecutado contratos equivalentes a la cuantía del proceso de contratación.  </w:t>
      </w:r>
    </w:p>
    <w:p w14:paraId="42030723" w14:textId="77777777" w:rsidR="00E608DD" w:rsidRPr="003D4D1F" w:rsidRDefault="00E608DD" w:rsidP="00E608DD">
      <w:pPr>
        <w:widowControl w:val="0"/>
        <w:autoSpaceDE w:val="0"/>
        <w:autoSpaceDN w:val="0"/>
        <w:spacing w:before="120" w:line="276" w:lineRule="auto"/>
        <w:ind w:firstLine="709"/>
        <w:jc w:val="both"/>
        <w:rPr>
          <w:rFonts w:ascii="Arial" w:eastAsia="Arial" w:hAnsi="Arial" w:cs="Arial"/>
          <w:sz w:val="22"/>
          <w:szCs w:val="22"/>
        </w:rPr>
      </w:pPr>
      <w:r w:rsidRPr="003D4D1F">
        <w:rPr>
          <w:rFonts w:ascii="Arial" w:eastAsia="Arial" w:hAnsi="Arial" w:cs="Arial"/>
          <w:sz w:val="22"/>
          <w:szCs w:val="22"/>
        </w:rPr>
        <w:t>En este contexto, resulta oportuno precisar que, si bien es cierto la entidad estatal es la que debe calcular la capacidad residual de los proponentes, también lo es que estos últimos, como se referenció, tienen la carga de aportar los documentos para acreditar su capacidad residual</w:t>
      </w:r>
      <w:r w:rsidRPr="003D4D1F">
        <w:rPr>
          <w:rFonts w:ascii="Arial" w:eastAsia="Arial" w:hAnsi="Arial" w:cs="Arial"/>
          <w:sz w:val="22"/>
          <w:szCs w:val="22"/>
          <w:vertAlign w:val="superscript"/>
        </w:rPr>
        <w:footnoteReference w:id="4"/>
      </w:r>
      <w:r w:rsidRPr="003D4D1F">
        <w:rPr>
          <w:rFonts w:ascii="Arial" w:eastAsia="Arial" w:hAnsi="Arial" w:cs="Arial"/>
          <w:sz w:val="22"/>
          <w:szCs w:val="22"/>
        </w:rPr>
        <w:t xml:space="preserve">. </w:t>
      </w:r>
    </w:p>
    <w:p w14:paraId="0935989E" w14:textId="77777777" w:rsidR="00E608DD" w:rsidRPr="003D4D1F" w:rsidRDefault="00E608DD" w:rsidP="00E608DD">
      <w:pPr>
        <w:widowControl w:val="0"/>
        <w:autoSpaceDE w:val="0"/>
        <w:autoSpaceDN w:val="0"/>
        <w:spacing w:line="276" w:lineRule="auto"/>
        <w:ind w:right="51" w:firstLine="709"/>
        <w:jc w:val="both"/>
        <w:rPr>
          <w:rFonts w:ascii="Arial" w:eastAsia="Arial" w:hAnsi="Arial" w:cs="Arial"/>
          <w:sz w:val="22"/>
          <w:szCs w:val="22"/>
        </w:rPr>
      </w:pPr>
    </w:p>
    <w:p w14:paraId="682CA323" w14:textId="77777777" w:rsidR="00E608DD" w:rsidRPr="003D4D1F" w:rsidRDefault="00E608DD" w:rsidP="00E608DD">
      <w:pPr>
        <w:spacing w:line="276" w:lineRule="auto"/>
        <w:jc w:val="both"/>
        <w:rPr>
          <w:rFonts w:ascii="Arial" w:hAnsi="Arial" w:cs="Arial"/>
          <w:b/>
          <w:bCs/>
          <w:sz w:val="22"/>
          <w:szCs w:val="22"/>
        </w:rPr>
      </w:pPr>
      <w:r w:rsidRPr="003D4D1F">
        <w:rPr>
          <w:rFonts w:ascii="Arial" w:hAnsi="Arial" w:cs="Arial"/>
          <w:b/>
          <w:bCs/>
          <w:sz w:val="22"/>
          <w:szCs w:val="22"/>
        </w:rPr>
        <w:t>2.2. Contratos a tener en cuenta para el cálculo del factor Saldos de Contratos en Ejecución (SCE) de la fórmula para determinar la Capacidad Residual del Proponente (CRP)</w:t>
      </w:r>
      <w:r>
        <w:rPr>
          <w:rFonts w:ascii="Arial" w:hAnsi="Arial" w:cs="Arial"/>
          <w:b/>
          <w:bCs/>
          <w:sz w:val="22"/>
          <w:szCs w:val="22"/>
        </w:rPr>
        <w:t>. Documentos tipo de licitación de obra pública de infraestructura de transporte –versión 3.</w:t>
      </w:r>
    </w:p>
    <w:p w14:paraId="137B6955" w14:textId="77777777" w:rsidR="00E608DD" w:rsidRPr="003D4D1F" w:rsidRDefault="00E608DD" w:rsidP="00E608DD">
      <w:pPr>
        <w:jc w:val="both"/>
        <w:rPr>
          <w:rFonts w:ascii="Arial" w:hAnsi="Arial" w:cs="Arial"/>
          <w:b/>
          <w:bCs/>
          <w:sz w:val="22"/>
          <w:szCs w:val="22"/>
        </w:rPr>
      </w:pPr>
    </w:p>
    <w:p w14:paraId="00849FC6" w14:textId="77777777" w:rsidR="00E608DD" w:rsidRPr="003D4D1F" w:rsidRDefault="00E608DD" w:rsidP="00E608DD">
      <w:pPr>
        <w:spacing w:after="120" w:line="276" w:lineRule="auto"/>
        <w:jc w:val="both"/>
        <w:rPr>
          <w:rFonts w:ascii="Arial" w:hAnsi="Arial" w:cs="Arial"/>
          <w:sz w:val="22"/>
          <w:szCs w:val="22"/>
        </w:rPr>
      </w:pPr>
      <w:bookmarkStart w:id="6" w:name="_Hlk114820468"/>
      <w:r w:rsidRPr="003D4D1F">
        <w:rPr>
          <w:rFonts w:ascii="Arial" w:hAnsi="Arial" w:cs="Arial"/>
          <w:sz w:val="22"/>
          <w:szCs w:val="22"/>
        </w:rPr>
        <w:t xml:space="preserve">A efectos del cálculo de la Capacidad Residual del Proponente (CRP), conforme a la metodología descrita </w:t>
      </w:r>
      <w:r w:rsidRPr="003D4D1F">
        <w:rPr>
          <w:rFonts w:ascii="Arial" w:hAnsi="Arial" w:cs="Arial"/>
          <w:i/>
          <w:iCs/>
          <w:sz w:val="22"/>
          <w:szCs w:val="22"/>
        </w:rPr>
        <w:t>supra</w:t>
      </w:r>
      <w:r w:rsidRPr="003D4D1F">
        <w:rPr>
          <w:rFonts w:ascii="Arial" w:hAnsi="Arial" w:cs="Arial"/>
          <w:sz w:val="22"/>
          <w:szCs w:val="22"/>
        </w:rPr>
        <w:t xml:space="preserve">, es necesario tener en cuenta la lista de los contratos en ejecución en cabeza del proponente, que son aquellos que, a la fecha de presentación de la oferta, obligan al proponente con entidades estatales y con entidades privadas </w:t>
      </w:r>
      <w:r w:rsidRPr="003D4D1F">
        <w:rPr>
          <w:rFonts w:ascii="Arial" w:hAnsi="Arial" w:cs="Arial"/>
          <w:sz w:val="22"/>
          <w:szCs w:val="22"/>
        </w:rPr>
        <w:lastRenderedPageBreak/>
        <w:t xml:space="preserve">para ejecutar obras públicas. Es decir, los saldos pendientes se derivan de las obligaciones que se encuentran vigentes al momento de la presentación de la oferta. </w:t>
      </w:r>
    </w:p>
    <w:bookmarkEnd w:id="6"/>
    <w:p w14:paraId="7AF223C0" w14:textId="77777777" w:rsidR="00E608DD" w:rsidRPr="003D4D1F" w:rsidRDefault="00E608DD" w:rsidP="00E608DD">
      <w:pPr>
        <w:spacing w:line="276" w:lineRule="auto"/>
        <w:jc w:val="both"/>
        <w:rPr>
          <w:rFonts w:ascii="Arial" w:hAnsi="Arial" w:cs="Arial"/>
          <w:sz w:val="22"/>
          <w:szCs w:val="22"/>
        </w:rPr>
      </w:pPr>
      <w:r w:rsidRPr="003D4D1F">
        <w:rPr>
          <w:rFonts w:ascii="Arial" w:hAnsi="Arial" w:cs="Arial"/>
          <w:sz w:val="22"/>
          <w:szCs w:val="22"/>
        </w:rPr>
        <w:tab/>
        <w:t xml:space="preserve">Para acreditar tales valores, correspondientes al factor Saldos de Contratos en Ejecución (SCE), la </w:t>
      </w:r>
      <w:r w:rsidRPr="006337DF">
        <w:rPr>
          <w:rFonts w:ascii="Arial" w:hAnsi="Arial" w:cs="Arial"/>
          <w:sz w:val="21"/>
          <w:szCs w:val="21"/>
        </w:rPr>
        <w:t>«</w:t>
      </w:r>
      <w:r w:rsidRPr="003D4D1F">
        <w:rPr>
          <w:rFonts w:ascii="Arial" w:hAnsi="Arial" w:cs="Arial"/>
          <w:i/>
          <w:iCs/>
          <w:sz w:val="22"/>
          <w:szCs w:val="22"/>
        </w:rPr>
        <w:t>Guía para Determinar y Verificar la Capacidad Residual del Proponente en los Procesos de Contratación de Obra Pública</w:t>
      </w:r>
      <w:r w:rsidRPr="006337DF">
        <w:rPr>
          <w:rFonts w:ascii="Arial" w:hAnsi="Arial" w:cs="Arial"/>
          <w:sz w:val="21"/>
          <w:szCs w:val="21"/>
        </w:rPr>
        <w:t>»</w:t>
      </w:r>
      <w:r w:rsidRPr="003D4D1F">
        <w:rPr>
          <w:rFonts w:ascii="Arial" w:hAnsi="Arial" w:cs="Arial"/>
          <w:i/>
          <w:iCs/>
          <w:sz w:val="22"/>
          <w:szCs w:val="22"/>
        </w:rPr>
        <w:t xml:space="preserve"> </w:t>
      </w:r>
      <w:r w:rsidRPr="003D4D1F">
        <w:rPr>
          <w:rFonts w:ascii="Arial" w:hAnsi="Arial" w:cs="Arial"/>
          <w:sz w:val="22"/>
          <w:szCs w:val="22"/>
        </w:rPr>
        <w:t xml:space="preserve">establece lo siguiente: </w:t>
      </w:r>
    </w:p>
    <w:p w14:paraId="36527F21" w14:textId="77777777" w:rsidR="00E608DD" w:rsidRPr="003D4D1F" w:rsidRDefault="00E608DD" w:rsidP="00E608DD">
      <w:pPr>
        <w:spacing w:line="276" w:lineRule="auto"/>
        <w:jc w:val="both"/>
        <w:rPr>
          <w:rFonts w:ascii="Arial" w:hAnsi="Arial" w:cs="Arial"/>
          <w:sz w:val="22"/>
          <w:szCs w:val="22"/>
        </w:rPr>
      </w:pPr>
    </w:p>
    <w:p w14:paraId="15E3D61B" w14:textId="77777777" w:rsidR="00E608DD" w:rsidRPr="003D4D1F" w:rsidRDefault="00E608DD" w:rsidP="00E608DD">
      <w:pPr>
        <w:spacing w:line="276" w:lineRule="auto"/>
        <w:ind w:left="709" w:right="709"/>
        <w:jc w:val="both"/>
        <w:rPr>
          <w:rFonts w:ascii="Arial" w:hAnsi="Arial" w:cs="Arial"/>
          <w:sz w:val="21"/>
          <w:szCs w:val="21"/>
        </w:rPr>
      </w:pPr>
      <w:r w:rsidRPr="006337DF">
        <w:rPr>
          <w:rFonts w:ascii="Arial" w:hAnsi="Arial" w:cs="Arial"/>
          <w:sz w:val="21"/>
          <w:szCs w:val="21"/>
        </w:rPr>
        <w:t>«</w:t>
      </w:r>
      <w:r w:rsidRPr="003D4D1F">
        <w:rPr>
          <w:rFonts w:ascii="Arial" w:hAnsi="Arial" w:cs="Arial"/>
          <w:sz w:val="21"/>
          <w:szCs w:val="21"/>
        </w:rPr>
        <w:t>El proponente debe presentar un certificado suscrito por su representante legal y su revisor fiscal, si el proponente está obligado a tenerlo, o por el contador o su auditor independiente, el cual contenga la lista de los Contratos en Ejecución, tanto a nivel nacional como internacional, indicando: (i) el valor del contrato; (</w:t>
      </w:r>
      <w:proofErr w:type="spellStart"/>
      <w:r w:rsidRPr="003D4D1F">
        <w:rPr>
          <w:rFonts w:ascii="Arial" w:hAnsi="Arial" w:cs="Arial"/>
          <w:sz w:val="21"/>
          <w:szCs w:val="21"/>
        </w:rPr>
        <w:t>ii</w:t>
      </w:r>
      <w:proofErr w:type="spellEnd"/>
      <w:r w:rsidRPr="003D4D1F">
        <w:rPr>
          <w:rFonts w:ascii="Arial" w:hAnsi="Arial" w:cs="Arial"/>
          <w:sz w:val="21"/>
          <w:szCs w:val="21"/>
        </w:rPr>
        <w:t>) el plazo del contrato en meses; (</w:t>
      </w:r>
      <w:proofErr w:type="spellStart"/>
      <w:r w:rsidRPr="003D4D1F">
        <w:rPr>
          <w:rFonts w:ascii="Arial" w:hAnsi="Arial" w:cs="Arial"/>
          <w:sz w:val="21"/>
          <w:szCs w:val="21"/>
        </w:rPr>
        <w:t>iii</w:t>
      </w:r>
      <w:proofErr w:type="spellEnd"/>
      <w:r w:rsidRPr="003D4D1F">
        <w:rPr>
          <w:rFonts w:ascii="Arial" w:hAnsi="Arial" w:cs="Arial"/>
          <w:sz w:val="21"/>
          <w:szCs w:val="21"/>
        </w:rPr>
        <w:t>) la fecha de inicio de las obras objeto del contrato, día, mes, año; (</w:t>
      </w:r>
      <w:proofErr w:type="spellStart"/>
      <w:r w:rsidRPr="003D4D1F">
        <w:rPr>
          <w:rFonts w:ascii="Arial" w:hAnsi="Arial" w:cs="Arial"/>
          <w:sz w:val="21"/>
          <w:szCs w:val="21"/>
        </w:rPr>
        <w:t>iv</w:t>
      </w:r>
      <w:proofErr w:type="spellEnd"/>
      <w:r w:rsidRPr="003D4D1F">
        <w:rPr>
          <w:rFonts w:ascii="Arial" w:hAnsi="Arial" w:cs="Arial"/>
          <w:sz w:val="21"/>
          <w:szCs w:val="21"/>
        </w:rPr>
        <w:t>)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w:t>
      </w:r>
      <w:bookmarkStart w:id="7" w:name="_Hlk114820735"/>
      <w:r w:rsidRPr="006337DF">
        <w:rPr>
          <w:rFonts w:ascii="Arial" w:hAnsi="Arial" w:cs="Arial"/>
          <w:sz w:val="21"/>
          <w:szCs w:val="21"/>
        </w:rPr>
        <w:t>»</w:t>
      </w:r>
      <w:bookmarkEnd w:id="7"/>
    </w:p>
    <w:p w14:paraId="6099775D" w14:textId="77777777" w:rsidR="00E608DD" w:rsidRPr="003D4D1F" w:rsidRDefault="00E608DD" w:rsidP="00E608DD">
      <w:pPr>
        <w:spacing w:line="276" w:lineRule="auto"/>
        <w:ind w:left="709" w:right="709"/>
        <w:jc w:val="both"/>
        <w:rPr>
          <w:rFonts w:ascii="Arial" w:hAnsi="Arial" w:cs="Arial"/>
          <w:sz w:val="21"/>
          <w:szCs w:val="21"/>
        </w:rPr>
      </w:pPr>
    </w:p>
    <w:p w14:paraId="7A851568" w14:textId="77777777" w:rsidR="00E608DD" w:rsidRPr="002F69A0" w:rsidRDefault="00E608DD" w:rsidP="00E608DD">
      <w:pPr>
        <w:spacing w:line="276" w:lineRule="auto"/>
        <w:ind w:firstLine="708"/>
        <w:jc w:val="both"/>
        <w:rPr>
          <w:rFonts w:ascii="Arial" w:hAnsi="Arial" w:cs="Arial"/>
          <w:i/>
          <w:iCs/>
          <w:sz w:val="22"/>
          <w:szCs w:val="22"/>
        </w:rPr>
      </w:pPr>
      <w:r w:rsidRPr="002F69A0">
        <w:rPr>
          <w:rFonts w:ascii="Arial" w:hAnsi="Arial" w:cs="Arial"/>
          <w:sz w:val="22"/>
          <w:szCs w:val="22"/>
        </w:rPr>
        <w:t xml:space="preserve">Teniendo en cuenta que los contratos en ejecución son aquellos que a la fecha de presentación de la oferta obligan al proponente, se aclara que deben tenerse en cuenta los contratos que </w:t>
      </w:r>
      <w:proofErr w:type="spellStart"/>
      <w:r w:rsidRPr="002F69A0">
        <w:rPr>
          <w:rFonts w:ascii="Arial" w:hAnsi="Arial" w:cs="Arial"/>
          <w:sz w:val="22"/>
          <w:szCs w:val="22"/>
        </w:rPr>
        <w:t>aun</w:t>
      </w:r>
      <w:proofErr w:type="spellEnd"/>
      <w:r w:rsidRPr="002F69A0">
        <w:rPr>
          <w:rFonts w:ascii="Arial" w:hAnsi="Arial" w:cs="Arial"/>
          <w:sz w:val="22"/>
          <w:szCs w:val="22"/>
        </w:rPr>
        <w:t xml:space="preserve"> no tengan acta de inicio, esto en la medida que el criterio determinante para establecer si un contrato se encuentra en ejecución no lo determina el acta de inicio, sino que el mismo obligue al proponente.</w:t>
      </w:r>
      <w:r w:rsidRPr="00EE2854">
        <w:rPr>
          <w:rFonts w:ascii="Arial" w:hAnsi="Arial" w:cs="Arial"/>
          <w:sz w:val="22"/>
          <w:szCs w:val="22"/>
        </w:rPr>
        <w:t xml:space="preserve"> </w:t>
      </w:r>
      <w:r w:rsidRPr="002F69A0">
        <w:rPr>
          <w:rFonts w:ascii="Arial" w:hAnsi="Arial" w:cs="Arial"/>
          <w:sz w:val="22"/>
          <w:szCs w:val="22"/>
        </w:rPr>
        <w:t xml:space="preserve">En este sentido, la </w:t>
      </w:r>
      <w:r w:rsidRPr="00EE2854">
        <w:rPr>
          <w:rFonts w:ascii="Arial" w:hAnsi="Arial" w:cs="Arial"/>
          <w:sz w:val="22"/>
          <w:szCs w:val="22"/>
        </w:rPr>
        <w:t>«</w:t>
      </w:r>
      <w:r w:rsidRPr="002F69A0">
        <w:rPr>
          <w:rFonts w:ascii="Arial" w:hAnsi="Arial" w:cs="Arial"/>
          <w:i/>
          <w:iCs/>
          <w:sz w:val="22"/>
          <w:szCs w:val="22"/>
        </w:rPr>
        <w:t>Guía para Determinar y Verificar la Capacidad Residual del Proponente en los Procesos de Contratación de Obra Pública</w:t>
      </w:r>
      <w:r w:rsidRPr="00EE2854">
        <w:rPr>
          <w:rFonts w:ascii="Arial" w:hAnsi="Arial" w:cs="Arial"/>
          <w:sz w:val="22"/>
          <w:szCs w:val="22"/>
        </w:rPr>
        <w:t>»</w:t>
      </w:r>
      <w:r w:rsidRPr="002F69A0">
        <w:rPr>
          <w:rFonts w:ascii="Arial" w:hAnsi="Arial" w:cs="Arial"/>
          <w:i/>
          <w:iCs/>
          <w:sz w:val="22"/>
          <w:szCs w:val="22"/>
        </w:rPr>
        <w:t xml:space="preserve"> </w:t>
      </w:r>
      <w:r w:rsidRPr="002F69A0">
        <w:rPr>
          <w:rFonts w:ascii="Arial" w:hAnsi="Arial" w:cs="Arial"/>
          <w:sz w:val="22"/>
          <w:szCs w:val="22"/>
        </w:rPr>
        <w:t xml:space="preserve">define los </w:t>
      </w:r>
      <w:r w:rsidRPr="002F69A0">
        <w:rPr>
          <w:rFonts w:ascii="Arial" w:hAnsi="Arial" w:cs="Arial"/>
          <w:i/>
          <w:iCs/>
          <w:sz w:val="22"/>
          <w:szCs w:val="22"/>
        </w:rPr>
        <w:t xml:space="preserve">Contratos en ejecución, </w:t>
      </w:r>
      <w:r w:rsidRPr="002F69A0">
        <w:rPr>
          <w:rFonts w:ascii="Arial" w:hAnsi="Arial" w:cs="Arial"/>
          <w:sz w:val="22"/>
          <w:szCs w:val="22"/>
        </w:rPr>
        <w:t xml:space="preserve">para efectos de calcular la capacidad residual, de la siguiente manera: </w:t>
      </w:r>
      <w:r w:rsidRPr="002F69A0">
        <w:rPr>
          <w:rFonts w:ascii="Arial" w:hAnsi="Arial" w:cs="Arial"/>
          <w:i/>
          <w:iCs/>
          <w:sz w:val="22"/>
          <w:szCs w:val="22"/>
        </w:rPr>
        <w:t xml:space="preserve"> </w:t>
      </w:r>
    </w:p>
    <w:p w14:paraId="5E9322D4" w14:textId="77777777" w:rsidR="00E608DD" w:rsidRPr="003D4D1F" w:rsidRDefault="00E608DD" w:rsidP="00E608DD">
      <w:pPr>
        <w:ind w:left="709" w:right="709"/>
        <w:jc w:val="both"/>
        <w:rPr>
          <w:rFonts w:ascii="Arial" w:hAnsi="Arial" w:cs="Arial"/>
          <w:sz w:val="22"/>
          <w:szCs w:val="22"/>
        </w:rPr>
      </w:pPr>
    </w:p>
    <w:p w14:paraId="4DABF628" w14:textId="77777777" w:rsidR="00E608DD" w:rsidRDefault="00E608DD" w:rsidP="00E608DD">
      <w:pPr>
        <w:ind w:left="709" w:right="709"/>
        <w:jc w:val="both"/>
        <w:rPr>
          <w:rFonts w:ascii="Arial" w:hAnsi="Arial" w:cs="Arial"/>
          <w:sz w:val="22"/>
          <w:szCs w:val="22"/>
        </w:rPr>
      </w:pPr>
      <w:r w:rsidRPr="006337DF">
        <w:rPr>
          <w:rFonts w:ascii="Arial" w:hAnsi="Arial" w:cs="Arial"/>
          <w:sz w:val="21"/>
          <w:szCs w:val="21"/>
        </w:rPr>
        <w:t>«</w:t>
      </w:r>
      <w:r w:rsidRPr="003D4D1F">
        <w:rPr>
          <w:rFonts w:ascii="Arial" w:hAnsi="Arial" w:cs="Arial"/>
          <w:sz w:val="21"/>
          <w:szCs w:val="21"/>
        </w:rPr>
        <w:t xml:space="preserve">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w:t>
      </w:r>
      <w:r w:rsidRPr="003D4D1F">
        <w:rPr>
          <w:rFonts w:ascii="Arial" w:hAnsi="Arial" w:cs="Arial"/>
          <w:sz w:val="21"/>
          <w:szCs w:val="21"/>
          <w:u w:val="single"/>
        </w:rPr>
        <w:t xml:space="preserve">incluyendo los contratos suspendidos y aquellos que no tengan acta de inicio. </w:t>
      </w:r>
      <w:r w:rsidRPr="003D4D1F">
        <w:rPr>
          <w:rFonts w:ascii="Arial" w:hAnsi="Arial" w:cs="Arial"/>
          <w:sz w:val="21"/>
          <w:szCs w:val="21"/>
        </w:rPr>
        <w:t>No se entenderán como contratos en ejecución los que se encuentren en liquidación. (Subrayas fuera del texto)</w:t>
      </w:r>
      <w:r>
        <w:rPr>
          <w:rFonts w:ascii="Arial" w:hAnsi="Arial" w:cs="Arial"/>
          <w:sz w:val="21"/>
          <w:szCs w:val="21"/>
        </w:rPr>
        <w:t>.</w:t>
      </w:r>
      <w:r w:rsidRPr="006337DF">
        <w:rPr>
          <w:rFonts w:ascii="Arial" w:hAnsi="Arial" w:cs="Arial"/>
          <w:sz w:val="21"/>
          <w:szCs w:val="21"/>
        </w:rPr>
        <w:t>»</w:t>
      </w:r>
      <w:r w:rsidRPr="003D4D1F">
        <w:rPr>
          <w:rFonts w:ascii="Arial" w:hAnsi="Arial" w:cs="Arial"/>
          <w:sz w:val="22"/>
          <w:szCs w:val="22"/>
          <w:vertAlign w:val="superscript"/>
        </w:rPr>
        <w:footnoteReference w:id="5"/>
      </w:r>
    </w:p>
    <w:p w14:paraId="590F3FE3" w14:textId="77777777" w:rsidR="00E608DD" w:rsidRPr="003D4D1F" w:rsidRDefault="00E608DD" w:rsidP="00E608DD">
      <w:pPr>
        <w:ind w:left="709" w:right="709"/>
        <w:jc w:val="both"/>
        <w:rPr>
          <w:rFonts w:ascii="Arial" w:hAnsi="Arial" w:cs="Arial"/>
          <w:sz w:val="22"/>
          <w:szCs w:val="22"/>
        </w:rPr>
      </w:pPr>
    </w:p>
    <w:p w14:paraId="3912BBC3" w14:textId="77777777" w:rsidR="00E608DD" w:rsidRDefault="00E608DD" w:rsidP="00E608DD">
      <w:pPr>
        <w:spacing w:before="120" w:after="120" w:line="276" w:lineRule="auto"/>
        <w:ind w:firstLine="567"/>
        <w:jc w:val="both"/>
        <w:rPr>
          <w:rFonts w:ascii="Arial" w:hAnsi="Arial" w:cs="Arial"/>
          <w:bCs/>
          <w:sz w:val="22"/>
          <w:szCs w:val="22"/>
          <w:lang w:val="es-ES" w:eastAsia="es-CO"/>
        </w:rPr>
      </w:pPr>
      <w:r>
        <w:rPr>
          <w:rFonts w:ascii="Arial" w:hAnsi="Arial" w:cs="Arial"/>
          <w:bCs/>
          <w:sz w:val="22"/>
          <w:szCs w:val="22"/>
          <w:lang w:val="es-ES" w:eastAsia="es-CO"/>
        </w:rPr>
        <w:lastRenderedPageBreak/>
        <w:t>Conforme a lo anterior, los «Contratos en ejecución» que deben ser tenidos en cuenta para el cálculo del factor (SCE) son aquellos que, al momento de presentarse la oferta, obligan al proponente a ejecutar obras civiles. En ese sentido, lo determinante para establecer si un contrato está en ejecución es que del contrato se derive un compromiso vinculante de ejecutar obras civiles, por lo que se requiere que el contrato se encuentre en ejecución en estricto sentido, razón por la que la propia definición establece que cobija a aquellos contratos suspendidos y a los que no cuenten con un acta de inicio.</w:t>
      </w:r>
    </w:p>
    <w:p w14:paraId="1EB9E895" w14:textId="77777777" w:rsidR="00E608DD" w:rsidRDefault="00E608DD" w:rsidP="00E608DD">
      <w:pPr>
        <w:spacing w:before="120" w:after="120" w:line="276" w:lineRule="auto"/>
        <w:ind w:firstLine="567"/>
        <w:jc w:val="both"/>
        <w:rPr>
          <w:rFonts w:ascii="Arial" w:hAnsi="Arial" w:cs="Arial"/>
          <w:sz w:val="22"/>
          <w:szCs w:val="22"/>
        </w:rPr>
      </w:pPr>
      <w:r>
        <w:rPr>
          <w:rFonts w:ascii="Arial" w:hAnsi="Arial" w:cs="Arial"/>
          <w:bCs/>
          <w:sz w:val="22"/>
          <w:szCs w:val="22"/>
          <w:lang w:val="es-ES" w:eastAsia="es-CO"/>
        </w:rPr>
        <w:t>La tesis según la cual la definición de contratos en ejecución, para efetos del cálculo de la capacidad residual, incluye a aquellos contratos que no cuentan con acta de inicio ha sido incluida en instrumentos expedidos por esta Agencia como es el caso de los documentos. En ese contexto, e</w:t>
      </w:r>
      <w:r w:rsidRPr="00BB1324">
        <w:rPr>
          <w:rFonts w:ascii="Arial" w:hAnsi="Arial" w:cs="Arial"/>
          <w:bCs/>
          <w:sz w:val="22"/>
          <w:szCs w:val="22"/>
          <w:lang w:val="es-ES" w:eastAsia="es-CO"/>
        </w:rPr>
        <w:t>n los documentos tipo de licitación de obra pública de infraestructura de transporte –versión 3– los aspectos relativos a Cálculo de la Capacidad Residual</w:t>
      </w:r>
      <w:r>
        <w:rPr>
          <w:rFonts w:ascii="Arial" w:hAnsi="Arial" w:cs="Arial"/>
          <w:bCs/>
          <w:sz w:val="22"/>
          <w:szCs w:val="22"/>
          <w:lang w:val="es-ES" w:eastAsia="es-CO"/>
        </w:rPr>
        <w:t xml:space="preserve"> se encuentran </w:t>
      </w:r>
      <w:r w:rsidRPr="00BB1324">
        <w:rPr>
          <w:rFonts w:ascii="Arial" w:hAnsi="Arial" w:cs="Arial"/>
          <w:bCs/>
          <w:sz w:val="22"/>
          <w:szCs w:val="22"/>
          <w:lang w:val="es-ES" w:eastAsia="es-CO"/>
        </w:rPr>
        <w:t xml:space="preserve">regulados de manera en el numeral 3.10.2 del Documento Base o Pliego Tipo, cuyo literal E se refiere al factor saldo de contratos en ejecución (SCE). El numeral II de dicho literal reproduce la definición citada </w:t>
      </w:r>
      <w:r w:rsidRPr="0029516E">
        <w:rPr>
          <w:rFonts w:ascii="Arial" w:hAnsi="Arial" w:cs="Arial"/>
          <w:bCs/>
          <w:i/>
          <w:iCs/>
          <w:sz w:val="22"/>
          <w:szCs w:val="22"/>
          <w:lang w:val="es-ES" w:eastAsia="es-CO"/>
        </w:rPr>
        <w:t>supra</w:t>
      </w:r>
      <w:r w:rsidRPr="00BB1324">
        <w:rPr>
          <w:rFonts w:ascii="Arial" w:hAnsi="Arial" w:cs="Arial"/>
          <w:bCs/>
          <w:sz w:val="22"/>
          <w:szCs w:val="22"/>
          <w:lang w:val="es-ES" w:eastAsia="es-CO"/>
        </w:rPr>
        <w:t xml:space="preserve"> según la cual </w:t>
      </w:r>
      <w:r>
        <w:rPr>
          <w:rFonts w:ascii="Arial" w:hAnsi="Arial" w:cs="Arial"/>
          <w:bCs/>
          <w:sz w:val="22"/>
          <w:szCs w:val="22"/>
          <w:lang w:val="es-ES" w:eastAsia="es-CO"/>
        </w:rPr>
        <w:t>«</w:t>
      </w:r>
      <w:r w:rsidRPr="0029516E">
        <w:rPr>
          <w:rFonts w:ascii="Arial" w:hAnsi="Arial" w:cs="Arial"/>
          <w:sz w:val="22"/>
          <w:szCs w:val="22"/>
        </w:rPr>
        <w:t>Los contratos de obras civiles en ejecución son aquellos que a la fecha de presentación de la oferta obligan al proponente con entidades estatales y con entidades privadas para ejecutar obras civiles».</w:t>
      </w:r>
      <w:r w:rsidRPr="00BB1324">
        <w:rPr>
          <w:rFonts w:ascii="Arial" w:hAnsi="Arial" w:cs="Arial"/>
          <w:sz w:val="22"/>
          <w:szCs w:val="22"/>
        </w:rPr>
        <w:t xml:space="preserve"> Asimismo, el </w:t>
      </w:r>
      <w:r>
        <w:rPr>
          <w:rFonts w:ascii="Arial" w:hAnsi="Arial" w:cs="Arial"/>
          <w:sz w:val="22"/>
          <w:szCs w:val="22"/>
        </w:rPr>
        <w:t xml:space="preserve">citado </w:t>
      </w:r>
      <w:r w:rsidRPr="00BB1324">
        <w:rPr>
          <w:rFonts w:ascii="Arial" w:hAnsi="Arial" w:cs="Arial"/>
          <w:sz w:val="22"/>
          <w:szCs w:val="22"/>
        </w:rPr>
        <w:t xml:space="preserve">numeral </w:t>
      </w:r>
      <w:r>
        <w:rPr>
          <w:rFonts w:ascii="Arial" w:hAnsi="Arial" w:cs="Arial"/>
          <w:sz w:val="22"/>
          <w:szCs w:val="22"/>
        </w:rPr>
        <w:t xml:space="preserve">indica </w:t>
      </w:r>
      <w:r w:rsidRPr="00BB1324">
        <w:rPr>
          <w:rFonts w:ascii="Arial" w:hAnsi="Arial" w:cs="Arial"/>
          <w:sz w:val="22"/>
          <w:szCs w:val="22"/>
        </w:rPr>
        <w:t>que</w:t>
      </w:r>
      <w:r>
        <w:rPr>
          <w:rFonts w:ascii="Arial" w:hAnsi="Arial" w:cs="Arial"/>
          <w:sz w:val="22"/>
          <w:szCs w:val="22"/>
        </w:rPr>
        <w:t>,</w:t>
      </w:r>
      <w:r w:rsidRPr="00BB1324">
        <w:rPr>
          <w:rFonts w:ascii="Arial" w:hAnsi="Arial" w:cs="Arial"/>
          <w:sz w:val="22"/>
          <w:szCs w:val="22"/>
        </w:rPr>
        <w:t xml:space="preserve"> dentro de estas</w:t>
      </w:r>
      <w:r w:rsidRPr="0029516E">
        <w:rPr>
          <w:rFonts w:ascii="Arial" w:hAnsi="Arial" w:cs="Arial"/>
          <w:sz w:val="22"/>
          <w:szCs w:val="22"/>
        </w:rPr>
        <w:t xml:space="preserve"> obras civiles</w:t>
      </w:r>
      <w:r w:rsidRPr="00BB1324">
        <w:rPr>
          <w:rFonts w:ascii="Arial" w:hAnsi="Arial" w:cs="Arial"/>
          <w:sz w:val="22"/>
          <w:szCs w:val="22"/>
        </w:rPr>
        <w:t xml:space="preserve"> se encuentran «</w:t>
      </w:r>
      <w:r w:rsidRPr="0029516E">
        <w:rPr>
          <w:rFonts w:ascii="Arial" w:hAnsi="Arial" w:cs="Arial"/>
          <w:sz w:val="22"/>
          <w:szCs w:val="22"/>
        </w:rPr>
        <w:t xml:space="preserve">[…]los contratos de concesión y los contratos de obra suscritos con concesionarios, así como, los contratos suspendidos y </w:t>
      </w:r>
      <w:r w:rsidRPr="00EE2854">
        <w:rPr>
          <w:rFonts w:ascii="Arial" w:hAnsi="Arial" w:cs="Arial"/>
          <w:i/>
          <w:iCs/>
          <w:sz w:val="22"/>
          <w:szCs w:val="22"/>
        </w:rPr>
        <w:t>aquellos que no tengan acta de inicio</w:t>
      </w:r>
      <w:r w:rsidRPr="0029516E">
        <w:rPr>
          <w:rFonts w:ascii="Arial" w:hAnsi="Arial" w:cs="Arial"/>
          <w:sz w:val="22"/>
          <w:szCs w:val="22"/>
        </w:rPr>
        <w:t>. No se entenderán como contratos en ejecución los que se encuentren en liquidación».</w:t>
      </w:r>
    </w:p>
    <w:p w14:paraId="5D1C4D35" w14:textId="77777777" w:rsidR="00E608DD" w:rsidRDefault="00E608DD" w:rsidP="00E608DD">
      <w:pPr>
        <w:spacing w:before="120" w:after="120" w:line="276" w:lineRule="auto"/>
        <w:ind w:firstLine="567"/>
        <w:contextualSpacing/>
        <w:jc w:val="both"/>
        <w:rPr>
          <w:rFonts w:ascii="Arial" w:eastAsia="Calibri" w:hAnsi="Arial" w:cs="Arial"/>
          <w:sz w:val="21"/>
          <w:szCs w:val="21"/>
        </w:rPr>
      </w:pPr>
      <w:r>
        <w:rPr>
          <w:rFonts w:ascii="Arial" w:hAnsi="Arial" w:cs="Arial"/>
          <w:bCs/>
          <w:sz w:val="22"/>
          <w:szCs w:val="22"/>
          <w:lang w:val="es-ES" w:eastAsia="es-CO"/>
        </w:rPr>
        <w:t xml:space="preserve">De acuerdo con lo anterior, en relación con el objeto de la consulta, se concluye que, son contratos en ejecución, para efectos de calcular la capacidad residual del proponente, aquellos contratos que </w:t>
      </w:r>
      <w:r w:rsidRPr="00F71A07">
        <w:rPr>
          <w:rFonts w:ascii="Arial" w:hAnsi="Arial" w:cs="Arial"/>
          <w:sz w:val="22"/>
          <w:szCs w:val="22"/>
        </w:rPr>
        <w:t xml:space="preserve">a la fecha de presentación de la oferta obligan al proponente con Entidades Estatales y con entidades privadas para ejecutar obras civiles, incluyendo </w:t>
      </w:r>
      <w:r>
        <w:rPr>
          <w:rFonts w:ascii="Arial" w:hAnsi="Arial" w:cs="Arial"/>
          <w:sz w:val="22"/>
          <w:szCs w:val="22"/>
        </w:rPr>
        <w:t xml:space="preserve">los </w:t>
      </w:r>
      <w:r w:rsidRPr="000B71F5">
        <w:rPr>
          <w:rFonts w:ascii="Arial" w:hAnsi="Arial" w:cs="Arial"/>
          <w:sz w:val="22"/>
          <w:szCs w:val="22"/>
        </w:rPr>
        <w:t>que no tengan acta de inicio</w:t>
      </w:r>
      <w:r>
        <w:rPr>
          <w:rFonts w:ascii="Arial" w:hAnsi="Arial" w:cs="Arial"/>
          <w:sz w:val="22"/>
          <w:szCs w:val="22"/>
        </w:rPr>
        <w:t xml:space="preserve">. Ahora bien, resulta pertinente </w:t>
      </w:r>
      <w:r>
        <w:rPr>
          <w:rFonts w:ascii="Arial" w:hAnsi="Arial" w:cs="Arial"/>
          <w:bCs/>
          <w:sz w:val="22"/>
          <w:szCs w:val="22"/>
          <w:lang w:val="es-ES" w:eastAsia="es-CO"/>
        </w:rPr>
        <w:t xml:space="preserve">poner  de presente que, ciertamente, el hecho de que en el marco de un proceso de contratación se expida un acto administrativo adjudicando uno de los proponentes un contrato de obra pública permite colegir que la ejecución del mismo deberá ser asumida por dicho proponente, quien presentó una oferta con dicho propósito. No obstante, también es cierto que la adjudicación del contrato es un acto que precede a la suscripción </w:t>
      </w:r>
      <w:proofErr w:type="gramStart"/>
      <w:r>
        <w:rPr>
          <w:rFonts w:ascii="Arial" w:hAnsi="Arial" w:cs="Arial"/>
          <w:bCs/>
          <w:sz w:val="22"/>
          <w:szCs w:val="22"/>
          <w:lang w:val="es-ES" w:eastAsia="es-CO"/>
        </w:rPr>
        <w:t>del mismo</w:t>
      </w:r>
      <w:proofErr w:type="gramEnd"/>
      <w:r>
        <w:rPr>
          <w:rFonts w:ascii="Arial" w:hAnsi="Arial" w:cs="Arial"/>
          <w:bCs/>
          <w:sz w:val="22"/>
          <w:szCs w:val="22"/>
          <w:lang w:val="es-ES" w:eastAsia="es-CO"/>
        </w:rPr>
        <w:t>, el cual, por regla general</w:t>
      </w:r>
      <w:r>
        <w:rPr>
          <w:rStyle w:val="Refdenotaalpie"/>
          <w:rFonts w:ascii="Arial" w:hAnsi="Arial" w:cs="Arial"/>
          <w:bCs/>
          <w:sz w:val="22"/>
          <w:szCs w:val="22"/>
          <w:lang w:val="es-ES" w:eastAsia="es-CO"/>
        </w:rPr>
        <w:footnoteReference w:id="6"/>
      </w:r>
      <w:r>
        <w:rPr>
          <w:rFonts w:ascii="Arial" w:hAnsi="Arial" w:cs="Arial"/>
          <w:bCs/>
          <w:sz w:val="22"/>
          <w:szCs w:val="22"/>
          <w:lang w:val="es-ES" w:eastAsia="es-CO"/>
        </w:rPr>
        <w:t xml:space="preserve">, es un acto requerido para su </w:t>
      </w:r>
      <w:r>
        <w:rPr>
          <w:rFonts w:ascii="Arial" w:hAnsi="Arial" w:cs="Arial"/>
          <w:bCs/>
          <w:sz w:val="22"/>
          <w:szCs w:val="22"/>
          <w:lang w:val="es-ES" w:eastAsia="es-CO"/>
        </w:rPr>
        <w:lastRenderedPageBreak/>
        <w:t>perfeccionamiento, dado el carácter solemne del contrato estatal</w:t>
      </w:r>
      <w:r>
        <w:rPr>
          <w:rFonts w:ascii="Arial" w:eastAsia="Calibri" w:hAnsi="Arial" w:cs="Arial"/>
          <w:sz w:val="22"/>
        </w:rPr>
        <w:t xml:space="preserve">, conforme se desprende del inciso primero del artículo 41 de la Ley 80 de 1993 </w:t>
      </w:r>
      <w:r>
        <w:rPr>
          <w:rStyle w:val="Refdenotaalpie"/>
          <w:rFonts w:ascii="Arial" w:eastAsia="Calibri" w:hAnsi="Arial" w:cs="Arial"/>
          <w:sz w:val="22"/>
        </w:rPr>
        <w:footnoteReference w:id="7"/>
      </w:r>
      <w:r>
        <w:rPr>
          <w:rFonts w:ascii="Arial" w:eastAsia="Calibri" w:hAnsi="Arial" w:cs="Arial"/>
          <w:sz w:val="22"/>
          <w:vertAlign w:val="superscript"/>
        </w:rPr>
        <w:t xml:space="preserve">- </w:t>
      </w:r>
      <w:r>
        <w:rPr>
          <w:rStyle w:val="Refdenotaalpie"/>
          <w:rFonts w:ascii="Arial" w:eastAsia="Calibri" w:hAnsi="Arial" w:cs="Arial"/>
          <w:sz w:val="21"/>
          <w:szCs w:val="21"/>
        </w:rPr>
        <w:footnoteReference w:id="8"/>
      </w:r>
      <w:r>
        <w:rPr>
          <w:rFonts w:ascii="Arial" w:eastAsia="Calibri" w:hAnsi="Arial" w:cs="Arial"/>
          <w:sz w:val="21"/>
          <w:szCs w:val="21"/>
        </w:rPr>
        <w:t>.</w:t>
      </w:r>
    </w:p>
    <w:p w14:paraId="21CAC31F" w14:textId="77777777" w:rsidR="00E608DD" w:rsidRDefault="00E608DD" w:rsidP="00E608DD">
      <w:pPr>
        <w:spacing w:before="120" w:line="276" w:lineRule="auto"/>
        <w:ind w:firstLine="709"/>
        <w:jc w:val="both"/>
        <w:rPr>
          <w:rFonts w:ascii="Arial" w:eastAsia="Calibri" w:hAnsi="Arial" w:cs="Arial"/>
          <w:sz w:val="22"/>
        </w:rPr>
      </w:pPr>
      <w:r>
        <w:rPr>
          <w:rFonts w:ascii="Arial" w:eastAsia="Calibri" w:hAnsi="Arial" w:cs="Arial"/>
          <w:sz w:val="22"/>
        </w:rPr>
        <w:t xml:space="preserve">En consideración a lo anterior, en la medida en que un contrato estatal requiere de su elevación a escrito como presupuesto para su perfeccionamiento, no puede decirse que de un proceso de contratación adjudicado derive el compromiso de ejecutar obras civiles para el proponente, comoquiera que ello es una obligación que surge a partir del contrato, el cual, por regla general, requiere de su suscripción y elevación a escrito para su perfeccionamiento. En ese sentido, contratos estatales no perfeccionados al momento de la presentación de la oferta no pueden ser tenidos en cuenta para cálculo del factor (SCE) en eventuales procesos de contratación a los que se presente el proponente, comoquiera que no encajan dentro de la noción de Contratos en ejecución establecida en la guía.   </w:t>
      </w:r>
    </w:p>
    <w:p w14:paraId="7AAC4012" w14:textId="77777777" w:rsidR="00E608DD" w:rsidRPr="00384466" w:rsidRDefault="00E608DD" w:rsidP="00E608DD">
      <w:pPr>
        <w:spacing w:line="276" w:lineRule="auto"/>
        <w:ind w:firstLine="709"/>
        <w:contextualSpacing/>
        <w:jc w:val="both"/>
        <w:rPr>
          <w:rFonts w:ascii="Arial" w:eastAsia="Calibri" w:hAnsi="Arial" w:cs="Arial"/>
          <w:sz w:val="22"/>
        </w:rPr>
      </w:pPr>
    </w:p>
    <w:p w14:paraId="3D22DB24" w14:textId="77777777" w:rsidR="00E608DD" w:rsidRDefault="00E608DD" w:rsidP="00E608DD">
      <w:pPr>
        <w:pStyle w:val="Prrafodelista"/>
        <w:numPr>
          <w:ilvl w:val="0"/>
          <w:numId w:val="8"/>
        </w:numPr>
        <w:tabs>
          <w:tab w:val="left" w:pos="284"/>
        </w:tabs>
        <w:ind w:left="0" w:firstLine="0"/>
        <w:jc w:val="both"/>
        <w:rPr>
          <w:rFonts w:ascii="Arial" w:eastAsia="Calibri" w:hAnsi="Arial" w:cs="Arial"/>
          <w:b/>
          <w:color w:val="000000" w:themeColor="text1"/>
          <w:sz w:val="22"/>
          <w:lang w:val="es-ES_tradnl"/>
        </w:rPr>
      </w:pPr>
      <w:r w:rsidRPr="00FE1418">
        <w:rPr>
          <w:rFonts w:ascii="Arial" w:eastAsia="Calibri" w:hAnsi="Arial" w:cs="Arial"/>
          <w:b/>
          <w:color w:val="000000" w:themeColor="text1"/>
          <w:sz w:val="22"/>
          <w:lang w:val="es-ES_tradnl"/>
        </w:rPr>
        <w:t>Respuesta</w:t>
      </w:r>
    </w:p>
    <w:p w14:paraId="7D3DBD6E" w14:textId="77777777" w:rsidR="00E608DD" w:rsidRPr="00FE1418" w:rsidRDefault="00E608DD" w:rsidP="00E608DD">
      <w:pPr>
        <w:pStyle w:val="Prrafodelista"/>
        <w:tabs>
          <w:tab w:val="left" w:pos="284"/>
        </w:tabs>
        <w:ind w:left="0"/>
        <w:jc w:val="both"/>
        <w:rPr>
          <w:rFonts w:ascii="Arial" w:eastAsia="Calibri" w:hAnsi="Arial" w:cs="Arial"/>
          <w:b/>
          <w:color w:val="000000" w:themeColor="text1"/>
          <w:sz w:val="22"/>
          <w:lang w:val="es-ES_tradnl"/>
        </w:rPr>
      </w:pPr>
    </w:p>
    <w:p w14:paraId="44991E7F" w14:textId="77777777" w:rsidR="00E608DD" w:rsidRDefault="00E608DD" w:rsidP="00E608DD">
      <w:pPr>
        <w:pStyle w:val="NormalWeb"/>
        <w:spacing w:before="0" w:beforeAutospacing="0" w:after="0" w:afterAutospacing="0"/>
        <w:ind w:left="709" w:right="709"/>
        <w:jc w:val="both"/>
        <w:rPr>
          <w:rFonts w:ascii="Arial" w:hAnsi="Arial" w:cs="Arial"/>
          <w:sz w:val="21"/>
          <w:szCs w:val="21"/>
        </w:rPr>
      </w:pPr>
      <w:r w:rsidRPr="00384466">
        <w:rPr>
          <w:rFonts w:ascii="Arial" w:hAnsi="Arial" w:cs="Arial"/>
          <w:sz w:val="21"/>
          <w:szCs w:val="21"/>
        </w:rPr>
        <w:t xml:space="preserve">«[…] solicitar aclaración respecto al cálculo de la capacidad residual de un proponente en un proceso de contratación. Dentro del cuadro de saldo de contratos en ejecución se debe incorporar los contratos de obra pública suscritos antes de la fecha de cierre del proceso de contratación aun cuando los mismos no cuenten con fecha de inicio?». </w:t>
      </w:r>
    </w:p>
    <w:p w14:paraId="4133B997" w14:textId="77777777" w:rsidR="00E608DD" w:rsidRDefault="00E608DD" w:rsidP="00E608DD"/>
    <w:p w14:paraId="7863AC52" w14:textId="77777777" w:rsidR="00E608DD" w:rsidRDefault="00E608DD" w:rsidP="00E608DD">
      <w:pPr>
        <w:spacing w:after="120" w:line="276" w:lineRule="auto"/>
        <w:jc w:val="both"/>
        <w:rPr>
          <w:rFonts w:ascii="Arial" w:hAnsi="Arial" w:cs="Arial"/>
          <w:bCs/>
          <w:sz w:val="22"/>
          <w:szCs w:val="22"/>
          <w:lang w:val="es-ES" w:eastAsia="es-CO"/>
        </w:rPr>
      </w:pPr>
      <w:bookmarkStart w:id="8" w:name="_Hlk113291715"/>
      <w:r w:rsidRPr="000A2DB8">
        <w:rPr>
          <w:rFonts w:ascii="Arial" w:hAnsi="Arial" w:cs="Arial"/>
          <w:sz w:val="22"/>
          <w:szCs w:val="22"/>
        </w:rPr>
        <w:t>De conformidad con las consideraciones expuestas, a efectos de calcular la capacidad residual, y tal como lo establece la «</w:t>
      </w:r>
      <w:r w:rsidRPr="000A2DB8">
        <w:rPr>
          <w:rFonts w:ascii="Arial" w:hAnsi="Arial" w:cs="Arial"/>
          <w:i/>
          <w:iCs/>
          <w:sz w:val="22"/>
          <w:szCs w:val="22"/>
        </w:rPr>
        <w:t>Guía para Determinar y Verificar la Capacidad Residual del Proponente en los Procesos de Contratación de Obra Pública»</w:t>
      </w:r>
      <w:r w:rsidRPr="000A2DB8">
        <w:rPr>
          <w:rFonts w:ascii="Arial" w:hAnsi="Arial" w:cs="Arial"/>
          <w:iCs/>
          <w:sz w:val="22"/>
          <w:szCs w:val="22"/>
        </w:rPr>
        <w:t xml:space="preserve">, son contratos en ejecución </w:t>
      </w:r>
      <w:r w:rsidRPr="000A2DB8">
        <w:rPr>
          <w:rFonts w:ascii="Arial" w:hAnsi="Arial" w:cs="Arial"/>
          <w:sz w:val="22"/>
          <w:szCs w:val="22"/>
        </w:rPr>
        <w:t xml:space="preserve">aquellos que </w:t>
      </w:r>
      <w:r w:rsidRPr="00EE2854">
        <w:rPr>
          <w:rFonts w:ascii="Arial" w:hAnsi="Arial" w:cs="Arial"/>
          <w:color w:val="000000"/>
          <w:sz w:val="22"/>
          <w:szCs w:val="22"/>
        </w:rPr>
        <w:t xml:space="preserve">«[…] </w:t>
      </w:r>
      <w:r w:rsidRPr="000A2DB8">
        <w:rPr>
          <w:rFonts w:ascii="Arial" w:hAnsi="Arial" w:cs="Arial"/>
          <w:sz w:val="22"/>
          <w:szCs w:val="22"/>
        </w:rPr>
        <w:t>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w:t>
      </w:r>
      <w:bookmarkEnd w:id="8"/>
    </w:p>
    <w:p w14:paraId="22D6B728" w14:textId="77777777" w:rsidR="00E608DD" w:rsidRPr="000A2DB8" w:rsidRDefault="00E608DD" w:rsidP="00E608DD">
      <w:pPr>
        <w:spacing w:after="120" w:line="276" w:lineRule="auto"/>
        <w:ind w:firstLine="708"/>
        <w:jc w:val="both"/>
        <w:rPr>
          <w:rFonts w:ascii="Arial" w:eastAsiaTheme="minorHAnsi" w:hAnsi="Arial" w:cs="Arial"/>
          <w:sz w:val="22"/>
          <w:szCs w:val="22"/>
          <w:lang w:val="es-MX" w:eastAsia="en-US"/>
        </w:rPr>
      </w:pPr>
      <w:r>
        <w:rPr>
          <w:rFonts w:ascii="Arial" w:hAnsi="Arial" w:cs="Arial"/>
          <w:bCs/>
          <w:sz w:val="22"/>
          <w:szCs w:val="22"/>
          <w:lang w:val="es-ES" w:eastAsia="es-CO"/>
        </w:rPr>
        <w:t>Así las cosas, se concluye que, son contratos en ejecución, para efectos de calcular la capacidad residual del proponente, deben incluirse todos los contratos suscritos por el proponente antes de la feca de cierre del proceso de contratación, aun cuando</w:t>
      </w:r>
      <w:r w:rsidRPr="000B71F5">
        <w:rPr>
          <w:rFonts w:ascii="Arial" w:hAnsi="Arial" w:cs="Arial"/>
          <w:sz w:val="22"/>
          <w:szCs w:val="22"/>
        </w:rPr>
        <w:t xml:space="preserve"> no tengan acta de inicio</w:t>
      </w:r>
      <w:r>
        <w:rPr>
          <w:rFonts w:ascii="Arial" w:hAnsi="Arial" w:cs="Arial"/>
          <w:sz w:val="22"/>
          <w:szCs w:val="22"/>
        </w:rPr>
        <w:t>, dado que si se encuentran debidamente perfeccionados obligan al proponente a ejecutar un proyecto.</w:t>
      </w:r>
    </w:p>
    <w:p w14:paraId="223D4CA1" w14:textId="77777777" w:rsidR="00E608DD" w:rsidRPr="00EE341D" w:rsidRDefault="00E608DD" w:rsidP="00E608DD">
      <w:pPr>
        <w:spacing w:line="276" w:lineRule="auto"/>
        <w:jc w:val="both"/>
        <w:rPr>
          <w:rFonts w:ascii="Arial" w:hAnsi="Arial" w:cs="Arial"/>
          <w:color w:val="000000" w:themeColor="text1"/>
          <w:sz w:val="22"/>
          <w:lang w:val="es-ES_tradnl"/>
        </w:rPr>
      </w:pPr>
      <w:r w:rsidRPr="00EE341D">
        <w:rPr>
          <w:rFonts w:ascii="Arial" w:hAnsi="Arial" w:cs="Arial"/>
          <w:color w:val="000000" w:themeColor="text1"/>
          <w:sz w:val="22"/>
          <w:szCs w:val="22"/>
          <w:lang w:val="es-ES_tradnl"/>
        </w:rPr>
        <w:t>Este concepto tiene el alcance previsto en el artículo 28 del</w:t>
      </w:r>
      <w:r w:rsidRPr="00EE341D">
        <w:rPr>
          <w:rFonts w:ascii="Arial" w:hAnsi="Arial" w:cs="Arial"/>
          <w:color w:val="000000" w:themeColor="text1"/>
          <w:sz w:val="22"/>
          <w:lang w:val="es-ES_tradnl"/>
        </w:rPr>
        <w:t xml:space="preserve"> Código de Procedimiento Administrativo y de lo Contencioso Administrativo.</w:t>
      </w:r>
    </w:p>
    <w:p w14:paraId="24B180D3" w14:textId="77777777" w:rsidR="00E608DD" w:rsidRPr="00EE341D" w:rsidRDefault="00E608DD" w:rsidP="00E608DD">
      <w:pPr>
        <w:spacing w:before="120" w:line="276" w:lineRule="auto"/>
        <w:jc w:val="both"/>
        <w:rPr>
          <w:rFonts w:ascii="Arial" w:hAnsi="Arial" w:cs="Arial"/>
          <w:color w:val="000000" w:themeColor="text1"/>
          <w:sz w:val="22"/>
          <w:lang w:val="es-ES_tradnl"/>
        </w:rPr>
      </w:pPr>
    </w:p>
    <w:p w14:paraId="48A7EB4E" w14:textId="77777777" w:rsidR="00E608DD" w:rsidRDefault="00E608DD" w:rsidP="00E608DD">
      <w:pPr>
        <w:pStyle w:val="NormalWeb"/>
        <w:spacing w:before="0" w:beforeAutospacing="0" w:after="0" w:afterAutospacing="0" w:line="276" w:lineRule="auto"/>
        <w:jc w:val="both"/>
        <w:rPr>
          <w:rFonts w:ascii="Arial" w:hAnsi="Arial" w:cs="Arial"/>
          <w:color w:val="000000" w:themeColor="text1"/>
          <w:sz w:val="22"/>
          <w:szCs w:val="22"/>
          <w:lang w:val="es-ES_tradnl"/>
        </w:rPr>
      </w:pPr>
      <w:r w:rsidRPr="00EE341D">
        <w:rPr>
          <w:rFonts w:ascii="Arial" w:hAnsi="Arial" w:cs="Arial"/>
          <w:color w:val="000000" w:themeColor="text1"/>
          <w:sz w:val="22"/>
          <w:szCs w:val="22"/>
          <w:lang w:val="es-ES_tradnl"/>
        </w:rPr>
        <w:t>Atentamente,</w:t>
      </w:r>
    </w:p>
    <w:p w14:paraId="6CFAE234" w14:textId="77777777" w:rsidR="00E608DD" w:rsidRDefault="00E608DD" w:rsidP="00E608D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22EF8012" wp14:editId="59110350">
            <wp:extent cx="2534004" cy="981212"/>
            <wp:effectExtent l="0" t="0" r="0" b="9525"/>
            <wp:docPr id="1"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a:blip r:embed="rId13"/>
                    <a:stretch>
                      <a:fillRect/>
                    </a:stretch>
                  </pic:blipFill>
                  <pic:spPr>
                    <a:xfrm>
                      <a:off x="0" y="0"/>
                      <a:ext cx="2534004" cy="981212"/>
                    </a:xfrm>
                    <a:prstGeom prst="rect">
                      <a:avLst/>
                    </a:prstGeom>
                  </pic:spPr>
                </pic:pic>
              </a:graphicData>
            </a:graphic>
          </wp:inline>
        </w:drawing>
      </w:r>
    </w:p>
    <w:p w14:paraId="6FC4E10B" w14:textId="77777777" w:rsidR="00E608DD" w:rsidRPr="00EE341D" w:rsidRDefault="00E608DD" w:rsidP="00E608DD">
      <w:pPr>
        <w:pStyle w:val="NormalWeb"/>
        <w:spacing w:before="0" w:beforeAutospacing="0" w:after="0" w:afterAutospacing="0" w:line="276" w:lineRule="auto"/>
        <w:jc w:val="both"/>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4502"/>
      </w:tblGrid>
      <w:tr w:rsidR="00E608DD" w:rsidRPr="00EE341D" w14:paraId="12E82B55" w14:textId="77777777" w:rsidTr="00141EB5">
        <w:trPr>
          <w:trHeight w:val="124"/>
        </w:trPr>
        <w:tc>
          <w:tcPr>
            <w:tcW w:w="828" w:type="dxa"/>
            <w:vAlign w:val="center"/>
            <w:hideMark/>
          </w:tcPr>
          <w:p w14:paraId="6EFA6272" w14:textId="77777777" w:rsidR="00E608DD" w:rsidRPr="00EE341D" w:rsidRDefault="00E608DD" w:rsidP="00141EB5">
            <w:pPr>
              <w:jc w:val="both"/>
              <w:rPr>
                <w:rFonts w:ascii="Arial" w:hAnsi="Arial" w:cs="Arial"/>
                <w:color w:val="000000" w:themeColor="text1"/>
                <w:sz w:val="16"/>
                <w:szCs w:val="16"/>
                <w:lang w:val="es-ES_tradnl" w:eastAsia="es-ES"/>
              </w:rPr>
            </w:pPr>
            <w:r w:rsidRPr="00EE341D">
              <w:rPr>
                <w:rFonts w:ascii="Arial" w:hAnsi="Arial" w:cs="Arial"/>
                <w:color w:val="000000" w:themeColor="text1"/>
                <w:sz w:val="16"/>
                <w:szCs w:val="16"/>
                <w:lang w:val="es-ES_tradnl" w:eastAsia="es-ES"/>
              </w:rPr>
              <w:t>Elaboró:</w:t>
            </w:r>
          </w:p>
        </w:tc>
        <w:tc>
          <w:tcPr>
            <w:tcW w:w="4502" w:type="dxa"/>
            <w:tcBorders>
              <w:top w:val="nil"/>
              <w:left w:val="nil"/>
              <w:bottom w:val="dotted" w:sz="4" w:space="0" w:color="7F7F7F" w:themeColor="text1" w:themeTint="80"/>
              <w:right w:val="nil"/>
            </w:tcBorders>
            <w:vAlign w:val="center"/>
            <w:hideMark/>
          </w:tcPr>
          <w:p w14:paraId="169FAE92" w14:textId="77777777" w:rsidR="00E608DD" w:rsidRDefault="00E608DD" w:rsidP="00141EB5">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Camilo Perdomo Villamil </w:t>
            </w:r>
          </w:p>
          <w:p w14:paraId="06F8D3F6" w14:textId="77777777" w:rsidR="00E608DD" w:rsidRPr="00EE341D" w:rsidRDefault="00E608DD" w:rsidP="00141EB5">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Contratista de la Subdirección de Gestión Contractual </w:t>
            </w:r>
          </w:p>
        </w:tc>
      </w:tr>
      <w:tr w:rsidR="00E608DD" w:rsidRPr="00EE341D" w14:paraId="527B0F29" w14:textId="77777777" w:rsidTr="00141EB5">
        <w:trPr>
          <w:trHeight w:val="256"/>
        </w:trPr>
        <w:tc>
          <w:tcPr>
            <w:tcW w:w="828" w:type="dxa"/>
            <w:vAlign w:val="center"/>
            <w:hideMark/>
          </w:tcPr>
          <w:p w14:paraId="6FD320BC" w14:textId="77777777" w:rsidR="00E608DD" w:rsidRPr="00EE341D" w:rsidRDefault="00E608DD" w:rsidP="00141EB5">
            <w:pPr>
              <w:jc w:val="both"/>
              <w:rPr>
                <w:rFonts w:ascii="Arial" w:hAnsi="Arial" w:cs="Arial"/>
                <w:color w:val="000000" w:themeColor="text1"/>
                <w:sz w:val="16"/>
                <w:szCs w:val="16"/>
                <w:lang w:val="es-ES_tradnl" w:eastAsia="es-ES"/>
              </w:rPr>
            </w:pPr>
            <w:r w:rsidRPr="00EE341D">
              <w:rPr>
                <w:rFonts w:ascii="Arial" w:hAnsi="Arial" w:cs="Arial"/>
                <w:color w:val="000000" w:themeColor="text1"/>
                <w:sz w:val="16"/>
                <w:szCs w:val="16"/>
                <w:lang w:val="es-ES_tradnl" w:eastAsia="es-ES"/>
              </w:rPr>
              <w:t>Revisó:</w:t>
            </w:r>
          </w:p>
        </w:tc>
        <w:tc>
          <w:tcPr>
            <w:tcW w:w="4502" w:type="dxa"/>
            <w:tcBorders>
              <w:top w:val="dotted" w:sz="4" w:space="0" w:color="7F7F7F" w:themeColor="text1" w:themeTint="80"/>
              <w:left w:val="nil"/>
              <w:bottom w:val="dotted" w:sz="4" w:space="0" w:color="7F7F7F" w:themeColor="text1" w:themeTint="80"/>
              <w:right w:val="nil"/>
            </w:tcBorders>
            <w:vAlign w:val="center"/>
            <w:hideMark/>
          </w:tcPr>
          <w:p w14:paraId="119BC9BB" w14:textId="77777777" w:rsidR="00E608DD" w:rsidRDefault="00E608DD" w:rsidP="00141EB5">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Diana Lucia Saavedra Castañeda</w:t>
            </w:r>
          </w:p>
          <w:p w14:paraId="2096C11C" w14:textId="77777777" w:rsidR="00E608DD" w:rsidRPr="00EE341D" w:rsidRDefault="00E608DD" w:rsidP="00141EB5">
            <w:pPr>
              <w:jc w:val="both"/>
              <w:rPr>
                <w:rFonts w:ascii="Arial" w:hAnsi="Arial" w:cs="Arial"/>
                <w:color w:val="000000" w:themeColor="text1"/>
                <w:sz w:val="16"/>
                <w:szCs w:val="16"/>
                <w:lang w:val="es-ES" w:eastAsia="es-ES"/>
              </w:rPr>
            </w:pPr>
            <w:r w:rsidRPr="00EE341D">
              <w:rPr>
                <w:rFonts w:ascii="Arial" w:hAnsi="Arial" w:cs="Arial"/>
                <w:color w:val="000000" w:themeColor="text1"/>
                <w:sz w:val="16"/>
                <w:szCs w:val="16"/>
                <w:lang w:val="es-ES_tradnl" w:eastAsia="es-ES"/>
              </w:rPr>
              <w:t>Contratista de la Subdirección de Gestión Contractual</w:t>
            </w:r>
            <w:r w:rsidRPr="00EE341D" w:rsidDel="00B22D35">
              <w:rPr>
                <w:rFonts w:ascii="Arial" w:hAnsi="Arial" w:cs="Arial"/>
                <w:color w:val="000000"/>
                <w:sz w:val="16"/>
                <w:szCs w:val="16"/>
                <w:shd w:val="clear" w:color="auto" w:fill="FFFFFF"/>
              </w:rPr>
              <w:t xml:space="preserve"> </w:t>
            </w:r>
          </w:p>
        </w:tc>
      </w:tr>
      <w:tr w:rsidR="00E608DD" w:rsidRPr="00D40F8B" w14:paraId="7F7EC0D7" w14:textId="77777777" w:rsidTr="00141EB5">
        <w:trPr>
          <w:trHeight w:val="233"/>
        </w:trPr>
        <w:tc>
          <w:tcPr>
            <w:tcW w:w="828" w:type="dxa"/>
            <w:vAlign w:val="center"/>
            <w:hideMark/>
          </w:tcPr>
          <w:p w14:paraId="56017661" w14:textId="77777777" w:rsidR="00E608DD" w:rsidRPr="00EE341D" w:rsidRDefault="00E608DD" w:rsidP="00141EB5">
            <w:pPr>
              <w:jc w:val="both"/>
              <w:rPr>
                <w:rFonts w:ascii="Arial" w:hAnsi="Arial" w:cs="Arial"/>
                <w:color w:val="000000" w:themeColor="text1"/>
                <w:sz w:val="16"/>
                <w:szCs w:val="16"/>
                <w:lang w:val="es-ES_tradnl" w:eastAsia="es-ES"/>
              </w:rPr>
            </w:pPr>
            <w:r w:rsidRPr="00EE341D">
              <w:rPr>
                <w:rFonts w:ascii="Arial" w:hAnsi="Arial" w:cs="Arial"/>
                <w:color w:val="000000" w:themeColor="text1"/>
                <w:sz w:val="16"/>
                <w:szCs w:val="16"/>
                <w:lang w:val="es-ES_tradnl" w:eastAsia="es-ES"/>
              </w:rPr>
              <w:t>Aprobó:</w:t>
            </w:r>
          </w:p>
        </w:tc>
        <w:tc>
          <w:tcPr>
            <w:tcW w:w="4502" w:type="dxa"/>
            <w:tcBorders>
              <w:top w:val="dotted" w:sz="4" w:space="0" w:color="7F7F7F" w:themeColor="text1" w:themeTint="80"/>
              <w:left w:val="nil"/>
              <w:bottom w:val="dotted" w:sz="4" w:space="0" w:color="7F7F7F" w:themeColor="text1" w:themeTint="80"/>
              <w:right w:val="nil"/>
            </w:tcBorders>
            <w:vAlign w:val="center"/>
            <w:hideMark/>
          </w:tcPr>
          <w:p w14:paraId="112742F4" w14:textId="77777777" w:rsidR="00E608DD" w:rsidRPr="006A06F2" w:rsidRDefault="00E608DD" w:rsidP="00141EB5">
            <w:r>
              <w:rPr>
                <w:rFonts w:ascii="Arial" w:eastAsia="Arial" w:hAnsi="Arial" w:cs="Arial"/>
                <w:color w:val="000000"/>
                <w:sz w:val="16"/>
                <w:szCs w:val="16"/>
              </w:rPr>
              <w:t>Juan David Marín López</w:t>
            </w:r>
          </w:p>
          <w:p w14:paraId="2A404AB5" w14:textId="77777777" w:rsidR="00E608DD" w:rsidRPr="00D40F8B" w:rsidRDefault="00E608DD" w:rsidP="00141EB5">
            <w:pPr>
              <w:jc w:val="both"/>
              <w:rPr>
                <w:rFonts w:ascii="Arial" w:hAnsi="Arial" w:cs="Arial"/>
                <w:color w:val="000000" w:themeColor="text1"/>
                <w:sz w:val="16"/>
                <w:szCs w:val="16"/>
                <w:lang w:val="es-ES_tradnl" w:eastAsia="es-ES"/>
              </w:rPr>
            </w:pPr>
            <w:r w:rsidRPr="006A06F2">
              <w:rPr>
                <w:rFonts w:ascii="Arial" w:eastAsia="Arial" w:hAnsi="Arial" w:cs="Arial"/>
                <w:color w:val="000000"/>
                <w:sz w:val="16"/>
                <w:szCs w:val="16"/>
              </w:rPr>
              <w:t xml:space="preserve">Subdirector de Gestión Contractual </w:t>
            </w:r>
            <w:r>
              <w:rPr>
                <w:rFonts w:ascii="Arial" w:eastAsia="Arial" w:hAnsi="Arial" w:cs="Arial"/>
                <w:color w:val="000000"/>
                <w:sz w:val="16"/>
                <w:szCs w:val="16"/>
              </w:rPr>
              <w:t>(E)</w:t>
            </w:r>
          </w:p>
        </w:tc>
      </w:tr>
      <w:bookmarkEnd w:id="3"/>
    </w:tbl>
    <w:p w14:paraId="407E8F17" w14:textId="0E03A2F3" w:rsidR="00DD118B" w:rsidRPr="00E608DD" w:rsidRDefault="00DD118B" w:rsidP="00E608DD">
      <w:pPr>
        <w:rPr>
          <w:rFonts w:eastAsia="Calibri"/>
        </w:rPr>
      </w:pPr>
    </w:p>
    <w:sectPr w:rsidR="00DD118B" w:rsidRPr="00E608DD" w:rsidSect="00A357FA">
      <w:headerReference w:type="default" r:id="rId14"/>
      <w:footerReference w:type="default" r:id="rId15"/>
      <w:pgSz w:w="12240" w:h="15840"/>
      <w:pgMar w:top="2269" w:right="2034" w:bottom="1418" w:left="1843"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8442C5" w14:textId="77777777" w:rsidR="007518B9" w:rsidRDefault="007518B9">
      <w:r>
        <w:separator/>
      </w:r>
    </w:p>
  </w:endnote>
  <w:endnote w:type="continuationSeparator" w:id="0">
    <w:p w14:paraId="3B295A0E" w14:textId="77777777" w:rsidR="007518B9" w:rsidRDefault="007518B9">
      <w:r>
        <w:continuationSeparator/>
      </w:r>
    </w:p>
  </w:endnote>
  <w:endnote w:type="continuationNotice" w:id="1">
    <w:p w14:paraId="45159091" w14:textId="77777777" w:rsidR="007518B9" w:rsidRDefault="007518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187BB681" w:rsidR="00E2520A" w:rsidRDefault="00207C1E" w:rsidP="00322937">
    <w:pPr>
      <w:pStyle w:val="Piedepgina"/>
      <w:jc w:val="center"/>
      <w:rPr>
        <w:lang w:val="es-ES"/>
      </w:rPr>
    </w:pPr>
    <w:r w:rsidRPr="00207C1E">
      <w:rPr>
        <w:noProof/>
        <w:lang w:val="es-ES"/>
      </w:rPr>
      <w:drawing>
        <wp:inline distT="0" distB="0" distL="0" distR="0" wp14:anchorId="5D151EC5" wp14:editId="37D9D648">
          <wp:extent cx="5778385" cy="856615"/>
          <wp:effectExtent l="0" t="0" r="635"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81669" cy="857102"/>
                  </a:xfrm>
                  <a:prstGeom prst="rect">
                    <a:avLst/>
                  </a:prstGeom>
                </pic:spPr>
              </pic:pic>
            </a:graphicData>
          </a:graphic>
        </wp:inline>
      </w:drawing>
    </w:r>
  </w:p>
  <w:p w14:paraId="6C0EFC49" w14:textId="77777777" w:rsidR="00E2520A" w:rsidRPr="007B0854" w:rsidRDefault="00E2520A" w:rsidP="007B0854">
    <w:pPr>
      <w:pStyle w:val="Piedepgina"/>
      <w:jc w:val="center"/>
      <w:rPr>
        <w:lang w:val="es-ES"/>
      </w:rPr>
    </w:pPr>
  </w:p>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555B7" w14:textId="77777777" w:rsidR="007518B9" w:rsidRDefault="007518B9">
      <w:r>
        <w:separator/>
      </w:r>
    </w:p>
  </w:footnote>
  <w:footnote w:type="continuationSeparator" w:id="0">
    <w:p w14:paraId="6401D576" w14:textId="77777777" w:rsidR="007518B9" w:rsidRDefault="007518B9">
      <w:r>
        <w:continuationSeparator/>
      </w:r>
    </w:p>
  </w:footnote>
  <w:footnote w:type="continuationNotice" w:id="1">
    <w:p w14:paraId="4AB5B8AE" w14:textId="77777777" w:rsidR="007518B9" w:rsidRDefault="007518B9"/>
  </w:footnote>
  <w:footnote w:id="2">
    <w:p w14:paraId="7CB8E68E" w14:textId="77777777" w:rsidR="00E608DD" w:rsidRPr="0029516E" w:rsidRDefault="00E608DD" w:rsidP="00E608DD">
      <w:pPr>
        <w:pStyle w:val="Textonotapie"/>
        <w:ind w:firstLine="708"/>
        <w:jc w:val="both"/>
        <w:rPr>
          <w:rFonts w:ascii="Arial" w:eastAsia="Calibri" w:hAnsi="Arial" w:cs="Arial"/>
          <w:color w:val="000000"/>
          <w:sz w:val="18"/>
          <w:szCs w:val="18"/>
        </w:rPr>
      </w:pPr>
      <w:r w:rsidRPr="0029516E">
        <w:rPr>
          <w:rStyle w:val="Refdenotaalpie"/>
          <w:rFonts w:ascii="Arial" w:hAnsi="Arial" w:cs="Arial"/>
          <w:color w:val="000000"/>
          <w:sz w:val="18"/>
          <w:szCs w:val="18"/>
        </w:rPr>
        <w:footnoteRef/>
      </w:r>
      <w:r w:rsidRPr="0029516E">
        <w:rPr>
          <w:rFonts w:ascii="Arial" w:hAnsi="Arial" w:cs="Arial"/>
          <w:color w:val="000000"/>
          <w:sz w:val="18"/>
          <w:szCs w:val="18"/>
        </w:rPr>
        <w:t xml:space="preserve"> </w:t>
      </w:r>
      <w:r w:rsidRPr="0029516E">
        <w:rPr>
          <w:rFonts w:ascii="Arial" w:eastAsia="Calibri" w:hAnsi="Arial" w:cs="Arial"/>
          <w:color w:val="000000"/>
          <w:sz w:val="18"/>
          <w:szCs w:val="18"/>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5C71D543" w14:textId="77777777" w:rsidR="00E608DD" w:rsidRPr="0029516E" w:rsidRDefault="00E608DD" w:rsidP="00E608DD">
      <w:pPr>
        <w:pStyle w:val="Textonotapie"/>
        <w:ind w:firstLine="708"/>
        <w:jc w:val="both"/>
        <w:rPr>
          <w:rFonts w:ascii="Arial" w:eastAsia="Calibri" w:hAnsi="Arial" w:cs="Arial"/>
          <w:color w:val="000000"/>
          <w:sz w:val="18"/>
          <w:szCs w:val="18"/>
        </w:rPr>
      </w:pPr>
      <w:r w:rsidRPr="0029516E">
        <w:rPr>
          <w:rFonts w:ascii="Arial" w:eastAsia="Calibri" w:hAnsi="Arial" w:cs="Arial"/>
          <w:color w:val="000000"/>
          <w:sz w:val="18"/>
          <w:szCs w:val="18"/>
        </w:rPr>
        <w:t>[…]</w:t>
      </w:r>
    </w:p>
    <w:p w14:paraId="160F58F6" w14:textId="77777777" w:rsidR="00E608DD" w:rsidRPr="0029516E" w:rsidRDefault="00E608DD" w:rsidP="00E608DD">
      <w:pPr>
        <w:pStyle w:val="Textonotapie"/>
        <w:ind w:firstLine="708"/>
        <w:jc w:val="both"/>
        <w:rPr>
          <w:rFonts w:ascii="Arial" w:hAnsi="Arial" w:cs="Arial"/>
          <w:color w:val="000000"/>
          <w:sz w:val="18"/>
          <w:szCs w:val="18"/>
          <w:lang w:val="es-CO"/>
        </w:rPr>
      </w:pPr>
      <w:r w:rsidRPr="0029516E">
        <w:rPr>
          <w:rFonts w:ascii="Arial" w:eastAsia="Calibri" w:hAnsi="Arial" w:cs="Arial"/>
          <w:color w:val="000000"/>
          <w:sz w:val="18"/>
          <w:szCs w:val="18"/>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29516E">
        <w:rPr>
          <w:rFonts w:ascii="Arial" w:hAnsi="Arial" w:cs="Arial"/>
          <w:color w:val="000000"/>
          <w:sz w:val="18"/>
          <w:szCs w:val="18"/>
          <w:lang w:val="es-CO"/>
        </w:rPr>
        <w:t xml:space="preserve"> </w:t>
      </w:r>
    </w:p>
    <w:p w14:paraId="65D4A53D" w14:textId="77777777" w:rsidR="00E608DD" w:rsidRPr="0029516E" w:rsidRDefault="00E608DD" w:rsidP="00E608DD">
      <w:pPr>
        <w:pStyle w:val="Textonotapie"/>
        <w:jc w:val="both"/>
        <w:rPr>
          <w:rFonts w:ascii="Arial" w:hAnsi="Arial" w:cs="Arial"/>
          <w:color w:val="000000"/>
          <w:sz w:val="18"/>
          <w:szCs w:val="18"/>
          <w:lang w:val="es-CO"/>
        </w:rPr>
      </w:pPr>
    </w:p>
  </w:footnote>
  <w:footnote w:id="3">
    <w:p w14:paraId="29D40721" w14:textId="77777777" w:rsidR="00E608DD" w:rsidRPr="0029516E" w:rsidRDefault="00E608DD" w:rsidP="00E608DD">
      <w:pPr>
        <w:pStyle w:val="Textonotapie"/>
        <w:ind w:firstLine="708"/>
        <w:jc w:val="both"/>
        <w:rPr>
          <w:rFonts w:ascii="Arial" w:hAnsi="Arial" w:cs="Arial"/>
          <w:color w:val="000000"/>
          <w:sz w:val="18"/>
          <w:szCs w:val="18"/>
          <w:lang w:val="es-CO"/>
        </w:rPr>
      </w:pPr>
      <w:r w:rsidRPr="0029516E">
        <w:rPr>
          <w:rFonts w:ascii="Arial" w:eastAsia="Calibri" w:hAnsi="Arial" w:cs="Arial"/>
          <w:color w:val="000000"/>
          <w:sz w:val="18"/>
          <w:szCs w:val="18"/>
          <w:vertAlign w:val="superscript"/>
        </w:rPr>
        <w:footnoteRef/>
      </w:r>
      <w:r w:rsidRPr="0029516E">
        <w:rPr>
          <w:rFonts w:ascii="Arial" w:eastAsia="Calibri" w:hAnsi="Arial" w:cs="Arial"/>
          <w:color w:val="000000"/>
          <w:sz w:val="18"/>
          <w:szCs w:val="18"/>
          <w:vertAlign w:val="superscript"/>
        </w:rPr>
        <w:t xml:space="preserve"> </w:t>
      </w:r>
      <w:r w:rsidRPr="0029516E">
        <w:rPr>
          <w:rFonts w:ascii="Arial" w:eastAsia="Calibri" w:hAnsi="Arial" w:cs="Arial"/>
          <w:color w:val="000000"/>
          <w:sz w:val="18"/>
          <w:szCs w:val="18"/>
        </w:rPr>
        <w:t xml:space="preserve">CONSEJO DE ESTADO. Sección Tercera. Sentencia del 26 de junio de 2003. Rad. 13.354. C.P: María Elena Giraldo Gómez. </w:t>
      </w:r>
    </w:p>
  </w:footnote>
  <w:footnote w:id="4">
    <w:p w14:paraId="46223B07" w14:textId="77777777" w:rsidR="00E608DD" w:rsidRPr="0029516E" w:rsidRDefault="00E608DD" w:rsidP="00E608DD">
      <w:pPr>
        <w:ind w:right="49" w:firstLine="708"/>
        <w:jc w:val="both"/>
        <w:rPr>
          <w:rFonts w:ascii="Arial" w:hAnsi="Arial" w:cs="Arial"/>
          <w:color w:val="000000"/>
          <w:sz w:val="18"/>
          <w:szCs w:val="18"/>
        </w:rPr>
      </w:pPr>
      <w:r w:rsidRPr="0029516E">
        <w:rPr>
          <w:rStyle w:val="Refdenotaalpie"/>
          <w:rFonts w:ascii="Arial" w:hAnsi="Arial" w:cs="Arial"/>
          <w:color w:val="000000"/>
          <w:sz w:val="18"/>
          <w:szCs w:val="18"/>
        </w:rPr>
        <w:footnoteRef/>
      </w:r>
      <w:r w:rsidRPr="0029516E">
        <w:rPr>
          <w:rFonts w:ascii="Arial" w:hAnsi="Arial" w:cs="Arial"/>
          <w:color w:val="000000"/>
          <w:sz w:val="18"/>
          <w:szCs w:val="18"/>
        </w:rPr>
        <w:t xml:space="preserve"> Decreto 1082 de 2015. «Artículo 2.2.1.1.1.6.4. Capacidad Residual. El interesado en celebrar contratos de obra pública con Entidades Estatales debe acreditar su Capacidad Residual o K de Contratación con los siguientes</w:t>
      </w:r>
      <w:r w:rsidRPr="0029516E">
        <w:rPr>
          <w:rFonts w:ascii="Arial" w:hAnsi="Arial" w:cs="Arial"/>
          <w:color w:val="000000"/>
          <w:spacing w:val="-3"/>
          <w:sz w:val="18"/>
          <w:szCs w:val="18"/>
        </w:rPr>
        <w:t xml:space="preserve"> </w:t>
      </w:r>
      <w:r w:rsidRPr="0029516E">
        <w:rPr>
          <w:rFonts w:ascii="Arial" w:hAnsi="Arial" w:cs="Arial"/>
          <w:color w:val="000000"/>
          <w:sz w:val="18"/>
          <w:szCs w:val="18"/>
        </w:rPr>
        <w:t>documentos:</w:t>
      </w:r>
    </w:p>
    <w:p w14:paraId="2A3F64AB" w14:textId="77777777" w:rsidR="00E608DD" w:rsidRPr="0029516E" w:rsidRDefault="00E608DD" w:rsidP="00E608DD">
      <w:pPr>
        <w:ind w:right="49" w:firstLine="708"/>
        <w:jc w:val="both"/>
        <w:rPr>
          <w:rFonts w:ascii="Arial" w:hAnsi="Arial" w:cs="Arial"/>
          <w:color w:val="000000"/>
          <w:sz w:val="18"/>
          <w:szCs w:val="18"/>
        </w:rPr>
      </w:pPr>
      <w:r w:rsidRPr="0029516E">
        <w:rPr>
          <w:rFonts w:ascii="Arial" w:hAnsi="Arial" w:cs="Arial"/>
          <w:color w:val="000000"/>
          <w:sz w:val="18"/>
          <w:szCs w:val="18"/>
        </w:rPr>
        <w:t>»1. La lista de los contratos de obras civiles en ejecución suscritos con Entidades Estatales y con entidades privadas, así como el valor y plazo de tales contratos, incluyendo contratos de concesión y los contratos de obra suscritos con</w:t>
      </w:r>
      <w:r w:rsidRPr="0029516E">
        <w:rPr>
          <w:rFonts w:ascii="Arial" w:hAnsi="Arial" w:cs="Arial"/>
          <w:color w:val="000000"/>
          <w:spacing w:val="-4"/>
          <w:sz w:val="18"/>
          <w:szCs w:val="18"/>
        </w:rPr>
        <w:t xml:space="preserve"> </w:t>
      </w:r>
      <w:r w:rsidRPr="0029516E">
        <w:rPr>
          <w:rFonts w:ascii="Arial" w:hAnsi="Arial" w:cs="Arial"/>
          <w:color w:val="000000"/>
          <w:sz w:val="18"/>
          <w:szCs w:val="18"/>
        </w:rPr>
        <w:t>concesionarios.</w:t>
      </w:r>
    </w:p>
    <w:p w14:paraId="5D05C7E4" w14:textId="77777777" w:rsidR="00E608DD" w:rsidRPr="0029516E" w:rsidRDefault="00E608DD" w:rsidP="00E608DD">
      <w:pPr>
        <w:ind w:right="49" w:firstLine="708"/>
        <w:jc w:val="both"/>
        <w:rPr>
          <w:rFonts w:ascii="Arial" w:hAnsi="Arial" w:cs="Arial"/>
          <w:color w:val="000000"/>
          <w:sz w:val="18"/>
          <w:szCs w:val="18"/>
        </w:rPr>
      </w:pPr>
      <w:r w:rsidRPr="0029516E">
        <w:rPr>
          <w:rFonts w:ascii="Arial" w:hAnsi="Arial" w:cs="Arial"/>
          <w:color w:val="000000"/>
          <w:sz w:val="18"/>
          <w:szCs w:val="18"/>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41D25284" w14:textId="77777777" w:rsidR="00E608DD" w:rsidRPr="0029516E" w:rsidRDefault="00E608DD" w:rsidP="00E608DD">
      <w:pPr>
        <w:ind w:right="49" w:firstLine="708"/>
        <w:jc w:val="both"/>
        <w:rPr>
          <w:rFonts w:ascii="Arial" w:hAnsi="Arial" w:cs="Arial"/>
          <w:color w:val="000000"/>
          <w:sz w:val="18"/>
          <w:szCs w:val="18"/>
        </w:rPr>
      </w:pPr>
      <w:r w:rsidRPr="0029516E">
        <w:rPr>
          <w:rFonts w:ascii="Arial" w:hAnsi="Arial" w:cs="Arial"/>
          <w:color w:val="000000"/>
          <w:sz w:val="18"/>
          <w:szCs w:val="18"/>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 w:id="5">
    <w:p w14:paraId="3CB45FE1" w14:textId="77777777" w:rsidR="00E608DD" w:rsidRPr="0029516E" w:rsidRDefault="00E608DD" w:rsidP="00E608DD">
      <w:pPr>
        <w:pStyle w:val="Textonotapie"/>
        <w:ind w:firstLine="708"/>
        <w:jc w:val="both"/>
        <w:rPr>
          <w:rFonts w:ascii="Arial" w:hAnsi="Arial" w:cs="Arial"/>
          <w:sz w:val="18"/>
          <w:szCs w:val="18"/>
          <w:lang w:val="es-CO"/>
        </w:rPr>
      </w:pPr>
      <w:r w:rsidRPr="0029516E">
        <w:rPr>
          <w:rStyle w:val="Refdenotaalpie"/>
          <w:rFonts w:ascii="Arial" w:hAnsi="Arial" w:cs="Arial"/>
          <w:sz w:val="18"/>
          <w:szCs w:val="18"/>
        </w:rPr>
        <w:footnoteRef/>
      </w:r>
      <w:r w:rsidRPr="0029516E">
        <w:rPr>
          <w:rFonts w:ascii="Arial" w:hAnsi="Arial" w:cs="Arial"/>
          <w:sz w:val="18"/>
          <w:szCs w:val="18"/>
        </w:rPr>
        <w:t xml:space="preserve"> Agencia Nacional de Contratación Pública – Colombia Compra Eficiente. Guía para Determinar y Verificar la Capacidad Residual del Proponente en los Procesos de Contratación de Obra Pública. 2017. </w:t>
      </w:r>
      <w:proofErr w:type="spellStart"/>
      <w:r w:rsidRPr="0029516E">
        <w:rPr>
          <w:rFonts w:ascii="Arial" w:hAnsi="Arial" w:cs="Arial"/>
          <w:sz w:val="18"/>
          <w:szCs w:val="18"/>
        </w:rPr>
        <w:t>Pág</w:t>
      </w:r>
      <w:proofErr w:type="spellEnd"/>
      <w:r w:rsidRPr="0029516E">
        <w:rPr>
          <w:rFonts w:ascii="Arial" w:hAnsi="Arial" w:cs="Arial"/>
          <w:sz w:val="18"/>
          <w:szCs w:val="18"/>
        </w:rPr>
        <w:t xml:space="preserve"> 4. Disponible en: </w:t>
      </w:r>
      <w:hyperlink r:id="rId1" w:history="1">
        <w:r w:rsidRPr="0029516E">
          <w:rPr>
            <w:rStyle w:val="Hipervnculo"/>
            <w:rFonts w:ascii="Arial" w:hAnsi="Arial" w:cs="Arial"/>
            <w:sz w:val="18"/>
            <w:szCs w:val="18"/>
          </w:rPr>
          <w:t>https://colombiacompra.gov.co/sites/cce_public/files/cce_documents/cce_guia_capacidad_residual.pdf</w:t>
        </w:r>
      </w:hyperlink>
      <w:r w:rsidRPr="0029516E">
        <w:rPr>
          <w:rFonts w:ascii="Arial" w:hAnsi="Arial" w:cs="Arial"/>
          <w:sz w:val="18"/>
          <w:szCs w:val="18"/>
        </w:rPr>
        <w:t xml:space="preserve"> </w:t>
      </w:r>
    </w:p>
  </w:footnote>
  <w:footnote w:id="6">
    <w:p w14:paraId="6ECF10FA" w14:textId="77777777" w:rsidR="00E608DD" w:rsidRPr="0029516E" w:rsidRDefault="00E608DD" w:rsidP="00E608DD">
      <w:pPr>
        <w:pStyle w:val="Textonotapie"/>
        <w:ind w:firstLine="708"/>
        <w:jc w:val="both"/>
        <w:rPr>
          <w:rFonts w:ascii="Arial" w:hAnsi="Arial" w:cs="Arial"/>
          <w:color w:val="000000"/>
          <w:sz w:val="19"/>
          <w:szCs w:val="19"/>
        </w:rPr>
      </w:pPr>
      <w:r w:rsidRPr="0029516E">
        <w:rPr>
          <w:rStyle w:val="Refdenotaalpie"/>
          <w:rFonts w:ascii="Arial" w:hAnsi="Arial" w:cs="Arial"/>
          <w:sz w:val="19"/>
          <w:szCs w:val="19"/>
        </w:rPr>
        <w:footnoteRef/>
      </w:r>
      <w:r w:rsidRPr="0029516E">
        <w:rPr>
          <w:rFonts w:ascii="Arial" w:hAnsi="Arial" w:cs="Arial"/>
          <w:sz w:val="19"/>
          <w:szCs w:val="19"/>
        </w:rPr>
        <w:t xml:space="preserve"> Con excepción de los procesos de mínima cuantía en los que según el </w:t>
      </w:r>
      <w:r w:rsidRPr="002871BB">
        <w:rPr>
          <w:rFonts w:ascii="Arial" w:hAnsi="Arial" w:cs="Arial"/>
          <w:sz w:val="19"/>
          <w:szCs w:val="19"/>
        </w:rPr>
        <w:t>literal</w:t>
      </w:r>
      <w:r w:rsidRPr="0029516E">
        <w:rPr>
          <w:rFonts w:ascii="Arial" w:hAnsi="Arial" w:cs="Arial"/>
          <w:sz w:val="19"/>
          <w:szCs w:val="19"/>
        </w:rPr>
        <w:t xml:space="preserve"> d</w:t>
      </w:r>
      <w:r w:rsidRPr="0029516E">
        <w:rPr>
          <w:rFonts w:ascii="Arial" w:hAnsi="Arial" w:cs="Arial"/>
          <w:color w:val="000000"/>
          <w:sz w:val="19"/>
          <w:szCs w:val="19"/>
        </w:rPr>
        <w:t>) del artículo 2-.5 de la Ley 1150 de 2007: «La comunicación de aceptación junto con la oferta constituye para todos los efectos el contrato celebrado, con base en lo cual se efectuará el respectivo registro presupuestal […]».</w:t>
      </w:r>
    </w:p>
    <w:p w14:paraId="18CB49A6" w14:textId="77777777" w:rsidR="00E608DD" w:rsidRDefault="00E608DD" w:rsidP="00E608DD">
      <w:pPr>
        <w:pStyle w:val="Textonotapie"/>
        <w:ind w:firstLine="708"/>
      </w:pPr>
      <w:r>
        <w:rPr>
          <w:rFonts w:ascii="Arial" w:hAnsi="Arial" w:cs="Arial"/>
          <w:color w:val="000000"/>
        </w:rPr>
        <w:t> </w:t>
      </w:r>
      <w:r>
        <w:t xml:space="preserve"> </w:t>
      </w:r>
    </w:p>
  </w:footnote>
  <w:footnote w:id="7">
    <w:p w14:paraId="49D51E7A" w14:textId="77777777" w:rsidR="00E608DD" w:rsidRPr="00083AFE" w:rsidRDefault="00E608DD" w:rsidP="00E608DD">
      <w:pPr>
        <w:pStyle w:val="Textonotapie"/>
        <w:ind w:firstLine="708"/>
        <w:jc w:val="both"/>
        <w:rPr>
          <w:rFonts w:ascii="Arial" w:hAnsi="Arial" w:cs="Arial"/>
          <w:sz w:val="18"/>
          <w:szCs w:val="18"/>
        </w:rPr>
      </w:pPr>
      <w:r w:rsidRPr="00083AFE">
        <w:rPr>
          <w:rStyle w:val="Refdenotaalpie"/>
          <w:rFonts w:ascii="Arial" w:hAnsi="Arial" w:cs="Arial"/>
          <w:sz w:val="18"/>
          <w:szCs w:val="18"/>
        </w:rPr>
        <w:footnoteRef/>
      </w:r>
      <w:r w:rsidRPr="00083AFE">
        <w:rPr>
          <w:rFonts w:ascii="Arial" w:hAnsi="Arial" w:cs="Arial"/>
          <w:sz w:val="18"/>
          <w:szCs w:val="18"/>
        </w:rPr>
        <w:t xml:space="preserve"> Ley 80 de 1993: «Artículo 41. Del perfeccionamiento del contrato. Los contratos del Estado se perfeccionan cuando se logre acuerdo sobre el objeto y la contraprestación y éste se eleve a escrito.</w:t>
      </w:r>
    </w:p>
    <w:p w14:paraId="0FFEF881" w14:textId="77777777" w:rsidR="00E608DD" w:rsidRPr="00083AFE" w:rsidRDefault="00E608DD" w:rsidP="00E608DD">
      <w:pPr>
        <w:pStyle w:val="Textonotapie"/>
        <w:ind w:firstLine="708"/>
        <w:jc w:val="both"/>
        <w:rPr>
          <w:rFonts w:ascii="Arial" w:hAnsi="Arial" w:cs="Arial"/>
          <w:sz w:val="18"/>
          <w:szCs w:val="18"/>
        </w:rPr>
      </w:pPr>
      <w:r w:rsidRPr="00083AFE">
        <w:rPr>
          <w:rFonts w:ascii="Arial" w:hAnsi="Arial" w:cs="Arial"/>
          <w:sz w:val="18"/>
          <w:szCs w:val="18"/>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43901998" w14:textId="77777777" w:rsidR="00E608DD" w:rsidRPr="00083AFE" w:rsidRDefault="00E608DD" w:rsidP="00E608DD">
      <w:pPr>
        <w:pStyle w:val="Textonotapie"/>
        <w:ind w:firstLine="708"/>
        <w:jc w:val="both"/>
        <w:rPr>
          <w:rFonts w:ascii="Arial" w:hAnsi="Arial" w:cs="Arial"/>
          <w:sz w:val="18"/>
          <w:szCs w:val="18"/>
        </w:rPr>
      </w:pPr>
      <w:r w:rsidRPr="00083AFE">
        <w:rPr>
          <w:rFonts w:ascii="Arial" w:hAnsi="Arial" w:cs="Arial"/>
          <w:sz w:val="18"/>
          <w:szCs w:val="18"/>
        </w:rPr>
        <w:t xml:space="preserve">»Los contratos estatales son intuito </w:t>
      </w:r>
      <w:proofErr w:type="spellStart"/>
      <w:r w:rsidRPr="00083AFE">
        <w:rPr>
          <w:rFonts w:ascii="Arial" w:hAnsi="Arial" w:cs="Arial"/>
          <w:sz w:val="18"/>
          <w:szCs w:val="18"/>
        </w:rPr>
        <w:t>personae</w:t>
      </w:r>
      <w:proofErr w:type="spellEnd"/>
      <w:r w:rsidRPr="00083AFE">
        <w:rPr>
          <w:rFonts w:ascii="Arial" w:hAnsi="Arial" w:cs="Arial"/>
          <w:sz w:val="18"/>
          <w:szCs w:val="18"/>
        </w:rPr>
        <w:t xml:space="preserve"> &lt;sic&gt; y, en consecuencia, una vez celebrados no podrán cederse sin previa autorización escrita de la entidad contratante.</w:t>
      </w:r>
    </w:p>
    <w:p w14:paraId="0A32C6EC" w14:textId="77777777" w:rsidR="00E608DD" w:rsidRPr="00083AFE" w:rsidRDefault="00E608DD" w:rsidP="00E608DD">
      <w:pPr>
        <w:pStyle w:val="Textonotapie"/>
        <w:ind w:firstLine="708"/>
        <w:jc w:val="both"/>
        <w:rPr>
          <w:rFonts w:ascii="Arial" w:hAnsi="Arial" w:cs="Arial"/>
          <w:sz w:val="18"/>
          <w:szCs w:val="18"/>
        </w:rPr>
      </w:pPr>
      <w:r w:rsidRPr="00083AFE">
        <w:rPr>
          <w:rFonts w:ascii="Arial" w:hAnsi="Arial" w:cs="Arial"/>
          <w:sz w:val="18"/>
          <w:szCs w:val="18"/>
        </w:rPr>
        <w:t>»En caso de situaciones de urgencia manifiesta a que se refiere el artículo 42 de esta ley que no permitan la suscripción de contrato escrito, se prescindirá de éste y aún del acuerdo acerca de la remuneración, no obstante, deberá dejarse constancia escrita de la autorización impartida por la entidad estatal contratante.</w:t>
      </w:r>
    </w:p>
    <w:p w14:paraId="5905F206" w14:textId="77777777" w:rsidR="00E608DD" w:rsidRPr="00083AFE" w:rsidRDefault="00E608DD" w:rsidP="00E608DD">
      <w:pPr>
        <w:pStyle w:val="Textonotapie"/>
        <w:ind w:firstLine="708"/>
        <w:jc w:val="both"/>
        <w:rPr>
          <w:rFonts w:ascii="Arial" w:hAnsi="Arial" w:cs="Arial"/>
          <w:sz w:val="18"/>
          <w:szCs w:val="18"/>
        </w:rPr>
      </w:pPr>
      <w:r w:rsidRPr="00083AFE">
        <w:rPr>
          <w:rFonts w:ascii="Arial" w:hAnsi="Arial" w:cs="Arial"/>
          <w:sz w:val="18"/>
          <w:szCs w:val="18"/>
        </w:rPr>
        <w:t>»A falta de acuerdo previo sobre la remuneración de que trata el inciso anterior, la contraprestación económica se acordará con posterioridad al inicio de la ejecución de lo contratado. Si no se lograre el acuerdo, la contraprestación será determinada por el justiprecio objetivo de la entidad u organismo respectivo que tenga el carácter de cuerpo consultivo del Gobierno y, a falta de éste, por un perito designado por las partes».</w:t>
      </w:r>
    </w:p>
    <w:p w14:paraId="5422A30D" w14:textId="77777777" w:rsidR="00E608DD" w:rsidRPr="00083AFE" w:rsidRDefault="00E608DD" w:rsidP="00E608DD">
      <w:pPr>
        <w:pStyle w:val="Textonotapie"/>
        <w:ind w:firstLine="708"/>
        <w:jc w:val="both"/>
        <w:rPr>
          <w:rFonts w:ascii="Arial" w:hAnsi="Arial" w:cs="Arial"/>
          <w:sz w:val="18"/>
          <w:szCs w:val="18"/>
          <w:lang w:val="es-ES"/>
        </w:rPr>
      </w:pPr>
    </w:p>
  </w:footnote>
  <w:footnote w:id="8">
    <w:p w14:paraId="4FD5FF84" w14:textId="77777777" w:rsidR="00E608DD" w:rsidRPr="00083AFE" w:rsidRDefault="00E608DD" w:rsidP="00E608DD">
      <w:pPr>
        <w:ind w:firstLine="708"/>
        <w:contextualSpacing/>
        <w:jc w:val="both"/>
        <w:rPr>
          <w:rFonts w:ascii="Arial" w:hAnsi="Arial" w:cs="Arial"/>
          <w:sz w:val="18"/>
          <w:szCs w:val="18"/>
          <w:lang w:val="es-ES"/>
        </w:rPr>
      </w:pPr>
      <w:r w:rsidRPr="00083AFE">
        <w:rPr>
          <w:rStyle w:val="Refdenotaalpie"/>
          <w:rFonts w:ascii="Arial" w:hAnsi="Arial" w:cs="Arial"/>
          <w:sz w:val="18"/>
          <w:szCs w:val="18"/>
        </w:rPr>
        <w:footnoteRef/>
      </w:r>
      <w:r w:rsidRPr="00083AFE">
        <w:rPr>
          <w:rFonts w:ascii="Arial" w:hAnsi="Arial" w:cs="Arial"/>
          <w:sz w:val="18"/>
          <w:szCs w:val="18"/>
        </w:rPr>
        <w:t xml:space="preserve"> </w:t>
      </w:r>
      <w:r w:rsidRPr="00083AFE">
        <w:rPr>
          <w:rFonts w:ascii="Arial" w:eastAsia="Calibri" w:hAnsi="Arial" w:cs="Arial"/>
          <w:sz w:val="18"/>
          <w:szCs w:val="18"/>
        </w:rPr>
        <w:t xml:space="preserve">El Consejo de Estado se pronunció sobre la solemnidad del contrato estatal y la imposibilidad de modificarla por voluntad de sus destinatarios: ”Pues bien, de acuerdo con lo dispuesto en los artículos 39 y 41 de la Ley 80 de 1993 los contratos estatales son solemnes puesto que su perfeccionamiento exige la solemnidad del escrito, excepción hecha de ciertos eventos de urgencia manifiesta en que el contrato se torna consensual ante la imposibilidad de cumplir con la exigencia de la solemnidad del escrito (Ley 80 de 1993 artículo 41 inciso 4º). En los demás casos de urgencia manifiesta, que no queden comprendidos en esta hipótesis, la solemnidad del escrito se sujeta a la regla general expuesta. No se olvide que las normas que exigen solemnidades constitutivas son de orden público e imperativas y por lo tanto inmodificables e inderogables por el querer de sus destinatarios. En consecuencia, sus destinatarios, es decir todos los que pretendan intervenir en la celebración de un contrato estatal, tienen el deber de acatar la exigencia legal del escrito para perfeccionar». </w:t>
      </w:r>
      <w:r w:rsidRPr="00083AFE">
        <w:rPr>
          <w:rFonts w:ascii="Arial" w:hAnsi="Arial" w:cs="Arial"/>
          <w:sz w:val="18"/>
          <w:szCs w:val="18"/>
        </w:rPr>
        <w:t xml:space="preserve">Consejo de Estado. Sección tercera. Sentencia del 18 de mayo de 2017. </w:t>
      </w:r>
      <w:proofErr w:type="spellStart"/>
      <w:r w:rsidRPr="00083AFE">
        <w:rPr>
          <w:rFonts w:ascii="Arial" w:hAnsi="Arial" w:cs="Arial"/>
          <w:sz w:val="18"/>
          <w:szCs w:val="18"/>
        </w:rPr>
        <w:t>Exp</w:t>
      </w:r>
      <w:proofErr w:type="spellEnd"/>
      <w:r w:rsidRPr="00083AFE">
        <w:rPr>
          <w:rFonts w:ascii="Arial" w:hAnsi="Arial" w:cs="Arial"/>
          <w:sz w:val="18"/>
          <w:szCs w:val="18"/>
        </w:rPr>
        <w:t xml:space="preserve">. 48.396. C.P. Jaime Orlando Santofimio Gamboa.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3AFE6A3D" w:rsidR="00E2520A" w:rsidRDefault="00E2520A">
    <w:pPr>
      <w:pStyle w:val="Encabezado"/>
    </w:pPr>
  </w:p>
  <w:p w14:paraId="2A80E31D" w14:textId="77777777" w:rsidR="00E2520A" w:rsidRDefault="00E2520A"/>
  <w:p w14:paraId="5DBE9C96" w14:textId="4EE0D645" w:rsidR="00E2520A" w:rsidRDefault="00207C1E" w:rsidP="00207C1E">
    <w:pPr>
      <w:jc w:val="right"/>
    </w:pPr>
    <w:r w:rsidRPr="00207C1E">
      <w:rPr>
        <w:noProof/>
      </w:rPr>
      <w:drawing>
        <wp:inline distT="0" distB="0" distL="0" distR="0" wp14:anchorId="2288FA4C" wp14:editId="7BF6F84B">
          <wp:extent cx="1752600" cy="711200"/>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752600" cy="71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8443754"/>
    <w:multiLevelType w:val="hybridMultilevel"/>
    <w:tmpl w:val="56B835D4"/>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6"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10AC56F5"/>
    <w:multiLevelType w:val="hybridMultilevel"/>
    <w:tmpl w:val="ECF404E6"/>
    <w:lvl w:ilvl="0" w:tplc="4612AA00">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0"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3"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2826C0F"/>
    <w:multiLevelType w:val="hybridMultilevel"/>
    <w:tmpl w:val="56B835D4"/>
    <w:lvl w:ilvl="0" w:tplc="B6708F7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9"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1"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3"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24"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9"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2"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3"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35"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6"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8"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0"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2"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55012078">
    <w:abstractNumId w:val="17"/>
  </w:num>
  <w:num w:numId="2" w16cid:durableId="1890459524">
    <w:abstractNumId w:val="15"/>
  </w:num>
  <w:num w:numId="3" w16cid:durableId="698090170">
    <w:abstractNumId w:val="26"/>
  </w:num>
  <w:num w:numId="4" w16cid:durableId="859272652">
    <w:abstractNumId w:val="31"/>
  </w:num>
  <w:num w:numId="5" w16cid:durableId="1114324942">
    <w:abstractNumId w:val="37"/>
  </w:num>
  <w:num w:numId="6" w16cid:durableId="3557744">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37746739">
    <w:abstractNumId w:val="32"/>
  </w:num>
  <w:num w:numId="8" w16cid:durableId="245387259">
    <w:abstractNumId w:val="3"/>
  </w:num>
  <w:num w:numId="9" w16cid:durableId="1948582806">
    <w:abstractNumId w:val="10"/>
  </w:num>
  <w:num w:numId="10" w16cid:durableId="136872260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191669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63130135">
    <w:abstractNumId w:val="16"/>
  </w:num>
  <w:num w:numId="13" w16cid:durableId="754592867">
    <w:abstractNumId w:val="24"/>
  </w:num>
  <w:num w:numId="14" w16cid:durableId="1820078824">
    <w:abstractNumId w:val="13"/>
  </w:num>
  <w:num w:numId="15" w16cid:durableId="1886520921">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96577406">
    <w:abstractNumId w:val="4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77629752">
    <w:abstractNumId w:val="39"/>
  </w:num>
  <w:num w:numId="18" w16cid:durableId="204219524">
    <w:abstractNumId w:val="27"/>
  </w:num>
  <w:num w:numId="19" w16cid:durableId="596257886">
    <w:abstractNumId w:val="9"/>
  </w:num>
  <w:num w:numId="20" w16cid:durableId="70197175">
    <w:abstractNumId w:val="40"/>
  </w:num>
  <w:num w:numId="21" w16cid:durableId="244195561">
    <w:abstractNumId w:val="29"/>
  </w:num>
  <w:num w:numId="22" w16cid:durableId="586769536">
    <w:abstractNumId w:val="12"/>
  </w:num>
  <w:num w:numId="23" w16cid:durableId="1515875105">
    <w:abstractNumId w:val="11"/>
  </w:num>
  <w:num w:numId="24" w16cid:durableId="136917524">
    <w:abstractNumId w:val="33"/>
  </w:num>
  <w:num w:numId="25" w16cid:durableId="616182161">
    <w:abstractNumId w:val="20"/>
  </w:num>
  <w:num w:numId="26" w16cid:durableId="1524324690">
    <w:abstractNumId w:val="38"/>
  </w:num>
  <w:num w:numId="27" w16cid:durableId="156388554">
    <w:abstractNumId w:val="42"/>
  </w:num>
  <w:num w:numId="28" w16cid:durableId="529731531">
    <w:abstractNumId w:val="25"/>
  </w:num>
  <w:num w:numId="29" w16cid:durableId="847211260">
    <w:abstractNumId w:val="2"/>
  </w:num>
  <w:num w:numId="30" w16cid:durableId="693266067">
    <w:abstractNumId w:val="28"/>
  </w:num>
  <w:num w:numId="31" w16cid:durableId="452752504">
    <w:abstractNumId w:val="21"/>
  </w:num>
  <w:num w:numId="32" w16cid:durableId="1755122573">
    <w:abstractNumId w:val="30"/>
  </w:num>
  <w:num w:numId="33" w16cid:durableId="1471559863">
    <w:abstractNumId w:val="41"/>
  </w:num>
  <w:num w:numId="34" w16cid:durableId="1895778186">
    <w:abstractNumId w:val="19"/>
  </w:num>
  <w:num w:numId="35" w16cid:durableId="422654298">
    <w:abstractNumId w:val="1"/>
  </w:num>
  <w:num w:numId="36" w16cid:durableId="13435144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238619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04455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09293355">
    <w:abstractNumId w:val="6"/>
  </w:num>
  <w:num w:numId="40" w16cid:durableId="1048459206">
    <w:abstractNumId w:val="23"/>
  </w:num>
  <w:num w:numId="41" w16cid:durableId="684015409">
    <w:abstractNumId w:val="0"/>
  </w:num>
  <w:num w:numId="42" w16cid:durableId="372122255">
    <w:abstractNumId w:val="8"/>
  </w:num>
  <w:num w:numId="43" w16cid:durableId="421142293">
    <w:abstractNumId w:val="18"/>
  </w:num>
  <w:num w:numId="44" w16cid:durableId="1113939187">
    <w:abstractNumId w:val="4"/>
  </w:num>
  <w:num w:numId="45" w16cid:durableId="1171143297">
    <w:abstractNumId w:val="35"/>
  </w:num>
  <w:num w:numId="46" w16cid:durableId="34717391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559"/>
    <w:rsid w:val="0000162E"/>
    <w:rsid w:val="00001A1C"/>
    <w:rsid w:val="00001B2A"/>
    <w:rsid w:val="00001FFD"/>
    <w:rsid w:val="00002027"/>
    <w:rsid w:val="000020FE"/>
    <w:rsid w:val="000031A8"/>
    <w:rsid w:val="00003233"/>
    <w:rsid w:val="00003C5C"/>
    <w:rsid w:val="000040D7"/>
    <w:rsid w:val="00004556"/>
    <w:rsid w:val="000051AF"/>
    <w:rsid w:val="00005958"/>
    <w:rsid w:val="000059D3"/>
    <w:rsid w:val="00005B94"/>
    <w:rsid w:val="00005C48"/>
    <w:rsid w:val="0000600A"/>
    <w:rsid w:val="00006081"/>
    <w:rsid w:val="000060D0"/>
    <w:rsid w:val="00006FBE"/>
    <w:rsid w:val="00007011"/>
    <w:rsid w:val="000075EA"/>
    <w:rsid w:val="00007750"/>
    <w:rsid w:val="000077FD"/>
    <w:rsid w:val="00007E37"/>
    <w:rsid w:val="000103A7"/>
    <w:rsid w:val="00010408"/>
    <w:rsid w:val="00010C40"/>
    <w:rsid w:val="000112B4"/>
    <w:rsid w:val="00011DCC"/>
    <w:rsid w:val="00012532"/>
    <w:rsid w:val="00012B9E"/>
    <w:rsid w:val="00012FBA"/>
    <w:rsid w:val="00013C6B"/>
    <w:rsid w:val="00013F1F"/>
    <w:rsid w:val="0001406B"/>
    <w:rsid w:val="000143F8"/>
    <w:rsid w:val="00014624"/>
    <w:rsid w:val="000147ED"/>
    <w:rsid w:val="00015B44"/>
    <w:rsid w:val="00016081"/>
    <w:rsid w:val="000165AC"/>
    <w:rsid w:val="00016651"/>
    <w:rsid w:val="00016881"/>
    <w:rsid w:val="000171A2"/>
    <w:rsid w:val="00017913"/>
    <w:rsid w:val="00017B65"/>
    <w:rsid w:val="00020158"/>
    <w:rsid w:val="000207E0"/>
    <w:rsid w:val="00020F8F"/>
    <w:rsid w:val="00021A95"/>
    <w:rsid w:val="00021C0A"/>
    <w:rsid w:val="0002256F"/>
    <w:rsid w:val="00023DAE"/>
    <w:rsid w:val="00023FA5"/>
    <w:rsid w:val="00024592"/>
    <w:rsid w:val="00024896"/>
    <w:rsid w:val="000258A6"/>
    <w:rsid w:val="00026092"/>
    <w:rsid w:val="000263F0"/>
    <w:rsid w:val="00026407"/>
    <w:rsid w:val="000264F6"/>
    <w:rsid w:val="00026608"/>
    <w:rsid w:val="00026FDA"/>
    <w:rsid w:val="0002738B"/>
    <w:rsid w:val="00027545"/>
    <w:rsid w:val="00027787"/>
    <w:rsid w:val="000278D2"/>
    <w:rsid w:val="000278DF"/>
    <w:rsid w:val="00031136"/>
    <w:rsid w:val="00031384"/>
    <w:rsid w:val="000315E1"/>
    <w:rsid w:val="0003236E"/>
    <w:rsid w:val="00032D18"/>
    <w:rsid w:val="000331FB"/>
    <w:rsid w:val="00033295"/>
    <w:rsid w:val="0003339A"/>
    <w:rsid w:val="00034134"/>
    <w:rsid w:val="000341F2"/>
    <w:rsid w:val="00034651"/>
    <w:rsid w:val="000351F2"/>
    <w:rsid w:val="00035224"/>
    <w:rsid w:val="00036E03"/>
    <w:rsid w:val="00037287"/>
    <w:rsid w:val="000406DB"/>
    <w:rsid w:val="0004094D"/>
    <w:rsid w:val="00041029"/>
    <w:rsid w:val="0004149B"/>
    <w:rsid w:val="00041717"/>
    <w:rsid w:val="00041CA0"/>
    <w:rsid w:val="000427F7"/>
    <w:rsid w:val="00042961"/>
    <w:rsid w:val="00042C25"/>
    <w:rsid w:val="00042D03"/>
    <w:rsid w:val="00043086"/>
    <w:rsid w:val="000430A0"/>
    <w:rsid w:val="0004386D"/>
    <w:rsid w:val="00043A33"/>
    <w:rsid w:val="00043D3B"/>
    <w:rsid w:val="00043D4D"/>
    <w:rsid w:val="00043F5D"/>
    <w:rsid w:val="0004418C"/>
    <w:rsid w:val="00044204"/>
    <w:rsid w:val="000449D4"/>
    <w:rsid w:val="00046717"/>
    <w:rsid w:val="00046A63"/>
    <w:rsid w:val="00046C09"/>
    <w:rsid w:val="0004716A"/>
    <w:rsid w:val="00047385"/>
    <w:rsid w:val="000473E8"/>
    <w:rsid w:val="000504DE"/>
    <w:rsid w:val="00051074"/>
    <w:rsid w:val="00052B79"/>
    <w:rsid w:val="00052EA0"/>
    <w:rsid w:val="00052FE6"/>
    <w:rsid w:val="000536E3"/>
    <w:rsid w:val="00054252"/>
    <w:rsid w:val="0005474D"/>
    <w:rsid w:val="00055CB9"/>
    <w:rsid w:val="00056F66"/>
    <w:rsid w:val="0005702F"/>
    <w:rsid w:val="00057661"/>
    <w:rsid w:val="0005779C"/>
    <w:rsid w:val="00060C3F"/>
    <w:rsid w:val="00061D06"/>
    <w:rsid w:val="000621CB"/>
    <w:rsid w:val="000627C6"/>
    <w:rsid w:val="0006294B"/>
    <w:rsid w:val="00062CDD"/>
    <w:rsid w:val="00063FA5"/>
    <w:rsid w:val="000640AF"/>
    <w:rsid w:val="00064940"/>
    <w:rsid w:val="00064CAE"/>
    <w:rsid w:val="00064DB7"/>
    <w:rsid w:val="00064FA7"/>
    <w:rsid w:val="00065195"/>
    <w:rsid w:val="00065A8B"/>
    <w:rsid w:val="00070795"/>
    <w:rsid w:val="00070AF1"/>
    <w:rsid w:val="0007147D"/>
    <w:rsid w:val="000714DE"/>
    <w:rsid w:val="00071982"/>
    <w:rsid w:val="00071C5C"/>
    <w:rsid w:val="0007254F"/>
    <w:rsid w:val="00072A7E"/>
    <w:rsid w:val="00073C30"/>
    <w:rsid w:val="00074305"/>
    <w:rsid w:val="00074B2A"/>
    <w:rsid w:val="00075870"/>
    <w:rsid w:val="00075B3E"/>
    <w:rsid w:val="00076456"/>
    <w:rsid w:val="00076604"/>
    <w:rsid w:val="00077381"/>
    <w:rsid w:val="00077554"/>
    <w:rsid w:val="0007779B"/>
    <w:rsid w:val="000777E7"/>
    <w:rsid w:val="0007790A"/>
    <w:rsid w:val="0008017B"/>
    <w:rsid w:val="00080287"/>
    <w:rsid w:val="00080ACD"/>
    <w:rsid w:val="000811ED"/>
    <w:rsid w:val="00081284"/>
    <w:rsid w:val="00081D62"/>
    <w:rsid w:val="000820A1"/>
    <w:rsid w:val="000820CE"/>
    <w:rsid w:val="00082B74"/>
    <w:rsid w:val="00083099"/>
    <w:rsid w:val="00083EDC"/>
    <w:rsid w:val="00083EE6"/>
    <w:rsid w:val="000841A2"/>
    <w:rsid w:val="000847C0"/>
    <w:rsid w:val="00084B97"/>
    <w:rsid w:val="00084C21"/>
    <w:rsid w:val="0008510E"/>
    <w:rsid w:val="000856DE"/>
    <w:rsid w:val="00085F17"/>
    <w:rsid w:val="00085FB3"/>
    <w:rsid w:val="0008686B"/>
    <w:rsid w:val="000868FC"/>
    <w:rsid w:val="00086B2A"/>
    <w:rsid w:val="00086ED2"/>
    <w:rsid w:val="000875FD"/>
    <w:rsid w:val="00087A95"/>
    <w:rsid w:val="000903F6"/>
    <w:rsid w:val="00091114"/>
    <w:rsid w:val="000914D6"/>
    <w:rsid w:val="00091569"/>
    <w:rsid w:val="00091897"/>
    <w:rsid w:val="000918E2"/>
    <w:rsid w:val="00092DCA"/>
    <w:rsid w:val="00093C51"/>
    <w:rsid w:val="000942EB"/>
    <w:rsid w:val="00095B70"/>
    <w:rsid w:val="00095C0D"/>
    <w:rsid w:val="0009617E"/>
    <w:rsid w:val="00096489"/>
    <w:rsid w:val="000979CF"/>
    <w:rsid w:val="00097A00"/>
    <w:rsid w:val="000A03C8"/>
    <w:rsid w:val="000A05F2"/>
    <w:rsid w:val="000A06C4"/>
    <w:rsid w:val="000A0861"/>
    <w:rsid w:val="000A0ED1"/>
    <w:rsid w:val="000A12DB"/>
    <w:rsid w:val="000A17C8"/>
    <w:rsid w:val="000A1AEE"/>
    <w:rsid w:val="000A20D7"/>
    <w:rsid w:val="000A2128"/>
    <w:rsid w:val="000A362F"/>
    <w:rsid w:val="000A3B49"/>
    <w:rsid w:val="000A41BA"/>
    <w:rsid w:val="000A446A"/>
    <w:rsid w:val="000A5AAF"/>
    <w:rsid w:val="000A5F97"/>
    <w:rsid w:val="000A648E"/>
    <w:rsid w:val="000A6CC4"/>
    <w:rsid w:val="000A6E35"/>
    <w:rsid w:val="000A6E8B"/>
    <w:rsid w:val="000A73BB"/>
    <w:rsid w:val="000A7EF4"/>
    <w:rsid w:val="000B0A15"/>
    <w:rsid w:val="000B0DF3"/>
    <w:rsid w:val="000B103F"/>
    <w:rsid w:val="000B1437"/>
    <w:rsid w:val="000B1470"/>
    <w:rsid w:val="000B2B86"/>
    <w:rsid w:val="000B3051"/>
    <w:rsid w:val="000B419B"/>
    <w:rsid w:val="000B4716"/>
    <w:rsid w:val="000B56E7"/>
    <w:rsid w:val="000B5781"/>
    <w:rsid w:val="000B5891"/>
    <w:rsid w:val="000C0185"/>
    <w:rsid w:val="000C0444"/>
    <w:rsid w:val="000C0960"/>
    <w:rsid w:val="000C0F81"/>
    <w:rsid w:val="000C128D"/>
    <w:rsid w:val="000C17A3"/>
    <w:rsid w:val="000C1D4B"/>
    <w:rsid w:val="000C31BA"/>
    <w:rsid w:val="000C3260"/>
    <w:rsid w:val="000C3616"/>
    <w:rsid w:val="000C3803"/>
    <w:rsid w:val="000C3B77"/>
    <w:rsid w:val="000C45E8"/>
    <w:rsid w:val="000C4F49"/>
    <w:rsid w:val="000C5861"/>
    <w:rsid w:val="000C639D"/>
    <w:rsid w:val="000C6C31"/>
    <w:rsid w:val="000C6DBC"/>
    <w:rsid w:val="000C6F79"/>
    <w:rsid w:val="000C7211"/>
    <w:rsid w:val="000C7476"/>
    <w:rsid w:val="000C7711"/>
    <w:rsid w:val="000C7AA2"/>
    <w:rsid w:val="000D0462"/>
    <w:rsid w:val="000D053D"/>
    <w:rsid w:val="000D0CD9"/>
    <w:rsid w:val="000D0ED2"/>
    <w:rsid w:val="000D1CEB"/>
    <w:rsid w:val="000D215D"/>
    <w:rsid w:val="000D2563"/>
    <w:rsid w:val="000D25BF"/>
    <w:rsid w:val="000D3FDC"/>
    <w:rsid w:val="000D4E38"/>
    <w:rsid w:val="000D50DB"/>
    <w:rsid w:val="000D5ABA"/>
    <w:rsid w:val="000D6288"/>
    <w:rsid w:val="000D65A4"/>
    <w:rsid w:val="000D6CAF"/>
    <w:rsid w:val="000D7541"/>
    <w:rsid w:val="000D75E1"/>
    <w:rsid w:val="000D776B"/>
    <w:rsid w:val="000D7E45"/>
    <w:rsid w:val="000E1E37"/>
    <w:rsid w:val="000E22CF"/>
    <w:rsid w:val="000E27E9"/>
    <w:rsid w:val="000E2977"/>
    <w:rsid w:val="000E2B36"/>
    <w:rsid w:val="000E2F45"/>
    <w:rsid w:val="000E30AC"/>
    <w:rsid w:val="000E39E3"/>
    <w:rsid w:val="000E3B46"/>
    <w:rsid w:val="000E3E11"/>
    <w:rsid w:val="000E44C8"/>
    <w:rsid w:val="000E4596"/>
    <w:rsid w:val="000E5768"/>
    <w:rsid w:val="000E5843"/>
    <w:rsid w:val="000E6139"/>
    <w:rsid w:val="000E6BE1"/>
    <w:rsid w:val="000E7E0B"/>
    <w:rsid w:val="000F078A"/>
    <w:rsid w:val="000F122D"/>
    <w:rsid w:val="000F1450"/>
    <w:rsid w:val="000F14E8"/>
    <w:rsid w:val="000F1BBD"/>
    <w:rsid w:val="000F2632"/>
    <w:rsid w:val="000F2739"/>
    <w:rsid w:val="000F3138"/>
    <w:rsid w:val="000F3D39"/>
    <w:rsid w:val="000F4403"/>
    <w:rsid w:val="000F4C3F"/>
    <w:rsid w:val="000F4E17"/>
    <w:rsid w:val="000F6578"/>
    <w:rsid w:val="000F70CD"/>
    <w:rsid w:val="000F726B"/>
    <w:rsid w:val="000F7636"/>
    <w:rsid w:val="000F79F9"/>
    <w:rsid w:val="000F7A5A"/>
    <w:rsid w:val="000F7ABD"/>
    <w:rsid w:val="000F7E8F"/>
    <w:rsid w:val="000F7FBB"/>
    <w:rsid w:val="001000FB"/>
    <w:rsid w:val="00102109"/>
    <w:rsid w:val="00102605"/>
    <w:rsid w:val="00102686"/>
    <w:rsid w:val="00102745"/>
    <w:rsid w:val="001032E3"/>
    <w:rsid w:val="00103361"/>
    <w:rsid w:val="00103855"/>
    <w:rsid w:val="00103915"/>
    <w:rsid w:val="00103EA0"/>
    <w:rsid w:val="00104F1C"/>
    <w:rsid w:val="001051E5"/>
    <w:rsid w:val="00105A74"/>
    <w:rsid w:val="00105ACB"/>
    <w:rsid w:val="00105AEF"/>
    <w:rsid w:val="00106259"/>
    <w:rsid w:val="001068EB"/>
    <w:rsid w:val="00106FDC"/>
    <w:rsid w:val="001078CE"/>
    <w:rsid w:val="00110CEB"/>
    <w:rsid w:val="00110F61"/>
    <w:rsid w:val="001111BD"/>
    <w:rsid w:val="0011165A"/>
    <w:rsid w:val="00111B2B"/>
    <w:rsid w:val="00111ED9"/>
    <w:rsid w:val="0011220A"/>
    <w:rsid w:val="00112609"/>
    <w:rsid w:val="00112774"/>
    <w:rsid w:val="00112B2E"/>
    <w:rsid w:val="00113003"/>
    <w:rsid w:val="00113062"/>
    <w:rsid w:val="00113705"/>
    <w:rsid w:val="00113975"/>
    <w:rsid w:val="00113CFC"/>
    <w:rsid w:val="00113FEA"/>
    <w:rsid w:val="00114324"/>
    <w:rsid w:val="00114A22"/>
    <w:rsid w:val="00114E9D"/>
    <w:rsid w:val="0011507B"/>
    <w:rsid w:val="001155F3"/>
    <w:rsid w:val="00115D13"/>
    <w:rsid w:val="0011609F"/>
    <w:rsid w:val="00116328"/>
    <w:rsid w:val="00116739"/>
    <w:rsid w:val="001169FD"/>
    <w:rsid w:val="001174C9"/>
    <w:rsid w:val="00117C82"/>
    <w:rsid w:val="00117E69"/>
    <w:rsid w:val="00121103"/>
    <w:rsid w:val="0012156A"/>
    <w:rsid w:val="00121BAB"/>
    <w:rsid w:val="00121E3C"/>
    <w:rsid w:val="0012232E"/>
    <w:rsid w:val="00122B23"/>
    <w:rsid w:val="00122B7E"/>
    <w:rsid w:val="00123D64"/>
    <w:rsid w:val="00123E30"/>
    <w:rsid w:val="00123FB5"/>
    <w:rsid w:val="0012400F"/>
    <w:rsid w:val="001246C9"/>
    <w:rsid w:val="001249DC"/>
    <w:rsid w:val="0012505A"/>
    <w:rsid w:val="0012572D"/>
    <w:rsid w:val="00125BED"/>
    <w:rsid w:val="00125C59"/>
    <w:rsid w:val="00125D4F"/>
    <w:rsid w:val="00126F9A"/>
    <w:rsid w:val="00126F9B"/>
    <w:rsid w:val="00127004"/>
    <w:rsid w:val="0012785C"/>
    <w:rsid w:val="00127AF2"/>
    <w:rsid w:val="00127EDC"/>
    <w:rsid w:val="00127F6D"/>
    <w:rsid w:val="00130355"/>
    <w:rsid w:val="00131A8C"/>
    <w:rsid w:val="00131AFC"/>
    <w:rsid w:val="00131B5A"/>
    <w:rsid w:val="00132C30"/>
    <w:rsid w:val="00132EFD"/>
    <w:rsid w:val="00133AED"/>
    <w:rsid w:val="001341DD"/>
    <w:rsid w:val="00134FF9"/>
    <w:rsid w:val="001352AA"/>
    <w:rsid w:val="00135451"/>
    <w:rsid w:val="00135E88"/>
    <w:rsid w:val="0013695C"/>
    <w:rsid w:val="00136BF7"/>
    <w:rsid w:val="001378B9"/>
    <w:rsid w:val="00137FD1"/>
    <w:rsid w:val="00137FFA"/>
    <w:rsid w:val="00140109"/>
    <w:rsid w:val="0014029B"/>
    <w:rsid w:val="001406D1"/>
    <w:rsid w:val="00140A4F"/>
    <w:rsid w:val="001413AB"/>
    <w:rsid w:val="00141A3E"/>
    <w:rsid w:val="00141DBC"/>
    <w:rsid w:val="001425E4"/>
    <w:rsid w:val="001432AF"/>
    <w:rsid w:val="00144335"/>
    <w:rsid w:val="0014502F"/>
    <w:rsid w:val="00145282"/>
    <w:rsid w:val="001453B0"/>
    <w:rsid w:val="001454D9"/>
    <w:rsid w:val="00145D8E"/>
    <w:rsid w:val="00146083"/>
    <w:rsid w:val="001462F7"/>
    <w:rsid w:val="001466F0"/>
    <w:rsid w:val="00147798"/>
    <w:rsid w:val="00150005"/>
    <w:rsid w:val="00150F55"/>
    <w:rsid w:val="00151B99"/>
    <w:rsid w:val="001521B2"/>
    <w:rsid w:val="00152288"/>
    <w:rsid w:val="00152EDD"/>
    <w:rsid w:val="00153491"/>
    <w:rsid w:val="0015361C"/>
    <w:rsid w:val="0015372F"/>
    <w:rsid w:val="00153A18"/>
    <w:rsid w:val="00153BFB"/>
    <w:rsid w:val="0015407E"/>
    <w:rsid w:val="0015448E"/>
    <w:rsid w:val="00154A6F"/>
    <w:rsid w:val="0015591B"/>
    <w:rsid w:val="00155D08"/>
    <w:rsid w:val="00156BE5"/>
    <w:rsid w:val="00157232"/>
    <w:rsid w:val="00160401"/>
    <w:rsid w:val="00160D4E"/>
    <w:rsid w:val="00161E62"/>
    <w:rsid w:val="00161F1C"/>
    <w:rsid w:val="0016200B"/>
    <w:rsid w:val="00163CD0"/>
    <w:rsid w:val="00163D7A"/>
    <w:rsid w:val="00164281"/>
    <w:rsid w:val="00164AF1"/>
    <w:rsid w:val="001654DF"/>
    <w:rsid w:val="00165ED5"/>
    <w:rsid w:val="001668A7"/>
    <w:rsid w:val="00167503"/>
    <w:rsid w:val="001676A9"/>
    <w:rsid w:val="00167A15"/>
    <w:rsid w:val="00167A50"/>
    <w:rsid w:val="00167D12"/>
    <w:rsid w:val="00167DF5"/>
    <w:rsid w:val="00170001"/>
    <w:rsid w:val="001703BE"/>
    <w:rsid w:val="0017043A"/>
    <w:rsid w:val="0017145A"/>
    <w:rsid w:val="00172198"/>
    <w:rsid w:val="001723DA"/>
    <w:rsid w:val="00172612"/>
    <w:rsid w:val="00172817"/>
    <w:rsid w:val="001734E3"/>
    <w:rsid w:val="0017350E"/>
    <w:rsid w:val="0017391B"/>
    <w:rsid w:val="001742BF"/>
    <w:rsid w:val="001749DF"/>
    <w:rsid w:val="00175E49"/>
    <w:rsid w:val="00176470"/>
    <w:rsid w:val="0017659F"/>
    <w:rsid w:val="00177076"/>
    <w:rsid w:val="00177F56"/>
    <w:rsid w:val="001805C1"/>
    <w:rsid w:val="00180A2E"/>
    <w:rsid w:val="001813AF"/>
    <w:rsid w:val="00182807"/>
    <w:rsid w:val="001829CD"/>
    <w:rsid w:val="00182F01"/>
    <w:rsid w:val="00182FBD"/>
    <w:rsid w:val="0018499F"/>
    <w:rsid w:val="00184F27"/>
    <w:rsid w:val="0018519B"/>
    <w:rsid w:val="00185AFE"/>
    <w:rsid w:val="00185E78"/>
    <w:rsid w:val="00187177"/>
    <w:rsid w:val="00187443"/>
    <w:rsid w:val="00187A32"/>
    <w:rsid w:val="00187ABD"/>
    <w:rsid w:val="00187AC0"/>
    <w:rsid w:val="001904E3"/>
    <w:rsid w:val="0019087A"/>
    <w:rsid w:val="00191395"/>
    <w:rsid w:val="00191C5A"/>
    <w:rsid w:val="00191CEB"/>
    <w:rsid w:val="00191E63"/>
    <w:rsid w:val="00192D68"/>
    <w:rsid w:val="0019388B"/>
    <w:rsid w:val="00193B52"/>
    <w:rsid w:val="00193B9A"/>
    <w:rsid w:val="0019401F"/>
    <w:rsid w:val="001946AE"/>
    <w:rsid w:val="001946D5"/>
    <w:rsid w:val="00194E8C"/>
    <w:rsid w:val="001962EC"/>
    <w:rsid w:val="001963DD"/>
    <w:rsid w:val="001965DB"/>
    <w:rsid w:val="00196DC9"/>
    <w:rsid w:val="001A0236"/>
    <w:rsid w:val="001A08E1"/>
    <w:rsid w:val="001A0AF8"/>
    <w:rsid w:val="001A16A5"/>
    <w:rsid w:val="001A18D5"/>
    <w:rsid w:val="001A1D4A"/>
    <w:rsid w:val="001A2426"/>
    <w:rsid w:val="001A26F1"/>
    <w:rsid w:val="001A2B96"/>
    <w:rsid w:val="001A2D40"/>
    <w:rsid w:val="001A3011"/>
    <w:rsid w:val="001A325B"/>
    <w:rsid w:val="001A3B6C"/>
    <w:rsid w:val="001A4825"/>
    <w:rsid w:val="001A4A08"/>
    <w:rsid w:val="001A4DAF"/>
    <w:rsid w:val="001A54FD"/>
    <w:rsid w:val="001A59FB"/>
    <w:rsid w:val="001A66DF"/>
    <w:rsid w:val="001A67D0"/>
    <w:rsid w:val="001A6BF1"/>
    <w:rsid w:val="001A6C2B"/>
    <w:rsid w:val="001A6E4A"/>
    <w:rsid w:val="001A7591"/>
    <w:rsid w:val="001A75B1"/>
    <w:rsid w:val="001A7ADF"/>
    <w:rsid w:val="001A7C1D"/>
    <w:rsid w:val="001B0366"/>
    <w:rsid w:val="001B0444"/>
    <w:rsid w:val="001B096B"/>
    <w:rsid w:val="001B0F9F"/>
    <w:rsid w:val="001B123C"/>
    <w:rsid w:val="001B1A0D"/>
    <w:rsid w:val="001B1BF1"/>
    <w:rsid w:val="001B2456"/>
    <w:rsid w:val="001B2D90"/>
    <w:rsid w:val="001B449C"/>
    <w:rsid w:val="001B4AA2"/>
    <w:rsid w:val="001B4ADE"/>
    <w:rsid w:val="001B5C86"/>
    <w:rsid w:val="001B5EF8"/>
    <w:rsid w:val="001B6173"/>
    <w:rsid w:val="001B622B"/>
    <w:rsid w:val="001B6973"/>
    <w:rsid w:val="001C07C6"/>
    <w:rsid w:val="001C08B2"/>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3D3F"/>
    <w:rsid w:val="001D4141"/>
    <w:rsid w:val="001D4E70"/>
    <w:rsid w:val="001D56E9"/>
    <w:rsid w:val="001D57F0"/>
    <w:rsid w:val="001D7923"/>
    <w:rsid w:val="001D796A"/>
    <w:rsid w:val="001D7A84"/>
    <w:rsid w:val="001D7C79"/>
    <w:rsid w:val="001E0E15"/>
    <w:rsid w:val="001E0EFD"/>
    <w:rsid w:val="001E15F0"/>
    <w:rsid w:val="001E16E6"/>
    <w:rsid w:val="001E1CC4"/>
    <w:rsid w:val="001E1D38"/>
    <w:rsid w:val="001E1DEE"/>
    <w:rsid w:val="001E250D"/>
    <w:rsid w:val="001E343C"/>
    <w:rsid w:val="001E4258"/>
    <w:rsid w:val="001E44F0"/>
    <w:rsid w:val="001E4587"/>
    <w:rsid w:val="001E56FF"/>
    <w:rsid w:val="001E5A69"/>
    <w:rsid w:val="001E5B84"/>
    <w:rsid w:val="001E5D6A"/>
    <w:rsid w:val="001E70FB"/>
    <w:rsid w:val="001E780A"/>
    <w:rsid w:val="001F07D6"/>
    <w:rsid w:val="001F0FA0"/>
    <w:rsid w:val="001F1349"/>
    <w:rsid w:val="001F1863"/>
    <w:rsid w:val="001F232D"/>
    <w:rsid w:val="001F2356"/>
    <w:rsid w:val="001F2A68"/>
    <w:rsid w:val="001F2CC8"/>
    <w:rsid w:val="001F39EA"/>
    <w:rsid w:val="001F4773"/>
    <w:rsid w:val="001F5008"/>
    <w:rsid w:val="001F512D"/>
    <w:rsid w:val="001F51C3"/>
    <w:rsid w:val="001F56AA"/>
    <w:rsid w:val="001F58AA"/>
    <w:rsid w:val="001F5EF6"/>
    <w:rsid w:val="001F6256"/>
    <w:rsid w:val="001F657F"/>
    <w:rsid w:val="001F6FB6"/>
    <w:rsid w:val="001F7978"/>
    <w:rsid w:val="001F7A0E"/>
    <w:rsid w:val="0020022E"/>
    <w:rsid w:val="0020054E"/>
    <w:rsid w:val="00200B51"/>
    <w:rsid w:val="00201F1E"/>
    <w:rsid w:val="0020299B"/>
    <w:rsid w:val="00202E44"/>
    <w:rsid w:val="002037AA"/>
    <w:rsid w:val="00203FE3"/>
    <w:rsid w:val="002042D8"/>
    <w:rsid w:val="00204515"/>
    <w:rsid w:val="00204BF5"/>
    <w:rsid w:val="00204D82"/>
    <w:rsid w:val="00204D91"/>
    <w:rsid w:val="00204E6B"/>
    <w:rsid w:val="002058D4"/>
    <w:rsid w:val="002058DC"/>
    <w:rsid w:val="00205BAA"/>
    <w:rsid w:val="0020632A"/>
    <w:rsid w:val="0020697F"/>
    <w:rsid w:val="00207C1E"/>
    <w:rsid w:val="002110EB"/>
    <w:rsid w:val="00211338"/>
    <w:rsid w:val="00211388"/>
    <w:rsid w:val="0021148C"/>
    <w:rsid w:val="00211694"/>
    <w:rsid w:val="0021201A"/>
    <w:rsid w:val="00212A83"/>
    <w:rsid w:val="00213A1F"/>
    <w:rsid w:val="00213C63"/>
    <w:rsid w:val="00214502"/>
    <w:rsid w:val="00214741"/>
    <w:rsid w:val="0021539A"/>
    <w:rsid w:val="00215793"/>
    <w:rsid w:val="00215852"/>
    <w:rsid w:val="00215B8E"/>
    <w:rsid w:val="00216264"/>
    <w:rsid w:val="002168B8"/>
    <w:rsid w:val="002171C3"/>
    <w:rsid w:val="002176B6"/>
    <w:rsid w:val="0021792D"/>
    <w:rsid w:val="00217DB8"/>
    <w:rsid w:val="0022032A"/>
    <w:rsid w:val="002221CE"/>
    <w:rsid w:val="00222BE8"/>
    <w:rsid w:val="00222EC4"/>
    <w:rsid w:val="00223102"/>
    <w:rsid w:val="002232CB"/>
    <w:rsid w:val="002233EA"/>
    <w:rsid w:val="00224022"/>
    <w:rsid w:val="00224498"/>
    <w:rsid w:val="00224D93"/>
    <w:rsid w:val="002259F8"/>
    <w:rsid w:val="00226055"/>
    <w:rsid w:val="0022613F"/>
    <w:rsid w:val="00226236"/>
    <w:rsid w:val="00226DF9"/>
    <w:rsid w:val="002270C9"/>
    <w:rsid w:val="00227A8B"/>
    <w:rsid w:val="002302B5"/>
    <w:rsid w:val="002308BA"/>
    <w:rsid w:val="0023146B"/>
    <w:rsid w:val="00231540"/>
    <w:rsid w:val="002315A0"/>
    <w:rsid w:val="00231CE0"/>
    <w:rsid w:val="00231EC7"/>
    <w:rsid w:val="00232A6C"/>
    <w:rsid w:val="00232E15"/>
    <w:rsid w:val="00233079"/>
    <w:rsid w:val="0023382C"/>
    <w:rsid w:val="00233977"/>
    <w:rsid w:val="00233C58"/>
    <w:rsid w:val="00233C71"/>
    <w:rsid w:val="00233D5C"/>
    <w:rsid w:val="00233D9C"/>
    <w:rsid w:val="002345B6"/>
    <w:rsid w:val="00234B84"/>
    <w:rsid w:val="00236016"/>
    <w:rsid w:val="00236E24"/>
    <w:rsid w:val="00237065"/>
    <w:rsid w:val="00237589"/>
    <w:rsid w:val="0023758D"/>
    <w:rsid w:val="002375A7"/>
    <w:rsid w:val="0024019A"/>
    <w:rsid w:val="002402D7"/>
    <w:rsid w:val="002411DE"/>
    <w:rsid w:val="0024131D"/>
    <w:rsid w:val="002413B5"/>
    <w:rsid w:val="002415B8"/>
    <w:rsid w:val="00241618"/>
    <w:rsid w:val="00241ACD"/>
    <w:rsid w:val="00242D62"/>
    <w:rsid w:val="00242FFD"/>
    <w:rsid w:val="002431D7"/>
    <w:rsid w:val="00243257"/>
    <w:rsid w:val="00243434"/>
    <w:rsid w:val="00244058"/>
    <w:rsid w:val="00244E90"/>
    <w:rsid w:val="00244F9A"/>
    <w:rsid w:val="00245718"/>
    <w:rsid w:val="00245E07"/>
    <w:rsid w:val="00246CD4"/>
    <w:rsid w:val="0024729C"/>
    <w:rsid w:val="00247712"/>
    <w:rsid w:val="00247780"/>
    <w:rsid w:val="00250D54"/>
    <w:rsid w:val="00250EC6"/>
    <w:rsid w:val="00250F11"/>
    <w:rsid w:val="00251866"/>
    <w:rsid w:val="00251A9F"/>
    <w:rsid w:val="00252492"/>
    <w:rsid w:val="00252B35"/>
    <w:rsid w:val="0025316D"/>
    <w:rsid w:val="002532F4"/>
    <w:rsid w:val="00253A02"/>
    <w:rsid w:val="00253B81"/>
    <w:rsid w:val="0025431A"/>
    <w:rsid w:val="002554DE"/>
    <w:rsid w:val="00255E11"/>
    <w:rsid w:val="00256835"/>
    <w:rsid w:val="002569F0"/>
    <w:rsid w:val="00256A62"/>
    <w:rsid w:val="00256ECF"/>
    <w:rsid w:val="00257730"/>
    <w:rsid w:val="00257999"/>
    <w:rsid w:val="002604AA"/>
    <w:rsid w:val="00260D6A"/>
    <w:rsid w:val="0026129B"/>
    <w:rsid w:val="00261560"/>
    <w:rsid w:val="00261715"/>
    <w:rsid w:val="00261CF9"/>
    <w:rsid w:val="00261EC0"/>
    <w:rsid w:val="0026231B"/>
    <w:rsid w:val="00262422"/>
    <w:rsid w:val="00263101"/>
    <w:rsid w:val="00263201"/>
    <w:rsid w:val="00263A37"/>
    <w:rsid w:val="00263BB9"/>
    <w:rsid w:val="002653A6"/>
    <w:rsid w:val="0026608D"/>
    <w:rsid w:val="002661F1"/>
    <w:rsid w:val="002663BA"/>
    <w:rsid w:val="002664B7"/>
    <w:rsid w:val="00266CB5"/>
    <w:rsid w:val="00267E80"/>
    <w:rsid w:val="002711A4"/>
    <w:rsid w:val="00271201"/>
    <w:rsid w:val="00271F13"/>
    <w:rsid w:val="002721E2"/>
    <w:rsid w:val="00274787"/>
    <w:rsid w:val="00274DB5"/>
    <w:rsid w:val="00275208"/>
    <w:rsid w:val="002753FD"/>
    <w:rsid w:val="00275BB1"/>
    <w:rsid w:val="00275FBF"/>
    <w:rsid w:val="00276373"/>
    <w:rsid w:val="00277312"/>
    <w:rsid w:val="00277933"/>
    <w:rsid w:val="00277EC3"/>
    <w:rsid w:val="00277F13"/>
    <w:rsid w:val="00277F8D"/>
    <w:rsid w:val="00277FA7"/>
    <w:rsid w:val="00280205"/>
    <w:rsid w:val="00280F3D"/>
    <w:rsid w:val="0028106A"/>
    <w:rsid w:val="0028113D"/>
    <w:rsid w:val="00281662"/>
    <w:rsid w:val="0028185A"/>
    <w:rsid w:val="00281EB4"/>
    <w:rsid w:val="002823CA"/>
    <w:rsid w:val="0028308E"/>
    <w:rsid w:val="002834E9"/>
    <w:rsid w:val="0028396F"/>
    <w:rsid w:val="00283A52"/>
    <w:rsid w:val="00283C5E"/>
    <w:rsid w:val="00283E26"/>
    <w:rsid w:val="0028428F"/>
    <w:rsid w:val="0028442A"/>
    <w:rsid w:val="00284CFC"/>
    <w:rsid w:val="00285832"/>
    <w:rsid w:val="00285969"/>
    <w:rsid w:val="0028663B"/>
    <w:rsid w:val="00286CEC"/>
    <w:rsid w:val="002871A9"/>
    <w:rsid w:val="002873A0"/>
    <w:rsid w:val="00287B7E"/>
    <w:rsid w:val="00290781"/>
    <w:rsid w:val="00291784"/>
    <w:rsid w:val="002929BB"/>
    <w:rsid w:val="00292E53"/>
    <w:rsid w:val="00292E64"/>
    <w:rsid w:val="002932BA"/>
    <w:rsid w:val="00293669"/>
    <w:rsid w:val="00294368"/>
    <w:rsid w:val="00294B78"/>
    <w:rsid w:val="00294F87"/>
    <w:rsid w:val="0029580A"/>
    <w:rsid w:val="00295949"/>
    <w:rsid w:val="00296150"/>
    <w:rsid w:val="0029624A"/>
    <w:rsid w:val="00296922"/>
    <w:rsid w:val="00297098"/>
    <w:rsid w:val="002A05D4"/>
    <w:rsid w:val="002A09FF"/>
    <w:rsid w:val="002A0E60"/>
    <w:rsid w:val="002A1989"/>
    <w:rsid w:val="002A1A58"/>
    <w:rsid w:val="002A1B02"/>
    <w:rsid w:val="002A1C53"/>
    <w:rsid w:val="002A28FC"/>
    <w:rsid w:val="002A2B44"/>
    <w:rsid w:val="002A2EA5"/>
    <w:rsid w:val="002A39C3"/>
    <w:rsid w:val="002A3D94"/>
    <w:rsid w:val="002A4736"/>
    <w:rsid w:val="002A4B1C"/>
    <w:rsid w:val="002A4BDD"/>
    <w:rsid w:val="002A4CC8"/>
    <w:rsid w:val="002A6AFB"/>
    <w:rsid w:val="002A733D"/>
    <w:rsid w:val="002A774A"/>
    <w:rsid w:val="002A7E5C"/>
    <w:rsid w:val="002A7F6D"/>
    <w:rsid w:val="002A7FC5"/>
    <w:rsid w:val="002B020D"/>
    <w:rsid w:val="002B1342"/>
    <w:rsid w:val="002B27C8"/>
    <w:rsid w:val="002B2A7F"/>
    <w:rsid w:val="002B330B"/>
    <w:rsid w:val="002B39BE"/>
    <w:rsid w:val="002B3E13"/>
    <w:rsid w:val="002B438C"/>
    <w:rsid w:val="002B48DB"/>
    <w:rsid w:val="002B4B34"/>
    <w:rsid w:val="002B508E"/>
    <w:rsid w:val="002B541A"/>
    <w:rsid w:val="002B5A21"/>
    <w:rsid w:val="002B6407"/>
    <w:rsid w:val="002B6416"/>
    <w:rsid w:val="002B6459"/>
    <w:rsid w:val="002B64D2"/>
    <w:rsid w:val="002B73B0"/>
    <w:rsid w:val="002C1143"/>
    <w:rsid w:val="002C118E"/>
    <w:rsid w:val="002C24B4"/>
    <w:rsid w:val="002C2B3A"/>
    <w:rsid w:val="002C2B87"/>
    <w:rsid w:val="002C3CF4"/>
    <w:rsid w:val="002C40BA"/>
    <w:rsid w:val="002C441A"/>
    <w:rsid w:val="002C4A73"/>
    <w:rsid w:val="002C4B84"/>
    <w:rsid w:val="002C4C0C"/>
    <w:rsid w:val="002C5016"/>
    <w:rsid w:val="002C5186"/>
    <w:rsid w:val="002C5C2F"/>
    <w:rsid w:val="002C5D0F"/>
    <w:rsid w:val="002C5E87"/>
    <w:rsid w:val="002C60B9"/>
    <w:rsid w:val="002C6EAC"/>
    <w:rsid w:val="002C6F77"/>
    <w:rsid w:val="002C704D"/>
    <w:rsid w:val="002C711C"/>
    <w:rsid w:val="002D0845"/>
    <w:rsid w:val="002D0909"/>
    <w:rsid w:val="002D0933"/>
    <w:rsid w:val="002D19BB"/>
    <w:rsid w:val="002D1A9B"/>
    <w:rsid w:val="002D22C5"/>
    <w:rsid w:val="002D301F"/>
    <w:rsid w:val="002D302A"/>
    <w:rsid w:val="002D36C6"/>
    <w:rsid w:val="002D37C1"/>
    <w:rsid w:val="002D4292"/>
    <w:rsid w:val="002D444B"/>
    <w:rsid w:val="002D4A45"/>
    <w:rsid w:val="002D4A73"/>
    <w:rsid w:val="002D4AB1"/>
    <w:rsid w:val="002D4B42"/>
    <w:rsid w:val="002D4DBA"/>
    <w:rsid w:val="002D4F5F"/>
    <w:rsid w:val="002D5A1B"/>
    <w:rsid w:val="002D6438"/>
    <w:rsid w:val="002D65BC"/>
    <w:rsid w:val="002D6D7E"/>
    <w:rsid w:val="002D7EDD"/>
    <w:rsid w:val="002E055C"/>
    <w:rsid w:val="002E1050"/>
    <w:rsid w:val="002E18E5"/>
    <w:rsid w:val="002E1953"/>
    <w:rsid w:val="002E29A0"/>
    <w:rsid w:val="002E2D7D"/>
    <w:rsid w:val="002E3AB5"/>
    <w:rsid w:val="002E3D76"/>
    <w:rsid w:val="002E3F87"/>
    <w:rsid w:val="002E40A1"/>
    <w:rsid w:val="002E48EC"/>
    <w:rsid w:val="002E4B44"/>
    <w:rsid w:val="002E4ECB"/>
    <w:rsid w:val="002E4F23"/>
    <w:rsid w:val="002E571B"/>
    <w:rsid w:val="002E5B53"/>
    <w:rsid w:val="002E5BAE"/>
    <w:rsid w:val="002E7847"/>
    <w:rsid w:val="002E7F12"/>
    <w:rsid w:val="002E7FCF"/>
    <w:rsid w:val="002F0073"/>
    <w:rsid w:val="002F0544"/>
    <w:rsid w:val="002F0618"/>
    <w:rsid w:val="002F0643"/>
    <w:rsid w:val="002F170E"/>
    <w:rsid w:val="002F1D41"/>
    <w:rsid w:val="002F240B"/>
    <w:rsid w:val="002F2F50"/>
    <w:rsid w:val="002F3601"/>
    <w:rsid w:val="002F3C13"/>
    <w:rsid w:val="002F42B9"/>
    <w:rsid w:val="002F45F6"/>
    <w:rsid w:val="002F692F"/>
    <w:rsid w:val="002F6986"/>
    <w:rsid w:val="002F69BE"/>
    <w:rsid w:val="002F7B66"/>
    <w:rsid w:val="00300CB4"/>
    <w:rsid w:val="00300E24"/>
    <w:rsid w:val="0030101C"/>
    <w:rsid w:val="003026FC"/>
    <w:rsid w:val="003033BA"/>
    <w:rsid w:val="003043A3"/>
    <w:rsid w:val="00304BD4"/>
    <w:rsid w:val="0030500A"/>
    <w:rsid w:val="0030517B"/>
    <w:rsid w:val="003052EB"/>
    <w:rsid w:val="00305FCB"/>
    <w:rsid w:val="0030600C"/>
    <w:rsid w:val="003063C3"/>
    <w:rsid w:val="003068A3"/>
    <w:rsid w:val="00306B44"/>
    <w:rsid w:val="00306E41"/>
    <w:rsid w:val="00307C44"/>
    <w:rsid w:val="0031088E"/>
    <w:rsid w:val="00310A35"/>
    <w:rsid w:val="00310CAF"/>
    <w:rsid w:val="00310D01"/>
    <w:rsid w:val="00311376"/>
    <w:rsid w:val="00311551"/>
    <w:rsid w:val="00311A1F"/>
    <w:rsid w:val="00311B47"/>
    <w:rsid w:val="00311CF2"/>
    <w:rsid w:val="00311D52"/>
    <w:rsid w:val="00312190"/>
    <w:rsid w:val="00312343"/>
    <w:rsid w:val="003125E0"/>
    <w:rsid w:val="00312606"/>
    <w:rsid w:val="0031271D"/>
    <w:rsid w:val="00313447"/>
    <w:rsid w:val="00313748"/>
    <w:rsid w:val="00313EA3"/>
    <w:rsid w:val="00315457"/>
    <w:rsid w:val="003161A4"/>
    <w:rsid w:val="00316955"/>
    <w:rsid w:val="00316E52"/>
    <w:rsid w:val="0031720A"/>
    <w:rsid w:val="003173CF"/>
    <w:rsid w:val="0031749B"/>
    <w:rsid w:val="003174E5"/>
    <w:rsid w:val="00317C9D"/>
    <w:rsid w:val="00317CD2"/>
    <w:rsid w:val="00317D99"/>
    <w:rsid w:val="0032078D"/>
    <w:rsid w:val="00320A6E"/>
    <w:rsid w:val="00320F34"/>
    <w:rsid w:val="0032137B"/>
    <w:rsid w:val="003214F7"/>
    <w:rsid w:val="00321BD6"/>
    <w:rsid w:val="00321F66"/>
    <w:rsid w:val="00321FA3"/>
    <w:rsid w:val="003227D3"/>
    <w:rsid w:val="00322937"/>
    <w:rsid w:val="00322A46"/>
    <w:rsid w:val="00322A84"/>
    <w:rsid w:val="003231D0"/>
    <w:rsid w:val="00323881"/>
    <w:rsid w:val="00323B73"/>
    <w:rsid w:val="00324006"/>
    <w:rsid w:val="00325D98"/>
    <w:rsid w:val="0032664F"/>
    <w:rsid w:val="0032682A"/>
    <w:rsid w:val="00327A5C"/>
    <w:rsid w:val="0033092C"/>
    <w:rsid w:val="0033122A"/>
    <w:rsid w:val="003315AC"/>
    <w:rsid w:val="00331932"/>
    <w:rsid w:val="003337B5"/>
    <w:rsid w:val="00333A88"/>
    <w:rsid w:val="00333DAF"/>
    <w:rsid w:val="00333FFB"/>
    <w:rsid w:val="00334104"/>
    <w:rsid w:val="00335B15"/>
    <w:rsid w:val="00335B21"/>
    <w:rsid w:val="00335D3F"/>
    <w:rsid w:val="00336104"/>
    <w:rsid w:val="00336729"/>
    <w:rsid w:val="00336AB1"/>
    <w:rsid w:val="00336DBD"/>
    <w:rsid w:val="0033726D"/>
    <w:rsid w:val="00337362"/>
    <w:rsid w:val="00337CA8"/>
    <w:rsid w:val="0034125B"/>
    <w:rsid w:val="0034177C"/>
    <w:rsid w:val="00342345"/>
    <w:rsid w:val="00342C27"/>
    <w:rsid w:val="003430C8"/>
    <w:rsid w:val="003432C8"/>
    <w:rsid w:val="003434B3"/>
    <w:rsid w:val="00343536"/>
    <w:rsid w:val="00343EFB"/>
    <w:rsid w:val="003443DF"/>
    <w:rsid w:val="00344760"/>
    <w:rsid w:val="00344A64"/>
    <w:rsid w:val="0034541A"/>
    <w:rsid w:val="0034680A"/>
    <w:rsid w:val="00346C62"/>
    <w:rsid w:val="0034778E"/>
    <w:rsid w:val="003501E2"/>
    <w:rsid w:val="00350A59"/>
    <w:rsid w:val="00350BDD"/>
    <w:rsid w:val="00351E10"/>
    <w:rsid w:val="0035273A"/>
    <w:rsid w:val="0035287A"/>
    <w:rsid w:val="00352D59"/>
    <w:rsid w:val="003533F4"/>
    <w:rsid w:val="003536F6"/>
    <w:rsid w:val="00353DD5"/>
    <w:rsid w:val="0035496B"/>
    <w:rsid w:val="00355131"/>
    <w:rsid w:val="00356438"/>
    <w:rsid w:val="00361A59"/>
    <w:rsid w:val="003631CC"/>
    <w:rsid w:val="00363348"/>
    <w:rsid w:val="00363857"/>
    <w:rsid w:val="00363D59"/>
    <w:rsid w:val="003640F7"/>
    <w:rsid w:val="00364300"/>
    <w:rsid w:val="00365D3A"/>
    <w:rsid w:val="00365ED1"/>
    <w:rsid w:val="003661DD"/>
    <w:rsid w:val="003664FF"/>
    <w:rsid w:val="00366B70"/>
    <w:rsid w:val="00366BD2"/>
    <w:rsid w:val="003670B8"/>
    <w:rsid w:val="0036776E"/>
    <w:rsid w:val="003704A3"/>
    <w:rsid w:val="003706F2"/>
    <w:rsid w:val="0037101A"/>
    <w:rsid w:val="0037124F"/>
    <w:rsid w:val="00372C0A"/>
    <w:rsid w:val="00373827"/>
    <w:rsid w:val="00373F04"/>
    <w:rsid w:val="0037401C"/>
    <w:rsid w:val="00374A1E"/>
    <w:rsid w:val="0037507B"/>
    <w:rsid w:val="00375C7C"/>
    <w:rsid w:val="003762F6"/>
    <w:rsid w:val="00377027"/>
    <w:rsid w:val="00377135"/>
    <w:rsid w:val="00380272"/>
    <w:rsid w:val="00380576"/>
    <w:rsid w:val="003805DB"/>
    <w:rsid w:val="003813F4"/>
    <w:rsid w:val="0038152A"/>
    <w:rsid w:val="00382AEF"/>
    <w:rsid w:val="00382BAD"/>
    <w:rsid w:val="003830E3"/>
    <w:rsid w:val="00383A8D"/>
    <w:rsid w:val="00384DF1"/>
    <w:rsid w:val="00384FF3"/>
    <w:rsid w:val="00386456"/>
    <w:rsid w:val="003865A9"/>
    <w:rsid w:val="00387642"/>
    <w:rsid w:val="00390BD6"/>
    <w:rsid w:val="00390F32"/>
    <w:rsid w:val="0039135E"/>
    <w:rsid w:val="0039200F"/>
    <w:rsid w:val="003926C1"/>
    <w:rsid w:val="003928D5"/>
    <w:rsid w:val="00392A0D"/>
    <w:rsid w:val="0039319C"/>
    <w:rsid w:val="003939F6"/>
    <w:rsid w:val="00393CAE"/>
    <w:rsid w:val="003945DC"/>
    <w:rsid w:val="003945F4"/>
    <w:rsid w:val="00394EB5"/>
    <w:rsid w:val="003952C5"/>
    <w:rsid w:val="003953B4"/>
    <w:rsid w:val="0039615F"/>
    <w:rsid w:val="00396A29"/>
    <w:rsid w:val="00397E1D"/>
    <w:rsid w:val="00397FF0"/>
    <w:rsid w:val="003A0878"/>
    <w:rsid w:val="003A0E67"/>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24DB"/>
    <w:rsid w:val="003B2885"/>
    <w:rsid w:val="003B2EF3"/>
    <w:rsid w:val="003B3676"/>
    <w:rsid w:val="003B398C"/>
    <w:rsid w:val="003B4053"/>
    <w:rsid w:val="003B4B1C"/>
    <w:rsid w:val="003B4CB2"/>
    <w:rsid w:val="003B534F"/>
    <w:rsid w:val="003B5391"/>
    <w:rsid w:val="003B5586"/>
    <w:rsid w:val="003B5952"/>
    <w:rsid w:val="003B5E48"/>
    <w:rsid w:val="003B65D7"/>
    <w:rsid w:val="003B65E0"/>
    <w:rsid w:val="003B6BD4"/>
    <w:rsid w:val="003B6F4D"/>
    <w:rsid w:val="003B6FE7"/>
    <w:rsid w:val="003C0271"/>
    <w:rsid w:val="003C0791"/>
    <w:rsid w:val="003C0A42"/>
    <w:rsid w:val="003C0D1F"/>
    <w:rsid w:val="003C104D"/>
    <w:rsid w:val="003C116A"/>
    <w:rsid w:val="003C1AF4"/>
    <w:rsid w:val="003C1B63"/>
    <w:rsid w:val="003C1CB8"/>
    <w:rsid w:val="003C2550"/>
    <w:rsid w:val="003C287F"/>
    <w:rsid w:val="003C3339"/>
    <w:rsid w:val="003C375A"/>
    <w:rsid w:val="003C3DC8"/>
    <w:rsid w:val="003C43F6"/>
    <w:rsid w:val="003C4CF4"/>
    <w:rsid w:val="003C4D9F"/>
    <w:rsid w:val="003C5C83"/>
    <w:rsid w:val="003C5F0C"/>
    <w:rsid w:val="003C60BB"/>
    <w:rsid w:val="003C622C"/>
    <w:rsid w:val="003C73C7"/>
    <w:rsid w:val="003D03F3"/>
    <w:rsid w:val="003D050B"/>
    <w:rsid w:val="003D0B98"/>
    <w:rsid w:val="003D0C3C"/>
    <w:rsid w:val="003D0DE5"/>
    <w:rsid w:val="003D1351"/>
    <w:rsid w:val="003D21C1"/>
    <w:rsid w:val="003D29BB"/>
    <w:rsid w:val="003D3707"/>
    <w:rsid w:val="003D3B15"/>
    <w:rsid w:val="003D3B2E"/>
    <w:rsid w:val="003D484D"/>
    <w:rsid w:val="003D49CB"/>
    <w:rsid w:val="003D4AE6"/>
    <w:rsid w:val="003D4BD6"/>
    <w:rsid w:val="003D6B8F"/>
    <w:rsid w:val="003D7566"/>
    <w:rsid w:val="003D79D3"/>
    <w:rsid w:val="003E08B3"/>
    <w:rsid w:val="003E09BB"/>
    <w:rsid w:val="003E159D"/>
    <w:rsid w:val="003E1E35"/>
    <w:rsid w:val="003E20EA"/>
    <w:rsid w:val="003E210C"/>
    <w:rsid w:val="003E2913"/>
    <w:rsid w:val="003E2F55"/>
    <w:rsid w:val="003E317C"/>
    <w:rsid w:val="003E34DB"/>
    <w:rsid w:val="003E3833"/>
    <w:rsid w:val="003E3902"/>
    <w:rsid w:val="003E3AF9"/>
    <w:rsid w:val="003E4A70"/>
    <w:rsid w:val="003E4C48"/>
    <w:rsid w:val="003E4CD9"/>
    <w:rsid w:val="003E54B3"/>
    <w:rsid w:val="003E5780"/>
    <w:rsid w:val="003E5B9F"/>
    <w:rsid w:val="003E6072"/>
    <w:rsid w:val="003E6AB6"/>
    <w:rsid w:val="003E6E0B"/>
    <w:rsid w:val="003E71CD"/>
    <w:rsid w:val="003E74E5"/>
    <w:rsid w:val="003E76DF"/>
    <w:rsid w:val="003E78DA"/>
    <w:rsid w:val="003E7A8B"/>
    <w:rsid w:val="003F04B0"/>
    <w:rsid w:val="003F0BFA"/>
    <w:rsid w:val="003F0F14"/>
    <w:rsid w:val="003F0F7F"/>
    <w:rsid w:val="003F300D"/>
    <w:rsid w:val="003F391F"/>
    <w:rsid w:val="003F4599"/>
    <w:rsid w:val="003F45E1"/>
    <w:rsid w:val="003F4F6C"/>
    <w:rsid w:val="003F516A"/>
    <w:rsid w:val="003F52D4"/>
    <w:rsid w:val="003F559E"/>
    <w:rsid w:val="003F5DB7"/>
    <w:rsid w:val="003F6181"/>
    <w:rsid w:val="003F7343"/>
    <w:rsid w:val="00400002"/>
    <w:rsid w:val="00400048"/>
    <w:rsid w:val="00400054"/>
    <w:rsid w:val="0040047E"/>
    <w:rsid w:val="004006DC"/>
    <w:rsid w:val="004006E8"/>
    <w:rsid w:val="004012EE"/>
    <w:rsid w:val="004016A3"/>
    <w:rsid w:val="00401B31"/>
    <w:rsid w:val="0040202B"/>
    <w:rsid w:val="00402B70"/>
    <w:rsid w:val="00402DE1"/>
    <w:rsid w:val="00402EEB"/>
    <w:rsid w:val="00402F4B"/>
    <w:rsid w:val="004037C2"/>
    <w:rsid w:val="00403D55"/>
    <w:rsid w:val="00404041"/>
    <w:rsid w:val="00404B43"/>
    <w:rsid w:val="00404C61"/>
    <w:rsid w:val="00404D2A"/>
    <w:rsid w:val="00405328"/>
    <w:rsid w:val="00405487"/>
    <w:rsid w:val="0040602B"/>
    <w:rsid w:val="00407A7A"/>
    <w:rsid w:val="00407ABC"/>
    <w:rsid w:val="00407F1E"/>
    <w:rsid w:val="00410A88"/>
    <w:rsid w:val="00411317"/>
    <w:rsid w:val="00411715"/>
    <w:rsid w:val="00411A9E"/>
    <w:rsid w:val="0041259F"/>
    <w:rsid w:val="00412B4D"/>
    <w:rsid w:val="00412BBF"/>
    <w:rsid w:val="00412C51"/>
    <w:rsid w:val="00413262"/>
    <w:rsid w:val="0041329C"/>
    <w:rsid w:val="004134AD"/>
    <w:rsid w:val="004139F4"/>
    <w:rsid w:val="00413FFA"/>
    <w:rsid w:val="00414246"/>
    <w:rsid w:val="0041475B"/>
    <w:rsid w:val="00414760"/>
    <w:rsid w:val="00414D9A"/>
    <w:rsid w:val="00415194"/>
    <w:rsid w:val="00415816"/>
    <w:rsid w:val="00415B88"/>
    <w:rsid w:val="00415D32"/>
    <w:rsid w:val="004160A2"/>
    <w:rsid w:val="00417089"/>
    <w:rsid w:val="004170D7"/>
    <w:rsid w:val="004177A6"/>
    <w:rsid w:val="00417EFD"/>
    <w:rsid w:val="004200EE"/>
    <w:rsid w:val="004209D2"/>
    <w:rsid w:val="00420B82"/>
    <w:rsid w:val="00420D6E"/>
    <w:rsid w:val="00421BD2"/>
    <w:rsid w:val="00421E00"/>
    <w:rsid w:val="00421FCB"/>
    <w:rsid w:val="00421FF6"/>
    <w:rsid w:val="004222E3"/>
    <w:rsid w:val="00422DCA"/>
    <w:rsid w:val="00422F42"/>
    <w:rsid w:val="00423F9F"/>
    <w:rsid w:val="00425C43"/>
    <w:rsid w:val="00426419"/>
    <w:rsid w:val="00426C69"/>
    <w:rsid w:val="004273FA"/>
    <w:rsid w:val="00430186"/>
    <w:rsid w:val="00430740"/>
    <w:rsid w:val="004321A8"/>
    <w:rsid w:val="0043269A"/>
    <w:rsid w:val="00432E14"/>
    <w:rsid w:val="0043318B"/>
    <w:rsid w:val="004333C2"/>
    <w:rsid w:val="00433ACB"/>
    <w:rsid w:val="00434787"/>
    <w:rsid w:val="004347DA"/>
    <w:rsid w:val="00434C13"/>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581A"/>
    <w:rsid w:val="00445AC2"/>
    <w:rsid w:val="00446037"/>
    <w:rsid w:val="004461C0"/>
    <w:rsid w:val="0044642F"/>
    <w:rsid w:val="0044772C"/>
    <w:rsid w:val="00450846"/>
    <w:rsid w:val="00451A52"/>
    <w:rsid w:val="00451FC8"/>
    <w:rsid w:val="00452380"/>
    <w:rsid w:val="00452603"/>
    <w:rsid w:val="0045271D"/>
    <w:rsid w:val="00452755"/>
    <w:rsid w:val="00452803"/>
    <w:rsid w:val="004529C6"/>
    <w:rsid w:val="00452B1D"/>
    <w:rsid w:val="00452EAD"/>
    <w:rsid w:val="004533D1"/>
    <w:rsid w:val="004534D1"/>
    <w:rsid w:val="00453A53"/>
    <w:rsid w:val="00454548"/>
    <w:rsid w:val="00454582"/>
    <w:rsid w:val="00454717"/>
    <w:rsid w:val="00455047"/>
    <w:rsid w:val="00455354"/>
    <w:rsid w:val="0045558D"/>
    <w:rsid w:val="00455DEE"/>
    <w:rsid w:val="00456970"/>
    <w:rsid w:val="00456BB1"/>
    <w:rsid w:val="00456DDB"/>
    <w:rsid w:val="0045796D"/>
    <w:rsid w:val="004602D6"/>
    <w:rsid w:val="0046080F"/>
    <w:rsid w:val="00460915"/>
    <w:rsid w:val="00460946"/>
    <w:rsid w:val="004613D2"/>
    <w:rsid w:val="004614A9"/>
    <w:rsid w:val="00461B6F"/>
    <w:rsid w:val="00461E97"/>
    <w:rsid w:val="0046268F"/>
    <w:rsid w:val="0046284F"/>
    <w:rsid w:val="00462B10"/>
    <w:rsid w:val="00462C04"/>
    <w:rsid w:val="0046320A"/>
    <w:rsid w:val="0046361D"/>
    <w:rsid w:val="004638E2"/>
    <w:rsid w:val="00464030"/>
    <w:rsid w:val="00464526"/>
    <w:rsid w:val="004647F8"/>
    <w:rsid w:val="004647FB"/>
    <w:rsid w:val="00465456"/>
    <w:rsid w:val="00465677"/>
    <w:rsid w:val="00465AC3"/>
    <w:rsid w:val="00466616"/>
    <w:rsid w:val="00466A0C"/>
    <w:rsid w:val="00470A6A"/>
    <w:rsid w:val="00470D92"/>
    <w:rsid w:val="004712D1"/>
    <w:rsid w:val="00471DF7"/>
    <w:rsid w:val="00471F6B"/>
    <w:rsid w:val="0047295C"/>
    <w:rsid w:val="00472D8E"/>
    <w:rsid w:val="004734CF"/>
    <w:rsid w:val="00474889"/>
    <w:rsid w:val="00475C5A"/>
    <w:rsid w:val="00475C9C"/>
    <w:rsid w:val="0047676B"/>
    <w:rsid w:val="0047773C"/>
    <w:rsid w:val="00477C5F"/>
    <w:rsid w:val="00480050"/>
    <w:rsid w:val="004808DE"/>
    <w:rsid w:val="00481AC4"/>
    <w:rsid w:val="00481CAF"/>
    <w:rsid w:val="00481DC1"/>
    <w:rsid w:val="00482507"/>
    <w:rsid w:val="0048268A"/>
    <w:rsid w:val="00483020"/>
    <w:rsid w:val="0048323B"/>
    <w:rsid w:val="00483356"/>
    <w:rsid w:val="004835CA"/>
    <w:rsid w:val="004836F8"/>
    <w:rsid w:val="004836FE"/>
    <w:rsid w:val="00484074"/>
    <w:rsid w:val="004843F9"/>
    <w:rsid w:val="00484F0F"/>
    <w:rsid w:val="00484F40"/>
    <w:rsid w:val="0048540C"/>
    <w:rsid w:val="0048592F"/>
    <w:rsid w:val="00485CC2"/>
    <w:rsid w:val="0048605E"/>
    <w:rsid w:val="004861B4"/>
    <w:rsid w:val="00486AB4"/>
    <w:rsid w:val="00486BD0"/>
    <w:rsid w:val="00486D00"/>
    <w:rsid w:val="00487263"/>
    <w:rsid w:val="0048734F"/>
    <w:rsid w:val="004875F1"/>
    <w:rsid w:val="0049029D"/>
    <w:rsid w:val="0049030C"/>
    <w:rsid w:val="004903C0"/>
    <w:rsid w:val="0049114B"/>
    <w:rsid w:val="004912A8"/>
    <w:rsid w:val="00491577"/>
    <w:rsid w:val="0049196E"/>
    <w:rsid w:val="00491ECA"/>
    <w:rsid w:val="0049241A"/>
    <w:rsid w:val="00492C1F"/>
    <w:rsid w:val="00492E4C"/>
    <w:rsid w:val="00493B2C"/>
    <w:rsid w:val="00493E04"/>
    <w:rsid w:val="004940E3"/>
    <w:rsid w:val="0049530F"/>
    <w:rsid w:val="0049657C"/>
    <w:rsid w:val="00496664"/>
    <w:rsid w:val="00496786"/>
    <w:rsid w:val="0049695B"/>
    <w:rsid w:val="00496D00"/>
    <w:rsid w:val="00496D8F"/>
    <w:rsid w:val="00497463"/>
    <w:rsid w:val="00497B15"/>
    <w:rsid w:val="004A054C"/>
    <w:rsid w:val="004A08D1"/>
    <w:rsid w:val="004A16C1"/>
    <w:rsid w:val="004A1CE2"/>
    <w:rsid w:val="004A2069"/>
    <w:rsid w:val="004A2800"/>
    <w:rsid w:val="004A34D2"/>
    <w:rsid w:val="004A41BA"/>
    <w:rsid w:val="004A4301"/>
    <w:rsid w:val="004A4E65"/>
    <w:rsid w:val="004A57E7"/>
    <w:rsid w:val="004A58EE"/>
    <w:rsid w:val="004A59B7"/>
    <w:rsid w:val="004A623B"/>
    <w:rsid w:val="004A6A04"/>
    <w:rsid w:val="004A6A52"/>
    <w:rsid w:val="004A6C78"/>
    <w:rsid w:val="004B01B9"/>
    <w:rsid w:val="004B0D62"/>
    <w:rsid w:val="004B0F0B"/>
    <w:rsid w:val="004B12C3"/>
    <w:rsid w:val="004B163F"/>
    <w:rsid w:val="004B2197"/>
    <w:rsid w:val="004B298A"/>
    <w:rsid w:val="004B578D"/>
    <w:rsid w:val="004B5BE7"/>
    <w:rsid w:val="004B5E2D"/>
    <w:rsid w:val="004B6793"/>
    <w:rsid w:val="004B6C07"/>
    <w:rsid w:val="004B74D3"/>
    <w:rsid w:val="004B76D3"/>
    <w:rsid w:val="004B788E"/>
    <w:rsid w:val="004B7E5D"/>
    <w:rsid w:val="004C0DD8"/>
    <w:rsid w:val="004C22F7"/>
    <w:rsid w:val="004C250B"/>
    <w:rsid w:val="004C2B27"/>
    <w:rsid w:val="004C334F"/>
    <w:rsid w:val="004C3929"/>
    <w:rsid w:val="004C4DCB"/>
    <w:rsid w:val="004C5212"/>
    <w:rsid w:val="004C5B3B"/>
    <w:rsid w:val="004C5EF0"/>
    <w:rsid w:val="004C613A"/>
    <w:rsid w:val="004C7226"/>
    <w:rsid w:val="004C74C9"/>
    <w:rsid w:val="004C7D70"/>
    <w:rsid w:val="004D02F9"/>
    <w:rsid w:val="004D03FE"/>
    <w:rsid w:val="004D0446"/>
    <w:rsid w:val="004D0A4F"/>
    <w:rsid w:val="004D0F95"/>
    <w:rsid w:val="004D106A"/>
    <w:rsid w:val="004D2E24"/>
    <w:rsid w:val="004D31EE"/>
    <w:rsid w:val="004D36AF"/>
    <w:rsid w:val="004D3BD1"/>
    <w:rsid w:val="004D41A2"/>
    <w:rsid w:val="004D4BA1"/>
    <w:rsid w:val="004D532C"/>
    <w:rsid w:val="004D5451"/>
    <w:rsid w:val="004D584D"/>
    <w:rsid w:val="004D6826"/>
    <w:rsid w:val="004D68E0"/>
    <w:rsid w:val="004D7ADB"/>
    <w:rsid w:val="004E023F"/>
    <w:rsid w:val="004E0742"/>
    <w:rsid w:val="004E0C64"/>
    <w:rsid w:val="004E0F36"/>
    <w:rsid w:val="004E0F6B"/>
    <w:rsid w:val="004E1545"/>
    <w:rsid w:val="004E1F1C"/>
    <w:rsid w:val="004E2A35"/>
    <w:rsid w:val="004E38A2"/>
    <w:rsid w:val="004E40CE"/>
    <w:rsid w:val="004E4465"/>
    <w:rsid w:val="004E518D"/>
    <w:rsid w:val="004E5736"/>
    <w:rsid w:val="004E5B36"/>
    <w:rsid w:val="004E6045"/>
    <w:rsid w:val="004E694F"/>
    <w:rsid w:val="004E6F43"/>
    <w:rsid w:val="004E7200"/>
    <w:rsid w:val="004E7815"/>
    <w:rsid w:val="004F034D"/>
    <w:rsid w:val="004F091D"/>
    <w:rsid w:val="004F0960"/>
    <w:rsid w:val="004F0A5C"/>
    <w:rsid w:val="004F163F"/>
    <w:rsid w:val="004F18A0"/>
    <w:rsid w:val="004F1A08"/>
    <w:rsid w:val="004F2B64"/>
    <w:rsid w:val="004F3613"/>
    <w:rsid w:val="004F3764"/>
    <w:rsid w:val="004F3EEF"/>
    <w:rsid w:val="004F3F74"/>
    <w:rsid w:val="004F4B65"/>
    <w:rsid w:val="004F4E68"/>
    <w:rsid w:val="004F548C"/>
    <w:rsid w:val="004F5930"/>
    <w:rsid w:val="004F5970"/>
    <w:rsid w:val="004F5F0C"/>
    <w:rsid w:val="004F6121"/>
    <w:rsid w:val="004F6161"/>
    <w:rsid w:val="004F66BC"/>
    <w:rsid w:val="004F67B2"/>
    <w:rsid w:val="004F6C26"/>
    <w:rsid w:val="004F78FE"/>
    <w:rsid w:val="004F7AC9"/>
    <w:rsid w:val="004F7E5A"/>
    <w:rsid w:val="004F7F1A"/>
    <w:rsid w:val="0050062F"/>
    <w:rsid w:val="005012E2"/>
    <w:rsid w:val="00501481"/>
    <w:rsid w:val="0050160F"/>
    <w:rsid w:val="00501C4F"/>
    <w:rsid w:val="005024C8"/>
    <w:rsid w:val="0050284E"/>
    <w:rsid w:val="00503BB0"/>
    <w:rsid w:val="00505926"/>
    <w:rsid w:val="00505DCB"/>
    <w:rsid w:val="00506CBA"/>
    <w:rsid w:val="005075CA"/>
    <w:rsid w:val="005079D8"/>
    <w:rsid w:val="0051074C"/>
    <w:rsid w:val="00510DE9"/>
    <w:rsid w:val="005111E2"/>
    <w:rsid w:val="00511231"/>
    <w:rsid w:val="00512779"/>
    <w:rsid w:val="00512C4F"/>
    <w:rsid w:val="00513042"/>
    <w:rsid w:val="0051334F"/>
    <w:rsid w:val="00513399"/>
    <w:rsid w:val="00513AA0"/>
    <w:rsid w:val="00513AF2"/>
    <w:rsid w:val="00514575"/>
    <w:rsid w:val="00514C03"/>
    <w:rsid w:val="00514D67"/>
    <w:rsid w:val="00515515"/>
    <w:rsid w:val="005155A6"/>
    <w:rsid w:val="00515F54"/>
    <w:rsid w:val="00516338"/>
    <w:rsid w:val="0051635C"/>
    <w:rsid w:val="00516880"/>
    <w:rsid w:val="00516C5B"/>
    <w:rsid w:val="00517612"/>
    <w:rsid w:val="00517CFB"/>
    <w:rsid w:val="00517F85"/>
    <w:rsid w:val="00520899"/>
    <w:rsid w:val="00520922"/>
    <w:rsid w:val="005209FC"/>
    <w:rsid w:val="00520E50"/>
    <w:rsid w:val="005224E5"/>
    <w:rsid w:val="005226BE"/>
    <w:rsid w:val="00523903"/>
    <w:rsid w:val="005239B6"/>
    <w:rsid w:val="00523C45"/>
    <w:rsid w:val="00524165"/>
    <w:rsid w:val="005242BA"/>
    <w:rsid w:val="005246E7"/>
    <w:rsid w:val="005247B5"/>
    <w:rsid w:val="00524FD2"/>
    <w:rsid w:val="00525621"/>
    <w:rsid w:val="00526431"/>
    <w:rsid w:val="005265D8"/>
    <w:rsid w:val="0052701B"/>
    <w:rsid w:val="005279FC"/>
    <w:rsid w:val="00527C6B"/>
    <w:rsid w:val="00527E57"/>
    <w:rsid w:val="00530405"/>
    <w:rsid w:val="00530522"/>
    <w:rsid w:val="005305E5"/>
    <w:rsid w:val="00530F38"/>
    <w:rsid w:val="00531F26"/>
    <w:rsid w:val="0053277C"/>
    <w:rsid w:val="005327C0"/>
    <w:rsid w:val="00533101"/>
    <w:rsid w:val="0053394C"/>
    <w:rsid w:val="00533CA9"/>
    <w:rsid w:val="00533DA7"/>
    <w:rsid w:val="005346AD"/>
    <w:rsid w:val="00534C97"/>
    <w:rsid w:val="00534EFB"/>
    <w:rsid w:val="00534F60"/>
    <w:rsid w:val="00535083"/>
    <w:rsid w:val="005357F1"/>
    <w:rsid w:val="00536053"/>
    <w:rsid w:val="005369E6"/>
    <w:rsid w:val="00536E62"/>
    <w:rsid w:val="005371AC"/>
    <w:rsid w:val="00537672"/>
    <w:rsid w:val="0053772F"/>
    <w:rsid w:val="00537B77"/>
    <w:rsid w:val="005409B6"/>
    <w:rsid w:val="00540C4C"/>
    <w:rsid w:val="00541571"/>
    <w:rsid w:val="0054245B"/>
    <w:rsid w:val="0054275A"/>
    <w:rsid w:val="005428B8"/>
    <w:rsid w:val="00542BD7"/>
    <w:rsid w:val="00542E67"/>
    <w:rsid w:val="00543084"/>
    <w:rsid w:val="00543CA5"/>
    <w:rsid w:val="0054413A"/>
    <w:rsid w:val="00544288"/>
    <w:rsid w:val="005446BB"/>
    <w:rsid w:val="00545E30"/>
    <w:rsid w:val="00545EA3"/>
    <w:rsid w:val="00546293"/>
    <w:rsid w:val="00546C9B"/>
    <w:rsid w:val="00547BF6"/>
    <w:rsid w:val="005502F9"/>
    <w:rsid w:val="00551098"/>
    <w:rsid w:val="00551581"/>
    <w:rsid w:val="00551598"/>
    <w:rsid w:val="0055162B"/>
    <w:rsid w:val="00551BFF"/>
    <w:rsid w:val="00551D68"/>
    <w:rsid w:val="00552B3E"/>
    <w:rsid w:val="005551AA"/>
    <w:rsid w:val="005564CA"/>
    <w:rsid w:val="005568EA"/>
    <w:rsid w:val="00557140"/>
    <w:rsid w:val="00557368"/>
    <w:rsid w:val="005577D3"/>
    <w:rsid w:val="005578E6"/>
    <w:rsid w:val="0056058C"/>
    <w:rsid w:val="00560C87"/>
    <w:rsid w:val="00560EF9"/>
    <w:rsid w:val="00560F51"/>
    <w:rsid w:val="00561249"/>
    <w:rsid w:val="0056182B"/>
    <w:rsid w:val="005619D3"/>
    <w:rsid w:val="00561AF3"/>
    <w:rsid w:val="00561E0B"/>
    <w:rsid w:val="00562141"/>
    <w:rsid w:val="00562D86"/>
    <w:rsid w:val="005642EC"/>
    <w:rsid w:val="00564704"/>
    <w:rsid w:val="00564712"/>
    <w:rsid w:val="005657A8"/>
    <w:rsid w:val="00565952"/>
    <w:rsid w:val="00566866"/>
    <w:rsid w:val="00566D8F"/>
    <w:rsid w:val="005670A5"/>
    <w:rsid w:val="00567106"/>
    <w:rsid w:val="00567723"/>
    <w:rsid w:val="00567754"/>
    <w:rsid w:val="00567AB8"/>
    <w:rsid w:val="005707F7"/>
    <w:rsid w:val="00570A26"/>
    <w:rsid w:val="0057221F"/>
    <w:rsid w:val="00572539"/>
    <w:rsid w:val="0057293F"/>
    <w:rsid w:val="00573137"/>
    <w:rsid w:val="0057337D"/>
    <w:rsid w:val="00573504"/>
    <w:rsid w:val="00573788"/>
    <w:rsid w:val="00574701"/>
    <w:rsid w:val="00574708"/>
    <w:rsid w:val="00574932"/>
    <w:rsid w:val="00574D81"/>
    <w:rsid w:val="005756AA"/>
    <w:rsid w:val="00576233"/>
    <w:rsid w:val="0057696F"/>
    <w:rsid w:val="005774FE"/>
    <w:rsid w:val="0058040C"/>
    <w:rsid w:val="00580D6D"/>
    <w:rsid w:val="00580FB3"/>
    <w:rsid w:val="005813DE"/>
    <w:rsid w:val="00581796"/>
    <w:rsid w:val="00581B45"/>
    <w:rsid w:val="005820E6"/>
    <w:rsid w:val="00582480"/>
    <w:rsid w:val="0058290E"/>
    <w:rsid w:val="00582CAB"/>
    <w:rsid w:val="005831B5"/>
    <w:rsid w:val="0058375E"/>
    <w:rsid w:val="00583E28"/>
    <w:rsid w:val="00584233"/>
    <w:rsid w:val="005842D0"/>
    <w:rsid w:val="0058439F"/>
    <w:rsid w:val="005855AE"/>
    <w:rsid w:val="00585829"/>
    <w:rsid w:val="00585BDB"/>
    <w:rsid w:val="00585CA8"/>
    <w:rsid w:val="00586412"/>
    <w:rsid w:val="005864B9"/>
    <w:rsid w:val="005866C4"/>
    <w:rsid w:val="00586BDB"/>
    <w:rsid w:val="00590A6C"/>
    <w:rsid w:val="00590F1A"/>
    <w:rsid w:val="00591100"/>
    <w:rsid w:val="00591C03"/>
    <w:rsid w:val="00591E2A"/>
    <w:rsid w:val="005923C4"/>
    <w:rsid w:val="00592C8D"/>
    <w:rsid w:val="00593F75"/>
    <w:rsid w:val="005940A0"/>
    <w:rsid w:val="0059429A"/>
    <w:rsid w:val="0059546C"/>
    <w:rsid w:val="00595FDD"/>
    <w:rsid w:val="00596AF7"/>
    <w:rsid w:val="00596CCE"/>
    <w:rsid w:val="00597E38"/>
    <w:rsid w:val="005A0949"/>
    <w:rsid w:val="005A1100"/>
    <w:rsid w:val="005A140F"/>
    <w:rsid w:val="005A1976"/>
    <w:rsid w:val="005A2120"/>
    <w:rsid w:val="005A2501"/>
    <w:rsid w:val="005A2C80"/>
    <w:rsid w:val="005A3066"/>
    <w:rsid w:val="005A3457"/>
    <w:rsid w:val="005A3B35"/>
    <w:rsid w:val="005A3C4B"/>
    <w:rsid w:val="005A3E5A"/>
    <w:rsid w:val="005A43F3"/>
    <w:rsid w:val="005A496F"/>
    <w:rsid w:val="005A4A56"/>
    <w:rsid w:val="005A5A3D"/>
    <w:rsid w:val="005A6035"/>
    <w:rsid w:val="005A6B75"/>
    <w:rsid w:val="005A6E00"/>
    <w:rsid w:val="005A718A"/>
    <w:rsid w:val="005A76E3"/>
    <w:rsid w:val="005B09BE"/>
    <w:rsid w:val="005B12B2"/>
    <w:rsid w:val="005B143B"/>
    <w:rsid w:val="005B174F"/>
    <w:rsid w:val="005B1E45"/>
    <w:rsid w:val="005B21C4"/>
    <w:rsid w:val="005B2A28"/>
    <w:rsid w:val="005B33B6"/>
    <w:rsid w:val="005B3621"/>
    <w:rsid w:val="005B4948"/>
    <w:rsid w:val="005B4B5B"/>
    <w:rsid w:val="005B4FE5"/>
    <w:rsid w:val="005B501D"/>
    <w:rsid w:val="005B54CC"/>
    <w:rsid w:val="005B74AD"/>
    <w:rsid w:val="005B7E96"/>
    <w:rsid w:val="005C01C1"/>
    <w:rsid w:val="005C0429"/>
    <w:rsid w:val="005C084F"/>
    <w:rsid w:val="005C0CE0"/>
    <w:rsid w:val="005C0EE9"/>
    <w:rsid w:val="005C13F0"/>
    <w:rsid w:val="005C1716"/>
    <w:rsid w:val="005C1954"/>
    <w:rsid w:val="005C1C0B"/>
    <w:rsid w:val="005C1D53"/>
    <w:rsid w:val="005C2011"/>
    <w:rsid w:val="005C2BCC"/>
    <w:rsid w:val="005C36CF"/>
    <w:rsid w:val="005C3EA3"/>
    <w:rsid w:val="005C5011"/>
    <w:rsid w:val="005C529E"/>
    <w:rsid w:val="005C57BA"/>
    <w:rsid w:val="005C5C52"/>
    <w:rsid w:val="005C5D3D"/>
    <w:rsid w:val="005C5E66"/>
    <w:rsid w:val="005C5F05"/>
    <w:rsid w:val="005C5F9A"/>
    <w:rsid w:val="005C6EB9"/>
    <w:rsid w:val="005C7F3E"/>
    <w:rsid w:val="005D0E1C"/>
    <w:rsid w:val="005D1051"/>
    <w:rsid w:val="005D119F"/>
    <w:rsid w:val="005D2044"/>
    <w:rsid w:val="005D24C7"/>
    <w:rsid w:val="005D27DC"/>
    <w:rsid w:val="005D2917"/>
    <w:rsid w:val="005D2EB2"/>
    <w:rsid w:val="005D2F48"/>
    <w:rsid w:val="005D3811"/>
    <w:rsid w:val="005D3BEE"/>
    <w:rsid w:val="005D464B"/>
    <w:rsid w:val="005D466F"/>
    <w:rsid w:val="005D49F0"/>
    <w:rsid w:val="005D51FA"/>
    <w:rsid w:val="005D53E8"/>
    <w:rsid w:val="005D5A26"/>
    <w:rsid w:val="005D5A9D"/>
    <w:rsid w:val="005D6651"/>
    <w:rsid w:val="005D691D"/>
    <w:rsid w:val="005D6A72"/>
    <w:rsid w:val="005D749F"/>
    <w:rsid w:val="005D791B"/>
    <w:rsid w:val="005D7CF2"/>
    <w:rsid w:val="005D7F92"/>
    <w:rsid w:val="005E0D7B"/>
    <w:rsid w:val="005E1595"/>
    <w:rsid w:val="005E16C1"/>
    <w:rsid w:val="005E1F1D"/>
    <w:rsid w:val="005E273D"/>
    <w:rsid w:val="005E2C4E"/>
    <w:rsid w:val="005E2FBD"/>
    <w:rsid w:val="005E3278"/>
    <w:rsid w:val="005E363B"/>
    <w:rsid w:val="005E3B0D"/>
    <w:rsid w:val="005E3FB1"/>
    <w:rsid w:val="005E456A"/>
    <w:rsid w:val="005E4DEF"/>
    <w:rsid w:val="005E6EA5"/>
    <w:rsid w:val="005E7016"/>
    <w:rsid w:val="005E7952"/>
    <w:rsid w:val="005E7FB5"/>
    <w:rsid w:val="005F0081"/>
    <w:rsid w:val="005F041F"/>
    <w:rsid w:val="005F0AF6"/>
    <w:rsid w:val="005F0F06"/>
    <w:rsid w:val="005F1216"/>
    <w:rsid w:val="005F1819"/>
    <w:rsid w:val="005F1D7D"/>
    <w:rsid w:val="005F1D89"/>
    <w:rsid w:val="005F2558"/>
    <w:rsid w:val="005F271F"/>
    <w:rsid w:val="005F305B"/>
    <w:rsid w:val="005F3171"/>
    <w:rsid w:val="005F31DA"/>
    <w:rsid w:val="005F3279"/>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3C9"/>
    <w:rsid w:val="006016EA"/>
    <w:rsid w:val="00602B45"/>
    <w:rsid w:val="00603499"/>
    <w:rsid w:val="006035F5"/>
    <w:rsid w:val="00603CC2"/>
    <w:rsid w:val="00603FE1"/>
    <w:rsid w:val="006040BA"/>
    <w:rsid w:val="006047D1"/>
    <w:rsid w:val="00604A55"/>
    <w:rsid w:val="00604D3F"/>
    <w:rsid w:val="00605AC3"/>
    <w:rsid w:val="00606908"/>
    <w:rsid w:val="00607996"/>
    <w:rsid w:val="00607A37"/>
    <w:rsid w:val="00607E9F"/>
    <w:rsid w:val="0061085E"/>
    <w:rsid w:val="00611398"/>
    <w:rsid w:val="00612322"/>
    <w:rsid w:val="006123C0"/>
    <w:rsid w:val="00613191"/>
    <w:rsid w:val="006133F9"/>
    <w:rsid w:val="006134B3"/>
    <w:rsid w:val="0061360F"/>
    <w:rsid w:val="00613DE1"/>
    <w:rsid w:val="0061401F"/>
    <w:rsid w:val="00614166"/>
    <w:rsid w:val="00614817"/>
    <w:rsid w:val="006149CC"/>
    <w:rsid w:val="00614ADC"/>
    <w:rsid w:val="006157A9"/>
    <w:rsid w:val="0061591D"/>
    <w:rsid w:val="00615ED0"/>
    <w:rsid w:val="0061604C"/>
    <w:rsid w:val="0061610B"/>
    <w:rsid w:val="00616C2B"/>
    <w:rsid w:val="006174FA"/>
    <w:rsid w:val="00617572"/>
    <w:rsid w:val="006178D1"/>
    <w:rsid w:val="00620719"/>
    <w:rsid w:val="006212C9"/>
    <w:rsid w:val="00621459"/>
    <w:rsid w:val="00621D0C"/>
    <w:rsid w:val="00622470"/>
    <w:rsid w:val="00622725"/>
    <w:rsid w:val="006231AA"/>
    <w:rsid w:val="00623482"/>
    <w:rsid w:val="00623822"/>
    <w:rsid w:val="00623AC2"/>
    <w:rsid w:val="00623FF7"/>
    <w:rsid w:val="00625A26"/>
    <w:rsid w:val="00625F38"/>
    <w:rsid w:val="006266D7"/>
    <w:rsid w:val="00626D42"/>
    <w:rsid w:val="00626EE3"/>
    <w:rsid w:val="006274AD"/>
    <w:rsid w:val="00627532"/>
    <w:rsid w:val="006302AA"/>
    <w:rsid w:val="006310C3"/>
    <w:rsid w:val="0063161E"/>
    <w:rsid w:val="0063167C"/>
    <w:rsid w:val="00631A31"/>
    <w:rsid w:val="00631BB5"/>
    <w:rsid w:val="00631CF3"/>
    <w:rsid w:val="00631DD0"/>
    <w:rsid w:val="006322CE"/>
    <w:rsid w:val="0063295C"/>
    <w:rsid w:val="00633367"/>
    <w:rsid w:val="0063367B"/>
    <w:rsid w:val="00633B5E"/>
    <w:rsid w:val="00633DBF"/>
    <w:rsid w:val="00634122"/>
    <w:rsid w:val="006355B6"/>
    <w:rsid w:val="00635E32"/>
    <w:rsid w:val="006365DE"/>
    <w:rsid w:val="006367D0"/>
    <w:rsid w:val="00636BE4"/>
    <w:rsid w:val="0063746C"/>
    <w:rsid w:val="00637802"/>
    <w:rsid w:val="00637836"/>
    <w:rsid w:val="00637C26"/>
    <w:rsid w:val="00637F44"/>
    <w:rsid w:val="00640659"/>
    <w:rsid w:val="00641078"/>
    <w:rsid w:val="00641242"/>
    <w:rsid w:val="006423A3"/>
    <w:rsid w:val="00642A32"/>
    <w:rsid w:val="00642BEA"/>
    <w:rsid w:val="006433D5"/>
    <w:rsid w:val="0064369C"/>
    <w:rsid w:val="00643C97"/>
    <w:rsid w:val="00645D41"/>
    <w:rsid w:val="00646B20"/>
    <w:rsid w:val="00646D0F"/>
    <w:rsid w:val="0064708F"/>
    <w:rsid w:val="0064739B"/>
    <w:rsid w:val="00647936"/>
    <w:rsid w:val="00647A36"/>
    <w:rsid w:val="00647DCC"/>
    <w:rsid w:val="00647EFA"/>
    <w:rsid w:val="00647F14"/>
    <w:rsid w:val="00650027"/>
    <w:rsid w:val="00650212"/>
    <w:rsid w:val="00651B9C"/>
    <w:rsid w:val="00651C47"/>
    <w:rsid w:val="00651D98"/>
    <w:rsid w:val="00652854"/>
    <w:rsid w:val="00652D2C"/>
    <w:rsid w:val="00652E70"/>
    <w:rsid w:val="0065303A"/>
    <w:rsid w:val="0065339A"/>
    <w:rsid w:val="00653469"/>
    <w:rsid w:val="00653F4A"/>
    <w:rsid w:val="00654A38"/>
    <w:rsid w:val="00654B4B"/>
    <w:rsid w:val="00655301"/>
    <w:rsid w:val="00655371"/>
    <w:rsid w:val="00655876"/>
    <w:rsid w:val="00655FB1"/>
    <w:rsid w:val="00656C4B"/>
    <w:rsid w:val="006573EA"/>
    <w:rsid w:val="006603D9"/>
    <w:rsid w:val="00661029"/>
    <w:rsid w:val="00661042"/>
    <w:rsid w:val="0066135A"/>
    <w:rsid w:val="00661639"/>
    <w:rsid w:val="0066272D"/>
    <w:rsid w:val="00662E58"/>
    <w:rsid w:val="00662F39"/>
    <w:rsid w:val="006635A0"/>
    <w:rsid w:val="00664351"/>
    <w:rsid w:val="0066553F"/>
    <w:rsid w:val="00665968"/>
    <w:rsid w:val="00665BF7"/>
    <w:rsid w:val="00666178"/>
    <w:rsid w:val="0066639E"/>
    <w:rsid w:val="00666473"/>
    <w:rsid w:val="00666C72"/>
    <w:rsid w:val="00666E5A"/>
    <w:rsid w:val="00666E6C"/>
    <w:rsid w:val="0066707F"/>
    <w:rsid w:val="0066731F"/>
    <w:rsid w:val="00667ED8"/>
    <w:rsid w:val="0067064C"/>
    <w:rsid w:val="00670B20"/>
    <w:rsid w:val="00670E12"/>
    <w:rsid w:val="00671284"/>
    <w:rsid w:val="00671695"/>
    <w:rsid w:val="00671E7D"/>
    <w:rsid w:val="00671F94"/>
    <w:rsid w:val="00672E80"/>
    <w:rsid w:val="006739E4"/>
    <w:rsid w:val="00673ECF"/>
    <w:rsid w:val="0067419A"/>
    <w:rsid w:val="0067426B"/>
    <w:rsid w:val="00674A1B"/>
    <w:rsid w:val="00674CF4"/>
    <w:rsid w:val="006754F8"/>
    <w:rsid w:val="00676127"/>
    <w:rsid w:val="00676AED"/>
    <w:rsid w:val="006777A2"/>
    <w:rsid w:val="00677981"/>
    <w:rsid w:val="00677F26"/>
    <w:rsid w:val="006800F9"/>
    <w:rsid w:val="006802A7"/>
    <w:rsid w:val="006811C9"/>
    <w:rsid w:val="006812CE"/>
    <w:rsid w:val="006823DC"/>
    <w:rsid w:val="00682791"/>
    <w:rsid w:val="00682C89"/>
    <w:rsid w:val="006832B8"/>
    <w:rsid w:val="006837B2"/>
    <w:rsid w:val="00683800"/>
    <w:rsid w:val="00684283"/>
    <w:rsid w:val="00684411"/>
    <w:rsid w:val="00684434"/>
    <w:rsid w:val="00684BF1"/>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057"/>
    <w:rsid w:val="00693772"/>
    <w:rsid w:val="00694160"/>
    <w:rsid w:val="006941BA"/>
    <w:rsid w:val="006959A5"/>
    <w:rsid w:val="00695C0C"/>
    <w:rsid w:val="00695C9B"/>
    <w:rsid w:val="00695EBF"/>
    <w:rsid w:val="00696A05"/>
    <w:rsid w:val="00697665"/>
    <w:rsid w:val="00697C9A"/>
    <w:rsid w:val="00697E68"/>
    <w:rsid w:val="006A0274"/>
    <w:rsid w:val="006A10B9"/>
    <w:rsid w:val="006A2A43"/>
    <w:rsid w:val="006A2BF1"/>
    <w:rsid w:val="006A2EEA"/>
    <w:rsid w:val="006A2F9A"/>
    <w:rsid w:val="006A34E4"/>
    <w:rsid w:val="006A3A5A"/>
    <w:rsid w:val="006A44CF"/>
    <w:rsid w:val="006A457D"/>
    <w:rsid w:val="006A544E"/>
    <w:rsid w:val="006A55EE"/>
    <w:rsid w:val="006A575B"/>
    <w:rsid w:val="006A59DE"/>
    <w:rsid w:val="006A6655"/>
    <w:rsid w:val="006A6B0B"/>
    <w:rsid w:val="006A6BF9"/>
    <w:rsid w:val="006A7A53"/>
    <w:rsid w:val="006A7CB5"/>
    <w:rsid w:val="006A7FD0"/>
    <w:rsid w:val="006B025C"/>
    <w:rsid w:val="006B0ECC"/>
    <w:rsid w:val="006B1879"/>
    <w:rsid w:val="006B2534"/>
    <w:rsid w:val="006B2CB2"/>
    <w:rsid w:val="006B347D"/>
    <w:rsid w:val="006B3E19"/>
    <w:rsid w:val="006B4488"/>
    <w:rsid w:val="006B4CB2"/>
    <w:rsid w:val="006B6668"/>
    <w:rsid w:val="006B671C"/>
    <w:rsid w:val="006B67AC"/>
    <w:rsid w:val="006B6A25"/>
    <w:rsid w:val="006B786A"/>
    <w:rsid w:val="006B78B9"/>
    <w:rsid w:val="006B7BA0"/>
    <w:rsid w:val="006B7E4E"/>
    <w:rsid w:val="006C003A"/>
    <w:rsid w:val="006C2454"/>
    <w:rsid w:val="006C2551"/>
    <w:rsid w:val="006C37CA"/>
    <w:rsid w:val="006C40B7"/>
    <w:rsid w:val="006C40D2"/>
    <w:rsid w:val="006C5628"/>
    <w:rsid w:val="006C5B15"/>
    <w:rsid w:val="006C5D32"/>
    <w:rsid w:val="006C5DCB"/>
    <w:rsid w:val="006C70C4"/>
    <w:rsid w:val="006C7270"/>
    <w:rsid w:val="006C775C"/>
    <w:rsid w:val="006C789C"/>
    <w:rsid w:val="006D017F"/>
    <w:rsid w:val="006D04DA"/>
    <w:rsid w:val="006D0686"/>
    <w:rsid w:val="006D10F6"/>
    <w:rsid w:val="006D1544"/>
    <w:rsid w:val="006D1688"/>
    <w:rsid w:val="006D1FF3"/>
    <w:rsid w:val="006D2C65"/>
    <w:rsid w:val="006D32C6"/>
    <w:rsid w:val="006D360E"/>
    <w:rsid w:val="006D3697"/>
    <w:rsid w:val="006D36C2"/>
    <w:rsid w:val="006D39D2"/>
    <w:rsid w:val="006D3BB6"/>
    <w:rsid w:val="006D3F2A"/>
    <w:rsid w:val="006D4370"/>
    <w:rsid w:val="006D46A3"/>
    <w:rsid w:val="006D61B9"/>
    <w:rsid w:val="006D658F"/>
    <w:rsid w:val="006D69FA"/>
    <w:rsid w:val="006D6A12"/>
    <w:rsid w:val="006D712D"/>
    <w:rsid w:val="006D7687"/>
    <w:rsid w:val="006D77C5"/>
    <w:rsid w:val="006D7D1F"/>
    <w:rsid w:val="006D7D8A"/>
    <w:rsid w:val="006E0572"/>
    <w:rsid w:val="006E05D8"/>
    <w:rsid w:val="006E08EE"/>
    <w:rsid w:val="006E155A"/>
    <w:rsid w:val="006E3452"/>
    <w:rsid w:val="006E39D1"/>
    <w:rsid w:val="006E437F"/>
    <w:rsid w:val="006E4D5B"/>
    <w:rsid w:val="006E602F"/>
    <w:rsid w:val="006E6720"/>
    <w:rsid w:val="006E68FA"/>
    <w:rsid w:val="006E7275"/>
    <w:rsid w:val="006E735B"/>
    <w:rsid w:val="006E77B8"/>
    <w:rsid w:val="006F15CC"/>
    <w:rsid w:val="006F1E65"/>
    <w:rsid w:val="006F25C8"/>
    <w:rsid w:val="006F3BDD"/>
    <w:rsid w:val="006F3E7B"/>
    <w:rsid w:val="006F4147"/>
    <w:rsid w:val="006F4315"/>
    <w:rsid w:val="006F4478"/>
    <w:rsid w:val="006F458D"/>
    <w:rsid w:val="006F4A6D"/>
    <w:rsid w:val="006F4CB0"/>
    <w:rsid w:val="006F4F78"/>
    <w:rsid w:val="006F547E"/>
    <w:rsid w:val="006F5656"/>
    <w:rsid w:val="006F5CA8"/>
    <w:rsid w:val="006F5CCF"/>
    <w:rsid w:val="006F688D"/>
    <w:rsid w:val="006F772B"/>
    <w:rsid w:val="006F78DC"/>
    <w:rsid w:val="00700D5F"/>
    <w:rsid w:val="007012DC"/>
    <w:rsid w:val="0070138A"/>
    <w:rsid w:val="0070157E"/>
    <w:rsid w:val="007030D4"/>
    <w:rsid w:val="0070317C"/>
    <w:rsid w:val="00703279"/>
    <w:rsid w:val="00703B61"/>
    <w:rsid w:val="00703E11"/>
    <w:rsid w:val="00703FB4"/>
    <w:rsid w:val="00704102"/>
    <w:rsid w:val="0070439B"/>
    <w:rsid w:val="0070461C"/>
    <w:rsid w:val="00705631"/>
    <w:rsid w:val="00705818"/>
    <w:rsid w:val="00705F62"/>
    <w:rsid w:val="0070683B"/>
    <w:rsid w:val="00707277"/>
    <w:rsid w:val="0070773F"/>
    <w:rsid w:val="00707ED3"/>
    <w:rsid w:val="007101B7"/>
    <w:rsid w:val="00710668"/>
    <w:rsid w:val="007110F4"/>
    <w:rsid w:val="007112B1"/>
    <w:rsid w:val="0071130F"/>
    <w:rsid w:val="00712714"/>
    <w:rsid w:val="007128E3"/>
    <w:rsid w:val="007129AB"/>
    <w:rsid w:val="00712B63"/>
    <w:rsid w:val="00713526"/>
    <w:rsid w:val="00713FC5"/>
    <w:rsid w:val="00715944"/>
    <w:rsid w:val="00715BBF"/>
    <w:rsid w:val="00715C29"/>
    <w:rsid w:val="00715CBD"/>
    <w:rsid w:val="00715E86"/>
    <w:rsid w:val="00715EAA"/>
    <w:rsid w:val="00716CAD"/>
    <w:rsid w:val="00716F18"/>
    <w:rsid w:val="00717363"/>
    <w:rsid w:val="00717786"/>
    <w:rsid w:val="00717ACB"/>
    <w:rsid w:val="00721BD9"/>
    <w:rsid w:val="00721BFF"/>
    <w:rsid w:val="007223E8"/>
    <w:rsid w:val="00722D4B"/>
    <w:rsid w:val="00722FD8"/>
    <w:rsid w:val="007236C4"/>
    <w:rsid w:val="00723B59"/>
    <w:rsid w:val="00724635"/>
    <w:rsid w:val="0072554B"/>
    <w:rsid w:val="00725AFD"/>
    <w:rsid w:val="00726603"/>
    <w:rsid w:val="00726816"/>
    <w:rsid w:val="00727DDC"/>
    <w:rsid w:val="00730CD6"/>
    <w:rsid w:val="00730F74"/>
    <w:rsid w:val="0073114B"/>
    <w:rsid w:val="00732109"/>
    <w:rsid w:val="00734414"/>
    <w:rsid w:val="00734952"/>
    <w:rsid w:val="00734990"/>
    <w:rsid w:val="00734FF5"/>
    <w:rsid w:val="00735B78"/>
    <w:rsid w:val="00735DA7"/>
    <w:rsid w:val="007368B4"/>
    <w:rsid w:val="007378E0"/>
    <w:rsid w:val="00737C5C"/>
    <w:rsid w:val="00740529"/>
    <w:rsid w:val="00740A6C"/>
    <w:rsid w:val="00741358"/>
    <w:rsid w:val="00741626"/>
    <w:rsid w:val="00742332"/>
    <w:rsid w:val="00742886"/>
    <w:rsid w:val="00742DD2"/>
    <w:rsid w:val="007437C6"/>
    <w:rsid w:val="007439EE"/>
    <w:rsid w:val="007441A2"/>
    <w:rsid w:val="00744E80"/>
    <w:rsid w:val="00745035"/>
    <w:rsid w:val="0074531C"/>
    <w:rsid w:val="00745452"/>
    <w:rsid w:val="00745547"/>
    <w:rsid w:val="007459D0"/>
    <w:rsid w:val="0074623A"/>
    <w:rsid w:val="00746420"/>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18B9"/>
    <w:rsid w:val="00751B4C"/>
    <w:rsid w:val="007522E8"/>
    <w:rsid w:val="007524D4"/>
    <w:rsid w:val="0075264C"/>
    <w:rsid w:val="007533E7"/>
    <w:rsid w:val="00753BAC"/>
    <w:rsid w:val="007541FD"/>
    <w:rsid w:val="007547A2"/>
    <w:rsid w:val="00754A0B"/>
    <w:rsid w:val="007552DB"/>
    <w:rsid w:val="00755B08"/>
    <w:rsid w:val="00755C31"/>
    <w:rsid w:val="00755DD0"/>
    <w:rsid w:val="0075647A"/>
    <w:rsid w:val="007566BE"/>
    <w:rsid w:val="00756A2F"/>
    <w:rsid w:val="00756A36"/>
    <w:rsid w:val="007573E1"/>
    <w:rsid w:val="0075749E"/>
    <w:rsid w:val="007577DA"/>
    <w:rsid w:val="00757B2D"/>
    <w:rsid w:val="00757BAD"/>
    <w:rsid w:val="00757D62"/>
    <w:rsid w:val="00760672"/>
    <w:rsid w:val="00760844"/>
    <w:rsid w:val="00760867"/>
    <w:rsid w:val="00760EB6"/>
    <w:rsid w:val="007616DB"/>
    <w:rsid w:val="00761E08"/>
    <w:rsid w:val="0076228A"/>
    <w:rsid w:val="00762440"/>
    <w:rsid w:val="007629B7"/>
    <w:rsid w:val="00762E60"/>
    <w:rsid w:val="007634AD"/>
    <w:rsid w:val="00764D8D"/>
    <w:rsid w:val="00766ECC"/>
    <w:rsid w:val="007672F3"/>
    <w:rsid w:val="007677B5"/>
    <w:rsid w:val="007678B1"/>
    <w:rsid w:val="00770317"/>
    <w:rsid w:val="007708A8"/>
    <w:rsid w:val="00772275"/>
    <w:rsid w:val="007734E4"/>
    <w:rsid w:val="0077380D"/>
    <w:rsid w:val="00773BC8"/>
    <w:rsid w:val="0077466F"/>
    <w:rsid w:val="007752B7"/>
    <w:rsid w:val="007759A8"/>
    <w:rsid w:val="00775D98"/>
    <w:rsid w:val="00776FE5"/>
    <w:rsid w:val="00777101"/>
    <w:rsid w:val="007774E7"/>
    <w:rsid w:val="0077768C"/>
    <w:rsid w:val="00777696"/>
    <w:rsid w:val="00777AD8"/>
    <w:rsid w:val="00777C6C"/>
    <w:rsid w:val="00777FF4"/>
    <w:rsid w:val="00780251"/>
    <w:rsid w:val="007804FE"/>
    <w:rsid w:val="00780F32"/>
    <w:rsid w:val="0078122E"/>
    <w:rsid w:val="00781939"/>
    <w:rsid w:val="00781D29"/>
    <w:rsid w:val="007825EF"/>
    <w:rsid w:val="007827B0"/>
    <w:rsid w:val="0078286B"/>
    <w:rsid w:val="00782D2C"/>
    <w:rsid w:val="00782FC2"/>
    <w:rsid w:val="007849E0"/>
    <w:rsid w:val="00784FC4"/>
    <w:rsid w:val="00785783"/>
    <w:rsid w:val="00785BBB"/>
    <w:rsid w:val="00786FAD"/>
    <w:rsid w:val="007873C9"/>
    <w:rsid w:val="00787988"/>
    <w:rsid w:val="00787A7F"/>
    <w:rsid w:val="00787D90"/>
    <w:rsid w:val="00787F5E"/>
    <w:rsid w:val="00790164"/>
    <w:rsid w:val="007906E2"/>
    <w:rsid w:val="00790A24"/>
    <w:rsid w:val="00790A37"/>
    <w:rsid w:val="00790A60"/>
    <w:rsid w:val="007910E0"/>
    <w:rsid w:val="0079146D"/>
    <w:rsid w:val="00791C32"/>
    <w:rsid w:val="00791E08"/>
    <w:rsid w:val="00791FF0"/>
    <w:rsid w:val="007923D0"/>
    <w:rsid w:val="0079302C"/>
    <w:rsid w:val="007930D3"/>
    <w:rsid w:val="0079381F"/>
    <w:rsid w:val="00793B2E"/>
    <w:rsid w:val="007948F5"/>
    <w:rsid w:val="00795647"/>
    <w:rsid w:val="0079565B"/>
    <w:rsid w:val="00795B0E"/>
    <w:rsid w:val="007963F6"/>
    <w:rsid w:val="00796418"/>
    <w:rsid w:val="00796576"/>
    <w:rsid w:val="00796E80"/>
    <w:rsid w:val="007979AD"/>
    <w:rsid w:val="00797A9C"/>
    <w:rsid w:val="007A0EAB"/>
    <w:rsid w:val="007A1948"/>
    <w:rsid w:val="007A1C21"/>
    <w:rsid w:val="007A2341"/>
    <w:rsid w:val="007A38A1"/>
    <w:rsid w:val="007A3967"/>
    <w:rsid w:val="007A3BBE"/>
    <w:rsid w:val="007A4766"/>
    <w:rsid w:val="007A5816"/>
    <w:rsid w:val="007A5947"/>
    <w:rsid w:val="007B0313"/>
    <w:rsid w:val="007B05FB"/>
    <w:rsid w:val="007B0854"/>
    <w:rsid w:val="007B0E48"/>
    <w:rsid w:val="007B18FD"/>
    <w:rsid w:val="007B1D1B"/>
    <w:rsid w:val="007B2FCB"/>
    <w:rsid w:val="007B303E"/>
    <w:rsid w:val="007B32C0"/>
    <w:rsid w:val="007B32F7"/>
    <w:rsid w:val="007B3659"/>
    <w:rsid w:val="007B4263"/>
    <w:rsid w:val="007B4558"/>
    <w:rsid w:val="007B4632"/>
    <w:rsid w:val="007B46A2"/>
    <w:rsid w:val="007B4828"/>
    <w:rsid w:val="007B4B2D"/>
    <w:rsid w:val="007B4D4A"/>
    <w:rsid w:val="007B5428"/>
    <w:rsid w:val="007B54FE"/>
    <w:rsid w:val="007B57A5"/>
    <w:rsid w:val="007B699E"/>
    <w:rsid w:val="007B6C64"/>
    <w:rsid w:val="007B6EC8"/>
    <w:rsid w:val="007B6F81"/>
    <w:rsid w:val="007B7992"/>
    <w:rsid w:val="007B7EA2"/>
    <w:rsid w:val="007C025A"/>
    <w:rsid w:val="007C081B"/>
    <w:rsid w:val="007C097D"/>
    <w:rsid w:val="007C13FA"/>
    <w:rsid w:val="007C1672"/>
    <w:rsid w:val="007C312A"/>
    <w:rsid w:val="007C3570"/>
    <w:rsid w:val="007C3F2C"/>
    <w:rsid w:val="007C3F3B"/>
    <w:rsid w:val="007C4241"/>
    <w:rsid w:val="007C55FF"/>
    <w:rsid w:val="007C581D"/>
    <w:rsid w:val="007C5B11"/>
    <w:rsid w:val="007C6339"/>
    <w:rsid w:val="007C7C43"/>
    <w:rsid w:val="007C7F0D"/>
    <w:rsid w:val="007D1134"/>
    <w:rsid w:val="007D20CF"/>
    <w:rsid w:val="007D23F7"/>
    <w:rsid w:val="007D2566"/>
    <w:rsid w:val="007D2C18"/>
    <w:rsid w:val="007D2D74"/>
    <w:rsid w:val="007D3395"/>
    <w:rsid w:val="007D3693"/>
    <w:rsid w:val="007D379C"/>
    <w:rsid w:val="007D3C6D"/>
    <w:rsid w:val="007D409B"/>
    <w:rsid w:val="007D481A"/>
    <w:rsid w:val="007D55AC"/>
    <w:rsid w:val="007D5648"/>
    <w:rsid w:val="007D58C5"/>
    <w:rsid w:val="007D5DE8"/>
    <w:rsid w:val="007D62DE"/>
    <w:rsid w:val="007D7503"/>
    <w:rsid w:val="007D7CFC"/>
    <w:rsid w:val="007D7FFC"/>
    <w:rsid w:val="007E0812"/>
    <w:rsid w:val="007E16A4"/>
    <w:rsid w:val="007E18DF"/>
    <w:rsid w:val="007E1C35"/>
    <w:rsid w:val="007E20FC"/>
    <w:rsid w:val="007E2A04"/>
    <w:rsid w:val="007E2C36"/>
    <w:rsid w:val="007E350D"/>
    <w:rsid w:val="007E363A"/>
    <w:rsid w:val="007E3BF2"/>
    <w:rsid w:val="007E3D3F"/>
    <w:rsid w:val="007E5659"/>
    <w:rsid w:val="007E5C4A"/>
    <w:rsid w:val="007E635C"/>
    <w:rsid w:val="007E64D4"/>
    <w:rsid w:val="007E66E9"/>
    <w:rsid w:val="007E66FF"/>
    <w:rsid w:val="007E69F2"/>
    <w:rsid w:val="007E7432"/>
    <w:rsid w:val="007E74BF"/>
    <w:rsid w:val="007F14D3"/>
    <w:rsid w:val="007F1C42"/>
    <w:rsid w:val="007F1D9D"/>
    <w:rsid w:val="007F1E28"/>
    <w:rsid w:val="007F1F63"/>
    <w:rsid w:val="007F21D8"/>
    <w:rsid w:val="007F22A0"/>
    <w:rsid w:val="007F280B"/>
    <w:rsid w:val="007F2F90"/>
    <w:rsid w:val="007F3320"/>
    <w:rsid w:val="007F392A"/>
    <w:rsid w:val="007F3A85"/>
    <w:rsid w:val="007F3AC1"/>
    <w:rsid w:val="007F48FA"/>
    <w:rsid w:val="007F4976"/>
    <w:rsid w:val="007F5A56"/>
    <w:rsid w:val="007F616E"/>
    <w:rsid w:val="007F665F"/>
    <w:rsid w:val="007F6B28"/>
    <w:rsid w:val="007F6B46"/>
    <w:rsid w:val="007F72CB"/>
    <w:rsid w:val="007F736A"/>
    <w:rsid w:val="007F7635"/>
    <w:rsid w:val="007F785F"/>
    <w:rsid w:val="007F7AF6"/>
    <w:rsid w:val="007F7E36"/>
    <w:rsid w:val="00800681"/>
    <w:rsid w:val="00800E6D"/>
    <w:rsid w:val="008014D9"/>
    <w:rsid w:val="0080150F"/>
    <w:rsid w:val="0080153A"/>
    <w:rsid w:val="00801A2A"/>
    <w:rsid w:val="00801AEF"/>
    <w:rsid w:val="00802041"/>
    <w:rsid w:val="008022C9"/>
    <w:rsid w:val="0080262F"/>
    <w:rsid w:val="00802C0C"/>
    <w:rsid w:val="00802F9E"/>
    <w:rsid w:val="00803700"/>
    <w:rsid w:val="00803AB5"/>
    <w:rsid w:val="00803D9D"/>
    <w:rsid w:val="008047AF"/>
    <w:rsid w:val="008059C6"/>
    <w:rsid w:val="00805AD7"/>
    <w:rsid w:val="00805BD6"/>
    <w:rsid w:val="00805DE3"/>
    <w:rsid w:val="00807666"/>
    <w:rsid w:val="00807C35"/>
    <w:rsid w:val="00807F69"/>
    <w:rsid w:val="008100EC"/>
    <w:rsid w:val="008100F7"/>
    <w:rsid w:val="00810206"/>
    <w:rsid w:val="00810711"/>
    <w:rsid w:val="00811898"/>
    <w:rsid w:val="00811C0F"/>
    <w:rsid w:val="008124D8"/>
    <w:rsid w:val="00813A7B"/>
    <w:rsid w:val="00813F04"/>
    <w:rsid w:val="00814B72"/>
    <w:rsid w:val="00815DA5"/>
    <w:rsid w:val="00816221"/>
    <w:rsid w:val="0081711D"/>
    <w:rsid w:val="0081728D"/>
    <w:rsid w:val="0081766B"/>
    <w:rsid w:val="00820705"/>
    <w:rsid w:val="00820CBF"/>
    <w:rsid w:val="00820FA8"/>
    <w:rsid w:val="008210B8"/>
    <w:rsid w:val="008212FD"/>
    <w:rsid w:val="00821489"/>
    <w:rsid w:val="008217B7"/>
    <w:rsid w:val="00821F5E"/>
    <w:rsid w:val="0082239B"/>
    <w:rsid w:val="00822752"/>
    <w:rsid w:val="0082282A"/>
    <w:rsid w:val="0082292E"/>
    <w:rsid w:val="00822D06"/>
    <w:rsid w:val="00822D87"/>
    <w:rsid w:val="0082348D"/>
    <w:rsid w:val="008234E0"/>
    <w:rsid w:val="008236BE"/>
    <w:rsid w:val="008241CE"/>
    <w:rsid w:val="00825240"/>
    <w:rsid w:val="00825B43"/>
    <w:rsid w:val="00826E06"/>
    <w:rsid w:val="00827203"/>
    <w:rsid w:val="0082767A"/>
    <w:rsid w:val="00827CC0"/>
    <w:rsid w:val="00831026"/>
    <w:rsid w:val="0083119B"/>
    <w:rsid w:val="00831BAE"/>
    <w:rsid w:val="00832216"/>
    <w:rsid w:val="00832CD0"/>
    <w:rsid w:val="00833430"/>
    <w:rsid w:val="00834128"/>
    <w:rsid w:val="0083417F"/>
    <w:rsid w:val="00835143"/>
    <w:rsid w:val="008356A7"/>
    <w:rsid w:val="00835741"/>
    <w:rsid w:val="00836BCD"/>
    <w:rsid w:val="00836E74"/>
    <w:rsid w:val="00836EAB"/>
    <w:rsid w:val="00837673"/>
    <w:rsid w:val="00837937"/>
    <w:rsid w:val="00837D82"/>
    <w:rsid w:val="00840893"/>
    <w:rsid w:val="00840E88"/>
    <w:rsid w:val="00841586"/>
    <w:rsid w:val="0084195A"/>
    <w:rsid w:val="008423EC"/>
    <w:rsid w:val="0084332E"/>
    <w:rsid w:val="00843615"/>
    <w:rsid w:val="00843698"/>
    <w:rsid w:val="00843A4B"/>
    <w:rsid w:val="00843B57"/>
    <w:rsid w:val="00843B60"/>
    <w:rsid w:val="00843D33"/>
    <w:rsid w:val="00843D39"/>
    <w:rsid w:val="00844D4F"/>
    <w:rsid w:val="0084532A"/>
    <w:rsid w:val="00845AD6"/>
    <w:rsid w:val="00845AE3"/>
    <w:rsid w:val="00845DD0"/>
    <w:rsid w:val="008466A0"/>
    <w:rsid w:val="00846D1D"/>
    <w:rsid w:val="00846DBE"/>
    <w:rsid w:val="00847535"/>
    <w:rsid w:val="008477F1"/>
    <w:rsid w:val="00847B6D"/>
    <w:rsid w:val="00847EAC"/>
    <w:rsid w:val="00847FFA"/>
    <w:rsid w:val="0085059A"/>
    <w:rsid w:val="0085092D"/>
    <w:rsid w:val="00850D82"/>
    <w:rsid w:val="00850F79"/>
    <w:rsid w:val="0085100B"/>
    <w:rsid w:val="00852267"/>
    <w:rsid w:val="0085304C"/>
    <w:rsid w:val="008548CA"/>
    <w:rsid w:val="00855085"/>
    <w:rsid w:val="0085587C"/>
    <w:rsid w:val="008562E4"/>
    <w:rsid w:val="00856C06"/>
    <w:rsid w:val="0085790B"/>
    <w:rsid w:val="00857C95"/>
    <w:rsid w:val="00857E78"/>
    <w:rsid w:val="0086082E"/>
    <w:rsid w:val="00860A04"/>
    <w:rsid w:val="00860AEF"/>
    <w:rsid w:val="0086122C"/>
    <w:rsid w:val="00861310"/>
    <w:rsid w:val="0086184B"/>
    <w:rsid w:val="00861B7B"/>
    <w:rsid w:val="00861F0F"/>
    <w:rsid w:val="00861F53"/>
    <w:rsid w:val="0086289E"/>
    <w:rsid w:val="00863413"/>
    <w:rsid w:val="0086394E"/>
    <w:rsid w:val="008639B6"/>
    <w:rsid w:val="00863F8A"/>
    <w:rsid w:val="00863FE3"/>
    <w:rsid w:val="00864241"/>
    <w:rsid w:val="0086468A"/>
    <w:rsid w:val="00864CD5"/>
    <w:rsid w:val="008650BE"/>
    <w:rsid w:val="0086633B"/>
    <w:rsid w:val="00866495"/>
    <w:rsid w:val="00866511"/>
    <w:rsid w:val="00866931"/>
    <w:rsid w:val="00866FEF"/>
    <w:rsid w:val="00867512"/>
    <w:rsid w:val="0087033C"/>
    <w:rsid w:val="00870B44"/>
    <w:rsid w:val="008715ED"/>
    <w:rsid w:val="008717D8"/>
    <w:rsid w:val="00871E3C"/>
    <w:rsid w:val="0087213A"/>
    <w:rsid w:val="00872F97"/>
    <w:rsid w:val="00873863"/>
    <w:rsid w:val="00874607"/>
    <w:rsid w:val="00874915"/>
    <w:rsid w:val="00874B89"/>
    <w:rsid w:val="00875403"/>
    <w:rsid w:val="00875434"/>
    <w:rsid w:val="008760BD"/>
    <w:rsid w:val="00876158"/>
    <w:rsid w:val="00876215"/>
    <w:rsid w:val="0087646C"/>
    <w:rsid w:val="008765B1"/>
    <w:rsid w:val="00876815"/>
    <w:rsid w:val="00876E80"/>
    <w:rsid w:val="00877932"/>
    <w:rsid w:val="008808C7"/>
    <w:rsid w:val="00880DB3"/>
    <w:rsid w:val="0088106B"/>
    <w:rsid w:val="0088107D"/>
    <w:rsid w:val="008812E2"/>
    <w:rsid w:val="0088168A"/>
    <w:rsid w:val="00881E64"/>
    <w:rsid w:val="0088230E"/>
    <w:rsid w:val="00882D20"/>
    <w:rsid w:val="00882E39"/>
    <w:rsid w:val="008850E3"/>
    <w:rsid w:val="008850EB"/>
    <w:rsid w:val="00885D01"/>
    <w:rsid w:val="00886DF2"/>
    <w:rsid w:val="00886FB9"/>
    <w:rsid w:val="00887080"/>
    <w:rsid w:val="00887BC5"/>
    <w:rsid w:val="00887C79"/>
    <w:rsid w:val="008907CC"/>
    <w:rsid w:val="00890998"/>
    <w:rsid w:val="0089107B"/>
    <w:rsid w:val="008913CC"/>
    <w:rsid w:val="00891411"/>
    <w:rsid w:val="008914AE"/>
    <w:rsid w:val="00891838"/>
    <w:rsid w:val="008919CF"/>
    <w:rsid w:val="00891F84"/>
    <w:rsid w:val="0089211C"/>
    <w:rsid w:val="008928EC"/>
    <w:rsid w:val="00892E5D"/>
    <w:rsid w:val="008935CF"/>
    <w:rsid w:val="0089413D"/>
    <w:rsid w:val="00894436"/>
    <w:rsid w:val="00894BB1"/>
    <w:rsid w:val="008950CB"/>
    <w:rsid w:val="008951D0"/>
    <w:rsid w:val="0089532E"/>
    <w:rsid w:val="0089582D"/>
    <w:rsid w:val="008959C6"/>
    <w:rsid w:val="0089606D"/>
    <w:rsid w:val="00896129"/>
    <w:rsid w:val="008965DF"/>
    <w:rsid w:val="00897275"/>
    <w:rsid w:val="0089774F"/>
    <w:rsid w:val="00897875"/>
    <w:rsid w:val="00897B8F"/>
    <w:rsid w:val="008A00D8"/>
    <w:rsid w:val="008A00D9"/>
    <w:rsid w:val="008A07D5"/>
    <w:rsid w:val="008A0C7F"/>
    <w:rsid w:val="008A2527"/>
    <w:rsid w:val="008A25E2"/>
    <w:rsid w:val="008A295B"/>
    <w:rsid w:val="008A2A23"/>
    <w:rsid w:val="008A2AF5"/>
    <w:rsid w:val="008A2B5A"/>
    <w:rsid w:val="008A2DD1"/>
    <w:rsid w:val="008A3F9D"/>
    <w:rsid w:val="008A5474"/>
    <w:rsid w:val="008A590B"/>
    <w:rsid w:val="008A5C9A"/>
    <w:rsid w:val="008A6A55"/>
    <w:rsid w:val="008A6DF0"/>
    <w:rsid w:val="008A6F6E"/>
    <w:rsid w:val="008A7888"/>
    <w:rsid w:val="008A796E"/>
    <w:rsid w:val="008B0862"/>
    <w:rsid w:val="008B088C"/>
    <w:rsid w:val="008B1BF5"/>
    <w:rsid w:val="008B2268"/>
    <w:rsid w:val="008B263F"/>
    <w:rsid w:val="008B3A83"/>
    <w:rsid w:val="008B3EBB"/>
    <w:rsid w:val="008B47A6"/>
    <w:rsid w:val="008B672C"/>
    <w:rsid w:val="008B7C3F"/>
    <w:rsid w:val="008C036D"/>
    <w:rsid w:val="008C0743"/>
    <w:rsid w:val="008C0B4C"/>
    <w:rsid w:val="008C11F0"/>
    <w:rsid w:val="008C1D4D"/>
    <w:rsid w:val="008C1DBA"/>
    <w:rsid w:val="008C24E7"/>
    <w:rsid w:val="008C2500"/>
    <w:rsid w:val="008C2CAC"/>
    <w:rsid w:val="008C3E2A"/>
    <w:rsid w:val="008C42F5"/>
    <w:rsid w:val="008C4433"/>
    <w:rsid w:val="008C45BD"/>
    <w:rsid w:val="008C4B19"/>
    <w:rsid w:val="008C50DE"/>
    <w:rsid w:val="008C568F"/>
    <w:rsid w:val="008C62D4"/>
    <w:rsid w:val="008C6B89"/>
    <w:rsid w:val="008D077E"/>
    <w:rsid w:val="008D18AA"/>
    <w:rsid w:val="008D1A16"/>
    <w:rsid w:val="008D1A2A"/>
    <w:rsid w:val="008D29B1"/>
    <w:rsid w:val="008D35D9"/>
    <w:rsid w:val="008D3B85"/>
    <w:rsid w:val="008D4527"/>
    <w:rsid w:val="008D462D"/>
    <w:rsid w:val="008D4869"/>
    <w:rsid w:val="008D4C43"/>
    <w:rsid w:val="008D4C7A"/>
    <w:rsid w:val="008D51C2"/>
    <w:rsid w:val="008D51F2"/>
    <w:rsid w:val="008D66CA"/>
    <w:rsid w:val="008D68A7"/>
    <w:rsid w:val="008D69B1"/>
    <w:rsid w:val="008D6E07"/>
    <w:rsid w:val="008D70AD"/>
    <w:rsid w:val="008D7150"/>
    <w:rsid w:val="008D7338"/>
    <w:rsid w:val="008D7A33"/>
    <w:rsid w:val="008E0012"/>
    <w:rsid w:val="008E0DF7"/>
    <w:rsid w:val="008E0FAD"/>
    <w:rsid w:val="008E1347"/>
    <w:rsid w:val="008E16E0"/>
    <w:rsid w:val="008E17B1"/>
    <w:rsid w:val="008E1C15"/>
    <w:rsid w:val="008E1C9A"/>
    <w:rsid w:val="008E28BD"/>
    <w:rsid w:val="008E38B4"/>
    <w:rsid w:val="008E3BA4"/>
    <w:rsid w:val="008E3E84"/>
    <w:rsid w:val="008E41C4"/>
    <w:rsid w:val="008E44AB"/>
    <w:rsid w:val="008E5179"/>
    <w:rsid w:val="008E6598"/>
    <w:rsid w:val="008E6A17"/>
    <w:rsid w:val="008E7214"/>
    <w:rsid w:val="008E7348"/>
    <w:rsid w:val="008E7884"/>
    <w:rsid w:val="008E7D6E"/>
    <w:rsid w:val="008F1056"/>
    <w:rsid w:val="008F2E8D"/>
    <w:rsid w:val="008F387B"/>
    <w:rsid w:val="008F3C67"/>
    <w:rsid w:val="008F3DD9"/>
    <w:rsid w:val="008F4814"/>
    <w:rsid w:val="008F4B55"/>
    <w:rsid w:val="008F4DA6"/>
    <w:rsid w:val="008F538E"/>
    <w:rsid w:val="008F5A20"/>
    <w:rsid w:val="008F5ABA"/>
    <w:rsid w:val="008F6CF9"/>
    <w:rsid w:val="008F7905"/>
    <w:rsid w:val="008F7989"/>
    <w:rsid w:val="009026AF"/>
    <w:rsid w:val="009028E8"/>
    <w:rsid w:val="00902E5C"/>
    <w:rsid w:val="0090350D"/>
    <w:rsid w:val="009039EB"/>
    <w:rsid w:val="00903CD2"/>
    <w:rsid w:val="009046E5"/>
    <w:rsid w:val="009047C5"/>
    <w:rsid w:val="00906C7F"/>
    <w:rsid w:val="00906E03"/>
    <w:rsid w:val="00910683"/>
    <w:rsid w:val="0091077E"/>
    <w:rsid w:val="00910E00"/>
    <w:rsid w:val="009116CE"/>
    <w:rsid w:val="00911714"/>
    <w:rsid w:val="0091194A"/>
    <w:rsid w:val="00911A5B"/>
    <w:rsid w:val="009136D4"/>
    <w:rsid w:val="00913706"/>
    <w:rsid w:val="00914B9A"/>
    <w:rsid w:val="00914C3F"/>
    <w:rsid w:val="00914F33"/>
    <w:rsid w:val="009153E5"/>
    <w:rsid w:val="009153F6"/>
    <w:rsid w:val="00915FCE"/>
    <w:rsid w:val="00916AFE"/>
    <w:rsid w:val="00916FC8"/>
    <w:rsid w:val="009170D3"/>
    <w:rsid w:val="0091759C"/>
    <w:rsid w:val="00917910"/>
    <w:rsid w:val="00920026"/>
    <w:rsid w:val="009203E2"/>
    <w:rsid w:val="0092085F"/>
    <w:rsid w:val="00921304"/>
    <w:rsid w:val="00921805"/>
    <w:rsid w:val="00921BA7"/>
    <w:rsid w:val="00923396"/>
    <w:rsid w:val="00923F56"/>
    <w:rsid w:val="009246C4"/>
    <w:rsid w:val="00924710"/>
    <w:rsid w:val="00925743"/>
    <w:rsid w:val="0092579F"/>
    <w:rsid w:val="00927E8D"/>
    <w:rsid w:val="00927F23"/>
    <w:rsid w:val="00930698"/>
    <w:rsid w:val="009307CD"/>
    <w:rsid w:val="00930E7C"/>
    <w:rsid w:val="00930F0D"/>
    <w:rsid w:val="00931451"/>
    <w:rsid w:val="009314FA"/>
    <w:rsid w:val="0093194F"/>
    <w:rsid w:val="00931BF3"/>
    <w:rsid w:val="00931C55"/>
    <w:rsid w:val="00932C11"/>
    <w:rsid w:val="00933333"/>
    <w:rsid w:val="0093349A"/>
    <w:rsid w:val="009337B2"/>
    <w:rsid w:val="00933AF1"/>
    <w:rsid w:val="00933FCB"/>
    <w:rsid w:val="00934E69"/>
    <w:rsid w:val="009367D5"/>
    <w:rsid w:val="00937401"/>
    <w:rsid w:val="00937561"/>
    <w:rsid w:val="009376FB"/>
    <w:rsid w:val="00937D6B"/>
    <w:rsid w:val="0094029D"/>
    <w:rsid w:val="00940477"/>
    <w:rsid w:val="00940876"/>
    <w:rsid w:val="00940A53"/>
    <w:rsid w:val="00940F3C"/>
    <w:rsid w:val="00940FC1"/>
    <w:rsid w:val="009410E0"/>
    <w:rsid w:val="00941584"/>
    <w:rsid w:val="00942BB9"/>
    <w:rsid w:val="009444B4"/>
    <w:rsid w:val="00944644"/>
    <w:rsid w:val="00945242"/>
    <w:rsid w:val="009460F9"/>
    <w:rsid w:val="00946342"/>
    <w:rsid w:val="00946A24"/>
    <w:rsid w:val="009470D4"/>
    <w:rsid w:val="00947337"/>
    <w:rsid w:val="009512FA"/>
    <w:rsid w:val="00951E57"/>
    <w:rsid w:val="0095201B"/>
    <w:rsid w:val="00953018"/>
    <w:rsid w:val="009533E2"/>
    <w:rsid w:val="00953554"/>
    <w:rsid w:val="0095385A"/>
    <w:rsid w:val="00953928"/>
    <w:rsid w:val="00955906"/>
    <w:rsid w:val="00955978"/>
    <w:rsid w:val="00957010"/>
    <w:rsid w:val="0095780A"/>
    <w:rsid w:val="009579E4"/>
    <w:rsid w:val="00957AA4"/>
    <w:rsid w:val="00957ACB"/>
    <w:rsid w:val="00957E21"/>
    <w:rsid w:val="00957F27"/>
    <w:rsid w:val="009609F0"/>
    <w:rsid w:val="00960BDB"/>
    <w:rsid w:val="0096147D"/>
    <w:rsid w:val="00961E25"/>
    <w:rsid w:val="00961E5F"/>
    <w:rsid w:val="009625C6"/>
    <w:rsid w:val="009629B5"/>
    <w:rsid w:val="00962A50"/>
    <w:rsid w:val="00962F47"/>
    <w:rsid w:val="009631BD"/>
    <w:rsid w:val="00963955"/>
    <w:rsid w:val="00964138"/>
    <w:rsid w:val="00964B3F"/>
    <w:rsid w:val="00964C98"/>
    <w:rsid w:val="00964E0A"/>
    <w:rsid w:val="00965717"/>
    <w:rsid w:val="00966214"/>
    <w:rsid w:val="00966FB8"/>
    <w:rsid w:val="00971441"/>
    <w:rsid w:val="009715D4"/>
    <w:rsid w:val="00971D7B"/>
    <w:rsid w:val="00972470"/>
    <w:rsid w:val="00973377"/>
    <w:rsid w:val="0097378E"/>
    <w:rsid w:val="009739A9"/>
    <w:rsid w:val="00973AA2"/>
    <w:rsid w:val="0097494E"/>
    <w:rsid w:val="00974B58"/>
    <w:rsid w:val="00975229"/>
    <w:rsid w:val="00975376"/>
    <w:rsid w:val="00975495"/>
    <w:rsid w:val="009761ED"/>
    <w:rsid w:val="009801E7"/>
    <w:rsid w:val="0098022F"/>
    <w:rsid w:val="009808B5"/>
    <w:rsid w:val="009810DE"/>
    <w:rsid w:val="009816A2"/>
    <w:rsid w:val="009822D7"/>
    <w:rsid w:val="009827E6"/>
    <w:rsid w:val="00982E70"/>
    <w:rsid w:val="00982F84"/>
    <w:rsid w:val="0098427D"/>
    <w:rsid w:val="00984567"/>
    <w:rsid w:val="00985102"/>
    <w:rsid w:val="009865D5"/>
    <w:rsid w:val="009876F2"/>
    <w:rsid w:val="00987A68"/>
    <w:rsid w:val="00987C77"/>
    <w:rsid w:val="00990345"/>
    <w:rsid w:val="00990701"/>
    <w:rsid w:val="0099090B"/>
    <w:rsid w:val="0099119C"/>
    <w:rsid w:val="0099137A"/>
    <w:rsid w:val="00991805"/>
    <w:rsid w:val="00991CF4"/>
    <w:rsid w:val="0099211C"/>
    <w:rsid w:val="00993B78"/>
    <w:rsid w:val="0099483A"/>
    <w:rsid w:val="00995119"/>
    <w:rsid w:val="009953AD"/>
    <w:rsid w:val="009955BC"/>
    <w:rsid w:val="0099583D"/>
    <w:rsid w:val="0099656E"/>
    <w:rsid w:val="00996992"/>
    <w:rsid w:val="00996E1E"/>
    <w:rsid w:val="00997392"/>
    <w:rsid w:val="0099747C"/>
    <w:rsid w:val="0099771C"/>
    <w:rsid w:val="009A01E4"/>
    <w:rsid w:val="009A0917"/>
    <w:rsid w:val="009A0A33"/>
    <w:rsid w:val="009A10A6"/>
    <w:rsid w:val="009A1351"/>
    <w:rsid w:val="009A2435"/>
    <w:rsid w:val="009A35DC"/>
    <w:rsid w:val="009A38AB"/>
    <w:rsid w:val="009A3CFB"/>
    <w:rsid w:val="009A3D41"/>
    <w:rsid w:val="009A3D47"/>
    <w:rsid w:val="009A4D63"/>
    <w:rsid w:val="009A52E4"/>
    <w:rsid w:val="009A5356"/>
    <w:rsid w:val="009A5468"/>
    <w:rsid w:val="009A59FD"/>
    <w:rsid w:val="009A5D99"/>
    <w:rsid w:val="009A608C"/>
    <w:rsid w:val="009A63B7"/>
    <w:rsid w:val="009A6CA7"/>
    <w:rsid w:val="009A6CE6"/>
    <w:rsid w:val="009A6FDF"/>
    <w:rsid w:val="009A7006"/>
    <w:rsid w:val="009A76D6"/>
    <w:rsid w:val="009B199E"/>
    <w:rsid w:val="009B2E29"/>
    <w:rsid w:val="009B3163"/>
    <w:rsid w:val="009B39C2"/>
    <w:rsid w:val="009B422F"/>
    <w:rsid w:val="009B46BC"/>
    <w:rsid w:val="009B4D1A"/>
    <w:rsid w:val="009B558B"/>
    <w:rsid w:val="009B6801"/>
    <w:rsid w:val="009B68DD"/>
    <w:rsid w:val="009B6D21"/>
    <w:rsid w:val="009B7779"/>
    <w:rsid w:val="009B78ED"/>
    <w:rsid w:val="009C181C"/>
    <w:rsid w:val="009C1C7F"/>
    <w:rsid w:val="009C28A2"/>
    <w:rsid w:val="009C2B9B"/>
    <w:rsid w:val="009C3144"/>
    <w:rsid w:val="009C3239"/>
    <w:rsid w:val="009C3828"/>
    <w:rsid w:val="009C3D2C"/>
    <w:rsid w:val="009C4987"/>
    <w:rsid w:val="009C523F"/>
    <w:rsid w:val="009C59BF"/>
    <w:rsid w:val="009C5E4F"/>
    <w:rsid w:val="009C5F64"/>
    <w:rsid w:val="009C5F82"/>
    <w:rsid w:val="009C6278"/>
    <w:rsid w:val="009C692B"/>
    <w:rsid w:val="009C70F8"/>
    <w:rsid w:val="009C756F"/>
    <w:rsid w:val="009C78A3"/>
    <w:rsid w:val="009D0156"/>
    <w:rsid w:val="009D05DA"/>
    <w:rsid w:val="009D11F6"/>
    <w:rsid w:val="009D13B9"/>
    <w:rsid w:val="009D1A14"/>
    <w:rsid w:val="009D1E2A"/>
    <w:rsid w:val="009D1FA0"/>
    <w:rsid w:val="009D2BDF"/>
    <w:rsid w:val="009D3736"/>
    <w:rsid w:val="009D40B8"/>
    <w:rsid w:val="009D4529"/>
    <w:rsid w:val="009D4B03"/>
    <w:rsid w:val="009D5EB1"/>
    <w:rsid w:val="009D604F"/>
    <w:rsid w:val="009D61BB"/>
    <w:rsid w:val="009D6410"/>
    <w:rsid w:val="009D65FF"/>
    <w:rsid w:val="009D66B2"/>
    <w:rsid w:val="009D68BB"/>
    <w:rsid w:val="009D6E3A"/>
    <w:rsid w:val="009D70C2"/>
    <w:rsid w:val="009D7278"/>
    <w:rsid w:val="009D773A"/>
    <w:rsid w:val="009D7ADB"/>
    <w:rsid w:val="009D7B33"/>
    <w:rsid w:val="009D7C08"/>
    <w:rsid w:val="009E0703"/>
    <w:rsid w:val="009E16DA"/>
    <w:rsid w:val="009E1CD4"/>
    <w:rsid w:val="009E20DC"/>
    <w:rsid w:val="009E2391"/>
    <w:rsid w:val="009E241B"/>
    <w:rsid w:val="009E299D"/>
    <w:rsid w:val="009E2E11"/>
    <w:rsid w:val="009E474E"/>
    <w:rsid w:val="009E476A"/>
    <w:rsid w:val="009E4E05"/>
    <w:rsid w:val="009E56FF"/>
    <w:rsid w:val="009E5CB1"/>
    <w:rsid w:val="009E5E56"/>
    <w:rsid w:val="009E61EA"/>
    <w:rsid w:val="009E6990"/>
    <w:rsid w:val="009E6FCA"/>
    <w:rsid w:val="009E6FEE"/>
    <w:rsid w:val="009F060F"/>
    <w:rsid w:val="009F0781"/>
    <w:rsid w:val="009F0850"/>
    <w:rsid w:val="009F11B2"/>
    <w:rsid w:val="009F1BDF"/>
    <w:rsid w:val="009F1EAE"/>
    <w:rsid w:val="009F369D"/>
    <w:rsid w:val="009F36FE"/>
    <w:rsid w:val="009F3ADB"/>
    <w:rsid w:val="009F4386"/>
    <w:rsid w:val="009F46A9"/>
    <w:rsid w:val="009F4F25"/>
    <w:rsid w:val="009F50F3"/>
    <w:rsid w:val="009F59C2"/>
    <w:rsid w:val="009F7263"/>
    <w:rsid w:val="009F76EA"/>
    <w:rsid w:val="009F78EB"/>
    <w:rsid w:val="009F7F32"/>
    <w:rsid w:val="009F7FEB"/>
    <w:rsid w:val="00A004CE"/>
    <w:rsid w:val="00A01852"/>
    <w:rsid w:val="00A0188B"/>
    <w:rsid w:val="00A01E73"/>
    <w:rsid w:val="00A023E7"/>
    <w:rsid w:val="00A02B88"/>
    <w:rsid w:val="00A02F3C"/>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0EB0"/>
    <w:rsid w:val="00A121D8"/>
    <w:rsid w:val="00A12355"/>
    <w:rsid w:val="00A12384"/>
    <w:rsid w:val="00A127B7"/>
    <w:rsid w:val="00A127D2"/>
    <w:rsid w:val="00A12ADA"/>
    <w:rsid w:val="00A143EC"/>
    <w:rsid w:val="00A14A60"/>
    <w:rsid w:val="00A14F69"/>
    <w:rsid w:val="00A1500F"/>
    <w:rsid w:val="00A15621"/>
    <w:rsid w:val="00A15670"/>
    <w:rsid w:val="00A157A0"/>
    <w:rsid w:val="00A1585B"/>
    <w:rsid w:val="00A15C19"/>
    <w:rsid w:val="00A16809"/>
    <w:rsid w:val="00A176FA"/>
    <w:rsid w:val="00A17721"/>
    <w:rsid w:val="00A17769"/>
    <w:rsid w:val="00A17EA2"/>
    <w:rsid w:val="00A20264"/>
    <w:rsid w:val="00A20997"/>
    <w:rsid w:val="00A21454"/>
    <w:rsid w:val="00A22025"/>
    <w:rsid w:val="00A22498"/>
    <w:rsid w:val="00A22571"/>
    <w:rsid w:val="00A23023"/>
    <w:rsid w:val="00A23A08"/>
    <w:rsid w:val="00A24560"/>
    <w:rsid w:val="00A24A1D"/>
    <w:rsid w:val="00A251AE"/>
    <w:rsid w:val="00A25B0F"/>
    <w:rsid w:val="00A25BBB"/>
    <w:rsid w:val="00A25D87"/>
    <w:rsid w:val="00A25F8E"/>
    <w:rsid w:val="00A27F18"/>
    <w:rsid w:val="00A27FB6"/>
    <w:rsid w:val="00A30121"/>
    <w:rsid w:val="00A30368"/>
    <w:rsid w:val="00A3043A"/>
    <w:rsid w:val="00A30E02"/>
    <w:rsid w:val="00A30F6A"/>
    <w:rsid w:val="00A31BA2"/>
    <w:rsid w:val="00A31C3E"/>
    <w:rsid w:val="00A32D95"/>
    <w:rsid w:val="00A34538"/>
    <w:rsid w:val="00A34677"/>
    <w:rsid w:val="00A34BA0"/>
    <w:rsid w:val="00A3517D"/>
    <w:rsid w:val="00A3540F"/>
    <w:rsid w:val="00A35630"/>
    <w:rsid w:val="00A357FA"/>
    <w:rsid w:val="00A35914"/>
    <w:rsid w:val="00A36189"/>
    <w:rsid w:val="00A3622F"/>
    <w:rsid w:val="00A37E73"/>
    <w:rsid w:val="00A37FB6"/>
    <w:rsid w:val="00A4104A"/>
    <w:rsid w:val="00A41081"/>
    <w:rsid w:val="00A411CA"/>
    <w:rsid w:val="00A413AD"/>
    <w:rsid w:val="00A4169F"/>
    <w:rsid w:val="00A42096"/>
    <w:rsid w:val="00A421E7"/>
    <w:rsid w:val="00A426F3"/>
    <w:rsid w:val="00A4291B"/>
    <w:rsid w:val="00A42BBA"/>
    <w:rsid w:val="00A42FDF"/>
    <w:rsid w:val="00A430A9"/>
    <w:rsid w:val="00A431FE"/>
    <w:rsid w:val="00A434E9"/>
    <w:rsid w:val="00A439E5"/>
    <w:rsid w:val="00A43D1B"/>
    <w:rsid w:val="00A4497A"/>
    <w:rsid w:val="00A44BE8"/>
    <w:rsid w:val="00A44C96"/>
    <w:rsid w:val="00A44F54"/>
    <w:rsid w:val="00A45F9B"/>
    <w:rsid w:val="00A461BF"/>
    <w:rsid w:val="00A46574"/>
    <w:rsid w:val="00A4657A"/>
    <w:rsid w:val="00A467C4"/>
    <w:rsid w:val="00A46EE4"/>
    <w:rsid w:val="00A47D4A"/>
    <w:rsid w:val="00A47D53"/>
    <w:rsid w:val="00A500B1"/>
    <w:rsid w:val="00A51593"/>
    <w:rsid w:val="00A52D3F"/>
    <w:rsid w:val="00A52EE5"/>
    <w:rsid w:val="00A53037"/>
    <w:rsid w:val="00A532B9"/>
    <w:rsid w:val="00A5351D"/>
    <w:rsid w:val="00A53D84"/>
    <w:rsid w:val="00A53E79"/>
    <w:rsid w:val="00A53F14"/>
    <w:rsid w:val="00A54031"/>
    <w:rsid w:val="00A5426D"/>
    <w:rsid w:val="00A54FC2"/>
    <w:rsid w:val="00A55122"/>
    <w:rsid w:val="00A5696C"/>
    <w:rsid w:val="00A56C67"/>
    <w:rsid w:val="00A56DE7"/>
    <w:rsid w:val="00A57AF7"/>
    <w:rsid w:val="00A57EB2"/>
    <w:rsid w:val="00A6009E"/>
    <w:rsid w:val="00A605F9"/>
    <w:rsid w:val="00A60762"/>
    <w:rsid w:val="00A60B1F"/>
    <w:rsid w:val="00A61C60"/>
    <w:rsid w:val="00A621A7"/>
    <w:rsid w:val="00A62589"/>
    <w:rsid w:val="00A62C3A"/>
    <w:rsid w:val="00A63812"/>
    <w:rsid w:val="00A63DF7"/>
    <w:rsid w:val="00A64198"/>
    <w:rsid w:val="00A64505"/>
    <w:rsid w:val="00A668BA"/>
    <w:rsid w:val="00A66FA7"/>
    <w:rsid w:val="00A674AA"/>
    <w:rsid w:val="00A677F6"/>
    <w:rsid w:val="00A67E16"/>
    <w:rsid w:val="00A70101"/>
    <w:rsid w:val="00A703CC"/>
    <w:rsid w:val="00A70C5C"/>
    <w:rsid w:val="00A71EA7"/>
    <w:rsid w:val="00A730AD"/>
    <w:rsid w:val="00A73855"/>
    <w:rsid w:val="00A73D64"/>
    <w:rsid w:val="00A73FEA"/>
    <w:rsid w:val="00A74216"/>
    <w:rsid w:val="00A744B4"/>
    <w:rsid w:val="00A74D61"/>
    <w:rsid w:val="00A751E3"/>
    <w:rsid w:val="00A75504"/>
    <w:rsid w:val="00A75CD9"/>
    <w:rsid w:val="00A76438"/>
    <w:rsid w:val="00A77168"/>
    <w:rsid w:val="00A7723B"/>
    <w:rsid w:val="00A7793C"/>
    <w:rsid w:val="00A77D21"/>
    <w:rsid w:val="00A80085"/>
    <w:rsid w:val="00A8043B"/>
    <w:rsid w:val="00A81323"/>
    <w:rsid w:val="00A81AC0"/>
    <w:rsid w:val="00A81D1E"/>
    <w:rsid w:val="00A820CB"/>
    <w:rsid w:val="00A8214C"/>
    <w:rsid w:val="00A82342"/>
    <w:rsid w:val="00A83BEF"/>
    <w:rsid w:val="00A84443"/>
    <w:rsid w:val="00A8487F"/>
    <w:rsid w:val="00A848FC"/>
    <w:rsid w:val="00A849A3"/>
    <w:rsid w:val="00A84A0E"/>
    <w:rsid w:val="00A851FD"/>
    <w:rsid w:val="00A86461"/>
    <w:rsid w:val="00A86B00"/>
    <w:rsid w:val="00A86E0B"/>
    <w:rsid w:val="00A90F12"/>
    <w:rsid w:val="00A9110D"/>
    <w:rsid w:val="00A93101"/>
    <w:rsid w:val="00A94293"/>
    <w:rsid w:val="00A94630"/>
    <w:rsid w:val="00A94760"/>
    <w:rsid w:val="00A9496E"/>
    <w:rsid w:val="00A949F0"/>
    <w:rsid w:val="00A94BDE"/>
    <w:rsid w:val="00A94FCA"/>
    <w:rsid w:val="00A95D0E"/>
    <w:rsid w:val="00A95E4C"/>
    <w:rsid w:val="00A964A2"/>
    <w:rsid w:val="00A96A20"/>
    <w:rsid w:val="00A96C09"/>
    <w:rsid w:val="00A96C60"/>
    <w:rsid w:val="00A9740B"/>
    <w:rsid w:val="00A9766C"/>
    <w:rsid w:val="00A977F8"/>
    <w:rsid w:val="00A97C93"/>
    <w:rsid w:val="00AA08E7"/>
    <w:rsid w:val="00AA0A06"/>
    <w:rsid w:val="00AA1351"/>
    <w:rsid w:val="00AA1859"/>
    <w:rsid w:val="00AA1C84"/>
    <w:rsid w:val="00AA30E4"/>
    <w:rsid w:val="00AA3D7B"/>
    <w:rsid w:val="00AA42A0"/>
    <w:rsid w:val="00AA442B"/>
    <w:rsid w:val="00AA46A4"/>
    <w:rsid w:val="00AA5779"/>
    <w:rsid w:val="00AA58A1"/>
    <w:rsid w:val="00AA61C7"/>
    <w:rsid w:val="00AA669D"/>
    <w:rsid w:val="00AA66ED"/>
    <w:rsid w:val="00AA6BE1"/>
    <w:rsid w:val="00AA706E"/>
    <w:rsid w:val="00AA7416"/>
    <w:rsid w:val="00AA7A60"/>
    <w:rsid w:val="00AA7B42"/>
    <w:rsid w:val="00AB041C"/>
    <w:rsid w:val="00AB0483"/>
    <w:rsid w:val="00AB14E8"/>
    <w:rsid w:val="00AB17EC"/>
    <w:rsid w:val="00AB1B1D"/>
    <w:rsid w:val="00AB2216"/>
    <w:rsid w:val="00AB2C0A"/>
    <w:rsid w:val="00AB358D"/>
    <w:rsid w:val="00AB37A1"/>
    <w:rsid w:val="00AB3BAD"/>
    <w:rsid w:val="00AB3CFD"/>
    <w:rsid w:val="00AB40C6"/>
    <w:rsid w:val="00AB49BC"/>
    <w:rsid w:val="00AB4DEE"/>
    <w:rsid w:val="00AB4E32"/>
    <w:rsid w:val="00AB4F86"/>
    <w:rsid w:val="00AB579A"/>
    <w:rsid w:val="00AB68DF"/>
    <w:rsid w:val="00AB724B"/>
    <w:rsid w:val="00AB726C"/>
    <w:rsid w:val="00AB72B4"/>
    <w:rsid w:val="00AC02AA"/>
    <w:rsid w:val="00AC0537"/>
    <w:rsid w:val="00AC0A84"/>
    <w:rsid w:val="00AC2A0B"/>
    <w:rsid w:val="00AC2BEC"/>
    <w:rsid w:val="00AC2BEE"/>
    <w:rsid w:val="00AC2E53"/>
    <w:rsid w:val="00AC30DB"/>
    <w:rsid w:val="00AC484F"/>
    <w:rsid w:val="00AC4B20"/>
    <w:rsid w:val="00AC4D8F"/>
    <w:rsid w:val="00AC56F2"/>
    <w:rsid w:val="00AC5B83"/>
    <w:rsid w:val="00AC5D30"/>
    <w:rsid w:val="00AC6886"/>
    <w:rsid w:val="00AC6C90"/>
    <w:rsid w:val="00AC71C3"/>
    <w:rsid w:val="00AD0DA5"/>
    <w:rsid w:val="00AD0EB3"/>
    <w:rsid w:val="00AD1499"/>
    <w:rsid w:val="00AD1EFA"/>
    <w:rsid w:val="00AD2072"/>
    <w:rsid w:val="00AD2808"/>
    <w:rsid w:val="00AD2DBD"/>
    <w:rsid w:val="00AD2FBF"/>
    <w:rsid w:val="00AD455D"/>
    <w:rsid w:val="00AD463C"/>
    <w:rsid w:val="00AD46A2"/>
    <w:rsid w:val="00AD47E8"/>
    <w:rsid w:val="00AD4F60"/>
    <w:rsid w:val="00AD5044"/>
    <w:rsid w:val="00AD5114"/>
    <w:rsid w:val="00AD5B31"/>
    <w:rsid w:val="00AD6236"/>
    <w:rsid w:val="00AD70B4"/>
    <w:rsid w:val="00AD7619"/>
    <w:rsid w:val="00AD7770"/>
    <w:rsid w:val="00AE0588"/>
    <w:rsid w:val="00AE05F9"/>
    <w:rsid w:val="00AE1772"/>
    <w:rsid w:val="00AE1990"/>
    <w:rsid w:val="00AE1BB9"/>
    <w:rsid w:val="00AE2523"/>
    <w:rsid w:val="00AE25E8"/>
    <w:rsid w:val="00AE2AD4"/>
    <w:rsid w:val="00AE2CA7"/>
    <w:rsid w:val="00AE2F1D"/>
    <w:rsid w:val="00AE4B2B"/>
    <w:rsid w:val="00AE586F"/>
    <w:rsid w:val="00AE6582"/>
    <w:rsid w:val="00AE6BC7"/>
    <w:rsid w:val="00AE6DC5"/>
    <w:rsid w:val="00AE7686"/>
    <w:rsid w:val="00AE799A"/>
    <w:rsid w:val="00AF00B6"/>
    <w:rsid w:val="00AF0492"/>
    <w:rsid w:val="00AF0E81"/>
    <w:rsid w:val="00AF0F32"/>
    <w:rsid w:val="00AF117A"/>
    <w:rsid w:val="00AF186E"/>
    <w:rsid w:val="00AF19DF"/>
    <w:rsid w:val="00AF1F4F"/>
    <w:rsid w:val="00AF26CF"/>
    <w:rsid w:val="00AF2AD1"/>
    <w:rsid w:val="00AF4E92"/>
    <w:rsid w:val="00AF554B"/>
    <w:rsid w:val="00AF5C9B"/>
    <w:rsid w:val="00AF5D53"/>
    <w:rsid w:val="00AF5E2D"/>
    <w:rsid w:val="00AF644B"/>
    <w:rsid w:val="00AF6CA6"/>
    <w:rsid w:val="00AF6EB6"/>
    <w:rsid w:val="00AF72E3"/>
    <w:rsid w:val="00AF7796"/>
    <w:rsid w:val="00B011A9"/>
    <w:rsid w:val="00B015F3"/>
    <w:rsid w:val="00B024ED"/>
    <w:rsid w:val="00B02E66"/>
    <w:rsid w:val="00B02EB3"/>
    <w:rsid w:val="00B02FCB"/>
    <w:rsid w:val="00B033F8"/>
    <w:rsid w:val="00B03C1E"/>
    <w:rsid w:val="00B04400"/>
    <w:rsid w:val="00B04835"/>
    <w:rsid w:val="00B05A55"/>
    <w:rsid w:val="00B05DE1"/>
    <w:rsid w:val="00B06595"/>
    <w:rsid w:val="00B07D11"/>
    <w:rsid w:val="00B10109"/>
    <w:rsid w:val="00B1085E"/>
    <w:rsid w:val="00B10FD0"/>
    <w:rsid w:val="00B10FD1"/>
    <w:rsid w:val="00B11896"/>
    <w:rsid w:val="00B11B55"/>
    <w:rsid w:val="00B12735"/>
    <w:rsid w:val="00B129C6"/>
    <w:rsid w:val="00B131C4"/>
    <w:rsid w:val="00B13386"/>
    <w:rsid w:val="00B13533"/>
    <w:rsid w:val="00B13C48"/>
    <w:rsid w:val="00B13E35"/>
    <w:rsid w:val="00B13EC0"/>
    <w:rsid w:val="00B13FA5"/>
    <w:rsid w:val="00B14102"/>
    <w:rsid w:val="00B14D32"/>
    <w:rsid w:val="00B1557C"/>
    <w:rsid w:val="00B155DC"/>
    <w:rsid w:val="00B15766"/>
    <w:rsid w:val="00B159AA"/>
    <w:rsid w:val="00B1666A"/>
    <w:rsid w:val="00B1686D"/>
    <w:rsid w:val="00B17037"/>
    <w:rsid w:val="00B1741D"/>
    <w:rsid w:val="00B17447"/>
    <w:rsid w:val="00B17563"/>
    <w:rsid w:val="00B1771D"/>
    <w:rsid w:val="00B1792E"/>
    <w:rsid w:val="00B17B5B"/>
    <w:rsid w:val="00B17B91"/>
    <w:rsid w:val="00B20209"/>
    <w:rsid w:val="00B203AF"/>
    <w:rsid w:val="00B203C9"/>
    <w:rsid w:val="00B2088D"/>
    <w:rsid w:val="00B208FF"/>
    <w:rsid w:val="00B228D1"/>
    <w:rsid w:val="00B22C58"/>
    <w:rsid w:val="00B22D35"/>
    <w:rsid w:val="00B22E22"/>
    <w:rsid w:val="00B22F5F"/>
    <w:rsid w:val="00B23813"/>
    <w:rsid w:val="00B23FD9"/>
    <w:rsid w:val="00B24591"/>
    <w:rsid w:val="00B245D5"/>
    <w:rsid w:val="00B24C36"/>
    <w:rsid w:val="00B24F94"/>
    <w:rsid w:val="00B25126"/>
    <w:rsid w:val="00B25A52"/>
    <w:rsid w:val="00B25B0A"/>
    <w:rsid w:val="00B25FC3"/>
    <w:rsid w:val="00B26852"/>
    <w:rsid w:val="00B26C61"/>
    <w:rsid w:val="00B26CC4"/>
    <w:rsid w:val="00B27026"/>
    <w:rsid w:val="00B27875"/>
    <w:rsid w:val="00B27C18"/>
    <w:rsid w:val="00B27E51"/>
    <w:rsid w:val="00B3008D"/>
    <w:rsid w:val="00B30302"/>
    <w:rsid w:val="00B30825"/>
    <w:rsid w:val="00B30E11"/>
    <w:rsid w:val="00B30EEB"/>
    <w:rsid w:val="00B30FD0"/>
    <w:rsid w:val="00B31423"/>
    <w:rsid w:val="00B31710"/>
    <w:rsid w:val="00B323E0"/>
    <w:rsid w:val="00B32DC0"/>
    <w:rsid w:val="00B33137"/>
    <w:rsid w:val="00B3346C"/>
    <w:rsid w:val="00B335E4"/>
    <w:rsid w:val="00B33C23"/>
    <w:rsid w:val="00B345B4"/>
    <w:rsid w:val="00B348B1"/>
    <w:rsid w:val="00B34A28"/>
    <w:rsid w:val="00B34EB2"/>
    <w:rsid w:val="00B35046"/>
    <w:rsid w:val="00B35B6A"/>
    <w:rsid w:val="00B37657"/>
    <w:rsid w:val="00B37AFD"/>
    <w:rsid w:val="00B37B07"/>
    <w:rsid w:val="00B4046F"/>
    <w:rsid w:val="00B40B47"/>
    <w:rsid w:val="00B41D39"/>
    <w:rsid w:val="00B42031"/>
    <w:rsid w:val="00B422C0"/>
    <w:rsid w:val="00B426CA"/>
    <w:rsid w:val="00B426E1"/>
    <w:rsid w:val="00B428E1"/>
    <w:rsid w:val="00B437F8"/>
    <w:rsid w:val="00B4387A"/>
    <w:rsid w:val="00B43F4E"/>
    <w:rsid w:val="00B44260"/>
    <w:rsid w:val="00B44746"/>
    <w:rsid w:val="00B44854"/>
    <w:rsid w:val="00B44A23"/>
    <w:rsid w:val="00B45419"/>
    <w:rsid w:val="00B458C1"/>
    <w:rsid w:val="00B458D0"/>
    <w:rsid w:val="00B45D0D"/>
    <w:rsid w:val="00B4792C"/>
    <w:rsid w:val="00B47A25"/>
    <w:rsid w:val="00B502E1"/>
    <w:rsid w:val="00B50CAE"/>
    <w:rsid w:val="00B512AD"/>
    <w:rsid w:val="00B5196C"/>
    <w:rsid w:val="00B523B9"/>
    <w:rsid w:val="00B525CB"/>
    <w:rsid w:val="00B52697"/>
    <w:rsid w:val="00B53E7C"/>
    <w:rsid w:val="00B53E90"/>
    <w:rsid w:val="00B54D8F"/>
    <w:rsid w:val="00B555B1"/>
    <w:rsid w:val="00B55857"/>
    <w:rsid w:val="00B55C2B"/>
    <w:rsid w:val="00B55C69"/>
    <w:rsid w:val="00B56851"/>
    <w:rsid w:val="00B56D6E"/>
    <w:rsid w:val="00B572F7"/>
    <w:rsid w:val="00B57B9D"/>
    <w:rsid w:val="00B57DAF"/>
    <w:rsid w:val="00B60094"/>
    <w:rsid w:val="00B6022C"/>
    <w:rsid w:val="00B611CF"/>
    <w:rsid w:val="00B614F8"/>
    <w:rsid w:val="00B61994"/>
    <w:rsid w:val="00B61FD4"/>
    <w:rsid w:val="00B62880"/>
    <w:rsid w:val="00B63872"/>
    <w:rsid w:val="00B63CB2"/>
    <w:rsid w:val="00B63F51"/>
    <w:rsid w:val="00B6416D"/>
    <w:rsid w:val="00B64246"/>
    <w:rsid w:val="00B64EDB"/>
    <w:rsid w:val="00B6501B"/>
    <w:rsid w:val="00B65379"/>
    <w:rsid w:val="00B654D3"/>
    <w:rsid w:val="00B65938"/>
    <w:rsid w:val="00B6596B"/>
    <w:rsid w:val="00B65C6F"/>
    <w:rsid w:val="00B65C8A"/>
    <w:rsid w:val="00B65CE2"/>
    <w:rsid w:val="00B65CED"/>
    <w:rsid w:val="00B660AD"/>
    <w:rsid w:val="00B660CB"/>
    <w:rsid w:val="00B66109"/>
    <w:rsid w:val="00B66349"/>
    <w:rsid w:val="00B67630"/>
    <w:rsid w:val="00B67711"/>
    <w:rsid w:val="00B67FBF"/>
    <w:rsid w:val="00B7024E"/>
    <w:rsid w:val="00B70A5C"/>
    <w:rsid w:val="00B71F5F"/>
    <w:rsid w:val="00B71FA7"/>
    <w:rsid w:val="00B72110"/>
    <w:rsid w:val="00B72B91"/>
    <w:rsid w:val="00B73019"/>
    <w:rsid w:val="00B7315F"/>
    <w:rsid w:val="00B7323A"/>
    <w:rsid w:val="00B73356"/>
    <w:rsid w:val="00B7353B"/>
    <w:rsid w:val="00B7358A"/>
    <w:rsid w:val="00B737FB"/>
    <w:rsid w:val="00B73EDA"/>
    <w:rsid w:val="00B7423D"/>
    <w:rsid w:val="00B74605"/>
    <w:rsid w:val="00B74D05"/>
    <w:rsid w:val="00B75937"/>
    <w:rsid w:val="00B777FA"/>
    <w:rsid w:val="00B77850"/>
    <w:rsid w:val="00B7796B"/>
    <w:rsid w:val="00B80B8A"/>
    <w:rsid w:val="00B80C72"/>
    <w:rsid w:val="00B81964"/>
    <w:rsid w:val="00B81E6F"/>
    <w:rsid w:val="00B82123"/>
    <w:rsid w:val="00B8225B"/>
    <w:rsid w:val="00B82BB5"/>
    <w:rsid w:val="00B83182"/>
    <w:rsid w:val="00B84684"/>
    <w:rsid w:val="00B848DF"/>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1E13"/>
    <w:rsid w:val="00B92531"/>
    <w:rsid w:val="00B92618"/>
    <w:rsid w:val="00B92751"/>
    <w:rsid w:val="00B92A5A"/>
    <w:rsid w:val="00B92B69"/>
    <w:rsid w:val="00B92CC6"/>
    <w:rsid w:val="00B935C9"/>
    <w:rsid w:val="00B93B02"/>
    <w:rsid w:val="00B93E3D"/>
    <w:rsid w:val="00B94033"/>
    <w:rsid w:val="00B95018"/>
    <w:rsid w:val="00B95464"/>
    <w:rsid w:val="00B95C30"/>
    <w:rsid w:val="00B95CB7"/>
    <w:rsid w:val="00B95E3D"/>
    <w:rsid w:val="00B9691F"/>
    <w:rsid w:val="00B969E0"/>
    <w:rsid w:val="00B96B11"/>
    <w:rsid w:val="00B96EEC"/>
    <w:rsid w:val="00B97392"/>
    <w:rsid w:val="00B974B5"/>
    <w:rsid w:val="00B97559"/>
    <w:rsid w:val="00B97691"/>
    <w:rsid w:val="00B976C7"/>
    <w:rsid w:val="00BA0C54"/>
    <w:rsid w:val="00BA1382"/>
    <w:rsid w:val="00BA20D8"/>
    <w:rsid w:val="00BA22FC"/>
    <w:rsid w:val="00BA2F30"/>
    <w:rsid w:val="00BA4771"/>
    <w:rsid w:val="00BA4DBB"/>
    <w:rsid w:val="00BA5027"/>
    <w:rsid w:val="00BA665B"/>
    <w:rsid w:val="00BA72BD"/>
    <w:rsid w:val="00BA7370"/>
    <w:rsid w:val="00BA778B"/>
    <w:rsid w:val="00BB0888"/>
    <w:rsid w:val="00BB0DF1"/>
    <w:rsid w:val="00BB0E9B"/>
    <w:rsid w:val="00BB10EB"/>
    <w:rsid w:val="00BB139D"/>
    <w:rsid w:val="00BB2729"/>
    <w:rsid w:val="00BB2841"/>
    <w:rsid w:val="00BB300F"/>
    <w:rsid w:val="00BB32C9"/>
    <w:rsid w:val="00BB35C5"/>
    <w:rsid w:val="00BB43A7"/>
    <w:rsid w:val="00BB4C8E"/>
    <w:rsid w:val="00BB57ED"/>
    <w:rsid w:val="00BB65C3"/>
    <w:rsid w:val="00BB662E"/>
    <w:rsid w:val="00BB67A9"/>
    <w:rsid w:val="00BB6C01"/>
    <w:rsid w:val="00BB718B"/>
    <w:rsid w:val="00BB75CB"/>
    <w:rsid w:val="00BB7942"/>
    <w:rsid w:val="00BB7CD1"/>
    <w:rsid w:val="00BC07E4"/>
    <w:rsid w:val="00BC0F33"/>
    <w:rsid w:val="00BC14A7"/>
    <w:rsid w:val="00BC1611"/>
    <w:rsid w:val="00BC17CC"/>
    <w:rsid w:val="00BC229E"/>
    <w:rsid w:val="00BC2898"/>
    <w:rsid w:val="00BC2928"/>
    <w:rsid w:val="00BC2AA9"/>
    <w:rsid w:val="00BC2BB1"/>
    <w:rsid w:val="00BC34A3"/>
    <w:rsid w:val="00BC3FF9"/>
    <w:rsid w:val="00BC4834"/>
    <w:rsid w:val="00BC4A97"/>
    <w:rsid w:val="00BC5A25"/>
    <w:rsid w:val="00BC5E28"/>
    <w:rsid w:val="00BC5FDD"/>
    <w:rsid w:val="00BC68B4"/>
    <w:rsid w:val="00BC6C2D"/>
    <w:rsid w:val="00BC7B9A"/>
    <w:rsid w:val="00BD0140"/>
    <w:rsid w:val="00BD02CC"/>
    <w:rsid w:val="00BD1675"/>
    <w:rsid w:val="00BD2063"/>
    <w:rsid w:val="00BD23F8"/>
    <w:rsid w:val="00BD2B91"/>
    <w:rsid w:val="00BD33D9"/>
    <w:rsid w:val="00BD38C5"/>
    <w:rsid w:val="00BD3CF1"/>
    <w:rsid w:val="00BD3DEA"/>
    <w:rsid w:val="00BD3E97"/>
    <w:rsid w:val="00BD40E4"/>
    <w:rsid w:val="00BD52FE"/>
    <w:rsid w:val="00BD62CF"/>
    <w:rsid w:val="00BD677A"/>
    <w:rsid w:val="00BD67B2"/>
    <w:rsid w:val="00BD6A07"/>
    <w:rsid w:val="00BD78AB"/>
    <w:rsid w:val="00BD78FE"/>
    <w:rsid w:val="00BE0149"/>
    <w:rsid w:val="00BE0767"/>
    <w:rsid w:val="00BE12B8"/>
    <w:rsid w:val="00BE12D7"/>
    <w:rsid w:val="00BE1372"/>
    <w:rsid w:val="00BE1775"/>
    <w:rsid w:val="00BE17A2"/>
    <w:rsid w:val="00BE18DA"/>
    <w:rsid w:val="00BE1A31"/>
    <w:rsid w:val="00BE223B"/>
    <w:rsid w:val="00BE26C0"/>
    <w:rsid w:val="00BE3442"/>
    <w:rsid w:val="00BE45DF"/>
    <w:rsid w:val="00BE47B2"/>
    <w:rsid w:val="00BE48C7"/>
    <w:rsid w:val="00BE4F66"/>
    <w:rsid w:val="00BE5238"/>
    <w:rsid w:val="00BE5D35"/>
    <w:rsid w:val="00BE6074"/>
    <w:rsid w:val="00BE67A2"/>
    <w:rsid w:val="00BE7257"/>
    <w:rsid w:val="00BF020D"/>
    <w:rsid w:val="00BF1DD2"/>
    <w:rsid w:val="00BF2321"/>
    <w:rsid w:val="00BF23A3"/>
    <w:rsid w:val="00BF28DB"/>
    <w:rsid w:val="00BF2A7E"/>
    <w:rsid w:val="00BF3331"/>
    <w:rsid w:val="00BF3A45"/>
    <w:rsid w:val="00BF436F"/>
    <w:rsid w:val="00BF5723"/>
    <w:rsid w:val="00BF5C05"/>
    <w:rsid w:val="00BF60C8"/>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8DE"/>
    <w:rsid w:val="00C04BDB"/>
    <w:rsid w:val="00C04F5C"/>
    <w:rsid w:val="00C052C6"/>
    <w:rsid w:val="00C059D4"/>
    <w:rsid w:val="00C05A61"/>
    <w:rsid w:val="00C064F0"/>
    <w:rsid w:val="00C06C2C"/>
    <w:rsid w:val="00C06CCF"/>
    <w:rsid w:val="00C07D95"/>
    <w:rsid w:val="00C108B8"/>
    <w:rsid w:val="00C11503"/>
    <w:rsid w:val="00C1159D"/>
    <w:rsid w:val="00C11683"/>
    <w:rsid w:val="00C11798"/>
    <w:rsid w:val="00C118DB"/>
    <w:rsid w:val="00C1233E"/>
    <w:rsid w:val="00C125C1"/>
    <w:rsid w:val="00C12F05"/>
    <w:rsid w:val="00C12FB3"/>
    <w:rsid w:val="00C138BC"/>
    <w:rsid w:val="00C13D85"/>
    <w:rsid w:val="00C14639"/>
    <w:rsid w:val="00C14E82"/>
    <w:rsid w:val="00C14FF6"/>
    <w:rsid w:val="00C1512F"/>
    <w:rsid w:val="00C15A85"/>
    <w:rsid w:val="00C1641B"/>
    <w:rsid w:val="00C165FC"/>
    <w:rsid w:val="00C17402"/>
    <w:rsid w:val="00C17642"/>
    <w:rsid w:val="00C176D5"/>
    <w:rsid w:val="00C2082C"/>
    <w:rsid w:val="00C20832"/>
    <w:rsid w:val="00C20EB0"/>
    <w:rsid w:val="00C21005"/>
    <w:rsid w:val="00C220B6"/>
    <w:rsid w:val="00C22206"/>
    <w:rsid w:val="00C227AF"/>
    <w:rsid w:val="00C22D7C"/>
    <w:rsid w:val="00C22DDE"/>
    <w:rsid w:val="00C2338B"/>
    <w:rsid w:val="00C233CE"/>
    <w:rsid w:val="00C23661"/>
    <w:rsid w:val="00C236AE"/>
    <w:rsid w:val="00C237DD"/>
    <w:rsid w:val="00C238F4"/>
    <w:rsid w:val="00C23A99"/>
    <w:rsid w:val="00C245EE"/>
    <w:rsid w:val="00C24AE1"/>
    <w:rsid w:val="00C24B8D"/>
    <w:rsid w:val="00C24BD7"/>
    <w:rsid w:val="00C2542B"/>
    <w:rsid w:val="00C25813"/>
    <w:rsid w:val="00C25A04"/>
    <w:rsid w:val="00C27143"/>
    <w:rsid w:val="00C27490"/>
    <w:rsid w:val="00C27A55"/>
    <w:rsid w:val="00C27D37"/>
    <w:rsid w:val="00C27FB2"/>
    <w:rsid w:val="00C302E5"/>
    <w:rsid w:val="00C309E8"/>
    <w:rsid w:val="00C3190C"/>
    <w:rsid w:val="00C32017"/>
    <w:rsid w:val="00C325CD"/>
    <w:rsid w:val="00C3322E"/>
    <w:rsid w:val="00C337F5"/>
    <w:rsid w:val="00C33907"/>
    <w:rsid w:val="00C33B90"/>
    <w:rsid w:val="00C34B5F"/>
    <w:rsid w:val="00C358D4"/>
    <w:rsid w:val="00C35A19"/>
    <w:rsid w:val="00C36785"/>
    <w:rsid w:val="00C36845"/>
    <w:rsid w:val="00C37002"/>
    <w:rsid w:val="00C3711C"/>
    <w:rsid w:val="00C37256"/>
    <w:rsid w:val="00C37A7B"/>
    <w:rsid w:val="00C37CFF"/>
    <w:rsid w:val="00C37FFE"/>
    <w:rsid w:val="00C40B50"/>
    <w:rsid w:val="00C41858"/>
    <w:rsid w:val="00C419E3"/>
    <w:rsid w:val="00C419F4"/>
    <w:rsid w:val="00C41E6A"/>
    <w:rsid w:val="00C42247"/>
    <w:rsid w:val="00C439BE"/>
    <w:rsid w:val="00C44E61"/>
    <w:rsid w:val="00C4539B"/>
    <w:rsid w:val="00C45466"/>
    <w:rsid w:val="00C455C1"/>
    <w:rsid w:val="00C4581D"/>
    <w:rsid w:val="00C47472"/>
    <w:rsid w:val="00C47EA5"/>
    <w:rsid w:val="00C500F0"/>
    <w:rsid w:val="00C502BB"/>
    <w:rsid w:val="00C504A7"/>
    <w:rsid w:val="00C506C9"/>
    <w:rsid w:val="00C50A16"/>
    <w:rsid w:val="00C50B44"/>
    <w:rsid w:val="00C5122B"/>
    <w:rsid w:val="00C51433"/>
    <w:rsid w:val="00C51C9A"/>
    <w:rsid w:val="00C52428"/>
    <w:rsid w:val="00C52C68"/>
    <w:rsid w:val="00C52D98"/>
    <w:rsid w:val="00C5325C"/>
    <w:rsid w:val="00C53D24"/>
    <w:rsid w:val="00C54640"/>
    <w:rsid w:val="00C547A6"/>
    <w:rsid w:val="00C54A3A"/>
    <w:rsid w:val="00C5503F"/>
    <w:rsid w:val="00C55A72"/>
    <w:rsid w:val="00C55C32"/>
    <w:rsid w:val="00C55DB4"/>
    <w:rsid w:val="00C56A67"/>
    <w:rsid w:val="00C56CC2"/>
    <w:rsid w:val="00C56FC3"/>
    <w:rsid w:val="00C57498"/>
    <w:rsid w:val="00C5763C"/>
    <w:rsid w:val="00C57761"/>
    <w:rsid w:val="00C577CA"/>
    <w:rsid w:val="00C5780C"/>
    <w:rsid w:val="00C5796B"/>
    <w:rsid w:val="00C619A1"/>
    <w:rsid w:val="00C62370"/>
    <w:rsid w:val="00C62545"/>
    <w:rsid w:val="00C62A11"/>
    <w:rsid w:val="00C62BBB"/>
    <w:rsid w:val="00C6305F"/>
    <w:rsid w:val="00C6325B"/>
    <w:rsid w:val="00C63E99"/>
    <w:rsid w:val="00C6407A"/>
    <w:rsid w:val="00C64161"/>
    <w:rsid w:val="00C641BD"/>
    <w:rsid w:val="00C649B8"/>
    <w:rsid w:val="00C64A64"/>
    <w:rsid w:val="00C64C72"/>
    <w:rsid w:val="00C65151"/>
    <w:rsid w:val="00C657F4"/>
    <w:rsid w:val="00C6599D"/>
    <w:rsid w:val="00C66119"/>
    <w:rsid w:val="00C66292"/>
    <w:rsid w:val="00C672A3"/>
    <w:rsid w:val="00C672F1"/>
    <w:rsid w:val="00C673D0"/>
    <w:rsid w:val="00C6742E"/>
    <w:rsid w:val="00C677BE"/>
    <w:rsid w:val="00C70012"/>
    <w:rsid w:val="00C706CA"/>
    <w:rsid w:val="00C7185F"/>
    <w:rsid w:val="00C71CBB"/>
    <w:rsid w:val="00C71E2A"/>
    <w:rsid w:val="00C72496"/>
    <w:rsid w:val="00C733BA"/>
    <w:rsid w:val="00C755EF"/>
    <w:rsid w:val="00C760DC"/>
    <w:rsid w:val="00C7672E"/>
    <w:rsid w:val="00C8082B"/>
    <w:rsid w:val="00C80F3E"/>
    <w:rsid w:val="00C81A88"/>
    <w:rsid w:val="00C81AEC"/>
    <w:rsid w:val="00C81D46"/>
    <w:rsid w:val="00C820AD"/>
    <w:rsid w:val="00C82289"/>
    <w:rsid w:val="00C82298"/>
    <w:rsid w:val="00C831D4"/>
    <w:rsid w:val="00C833B4"/>
    <w:rsid w:val="00C83449"/>
    <w:rsid w:val="00C84284"/>
    <w:rsid w:val="00C84BD1"/>
    <w:rsid w:val="00C84E33"/>
    <w:rsid w:val="00C852E2"/>
    <w:rsid w:val="00C85554"/>
    <w:rsid w:val="00C85FFC"/>
    <w:rsid w:val="00C86123"/>
    <w:rsid w:val="00C861FC"/>
    <w:rsid w:val="00C86C87"/>
    <w:rsid w:val="00C8705B"/>
    <w:rsid w:val="00C87090"/>
    <w:rsid w:val="00C8763C"/>
    <w:rsid w:val="00C9005E"/>
    <w:rsid w:val="00C90111"/>
    <w:rsid w:val="00C90CA9"/>
    <w:rsid w:val="00C915F2"/>
    <w:rsid w:val="00C917B1"/>
    <w:rsid w:val="00C9193C"/>
    <w:rsid w:val="00C91B77"/>
    <w:rsid w:val="00C920E2"/>
    <w:rsid w:val="00C923AA"/>
    <w:rsid w:val="00C93154"/>
    <w:rsid w:val="00C93765"/>
    <w:rsid w:val="00C93877"/>
    <w:rsid w:val="00C93D8C"/>
    <w:rsid w:val="00C946CC"/>
    <w:rsid w:val="00C9476E"/>
    <w:rsid w:val="00C959BD"/>
    <w:rsid w:val="00C95EC4"/>
    <w:rsid w:val="00C95F44"/>
    <w:rsid w:val="00C96407"/>
    <w:rsid w:val="00C96908"/>
    <w:rsid w:val="00C96D1B"/>
    <w:rsid w:val="00C97106"/>
    <w:rsid w:val="00C97684"/>
    <w:rsid w:val="00CA0031"/>
    <w:rsid w:val="00CA0413"/>
    <w:rsid w:val="00CA043A"/>
    <w:rsid w:val="00CA0459"/>
    <w:rsid w:val="00CA04F8"/>
    <w:rsid w:val="00CA1691"/>
    <w:rsid w:val="00CA2E65"/>
    <w:rsid w:val="00CA2EA1"/>
    <w:rsid w:val="00CA3665"/>
    <w:rsid w:val="00CA3CBD"/>
    <w:rsid w:val="00CA3FC7"/>
    <w:rsid w:val="00CA41E7"/>
    <w:rsid w:val="00CA4B2B"/>
    <w:rsid w:val="00CA5520"/>
    <w:rsid w:val="00CA5812"/>
    <w:rsid w:val="00CA5BD4"/>
    <w:rsid w:val="00CA5C14"/>
    <w:rsid w:val="00CA76FC"/>
    <w:rsid w:val="00CA77EF"/>
    <w:rsid w:val="00CA7DB5"/>
    <w:rsid w:val="00CA7E7B"/>
    <w:rsid w:val="00CB0236"/>
    <w:rsid w:val="00CB19E3"/>
    <w:rsid w:val="00CB1DFC"/>
    <w:rsid w:val="00CB2C3A"/>
    <w:rsid w:val="00CB2D38"/>
    <w:rsid w:val="00CB31D6"/>
    <w:rsid w:val="00CB4137"/>
    <w:rsid w:val="00CB52D0"/>
    <w:rsid w:val="00CB5578"/>
    <w:rsid w:val="00CB5671"/>
    <w:rsid w:val="00CB591C"/>
    <w:rsid w:val="00CB5943"/>
    <w:rsid w:val="00CB61B3"/>
    <w:rsid w:val="00CB6F83"/>
    <w:rsid w:val="00CB72AE"/>
    <w:rsid w:val="00CB78AD"/>
    <w:rsid w:val="00CC00CD"/>
    <w:rsid w:val="00CC0579"/>
    <w:rsid w:val="00CC0ACB"/>
    <w:rsid w:val="00CC0AF3"/>
    <w:rsid w:val="00CC0BC6"/>
    <w:rsid w:val="00CC0E68"/>
    <w:rsid w:val="00CC21AC"/>
    <w:rsid w:val="00CC2514"/>
    <w:rsid w:val="00CC2756"/>
    <w:rsid w:val="00CC2DEA"/>
    <w:rsid w:val="00CC2F69"/>
    <w:rsid w:val="00CC315F"/>
    <w:rsid w:val="00CC31E9"/>
    <w:rsid w:val="00CC3D38"/>
    <w:rsid w:val="00CC404B"/>
    <w:rsid w:val="00CC40C3"/>
    <w:rsid w:val="00CC4E5D"/>
    <w:rsid w:val="00CC50AE"/>
    <w:rsid w:val="00CC518A"/>
    <w:rsid w:val="00CC5D9A"/>
    <w:rsid w:val="00CC61B7"/>
    <w:rsid w:val="00CC61CA"/>
    <w:rsid w:val="00CC6207"/>
    <w:rsid w:val="00CC6668"/>
    <w:rsid w:val="00CC69EC"/>
    <w:rsid w:val="00CC71D3"/>
    <w:rsid w:val="00CC743D"/>
    <w:rsid w:val="00CC7E86"/>
    <w:rsid w:val="00CD050A"/>
    <w:rsid w:val="00CD1675"/>
    <w:rsid w:val="00CD205D"/>
    <w:rsid w:val="00CD2A22"/>
    <w:rsid w:val="00CD2B50"/>
    <w:rsid w:val="00CD2BAF"/>
    <w:rsid w:val="00CD4506"/>
    <w:rsid w:val="00CD4C90"/>
    <w:rsid w:val="00CD520B"/>
    <w:rsid w:val="00CD592E"/>
    <w:rsid w:val="00CD5982"/>
    <w:rsid w:val="00CD5A1A"/>
    <w:rsid w:val="00CD77E1"/>
    <w:rsid w:val="00CD7EFA"/>
    <w:rsid w:val="00CE020E"/>
    <w:rsid w:val="00CE0566"/>
    <w:rsid w:val="00CE12A4"/>
    <w:rsid w:val="00CE1CD4"/>
    <w:rsid w:val="00CE23FE"/>
    <w:rsid w:val="00CE2761"/>
    <w:rsid w:val="00CE314E"/>
    <w:rsid w:val="00CE3D5C"/>
    <w:rsid w:val="00CE3E14"/>
    <w:rsid w:val="00CE422D"/>
    <w:rsid w:val="00CE44C7"/>
    <w:rsid w:val="00CE53CC"/>
    <w:rsid w:val="00CE65A7"/>
    <w:rsid w:val="00CE68FE"/>
    <w:rsid w:val="00CE69CC"/>
    <w:rsid w:val="00CE6E98"/>
    <w:rsid w:val="00CE6EC4"/>
    <w:rsid w:val="00CE7A77"/>
    <w:rsid w:val="00CE7F26"/>
    <w:rsid w:val="00CE7FBF"/>
    <w:rsid w:val="00CF0CEA"/>
    <w:rsid w:val="00CF108D"/>
    <w:rsid w:val="00CF1226"/>
    <w:rsid w:val="00CF16C0"/>
    <w:rsid w:val="00CF1ABB"/>
    <w:rsid w:val="00CF1E1D"/>
    <w:rsid w:val="00CF24FE"/>
    <w:rsid w:val="00CF27E9"/>
    <w:rsid w:val="00CF35D0"/>
    <w:rsid w:val="00CF3DD5"/>
    <w:rsid w:val="00CF41D5"/>
    <w:rsid w:val="00CF4AF7"/>
    <w:rsid w:val="00CF4D20"/>
    <w:rsid w:val="00CF73F8"/>
    <w:rsid w:val="00CF7928"/>
    <w:rsid w:val="00CF7CA2"/>
    <w:rsid w:val="00D00A8E"/>
    <w:rsid w:val="00D00DE0"/>
    <w:rsid w:val="00D00F79"/>
    <w:rsid w:val="00D012BF"/>
    <w:rsid w:val="00D01760"/>
    <w:rsid w:val="00D0368E"/>
    <w:rsid w:val="00D039F1"/>
    <w:rsid w:val="00D03D2D"/>
    <w:rsid w:val="00D03E7B"/>
    <w:rsid w:val="00D0401A"/>
    <w:rsid w:val="00D047E0"/>
    <w:rsid w:val="00D04B9F"/>
    <w:rsid w:val="00D04C7E"/>
    <w:rsid w:val="00D04FFB"/>
    <w:rsid w:val="00D05153"/>
    <w:rsid w:val="00D058E9"/>
    <w:rsid w:val="00D0612A"/>
    <w:rsid w:val="00D06A0E"/>
    <w:rsid w:val="00D06A99"/>
    <w:rsid w:val="00D1060D"/>
    <w:rsid w:val="00D1062F"/>
    <w:rsid w:val="00D10E7C"/>
    <w:rsid w:val="00D11182"/>
    <w:rsid w:val="00D1137B"/>
    <w:rsid w:val="00D11807"/>
    <w:rsid w:val="00D11DB3"/>
    <w:rsid w:val="00D12D82"/>
    <w:rsid w:val="00D1306E"/>
    <w:rsid w:val="00D134CD"/>
    <w:rsid w:val="00D14B5F"/>
    <w:rsid w:val="00D14E13"/>
    <w:rsid w:val="00D14F23"/>
    <w:rsid w:val="00D15356"/>
    <w:rsid w:val="00D160AA"/>
    <w:rsid w:val="00D162C6"/>
    <w:rsid w:val="00D16740"/>
    <w:rsid w:val="00D16A8B"/>
    <w:rsid w:val="00D16E39"/>
    <w:rsid w:val="00D17951"/>
    <w:rsid w:val="00D17AD8"/>
    <w:rsid w:val="00D17B53"/>
    <w:rsid w:val="00D205AF"/>
    <w:rsid w:val="00D2104A"/>
    <w:rsid w:val="00D213F1"/>
    <w:rsid w:val="00D21BB5"/>
    <w:rsid w:val="00D21FFC"/>
    <w:rsid w:val="00D223A3"/>
    <w:rsid w:val="00D223B6"/>
    <w:rsid w:val="00D223E8"/>
    <w:rsid w:val="00D22DC8"/>
    <w:rsid w:val="00D23E94"/>
    <w:rsid w:val="00D243D3"/>
    <w:rsid w:val="00D24788"/>
    <w:rsid w:val="00D247D4"/>
    <w:rsid w:val="00D24ECD"/>
    <w:rsid w:val="00D24FAD"/>
    <w:rsid w:val="00D2522A"/>
    <w:rsid w:val="00D2531C"/>
    <w:rsid w:val="00D255F3"/>
    <w:rsid w:val="00D26C21"/>
    <w:rsid w:val="00D2742F"/>
    <w:rsid w:val="00D2754F"/>
    <w:rsid w:val="00D279D9"/>
    <w:rsid w:val="00D27DC9"/>
    <w:rsid w:val="00D3030A"/>
    <w:rsid w:val="00D312CE"/>
    <w:rsid w:val="00D312DC"/>
    <w:rsid w:val="00D31B84"/>
    <w:rsid w:val="00D31C6A"/>
    <w:rsid w:val="00D31EDF"/>
    <w:rsid w:val="00D31FF9"/>
    <w:rsid w:val="00D32149"/>
    <w:rsid w:val="00D32256"/>
    <w:rsid w:val="00D32A27"/>
    <w:rsid w:val="00D32ABC"/>
    <w:rsid w:val="00D32F72"/>
    <w:rsid w:val="00D34B25"/>
    <w:rsid w:val="00D34F4E"/>
    <w:rsid w:val="00D357F3"/>
    <w:rsid w:val="00D35C0E"/>
    <w:rsid w:val="00D369A8"/>
    <w:rsid w:val="00D373A8"/>
    <w:rsid w:val="00D375FF"/>
    <w:rsid w:val="00D379A5"/>
    <w:rsid w:val="00D401BE"/>
    <w:rsid w:val="00D4043A"/>
    <w:rsid w:val="00D40A8E"/>
    <w:rsid w:val="00D40DB0"/>
    <w:rsid w:val="00D40E05"/>
    <w:rsid w:val="00D40F8B"/>
    <w:rsid w:val="00D4106A"/>
    <w:rsid w:val="00D41858"/>
    <w:rsid w:val="00D422DB"/>
    <w:rsid w:val="00D42668"/>
    <w:rsid w:val="00D42A83"/>
    <w:rsid w:val="00D42AC2"/>
    <w:rsid w:val="00D44664"/>
    <w:rsid w:val="00D4498E"/>
    <w:rsid w:val="00D4515F"/>
    <w:rsid w:val="00D451E8"/>
    <w:rsid w:val="00D4636B"/>
    <w:rsid w:val="00D466C9"/>
    <w:rsid w:val="00D467D8"/>
    <w:rsid w:val="00D47275"/>
    <w:rsid w:val="00D4767B"/>
    <w:rsid w:val="00D47E04"/>
    <w:rsid w:val="00D500B4"/>
    <w:rsid w:val="00D50AEF"/>
    <w:rsid w:val="00D50C39"/>
    <w:rsid w:val="00D50F9C"/>
    <w:rsid w:val="00D514B1"/>
    <w:rsid w:val="00D51E15"/>
    <w:rsid w:val="00D51FFA"/>
    <w:rsid w:val="00D52B7E"/>
    <w:rsid w:val="00D52E2F"/>
    <w:rsid w:val="00D52F59"/>
    <w:rsid w:val="00D53E3E"/>
    <w:rsid w:val="00D53F9B"/>
    <w:rsid w:val="00D54F09"/>
    <w:rsid w:val="00D555FE"/>
    <w:rsid w:val="00D55904"/>
    <w:rsid w:val="00D5616F"/>
    <w:rsid w:val="00D57940"/>
    <w:rsid w:val="00D579DE"/>
    <w:rsid w:val="00D60327"/>
    <w:rsid w:val="00D61526"/>
    <w:rsid w:val="00D61F81"/>
    <w:rsid w:val="00D623A9"/>
    <w:rsid w:val="00D62BE6"/>
    <w:rsid w:val="00D633AC"/>
    <w:rsid w:val="00D63766"/>
    <w:rsid w:val="00D63912"/>
    <w:rsid w:val="00D63923"/>
    <w:rsid w:val="00D6417A"/>
    <w:rsid w:val="00D6451B"/>
    <w:rsid w:val="00D64B57"/>
    <w:rsid w:val="00D659EA"/>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4B88"/>
    <w:rsid w:val="00D751B7"/>
    <w:rsid w:val="00D7524B"/>
    <w:rsid w:val="00D75396"/>
    <w:rsid w:val="00D759C0"/>
    <w:rsid w:val="00D75BA7"/>
    <w:rsid w:val="00D75C05"/>
    <w:rsid w:val="00D75E99"/>
    <w:rsid w:val="00D766C7"/>
    <w:rsid w:val="00D7692B"/>
    <w:rsid w:val="00D7734F"/>
    <w:rsid w:val="00D8044C"/>
    <w:rsid w:val="00D805D6"/>
    <w:rsid w:val="00D8075E"/>
    <w:rsid w:val="00D80860"/>
    <w:rsid w:val="00D80D4C"/>
    <w:rsid w:val="00D810DB"/>
    <w:rsid w:val="00D8184D"/>
    <w:rsid w:val="00D81A7B"/>
    <w:rsid w:val="00D81FE9"/>
    <w:rsid w:val="00D8223C"/>
    <w:rsid w:val="00D82B57"/>
    <w:rsid w:val="00D82CE5"/>
    <w:rsid w:val="00D8342C"/>
    <w:rsid w:val="00D85494"/>
    <w:rsid w:val="00D8582C"/>
    <w:rsid w:val="00D858CB"/>
    <w:rsid w:val="00D85D61"/>
    <w:rsid w:val="00D8616D"/>
    <w:rsid w:val="00D8711B"/>
    <w:rsid w:val="00D87384"/>
    <w:rsid w:val="00D8782E"/>
    <w:rsid w:val="00D90683"/>
    <w:rsid w:val="00D915C8"/>
    <w:rsid w:val="00D91C0A"/>
    <w:rsid w:val="00D92277"/>
    <w:rsid w:val="00D9261C"/>
    <w:rsid w:val="00D9310B"/>
    <w:rsid w:val="00D93726"/>
    <w:rsid w:val="00D93DD3"/>
    <w:rsid w:val="00D93F3E"/>
    <w:rsid w:val="00D9405B"/>
    <w:rsid w:val="00D94942"/>
    <w:rsid w:val="00D95145"/>
    <w:rsid w:val="00D95381"/>
    <w:rsid w:val="00D95AB3"/>
    <w:rsid w:val="00D95CE2"/>
    <w:rsid w:val="00D967CB"/>
    <w:rsid w:val="00D96EE0"/>
    <w:rsid w:val="00D96EE5"/>
    <w:rsid w:val="00D970BB"/>
    <w:rsid w:val="00D97BD1"/>
    <w:rsid w:val="00DA06B8"/>
    <w:rsid w:val="00DA135D"/>
    <w:rsid w:val="00DA1CA8"/>
    <w:rsid w:val="00DA286D"/>
    <w:rsid w:val="00DA2969"/>
    <w:rsid w:val="00DA29B7"/>
    <w:rsid w:val="00DA3C4C"/>
    <w:rsid w:val="00DA4842"/>
    <w:rsid w:val="00DA5989"/>
    <w:rsid w:val="00DA5AB1"/>
    <w:rsid w:val="00DA5F9D"/>
    <w:rsid w:val="00DA69B2"/>
    <w:rsid w:val="00DA6A7B"/>
    <w:rsid w:val="00DA7462"/>
    <w:rsid w:val="00DA777E"/>
    <w:rsid w:val="00DA7AD0"/>
    <w:rsid w:val="00DB02D7"/>
    <w:rsid w:val="00DB03CC"/>
    <w:rsid w:val="00DB0DCC"/>
    <w:rsid w:val="00DB1023"/>
    <w:rsid w:val="00DB12D4"/>
    <w:rsid w:val="00DB14F0"/>
    <w:rsid w:val="00DB1745"/>
    <w:rsid w:val="00DB1AFF"/>
    <w:rsid w:val="00DB219A"/>
    <w:rsid w:val="00DB3165"/>
    <w:rsid w:val="00DB4292"/>
    <w:rsid w:val="00DB48C4"/>
    <w:rsid w:val="00DB5196"/>
    <w:rsid w:val="00DB5C03"/>
    <w:rsid w:val="00DB68BB"/>
    <w:rsid w:val="00DB6E46"/>
    <w:rsid w:val="00DB7117"/>
    <w:rsid w:val="00DB75D9"/>
    <w:rsid w:val="00DB7760"/>
    <w:rsid w:val="00DB7DD4"/>
    <w:rsid w:val="00DB7E44"/>
    <w:rsid w:val="00DC00B4"/>
    <w:rsid w:val="00DC037A"/>
    <w:rsid w:val="00DC0954"/>
    <w:rsid w:val="00DC15BA"/>
    <w:rsid w:val="00DC18CD"/>
    <w:rsid w:val="00DC1A68"/>
    <w:rsid w:val="00DC30B8"/>
    <w:rsid w:val="00DC32C6"/>
    <w:rsid w:val="00DC3720"/>
    <w:rsid w:val="00DC3804"/>
    <w:rsid w:val="00DC478F"/>
    <w:rsid w:val="00DC52AB"/>
    <w:rsid w:val="00DC62E5"/>
    <w:rsid w:val="00DC67EB"/>
    <w:rsid w:val="00DC6AB9"/>
    <w:rsid w:val="00DC6F33"/>
    <w:rsid w:val="00DC7349"/>
    <w:rsid w:val="00DD0991"/>
    <w:rsid w:val="00DD0B21"/>
    <w:rsid w:val="00DD118B"/>
    <w:rsid w:val="00DD14D8"/>
    <w:rsid w:val="00DD1599"/>
    <w:rsid w:val="00DD177F"/>
    <w:rsid w:val="00DD1B03"/>
    <w:rsid w:val="00DD2A62"/>
    <w:rsid w:val="00DD2F2F"/>
    <w:rsid w:val="00DD2F7A"/>
    <w:rsid w:val="00DD3799"/>
    <w:rsid w:val="00DD3885"/>
    <w:rsid w:val="00DD5056"/>
    <w:rsid w:val="00DD5808"/>
    <w:rsid w:val="00DD5946"/>
    <w:rsid w:val="00DD5B04"/>
    <w:rsid w:val="00DD5DAE"/>
    <w:rsid w:val="00DD5EC6"/>
    <w:rsid w:val="00DD605F"/>
    <w:rsid w:val="00DD6657"/>
    <w:rsid w:val="00DD6D71"/>
    <w:rsid w:val="00DD72A0"/>
    <w:rsid w:val="00DD735D"/>
    <w:rsid w:val="00DD7E6B"/>
    <w:rsid w:val="00DE0159"/>
    <w:rsid w:val="00DE064A"/>
    <w:rsid w:val="00DE082D"/>
    <w:rsid w:val="00DE1410"/>
    <w:rsid w:val="00DE3119"/>
    <w:rsid w:val="00DE3FF0"/>
    <w:rsid w:val="00DE4105"/>
    <w:rsid w:val="00DE5189"/>
    <w:rsid w:val="00DE5680"/>
    <w:rsid w:val="00DE6230"/>
    <w:rsid w:val="00DE6EA5"/>
    <w:rsid w:val="00DE7108"/>
    <w:rsid w:val="00DE78D1"/>
    <w:rsid w:val="00DF0263"/>
    <w:rsid w:val="00DF0EB4"/>
    <w:rsid w:val="00DF1E36"/>
    <w:rsid w:val="00DF1FDB"/>
    <w:rsid w:val="00DF236B"/>
    <w:rsid w:val="00DF2A91"/>
    <w:rsid w:val="00DF2F82"/>
    <w:rsid w:val="00DF3889"/>
    <w:rsid w:val="00DF3CC9"/>
    <w:rsid w:val="00DF4451"/>
    <w:rsid w:val="00DF49FF"/>
    <w:rsid w:val="00DF4FFB"/>
    <w:rsid w:val="00DF5236"/>
    <w:rsid w:val="00DF651F"/>
    <w:rsid w:val="00DF67DF"/>
    <w:rsid w:val="00DF6E10"/>
    <w:rsid w:val="00DF6F43"/>
    <w:rsid w:val="00DF752F"/>
    <w:rsid w:val="00DF76A2"/>
    <w:rsid w:val="00DF7B33"/>
    <w:rsid w:val="00E00B7A"/>
    <w:rsid w:val="00E02186"/>
    <w:rsid w:val="00E0264A"/>
    <w:rsid w:val="00E026BB"/>
    <w:rsid w:val="00E027C5"/>
    <w:rsid w:val="00E03124"/>
    <w:rsid w:val="00E031EB"/>
    <w:rsid w:val="00E03951"/>
    <w:rsid w:val="00E03DB8"/>
    <w:rsid w:val="00E051B3"/>
    <w:rsid w:val="00E05E70"/>
    <w:rsid w:val="00E061F4"/>
    <w:rsid w:val="00E064BC"/>
    <w:rsid w:val="00E06734"/>
    <w:rsid w:val="00E07225"/>
    <w:rsid w:val="00E07AAA"/>
    <w:rsid w:val="00E100CA"/>
    <w:rsid w:val="00E109DD"/>
    <w:rsid w:val="00E11229"/>
    <w:rsid w:val="00E114CA"/>
    <w:rsid w:val="00E1185C"/>
    <w:rsid w:val="00E11CF0"/>
    <w:rsid w:val="00E120F9"/>
    <w:rsid w:val="00E12FC3"/>
    <w:rsid w:val="00E132D5"/>
    <w:rsid w:val="00E1397F"/>
    <w:rsid w:val="00E13AB8"/>
    <w:rsid w:val="00E1482E"/>
    <w:rsid w:val="00E16382"/>
    <w:rsid w:val="00E16572"/>
    <w:rsid w:val="00E167F1"/>
    <w:rsid w:val="00E1699C"/>
    <w:rsid w:val="00E16E75"/>
    <w:rsid w:val="00E17282"/>
    <w:rsid w:val="00E1746D"/>
    <w:rsid w:val="00E2012A"/>
    <w:rsid w:val="00E205A2"/>
    <w:rsid w:val="00E20BA4"/>
    <w:rsid w:val="00E226F9"/>
    <w:rsid w:val="00E23137"/>
    <w:rsid w:val="00E2324A"/>
    <w:rsid w:val="00E23980"/>
    <w:rsid w:val="00E241E9"/>
    <w:rsid w:val="00E24D6A"/>
    <w:rsid w:val="00E2520A"/>
    <w:rsid w:val="00E257C3"/>
    <w:rsid w:val="00E25CB3"/>
    <w:rsid w:val="00E25DA4"/>
    <w:rsid w:val="00E26CB8"/>
    <w:rsid w:val="00E26FCF"/>
    <w:rsid w:val="00E27165"/>
    <w:rsid w:val="00E27226"/>
    <w:rsid w:val="00E2742E"/>
    <w:rsid w:val="00E27C3F"/>
    <w:rsid w:val="00E3039F"/>
    <w:rsid w:val="00E3044A"/>
    <w:rsid w:val="00E31A4A"/>
    <w:rsid w:val="00E31C43"/>
    <w:rsid w:val="00E32DD5"/>
    <w:rsid w:val="00E32FA8"/>
    <w:rsid w:val="00E3344A"/>
    <w:rsid w:val="00E33B29"/>
    <w:rsid w:val="00E33B62"/>
    <w:rsid w:val="00E3403D"/>
    <w:rsid w:val="00E349F1"/>
    <w:rsid w:val="00E34E6C"/>
    <w:rsid w:val="00E350D8"/>
    <w:rsid w:val="00E353E2"/>
    <w:rsid w:val="00E35B65"/>
    <w:rsid w:val="00E36345"/>
    <w:rsid w:val="00E36C86"/>
    <w:rsid w:val="00E36CEB"/>
    <w:rsid w:val="00E37660"/>
    <w:rsid w:val="00E37A28"/>
    <w:rsid w:val="00E37B03"/>
    <w:rsid w:val="00E40430"/>
    <w:rsid w:val="00E40690"/>
    <w:rsid w:val="00E40AEB"/>
    <w:rsid w:val="00E4143A"/>
    <w:rsid w:val="00E424C8"/>
    <w:rsid w:val="00E4251D"/>
    <w:rsid w:val="00E431B0"/>
    <w:rsid w:val="00E4398E"/>
    <w:rsid w:val="00E43D00"/>
    <w:rsid w:val="00E445E4"/>
    <w:rsid w:val="00E45741"/>
    <w:rsid w:val="00E457CB"/>
    <w:rsid w:val="00E45D47"/>
    <w:rsid w:val="00E45DE4"/>
    <w:rsid w:val="00E45E63"/>
    <w:rsid w:val="00E46D10"/>
    <w:rsid w:val="00E472AD"/>
    <w:rsid w:val="00E50A7B"/>
    <w:rsid w:val="00E50B0B"/>
    <w:rsid w:val="00E510FE"/>
    <w:rsid w:val="00E511D6"/>
    <w:rsid w:val="00E51E25"/>
    <w:rsid w:val="00E5205B"/>
    <w:rsid w:val="00E521AE"/>
    <w:rsid w:val="00E52C99"/>
    <w:rsid w:val="00E53BCA"/>
    <w:rsid w:val="00E53F02"/>
    <w:rsid w:val="00E54534"/>
    <w:rsid w:val="00E548C3"/>
    <w:rsid w:val="00E54F27"/>
    <w:rsid w:val="00E55552"/>
    <w:rsid w:val="00E556F5"/>
    <w:rsid w:val="00E55FF1"/>
    <w:rsid w:val="00E56090"/>
    <w:rsid w:val="00E565B9"/>
    <w:rsid w:val="00E5733B"/>
    <w:rsid w:val="00E57403"/>
    <w:rsid w:val="00E5756C"/>
    <w:rsid w:val="00E601BE"/>
    <w:rsid w:val="00E608DD"/>
    <w:rsid w:val="00E60B5F"/>
    <w:rsid w:val="00E60FEC"/>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091"/>
    <w:rsid w:val="00E66D79"/>
    <w:rsid w:val="00E66FF9"/>
    <w:rsid w:val="00E67856"/>
    <w:rsid w:val="00E679C8"/>
    <w:rsid w:val="00E67E59"/>
    <w:rsid w:val="00E70314"/>
    <w:rsid w:val="00E709C1"/>
    <w:rsid w:val="00E71954"/>
    <w:rsid w:val="00E724E7"/>
    <w:rsid w:val="00E72B41"/>
    <w:rsid w:val="00E7301D"/>
    <w:rsid w:val="00E7347B"/>
    <w:rsid w:val="00E73D03"/>
    <w:rsid w:val="00E7471C"/>
    <w:rsid w:val="00E7498A"/>
    <w:rsid w:val="00E7514E"/>
    <w:rsid w:val="00E75B34"/>
    <w:rsid w:val="00E76D8A"/>
    <w:rsid w:val="00E77AF5"/>
    <w:rsid w:val="00E8029A"/>
    <w:rsid w:val="00E8050F"/>
    <w:rsid w:val="00E81249"/>
    <w:rsid w:val="00E81653"/>
    <w:rsid w:val="00E823F9"/>
    <w:rsid w:val="00E82C1F"/>
    <w:rsid w:val="00E83671"/>
    <w:rsid w:val="00E8414B"/>
    <w:rsid w:val="00E84A71"/>
    <w:rsid w:val="00E85409"/>
    <w:rsid w:val="00E8544B"/>
    <w:rsid w:val="00E86556"/>
    <w:rsid w:val="00E86798"/>
    <w:rsid w:val="00E86D35"/>
    <w:rsid w:val="00E86DC2"/>
    <w:rsid w:val="00E86E32"/>
    <w:rsid w:val="00E8732E"/>
    <w:rsid w:val="00E87881"/>
    <w:rsid w:val="00E9011F"/>
    <w:rsid w:val="00E90370"/>
    <w:rsid w:val="00E906EB"/>
    <w:rsid w:val="00E90DC0"/>
    <w:rsid w:val="00E913F9"/>
    <w:rsid w:val="00E916A0"/>
    <w:rsid w:val="00E9241E"/>
    <w:rsid w:val="00E92460"/>
    <w:rsid w:val="00E92E62"/>
    <w:rsid w:val="00E937BB"/>
    <w:rsid w:val="00E93804"/>
    <w:rsid w:val="00E93A86"/>
    <w:rsid w:val="00E9467F"/>
    <w:rsid w:val="00E95434"/>
    <w:rsid w:val="00E96467"/>
    <w:rsid w:val="00E966DA"/>
    <w:rsid w:val="00E96948"/>
    <w:rsid w:val="00E9737B"/>
    <w:rsid w:val="00E9753E"/>
    <w:rsid w:val="00E97A3F"/>
    <w:rsid w:val="00E97F0A"/>
    <w:rsid w:val="00EA0100"/>
    <w:rsid w:val="00EA010D"/>
    <w:rsid w:val="00EA04DC"/>
    <w:rsid w:val="00EA0886"/>
    <w:rsid w:val="00EA0BCE"/>
    <w:rsid w:val="00EA2726"/>
    <w:rsid w:val="00EA2744"/>
    <w:rsid w:val="00EA2937"/>
    <w:rsid w:val="00EA3626"/>
    <w:rsid w:val="00EA37B9"/>
    <w:rsid w:val="00EA39F7"/>
    <w:rsid w:val="00EA3B27"/>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1E66"/>
    <w:rsid w:val="00EB2E97"/>
    <w:rsid w:val="00EB3416"/>
    <w:rsid w:val="00EB4424"/>
    <w:rsid w:val="00EB4A3B"/>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1F3F"/>
    <w:rsid w:val="00EC2676"/>
    <w:rsid w:val="00EC26F1"/>
    <w:rsid w:val="00EC36B1"/>
    <w:rsid w:val="00EC3C94"/>
    <w:rsid w:val="00EC44DF"/>
    <w:rsid w:val="00EC4AB1"/>
    <w:rsid w:val="00EC4FB9"/>
    <w:rsid w:val="00EC51FA"/>
    <w:rsid w:val="00EC5393"/>
    <w:rsid w:val="00EC5741"/>
    <w:rsid w:val="00EC5ACE"/>
    <w:rsid w:val="00EC5AE3"/>
    <w:rsid w:val="00EC5DA3"/>
    <w:rsid w:val="00EC6014"/>
    <w:rsid w:val="00EC6B3E"/>
    <w:rsid w:val="00EC6D8D"/>
    <w:rsid w:val="00EC73DE"/>
    <w:rsid w:val="00EC7637"/>
    <w:rsid w:val="00EC7C12"/>
    <w:rsid w:val="00EC7CF2"/>
    <w:rsid w:val="00ED046B"/>
    <w:rsid w:val="00ED046C"/>
    <w:rsid w:val="00ED053A"/>
    <w:rsid w:val="00ED1F03"/>
    <w:rsid w:val="00ED274D"/>
    <w:rsid w:val="00ED2D27"/>
    <w:rsid w:val="00ED3347"/>
    <w:rsid w:val="00ED3954"/>
    <w:rsid w:val="00ED43A2"/>
    <w:rsid w:val="00ED4967"/>
    <w:rsid w:val="00ED4EC8"/>
    <w:rsid w:val="00ED510D"/>
    <w:rsid w:val="00ED5140"/>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5E2"/>
    <w:rsid w:val="00EE162F"/>
    <w:rsid w:val="00EE1668"/>
    <w:rsid w:val="00EE1B27"/>
    <w:rsid w:val="00EE341D"/>
    <w:rsid w:val="00EE366D"/>
    <w:rsid w:val="00EE5350"/>
    <w:rsid w:val="00EE5454"/>
    <w:rsid w:val="00EE58B8"/>
    <w:rsid w:val="00EE59B5"/>
    <w:rsid w:val="00EE5CF6"/>
    <w:rsid w:val="00EE5D1D"/>
    <w:rsid w:val="00EE5FB7"/>
    <w:rsid w:val="00EE6A1A"/>
    <w:rsid w:val="00EE6B5C"/>
    <w:rsid w:val="00EE7B54"/>
    <w:rsid w:val="00EE7C88"/>
    <w:rsid w:val="00EE7C8B"/>
    <w:rsid w:val="00EF000B"/>
    <w:rsid w:val="00EF0209"/>
    <w:rsid w:val="00EF0EA4"/>
    <w:rsid w:val="00EF1E97"/>
    <w:rsid w:val="00EF2436"/>
    <w:rsid w:val="00EF2547"/>
    <w:rsid w:val="00EF27EF"/>
    <w:rsid w:val="00EF2B2B"/>
    <w:rsid w:val="00EF2E1C"/>
    <w:rsid w:val="00EF2FD6"/>
    <w:rsid w:val="00EF326A"/>
    <w:rsid w:val="00EF3D22"/>
    <w:rsid w:val="00EF427A"/>
    <w:rsid w:val="00EF45DF"/>
    <w:rsid w:val="00EF4952"/>
    <w:rsid w:val="00EF498F"/>
    <w:rsid w:val="00EF4A42"/>
    <w:rsid w:val="00EF510C"/>
    <w:rsid w:val="00EF55C4"/>
    <w:rsid w:val="00EF57BC"/>
    <w:rsid w:val="00EF5FD2"/>
    <w:rsid w:val="00EF6784"/>
    <w:rsid w:val="00EF688A"/>
    <w:rsid w:val="00EF6A03"/>
    <w:rsid w:val="00EF6DC2"/>
    <w:rsid w:val="00EF7BF4"/>
    <w:rsid w:val="00F0030F"/>
    <w:rsid w:val="00F00603"/>
    <w:rsid w:val="00F00674"/>
    <w:rsid w:val="00F00694"/>
    <w:rsid w:val="00F01657"/>
    <w:rsid w:val="00F01E67"/>
    <w:rsid w:val="00F02704"/>
    <w:rsid w:val="00F02744"/>
    <w:rsid w:val="00F02BFD"/>
    <w:rsid w:val="00F02D25"/>
    <w:rsid w:val="00F0435D"/>
    <w:rsid w:val="00F04580"/>
    <w:rsid w:val="00F04826"/>
    <w:rsid w:val="00F04ECA"/>
    <w:rsid w:val="00F053A6"/>
    <w:rsid w:val="00F05DC2"/>
    <w:rsid w:val="00F0628A"/>
    <w:rsid w:val="00F0640E"/>
    <w:rsid w:val="00F06E19"/>
    <w:rsid w:val="00F06F84"/>
    <w:rsid w:val="00F076E7"/>
    <w:rsid w:val="00F07AA1"/>
    <w:rsid w:val="00F105AE"/>
    <w:rsid w:val="00F10618"/>
    <w:rsid w:val="00F1108B"/>
    <w:rsid w:val="00F11768"/>
    <w:rsid w:val="00F11951"/>
    <w:rsid w:val="00F11BA8"/>
    <w:rsid w:val="00F12262"/>
    <w:rsid w:val="00F12AF8"/>
    <w:rsid w:val="00F12C52"/>
    <w:rsid w:val="00F148B7"/>
    <w:rsid w:val="00F14EA9"/>
    <w:rsid w:val="00F151DA"/>
    <w:rsid w:val="00F15505"/>
    <w:rsid w:val="00F15BFF"/>
    <w:rsid w:val="00F17105"/>
    <w:rsid w:val="00F20A0B"/>
    <w:rsid w:val="00F213A0"/>
    <w:rsid w:val="00F217AB"/>
    <w:rsid w:val="00F21A51"/>
    <w:rsid w:val="00F21D54"/>
    <w:rsid w:val="00F21D6D"/>
    <w:rsid w:val="00F21EF4"/>
    <w:rsid w:val="00F22062"/>
    <w:rsid w:val="00F23113"/>
    <w:rsid w:val="00F23255"/>
    <w:rsid w:val="00F23393"/>
    <w:rsid w:val="00F23759"/>
    <w:rsid w:val="00F23CB5"/>
    <w:rsid w:val="00F24644"/>
    <w:rsid w:val="00F250F6"/>
    <w:rsid w:val="00F256FD"/>
    <w:rsid w:val="00F259F1"/>
    <w:rsid w:val="00F26F33"/>
    <w:rsid w:val="00F277F0"/>
    <w:rsid w:val="00F27E74"/>
    <w:rsid w:val="00F300A8"/>
    <w:rsid w:val="00F30265"/>
    <w:rsid w:val="00F30400"/>
    <w:rsid w:val="00F3079E"/>
    <w:rsid w:val="00F326BD"/>
    <w:rsid w:val="00F32C50"/>
    <w:rsid w:val="00F32D5E"/>
    <w:rsid w:val="00F32EBA"/>
    <w:rsid w:val="00F32EE9"/>
    <w:rsid w:val="00F33980"/>
    <w:rsid w:val="00F3399B"/>
    <w:rsid w:val="00F33C1A"/>
    <w:rsid w:val="00F3461B"/>
    <w:rsid w:val="00F346ED"/>
    <w:rsid w:val="00F34945"/>
    <w:rsid w:val="00F34E1E"/>
    <w:rsid w:val="00F3570C"/>
    <w:rsid w:val="00F368FF"/>
    <w:rsid w:val="00F37068"/>
    <w:rsid w:val="00F37CE4"/>
    <w:rsid w:val="00F37F3F"/>
    <w:rsid w:val="00F407DF"/>
    <w:rsid w:val="00F40992"/>
    <w:rsid w:val="00F40AEC"/>
    <w:rsid w:val="00F40EA1"/>
    <w:rsid w:val="00F40EDD"/>
    <w:rsid w:val="00F412DF"/>
    <w:rsid w:val="00F41596"/>
    <w:rsid w:val="00F41883"/>
    <w:rsid w:val="00F41D8B"/>
    <w:rsid w:val="00F42121"/>
    <w:rsid w:val="00F424B3"/>
    <w:rsid w:val="00F428B1"/>
    <w:rsid w:val="00F428B4"/>
    <w:rsid w:val="00F4345D"/>
    <w:rsid w:val="00F4387B"/>
    <w:rsid w:val="00F449DA"/>
    <w:rsid w:val="00F4518D"/>
    <w:rsid w:val="00F45B91"/>
    <w:rsid w:val="00F46639"/>
    <w:rsid w:val="00F46692"/>
    <w:rsid w:val="00F46BD5"/>
    <w:rsid w:val="00F474BD"/>
    <w:rsid w:val="00F47AAA"/>
    <w:rsid w:val="00F47D62"/>
    <w:rsid w:val="00F50183"/>
    <w:rsid w:val="00F50D92"/>
    <w:rsid w:val="00F51765"/>
    <w:rsid w:val="00F51A51"/>
    <w:rsid w:val="00F51CB4"/>
    <w:rsid w:val="00F52324"/>
    <w:rsid w:val="00F52950"/>
    <w:rsid w:val="00F52C9D"/>
    <w:rsid w:val="00F52E39"/>
    <w:rsid w:val="00F52FC7"/>
    <w:rsid w:val="00F533F1"/>
    <w:rsid w:val="00F53B74"/>
    <w:rsid w:val="00F55679"/>
    <w:rsid w:val="00F561E3"/>
    <w:rsid w:val="00F565E6"/>
    <w:rsid w:val="00F56AFA"/>
    <w:rsid w:val="00F575E2"/>
    <w:rsid w:val="00F579FF"/>
    <w:rsid w:val="00F600E0"/>
    <w:rsid w:val="00F600FD"/>
    <w:rsid w:val="00F605EC"/>
    <w:rsid w:val="00F60F60"/>
    <w:rsid w:val="00F612CE"/>
    <w:rsid w:val="00F619D5"/>
    <w:rsid w:val="00F624A7"/>
    <w:rsid w:val="00F62AB6"/>
    <w:rsid w:val="00F62E1B"/>
    <w:rsid w:val="00F6392E"/>
    <w:rsid w:val="00F63984"/>
    <w:rsid w:val="00F643C7"/>
    <w:rsid w:val="00F645EA"/>
    <w:rsid w:val="00F65A3C"/>
    <w:rsid w:val="00F66135"/>
    <w:rsid w:val="00F66282"/>
    <w:rsid w:val="00F67D8B"/>
    <w:rsid w:val="00F70961"/>
    <w:rsid w:val="00F70A8F"/>
    <w:rsid w:val="00F71397"/>
    <w:rsid w:val="00F72389"/>
    <w:rsid w:val="00F72516"/>
    <w:rsid w:val="00F72FB4"/>
    <w:rsid w:val="00F733FD"/>
    <w:rsid w:val="00F735E5"/>
    <w:rsid w:val="00F73DD9"/>
    <w:rsid w:val="00F73E80"/>
    <w:rsid w:val="00F7469C"/>
    <w:rsid w:val="00F747E9"/>
    <w:rsid w:val="00F7492E"/>
    <w:rsid w:val="00F74945"/>
    <w:rsid w:val="00F749A3"/>
    <w:rsid w:val="00F74A04"/>
    <w:rsid w:val="00F74AE8"/>
    <w:rsid w:val="00F74F57"/>
    <w:rsid w:val="00F76C11"/>
    <w:rsid w:val="00F77021"/>
    <w:rsid w:val="00F7748C"/>
    <w:rsid w:val="00F77CD0"/>
    <w:rsid w:val="00F77E61"/>
    <w:rsid w:val="00F814B2"/>
    <w:rsid w:val="00F815AC"/>
    <w:rsid w:val="00F82630"/>
    <w:rsid w:val="00F83200"/>
    <w:rsid w:val="00F83310"/>
    <w:rsid w:val="00F83621"/>
    <w:rsid w:val="00F8389F"/>
    <w:rsid w:val="00F83B33"/>
    <w:rsid w:val="00F83CAE"/>
    <w:rsid w:val="00F840BF"/>
    <w:rsid w:val="00F8415D"/>
    <w:rsid w:val="00F8427A"/>
    <w:rsid w:val="00F843DF"/>
    <w:rsid w:val="00F84899"/>
    <w:rsid w:val="00F84A0A"/>
    <w:rsid w:val="00F85141"/>
    <w:rsid w:val="00F853A5"/>
    <w:rsid w:val="00F85585"/>
    <w:rsid w:val="00F859F0"/>
    <w:rsid w:val="00F85CC1"/>
    <w:rsid w:val="00F86A41"/>
    <w:rsid w:val="00F86B5D"/>
    <w:rsid w:val="00F86F93"/>
    <w:rsid w:val="00F87464"/>
    <w:rsid w:val="00F87634"/>
    <w:rsid w:val="00F87765"/>
    <w:rsid w:val="00F87C13"/>
    <w:rsid w:val="00F87C5A"/>
    <w:rsid w:val="00F87E29"/>
    <w:rsid w:val="00F87F18"/>
    <w:rsid w:val="00F87F68"/>
    <w:rsid w:val="00F900BA"/>
    <w:rsid w:val="00F90C4D"/>
    <w:rsid w:val="00F9167D"/>
    <w:rsid w:val="00F91CB2"/>
    <w:rsid w:val="00F923F4"/>
    <w:rsid w:val="00F9289C"/>
    <w:rsid w:val="00F93DBC"/>
    <w:rsid w:val="00F93E41"/>
    <w:rsid w:val="00F94644"/>
    <w:rsid w:val="00F94B13"/>
    <w:rsid w:val="00F95075"/>
    <w:rsid w:val="00F9537B"/>
    <w:rsid w:val="00F95567"/>
    <w:rsid w:val="00F963FC"/>
    <w:rsid w:val="00F96577"/>
    <w:rsid w:val="00F96D27"/>
    <w:rsid w:val="00F97501"/>
    <w:rsid w:val="00FA015F"/>
    <w:rsid w:val="00FA0687"/>
    <w:rsid w:val="00FA0FAC"/>
    <w:rsid w:val="00FA1DA2"/>
    <w:rsid w:val="00FA2EC7"/>
    <w:rsid w:val="00FA3414"/>
    <w:rsid w:val="00FA347A"/>
    <w:rsid w:val="00FA39D7"/>
    <w:rsid w:val="00FA3CDE"/>
    <w:rsid w:val="00FA4691"/>
    <w:rsid w:val="00FA49B7"/>
    <w:rsid w:val="00FA5043"/>
    <w:rsid w:val="00FA6F8B"/>
    <w:rsid w:val="00FA7A30"/>
    <w:rsid w:val="00FB033F"/>
    <w:rsid w:val="00FB12E3"/>
    <w:rsid w:val="00FB1570"/>
    <w:rsid w:val="00FB193B"/>
    <w:rsid w:val="00FB1FBC"/>
    <w:rsid w:val="00FB27B7"/>
    <w:rsid w:val="00FB2C36"/>
    <w:rsid w:val="00FB3483"/>
    <w:rsid w:val="00FB35E3"/>
    <w:rsid w:val="00FB4D3F"/>
    <w:rsid w:val="00FB583C"/>
    <w:rsid w:val="00FB630E"/>
    <w:rsid w:val="00FB6738"/>
    <w:rsid w:val="00FB691B"/>
    <w:rsid w:val="00FB731C"/>
    <w:rsid w:val="00FB7DF8"/>
    <w:rsid w:val="00FC05A0"/>
    <w:rsid w:val="00FC0811"/>
    <w:rsid w:val="00FC1196"/>
    <w:rsid w:val="00FC15EB"/>
    <w:rsid w:val="00FC18DC"/>
    <w:rsid w:val="00FC2AC4"/>
    <w:rsid w:val="00FC2F73"/>
    <w:rsid w:val="00FC3107"/>
    <w:rsid w:val="00FC3A9B"/>
    <w:rsid w:val="00FC3AE1"/>
    <w:rsid w:val="00FC3DFC"/>
    <w:rsid w:val="00FC3EF4"/>
    <w:rsid w:val="00FC431B"/>
    <w:rsid w:val="00FC434C"/>
    <w:rsid w:val="00FC4FDF"/>
    <w:rsid w:val="00FC5CF4"/>
    <w:rsid w:val="00FC67CD"/>
    <w:rsid w:val="00FC6A39"/>
    <w:rsid w:val="00FC6E50"/>
    <w:rsid w:val="00FC79AB"/>
    <w:rsid w:val="00FC7BE7"/>
    <w:rsid w:val="00FC7D93"/>
    <w:rsid w:val="00FC7DAC"/>
    <w:rsid w:val="00FD04AE"/>
    <w:rsid w:val="00FD1890"/>
    <w:rsid w:val="00FD18BD"/>
    <w:rsid w:val="00FD1994"/>
    <w:rsid w:val="00FD2AC8"/>
    <w:rsid w:val="00FD2CA6"/>
    <w:rsid w:val="00FD3508"/>
    <w:rsid w:val="00FD36B5"/>
    <w:rsid w:val="00FD393C"/>
    <w:rsid w:val="00FD43BB"/>
    <w:rsid w:val="00FD4A85"/>
    <w:rsid w:val="00FD4AF3"/>
    <w:rsid w:val="00FD556A"/>
    <w:rsid w:val="00FD798D"/>
    <w:rsid w:val="00FD7FB9"/>
    <w:rsid w:val="00FE10F6"/>
    <w:rsid w:val="00FE141E"/>
    <w:rsid w:val="00FE144E"/>
    <w:rsid w:val="00FE1768"/>
    <w:rsid w:val="00FE24F4"/>
    <w:rsid w:val="00FE2560"/>
    <w:rsid w:val="00FE35D0"/>
    <w:rsid w:val="00FE39DD"/>
    <w:rsid w:val="00FE41AC"/>
    <w:rsid w:val="00FE42ED"/>
    <w:rsid w:val="00FE4C6D"/>
    <w:rsid w:val="00FE502D"/>
    <w:rsid w:val="00FE51FD"/>
    <w:rsid w:val="00FE55A7"/>
    <w:rsid w:val="00FE55E6"/>
    <w:rsid w:val="00FE56D5"/>
    <w:rsid w:val="00FE5C5A"/>
    <w:rsid w:val="00FE6432"/>
    <w:rsid w:val="00FE72A0"/>
    <w:rsid w:val="00FF0050"/>
    <w:rsid w:val="00FF045F"/>
    <w:rsid w:val="00FF0712"/>
    <w:rsid w:val="00FF13D4"/>
    <w:rsid w:val="00FF2053"/>
    <w:rsid w:val="00FF2C63"/>
    <w:rsid w:val="00FF3B37"/>
    <w:rsid w:val="00FF3D6F"/>
    <w:rsid w:val="00FF3FE5"/>
    <w:rsid w:val="00FF40FA"/>
    <w:rsid w:val="00FF4BD8"/>
    <w:rsid w:val="00FF4D11"/>
    <w:rsid w:val="00FF50BD"/>
    <w:rsid w:val="00FF5214"/>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E7B7A6D8-5071-43F7-8E26-9CBF3DE87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3FE1"/>
    <w:pPr>
      <w:spacing w:after="0" w:line="240" w:lineRule="auto"/>
    </w:pPr>
    <w:rPr>
      <w:rFonts w:ascii="Times New Roman" w:eastAsia="Times New Roman" w:hAnsi="Times New Roman" w:cs="Times New Roman"/>
      <w:sz w:val="24"/>
      <w:szCs w:val="24"/>
      <w:lang w:eastAsia="es-MX"/>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5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4222E3"/>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755C31"/>
    <w:rPr>
      <w:color w:val="605E5C"/>
      <w:shd w:val="clear" w:color="auto" w:fill="E1DFDD"/>
    </w:rPr>
  </w:style>
  <w:style w:type="character" w:customStyle="1" w:styleId="Hipervnculo1">
    <w:name w:val="Hipervínculo1"/>
    <w:basedOn w:val="Fuentedeprrafopredeter"/>
    <w:uiPriority w:val="99"/>
    <w:unhideWhenUsed/>
    <w:rsid w:val="009C6278"/>
    <w:rPr>
      <w:color w:val="F2F2F2"/>
      <w:u w:val="single"/>
    </w:rPr>
  </w:style>
  <w:style w:type="character" w:styleId="Hipervnculovisitado">
    <w:name w:val="FollowedHyperlink"/>
    <w:basedOn w:val="Fuentedeprrafopredeter"/>
    <w:uiPriority w:val="99"/>
    <w:semiHidden/>
    <w:unhideWhenUsed/>
    <w:rsid w:val="00B92A5A"/>
    <w:rPr>
      <w:color w:val="F2F2F2" w:themeColor="followedHyperlink"/>
      <w:u w:val="single"/>
    </w:rPr>
  </w:style>
  <w:style w:type="table" w:customStyle="1" w:styleId="Tablaconcuadrcula3">
    <w:name w:val="Tabla con cuadrícula3"/>
    <w:basedOn w:val="Tablanormal"/>
    <w:next w:val="Tablaconcuadrcula"/>
    <w:uiPriority w:val="39"/>
    <w:qFormat/>
    <w:rsid w:val="00E608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099634">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496267">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64672525">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96962201">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3660032">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4945414">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0968980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3687946">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0629527">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3829159">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046180">
      <w:bodyDiv w:val="1"/>
      <w:marLeft w:val="0"/>
      <w:marRight w:val="0"/>
      <w:marTop w:val="0"/>
      <w:marBottom w:val="0"/>
      <w:divBdr>
        <w:top w:val="none" w:sz="0" w:space="0" w:color="auto"/>
        <w:left w:val="none" w:sz="0" w:space="0" w:color="auto"/>
        <w:bottom w:val="none" w:sz="0" w:space="0" w:color="auto"/>
        <w:right w:val="none" w:sz="0" w:space="0" w:color="auto"/>
      </w:divBdr>
      <w:divsChild>
        <w:div w:id="52193425">
          <w:marLeft w:val="0"/>
          <w:marRight w:val="0"/>
          <w:marTop w:val="0"/>
          <w:marBottom w:val="0"/>
          <w:divBdr>
            <w:top w:val="none" w:sz="0" w:space="0" w:color="auto"/>
            <w:left w:val="none" w:sz="0" w:space="0" w:color="auto"/>
            <w:bottom w:val="none" w:sz="0" w:space="0" w:color="auto"/>
            <w:right w:val="none" w:sz="0" w:space="0" w:color="auto"/>
          </w:divBdr>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2080136">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78172304">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7346258">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1995010">
      <w:bodyDiv w:val="1"/>
      <w:marLeft w:val="0"/>
      <w:marRight w:val="0"/>
      <w:marTop w:val="0"/>
      <w:marBottom w:val="0"/>
      <w:divBdr>
        <w:top w:val="none" w:sz="0" w:space="0" w:color="auto"/>
        <w:left w:val="none" w:sz="0" w:space="0" w:color="auto"/>
        <w:bottom w:val="none" w:sz="0" w:space="0" w:color="auto"/>
        <w:right w:val="none" w:sz="0" w:space="0" w:color="auto"/>
      </w:divBdr>
      <w:divsChild>
        <w:div w:id="534343513">
          <w:marLeft w:val="0"/>
          <w:marRight w:val="0"/>
          <w:marTop w:val="0"/>
          <w:marBottom w:val="0"/>
          <w:divBdr>
            <w:top w:val="none" w:sz="0" w:space="0" w:color="auto"/>
            <w:left w:val="none" w:sz="0" w:space="0" w:color="auto"/>
            <w:bottom w:val="none" w:sz="0" w:space="0" w:color="auto"/>
            <w:right w:val="none" w:sz="0" w:space="0" w:color="auto"/>
          </w:divBdr>
          <w:divsChild>
            <w:div w:id="1079669595">
              <w:marLeft w:val="0"/>
              <w:marRight w:val="0"/>
              <w:marTop w:val="0"/>
              <w:marBottom w:val="0"/>
              <w:divBdr>
                <w:top w:val="none" w:sz="0" w:space="0" w:color="auto"/>
                <w:left w:val="none" w:sz="0" w:space="0" w:color="auto"/>
                <w:bottom w:val="none" w:sz="0" w:space="0" w:color="auto"/>
                <w:right w:val="none" w:sz="0" w:space="0" w:color="auto"/>
              </w:divBdr>
              <w:divsChild>
                <w:div w:id="121110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295134">
      <w:bodyDiv w:val="1"/>
      <w:marLeft w:val="0"/>
      <w:marRight w:val="0"/>
      <w:marTop w:val="0"/>
      <w:marBottom w:val="0"/>
      <w:divBdr>
        <w:top w:val="none" w:sz="0" w:space="0" w:color="auto"/>
        <w:left w:val="none" w:sz="0" w:space="0" w:color="auto"/>
        <w:bottom w:val="none" w:sz="0" w:space="0" w:color="auto"/>
        <w:right w:val="none" w:sz="0" w:space="0" w:color="auto"/>
      </w:divBdr>
      <w:divsChild>
        <w:div w:id="1743597433">
          <w:marLeft w:val="0"/>
          <w:marRight w:val="0"/>
          <w:marTop w:val="0"/>
          <w:marBottom w:val="0"/>
          <w:divBdr>
            <w:top w:val="none" w:sz="0" w:space="0" w:color="auto"/>
            <w:left w:val="none" w:sz="0" w:space="0" w:color="auto"/>
            <w:bottom w:val="none" w:sz="0" w:space="0" w:color="auto"/>
            <w:right w:val="none" w:sz="0" w:space="0" w:color="auto"/>
          </w:divBdr>
        </w:div>
      </w:divsChild>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0410454">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36527277">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59378249">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4529961">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1349580">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235734">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documents/cce_guia_capacidad_residual.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22AD38-1995-46B9-9577-28F2B48294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11</TotalTime>
  <Pages>11</Pages>
  <Words>3431</Words>
  <Characters>18876</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Martin Rojas Mejia</cp:lastModifiedBy>
  <cp:revision>3</cp:revision>
  <cp:lastPrinted>2020-01-30T15:05:00Z</cp:lastPrinted>
  <dcterms:created xsi:type="dcterms:W3CDTF">2022-09-29T21:42:00Z</dcterms:created>
  <dcterms:modified xsi:type="dcterms:W3CDTF">2022-10-05T15:32:00Z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