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6BF79" w14:textId="77777777" w:rsidR="00C00E78" w:rsidRDefault="00C00E78" w:rsidP="00C00E78">
      <w:pPr>
        <w:jc w:val="right"/>
        <w:rPr>
          <w:rFonts w:ascii="Arial" w:hAnsi="Arial" w:cs="Arial"/>
          <w:bCs/>
          <w:color w:val="000000" w:themeColor="text1"/>
          <w:sz w:val="16"/>
          <w:szCs w:val="16"/>
          <w:lang w:eastAsia="es-ES"/>
        </w:rPr>
      </w:pPr>
      <w:bookmarkStart w:id="0" w:name="_Hlk28946138"/>
      <w:bookmarkStart w:id="1" w:name="_Hlk29548183"/>
      <w:bookmarkStart w:id="2" w:name="_Hlk29890381"/>
      <w:r>
        <w:rPr>
          <w:rFonts w:ascii="Arial" w:hAnsi="Arial" w:cs="Arial"/>
          <w:b/>
          <w:color w:val="000000" w:themeColor="text1"/>
          <w:sz w:val="16"/>
          <w:szCs w:val="16"/>
          <w:lang w:eastAsia="es-ES"/>
        </w:rPr>
        <w:tab/>
      </w:r>
      <w:r>
        <w:rPr>
          <w:rFonts w:ascii="Arial" w:hAnsi="Arial" w:cs="Arial"/>
          <w:bCs/>
          <w:color w:val="000000" w:themeColor="text1"/>
          <w:sz w:val="16"/>
          <w:szCs w:val="16"/>
          <w:lang w:eastAsia="es-ES"/>
        </w:rPr>
        <w:t>CCE-DES-FM-17</w:t>
      </w:r>
    </w:p>
    <w:p w14:paraId="69C909E7" w14:textId="77777777" w:rsidR="00C00E78" w:rsidRDefault="00C00E78" w:rsidP="00C00E78">
      <w:pPr>
        <w:jc w:val="both"/>
        <w:rPr>
          <w:rFonts w:ascii="Arial" w:eastAsia="Calibri" w:hAnsi="Arial" w:cs="Arial"/>
          <w:b/>
          <w:bCs/>
          <w:color w:val="000000" w:themeColor="text1"/>
          <w:sz w:val="22"/>
        </w:rPr>
      </w:pPr>
    </w:p>
    <w:p w14:paraId="6FEC8A7A" w14:textId="2F18E9AB" w:rsidR="00C00E78" w:rsidRDefault="00C00E78" w:rsidP="00C00E78">
      <w:pPr>
        <w:jc w:val="both"/>
        <w:rPr>
          <w:rFonts w:ascii="Arial" w:eastAsia="Calibri" w:hAnsi="Arial" w:cs="Arial"/>
          <w:b/>
          <w:bCs/>
          <w:color w:val="000000" w:themeColor="text1"/>
          <w:sz w:val="22"/>
        </w:rPr>
      </w:pPr>
      <w:r>
        <w:rPr>
          <w:rFonts w:ascii="Arial" w:eastAsia="Calibri" w:hAnsi="Arial" w:cs="Arial"/>
          <w:b/>
          <w:bCs/>
          <w:color w:val="000000" w:themeColor="text1"/>
          <w:sz w:val="22"/>
        </w:rPr>
        <w:t>CLÁUSULAS EXCEPCIONALES – Noción – Exorbitantes</w:t>
      </w:r>
    </w:p>
    <w:p w14:paraId="60895E88" w14:textId="77777777" w:rsidR="00C00E78" w:rsidRDefault="00C00E78" w:rsidP="00C00E78">
      <w:pPr>
        <w:jc w:val="both"/>
        <w:rPr>
          <w:rFonts w:ascii="Arial" w:eastAsia="Calibri" w:hAnsi="Arial" w:cs="Arial"/>
          <w:b/>
          <w:bCs/>
          <w:color w:val="000000" w:themeColor="text1"/>
          <w:sz w:val="22"/>
        </w:rPr>
      </w:pPr>
    </w:p>
    <w:p w14:paraId="10FC7D1F" w14:textId="77777777" w:rsidR="00C00E78" w:rsidRDefault="00C00E78" w:rsidP="00C00E78">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A estas cláusulas también se les denomina «exorbitantes». Etimológicamente, esta palabra viene del latín: se compone del prefijo ex, que indica separación o movimiento de salida, y la raíz de la palabra orbita, relacionado con el curso de los astros, un derivado de la palabra </w:t>
      </w:r>
      <w:proofErr w:type="spellStart"/>
      <w:r>
        <w:rPr>
          <w:rFonts w:ascii="Arial" w:eastAsia="Calibri" w:hAnsi="Arial" w:cs="Arial"/>
          <w:color w:val="000000" w:themeColor="text1"/>
          <w:sz w:val="20"/>
          <w:szCs w:val="20"/>
        </w:rPr>
        <w:t>orbis</w:t>
      </w:r>
      <w:proofErr w:type="spellEnd"/>
      <w:r>
        <w:rPr>
          <w:rFonts w:ascii="Arial" w:eastAsia="Calibri" w:hAnsi="Arial" w:cs="Arial"/>
          <w:color w:val="000000" w:themeColor="text1"/>
          <w:sz w:val="20"/>
          <w:szCs w:val="20"/>
        </w:rPr>
        <w:t>, que significa circunferencia. En esta medida, lo exorbitante es lo que se sale excesivamente de su ritmo o medida habitual. Para la doctrina, estas cláusulas son exorbitantes porque exceden el ámbito de libertad contractual del derecho privado, toda vez que su inclusión rompería el principio de igualdad que caracteriza a esas relaciones, donde no se autoriza la inclusión de estas atribuciones en favor de una de las partes del contrato.</w:t>
      </w:r>
    </w:p>
    <w:p w14:paraId="4158CF73" w14:textId="77777777" w:rsidR="00C00E78" w:rsidRDefault="00C00E78" w:rsidP="00C00E78">
      <w:pPr>
        <w:jc w:val="both"/>
        <w:rPr>
          <w:rFonts w:ascii="Arial" w:eastAsia="Calibri" w:hAnsi="Arial" w:cs="Arial"/>
          <w:color w:val="000000" w:themeColor="text1"/>
          <w:sz w:val="20"/>
          <w:szCs w:val="20"/>
        </w:rPr>
      </w:pPr>
    </w:p>
    <w:p w14:paraId="071B49AB" w14:textId="77777777" w:rsidR="00C00E78" w:rsidRDefault="00C00E78" w:rsidP="00C00E78">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CLÁUSULAS EXCEPCIONALES – Fuente normativa – Reserva de ley – Norma superior – Jurisprudencia </w:t>
      </w:r>
    </w:p>
    <w:p w14:paraId="3CE5E543" w14:textId="77777777" w:rsidR="00C00E78" w:rsidRDefault="00C00E78" w:rsidP="00C00E78">
      <w:pPr>
        <w:jc w:val="both"/>
        <w:rPr>
          <w:rFonts w:ascii="Arial" w:eastAsia="Calibri" w:hAnsi="Arial" w:cs="Arial"/>
          <w:color w:val="000000" w:themeColor="text1"/>
          <w:sz w:val="20"/>
          <w:szCs w:val="20"/>
        </w:rPr>
      </w:pPr>
    </w:p>
    <w:p w14:paraId="5A990166" w14:textId="77777777" w:rsidR="00C00E78" w:rsidRDefault="00C00E78" w:rsidP="00C00E78">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En este sentido, la jurisprudencia ha señalado que la facultad para incluir cláusulas excepcionales en los contratos estatales tiene reserva de ley o de una norma de superior jerarquía, por lo que solo aquellas pueden otorgar este tipo de facultades. En este sentido, el Consejo de Estado señaló en providencia del 20 de febrero de 2014, que:</w:t>
      </w:r>
    </w:p>
    <w:p w14:paraId="3AD77987" w14:textId="77777777" w:rsidR="00C00E78" w:rsidRDefault="00C00E78" w:rsidP="00C00E78">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«De acuerdo con los anteriores argumentos, es posible llegar a las siguientes conclusiones relevantes: i) que las entidades públicas sometidas en su actividad contractual a las reglas de derecho común no pueden pactar las cláusulas excepcionales o exorbitantes previstas en el Estatuto General de Contratación Estatal, salvo que la ley o una norma superior lo autorice de manera clara y expresa, y </w:t>
      </w:r>
      <w:proofErr w:type="spellStart"/>
      <w:r>
        <w:rPr>
          <w:rFonts w:ascii="Arial" w:eastAsia="Calibri" w:hAnsi="Arial" w:cs="Arial"/>
          <w:color w:val="000000" w:themeColor="text1"/>
          <w:sz w:val="20"/>
          <w:szCs w:val="20"/>
        </w:rPr>
        <w:t>ii</w:t>
      </w:r>
      <w:proofErr w:type="spellEnd"/>
      <w:r>
        <w:rPr>
          <w:rFonts w:ascii="Arial" w:eastAsia="Calibri" w:hAnsi="Arial" w:cs="Arial"/>
          <w:color w:val="000000" w:themeColor="text1"/>
          <w:sz w:val="20"/>
          <w:szCs w:val="20"/>
        </w:rPr>
        <w:t>) que la ejecución o cumplimiento unilateral de una cláusula excepcional o exorbitante en los contratos sometidos al derecho común es ilegal por comportar una potestad exclusiva del Estado, salvo que se ejerza bajo el amparo de una ley o norma superior».</w:t>
      </w:r>
    </w:p>
    <w:p w14:paraId="775DF0DA" w14:textId="77777777" w:rsidR="00C00E78" w:rsidRDefault="00C00E78" w:rsidP="00C00E78">
      <w:pPr>
        <w:jc w:val="both"/>
        <w:rPr>
          <w:rFonts w:ascii="Arial" w:eastAsia="Calibri" w:hAnsi="Arial" w:cs="Arial"/>
          <w:color w:val="000000" w:themeColor="text1"/>
          <w:sz w:val="20"/>
          <w:szCs w:val="20"/>
        </w:rPr>
      </w:pPr>
    </w:p>
    <w:p w14:paraId="69EDDFF7" w14:textId="77777777" w:rsidR="00C00E78" w:rsidRDefault="00C00E78" w:rsidP="00C00E78">
      <w:pPr>
        <w:jc w:val="both"/>
        <w:rPr>
          <w:rFonts w:ascii="Arial" w:eastAsia="Calibri" w:hAnsi="Arial" w:cs="Arial"/>
          <w:b/>
          <w:bCs/>
          <w:color w:val="000000" w:themeColor="text1"/>
          <w:sz w:val="22"/>
        </w:rPr>
      </w:pPr>
      <w:r>
        <w:rPr>
          <w:rFonts w:ascii="Arial" w:eastAsia="Calibri" w:hAnsi="Arial" w:cs="Arial"/>
          <w:b/>
          <w:bCs/>
          <w:color w:val="000000" w:themeColor="text1"/>
          <w:sz w:val="22"/>
        </w:rPr>
        <w:t>PRESUNCIÓN DE LEGALIDAD – Excepción de ilegalidad – Improcedencia – Corte Constitucional</w:t>
      </w:r>
    </w:p>
    <w:p w14:paraId="65B601D6" w14:textId="77777777" w:rsidR="00C00E78" w:rsidRDefault="00C00E78" w:rsidP="00C00E78">
      <w:pPr>
        <w:jc w:val="both"/>
        <w:rPr>
          <w:rFonts w:ascii="Arial" w:eastAsia="Calibri" w:hAnsi="Arial" w:cs="Arial"/>
          <w:bCs/>
          <w:color w:val="000000" w:themeColor="text1"/>
          <w:sz w:val="22"/>
        </w:rPr>
      </w:pPr>
    </w:p>
    <w:p w14:paraId="217B50F7" w14:textId="74871B84" w:rsidR="00C00E78" w:rsidRDefault="00C00E78" w:rsidP="00C00E78">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Conforme a tal presunción, y a que el control de legalidad de los actos administrativos, incluyendo los de carácter general, se encuentra atribuido de manera específica en la referida jurisdicción, la Corte Constitucional ha considerado que no resulta posible en sede administrativa inaplicar los actos administrativos aparentemente contrarios a la ley, como sí resulta viable con los contrarios a las disposiciones constitucionales, en virtud de la habilitación contenida en el artículo 4 Superior […]</w:t>
      </w:r>
    </w:p>
    <w:p w14:paraId="12DDC87C" w14:textId="77777777" w:rsidR="00C00E78" w:rsidRDefault="00C00E78" w:rsidP="00C00E78">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En ese orden de ideas, la presunción de legalidad y la improcedencia de la aplicación de la excepción de ilegalidad por parte de las autoridades administrativas, implica que hasta que el artículo 2.2.2.1.3. del Decreto 1081 de 2015 no sea anulado o suspendido provisionalmente por la Jurisdicción de lo Contencioso Administrativo, se presume su legalidad.</w:t>
      </w:r>
    </w:p>
    <w:p w14:paraId="6160EBBA" w14:textId="77777777" w:rsidR="00C00E78" w:rsidRDefault="00C00E78" w:rsidP="00C00E78">
      <w:pPr>
        <w:jc w:val="both"/>
        <w:rPr>
          <w:rFonts w:ascii="Arial" w:eastAsia="Calibri" w:hAnsi="Arial" w:cs="Arial"/>
          <w:color w:val="000000" w:themeColor="text1"/>
          <w:sz w:val="20"/>
          <w:szCs w:val="20"/>
        </w:rPr>
      </w:pPr>
    </w:p>
    <w:p w14:paraId="5E401EA0" w14:textId="77777777" w:rsidR="00C00E78" w:rsidRDefault="00C00E78" w:rsidP="00C00E78">
      <w:pPr>
        <w:jc w:val="both"/>
        <w:rPr>
          <w:rFonts w:ascii="Arial" w:eastAsia="Calibri" w:hAnsi="Arial" w:cs="Arial"/>
          <w:b/>
          <w:bCs/>
          <w:color w:val="000000" w:themeColor="text1"/>
          <w:sz w:val="22"/>
        </w:rPr>
      </w:pPr>
      <w:r>
        <w:rPr>
          <w:rFonts w:ascii="Arial" w:eastAsia="Calibri" w:hAnsi="Arial" w:cs="Arial"/>
          <w:b/>
          <w:bCs/>
          <w:color w:val="000000" w:themeColor="text1"/>
          <w:sz w:val="22"/>
        </w:rPr>
        <w:t>AGENCIA NACIONAL DE CONTRATACIÓN PÚBLICA – Competencia – Juicios de legalidad o validez – Improcedencia</w:t>
      </w:r>
    </w:p>
    <w:p w14:paraId="5CE3DB15" w14:textId="77777777" w:rsidR="00C00E78" w:rsidRDefault="00C00E78" w:rsidP="00C00E78">
      <w:pPr>
        <w:jc w:val="both"/>
        <w:rPr>
          <w:rFonts w:ascii="Arial" w:eastAsia="Calibri" w:hAnsi="Arial" w:cs="Arial"/>
          <w:b/>
          <w:bCs/>
          <w:color w:val="000000" w:themeColor="text1"/>
          <w:sz w:val="22"/>
        </w:rPr>
      </w:pPr>
    </w:p>
    <w:p w14:paraId="2C58913E" w14:textId="77777777" w:rsidR="00C00E78" w:rsidRDefault="00C00E78" w:rsidP="00C00E78">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la competencia de la Agencia Nacional de Contratación Pública – Colombia Compra Eficiente está atribuida en el Decreto 4170 de 2011, particularmente en los artículos 3, numeral 5 y 11, numeral 8, que la habilitan para absolver consultas sobre la aplicación de normas de carácter </w:t>
      </w:r>
      <w:r>
        <w:rPr>
          <w:rFonts w:ascii="Arial" w:eastAsia="Calibri" w:hAnsi="Arial" w:cs="Arial"/>
          <w:color w:val="000000" w:themeColor="text1"/>
          <w:sz w:val="20"/>
          <w:szCs w:val="20"/>
        </w:rPr>
        <w:lastRenderedPageBreak/>
        <w:t>general en materia de compras y contratación pública, por lo que esta Agencia no tiene la competencia para decidir sobre la legalidad o validez de las normas jurídicas que regulan la contratación del Estado.</w:t>
      </w:r>
    </w:p>
    <w:p w14:paraId="5CC8BE7B" w14:textId="77777777" w:rsidR="00C00E78" w:rsidRDefault="00C00E78" w:rsidP="00C00E78">
      <w:pPr>
        <w:spacing w:after="160" w:line="256" w:lineRule="auto"/>
        <w:rPr>
          <w:rFonts w:ascii="Arial" w:eastAsia="Calibri" w:hAnsi="Arial" w:cs="Arial"/>
          <w:color w:val="000000" w:themeColor="text1"/>
          <w:sz w:val="20"/>
          <w:szCs w:val="20"/>
        </w:rPr>
      </w:pPr>
      <w:r>
        <w:rPr>
          <w:rFonts w:ascii="Arial" w:eastAsia="Calibri" w:hAnsi="Arial" w:cs="Arial"/>
          <w:color w:val="000000" w:themeColor="text1"/>
          <w:sz w:val="20"/>
          <w:szCs w:val="20"/>
        </w:rPr>
        <w:br w:type="page"/>
      </w:r>
    </w:p>
    <w:p w14:paraId="1C404F0D" w14:textId="77777777" w:rsidR="00C00E78" w:rsidRDefault="00C00E78" w:rsidP="00C00E78">
      <w:pPr>
        <w:jc w:val="both"/>
        <w:rPr>
          <w:rFonts w:ascii="Arial" w:hAnsi="Arial" w:cs="Arial"/>
          <w:color w:val="000000" w:themeColor="text1"/>
          <w:sz w:val="22"/>
          <w:lang w:val="es-ES"/>
        </w:rPr>
      </w:pPr>
    </w:p>
    <w:p w14:paraId="6A255B72" w14:textId="63FDFF11" w:rsidR="00C00E78" w:rsidRDefault="00C00E78" w:rsidP="00C00E78">
      <w:pPr>
        <w:rPr>
          <w:rFonts w:ascii="Arial" w:hAnsi="Arial" w:cs="Arial"/>
          <w:b/>
          <w:color w:val="000000" w:themeColor="text1"/>
          <w:sz w:val="22"/>
          <w:lang w:val="es-ES"/>
        </w:rPr>
      </w:pPr>
      <w:r>
        <w:rPr>
          <w:rFonts w:ascii="Arial" w:hAnsi="Arial" w:cs="Arial"/>
          <w:color w:val="000000" w:themeColor="text1"/>
          <w:sz w:val="22"/>
          <w:lang w:val="es-ES"/>
        </w:rPr>
        <w:t xml:space="preserve">Bogotá D.C., </w:t>
      </w:r>
      <w:r w:rsidR="00417276" w:rsidRPr="00417276">
        <w:rPr>
          <w:rFonts w:ascii="Arial" w:hAnsi="Arial" w:cs="Arial"/>
          <w:b/>
          <w:color w:val="000000" w:themeColor="text1"/>
          <w:sz w:val="22"/>
          <w:lang w:val="es-ES"/>
        </w:rPr>
        <w:t>13/10/2020 Hora 9:24:40s</w:t>
      </w:r>
    </w:p>
    <w:p w14:paraId="36320752" w14:textId="77777777" w:rsidR="00C00E78" w:rsidRDefault="00C00E78" w:rsidP="00C00E78">
      <w:pPr>
        <w:jc w:val="right"/>
        <w:rPr>
          <w:rFonts w:ascii="Arial" w:hAnsi="Arial" w:cs="Arial"/>
          <w:b/>
          <w:color w:val="000000" w:themeColor="text1"/>
          <w:sz w:val="22"/>
          <w:lang w:val="es-ES"/>
        </w:rPr>
      </w:pPr>
    </w:p>
    <w:p w14:paraId="384FA5A3" w14:textId="00AB1A87" w:rsidR="00C00E78" w:rsidRDefault="00C00E78" w:rsidP="00C00E78">
      <w:pPr>
        <w:jc w:val="right"/>
        <w:rPr>
          <w:rFonts w:ascii="Arial" w:hAnsi="Arial" w:cs="Arial"/>
          <w:b/>
          <w:color w:val="000000" w:themeColor="text1"/>
          <w:sz w:val="22"/>
          <w:lang w:val="es-ES"/>
        </w:rPr>
      </w:pPr>
      <w:proofErr w:type="spellStart"/>
      <w:r>
        <w:rPr>
          <w:rFonts w:ascii="Arial" w:hAnsi="Arial" w:cs="Arial"/>
          <w:b/>
          <w:color w:val="000000" w:themeColor="text1"/>
          <w:sz w:val="22"/>
          <w:lang w:val="es-ES"/>
        </w:rPr>
        <w:t>N°</w:t>
      </w:r>
      <w:proofErr w:type="spellEnd"/>
      <w:r>
        <w:rPr>
          <w:rFonts w:ascii="Arial" w:hAnsi="Arial" w:cs="Arial"/>
          <w:b/>
          <w:color w:val="000000" w:themeColor="text1"/>
          <w:sz w:val="22"/>
          <w:lang w:val="es-ES"/>
        </w:rPr>
        <w:t xml:space="preserve"> Radicado: </w:t>
      </w:r>
      <w:r w:rsidR="00417276" w:rsidRPr="00417276">
        <w:rPr>
          <w:rFonts w:ascii="Arial" w:hAnsi="Arial" w:cs="Arial"/>
          <w:b/>
          <w:color w:val="000000" w:themeColor="text1"/>
          <w:sz w:val="22"/>
          <w:lang w:val="es-ES"/>
        </w:rPr>
        <w:t>2202013000009723</w:t>
      </w:r>
    </w:p>
    <w:p w14:paraId="629237AD" w14:textId="77777777" w:rsidR="00C00E78" w:rsidRDefault="00C00E78" w:rsidP="00C00E78">
      <w:pPr>
        <w:jc w:val="right"/>
        <w:rPr>
          <w:rFonts w:ascii="Arial" w:eastAsia="Calibri" w:hAnsi="Arial" w:cs="Arial"/>
          <w:color w:val="000000" w:themeColor="text1"/>
          <w:sz w:val="22"/>
        </w:rPr>
      </w:pPr>
    </w:p>
    <w:p w14:paraId="1E6EE368" w14:textId="77777777" w:rsidR="00C00E78" w:rsidRDefault="00C00E78" w:rsidP="00C00E78">
      <w:pPr>
        <w:rPr>
          <w:rFonts w:ascii="Arial" w:eastAsia="Calibri" w:hAnsi="Arial" w:cs="Arial"/>
          <w:color w:val="000000" w:themeColor="text1"/>
          <w:sz w:val="22"/>
        </w:rPr>
      </w:pPr>
      <w:r>
        <w:rPr>
          <w:rFonts w:ascii="Arial" w:eastAsia="Calibri" w:hAnsi="Arial" w:cs="Arial"/>
          <w:color w:val="000000" w:themeColor="text1"/>
          <w:sz w:val="22"/>
        </w:rPr>
        <w:t>Señor</w:t>
      </w:r>
    </w:p>
    <w:p w14:paraId="1F16D46A" w14:textId="3F256670" w:rsidR="00C00E78" w:rsidRDefault="00C00E78" w:rsidP="00417276">
      <w:pPr>
        <w:tabs>
          <w:tab w:val="center" w:pos="4394"/>
        </w:tabs>
        <w:rPr>
          <w:rFonts w:ascii="Arial" w:eastAsia="Calibri" w:hAnsi="Arial" w:cs="Arial"/>
          <w:b/>
          <w:color w:val="000000" w:themeColor="text1"/>
          <w:sz w:val="22"/>
        </w:rPr>
      </w:pPr>
      <w:r>
        <w:rPr>
          <w:rFonts w:ascii="Arial" w:eastAsia="Calibri" w:hAnsi="Arial" w:cs="Arial"/>
          <w:b/>
          <w:color w:val="000000" w:themeColor="text1"/>
          <w:sz w:val="22"/>
        </w:rPr>
        <w:t>Daniel Salazar Carrillo</w:t>
      </w:r>
      <w:r w:rsidR="00417276">
        <w:rPr>
          <w:rFonts w:ascii="Arial" w:eastAsia="Calibri" w:hAnsi="Arial" w:cs="Arial"/>
          <w:b/>
          <w:color w:val="000000" w:themeColor="text1"/>
          <w:sz w:val="22"/>
        </w:rPr>
        <w:tab/>
      </w:r>
    </w:p>
    <w:p w14:paraId="49DFB2DC" w14:textId="77777777" w:rsidR="00C00E78" w:rsidRDefault="00C00E78" w:rsidP="00C00E78">
      <w:pPr>
        <w:rPr>
          <w:rFonts w:ascii="Arial" w:eastAsia="Calibri" w:hAnsi="Arial" w:cs="Arial"/>
          <w:color w:val="000000" w:themeColor="text1"/>
          <w:sz w:val="22"/>
        </w:rPr>
      </w:pPr>
      <w:r>
        <w:rPr>
          <w:rFonts w:ascii="Arial" w:eastAsia="Calibri" w:hAnsi="Arial" w:cs="Arial"/>
          <w:color w:val="000000" w:themeColor="text1"/>
          <w:sz w:val="22"/>
        </w:rPr>
        <w:t>Ciudad</w:t>
      </w:r>
    </w:p>
    <w:p w14:paraId="25DD7F49" w14:textId="77777777" w:rsidR="00C00E78" w:rsidRDefault="00C00E78" w:rsidP="00C00E78">
      <w:pPr>
        <w:rPr>
          <w:rFonts w:ascii="Arial" w:eastAsia="Calibri" w:hAnsi="Arial" w:cs="Arial"/>
          <w:color w:val="000000" w:themeColor="text1"/>
          <w:sz w:val="22"/>
        </w:rPr>
      </w:pPr>
    </w:p>
    <w:p w14:paraId="3D68D36F" w14:textId="77777777" w:rsidR="00C00E78" w:rsidRDefault="00C00E78" w:rsidP="00C00E78">
      <w:pPr>
        <w:ind w:firstLine="2694"/>
        <w:rPr>
          <w:rFonts w:ascii="Arial" w:eastAsia="Calibri" w:hAnsi="Arial" w:cs="Arial"/>
          <w:b/>
          <w:color w:val="000000" w:themeColor="text1"/>
          <w:sz w:val="22"/>
        </w:rPr>
      </w:pPr>
      <w:r>
        <w:rPr>
          <w:rFonts w:ascii="Arial" w:eastAsia="Calibri" w:hAnsi="Arial" w:cs="Arial"/>
          <w:b/>
          <w:color w:val="000000" w:themeColor="text1"/>
          <w:sz w:val="22"/>
        </w:rPr>
        <w:t>Concepto C – 607 de 2020</w:t>
      </w:r>
    </w:p>
    <w:p w14:paraId="798420D6" w14:textId="77777777" w:rsidR="00C00E78" w:rsidRDefault="00C00E78" w:rsidP="00C00E7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0E78" w14:paraId="35F99F74" w14:textId="77777777" w:rsidTr="00C00E78">
        <w:tc>
          <w:tcPr>
            <w:tcW w:w="2689" w:type="dxa"/>
            <w:hideMark/>
          </w:tcPr>
          <w:p w14:paraId="5CECB7F0" w14:textId="77777777" w:rsidR="00C00E78" w:rsidRDefault="00C00E78">
            <w:pPr>
              <w:rPr>
                <w:rFonts w:ascii="Arial" w:eastAsia="Calibri" w:hAnsi="Arial" w:cs="Arial"/>
                <w:color w:val="000000" w:themeColor="text1"/>
                <w:sz w:val="22"/>
              </w:rPr>
            </w:pPr>
            <w:r>
              <w:rPr>
                <w:rFonts w:ascii="Arial" w:eastAsia="Calibri" w:hAnsi="Arial" w:cs="Arial"/>
                <w:b/>
                <w:color w:val="000000" w:themeColor="text1"/>
                <w:sz w:val="22"/>
              </w:rPr>
              <w:t>Temas:</w:t>
            </w:r>
            <w:r>
              <w:rPr>
                <w:rFonts w:ascii="Arial" w:eastAsia="Calibri" w:hAnsi="Arial" w:cs="Arial"/>
                <w:color w:val="000000" w:themeColor="text1"/>
                <w:sz w:val="22"/>
              </w:rPr>
              <w:t xml:space="preserve">      </w:t>
            </w:r>
          </w:p>
          <w:p w14:paraId="00595852" w14:textId="77777777" w:rsidR="00C00E78" w:rsidRDefault="00C00E78">
            <w:pPr>
              <w:rPr>
                <w:rFonts w:ascii="Arial" w:eastAsia="Calibri" w:hAnsi="Arial" w:cs="Arial"/>
                <w:color w:val="000000" w:themeColor="text1"/>
                <w:sz w:val="22"/>
              </w:rPr>
            </w:pPr>
            <w:r>
              <w:rPr>
                <w:rFonts w:ascii="Arial" w:eastAsia="Calibri" w:hAnsi="Arial" w:cs="Arial"/>
                <w:color w:val="000000" w:themeColor="text1"/>
                <w:sz w:val="22"/>
              </w:rPr>
              <w:t xml:space="preserve">              </w:t>
            </w:r>
          </w:p>
        </w:tc>
        <w:tc>
          <w:tcPr>
            <w:tcW w:w="6237" w:type="dxa"/>
          </w:tcPr>
          <w:p w14:paraId="7E9DE500" w14:textId="77777777" w:rsidR="00C00E78" w:rsidRDefault="00C00E78">
            <w:pPr>
              <w:jc w:val="both"/>
              <w:rPr>
                <w:rFonts w:ascii="Arial" w:eastAsia="Calibri" w:hAnsi="Arial" w:cs="Arial"/>
                <w:bCs/>
                <w:color w:val="000000" w:themeColor="text1"/>
                <w:sz w:val="22"/>
              </w:rPr>
            </w:pPr>
            <w:r>
              <w:rPr>
                <w:rFonts w:ascii="Arial" w:eastAsia="Calibri" w:hAnsi="Arial" w:cs="Arial"/>
                <w:bCs/>
                <w:color w:val="000000" w:themeColor="text1"/>
                <w:sz w:val="22"/>
              </w:rPr>
              <w:t>CLÁUSULAS EXCEPCIONALES – Noción – Exorbitantes / CLÁUSULAS EXCEPCIONALES – Fuente normativa – Reserva de ley – Norma superior – Jurisprudencia / PRESUNCIÓN DE LEGALIDAD – Excepción de ilegalidad – Improcedencia – Corte Constitucional / AGENCIA NACIONAL DE CONTRATACIÓN PÚBLICA – Competencia – Juicios de legalidad o validez – Improcedencia</w:t>
            </w:r>
          </w:p>
          <w:p w14:paraId="0A673F72" w14:textId="77777777" w:rsidR="00C00E78" w:rsidRDefault="00C00E78">
            <w:pPr>
              <w:jc w:val="both"/>
              <w:rPr>
                <w:rFonts w:ascii="Arial" w:eastAsia="Calibri" w:hAnsi="Arial" w:cs="Arial"/>
                <w:b/>
                <w:color w:val="000000" w:themeColor="text1"/>
                <w:sz w:val="22"/>
              </w:rPr>
            </w:pPr>
          </w:p>
        </w:tc>
      </w:tr>
      <w:tr w:rsidR="00C00E78" w14:paraId="2BC7B565" w14:textId="77777777" w:rsidTr="00C00E78">
        <w:tc>
          <w:tcPr>
            <w:tcW w:w="2689" w:type="dxa"/>
            <w:hideMark/>
          </w:tcPr>
          <w:p w14:paraId="4466F0F8" w14:textId="77777777" w:rsidR="00C00E78" w:rsidRDefault="00C00E78">
            <w:pPr>
              <w:spacing w:before="120"/>
              <w:rPr>
                <w:rFonts w:ascii="Arial" w:eastAsia="Calibri" w:hAnsi="Arial" w:cs="Arial"/>
                <w:b/>
                <w:color w:val="000000" w:themeColor="text1"/>
                <w:sz w:val="22"/>
              </w:rPr>
            </w:pPr>
            <w:r>
              <w:rPr>
                <w:rFonts w:ascii="Arial" w:eastAsia="Calibri" w:hAnsi="Arial" w:cs="Arial"/>
                <w:b/>
                <w:color w:val="000000" w:themeColor="text1"/>
                <w:sz w:val="22"/>
              </w:rPr>
              <w:t>Radicación:</w:t>
            </w:r>
            <w:r>
              <w:rPr>
                <w:rFonts w:ascii="Arial" w:eastAsia="Calibri" w:hAnsi="Arial" w:cs="Arial"/>
                <w:color w:val="000000" w:themeColor="text1"/>
                <w:sz w:val="22"/>
              </w:rPr>
              <w:t xml:space="preserve">               </w:t>
            </w:r>
          </w:p>
        </w:tc>
        <w:tc>
          <w:tcPr>
            <w:tcW w:w="6237" w:type="dxa"/>
            <w:hideMark/>
          </w:tcPr>
          <w:p w14:paraId="3C372D0A" w14:textId="77777777" w:rsidR="00C00E78" w:rsidRDefault="00C00E78">
            <w:pPr>
              <w:spacing w:before="120"/>
              <w:jc w:val="both"/>
              <w:rPr>
                <w:rFonts w:ascii="Arial" w:eastAsia="Calibri" w:hAnsi="Arial" w:cs="Arial"/>
                <w:color w:val="000000" w:themeColor="text1"/>
                <w:sz w:val="22"/>
              </w:rPr>
            </w:pPr>
            <w:r>
              <w:rPr>
                <w:rFonts w:ascii="Arial" w:eastAsia="Calibri" w:hAnsi="Arial" w:cs="Arial"/>
                <w:color w:val="000000" w:themeColor="text1"/>
                <w:sz w:val="22"/>
              </w:rPr>
              <w:t>Respuesta a consulta 4202012000007667</w:t>
            </w:r>
          </w:p>
        </w:tc>
      </w:tr>
      <w:tr w:rsidR="00C00E78" w14:paraId="7ADD77DE" w14:textId="77777777" w:rsidTr="00C00E78">
        <w:tc>
          <w:tcPr>
            <w:tcW w:w="2689" w:type="dxa"/>
          </w:tcPr>
          <w:p w14:paraId="2786B896" w14:textId="77777777" w:rsidR="00C00E78" w:rsidRDefault="00C00E78">
            <w:pPr>
              <w:spacing w:before="120"/>
              <w:rPr>
                <w:rFonts w:ascii="Arial" w:eastAsia="Calibri" w:hAnsi="Arial" w:cs="Arial"/>
                <w:b/>
                <w:color w:val="000000" w:themeColor="text1"/>
                <w:sz w:val="22"/>
              </w:rPr>
            </w:pPr>
          </w:p>
        </w:tc>
        <w:tc>
          <w:tcPr>
            <w:tcW w:w="6237" w:type="dxa"/>
          </w:tcPr>
          <w:p w14:paraId="7664249C" w14:textId="77777777" w:rsidR="00C00E78" w:rsidRDefault="00C00E78">
            <w:pPr>
              <w:spacing w:before="120"/>
              <w:jc w:val="both"/>
              <w:rPr>
                <w:rFonts w:ascii="Arial" w:eastAsia="Calibri" w:hAnsi="Arial" w:cs="Arial"/>
                <w:color w:val="000000" w:themeColor="text1"/>
                <w:sz w:val="22"/>
              </w:rPr>
            </w:pPr>
          </w:p>
        </w:tc>
      </w:tr>
    </w:tbl>
    <w:p w14:paraId="1D4C81F4" w14:textId="77777777" w:rsidR="00C00E78" w:rsidRDefault="00C00E78" w:rsidP="00C00E78">
      <w:pPr>
        <w:rPr>
          <w:rFonts w:ascii="Arial" w:eastAsia="Calibri" w:hAnsi="Arial" w:cs="Arial"/>
          <w:color w:val="000000" w:themeColor="text1"/>
          <w:sz w:val="22"/>
        </w:rPr>
      </w:pPr>
      <w:r>
        <w:rPr>
          <w:rFonts w:ascii="Arial" w:eastAsia="Calibri" w:hAnsi="Arial" w:cs="Arial"/>
          <w:color w:val="000000" w:themeColor="text1"/>
          <w:sz w:val="22"/>
        </w:rPr>
        <w:t>Estimado señor Salazar:</w:t>
      </w:r>
    </w:p>
    <w:p w14:paraId="1B221C53" w14:textId="77777777" w:rsidR="00C00E78" w:rsidRDefault="00C00E78" w:rsidP="00C00E78">
      <w:pPr>
        <w:rPr>
          <w:rFonts w:ascii="Arial" w:eastAsia="Calibri" w:hAnsi="Arial" w:cs="Arial"/>
          <w:color w:val="000000" w:themeColor="text1"/>
          <w:sz w:val="22"/>
        </w:rPr>
      </w:pPr>
    </w:p>
    <w:p w14:paraId="06A555DA" w14:textId="77777777" w:rsidR="00C00E78" w:rsidRDefault="00C00E78" w:rsidP="00C00E7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2 de septiembre de 2020. </w:t>
      </w:r>
    </w:p>
    <w:p w14:paraId="0FDB3A6E" w14:textId="77777777" w:rsidR="00C00E78" w:rsidRDefault="00C00E78" w:rsidP="00C00E78">
      <w:pPr>
        <w:spacing w:line="276" w:lineRule="auto"/>
        <w:jc w:val="both"/>
        <w:rPr>
          <w:rFonts w:ascii="Arial" w:eastAsia="Calibri" w:hAnsi="Arial" w:cs="Arial"/>
          <w:color w:val="000000" w:themeColor="text1"/>
          <w:sz w:val="22"/>
        </w:rPr>
      </w:pPr>
    </w:p>
    <w:p w14:paraId="685D4435" w14:textId="77777777" w:rsidR="00C00E78" w:rsidRDefault="00C00E78" w:rsidP="00C00E78">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Pr>
          <w:rFonts w:ascii="Arial" w:eastAsia="Calibri" w:hAnsi="Arial" w:cs="Arial"/>
          <w:b/>
          <w:color w:val="000000" w:themeColor="text1"/>
          <w:sz w:val="22"/>
        </w:rPr>
        <w:t xml:space="preserve">Problemas planteados </w:t>
      </w:r>
    </w:p>
    <w:p w14:paraId="5D0E9293" w14:textId="77777777" w:rsidR="00C00E78" w:rsidRDefault="00C00E78" w:rsidP="00C00E78">
      <w:pPr>
        <w:tabs>
          <w:tab w:val="left" w:pos="426"/>
        </w:tabs>
        <w:spacing w:line="276" w:lineRule="auto"/>
        <w:jc w:val="both"/>
        <w:rPr>
          <w:rFonts w:ascii="Arial" w:eastAsia="Calibri" w:hAnsi="Arial" w:cs="Arial"/>
          <w:b/>
          <w:color w:val="000000" w:themeColor="text1"/>
          <w:sz w:val="22"/>
        </w:rPr>
      </w:pPr>
    </w:p>
    <w:p w14:paraId="1319EBC5" w14:textId="77777777" w:rsidR="00C00E78" w:rsidRDefault="00C00E78" w:rsidP="00C00E78">
      <w:pPr>
        <w:tabs>
          <w:tab w:val="left" w:pos="709"/>
        </w:tabs>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formula las siguientes preguntas: «¿Es posible, de acuerdo a la Ley y la Constitución, si o no, y por qué razón, que el Decreto 1081 de 2015, que no tiene rango de Ley, permita la inclusión de las cláusulas excepcionales, en su Artículo 2.2.2.1.3., en los actos, operaciones, contratos y convenios que celebre el Fondo de Programas Especiales para la Paz, cuyo régimen de contratación es el civil y comercial, según el mismo artículo?». </w:t>
      </w:r>
    </w:p>
    <w:p w14:paraId="64769A4A" w14:textId="77777777" w:rsidR="00C00E78" w:rsidRDefault="00C00E78" w:rsidP="00C00E78">
      <w:pPr>
        <w:tabs>
          <w:tab w:val="left" w:pos="709"/>
        </w:tabs>
        <w:spacing w:line="276" w:lineRule="auto"/>
        <w:jc w:val="both"/>
        <w:rPr>
          <w:rFonts w:ascii="Arial" w:eastAsia="Calibri" w:hAnsi="Arial" w:cs="Arial"/>
          <w:color w:val="000000" w:themeColor="text1"/>
          <w:sz w:val="22"/>
        </w:rPr>
      </w:pPr>
    </w:p>
    <w:p w14:paraId="3509EBCA" w14:textId="77777777" w:rsidR="00C00E78" w:rsidRDefault="00C00E78" w:rsidP="00C00E78">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Pr>
          <w:rFonts w:ascii="Arial" w:eastAsia="Calibri" w:hAnsi="Arial" w:cs="Arial"/>
          <w:b/>
          <w:color w:val="000000" w:themeColor="text1"/>
          <w:sz w:val="22"/>
        </w:rPr>
        <w:t>Consideraciones</w:t>
      </w:r>
    </w:p>
    <w:p w14:paraId="58A7753B" w14:textId="77777777" w:rsidR="00C00E78" w:rsidRDefault="00C00E78" w:rsidP="00C00E78">
      <w:pPr>
        <w:spacing w:line="276" w:lineRule="auto"/>
        <w:jc w:val="both"/>
        <w:rPr>
          <w:rFonts w:ascii="Arial" w:eastAsia="Calibri" w:hAnsi="Arial" w:cs="Arial"/>
          <w:color w:val="000000" w:themeColor="text1"/>
          <w:sz w:val="22"/>
        </w:rPr>
      </w:pPr>
    </w:p>
    <w:p w14:paraId="2B4931E6" w14:textId="77777777" w:rsidR="00C00E78" w:rsidRDefault="00C00E78" w:rsidP="00C00E7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pronunciarse frente a la pregunta planteada se analizarán los siguientes temas: i) la reserva de ley en la potestad para incluir cláusulas excepcionales en los contratos estatales, de acuerdo a la jurisprudencia; </w:t>
      </w:r>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xml:space="preserve">) antecedentes normativos sobre la atribución de potestades excepcionales en otras normas del ordenamiento jurídico y </w:t>
      </w:r>
      <w:proofErr w:type="spellStart"/>
      <w:r>
        <w:rPr>
          <w:rFonts w:ascii="Arial" w:eastAsia="Calibri" w:hAnsi="Arial" w:cs="Arial"/>
          <w:color w:val="000000" w:themeColor="text1"/>
          <w:sz w:val="22"/>
        </w:rPr>
        <w:t>iii</w:t>
      </w:r>
      <w:proofErr w:type="spellEnd"/>
      <w:r>
        <w:rPr>
          <w:rFonts w:ascii="Arial" w:eastAsia="Calibri" w:hAnsi="Arial" w:cs="Arial"/>
          <w:color w:val="000000" w:themeColor="text1"/>
          <w:sz w:val="22"/>
        </w:rPr>
        <w:t xml:space="preserve">) la presunción de legalidad del artículo 2.2.2.1.3. del Decreto 1081 de 2015, donde también </w:t>
      </w:r>
      <w:r>
        <w:rPr>
          <w:rFonts w:ascii="Arial" w:eastAsia="Calibri" w:hAnsi="Arial" w:cs="Arial"/>
          <w:color w:val="000000" w:themeColor="text1"/>
          <w:sz w:val="22"/>
        </w:rPr>
        <w:lastRenderedPageBreak/>
        <w:t>se analiza la competencia de la Agencia Nacional de Contratación Pública – Colombia Compra Eficiente.</w:t>
      </w:r>
    </w:p>
    <w:p w14:paraId="320C19C0" w14:textId="77777777" w:rsidR="00C00E78" w:rsidRDefault="00C00E78" w:rsidP="00C00E7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Previo al desarrollo de los temas indicados, debe señalarse de forma preliminar, como se desarrollará a profundidad en la respuesta del numeral 3, que la Agencia Nacional de Contratación Pública no tiene competencia para pronunciarse sobre la legalidad o validez de las disposiciones jurídicas que regulan la contratación estatal, como parece solicitarlo el peticionario. Sin perjuicio de ello, en este concepto se presentará información que se considera de utilidad para el peticionario, por tener relación directa con la pregunta planteada.</w:t>
      </w:r>
    </w:p>
    <w:p w14:paraId="1544A262" w14:textId="77777777" w:rsidR="00C00E78" w:rsidRDefault="00C00E78" w:rsidP="00C00E78">
      <w:pPr>
        <w:spacing w:line="276" w:lineRule="auto"/>
        <w:jc w:val="both"/>
        <w:rPr>
          <w:rFonts w:eastAsia="Calibri"/>
          <w:color w:val="000000" w:themeColor="text1"/>
          <w:sz w:val="22"/>
        </w:rPr>
      </w:pPr>
    </w:p>
    <w:p w14:paraId="051655F5" w14:textId="77777777" w:rsidR="00C00E78" w:rsidRDefault="00C00E78" w:rsidP="00C00E78">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2.1. </w:t>
      </w:r>
      <w:bookmarkStart w:id="3" w:name="_Hlk41479721"/>
      <w:r>
        <w:rPr>
          <w:rFonts w:ascii="Arial" w:eastAsia="Calibri" w:hAnsi="Arial" w:cs="Arial"/>
          <w:b/>
          <w:bCs/>
          <w:color w:val="000000" w:themeColor="text1"/>
          <w:sz w:val="22"/>
        </w:rPr>
        <w:t>Reserva de ley en la potestad para incluir cláusulas excepcionales en los contratos estatales. Desarrollo jurisprudencial</w:t>
      </w:r>
    </w:p>
    <w:bookmarkEnd w:id="3"/>
    <w:p w14:paraId="44EC4F00" w14:textId="77777777" w:rsidR="00C00E78" w:rsidRDefault="00C00E78" w:rsidP="00C00E78">
      <w:pPr>
        <w:spacing w:line="276" w:lineRule="auto"/>
        <w:jc w:val="both"/>
        <w:rPr>
          <w:rFonts w:ascii="Arial" w:eastAsia="Calibri" w:hAnsi="Arial" w:cs="Arial"/>
          <w:b/>
          <w:bCs/>
          <w:color w:val="000000" w:themeColor="text1"/>
          <w:sz w:val="22"/>
        </w:rPr>
      </w:pPr>
    </w:p>
    <w:p w14:paraId="389F9947" w14:textId="77777777" w:rsidR="00C00E78" w:rsidRDefault="00C00E78" w:rsidP="00C00E78">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Esta Subdirección expidió los conceptos C–251 del 27 de mayo de 2020 y C–280 del 6 de julio de 2020, donde estudió el régimen de las cláusulas excepcionales en los contratos estatales. La tesis propuesta en estos conceptos se reitera y amplía a continuación.</w:t>
      </w:r>
    </w:p>
    <w:p w14:paraId="5DC8104F" w14:textId="77777777" w:rsidR="00C00E78" w:rsidRDefault="00C00E78" w:rsidP="00C00E78">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El artículo 14 de la Ley 80 de 1993 constituye la disposición central en el ordenamiento jurídico, que desarrolla el contenido y procedencia de la inclusión de las cláusulas excepcionales al derecho común, sin que dicha disposición agote todas las que existen en nuestro ordenamiento. En lo pertinente, esta norma dispone que:</w:t>
      </w:r>
    </w:p>
    <w:p w14:paraId="5F268688" w14:textId="77777777" w:rsidR="00C00E78" w:rsidRDefault="00C00E78" w:rsidP="00C00E78">
      <w:pPr>
        <w:spacing w:line="276" w:lineRule="auto"/>
        <w:jc w:val="both"/>
        <w:rPr>
          <w:rFonts w:ascii="Arial" w:eastAsia="Calibri" w:hAnsi="Arial" w:cs="Arial"/>
          <w:color w:val="000000" w:themeColor="text1"/>
          <w:sz w:val="22"/>
        </w:rPr>
      </w:pPr>
    </w:p>
    <w:p w14:paraId="6403F575" w14:textId="77777777" w:rsidR="00C00E78" w:rsidRDefault="00C00E78" w:rsidP="00C00E78">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Para el cumplimiento de los fines de la contratación, las entidades estatales al celebrar un contrato:</w:t>
      </w:r>
    </w:p>
    <w:p w14:paraId="06EC727B" w14:textId="77777777" w:rsidR="00C00E78" w:rsidRDefault="00C00E78" w:rsidP="00C00E78">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 </w:t>
      </w:r>
    </w:p>
    <w:p w14:paraId="37F09E85" w14:textId="77777777" w:rsidR="00C00E78" w:rsidRDefault="00C00E78" w:rsidP="00C00E78">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2°. Pactarán las cláusulas excepcionales al derecho común de terminación, interpretación y modificación unilaterales, de sometimiento a las leyes nacionales y de caducidad en los contratos </w:t>
      </w:r>
      <w:bookmarkStart w:id="4" w:name="_Hlk41479392"/>
      <w:bookmarkStart w:id="5" w:name="_Hlk41075680"/>
      <w:r>
        <w:rPr>
          <w:rFonts w:ascii="Arial" w:eastAsia="Calibri" w:hAnsi="Arial" w:cs="Arial"/>
          <w:color w:val="000000" w:themeColor="text1"/>
          <w:sz w:val="21"/>
          <w:szCs w:val="21"/>
        </w:rPr>
        <w:t>que tengan por objeto el ejercicio de una actividad que constituya monopolio estatal</w:t>
      </w:r>
      <w:bookmarkEnd w:id="4"/>
      <w:r>
        <w:rPr>
          <w:rFonts w:ascii="Arial" w:eastAsia="Calibri" w:hAnsi="Arial" w:cs="Arial"/>
          <w:color w:val="000000" w:themeColor="text1"/>
          <w:sz w:val="21"/>
          <w:szCs w:val="21"/>
        </w:rPr>
        <w:t>, la prestación de servicios públicos o la explotación y concesión de bienes del Estado, así como en los contratos de obra</w:t>
      </w:r>
      <w:bookmarkEnd w:id="5"/>
      <w:r>
        <w:rPr>
          <w:rFonts w:ascii="Arial" w:eastAsia="Calibri" w:hAnsi="Arial" w:cs="Arial"/>
          <w:color w:val="000000" w:themeColor="text1"/>
          <w:sz w:val="21"/>
          <w:szCs w:val="21"/>
        </w:rPr>
        <w:t>. En los contratos de explotación y concesión de bienes del Estado se incluirá la cláusula de reversión.</w:t>
      </w:r>
    </w:p>
    <w:p w14:paraId="24FE12E2" w14:textId="77777777" w:rsidR="00C00E78" w:rsidRDefault="00C00E78" w:rsidP="00C00E78">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Las entidades estatales podrán pactar estas cláusulas en los contratos de suministro y de prestación de servicios.</w:t>
      </w:r>
    </w:p>
    <w:p w14:paraId="42273547" w14:textId="77777777" w:rsidR="00C00E78" w:rsidRDefault="00C00E78" w:rsidP="00C00E78">
      <w:pPr>
        <w:spacing w:after="120"/>
        <w:ind w:left="709" w:right="709"/>
        <w:jc w:val="both"/>
        <w:rPr>
          <w:rFonts w:ascii="Arial" w:eastAsia="Calibri" w:hAnsi="Arial" w:cs="Arial"/>
          <w:color w:val="000000" w:themeColor="text1"/>
          <w:sz w:val="21"/>
          <w:szCs w:val="21"/>
        </w:rPr>
      </w:pPr>
      <w:bookmarkStart w:id="6" w:name="_Hlk41225379"/>
      <w:r>
        <w:rPr>
          <w:rFonts w:ascii="Arial" w:eastAsia="Calibri" w:hAnsi="Arial" w:cs="Arial"/>
          <w:color w:val="000000" w:themeColor="text1"/>
          <w:sz w:val="21"/>
          <w:szCs w:val="21"/>
        </w:rPr>
        <w:t xml:space="preserve">En los casos previstos en este numeral, </w:t>
      </w:r>
      <w:bookmarkStart w:id="7" w:name="_Hlk41075925"/>
      <w:r>
        <w:rPr>
          <w:rFonts w:ascii="Arial" w:eastAsia="Calibri" w:hAnsi="Arial" w:cs="Arial"/>
          <w:color w:val="000000" w:themeColor="text1"/>
          <w:sz w:val="21"/>
          <w:szCs w:val="21"/>
        </w:rPr>
        <w:t xml:space="preserve">las cláusulas excepcionales se entienden pactadas </w:t>
      </w:r>
      <w:proofErr w:type="spellStart"/>
      <w:r>
        <w:rPr>
          <w:rFonts w:ascii="Arial" w:eastAsia="Calibri" w:hAnsi="Arial" w:cs="Arial"/>
          <w:color w:val="000000" w:themeColor="text1"/>
          <w:sz w:val="21"/>
          <w:szCs w:val="21"/>
        </w:rPr>
        <w:t>aún</w:t>
      </w:r>
      <w:proofErr w:type="spellEnd"/>
      <w:r>
        <w:rPr>
          <w:rFonts w:ascii="Arial" w:eastAsia="Calibri" w:hAnsi="Arial" w:cs="Arial"/>
          <w:color w:val="000000" w:themeColor="text1"/>
          <w:sz w:val="21"/>
          <w:szCs w:val="21"/>
        </w:rPr>
        <w:t xml:space="preserve"> cuando no se consignen expresamente</w:t>
      </w:r>
      <w:bookmarkEnd w:id="6"/>
      <w:bookmarkEnd w:id="7"/>
      <w:r>
        <w:rPr>
          <w:rFonts w:ascii="Arial" w:eastAsia="Calibri" w:hAnsi="Arial" w:cs="Arial"/>
          <w:color w:val="000000" w:themeColor="text1"/>
          <w:sz w:val="21"/>
          <w:szCs w:val="21"/>
        </w:rPr>
        <w:t>.</w:t>
      </w:r>
    </w:p>
    <w:p w14:paraId="7533C213" w14:textId="77777777" w:rsidR="00C00E78" w:rsidRDefault="00C00E78" w:rsidP="00C00E78">
      <w:pPr>
        <w:spacing w:after="120"/>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Parágrafo. En los contratos que se celebren con personas públicas internacionales, o de cooperación, ayuda o asistencia; en los interadministrativos; en los de empréstito, donación y arrendamiento y </w:t>
      </w:r>
      <w:bookmarkStart w:id="8" w:name="_Hlk41081433"/>
      <w:r>
        <w:rPr>
          <w:rFonts w:ascii="Arial" w:eastAsia="Calibri" w:hAnsi="Arial" w:cs="Arial"/>
          <w:color w:val="000000" w:themeColor="text1"/>
          <w:sz w:val="21"/>
          <w:szCs w:val="21"/>
        </w:rPr>
        <w:t>en los contratos que tengan por objeto actividades comerciales o industriales de las entidades estatales que no correspondan a las señaladas en el numeral 2°</w:t>
      </w:r>
      <w:bookmarkEnd w:id="8"/>
      <w:r>
        <w:rPr>
          <w:rFonts w:ascii="Arial" w:eastAsia="Calibri" w:hAnsi="Arial" w:cs="Arial"/>
          <w:color w:val="000000" w:themeColor="text1"/>
          <w:sz w:val="21"/>
          <w:szCs w:val="21"/>
        </w:rPr>
        <w:t xml:space="preserve">. de </w:t>
      </w:r>
      <w:r>
        <w:rPr>
          <w:rFonts w:ascii="Arial" w:eastAsia="Calibri" w:hAnsi="Arial" w:cs="Arial"/>
          <w:color w:val="000000" w:themeColor="text1"/>
          <w:sz w:val="21"/>
          <w:szCs w:val="21"/>
        </w:rPr>
        <w:lastRenderedPageBreak/>
        <w:t xml:space="preserve">este artículo, o que tengan por objeto el desarrollo directo de actividades científicas o tecnológicas, así como en los contratos de seguro tomados por las entidades estatales, se prescindirá de la utilización de las cláusulas o estipulaciones excepcionales. </w:t>
      </w:r>
    </w:p>
    <w:p w14:paraId="5DA95893" w14:textId="77777777" w:rsidR="00C00E78" w:rsidRDefault="00C00E78" w:rsidP="00C00E78">
      <w:pPr>
        <w:spacing w:line="276" w:lineRule="auto"/>
        <w:jc w:val="both"/>
        <w:rPr>
          <w:rFonts w:ascii="Arial" w:eastAsia="Calibri" w:hAnsi="Arial" w:cs="Arial"/>
          <w:color w:val="000000" w:themeColor="text1"/>
          <w:sz w:val="22"/>
        </w:rPr>
      </w:pPr>
    </w:p>
    <w:p w14:paraId="44B7DB0A"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A estas cláusulas también se les denomina «exorbitantes». Etimológicamente, esta palabra viene del latín: se compone del prefijo </w:t>
      </w:r>
      <w:r>
        <w:rPr>
          <w:rFonts w:ascii="Arial" w:eastAsia="Calibri" w:hAnsi="Arial" w:cs="Arial"/>
          <w:i/>
          <w:iCs/>
          <w:color w:val="000000" w:themeColor="text1"/>
          <w:sz w:val="22"/>
        </w:rPr>
        <w:t>ex</w:t>
      </w:r>
      <w:r>
        <w:rPr>
          <w:rFonts w:ascii="Arial" w:eastAsia="Calibri" w:hAnsi="Arial" w:cs="Arial"/>
          <w:color w:val="000000" w:themeColor="text1"/>
          <w:sz w:val="22"/>
        </w:rPr>
        <w:t xml:space="preserve">, que indica separación o movimiento de salida, y la raíz de la palabra </w:t>
      </w:r>
      <w:r>
        <w:rPr>
          <w:rFonts w:ascii="Arial" w:eastAsia="Calibri" w:hAnsi="Arial" w:cs="Arial"/>
          <w:i/>
          <w:iCs/>
          <w:color w:val="000000" w:themeColor="text1"/>
          <w:sz w:val="22"/>
        </w:rPr>
        <w:t>orbita</w:t>
      </w:r>
      <w:r>
        <w:rPr>
          <w:rFonts w:ascii="Arial" w:eastAsia="Calibri" w:hAnsi="Arial" w:cs="Arial"/>
          <w:color w:val="000000" w:themeColor="text1"/>
          <w:sz w:val="22"/>
        </w:rPr>
        <w:t xml:space="preserve">, relacionado con el curso de los astros, un derivado de la palabra </w:t>
      </w:r>
      <w:proofErr w:type="spellStart"/>
      <w:r>
        <w:rPr>
          <w:rFonts w:ascii="Arial" w:eastAsia="Calibri" w:hAnsi="Arial" w:cs="Arial"/>
          <w:i/>
          <w:iCs/>
          <w:color w:val="000000" w:themeColor="text1"/>
          <w:sz w:val="22"/>
        </w:rPr>
        <w:t>orbis</w:t>
      </w:r>
      <w:proofErr w:type="spellEnd"/>
      <w:r>
        <w:rPr>
          <w:rFonts w:ascii="Arial" w:eastAsia="Calibri" w:hAnsi="Arial" w:cs="Arial"/>
          <w:color w:val="000000" w:themeColor="text1"/>
          <w:sz w:val="22"/>
        </w:rPr>
        <w:t>, que significa circunferencia. En esta medida, lo exorbitante es lo que se sale excesivamente de su ritmo o medida habitual</w:t>
      </w:r>
      <w:r>
        <w:rPr>
          <w:rStyle w:val="Refdenotaalpie"/>
          <w:rFonts w:ascii="Arial" w:eastAsia="Calibri" w:hAnsi="Arial" w:cs="Arial"/>
          <w:color w:val="000000" w:themeColor="text1"/>
          <w:sz w:val="22"/>
        </w:rPr>
        <w:footnoteReference w:id="1"/>
      </w:r>
      <w:r>
        <w:rPr>
          <w:rFonts w:ascii="Arial" w:eastAsia="Calibri" w:hAnsi="Arial" w:cs="Arial"/>
          <w:color w:val="000000" w:themeColor="text1"/>
          <w:sz w:val="22"/>
        </w:rPr>
        <w:t>. Para la doctrina, estas cláusulas son exorbitantes porque exceden el ámbito de libertad contractual del derecho privado, toda vez que su inclusión rompería el principio de igualdad que caracteriza a esas relaciones, donde no se autoriza la inclusión de estas atribuciones en favor de una de las partes del contrato</w:t>
      </w:r>
      <w:r>
        <w:rPr>
          <w:rStyle w:val="Refdenotaalpie"/>
          <w:rFonts w:ascii="Arial" w:eastAsia="Calibri" w:hAnsi="Arial" w:cs="Arial"/>
          <w:color w:val="000000" w:themeColor="text1"/>
          <w:sz w:val="22"/>
        </w:rPr>
        <w:footnoteReference w:id="2"/>
      </w:r>
      <w:r>
        <w:rPr>
          <w:rFonts w:ascii="Arial" w:eastAsia="Calibri" w:hAnsi="Arial" w:cs="Arial"/>
          <w:color w:val="000000" w:themeColor="text1"/>
          <w:sz w:val="21"/>
          <w:szCs w:val="21"/>
        </w:rPr>
        <w:t xml:space="preserve">. </w:t>
      </w:r>
    </w:p>
    <w:p w14:paraId="5C5AEE17"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este sentido, las cláusulas exorbitantes están prohibidas en contratos sometidos al derecho privado, ya que dichos contratos deben observar las normas de orden público –art. 16 del Código Civil–, pues existe objeto ilícito en todo lo que contraviene el derecho público de la nación –art. 1519 del Código Civil– y, por tanto, su inclusión en un contrato en que no exista autorización legal implicaría que estarían viciadas de nulidad absoluta –art. 1741 del Código Civil–. En este sentido, las cláusulas exorbitantes se reservan a los contratos autorizados por la ley, pues son poderes derogatorios del derecho común y requieren una norma excepcional como la citada </w:t>
      </w:r>
      <w:r>
        <w:rPr>
          <w:rFonts w:ascii="Arial" w:eastAsia="Calibri" w:hAnsi="Arial" w:cs="Arial"/>
          <w:i/>
          <w:iCs/>
          <w:color w:val="000000" w:themeColor="text1"/>
          <w:sz w:val="22"/>
        </w:rPr>
        <w:t>ut supra</w:t>
      </w:r>
      <w:r>
        <w:rPr>
          <w:rFonts w:ascii="Arial" w:eastAsia="Calibri" w:hAnsi="Arial" w:cs="Arial"/>
          <w:color w:val="000000" w:themeColor="text1"/>
          <w:sz w:val="22"/>
        </w:rPr>
        <w:t xml:space="preserve">. </w:t>
      </w:r>
    </w:p>
    <w:p w14:paraId="276CD1EE"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Como explica la jurisprudencia frente a los contratos sometidos a la Ley 80 de 1993, el artículo 14 establece cuatro (4) grupos de contratos en los cuales es diferente el régimen de estas facultades</w:t>
      </w:r>
      <w:r>
        <w:rPr>
          <w:rStyle w:val="Refdenotaalpie"/>
          <w:rFonts w:ascii="Arial" w:eastAsia="Calibri" w:hAnsi="Arial" w:cs="Arial"/>
          <w:color w:val="000000" w:themeColor="text1"/>
          <w:sz w:val="22"/>
        </w:rPr>
        <w:footnoteReference w:id="3"/>
      </w:r>
      <w:r>
        <w:rPr>
          <w:rFonts w:ascii="Arial" w:eastAsia="Calibri" w:hAnsi="Arial" w:cs="Arial"/>
          <w:color w:val="000000" w:themeColor="text1"/>
          <w:sz w:val="22"/>
        </w:rPr>
        <w:t xml:space="preserve">. El </w:t>
      </w:r>
      <w:r>
        <w:rPr>
          <w:rFonts w:ascii="Arial" w:eastAsia="Calibri" w:hAnsi="Arial" w:cs="Arial"/>
          <w:i/>
          <w:iCs/>
          <w:color w:val="000000" w:themeColor="text1"/>
          <w:sz w:val="22"/>
        </w:rPr>
        <w:t>primer grupo</w:t>
      </w:r>
      <w:r>
        <w:rPr>
          <w:rFonts w:ascii="Arial" w:eastAsia="Calibri" w:hAnsi="Arial" w:cs="Arial"/>
          <w:color w:val="000000" w:themeColor="text1"/>
          <w:sz w:val="22"/>
        </w:rPr>
        <w:t xml:space="preserve"> corresponde a aquellos en los que es </w:t>
      </w:r>
      <w:r>
        <w:rPr>
          <w:rFonts w:ascii="Arial" w:eastAsia="Calibri" w:hAnsi="Arial" w:cs="Arial"/>
          <w:color w:val="000000" w:themeColor="text1"/>
          <w:sz w:val="22"/>
        </w:rPr>
        <w:lastRenderedPageBreak/>
        <w:t xml:space="preserve">obligatorio incluir poderes exorbitantes, formado por aquellos que tengan por objeto el ejercicio de una actividad que constituya monopolio estatal, la prestación de servicios públicos o la explotación y concesión de bienes del Estado, así como en los contratos de obra. En estas tipologías, conforme a la clasificación </w:t>
      </w:r>
      <w:bookmarkStart w:id="9" w:name="_Hlk41077919"/>
      <w:r>
        <w:rPr>
          <w:rFonts w:ascii="Arial" w:eastAsia="Calibri" w:hAnsi="Arial" w:cs="Arial"/>
          <w:color w:val="000000" w:themeColor="text1"/>
          <w:sz w:val="22"/>
        </w:rPr>
        <w:t>del artículo 1501 del Código Civil</w:t>
      </w:r>
      <w:bookmarkEnd w:id="9"/>
      <w:r>
        <w:rPr>
          <w:rFonts w:ascii="Arial" w:eastAsia="Calibri" w:hAnsi="Arial" w:cs="Arial"/>
          <w:color w:val="000000" w:themeColor="text1"/>
          <w:sz w:val="22"/>
        </w:rPr>
        <w:t>, los poderes corresponden a cláusulas de la naturaleza, es decir, aquellas que –frente al silencio del pliego de condiciones o del contrato– forman parte del negocio en virtud de la ley</w:t>
      </w:r>
      <w:r>
        <w:rPr>
          <w:rStyle w:val="Refdenotaalpie"/>
          <w:rFonts w:ascii="Arial" w:eastAsia="Calibri" w:hAnsi="Arial" w:cs="Arial"/>
          <w:color w:val="000000" w:themeColor="text1"/>
          <w:sz w:val="22"/>
        </w:rPr>
        <w:footnoteReference w:id="4"/>
      </w:r>
      <w:r>
        <w:rPr>
          <w:rFonts w:ascii="Arial" w:eastAsia="Calibri" w:hAnsi="Arial" w:cs="Arial"/>
          <w:color w:val="000000" w:themeColor="text1"/>
          <w:sz w:val="22"/>
        </w:rPr>
        <w:t xml:space="preserve">. Considerando la relación directa de estos contratos con la eficiente prestación de los servicios públicos, los poderes exorbitantes de este grupo son irrenunciables. </w:t>
      </w:r>
    </w:p>
    <w:p w14:paraId="14BE6EAE"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Pr>
          <w:rFonts w:ascii="Arial" w:eastAsia="Calibri" w:hAnsi="Arial" w:cs="Arial"/>
          <w:i/>
          <w:iCs/>
          <w:color w:val="000000" w:themeColor="text1"/>
          <w:sz w:val="22"/>
        </w:rPr>
        <w:t>segundo grupo</w:t>
      </w:r>
      <w:r>
        <w:rPr>
          <w:rFonts w:ascii="Arial" w:eastAsia="Calibri" w:hAnsi="Arial" w:cs="Arial"/>
          <w:color w:val="000000" w:themeColor="text1"/>
          <w:sz w:val="22"/>
        </w:rPr>
        <w:t xml:space="preserve"> está conformado por los contratos donde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w:t>
      </w:r>
    </w:p>
    <w:p w14:paraId="68A8CD2B" w14:textId="77777777" w:rsidR="00C00E78" w:rsidRDefault="00C00E78" w:rsidP="00C00E78">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El </w:t>
      </w:r>
      <w:r>
        <w:rPr>
          <w:rFonts w:ascii="Arial" w:eastAsia="Calibri" w:hAnsi="Arial" w:cs="Arial"/>
          <w:i/>
          <w:iCs/>
          <w:color w:val="000000" w:themeColor="text1"/>
          <w:sz w:val="22"/>
        </w:rPr>
        <w:t>tercer grupo</w:t>
      </w:r>
      <w:r>
        <w:rPr>
          <w:rFonts w:ascii="Arial" w:eastAsia="Calibri" w:hAnsi="Arial" w:cs="Arial"/>
          <w:color w:val="000000" w:themeColor="text1"/>
          <w:sz w:val="22"/>
        </w:rPr>
        <w:t xml:space="preserve"> corresponde a los contratos del parágrafo del artículo 14 del Estatuto General donde la ley prohíbe pactar de estos poderes, so pena de nulidad absoluta por objeto ilícito. Finalmente, el </w:t>
      </w:r>
      <w:r>
        <w:rPr>
          <w:rFonts w:ascii="Arial" w:eastAsia="Calibri" w:hAnsi="Arial" w:cs="Arial"/>
          <w:i/>
          <w:iCs/>
          <w:color w:val="000000" w:themeColor="text1"/>
          <w:sz w:val="22"/>
        </w:rPr>
        <w:t>cuarto grupo</w:t>
      </w:r>
      <w:r>
        <w:rPr>
          <w:rFonts w:ascii="Arial" w:eastAsia="Calibri" w:hAnsi="Arial" w:cs="Arial"/>
          <w:color w:val="000000" w:themeColor="text1"/>
          <w:sz w:val="22"/>
        </w:rPr>
        <w:t xml:space="preserve"> está conformado por las tipologías que no se encuentran en alguno de los tres (3) grupos comentados. Dado que la ley debe autorizar su ejercicio, no es posible fundamentar estos poderes en la autonomía de la voluntad. Por tanto, se entiende que también están prohibidos en este último grupo, ya que: </w:t>
      </w:r>
    </w:p>
    <w:p w14:paraId="2ED3E129" w14:textId="77777777" w:rsidR="00C00E78" w:rsidRDefault="00C00E78" w:rsidP="00C00E78">
      <w:pPr>
        <w:spacing w:line="276" w:lineRule="auto"/>
        <w:ind w:firstLine="709"/>
        <w:jc w:val="both"/>
        <w:rPr>
          <w:rFonts w:ascii="Arial" w:eastAsia="Calibri" w:hAnsi="Arial" w:cs="Arial"/>
          <w:color w:val="000000" w:themeColor="text1"/>
          <w:sz w:val="22"/>
        </w:rPr>
      </w:pPr>
    </w:p>
    <w:p w14:paraId="1171A303" w14:textId="77777777" w:rsidR="00C00E78" w:rsidRDefault="00C00E78" w:rsidP="00C00E78">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Pr>
          <w:rStyle w:val="Refdenotaalpie"/>
          <w:rFonts w:ascii="Arial" w:eastAsia="Calibri" w:hAnsi="Arial" w:cs="Arial"/>
          <w:color w:val="000000" w:themeColor="text1"/>
          <w:sz w:val="21"/>
          <w:szCs w:val="21"/>
        </w:rPr>
        <w:footnoteReference w:id="5"/>
      </w:r>
      <w:r>
        <w:rPr>
          <w:rFonts w:ascii="Arial" w:eastAsia="Calibri" w:hAnsi="Arial" w:cs="Arial"/>
          <w:color w:val="000000" w:themeColor="text1"/>
          <w:sz w:val="21"/>
          <w:szCs w:val="21"/>
        </w:rPr>
        <w:t>.</w:t>
      </w:r>
    </w:p>
    <w:p w14:paraId="4F8757A5" w14:textId="77777777" w:rsidR="00C00E78" w:rsidRDefault="00C00E78" w:rsidP="00C00E78">
      <w:pPr>
        <w:spacing w:line="276" w:lineRule="auto"/>
        <w:jc w:val="both"/>
        <w:rPr>
          <w:rFonts w:ascii="Arial" w:eastAsia="Calibri" w:hAnsi="Arial" w:cs="Arial"/>
          <w:color w:val="000000" w:themeColor="text1"/>
          <w:sz w:val="22"/>
        </w:rPr>
      </w:pPr>
    </w:p>
    <w:p w14:paraId="163A3F91"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De la clasificación anterior de los contratos donde aplican las cláusulas exorbitantes de que trata el artículo 14 de la Ley 80 de 1993, desarrollada ampliamente por la jurisprudencia, como se indicó previamente, se desprende una regla importante: solo en los supuestos donde exista una autorización normativa para usar estas cláusulas o potestades es posible utilizarlas. </w:t>
      </w:r>
    </w:p>
    <w:p w14:paraId="53A5635C"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Lo anterior, también se extiende a las multas y la cláusula penal, en lo que se refiere a la potestad exorbitante o cláusula excepcional de imposición unilateral, cuyo fundamento normativo está en el artículo 17 de la Ley 1150 de 2007, autorizado únicamente para las entidades sometidas al Estatuto General de Contratación de la Administración Pública</w:t>
      </w:r>
      <w:r>
        <w:rPr>
          <w:rStyle w:val="Refdenotaalpie"/>
          <w:rFonts w:ascii="Arial" w:eastAsia="Calibri" w:hAnsi="Arial" w:cs="Arial"/>
          <w:color w:val="000000" w:themeColor="text1"/>
          <w:sz w:val="22"/>
        </w:rPr>
        <w:footnoteReference w:id="6"/>
      </w:r>
      <w:r>
        <w:rPr>
          <w:rFonts w:ascii="Arial" w:eastAsia="Calibri" w:hAnsi="Arial" w:cs="Arial"/>
          <w:color w:val="000000" w:themeColor="text1"/>
          <w:sz w:val="22"/>
        </w:rPr>
        <w:t>. En efecto, aunque las entidades sometidas al derecho privado pueden pactar las cláusulas de multas y penal pecuniaria, con fundamento en las disposiciones civiles y comerciales, y en su autonomía de la voluntad, tal como pueden hacerlo los particulares, la facultad de imposición unilateral, contenida en el artículo 17, se reservó para las entidades sujetas al Estatuto General de Contratación de la Administración Pública –en adelante, también, EGCAP–</w:t>
      </w:r>
      <w:r>
        <w:rPr>
          <w:rStyle w:val="Refdenotaalpie"/>
          <w:rFonts w:ascii="Arial" w:eastAsia="Calibri" w:hAnsi="Arial" w:cs="Arial"/>
          <w:color w:val="000000" w:themeColor="text1"/>
          <w:sz w:val="22"/>
        </w:rPr>
        <w:footnoteReference w:id="7"/>
      </w:r>
      <w:r>
        <w:rPr>
          <w:rFonts w:ascii="Arial" w:eastAsia="Calibri" w:hAnsi="Arial" w:cs="Arial"/>
          <w:color w:val="000000" w:themeColor="text1"/>
          <w:sz w:val="22"/>
        </w:rPr>
        <w:t>.</w:t>
      </w:r>
    </w:p>
    <w:p w14:paraId="0AE1976B" w14:textId="77777777" w:rsidR="00C00E78" w:rsidRDefault="00C00E78" w:rsidP="00C00E78">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este sentido, las entidades estatales que por disposición legal se rigen por el derecho privado –conocidas en el medio como entidades de régimen especial, por no </w:t>
      </w:r>
      <w:r>
        <w:rPr>
          <w:rFonts w:ascii="Arial" w:eastAsia="Calibri" w:hAnsi="Arial" w:cs="Arial"/>
          <w:color w:val="000000" w:themeColor="text1"/>
          <w:sz w:val="22"/>
        </w:rPr>
        <w:lastRenderedPageBreak/>
        <w:t>someterse al EGCAP–, no pueden usar las cláusulas excepcionales, salvo que una norma particular les atribuya la potestad para utilizarlas, como sucede con las empresas de servicios públicos domiciliarios y las empresas sociales del Estado</w:t>
      </w:r>
      <w:r>
        <w:rPr>
          <w:rStyle w:val="Refdenotaalpie"/>
          <w:rFonts w:ascii="Arial" w:eastAsia="Calibri" w:hAnsi="Arial" w:cs="Arial"/>
          <w:color w:val="000000" w:themeColor="text1"/>
          <w:sz w:val="22"/>
        </w:rPr>
        <w:footnoteReference w:id="8"/>
      </w:r>
      <w:r>
        <w:rPr>
          <w:rFonts w:ascii="Arial" w:eastAsia="Calibri" w:hAnsi="Arial" w:cs="Arial"/>
          <w:color w:val="000000" w:themeColor="text1"/>
          <w:sz w:val="22"/>
        </w:rPr>
        <w:t>.</w:t>
      </w:r>
    </w:p>
    <w:p w14:paraId="0B7A92EE" w14:textId="77777777" w:rsidR="00C00E78" w:rsidRDefault="00C00E78" w:rsidP="00C00E7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En este sentido, la jurisprudencia ha señalado que la facultad para incluir cláusulas excepcionales en los contratos estatales tiene reserva de ley o de una norma de superior jerarquía, por lo que solo aquellas pueden otorgar este tipo de facultades. En este sentido, el Consejo de Estado señaló en providencia del 20 de febrero de 2014, que:</w:t>
      </w:r>
    </w:p>
    <w:p w14:paraId="78636AA2" w14:textId="77777777" w:rsidR="00C00E78" w:rsidRDefault="00C00E78" w:rsidP="00C00E78">
      <w:pPr>
        <w:spacing w:line="276" w:lineRule="auto"/>
        <w:jc w:val="both"/>
        <w:rPr>
          <w:rFonts w:ascii="Arial" w:eastAsia="Calibri" w:hAnsi="Arial" w:cs="Arial"/>
          <w:color w:val="000000" w:themeColor="text1"/>
          <w:sz w:val="22"/>
        </w:rPr>
      </w:pPr>
    </w:p>
    <w:p w14:paraId="18FEAF35"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De acuerdo con los anteriores argumentos, es posible llegar a las siguientes conclusiones relevantes: i) que las entidades públicas sometidas en su actividad contractual a las reglas de derecho común no pueden pactar las cláusulas excepcionales o exorbitantes previstas en el Estatuto General de Contratación Estatal, </w:t>
      </w:r>
      <w:r>
        <w:rPr>
          <w:rFonts w:ascii="Arial" w:hAnsi="Arial" w:cs="Arial"/>
          <w:i/>
          <w:iCs/>
          <w:color w:val="000000" w:themeColor="text1"/>
          <w:sz w:val="21"/>
          <w:szCs w:val="21"/>
          <w:lang w:val="es-ES_tradnl"/>
        </w:rPr>
        <w:t>salvo que la ley o una norma superior lo autorice de manera clara y expresa</w:t>
      </w:r>
      <w:r>
        <w:rPr>
          <w:rFonts w:ascii="Arial" w:hAnsi="Arial" w:cs="Arial"/>
          <w:color w:val="000000" w:themeColor="text1"/>
          <w:sz w:val="21"/>
          <w:szCs w:val="21"/>
          <w:lang w:val="es-ES_tradnl"/>
        </w:rPr>
        <w:t xml:space="preserve">, y </w:t>
      </w:r>
      <w:proofErr w:type="spellStart"/>
      <w:r>
        <w:rPr>
          <w:rFonts w:ascii="Arial" w:hAnsi="Arial" w:cs="Arial"/>
          <w:color w:val="000000" w:themeColor="text1"/>
          <w:sz w:val="21"/>
          <w:szCs w:val="21"/>
          <w:lang w:val="es-ES_tradnl"/>
        </w:rPr>
        <w:t>ii</w:t>
      </w:r>
      <w:proofErr w:type="spellEnd"/>
      <w:r>
        <w:rPr>
          <w:rFonts w:ascii="Arial" w:hAnsi="Arial" w:cs="Arial"/>
          <w:color w:val="000000" w:themeColor="text1"/>
          <w:sz w:val="21"/>
          <w:szCs w:val="21"/>
          <w:lang w:val="es-ES_tradnl"/>
        </w:rPr>
        <w:t xml:space="preserve">) que la ejecución o cumplimiento unilateral de una cláusula excepcional o exorbitante en los contratos sometidos al derecho común es ilegal por comportar una potestad exclusiva del Estado, </w:t>
      </w:r>
      <w:r>
        <w:rPr>
          <w:rFonts w:ascii="Arial" w:hAnsi="Arial" w:cs="Arial"/>
          <w:i/>
          <w:iCs/>
          <w:color w:val="000000" w:themeColor="text1"/>
          <w:sz w:val="21"/>
          <w:szCs w:val="21"/>
          <w:lang w:val="es-ES_tradnl"/>
        </w:rPr>
        <w:t>salvo que se ejerza bajo el amparo de una ley o norma superior</w:t>
      </w:r>
      <w:r>
        <w:rPr>
          <w:rStyle w:val="Refdenotaalpie"/>
          <w:rFonts w:ascii="Arial" w:hAnsi="Arial" w:cs="Arial"/>
          <w:color w:val="000000" w:themeColor="text1"/>
          <w:sz w:val="21"/>
          <w:szCs w:val="21"/>
          <w:lang w:val="es-ES_tradnl"/>
        </w:rPr>
        <w:footnoteReference w:id="9"/>
      </w:r>
      <w:r>
        <w:rPr>
          <w:rFonts w:ascii="Arial" w:hAnsi="Arial" w:cs="Arial"/>
          <w:color w:val="000000" w:themeColor="text1"/>
          <w:sz w:val="21"/>
          <w:szCs w:val="21"/>
          <w:lang w:val="es-ES_tradnl"/>
        </w:rPr>
        <w:t>. (Cursiva fuera de texto).</w:t>
      </w:r>
    </w:p>
    <w:p w14:paraId="7D943C86" w14:textId="77777777" w:rsidR="00C00E78" w:rsidRDefault="00C00E78" w:rsidP="00C00E78">
      <w:pPr>
        <w:tabs>
          <w:tab w:val="left" w:pos="426"/>
        </w:tabs>
        <w:ind w:right="709"/>
        <w:jc w:val="both"/>
        <w:rPr>
          <w:rFonts w:ascii="Arial" w:hAnsi="Arial" w:cs="Arial"/>
          <w:color w:val="000000" w:themeColor="text1"/>
          <w:sz w:val="21"/>
          <w:szCs w:val="21"/>
          <w:lang w:val="es-ES_tradnl"/>
        </w:rPr>
      </w:pPr>
    </w:p>
    <w:p w14:paraId="3AE2CA54" w14:textId="77777777" w:rsidR="00C00E78" w:rsidRDefault="00C00E78" w:rsidP="00C00E78">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De conformidad con la jurisprudencia citada, es posible sostener que la habilitación para incluir cláusulas excepcionales es un asunto que tiene reserva de ley, por lo cual una fuente de inferior jerarquía no podría atribuir estas potestades y tampoco podrían las partes en virtud de la autonomía de la voluntad pactarlas en sus contratos, pues estarían viciadas de nulidad.</w:t>
      </w:r>
    </w:p>
    <w:p w14:paraId="2978D6DA" w14:textId="77777777" w:rsidR="00C00E78" w:rsidRDefault="00C00E78" w:rsidP="00C00E78">
      <w:pPr>
        <w:spacing w:line="276" w:lineRule="auto"/>
        <w:jc w:val="both"/>
        <w:rPr>
          <w:rFonts w:ascii="Arial" w:eastAsia="Calibri" w:hAnsi="Arial" w:cs="Arial"/>
          <w:b/>
          <w:bCs/>
          <w:color w:val="000000" w:themeColor="text1"/>
          <w:sz w:val="22"/>
        </w:rPr>
      </w:pPr>
    </w:p>
    <w:p w14:paraId="1BD736F9" w14:textId="77777777" w:rsidR="00C00E78" w:rsidRDefault="00C00E78" w:rsidP="00C00E78">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2.2. Antecedentes normativos sobre la atribución de potestades excepcionales en otras normas del ordenamiento jurídico</w:t>
      </w:r>
    </w:p>
    <w:p w14:paraId="2A64B6C4" w14:textId="77777777" w:rsidR="00C00E78" w:rsidRDefault="00C00E78" w:rsidP="00C00E78">
      <w:pPr>
        <w:spacing w:line="276" w:lineRule="auto"/>
        <w:jc w:val="both"/>
        <w:rPr>
          <w:rFonts w:ascii="Arial" w:eastAsia="Calibri" w:hAnsi="Arial" w:cs="Arial"/>
          <w:b/>
          <w:bCs/>
          <w:color w:val="000000" w:themeColor="text1"/>
          <w:sz w:val="22"/>
        </w:rPr>
      </w:pPr>
    </w:p>
    <w:p w14:paraId="74C43B8A"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Sin perjuicio de las ideas anteriores y con la finalidad de profundizar en el tema planteado por el peticionario, es necesario tener en cuenta que en nuestra historia normativa otras fuentes distintas a la ley han habilitado a entidades estatales para que en ciertos contratos pacten cláusulas excepcionales. En este sentido, con fines meramente expositivos, y como antecedentes normativos, debe tenerse en cuenta que anteriormente, con fundamento en reglamentos autónomos o constitucionales, se ha autorizado la inclusión de cláusulas exorbitantes en algunos de los contratos suscritos por entidades públicas. </w:t>
      </w:r>
    </w:p>
    <w:p w14:paraId="272D2222"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t xml:space="preserve">Previo a exponer los ejemplos anteriores, es necesario tener en cuenta que los reglamentos autónomos, independientes, constitucionales o </w:t>
      </w:r>
      <w:r>
        <w:rPr>
          <w:rFonts w:ascii="Arial" w:hAnsi="Arial" w:cs="Arial"/>
          <w:i/>
          <w:iCs/>
          <w:color w:val="000000" w:themeColor="text1"/>
          <w:sz w:val="22"/>
          <w:lang w:val="es-ES_tradnl"/>
        </w:rPr>
        <w:t xml:space="preserve">praeter </w:t>
      </w:r>
      <w:proofErr w:type="spellStart"/>
      <w:r>
        <w:rPr>
          <w:rFonts w:ascii="Arial" w:hAnsi="Arial" w:cs="Arial"/>
          <w:i/>
          <w:iCs/>
          <w:color w:val="000000" w:themeColor="text1"/>
          <w:sz w:val="22"/>
          <w:lang w:val="es-ES_tradnl"/>
        </w:rPr>
        <w:t>legem</w:t>
      </w:r>
      <w:proofErr w:type="spellEnd"/>
      <w:r>
        <w:rPr>
          <w:rFonts w:ascii="Arial" w:hAnsi="Arial" w:cs="Arial"/>
          <w:color w:val="000000" w:themeColor="text1"/>
          <w:sz w:val="22"/>
          <w:lang w:val="es-ES_tradnl"/>
        </w:rPr>
        <w:t xml:space="preserve">, como se </w:t>
      </w:r>
      <w:r>
        <w:rPr>
          <w:rFonts w:ascii="Arial" w:hAnsi="Arial" w:cs="Arial"/>
          <w:color w:val="000000" w:themeColor="text1"/>
          <w:sz w:val="22"/>
          <w:lang w:val="es-ES_tradnl"/>
        </w:rPr>
        <w:lastRenderedPageBreak/>
        <w:t>conocen en la doctrina, gozan de la característica de que se originan en la Constitución y, en principio, solo se sujetan a ella, la que reserva a esa fuente del derecho la regulación de algún contenido particular.</w:t>
      </w:r>
    </w:p>
    <w:p w14:paraId="098335B7"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t xml:space="preserve">En este sentido el reglamento </w:t>
      </w:r>
      <w:r>
        <w:rPr>
          <w:rFonts w:ascii="Arial" w:hAnsi="Arial" w:cs="Arial"/>
          <w:i/>
          <w:iCs/>
          <w:color w:val="000000" w:themeColor="text1"/>
          <w:sz w:val="22"/>
          <w:lang w:val="es-ES_tradnl"/>
        </w:rPr>
        <w:t xml:space="preserve">praeter </w:t>
      </w:r>
      <w:proofErr w:type="spellStart"/>
      <w:r>
        <w:rPr>
          <w:rFonts w:ascii="Arial" w:hAnsi="Arial" w:cs="Arial"/>
          <w:i/>
          <w:iCs/>
          <w:color w:val="000000" w:themeColor="text1"/>
          <w:sz w:val="22"/>
          <w:lang w:val="es-ES_tradnl"/>
        </w:rPr>
        <w:t>legem</w:t>
      </w:r>
      <w:proofErr w:type="spellEnd"/>
      <w:r>
        <w:rPr>
          <w:rFonts w:ascii="Arial" w:hAnsi="Arial" w:cs="Arial"/>
          <w:color w:val="000000" w:themeColor="text1"/>
          <w:sz w:val="22"/>
          <w:lang w:val="es-ES_tradnl"/>
        </w:rPr>
        <w:t xml:space="preserve"> o independiente no completa ni desarrolla una ley previa, sino que, como se indicó, surge en virtud de la Constitución que radica en él la competencia para regular un determinado asunto, lo que implica que tal espacio le queda vedado al legislador, quien tiene que respetar dicha reserva so pena de violar la Constitución. </w:t>
      </w:r>
    </w:p>
    <w:p w14:paraId="09B06C46" w14:textId="77777777" w:rsidR="00C00E78" w:rsidRDefault="00C00E78" w:rsidP="00C00E78">
      <w:pPr>
        <w:spacing w:after="120" w:line="276" w:lineRule="auto"/>
        <w:ind w:firstLine="708"/>
        <w:jc w:val="both"/>
        <w:rPr>
          <w:rFonts w:ascii="Arial" w:hAnsi="Arial" w:cs="Arial"/>
          <w:sz w:val="22"/>
          <w:lang w:val="es-CO"/>
        </w:rPr>
      </w:pPr>
      <w:r>
        <w:rPr>
          <w:rFonts w:ascii="Arial" w:hAnsi="Arial" w:cs="Arial"/>
          <w:color w:val="000000" w:themeColor="text1"/>
          <w:sz w:val="22"/>
          <w:lang w:val="es-ES_tradnl"/>
        </w:rPr>
        <w:t>Sin embargo, para evitar problemas que desfiguren o hagan incoherente el sistema normativo no es conveniente asimilar el reglamento autónomo a la ley –aunque ambos tienen la característica de solo someterse a la Constitución respecto a su contenido–, pues en todo caso aquel no tendrá la característica formal de la «fuerza de ley», que solo es exclusivo de dicha fuente normativa. Lo anterior en contraste con los decretos con fuerza de ley y los decretos legislativos, los cuales sí se asimilan a las leyes, particularmente para su control, siendo el Juez Constitucional el encargado de enjuiciarlos. Esto no sucede con el reglamento autónomo que, pese a no someterse jerárquicamente a la ley, le es aplicable el mismo régimen jurídico que a cualquier otro reglamento, por lo que su juez es el contencioso administrativo. En este sentido, resultan muy pertinentes las palabras de VEDEL, quien al citar a CHAPUS afirma que: «las leyes y los decretos autónomos tienen cada uno su propia esfera y su propio rango: son independientes y desiguales»</w:t>
      </w:r>
      <w:r>
        <w:rPr>
          <w:rStyle w:val="Refdenotaalpie"/>
          <w:rFonts w:ascii="Arial" w:hAnsi="Arial" w:cs="Arial"/>
          <w:sz w:val="22"/>
          <w:lang w:val="es-CO"/>
        </w:rPr>
        <w:footnoteReference w:id="10"/>
      </w:r>
      <w:r>
        <w:rPr>
          <w:rFonts w:ascii="Arial" w:hAnsi="Arial" w:cs="Arial"/>
          <w:sz w:val="22"/>
          <w:lang w:val="es-CO"/>
        </w:rPr>
        <w:t>.</w:t>
      </w:r>
    </w:p>
    <w:p w14:paraId="50367526" w14:textId="77777777" w:rsidR="00C00E78" w:rsidRDefault="00C00E78" w:rsidP="00C00E78">
      <w:pPr>
        <w:spacing w:line="276" w:lineRule="auto"/>
        <w:jc w:val="both"/>
        <w:rPr>
          <w:rFonts w:ascii="Arial" w:eastAsia="Calibri" w:hAnsi="Arial" w:cs="Arial"/>
          <w:color w:val="000000" w:themeColor="text1"/>
          <w:sz w:val="22"/>
          <w:lang w:val="es-ES_tradnl"/>
        </w:rPr>
      </w:pPr>
      <w:r>
        <w:rPr>
          <w:rFonts w:ascii="Arial" w:hAnsi="Arial" w:cs="Arial"/>
          <w:color w:val="000000" w:themeColor="text1"/>
          <w:sz w:val="22"/>
          <w:lang w:val="es-ES_tradnl"/>
        </w:rPr>
        <w:tab/>
        <w:t>Caracterizados sucintamente los decretos autónomos, cabe retomar la idea indicada previamente, en el sentido de que los reglamentos autónomos han autorizado la inclusión de cláusulas exorbitantes en ciertos contratos del Estado. Es lo que sucede con los contratos que se fundamentan en el inciso segundo del artículo 355 de la Constitución, que reservó al Gobierno Nacional el desarrollo del régimen aplicable a los contratos con entidades privadas sin ánimo de lucro</w:t>
      </w:r>
      <w:r>
        <w:rPr>
          <w:rStyle w:val="Refdenotaalpie"/>
          <w:rFonts w:ascii="Arial" w:hAnsi="Arial" w:cs="Arial"/>
          <w:color w:val="000000" w:themeColor="text1"/>
          <w:sz w:val="22"/>
          <w:lang w:val="es-ES_tradnl"/>
        </w:rPr>
        <w:footnoteReference w:id="11"/>
      </w:r>
      <w:r>
        <w:rPr>
          <w:rFonts w:ascii="Arial" w:hAnsi="Arial" w:cs="Arial"/>
          <w:color w:val="000000" w:themeColor="text1"/>
          <w:sz w:val="22"/>
          <w:lang w:val="es-ES_tradnl"/>
        </w:rPr>
        <w:t xml:space="preserve">. En desarrollo de dicho mandato se profirió el Decreto 777 de 1992 –actualmente derogado–, que en el inciso primero del artículo 1 estableció la posibilidad de incluir en dichos contratos las cláusulas </w:t>
      </w:r>
      <w:r>
        <w:rPr>
          <w:rFonts w:ascii="Arial" w:hAnsi="Arial" w:cs="Arial"/>
          <w:color w:val="000000" w:themeColor="text1"/>
          <w:sz w:val="22"/>
          <w:lang w:val="es-ES_tradnl"/>
        </w:rPr>
        <w:lastRenderedPageBreak/>
        <w:t>exorbitantes</w:t>
      </w:r>
      <w:r>
        <w:rPr>
          <w:rStyle w:val="Refdenotaalpie"/>
          <w:rFonts w:ascii="Arial" w:hAnsi="Arial" w:cs="Arial"/>
          <w:color w:val="000000" w:themeColor="text1"/>
          <w:sz w:val="22"/>
          <w:lang w:val="es-ES_tradnl"/>
        </w:rPr>
        <w:footnoteReference w:id="12"/>
      </w:r>
      <w:r>
        <w:rPr>
          <w:rFonts w:ascii="Arial" w:hAnsi="Arial" w:cs="Arial"/>
          <w:color w:val="000000" w:themeColor="text1"/>
          <w:sz w:val="22"/>
          <w:lang w:val="es-ES_tradnl"/>
        </w:rPr>
        <w:t xml:space="preserve">. </w:t>
      </w:r>
      <w:r>
        <w:rPr>
          <w:rFonts w:ascii="Arial" w:eastAsia="Calibri" w:hAnsi="Arial" w:cs="Arial"/>
          <w:color w:val="000000" w:themeColor="text1"/>
          <w:sz w:val="22"/>
          <w:lang w:val="es-ES_tradnl"/>
        </w:rPr>
        <w:t>En desarrollo de la disposición anterior, la Sala de Consulta y Servicio Civil del Consejo de Estado señaló en relación con estos contratos, que:</w:t>
      </w:r>
    </w:p>
    <w:p w14:paraId="543903BA" w14:textId="77777777" w:rsidR="00C00E78" w:rsidRDefault="00C00E78" w:rsidP="00C00E78">
      <w:pPr>
        <w:spacing w:line="276" w:lineRule="auto"/>
        <w:jc w:val="both"/>
        <w:rPr>
          <w:rFonts w:ascii="Arial" w:eastAsia="Calibri" w:hAnsi="Arial" w:cs="Arial"/>
          <w:color w:val="000000" w:themeColor="text1"/>
          <w:sz w:val="22"/>
          <w:lang w:val="es-ES_tradnl"/>
        </w:rPr>
      </w:pPr>
    </w:p>
    <w:p w14:paraId="2A50D701"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En síntesis, los organismos y entidades públicos de los niveles nacional, departamental, distrital y municipal pueden celebrar los contratos de apoyo de programas y actividades de interés público, establecidos por el inciso segundo del artículo 355 de la Constitución y reglamentados por el Decreto 777 de 1992 con sus modificatorios, los cuales tienen las siguientes características generales: </w:t>
      </w:r>
    </w:p>
    <w:p w14:paraId="7A55126F"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2CB11AB2"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3. Pueden incluir las cláusulas exorbitantes o mejor, excepcionales previstas en la Ley 80 de 1993 y normas complementarias (art. 1º ib.). </w:t>
      </w:r>
    </w:p>
    <w:p w14:paraId="2159E792" w14:textId="77777777" w:rsidR="00C00E78" w:rsidRDefault="00C00E78" w:rsidP="00C00E78">
      <w:pPr>
        <w:spacing w:line="276" w:lineRule="auto"/>
        <w:jc w:val="both"/>
        <w:rPr>
          <w:rFonts w:ascii="Arial" w:eastAsia="Calibri" w:hAnsi="Arial" w:cs="Arial"/>
          <w:color w:val="000000" w:themeColor="text1"/>
          <w:sz w:val="22"/>
          <w:lang w:val="es-ES_tradnl"/>
        </w:rPr>
      </w:pPr>
    </w:p>
    <w:p w14:paraId="11159BC4" w14:textId="77777777" w:rsidR="00C00E78" w:rsidRDefault="00C00E78" w:rsidP="00C00E78">
      <w:pPr>
        <w:spacing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se observa, dicho decreto autónomo, que actualmente está derogado y, por tanto, no se encuentra vigente, facultó a las entidades que celebraran contratos sometidos a su ámbito de aplicación para incluir las cláusulas excepcionales del derecho común, antecedente normativo que resulta relevante para estudiar el artículo 2.2.2.1.3. del Decreto 1081 de 2015.</w:t>
      </w:r>
    </w:p>
    <w:p w14:paraId="05056BDF" w14:textId="77777777" w:rsidR="00C00E78" w:rsidRDefault="00C00E78" w:rsidP="00C00E78">
      <w:pPr>
        <w:spacing w:line="276" w:lineRule="auto"/>
        <w:jc w:val="both"/>
        <w:rPr>
          <w:rFonts w:ascii="Arial" w:eastAsia="Calibri" w:hAnsi="Arial" w:cs="Arial"/>
          <w:color w:val="000000" w:themeColor="text1"/>
          <w:sz w:val="22"/>
          <w:lang w:val="es-ES_tradnl"/>
        </w:rPr>
      </w:pPr>
    </w:p>
    <w:p w14:paraId="3C08104C" w14:textId="77777777" w:rsidR="00C00E78" w:rsidRDefault="00C00E78" w:rsidP="00C00E78">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2.3. Presunción de legalidad del artículo</w:t>
      </w:r>
      <w:r>
        <w:rPr>
          <w:rFonts w:ascii="Arial" w:hAnsi="Arial" w:cs="Arial"/>
          <w:b/>
          <w:bCs/>
          <w:color w:val="000000" w:themeColor="text1"/>
          <w:sz w:val="22"/>
          <w:lang w:val="es-ES_tradnl"/>
        </w:rPr>
        <w:t xml:space="preserve"> 2.2.2.1.3. del Decreto 1081 de 2015</w:t>
      </w:r>
    </w:p>
    <w:p w14:paraId="1C65F5A0" w14:textId="77777777" w:rsidR="00C00E78" w:rsidRDefault="00C00E78" w:rsidP="00C00E78">
      <w:pPr>
        <w:spacing w:line="276" w:lineRule="auto"/>
        <w:jc w:val="both"/>
        <w:rPr>
          <w:rFonts w:ascii="Arial" w:eastAsia="Calibri" w:hAnsi="Arial" w:cs="Arial"/>
          <w:color w:val="000000" w:themeColor="text1"/>
          <w:sz w:val="22"/>
          <w:lang w:val="es-ES_tradnl"/>
        </w:rPr>
      </w:pPr>
    </w:p>
    <w:p w14:paraId="0E8CAF94"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El artículo 2.2.2.1.3. del Decreto 1081 de 2015, que compila el artículo 3 del Decreto 2429 de 1997 establece que: «Los actos, operaciones, contratos y convenios que celebre el Director del Fondo de Programas Especiales para la Paz, en virtud de la delegación conferida por el Director del Departamento Administrativo de la Presidencia de la República, de conformidad con lo dispuesto en el Decreto 716 de 1994, así como en desarrollo de su objeto, sólo se someterán a las normas que rigen la contratación entre particulares, sin perjuicio de la inclusión de las cláusulas excepcionales contempladas en la Ley 80 de 1993 y las que las modifiquen y adicionen».</w:t>
      </w:r>
    </w:p>
    <w:p w14:paraId="463879F0" w14:textId="77777777" w:rsidR="00C00E78" w:rsidRDefault="00C00E78" w:rsidP="00C00E78">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t xml:space="preserve">Como se observa, dicha disposición autoriza la inclusión de cláusulas excepcionales en los contratos objeto de su regulación. Sin embargo, también resulta relevante la remisión que efectúa al Decreto 716 de 1994, ya que se trata de un </w:t>
      </w:r>
      <w:r>
        <w:rPr>
          <w:rFonts w:ascii="Arial" w:hAnsi="Arial" w:cs="Arial"/>
          <w:color w:val="000000" w:themeColor="text1"/>
          <w:sz w:val="22"/>
          <w:lang w:val="es-ES_tradnl"/>
        </w:rPr>
        <w:lastRenderedPageBreak/>
        <w:t>reglamento autónomo, sustentado en el artículo 13 transitorio de la Constitución</w:t>
      </w:r>
      <w:r>
        <w:rPr>
          <w:rStyle w:val="Refdenotaalpie"/>
          <w:rFonts w:ascii="Arial" w:hAnsi="Arial" w:cs="Arial"/>
          <w:color w:val="000000" w:themeColor="text1"/>
          <w:sz w:val="22"/>
          <w:lang w:val="es-ES_tradnl"/>
        </w:rPr>
        <w:footnoteReference w:id="13"/>
      </w:r>
      <w:r>
        <w:rPr>
          <w:rFonts w:ascii="Arial" w:hAnsi="Arial" w:cs="Arial"/>
          <w:color w:val="000000" w:themeColor="text1"/>
          <w:sz w:val="22"/>
          <w:lang w:val="es-ES_tradnl"/>
        </w:rPr>
        <w:t>. En tal sentido, el artículo 1 del Decreto 716 de 1994 establece:</w:t>
      </w:r>
    </w:p>
    <w:p w14:paraId="7FAAB65D" w14:textId="77777777" w:rsidR="00C00E78" w:rsidRDefault="00C00E78" w:rsidP="00C00E78">
      <w:pPr>
        <w:spacing w:line="276" w:lineRule="auto"/>
        <w:jc w:val="both"/>
        <w:rPr>
          <w:rFonts w:ascii="Arial" w:hAnsi="Arial" w:cs="Arial"/>
          <w:color w:val="000000" w:themeColor="text1"/>
          <w:sz w:val="22"/>
          <w:lang w:val="es-ES_tradnl"/>
        </w:rPr>
      </w:pPr>
    </w:p>
    <w:p w14:paraId="5323073E"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Artículo 1º De conformidad con lo previsto en los artículos 22, 95, numeral 6 y 13 transitorio de la Constitución Política, están excluidos de los reglamentos que se dicten en cumplimiento del segundo inciso del artículo 355 de la Constitución, así como de los requisitos establecidos en la Ley 80 de 1993, los convenios, contratos y pagos que se efectúen a personas naturales o jurídicas, en desarrollo de los acuerdos firmados o que se firmen con grupos guerrilleros desmovilizados, vinculados a un proceso de paz bajo la dirección del Gobierno Nacional. </w:t>
      </w:r>
    </w:p>
    <w:p w14:paraId="01D9C04D"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Los contratos que se celebren para el cumplimiento de las obligaciones a que se refiere el inciso anterior, sólo se someterán a las normas que rigen la contratación entre particulares, sin perjuicio de que se puedan determinar la inclusión de las cláusulas excepcionales contempladas en la Ley 80 de 1993, o en las disposiciones que la reglamenten, sustituyan, modifiquen o adicionen. </w:t>
      </w:r>
    </w:p>
    <w:p w14:paraId="19B2F73B"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Parágrafo. Los contratos de fiducia celebrados con anterioridad a la vigencia de la Ley 80 de 1993, continuarán sujetos en su formación, ejecución, efectos, liquidación y demás aspectos a las disposiciones vigentes al momento de su celebración. </w:t>
      </w:r>
    </w:p>
    <w:p w14:paraId="01C36131"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Lo dispuesto en este Decreto es aplicable a los convenios, contratos y pagos que se realicen en desarrollo de acuerdos firmados o que se firmen con las milicias con carácter político vinculadas igualmente a un proceso de paz bajo la dirección del Gobierno Nacional.</w:t>
      </w:r>
    </w:p>
    <w:p w14:paraId="3F74353F" w14:textId="77777777" w:rsidR="00C00E78" w:rsidRDefault="00C00E78" w:rsidP="00C00E78">
      <w:pPr>
        <w:tabs>
          <w:tab w:val="left" w:pos="426"/>
        </w:tabs>
        <w:ind w:right="709"/>
        <w:jc w:val="both"/>
        <w:rPr>
          <w:rFonts w:ascii="Arial" w:hAnsi="Arial" w:cs="Arial"/>
          <w:color w:val="000000" w:themeColor="text1"/>
          <w:sz w:val="21"/>
          <w:szCs w:val="21"/>
          <w:lang w:val="es-ES_tradnl"/>
        </w:rPr>
      </w:pPr>
    </w:p>
    <w:p w14:paraId="682B7E50" w14:textId="77777777" w:rsidR="00C00E78" w:rsidRDefault="00C00E78" w:rsidP="00C00E78">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El contexto anterior resulta relevante para analizar de forma completa el contenido del artículo 2.2.2.1.3. del Decreto 1081 de 2015, toda vez que este remite a la regulación del último artículo citado, que faculta la inclusión de cláusulas exorbitantes en los contratos que se enmarquen en su ámbito de aplicación. Con el panorama expuesto, que resulta imprescindible para analizar el artículo 2.2.2.1.3. no se pretende defender o cuestionar su legalidad o validez, simplemente se desarrolla con la finalidad de otorgar información útil al peticionario, relacionada con el contexto que rodea la disposición objeto de análisis.</w:t>
      </w:r>
    </w:p>
    <w:p w14:paraId="6799BE64" w14:textId="77777777" w:rsidR="00C00E78" w:rsidRDefault="00C00E78" w:rsidP="00C00E78">
      <w:pPr>
        <w:spacing w:after="120" w:line="276" w:lineRule="auto"/>
        <w:jc w:val="both"/>
        <w:rPr>
          <w:rFonts w:ascii="Arial" w:eastAsia="Calibri" w:hAnsi="Arial" w:cs="Arial"/>
          <w:color w:val="000000" w:themeColor="text1"/>
          <w:sz w:val="22"/>
        </w:rPr>
      </w:pPr>
      <w:r>
        <w:rPr>
          <w:rFonts w:ascii="Arial" w:hAnsi="Arial" w:cs="Arial"/>
          <w:color w:val="000000" w:themeColor="text1"/>
          <w:sz w:val="22"/>
          <w:lang w:val="es-ES_tradnl"/>
        </w:rPr>
        <w:tab/>
        <w:t xml:space="preserve">Sin perjuicio de las consideraciones anteriores, debe tenerse en cuenta que la competencia de la Agencia Nacional de Contratación Pública – Colombia Compra Eficiente está atribuida en el Decreto 4170 de 2011, particularmente en los artículos </w:t>
      </w:r>
      <w:r>
        <w:rPr>
          <w:rFonts w:ascii="Arial" w:eastAsia="Calibri" w:hAnsi="Arial" w:cs="Arial"/>
          <w:color w:val="000000" w:themeColor="text1"/>
          <w:sz w:val="22"/>
        </w:rPr>
        <w:t xml:space="preserve">3, </w:t>
      </w:r>
      <w:r>
        <w:rPr>
          <w:rFonts w:ascii="Arial" w:eastAsia="Calibri" w:hAnsi="Arial" w:cs="Arial"/>
          <w:color w:val="000000" w:themeColor="text1"/>
          <w:sz w:val="22"/>
        </w:rPr>
        <w:lastRenderedPageBreak/>
        <w:t>numeral 5 y 11, numeral 8, que la habilitan para absolver consultas sobre la aplicación de normas de carácter general en materia de compras y contratación pública, por lo que esta Agencia no tiene la competencia para decidir sobre la legalidad o validez de las normas jurídicas que regulan la contratación del Estado, como parece solicitarlo el peticionario</w:t>
      </w:r>
      <w:r>
        <w:rPr>
          <w:rStyle w:val="Refdenotaalpie"/>
          <w:rFonts w:ascii="Arial" w:eastAsia="Calibri" w:hAnsi="Arial" w:cs="Arial"/>
          <w:color w:val="000000" w:themeColor="text1"/>
          <w:sz w:val="22"/>
        </w:rPr>
        <w:footnoteReference w:id="14"/>
      </w:r>
      <w:r>
        <w:rPr>
          <w:rFonts w:ascii="Arial" w:eastAsia="Calibri" w:hAnsi="Arial" w:cs="Arial"/>
          <w:color w:val="000000" w:themeColor="text1"/>
          <w:sz w:val="22"/>
        </w:rPr>
        <w:t>.</w:t>
      </w:r>
    </w:p>
    <w:p w14:paraId="102A01C9"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eastAsia="Calibri" w:hAnsi="Arial" w:cs="Arial"/>
          <w:color w:val="000000" w:themeColor="text1"/>
          <w:sz w:val="22"/>
        </w:rPr>
        <w:tab/>
        <w:t xml:space="preserve">Además de lo anterior, debe tenerse presente que el Decreto 1081 de 2015 –lo que incluye su artículo </w:t>
      </w:r>
      <w:r>
        <w:rPr>
          <w:rFonts w:ascii="Arial" w:hAnsi="Arial" w:cs="Arial"/>
          <w:color w:val="000000" w:themeColor="text1"/>
          <w:sz w:val="22"/>
          <w:lang w:val="es-ES_tradnl"/>
        </w:rPr>
        <w:t>2.2.2.1.3.– goza de la presunción de legalidad, de conformidad con lo establecido en la Ley 1437 de 2011, por lo que se presume ajustado al ordenamiento jurídico hasta tanto no sea anulado o suspendido provisionalmente por la Jurisdicción de lo Contencioso Administrativo</w:t>
      </w:r>
      <w:r>
        <w:rPr>
          <w:rStyle w:val="Refdenotaalpie"/>
          <w:rFonts w:ascii="Arial" w:hAnsi="Arial" w:cs="Arial"/>
          <w:color w:val="000000" w:themeColor="text1"/>
          <w:sz w:val="22"/>
        </w:rPr>
        <w:footnoteReference w:id="15"/>
      </w:r>
      <w:r>
        <w:rPr>
          <w:rFonts w:ascii="Arial" w:hAnsi="Arial" w:cs="Arial"/>
          <w:color w:val="000000" w:themeColor="text1"/>
          <w:sz w:val="22"/>
          <w:lang w:val="es-ES_tradnl"/>
        </w:rPr>
        <w:t>.</w:t>
      </w:r>
    </w:p>
    <w:p w14:paraId="36932E5F" w14:textId="77777777" w:rsidR="00C00E78" w:rsidRDefault="00C00E78" w:rsidP="00C00E78">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t>Conforme a tal presunción, y a que el control de legalidad de los actos administrativos, incluyendo los de carácter general, se encuentra atribuido de manera específica en la referida jurisdicción, la Corte Constitucional ha considerado que no resulta posible en sede administrativa inaplicar los actos administrativos aparentemente contrarios a la ley, como sí resulta viable con los contrarios a las disposiciones constitucionales, en virtud de la habilitación contenida en el artículo 4 Superior, conforme lo determinó en la Sentencia C-037 del 2000:</w:t>
      </w:r>
    </w:p>
    <w:p w14:paraId="4766CEC0" w14:textId="77777777" w:rsidR="00C00E78" w:rsidRDefault="00C00E78" w:rsidP="00C00E78">
      <w:pPr>
        <w:spacing w:line="276" w:lineRule="auto"/>
        <w:jc w:val="both"/>
        <w:rPr>
          <w:rFonts w:ascii="Arial" w:hAnsi="Arial" w:cs="Arial"/>
          <w:color w:val="000000" w:themeColor="text1"/>
          <w:sz w:val="22"/>
          <w:lang w:val="es-ES_tradnl"/>
        </w:rPr>
      </w:pPr>
    </w:p>
    <w:p w14:paraId="4E16663A"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El orden jerárquico que emana de la Constitución, a pesar de no impedir la penetración de los principios constitucionales en todas las dimensiones del quehacer judicial, da soporte a la existencia de la excepción de ilegalidad y a que su consagración por el legislador resulte acorde con la Carta. Sin embargo, su aplicación o invocación no pueden ser generales, ni la obligatoriedad de los actos administrativos normativos ha sido dejada por el constituyente al libre examen de las autoridades y los particulares. Tal facultad de inaplicar actos administrativos contrarios a las normas superiores, se reserva a la jurisdicción contencioso administrativa. </w:t>
      </w:r>
    </w:p>
    <w:p w14:paraId="4C5CAE0A"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1A8D8FD9"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No hay en la Constitución un texto expreso que se refiera al ejercicio de la excepción de ilegalidad, ni a la posibilidad de que los particulares o la autoridades administrativas, por fuera del contexto de un proceso judicial, </w:t>
      </w:r>
      <w:r>
        <w:rPr>
          <w:rFonts w:ascii="Arial" w:hAnsi="Arial" w:cs="Arial"/>
          <w:color w:val="000000" w:themeColor="text1"/>
          <w:sz w:val="21"/>
          <w:szCs w:val="21"/>
          <w:lang w:val="es-ES_tradnl"/>
        </w:rPr>
        <w:lastRenderedPageBreak/>
        <w:t>invoquen dicha excepción para sustraerse de la obligación de acatar los actos administrativos, sino que la Carta puso en manos de una jurisdicción especializada la facultad de decidir sobre la legalidad de los mismos, ilegalidad que debe ser  decretada en los términos que indica el legislador.</w:t>
      </w:r>
    </w:p>
    <w:p w14:paraId="43D445FB" w14:textId="77777777" w:rsidR="00C00E78" w:rsidRDefault="00C00E78" w:rsidP="00C00E78">
      <w:pPr>
        <w:tabs>
          <w:tab w:val="left" w:pos="426"/>
        </w:tabs>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418D9955" w14:textId="77777777" w:rsidR="00C00E78" w:rsidRDefault="00C00E78" w:rsidP="00C00E78">
      <w:pPr>
        <w:tabs>
          <w:tab w:val="left" w:pos="426"/>
        </w:tabs>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La llamada excepción de ilegalidad se circunscribe entre nosotros a la posibilidad que tiene un juez administrativo de inaplicar, dentro del trámite de una acción sometida a su conocimiento, un acto administrativo que resulta lesivo del orden jurídico superior. Dicha inaplicación puede llevarse a cabo en respuesta a una solicitud de nulidad o de suspensión provisional formulada en la demanda, a una excepción de ilegalidad propiamente tal aducida por el demandado, o </w:t>
      </w:r>
      <w:proofErr w:type="spellStart"/>
      <w:r>
        <w:rPr>
          <w:rFonts w:ascii="Arial" w:hAnsi="Arial" w:cs="Arial"/>
          <w:color w:val="000000" w:themeColor="text1"/>
          <w:sz w:val="21"/>
          <w:szCs w:val="21"/>
          <w:lang w:val="es-ES_tradnl"/>
        </w:rPr>
        <w:t>aun</w:t>
      </w:r>
      <w:proofErr w:type="spellEnd"/>
      <w:r>
        <w:rPr>
          <w:rFonts w:ascii="Arial" w:hAnsi="Arial" w:cs="Arial"/>
          <w:color w:val="000000" w:themeColor="text1"/>
          <w:sz w:val="21"/>
          <w:szCs w:val="21"/>
          <w:lang w:val="es-ES_tradnl"/>
        </w:rPr>
        <w:t xml:space="preserve"> puede ser pronunciada de oficio. Pero, en virtud de lo dispuesto por la norma sub </w:t>
      </w:r>
      <w:proofErr w:type="spellStart"/>
      <w:r>
        <w:rPr>
          <w:rFonts w:ascii="Arial" w:hAnsi="Arial" w:cs="Arial"/>
          <w:color w:val="000000" w:themeColor="text1"/>
          <w:sz w:val="21"/>
          <w:szCs w:val="21"/>
          <w:lang w:val="es-ES_tradnl"/>
        </w:rPr>
        <w:t>exámine</w:t>
      </w:r>
      <w:proofErr w:type="spellEnd"/>
      <w:r>
        <w:rPr>
          <w:rFonts w:ascii="Arial" w:hAnsi="Arial" w:cs="Arial"/>
          <w:color w:val="000000" w:themeColor="text1"/>
          <w:sz w:val="21"/>
          <w:szCs w:val="21"/>
          <w:lang w:val="es-ES_tradnl"/>
        </w:rPr>
        <w:t xml:space="preserve"> tal y como ha sido interpretado en la presente decisión, tal inaplicación no puede ser decidida por autoridades administrativas, las cuales, en caso de asumir tal conducta, podrían ser demandadas a través de la acción de cumplimiento, que busca, justamente, hacer efectivo el principio de obligatoriedad y de presunción de legalidad de los actos administrativos.</w:t>
      </w:r>
    </w:p>
    <w:p w14:paraId="704021FA" w14:textId="77777777" w:rsidR="00C00E78" w:rsidRDefault="00C00E78" w:rsidP="00C00E78">
      <w:pPr>
        <w:spacing w:line="276" w:lineRule="auto"/>
        <w:jc w:val="both"/>
        <w:rPr>
          <w:rFonts w:ascii="Arial" w:hAnsi="Arial" w:cs="Arial"/>
          <w:color w:val="000000" w:themeColor="text1"/>
          <w:sz w:val="22"/>
          <w:lang w:val="es-ES_tradnl"/>
        </w:rPr>
      </w:pPr>
    </w:p>
    <w:p w14:paraId="67645453" w14:textId="77777777" w:rsidR="00C00E78" w:rsidRDefault="00C00E78" w:rsidP="00C00E78">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En ese orden de ideas, la presunción de legalidad y la improcedencia de la aplicación de la excepción de ilegalidad por parte de las autoridades administrativas, implica que hasta que el artículo 2.2.2.1.3. del Decreto 1081 de 2015 no sea anulado o suspendido provisionalmente por la Jurisdicción de lo Contencioso Administrativo, se presume su legalidad, por lo que goza de plena aplicación en el ordenamiento jurídico.</w:t>
      </w:r>
    </w:p>
    <w:p w14:paraId="0F03F28F" w14:textId="77777777" w:rsidR="00C00E78" w:rsidRDefault="00C00E78" w:rsidP="00C00E78">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t>De conformidad con lo anterior, se concluye que el artículo 2.2.2.1.3. del Decreto 1081 de 2015 goza de la presunción de legalidad y no es posible que la Agencia emita juicios sobre su validez.</w:t>
      </w:r>
    </w:p>
    <w:p w14:paraId="257D1BD6" w14:textId="77777777" w:rsidR="00C00E78" w:rsidRDefault="00C00E78" w:rsidP="00C00E78">
      <w:pPr>
        <w:pStyle w:val="NormalWeb"/>
        <w:spacing w:before="0" w:beforeAutospacing="0" w:after="0" w:afterAutospacing="0" w:line="270" w:lineRule="atLeast"/>
        <w:ind w:left="709" w:right="709"/>
        <w:jc w:val="both"/>
        <w:rPr>
          <w:rFonts w:ascii="Arial" w:hAnsi="Arial" w:cs="Arial"/>
          <w:color w:val="000000" w:themeColor="text1"/>
          <w:sz w:val="22"/>
          <w:szCs w:val="22"/>
        </w:rPr>
      </w:pPr>
    </w:p>
    <w:p w14:paraId="4BA1A9F2" w14:textId="77777777" w:rsidR="00C00E78" w:rsidRDefault="00C00E78" w:rsidP="00C00E78">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Pr>
          <w:rFonts w:ascii="Arial" w:hAnsi="Arial" w:cs="Arial"/>
          <w:b/>
          <w:bCs/>
          <w:color w:val="000000" w:themeColor="text1"/>
          <w:sz w:val="22"/>
          <w:lang w:val="es-CO"/>
        </w:rPr>
        <w:t xml:space="preserve">Respuesta </w:t>
      </w:r>
    </w:p>
    <w:p w14:paraId="14019484" w14:textId="77777777" w:rsidR="00C00E78" w:rsidRDefault="00C00E78" w:rsidP="00C00E78">
      <w:pPr>
        <w:pStyle w:val="Prrafodelista"/>
        <w:tabs>
          <w:tab w:val="left" w:pos="284"/>
        </w:tabs>
        <w:spacing w:line="276" w:lineRule="auto"/>
        <w:ind w:left="0"/>
        <w:rPr>
          <w:rFonts w:ascii="Arial" w:hAnsi="Arial" w:cs="Arial"/>
          <w:b/>
          <w:bCs/>
          <w:color w:val="000000" w:themeColor="text1"/>
          <w:sz w:val="22"/>
          <w:lang w:val="es-CO"/>
        </w:rPr>
      </w:pPr>
    </w:p>
    <w:p w14:paraId="1BAB3923" w14:textId="77777777" w:rsidR="00C00E78" w:rsidRDefault="00C00E78" w:rsidP="00C00E78">
      <w:pPr>
        <w:tabs>
          <w:tab w:val="left" w:pos="426"/>
        </w:tabs>
        <w:ind w:left="709" w:right="709"/>
        <w:jc w:val="both"/>
        <w:rPr>
          <w:rFonts w:ascii="Arial" w:hAnsi="Arial" w:cs="Arial"/>
          <w:color w:val="000000" w:themeColor="text1"/>
          <w:sz w:val="21"/>
          <w:szCs w:val="21"/>
          <w:lang w:val="es-CO"/>
        </w:rPr>
      </w:pPr>
      <w:r>
        <w:rPr>
          <w:rFonts w:ascii="Arial" w:eastAsia="Calibri" w:hAnsi="Arial" w:cs="Arial"/>
          <w:color w:val="000000" w:themeColor="text1"/>
          <w:sz w:val="21"/>
          <w:szCs w:val="21"/>
        </w:rPr>
        <w:t>«</w:t>
      </w:r>
      <w:proofErr w:type="gramStart"/>
      <w:r>
        <w:rPr>
          <w:rFonts w:ascii="Arial" w:hAnsi="Arial" w:cs="Arial"/>
          <w:color w:val="000000" w:themeColor="text1"/>
          <w:sz w:val="21"/>
          <w:szCs w:val="21"/>
          <w:lang w:val="es-ES_tradnl"/>
        </w:rPr>
        <w:t>¿Es posible, de acuerdo a la Ley y la Constitución, si o no, y por qué razón, que el Decreto 1081 de 2015, que no tiene rango de Ley, permita la inclusión de las cláusulas excepcionales, en su Artículo 2.</w:t>
      </w:r>
      <w:proofErr w:type="gramEnd"/>
      <w:r>
        <w:rPr>
          <w:rFonts w:ascii="Arial" w:hAnsi="Arial" w:cs="Arial"/>
          <w:color w:val="000000" w:themeColor="text1"/>
          <w:sz w:val="21"/>
          <w:szCs w:val="21"/>
          <w:lang w:val="es-ES_tradnl"/>
        </w:rPr>
        <w:t>2.2.1.3., en los actos, operaciones, contratos y convenios que celebre el Fondo de Programas Especiales para la Paz, cuyo régimen de contratación es el civil y comercial, según el mismo artículo?»</w:t>
      </w:r>
    </w:p>
    <w:p w14:paraId="12BBBB80" w14:textId="77777777" w:rsidR="00C00E78" w:rsidRDefault="00C00E78" w:rsidP="00C00E78">
      <w:pPr>
        <w:spacing w:line="276" w:lineRule="auto"/>
        <w:jc w:val="both"/>
        <w:rPr>
          <w:rFonts w:ascii="Arial" w:eastAsia="Calibri" w:hAnsi="Arial" w:cs="Arial"/>
          <w:color w:val="000000" w:themeColor="text1"/>
          <w:sz w:val="22"/>
        </w:rPr>
      </w:pPr>
    </w:p>
    <w:p w14:paraId="4714D16D" w14:textId="77777777" w:rsidR="00C00E78" w:rsidRDefault="00C00E78" w:rsidP="00C00E78">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La pregunta planteada por el peticionario se encuentra dirigida a determinar la validez o legalidad del artículo 2.2.2.1.3. del Decreto 1081 de 2015, por lo que debe tenerse en cuenta que la competencia de la Agencia Nacional de Contratación Pública – Colombia Compra Eficiente está atribuida en el Decreto 4170 de 2011, particularmente en los artículos </w:t>
      </w:r>
      <w:r>
        <w:rPr>
          <w:rFonts w:ascii="Arial" w:eastAsia="Calibri" w:hAnsi="Arial" w:cs="Arial"/>
          <w:color w:val="000000" w:themeColor="text1"/>
          <w:sz w:val="22"/>
        </w:rPr>
        <w:t xml:space="preserve">3, numeral 5 y 11, numeral 8, que la habilitan para absolver consultas sobre la aplicación de normas de carácter general en materia de compras y contratación pública, </w:t>
      </w:r>
      <w:r>
        <w:rPr>
          <w:rFonts w:ascii="Arial" w:eastAsia="Calibri" w:hAnsi="Arial" w:cs="Arial"/>
          <w:color w:val="000000" w:themeColor="text1"/>
          <w:sz w:val="22"/>
        </w:rPr>
        <w:lastRenderedPageBreak/>
        <w:t xml:space="preserve">por lo que esta </w:t>
      </w:r>
      <w:r>
        <w:rPr>
          <w:rFonts w:ascii="Arial" w:hAnsi="Arial" w:cs="Arial"/>
          <w:color w:val="000000" w:themeColor="text1"/>
          <w:sz w:val="22"/>
          <w:lang w:val="es-ES_tradnl"/>
        </w:rPr>
        <w:t>Agencia no tiene la competencia para decidir sobre la legalidad o validez de las normas jurídicas que regulan la contratación del Estado.</w:t>
      </w:r>
    </w:p>
    <w:p w14:paraId="04B317B8" w14:textId="77777777" w:rsidR="00C00E78" w:rsidRDefault="00C00E78" w:rsidP="00C00E78">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 xml:space="preserve">De otro lado, debe tenerse en cuenta que, como se señaló en las consideraciones, el artículo indicado goza de la presunción de legalidad y su contenido es vinculante hasta tanto no sea suspendido provisionalmente o anulado por la Jurisdicción de lo Contencioso Administrativo. De manera que por esta razón y especialmente por los términos en que fue otorgada la competencia a la Agencia por el Decreto-Ley 4170 de 2011, no es posible que emitamos juicios sobre la validez o legalidad de la norma cuestionada por el peticionario. </w:t>
      </w:r>
    </w:p>
    <w:p w14:paraId="65A1AE81" w14:textId="77777777" w:rsidR="00C00E78" w:rsidRDefault="00C00E78" w:rsidP="00C00E78">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lang w:val="es-ES_tradnl"/>
        </w:rPr>
        <w:t>En todo caso, en aras de garantizar al máximo el derecho fundamental de petición, se consideró procedente realizar las consideraciones generales del numeral 2 de este concepto, vinculadas a la aplicación de las normas de carácter general relacionadas con la contratación pública, asociadas a la problemática expuesta por el peticionario y que consideramos que le pueden resultar útiles.</w:t>
      </w:r>
    </w:p>
    <w:p w14:paraId="06B081B4" w14:textId="77777777" w:rsidR="00C00E78" w:rsidRDefault="00C00E78" w:rsidP="00C00E78">
      <w:pPr>
        <w:spacing w:line="276" w:lineRule="auto"/>
        <w:jc w:val="both"/>
        <w:rPr>
          <w:rFonts w:ascii="Arial" w:eastAsia="Calibri" w:hAnsi="Arial" w:cs="Arial"/>
          <w:color w:val="000000" w:themeColor="text1"/>
          <w:sz w:val="22"/>
        </w:rPr>
      </w:pPr>
    </w:p>
    <w:p w14:paraId="3C6C8D04" w14:textId="77777777" w:rsidR="00C00E78" w:rsidRDefault="00C00E78" w:rsidP="00C00E78">
      <w:pPr>
        <w:spacing w:before="120" w:line="276" w:lineRule="auto"/>
        <w:jc w:val="both"/>
        <w:rPr>
          <w:rFonts w:ascii="Arial" w:eastAsia="Calibri" w:hAnsi="Arial" w:cs="Arial"/>
          <w:color w:val="000000" w:themeColor="text1"/>
          <w:sz w:val="22"/>
        </w:rPr>
      </w:pPr>
      <w:r>
        <w:rPr>
          <w:rFonts w:ascii="Arial" w:eastAsia="Calibri" w:hAnsi="Arial" w:cs="Arial"/>
          <w:color w:val="000000" w:themeColor="text1"/>
          <w:sz w:val="22"/>
        </w:rPr>
        <w:t>Este concepto tiene el alcance previsto en el artículo 28 del Código de Procedimiento Administrativo y de lo Contencioso Administrativo.</w:t>
      </w:r>
    </w:p>
    <w:p w14:paraId="2B6A95E4" w14:textId="77777777" w:rsidR="00C00E78" w:rsidRDefault="00C00E78" w:rsidP="00C00E78">
      <w:pPr>
        <w:ind w:firstLine="709"/>
        <w:jc w:val="both"/>
        <w:rPr>
          <w:rFonts w:ascii="Arial" w:eastAsia="Calibri" w:hAnsi="Arial" w:cs="Arial"/>
          <w:color w:val="000000" w:themeColor="text1"/>
          <w:sz w:val="22"/>
        </w:rPr>
      </w:pPr>
    </w:p>
    <w:p w14:paraId="33051196" w14:textId="77777777" w:rsidR="00C00E78" w:rsidRDefault="00C00E78" w:rsidP="00C00E78">
      <w:pPr>
        <w:jc w:val="both"/>
        <w:rPr>
          <w:rFonts w:ascii="Arial" w:eastAsia="Times New Roman" w:hAnsi="Arial" w:cs="Arial"/>
          <w:color w:val="000000" w:themeColor="text1"/>
          <w:sz w:val="22"/>
          <w:lang w:eastAsia="es-CO"/>
        </w:rPr>
      </w:pPr>
      <w:r>
        <w:rPr>
          <w:rFonts w:ascii="Arial" w:eastAsia="Times New Roman" w:hAnsi="Arial" w:cs="Arial"/>
          <w:color w:val="000000" w:themeColor="text1"/>
          <w:sz w:val="22"/>
          <w:lang w:eastAsia="es-CO"/>
        </w:rPr>
        <w:t>Atentamente,</w:t>
      </w:r>
    </w:p>
    <w:bookmarkEnd w:id="0"/>
    <w:bookmarkEnd w:id="1"/>
    <w:p w14:paraId="64808573" w14:textId="2E0C46BF" w:rsidR="00C00E78" w:rsidRDefault="00337684" w:rsidP="00C00E78">
      <w:pPr>
        <w:jc w:val="center"/>
        <w:rPr>
          <w:rFonts w:ascii="Arial" w:eastAsia="Times New Roman" w:hAnsi="Arial" w:cs="Arial"/>
          <w:color w:val="000000" w:themeColor="text1"/>
          <w:sz w:val="18"/>
          <w:szCs w:val="20"/>
          <w:lang w:eastAsia="es-CO"/>
        </w:rPr>
      </w:pPr>
      <w:r>
        <w:rPr>
          <w:rFonts w:ascii="Arial" w:hAnsi="Arial" w:cs="Arial"/>
          <w:noProof/>
          <w:color w:val="000000" w:themeColor="text1"/>
          <w:sz w:val="18"/>
          <w:szCs w:val="20"/>
        </w:rPr>
        <w:drawing>
          <wp:inline distT="0" distB="0" distL="0" distR="0" wp14:anchorId="4C776245" wp14:editId="222CDC4D">
            <wp:extent cx="2514600" cy="11125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318C8470" w14:textId="77777777" w:rsidR="00C00E78" w:rsidRDefault="00C00E78" w:rsidP="00C00E7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00E78" w14:paraId="520F5C7F" w14:textId="77777777" w:rsidTr="00C00E78">
        <w:trPr>
          <w:trHeight w:val="315"/>
        </w:trPr>
        <w:tc>
          <w:tcPr>
            <w:tcW w:w="812" w:type="dxa"/>
            <w:vAlign w:val="center"/>
            <w:hideMark/>
          </w:tcPr>
          <w:p w14:paraId="76C19998"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C2E6569"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1AF55D77"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Gestor T1 – Grado 15 Subdirección de Gestión Contractual</w:t>
            </w:r>
          </w:p>
        </w:tc>
      </w:tr>
      <w:tr w:rsidR="00C00E78" w14:paraId="0C4EFB9B" w14:textId="77777777" w:rsidTr="00C00E78">
        <w:trPr>
          <w:trHeight w:val="330"/>
        </w:trPr>
        <w:tc>
          <w:tcPr>
            <w:tcW w:w="812" w:type="dxa"/>
            <w:vAlign w:val="center"/>
            <w:hideMark/>
          </w:tcPr>
          <w:p w14:paraId="325C4BCE"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D4E53F"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176B5956"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Subdirector Gestión Contractual ANCP – CCE</w:t>
            </w:r>
          </w:p>
        </w:tc>
      </w:tr>
      <w:tr w:rsidR="00C00E78" w14:paraId="7DCC2224" w14:textId="77777777" w:rsidTr="00C00E78">
        <w:trPr>
          <w:trHeight w:val="187"/>
        </w:trPr>
        <w:tc>
          <w:tcPr>
            <w:tcW w:w="812" w:type="dxa"/>
            <w:vAlign w:val="center"/>
            <w:hideMark/>
          </w:tcPr>
          <w:p w14:paraId="4D172819"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C6A292B"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5FBA012E" w14:textId="77777777" w:rsidR="00C00E78" w:rsidRDefault="00C00E78">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Subdirector Gestión Contractual ANCP – CCE</w:t>
            </w:r>
          </w:p>
        </w:tc>
      </w:tr>
    </w:tbl>
    <w:p w14:paraId="1B46B684" w14:textId="77777777" w:rsidR="00C00E78" w:rsidRDefault="00C00E78" w:rsidP="00C00E78">
      <w:pPr>
        <w:rPr>
          <w:rFonts w:ascii="Arial" w:hAnsi="Arial" w:cs="Arial"/>
          <w:color w:val="000000" w:themeColor="text1"/>
        </w:rPr>
      </w:pPr>
    </w:p>
    <w:p w14:paraId="7EBF297E" w14:textId="77777777" w:rsidR="007B0854" w:rsidRPr="00C00E78" w:rsidRDefault="007B0854" w:rsidP="00C00E78"/>
    <w:bookmarkEnd w:id="2"/>
    <w:sectPr w:rsidR="007B0854" w:rsidRPr="00C00E7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02D4AE1D" w14:textId="77777777" w:rsidR="00C00E78" w:rsidRDefault="00C00E78" w:rsidP="00C00E7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Cfr. </w:t>
      </w:r>
      <w:hyperlink r:id="rId1" w:history="1">
        <w:r>
          <w:rPr>
            <w:rStyle w:val="Hipervnculo"/>
            <w:rFonts w:ascii="Arial" w:hAnsi="Arial" w:cs="Arial"/>
            <w:color w:val="000000" w:themeColor="text1"/>
            <w:sz w:val="19"/>
            <w:szCs w:val="19"/>
          </w:rPr>
          <w:t>http://etimologias.dechile.net/?exorbitante</w:t>
        </w:r>
      </w:hyperlink>
      <w:r>
        <w:rPr>
          <w:rFonts w:ascii="Arial" w:hAnsi="Arial" w:cs="Arial"/>
          <w:color w:val="000000" w:themeColor="text1"/>
          <w:sz w:val="19"/>
          <w:szCs w:val="19"/>
        </w:rPr>
        <w:t>. Consultado el 9 de octubre de 2020.</w:t>
      </w:r>
    </w:p>
    <w:p w14:paraId="34283EF1" w14:textId="77777777" w:rsidR="00C00E78" w:rsidRDefault="00C00E78" w:rsidP="00C00E78">
      <w:pPr>
        <w:pStyle w:val="Textonotapie"/>
        <w:ind w:firstLine="709"/>
        <w:jc w:val="both"/>
        <w:rPr>
          <w:rFonts w:ascii="Arial" w:hAnsi="Arial" w:cs="Arial"/>
          <w:color w:val="000000" w:themeColor="text1"/>
          <w:sz w:val="19"/>
          <w:szCs w:val="19"/>
          <w:lang w:val="es-ES"/>
        </w:rPr>
      </w:pPr>
    </w:p>
  </w:footnote>
  <w:footnote w:id="2">
    <w:p w14:paraId="07036412" w14:textId="77777777" w:rsidR="00C00E78" w:rsidRDefault="00C00E78" w:rsidP="00C00E7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p w14:paraId="2822B9B8" w14:textId="77777777" w:rsidR="00C00E78" w:rsidRDefault="00C00E78" w:rsidP="00C00E78">
      <w:pPr>
        <w:pStyle w:val="Textonotapie"/>
        <w:ind w:firstLine="709"/>
        <w:jc w:val="both"/>
        <w:rPr>
          <w:rFonts w:ascii="Arial" w:hAnsi="Arial" w:cs="Arial"/>
          <w:color w:val="000000" w:themeColor="text1"/>
          <w:sz w:val="19"/>
          <w:szCs w:val="19"/>
          <w:lang w:val="es-ES"/>
        </w:rPr>
      </w:pPr>
    </w:p>
  </w:footnote>
  <w:footnote w:id="3">
    <w:p w14:paraId="573B7DA4" w14:textId="77777777" w:rsidR="00C00E78" w:rsidRDefault="00C00E78" w:rsidP="00C00E7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CONSEJO DE ESTADO. Sección Tercera. Sentencia del 30 de noviembre de 2006. 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p w14:paraId="204FE674" w14:textId="77777777" w:rsidR="00C00E78" w:rsidRDefault="00C00E78" w:rsidP="00C00E78">
      <w:pPr>
        <w:pStyle w:val="Textonotapie"/>
        <w:ind w:firstLine="709"/>
        <w:jc w:val="both"/>
        <w:rPr>
          <w:rFonts w:ascii="Arial" w:hAnsi="Arial" w:cs="Arial"/>
          <w:color w:val="000000" w:themeColor="text1"/>
          <w:sz w:val="19"/>
          <w:szCs w:val="19"/>
          <w:lang w:val="es-ES"/>
        </w:rPr>
      </w:pPr>
    </w:p>
  </w:footnote>
  <w:footnote w:id="4">
    <w:p w14:paraId="3448BCDE" w14:textId="77777777" w:rsidR="00C00E78" w:rsidRDefault="00C00E78" w:rsidP="00C00E7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Pr>
          <w:rFonts w:ascii="Arial" w:hAnsi="Arial" w:cs="Arial"/>
          <w:i/>
          <w:iCs/>
          <w:color w:val="000000" w:themeColor="text1"/>
          <w:sz w:val="19"/>
          <w:szCs w:val="19"/>
        </w:rPr>
        <w:t>son de la naturaleza de un contrato las que no siendo esenciales en él, se entienden pertenecerle, sin necesidad de una cláusula especial</w:t>
      </w:r>
      <w:r>
        <w:rPr>
          <w:rFonts w:ascii="Arial" w:hAnsi="Arial" w:cs="Arial"/>
          <w:color w:val="000000" w:themeColor="text1"/>
          <w:sz w:val="19"/>
          <w:szCs w:val="19"/>
        </w:rPr>
        <w:t>; y son accidentales a un contrato aquellas que ni esencial ni naturalmente le pertenecen, y que se le agregan por medio de cláusulas especiales» (Énfasis fuera de texto).</w:t>
      </w:r>
    </w:p>
    <w:p w14:paraId="65826A7C" w14:textId="77777777" w:rsidR="00C00E78" w:rsidRDefault="00C00E78" w:rsidP="00C00E78">
      <w:pPr>
        <w:pStyle w:val="Textonotapie"/>
        <w:ind w:firstLine="709"/>
        <w:jc w:val="both"/>
        <w:rPr>
          <w:rFonts w:ascii="Arial" w:hAnsi="Arial" w:cs="Arial"/>
          <w:color w:val="000000" w:themeColor="text1"/>
          <w:sz w:val="19"/>
          <w:szCs w:val="19"/>
          <w:lang w:val="es-ES"/>
        </w:rPr>
      </w:pPr>
    </w:p>
  </w:footnote>
  <w:footnote w:id="5">
    <w:p w14:paraId="573C0F15" w14:textId="77777777" w:rsidR="00C00E78" w:rsidRDefault="00C00E78" w:rsidP="00C00E78">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CONSEJO DE ESTADO. Sección Tercera. Sentencia del 30 de noviembre de 2006. Exp. 30.832. C.P. Alier Eduardo Hernández Enríquez.</w:t>
      </w:r>
    </w:p>
    <w:p w14:paraId="361B7205" w14:textId="77777777" w:rsidR="00C00E78" w:rsidRDefault="00C00E78" w:rsidP="00C00E78">
      <w:pPr>
        <w:pStyle w:val="Textonotapie"/>
        <w:ind w:firstLine="709"/>
        <w:jc w:val="both"/>
        <w:rPr>
          <w:rFonts w:ascii="Arial" w:hAnsi="Arial" w:cs="Arial"/>
          <w:color w:val="000000" w:themeColor="text1"/>
          <w:sz w:val="19"/>
          <w:szCs w:val="19"/>
          <w:lang w:val="es-ES"/>
        </w:rPr>
      </w:pPr>
    </w:p>
  </w:footnote>
  <w:footnote w:id="6">
    <w:p w14:paraId="55F1F80A" w14:textId="77777777" w:rsidR="00C00E78" w:rsidRDefault="00C00E78" w:rsidP="00C00E78">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vertAlign w:val="superscript"/>
        </w:rPr>
        <w:footnoteRef/>
      </w:r>
      <w:r>
        <w:rPr>
          <w:rFonts w:ascii="Arial" w:hAnsi="Arial" w:cs="Arial"/>
          <w:color w:val="000000" w:themeColor="text1"/>
          <w:sz w:val="19"/>
          <w:szCs w:val="19"/>
        </w:rPr>
        <w:t xml:space="preserve"> «Artículo 17. Del derecho al debido proceso. El debido proceso será un principio rector en materia sancionatoria de las actuaciones contractuales.</w:t>
      </w:r>
    </w:p>
    <w:p w14:paraId="3EC589C0" w14:textId="77777777" w:rsidR="00C00E78" w:rsidRDefault="00C00E78" w:rsidP="00C00E78">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 xml:space="preserve">»En desarrollo de lo anterior y del deber de control y vigilancia sobre los contratos que corresponde a </w:t>
      </w:r>
      <w:r>
        <w:rPr>
          <w:rFonts w:ascii="Arial" w:hAnsi="Arial" w:cs="Arial"/>
          <w:i/>
          <w:iCs/>
          <w:color w:val="000000" w:themeColor="text1"/>
          <w:sz w:val="19"/>
          <w:szCs w:val="19"/>
        </w:rPr>
        <w:t>las entidades sometidas al Estatuto General de Contratación de la Administración Pública, tendrán la facultad de imponer las multas que hayan sido pactadas con el objeto de conminar al contratista a cumplir con sus obligaciones</w:t>
      </w:r>
      <w:r>
        <w:rPr>
          <w:rFonts w:ascii="Arial" w:hAnsi="Arial" w:cs="Arial"/>
          <w:color w:val="000000" w:themeColor="text1"/>
          <w:sz w:val="19"/>
          <w:szCs w:val="19"/>
        </w:rPr>
        <w:t xml:space="preserve">. Esta decisión deberá estar precedida de audiencia del afectado que deberá tener un procedimiento mínimo que garantice el derecho al debido proceso del contratista y procede sólo mientras se halle pendiente la ejecución de las obligaciones a cargo del contratista. </w:t>
      </w:r>
      <w:r>
        <w:rPr>
          <w:rFonts w:ascii="Arial" w:hAnsi="Arial" w:cs="Arial"/>
          <w:i/>
          <w:iCs/>
          <w:color w:val="000000" w:themeColor="text1"/>
          <w:sz w:val="19"/>
          <w:szCs w:val="19"/>
        </w:rPr>
        <w:t>Así mismo podrán declarar el incumplimiento con el propósito de hacer efectiva la cláusula penal pecuniaria incluida en el contrato</w:t>
      </w:r>
      <w:r>
        <w:rPr>
          <w:rFonts w:ascii="Arial" w:hAnsi="Arial" w:cs="Arial"/>
          <w:color w:val="000000" w:themeColor="text1"/>
          <w:sz w:val="19"/>
          <w:szCs w:val="19"/>
        </w:rPr>
        <w:t>.</w:t>
      </w:r>
    </w:p>
    <w:p w14:paraId="3B4256BA" w14:textId="77777777" w:rsidR="00C00E78" w:rsidRDefault="00C00E78" w:rsidP="00C00E78">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 (Cursivas fuera de texto).</w:t>
      </w:r>
    </w:p>
    <w:p w14:paraId="7B05FE73" w14:textId="77777777" w:rsidR="00C00E78" w:rsidRDefault="00C00E78" w:rsidP="00C00E78">
      <w:pPr>
        <w:pStyle w:val="Textonotapie"/>
        <w:ind w:firstLine="709"/>
        <w:jc w:val="both"/>
        <w:rPr>
          <w:rFonts w:ascii="Arial" w:hAnsi="Arial" w:cs="Arial"/>
          <w:color w:val="000000" w:themeColor="text1"/>
          <w:sz w:val="19"/>
          <w:szCs w:val="19"/>
          <w:lang w:val="es-CO"/>
        </w:rPr>
      </w:pPr>
    </w:p>
  </w:footnote>
  <w:footnote w:id="7">
    <w:p w14:paraId="2FFF7CA9" w14:textId="77777777" w:rsidR="00C00E78" w:rsidRDefault="00C00E78" w:rsidP="00C00E78">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Esta postura también es defendida por la doctrina. Concretamente por el profesor David Suárez Tamayo, quien expresa: «Dado que el artículo 17 de la Ley 1150 de 2007 y el artículo 86 de la Ley 1474 de 2011, se refiere (sic) exclusivamente a las entidades sometidas al estatuto de contratación pública, quiere ello decir, que las demás entidades que no estén sometidas a la Ley 80 de 1993, sino a las normas del derecho privado, no están autorizadas, ni tienen la competencia para hacer uso de manera unilateral de cláusulas excepcionales, ni para imponer multas o hacer efectiva la cláusula penal pecuniaria, y por tanto deberán acudir al juez del contrato cuando requieran hacer uso de las mismas» (SUAREZ TAMAYO, David. Cláusula de multas y penal pecuniaria. Serie: Las cláusulas del contrato estatal. Medellín: Librería Jurídica Sánchez R. Ltda. y Centro de Estudios de Derecho Administrativo –CEDA—, 2014. p. 202).</w:t>
      </w:r>
    </w:p>
    <w:p w14:paraId="775E3509" w14:textId="77777777" w:rsidR="00C00E78" w:rsidRDefault="00C00E78" w:rsidP="00C00E78">
      <w:pPr>
        <w:pStyle w:val="Textonotapie"/>
        <w:ind w:firstLine="708"/>
        <w:jc w:val="both"/>
        <w:rPr>
          <w:rFonts w:ascii="Arial" w:hAnsi="Arial" w:cs="Arial"/>
          <w:color w:val="000000" w:themeColor="text1"/>
          <w:sz w:val="19"/>
          <w:szCs w:val="19"/>
          <w:lang w:val="es-CO"/>
        </w:rPr>
      </w:pPr>
    </w:p>
  </w:footnote>
  <w:footnote w:id="8">
    <w:p w14:paraId="74258BB5" w14:textId="77777777" w:rsidR="00C00E78" w:rsidRDefault="00C00E78" w:rsidP="00C00E7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000000" w:themeColor="text1"/>
          <w:sz w:val="19"/>
          <w:szCs w:val="19"/>
        </w:rPr>
        <w:t>Cfr. Ley 142 de 1994, artículo 31, para el caso de los servicios públicos domiciliarios; y Ley 100 de 1993, artículo 195, numeral 6, para el caso de las empresas sociales del Estado.</w:t>
      </w:r>
    </w:p>
    <w:p w14:paraId="5F6D9F41" w14:textId="77777777" w:rsidR="00C00E78" w:rsidRDefault="00C00E78" w:rsidP="00C00E78">
      <w:pPr>
        <w:pStyle w:val="Textonotapie"/>
        <w:ind w:firstLine="708"/>
        <w:jc w:val="both"/>
        <w:rPr>
          <w:rFonts w:ascii="Arial" w:hAnsi="Arial" w:cs="Arial"/>
          <w:sz w:val="19"/>
          <w:szCs w:val="19"/>
          <w:lang w:val="es-CO"/>
        </w:rPr>
      </w:pPr>
    </w:p>
  </w:footnote>
  <w:footnote w:id="9">
    <w:p w14:paraId="0B836E3D" w14:textId="77777777" w:rsidR="00C00E78" w:rsidRDefault="00C00E78" w:rsidP="00C00E7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color w:val="000000" w:themeColor="text1"/>
          <w:sz w:val="19"/>
          <w:szCs w:val="19"/>
          <w:lang w:val="es-ES_tradnl"/>
        </w:rPr>
        <w:t>CONSEJO DE ESTADO. Sección Tercera. Subsección B. Sentencia del 20 de febrero de 2014. Exp. 45.310. M.P. Ramiro Pazos Guerrero.</w:t>
      </w:r>
    </w:p>
  </w:footnote>
  <w:footnote w:id="10">
    <w:p w14:paraId="4C28C3AC" w14:textId="77777777" w:rsidR="00C00E78" w:rsidRDefault="00C00E78" w:rsidP="00C00E7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VEDEL, Georges. </w:t>
      </w:r>
      <w:r>
        <w:rPr>
          <w:rFonts w:ascii="Arial" w:hAnsi="Arial" w:cs="Arial"/>
          <w:i/>
          <w:sz w:val="19"/>
          <w:szCs w:val="19"/>
          <w:lang w:val="es-CO"/>
        </w:rPr>
        <w:t xml:space="preserve">Derecho administrativo. </w:t>
      </w:r>
      <w:r>
        <w:rPr>
          <w:rFonts w:ascii="Arial" w:hAnsi="Arial" w:cs="Arial"/>
          <w:sz w:val="19"/>
          <w:szCs w:val="19"/>
          <w:lang w:val="es-CO"/>
        </w:rPr>
        <w:t>Ed. Biblioteca jurídica Aguilar, edición española, Madrid, 1980, p. 175.</w:t>
      </w:r>
    </w:p>
    <w:p w14:paraId="52E76916" w14:textId="77777777" w:rsidR="00C00E78" w:rsidRDefault="00C00E78" w:rsidP="00C00E78">
      <w:pPr>
        <w:pStyle w:val="Textonotapie"/>
        <w:ind w:firstLine="708"/>
        <w:jc w:val="both"/>
        <w:rPr>
          <w:rFonts w:ascii="Arial" w:hAnsi="Arial" w:cs="Arial"/>
          <w:sz w:val="19"/>
          <w:szCs w:val="19"/>
          <w:lang w:val="es-CO"/>
        </w:rPr>
      </w:pPr>
    </w:p>
  </w:footnote>
  <w:footnote w:id="11">
    <w:p w14:paraId="12B75566" w14:textId="77777777" w:rsidR="00C00E78" w:rsidRDefault="00C00E78" w:rsidP="00C00E7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inciso segundo del artículo 355 de la Constitución establece: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r>
        <w:rPr>
          <w:rFonts w:ascii="Arial" w:hAnsi="Arial" w:cs="Arial"/>
          <w:i/>
          <w:iCs/>
          <w:sz w:val="19"/>
          <w:szCs w:val="19"/>
        </w:rPr>
        <w:t>El Gobierno Nacional reglamentará la materia</w:t>
      </w:r>
      <w:r>
        <w:rPr>
          <w:rFonts w:ascii="Arial" w:hAnsi="Arial" w:cs="Arial"/>
          <w:sz w:val="19"/>
          <w:szCs w:val="19"/>
        </w:rPr>
        <w:t>» (Cursiva fuera de texto).</w:t>
      </w:r>
    </w:p>
    <w:p w14:paraId="1E53ECD1" w14:textId="77777777" w:rsidR="00C00E78" w:rsidRDefault="00C00E78" w:rsidP="00C00E78">
      <w:pPr>
        <w:pStyle w:val="Textonotapie"/>
        <w:ind w:firstLine="708"/>
        <w:jc w:val="both"/>
        <w:rPr>
          <w:rFonts w:ascii="Arial" w:hAnsi="Arial" w:cs="Arial"/>
          <w:sz w:val="19"/>
          <w:szCs w:val="19"/>
          <w:lang w:val="es-CO"/>
        </w:rPr>
      </w:pPr>
    </w:p>
  </w:footnote>
  <w:footnote w:id="12">
    <w:p w14:paraId="14B0E1B3" w14:textId="77777777" w:rsidR="00C00E78" w:rsidRDefault="00C00E78" w:rsidP="00C00E7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inciso aludido establecía: Los contratos que en desarrollo de lo dispuesto en el segundo inciso del artículo 355 de la Constitución Política celebren la Nación, los Departamentos, Distritos y Municipios con entidades privadas sin ánimo de lucro y de reconocida idoneidad, con el propósito de impulsar programas y actividades de interés público, deberán constar por escrito y </w:t>
      </w:r>
      <w:r>
        <w:rPr>
          <w:rFonts w:ascii="Arial" w:hAnsi="Arial" w:cs="Arial"/>
          <w:i/>
          <w:iCs/>
          <w:sz w:val="19"/>
          <w:szCs w:val="19"/>
        </w:rPr>
        <w:t>se sujetarán a los requisitos y formalidades que exige la ley para la contratación entre los particulares, salvo lo previsto en el presente Decreto y sin perjuicio de que puedan incluirse las cláusulas exorbitantes previstas por el Decreto 222 de 1983</w:t>
      </w:r>
      <w:r>
        <w:rPr>
          <w:rFonts w:ascii="Arial" w:hAnsi="Arial" w:cs="Arial"/>
          <w:sz w:val="19"/>
          <w:szCs w:val="19"/>
        </w:rPr>
        <w:t xml:space="preserve">. (cursiva fuera de texto). </w:t>
      </w:r>
    </w:p>
  </w:footnote>
  <w:footnote w:id="13">
    <w:p w14:paraId="60CF4659" w14:textId="77777777" w:rsidR="00C00E78" w:rsidRDefault="00C00E78" w:rsidP="00C00E7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El artículo transitorio establece: «Dentro de los tres años siguientes a la entrada en vigencia de esta Constitución, el Gobierno podrá dictar las disposiciones que fueren necesarias para facilitar la reinserción de grupos guerrilleros desmovilizados que se encuentren vinculados a un proceso de paz bajo su dirección; para mejorar las condiciones económicas y sociales de las zonas donde ellos estuvieran presentes; y para proveer a la organización territorial, organización y competencia municipal, servicios públicos y funcionamiento e integración de los cuerpos colegiados municipales en dichas zonas».</w:t>
      </w:r>
    </w:p>
  </w:footnote>
  <w:footnote w:id="14">
    <w:p w14:paraId="0ACAB8A0" w14:textId="77777777" w:rsidR="00C00E78" w:rsidRDefault="00C00E78" w:rsidP="00C00E7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Decreto-Ley 4170 de 2011: «Artículo 3°. Funciones. La Agencia Nacional de Contratación Pública –Colombia Compra Eficiente– ejercerá las siguientes funciones:</w:t>
      </w:r>
    </w:p>
    <w:p w14:paraId="1E198202" w14:textId="77777777" w:rsidR="00C00E78" w:rsidRDefault="00C00E78" w:rsidP="00C00E78">
      <w:pPr>
        <w:pStyle w:val="Textonotapie"/>
        <w:ind w:firstLine="708"/>
        <w:jc w:val="both"/>
        <w:rPr>
          <w:rFonts w:ascii="Arial" w:hAnsi="Arial" w:cs="Arial"/>
          <w:sz w:val="19"/>
          <w:szCs w:val="19"/>
        </w:rPr>
      </w:pPr>
      <w:r>
        <w:rPr>
          <w:rFonts w:ascii="Arial" w:hAnsi="Arial" w:cs="Arial"/>
          <w:sz w:val="19"/>
          <w:szCs w:val="19"/>
        </w:rPr>
        <w:t>[…]</w:t>
      </w:r>
    </w:p>
    <w:p w14:paraId="539D3CD3" w14:textId="77777777" w:rsidR="00C00E78" w:rsidRDefault="00C00E78" w:rsidP="00C00E78">
      <w:pPr>
        <w:pStyle w:val="Textonotapie"/>
        <w:ind w:firstLine="708"/>
        <w:jc w:val="both"/>
        <w:rPr>
          <w:rFonts w:ascii="Arial" w:hAnsi="Arial" w:cs="Arial"/>
          <w:sz w:val="19"/>
          <w:szCs w:val="19"/>
          <w:lang w:val="es-CO"/>
        </w:rPr>
      </w:pPr>
      <w:r>
        <w:rPr>
          <w:rFonts w:ascii="Arial" w:hAnsi="Arial" w:cs="Arial"/>
          <w:sz w:val="19"/>
          <w:szCs w:val="19"/>
          <w:lang w:val="es-CO"/>
        </w:rPr>
        <w:t>»5. Absolver consultas sobre la aplicación de normas de carácter general y expedir circulares externas en materia de compras y contratación pública».</w:t>
      </w:r>
    </w:p>
    <w:p w14:paraId="52334A09" w14:textId="77777777" w:rsidR="00C00E78" w:rsidRDefault="00C00E78" w:rsidP="00C00E78">
      <w:pPr>
        <w:pStyle w:val="Textonotapie"/>
        <w:ind w:firstLine="708"/>
        <w:jc w:val="both"/>
        <w:rPr>
          <w:rFonts w:ascii="Arial" w:hAnsi="Arial" w:cs="Arial"/>
          <w:sz w:val="19"/>
          <w:szCs w:val="19"/>
          <w:lang w:val="es-CO"/>
        </w:rPr>
      </w:pPr>
      <w:r>
        <w:rPr>
          <w:rFonts w:ascii="Arial" w:hAnsi="Arial" w:cs="Arial"/>
          <w:sz w:val="19"/>
          <w:szCs w:val="19"/>
          <w:lang w:val="es-CO"/>
        </w:rPr>
        <w:t>«Artículo 11. Subdirección de Gestión Contractual. Son funciones de la Subdirección de Gestión Contractual las siguientes:</w:t>
      </w:r>
    </w:p>
    <w:p w14:paraId="14AC1DE1" w14:textId="77777777" w:rsidR="00C00E78" w:rsidRDefault="00C00E78" w:rsidP="00C00E78">
      <w:pPr>
        <w:pStyle w:val="Textonotapie"/>
        <w:ind w:firstLine="708"/>
        <w:jc w:val="both"/>
        <w:rPr>
          <w:rFonts w:ascii="Arial" w:hAnsi="Arial" w:cs="Arial"/>
          <w:sz w:val="19"/>
          <w:szCs w:val="19"/>
          <w:lang w:val="es-CO"/>
        </w:rPr>
      </w:pPr>
      <w:r>
        <w:rPr>
          <w:rFonts w:ascii="Arial" w:hAnsi="Arial" w:cs="Arial"/>
          <w:sz w:val="19"/>
          <w:szCs w:val="19"/>
          <w:lang w:val="es-CO"/>
        </w:rPr>
        <w:t>»[…]</w:t>
      </w:r>
    </w:p>
    <w:p w14:paraId="2A02F5B7" w14:textId="77777777" w:rsidR="00C00E78" w:rsidRDefault="00C00E78" w:rsidP="00C00E78">
      <w:pPr>
        <w:pStyle w:val="Textonotapie"/>
        <w:ind w:firstLine="708"/>
        <w:jc w:val="both"/>
        <w:rPr>
          <w:rFonts w:ascii="Arial" w:hAnsi="Arial" w:cs="Arial"/>
          <w:sz w:val="19"/>
          <w:szCs w:val="19"/>
          <w:lang w:val="es-CO"/>
        </w:rPr>
      </w:pPr>
      <w:r>
        <w:rPr>
          <w:rFonts w:ascii="Arial" w:hAnsi="Arial" w:cs="Arial"/>
          <w:sz w:val="19"/>
          <w:szCs w:val="19"/>
          <w:lang w:val="es-CO"/>
        </w:rPr>
        <w:t>»8. Absolver consultas sobre la aplicación de normas de carácter general».</w:t>
      </w:r>
    </w:p>
    <w:p w14:paraId="4E993111" w14:textId="77777777" w:rsidR="00C00E78" w:rsidRDefault="00C00E78" w:rsidP="00C00E78">
      <w:pPr>
        <w:pStyle w:val="Textonotapie"/>
        <w:ind w:firstLine="708"/>
        <w:jc w:val="both"/>
        <w:rPr>
          <w:rFonts w:ascii="Arial" w:hAnsi="Arial" w:cs="Arial"/>
          <w:sz w:val="19"/>
          <w:szCs w:val="19"/>
          <w:lang w:val="es-CO"/>
        </w:rPr>
      </w:pPr>
    </w:p>
  </w:footnote>
  <w:footnote w:id="15">
    <w:p w14:paraId="65FC2CDE" w14:textId="77777777" w:rsidR="00C00E78" w:rsidRDefault="00C00E78" w:rsidP="00C00E78">
      <w:pPr>
        <w:pStyle w:val="Textonotapie"/>
        <w:ind w:firstLine="708"/>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942EB"/>
    <w:rsid w:val="000B103F"/>
    <w:rsid w:val="000F14E8"/>
    <w:rsid w:val="00103915"/>
    <w:rsid w:val="00122B23"/>
    <w:rsid w:val="00137FFA"/>
    <w:rsid w:val="00234B84"/>
    <w:rsid w:val="00295699"/>
    <w:rsid w:val="003033BA"/>
    <w:rsid w:val="00337684"/>
    <w:rsid w:val="0034680A"/>
    <w:rsid w:val="00386456"/>
    <w:rsid w:val="003A581E"/>
    <w:rsid w:val="00417276"/>
    <w:rsid w:val="004422D6"/>
    <w:rsid w:val="004A34D2"/>
    <w:rsid w:val="0051074C"/>
    <w:rsid w:val="00513AF2"/>
    <w:rsid w:val="0054413A"/>
    <w:rsid w:val="005564CA"/>
    <w:rsid w:val="005A79FE"/>
    <w:rsid w:val="00655371"/>
    <w:rsid w:val="00697665"/>
    <w:rsid w:val="006A7FD0"/>
    <w:rsid w:val="006D7687"/>
    <w:rsid w:val="006E0572"/>
    <w:rsid w:val="00705631"/>
    <w:rsid w:val="00742DD2"/>
    <w:rsid w:val="0075647A"/>
    <w:rsid w:val="007634AD"/>
    <w:rsid w:val="0078122E"/>
    <w:rsid w:val="007B0854"/>
    <w:rsid w:val="007C617D"/>
    <w:rsid w:val="007F72CB"/>
    <w:rsid w:val="0083119B"/>
    <w:rsid w:val="00836EAB"/>
    <w:rsid w:val="0085092D"/>
    <w:rsid w:val="008E1C15"/>
    <w:rsid w:val="009047C5"/>
    <w:rsid w:val="0095385A"/>
    <w:rsid w:val="00A24560"/>
    <w:rsid w:val="00A34538"/>
    <w:rsid w:val="00AA442B"/>
    <w:rsid w:val="00B22E22"/>
    <w:rsid w:val="00B525CB"/>
    <w:rsid w:val="00B63CB2"/>
    <w:rsid w:val="00BD78FE"/>
    <w:rsid w:val="00C00E78"/>
    <w:rsid w:val="00CA287E"/>
    <w:rsid w:val="00CC00CD"/>
    <w:rsid w:val="00D16E39"/>
    <w:rsid w:val="00D72E9D"/>
    <w:rsid w:val="00D82CE5"/>
    <w:rsid w:val="00DA5AB1"/>
    <w:rsid w:val="00DC62E5"/>
    <w:rsid w:val="00DD735D"/>
    <w:rsid w:val="00DE3119"/>
    <w:rsid w:val="00DF236B"/>
    <w:rsid w:val="00E13AB8"/>
    <w:rsid w:val="00E33B62"/>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semiHidden/>
    <w:locked/>
    <w:rsid w:val="00C00E7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0446642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89E3-84EC-43AD-8186-C0C426B23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11B922-8D5D-4452-8A48-306731293B9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14</Pages>
  <Words>4490</Words>
  <Characters>24696</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Cindy Natalia Sierra Benítez</cp:lastModifiedBy>
  <cp:revision>2</cp:revision>
  <dcterms:created xsi:type="dcterms:W3CDTF">2020-12-09T15:33:00Z</dcterms:created>
  <dcterms:modified xsi:type="dcterms:W3CDTF">2020-12-09T15:33:00Z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