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1EB42" w14:textId="77777777" w:rsidR="007A5381" w:rsidRPr="001B3C5D" w:rsidRDefault="007A5381" w:rsidP="007A5381">
      <w:pPr>
        <w:spacing w:after="0" w:line="240" w:lineRule="auto"/>
        <w:jc w:val="both"/>
        <w:rPr>
          <w:rFonts w:ascii="Verdana" w:eastAsia="Calibri" w:hAnsi="Verdana" w:cs="Arial"/>
          <w:b/>
          <w:bCs/>
          <w:lang w:val="es-ES_tradnl"/>
        </w:rPr>
      </w:pPr>
      <w:r w:rsidRPr="001B3C5D">
        <w:rPr>
          <w:rFonts w:ascii="Verdana" w:eastAsia="Calibri" w:hAnsi="Verdana" w:cs="Arial"/>
          <w:b/>
          <w:bCs/>
          <w:lang w:val="es-ES_tradnl"/>
        </w:rPr>
        <w:t xml:space="preserve">DOCUMENTOS TIPO – Fundamento normativo – Obligatoriedad </w:t>
      </w:r>
    </w:p>
    <w:p w14:paraId="747B11E0" w14:textId="77777777" w:rsidR="007A5381" w:rsidRPr="001B3C5D" w:rsidRDefault="007A5381" w:rsidP="007A5381">
      <w:pPr>
        <w:spacing w:after="0" w:line="240" w:lineRule="auto"/>
        <w:jc w:val="both"/>
        <w:rPr>
          <w:rFonts w:ascii="Verdana" w:eastAsia="Calibri" w:hAnsi="Verdana" w:cs="Arial"/>
          <w:b/>
          <w:bCs/>
          <w:sz w:val="20"/>
          <w:szCs w:val="20"/>
          <w:lang w:val="es-ES_tradnl"/>
        </w:rPr>
      </w:pPr>
    </w:p>
    <w:p w14:paraId="3069A27B" w14:textId="77777777" w:rsidR="007A5381" w:rsidRPr="001B3C5D" w:rsidRDefault="007A5381" w:rsidP="007A5381">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5F8B15EF" w14:textId="77777777" w:rsidR="007A5381" w:rsidRPr="001B3C5D" w:rsidRDefault="007A5381" w:rsidP="007A5381">
      <w:pPr>
        <w:spacing w:after="0" w:line="240" w:lineRule="auto"/>
        <w:jc w:val="both"/>
        <w:rPr>
          <w:rFonts w:ascii="Verdana" w:eastAsia="Aptos" w:hAnsi="Verdana" w:cs="Times New Roman"/>
          <w:kern w:val="2"/>
          <w:sz w:val="20"/>
          <w:szCs w:val="20"/>
          <w:lang w:val="es-MX"/>
          <w14:ligatures w14:val="standardContextual"/>
        </w:rPr>
      </w:pPr>
    </w:p>
    <w:p w14:paraId="75D55613" w14:textId="77777777" w:rsidR="007A5381" w:rsidRPr="001B3C5D" w:rsidRDefault="007A5381" w:rsidP="007A5381">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w:t>
      </w:r>
    </w:p>
    <w:p w14:paraId="14541875" w14:textId="77777777" w:rsidR="007A5381" w:rsidRPr="001B3C5D" w:rsidRDefault="007A5381" w:rsidP="007A5381">
      <w:pPr>
        <w:spacing w:after="0" w:line="240" w:lineRule="auto"/>
        <w:jc w:val="both"/>
        <w:rPr>
          <w:rFonts w:ascii="Verdana" w:eastAsia="Calibri" w:hAnsi="Verdana" w:cs="Arial"/>
          <w:b/>
          <w:bCs/>
          <w:sz w:val="20"/>
          <w:szCs w:val="20"/>
          <w:lang w:val="es-ES_tradnl"/>
        </w:rPr>
      </w:pPr>
    </w:p>
    <w:p w14:paraId="793AF639" w14:textId="77777777" w:rsidR="007A5381" w:rsidRPr="001B3C5D" w:rsidRDefault="007A5381" w:rsidP="007A5381">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Aptos" w:hAnsi="Verdana" w:cs="Times New Roman"/>
          <w:kern w:val="2"/>
          <w:sz w:val="20"/>
          <w:szCs w:val="20"/>
          <w:lang w:val="es-ES"/>
          <w14:ligatures w14:val="standardContextual"/>
        </w:rPr>
        <w:t xml:space="preserve">La norma </w:t>
      </w:r>
      <w:r w:rsidRPr="001B3C5D">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604F1F9" w14:textId="77777777" w:rsidR="007A5381" w:rsidRPr="001B3C5D" w:rsidRDefault="007A5381" w:rsidP="007A5381">
      <w:pPr>
        <w:spacing w:after="0" w:line="240" w:lineRule="auto"/>
        <w:jc w:val="both"/>
        <w:rPr>
          <w:rFonts w:ascii="Aptos" w:eastAsia="Aptos" w:hAnsi="Aptos" w:cs="Times New Roman"/>
          <w:sz w:val="20"/>
          <w:szCs w:val="20"/>
          <w:lang w:val="es-MX"/>
        </w:rPr>
      </w:pPr>
    </w:p>
    <w:p w14:paraId="66C3D4AA" w14:textId="77777777" w:rsidR="007A5381" w:rsidRPr="001B3C5D" w:rsidRDefault="007A5381" w:rsidP="007A5381">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DOCUMENTOS TIPO – Adopción – Implementación</w:t>
      </w:r>
    </w:p>
    <w:p w14:paraId="01C27D97" w14:textId="77777777" w:rsidR="007A5381" w:rsidRPr="001B3C5D" w:rsidRDefault="007A5381" w:rsidP="007A5381">
      <w:pPr>
        <w:spacing w:after="0" w:line="240" w:lineRule="auto"/>
        <w:jc w:val="both"/>
        <w:rPr>
          <w:rFonts w:ascii="Verdana" w:eastAsia="Calibri" w:hAnsi="Verdana" w:cs="Arial"/>
          <w:color w:val="000000"/>
          <w:kern w:val="2"/>
          <w:sz w:val="20"/>
          <w:szCs w:val="20"/>
          <w:lang w:val="es-MX"/>
          <w14:ligatures w14:val="standardContextual"/>
        </w:rPr>
      </w:pPr>
    </w:p>
    <w:p w14:paraId="1D58B8B0" w14:textId="77777777" w:rsidR="007A5381" w:rsidRPr="001B3C5D" w:rsidRDefault="007A5381" w:rsidP="007A5381">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6FB1FF92" w14:textId="77777777" w:rsidR="007A5381" w:rsidRPr="001B3C5D" w:rsidRDefault="007A5381" w:rsidP="007A5381">
      <w:pPr>
        <w:spacing w:after="0" w:line="240" w:lineRule="auto"/>
        <w:jc w:val="both"/>
        <w:rPr>
          <w:rFonts w:ascii="Verdana" w:eastAsia="Calibri" w:hAnsi="Verdana" w:cs="Arial"/>
          <w:color w:val="000000"/>
          <w:sz w:val="20"/>
          <w:szCs w:val="20"/>
          <w:lang w:val="es-MX"/>
        </w:rPr>
      </w:pPr>
    </w:p>
    <w:p w14:paraId="1AA66766" w14:textId="77777777" w:rsidR="007A5381" w:rsidRPr="001B3C5D" w:rsidRDefault="007A5381" w:rsidP="007A5381">
      <w:pPr>
        <w:spacing w:after="0" w:line="240" w:lineRule="auto"/>
        <w:jc w:val="both"/>
        <w:rPr>
          <w:rFonts w:ascii="Verdana" w:eastAsia="Calibri" w:hAnsi="Verdana" w:cs="Arial"/>
          <w:b/>
          <w:bCs/>
          <w:kern w:val="2"/>
          <w:lang w:val="es-ES_tradnl"/>
          <w14:ligatures w14:val="standardContextual"/>
        </w:rPr>
      </w:pPr>
      <w:r w:rsidRPr="001B3C5D">
        <w:rPr>
          <w:rFonts w:ascii="Verdana" w:eastAsia="Calibri" w:hAnsi="Verdana" w:cs="Arial"/>
          <w:b/>
          <w:bCs/>
          <w:lang w:val="es-ES_tradnl"/>
        </w:rPr>
        <w:t>DOCUMENTOS TIPO – Sectores – Vigentes</w:t>
      </w:r>
    </w:p>
    <w:p w14:paraId="7CD96222" w14:textId="77777777" w:rsidR="007A5381" w:rsidRPr="001B3C5D" w:rsidRDefault="007A5381" w:rsidP="007A5381">
      <w:pPr>
        <w:spacing w:after="0" w:line="276" w:lineRule="auto"/>
        <w:jc w:val="both"/>
        <w:rPr>
          <w:rFonts w:ascii="Verdana" w:eastAsia="Calibri" w:hAnsi="Verdana" w:cs="Arial"/>
          <w:b/>
          <w:bCs/>
          <w:color w:val="000000"/>
          <w:lang w:eastAsia="es-ES_tradnl"/>
        </w:rPr>
      </w:pPr>
    </w:p>
    <w:p w14:paraId="3A96A764" w14:textId="77777777" w:rsidR="007A5381" w:rsidRPr="001B3C5D" w:rsidRDefault="007A5381" w:rsidP="007A5381">
      <w:pPr>
        <w:tabs>
          <w:tab w:val="left" w:pos="709"/>
        </w:tabs>
        <w:spacing w:after="0" w:line="240" w:lineRule="auto"/>
        <w:jc w:val="both"/>
        <w:rPr>
          <w:rFonts w:ascii="Verdana" w:eastAsia="Calibri" w:hAnsi="Verdana" w:cs="Arial"/>
          <w:sz w:val="20"/>
          <w:szCs w:val="20"/>
          <w:lang w:val="es-ES"/>
        </w:rPr>
      </w:pPr>
      <w:r w:rsidRPr="001B3C5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0A076AD" w14:textId="77777777" w:rsidR="007A5381" w:rsidRPr="001B3C5D" w:rsidRDefault="007A5381" w:rsidP="007A5381">
      <w:pPr>
        <w:spacing w:after="0" w:line="276" w:lineRule="auto"/>
        <w:jc w:val="both"/>
        <w:rPr>
          <w:rFonts w:ascii="Verdana" w:eastAsia="Calibri" w:hAnsi="Verdana" w:cs="Arial"/>
          <w:color w:val="000000"/>
          <w:kern w:val="2"/>
          <w:sz w:val="20"/>
          <w:szCs w:val="20"/>
          <w:lang w:val="es-MX"/>
          <w14:ligatures w14:val="standardContextual"/>
        </w:rPr>
      </w:pPr>
    </w:p>
    <w:p w14:paraId="66F5B266" w14:textId="77777777" w:rsidR="007A5381" w:rsidRPr="001B3C5D" w:rsidRDefault="007A5381" w:rsidP="007A5381">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 xml:space="preserve">DOCUMENTOS TIPO – Colombia Compra Eficiente – Facultad de estandarización </w:t>
      </w:r>
    </w:p>
    <w:p w14:paraId="7AC9CDF0" w14:textId="77777777" w:rsidR="007A5381" w:rsidRPr="001B3C5D" w:rsidRDefault="007A5381" w:rsidP="007A5381">
      <w:pPr>
        <w:spacing w:after="0" w:line="276" w:lineRule="auto"/>
        <w:jc w:val="both"/>
        <w:rPr>
          <w:rFonts w:ascii="Verdana" w:eastAsia="Calibri" w:hAnsi="Verdana" w:cs="Arial"/>
          <w:b/>
          <w:bCs/>
          <w:kern w:val="2"/>
          <w:sz w:val="24"/>
          <w:szCs w:val="24"/>
          <w:lang w:val="es-ES_tradnl"/>
          <w14:ligatures w14:val="standardContextual"/>
        </w:rPr>
      </w:pPr>
    </w:p>
    <w:p w14:paraId="2AEE7D0E" w14:textId="77777777" w:rsidR="007A5381" w:rsidRPr="001B3C5D" w:rsidRDefault="007A5381" w:rsidP="007A5381">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Times New Roman" w:hAnsi="Verdana" w:cs="Arial"/>
          <w:kern w:val="2"/>
          <w:sz w:val="20"/>
          <w:szCs w:val="20"/>
          <w:lang w:eastAsia="es-ES"/>
          <w14:ligatures w14:val="standardContextual"/>
        </w:rPr>
        <w:t>Conforme con lo anterior, m</w:t>
      </w:r>
      <w:r w:rsidRPr="001B3C5D">
        <w:rPr>
          <w:rFonts w:ascii="Verdana" w:eastAsia="Times New Roman" w:hAnsi="Verdana" w:cs="Arial"/>
          <w:sz w:val="20"/>
          <w:szCs w:val="20"/>
          <w:lang w:eastAsia="es-ES"/>
        </w:rPr>
        <w:t xml:space="preserve">ediante una interpretación sistemática de la normativa y jurisprudencia citada es posible concluir que </w:t>
      </w:r>
      <w:r w:rsidRPr="001B3C5D">
        <w:rPr>
          <w:rFonts w:ascii="Verdana" w:eastAsia="Times New Roman" w:hAnsi="Verdana" w:cs="Arial"/>
          <w:kern w:val="2"/>
          <w:sz w:val="20"/>
          <w:szCs w:val="20"/>
          <w:lang w:eastAsia="es-ES"/>
          <w14:ligatures w14:val="standardContextual"/>
        </w:rPr>
        <w:t>la</w:t>
      </w:r>
      <w:r w:rsidRPr="001B3C5D">
        <w:rPr>
          <w:rFonts w:ascii="Verdana" w:eastAsia="Times New Roman" w:hAnsi="Verdana" w:cs="Arial"/>
          <w:sz w:val="20"/>
          <w:szCs w:val="20"/>
          <w:lang w:eastAsia="es-ES"/>
        </w:rPr>
        <w:t xml:space="preserve"> Agencia</w:t>
      </w:r>
      <w:r w:rsidRPr="001B3C5D">
        <w:rPr>
          <w:rFonts w:ascii="Verdana" w:eastAsia="Times New Roman" w:hAnsi="Verdana" w:cs="Arial"/>
          <w:kern w:val="2"/>
          <w:sz w:val="20"/>
          <w:szCs w:val="20"/>
          <w:lang w:eastAsia="es-ES"/>
          <w14:ligatures w14:val="standardContextual"/>
        </w:rPr>
        <w:t xml:space="preserve"> Nacional de Contratación Pública – Colombia Compra Eficiente</w:t>
      </w:r>
      <w:r w:rsidRPr="001B3C5D">
        <w:rPr>
          <w:rFonts w:ascii="Verdana" w:eastAsia="Times New Roman" w:hAnsi="Verdana" w:cs="Arial"/>
          <w:sz w:val="20"/>
          <w:szCs w:val="20"/>
          <w:lang w:eastAsia="es-ES"/>
        </w:rPr>
        <w:t xml:space="preserve"> tiene facultad de regulación de la actividad contractual </w:t>
      </w:r>
      <w:r w:rsidRPr="001B3C5D">
        <w:rPr>
          <w:rFonts w:ascii="Verdana" w:eastAsia="Times New Roman" w:hAnsi="Verdana" w:cs="Arial"/>
          <w:sz w:val="20"/>
          <w:szCs w:val="20"/>
          <w:lang w:eastAsia="es-ES"/>
        </w:rPr>
        <w:lastRenderedPageBreak/>
        <w:t xml:space="preserve">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1A404826" w14:textId="77777777" w:rsidR="007A5381" w:rsidRPr="001B3C5D" w:rsidRDefault="007A5381" w:rsidP="007A5381">
      <w:pPr>
        <w:tabs>
          <w:tab w:val="center" w:pos="4419"/>
          <w:tab w:val="right" w:pos="8838"/>
        </w:tabs>
        <w:spacing w:after="0" w:line="240" w:lineRule="auto"/>
        <w:jc w:val="both"/>
        <w:rPr>
          <w:rFonts w:ascii="Verdana" w:eastAsia="MS Mincho" w:hAnsi="Verdana" w:cs="Arial"/>
          <w:sz w:val="20"/>
          <w:szCs w:val="20"/>
          <w:lang w:eastAsia="es-CO"/>
        </w:rPr>
      </w:pPr>
    </w:p>
    <w:p w14:paraId="2F1C86EA" w14:textId="77777777" w:rsidR="007A5381" w:rsidRPr="001B3C5D" w:rsidRDefault="007A5381" w:rsidP="007A5381">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MS Mincho" w:hAnsi="Verdana" w:cs="Arial"/>
          <w:sz w:val="20"/>
          <w:szCs w:val="20"/>
          <w:lang w:eastAsia="es-CO"/>
        </w:rPr>
        <w:t>I</w:t>
      </w:r>
      <w:r w:rsidRPr="001B3C5D">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74707FD1" w14:textId="77777777" w:rsidR="007A5381" w:rsidRPr="001B3C5D" w:rsidRDefault="007A5381" w:rsidP="007A5381">
      <w:pPr>
        <w:spacing w:after="0" w:line="276" w:lineRule="auto"/>
        <w:jc w:val="both"/>
        <w:rPr>
          <w:rFonts w:ascii="Verdana" w:eastAsia="Calibri" w:hAnsi="Verdana" w:cs="Arial"/>
          <w:b/>
          <w:bCs/>
          <w:highlight w:val="yellow"/>
          <w:lang w:val="es-ES_tradnl"/>
        </w:rPr>
      </w:pPr>
    </w:p>
    <w:p w14:paraId="1AE479B4" w14:textId="77777777" w:rsidR="007A5381" w:rsidRPr="001B3C5D" w:rsidRDefault="007A5381" w:rsidP="007A5381">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DOCUMENTOS TIPO – Inalterabilidad – Alcance</w:t>
      </w:r>
    </w:p>
    <w:p w14:paraId="4A1D9CC5" w14:textId="77777777" w:rsidR="007A5381" w:rsidRPr="001B3C5D" w:rsidRDefault="007A5381" w:rsidP="007A5381">
      <w:pPr>
        <w:spacing w:after="0" w:line="240" w:lineRule="auto"/>
        <w:rPr>
          <w:rFonts w:ascii="Verdana" w:eastAsia="Calibri" w:hAnsi="Verdana" w:cs="Times New Roman"/>
          <w:b/>
          <w:bCs/>
          <w:lang w:val="es-ES"/>
        </w:rPr>
      </w:pPr>
    </w:p>
    <w:p w14:paraId="6D141C1D" w14:textId="77777777" w:rsidR="007A5381" w:rsidRPr="001B3C5D" w:rsidRDefault="007A5381" w:rsidP="007A5381">
      <w:pPr>
        <w:tabs>
          <w:tab w:val="center" w:pos="4419"/>
          <w:tab w:val="right" w:pos="8838"/>
        </w:tabs>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sz w:val="20"/>
          <w:szCs w:val="20"/>
          <w:lang w:val="es-ES"/>
        </w:rPr>
        <w:t>Documentos del Proceso</w:t>
      </w:r>
      <w:r w:rsidRPr="001B3C5D">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787699D" w14:textId="77777777" w:rsidR="007A5381" w:rsidRPr="001B3C5D" w:rsidRDefault="007A5381" w:rsidP="007A5381">
      <w:pPr>
        <w:tabs>
          <w:tab w:val="center" w:pos="4419"/>
          <w:tab w:val="right" w:pos="8838"/>
        </w:tabs>
        <w:spacing w:after="0" w:line="240" w:lineRule="auto"/>
        <w:jc w:val="both"/>
        <w:rPr>
          <w:rFonts w:ascii="Verdana" w:eastAsia="Calibri" w:hAnsi="Verdana" w:cs="Arial"/>
          <w:color w:val="000000"/>
          <w:sz w:val="20"/>
          <w:szCs w:val="20"/>
          <w:lang w:val="es-ES"/>
        </w:rPr>
      </w:pPr>
    </w:p>
    <w:p w14:paraId="60EB8739" w14:textId="77777777" w:rsidR="007A5381" w:rsidRPr="001B3C5D" w:rsidRDefault="007A5381" w:rsidP="007A5381">
      <w:pPr>
        <w:spacing w:after="0" w:line="240" w:lineRule="auto"/>
        <w:jc w:val="both"/>
        <w:rPr>
          <w:rFonts w:ascii="Verdana" w:eastAsia="Calibri" w:hAnsi="Verdana" w:cs="Arial"/>
          <w:sz w:val="20"/>
          <w:szCs w:val="20"/>
          <w:lang w:val="es-ES_tradnl"/>
        </w:rPr>
      </w:pPr>
      <w:r w:rsidRPr="001B3C5D">
        <w:rPr>
          <w:rFonts w:ascii="Verdana" w:eastAsia="Calibri" w:hAnsi="Verdana" w:cs="Arial"/>
          <w:sz w:val="20"/>
          <w:szCs w:val="20"/>
          <w:lang w:val="es-ES_tradnl"/>
        </w:rPr>
        <w:t>(…)</w:t>
      </w:r>
    </w:p>
    <w:p w14:paraId="46AF71B8" w14:textId="77777777" w:rsidR="007A5381" w:rsidRPr="001B3C5D" w:rsidRDefault="007A5381" w:rsidP="007A5381">
      <w:pPr>
        <w:spacing w:after="0" w:line="240" w:lineRule="auto"/>
        <w:jc w:val="both"/>
        <w:rPr>
          <w:rFonts w:ascii="Verdana" w:eastAsia="Calibri" w:hAnsi="Verdana" w:cs="Arial"/>
          <w:sz w:val="20"/>
          <w:szCs w:val="20"/>
          <w:lang w:val="es-ES_tradnl"/>
        </w:rPr>
      </w:pPr>
    </w:p>
    <w:p w14:paraId="53AA7BC8" w14:textId="77777777" w:rsidR="007A5381" w:rsidRPr="001B3C5D" w:rsidRDefault="007A5381" w:rsidP="007A538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4E5B7CA0" w14:textId="77777777" w:rsidR="007A5381" w:rsidRPr="001B3C5D" w:rsidRDefault="007A5381" w:rsidP="007A5381">
      <w:pPr>
        <w:spacing w:after="0" w:line="240" w:lineRule="auto"/>
        <w:jc w:val="both"/>
        <w:rPr>
          <w:rFonts w:ascii="Verdana" w:eastAsia="Calibri" w:hAnsi="Verdana" w:cs="Arial"/>
          <w:color w:val="000000"/>
          <w:sz w:val="20"/>
          <w:szCs w:val="20"/>
          <w:lang w:val="es-ES"/>
        </w:rPr>
      </w:pPr>
    </w:p>
    <w:p w14:paraId="26C8DF37" w14:textId="77777777" w:rsidR="007A5381" w:rsidRPr="001B3C5D" w:rsidRDefault="007A5381" w:rsidP="007A538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w:t>
      </w:r>
      <w:r w:rsidRPr="001B3C5D">
        <w:rPr>
          <w:rFonts w:ascii="Verdana" w:eastAsia="Calibri" w:hAnsi="Verdana" w:cs="Arial"/>
          <w:color w:val="000000"/>
          <w:sz w:val="20"/>
          <w:szCs w:val="20"/>
          <w:lang w:val="es-ES"/>
        </w:rPr>
        <w:lastRenderedPageBreak/>
        <w:t xml:space="preserve">ilimitadamente introducir ajustes, las entidades estatales podrían reintroducir los sesgos interpretativos incorrectos que se buscó erradicar con la introducción de la herramienta analizada. </w:t>
      </w:r>
    </w:p>
    <w:p w14:paraId="032819B3" w14:textId="77777777" w:rsidR="007A5381" w:rsidRPr="001B3C5D" w:rsidRDefault="007A5381" w:rsidP="007A5381">
      <w:pPr>
        <w:spacing w:after="0" w:line="240" w:lineRule="auto"/>
        <w:jc w:val="both"/>
        <w:rPr>
          <w:rFonts w:ascii="Verdana" w:eastAsia="Calibri" w:hAnsi="Verdana" w:cs="Arial"/>
          <w:color w:val="000000"/>
          <w:sz w:val="20"/>
          <w:szCs w:val="20"/>
          <w:lang w:val="es-ES"/>
        </w:rPr>
      </w:pPr>
    </w:p>
    <w:p w14:paraId="346E9DE7" w14:textId="77777777" w:rsidR="007A5381" w:rsidRPr="001B3C5D" w:rsidRDefault="007A5381" w:rsidP="007A538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w:t>
      </w:r>
    </w:p>
    <w:p w14:paraId="12AC7167" w14:textId="77777777" w:rsidR="007A5381" w:rsidRPr="001B3C5D" w:rsidRDefault="007A5381" w:rsidP="007A5381">
      <w:pPr>
        <w:spacing w:after="0" w:line="240" w:lineRule="auto"/>
        <w:jc w:val="both"/>
        <w:rPr>
          <w:rFonts w:ascii="Verdana" w:eastAsia="Calibri" w:hAnsi="Verdana" w:cs="Arial"/>
          <w:color w:val="000000"/>
          <w:sz w:val="20"/>
          <w:szCs w:val="20"/>
          <w:lang w:val="es-ES"/>
        </w:rPr>
      </w:pPr>
    </w:p>
    <w:p w14:paraId="7C8735A9" w14:textId="77777777" w:rsidR="007A5381" w:rsidRPr="001B3C5D" w:rsidRDefault="007A5381" w:rsidP="007A538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sz w:val="20"/>
          <w:szCs w:val="20"/>
        </w:rPr>
        <w:t>–[</w:t>
      </w:r>
      <w:r w:rsidRPr="001B3C5D">
        <w:rPr>
          <w:rFonts w:ascii="Verdana" w:eastAsia="Aptos" w:hAnsi="Verdana" w:cs="Arial"/>
          <w:sz w:val="20"/>
          <w:szCs w:val="20"/>
          <w:highlight w:val="lightGray"/>
        </w:rPr>
        <w:t>texto de ejemplo</w:t>
      </w:r>
      <w:r w:rsidRPr="001B3C5D">
        <w:rPr>
          <w:rFonts w:ascii="Verdana" w:eastAsia="Aptos" w:hAnsi="Verdana" w:cs="Arial"/>
          <w:sz w:val="20"/>
          <w:szCs w:val="20"/>
        </w:rPr>
        <w:t xml:space="preserve">]– </w:t>
      </w:r>
      <w:r w:rsidRPr="001B3C5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A228BE7" w14:textId="77777777" w:rsidR="007A5381" w:rsidRPr="001B3C5D" w:rsidRDefault="007A5381" w:rsidP="007A5381">
      <w:pPr>
        <w:spacing w:after="0" w:line="240" w:lineRule="auto"/>
        <w:rPr>
          <w:rFonts w:ascii="Verdana" w:eastAsia="Calibri" w:hAnsi="Verdana" w:cs="Times New Roman"/>
          <w:b/>
          <w:bCs/>
          <w:lang w:val="es-ES"/>
        </w:rPr>
      </w:pPr>
    </w:p>
    <w:p w14:paraId="4A5E1255" w14:textId="77777777" w:rsidR="007A5381" w:rsidRPr="001B3C5D" w:rsidRDefault="007A5381" w:rsidP="007A5381">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DECRETO 287 DE 2026 – Incidencia – Documentos tipo</w:t>
      </w:r>
    </w:p>
    <w:p w14:paraId="15F2128F" w14:textId="77777777" w:rsidR="007A5381" w:rsidRPr="001B3C5D" w:rsidRDefault="007A5381" w:rsidP="007A5381">
      <w:pPr>
        <w:spacing w:after="0" w:line="240" w:lineRule="auto"/>
        <w:rPr>
          <w:rFonts w:ascii="Verdana" w:eastAsia="Calibri" w:hAnsi="Verdana" w:cs="Times New Roman"/>
          <w:b/>
          <w:bCs/>
          <w:lang w:val="es-ES"/>
        </w:rPr>
      </w:pPr>
    </w:p>
    <w:p w14:paraId="02BEBCF6"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6A63E801"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5C868E0" w14:textId="77777777" w:rsidR="007A5381" w:rsidRPr="001B3C5D" w:rsidRDefault="007A5381" w:rsidP="007A5381">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Selección abreviada de menor cuantía – Concurso de méritos – Requisitos habilitantes</w:t>
      </w:r>
    </w:p>
    <w:p w14:paraId="446C232E"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38E7255"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0AC4D976"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CD72848" w14:textId="77777777" w:rsidR="007A5381" w:rsidRPr="001B3C5D" w:rsidRDefault="007A5381" w:rsidP="007A5381">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Concurso de méritos – Factores de evaluación</w:t>
      </w:r>
    </w:p>
    <w:p w14:paraId="253136A3"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6C09D4F1"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03B1790"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603CC74" w14:textId="77777777" w:rsidR="007A5381" w:rsidRPr="001B3C5D" w:rsidRDefault="007A5381" w:rsidP="007A538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DECRETO 287 DE 2026 – Documentos tipo – Ejecución contractual </w:t>
      </w:r>
    </w:p>
    <w:p w14:paraId="5AC72926"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5827AB0"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19A96A49"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35F3CC7"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47AB51FE"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27563DA" w14:textId="77777777" w:rsidR="007A5381" w:rsidRPr="001B3C5D" w:rsidRDefault="007A5381" w:rsidP="007A538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w:t>
      </w:r>
    </w:p>
    <w:p w14:paraId="3C846F39"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FABAD0E"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381AD9A3"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91C1D1A"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lastRenderedPageBreak/>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469554F2"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9E8B455"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w:t>
      </w:r>
    </w:p>
    <w:p w14:paraId="1F5B1AB7"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51C9F4C"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3617DEA8"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CC5A7C6"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5C2417A"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856CA67" w14:textId="77777777" w:rsidR="007A5381" w:rsidRPr="001B3C5D" w:rsidRDefault="007A5381" w:rsidP="007A538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 Necesidad de modificación – Agencia Nacional de Contratación Pública </w:t>
      </w:r>
    </w:p>
    <w:p w14:paraId="549F862B"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6EAF4AB"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7EB8FDD0"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9EE0F86"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w:t>
      </w:r>
      <w:r w:rsidRPr="001B3C5D">
        <w:rPr>
          <w:rFonts w:ascii="Verdana" w:eastAsia="Aptos" w:hAnsi="Verdana" w:cs="Times New Roman"/>
          <w:kern w:val="2"/>
          <w:sz w:val="20"/>
          <w:szCs w:val="20"/>
          <w14:ligatures w14:val="standardContextual"/>
        </w:rPr>
        <w:lastRenderedPageBreak/>
        <w:t xml:space="preserve">Ley 2022 de 2020, garantizando así la coherencia del sistema, el respeto por la jerarquía normativa y la efectividad de las medidas orientadas a la inclusión de las personas con discapacidad en el sistema de compras y contratación pública. </w:t>
      </w:r>
    </w:p>
    <w:p w14:paraId="5CD63E00"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2157A4A" w14:textId="77777777" w:rsidR="007A5381" w:rsidRPr="001B3C5D" w:rsidRDefault="007A5381" w:rsidP="007A538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DOCUMENTOS TIPO – Decreto 287 de 2026 – Modificación – Colombia Compra Eficiente</w:t>
      </w:r>
    </w:p>
    <w:p w14:paraId="2D013F20"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3DF8B17"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1E7AA60"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F80077B" w14:textId="77777777" w:rsidR="007A5381" w:rsidRPr="001B3C5D" w:rsidRDefault="007A5381" w:rsidP="007A538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4A345C94"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36CDAB8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77AE0F19"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6B1275B"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0DD707F"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753F349A"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2C5829B"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21B69100"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43CF61A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75A613D7"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A2DA0D7"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0A1F8A89"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69B8B0B"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E864662"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DDA385D"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3CC37E14"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6F6D02F"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735E8A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79E0336"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3FB5ABEF"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6C23B0C2"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482AA94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56192AB"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62D221C9" w14:textId="7FEE578D" w:rsidR="001B064E" w:rsidRPr="00777292" w:rsidRDefault="00381C94" w:rsidP="001B064E">
      <w:pPr>
        <w:spacing w:after="0"/>
        <w:rPr>
          <w:rFonts w:ascii="Verdana" w:hAnsi="Verdana"/>
          <w:lang w:val="es-ES_tradnl"/>
        </w:rPr>
      </w:pPr>
      <w:r w:rsidRPr="00381C94">
        <w:rPr>
          <w:rFonts w:ascii="Verdana" w:eastAsia="Calibri" w:hAnsi="Verdana" w:cs="Arial"/>
          <w:noProof/>
          <w:lang w:val="es-ES" w:eastAsia="es-ES"/>
        </w:rPr>
        <w:lastRenderedPageBreak/>
        <w:drawing>
          <wp:anchor distT="0" distB="0" distL="114300" distR="114300" simplePos="0" relativeHeight="251658240" behindDoc="1" locked="0" layoutInCell="1" allowOverlap="1" wp14:anchorId="54474728" wp14:editId="3EBA8BE0">
            <wp:simplePos x="0" y="0"/>
            <wp:positionH relativeFrom="column">
              <wp:posOffset>3881120</wp:posOffset>
            </wp:positionH>
            <wp:positionV relativeFrom="paragraph">
              <wp:posOffset>1270</wp:posOffset>
            </wp:positionV>
            <wp:extent cx="2049145" cy="699135"/>
            <wp:effectExtent l="0" t="0" r="8255" b="5715"/>
            <wp:wrapSquare wrapText="bothSides"/>
            <wp:docPr id="3442749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74987"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9145" cy="699135"/>
                    </a:xfrm>
                    <a:prstGeom prst="rect">
                      <a:avLst/>
                    </a:prstGeom>
                  </pic:spPr>
                </pic:pic>
              </a:graphicData>
            </a:graphic>
            <wp14:sizeRelH relativeFrom="page">
              <wp14:pctWidth>0</wp14:pctWidth>
            </wp14:sizeRelH>
            <wp14:sizeRelV relativeFrom="page">
              <wp14:pctHeight>0</wp14:pctHeight>
            </wp14:sizeRelV>
          </wp:anchor>
        </w:drawing>
      </w:r>
      <w:r w:rsidRPr="00381C94">
        <w:t xml:space="preserve"> </w:t>
      </w:r>
      <w:r w:rsidRPr="00381C94">
        <w:rPr>
          <w:rFonts w:ascii="Verdana" w:hAnsi="Verdana"/>
        </w:rPr>
        <w:t xml:space="preserve">Bogotá D.C., 18 de </w:t>
      </w:r>
      <w:r w:rsidR="008D276D" w:rsidRPr="00381C94">
        <w:rPr>
          <w:rFonts w:ascii="Verdana" w:hAnsi="Verdana"/>
        </w:rPr>
        <w:t>mayo</w:t>
      </w:r>
      <w:r w:rsidRPr="00381C94">
        <w:rPr>
          <w:rFonts w:ascii="Verdana" w:hAnsi="Verdana"/>
        </w:rPr>
        <w:t xml:space="preserve"> de 2026</w:t>
      </w:r>
    </w:p>
    <w:p w14:paraId="5DF4E0A1" w14:textId="73577437" w:rsidR="008D5774" w:rsidRPr="00777292" w:rsidRDefault="008D5774" w:rsidP="008D5774">
      <w:pPr>
        <w:spacing w:after="0"/>
        <w:rPr>
          <w:rFonts w:ascii="Verdana" w:hAnsi="Verdana"/>
          <w:lang w:val="es-ES_tradnl"/>
        </w:rPr>
      </w:pPr>
    </w:p>
    <w:p w14:paraId="59B80F8E" w14:textId="71CAD7AB" w:rsidR="00512CFA" w:rsidRPr="00777292" w:rsidRDefault="00512CFA" w:rsidP="00512CFA">
      <w:pPr>
        <w:spacing w:after="0" w:line="240" w:lineRule="auto"/>
        <w:rPr>
          <w:rFonts w:ascii="Verdana" w:hAnsi="Verdana"/>
          <w:lang w:val="es-ES"/>
        </w:rPr>
      </w:pPr>
      <w:bookmarkStart w:id="0" w:name="_Hlk143780582"/>
      <w:r w:rsidRPr="00777292">
        <w:rPr>
          <w:rFonts w:ascii="Verdana" w:eastAsia="Calibri" w:hAnsi="Verdana" w:cs="Arial"/>
          <w:lang w:val="es-ES" w:eastAsia="es-ES"/>
        </w:rPr>
        <w:t>Señor</w:t>
      </w:r>
      <w:r w:rsidR="0000401F">
        <w:rPr>
          <w:rFonts w:ascii="Verdana" w:eastAsia="Calibri" w:hAnsi="Verdana" w:cs="Arial"/>
          <w:lang w:val="es-ES" w:eastAsia="es-ES"/>
        </w:rPr>
        <w:t>a</w:t>
      </w:r>
      <w:r w:rsidR="00381C94" w:rsidRPr="00381C94">
        <w:rPr>
          <w:noProof/>
        </w:rPr>
        <w:t xml:space="preserve"> </w:t>
      </w:r>
    </w:p>
    <w:p w14:paraId="05399148" w14:textId="447460E8" w:rsidR="00512CFA" w:rsidRPr="006B694D" w:rsidRDefault="0000401F" w:rsidP="00512CFA">
      <w:pPr>
        <w:spacing w:after="0"/>
        <w:rPr>
          <w:rFonts w:ascii="Verdana" w:eastAsia="Calibri" w:hAnsi="Verdana" w:cs="Arial"/>
          <w:b/>
          <w:bCs/>
          <w:lang w:val="es-ES" w:eastAsia="es-ES"/>
        </w:rPr>
      </w:pPr>
      <w:r>
        <w:rPr>
          <w:rFonts w:ascii="Verdana" w:eastAsia="Calibri" w:hAnsi="Verdana" w:cs="Arial"/>
          <w:b/>
          <w:bCs/>
          <w:lang w:val="es-ES" w:eastAsia="es-ES"/>
        </w:rPr>
        <w:t>Eliana Marcela Martínez Galvis</w:t>
      </w:r>
    </w:p>
    <w:p w14:paraId="5B424863" w14:textId="4082C877" w:rsidR="00646E7C" w:rsidRDefault="0000401F" w:rsidP="00512CFA">
      <w:pPr>
        <w:spacing w:after="0"/>
        <w:rPr>
          <w:rFonts w:ascii="Verdana" w:hAnsi="Verdana"/>
        </w:rPr>
      </w:pPr>
      <w:r>
        <w:rPr>
          <w:rFonts w:ascii="Verdana" w:hAnsi="Verdana"/>
        </w:rPr>
        <w:t>Secprogramasyproyectps.comtratacion</w:t>
      </w:r>
      <w:r w:rsidR="00646E7C">
        <w:rPr>
          <w:rFonts w:ascii="Verdana" w:hAnsi="Verdana"/>
        </w:rPr>
        <w:t>@</w:t>
      </w:r>
      <w:r>
        <w:rPr>
          <w:rFonts w:ascii="Verdana" w:hAnsi="Verdana"/>
        </w:rPr>
        <w:t>nortedesantander.gov.co</w:t>
      </w:r>
    </w:p>
    <w:p w14:paraId="3964300C" w14:textId="4B9401FE" w:rsidR="00512CFA" w:rsidRDefault="0000401F" w:rsidP="00512CFA">
      <w:pPr>
        <w:spacing w:after="0"/>
        <w:rPr>
          <w:rFonts w:ascii="Verdana" w:eastAsia="Calibri" w:hAnsi="Verdana" w:cs="Arial"/>
          <w:lang w:eastAsia="es-ES"/>
        </w:rPr>
      </w:pPr>
      <w:r>
        <w:rPr>
          <w:rFonts w:ascii="Verdana" w:eastAsia="Calibri" w:hAnsi="Verdana" w:cs="Arial"/>
          <w:lang w:eastAsia="es-ES"/>
        </w:rPr>
        <w:t>Cúcuta</w:t>
      </w:r>
      <w:r w:rsidR="00512CFA">
        <w:rPr>
          <w:rFonts w:ascii="Verdana" w:eastAsia="Calibri" w:hAnsi="Verdana" w:cs="Arial"/>
          <w:lang w:eastAsia="es-ES"/>
        </w:rPr>
        <w:t xml:space="preserve">, </w:t>
      </w:r>
      <w:r>
        <w:rPr>
          <w:rFonts w:ascii="Verdana" w:eastAsia="Calibri" w:hAnsi="Verdana" w:cs="Arial"/>
          <w:lang w:eastAsia="es-ES"/>
        </w:rPr>
        <w:t>Norte de Santander</w:t>
      </w:r>
    </w:p>
    <w:p w14:paraId="14D65E58" w14:textId="77777777" w:rsidR="007A5381" w:rsidRPr="00777292" w:rsidRDefault="007A5381" w:rsidP="001B6C7C">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B6C7C" w:rsidRPr="00777292" w14:paraId="085D21A1" w14:textId="77777777">
        <w:trPr>
          <w:trHeight w:val="190"/>
        </w:trPr>
        <w:tc>
          <w:tcPr>
            <w:tcW w:w="2689" w:type="dxa"/>
          </w:tcPr>
          <w:p w14:paraId="2CE989D5" w14:textId="77777777" w:rsidR="001B6C7C" w:rsidRPr="00777292" w:rsidRDefault="001B6C7C">
            <w:pPr>
              <w:jc w:val="both"/>
              <w:rPr>
                <w:rFonts w:ascii="Verdana" w:eastAsia="Calibri" w:hAnsi="Verdana" w:cs="Arial"/>
                <w:b/>
                <w:bCs/>
                <w:lang w:eastAsia="es-ES_tradnl"/>
              </w:rPr>
            </w:pPr>
          </w:p>
        </w:tc>
        <w:tc>
          <w:tcPr>
            <w:tcW w:w="6100" w:type="dxa"/>
          </w:tcPr>
          <w:p w14:paraId="16596E46" w14:textId="68E456AF" w:rsidR="001B6C7C" w:rsidRPr="00777292" w:rsidRDefault="001B6C7C">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sidR="00646E7C">
              <w:rPr>
                <w:rFonts w:ascii="Verdana" w:eastAsia="Calibri" w:hAnsi="Verdana" w:cs="Arial"/>
                <w:b/>
                <w:bCs/>
                <w:lang w:eastAsia="es-ES"/>
              </w:rPr>
              <w:t>60</w:t>
            </w:r>
            <w:r w:rsidR="0000401F">
              <w:rPr>
                <w:rFonts w:ascii="Verdana" w:eastAsia="Calibri" w:hAnsi="Verdana" w:cs="Arial"/>
                <w:b/>
                <w:bCs/>
                <w:lang w:eastAsia="es-ES"/>
              </w:rPr>
              <w:t>7</w:t>
            </w:r>
            <w:r w:rsidRPr="00777292">
              <w:rPr>
                <w:rFonts w:ascii="Verdana" w:eastAsia="Calibri" w:hAnsi="Verdana" w:cs="Arial"/>
                <w:b/>
                <w:bCs/>
                <w:lang w:eastAsia="es-ES"/>
              </w:rPr>
              <w:t xml:space="preserve"> de 2026</w:t>
            </w:r>
          </w:p>
          <w:p w14:paraId="7FE82840" w14:textId="77777777" w:rsidR="001B6C7C" w:rsidRPr="00777292" w:rsidRDefault="001B6C7C">
            <w:pPr>
              <w:jc w:val="both"/>
              <w:rPr>
                <w:rFonts w:ascii="Verdana" w:eastAsia="Calibri" w:hAnsi="Verdana" w:cs="Arial"/>
                <w:b/>
                <w:bCs/>
                <w:lang w:eastAsia="es-ES"/>
              </w:rPr>
            </w:pPr>
          </w:p>
        </w:tc>
      </w:tr>
      <w:tr w:rsidR="001B6C7C" w:rsidRPr="00777292" w14:paraId="63A5AB9D" w14:textId="77777777">
        <w:trPr>
          <w:trHeight w:val="884"/>
        </w:trPr>
        <w:tc>
          <w:tcPr>
            <w:tcW w:w="2689" w:type="dxa"/>
          </w:tcPr>
          <w:p w14:paraId="77DFD30F" w14:textId="77777777" w:rsidR="001B6C7C" w:rsidRPr="00777292" w:rsidRDefault="001B6C7C" w:rsidP="001B6C7C">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109EE18A" w14:textId="77777777" w:rsidR="007A5381" w:rsidRPr="001B3C5D" w:rsidRDefault="007A5381" w:rsidP="007A5381">
            <w:pPr>
              <w:widowControl w:val="0"/>
              <w:autoSpaceDE w:val="0"/>
              <w:autoSpaceDN w:val="0"/>
              <w:jc w:val="both"/>
              <w:rPr>
                <w:rFonts w:ascii="Verdana" w:eastAsia="Calibri" w:hAnsi="Verdana" w:cs="Times New Roman"/>
                <w:lang w:val="es-ES"/>
              </w:rPr>
            </w:pPr>
            <w:r w:rsidRPr="001B3C5D">
              <w:rPr>
                <w:rFonts w:ascii="Verdana" w:eastAsia="Calibri" w:hAnsi="Verdana" w:cs="Arial"/>
                <w:lang w:val="es-ES_tradnl"/>
              </w:rPr>
              <w:t xml:space="preserve">DOCUMENTOS TIPO – Fundamento normativo – Obligatoriedad / DOCUMENTOS TIPO – Adopción – Implementación / DOCUMENTOS TIPO – Sectores – Vigentes / DOCUMENTOS TIPO – Colombia Compra Eficiente – Facultad de estandarización / </w:t>
            </w:r>
            <w:r w:rsidRPr="001B3C5D">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34C0CDD8" w14:textId="0BEFBA74" w:rsidR="007A5381" w:rsidRPr="00777292" w:rsidRDefault="007A5381" w:rsidP="007A5381">
            <w:pPr>
              <w:contextualSpacing/>
              <w:jc w:val="both"/>
              <w:rPr>
                <w:rFonts w:ascii="Verdana" w:eastAsia="Calibri" w:hAnsi="Verdana" w:cs="Arial"/>
                <w:lang w:eastAsia="es-ES"/>
              </w:rPr>
            </w:pPr>
          </w:p>
        </w:tc>
      </w:tr>
      <w:tr w:rsidR="001B6C7C" w:rsidRPr="00777292" w14:paraId="18649ABC" w14:textId="77777777">
        <w:tc>
          <w:tcPr>
            <w:tcW w:w="2689" w:type="dxa"/>
          </w:tcPr>
          <w:p w14:paraId="65B57F33" w14:textId="77777777" w:rsidR="001B6C7C" w:rsidRPr="00777292" w:rsidRDefault="001B6C7C">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7EDDA735" w14:textId="45898D58" w:rsidR="001B6C7C" w:rsidRPr="00777292" w:rsidRDefault="001B6C7C">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00401F" w:rsidRPr="0000401F">
              <w:rPr>
                <w:rFonts w:ascii="Verdana" w:hAnsi="Verdana" w:cs="Segoe UI"/>
                <w:color w:val="2B2B2B"/>
                <w:shd w:val="clear" w:color="auto" w:fill="FFFFFF"/>
              </w:rPr>
              <w:t>1_2026_04_14_005015</w:t>
            </w:r>
            <w:r w:rsidR="00512CFA">
              <w:rPr>
                <w:rFonts w:ascii="Verdana" w:hAnsi="Verdana" w:cs="Segoe UI"/>
                <w:color w:val="2B2B2B"/>
                <w:shd w:val="clear" w:color="auto" w:fill="FFFFFF"/>
              </w:rPr>
              <w:t xml:space="preserve"> </w:t>
            </w:r>
          </w:p>
        </w:tc>
      </w:tr>
    </w:tbl>
    <w:p w14:paraId="170CD5C6" w14:textId="77777777" w:rsidR="001B6C7C" w:rsidRPr="00206556" w:rsidRDefault="001B6C7C" w:rsidP="001B6C7C">
      <w:pPr>
        <w:tabs>
          <w:tab w:val="left" w:pos="1520"/>
        </w:tabs>
        <w:spacing w:after="0" w:line="276" w:lineRule="auto"/>
        <w:jc w:val="both"/>
        <w:rPr>
          <w:rFonts w:ascii="Verdana" w:eastAsia="Calibri" w:hAnsi="Verdana" w:cs="Arial"/>
          <w:color w:val="ED7D31" w:themeColor="accent2"/>
          <w:sz w:val="20"/>
          <w:szCs w:val="20"/>
          <w:lang w:val="es-ES" w:eastAsia="es-ES"/>
        </w:rPr>
      </w:pPr>
    </w:p>
    <w:p w14:paraId="7B20ECE9" w14:textId="77777777" w:rsidR="008D5774" w:rsidRPr="00206556" w:rsidRDefault="008D5774" w:rsidP="008D5774">
      <w:pPr>
        <w:spacing w:after="0" w:line="276" w:lineRule="auto"/>
        <w:jc w:val="both"/>
        <w:rPr>
          <w:rFonts w:ascii="Verdana" w:eastAsia="Calibri" w:hAnsi="Verdana" w:cs="Arial"/>
          <w:color w:val="ED7D31" w:themeColor="accent2"/>
          <w:lang w:val="es-ES" w:eastAsia="es-ES"/>
        </w:rPr>
      </w:pPr>
    </w:p>
    <w:p w14:paraId="392D9012" w14:textId="035E0F3E" w:rsidR="008D5774" w:rsidRPr="001B077C" w:rsidRDefault="008D5774" w:rsidP="008D5774">
      <w:pPr>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Estimad</w:t>
      </w:r>
      <w:r w:rsidR="00512CFA">
        <w:rPr>
          <w:rFonts w:ascii="Verdana" w:eastAsia="Calibri" w:hAnsi="Verdana" w:cs="Arial"/>
          <w:lang w:val="es-ES" w:eastAsia="es-ES"/>
        </w:rPr>
        <w:t>a</w:t>
      </w:r>
      <w:r w:rsidRPr="001B077C">
        <w:rPr>
          <w:rFonts w:ascii="Verdana" w:eastAsia="Calibri" w:hAnsi="Verdana" w:cs="Arial"/>
          <w:lang w:val="es-ES" w:eastAsia="es-ES"/>
        </w:rPr>
        <w:t xml:space="preserve"> Seño</w:t>
      </w:r>
      <w:r w:rsidR="0000401F">
        <w:rPr>
          <w:rFonts w:ascii="Verdana" w:eastAsia="Calibri" w:hAnsi="Verdana" w:cs="Arial"/>
          <w:lang w:val="es-ES" w:eastAsia="es-ES"/>
        </w:rPr>
        <w:t>ra</w:t>
      </w:r>
      <w:r w:rsidR="001B6C7C" w:rsidRPr="001B077C">
        <w:rPr>
          <w:rFonts w:ascii="Verdana" w:eastAsia="Calibri" w:hAnsi="Verdana" w:cs="Arial"/>
          <w:lang w:val="es-ES" w:eastAsia="es-ES"/>
        </w:rPr>
        <w:t xml:space="preserve"> </w:t>
      </w:r>
      <w:r w:rsidR="0000401F">
        <w:rPr>
          <w:rFonts w:ascii="Verdana" w:eastAsia="Calibri" w:hAnsi="Verdana" w:cs="Arial"/>
          <w:lang w:val="es-ES" w:eastAsia="es-ES"/>
        </w:rPr>
        <w:t>Martínez</w:t>
      </w:r>
      <w:r w:rsidRPr="001B077C">
        <w:rPr>
          <w:rFonts w:ascii="Verdana" w:eastAsia="Calibri" w:hAnsi="Verdana" w:cs="Arial"/>
          <w:lang w:val="es-ES" w:eastAsia="es-ES"/>
        </w:rPr>
        <w:t>,</w:t>
      </w:r>
    </w:p>
    <w:p w14:paraId="23FCCBE5" w14:textId="77777777" w:rsidR="008D5774" w:rsidRPr="001B077C" w:rsidRDefault="008D5774" w:rsidP="008D5774">
      <w:pPr>
        <w:tabs>
          <w:tab w:val="left" w:pos="3768"/>
        </w:tabs>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ab/>
      </w:r>
    </w:p>
    <w:p w14:paraId="3426E35D" w14:textId="6A6F79A7" w:rsidR="008D5774" w:rsidRPr="00206556" w:rsidRDefault="008D5774" w:rsidP="008D5774">
      <w:pPr>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En ejercicio de la competencia otorgada por los artículos 3, numeral 5º, y 11, numeral 8º, del Decreto Ley 4170 de 2011,</w:t>
      </w:r>
      <w:r w:rsidRPr="001B077C">
        <w:rPr>
          <w:rFonts w:ascii="Verdana" w:eastAsia="Arial MT" w:hAnsi="Verdana" w:cs="Arial MT"/>
          <w:lang w:val="es-ES" w:eastAsia="es-ES"/>
        </w:rPr>
        <w:t xml:space="preserve"> </w:t>
      </w:r>
      <w:r w:rsidRPr="001B077C">
        <w:rPr>
          <w:rFonts w:ascii="Verdana" w:hAnsi="Verdana" w:cs="Arial"/>
          <w:lang w:val="es-ES"/>
        </w:rPr>
        <w:t xml:space="preserve">así como lo establecido en </w:t>
      </w:r>
      <w:r w:rsidR="00995967" w:rsidRPr="001B077C">
        <w:rPr>
          <w:rFonts w:ascii="Verdana" w:hAnsi="Verdana" w:cs="Arial"/>
          <w:lang w:val="es-ES"/>
        </w:rPr>
        <w:t xml:space="preserve">la Resolución 469 de 2025 </w:t>
      </w:r>
      <w:r w:rsidRPr="001B077C">
        <w:rPr>
          <w:rFonts w:ascii="Verdana" w:hAnsi="Verdana" w:cs="Arial"/>
          <w:lang w:val="es-ES"/>
        </w:rPr>
        <w:t xml:space="preserve">expedida por esta Entidad, </w:t>
      </w:r>
      <w:r w:rsidRPr="001B077C">
        <w:rPr>
          <w:rFonts w:ascii="Verdana" w:eastAsia="Calibri" w:hAnsi="Verdana" w:cs="Arial"/>
          <w:lang w:val="es-ES" w:eastAsia="es-ES"/>
        </w:rPr>
        <w:t>la Agencia Nacional de Contratación Pública – Colombia Compra Eficiente– responde su solicitud de consulta de fecha</w:t>
      </w:r>
      <w:r w:rsidR="007A5381" w:rsidRPr="001B077C">
        <w:rPr>
          <w:rFonts w:ascii="Verdana" w:eastAsia="Calibri" w:hAnsi="Verdana" w:cs="Arial"/>
          <w:lang w:val="es-ES" w:eastAsia="es-ES"/>
        </w:rPr>
        <w:t xml:space="preserve"> </w:t>
      </w:r>
      <w:r w:rsidR="00512CFA">
        <w:rPr>
          <w:rFonts w:ascii="Verdana" w:eastAsia="Calibri" w:hAnsi="Verdana" w:cs="Arial"/>
          <w:lang w:val="es-ES" w:eastAsia="es-ES"/>
        </w:rPr>
        <w:t>1</w:t>
      </w:r>
      <w:r w:rsidR="0000401F">
        <w:rPr>
          <w:rFonts w:ascii="Verdana" w:eastAsia="Calibri" w:hAnsi="Verdana" w:cs="Arial"/>
          <w:lang w:val="es-ES" w:eastAsia="es-ES"/>
        </w:rPr>
        <w:t xml:space="preserve">4 </w:t>
      </w:r>
      <w:r w:rsidRPr="001B077C">
        <w:rPr>
          <w:rFonts w:ascii="Verdana" w:eastAsia="Calibri" w:hAnsi="Verdana" w:cs="Arial"/>
          <w:lang w:val="es-ES" w:eastAsia="es-ES"/>
        </w:rPr>
        <w:t xml:space="preserve">de </w:t>
      </w:r>
      <w:r w:rsidR="00512CFA">
        <w:rPr>
          <w:rFonts w:ascii="Verdana" w:eastAsia="Calibri" w:hAnsi="Verdana" w:cs="Arial"/>
          <w:lang w:val="es-ES" w:eastAsia="es-ES"/>
        </w:rPr>
        <w:t>abril</w:t>
      </w:r>
      <w:r w:rsidRPr="001B077C">
        <w:rPr>
          <w:rFonts w:ascii="Verdana" w:eastAsia="Calibri" w:hAnsi="Verdana" w:cs="Arial"/>
          <w:lang w:val="es-ES" w:eastAsia="es-ES"/>
        </w:rPr>
        <w:t xml:space="preserve"> de 202</w:t>
      </w:r>
      <w:r w:rsidR="0006693F" w:rsidRPr="001B077C">
        <w:rPr>
          <w:rFonts w:ascii="Verdana" w:eastAsia="Calibri" w:hAnsi="Verdana" w:cs="Arial"/>
          <w:lang w:val="es-ES" w:eastAsia="es-ES"/>
        </w:rPr>
        <w:t>6</w:t>
      </w:r>
      <w:r w:rsidRPr="001B077C">
        <w:rPr>
          <w:rFonts w:ascii="Verdana" w:eastAsia="Calibri" w:hAnsi="Verdana" w:cs="Arial"/>
          <w:lang w:val="es-ES" w:eastAsia="es-ES"/>
        </w:rPr>
        <w:t>, en</w:t>
      </w:r>
      <w:r w:rsidRPr="00206556">
        <w:rPr>
          <w:rFonts w:ascii="Verdana" w:eastAsia="Calibri" w:hAnsi="Verdana" w:cs="Arial"/>
          <w:lang w:val="es-ES" w:eastAsia="es-ES"/>
        </w:rPr>
        <w:t xml:space="preserve"> la cual manifiesta lo siguiente: </w:t>
      </w:r>
    </w:p>
    <w:p w14:paraId="64073759" w14:textId="0A86B783" w:rsidR="009948E7" w:rsidRDefault="009948E7" w:rsidP="00346FE0">
      <w:pPr>
        <w:spacing w:before="120" w:after="120" w:line="240" w:lineRule="auto"/>
        <w:ind w:right="709"/>
        <w:contextualSpacing/>
        <w:jc w:val="both"/>
        <w:rPr>
          <w:rFonts w:ascii="Verdana" w:eastAsia="Century Gothic" w:hAnsi="Verdana" w:cs="Century Gothic"/>
          <w:i/>
          <w:iCs/>
          <w:sz w:val="20"/>
          <w:szCs w:val="20"/>
          <w:lang w:val="es-ES"/>
        </w:rPr>
      </w:pPr>
    </w:p>
    <w:p w14:paraId="448C66CB" w14:textId="7CB17B7A" w:rsidR="006C4B2C" w:rsidRDefault="00646E7C" w:rsidP="0000401F">
      <w:pPr>
        <w:spacing w:before="120" w:after="120" w:line="240" w:lineRule="auto"/>
        <w:ind w:left="709" w:right="709"/>
        <w:contextualSpacing/>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w:t>
      </w:r>
      <w:r w:rsidR="0000401F" w:rsidRPr="0000401F">
        <w:rPr>
          <w:rFonts w:ascii="Verdana" w:eastAsia="Century Gothic" w:hAnsi="Verdana" w:cs="Century Gothic"/>
          <w:i/>
          <w:iCs/>
          <w:sz w:val="20"/>
          <w:szCs w:val="20"/>
          <w:lang w:val="es-ES"/>
        </w:rPr>
        <w:t>Solicito amablemente me indique como aplicar el Decreto 0287</w:t>
      </w:r>
      <w:r w:rsidR="0000401F">
        <w:rPr>
          <w:rFonts w:ascii="Verdana" w:eastAsia="Century Gothic" w:hAnsi="Verdana" w:cs="Century Gothic"/>
          <w:i/>
          <w:iCs/>
          <w:sz w:val="20"/>
          <w:szCs w:val="20"/>
          <w:lang w:val="es-ES"/>
        </w:rPr>
        <w:t xml:space="preserve"> </w:t>
      </w:r>
      <w:r w:rsidR="0000401F" w:rsidRPr="0000401F">
        <w:rPr>
          <w:rFonts w:ascii="Verdana" w:eastAsia="Century Gothic" w:hAnsi="Verdana" w:cs="Century Gothic"/>
          <w:i/>
          <w:iCs/>
          <w:sz w:val="20"/>
          <w:szCs w:val="20"/>
          <w:lang w:val="es-ES"/>
        </w:rPr>
        <w:t>de 2026 en los pliegos tipo para la</w:t>
      </w:r>
      <w:r w:rsidR="0000401F">
        <w:rPr>
          <w:rFonts w:ascii="Verdana" w:eastAsia="Century Gothic" w:hAnsi="Verdana" w:cs="Century Gothic"/>
          <w:i/>
          <w:iCs/>
          <w:sz w:val="20"/>
          <w:szCs w:val="20"/>
          <w:lang w:val="es-ES"/>
        </w:rPr>
        <w:t>s</w:t>
      </w:r>
      <w:r w:rsidR="0000401F" w:rsidRPr="0000401F">
        <w:rPr>
          <w:rFonts w:ascii="Verdana" w:eastAsia="Century Gothic" w:hAnsi="Verdana" w:cs="Century Gothic"/>
          <w:i/>
          <w:iCs/>
          <w:sz w:val="20"/>
          <w:szCs w:val="20"/>
          <w:lang w:val="es-ES"/>
        </w:rPr>
        <w:t xml:space="preserve"> diferentes modalidades</w:t>
      </w:r>
      <w:r w:rsidR="0000401F">
        <w:rPr>
          <w:rFonts w:ascii="Verdana" w:eastAsia="Century Gothic" w:hAnsi="Verdana" w:cs="Century Gothic"/>
          <w:i/>
          <w:iCs/>
          <w:sz w:val="20"/>
          <w:szCs w:val="20"/>
          <w:lang w:val="es-ES"/>
        </w:rPr>
        <w:t xml:space="preserve"> </w:t>
      </w:r>
      <w:r w:rsidR="0000401F" w:rsidRPr="0000401F">
        <w:rPr>
          <w:rFonts w:ascii="Verdana" w:eastAsia="Century Gothic" w:hAnsi="Verdana" w:cs="Century Gothic"/>
          <w:i/>
          <w:iCs/>
          <w:sz w:val="20"/>
          <w:szCs w:val="20"/>
          <w:lang w:val="es-ES"/>
        </w:rPr>
        <w:t>licitación, concur</w:t>
      </w:r>
      <w:r w:rsidR="0000401F">
        <w:rPr>
          <w:rFonts w:ascii="Verdana" w:eastAsia="Century Gothic" w:hAnsi="Verdana" w:cs="Century Gothic"/>
          <w:i/>
          <w:iCs/>
          <w:sz w:val="20"/>
          <w:szCs w:val="20"/>
          <w:lang w:val="es-ES"/>
        </w:rPr>
        <w:t xml:space="preserve">so de </w:t>
      </w:r>
      <w:r w:rsidR="0000401F" w:rsidRPr="0000401F">
        <w:rPr>
          <w:rFonts w:ascii="Verdana" w:eastAsia="Century Gothic" w:hAnsi="Verdana" w:cs="Century Gothic"/>
          <w:i/>
          <w:iCs/>
          <w:sz w:val="20"/>
          <w:szCs w:val="20"/>
          <w:lang w:val="es-ES"/>
        </w:rPr>
        <w:t>mérito, selección abreviada. Y la</w:t>
      </w:r>
      <w:r w:rsidR="0000401F">
        <w:rPr>
          <w:rFonts w:ascii="Verdana" w:eastAsia="Century Gothic" w:hAnsi="Verdana" w:cs="Century Gothic"/>
          <w:i/>
          <w:iCs/>
          <w:sz w:val="20"/>
          <w:szCs w:val="20"/>
          <w:lang w:val="es-ES"/>
        </w:rPr>
        <w:t xml:space="preserve"> </w:t>
      </w:r>
      <w:r w:rsidR="0000401F" w:rsidRPr="0000401F">
        <w:rPr>
          <w:rFonts w:ascii="Verdana" w:eastAsia="Century Gothic" w:hAnsi="Verdana" w:cs="Century Gothic"/>
          <w:i/>
          <w:iCs/>
          <w:sz w:val="20"/>
          <w:szCs w:val="20"/>
          <w:lang w:val="es-ES"/>
        </w:rPr>
        <w:t>obligatoriedad de este a partir de</w:t>
      </w:r>
      <w:r w:rsidR="0000401F">
        <w:rPr>
          <w:rFonts w:ascii="Verdana" w:eastAsia="Century Gothic" w:hAnsi="Verdana" w:cs="Century Gothic"/>
          <w:i/>
          <w:iCs/>
          <w:sz w:val="20"/>
          <w:szCs w:val="20"/>
          <w:lang w:val="es-ES"/>
        </w:rPr>
        <w:t xml:space="preserve"> </w:t>
      </w:r>
      <w:r w:rsidR="0000401F" w:rsidRPr="0000401F">
        <w:rPr>
          <w:rFonts w:ascii="Verdana" w:eastAsia="Century Gothic" w:hAnsi="Verdana" w:cs="Century Gothic"/>
          <w:i/>
          <w:iCs/>
          <w:sz w:val="20"/>
          <w:szCs w:val="20"/>
          <w:lang w:val="es-ES"/>
        </w:rPr>
        <w:t>cuanto aplica. La entidad</w:t>
      </w:r>
      <w:r w:rsidR="0000401F">
        <w:rPr>
          <w:rFonts w:ascii="Verdana" w:eastAsia="Century Gothic" w:hAnsi="Verdana" w:cs="Century Gothic"/>
          <w:i/>
          <w:iCs/>
          <w:sz w:val="20"/>
          <w:szCs w:val="20"/>
          <w:lang w:val="es-ES"/>
        </w:rPr>
        <w:t xml:space="preserve"> </w:t>
      </w:r>
      <w:r w:rsidR="0000401F" w:rsidRPr="0000401F">
        <w:rPr>
          <w:rFonts w:ascii="Verdana" w:eastAsia="Century Gothic" w:hAnsi="Verdana" w:cs="Century Gothic"/>
          <w:i/>
          <w:iCs/>
          <w:sz w:val="20"/>
          <w:szCs w:val="20"/>
          <w:lang w:val="es-ES"/>
        </w:rPr>
        <w:t xml:space="preserve">estatal como debe </w:t>
      </w:r>
      <w:proofErr w:type="gramStart"/>
      <w:r w:rsidR="0000401F" w:rsidRPr="0000401F">
        <w:rPr>
          <w:rFonts w:ascii="Verdana" w:eastAsia="Century Gothic" w:hAnsi="Verdana" w:cs="Century Gothic"/>
          <w:i/>
          <w:iCs/>
          <w:sz w:val="20"/>
          <w:szCs w:val="20"/>
          <w:lang w:val="es-ES"/>
        </w:rPr>
        <w:t>proceder a dar</w:t>
      </w:r>
      <w:proofErr w:type="gramEnd"/>
      <w:r w:rsidR="0000401F" w:rsidRPr="0000401F">
        <w:rPr>
          <w:rFonts w:ascii="Verdana" w:eastAsia="Century Gothic" w:hAnsi="Verdana" w:cs="Century Gothic"/>
          <w:i/>
          <w:iCs/>
          <w:sz w:val="20"/>
          <w:szCs w:val="20"/>
          <w:lang w:val="es-ES"/>
        </w:rPr>
        <w:t xml:space="preserve"> cumplimiento</w:t>
      </w:r>
      <w:r w:rsidR="0000401F">
        <w:rPr>
          <w:rFonts w:ascii="Verdana" w:eastAsia="Century Gothic" w:hAnsi="Verdana" w:cs="Century Gothic"/>
          <w:i/>
          <w:iCs/>
          <w:sz w:val="20"/>
          <w:szCs w:val="20"/>
          <w:lang w:val="es-ES"/>
        </w:rPr>
        <w:t xml:space="preserve"> </w:t>
      </w:r>
      <w:r w:rsidR="0000401F" w:rsidRPr="0000401F">
        <w:rPr>
          <w:rFonts w:ascii="Verdana" w:eastAsia="Century Gothic" w:hAnsi="Verdana" w:cs="Century Gothic"/>
          <w:i/>
          <w:iCs/>
          <w:sz w:val="20"/>
          <w:szCs w:val="20"/>
          <w:lang w:val="es-ES"/>
        </w:rPr>
        <w:t xml:space="preserve">en </w:t>
      </w:r>
      <w:proofErr w:type="gramStart"/>
      <w:r w:rsidR="0000401F" w:rsidRPr="0000401F">
        <w:rPr>
          <w:rFonts w:ascii="Verdana" w:eastAsia="Century Gothic" w:hAnsi="Verdana" w:cs="Century Gothic"/>
          <w:i/>
          <w:iCs/>
          <w:sz w:val="20"/>
          <w:szCs w:val="20"/>
          <w:lang w:val="es-ES"/>
        </w:rPr>
        <w:t>los puntaje</w:t>
      </w:r>
      <w:proofErr w:type="gramEnd"/>
      <w:r w:rsidR="0000401F">
        <w:rPr>
          <w:rFonts w:ascii="Verdana" w:eastAsia="Century Gothic" w:hAnsi="Verdana" w:cs="Century Gothic"/>
          <w:i/>
          <w:iCs/>
          <w:sz w:val="20"/>
          <w:szCs w:val="20"/>
          <w:lang w:val="es-ES"/>
        </w:rPr>
        <w:t xml:space="preserve"> </w:t>
      </w:r>
      <w:r w:rsidR="0000401F" w:rsidRPr="0000401F">
        <w:rPr>
          <w:rFonts w:ascii="Verdana" w:eastAsia="Century Gothic" w:hAnsi="Verdana" w:cs="Century Gothic"/>
          <w:i/>
          <w:iCs/>
          <w:sz w:val="20"/>
          <w:szCs w:val="20"/>
          <w:lang w:val="es-ES"/>
        </w:rPr>
        <w:t>para los procesos que se publiquen a partir de abril</w:t>
      </w:r>
      <w:r w:rsidRPr="00646E7C">
        <w:rPr>
          <w:rFonts w:ascii="Verdana" w:eastAsia="Century Gothic" w:hAnsi="Verdana" w:cs="Century Gothic"/>
          <w:i/>
          <w:iCs/>
          <w:sz w:val="20"/>
          <w:szCs w:val="20"/>
          <w:lang w:val="es-ES"/>
        </w:rPr>
        <w:t>.</w:t>
      </w:r>
      <w:r w:rsidR="00512CFA" w:rsidRPr="00512CFA">
        <w:rPr>
          <w:rFonts w:ascii="Verdana" w:eastAsia="Century Gothic" w:hAnsi="Verdana" w:cs="Century Gothic"/>
          <w:i/>
          <w:iCs/>
          <w:sz w:val="20"/>
          <w:szCs w:val="20"/>
          <w:lang w:val="es-ES"/>
        </w:rPr>
        <w:t>”</w:t>
      </w:r>
    </w:p>
    <w:p w14:paraId="15A62914" w14:textId="77777777" w:rsidR="007A5381" w:rsidRPr="00206556" w:rsidRDefault="007A5381" w:rsidP="007A5381">
      <w:pPr>
        <w:spacing w:before="120" w:after="120" w:line="240" w:lineRule="auto"/>
        <w:ind w:left="709" w:right="709"/>
        <w:contextualSpacing/>
        <w:jc w:val="both"/>
        <w:rPr>
          <w:rFonts w:ascii="Verdana" w:eastAsia="Century Gothic" w:hAnsi="Verdana" w:cs="Century Gothic"/>
          <w:i/>
          <w:iCs/>
          <w:sz w:val="20"/>
          <w:szCs w:val="20"/>
          <w:lang w:val="es-ES"/>
        </w:rPr>
      </w:pPr>
    </w:p>
    <w:p w14:paraId="07A0E538" w14:textId="6BA45CFF" w:rsidR="008D5774" w:rsidRPr="00206556" w:rsidRDefault="008D5774" w:rsidP="008D5774">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sidR="008A5E24">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sidR="008A5E24">
        <w:rPr>
          <w:rFonts w:ascii="Verdana" w:hAnsi="Verdana"/>
        </w:rPr>
        <w:t>Estatuto General de Contratación Pública</w:t>
      </w:r>
      <w:r w:rsidR="008A5E24" w:rsidRPr="00206556">
        <w:rPr>
          <w:rFonts w:ascii="Verdana" w:eastAsia="Calibri" w:hAnsi="Verdana" w:cs="Arial"/>
          <w:lang w:val="es-ES" w:eastAsia="es-ES"/>
        </w:rPr>
        <w:t xml:space="preserve"> </w:t>
      </w:r>
      <w:r w:rsidRPr="00206556">
        <w:rPr>
          <w:rFonts w:ascii="Verdana" w:eastAsia="Calibri" w:hAnsi="Verdana" w:cs="Arial"/>
          <w:lang w:val="es-ES" w:eastAsia="es-ES"/>
        </w:rPr>
        <w:t xml:space="preserve">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428652EF" w14:textId="77777777" w:rsidR="008D5774" w:rsidRPr="00206556" w:rsidRDefault="008D5774" w:rsidP="008D5774">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288081" w14:textId="77777777" w:rsidR="008D5774" w:rsidRPr="00206556" w:rsidRDefault="008D5774" w:rsidP="008D5774">
      <w:pPr>
        <w:spacing w:after="0" w:line="276" w:lineRule="auto"/>
        <w:ind w:firstLine="709"/>
        <w:jc w:val="both"/>
        <w:rPr>
          <w:rFonts w:ascii="Verdana" w:eastAsia="Calibri" w:hAnsi="Verdana" w:cs="Arial"/>
          <w:lang w:val="es-ES" w:eastAsia="es-ES"/>
        </w:rPr>
      </w:pPr>
    </w:p>
    <w:p w14:paraId="4AD69AFF" w14:textId="77777777" w:rsidR="008D5774" w:rsidRPr="00206556" w:rsidRDefault="008D5774" w:rsidP="008D5774">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26050314" w14:textId="77777777" w:rsidR="008D5774" w:rsidRPr="00206556" w:rsidRDefault="008D5774" w:rsidP="008D5774">
      <w:pPr>
        <w:tabs>
          <w:tab w:val="left" w:pos="426"/>
        </w:tabs>
        <w:spacing w:after="0" w:line="276" w:lineRule="auto"/>
        <w:jc w:val="both"/>
        <w:rPr>
          <w:rFonts w:ascii="Verdana" w:eastAsia="Century Gothic" w:hAnsi="Verdana" w:cs="Century Gothic"/>
          <w:color w:val="ED7D31" w:themeColor="accent2"/>
          <w:lang w:val="es-ES"/>
        </w:rPr>
      </w:pPr>
    </w:p>
    <w:p w14:paraId="2953D2F6" w14:textId="63AA015D" w:rsidR="008D5774" w:rsidRDefault="008D5774" w:rsidP="00646E7C">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00512CFA" w:rsidRPr="00512CFA">
        <w:rPr>
          <w:rFonts w:ascii="Verdana" w:eastAsia="Century Gothic" w:hAnsi="Verdana" w:cs="Century Gothic"/>
        </w:rPr>
        <w:t>¿</w:t>
      </w:r>
      <w:r w:rsidR="0000401F" w:rsidRPr="0000401F">
        <w:rPr>
          <w:rFonts w:ascii="Verdana" w:eastAsia="Century Gothic" w:hAnsi="Verdana" w:cs="Century Gothic"/>
        </w:rPr>
        <w:t>Cómo debe aplicarse el Decreto 287 de 2026 en los documentos tipo</w:t>
      </w:r>
      <w:r w:rsidR="0000401F">
        <w:rPr>
          <w:rFonts w:ascii="Verdana" w:eastAsia="Century Gothic" w:hAnsi="Verdana" w:cs="Century Gothic"/>
        </w:rPr>
        <w:t xml:space="preserve">, </w:t>
      </w:r>
      <w:r w:rsidR="0000401F" w:rsidRPr="0000401F">
        <w:rPr>
          <w:rFonts w:ascii="Verdana" w:eastAsia="Century Gothic" w:hAnsi="Verdana" w:cs="Century Gothic"/>
        </w:rPr>
        <w:t xml:space="preserve">desde cuándo resulta obligatoria su implementación y de qué manera deben las entidades estatales dar cumplimiento a los criterios de puntaje en los procesos contractuales que se publiquen a partir de su </w:t>
      </w:r>
      <w:proofErr w:type="gramStart"/>
      <w:r w:rsidR="0000401F" w:rsidRPr="0000401F">
        <w:rPr>
          <w:rFonts w:ascii="Verdana" w:eastAsia="Century Gothic" w:hAnsi="Verdana" w:cs="Century Gothic"/>
        </w:rPr>
        <w:t>entrada en vigencia</w:t>
      </w:r>
      <w:proofErr w:type="gramEnd"/>
      <w:r w:rsidR="0000401F">
        <w:rPr>
          <w:rFonts w:ascii="Verdana" w:eastAsia="Century Gothic" w:hAnsi="Verdana" w:cs="Century Gothic"/>
        </w:rPr>
        <w:t>?</w:t>
      </w:r>
    </w:p>
    <w:p w14:paraId="47405846" w14:textId="77777777" w:rsidR="00512CFA" w:rsidRDefault="00512CFA" w:rsidP="008D5774">
      <w:pPr>
        <w:spacing w:after="0" w:line="276" w:lineRule="auto"/>
        <w:jc w:val="both"/>
        <w:rPr>
          <w:rFonts w:ascii="Verdana" w:eastAsia="Century Gothic" w:hAnsi="Verdana" w:cs="Century Gothic"/>
        </w:rPr>
      </w:pPr>
    </w:p>
    <w:p w14:paraId="0FD0DFCB" w14:textId="77777777" w:rsidR="008D5774" w:rsidRDefault="008D5774" w:rsidP="008D5774">
      <w:pPr>
        <w:spacing w:after="0" w:line="276" w:lineRule="auto"/>
        <w:jc w:val="both"/>
        <w:rPr>
          <w:rFonts w:ascii="Verdana" w:eastAsia="Century Gothic" w:hAnsi="Verdana" w:cs="Century Gothic"/>
          <w:color w:val="ED7D31" w:themeColor="accent2"/>
        </w:rPr>
      </w:pPr>
    </w:p>
    <w:p w14:paraId="4CC348B5" w14:textId="77777777" w:rsidR="00646E7C" w:rsidRDefault="00646E7C" w:rsidP="008D5774">
      <w:pPr>
        <w:spacing w:after="0" w:line="276" w:lineRule="auto"/>
        <w:jc w:val="both"/>
        <w:rPr>
          <w:rFonts w:ascii="Verdana" w:eastAsia="Century Gothic" w:hAnsi="Verdana" w:cs="Century Gothic"/>
          <w:color w:val="ED7D31" w:themeColor="accent2"/>
        </w:rPr>
      </w:pPr>
    </w:p>
    <w:p w14:paraId="1495ADCD" w14:textId="77777777" w:rsidR="00646E7C" w:rsidRDefault="00646E7C" w:rsidP="008D5774">
      <w:pPr>
        <w:spacing w:after="0" w:line="276" w:lineRule="auto"/>
        <w:jc w:val="both"/>
        <w:rPr>
          <w:rFonts w:ascii="Verdana" w:eastAsia="Century Gothic" w:hAnsi="Verdana" w:cs="Century Gothic"/>
          <w:color w:val="ED7D31" w:themeColor="accent2"/>
        </w:rPr>
      </w:pPr>
    </w:p>
    <w:p w14:paraId="0963834B" w14:textId="77777777" w:rsidR="00291F26" w:rsidRPr="00206556" w:rsidRDefault="00291F26" w:rsidP="008D5774">
      <w:pPr>
        <w:spacing w:after="0" w:line="276" w:lineRule="auto"/>
        <w:jc w:val="both"/>
        <w:rPr>
          <w:rFonts w:ascii="Verdana" w:eastAsia="Century Gothic" w:hAnsi="Verdana" w:cs="Century Gothic"/>
          <w:color w:val="ED7D31" w:themeColor="accent2"/>
        </w:rPr>
      </w:pPr>
    </w:p>
    <w:p w14:paraId="5B26199B"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59BA1073" w14:textId="77777777" w:rsidR="00E54F30" w:rsidRPr="00206556" w:rsidRDefault="00E54F30" w:rsidP="00E54F30">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4F30" w:rsidRPr="00206556" w14:paraId="35A9DBAE" w14:textId="77777777">
        <w:tc>
          <w:tcPr>
            <w:tcW w:w="8828" w:type="dxa"/>
          </w:tcPr>
          <w:p w14:paraId="61FBB1AB" w14:textId="77777777" w:rsidR="007A5381" w:rsidRPr="001B3C5D" w:rsidRDefault="007A5381" w:rsidP="007A5381">
            <w:pPr>
              <w:spacing w:line="276" w:lineRule="auto"/>
              <w:jc w:val="both"/>
              <w:rPr>
                <w:rFonts w:ascii="Aptos" w:eastAsia="Aptos" w:hAnsi="Aptos" w:cs="Times New Roman"/>
                <w:lang w:val="es-MX"/>
              </w:rPr>
            </w:pPr>
            <w:r w:rsidRPr="001B3C5D">
              <w:rPr>
                <w:rFonts w:ascii="Verdana" w:eastAsia="Times New Roman" w:hAnsi="Verdana" w:cs="Arial"/>
                <w:color w:val="000000"/>
                <w:lang w:val="es-ES_tradnl" w:eastAsia="es-ES_tradnl"/>
              </w:rPr>
              <w:t xml:space="preserve">i. </w:t>
            </w:r>
            <w:r w:rsidRPr="001B3C5D">
              <w:rPr>
                <w:rFonts w:ascii="Verdana" w:eastAsia="Aptos" w:hAnsi="Verdana" w:cs="Times New Roman"/>
                <w:lang w:val="es-ES"/>
              </w:rPr>
              <w:t>El artículo 1 de la Ley 2022 de 20202,</w:t>
            </w:r>
            <w:r w:rsidRPr="001B3C5D">
              <w:rPr>
                <w:rFonts w:ascii="Aptos" w:eastAsia="Aptos" w:hAnsi="Aptos" w:cs="Times New Roman"/>
                <w:lang w:val="es-ES"/>
              </w:rPr>
              <w:t xml:space="preserve"> </w:t>
            </w:r>
            <w:r w:rsidRPr="001B3C5D">
              <w:rPr>
                <w:rFonts w:ascii="Verdana" w:eastAsia="Calibri" w:hAnsi="Verdana" w:cs="Arial"/>
                <w:color w:val="00000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FDBD340" w14:textId="77777777" w:rsidR="007A5381" w:rsidRPr="001B3C5D" w:rsidRDefault="007A5381" w:rsidP="007A5381">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7F4407D3" w14:textId="77777777" w:rsidR="007A5381" w:rsidRPr="001B3C5D" w:rsidRDefault="007A5381" w:rsidP="007A5381">
            <w:pPr>
              <w:spacing w:before="120" w:after="120" w:line="276" w:lineRule="auto"/>
              <w:ind w:firstLine="642"/>
              <w:jc w:val="both"/>
              <w:rPr>
                <w:rFonts w:ascii="Verdana" w:eastAsia="Aptos" w:hAnsi="Verdana" w:cs="Arial"/>
                <w:lang w:val="es-ES"/>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lang w:val="es-ES"/>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FED3817" w14:textId="77777777" w:rsidR="007A5381" w:rsidRPr="001B3C5D" w:rsidRDefault="007A5381" w:rsidP="007A53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lastRenderedPageBreak/>
              <w:t xml:space="preserve">Ahora bien, como se explicó, la Ley 2022 de 2020 facultó a la Agencia Nacional de Contratación Pública – Colombia Compra Eficiente para adoptar documentos tipo. De este modo, la intención del legislador fue otorgarle esta facultad al ente rector del Sistema de Compra Pública. </w:t>
            </w:r>
          </w:p>
          <w:p w14:paraId="7A8DAFBB" w14:textId="77777777" w:rsidR="007A5381" w:rsidRPr="001B3C5D" w:rsidRDefault="007A5381" w:rsidP="007A53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vertAlign w:val="superscript"/>
                <w:lang w:eastAsia="es-MX"/>
              </w:rPr>
              <w:footnoteReference w:id="1"/>
            </w:r>
            <w:r w:rsidRPr="001B3C5D">
              <w:rPr>
                <w:rFonts w:ascii="Verdana" w:eastAsia="Times New Roman" w:hAnsi="Verdana" w:cs="Arial"/>
                <w:lang w:eastAsia="es-MX"/>
              </w:rPr>
              <w:t>”</w:t>
            </w:r>
            <w:r w:rsidRPr="001B3C5D">
              <w:rPr>
                <w:rFonts w:ascii="Verdana" w:eastAsia="Times New Roman" w:hAnsi="Verdana" w:cs="Arial"/>
                <w:i/>
                <w:iCs/>
                <w:lang w:eastAsia="es-MX"/>
              </w:rPr>
              <w:t>.</w:t>
            </w:r>
            <w:r w:rsidRPr="001B3C5D">
              <w:rPr>
                <w:rFonts w:ascii="Verdana" w:eastAsia="Times New Roman" w:hAnsi="Verdana" w:cs="Arial"/>
                <w:lang w:eastAsia="es-MX"/>
              </w:rPr>
              <w:t xml:space="preserve"> Además, el Consejo de Estado, Sección Primera, en la Sentencia del 29 de abril 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2"/>
            </w:r>
            <w:r w:rsidRPr="001B3C5D">
              <w:rPr>
                <w:rFonts w:ascii="Verdana" w:eastAsia="Times New Roman" w:hAnsi="Verdana" w:cs="Arial"/>
                <w:lang w:eastAsia="es-MX"/>
              </w:rPr>
              <w:t xml:space="preserve">. </w:t>
            </w:r>
          </w:p>
          <w:p w14:paraId="289B8FFF" w14:textId="77777777" w:rsidR="007A5381" w:rsidRPr="001B3C5D" w:rsidRDefault="007A5381" w:rsidP="007A53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3"/>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4"/>
            </w:r>
            <w:r w:rsidRPr="001B3C5D">
              <w:rPr>
                <w:rFonts w:ascii="Verdana" w:eastAsia="Times New Roman" w:hAnsi="Verdana" w:cs="Arial"/>
                <w:lang w:eastAsia="es-MX"/>
              </w:rPr>
              <w:t>.</w:t>
            </w:r>
          </w:p>
          <w:p w14:paraId="72EFF53D" w14:textId="77777777" w:rsidR="007A5381" w:rsidRPr="001B3C5D" w:rsidRDefault="007A5381" w:rsidP="007A5381">
            <w:pPr>
              <w:spacing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 xml:space="preserve">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w:t>
            </w:r>
            <w:r w:rsidRPr="001B3C5D">
              <w:rPr>
                <w:rFonts w:ascii="Verdana" w:eastAsia="Times New Roman" w:hAnsi="Verdana" w:cs="Arial"/>
                <w:lang w:eastAsia="es-ES"/>
              </w:rPr>
              <w:lastRenderedPageBreak/>
              <w:t>al Departamento Nacional de Planeación</w:t>
            </w:r>
            <w:r w:rsidRPr="001B3C5D">
              <w:rPr>
                <w:rFonts w:ascii="Verdana" w:eastAsia="Calibri" w:hAnsi="Verdana" w:cs="Arial"/>
                <w:vertAlign w:val="superscript"/>
                <w:lang w:eastAsia="es-CO"/>
              </w:rPr>
              <w:footnoteReference w:id="5"/>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7AA00990" w14:textId="77777777" w:rsidR="007A5381" w:rsidRPr="001B3C5D" w:rsidRDefault="007A5381" w:rsidP="007A5381">
            <w:pPr>
              <w:jc w:val="both"/>
              <w:rPr>
                <w:rFonts w:ascii="Verdana" w:eastAsia="Times New Roman" w:hAnsi="Verdana" w:cs="Arial"/>
                <w:lang w:eastAsia="es-CO"/>
              </w:rPr>
            </w:pPr>
          </w:p>
          <w:p w14:paraId="689BC26F" w14:textId="77777777" w:rsidR="007A5381" w:rsidRPr="001B3C5D" w:rsidRDefault="007A5381" w:rsidP="007A5381">
            <w:pPr>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3A7F1688" w14:textId="77777777" w:rsidR="007A5381" w:rsidRPr="001B3C5D" w:rsidRDefault="007A5381" w:rsidP="007A5381">
            <w:pPr>
              <w:ind w:left="709" w:right="709"/>
              <w:jc w:val="both"/>
              <w:rPr>
                <w:rFonts w:ascii="Verdana" w:eastAsia="Times New Roman" w:hAnsi="Verdana" w:cs="Arial"/>
                <w:lang w:eastAsia="es-CO"/>
              </w:rPr>
            </w:pPr>
          </w:p>
          <w:p w14:paraId="38904310" w14:textId="77777777" w:rsidR="007A5381" w:rsidRPr="001B3C5D" w:rsidRDefault="007A5381" w:rsidP="007A5381">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6"/>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1169869F" w14:textId="77777777" w:rsidR="007A5381" w:rsidRPr="001B3C5D" w:rsidRDefault="007A5381" w:rsidP="007A5381">
            <w:pPr>
              <w:jc w:val="both"/>
              <w:rPr>
                <w:rFonts w:ascii="Verdana" w:eastAsia="Times New Roman" w:hAnsi="Verdana" w:cs="Arial"/>
                <w:lang w:eastAsia="es-ES"/>
              </w:rPr>
            </w:pPr>
          </w:p>
          <w:p w14:paraId="185E3205" w14:textId="77777777" w:rsidR="007A5381" w:rsidRPr="001B3C5D" w:rsidRDefault="007A5381" w:rsidP="007A5381">
            <w:pPr>
              <w:ind w:left="709" w:right="709"/>
              <w:jc w:val="both"/>
              <w:rPr>
                <w:rFonts w:ascii="Verdana" w:eastAsia="Times New Roman" w:hAnsi="Verdana" w:cs="Arial"/>
                <w:i/>
                <w:iCs/>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7"/>
            </w:r>
            <w:r w:rsidRPr="001B3C5D">
              <w:rPr>
                <w:rFonts w:ascii="Verdana" w:eastAsia="Times New Roman" w:hAnsi="Verdana" w:cs="Arial"/>
                <w:i/>
                <w:iCs/>
                <w:sz w:val="21"/>
                <w:szCs w:val="21"/>
                <w:lang w:eastAsia="es-ES"/>
              </w:rPr>
              <w:t xml:space="preserve">. </w:t>
            </w:r>
          </w:p>
          <w:p w14:paraId="70B19C64" w14:textId="77777777" w:rsidR="007A5381" w:rsidRPr="001B3C5D" w:rsidRDefault="007A5381" w:rsidP="007A5381">
            <w:pPr>
              <w:ind w:left="709" w:right="709"/>
              <w:jc w:val="both"/>
              <w:rPr>
                <w:rFonts w:ascii="Verdana" w:eastAsia="Times New Roman" w:hAnsi="Verdana" w:cs="Arial"/>
                <w:i/>
                <w:sz w:val="21"/>
                <w:szCs w:val="21"/>
                <w:lang w:eastAsia="es-ES"/>
              </w:rPr>
            </w:pPr>
          </w:p>
          <w:p w14:paraId="68C99978" w14:textId="77777777" w:rsidR="007A5381" w:rsidRPr="001B3C5D" w:rsidRDefault="007A5381" w:rsidP="007A5381">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lastRenderedPageBreak/>
              <w:t>Lo anterior fue reiterado por el Consejo de Estado, en la sentencia del 16 de agosto de 2017, en el expediente 56.166, en los siguientes términos:</w:t>
            </w:r>
          </w:p>
          <w:p w14:paraId="1911753A" w14:textId="77777777" w:rsidR="007A5381" w:rsidRPr="001B3C5D" w:rsidRDefault="007A5381" w:rsidP="007A5381">
            <w:pPr>
              <w:jc w:val="both"/>
              <w:rPr>
                <w:rFonts w:ascii="Verdana" w:eastAsia="Times New Roman" w:hAnsi="Verdana" w:cs="Arial"/>
                <w:lang w:eastAsia="es-ES"/>
              </w:rPr>
            </w:pPr>
          </w:p>
          <w:p w14:paraId="4DCAE35F" w14:textId="77777777" w:rsidR="007A5381" w:rsidRPr="001B3C5D" w:rsidRDefault="007A5381" w:rsidP="007A5381">
            <w:pPr>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8"/>
            </w:r>
            <w:r w:rsidRPr="001B3C5D">
              <w:rPr>
                <w:rFonts w:ascii="Verdana" w:eastAsia="Times New Roman" w:hAnsi="Verdana" w:cs="Arial"/>
                <w:sz w:val="21"/>
                <w:szCs w:val="21"/>
                <w:lang w:eastAsia="es-ES"/>
              </w:rPr>
              <w:t>.</w:t>
            </w:r>
          </w:p>
          <w:p w14:paraId="7B81A147" w14:textId="77777777" w:rsidR="007A5381" w:rsidRPr="001B3C5D" w:rsidRDefault="007A5381" w:rsidP="007A5381">
            <w:pPr>
              <w:ind w:left="709" w:right="709"/>
              <w:jc w:val="both"/>
              <w:rPr>
                <w:rFonts w:ascii="Verdana" w:eastAsia="Times New Roman" w:hAnsi="Verdana" w:cs="Arial"/>
                <w:lang w:eastAsia="es-ES"/>
              </w:rPr>
            </w:pPr>
          </w:p>
          <w:p w14:paraId="371524F8" w14:textId="77777777" w:rsidR="007A5381" w:rsidRPr="001B3C5D" w:rsidRDefault="007A5381" w:rsidP="007A5381">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9"/>
            </w:r>
            <w:r w:rsidRPr="001B3C5D">
              <w:rPr>
                <w:rFonts w:ascii="Verdana" w:eastAsia="Times New Roman" w:hAnsi="Verdana" w:cs="Arial"/>
                <w:lang w:eastAsia="es-ES"/>
              </w:rPr>
              <w:t>.</w:t>
            </w:r>
          </w:p>
          <w:p w14:paraId="41380174" w14:textId="77777777" w:rsidR="007A5381" w:rsidRPr="001B3C5D" w:rsidRDefault="007A5381" w:rsidP="007A538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Conforme con lo anterior, mediante una interpretación sistemática de la normativa y jurisprudencia citada es posible concluir que la Agencia Nacional de Contratación Pública – Colombia Compra Eficiente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1C9CA44C" w14:textId="77777777" w:rsidR="007A5381" w:rsidRDefault="007A5381" w:rsidP="007A5381">
            <w:pPr>
              <w:tabs>
                <w:tab w:val="center" w:pos="4419"/>
                <w:tab w:val="right" w:pos="8838"/>
              </w:tabs>
              <w:spacing w:line="276" w:lineRule="auto"/>
              <w:ind w:firstLine="709"/>
              <w:jc w:val="both"/>
              <w:rPr>
                <w:rFonts w:ascii="Verdana" w:eastAsia="Times New Roman" w:hAnsi="Verdana" w:cs="Arial"/>
                <w:lang w:eastAsia="es-ES"/>
              </w:rPr>
            </w:pPr>
            <w:r w:rsidRPr="001B3C5D">
              <w:rPr>
                <w:rFonts w:ascii="Verdana" w:eastAsia="MS Mincho" w:hAnsi="Verdana" w:cs="Arial"/>
                <w:lang w:eastAsia="es-CO"/>
              </w:rPr>
              <w:lastRenderedPageBreak/>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4057B354" w14:textId="77777777" w:rsidR="007A5381" w:rsidRDefault="007A5381" w:rsidP="007A5381">
            <w:pPr>
              <w:tabs>
                <w:tab w:val="center" w:pos="4419"/>
                <w:tab w:val="right" w:pos="8838"/>
              </w:tabs>
              <w:spacing w:line="276" w:lineRule="auto"/>
              <w:ind w:firstLine="709"/>
              <w:jc w:val="both"/>
              <w:rPr>
                <w:rFonts w:ascii="Verdana" w:eastAsia="Times New Roman" w:hAnsi="Verdana" w:cs="Arial"/>
                <w:lang w:eastAsia="es-ES"/>
              </w:rPr>
            </w:pPr>
          </w:p>
          <w:p w14:paraId="7F876E6F" w14:textId="77777777" w:rsidR="007A5381" w:rsidRPr="001B3C5D" w:rsidRDefault="007A5381" w:rsidP="007A5381">
            <w:pPr>
              <w:tabs>
                <w:tab w:val="center" w:pos="4419"/>
                <w:tab w:val="right" w:pos="8838"/>
              </w:tabs>
              <w:spacing w:line="276" w:lineRule="auto"/>
              <w:ind w:firstLine="709"/>
              <w:jc w:val="both"/>
              <w:rPr>
                <w:rFonts w:ascii="Verdana" w:eastAsia="Times New Roman" w:hAnsi="Verdana" w:cs="Arial"/>
                <w:lang w:eastAsia="es-ES"/>
              </w:rPr>
            </w:pPr>
            <w:r w:rsidRPr="007B31F5">
              <w:rPr>
                <w:rFonts w:ascii="Verdana" w:eastAsia="Times New Roman" w:hAnsi="Verdana" w:cs="Arial"/>
                <w:lang w:eastAsia="es-ES"/>
              </w:rPr>
              <w:t>En este contexto, la Agencia Nacional de Contratación Pública – Colombia Compra Eficiente, una vez conoció el decreto desde su expedición, inició las labores de análisis y planeación orientadas a la modificación de los documentos tipo vigentes en los diferentes sectores y subsectores. Este proceso implica una importante carga administrativa y presupuestal para lograr su adecuada actualización, por lo cual se tomará un tiempo prudencial que permita dar cumplimiento integral a lo dispuesto en el referido decreto. No obstante, la Agencia dispondrá todos sus esfuerzos para adelantar este trabajo en el menor tiempo posible y garantizará la divulgación oportuna de cada etapa del proceso de modificación, tanto a las entidades estatales como a la ciudadanía en general.</w:t>
            </w:r>
          </w:p>
          <w:p w14:paraId="09A49F20" w14:textId="77777777" w:rsidR="007A5381" w:rsidRPr="001B3C5D" w:rsidRDefault="007A5381" w:rsidP="007A5381">
            <w:pPr>
              <w:tabs>
                <w:tab w:val="center" w:pos="4419"/>
                <w:tab w:val="right" w:pos="8838"/>
              </w:tabs>
              <w:spacing w:line="276" w:lineRule="auto"/>
              <w:jc w:val="both"/>
              <w:rPr>
                <w:rFonts w:ascii="Verdana" w:eastAsia="Times New Roman" w:hAnsi="Verdana" w:cs="Arial"/>
                <w:lang w:eastAsia="es-ES"/>
              </w:rPr>
            </w:pPr>
          </w:p>
          <w:p w14:paraId="0B79396A" w14:textId="12FFFF5B" w:rsidR="007A5381" w:rsidRPr="001B3C5D" w:rsidRDefault="007A5381" w:rsidP="007A5381">
            <w:pPr>
              <w:tabs>
                <w:tab w:val="center" w:pos="4419"/>
                <w:tab w:val="right" w:pos="8838"/>
              </w:tabs>
              <w:spacing w:line="276" w:lineRule="auto"/>
              <w:jc w:val="both"/>
              <w:rPr>
                <w:rFonts w:ascii="Verdana" w:eastAsia="Calibri" w:hAnsi="Verdana" w:cs="Arial"/>
                <w:color w:val="000000"/>
                <w:lang w:val="es-ES"/>
              </w:rPr>
            </w:pPr>
            <w:r>
              <w:rPr>
                <w:rFonts w:ascii="Verdana" w:eastAsia="Times New Roman" w:hAnsi="Verdana" w:cs="Arial"/>
                <w:lang w:eastAsia="es-ES"/>
              </w:rPr>
              <w:t xml:space="preserve">       </w:t>
            </w:r>
            <w:proofErr w:type="spellStart"/>
            <w:r w:rsidRPr="001B3C5D">
              <w:rPr>
                <w:rFonts w:ascii="Verdana" w:eastAsia="Times New Roman" w:hAnsi="Verdana" w:cs="Arial"/>
                <w:lang w:eastAsia="es-ES"/>
              </w:rPr>
              <w:t>ii</w:t>
            </w:r>
            <w:proofErr w:type="spellEnd"/>
            <w:r w:rsidRPr="001B3C5D">
              <w:rPr>
                <w:rFonts w:ascii="Verdana" w:eastAsia="Times New Roman" w:hAnsi="Verdana" w:cs="Arial"/>
                <w:lang w:eastAsia="es-ES"/>
              </w:rPr>
              <w:t xml:space="preserve">. </w:t>
            </w:r>
            <w:r w:rsidRPr="001B3C5D">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49C401E" w14:textId="77777777" w:rsidR="007A5381" w:rsidRPr="001B3C5D" w:rsidRDefault="007A5381" w:rsidP="007A538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w:t>
            </w:r>
            <w:r w:rsidRPr="001B3C5D">
              <w:rPr>
                <w:rFonts w:ascii="Verdana" w:eastAsia="Calibri" w:hAnsi="Verdana" w:cs="Arial"/>
                <w:lang w:val="es-ES_tradnl"/>
              </w:rPr>
              <w:lastRenderedPageBreak/>
              <w:t xml:space="preserve">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3954A9F9" w14:textId="77777777" w:rsidR="007A5381" w:rsidRPr="001B3C5D" w:rsidRDefault="007A5381" w:rsidP="007A538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00097E97" w14:textId="77777777" w:rsidR="007A5381" w:rsidRPr="001B3C5D" w:rsidRDefault="007A5381" w:rsidP="007A5381">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074A2520" w14:textId="77777777" w:rsidR="007A5381" w:rsidRPr="001B3C5D" w:rsidRDefault="007A5381" w:rsidP="007A53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10"/>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427EEDEE" w14:textId="77777777" w:rsidR="007A5381" w:rsidRPr="001B3C5D" w:rsidRDefault="007A5381" w:rsidP="007A53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w:t>
            </w:r>
            <w:r w:rsidRPr="001B3C5D">
              <w:rPr>
                <w:rFonts w:ascii="Verdana" w:eastAsia="Calibri" w:hAnsi="Verdana" w:cs="Arial"/>
                <w:color w:val="000000"/>
                <w:lang w:val="es-ES"/>
              </w:rPr>
              <w:lastRenderedPageBreak/>
              <w:t xml:space="preserve">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A7A9887" w14:textId="77777777" w:rsidR="007A5381" w:rsidRPr="001B3C5D" w:rsidRDefault="007A5381" w:rsidP="007A53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6C3A24DE" w14:textId="77777777" w:rsidR="007A5381" w:rsidRPr="001B3C5D" w:rsidRDefault="007A5381" w:rsidP="007A53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DA550D6" w14:textId="77777777" w:rsidR="007A5381" w:rsidRDefault="007A5381" w:rsidP="007A5381">
            <w:pPr>
              <w:spacing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A1AE2B5" w14:textId="77777777" w:rsidR="007A5381" w:rsidRDefault="007A5381" w:rsidP="007A5381">
            <w:pPr>
              <w:spacing w:line="276" w:lineRule="auto"/>
              <w:ind w:firstLine="709"/>
              <w:jc w:val="both"/>
              <w:rPr>
                <w:rFonts w:ascii="Verdana" w:eastAsia="Calibri" w:hAnsi="Verdana" w:cs="Arial"/>
                <w:bCs/>
                <w:lang w:val="es-MX"/>
              </w:rPr>
            </w:pPr>
          </w:p>
          <w:p w14:paraId="1477FFBD" w14:textId="77777777" w:rsidR="007A5381" w:rsidRPr="001B3C5D" w:rsidRDefault="007A5381" w:rsidP="007A5381">
            <w:pPr>
              <w:widowControl w:val="0"/>
              <w:autoSpaceDE w:val="0"/>
              <w:autoSpaceDN w:val="0"/>
              <w:spacing w:after="120" w:line="276" w:lineRule="auto"/>
              <w:jc w:val="both"/>
              <w:rPr>
                <w:rFonts w:ascii="Verdana" w:eastAsia="Aptos" w:hAnsi="Verdana" w:cs="Times New Roman"/>
              </w:rPr>
            </w:pPr>
            <w:proofErr w:type="spellStart"/>
            <w:r>
              <w:rPr>
                <w:rFonts w:ascii="Verdana" w:eastAsia="Aptos" w:hAnsi="Verdana" w:cs="Times New Roman"/>
              </w:rPr>
              <w:t>iii</w:t>
            </w:r>
            <w:proofErr w:type="spellEnd"/>
            <w:r w:rsidRPr="001B3C5D">
              <w:rPr>
                <w:rFonts w:ascii="Verdana" w:eastAsia="Aptos" w:hAnsi="Verdana" w:cs="Times New Roman"/>
              </w:rPr>
              <w:t>. L</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Ley 2022 de 2020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atribuye</w:t>
            </w:r>
            <w:r w:rsidRPr="001B3C5D">
              <w:rPr>
                <w:rFonts w:ascii="Verdana" w:eastAsia="Aptos" w:hAnsi="Verdana" w:cs="Times New Roman"/>
              </w:rPr>
              <w:t xml:space="preserve"> la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Nacional de Contratación Pública – Colombia Compra Eficiente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adoptar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expresamente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contenido,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stos </w:t>
            </w:r>
            <w:r w:rsidRPr="001B3C5D">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i/>
                <w:iCs/>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concentró</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la Agencia Nacional de Contratación Pública – Colombia Compra Eficiente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elementos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propósito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recursos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públicos.</w:t>
            </w:r>
            <w:r w:rsidRPr="001B3C5D">
              <w:rPr>
                <w:rFonts w:ascii="Verdana" w:eastAsia="Aptos" w:hAnsi="Verdana" w:cs="Times New Roman"/>
              </w:rPr>
              <w:t xml:space="preserve"> </w:t>
            </w:r>
          </w:p>
          <w:p w14:paraId="5A9AC229"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 xml:space="preserve">Concretamente, la competencia prevista en el artículo 1 de la Ley 2022 de 2020, se ejerció mediante la expedición de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160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del 15 de septiembre de 2020 “Por la cual se adopta el procedimiento para implementar los documentos tipo y se define el sistema para su revisión”</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con la expedición de </w:t>
            </w:r>
            <w:r w:rsidRPr="001B3C5D">
              <w:rPr>
                <w:rFonts w:ascii="Verdana" w:eastAsia="Aptos" w:hAnsi="Verdana" w:cs="Times New Roman"/>
                <w:kern w:val="2"/>
                <w14:ligatures w14:val="standardContextual"/>
              </w:rPr>
              <w:t>múltiples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resoluciones</w:t>
            </w:r>
            <w:r w:rsidRPr="001B3C5D">
              <w:rPr>
                <w:rFonts w:ascii="Verdana" w:eastAsia="Aptos" w:hAnsi="Verdana" w:cs="Times New Roman"/>
              </w:rPr>
              <w:t xml:space="preserve"> –señaladas en el numeral i de este concepto– mediante las cuales se adoptaron documentos tipo por parte de la Agencia Nacional de Contratación Pública – Colombia Compra Eficiente en diferentes modalidades de selección y sectores, en las cuales, además, se </w:t>
            </w:r>
            <w:r w:rsidRPr="001B3C5D">
              <w:rPr>
                <w:rFonts w:ascii="Verdana" w:eastAsia="Aptos" w:hAnsi="Verdana" w:cs="Times New Roman"/>
                <w:kern w:val="2"/>
                <w14:ligatures w14:val="standardContextual"/>
              </w:rPr>
              <w:t>reitera</w:t>
            </w:r>
            <w:r w:rsidRPr="001B3C5D">
              <w:rPr>
                <w:rFonts w:ascii="Verdana" w:eastAsia="Aptos" w:hAnsi="Verdana" w:cs="Times New Roman"/>
              </w:rPr>
              <w:t xml:space="preserve"> el </w:t>
            </w:r>
            <w:r w:rsidRPr="001B3C5D">
              <w:rPr>
                <w:rFonts w:ascii="Verdana" w:eastAsia="Aptos" w:hAnsi="Verdana" w:cs="Times New Roman"/>
                <w:kern w:val="2"/>
                <w14:ligatures w14:val="standardContextual"/>
              </w:rPr>
              <w:t>carácter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obligatorio</w:t>
            </w:r>
            <w:r w:rsidRPr="001B3C5D">
              <w:rPr>
                <w:rFonts w:ascii="Verdana" w:eastAsia="Aptos" w:hAnsi="Verdana" w:cs="Times New Roman"/>
              </w:rPr>
              <w:t xml:space="preserve"> de estos documentos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se </w:t>
            </w:r>
            <w:r w:rsidRPr="001B3C5D">
              <w:rPr>
                <w:rFonts w:ascii="Verdana" w:eastAsia="Aptos" w:hAnsi="Verdana" w:cs="Times New Roman"/>
                <w:kern w:val="2"/>
                <w14:ligatures w14:val="standardContextual"/>
              </w:rPr>
              <w:t>establecen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específicas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p>
          <w:p w14:paraId="7E178A30"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En este sentido, las resoluciones mediante las cuales la Agencia Nacional de Contratación Pública – Colombia Compra Eficiente adoptó documentos tipo, </w:t>
            </w:r>
            <w:r w:rsidRPr="001B3C5D">
              <w:rPr>
                <w:rFonts w:ascii="Verdana" w:eastAsia="Aptos" w:hAnsi="Verdana" w:cs="Times New Roman"/>
                <w:kern w:val="2"/>
                <w14:ligatures w14:val="standardContextual"/>
              </w:rPr>
              <w:t>consolida</w:t>
            </w:r>
            <w:r w:rsidRPr="001B3C5D">
              <w:rPr>
                <w:rFonts w:ascii="Verdana" w:eastAsia="Aptos" w:hAnsi="Verdana" w:cs="Times New Roman"/>
              </w:rPr>
              <w:t xml:space="preserve">n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estandarizado</w:t>
            </w:r>
            <w:r w:rsidRPr="001B3C5D">
              <w:rPr>
                <w:rFonts w:ascii="Verdana" w:eastAsia="Aptos" w:hAnsi="Verdana" w:cs="Times New Roman"/>
              </w:rPr>
              <w:t xml:space="preserve"> –en las modalidades y sectores adoptados–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obligadas a la aplicación </w:t>
            </w:r>
            <w:r w:rsidRPr="001B3C5D">
              <w:rPr>
                <w:rFonts w:ascii="Verdana" w:eastAsia="Aptos" w:hAnsi="Verdana" w:cs="Times New Roman"/>
                <w:kern w:val="2"/>
                <w14:ligatures w14:val="standardContextual"/>
              </w:rPr>
              <w:t>deben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sujetarse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estricta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particularmente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relacionado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ponderación.</w:t>
            </w:r>
          </w:p>
          <w:p w14:paraId="681D57D5"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Lo dispuesto en el párrafo precedente, es consecuente con lo desarrollado en el punto tres (</w:t>
            </w:r>
            <w:proofErr w:type="spellStart"/>
            <w:r w:rsidRPr="001B3C5D">
              <w:rPr>
                <w:rFonts w:ascii="Verdana" w:eastAsia="Aptos" w:hAnsi="Verdana" w:cs="Times New Roman"/>
              </w:rPr>
              <w:t>iii</w:t>
            </w:r>
            <w:proofErr w:type="spellEnd"/>
            <w:r w:rsidRPr="001B3C5D">
              <w:rPr>
                <w:rFonts w:ascii="Verdana" w:eastAsia="Aptos" w:hAnsi="Verdana" w:cs="Times New Roman"/>
              </w:rPr>
              <w:t xml:space="preserve">) de la parte considerativa de este concepto. En este se indicó que, sobre los documentos tipo expedidos por la Agencia Nacional de Contratación Pública – Colombia Compra Eficiente, recae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w:t>
            </w:r>
          </w:p>
          <w:p w14:paraId="48BF8515"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Considerando lo anterior, s</w:t>
            </w:r>
            <w:r w:rsidRPr="001B3C5D">
              <w:rPr>
                <w:rFonts w:ascii="Verdana" w:eastAsia="Aptos" w:hAnsi="Verdana" w:cs="Times New Roman"/>
                <w:kern w:val="2"/>
                <w14:ligatures w14:val="standardContextual"/>
              </w:rPr>
              <w:t>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bien</w:t>
            </w:r>
            <w:r w:rsidRPr="001B3C5D">
              <w:rPr>
                <w:rFonts w:ascii="Verdana" w:eastAsia="Aptos" w:hAnsi="Verdana" w:cs="Times New Roman"/>
              </w:rPr>
              <w:t xml:space="preserve"> es cierto que,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siguiente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publicación,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determina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vigencia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sometidos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debe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interpretarse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sistemática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armónica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régimen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regula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esto es, lo señalado en el artículo 1 de la Ley 2022 de 2020 y su desarrollo reglamentario a través de cada una de las Resoluciones expedidas por la Agencia Nacional de </w:t>
            </w:r>
            <w:r w:rsidRPr="001B3C5D">
              <w:rPr>
                <w:rFonts w:ascii="Verdana" w:eastAsia="Aptos" w:hAnsi="Verdana" w:cs="Times New Roman"/>
              </w:rPr>
              <w:lastRenderedPageBreak/>
              <w:t>Contratación Pública – Colombia Compra Eficiente mediante las cuales, se han implementados documentos tipo</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contienen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criterios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escogencia,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complementarlos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autónoma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D</w:t>
            </w:r>
            <w:r w:rsidRPr="001B3C5D">
              <w:rPr>
                <w:rFonts w:ascii="Verdana" w:eastAsia="Aptos" w:hAnsi="Verdana" w:cs="Times New Roman"/>
                <w:kern w:val="2"/>
                <w14:ligatures w14:val="standardContextual"/>
              </w:rPr>
              <w:t>ecreto</w:t>
            </w:r>
            <w:r w:rsidRPr="001B3C5D">
              <w:rPr>
                <w:rFonts w:ascii="Verdana" w:eastAsia="Aptos" w:hAnsi="Verdana" w:cs="Times New Roman"/>
              </w:rPr>
              <w:t xml:space="preserve"> en mención</w:t>
            </w:r>
            <w:r w:rsidRPr="001B3C5D">
              <w:rPr>
                <w:rFonts w:ascii="Verdana" w:eastAsia="Aptos" w:hAnsi="Verdana" w:cs="Times New Roman"/>
                <w:kern w:val="2"/>
                <w14:ligatures w14:val="standardContextual"/>
              </w:rPr>
              <w:t>.</w:t>
            </w:r>
          </w:p>
          <w:p w14:paraId="76615662"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P</w:t>
            </w:r>
            <w:r w:rsidRPr="001B3C5D">
              <w:rPr>
                <w:rFonts w:ascii="Verdana" w:eastAsia="Aptos" w:hAnsi="Verdana" w:cs="Times New Roman"/>
                <w:kern w:val="2"/>
                <w14:ligatures w14:val="standardContextual"/>
              </w:rPr>
              <w:t>ermitir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introduzca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implicaría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exclusiva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mediante la expedición de la Ley 2022 de 2020</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estos</w:t>
            </w:r>
            <w:r w:rsidRPr="001B3C5D">
              <w:rPr>
                <w:rFonts w:ascii="Verdana" w:eastAsia="Aptos" w:hAnsi="Verdana" w:cs="Times New Roman"/>
              </w:rPr>
              <w:t xml:space="preserve"> documentos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Además,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fragmentación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principios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igualdad,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similares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regirse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distintas,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dependiendo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adelante</w:t>
            </w:r>
            <w:r w:rsidRPr="001B3C5D">
              <w:rPr>
                <w:rFonts w:ascii="Verdana" w:eastAsia="Aptos" w:hAnsi="Verdana" w:cs="Times New Roman"/>
              </w:rPr>
              <w:t xml:space="preserve"> y la forma como incorporó las previsiones contenidas en el Decreto 287 de 2026 a los procesos de selección regidos por documentos tipo</w:t>
            </w:r>
            <w:r w:rsidRPr="001B3C5D">
              <w:rPr>
                <w:rFonts w:ascii="Verdana" w:eastAsia="Aptos" w:hAnsi="Verdana" w:cs="Times New Roman"/>
                <w:kern w:val="2"/>
                <w14:ligatures w14:val="standardContextual"/>
              </w:rPr>
              <w:t>.</w:t>
            </w:r>
          </w:p>
          <w:p w14:paraId="0F3BF30D"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perspectiva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constituyen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articulado,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interrelacionados.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aislada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inconsistencias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razón,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prevé</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actualización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mediante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procedimientos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coordinados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participativos,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cargo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w:t>
            </w:r>
            <w:r w:rsidRPr="001B3C5D">
              <w:rPr>
                <w:rFonts w:ascii="Verdana" w:eastAsia="Aptos" w:hAnsi="Verdana" w:cs="Times New Roman"/>
              </w:rPr>
              <w:t>ncia Nacional de Contratación Pública – Colombia Compra Eficiente</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quien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adecuada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nuevas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como por ejemplo el Decreto 287 de 2026. </w:t>
            </w:r>
          </w:p>
          <w:p w14:paraId="09E80089"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Adicionalmente,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en el artículo 1 que modifica el artículo 2.2.1.2.4.2.7.8 al Decreto 1082 de 2015, </w:t>
            </w:r>
            <w:r w:rsidRPr="001B3C5D">
              <w:rPr>
                <w:rFonts w:ascii="Verdana" w:eastAsia="Aptos" w:hAnsi="Verdana" w:cs="Times New Roman"/>
                <w:kern w:val="2"/>
                <w14:ligatures w14:val="standardContextual"/>
              </w:rPr>
              <w:t>reconoce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 garantizará la adopción permanente de las acciones necesarias para que las medidas señaladas en esta subsección se incorporen a los documentos e instrumentos que genera</w:t>
            </w:r>
            <w:r w:rsidRPr="001B3C5D">
              <w:rPr>
                <w:rFonts w:ascii="Aptos" w:eastAsia="Aptos" w:hAnsi="Aptos" w:cs="Times New Roman"/>
              </w:rPr>
              <w:t>”</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confirma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operatividad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depende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p>
          <w:p w14:paraId="24692DD6"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721028B5"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aunque</w:t>
            </w:r>
            <w:r w:rsidRPr="001B3C5D">
              <w:rPr>
                <w:rFonts w:ascii="Verdana" w:eastAsia="Aptos" w:hAnsi="Verdana" w:cs="Times New Roman"/>
              </w:rPr>
              <w:t xml:space="preserve"> de acuerdo con el artículo 2 del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este “(…) rige a partir del día siguiente a su publicación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contracción </w:t>
            </w:r>
            <w:r w:rsidRPr="001B3C5D">
              <w:rPr>
                <w:rFonts w:ascii="Verdana" w:eastAsia="Aptos" w:hAnsi="Verdana" w:cs="Times New Roman"/>
                <w:kern w:val="2"/>
                <w14:ligatures w14:val="standardContextual"/>
              </w:rPr>
              <w:t>regidos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formal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Así, s</w:t>
            </w:r>
            <w:r w:rsidRPr="001B3C5D">
              <w:rPr>
                <w:rFonts w:ascii="Verdana" w:eastAsia="Aptos" w:hAnsi="Verdana" w:cs="Times New Roman"/>
                <w:kern w:val="2"/>
                <w14:ligatures w14:val="standardContextual"/>
              </w:rPr>
              <w:t>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mediante la modificación a los documentos tipo, </w:t>
            </w:r>
            <w:r w:rsidRPr="001B3C5D">
              <w:rPr>
                <w:rFonts w:ascii="Verdana" w:eastAsia="Aptos" w:hAnsi="Verdana" w:cs="Times New Roman"/>
                <w:kern w:val="2"/>
                <w14:ligatures w14:val="standardContextual"/>
              </w:rPr>
              <w: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posible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uniforme,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jurídicamente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válida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afirmativas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previstas,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distribución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compras y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p>
          <w:p w14:paraId="70F689E8"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implementación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puede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realizarse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que obligatoriamente deben aplicarlos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requiere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necesariamente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ejercicio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respeto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jerarquía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orientadas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personas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el sistema de compras y contratación pública. </w:t>
            </w:r>
          </w:p>
          <w:p w14:paraId="3D1587B0" w14:textId="77777777" w:rsidR="007A5381" w:rsidRPr="001B3C5D" w:rsidRDefault="007A5381" w:rsidP="007A53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3F9441B7" w14:textId="7E032EE5" w:rsidR="00630A93" w:rsidRPr="00670CFB" w:rsidRDefault="007A5381" w:rsidP="007A5381">
            <w:pPr>
              <w:spacing w:before="120" w:after="120" w:line="276" w:lineRule="auto"/>
              <w:ind w:firstLine="709"/>
              <w:jc w:val="both"/>
              <w:rPr>
                <w:rFonts w:ascii="Verdana" w:eastAsia="Calibri" w:hAnsi="Verdana" w:cs="Arial"/>
              </w:rPr>
            </w:pPr>
            <w:r w:rsidRPr="001B3C5D">
              <w:rPr>
                <w:rFonts w:ascii="Verdana" w:eastAsia="Aptos" w:hAnsi="Verdana" w:cs="Times New Roman"/>
              </w:rPr>
              <w:lastRenderedPageBreak/>
              <w:t>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w:t>
            </w:r>
          </w:p>
        </w:tc>
      </w:tr>
    </w:tbl>
    <w:p w14:paraId="6914BB7C"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5B697DCE"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790C280A"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color w:val="ED7D31" w:themeColor="accent2"/>
          <w:lang w:val="es-ES"/>
        </w:rPr>
      </w:pPr>
    </w:p>
    <w:p w14:paraId="62691086" w14:textId="77777777" w:rsidR="008D5774" w:rsidRPr="00206556" w:rsidRDefault="008D5774" w:rsidP="008D5774">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16FC2502" w14:textId="77777777" w:rsidR="001C2502" w:rsidRPr="00206556" w:rsidRDefault="001C2502" w:rsidP="008D5774">
      <w:pPr>
        <w:spacing w:after="0" w:line="276" w:lineRule="auto"/>
        <w:jc w:val="both"/>
        <w:rPr>
          <w:rFonts w:ascii="Verdana" w:eastAsia="Calibri" w:hAnsi="Verdana" w:cs="Arial"/>
          <w:lang w:val="es-ES"/>
        </w:rPr>
      </w:pPr>
    </w:p>
    <w:p w14:paraId="54B5CEB7" w14:textId="77777777" w:rsidR="001B077C" w:rsidRPr="001B3C5D" w:rsidRDefault="001B077C" w:rsidP="001B077C">
      <w:pPr>
        <w:spacing w:after="0" w:line="240" w:lineRule="auto"/>
        <w:jc w:val="both"/>
        <w:rPr>
          <w:rFonts w:ascii="Aptos" w:eastAsia="Aptos" w:hAnsi="Aptos" w:cs="Times New Roman"/>
          <w:kern w:val="2"/>
          <w:sz w:val="24"/>
          <w:szCs w:val="24"/>
          <w:lang w:val="es-MX"/>
          <w14:ligatures w14:val="standardContextual"/>
        </w:rPr>
      </w:pPr>
      <w:r w:rsidRPr="001B3C5D">
        <w:rPr>
          <w:rFonts w:ascii="Aptos" w:eastAsia="Aptos" w:hAnsi="Aptos" w:cs="Times New Roman"/>
          <w:kern w:val="2"/>
          <w:sz w:val="24"/>
          <w:szCs w:val="24"/>
          <w:lang w:val="es-ES"/>
          <w14:ligatures w14:val="standardContextual"/>
        </w:rPr>
        <w:t xml:space="preserve">i. </w:t>
      </w:r>
      <w:r w:rsidRPr="001B3C5D">
        <w:rPr>
          <w:rFonts w:ascii="Verdana" w:eastAsia="Aptos" w:hAnsi="Verdana" w:cs="Times New Roman"/>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1B3C5D">
        <w:rPr>
          <w:rFonts w:ascii="Verdana" w:eastAsia="Aptos" w:hAnsi="Verdana" w:cs="Times New Roman"/>
          <w:kern w:val="2"/>
          <w:vertAlign w:val="superscript"/>
          <w:lang w:val="es-MX"/>
          <w14:ligatures w14:val="standardContextual"/>
        </w:rPr>
        <w:footnoteReference w:id="11"/>
      </w:r>
      <w:r w:rsidRPr="001B3C5D">
        <w:rPr>
          <w:rFonts w:ascii="Verdana" w:eastAsia="Aptos" w:hAnsi="Verdana" w:cs="Times New Roman"/>
          <w:kern w:val="2"/>
          <w:lang w:val="es-MX"/>
          <w14:ligatures w14:val="standardContextual"/>
        </w:rPr>
        <w:t>.</w:t>
      </w:r>
      <w:r w:rsidRPr="001B3C5D">
        <w:rPr>
          <w:rFonts w:ascii="Aptos" w:eastAsia="Aptos" w:hAnsi="Aptos" w:cs="Times New Roman"/>
          <w:kern w:val="2"/>
          <w:sz w:val="24"/>
          <w:szCs w:val="24"/>
          <w:lang w:val="es-MX"/>
          <w14:ligatures w14:val="standardContextual"/>
        </w:rPr>
        <w:t xml:space="preserve"> </w:t>
      </w:r>
    </w:p>
    <w:p w14:paraId="5DC8180C" w14:textId="77777777" w:rsidR="001B077C" w:rsidRPr="001B3C5D" w:rsidRDefault="001B077C" w:rsidP="001B077C">
      <w:pPr>
        <w:tabs>
          <w:tab w:val="left" w:pos="709"/>
        </w:tabs>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1B3C5D">
        <w:rPr>
          <w:rFonts w:ascii="Verdana" w:eastAsia="Calibri" w:hAnsi="Verdana" w:cs="Arial"/>
          <w:color w:val="000000"/>
          <w:vertAlign w:val="superscript"/>
          <w:lang w:val="es-MX"/>
        </w:rPr>
        <w:footnoteReference w:id="12"/>
      </w:r>
      <w:r w:rsidRPr="001B3C5D">
        <w:rPr>
          <w:rFonts w:ascii="Verdana" w:eastAsia="Calibri" w:hAnsi="Verdana" w:cs="Arial"/>
          <w:color w:val="000000"/>
          <w:lang w:val="es-MX"/>
        </w:rPr>
        <w:t xml:space="preserve">. Así mismo, señala que, dentro de estos documentos tipo se </w:t>
      </w:r>
      <w:r w:rsidRPr="001B3C5D">
        <w:rPr>
          <w:rFonts w:ascii="Verdana" w:eastAsia="Calibri" w:hAnsi="Verdana" w:cs="Arial"/>
          <w:color w:val="000000"/>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04F6ED5" w14:textId="77777777" w:rsidR="001B077C" w:rsidRPr="001B3C5D" w:rsidRDefault="001B077C" w:rsidP="001B077C">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625BBF7D" w14:textId="77777777" w:rsidR="001B077C" w:rsidRPr="001B3C5D" w:rsidRDefault="001B077C" w:rsidP="001B077C">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74CDFDA4" w14:textId="77777777" w:rsidR="001B077C" w:rsidRPr="001B3C5D" w:rsidRDefault="001B077C" w:rsidP="001B077C">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1B3C5D">
        <w:rPr>
          <w:rFonts w:ascii="Verdana" w:eastAsia="Calibri" w:hAnsi="Verdana" w:cs="Arial"/>
          <w:color w:val="000000"/>
          <w:vertAlign w:val="superscript"/>
          <w:lang w:val="es-MX"/>
        </w:rPr>
        <w:footnoteReference w:id="13"/>
      </w:r>
      <w:r w:rsidRPr="001B3C5D">
        <w:rPr>
          <w:rFonts w:ascii="Verdana" w:eastAsia="Calibri" w:hAnsi="Verdana" w:cs="Arial"/>
          <w:color w:val="000000"/>
          <w:lang w:val="es-MX"/>
        </w:rPr>
        <w:t xml:space="preserve">. Esto significa, </w:t>
      </w:r>
      <w:r w:rsidRPr="001B3C5D">
        <w:rPr>
          <w:rFonts w:ascii="Verdana" w:eastAsia="Calibri" w:hAnsi="Verdana" w:cs="Arial"/>
          <w:color w:val="000000"/>
          <w:lang w:val="es-MX"/>
        </w:rPr>
        <w:lastRenderedPageBreak/>
        <w:t>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1D88779D" w14:textId="77777777" w:rsidR="001B077C" w:rsidRPr="001B3C5D" w:rsidRDefault="001B077C" w:rsidP="001B077C">
      <w:pPr>
        <w:spacing w:before="120" w:after="120" w:line="276" w:lineRule="auto"/>
        <w:ind w:firstLine="642"/>
        <w:jc w:val="both"/>
        <w:rPr>
          <w:rFonts w:ascii="Verdana" w:eastAsia="Aptos" w:hAnsi="Verdana" w:cs="Arial"/>
          <w:kern w:val="2"/>
          <w:lang w:val="es-ES"/>
          <w14:ligatures w14:val="standardContextual"/>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7617F67" w14:textId="77777777" w:rsidR="001B077C" w:rsidRPr="001B3C5D" w:rsidRDefault="001B077C" w:rsidP="001B077C">
      <w:pPr>
        <w:spacing w:after="120" w:line="276" w:lineRule="auto"/>
        <w:ind w:firstLine="708"/>
        <w:jc w:val="both"/>
        <w:rPr>
          <w:rFonts w:ascii="Verdana" w:eastAsia="Calibri" w:hAnsi="Verdana" w:cs="Arial"/>
          <w:kern w:val="2"/>
          <w14:ligatures w14:val="standardContextual"/>
        </w:rPr>
      </w:pPr>
      <w:r w:rsidRPr="001B3C5D">
        <w:rPr>
          <w:rFonts w:ascii="Verdana" w:eastAsia="Aptos" w:hAnsi="Verdana" w:cs="Arial"/>
          <w:kern w:val="2"/>
          <w14:ligatures w14:val="standardContextual"/>
        </w:rPr>
        <w:t xml:space="preserve">Concretamente, con fundamento en el artículo 1 de la Ley 2022 de 2020, </w:t>
      </w:r>
      <w:r w:rsidRPr="001B3C5D">
        <w:rPr>
          <w:rFonts w:ascii="Verdana" w:eastAsia="Calibri" w:hAnsi="Verdana" w:cs="Arial"/>
          <w:kern w:val="2"/>
          <w:lang w:val="es-MX"/>
          <w14:ligatures w14:val="standardContextual"/>
        </w:rPr>
        <w:t xml:space="preserve">la Agencia Nacional de Contratación Pública – Colombia Compra </w:t>
      </w:r>
      <w:r w:rsidRPr="001B3C5D">
        <w:rPr>
          <w:rFonts w:ascii="Verdana" w:eastAsia="Calibri" w:hAnsi="Verdana" w:cs="Arial"/>
          <w:kern w:val="2"/>
          <w14:ligatures w14:val="standardContextual"/>
        </w:rPr>
        <w:t>Eficiente expidió los siguientes documentos tipo que se encuentran vigentes:</w:t>
      </w:r>
    </w:p>
    <w:p w14:paraId="12616332"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Sector de Infraestructura de Transporte:</w:t>
      </w:r>
    </w:p>
    <w:p w14:paraId="3D27214C"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213539ED"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11FC005C"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lastRenderedPageBreak/>
        <w:t xml:space="preserve">Resolución 464 del 10 de septiembre de 2024: “Por la cual se actualizan los documentos tipo para los procesos de obra pública de infraestructura de transporte adelantados bajo la modalidad de mínima cuantía”. </w:t>
      </w:r>
    </w:p>
    <w:p w14:paraId="0BA672F0"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0B94066E"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48C76800"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Sector de Infraestructura de Agua Potable y Saneamiento Básico:</w:t>
      </w:r>
    </w:p>
    <w:p w14:paraId="24EDB120"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4DB0EC65"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1769BB61"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4E46462A"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Sector de Infraestructura Social: </w:t>
      </w:r>
    </w:p>
    <w:p w14:paraId="78FE8F7F"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58D3FDF6"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lastRenderedPageBreak/>
        <w:t xml:space="preserve"> </w:t>
      </w: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57C2A5E6"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1635918"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3B5DE72E"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1C7A940C"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Documentos tipo para la contratación directa de convenios solidarios:</w:t>
      </w:r>
    </w:p>
    <w:p w14:paraId="258E5D03" w14:textId="77777777" w:rsidR="001B077C" w:rsidRPr="001B3C5D" w:rsidRDefault="001B077C" w:rsidP="001B077C">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Arial"/>
          <w:kern w:val="2"/>
          <w14:ligatures w14:val="standardContextual"/>
        </w:rPr>
        <w:t>Resolución 358 del 30 de junio de 2023 “</w:t>
      </w:r>
      <w:r w:rsidRPr="001B3C5D">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61930EF5" w14:textId="77777777" w:rsidR="001B077C" w:rsidRPr="001B3C5D" w:rsidRDefault="001B077C" w:rsidP="001B077C">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Documentos tipo de gestión catastral: </w:t>
      </w:r>
    </w:p>
    <w:p w14:paraId="61B1C929" w14:textId="77777777" w:rsidR="001B077C" w:rsidRPr="001B3C5D" w:rsidRDefault="001B077C" w:rsidP="001B077C">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7C7F02E8" w14:textId="77777777" w:rsidR="001B077C" w:rsidRPr="001B3C5D" w:rsidRDefault="001B077C" w:rsidP="001B077C">
      <w:pPr>
        <w:spacing w:after="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lastRenderedPageBreak/>
        <w:t>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2F9F7665" w14:textId="77777777" w:rsidR="001B077C" w:rsidRPr="001B3C5D" w:rsidRDefault="001B077C" w:rsidP="001B077C">
      <w:pPr>
        <w:spacing w:after="0" w:line="276" w:lineRule="auto"/>
        <w:ind w:firstLine="708"/>
        <w:jc w:val="both"/>
        <w:rPr>
          <w:rFonts w:ascii="Verdana" w:eastAsia="Aptos" w:hAnsi="Verdana" w:cs="Arial"/>
          <w:kern w:val="2"/>
          <w14:ligatures w14:val="standardContextual"/>
        </w:rPr>
      </w:pPr>
    </w:p>
    <w:p w14:paraId="138DBAC4" w14:textId="77777777" w:rsidR="001B077C" w:rsidRPr="001B3C5D" w:rsidRDefault="001B077C" w:rsidP="001B077C">
      <w:pPr>
        <w:spacing w:after="0" w:line="276" w:lineRule="auto"/>
        <w:jc w:val="both"/>
        <w:rPr>
          <w:rFonts w:ascii="Verdana" w:eastAsia="Calibri" w:hAnsi="Verdana" w:cs="Arial"/>
          <w:color w:val="000000"/>
          <w:lang w:val="es-MX"/>
        </w:rPr>
      </w:pPr>
      <w:proofErr w:type="spellStart"/>
      <w:r w:rsidRPr="001B3C5D">
        <w:rPr>
          <w:rFonts w:ascii="Verdana" w:eastAsia="Aptos" w:hAnsi="Verdana" w:cs="Times New Roman"/>
          <w:color w:val="000000"/>
          <w:kern w:val="2"/>
          <w:szCs w:val="24"/>
          <w14:ligatures w14:val="standardContextual"/>
        </w:rPr>
        <w:t>ii</w:t>
      </w:r>
      <w:proofErr w:type="spellEnd"/>
      <w:r w:rsidRPr="001B3C5D">
        <w:rPr>
          <w:rFonts w:ascii="Verdana" w:eastAsia="Aptos" w:hAnsi="Verdana" w:cs="Times New Roman"/>
          <w:color w:val="000000"/>
          <w:kern w:val="2"/>
          <w:szCs w:val="24"/>
          <w14:ligatures w14:val="standardContextual"/>
        </w:rPr>
        <w:t>. La jurisprudencia de la Corte Constitucional</w:t>
      </w:r>
      <w:r w:rsidRPr="001B3C5D">
        <w:rPr>
          <w:rFonts w:ascii="Verdana" w:eastAsia="Aptos" w:hAnsi="Verdana" w:cs="Times New Roman"/>
          <w:color w:val="000000"/>
          <w:kern w:val="2"/>
          <w:szCs w:val="24"/>
          <w:vertAlign w:val="superscript"/>
          <w14:ligatures w14:val="standardContextual"/>
        </w:rPr>
        <w:footnoteReference w:id="14"/>
      </w:r>
      <w:r w:rsidRPr="001B3C5D">
        <w:rPr>
          <w:rFonts w:ascii="Verdana" w:eastAsia="Aptos" w:hAnsi="Verdana" w:cs="Times New Roman"/>
          <w:color w:val="000000"/>
          <w:kern w:val="2"/>
          <w:szCs w:val="24"/>
          <w14:ligatures w14:val="standardContextual"/>
        </w:rPr>
        <w:t xml:space="preserve"> y el Consejo de Estado</w:t>
      </w:r>
      <w:r w:rsidRPr="001B3C5D">
        <w:rPr>
          <w:rFonts w:ascii="Verdana" w:eastAsia="Aptos" w:hAnsi="Verdana" w:cs="Times New Roman"/>
          <w:color w:val="000000"/>
          <w:kern w:val="2"/>
          <w:szCs w:val="24"/>
          <w:vertAlign w:val="superscript"/>
          <w14:ligatures w14:val="standardContextual"/>
        </w:rPr>
        <w:footnoteReference w:id="15"/>
      </w:r>
      <w:r w:rsidRPr="001B3C5D">
        <w:rPr>
          <w:rFonts w:ascii="Verdana" w:eastAsia="Aptos" w:hAnsi="Verdana" w:cs="Times New Roman"/>
          <w:color w:val="000000"/>
          <w:kern w:val="2"/>
          <w:szCs w:val="24"/>
          <w14:ligatures w14:val="standardContextual"/>
        </w:rPr>
        <w:t xml:space="preserve"> coinciden en afirmar que la potestad reglamentaria no recae exclusivamente en el presidente de la República y que en Colombia opera un </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sistema difuso</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 xml:space="preserve"> de producción normativa de carácter general. </w:t>
      </w:r>
      <w:r w:rsidRPr="001B3C5D">
        <w:rPr>
          <w:rFonts w:ascii="Verdana" w:eastAsia="Aptos" w:hAnsi="Verdana" w:cs="Times New Roman"/>
          <w:color w:val="000000"/>
          <w:kern w:val="2"/>
          <w:szCs w:val="24"/>
          <w:lang w:eastAsia="es-CO"/>
          <w14:ligatures w14:val="standardContextual"/>
        </w:rPr>
        <w:t>Además, señalan que son dos los elementos fundamentales de la potestad reglamentaria, a saber:</w:t>
      </w:r>
    </w:p>
    <w:p w14:paraId="3F429BEA" w14:textId="77777777" w:rsidR="001B077C" w:rsidRPr="001B3C5D" w:rsidRDefault="001B077C" w:rsidP="001B077C">
      <w:pPr>
        <w:spacing w:after="0" w:line="276" w:lineRule="auto"/>
        <w:ind w:right="51"/>
        <w:jc w:val="both"/>
        <w:rPr>
          <w:rFonts w:ascii="Verdana" w:eastAsia="Times New Roman" w:hAnsi="Verdana" w:cs="Arial"/>
          <w:szCs w:val="24"/>
          <w:lang w:eastAsia="es-MX"/>
        </w:rPr>
      </w:pPr>
    </w:p>
    <w:p w14:paraId="79642803" w14:textId="77777777" w:rsidR="001B077C" w:rsidRPr="001B3C5D" w:rsidRDefault="001B077C" w:rsidP="001B077C">
      <w:pPr>
        <w:numPr>
          <w:ilvl w:val="0"/>
          <w:numId w:val="21"/>
        </w:numPr>
        <w:spacing w:after="0" w:line="276" w:lineRule="auto"/>
        <w:ind w:right="51"/>
        <w:contextualSpacing/>
        <w:jc w:val="both"/>
        <w:rPr>
          <w:rFonts w:ascii="Verdana" w:eastAsia="Times New Roman" w:hAnsi="Verdana" w:cs="Arial"/>
          <w:szCs w:val="24"/>
          <w:lang w:eastAsia="es-MX"/>
        </w:rPr>
      </w:pPr>
      <w:r w:rsidRPr="001B3C5D">
        <w:rPr>
          <w:rFonts w:ascii="Verdana" w:eastAsia="Times New Roman" w:hAnsi="Verdana" w:cs="Arial"/>
          <w:b/>
          <w:bCs/>
          <w:szCs w:val="24"/>
          <w:lang w:eastAsia="es-MX"/>
        </w:rPr>
        <w:t>Necesidad:</w:t>
      </w:r>
      <w:r w:rsidRPr="001B3C5D">
        <w:rPr>
          <w:rFonts w:ascii="Verdana" w:eastAsia="Times New Roman" w:hAnsi="Verdana" w:cs="Arial"/>
          <w:szCs w:val="24"/>
          <w:lang w:eastAsia="es-MX"/>
        </w:rPr>
        <w:t xml:space="preserve"> consiste en que el ejercicio de la potestad reglamentaria se justifica en la medida en que la ley deje espacios de regulación que necesitan llenarse para la ejecución de esta mediante la expedición de actos jurídicos de contenido normativo, pues el legislador puede, en virtud del principio de libertad de configuración legislativa, determinar libremente hasta dónde regula la materia respectiva</w:t>
      </w:r>
      <w:r w:rsidRPr="001B3C5D">
        <w:rPr>
          <w:rFonts w:ascii="Verdana" w:eastAsia="Times New Roman" w:hAnsi="Verdana" w:cs="Arial"/>
          <w:szCs w:val="24"/>
          <w:vertAlign w:val="superscript"/>
          <w:lang w:eastAsia="es-MX"/>
        </w:rPr>
        <w:footnoteReference w:id="16"/>
      </w:r>
      <w:r w:rsidRPr="001B3C5D">
        <w:rPr>
          <w:rFonts w:ascii="Verdana" w:eastAsia="Times New Roman" w:hAnsi="Verdana" w:cs="Arial"/>
          <w:szCs w:val="24"/>
          <w:vertAlign w:val="superscript"/>
          <w:lang w:eastAsia="es-MX"/>
        </w:rPr>
        <w:t>;</w:t>
      </w:r>
    </w:p>
    <w:p w14:paraId="125FEA49" w14:textId="77777777" w:rsidR="001B077C" w:rsidRPr="001B3C5D" w:rsidRDefault="001B077C" w:rsidP="001B077C">
      <w:pPr>
        <w:spacing w:after="0" w:line="276" w:lineRule="auto"/>
        <w:ind w:right="51"/>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 </w:t>
      </w:r>
    </w:p>
    <w:p w14:paraId="04ABBB47" w14:textId="77777777" w:rsidR="001B077C" w:rsidRPr="001B3C5D" w:rsidRDefault="001B077C" w:rsidP="001B077C">
      <w:pPr>
        <w:numPr>
          <w:ilvl w:val="0"/>
          <w:numId w:val="21"/>
        </w:numPr>
        <w:spacing w:after="0" w:line="276" w:lineRule="auto"/>
        <w:ind w:right="51"/>
        <w:contextualSpacing/>
        <w:jc w:val="both"/>
        <w:rPr>
          <w:rFonts w:ascii="Verdana" w:eastAsia="Times New Roman" w:hAnsi="Verdana" w:cs="Arial"/>
          <w:szCs w:val="24"/>
          <w:lang w:eastAsia="es-MX"/>
        </w:rPr>
      </w:pPr>
      <w:r w:rsidRPr="001B3C5D">
        <w:rPr>
          <w:rFonts w:ascii="Verdana" w:eastAsia="Times New Roman" w:hAnsi="Verdana" w:cs="Arial"/>
          <w:b/>
          <w:bCs/>
          <w:szCs w:val="24"/>
          <w:lang w:eastAsia="es-MX"/>
        </w:rPr>
        <w:t>Finalidad:</w:t>
      </w:r>
      <w:r w:rsidRPr="001B3C5D">
        <w:rPr>
          <w:rFonts w:ascii="Verdana" w:eastAsia="Times New Roman" w:hAnsi="Verdana" w:cs="Arial"/>
          <w:szCs w:val="24"/>
          <w:lang w:eastAsia="es-MX"/>
        </w:rPr>
        <w:t xml:space="preserve"> tiene que ver con el contenido material de los actos que se dicten en ejercicio de la potestad reglamentaria, pues los decretos y resoluciones expedidos por el Gobierno nacional en ejercicio de dicha potestad están subordinados a la ley, de manera que el reglamento no puede modificarla, ampliarla o restringir sus efectos. Este último elemento, está asociado al respeto del principio de supremacía normativa </w:t>
      </w:r>
      <w:r w:rsidRPr="001B3C5D">
        <w:rPr>
          <w:rFonts w:ascii="Verdana" w:eastAsia="Times New Roman" w:hAnsi="Verdana" w:cs="Arial"/>
          <w:szCs w:val="24"/>
          <w:lang w:eastAsia="es-MX"/>
        </w:rPr>
        <w:lastRenderedPageBreak/>
        <w:t>pues, el ordenamiento jurídico colombiano supone una jerarquía que emana de la propia Constitución</w:t>
      </w:r>
      <w:r w:rsidRPr="001B3C5D">
        <w:rPr>
          <w:rFonts w:ascii="Verdana" w:eastAsia="Times New Roman" w:hAnsi="Verdana" w:cs="Arial"/>
          <w:szCs w:val="24"/>
          <w:vertAlign w:val="superscript"/>
          <w:lang w:eastAsia="es-MX"/>
        </w:rPr>
        <w:footnoteReference w:id="17"/>
      </w:r>
      <w:r w:rsidRPr="001B3C5D">
        <w:rPr>
          <w:rFonts w:ascii="Verdana" w:eastAsia="Times New Roman" w:hAnsi="Verdana" w:cs="Arial"/>
          <w:szCs w:val="24"/>
          <w:lang w:eastAsia="es-MX"/>
        </w:rPr>
        <w:t>.</w:t>
      </w:r>
    </w:p>
    <w:p w14:paraId="4B3C5494" w14:textId="77777777" w:rsidR="001B077C" w:rsidRPr="001B3C5D" w:rsidRDefault="001B077C" w:rsidP="001B077C">
      <w:pPr>
        <w:spacing w:after="0" w:line="240" w:lineRule="auto"/>
        <w:ind w:left="357" w:right="51"/>
        <w:jc w:val="both"/>
        <w:rPr>
          <w:rFonts w:ascii="Verdana" w:eastAsia="Times New Roman" w:hAnsi="Verdana" w:cs="Arial"/>
          <w:szCs w:val="24"/>
          <w:lang w:eastAsia="es-MX"/>
        </w:rPr>
      </w:pPr>
    </w:p>
    <w:p w14:paraId="64859E09" w14:textId="77777777" w:rsidR="001B077C" w:rsidRPr="001B3C5D" w:rsidRDefault="001B077C" w:rsidP="001B077C">
      <w:pPr>
        <w:spacing w:after="0" w:line="276" w:lineRule="auto"/>
        <w:ind w:right="50" w:firstLine="708"/>
        <w:jc w:val="both"/>
        <w:rPr>
          <w:rFonts w:ascii="Verdana" w:eastAsia="Times New Roman" w:hAnsi="Verdana" w:cs="Arial"/>
          <w:szCs w:val="24"/>
          <w:lang w:eastAsia="es-MX"/>
        </w:rPr>
      </w:pPr>
      <w:r w:rsidRPr="001B3C5D">
        <w:rPr>
          <w:rFonts w:ascii="Verdana" w:eastAsia="Times New Roman" w:hAnsi="Verdana" w:cs="Arial"/>
          <w:szCs w:val="24"/>
          <w:lang w:eastAsia="es-ES"/>
        </w:rPr>
        <w:t>En efecto, el desarrollo de la potestad reglamentaria exige que la ley haya configurado una materialidad legislativa básica, pues busca convertir en realidad un enunciado normativo abstracto. Los límites de esta facultad han sido desarrollados por la jurisprudencia de las Altas Cortes, en especial por la Corte Constitucional, quien a modo de subreglas</w:t>
      </w:r>
      <w:r w:rsidRPr="001B3C5D">
        <w:rPr>
          <w:rFonts w:ascii="Verdana" w:eastAsia="Times New Roman" w:hAnsi="Verdana" w:cs="Arial"/>
          <w:szCs w:val="24"/>
          <w:vertAlign w:val="superscript"/>
          <w:lang w:eastAsia="es-MX"/>
        </w:rPr>
        <w:footnoteReference w:id="18"/>
      </w:r>
      <w:r w:rsidRPr="001B3C5D">
        <w:rPr>
          <w:rFonts w:ascii="Verdana" w:eastAsia="Times New Roman" w:hAnsi="Verdana" w:cs="Arial"/>
          <w:szCs w:val="24"/>
          <w:lang w:eastAsia="es-ES"/>
        </w:rPr>
        <w:t xml:space="preserve"> explica ciertas limitaciones en el ejercicio de esta competencia</w:t>
      </w:r>
      <w:r w:rsidRPr="001B3C5D">
        <w:rPr>
          <w:rFonts w:ascii="Verdana" w:eastAsia="Times New Roman" w:hAnsi="Verdana" w:cs="Arial"/>
          <w:szCs w:val="24"/>
          <w:lang w:eastAsia="es-MX"/>
        </w:rPr>
        <w:t>:</w:t>
      </w:r>
    </w:p>
    <w:p w14:paraId="750CAB2A" w14:textId="77777777" w:rsidR="001B077C" w:rsidRPr="001B3C5D" w:rsidRDefault="001B077C" w:rsidP="001B077C">
      <w:pPr>
        <w:spacing w:after="0" w:line="276" w:lineRule="auto"/>
        <w:ind w:right="50"/>
        <w:jc w:val="both"/>
        <w:rPr>
          <w:rFonts w:ascii="Verdana" w:eastAsia="Times New Roman" w:hAnsi="Verdana" w:cs="Arial"/>
          <w:szCs w:val="24"/>
          <w:lang w:eastAsia="es-MX"/>
        </w:rPr>
      </w:pPr>
    </w:p>
    <w:p w14:paraId="020F59AE" w14:textId="77777777" w:rsidR="001B077C" w:rsidRPr="001B3C5D" w:rsidRDefault="001B077C" w:rsidP="001B077C">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La potestad reglamentaria se restringe en la medida en que el Congreso de la República utilice en mayor o menor grado sus poderes jurídicos. Tanto así, que se ha manifestado que la misma es inversamente proporcional a la extensión de la ley. </w:t>
      </w:r>
    </w:p>
    <w:p w14:paraId="21F01F96" w14:textId="77777777" w:rsidR="001B077C" w:rsidRPr="001B3C5D" w:rsidRDefault="001B077C" w:rsidP="001B077C">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El presidente no podrá establecer por vía de decreto reglamentario una excepción, aun cuando la misma fuera supuestamente temporal, sin que previa y expresamente el legislador lo hubiere autorizado para ello y fijado un límite temporal específico. </w:t>
      </w:r>
    </w:p>
    <w:p w14:paraId="13F879E4" w14:textId="77777777" w:rsidR="001B077C" w:rsidRPr="001B3C5D" w:rsidRDefault="001B077C" w:rsidP="001B077C">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Cualquier determinación sobre la vigencia de las leyes sólo puede definirla el propio legislador. </w:t>
      </w:r>
    </w:p>
    <w:p w14:paraId="3E68D361" w14:textId="77777777" w:rsidR="001B077C" w:rsidRPr="001B3C5D" w:rsidRDefault="001B077C" w:rsidP="001B077C">
      <w:pPr>
        <w:numPr>
          <w:ilvl w:val="0"/>
          <w:numId w:val="20"/>
        </w:numPr>
        <w:spacing w:before="100" w:beforeAutospacing="1" w:after="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El ejercicio de la potestad reglamentaria no debe sobrepasar ni invadir la competencia del Congreso de la República, en el sentido de que el reglamento no puede desfigurar la situación regulada por la ley ni hacerla nugatoria.</w:t>
      </w:r>
    </w:p>
    <w:p w14:paraId="568208E1" w14:textId="77777777" w:rsidR="001B077C" w:rsidRPr="001B3C5D" w:rsidRDefault="001B077C" w:rsidP="001B077C">
      <w:pPr>
        <w:numPr>
          <w:ilvl w:val="0"/>
          <w:numId w:val="20"/>
        </w:numPr>
        <w:spacing w:after="0" w:line="276" w:lineRule="auto"/>
        <w:ind w:left="709" w:right="51" w:hanging="567"/>
        <w:jc w:val="both"/>
        <w:rPr>
          <w:rFonts w:ascii="Verdana" w:eastAsia="Times New Roman" w:hAnsi="Verdana" w:cs="Arial"/>
          <w:szCs w:val="24"/>
          <w:lang w:eastAsia="es-MX"/>
        </w:rPr>
      </w:pPr>
      <w:r w:rsidRPr="001B3C5D">
        <w:rPr>
          <w:rFonts w:ascii="Verdana" w:eastAsia="Times New Roman" w:hAnsi="Verdana" w:cs="Arial"/>
          <w:szCs w:val="24"/>
          <w:lang w:eastAsia="es-MX"/>
        </w:rPr>
        <w:t>La potestad reglamentaria no puede incluir requisitos adicionales a los previstos en la ley, y el Gobierno no puede desconocer la Constitución ni el contenido o las pautas trazadas en la ley ni reglamentar normas que no ejecuta la administración.</w:t>
      </w:r>
    </w:p>
    <w:p w14:paraId="559B7501" w14:textId="77777777" w:rsidR="001B077C" w:rsidRPr="001B3C5D" w:rsidRDefault="001B077C" w:rsidP="001B077C">
      <w:pPr>
        <w:spacing w:after="0" w:line="240" w:lineRule="auto"/>
        <w:jc w:val="both"/>
        <w:rPr>
          <w:rFonts w:ascii="Verdana" w:eastAsia="Times New Roman" w:hAnsi="Verdana" w:cs="Arial"/>
          <w:lang w:eastAsia="es-MX"/>
        </w:rPr>
      </w:pPr>
    </w:p>
    <w:p w14:paraId="47E49C54" w14:textId="77777777" w:rsidR="001B077C" w:rsidRPr="001B3C5D" w:rsidRDefault="001B077C" w:rsidP="001B077C">
      <w:pPr>
        <w:spacing w:after="120" w:line="276" w:lineRule="auto"/>
        <w:ind w:firstLine="708"/>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Como se explicó en acápites anteriores, la Ley 2022 de 2020 facultó a la Agencia Nacional de Contratación Pública – Colombia Compra Eficiente para </w:t>
      </w:r>
      <w:r w:rsidRPr="001B3C5D">
        <w:rPr>
          <w:rFonts w:ascii="Verdana" w:eastAsia="Times New Roman" w:hAnsi="Verdana" w:cs="Arial"/>
          <w:szCs w:val="24"/>
          <w:lang w:eastAsia="es-MX"/>
        </w:rPr>
        <w:lastRenderedPageBreak/>
        <w:t xml:space="preserve">adoptar documentos tipo que serán de obligatorio cumplimiento en la actividad contractual de las entidades sometidas al Estatuto General de Contratación de la Administración Pública. De este modo, la intención del legislador fue otorgarle esta facultad al ente rector del Sistema de Compra Pública. </w:t>
      </w:r>
    </w:p>
    <w:p w14:paraId="284E0AC0" w14:textId="77777777" w:rsidR="001B077C" w:rsidRPr="001B3C5D" w:rsidRDefault="001B077C" w:rsidP="001B077C">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szCs w:val="24"/>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szCs w:val="24"/>
          <w:vertAlign w:val="superscript"/>
          <w:lang w:eastAsia="es-MX"/>
        </w:rPr>
        <w:footnoteReference w:id="19"/>
      </w:r>
      <w:r w:rsidRPr="001B3C5D">
        <w:rPr>
          <w:rFonts w:ascii="Verdana" w:eastAsia="Times New Roman" w:hAnsi="Verdana" w:cs="Arial"/>
          <w:szCs w:val="24"/>
          <w:lang w:eastAsia="es-MX"/>
        </w:rPr>
        <w:t>”</w:t>
      </w:r>
      <w:r w:rsidRPr="001B3C5D">
        <w:rPr>
          <w:rFonts w:ascii="Verdana" w:eastAsia="Times New Roman" w:hAnsi="Verdana" w:cs="Arial"/>
          <w:i/>
          <w:iCs/>
          <w:szCs w:val="24"/>
          <w:lang w:eastAsia="es-MX"/>
        </w:rPr>
        <w:t>.</w:t>
      </w:r>
      <w:r w:rsidRPr="001B3C5D">
        <w:rPr>
          <w:rFonts w:ascii="Verdana" w:eastAsia="Times New Roman" w:hAnsi="Verdana" w:cs="Arial"/>
          <w:szCs w:val="24"/>
          <w:lang w:eastAsia="es-MX"/>
        </w:rPr>
        <w:t xml:space="preserve"> Además, el Consejo de Estado, Sección Primera, en la Sentencia del 29 de abril </w:t>
      </w:r>
      <w:r w:rsidRPr="001B3C5D">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20"/>
      </w:r>
      <w:r w:rsidRPr="001B3C5D">
        <w:rPr>
          <w:rFonts w:ascii="Verdana" w:eastAsia="Times New Roman" w:hAnsi="Verdana" w:cs="Arial"/>
          <w:lang w:eastAsia="es-MX"/>
        </w:rPr>
        <w:t xml:space="preserve">. </w:t>
      </w:r>
    </w:p>
    <w:p w14:paraId="54FF1F1F" w14:textId="77777777" w:rsidR="001B077C" w:rsidRPr="001B3C5D" w:rsidRDefault="001B077C" w:rsidP="001B077C">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21"/>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22"/>
      </w:r>
      <w:r w:rsidRPr="001B3C5D">
        <w:rPr>
          <w:rFonts w:ascii="Verdana" w:eastAsia="Times New Roman" w:hAnsi="Verdana" w:cs="Arial"/>
          <w:lang w:eastAsia="es-MX"/>
        </w:rPr>
        <w:t>.</w:t>
      </w:r>
    </w:p>
    <w:p w14:paraId="5A59CB04" w14:textId="77777777" w:rsidR="001B077C" w:rsidRPr="001B3C5D" w:rsidRDefault="001B077C" w:rsidP="001B077C">
      <w:pPr>
        <w:spacing w:after="0"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 xml:space="preserve">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w:t>
      </w:r>
      <w:r w:rsidRPr="001B3C5D">
        <w:rPr>
          <w:rFonts w:ascii="Verdana" w:eastAsia="Times New Roman" w:hAnsi="Verdana" w:cs="Arial"/>
          <w:lang w:eastAsia="es-ES"/>
        </w:rPr>
        <w:lastRenderedPageBreak/>
        <w:t>Departamento Nacional de Planeación</w:t>
      </w:r>
      <w:r w:rsidRPr="001B3C5D">
        <w:rPr>
          <w:rFonts w:ascii="Verdana" w:eastAsia="Calibri" w:hAnsi="Verdana" w:cs="Arial"/>
          <w:vertAlign w:val="superscript"/>
          <w:lang w:eastAsia="es-CO"/>
        </w:rPr>
        <w:footnoteReference w:id="23"/>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41CE41BA" w14:textId="77777777" w:rsidR="001B077C" w:rsidRPr="001B3C5D" w:rsidRDefault="001B077C" w:rsidP="001B077C">
      <w:pPr>
        <w:spacing w:after="0" w:line="240" w:lineRule="auto"/>
        <w:jc w:val="both"/>
        <w:rPr>
          <w:rFonts w:ascii="Verdana" w:eastAsia="Times New Roman" w:hAnsi="Verdana" w:cs="Arial"/>
          <w:lang w:eastAsia="es-CO"/>
        </w:rPr>
      </w:pPr>
    </w:p>
    <w:p w14:paraId="20BC5E47" w14:textId="77777777" w:rsidR="001B077C" w:rsidRPr="001B3C5D" w:rsidRDefault="001B077C" w:rsidP="001B077C">
      <w:pPr>
        <w:spacing w:after="0" w:line="240" w:lineRule="auto"/>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75799E3C" w14:textId="77777777" w:rsidR="001B077C" w:rsidRPr="001B3C5D" w:rsidRDefault="001B077C" w:rsidP="001B077C">
      <w:pPr>
        <w:spacing w:after="0" w:line="240" w:lineRule="auto"/>
        <w:ind w:left="709" w:right="709"/>
        <w:jc w:val="both"/>
        <w:rPr>
          <w:rFonts w:ascii="Verdana" w:eastAsia="Times New Roman" w:hAnsi="Verdana" w:cs="Arial"/>
          <w:lang w:eastAsia="es-CO"/>
        </w:rPr>
      </w:pPr>
    </w:p>
    <w:p w14:paraId="55B858D5" w14:textId="77777777" w:rsidR="001B077C" w:rsidRPr="001B3C5D" w:rsidRDefault="001B077C" w:rsidP="001B077C">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24"/>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1C34D918" w14:textId="77777777" w:rsidR="001B077C" w:rsidRPr="001B3C5D" w:rsidRDefault="001B077C" w:rsidP="001B077C">
      <w:pPr>
        <w:spacing w:after="0" w:line="240" w:lineRule="auto"/>
        <w:jc w:val="both"/>
        <w:rPr>
          <w:rFonts w:ascii="Verdana" w:eastAsia="Times New Roman" w:hAnsi="Verdana" w:cs="Arial"/>
          <w:lang w:eastAsia="es-ES"/>
        </w:rPr>
      </w:pPr>
    </w:p>
    <w:p w14:paraId="32792EE8" w14:textId="77777777" w:rsidR="001B077C" w:rsidRPr="001B3C5D" w:rsidRDefault="001B077C" w:rsidP="001B077C">
      <w:pPr>
        <w:spacing w:after="240" w:line="240" w:lineRule="auto"/>
        <w:ind w:left="709" w:right="709"/>
        <w:jc w:val="both"/>
        <w:rPr>
          <w:rFonts w:ascii="Verdana" w:eastAsia="Times New Roman" w:hAnsi="Verdana" w:cs="Arial"/>
          <w:i/>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25"/>
      </w:r>
      <w:r w:rsidRPr="001B3C5D">
        <w:rPr>
          <w:rFonts w:ascii="Verdana" w:eastAsia="Times New Roman" w:hAnsi="Verdana" w:cs="Arial"/>
          <w:i/>
          <w:iCs/>
          <w:sz w:val="21"/>
          <w:szCs w:val="21"/>
          <w:lang w:eastAsia="es-ES"/>
        </w:rPr>
        <w:t xml:space="preserve">. </w:t>
      </w:r>
    </w:p>
    <w:p w14:paraId="6E09552B" w14:textId="77777777" w:rsidR="001B077C" w:rsidRPr="001B3C5D" w:rsidRDefault="001B077C" w:rsidP="001B077C">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lastRenderedPageBreak/>
        <w:t>Lo anterior fue reiterado por el Consejo de Estado, en la sentencia del 16 de agosto de 2017, en el expediente 56.166, en los siguientes términos:</w:t>
      </w:r>
    </w:p>
    <w:p w14:paraId="7715391F" w14:textId="77777777" w:rsidR="001B077C" w:rsidRPr="001B3C5D" w:rsidRDefault="001B077C" w:rsidP="001B077C">
      <w:pPr>
        <w:spacing w:after="0" w:line="240" w:lineRule="auto"/>
        <w:jc w:val="both"/>
        <w:rPr>
          <w:rFonts w:ascii="Verdana" w:eastAsia="Times New Roman" w:hAnsi="Verdana" w:cs="Arial"/>
          <w:lang w:eastAsia="es-ES"/>
        </w:rPr>
      </w:pPr>
    </w:p>
    <w:p w14:paraId="043D46B0" w14:textId="77777777" w:rsidR="001B077C" w:rsidRPr="001B3C5D" w:rsidRDefault="001B077C" w:rsidP="001B077C">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26"/>
      </w:r>
      <w:r w:rsidRPr="001B3C5D">
        <w:rPr>
          <w:rFonts w:ascii="Verdana" w:eastAsia="Times New Roman" w:hAnsi="Verdana" w:cs="Arial"/>
          <w:sz w:val="21"/>
          <w:szCs w:val="21"/>
          <w:lang w:eastAsia="es-ES"/>
        </w:rPr>
        <w:t>.</w:t>
      </w:r>
    </w:p>
    <w:p w14:paraId="3DCD7B1F" w14:textId="77777777" w:rsidR="001B077C" w:rsidRPr="001B3C5D" w:rsidRDefault="001B077C" w:rsidP="001B077C">
      <w:pPr>
        <w:spacing w:after="0" w:line="240" w:lineRule="auto"/>
        <w:ind w:left="709" w:right="709"/>
        <w:jc w:val="both"/>
        <w:rPr>
          <w:rFonts w:ascii="Verdana" w:eastAsia="Times New Roman" w:hAnsi="Verdana" w:cs="Arial"/>
          <w:lang w:eastAsia="es-ES"/>
        </w:rPr>
      </w:pPr>
    </w:p>
    <w:p w14:paraId="0EF91C0C" w14:textId="77777777" w:rsidR="001B077C" w:rsidRPr="001B3C5D" w:rsidRDefault="001B077C" w:rsidP="001B077C">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27"/>
      </w:r>
      <w:r w:rsidRPr="001B3C5D">
        <w:rPr>
          <w:rFonts w:ascii="Verdana" w:eastAsia="Times New Roman" w:hAnsi="Verdana" w:cs="Arial"/>
          <w:lang w:eastAsia="es-ES"/>
        </w:rPr>
        <w:t>.</w:t>
      </w:r>
    </w:p>
    <w:p w14:paraId="05B5AC4A" w14:textId="77777777" w:rsidR="001B077C" w:rsidRPr="001B3C5D" w:rsidRDefault="001B077C" w:rsidP="001B077C">
      <w:pPr>
        <w:tabs>
          <w:tab w:val="center" w:pos="4419"/>
          <w:tab w:val="right" w:pos="8838"/>
        </w:tabs>
        <w:spacing w:after="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Conviene reiterar que, conforme con lo manifestado por el Consejo de Estado</w:t>
      </w:r>
      <w:r w:rsidRPr="001B3C5D">
        <w:rPr>
          <w:rFonts w:ascii="Verdana" w:eastAsia="Times New Roman" w:hAnsi="Verdana" w:cs="Arial"/>
          <w:vertAlign w:val="superscript"/>
          <w:lang w:eastAsia="es-ES"/>
        </w:rPr>
        <w:footnoteReference w:id="28"/>
      </w:r>
      <w:r w:rsidRPr="001B3C5D">
        <w:rPr>
          <w:rFonts w:ascii="Verdana" w:eastAsia="Times New Roman" w:hAnsi="Verdana" w:cs="Arial"/>
          <w:lang w:eastAsia="es-ES"/>
        </w:rPr>
        <w:t>,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modificar el esquema constitucional establecido para el ejercicio de la potestad reglamentaria en cabeza del Gobierno Nacional:</w:t>
      </w:r>
    </w:p>
    <w:p w14:paraId="259F41A4" w14:textId="77777777" w:rsidR="001B077C" w:rsidRPr="001B3C5D" w:rsidRDefault="001B077C" w:rsidP="001B077C">
      <w:pPr>
        <w:tabs>
          <w:tab w:val="center" w:pos="4419"/>
          <w:tab w:val="right" w:pos="8838"/>
        </w:tabs>
        <w:spacing w:after="0" w:line="240" w:lineRule="auto"/>
        <w:jc w:val="both"/>
        <w:rPr>
          <w:rFonts w:ascii="Verdana" w:eastAsia="Times New Roman" w:hAnsi="Verdana" w:cs="Arial"/>
          <w:lang w:eastAsia="es-ES"/>
        </w:rPr>
      </w:pPr>
    </w:p>
    <w:p w14:paraId="69A5F13D" w14:textId="77777777" w:rsidR="001B077C" w:rsidRPr="001B3C5D" w:rsidRDefault="001B077C" w:rsidP="001B077C">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para la Sala resulta claro que con el Decreto-Ley 4170 de 2011 el legislador extraordinario no quiso modificar –como en efecto no lo hizo– el esquema de producción normativa establecido en la Constitución Política y, por lo mismo, las funciones asignadas a </w:t>
      </w:r>
      <w:r w:rsidRPr="001B3C5D">
        <w:rPr>
          <w:rFonts w:ascii="Verdana" w:eastAsia="Times New Roman" w:hAnsi="Verdana" w:cs="Arial"/>
          <w:sz w:val="21"/>
          <w:szCs w:val="21"/>
          <w:lang w:eastAsia="es-ES"/>
        </w:rPr>
        <w:lastRenderedPageBreak/>
        <w:t xml:space="preserve">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esta última todo aquello relativo a la contratación del Estado. Por el contrario, lo que resulta evidente es que </w:t>
      </w:r>
      <w:r w:rsidRPr="001B3C5D">
        <w:rPr>
          <w:rFonts w:ascii="Verdana" w:eastAsia="Times New Roman" w:hAnsi="Verdana" w:cs="Arial"/>
          <w:sz w:val="21"/>
          <w:szCs w:val="21"/>
          <w:u w:val="single"/>
          <w:lang w:eastAsia="es-ES"/>
        </w:rPr>
        <w:t>el presidente de la República cuenta ahora con una entidad especializada que lo apoya técnicamente</w:t>
      </w:r>
      <w:r w:rsidRPr="001B3C5D">
        <w:rPr>
          <w:rFonts w:ascii="Verdana" w:eastAsia="Times New Roman" w:hAnsi="Verdana" w:cs="Arial"/>
          <w:sz w:val="21"/>
          <w:szCs w:val="21"/>
          <w:lang w:eastAsia="es-ES"/>
        </w:rPr>
        <w:t xml:space="preserve"> tanto en la formulación de una política pública en materia de compras y contratación pública, </w:t>
      </w:r>
      <w:r w:rsidRPr="001B3C5D">
        <w:rPr>
          <w:rFonts w:ascii="Verdana" w:eastAsia="Times New Roman" w:hAnsi="Verdana" w:cs="Arial"/>
          <w:sz w:val="21"/>
          <w:szCs w:val="21"/>
          <w:u w:val="single"/>
          <w:lang w:eastAsia="es-ES"/>
        </w:rPr>
        <w:t>como en su labor de producción normativa, sin que por ello se desprenda de las normas pertinentes alguna suerte de escisión de las facultades</w:t>
      </w:r>
      <w:r w:rsidRPr="001B3C5D">
        <w:rPr>
          <w:rFonts w:ascii="Verdana" w:eastAsia="Times New Roman" w:hAnsi="Verdana" w:cs="Arial"/>
          <w:b/>
          <w:bCs/>
          <w:sz w:val="21"/>
          <w:szCs w:val="21"/>
          <w:lang w:eastAsia="es-ES"/>
        </w:rPr>
        <w:t>.</w:t>
      </w:r>
      <w:r w:rsidRPr="001B3C5D">
        <w:rPr>
          <w:rFonts w:ascii="Verdana" w:eastAsia="Times New Roman" w:hAnsi="Verdana" w:cs="Arial"/>
          <w:sz w:val="21"/>
          <w:szCs w:val="21"/>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legales y a la reglamentación expedida por el presidente de la República”</w:t>
      </w:r>
      <w:r w:rsidRPr="001B3C5D">
        <w:rPr>
          <w:rFonts w:ascii="Verdana" w:eastAsia="Times New Roman" w:hAnsi="Verdana" w:cs="Arial"/>
          <w:sz w:val="21"/>
          <w:szCs w:val="21"/>
          <w:vertAlign w:val="superscript"/>
          <w:lang w:eastAsia="es-ES"/>
        </w:rPr>
        <w:footnoteReference w:id="29"/>
      </w:r>
      <w:r w:rsidRPr="001B3C5D">
        <w:rPr>
          <w:rFonts w:ascii="Verdana" w:eastAsia="Times New Roman" w:hAnsi="Verdana" w:cs="Arial"/>
          <w:i/>
          <w:iCs/>
          <w:sz w:val="21"/>
          <w:szCs w:val="21"/>
          <w:lang w:eastAsia="es-ES"/>
        </w:rPr>
        <w:t>.</w:t>
      </w:r>
      <w:r w:rsidRPr="001B3C5D">
        <w:rPr>
          <w:rFonts w:ascii="Verdana" w:eastAsia="Times New Roman" w:hAnsi="Verdana" w:cs="Arial"/>
          <w:sz w:val="21"/>
          <w:szCs w:val="21"/>
          <w:lang w:eastAsia="es-ES"/>
        </w:rPr>
        <w:t xml:space="preserve"> (Subrayado fuera del texto) </w:t>
      </w:r>
    </w:p>
    <w:p w14:paraId="1E24A800" w14:textId="77777777" w:rsidR="001B077C" w:rsidRPr="001B3C5D" w:rsidRDefault="001B077C" w:rsidP="001B077C">
      <w:pPr>
        <w:tabs>
          <w:tab w:val="center" w:pos="4419"/>
          <w:tab w:val="right" w:pos="8838"/>
        </w:tabs>
        <w:spacing w:after="0" w:line="240" w:lineRule="auto"/>
        <w:jc w:val="both"/>
        <w:rPr>
          <w:rFonts w:ascii="Verdana" w:eastAsia="Times New Roman" w:hAnsi="Verdana" w:cs="Arial"/>
          <w:lang w:eastAsia="es-ES"/>
        </w:rPr>
      </w:pPr>
    </w:p>
    <w:p w14:paraId="7F4DBE9F" w14:textId="77777777" w:rsidR="001B077C" w:rsidRPr="001B3C5D" w:rsidRDefault="001B077C" w:rsidP="001B077C">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 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reglamentario por cuanto el artículo 2 de la Ley 1150 de 2007 confirió al Gobierno Nacional la facultad de fijar con fuerza vinculante, </w:t>
      </w:r>
      <w:r w:rsidRPr="001B3C5D">
        <w:rPr>
          <w:rFonts w:ascii="Verdana" w:eastAsia="MS Mincho" w:hAnsi="Verdana" w:cs="Arial"/>
          <w:lang w:eastAsia="es-CO"/>
        </w:rPr>
        <w:t>“</w:t>
      </w:r>
      <w:r w:rsidRPr="001B3C5D">
        <w:rPr>
          <w:rFonts w:ascii="Verdana" w:eastAsia="Times New Roman" w:hAnsi="Verdana" w:cs="Arial"/>
          <w:iCs/>
          <w:lang w:eastAsia="es-ES"/>
        </w:rPr>
        <w:t>las condiciones generales de los pliegos de condiciones y los contratos de las entidades estatales</w:t>
      </w:r>
      <w:r w:rsidRPr="001B3C5D">
        <w:rPr>
          <w:rFonts w:ascii="Verdana" w:eastAsia="MS Mincho" w:hAnsi="Verdana" w:cs="Arial"/>
          <w:lang w:eastAsia="es-CO"/>
        </w:rPr>
        <w:t>”</w:t>
      </w:r>
      <w:r w:rsidRPr="001B3C5D">
        <w:rPr>
          <w:rFonts w:ascii="Verdana" w:eastAsia="Times New Roman" w:hAnsi="Verdana" w:cs="Arial"/>
          <w:lang w:eastAsia="es-ES"/>
        </w:rPr>
        <w:t xml:space="preserve"> para la adquisición de bienes y servicios de características técnicas uniformes y de común utilización, sin hacer referencia a la adopción de otro tipo de contratos o modalidades. </w:t>
      </w:r>
    </w:p>
    <w:p w14:paraId="6496C38F" w14:textId="77777777" w:rsidR="001B077C" w:rsidRPr="001B3C5D" w:rsidRDefault="001B077C" w:rsidP="001B077C">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De igual manera, aclaró que en el marco normativo en el cual fue expedido el Decreto 1510 de 2013 no se contaba con la facultad legal por parte de la Agencia Nacional de Contratación Pública - Colombia Compra Eficiente para el diseño e implementación de documentos estandarizados para ninguna modalidad de contratación con efectos obligatorios para las entidades públicas, </w:t>
      </w:r>
      <w:r w:rsidRPr="001B3C5D">
        <w:rPr>
          <w:rFonts w:ascii="Verdana" w:eastAsia="Times New Roman" w:hAnsi="Verdana" w:cs="Arial"/>
          <w:lang w:eastAsia="es-ES"/>
        </w:rPr>
        <w:lastRenderedPageBreak/>
        <w:t>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establecidos en la ley citada acorde con las funciones, objeto y misión de la entidad.</w:t>
      </w:r>
    </w:p>
    <w:p w14:paraId="06D93113" w14:textId="77777777" w:rsidR="001B077C" w:rsidRPr="001B3C5D" w:rsidRDefault="001B077C" w:rsidP="001B077C">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1B3C5D">
        <w:rPr>
          <w:rFonts w:ascii="Verdana" w:eastAsia="MS Mincho" w:hAnsi="Verdana" w:cs="Arial"/>
          <w:lang w:eastAsia="es-CO"/>
        </w:rPr>
        <w:t xml:space="preserve"> </w:t>
      </w:r>
    </w:p>
    <w:p w14:paraId="553C5D80" w14:textId="77777777" w:rsidR="001B077C" w:rsidRPr="001B3C5D" w:rsidRDefault="001B077C" w:rsidP="001B077C">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07DBC8CD" w14:textId="77777777" w:rsidR="001B077C" w:rsidRPr="001B3C5D" w:rsidRDefault="001B077C" w:rsidP="001B077C">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r w:rsidRPr="001B3C5D">
        <w:rPr>
          <w:rFonts w:ascii="Verdana" w:eastAsia="MS Mincho" w:hAnsi="Verdana" w:cs="Arial"/>
          <w:lang w:eastAsia="es-CO"/>
        </w:rPr>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15B31706" w14:textId="77777777" w:rsidR="001B077C" w:rsidRPr="001B3C5D" w:rsidRDefault="001B077C" w:rsidP="001B077C">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p>
    <w:p w14:paraId="1286FDA6" w14:textId="77777777" w:rsidR="001B077C" w:rsidRPr="001B3C5D" w:rsidRDefault="001B077C" w:rsidP="001B077C">
      <w:pPr>
        <w:tabs>
          <w:tab w:val="center" w:pos="4419"/>
          <w:tab w:val="right" w:pos="8838"/>
        </w:tabs>
        <w:spacing w:after="0" w:line="276" w:lineRule="auto"/>
        <w:jc w:val="both"/>
        <w:rPr>
          <w:rFonts w:ascii="Verdana" w:eastAsia="Calibri" w:hAnsi="Verdana" w:cs="Arial"/>
          <w:color w:val="000000"/>
          <w:lang w:val="es-ES"/>
        </w:rPr>
      </w:pPr>
      <w:proofErr w:type="spellStart"/>
      <w:r w:rsidRPr="001B3C5D">
        <w:rPr>
          <w:rFonts w:ascii="Verdana" w:eastAsia="Aptos" w:hAnsi="Verdana" w:cs="Times New Roman"/>
          <w:kern w:val="2"/>
          <w:sz w:val="24"/>
          <w:szCs w:val="24"/>
          <w14:ligatures w14:val="standardContextual"/>
        </w:rPr>
        <w:t>iii</w:t>
      </w:r>
      <w:proofErr w:type="spellEnd"/>
      <w:r w:rsidRPr="001B3C5D">
        <w:rPr>
          <w:rFonts w:ascii="Verdana" w:eastAsia="Aptos" w:hAnsi="Verdana" w:cs="Times New Roman"/>
          <w:kern w:val="2"/>
          <w:sz w:val="24"/>
          <w:szCs w:val="24"/>
          <w14:ligatures w14:val="standardContextual"/>
        </w:rPr>
        <w:t xml:space="preserve">. </w:t>
      </w:r>
      <w:r w:rsidRPr="001B3C5D">
        <w:rPr>
          <w:rFonts w:ascii="Verdana" w:eastAsia="Calibri" w:hAnsi="Verdana" w:cs="Arial"/>
          <w:color w:val="000000"/>
          <w:lang w:val="es-ES"/>
        </w:rPr>
        <w:t>Todas las resoluciones</w:t>
      </w:r>
      <w:r w:rsidRPr="001B3C5D">
        <w:rPr>
          <w:rFonts w:ascii="Verdana" w:eastAsia="Calibri" w:hAnsi="Verdana" w:cs="Arial"/>
          <w:color w:val="000000"/>
          <w:vertAlign w:val="superscript"/>
          <w:lang w:val="es-ES"/>
        </w:rPr>
        <w:footnoteReference w:id="30"/>
      </w:r>
      <w:r w:rsidRPr="001B3C5D">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lastRenderedPageBreak/>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FBD932F" w14:textId="77777777" w:rsidR="001B077C" w:rsidRPr="001B3C5D" w:rsidRDefault="001B077C" w:rsidP="001B077C">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06C44FAA" w14:textId="77777777" w:rsidR="001B077C" w:rsidRPr="001B3C5D" w:rsidRDefault="001B077C" w:rsidP="001B077C">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1B3C5D">
        <w:rPr>
          <w:rFonts w:ascii="Verdana" w:eastAsia="Calibri" w:hAnsi="Verdana" w:cs="Arial"/>
          <w:vertAlign w:val="superscript"/>
          <w:lang w:val="es-ES_tradnl"/>
        </w:rPr>
        <w:footnoteReference w:id="31"/>
      </w:r>
      <w:r w:rsidRPr="001B3C5D">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3430DB37" w14:textId="77777777" w:rsidR="001B077C" w:rsidRPr="001B3C5D" w:rsidRDefault="001B077C" w:rsidP="001B077C">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lastRenderedPageBreak/>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1B3C5D">
        <w:rPr>
          <w:rFonts w:ascii="Verdana" w:eastAsia="Calibri" w:hAnsi="Verdana" w:cs="Arial"/>
          <w:vertAlign w:val="superscript"/>
          <w:lang w:val="es-ES"/>
        </w:rPr>
        <w:footnoteReference w:id="32"/>
      </w:r>
      <w:r w:rsidRPr="001B3C5D">
        <w:rPr>
          <w:rFonts w:ascii="Verdana" w:eastAsia="Calibri" w:hAnsi="Verdana" w:cs="Arial"/>
          <w:lang w:val="es-ES"/>
        </w:rPr>
        <w:t xml:space="preserve"> sino además en 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vertAlign w:val="superscript"/>
          <w:lang w:val="es-ES"/>
        </w:rPr>
        <w:footnoteReference w:id="33"/>
      </w:r>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51569822" w14:textId="77777777" w:rsidR="001B077C" w:rsidRPr="001B3C5D" w:rsidRDefault="001B077C" w:rsidP="001B077C">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34"/>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02173150" w14:textId="77777777" w:rsidR="001B077C" w:rsidRPr="001B3C5D" w:rsidRDefault="001B077C" w:rsidP="001B077C">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1B3C5D">
        <w:rPr>
          <w:rFonts w:ascii="Verdana" w:eastAsia="Calibri" w:hAnsi="Verdana" w:cs="Arial"/>
          <w:color w:val="000000"/>
          <w:lang w:val="es-ES"/>
        </w:rPr>
        <w:lastRenderedPageBreak/>
        <w:t xml:space="preserve">interpretativos incorrectos que se buscó erradicar con la introducción de la herramienta analizada. </w:t>
      </w:r>
    </w:p>
    <w:p w14:paraId="4ECB7F30" w14:textId="77777777" w:rsidR="001B077C" w:rsidRPr="001B3C5D" w:rsidRDefault="001B077C" w:rsidP="001B077C">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6FDB25F6" w14:textId="77777777" w:rsidR="001B077C" w:rsidRPr="001B3C5D" w:rsidRDefault="001B077C" w:rsidP="001B077C">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54C30D3" w14:textId="77777777" w:rsidR="001B077C" w:rsidRPr="001B3C5D" w:rsidRDefault="001B077C" w:rsidP="001B077C">
      <w:pPr>
        <w:spacing w:line="276" w:lineRule="auto"/>
        <w:ind w:firstLine="708"/>
        <w:jc w:val="both"/>
        <w:rPr>
          <w:rFonts w:ascii="Aptos" w:eastAsia="Aptos" w:hAnsi="Aptos" w:cs="Times New Roman"/>
          <w:kern w:val="2"/>
          <w:sz w:val="24"/>
          <w:szCs w:val="24"/>
          <w:lang w:val="es-MX"/>
          <w14:ligatures w14:val="standardContextual"/>
        </w:rPr>
      </w:pPr>
      <w:r w:rsidRPr="001B3C5D">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1B3C5D">
        <w:rPr>
          <w:rFonts w:ascii="Verdana" w:eastAsia="Calibri" w:hAnsi="Verdana" w:cs="Arial"/>
          <w:i/>
          <w:iCs/>
          <w:lang w:val="es-MX"/>
        </w:rPr>
        <w:t>“</w:t>
      </w:r>
      <w:r w:rsidRPr="001B3C5D">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1B3C5D">
        <w:rPr>
          <w:rFonts w:ascii="Aptos" w:eastAsia="Aptos" w:hAnsi="Aptos" w:cs="Times New Roman"/>
          <w:kern w:val="2"/>
          <w:sz w:val="24"/>
          <w:szCs w:val="24"/>
          <w:lang w:val="es-MX"/>
          <w14:ligatures w14:val="standardContextual"/>
        </w:rPr>
        <w:t xml:space="preserve"> </w:t>
      </w:r>
    </w:p>
    <w:p w14:paraId="16F9DC35" w14:textId="77777777" w:rsidR="001B077C" w:rsidRPr="001B3C5D" w:rsidRDefault="001B077C" w:rsidP="001B077C">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0A8190A9" w14:textId="77777777" w:rsidR="001B077C" w:rsidRPr="001B3C5D" w:rsidRDefault="001B077C" w:rsidP="001B077C">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 xml:space="preserve">Esta regla de inalterabilidad </w:t>
      </w:r>
      <w:r w:rsidRPr="001B3C5D">
        <w:rPr>
          <w:rFonts w:ascii="Verdana" w:eastAsia="Calibri" w:hAnsi="Verdana" w:cs="Arial"/>
          <w:bCs/>
          <w:i/>
          <w:iCs/>
          <w:lang w:val="es-MX"/>
        </w:rPr>
        <w:t>también aplica a los formatos, formularios, anexos y matrices</w:t>
      </w:r>
      <w:r w:rsidRPr="001B3C5D">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w:t>
      </w:r>
      <w:r w:rsidRPr="001B3C5D">
        <w:rPr>
          <w:rFonts w:ascii="Verdana" w:eastAsia="Calibri" w:hAnsi="Verdana" w:cs="Arial"/>
          <w:bCs/>
          <w:lang w:val="es-MX"/>
        </w:rPr>
        <w:lastRenderedPageBreak/>
        <w:t xml:space="preserve">cuales deben ser diligenciados por la entidad, al igual que otros aspectos relativos a información que debe ser completada por los oferentes al hacer uso del formato. </w:t>
      </w:r>
    </w:p>
    <w:p w14:paraId="279747BD" w14:textId="77777777" w:rsidR="001B077C" w:rsidRPr="001B3C5D" w:rsidRDefault="001B077C" w:rsidP="001B077C">
      <w:pPr>
        <w:spacing w:before="120" w:after="120" w:line="276" w:lineRule="auto"/>
        <w:ind w:firstLine="709"/>
        <w:jc w:val="both"/>
        <w:rPr>
          <w:rFonts w:ascii="Verdana" w:eastAsia="Calibri" w:hAnsi="Verdana" w:cs="Arial"/>
          <w:lang w:val="es-MX"/>
        </w:rPr>
      </w:pPr>
      <w:r w:rsidRPr="001B3C5D">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71A7D4CE" w14:textId="77777777" w:rsidR="001B077C" w:rsidRPr="001B3C5D" w:rsidRDefault="001B077C" w:rsidP="001B077C">
      <w:pPr>
        <w:spacing w:before="120" w:line="276" w:lineRule="auto"/>
        <w:ind w:firstLine="709"/>
        <w:jc w:val="both"/>
        <w:rPr>
          <w:rFonts w:ascii="Verdana" w:eastAsia="Aptos" w:hAnsi="Verdana" w:cs="Arial"/>
        </w:rPr>
      </w:pPr>
      <w:r w:rsidRPr="001B3C5D">
        <w:rPr>
          <w:rFonts w:ascii="Verdana" w:eastAsia="Aptos" w:hAnsi="Verdana" w:cs="Arial"/>
        </w:rPr>
        <w:t xml:space="preserve">En relación con el principio constitucional </w:t>
      </w:r>
      <w:r w:rsidRPr="001B3C5D">
        <w:rPr>
          <w:rFonts w:ascii="Verdana" w:eastAsia="Aptos" w:hAnsi="Verdana" w:cs="Arial"/>
          <w:i/>
          <w:iCs/>
        </w:rPr>
        <w:t>sub examine</w:t>
      </w:r>
      <w:r w:rsidRPr="001B3C5D">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B3C5D">
        <w:rPr>
          <w:rFonts w:ascii="Verdana" w:eastAsia="Aptos" w:hAnsi="Verdana" w:cs="Arial"/>
          <w:vertAlign w:val="superscript"/>
        </w:rPr>
        <w:footnoteReference w:id="35"/>
      </w:r>
      <w:r w:rsidRPr="001B3C5D">
        <w:rPr>
          <w:rFonts w:ascii="Verdana" w:eastAsia="Aptos" w:hAnsi="Verdana" w:cs="Arial"/>
        </w:rPr>
        <w:t xml:space="preserve">. </w:t>
      </w:r>
    </w:p>
    <w:p w14:paraId="4E9BD70D" w14:textId="77777777" w:rsidR="001B077C" w:rsidRPr="001B3C5D" w:rsidRDefault="001B077C" w:rsidP="001B077C">
      <w:pPr>
        <w:spacing w:after="0" w:line="276" w:lineRule="auto"/>
        <w:ind w:firstLine="709"/>
        <w:jc w:val="both"/>
        <w:rPr>
          <w:rFonts w:ascii="Verdana" w:eastAsia="Calibri" w:hAnsi="Verdana" w:cs="Arial"/>
          <w:lang w:val="es-MX"/>
        </w:rPr>
      </w:pPr>
      <w:r w:rsidRPr="001B3C5D">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4B95DD12" w14:textId="77777777" w:rsidR="001B077C" w:rsidRPr="001B3C5D" w:rsidRDefault="001B077C" w:rsidP="001B077C">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4F4EE317" w14:textId="77777777" w:rsidR="001B077C" w:rsidRPr="001B3C5D" w:rsidRDefault="001B077C" w:rsidP="001B077C">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iv</w:t>
      </w:r>
      <w:proofErr w:type="spellEnd"/>
      <w:r w:rsidRPr="001B3C5D">
        <w:rPr>
          <w:rFonts w:ascii="Verdana" w:eastAsia="Aptos" w:hAnsi="Verdana" w:cs="Times New Roman"/>
          <w:kern w:val="2"/>
          <w14:ligatures w14:val="standardContextual"/>
        </w:rPr>
        <w:t>. De acuerdo con la memoria justificativa del Decreto 287 del 19 de marzo de 2026</w:t>
      </w:r>
      <w:r w:rsidRPr="001B3C5D">
        <w:rPr>
          <w:rFonts w:ascii="Verdana" w:eastAsia="Aptos" w:hAnsi="Verdana" w:cs="Times New Roman"/>
          <w:kern w:val="2"/>
          <w:vertAlign w:val="superscript"/>
          <w14:ligatures w14:val="standardContextual"/>
        </w:rPr>
        <w:footnoteReference w:id="36"/>
      </w:r>
      <w:r w:rsidRPr="001B3C5D">
        <w:rPr>
          <w:rFonts w:ascii="Verdana" w:eastAsia="Aptos" w:hAnsi="Verdana" w:cs="Times New Roman"/>
          <w:kern w:val="2"/>
          <w14:ligatures w14:val="standardContextual"/>
        </w:rPr>
        <w:t xml:space="preserve">, históricamente las Personas con Discapacidad han enfrentado mayores tasas de desempleo y barreras de acceso al mercado. Aunque leyes previas como la Ley 1618 de 2013, ordenaban un sistema de preferencias para estas personas, </w:t>
      </w:r>
      <w:r w:rsidRPr="001B3C5D">
        <w:rPr>
          <w:rFonts w:ascii="Verdana" w:eastAsia="Aptos" w:hAnsi="Verdana" w:cs="Times New Roman"/>
          <w:kern w:val="2"/>
          <w14:ligatures w14:val="standardContextual"/>
        </w:rPr>
        <w:lastRenderedPageBreak/>
        <w:t>la regulación anterior –el Decreto 392 de 2018–, se limitaba a medidas aisladas de puntaje que no garantizaban una participación equitativa desde el inicio de los procesos contractuales. Esto fue ratificado por el Consejo de Estado</w:t>
      </w:r>
      <w:r w:rsidRPr="001B3C5D">
        <w:rPr>
          <w:rFonts w:ascii="Verdana" w:eastAsia="Aptos" w:hAnsi="Verdana" w:cs="Times New Roman"/>
          <w:kern w:val="2"/>
          <w:vertAlign w:val="superscript"/>
          <w14:ligatures w14:val="standardContextual"/>
        </w:rPr>
        <w:footnoteReference w:id="37"/>
      </w:r>
      <w:r w:rsidRPr="001B3C5D">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206AC43F"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3AF76507"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1B3C5D">
        <w:rPr>
          <w:rFonts w:ascii="Verdana" w:eastAsia="Aptos" w:hAnsi="Verdana" w:cs="Times New Roman"/>
          <w:kern w:val="2"/>
          <w:vertAlign w:val="superscript"/>
          <w14:ligatures w14:val="standardContextual"/>
        </w:rPr>
        <w:footnoteReference w:id="38"/>
      </w:r>
      <w:r w:rsidRPr="001B3C5D">
        <w:rPr>
          <w:rFonts w:ascii="Verdana" w:eastAsia="Aptos" w:hAnsi="Verdana" w:cs="Times New Roman"/>
          <w:kern w:val="2"/>
          <w14:ligatures w14:val="standardContextual"/>
        </w:rPr>
        <w:t xml:space="preserve">,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w:t>
      </w:r>
      <w:r w:rsidRPr="001B3C5D">
        <w:rPr>
          <w:rFonts w:ascii="Verdana" w:eastAsia="Aptos" w:hAnsi="Verdana" w:cs="Times New Roman"/>
          <w:kern w:val="2"/>
          <w14:ligatures w14:val="standardContextual"/>
        </w:rPr>
        <w:lastRenderedPageBreak/>
        <w:t>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3FEB839A"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49247E6A"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modificaciones: </w:t>
      </w:r>
    </w:p>
    <w:p w14:paraId="18128FB0"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1B1F0AFD"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w:t>
      </w:r>
      <w:r w:rsidRPr="001B3C5D">
        <w:rPr>
          <w:rFonts w:ascii="Verdana" w:eastAsia="Aptos" w:hAnsi="Verdana" w:cs="Times New Roman"/>
          <w:kern w:val="2"/>
          <w14:ligatures w14:val="standardContextual"/>
        </w:rPr>
        <w:lastRenderedPageBreak/>
        <w:t xml:space="preserve">personas, corregir barreras estructurales de acceso y fomentar su participación como proponentes, contratistas o integrantes de la cadena de valor. </w:t>
      </w:r>
    </w:p>
    <w:p w14:paraId="10F53A4B"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2ACA136F"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Aptos" w:eastAsia="Aptos" w:hAnsi="Aptos" w:cs="Times New Roman"/>
          <w:kern w:val="2"/>
          <w:sz w:val="24"/>
          <w:szCs w:val="24"/>
          <w14:ligatures w14:val="standardContextual"/>
        </w:rPr>
        <w:t>iv</w:t>
      </w:r>
      <w:proofErr w:type="spellEnd"/>
      <w:r w:rsidRPr="001B3C5D">
        <w:rPr>
          <w:rFonts w:ascii="Aptos" w:eastAsia="Aptos" w:hAnsi="Aptos" w:cs="Times New Roman"/>
          <w:kern w:val="2"/>
          <w:sz w:val="24"/>
          <w:szCs w:val="24"/>
          <w14:ligatures w14:val="standardContextual"/>
        </w:rPr>
        <w:t xml:space="preserve">). </w:t>
      </w:r>
      <w:r w:rsidRPr="001B3C5D">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2558480B"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1B3C5D">
        <w:rPr>
          <w:rFonts w:ascii="Verdana" w:eastAsia="Aptos" w:hAnsi="Verdana" w:cs="Times New Roman"/>
          <w:kern w:val="2"/>
          <w:vertAlign w:val="superscript"/>
          <w14:ligatures w14:val="standardContextual"/>
        </w:rPr>
        <w:footnoteReference w:id="39"/>
      </w:r>
      <w:r w:rsidRPr="001B3C5D">
        <w:rPr>
          <w:rFonts w:ascii="Verdana" w:eastAsia="Aptos" w:hAnsi="Verdana" w:cs="Times New Roman"/>
          <w:kern w:val="2"/>
          <w14:ligatures w14:val="standardContextual"/>
        </w:rPr>
        <w:t xml:space="preserve">. </w:t>
      </w:r>
    </w:p>
    <w:p w14:paraId="46D082BF"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w:t>
      </w:r>
      <w:r w:rsidRPr="001B3C5D">
        <w:rPr>
          <w:rFonts w:ascii="Verdana" w:eastAsia="Aptos" w:hAnsi="Verdana" w:cs="Times New Roman"/>
          <w:kern w:val="2"/>
          <w14:ligatures w14:val="standardContextual"/>
        </w:rPr>
        <w:lastRenderedPageBreak/>
        <w:t xml:space="preserve">artículo. </w:t>
      </w:r>
    </w:p>
    <w:p w14:paraId="4834AE6E"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w:t>
      </w:r>
      <w:proofErr w:type="spellEnd"/>
      <w:r w:rsidRPr="001B3C5D">
        <w:rPr>
          <w:rFonts w:ascii="Verdana" w:eastAsia="Aptos" w:hAnsi="Verdana" w:cs="Times New Roman"/>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28149205"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viii</w:t>
      </w:r>
      <w:proofErr w:type="spellEnd"/>
      <w:r w:rsidRPr="001B3C5D">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38329E69"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ix</w:t>
      </w:r>
      <w:proofErr w:type="spellEnd"/>
      <w:r w:rsidRPr="001B3C5D">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08F3FEC2" w14:textId="77777777" w:rsidR="001B077C" w:rsidRPr="001B3C5D" w:rsidRDefault="001B077C" w:rsidP="001B077C">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el artículo 2 del Decreto 287 de 2026 establece las vigencias y derogatorias, en los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13811F70" w14:textId="77777777" w:rsidR="001B077C" w:rsidRPr="001B3C5D" w:rsidRDefault="001B077C" w:rsidP="001B077C">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5B9FBFB0" w14:textId="77777777" w:rsidR="001B077C" w:rsidRPr="001B3C5D" w:rsidRDefault="001B077C" w:rsidP="001B077C">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De acuerdo con el desarrollo del numeral precedente, </w:t>
      </w:r>
      <w:r w:rsidRPr="001B3C5D">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1B3C5D">
        <w:rPr>
          <w:rFonts w:ascii="Verdana" w:eastAsia="Aptos" w:hAnsi="Verdana" w:cs="Times New Roman"/>
          <w:kern w:val="2"/>
          <w14:ligatures w14:val="standardContextual"/>
        </w:rPr>
        <w:t>de Contratación Pública – Colombia Compra Eficiente.</w:t>
      </w:r>
    </w:p>
    <w:p w14:paraId="1A899F07"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w:t>
      </w:r>
      <w:r w:rsidRPr="001B3C5D">
        <w:rPr>
          <w:rFonts w:ascii="Verdana" w:eastAsia="Aptos" w:hAnsi="Verdana" w:cs="Times New Roman"/>
          <w:kern w:val="2"/>
          <w14:ligatures w14:val="standardContextual"/>
        </w:rPr>
        <w:lastRenderedPageBreak/>
        <w:t xml:space="preserve">otros sujetos obligados a su aplicación, pueden convertirse en barreras estructurales de acceso cuando no incorporan enfoques diferenciales, afectando la participación de poblaciones históricamente excluidas. </w:t>
      </w:r>
    </w:p>
    <w:p w14:paraId="2CA68C16"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1B3C5D">
        <w:rPr>
          <w:rFonts w:ascii="Verdana" w:eastAsia="Aptos" w:hAnsi="Verdana" w:cs="Times New Roman"/>
          <w:kern w:val="2"/>
          <w:vertAlign w:val="superscript"/>
          <w14:ligatures w14:val="standardContextual"/>
        </w:rPr>
        <w:footnoteReference w:id="40"/>
      </w:r>
      <w:r w:rsidRPr="001B3C5D">
        <w:rPr>
          <w:rFonts w:ascii="Verdana" w:eastAsia="Aptos" w:hAnsi="Verdana" w:cs="Times New Roman"/>
          <w:kern w:val="2"/>
          <w14:ligatures w14:val="standardContextual"/>
        </w:rPr>
        <w:t>, de tal manera que se eliminen barreras de entrada injustificadas sin comprometer la idoneidad del contratista, en aplicación del principio de igualdad material.</w:t>
      </w:r>
    </w:p>
    <w:p w14:paraId="0C58F8D8"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1B3C5D">
        <w:rPr>
          <w:rFonts w:ascii="Verdana" w:eastAsia="Aptos" w:hAnsi="Verdana" w:cs="Times New Roman"/>
          <w:kern w:val="2"/>
          <w14:ligatures w14:val="standardContextual"/>
        </w:rPr>
        <w:t>Mipymes</w:t>
      </w:r>
      <w:proofErr w:type="spellEnd"/>
      <w:r w:rsidRPr="001B3C5D">
        <w:rPr>
          <w:rFonts w:ascii="Verdana" w:eastAsia="Aptos" w:hAnsi="Verdana" w:cs="Times New Roman"/>
          <w:kern w:val="2"/>
          <w14:ligatures w14:val="standardContextual"/>
        </w:rPr>
        <w:t xml:space="preserve"> y emprendimientos y empresas de mujeres, se incluyan los dispuestos en el Decreto 287 de 2026 en favor de los emprendimientos y empresas de personas con discapacidad.</w:t>
      </w:r>
    </w:p>
    <w:p w14:paraId="4C4F2992"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13FA9B3C"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1022146E"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w:t>
      </w:r>
      <w:proofErr w:type="gramStart"/>
      <w:r w:rsidRPr="001B3C5D">
        <w:rPr>
          <w:rFonts w:ascii="Verdana" w:eastAsia="Aptos" w:hAnsi="Verdana" w:cs="Times New Roman"/>
          <w:kern w:val="2"/>
          <w14:ligatures w14:val="standardContextual"/>
        </w:rPr>
        <w:t>donde</w:t>
      </w:r>
      <w:proofErr w:type="gramEnd"/>
      <w:r w:rsidRPr="001B3C5D">
        <w:rPr>
          <w:rFonts w:ascii="Verdana" w:eastAsia="Aptos" w:hAnsi="Verdana" w:cs="Times New Roman"/>
          <w:kern w:val="2"/>
          <w14:ligatures w14:val="standardContextual"/>
        </w:rPr>
        <w:t xml:space="preserv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06768C51"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w:t>
      </w:r>
      <w:r w:rsidRPr="001B3C5D">
        <w:rPr>
          <w:rFonts w:ascii="Verdana" w:eastAsia="Aptos" w:hAnsi="Verdana" w:cs="Times New Roman"/>
          <w:kern w:val="2"/>
          <w14:ligatures w14:val="standardContextual"/>
        </w:rPr>
        <w:lastRenderedPageBreak/>
        <w:t>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0CF1B66D" w14:textId="77777777" w:rsidR="001B077C" w:rsidRPr="001B3C5D" w:rsidRDefault="001B077C" w:rsidP="001B077C">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2FF03383" w14:textId="77777777" w:rsidR="001B077C" w:rsidRPr="001B3C5D" w:rsidRDefault="001B077C" w:rsidP="001B077C">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2CF5001C" w14:textId="77777777" w:rsidR="001B077C" w:rsidRPr="001B3C5D" w:rsidRDefault="001B077C" w:rsidP="001B077C">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4E11EBA4"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1B3C5D">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2089D8A2"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Conforme con el contenido de la Ley 2022 de 202, la jurisprudencia ha determinado que, la Agencia Nacional de Contratación Pública – Colombia </w:t>
      </w:r>
      <w:r w:rsidRPr="001B3C5D">
        <w:rPr>
          <w:rFonts w:ascii="Verdana" w:eastAsia="Aptos" w:hAnsi="Verdana" w:cs="Times New Roman"/>
          <w:kern w:val="2"/>
          <w14:ligatures w14:val="standardContextual"/>
        </w:rPr>
        <w:lastRenderedPageBreak/>
        <w:t>Compra Eficiente ejerce una potestad regulatoria de naturaleza subordinada (</w:t>
      </w:r>
      <w:proofErr w:type="spellStart"/>
      <w:r w:rsidRPr="001B3C5D">
        <w:rPr>
          <w:rFonts w:ascii="Verdana" w:eastAsia="Aptos" w:hAnsi="Verdana" w:cs="Times New Roman"/>
          <w:kern w:val="2"/>
          <w14:ligatures w14:val="standardContextual"/>
        </w:rPr>
        <w:t>secundum</w:t>
      </w:r>
      <w:proofErr w:type="spellEnd"/>
      <w:r w:rsidRPr="001B3C5D">
        <w:rPr>
          <w:rFonts w:ascii="Verdana" w:eastAsia="Aptos" w:hAnsi="Verdana" w:cs="Times New Roman"/>
          <w:kern w:val="2"/>
          <w14:ligatures w14:val="standardContextual"/>
        </w:rPr>
        <w:t xml:space="preserve"> </w:t>
      </w:r>
      <w:proofErr w:type="spellStart"/>
      <w:r w:rsidRPr="001B3C5D">
        <w:rPr>
          <w:rFonts w:ascii="Verdana" w:eastAsia="Aptos" w:hAnsi="Verdana" w:cs="Times New Roman"/>
          <w:kern w:val="2"/>
          <w14:ligatures w14:val="standardContextual"/>
        </w:rPr>
        <w:t>legem</w:t>
      </w:r>
      <w:proofErr w:type="spellEnd"/>
      <w:r w:rsidRPr="001B3C5D">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63488176"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6F9B7810"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3A59E2BE"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dispuesto en el párrafo precedente, es consecuente con lo desarrollado en el punto tres (</w:t>
      </w: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xml:space="preserve">)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w:t>
      </w:r>
      <w:r w:rsidRPr="001B3C5D">
        <w:rPr>
          <w:rFonts w:ascii="Verdana" w:eastAsia="Aptos" w:hAnsi="Verdana" w:cs="Times New Roman"/>
          <w:kern w:val="2"/>
          <w14:ligatures w14:val="standardContextual"/>
        </w:rPr>
        <w:lastRenderedPageBreak/>
        <w:t>carácter reglado de la actividad contractual, limitando la discrecionalidad de las entidades con el fin de evitar prácticas restrictivas de la competencia, como los denominados “pliegos sastre”, y garantizar la uniformidad del sistema.</w:t>
      </w:r>
    </w:p>
    <w:p w14:paraId="255C6047"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63E641AF"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1372B1C4"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w:t>
      </w:r>
      <w:r w:rsidRPr="001B3C5D">
        <w:rPr>
          <w:rFonts w:ascii="Verdana" w:eastAsia="Aptos" w:hAnsi="Verdana" w:cs="Times New Roman"/>
          <w:kern w:val="2"/>
          <w14:ligatures w14:val="standardContextual"/>
        </w:rPr>
        <w:lastRenderedPageBreak/>
        <w:t>Compra Eficiente</w:t>
      </w:r>
      <w:r w:rsidRPr="001B3C5D">
        <w:rPr>
          <w:rFonts w:ascii="Verdana" w:eastAsia="Aptos" w:hAnsi="Verdana" w:cs="Times New Roman"/>
          <w:kern w:val="2"/>
          <w:vertAlign w:val="superscript"/>
          <w14:ligatures w14:val="standardContextual"/>
        </w:rPr>
        <w:footnoteReference w:id="41"/>
      </w:r>
      <w:r w:rsidRPr="001B3C5D">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321A61DA"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Adicionalmente, el propio Decreto 287 de 2026 en el artículo 1 que modifica el artículo 2.2.1.2.4.2.7.8 al Decreto 1082 de 2015</w:t>
      </w:r>
      <w:r w:rsidRPr="001B3C5D">
        <w:rPr>
          <w:rFonts w:ascii="Verdana" w:eastAsia="Aptos" w:hAnsi="Verdana" w:cs="Times New Roman"/>
          <w:kern w:val="2"/>
          <w:vertAlign w:val="superscript"/>
          <w14:ligatures w14:val="standardContextual"/>
        </w:rPr>
        <w:footnoteReference w:id="42"/>
      </w:r>
      <w:r w:rsidRPr="001B3C5D">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1B3C5D">
        <w:rPr>
          <w:rFonts w:ascii="Aptos" w:eastAsia="Aptos" w:hAnsi="Aptos" w:cs="Times New Roman"/>
          <w:kern w:val="2"/>
          <w:sz w:val="24"/>
          <w:szCs w:val="24"/>
          <w14:ligatures w14:val="standardContextual"/>
        </w:rPr>
        <w:t>”</w:t>
      </w:r>
      <w:r w:rsidRPr="001B3C5D">
        <w:rPr>
          <w:rFonts w:ascii="Aptos" w:eastAsia="Aptos" w:hAnsi="Aptos" w:cs="Times New Roman"/>
          <w:kern w:val="2"/>
          <w:sz w:val="24"/>
          <w:szCs w:val="24"/>
          <w:vertAlign w:val="superscript"/>
          <w14:ligatures w14:val="standardContextual"/>
        </w:rPr>
        <w:footnoteReference w:id="43"/>
      </w:r>
      <w:r w:rsidRPr="001B3C5D">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3928C422"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1B3C5D">
        <w:rPr>
          <w:rFonts w:ascii="Verdana" w:eastAsia="Aptos" w:hAnsi="Verdana" w:cs="Times New Roman"/>
          <w:kern w:val="2"/>
          <w:vertAlign w:val="superscript"/>
          <w14:ligatures w14:val="standardContextual"/>
        </w:rPr>
        <w:footnoteReference w:id="44"/>
      </w:r>
      <w:r w:rsidRPr="001B3C5D">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6BF92151"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w:t>
      </w:r>
      <w:r w:rsidRPr="001B3C5D">
        <w:rPr>
          <w:rFonts w:ascii="Verdana" w:eastAsia="Aptos" w:hAnsi="Verdana" w:cs="Times New Roman"/>
          <w:kern w:val="2"/>
          <w14:ligatures w14:val="standardContextual"/>
        </w:rPr>
        <w:lastRenderedPageBreak/>
        <w:t>de compras y contratación pública.</w:t>
      </w:r>
    </w:p>
    <w:p w14:paraId="4F801FE1"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0153D388" w14:textId="77777777" w:rsidR="001B077C" w:rsidRPr="001B3C5D" w:rsidRDefault="001B077C" w:rsidP="001B077C">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07E6C540" w14:textId="77777777" w:rsidR="001B077C" w:rsidRPr="001B3C5D" w:rsidRDefault="001B077C" w:rsidP="001B077C">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3B29EE9C" w14:textId="77777777" w:rsidR="001B077C" w:rsidRPr="001B3C5D" w:rsidRDefault="001B077C" w:rsidP="001B077C">
      <w:pPr>
        <w:tabs>
          <w:tab w:val="left" w:pos="142"/>
          <w:tab w:val="left" w:pos="284"/>
        </w:tabs>
        <w:spacing w:after="0" w:line="276" w:lineRule="auto"/>
        <w:jc w:val="both"/>
        <w:rPr>
          <w:rFonts w:ascii="Verdana" w:eastAsia="Century Gothic" w:hAnsi="Verdana" w:cs="Century Gothic"/>
          <w:lang w:val="es-ES_tradnl"/>
        </w:rPr>
      </w:pPr>
    </w:p>
    <w:p w14:paraId="52B3AB27" w14:textId="77777777" w:rsidR="001B077C" w:rsidRPr="001B3C5D" w:rsidRDefault="001B077C" w:rsidP="001B077C">
      <w:pPr>
        <w:tabs>
          <w:tab w:val="left" w:pos="142"/>
          <w:tab w:val="left" w:pos="284"/>
        </w:tabs>
        <w:spacing w:after="0" w:line="276" w:lineRule="auto"/>
        <w:jc w:val="both"/>
        <w:rPr>
          <w:rFonts w:ascii="Verdana" w:eastAsia="Century Gothic" w:hAnsi="Verdana" w:cs="Century Gothic"/>
          <w:b/>
          <w:bCs/>
          <w:lang w:val="es-ES_tradnl"/>
        </w:rPr>
      </w:pPr>
      <w:r w:rsidRPr="001B3C5D">
        <w:rPr>
          <w:rFonts w:ascii="Verdana" w:eastAsia="Century Gothic" w:hAnsi="Verdana" w:cs="Century Gothic"/>
          <w:b/>
          <w:bCs/>
          <w:lang w:val="es-ES_tradnl"/>
        </w:rPr>
        <w:t>4. Referencias normativas, jurisprudenciales y otras fuentes:</w:t>
      </w:r>
    </w:p>
    <w:p w14:paraId="51B9DC78" w14:textId="77777777" w:rsidR="001B077C" w:rsidRPr="001B3C5D" w:rsidRDefault="001B077C" w:rsidP="001B077C">
      <w:pPr>
        <w:spacing w:after="0"/>
        <w:ind w:left="-15840"/>
        <w:jc w:val="both"/>
        <w:rPr>
          <w:rFonts w:ascii="Verdana" w:eastAsia="Calibri" w:hAnsi="Verdana" w:cs="Arial"/>
          <w:b/>
          <w:bCs/>
        </w:rPr>
      </w:pPr>
      <w:r w:rsidRPr="001B3C5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B077C" w:rsidRPr="001B3C5D" w14:paraId="26A35E4C" w14:textId="77777777" w:rsidTr="006A0B0F">
        <w:trPr>
          <w:trHeight w:val="870"/>
        </w:trPr>
        <w:tc>
          <w:tcPr>
            <w:tcW w:w="8647" w:type="dxa"/>
            <w:tcBorders>
              <w:top w:val="dotted" w:sz="4" w:space="0" w:color="auto"/>
              <w:left w:val="dotted" w:sz="4" w:space="0" w:color="auto"/>
              <w:bottom w:val="dotted" w:sz="4" w:space="0" w:color="auto"/>
              <w:right w:val="dotted" w:sz="4" w:space="0" w:color="auto"/>
            </w:tcBorders>
          </w:tcPr>
          <w:p w14:paraId="624BD79C" w14:textId="77777777" w:rsidR="001B077C" w:rsidRPr="001B3C5D" w:rsidRDefault="001B077C" w:rsidP="006A0B0F">
            <w:pPr>
              <w:widowControl w:val="0"/>
              <w:autoSpaceDE w:val="0"/>
              <w:autoSpaceDN w:val="0"/>
              <w:spacing w:line="276" w:lineRule="auto"/>
              <w:contextualSpacing/>
              <w:jc w:val="both"/>
              <w:rPr>
                <w:rFonts w:ascii="Verdana" w:eastAsia="Aptos" w:hAnsi="Verdana" w:cs="Arial"/>
              </w:rPr>
            </w:pPr>
          </w:p>
          <w:p w14:paraId="129B6AB8" w14:textId="77777777" w:rsidR="001B077C" w:rsidRPr="0055082D" w:rsidRDefault="001B077C" w:rsidP="001B077C">
            <w:pPr>
              <w:widowControl w:val="0"/>
              <w:numPr>
                <w:ilvl w:val="0"/>
                <w:numId w:val="19"/>
              </w:numPr>
              <w:autoSpaceDE w:val="0"/>
              <w:autoSpaceDN w:val="0"/>
              <w:spacing w:line="276" w:lineRule="auto"/>
              <w:contextualSpacing/>
              <w:jc w:val="both"/>
              <w:rPr>
                <w:rFonts w:ascii="Verdana" w:eastAsia="Aptos" w:hAnsi="Verdana" w:cs="Arial"/>
                <w:lang w:val="it-IT"/>
              </w:rPr>
            </w:pPr>
            <w:r w:rsidRPr="00F16D67">
              <w:rPr>
                <w:rFonts w:ascii="Verdana" w:eastAsia="Aptos" w:hAnsi="Verdana" w:cs="Arial"/>
                <w:lang w:val="pt-BR"/>
              </w:rPr>
              <w:t xml:space="preserve">Corte Constitucional, Sentencia C–1005 de 2008. </w:t>
            </w:r>
            <w:r w:rsidRPr="0055082D">
              <w:rPr>
                <w:rFonts w:ascii="Verdana" w:eastAsia="Aptos" w:hAnsi="Verdana" w:cs="Arial"/>
                <w:lang w:val="it-IT"/>
              </w:rPr>
              <w:t>M.P.: Humberto Antonio Sierra Porto.</w:t>
            </w:r>
          </w:p>
          <w:p w14:paraId="6F59CFA9" w14:textId="77777777" w:rsidR="001B077C" w:rsidRPr="001B3C5D" w:rsidRDefault="001B077C" w:rsidP="001B077C">
            <w:pPr>
              <w:widowControl w:val="0"/>
              <w:numPr>
                <w:ilvl w:val="0"/>
                <w:numId w:val="19"/>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it-IT"/>
              </w:rPr>
              <w:t xml:space="preserve">Consejo de Estado, Sala de lo Contencioso Administrativo, Sección Primera. Consejero ponente: Juan Alberto Polo Figueroa. Bogotá D.C., 24 de agosto de 2000. </w:t>
            </w:r>
            <w:r w:rsidRPr="001B3C5D">
              <w:rPr>
                <w:rFonts w:ascii="Verdana" w:eastAsia="Aptos" w:hAnsi="Verdana" w:cs="Arial"/>
              </w:rPr>
              <w:t>Radicación número 6096.</w:t>
            </w:r>
          </w:p>
          <w:p w14:paraId="638076C9" w14:textId="77777777" w:rsidR="001B077C" w:rsidRPr="001B3C5D" w:rsidRDefault="001B077C" w:rsidP="001B077C">
            <w:pPr>
              <w:widowControl w:val="0"/>
              <w:numPr>
                <w:ilvl w:val="0"/>
                <w:numId w:val="19"/>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pt-BR"/>
              </w:rPr>
              <w:lastRenderedPageBreak/>
              <w:t xml:space="preserve">Corte Constitucional, Sentencia C-917 de 2002. </w:t>
            </w:r>
            <w:r w:rsidRPr="001B3C5D">
              <w:rPr>
                <w:rFonts w:ascii="Verdana" w:eastAsia="Aptos" w:hAnsi="Verdana" w:cs="Arial"/>
              </w:rPr>
              <w:t xml:space="preserve">M.P.: Marco Gerardo Monroy Cabra. </w:t>
            </w:r>
          </w:p>
          <w:p w14:paraId="5259E88A" w14:textId="77777777" w:rsidR="001B077C" w:rsidRPr="001B3C5D" w:rsidRDefault="001B077C" w:rsidP="001B077C">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Auto del 14 de agosto de 2017. Rad. 58820.</w:t>
            </w:r>
          </w:p>
          <w:p w14:paraId="5E3AE912" w14:textId="77777777" w:rsidR="001B077C" w:rsidRPr="001B3C5D" w:rsidRDefault="001B077C" w:rsidP="001B077C">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Sentencia del 16 de agosto de 2017. Rad.56166.</w:t>
            </w:r>
          </w:p>
          <w:p w14:paraId="150C49CF" w14:textId="77777777" w:rsidR="001B077C" w:rsidRPr="001B3C5D" w:rsidRDefault="001B077C" w:rsidP="001B077C">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Sentencia de 11 de abril de 2019. Rad. 52.055.</w:t>
            </w:r>
          </w:p>
          <w:p w14:paraId="13783DC1" w14:textId="77777777" w:rsidR="001B077C" w:rsidRPr="001B3C5D" w:rsidRDefault="001B077C" w:rsidP="001B077C">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Quinta, del 12 de diciembre de 2024 (Rad. 05001-23-33-000-2024-00847-01, M.P. Omar Joaquín Barreto Suárez)</w:t>
            </w:r>
          </w:p>
          <w:p w14:paraId="06E5C765" w14:textId="77777777" w:rsidR="001B077C" w:rsidRPr="001B3C5D" w:rsidRDefault="001B077C" w:rsidP="001B077C">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Ley 80 de 1993: artículo 2.</w:t>
            </w:r>
          </w:p>
          <w:p w14:paraId="381F1C99" w14:textId="77777777" w:rsidR="001B077C" w:rsidRPr="001B3C5D" w:rsidRDefault="001B077C" w:rsidP="001B077C">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1B3C5D">
              <w:rPr>
                <w:rFonts w:ascii="Verdana" w:eastAsia="Calibri" w:hAnsi="Verdana" w:cs="Arial"/>
                <w:lang w:val="es-ES_tradnl"/>
              </w:rPr>
              <w:t xml:space="preserve">Ley 2022 de 2020, artículo 1. </w:t>
            </w:r>
          </w:p>
          <w:p w14:paraId="1C98E82F" w14:textId="77777777" w:rsidR="001B077C" w:rsidRPr="001B3C5D" w:rsidRDefault="001B077C" w:rsidP="001B077C">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 xml:space="preserve">Documentos Tipo. Disponibles en: </w:t>
            </w:r>
            <w:hyperlink r:id="rId12" w:history="1">
              <w:r w:rsidRPr="001B3C5D">
                <w:rPr>
                  <w:rFonts w:ascii="Verdana" w:eastAsia="Calibri" w:hAnsi="Verdana" w:cs="Arial"/>
                  <w:color w:val="0000FF"/>
                  <w:u w:val="single"/>
                  <w:lang w:val="es-ES_tradnl"/>
                </w:rPr>
                <w:t>https://www.colombiacompra.gov.co/documentos-tipo/documentos-tipo</w:t>
              </w:r>
            </w:hyperlink>
            <w:r w:rsidRPr="001B3C5D">
              <w:rPr>
                <w:rFonts w:ascii="Verdana" w:eastAsia="Calibri" w:hAnsi="Verdana" w:cs="Arial"/>
                <w:lang w:val="es-ES_tradnl"/>
              </w:rPr>
              <w:t>.</w:t>
            </w:r>
          </w:p>
          <w:p w14:paraId="31101B4E" w14:textId="77777777" w:rsidR="001B077C" w:rsidRPr="001B3C5D" w:rsidRDefault="001B077C" w:rsidP="001B077C">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Aptos" w:hAnsi="Verdana" w:cs="Arial"/>
              </w:rPr>
              <w:t>Decreto Ley 4170 de 2011: artículo 1, artículo 11</w:t>
            </w:r>
          </w:p>
          <w:p w14:paraId="51F45D12" w14:textId="77777777" w:rsidR="001B077C" w:rsidRPr="001B3C5D" w:rsidRDefault="001B077C" w:rsidP="001B077C">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Decreto 287 de 2026: Artículo 1 y artículo 2.</w:t>
            </w:r>
          </w:p>
        </w:tc>
      </w:tr>
    </w:tbl>
    <w:p w14:paraId="64654C85" w14:textId="77777777" w:rsidR="001B077C" w:rsidRPr="001B3C5D" w:rsidRDefault="001B077C" w:rsidP="001B077C">
      <w:pPr>
        <w:tabs>
          <w:tab w:val="left" w:pos="142"/>
          <w:tab w:val="left" w:pos="284"/>
        </w:tabs>
        <w:spacing w:after="0" w:line="276" w:lineRule="auto"/>
        <w:jc w:val="both"/>
        <w:rPr>
          <w:rFonts w:ascii="Verdana" w:eastAsia="Calibri" w:hAnsi="Verdana" w:cs="Arial"/>
        </w:rPr>
      </w:pPr>
    </w:p>
    <w:p w14:paraId="1D356C06" w14:textId="77777777" w:rsidR="001B077C" w:rsidRPr="001B3C5D" w:rsidRDefault="001B077C" w:rsidP="001B077C">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alibri" w:hAnsi="Verdana" w:cs="Arial"/>
          <w:b/>
          <w:bCs/>
        </w:rPr>
        <w:t>5</w:t>
      </w:r>
      <w:r w:rsidRPr="001B3C5D">
        <w:rPr>
          <w:rFonts w:ascii="Verdana" w:eastAsia="Calibri" w:hAnsi="Verdana" w:cs="Arial"/>
        </w:rPr>
        <w:t>.</w:t>
      </w:r>
      <w:r w:rsidRPr="001B3C5D">
        <w:rPr>
          <w:rFonts w:ascii="Verdana" w:eastAsia="Century Gothic" w:hAnsi="Verdana" w:cs="Century Gothic"/>
          <w:b/>
          <w:bCs/>
          <w:lang w:val="es-ES"/>
        </w:rPr>
        <w:t>Doctrina de la Agencia Nacional de Contratación Pública:</w:t>
      </w:r>
    </w:p>
    <w:p w14:paraId="257DF6A0" w14:textId="77777777" w:rsidR="001B077C" w:rsidRPr="001B3C5D" w:rsidRDefault="001B077C" w:rsidP="001B077C">
      <w:pPr>
        <w:widowControl w:val="0"/>
        <w:autoSpaceDE w:val="0"/>
        <w:autoSpaceDN w:val="0"/>
        <w:spacing w:after="0" w:line="276" w:lineRule="auto"/>
        <w:jc w:val="both"/>
        <w:rPr>
          <w:rFonts w:ascii="Verdana" w:eastAsia="Calibri" w:hAnsi="Verdana" w:cs="Arial"/>
        </w:rPr>
      </w:pPr>
    </w:p>
    <w:p w14:paraId="6FE230E8" w14:textId="010B2960" w:rsidR="008D5774" w:rsidRPr="001B077C" w:rsidRDefault="001B077C" w:rsidP="001B077C">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B3C5D">
        <w:rPr>
          <w:rFonts w:ascii="Verdana" w:eastAsia="Calibri" w:hAnsi="Verdana" w:cs="Arial"/>
          <w:kern w:val="2"/>
          <w:shd w:val="clear" w:color="auto" w:fill="FFFFFF"/>
          <w14:ligatures w14:val="standardContextual"/>
        </w:rPr>
        <w:t>L</w:t>
      </w:r>
      <w:r w:rsidRPr="001B3C5D">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1B3C5D">
        <w:rPr>
          <w:rFonts w:ascii="Verdana" w:eastAsia="Times New Roman" w:hAnsi="Verdana" w:cs="Arial"/>
          <w:kern w:val="2"/>
          <w:shd w:val="clear" w:color="auto" w:fill="FFFFFF"/>
          <w:lang w:val="es-ES"/>
          <w14:ligatures w14:val="standardContextual"/>
        </w:rPr>
        <w:t xml:space="preserve">, </w:t>
      </w:r>
      <w:r w:rsidRPr="001B3C5D">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1B3C5D">
        <w:rPr>
          <w:rFonts w:ascii="Verdana" w:eastAsia="Calibri" w:hAnsi="Verdana" w:cs="Arial"/>
          <w:shd w:val="clear" w:color="auto" w:fill="FFFFFF"/>
          <w:lang w:val="es-ES"/>
        </w:rPr>
        <w:t xml:space="preserve">, C-043 del 13 de febrero de 2026 y C-246 del 12 de marzo de 2026, entre otros. </w:t>
      </w:r>
      <w:r w:rsidR="008D5774" w:rsidRPr="00206556">
        <w:rPr>
          <w:rFonts w:ascii="Verdana" w:hAnsi="Verdana" w:cs="Arial"/>
          <w:shd w:val="clear" w:color="auto" w:fill="FFFFFF"/>
          <w:lang w:val="es-ES"/>
        </w:rPr>
        <w:t>Est</w:t>
      </w:r>
      <w:r w:rsidR="00852A3D">
        <w:rPr>
          <w:rFonts w:ascii="Verdana" w:hAnsi="Verdana" w:cs="Arial"/>
          <w:shd w:val="clear" w:color="auto" w:fill="FFFFFF"/>
          <w:lang w:val="es-ES"/>
        </w:rPr>
        <w:t>e</w:t>
      </w:r>
      <w:r w:rsidR="008D5774" w:rsidRPr="00206556">
        <w:rPr>
          <w:rFonts w:ascii="Verdana" w:hAnsi="Verdana"/>
          <w:lang w:val="es-ES"/>
        </w:rPr>
        <w:t xml:space="preserve"> y otros se encuentran disponibles para consulta en el Sistema de relatoría de la Agencia, al cual se puede acceder a través del siguiente enlace:</w:t>
      </w:r>
      <w:r w:rsidR="008D5774" w:rsidRPr="00206556">
        <w:rPr>
          <w:rFonts w:ascii="Verdana" w:hAnsi="Verdana" w:cs="Arial"/>
          <w:shd w:val="clear" w:color="auto" w:fill="FFFFFF"/>
          <w:lang w:val="es-ES"/>
        </w:rPr>
        <w:t xml:space="preserve"> </w:t>
      </w:r>
      <w:hyperlink r:id="rId13" w:history="1">
        <w:r w:rsidR="008D5774" w:rsidRPr="00206556">
          <w:rPr>
            <w:rStyle w:val="Hipervnculo"/>
            <w:rFonts w:ascii="Verdana" w:hAnsi="Verdana" w:cs="Arial"/>
            <w:shd w:val="clear" w:color="auto" w:fill="FFFFFF"/>
            <w:lang w:val="es-ES"/>
          </w:rPr>
          <w:t>https://relatoria.colombiacompra.gov.co/busqueda/conceptos</w:t>
        </w:r>
      </w:hyperlink>
    </w:p>
    <w:p w14:paraId="537B2233" w14:textId="77777777" w:rsidR="008D5774" w:rsidRPr="00206556" w:rsidRDefault="008D5774" w:rsidP="003C3B8B">
      <w:pPr>
        <w:spacing w:after="0" w:line="276" w:lineRule="auto"/>
        <w:jc w:val="both"/>
        <w:rPr>
          <w:rFonts w:ascii="Verdana" w:hAnsi="Verdana" w:cs="Arial"/>
          <w:color w:val="ED7D31" w:themeColor="accent2"/>
          <w:shd w:val="clear" w:color="auto" w:fill="FFFFFF"/>
          <w:lang w:val="es-ES"/>
        </w:rPr>
      </w:pPr>
    </w:p>
    <w:p w14:paraId="53F8138D" w14:textId="775728F2" w:rsidR="005179DF" w:rsidRPr="00206556" w:rsidRDefault="005179DF" w:rsidP="003C3B8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4" w:history="1">
        <w:r w:rsidR="00CF24C0" w:rsidRPr="00206556">
          <w:rPr>
            <w:rStyle w:val="Hipervnculo"/>
            <w:rFonts w:ascii="Verdana" w:hAnsi="Verdana" w:cs="Arial"/>
            <w:shd w:val="clear" w:color="auto" w:fill="FFFFFF"/>
          </w:rPr>
          <w:t>https://formacionvirtual.colombiacompra.gov.co/mod/page/view.php?id=3718</w:t>
        </w:r>
      </w:hyperlink>
      <w:r w:rsidR="00CF24C0" w:rsidRPr="00206556">
        <w:rPr>
          <w:rFonts w:ascii="Verdana" w:hAnsi="Verdana" w:cs="Arial"/>
          <w:shd w:val="clear" w:color="auto" w:fill="FFFFFF"/>
        </w:rPr>
        <w:t xml:space="preserve"> </w:t>
      </w:r>
    </w:p>
    <w:p w14:paraId="2D72AF6B" w14:textId="77777777" w:rsidR="005179DF" w:rsidRPr="00206556" w:rsidRDefault="005179DF" w:rsidP="003C3B8B">
      <w:pPr>
        <w:spacing w:after="0" w:line="276" w:lineRule="auto"/>
        <w:jc w:val="both"/>
        <w:rPr>
          <w:rFonts w:ascii="Verdana" w:hAnsi="Verdana" w:cs="Arial"/>
          <w:shd w:val="clear" w:color="auto" w:fill="FFFFFF"/>
        </w:rPr>
      </w:pPr>
    </w:p>
    <w:p w14:paraId="6F12E20F" w14:textId="1D3FA391" w:rsidR="005179DF" w:rsidRPr="00206556" w:rsidRDefault="005179DF" w:rsidP="003C3B8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5" w:history="1">
        <w:r w:rsidRPr="00206556">
          <w:rPr>
            <w:rStyle w:val="Hipervnculo"/>
            <w:rFonts w:ascii="Verdana" w:hAnsi="Verdana" w:cs="Arial"/>
            <w:shd w:val="clear" w:color="auto" w:fill="FFFFFF"/>
          </w:rPr>
          <w:t>https://www.colombiacompra.gov.co/normativa-y-relatoria/documentos-tipo</w:t>
        </w:r>
      </w:hyperlink>
    </w:p>
    <w:p w14:paraId="16F44F44" w14:textId="77777777" w:rsidR="005179DF" w:rsidRPr="00206556" w:rsidRDefault="005179DF" w:rsidP="003C3B8B">
      <w:pPr>
        <w:spacing w:after="0" w:line="276" w:lineRule="auto"/>
        <w:jc w:val="both"/>
        <w:rPr>
          <w:rFonts w:ascii="Verdana" w:hAnsi="Verdana" w:cs="Arial"/>
          <w:shd w:val="clear" w:color="auto" w:fill="FFFFFF"/>
        </w:rPr>
      </w:pPr>
    </w:p>
    <w:p w14:paraId="4277517C" w14:textId="77777777" w:rsidR="005179DF" w:rsidRPr="00206556" w:rsidRDefault="005179DF" w:rsidP="003C3B8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206556">
        <w:rPr>
          <w:rFonts w:ascii="Verdana" w:hAnsi="Verdana" w:cs="Arial"/>
          <w:shd w:val="clear" w:color="auto" w:fill="FFFFFF"/>
        </w:rPr>
        <w:t>Además</w:t>
      </w:r>
      <w:proofErr w:type="gramEnd"/>
      <w:r w:rsidRPr="00206556">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50BA40C8" w14:textId="77777777" w:rsidR="008D5774" w:rsidRPr="00206556" w:rsidRDefault="008D5774" w:rsidP="003C3B8B">
      <w:pPr>
        <w:spacing w:after="0" w:line="276" w:lineRule="auto"/>
        <w:jc w:val="both"/>
        <w:rPr>
          <w:rFonts w:ascii="Verdana" w:hAnsi="Verdana" w:cs="Arial"/>
          <w:color w:val="ED7D31" w:themeColor="accent2"/>
          <w:shd w:val="clear" w:color="auto" w:fill="FFFFFF"/>
        </w:rPr>
      </w:pPr>
    </w:p>
    <w:p w14:paraId="14541A71"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lastRenderedPageBreak/>
        <w:t xml:space="preserve">Por último, lo invitamos a seguirnos en las redes sociales en las cuales se difunde información institucional: </w:t>
      </w:r>
    </w:p>
    <w:p w14:paraId="79871619" w14:textId="77777777" w:rsidR="008D5774" w:rsidRPr="00206556" w:rsidRDefault="008D5774" w:rsidP="008D5774">
      <w:pPr>
        <w:spacing w:after="0"/>
        <w:jc w:val="both"/>
        <w:rPr>
          <w:rFonts w:ascii="Verdana" w:hAnsi="Verdana" w:cs="Arial"/>
          <w:shd w:val="clear" w:color="auto" w:fill="FFFFFF"/>
        </w:rPr>
      </w:pPr>
    </w:p>
    <w:p w14:paraId="4E67AE00"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7A8B05A5"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42648E5E"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26B676B4" w14:textId="77777777" w:rsidR="008D5774" w:rsidRPr="00206556" w:rsidRDefault="008D5774" w:rsidP="008D5774">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40F4A6F7" w14:textId="77777777" w:rsidR="008D5774" w:rsidRPr="00206556"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04B627D4" w14:textId="77777777" w:rsidR="008D5774" w:rsidRPr="00206556" w:rsidRDefault="008D5774" w:rsidP="008D5774">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B22982D" w14:textId="77777777" w:rsidR="008D5774" w:rsidRPr="00206556" w:rsidRDefault="008D5774" w:rsidP="008D5774">
      <w:pPr>
        <w:widowControl w:val="0"/>
        <w:autoSpaceDE w:val="0"/>
        <w:autoSpaceDN w:val="0"/>
        <w:spacing w:after="0" w:line="276" w:lineRule="auto"/>
        <w:jc w:val="both"/>
        <w:rPr>
          <w:rFonts w:ascii="Verdana" w:hAnsi="Verdana" w:cs="Arial"/>
          <w:lang w:val="es-ES"/>
        </w:rPr>
      </w:pPr>
    </w:p>
    <w:p w14:paraId="5934DDF9" w14:textId="77777777" w:rsidR="008D5774" w:rsidRPr="00206556" w:rsidRDefault="008D5774" w:rsidP="008D5774">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75F00371" w14:textId="77777777" w:rsidR="00A754B1" w:rsidRPr="00206556" w:rsidRDefault="00A754B1" w:rsidP="00670CFB">
      <w:pPr>
        <w:autoSpaceDE w:val="0"/>
        <w:autoSpaceDN w:val="0"/>
        <w:adjustRightInd w:val="0"/>
        <w:spacing w:after="0" w:line="276" w:lineRule="auto"/>
        <w:rPr>
          <w:rFonts w:ascii="Verdana" w:eastAsia="Calibri" w:hAnsi="Verdana" w:cs="Arial"/>
          <w:noProof/>
          <w:sz w:val="20"/>
          <w:szCs w:val="20"/>
        </w:rPr>
      </w:pPr>
    </w:p>
    <w:p w14:paraId="13C0EB0F" w14:textId="7C0ED184" w:rsidR="00A754B1" w:rsidRPr="00206556" w:rsidRDefault="00381C94" w:rsidP="00A754B1">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5F88B2AE" wp14:editId="353AF9BC">
            <wp:extent cx="3639058" cy="1343212"/>
            <wp:effectExtent l="0" t="0" r="0" b="0"/>
            <wp:docPr id="109623091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30911" name="Imagen 1"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B064C3A" w14:textId="77777777" w:rsidR="00A754B1" w:rsidRPr="00206556" w:rsidRDefault="00A754B1" w:rsidP="00A754B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754B1" w:rsidRPr="00206556" w14:paraId="5C634FCB" w14:textId="77777777">
        <w:trPr>
          <w:trHeight w:val="322"/>
        </w:trPr>
        <w:tc>
          <w:tcPr>
            <w:tcW w:w="733" w:type="dxa"/>
            <w:tcBorders>
              <w:top w:val="nil"/>
              <w:left w:val="nil"/>
              <w:bottom w:val="nil"/>
              <w:right w:val="nil"/>
            </w:tcBorders>
            <w:vAlign w:val="center"/>
            <w:hideMark/>
          </w:tcPr>
          <w:p w14:paraId="6BA74C99"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6F1BA0" w14:textId="77777777" w:rsidR="00670CFB" w:rsidRPr="00206556" w:rsidRDefault="00670CFB" w:rsidP="00670CF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eastAsia="es-CO"/>
              </w:rPr>
              <w:t>Gloria Elizabeth Arango Builes</w:t>
            </w:r>
          </w:p>
          <w:p w14:paraId="0502EDA4" w14:textId="4C8370B0" w:rsidR="00A754B1" w:rsidRPr="00206556" w:rsidRDefault="00670CFB" w:rsidP="00670CFB">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eastAsia="es-ES"/>
              </w:rPr>
              <w:t xml:space="preserve">Contratista </w:t>
            </w:r>
            <w:r w:rsidRPr="00206556">
              <w:rPr>
                <w:rFonts w:ascii="Verdana" w:eastAsia="Times New Roman" w:hAnsi="Verdana" w:cs="Times New Roman"/>
                <w:sz w:val="16"/>
                <w:szCs w:val="16"/>
                <w:lang w:eastAsia="es-CO"/>
              </w:rPr>
              <w:t>de la Subdirección de Gestión Contractual</w:t>
            </w:r>
          </w:p>
        </w:tc>
      </w:tr>
      <w:tr w:rsidR="00A754B1" w:rsidRPr="00206556" w14:paraId="4384CD0E" w14:textId="77777777">
        <w:trPr>
          <w:trHeight w:val="322"/>
        </w:trPr>
        <w:tc>
          <w:tcPr>
            <w:tcW w:w="733" w:type="dxa"/>
            <w:tcBorders>
              <w:top w:val="nil"/>
              <w:left w:val="nil"/>
              <w:bottom w:val="nil"/>
              <w:right w:val="nil"/>
            </w:tcBorders>
            <w:vAlign w:val="center"/>
            <w:hideMark/>
          </w:tcPr>
          <w:p w14:paraId="68F906D2"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F65E976" w14:textId="3600DF05" w:rsidR="00670CFB" w:rsidRPr="00206556" w:rsidRDefault="001B077C" w:rsidP="00670CF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 Castañeda</w:t>
            </w:r>
          </w:p>
          <w:p w14:paraId="53BA1B20" w14:textId="05E2A54E" w:rsidR="00670CFB" w:rsidRPr="00206556" w:rsidRDefault="001B077C" w:rsidP="00670CFB">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00670CFB" w:rsidRPr="00206556">
              <w:rPr>
                <w:rFonts w:ascii="Verdana" w:eastAsia="Times New Roman" w:hAnsi="Verdana" w:cs="Arial"/>
                <w:sz w:val="16"/>
                <w:szCs w:val="16"/>
                <w:lang w:eastAsia="es-ES"/>
              </w:rPr>
              <w:t xml:space="preserve"> de la Subdirección de Gestión Contractual</w:t>
            </w:r>
          </w:p>
          <w:p w14:paraId="4F030FDF" w14:textId="6BB16468"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p>
        </w:tc>
      </w:tr>
      <w:tr w:rsidR="00A754B1" w:rsidRPr="00206556" w14:paraId="51B53319" w14:textId="77777777">
        <w:trPr>
          <w:trHeight w:val="307"/>
        </w:trPr>
        <w:tc>
          <w:tcPr>
            <w:tcW w:w="733" w:type="dxa"/>
            <w:tcBorders>
              <w:top w:val="nil"/>
              <w:left w:val="nil"/>
              <w:bottom w:val="nil"/>
              <w:right w:val="nil"/>
            </w:tcBorders>
            <w:vAlign w:val="center"/>
            <w:hideMark/>
          </w:tcPr>
          <w:p w14:paraId="58BB7344"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41E819"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3D71CC3E"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1F1E5D50" w14:textId="77777777" w:rsidR="00A754B1" w:rsidRDefault="00A754B1" w:rsidP="00A754B1">
      <w:pPr>
        <w:autoSpaceDE w:val="0"/>
        <w:autoSpaceDN w:val="0"/>
        <w:adjustRightInd w:val="0"/>
        <w:spacing w:after="0" w:line="276" w:lineRule="auto"/>
        <w:jc w:val="center"/>
        <w:rPr>
          <w:rFonts w:ascii="Verdana" w:eastAsia="Calibri" w:hAnsi="Verdana" w:cs="Arial"/>
        </w:rPr>
      </w:pPr>
    </w:p>
    <w:p w14:paraId="0F8936C8" w14:textId="77777777" w:rsidR="00670CFB" w:rsidRDefault="00670CFB" w:rsidP="00A754B1">
      <w:pPr>
        <w:autoSpaceDE w:val="0"/>
        <w:autoSpaceDN w:val="0"/>
        <w:adjustRightInd w:val="0"/>
        <w:spacing w:after="0" w:line="276" w:lineRule="auto"/>
        <w:jc w:val="center"/>
        <w:rPr>
          <w:rFonts w:ascii="Verdana" w:eastAsia="Calibri" w:hAnsi="Verdana" w:cs="Arial"/>
        </w:rPr>
      </w:pPr>
    </w:p>
    <w:p w14:paraId="179A18B3" w14:textId="5C20A6F1" w:rsidR="00670CFB" w:rsidRPr="00206556" w:rsidRDefault="00670CFB" w:rsidP="00670CFB">
      <w:pPr>
        <w:autoSpaceDE w:val="0"/>
        <w:autoSpaceDN w:val="0"/>
        <w:adjustRightInd w:val="0"/>
        <w:spacing w:after="0" w:line="276" w:lineRule="auto"/>
        <w:jc w:val="center"/>
        <w:rPr>
          <w:rFonts w:ascii="Verdana" w:eastAsia="Calibri" w:hAnsi="Verdana" w:cs="Arial"/>
        </w:rPr>
      </w:pPr>
    </w:p>
    <w:sectPr w:rsidR="00670CFB" w:rsidRPr="0020655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DAD06" w14:textId="77777777" w:rsidR="00F1633A" w:rsidRDefault="00F1633A" w:rsidP="004A1847">
      <w:pPr>
        <w:spacing w:after="0" w:line="240" w:lineRule="auto"/>
      </w:pPr>
      <w:r>
        <w:separator/>
      </w:r>
    </w:p>
  </w:endnote>
  <w:endnote w:type="continuationSeparator" w:id="0">
    <w:p w14:paraId="3F139FF4" w14:textId="77777777" w:rsidR="00F1633A" w:rsidRDefault="00F1633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E0BA5" w14:textId="77777777" w:rsidR="00F1633A" w:rsidRDefault="00F1633A" w:rsidP="004A1847">
      <w:pPr>
        <w:spacing w:after="0" w:line="240" w:lineRule="auto"/>
      </w:pPr>
      <w:r>
        <w:separator/>
      </w:r>
    </w:p>
  </w:footnote>
  <w:footnote w:type="continuationSeparator" w:id="0">
    <w:p w14:paraId="42A60943" w14:textId="77777777" w:rsidR="00F1633A" w:rsidRDefault="00F1633A" w:rsidP="004A1847">
      <w:pPr>
        <w:spacing w:after="0" w:line="240" w:lineRule="auto"/>
      </w:pPr>
      <w:r>
        <w:continuationSeparator/>
      </w:r>
    </w:p>
  </w:footnote>
  <w:footnote w:id="1">
    <w:p w14:paraId="5B2AFDBA" w14:textId="77777777" w:rsidR="007A5381" w:rsidRPr="001B077C" w:rsidRDefault="007A5381" w:rsidP="007A5381">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 xml:space="preserve">M.P.: Humberto Antonio Sierra Porto. </w:t>
      </w:r>
    </w:p>
    <w:p w14:paraId="1B54B033" w14:textId="77777777" w:rsidR="007A5381" w:rsidRPr="001B077C" w:rsidRDefault="007A5381" w:rsidP="007A5381">
      <w:pPr>
        <w:pStyle w:val="Textonotapie"/>
        <w:ind w:firstLine="708"/>
        <w:jc w:val="both"/>
        <w:rPr>
          <w:rFonts w:ascii="Verdana" w:hAnsi="Verdana" w:cs="Arial"/>
          <w:sz w:val="12"/>
          <w:szCs w:val="12"/>
          <w:lang w:val="it-IT"/>
        </w:rPr>
      </w:pPr>
    </w:p>
  </w:footnote>
  <w:footnote w:id="2">
    <w:p w14:paraId="1AF85006" w14:textId="77777777" w:rsidR="007A5381" w:rsidRPr="001B077C" w:rsidRDefault="007A5381" w:rsidP="007A5381">
      <w:pPr>
        <w:pStyle w:val="Textonotapie"/>
        <w:ind w:firstLine="708"/>
        <w:jc w:val="both"/>
        <w:rPr>
          <w:rFonts w:ascii="Verdana" w:hAnsi="Verdana" w:cs="Arial"/>
          <w:sz w:val="12"/>
          <w:szCs w:val="12"/>
          <w:lang w:val="pt-BR"/>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w:t>
      </w:r>
      <w:r w:rsidRPr="001B077C">
        <w:rPr>
          <w:rFonts w:ascii="Verdana" w:hAnsi="Verdana" w:cs="Arial"/>
          <w:sz w:val="12"/>
          <w:szCs w:val="12"/>
          <w:lang w:val="pt-BR"/>
        </w:rPr>
        <w:t>Consejo de Estado, Sala de lo Contencioso Administrativo, Sección Primera. Consejero ponente: Juan Alberto Polo Figueroa. Bogotá D.C., 24 de agosto de 2000. Radicación número 6096.</w:t>
      </w:r>
    </w:p>
    <w:p w14:paraId="4322B233" w14:textId="77777777" w:rsidR="007A5381" w:rsidRPr="001B077C" w:rsidRDefault="007A5381" w:rsidP="007A5381">
      <w:pPr>
        <w:pStyle w:val="Textonotapie"/>
        <w:ind w:firstLine="708"/>
        <w:jc w:val="both"/>
        <w:rPr>
          <w:rFonts w:ascii="Verdana" w:hAnsi="Verdana" w:cs="Arial"/>
          <w:sz w:val="12"/>
          <w:szCs w:val="12"/>
          <w:lang w:val="pt-BR"/>
        </w:rPr>
      </w:pPr>
    </w:p>
  </w:footnote>
  <w:footnote w:id="3">
    <w:p w14:paraId="251B14F6" w14:textId="77777777" w:rsidR="007A5381" w:rsidRPr="001B077C" w:rsidRDefault="007A5381" w:rsidP="007A5381">
      <w:pPr>
        <w:pStyle w:val="Textonotapie"/>
        <w:ind w:firstLine="708"/>
        <w:jc w:val="both"/>
        <w:rPr>
          <w:rFonts w:ascii="Verdana" w:hAnsi="Verdana"/>
          <w:sz w:val="12"/>
          <w:szCs w:val="12"/>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Ibidem </w:t>
      </w:r>
    </w:p>
    <w:p w14:paraId="1AFFF151" w14:textId="77777777" w:rsidR="007A5381" w:rsidRPr="001B077C" w:rsidRDefault="007A5381" w:rsidP="007A5381">
      <w:pPr>
        <w:pStyle w:val="Textonotapie"/>
        <w:ind w:firstLine="708"/>
        <w:jc w:val="both"/>
        <w:rPr>
          <w:rFonts w:ascii="Verdana" w:hAnsi="Verdana"/>
          <w:sz w:val="12"/>
          <w:szCs w:val="12"/>
          <w:lang w:val="pt-BR"/>
        </w:rPr>
      </w:pPr>
    </w:p>
  </w:footnote>
  <w:footnote w:id="4">
    <w:p w14:paraId="67D982FF" w14:textId="77777777" w:rsidR="007A5381" w:rsidRPr="001B077C" w:rsidRDefault="007A5381" w:rsidP="007A5381">
      <w:pPr>
        <w:pStyle w:val="Textonotapie"/>
        <w:ind w:firstLine="708"/>
        <w:jc w:val="both"/>
        <w:rPr>
          <w:rFonts w:ascii="Verdana" w:hAnsi="Verdana"/>
          <w:color w:val="333333"/>
          <w:sz w:val="12"/>
          <w:szCs w:val="12"/>
          <w:shd w:val="clear" w:color="auto" w:fill="FFFFFF"/>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w:t>
      </w:r>
      <w:r w:rsidRPr="001B077C">
        <w:rPr>
          <w:rFonts w:ascii="Verdana" w:hAnsi="Verdana" w:cs="Arial"/>
          <w:sz w:val="12"/>
          <w:szCs w:val="12"/>
          <w:lang w:val="pt-BR"/>
        </w:rPr>
        <w:t xml:space="preserve">Corte Constitucional, Sentencia </w:t>
      </w:r>
      <w:r w:rsidRPr="001B077C">
        <w:rPr>
          <w:rFonts w:ascii="Verdana" w:eastAsia="Times New Roman" w:hAnsi="Verdana" w:cs="Arial"/>
          <w:sz w:val="12"/>
          <w:szCs w:val="12"/>
          <w:lang w:val="pt-BR" w:eastAsia="es-MX"/>
        </w:rPr>
        <w:t>C-917 de 2002</w:t>
      </w:r>
      <w:r w:rsidRPr="001B077C">
        <w:rPr>
          <w:rFonts w:ascii="Verdana" w:hAnsi="Verdana" w:cs="Arial"/>
          <w:sz w:val="12"/>
          <w:szCs w:val="12"/>
          <w:lang w:val="pt-BR"/>
        </w:rPr>
        <w:t xml:space="preserve">. M.P.: </w:t>
      </w:r>
      <w:r w:rsidRPr="001B077C">
        <w:rPr>
          <w:rFonts w:ascii="Verdana" w:hAnsi="Verdana"/>
          <w:color w:val="333333"/>
          <w:sz w:val="12"/>
          <w:szCs w:val="12"/>
          <w:shd w:val="clear" w:color="auto" w:fill="FFFFFF"/>
          <w:lang w:val="pt-BR"/>
        </w:rPr>
        <w:t xml:space="preserve">Marco Gerardo </w:t>
      </w:r>
      <w:r w:rsidRPr="001B077C">
        <w:rPr>
          <w:rFonts w:ascii="Verdana" w:hAnsi="Verdana"/>
          <w:color w:val="333333"/>
          <w:sz w:val="12"/>
          <w:szCs w:val="12"/>
          <w:shd w:val="clear" w:color="auto" w:fill="FFFFFF"/>
          <w:lang w:val="pt-BR"/>
        </w:rPr>
        <w:t>Monroy Cabra.</w:t>
      </w:r>
    </w:p>
    <w:p w14:paraId="1E8350EC" w14:textId="77777777" w:rsidR="007A5381" w:rsidRPr="001B077C" w:rsidRDefault="007A5381" w:rsidP="007A5381">
      <w:pPr>
        <w:pStyle w:val="Textonotapie"/>
        <w:ind w:firstLine="708"/>
        <w:jc w:val="both"/>
        <w:rPr>
          <w:rFonts w:ascii="Verdana" w:hAnsi="Verdana"/>
          <w:sz w:val="12"/>
          <w:szCs w:val="12"/>
          <w:lang w:val="pt-BR"/>
        </w:rPr>
      </w:pPr>
    </w:p>
  </w:footnote>
  <w:footnote w:id="5">
    <w:p w14:paraId="2EC430DF" w14:textId="77777777" w:rsidR="007A5381" w:rsidRPr="001B077C" w:rsidRDefault="007A5381" w:rsidP="007A538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Artículo 1º del Decreto Ley 4170 de 2011.</w:t>
      </w:r>
    </w:p>
    <w:p w14:paraId="3793AB43" w14:textId="77777777" w:rsidR="007A5381" w:rsidRPr="001B077C" w:rsidRDefault="007A5381" w:rsidP="007A5381">
      <w:pPr>
        <w:pStyle w:val="Textonotapie"/>
        <w:ind w:firstLine="708"/>
        <w:jc w:val="both"/>
        <w:rPr>
          <w:rFonts w:ascii="Verdana" w:hAnsi="Verdana" w:cs="Arial"/>
          <w:sz w:val="12"/>
          <w:szCs w:val="12"/>
        </w:rPr>
      </w:pPr>
    </w:p>
  </w:footnote>
  <w:footnote w:id="6">
    <w:p w14:paraId="371DF16C" w14:textId="77777777" w:rsidR="007A5381" w:rsidRPr="001B077C" w:rsidRDefault="007A5381" w:rsidP="007A5381">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Ver el Artículo 11 numeral 12 del Decreto Ley 4170 de 2011.</w:t>
      </w:r>
    </w:p>
    <w:p w14:paraId="12C38C09" w14:textId="77777777" w:rsidR="007A5381" w:rsidRPr="001B077C" w:rsidRDefault="007A5381" w:rsidP="007A5381">
      <w:pPr>
        <w:pStyle w:val="Textonotapie"/>
        <w:ind w:firstLine="708"/>
        <w:jc w:val="both"/>
        <w:rPr>
          <w:rFonts w:ascii="Verdana" w:hAnsi="Verdana"/>
          <w:sz w:val="12"/>
          <w:szCs w:val="12"/>
        </w:rPr>
      </w:pPr>
    </w:p>
  </w:footnote>
  <w:footnote w:id="7">
    <w:p w14:paraId="72DFF9E7" w14:textId="77777777" w:rsidR="007A5381" w:rsidRPr="001B077C" w:rsidRDefault="007A5381" w:rsidP="007A538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Auto del 14 de agosto de 2017. Rad. 58820.</w:t>
      </w:r>
    </w:p>
    <w:p w14:paraId="1582FB72" w14:textId="77777777" w:rsidR="007A5381" w:rsidRPr="001B077C" w:rsidRDefault="007A5381" w:rsidP="007A5381">
      <w:pPr>
        <w:pStyle w:val="Textonotapie"/>
        <w:ind w:firstLine="708"/>
        <w:jc w:val="both"/>
        <w:rPr>
          <w:rFonts w:ascii="Verdana" w:hAnsi="Verdana" w:cs="Arial"/>
          <w:sz w:val="12"/>
          <w:szCs w:val="12"/>
        </w:rPr>
      </w:pPr>
    </w:p>
  </w:footnote>
  <w:footnote w:id="8">
    <w:p w14:paraId="5CF506E0" w14:textId="77777777" w:rsidR="007A5381" w:rsidRPr="001B077C" w:rsidRDefault="007A5381" w:rsidP="007A538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Tercera. Sentencia del 16 de agosto de 2017. Rad. 56166.</w:t>
      </w:r>
    </w:p>
    <w:p w14:paraId="3F159DA3" w14:textId="77777777" w:rsidR="007A5381" w:rsidRPr="001B077C" w:rsidRDefault="007A5381" w:rsidP="007A5381">
      <w:pPr>
        <w:pStyle w:val="Textonotapie"/>
        <w:ind w:firstLine="708"/>
        <w:jc w:val="both"/>
        <w:rPr>
          <w:rFonts w:ascii="Verdana" w:hAnsi="Verdana"/>
          <w:sz w:val="12"/>
          <w:szCs w:val="12"/>
        </w:rPr>
      </w:pPr>
    </w:p>
  </w:footnote>
  <w:footnote w:id="9">
    <w:p w14:paraId="3B4D3D06" w14:textId="77777777" w:rsidR="007A5381" w:rsidRPr="001B077C" w:rsidRDefault="007A5381" w:rsidP="007A538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Ibídem. </w:t>
      </w:r>
    </w:p>
    <w:p w14:paraId="1D2ADB9C" w14:textId="77777777" w:rsidR="007A5381" w:rsidRPr="00C80FF3" w:rsidRDefault="007A5381" w:rsidP="007A5381">
      <w:pPr>
        <w:pStyle w:val="Textonotapie"/>
        <w:ind w:firstLine="708"/>
        <w:jc w:val="both"/>
        <w:rPr>
          <w:rFonts w:ascii="Verdana" w:hAnsi="Verdana" w:cs="Arial"/>
          <w:sz w:val="19"/>
          <w:szCs w:val="19"/>
        </w:rPr>
      </w:pPr>
    </w:p>
  </w:footnote>
  <w:footnote w:id="10">
    <w:p w14:paraId="1037ADA4" w14:textId="77777777" w:rsidR="007A5381" w:rsidRPr="00C80FF3" w:rsidRDefault="007A5381" w:rsidP="007A5381">
      <w:pPr>
        <w:pStyle w:val="Textonotapie"/>
        <w:ind w:firstLine="708"/>
        <w:jc w:val="both"/>
        <w:rPr>
          <w:rFonts w:ascii="Verdana" w:hAnsi="Verdana" w:cs="Arial"/>
          <w:sz w:val="19"/>
          <w:szCs w:val="19"/>
          <w:lang w:val="es-ES"/>
        </w:rPr>
      </w:pPr>
      <w:r w:rsidRPr="00C80FF3">
        <w:rPr>
          <w:rStyle w:val="Refdenotaalpie"/>
          <w:rFonts w:ascii="Verdana" w:hAnsi="Verdana" w:cs="Arial"/>
          <w:sz w:val="19"/>
          <w:szCs w:val="19"/>
        </w:rPr>
        <w:footnoteRef/>
      </w:r>
      <w:r w:rsidRPr="00C80FF3">
        <w:rPr>
          <w:rFonts w:ascii="Verdana" w:hAnsi="Verdana" w:cs="Arial"/>
          <w:sz w:val="19"/>
          <w:szCs w:val="19"/>
        </w:rPr>
        <w:t xml:space="preserve"> Diccionario de la Real Academia Española, versión online disponible en: </w:t>
      </w:r>
      <w:hyperlink r:id="rId1" w:history="1">
        <w:r w:rsidRPr="00C80FF3">
          <w:rPr>
            <w:rStyle w:val="Hipervnculo"/>
            <w:rFonts w:ascii="Verdana" w:hAnsi="Verdana" w:cs="Arial"/>
            <w:sz w:val="19"/>
            <w:szCs w:val="19"/>
          </w:rPr>
          <w:t>https://dle.rae.es/est%C3%A1ndar</w:t>
        </w:r>
      </w:hyperlink>
      <w:r w:rsidRPr="00C80FF3">
        <w:rPr>
          <w:rFonts w:ascii="Verdana" w:hAnsi="Verdana" w:cs="Arial"/>
          <w:sz w:val="19"/>
          <w:szCs w:val="19"/>
        </w:rPr>
        <w:t xml:space="preserve">, consultado el 2 de junio de 2020. </w:t>
      </w:r>
    </w:p>
  </w:footnote>
  <w:footnote w:id="11">
    <w:p w14:paraId="052F812D" w14:textId="77777777" w:rsidR="001B077C" w:rsidRPr="001B077C" w:rsidRDefault="001B077C" w:rsidP="001B077C">
      <w:pPr>
        <w:pStyle w:val="Textonotapie"/>
        <w:ind w:firstLine="708"/>
        <w:jc w:val="both"/>
        <w:rPr>
          <w:rFonts w:ascii="Verdana" w:hAnsi="Verdana"/>
          <w:sz w:val="12"/>
          <w:szCs w:val="12"/>
        </w:rPr>
      </w:pPr>
      <w:r w:rsidRPr="00861BF3">
        <w:rPr>
          <w:rStyle w:val="Refdenotaalpie"/>
          <w:rFonts w:ascii="Verdana" w:hAnsi="Verdana"/>
          <w:sz w:val="19"/>
          <w:szCs w:val="19"/>
        </w:rPr>
        <w:footnoteRef/>
      </w:r>
      <w:r w:rsidRPr="00861BF3">
        <w:rPr>
          <w:rFonts w:ascii="Verdana" w:hAnsi="Verdana"/>
          <w:sz w:val="19"/>
          <w:szCs w:val="19"/>
        </w:rPr>
        <w:t xml:space="preserve"> </w:t>
      </w:r>
      <w:r w:rsidRPr="001B077C">
        <w:rPr>
          <w:rFonts w:ascii="Verdana" w:hAnsi="Verdana" w:cs="Arial"/>
          <w:sz w:val="12"/>
          <w:szCs w:val="12"/>
        </w:rPr>
        <w:t>Gaceta del Congreso No. 733 del 2018. Pág. 19</w:t>
      </w:r>
    </w:p>
    <w:p w14:paraId="0A7B5F16" w14:textId="77777777" w:rsidR="001B077C" w:rsidRPr="001B077C" w:rsidRDefault="001B077C" w:rsidP="001B077C">
      <w:pPr>
        <w:pStyle w:val="Textonotapie"/>
        <w:jc w:val="both"/>
        <w:rPr>
          <w:rFonts w:ascii="Verdana" w:hAnsi="Verdana"/>
          <w:sz w:val="12"/>
          <w:szCs w:val="12"/>
          <w:lang w:val="es-CO"/>
        </w:rPr>
      </w:pPr>
    </w:p>
  </w:footnote>
  <w:footnote w:id="12">
    <w:p w14:paraId="39FB8A43"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 xml:space="preserve">Ley 2022 de 2020: “Artículo 1. Modifíquese el artículo </w:t>
      </w:r>
      <w:hyperlink r:id="rId2" w:anchor="4" w:history="1">
        <w:r w:rsidRPr="001B077C">
          <w:rPr>
            <w:rFonts w:ascii="Verdana" w:hAnsi="Verdana" w:cs="Arial"/>
            <w:sz w:val="12"/>
            <w:szCs w:val="12"/>
          </w:rPr>
          <w:t>4</w:t>
        </w:r>
      </w:hyperlink>
      <w:r w:rsidRPr="001B077C">
        <w:rPr>
          <w:rFonts w:ascii="Verdana" w:hAnsi="Verdana" w:cs="Arial"/>
          <w:sz w:val="12"/>
          <w:szCs w:val="12"/>
        </w:rPr>
        <w:t xml:space="preserve">º de la Ley 1882 de 2018, el cual quedará así: </w:t>
      </w:r>
    </w:p>
    <w:p w14:paraId="01F3F9D2" w14:textId="77777777" w:rsidR="001B077C" w:rsidRPr="001B077C" w:rsidRDefault="001B077C" w:rsidP="001B077C">
      <w:pPr>
        <w:pStyle w:val="Textonotapie"/>
        <w:ind w:firstLine="708"/>
        <w:jc w:val="both"/>
        <w:rPr>
          <w:rFonts w:ascii="Verdana" w:hAnsi="Verdana" w:cs="Arial"/>
          <w:sz w:val="12"/>
          <w:szCs w:val="12"/>
        </w:rPr>
      </w:pPr>
    </w:p>
    <w:p w14:paraId="07C399BA"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 xml:space="preserve">“Artículo 4º. Adiciónese el </w:t>
      </w:r>
      <w:r w:rsidRPr="001B077C">
        <w:rPr>
          <w:rFonts w:ascii="Verdana" w:hAnsi="Verdana" w:cs="Arial"/>
          <w:sz w:val="12"/>
          <w:szCs w:val="12"/>
        </w:rPr>
        <w:t xml:space="preserve">siguiente </w:t>
      </w:r>
      <w:r w:rsidRPr="001B077C">
        <w:rPr>
          <w:rFonts w:ascii="Verdana" w:hAnsi="Verdana"/>
          <w:sz w:val="12"/>
          <w:szCs w:val="12"/>
        </w:rPr>
        <w:t xml:space="preserve"> </w:t>
      </w:r>
      <w:r w:rsidRPr="001B077C">
        <w:rPr>
          <w:rFonts w:ascii="Verdana" w:hAnsi="Verdana" w:cs="Arial"/>
          <w:sz w:val="12"/>
          <w:szCs w:val="12"/>
        </w:rPr>
        <w:t>al artículo 2º de la Ley 1150 de 2007.</w:t>
      </w:r>
    </w:p>
    <w:p w14:paraId="75ED1D08" w14:textId="77777777" w:rsidR="001B077C" w:rsidRPr="001B077C" w:rsidRDefault="001B077C" w:rsidP="001B077C">
      <w:pPr>
        <w:pStyle w:val="Textonotapie"/>
        <w:ind w:firstLine="708"/>
        <w:jc w:val="both"/>
        <w:rPr>
          <w:rFonts w:ascii="Verdana" w:hAnsi="Verdana" w:cs="Arial"/>
          <w:sz w:val="12"/>
          <w:szCs w:val="12"/>
        </w:rPr>
      </w:pPr>
    </w:p>
    <w:p w14:paraId="247FB00A"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19128CD" w14:textId="77777777" w:rsidR="001B077C" w:rsidRPr="001B077C" w:rsidRDefault="001B077C" w:rsidP="001B077C">
      <w:pPr>
        <w:pStyle w:val="Textonotapie"/>
        <w:ind w:firstLine="708"/>
        <w:jc w:val="both"/>
        <w:rPr>
          <w:rFonts w:ascii="Verdana" w:hAnsi="Verdana" w:cs="Arial"/>
          <w:sz w:val="12"/>
          <w:szCs w:val="12"/>
        </w:rPr>
      </w:pPr>
    </w:p>
    <w:p w14:paraId="48D73104"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280398D" w14:textId="77777777" w:rsidR="001B077C" w:rsidRPr="001B077C" w:rsidRDefault="001B077C" w:rsidP="001B077C">
      <w:pPr>
        <w:pStyle w:val="Textonotapie"/>
        <w:ind w:firstLine="708"/>
        <w:jc w:val="both"/>
        <w:rPr>
          <w:rFonts w:ascii="Verdana" w:hAnsi="Verdana" w:cs="Arial"/>
          <w:sz w:val="12"/>
          <w:szCs w:val="12"/>
        </w:rPr>
      </w:pPr>
    </w:p>
    <w:p w14:paraId="0C2C9A90"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6322C9B" w14:textId="77777777" w:rsidR="001B077C" w:rsidRPr="001B077C" w:rsidRDefault="001B077C" w:rsidP="001B077C">
      <w:pPr>
        <w:pStyle w:val="Textonotapie"/>
        <w:ind w:firstLine="708"/>
        <w:jc w:val="both"/>
        <w:rPr>
          <w:rFonts w:ascii="Verdana" w:hAnsi="Verdana" w:cs="Arial"/>
          <w:sz w:val="12"/>
          <w:szCs w:val="12"/>
        </w:rPr>
      </w:pPr>
    </w:p>
    <w:p w14:paraId="6DE5F9CF"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AAD5E0B" w14:textId="77777777" w:rsidR="001B077C" w:rsidRPr="001B077C" w:rsidRDefault="001B077C" w:rsidP="001B077C">
      <w:pPr>
        <w:pStyle w:val="Textonotapie"/>
        <w:ind w:firstLine="708"/>
        <w:jc w:val="both"/>
        <w:rPr>
          <w:rFonts w:ascii="Verdana" w:hAnsi="Verdana" w:cs="Arial"/>
          <w:sz w:val="12"/>
          <w:szCs w:val="12"/>
        </w:rPr>
      </w:pPr>
    </w:p>
    <w:p w14:paraId="57FD9427"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362972F0"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 xml:space="preserve"> </w:t>
      </w:r>
    </w:p>
  </w:footnote>
  <w:footnote w:id="13">
    <w:p w14:paraId="6F2B21B3"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Ley 80 de 1993. “Artículo 2. De la definición de entidades, servidores y servicios públicos. Para los solos efectos de esta ley:</w:t>
      </w:r>
    </w:p>
    <w:p w14:paraId="64B8B8ED" w14:textId="77777777" w:rsidR="001B077C" w:rsidRPr="001B077C" w:rsidRDefault="001B077C" w:rsidP="001B077C">
      <w:pPr>
        <w:pStyle w:val="Textonotapie"/>
        <w:ind w:firstLine="708"/>
        <w:jc w:val="both"/>
        <w:rPr>
          <w:rFonts w:ascii="Verdana" w:hAnsi="Verdana" w:cs="Arial"/>
          <w:sz w:val="12"/>
          <w:szCs w:val="12"/>
        </w:rPr>
      </w:pPr>
    </w:p>
    <w:p w14:paraId="1D9B4154"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1o. Se denominan entidades estatales:</w:t>
      </w:r>
    </w:p>
    <w:p w14:paraId="6825F633" w14:textId="77777777" w:rsidR="001B077C" w:rsidRPr="001B077C" w:rsidRDefault="001B077C" w:rsidP="001B077C">
      <w:pPr>
        <w:pStyle w:val="Textonotapie"/>
        <w:ind w:firstLine="708"/>
        <w:jc w:val="both"/>
        <w:rPr>
          <w:rFonts w:ascii="Verdana" w:hAnsi="Verdana" w:cs="Arial"/>
          <w:sz w:val="12"/>
          <w:szCs w:val="12"/>
        </w:rPr>
      </w:pPr>
    </w:p>
    <w:p w14:paraId="1362F5B2" w14:textId="77777777" w:rsidR="001B077C" w:rsidRPr="001B077C" w:rsidRDefault="001B077C" w:rsidP="001B077C">
      <w:pPr>
        <w:pStyle w:val="Textonotapie"/>
        <w:ind w:firstLine="708"/>
        <w:jc w:val="both"/>
        <w:rPr>
          <w:rFonts w:ascii="Verdana" w:hAnsi="Verdana" w:cs="Arial"/>
          <w:sz w:val="12"/>
          <w:szCs w:val="12"/>
        </w:rPr>
      </w:pPr>
      <w:r w:rsidRPr="001B077C">
        <w:rPr>
          <w:rFonts w:ascii="Verdana" w:hAnsi="Verdana" w:cs="Arial"/>
          <w:sz w:val="12"/>
          <w:szCs w:val="12"/>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678681B" w14:textId="77777777" w:rsidR="001B077C" w:rsidRPr="001B077C" w:rsidRDefault="001B077C" w:rsidP="001B077C">
      <w:pPr>
        <w:pStyle w:val="Textonotapie"/>
        <w:ind w:firstLine="708"/>
        <w:jc w:val="both"/>
        <w:rPr>
          <w:rFonts w:ascii="Verdana" w:hAnsi="Verdana" w:cs="Arial"/>
          <w:sz w:val="12"/>
          <w:szCs w:val="12"/>
        </w:rPr>
      </w:pPr>
    </w:p>
    <w:p w14:paraId="643EC7B9" w14:textId="77777777" w:rsidR="001B077C" w:rsidRPr="001B077C" w:rsidRDefault="001B077C" w:rsidP="001B077C">
      <w:pPr>
        <w:pStyle w:val="Textonotapie"/>
        <w:ind w:firstLine="708"/>
        <w:jc w:val="both"/>
        <w:rPr>
          <w:rFonts w:ascii="Verdana" w:hAnsi="Verdana" w:cs="Arial"/>
          <w:i/>
          <w:sz w:val="12"/>
          <w:szCs w:val="12"/>
        </w:rPr>
      </w:pPr>
      <w:r w:rsidRPr="001B077C">
        <w:rPr>
          <w:rFonts w:ascii="Verdana" w:hAnsi="Verdana" w:cs="Arial"/>
          <w:sz w:val="12"/>
          <w:szCs w:val="12"/>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4">
    <w:p w14:paraId="5780DDF8" w14:textId="77777777" w:rsidR="001B077C" w:rsidRPr="001B077C" w:rsidRDefault="001B077C" w:rsidP="001B077C">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M.P.: Humberto Sierra Porto.</w:t>
      </w:r>
    </w:p>
    <w:p w14:paraId="05D0642A" w14:textId="77777777" w:rsidR="001B077C" w:rsidRPr="001B077C" w:rsidRDefault="001B077C" w:rsidP="001B077C">
      <w:pPr>
        <w:pStyle w:val="Textonotapie"/>
        <w:ind w:firstLine="708"/>
        <w:jc w:val="both"/>
        <w:rPr>
          <w:rFonts w:ascii="Verdana" w:hAnsi="Verdana" w:cs="Arial"/>
          <w:sz w:val="12"/>
          <w:szCs w:val="12"/>
          <w:lang w:val="it-IT"/>
        </w:rPr>
      </w:pPr>
    </w:p>
  </w:footnote>
  <w:footnote w:id="15">
    <w:p w14:paraId="269F5668"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Consejo de Estado. Sección Primera. Sentencia del 20 de noviembre de 2014. Rad. 1101-03-24-000-2010-00119-00. C.P.: Guillermo Vargas Ayala. </w:t>
      </w:r>
    </w:p>
    <w:p w14:paraId="49C2A1A2" w14:textId="77777777" w:rsidR="001B077C" w:rsidRPr="001B077C" w:rsidRDefault="001B077C" w:rsidP="001B077C">
      <w:pPr>
        <w:pStyle w:val="Textonotapie"/>
        <w:ind w:firstLine="708"/>
        <w:jc w:val="both"/>
        <w:rPr>
          <w:rFonts w:ascii="Verdana" w:hAnsi="Verdana" w:cs="Arial"/>
          <w:sz w:val="12"/>
          <w:szCs w:val="12"/>
        </w:rPr>
      </w:pPr>
    </w:p>
  </w:footnote>
  <w:footnote w:id="16">
    <w:p w14:paraId="4ABF9320" w14:textId="77777777" w:rsidR="001B077C" w:rsidRPr="001B077C" w:rsidRDefault="001B077C" w:rsidP="001B077C">
      <w:pPr>
        <w:spacing w:after="0" w:line="240" w:lineRule="auto"/>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Sección Cuarta. Sentencia del 11 de febrero de 2014. Rad. 11001-03-27-000-2011-00023-00(18973). C.P. Carmen Teresa Ortiz De Rodríguez. </w:t>
      </w:r>
    </w:p>
    <w:p w14:paraId="327C1335" w14:textId="77777777" w:rsidR="001B077C" w:rsidRPr="001B077C" w:rsidRDefault="001B077C" w:rsidP="001B077C">
      <w:pPr>
        <w:spacing w:after="0" w:line="240" w:lineRule="auto"/>
        <w:ind w:firstLine="708"/>
        <w:jc w:val="both"/>
        <w:rPr>
          <w:rFonts w:ascii="Verdana" w:hAnsi="Verdana" w:cs="Arial"/>
          <w:sz w:val="12"/>
          <w:szCs w:val="12"/>
        </w:rPr>
      </w:pPr>
    </w:p>
  </w:footnote>
  <w:footnote w:id="17">
    <w:p w14:paraId="5CF9B743"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De acuerdo con la Sentencia C–037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p w14:paraId="72F86B77" w14:textId="77777777" w:rsidR="001B077C" w:rsidRPr="001B077C" w:rsidRDefault="001B077C" w:rsidP="001B077C">
      <w:pPr>
        <w:pStyle w:val="Textonotapie"/>
        <w:ind w:firstLine="708"/>
        <w:jc w:val="both"/>
        <w:rPr>
          <w:rFonts w:ascii="Verdana" w:hAnsi="Verdana" w:cs="Arial"/>
          <w:sz w:val="12"/>
          <w:szCs w:val="12"/>
        </w:rPr>
      </w:pPr>
    </w:p>
  </w:footnote>
  <w:footnote w:id="18">
    <w:p w14:paraId="3F3FA42C"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Ver entre otras, las Sentencias de la Corte Constitucional C–162 de 2008; C–823 de 2011; C–810 de 2014. Consejo de Estado. Sección Segunda. Sentencia del 21 de octubre de 2010. Rad. 11001-03-25-000-2005-00125-00(5242-05). C.P. Alfonso Vargas Rincón; Consejo de Estado. Sección Tercera. Subsección B. Sentencia del 29 de abril de 2015. Rad. 11001-03-26-000-2004-00044-00(28615). C.P. Stella Conto Díaz del Castillo.</w:t>
      </w:r>
    </w:p>
    <w:p w14:paraId="078A1437" w14:textId="77777777" w:rsidR="001B077C" w:rsidRPr="001B077C" w:rsidRDefault="001B077C" w:rsidP="001B077C">
      <w:pPr>
        <w:pStyle w:val="Textonotapie"/>
        <w:ind w:firstLine="708"/>
        <w:jc w:val="both"/>
        <w:rPr>
          <w:rFonts w:ascii="Verdana" w:hAnsi="Verdana" w:cs="Arial"/>
          <w:sz w:val="12"/>
          <w:szCs w:val="12"/>
        </w:rPr>
      </w:pPr>
    </w:p>
  </w:footnote>
  <w:footnote w:id="19">
    <w:p w14:paraId="5736287E" w14:textId="77777777" w:rsidR="001B077C" w:rsidRPr="001B077C" w:rsidRDefault="001B077C" w:rsidP="001B077C">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 xml:space="preserve">M.P.: Humberto Antonio Sierra Porto. </w:t>
      </w:r>
    </w:p>
    <w:p w14:paraId="53BC518C" w14:textId="77777777" w:rsidR="001B077C" w:rsidRPr="001B077C" w:rsidRDefault="001B077C" w:rsidP="001B077C">
      <w:pPr>
        <w:pStyle w:val="Textonotapie"/>
        <w:ind w:firstLine="708"/>
        <w:jc w:val="both"/>
        <w:rPr>
          <w:rFonts w:ascii="Verdana" w:hAnsi="Verdana" w:cs="Arial"/>
          <w:sz w:val="12"/>
          <w:szCs w:val="12"/>
          <w:lang w:val="it-IT"/>
        </w:rPr>
      </w:pPr>
    </w:p>
  </w:footnote>
  <w:footnote w:id="20">
    <w:p w14:paraId="7A9157A6" w14:textId="77777777" w:rsidR="001B077C" w:rsidRPr="001B077C" w:rsidRDefault="001B077C" w:rsidP="001B077C">
      <w:pPr>
        <w:pStyle w:val="Textonotapie"/>
        <w:ind w:firstLine="708"/>
        <w:jc w:val="both"/>
        <w:rPr>
          <w:rFonts w:ascii="Verdana" w:hAnsi="Verdana" w:cs="Arial"/>
          <w:sz w:val="12"/>
          <w:szCs w:val="12"/>
          <w:lang w:val="pt-BR"/>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w:t>
      </w:r>
      <w:r w:rsidRPr="001B077C">
        <w:rPr>
          <w:rFonts w:ascii="Verdana" w:hAnsi="Verdana" w:cs="Arial"/>
          <w:sz w:val="12"/>
          <w:szCs w:val="12"/>
          <w:lang w:val="pt-BR"/>
        </w:rPr>
        <w:t>Consejo de Estado, Sala de lo Contencioso Administrativo, Sección Primera. Consejero ponente: Juan Alberto Polo Figueroa. Bogotá D.C., 24 de agosto de 2000. Radicación número 6096.</w:t>
      </w:r>
    </w:p>
    <w:p w14:paraId="34DC7BCF" w14:textId="77777777" w:rsidR="001B077C" w:rsidRPr="001B077C" w:rsidRDefault="001B077C" w:rsidP="001B077C">
      <w:pPr>
        <w:pStyle w:val="Textonotapie"/>
        <w:ind w:firstLine="708"/>
        <w:jc w:val="both"/>
        <w:rPr>
          <w:rFonts w:ascii="Verdana" w:hAnsi="Verdana" w:cs="Arial"/>
          <w:sz w:val="12"/>
          <w:szCs w:val="12"/>
          <w:lang w:val="pt-BR"/>
        </w:rPr>
      </w:pPr>
    </w:p>
  </w:footnote>
  <w:footnote w:id="21">
    <w:p w14:paraId="09867B76" w14:textId="77777777" w:rsidR="001B077C" w:rsidRPr="001B077C" w:rsidRDefault="001B077C" w:rsidP="001B077C">
      <w:pPr>
        <w:pStyle w:val="Textonotapie"/>
        <w:ind w:firstLine="708"/>
        <w:jc w:val="both"/>
        <w:rPr>
          <w:rFonts w:ascii="Verdana" w:hAnsi="Verdana"/>
          <w:sz w:val="12"/>
          <w:szCs w:val="12"/>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Ibidem </w:t>
      </w:r>
    </w:p>
    <w:p w14:paraId="073B0762" w14:textId="77777777" w:rsidR="001B077C" w:rsidRPr="001B077C" w:rsidRDefault="001B077C" w:rsidP="001B077C">
      <w:pPr>
        <w:pStyle w:val="Textonotapie"/>
        <w:ind w:firstLine="708"/>
        <w:jc w:val="both"/>
        <w:rPr>
          <w:rFonts w:ascii="Verdana" w:hAnsi="Verdana"/>
          <w:sz w:val="12"/>
          <w:szCs w:val="12"/>
          <w:lang w:val="pt-BR"/>
        </w:rPr>
      </w:pPr>
    </w:p>
  </w:footnote>
  <w:footnote w:id="22">
    <w:p w14:paraId="7E96DFD6" w14:textId="77777777" w:rsidR="001B077C" w:rsidRPr="001B077C" w:rsidRDefault="001B077C" w:rsidP="001B077C">
      <w:pPr>
        <w:pStyle w:val="Textonotapie"/>
        <w:ind w:firstLine="708"/>
        <w:jc w:val="both"/>
        <w:rPr>
          <w:rFonts w:ascii="Verdana" w:hAnsi="Verdana"/>
          <w:color w:val="333333"/>
          <w:sz w:val="12"/>
          <w:szCs w:val="12"/>
          <w:shd w:val="clear" w:color="auto" w:fill="FFFFFF"/>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w:t>
      </w:r>
      <w:r w:rsidRPr="001B077C">
        <w:rPr>
          <w:rFonts w:ascii="Verdana" w:hAnsi="Verdana" w:cs="Arial"/>
          <w:sz w:val="12"/>
          <w:szCs w:val="12"/>
          <w:lang w:val="pt-BR"/>
        </w:rPr>
        <w:t xml:space="preserve">Corte Constitucional, Sentencia </w:t>
      </w:r>
      <w:r w:rsidRPr="001B077C">
        <w:rPr>
          <w:rFonts w:ascii="Verdana" w:eastAsia="Times New Roman" w:hAnsi="Verdana" w:cs="Arial"/>
          <w:sz w:val="12"/>
          <w:szCs w:val="12"/>
          <w:lang w:val="pt-BR" w:eastAsia="es-MX"/>
        </w:rPr>
        <w:t>C-917 de 2002</w:t>
      </w:r>
      <w:r w:rsidRPr="001B077C">
        <w:rPr>
          <w:rFonts w:ascii="Verdana" w:hAnsi="Verdana" w:cs="Arial"/>
          <w:sz w:val="12"/>
          <w:szCs w:val="12"/>
          <w:lang w:val="pt-BR"/>
        </w:rPr>
        <w:t xml:space="preserve">. M.P.: </w:t>
      </w:r>
      <w:r w:rsidRPr="001B077C">
        <w:rPr>
          <w:rFonts w:ascii="Verdana" w:hAnsi="Verdana"/>
          <w:color w:val="333333"/>
          <w:sz w:val="12"/>
          <w:szCs w:val="12"/>
          <w:shd w:val="clear" w:color="auto" w:fill="FFFFFF"/>
          <w:lang w:val="pt-BR"/>
        </w:rPr>
        <w:t xml:space="preserve">Marco Gerardo </w:t>
      </w:r>
      <w:r w:rsidRPr="001B077C">
        <w:rPr>
          <w:rFonts w:ascii="Verdana" w:hAnsi="Verdana"/>
          <w:color w:val="333333"/>
          <w:sz w:val="12"/>
          <w:szCs w:val="12"/>
          <w:shd w:val="clear" w:color="auto" w:fill="FFFFFF"/>
          <w:lang w:val="pt-BR"/>
        </w:rPr>
        <w:t>Monroy Cabra.</w:t>
      </w:r>
    </w:p>
    <w:p w14:paraId="7D161F82" w14:textId="77777777" w:rsidR="001B077C" w:rsidRPr="001B077C" w:rsidRDefault="001B077C" w:rsidP="001B077C">
      <w:pPr>
        <w:pStyle w:val="Textonotapie"/>
        <w:ind w:firstLine="708"/>
        <w:jc w:val="both"/>
        <w:rPr>
          <w:rFonts w:ascii="Verdana" w:hAnsi="Verdana"/>
          <w:sz w:val="12"/>
          <w:szCs w:val="12"/>
          <w:lang w:val="pt-BR"/>
        </w:rPr>
      </w:pPr>
    </w:p>
  </w:footnote>
  <w:footnote w:id="23">
    <w:p w14:paraId="54C3A75A"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Artículo 1º del Decreto Ley 4170 de 2011.</w:t>
      </w:r>
    </w:p>
    <w:p w14:paraId="70F7FB8A" w14:textId="77777777" w:rsidR="001B077C" w:rsidRPr="001B077C" w:rsidRDefault="001B077C" w:rsidP="001B077C">
      <w:pPr>
        <w:pStyle w:val="Textonotapie"/>
        <w:ind w:firstLine="708"/>
        <w:jc w:val="both"/>
        <w:rPr>
          <w:rFonts w:ascii="Verdana" w:hAnsi="Verdana" w:cs="Arial"/>
          <w:sz w:val="12"/>
          <w:szCs w:val="12"/>
        </w:rPr>
      </w:pPr>
    </w:p>
  </w:footnote>
  <w:footnote w:id="24">
    <w:p w14:paraId="7479C0C9"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Ver el Artículo 11 numeral 12 del Decreto Ley 4170 de 2011.</w:t>
      </w:r>
    </w:p>
    <w:p w14:paraId="7DE5CF55" w14:textId="77777777" w:rsidR="001B077C" w:rsidRPr="001B077C" w:rsidRDefault="001B077C" w:rsidP="001B077C">
      <w:pPr>
        <w:pStyle w:val="Textonotapie"/>
        <w:ind w:firstLine="708"/>
        <w:jc w:val="both"/>
        <w:rPr>
          <w:rFonts w:ascii="Verdana" w:hAnsi="Verdana"/>
          <w:sz w:val="12"/>
          <w:szCs w:val="12"/>
        </w:rPr>
      </w:pPr>
    </w:p>
  </w:footnote>
  <w:footnote w:id="25">
    <w:p w14:paraId="744FFADE"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Auto del 14 de agosto de 2017. Rad. 58820.</w:t>
      </w:r>
    </w:p>
    <w:p w14:paraId="3B5814C1" w14:textId="77777777" w:rsidR="001B077C" w:rsidRPr="001B077C" w:rsidRDefault="001B077C" w:rsidP="001B077C">
      <w:pPr>
        <w:pStyle w:val="Textonotapie"/>
        <w:ind w:firstLine="708"/>
        <w:jc w:val="both"/>
        <w:rPr>
          <w:rFonts w:ascii="Verdana" w:hAnsi="Verdana" w:cs="Arial"/>
          <w:sz w:val="12"/>
          <w:szCs w:val="12"/>
        </w:rPr>
      </w:pPr>
    </w:p>
  </w:footnote>
  <w:footnote w:id="26">
    <w:p w14:paraId="3D20FE90" w14:textId="77777777" w:rsidR="001B077C" w:rsidRPr="001B077C" w:rsidRDefault="001B077C" w:rsidP="001B077C">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Tercera. Sentencia del 16 de agosto de 2017. Rad. 56166.</w:t>
      </w:r>
    </w:p>
    <w:p w14:paraId="35D2BAF9" w14:textId="77777777" w:rsidR="001B077C" w:rsidRPr="001B077C" w:rsidRDefault="001B077C" w:rsidP="001B077C">
      <w:pPr>
        <w:pStyle w:val="Textonotapie"/>
        <w:ind w:firstLine="708"/>
        <w:jc w:val="both"/>
        <w:rPr>
          <w:rFonts w:ascii="Verdana" w:hAnsi="Verdana"/>
          <w:sz w:val="12"/>
          <w:szCs w:val="12"/>
        </w:rPr>
      </w:pPr>
    </w:p>
  </w:footnote>
  <w:footnote w:id="27">
    <w:p w14:paraId="705BA212"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Ibídem. </w:t>
      </w:r>
    </w:p>
    <w:p w14:paraId="06656E8D" w14:textId="77777777" w:rsidR="001B077C" w:rsidRPr="001B077C" w:rsidRDefault="001B077C" w:rsidP="001B077C">
      <w:pPr>
        <w:pStyle w:val="Textonotapie"/>
        <w:ind w:firstLine="708"/>
        <w:jc w:val="both"/>
        <w:rPr>
          <w:rFonts w:ascii="Verdana" w:hAnsi="Verdana" w:cs="Arial"/>
          <w:sz w:val="12"/>
          <w:szCs w:val="12"/>
        </w:rPr>
      </w:pPr>
    </w:p>
  </w:footnote>
  <w:footnote w:id="28">
    <w:p w14:paraId="7C4EBACF" w14:textId="77777777" w:rsidR="001B077C" w:rsidRPr="001B077C" w:rsidRDefault="001B077C" w:rsidP="001B077C">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Sentencia de 11 de abril de 2019. Rad. 52.055.</w:t>
      </w:r>
    </w:p>
  </w:footnote>
  <w:footnote w:id="29">
    <w:p w14:paraId="7361A21D" w14:textId="77777777" w:rsidR="001B077C" w:rsidRPr="001B077C" w:rsidRDefault="001B077C" w:rsidP="001B077C">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Ibidem.</w:t>
      </w:r>
    </w:p>
  </w:footnote>
  <w:footnote w:id="30">
    <w:p w14:paraId="039529C0" w14:textId="77777777" w:rsidR="001B077C" w:rsidRPr="001B077C" w:rsidRDefault="001B077C" w:rsidP="001B077C">
      <w:pPr>
        <w:pStyle w:val="Textonotapie"/>
        <w:ind w:firstLine="709"/>
        <w:jc w:val="both"/>
        <w:rPr>
          <w:rFonts w:ascii="Verdana" w:hAnsi="Verdana" w:cs="Arial"/>
          <w:color w:val="000000"/>
          <w:sz w:val="12"/>
          <w:szCs w:val="12"/>
        </w:rPr>
      </w:pPr>
    </w:p>
    <w:p w14:paraId="0C6F5DEE" w14:textId="77777777" w:rsidR="001B077C" w:rsidRPr="001B077C" w:rsidRDefault="001B077C" w:rsidP="001B077C">
      <w:pPr>
        <w:pStyle w:val="Textonotapie"/>
        <w:ind w:firstLine="709"/>
        <w:jc w:val="both"/>
        <w:rPr>
          <w:rFonts w:ascii="Verdana" w:hAnsi="Verdana" w:cs="Arial"/>
          <w:color w:val="000000"/>
          <w:sz w:val="12"/>
          <w:szCs w:val="12"/>
          <w:lang w:val="es-ES"/>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w:t>
      </w:r>
      <w:r w:rsidRPr="001B077C">
        <w:rPr>
          <w:rFonts w:ascii="Verdana" w:hAnsi="Verdana" w:cs="Arial"/>
          <w:color w:val="000000"/>
          <w:sz w:val="12"/>
          <w:szCs w:val="12"/>
          <w:lang w:val="es-ES"/>
        </w:rPr>
        <w:t>En cuanto a las resoluciones vigentes, dicha regla se observa en el artículo 3 de las Resoluciones</w:t>
      </w:r>
      <w:bookmarkStart w:id="1" w:name="_Hlk82363077"/>
      <w:r w:rsidRPr="001B077C">
        <w:rPr>
          <w:rFonts w:ascii="Verdana" w:hAnsi="Verdana" w:cs="Arial"/>
          <w:color w:val="000000"/>
          <w:sz w:val="12"/>
          <w:szCs w:val="12"/>
          <w:lang w:val="es-ES"/>
        </w:rPr>
        <w:t xml:space="preserve"> 248 de 2020, 249 de 2020, 269 de 2020, 219 de 2021, 220 de 2021, 392 de 2021, 454 de 2021, 333 de 2022, 358 de 2023, 798 de 2023, 456 de 2024, 463 de 2024, 464 de 2024, 725 de 2024, 726 de 2024, entre otras</w:t>
      </w:r>
      <w:bookmarkEnd w:id="1"/>
      <w:r w:rsidRPr="001B077C">
        <w:rPr>
          <w:rFonts w:ascii="Verdana" w:hAnsi="Verdana" w:cs="Arial"/>
          <w:color w:val="000000"/>
          <w:sz w:val="12"/>
          <w:szCs w:val="12"/>
          <w:lang w:val="es-ES"/>
        </w:rPr>
        <w:t xml:space="preserve">. </w:t>
      </w:r>
    </w:p>
    <w:p w14:paraId="27732943" w14:textId="77777777" w:rsidR="001B077C" w:rsidRPr="001B077C" w:rsidRDefault="001B077C" w:rsidP="001B077C">
      <w:pPr>
        <w:pStyle w:val="Textonotapie"/>
        <w:ind w:firstLine="709"/>
        <w:jc w:val="both"/>
        <w:rPr>
          <w:rFonts w:ascii="Verdana" w:hAnsi="Verdana" w:cs="Arial"/>
          <w:color w:val="000000"/>
          <w:sz w:val="12"/>
          <w:szCs w:val="12"/>
          <w:lang w:val="es-ES"/>
        </w:rPr>
      </w:pPr>
    </w:p>
  </w:footnote>
  <w:footnote w:id="31">
    <w:p w14:paraId="0802B2DB" w14:textId="77777777" w:rsidR="001B077C" w:rsidRPr="001B077C" w:rsidRDefault="001B077C" w:rsidP="001B077C">
      <w:pPr>
        <w:pStyle w:val="Textonotapie"/>
        <w:ind w:firstLine="708"/>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En torno a las potestades regladas, García de Enterría y Ramón Fernández manifiestan: “El ejercicio de las potestades regladas reduce a la Administración a la constatación (</w:t>
      </w:r>
      <w:r w:rsidRPr="001B077C">
        <w:rPr>
          <w:rFonts w:ascii="Verdana" w:hAnsi="Verdana" w:cs="Arial"/>
          <w:color w:val="000000"/>
          <w:sz w:val="12"/>
          <w:szCs w:val="12"/>
        </w:rPr>
        <w:t>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6A9421EB" w14:textId="77777777" w:rsidR="001B077C" w:rsidRPr="001B077C" w:rsidRDefault="001B077C" w:rsidP="001B077C">
      <w:pPr>
        <w:pStyle w:val="Textonotapie"/>
        <w:ind w:firstLine="708"/>
        <w:jc w:val="both"/>
        <w:rPr>
          <w:rFonts w:ascii="Verdana" w:hAnsi="Verdana" w:cs="Arial"/>
          <w:color w:val="000000"/>
          <w:sz w:val="12"/>
          <w:szCs w:val="12"/>
        </w:rPr>
      </w:pPr>
    </w:p>
  </w:footnote>
  <w:footnote w:id="32">
    <w:p w14:paraId="4FE63493" w14:textId="77777777" w:rsidR="001B077C" w:rsidRPr="001B077C" w:rsidRDefault="001B077C" w:rsidP="001B077C">
      <w:pPr>
        <w:pStyle w:val="Textonotapie"/>
        <w:ind w:firstLine="709"/>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D7BBD13" w14:textId="77777777" w:rsidR="001B077C" w:rsidRPr="001B077C" w:rsidRDefault="001B077C" w:rsidP="001B077C">
      <w:pPr>
        <w:pStyle w:val="Textonotapie"/>
        <w:ind w:firstLine="709"/>
        <w:jc w:val="both"/>
        <w:rPr>
          <w:rFonts w:ascii="Verdana" w:hAnsi="Verdana" w:cs="Arial"/>
          <w:color w:val="000000"/>
          <w:sz w:val="12"/>
          <w:szCs w:val="12"/>
        </w:rPr>
      </w:pPr>
    </w:p>
  </w:footnote>
  <w:footnote w:id="33">
    <w:p w14:paraId="1F115B4B" w14:textId="77777777" w:rsidR="001B077C" w:rsidRPr="001B077C" w:rsidRDefault="001B077C" w:rsidP="001B077C">
      <w:pPr>
        <w:spacing w:after="0" w:line="240" w:lineRule="auto"/>
        <w:ind w:firstLine="709"/>
        <w:jc w:val="both"/>
        <w:rPr>
          <w:rFonts w:ascii="Verdana" w:hAnsi="Verdana" w:cs="Arial"/>
          <w:color w:val="000000"/>
          <w:sz w:val="12"/>
          <w:szCs w:val="12"/>
          <w:lang w:val="es-ES"/>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w:t>
      </w:r>
      <w:r w:rsidRPr="001B077C">
        <w:rPr>
          <w:rFonts w:ascii="Verdana" w:hAnsi="Verdana" w:cs="Arial"/>
          <w:color w:val="000000"/>
          <w:sz w:val="12"/>
          <w:szCs w:val="12"/>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7E81A78" w14:textId="77777777" w:rsidR="001B077C" w:rsidRPr="001B077C" w:rsidRDefault="001B077C" w:rsidP="001B077C">
      <w:pPr>
        <w:spacing w:after="0" w:line="240" w:lineRule="auto"/>
        <w:ind w:firstLine="709"/>
        <w:jc w:val="both"/>
        <w:rPr>
          <w:rFonts w:ascii="Verdana" w:hAnsi="Verdana" w:cs="Arial"/>
          <w:color w:val="000000"/>
          <w:sz w:val="12"/>
          <w:szCs w:val="12"/>
          <w:lang w:val="es-ES"/>
        </w:rPr>
      </w:pPr>
    </w:p>
  </w:footnote>
  <w:footnote w:id="34">
    <w:p w14:paraId="1E4C5FB6" w14:textId="77777777" w:rsidR="001B077C" w:rsidRPr="001B077C" w:rsidRDefault="001B077C" w:rsidP="001B077C">
      <w:pPr>
        <w:pStyle w:val="Textonotapie"/>
        <w:ind w:firstLine="708"/>
        <w:jc w:val="both"/>
        <w:rPr>
          <w:rFonts w:ascii="Verdana" w:hAnsi="Verdana" w:cs="Arial"/>
          <w:sz w:val="12"/>
          <w:szCs w:val="12"/>
          <w:lang w:val="es-ES"/>
        </w:rPr>
      </w:pPr>
      <w:r w:rsidRPr="001B077C">
        <w:rPr>
          <w:rStyle w:val="Refdenotaalpie"/>
          <w:rFonts w:ascii="Verdana" w:hAnsi="Verdana" w:cs="Arial"/>
          <w:sz w:val="12"/>
          <w:szCs w:val="12"/>
        </w:rPr>
        <w:footnoteRef/>
      </w:r>
      <w:r w:rsidRPr="001B077C">
        <w:rPr>
          <w:rFonts w:ascii="Verdana" w:hAnsi="Verdana" w:cs="Arial"/>
          <w:sz w:val="12"/>
          <w:szCs w:val="12"/>
        </w:rPr>
        <w:t xml:space="preserve"> Diccionario de la Real Academia Española, versión online disponible en: </w:t>
      </w:r>
      <w:hyperlink r:id="rId3" w:history="1">
        <w:r w:rsidRPr="001B077C">
          <w:rPr>
            <w:rStyle w:val="Hipervnculo"/>
            <w:rFonts w:ascii="Verdana" w:hAnsi="Verdana" w:cs="Arial"/>
            <w:sz w:val="12"/>
            <w:szCs w:val="12"/>
          </w:rPr>
          <w:t>https://dle.rae.es/est%C3%A1ndar</w:t>
        </w:r>
      </w:hyperlink>
      <w:r w:rsidRPr="001B077C">
        <w:rPr>
          <w:rFonts w:ascii="Verdana" w:hAnsi="Verdana" w:cs="Arial"/>
          <w:sz w:val="12"/>
          <w:szCs w:val="12"/>
        </w:rPr>
        <w:t xml:space="preserve">, consultado el 2 de junio de 2020. </w:t>
      </w:r>
    </w:p>
  </w:footnote>
  <w:footnote w:id="35">
    <w:p w14:paraId="7300952B" w14:textId="77777777" w:rsidR="001B077C" w:rsidRPr="001B077C" w:rsidRDefault="001B077C" w:rsidP="001B077C">
      <w:pPr>
        <w:spacing w:after="0" w:line="240" w:lineRule="auto"/>
        <w:ind w:firstLine="708"/>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Cita tomada de la providencia del 20 de febrero de 2020, dictada por el Consejo de Estado. Sección Tercera. Subsección A, dentro del expediente 47001-23-33-000-2018-00035-01 (63.854), cuya ponente fue Marta Nubia Velásquez Rico.</w:t>
      </w:r>
    </w:p>
    <w:p w14:paraId="78677A78" w14:textId="77777777" w:rsidR="001B077C" w:rsidRPr="001B077C" w:rsidRDefault="001B077C" w:rsidP="001B077C">
      <w:pPr>
        <w:spacing w:after="0" w:line="240" w:lineRule="auto"/>
        <w:ind w:firstLine="708"/>
        <w:jc w:val="both"/>
        <w:rPr>
          <w:rFonts w:ascii="Verdana" w:hAnsi="Verdana" w:cs="Arial"/>
          <w:color w:val="000000"/>
          <w:sz w:val="12"/>
          <w:szCs w:val="12"/>
        </w:rPr>
      </w:pPr>
    </w:p>
  </w:footnote>
  <w:footnote w:id="36">
    <w:p w14:paraId="34D24482" w14:textId="77777777" w:rsidR="001B077C" w:rsidRPr="001B077C" w:rsidRDefault="001B077C" w:rsidP="001B077C">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Por el cual se modifican los artículos 2.2.1.2.4.2.6.,2.2.1.2.4.2.7. Y 2.2.1.2.4.2.8. del Decreto 1082 de 2015, Único Reglamentario del Sector Administrativo de Planeación".</w:t>
      </w:r>
    </w:p>
    <w:p w14:paraId="019AECE6" w14:textId="77777777" w:rsidR="001B077C" w:rsidRPr="001B077C" w:rsidRDefault="001B077C" w:rsidP="001B077C">
      <w:pPr>
        <w:pStyle w:val="Textonotapie"/>
        <w:ind w:firstLine="708"/>
        <w:jc w:val="both"/>
        <w:rPr>
          <w:rFonts w:ascii="Verdana" w:hAnsi="Verdana"/>
          <w:sz w:val="12"/>
          <w:szCs w:val="12"/>
          <w:lang w:val="es-ES_tradnl"/>
        </w:rPr>
      </w:pPr>
    </w:p>
  </w:footnote>
  <w:footnote w:id="37">
    <w:p w14:paraId="2F7ED37A" w14:textId="77777777" w:rsidR="001B077C" w:rsidRPr="001B077C" w:rsidRDefault="001B077C" w:rsidP="001B077C">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Quinta, del 12 de diciembre de 2024 (Rad. 05001-23-33-000-2024-00847-01, M.P. Omar Joaquín Barreto Suárez)</w:t>
      </w:r>
    </w:p>
    <w:p w14:paraId="2F83B156" w14:textId="77777777" w:rsidR="001B077C" w:rsidRPr="001B077C" w:rsidRDefault="001B077C" w:rsidP="001B077C">
      <w:pPr>
        <w:pStyle w:val="Textonotapie"/>
        <w:ind w:firstLine="708"/>
        <w:jc w:val="both"/>
        <w:rPr>
          <w:rFonts w:ascii="Verdana" w:hAnsi="Verdana"/>
          <w:sz w:val="12"/>
          <w:szCs w:val="12"/>
          <w:lang w:val="es-ES_tradnl"/>
        </w:rPr>
      </w:pPr>
    </w:p>
  </w:footnote>
  <w:footnote w:id="38">
    <w:p w14:paraId="6A36F031" w14:textId="77777777" w:rsidR="001B077C" w:rsidRPr="001B077C" w:rsidRDefault="001B077C" w:rsidP="001B077C">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1B077C">
        <w:rPr>
          <w:rFonts w:ascii="Verdana" w:hAnsi="Verdana"/>
          <w:sz w:val="12"/>
          <w:szCs w:val="12"/>
        </w:rPr>
        <w:t xml:space="preserve"> "Por el cual se reglamentan los numerales 1 y 8 del artículo 13 de la Ley 1618 de 2013, sobre incentivos en Procesos de Contratación en favor de personas con discapacidad”. </w:t>
      </w:r>
    </w:p>
  </w:footnote>
  <w:footnote w:id="39">
    <w:p w14:paraId="58A975FB" w14:textId="77777777" w:rsidR="001B077C" w:rsidRPr="001B077C" w:rsidRDefault="001B077C" w:rsidP="001B077C">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1B077C">
        <w:rPr>
          <w:rFonts w:ascii="Verdana" w:hAnsi="Verdana"/>
          <w:sz w:val="12"/>
          <w:szCs w:val="12"/>
        </w:rPr>
        <w:t xml:space="preserve"> Parte considerativa del Decreto 287 de 2026.</w:t>
      </w:r>
    </w:p>
  </w:footnote>
  <w:footnote w:id="40">
    <w:p w14:paraId="78200F2C" w14:textId="77777777" w:rsidR="001B077C" w:rsidRPr="001B077C" w:rsidRDefault="001B077C" w:rsidP="001B077C">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00F307E5" w14:textId="77777777" w:rsidR="001B077C" w:rsidRPr="001B077C" w:rsidRDefault="001B077C" w:rsidP="001B077C">
      <w:pPr>
        <w:pStyle w:val="Textonotapie"/>
        <w:ind w:firstLine="708"/>
        <w:jc w:val="both"/>
        <w:rPr>
          <w:rFonts w:ascii="Verdana" w:hAnsi="Verdana"/>
          <w:sz w:val="12"/>
          <w:szCs w:val="12"/>
        </w:rPr>
      </w:pPr>
    </w:p>
    <w:p w14:paraId="068287E1" w14:textId="77777777" w:rsidR="001B077C" w:rsidRPr="001B077C" w:rsidRDefault="001B077C" w:rsidP="001B077C">
      <w:pPr>
        <w:pStyle w:val="Textonotapie"/>
        <w:ind w:firstLine="708"/>
        <w:jc w:val="both"/>
        <w:rPr>
          <w:rFonts w:ascii="Verdana" w:hAnsi="Verdana"/>
          <w:sz w:val="12"/>
          <w:szCs w:val="12"/>
        </w:rPr>
      </w:pPr>
      <w:r w:rsidRPr="001B077C">
        <w:rPr>
          <w:rFonts w:ascii="Verdana" w:hAnsi="Verdana"/>
          <w:sz w:val="12"/>
          <w:szCs w:val="12"/>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58A3723E" w14:textId="77777777" w:rsidR="001B077C" w:rsidRPr="001B077C" w:rsidRDefault="001B077C" w:rsidP="001B077C">
      <w:pPr>
        <w:pStyle w:val="Textonotapie"/>
        <w:ind w:firstLine="708"/>
        <w:jc w:val="both"/>
        <w:rPr>
          <w:rFonts w:ascii="Verdana" w:hAnsi="Verdana"/>
          <w:sz w:val="12"/>
          <w:szCs w:val="12"/>
        </w:rPr>
      </w:pPr>
    </w:p>
    <w:p w14:paraId="1162A002" w14:textId="77777777" w:rsidR="001B077C" w:rsidRPr="001B077C" w:rsidRDefault="001B077C" w:rsidP="001B077C">
      <w:pPr>
        <w:pStyle w:val="Textonotapie"/>
        <w:ind w:firstLine="708"/>
        <w:jc w:val="both"/>
        <w:rPr>
          <w:rFonts w:ascii="Verdana" w:hAnsi="Verdana"/>
          <w:sz w:val="12"/>
          <w:szCs w:val="12"/>
          <w:lang w:val="es-ES_tradnl"/>
        </w:rPr>
      </w:pPr>
      <w:r w:rsidRPr="001B077C">
        <w:rPr>
          <w:rFonts w:ascii="Verdana" w:hAnsi="Verdana"/>
          <w:sz w:val="12"/>
          <w:szCs w:val="12"/>
        </w:rPr>
        <w:t xml:space="preserve">(…)”. </w:t>
      </w:r>
    </w:p>
  </w:footnote>
  <w:footnote w:id="41">
    <w:p w14:paraId="0FA11B09" w14:textId="77777777" w:rsidR="001B077C" w:rsidRPr="001B077C" w:rsidRDefault="001B077C" w:rsidP="001B077C">
      <w:pPr>
        <w:shd w:val="clear" w:color="auto" w:fill="FFFFFF"/>
        <w:spacing w:after="0" w:line="240" w:lineRule="auto"/>
        <w:ind w:firstLine="708"/>
        <w:jc w:val="both"/>
        <w:rPr>
          <w:rFonts w:ascii="Verdana" w:eastAsia="Times New Roman" w:hAnsi="Verdana" w:cs="Times New Roman"/>
          <w:color w:val="333333"/>
          <w:sz w:val="12"/>
          <w:szCs w:val="12"/>
          <w:lang w:eastAsia="es-MX"/>
        </w:rPr>
      </w:pPr>
      <w:r w:rsidRPr="001B077C">
        <w:rPr>
          <w:rStyle w:val="Refdenotaalpie"/>
          <w:rFonts w:ascii="Verdana" w:hAnsi="Verdana"/>
          <w:sz w:val="12"/>
          <w:szCs w:val="12"/>
        </w:rPr>
        <w:footnoteRef/>
      </w:r>
      <w:r w:rsidRPr="001B077C">
        <w:rPr>
          <w:rFonts w:ascii="Verdana" w:hAnsi="Verdana"/>
          <w:sz w:val="12"/>
          <w:szCs w:val="12"/>
        </w:rPr>
        <w:t xml:space="preserve"> Al respecto el artículo 1 de la Ley 2022 de 2020 señala: “(…) </w:t>
      </w:r>
      <w:r w:rsidRPr="001B077C">
        <w:rPr>
          <w:rFonts w:ascii="Verdana" w:eastAsia="Times New Roman" w:hAnsi="Verdana" w:cs="Times New Roman"/>
          <w:color w:val="333333"/>
          <w:sz w:val="12"/>
          <w:szCs w:val="12"/>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296E57D" w14:textId="77777777" w:rsidR="001B077C" w:rsidRPr="001B077C" w:rsidRDefault="001B077C" w:rsidP="001B077C">
      <w:pPr>
        <w:pStyle w:val="Textonotapie"/>
        <w:jc w:val="both"/>
        <w:rPr>
          <w:rFonts w:ascii="Verdana" w:hAnsi="Verdana"/>
          <w:sz w:val="12"/>
          <w:szCs w:val="12"/>
          <w:lang w:val="es-CO"/>
        </w:rPr>
      </w:pPr>
    </w:p>
  </w:footnote>
  <w:footnote w:id="42">
    <w:p w14:paraId="61EEAF3F" w14:textId="77777777" w:rsidR="001B077C" w:rsidRPr="001B077C" w:rsidRDefault="001B077C" w:rsidP="001B077C">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1CC5DEA1" w14:textId="77777777" w:rsidR="001B077C" w:rsidRPr="001B077C" w:rsidRDefault="001B077C" w:rsidP="001B077C">
      <w:pPr>
        <w:pStyle w:val="Textonotapie"/>
        <w:ind w:firstLine="708"/>
        <w:jc w:val="both"/>
        <w:rPr>
          <w:rFonts w:ascii="Verdana" w:hAnsi="Verdana"/>
          <w:sz w:val="12"/>
          <w:szCs w:val="12"/>
          <w:lang w:val="es-ES_tradnl"/>
        </w:rPr>
      </w:pPr>
    </w:p>
  </w:footnote>
  <w:footnote w:id="43">
    <w:p w14:paraId="6DFA78B0" w14:textId="77777777" w:rsidR="001B077C" w:rsidRPr="001B077C" w:rsidRDefault="001B077C" w:rsidP="001B077C">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2.2.1.2.4.2.7.8. del Decreto 1082 de 2015, modificado por el artículo 1 del Decreto 287 de 2026.</w:t>
      </w:r>
    </w:p>
    <w:p w14:paraId="3CF4EC9A" w14:textId="77777777" w:rsidR="001B077C" w:rsidRPr="001B077C" w:rsidRDefault="001B077C" w:rsidP="001B077C">
      <w:pPr>
        <w:pStyle w:val="Textonotapie"/>
        <w:ind w:firstLine="708"/>
        <w:jc w:val="both"/>
        <w:rPr>
          <w:rFonts w:ascii="Verdana" w:hAnsi="Verdana"/>
          <w:sz w:val="12"/>
          <w:szCs w:val="12"/>
          <w:lang w:val="es-ES_tradnl"/>
        </w:rPr>
      </w:pPr>
    </w:p>
  </w:footnote>
  <w:footnote w:id="44">
    <w:p w14:paraId="1B25A2BE" w14:textId="77777777" w:rsidR="001B077C" w:rsidRPr="001B077C" w:rsidRDefault="001B077C" w:rsidP="001B077C">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1B077C">
        <w:rPr>
          <w:rFonts w:ascii="Verdana" w:hAnsi="Verdana"/>
          <w:sz w:val="12"/>
          <w:szCs w:val="12"/>
        </w:rPr>
        <w:t xml:space="preserve"> Documento disponible en el siguiente enlace: </w:t>
      </w:r>
      <w:hyperlink r:id="rId4" w:history="1">
        <w:r w:rsidRPr="001B077C">
          <w:rPr>
            <w:rStyle w:val="Hipervnculo"/>
            <w:rFonts w:ascii="Verdana" w:hAnsi="Verdana"/>
            <w:sz w:val="12"/>
            <w:szCs w:val="12"/>
          </w:rPr>
          <w:t>https://www.colombiacompra.gov.co/wp-content/uploads/2026/04/ABC-Decreto-0287-de-2026-1.pdf</w:t>
        </w:r>
      </w:hyperlink>
      <w:r w:rsidRPr="001B077C">
        <w:rPr>
          <w:rFonts w:ascii="Verdana" w:hAnsi="Verdana"/>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0"/>
  </w:num>
  <w:num w:numId="13" w16cid:durableId="1512908409">
    <w:abstractNumId w:val="4"/>
  </w:num>
  <w:num w:numId="14" w16cid:durableId="895897244">
    <w:abstractNumId w:val="18"/>
  </w:num>
  <w:num w:numId="15" w16cid:durableId="390349800">
    <w:abstractNumId w:val="14"/>
  </w:num>
  <w:num w:numId="16" w16cid:durableId="153255849">
    <w:abstractNumId w:val="11"/>
  </w:num>
  <w:num w:numId="17" w16cid:durableId="1245649885">
    <w:abstractNumId w:val="1"/>
  </w:num>
  <w:num w:numId="18" w16cid:durableId="679089576">
    <w:abstractNumId w:val="10"/>
  </w:num>
  <w:num w:numId="19" w16cid:durableId="1300108123">
    <w:abstractNumId w:val="12"/>
  </w:num>
  <w:num w:numId="20" w16cid:durableId="1069183687">
    <w:abstractNumId w:val="13"/>
  </w:num>
  <w:num w:numId="21" w16cid:durableId="1865904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01F"/>
    <w:rsid w:val="00015670"/>
    <w:rsid w:val="00016C94"/>
    <w:rsid w:val="00016F78"/>
    <w:rsid w:val="0002168A"/>
    <w:rsid w:val="00021872"/>
    <w:rsid w:val="00022CC8"/>
    <w:rsid w:val="00042A91"/>
    <w:rsid w:val="00046945"/>
    <w:rsid w:val="00046C5F"/>
    <w:rsid w:val="00053563"/>
    <w:rsid w:val="000542B4"/>
    <w:rsid w:val="00055B9D"/>
    <w:rsid w:val="00060428"/>
    <w:rsid w:val="00060B14"/>
    <w:rsid w:val="00061B2A"/>
    <w:rsid w:val="0006693F"/>
    <w:rsid w:val="00070BF4"/>
    <w:rsid w:val="00073658"/>
    <w:rsid w:val="00080209"/>
    <w:rsid w:val="00082362"/>
    <w:rsid w:val="000834DD"/>
    <w:rsid w:val="000916EA"/>
    <w:rsid w:val="00092965"/>
    <w:rsid w:val="00094252"/>
    <w:rsid w:val="000A5E13"/>
    <w:rsid w:val="000A683E"/>
    <w:rsid w:val="000A72A9"/>
    <w:rsid w:val="000A7D46"/>
    <w:rsid w:val="000B19B9"/>
    <w:rsid w:val="000B4D47"/>
    <w:rsid w:val="000B6F89"/>
    <w:rsid w:val="000C0C33"/>
    <w:rsid w:val="000C7411"/>
    <w:rsid w:val="000D0334"/>
    <w:rsid w:val="000D2F32"/>
    <w:rsid w:val="000D4B26"/>
    <w:rsid w:val="000D5DA7"/>
    <w:rsid w:val="000E7C7B"/>
    <w:rsid w:val="000F1443"/>
    <w:rsid w:val="000F3D1E"/>
    <w:rsid w:val="000F6486"/>
    <w:rsid w:val="00103BFE"/>
    <w:rsid w:val="001068E1"/>
    <w:rsid w:val="00112DCB"/>
    <w:rsid w:val="00115970"/>
    <w:rsid w:val="00116940"/>
    <w:rsid w:val="00117A5A"/>
    <w:rsid w:val="001228DC"/>
    <w:rsid w:val="00124C21"/>
    <w:rsid w:val="00125105"/>
    <w:rsid w:val="0012666F"/>
    <w:rsid w:val="00127233"/>
    <w:rsid w:val="00134886"/>
    <w:rsid w:val="001406B4"/>
    <w:rsid w:val="00142035"/>
    <w:rsid w:val="0015042F"/>
    <w:rsid w:val="00152F52"/>
    <w:rsid w:val="0015488B"/>
    <w:rsid w:val="0015650E"/>
    <w:rsid w:val="0015699B"/>
    <w:rsid w:val="00163017"/>
    <w:rsid w:val="0016488C"/>
    <w:rsid w:val="00165A70"/>
    <w:rsid w:val="001679AE"/>
    <w:rsid w:val="001726AF"/>
    <w:rsid w:val="0017343D"/>
    <w:rsid w:val="00180418"/>
    <w:rsid w:val="00182010"/>
    <w:rsid w:val="001930C3"/>
    <w:rsid w:val="00196F75"/>
    <w:rsid w:val="001A2C19"/>
    <w:rsid w:val="001A2E74"/>
    <w:rsid w:val="001A33BF"/>
    <w:rsid w:val="001B064E"/>
    <w:rsid w:val="001B077C"/>
    <w:rsid w:val="001B3AEB"/>
    <w:rsid w:val="001B6C7C"/>
    <w:rsid w:val="001C2502"/>
    <w:rsid w:val="001C73B4"/>
    <w:rsid w:val="001E4177"/>
    <w:rsid w:val="001F0B24"/>
    <w:rsid w:val="001F46EB"/>
    <w:rsid w:val="001F7294"/>
    <w:rsid w:val="001F7DC6"/>
    <w:rsid w:val="00203EC3"/>
    <w:rsid w:val="00206556"/>
    <w:rsid w:val="00206F7B"/>
    <w:rsid w:val="0022400B"/>
    <w:rsid w:val="00224979"/>
    <w:rsid w:val="00233946"/>
    <w:rsid w:val="002418DF"/>
    <w:rsid w:val="002421BB"/>
    <w:rsid w:val="0024618D"/>
    <w:rsid w:val="002506B7"/>
    <w:rsid w:val="00251EEA"/>
    <w:rsid w:val="0025796E"/>
    <w:rsid w:val="00261EC2"/>
    <w:rsid w:val="002630D9"/>
    <w:rsid w:val="002667E1"/>
    <w:rsid w:val="002676A6"/>
    <w:rsid w:val="002707A2"/>
    <w:rsid w:val="00277337"/>
    <w:rsid w:val="002809EE"/>
    <w:rsid w:val="0028353A"/>
    <w:rsid w:val="00291F26"/>
    <w:rsid w:val="002951A0"/>
    <w:rsid w:val="002962BC"/>
    <w:rsid w:val="002A00A1"/>
    <w:rsid w:val="002A093D"/>
    <w:rsid w:val="002A0DD0"/>
    <w:rsid w:val="002A49AC"/>
    <w:rsid w:val="002A64FD"/>
    <w:rsid w:val="002B0A25"/>
    <w:rsid w:val="002B3B70"/>
    <w:rsid w:val="002C7A84"/>
    <w:rsid w:val="002D3D4B"/>
    <w:rsid w:val="002E043C"/>
    <w:rsid w:val="002E1E54"/>
    <w:rsid w:val="002E2BF8"/>
    <w:rsid w:val="002E2C06"/>
    <w:rsid w:val="002E410E"/>
    <w:rsid w:val="002E46C5"/>
    <w:rsid w:val="002E4FD9"/>
    <w:rsid w:val="002F04E0"/>
    <w:rsid w:val="002F3F1B"/>
    <w:rsid w:val="002F6EDD"/>
    <w:rsid w:val="00302E7B"/>
    <w:rsid w:val="0030657A"/>
    <w:rsid w:val="003116AA"/>
    <w:rsid w:val="00316B4B"/>
    <w:rsid w:val="0031712D"/>
    <w:rsid w:val="0032249D"/>
    <w:rsid w:val="00322A85"/>
    <w:rsid w:val="00322AC7"/>
    <w:rsid w:val="00324168"/>
    <w:rsid w:val="00330834"/>
    <w:rsid w:val="003348C1"/>
    <w:rsid w:val="00336915"/>
    <w:rsid w:val="00337110"/>
    <w:rsid w:val="003404B1"/>
    <w:rsid w:val="00341D29"/>
    <w:rsid w:val="003448F4"/>
    <w:rsid w:val="00346FE0"/>
    <w:rsid w:val="00351706"/>
    <w:rsid w:val="0035753C"/>
    <w:rsid w:val="00363F8D"/>
    <w:rsid w:val="00366AAB"/>
    <w:rsid w:val="003677C2"/>
    <w:rsid w:val="00373B36"/>
    <w:rsid w:val="00374F5E"/>
    <w:rsid w:val="00377E3E"/>
    <w:rsid w:val="00381C94"/>
    <w:rsid w:val="00395FD0"/>
    <w:rsid w:val="003974B1"/>
    <w:rsid w:val="003A613F"/>
    <w:rsid w:val="003A779E"/>
    <w:rsid w:val="003B1A1C"/>
    <w:rsid w:val="003B4D9D"/>
    <w:rsid w:val="003C3B8B"/>
    <w:rsid w:val="003C64A5"/>
    <w:rsid w:val="003D0F4D"/>
    <w:rsid w:val="003D15AD"/>
    <w:rsid w:val="003D37EE"/>
    <w:rsid w:val="003D3EB2"/>
    <w:rsid w:val="003D45B0"/>
    <w:rsid w:val="003D5B0D"/>
    <w:rsid w:val="003E0499"/>
    <w:rsid w:val="003E4F80"/>
    <w:rsid w:val="003E6439"/>
    <w:rsid w:val="003E68FC"/>
    <w:rsid w:val="003F0D9A"/>
    <w:rsid w:val="003F0E92"/>
    <w:rsid w:val="003F21FF"/>
    <w:rsid w:val="003F3941"/>
    <w:rsid w:val="00406575"/>
    <w:rsid w:val="00414C74"/>
    <w:rsid w:val="00424469"/>
    <w:rsid w:val="0042722E"/>
    <w:rsid w:val="004317A8"/>
    <w:rsid w:val="0043275B"/>
    <w:rsid w:val="0043526E"/>
    <w:rsid w:val="0044528D"/>
    <w:rsid w:val="00445E6C"/>
    <w:rsid w:val="00451BB4"/>
    <w:rsid w:val="00451BBD"/>
    <w:rsid w:val="00454707"/>
    <w:rsid w:val="004566CD"/>
    <w:rsid w:val="004654BF"/>
    <w:rsid w:val="00466E39"/>
    <w:rsid w:val="0047233C"/>
    <w:rsid w:val="00486F02"/>
    <w:rsid w:val="00491868"/>
    <w:rsid w:val="00492EFE"/>
    <w:rsid w:val="004A0899"/>
    <w:rsid w:val="004A1847"/>
    <w:rsid w:val="004A305D"/>
    <w:rsid w:val="004B1246"/>
    <w:rsid w:val="004B2ACC"/>
    <w:rsid w:val="004B305D"/>
    <w:rsid w:val="004B4114"/>
    <w:rsid w:val="004C046B"/>
    <w:rsid w:val="004D6D8D"/>
    <w:rsid w:val="004E19DC"/>
    <w:rsid w:val="004E7B1E"/>
    <w:rsid w:val="004F21C4"/>
    <w:rsid w:val="004F2BF5"/>
    <w:rsid w:val="004F5ED9"/>
    <w:rsid w:val="004F685F"/>
    <w:rsid w:val="00502309"/>
    <w:rsid w:val="00512CFA"/>
    <w:rsid w:val="00516F85"/>
    <w:rsid w:val="005179DF"/>
    <w:rsid w:val="005259F2"/>
    <w:rsid w:val="0053070B"/>
    <w:rsid w:val="00534597"/>
    <w:rsid w:val="00536F7E"/>
    <w:rsid w:val="005541CB"/>
    <w:rsid w:val="005566E8"/>
    <w:rsid w:val="00556BFA"/>
    <w:rsid w:val="005608AE"/>
    <w:rsid w:val="00574867"/>
    <w:rsid w:val="00577188"/>
    <w:rsid w:val="00580FC8"/>
    <w:rsid w:val="00591460"/>
    <w:rsid w:val="00594718"/>
    <w:rsid w:val="005A65E0"/>
    <w:rsid w:val="005A7A1B"/>
    <w:rsid w:val="005C13BA"/>
    <w:rsid w:val="005C3777"/>
    <w:rsid w:val="005C56B5"/>
    <w:rsid w:val="005C5CDC"/>
    <w:rsid w:val="005C6779"/>
    <w:rsid w:val="005D3CF1"/>
    <w:rsid w:val="005D476C"/>
    <w:rsid w:val="005E2AFD"/>
    <w:rsid w:val="005E492A"/>
    <w:rsid w:val="005E76F5"/>
    <w:rsid w:val="005E7FBC"/>
    <w:rsid w:val="00603D11"/>
    <w:rsid w:val="00607E13"/>
    <w:rsid w:val="00620032"/>
    <w:rsid w:val="006200BF"/>
    <w:rsid w:val="00620BC7"/>
    <w:rsid w:val="00620E38"/>
    <w:rsid w:val="006219F8"/>
    <w:rsid w:val="00622F1C"/>
    <w:rsid w:val="00624038"/>
    <w:rsid w:val="006302F7"/>
    <w:rsid w:val="00630A93"/>
    <w:rsid w:val="00631EDC"/>
    <w:rsid w:val="00635683"/>
    <w:rsid w:val="006378E7"/>
    <w:rsid w:val="0064564D"/>
    <w:rsid w:val="00645740"/>
    <w:rsid w:val="00646B9F"/>
    <w:rsid w:val="00646E7C"/>
    <w:rsid w:val="006521AC"/>
    <w:rsid w:val="006552C5"/>
    <w:rsid w:val="00665D70"/>
    <w:rsid w:val="00670CFB"/>
    <w:rsid w:val="00671A77"/>
    <w:rsid w:val="006900D9"/>
    <w:rsid w:val="00690862"/>
    <w:rsid w:val="006A64D0"/>
    <w:rsid w:val="006A66C8"/>
    <w:rsid w:val="006A7374"/>
    <w:rsid w:val="006B0EAB"/>
    <w:rsid w:val="006C00A6"/>
    <w:rsid w:val="006C3CE7"/>
    <w:rsid w:val="006C4B2C"/>
    <w:rsid w:val="006C5EB1"/>
    <w:rsid w:val="006C678A"/>
    <w:rsid w:val="006D595B"/>
    <w:rsid w:val="006D6B3F"/>
    <w:rsid w:val="006E4EC5"/>
    <w:rsid w:val="006E6F85"/>
    <w:rsid w:val="006E7113"/>
    <w:rsid w:val="007009C8"/>
    <w:rsid w:val="0070142E"/>
    <w:rsid w:val="0070233A"/>
    <w:rsid w:val="00703453"/>
    <w:rsid w:val="00706C16"/>
    <w:rsid w:val="00713052"/>
    <w:rsid w:val="00715ED7"/>
    <w:rsid w:val="00723433"/>
    <w:rsid w:val="00731DFB"/>
    <w:rsid w:val="007340C3"/>
    <w:rsid w:val="00737577"/>
    <w:rsid w:val="00741328"/>
    <w:rsid w:val="0074357A"/>
    <w:rsid w:val="007437DE"/>
    <w:rsid w:val="0075235A"/>
    <w:rsid w:val="0075272A"/>
    <w:rsid w:val="00756841"/>
    <w:rsid w:val="00764624"/>
    <w:rsid w:val="007649AB"/>
    <w:rsid w:val="0076758B"/>
    <w:rsid w:val="00771D0C"/>
    <w:rsid w:val="0077201E"/>
    <w:rsid w:val="00774862"/>
    <w:rsid w:val="00774956"/>
    <w:rsid w:val="00777292"/>
    <w:rsid w:val="00777A45"/>
    <w:rsid w:val="007833AC"/>
    <w:rsid w:val="0078375B"/>
    <w:rsid w:val="00792D67"/>
    <w:rsid w:val="00796E68"/>
    <w:rsid w:val="007A1BCB"/>
    <w:rsid w:val="007A2CE0"/>
    <w:rsid w:val="007A5381"/>
    <w:rsid w:val="007B01BA"/>
    <w:rsid w:val="007B268C"/>
    <w:rsid w:val="007B3C5F"/>
    <w:rsid w:val="007B5AD4"/>
    <w:rsid w:val="007B7171"/>
    <w:rsid w:val="007C0C0F"/>
    <w:rsid w:val="007C3DC2"/>
    <w:rsid w:val="007C435B"/>
    <w:rsid w:val="007C6F9B"/>
    <w:rsid w:val="007D3227"/>
    <w:rsid w:val="007D3DBF"/>
    <w:rsid w:val="007D4373"/>
    <w:rsid w:val="007D4B07"/>
    <w:rsid w:val="007E5497"/>
    <w:rsid w:val="007F778E"/>
    <w:rsid w:val="00806318"/>
    <w:rsid w:val="00806F5F"/>
    <w:rsid w:val="00812D27"/>
    <w:rsid w:val="00816452"/>
    <w:rsid w:val="00816FE1"/>
    <w:rsid w:val="00820278"/>
    <w:rsid w:val="008258C9"/>
    <w:rsid w:val="00831262"/>
    <w:rsid w:val="00835946"/>
    <w:rsid w:val="008403BF"/>
    <w:rsid w:val="00843BB2"/>
    <w:rsid w:val="0084403B"/>
    <w:rsid w:val="00844AE9"/>
    <w:rsid w:val="0084550E"/>
    <w:rsid w:val="00850360"/>
    <w:rsid w:val="00852A3D"/>
    <w:rsid w:val="00864642"/>
    <w:rsid w:val="00867F95"/>
    <w:rsid w:val="00870496"/>
    <w:rsid w:val="00872462"/>
    <w:rsid w:val="008843B6"/>
    <w:rsid w:val="00886133"/>
    <w:rsid w:val="00887E82"/>
    <w:rsid w:val="0089143B"/>
    <w:rsid w:val="008917C7"/>
    <w:rsid w:val="00891928"/>
    <w:rsid w:val="008A3A49"/>
    <w:rsid w:val="008A446D"/>
    <w:rsid w:val="008A5E24"/>
    <w:rsid w:val="008B25F1"/>
    <w:rsid w:val="008C1642"/>
    <w:rsid w:val="008C727F"/>
    <w:rsid w:val="008D10BF"/>
    <w:rsid w:val="008D180B"/>
    <w:rsid w:val="008D276D"/>
    <w:rsid w:val="008D55CB"/>
    <w:rsid w:val="008D5774"/>
    <w:rsid w:val="008E1F8B"/>
    <w:rsid w:val="008E3F41"/>
    <w:rsid w:val="008E4A2D"/>
    <w:rsid w:val="008F0EA7"/>
    <w:rsid w:val="008F1293"/>
    <w:rsid w:val="00900AB5"/>
    <w:rsid w:val="00900DB0"/>
    <w:rsid w:val="009032C3"/>
    <w:rsid w:val="0090530F"/>
    <w:rsid w:val="0091370F"/>
    <w:rsid w:val="00917748"/>
    <w:rsid w:val="00920D56"/>
    <w:rsid w:val="00923EEF"/>
    <w:rsid w:val="009252BB"/>
    <w:rsid w:val="00925CA2"/>
    <w:rsid w:val="00930A08"/>
    <w:rsid w:val="009363F6"/>
    <w:rsid w:val="009419F9"/>
    <w:rsid w:val="0095685E"/>
    <w:rsid w:val="00961B09"/>
    <w:rsid w:val="00965055"/>
    <w:rsid w:val="00965334"/>
    <w:rsid w:val="0097093E"/>
    <w:rsid w:val="00973F3B"/>
    <w:rsid w:val="00975224"/>
    <w:rsid w:val="0098182E"/>
    <w:rsid w:val="00982ACA"/>
    <w:rsid w:val="009948E7"/>
    <w:rsid w:val="00995967"/>
    <w:rsid w:val="00996F0C"/>
    <w:rsid w:val="009A0DFA"/>
    <w:rsid w:val="009A1A4B"/>
    <w:rsid w:val="009A1C6F"/>
    <w:rsid w:val="009A5ED3"/>
    <w:rsid w:val="009B0CF4"/>
    <w:rsid w:val="009B2D26"/>
    <w:rsid w:val="009B3626"/>
    <w:rsid w:val="009B7C82"/>
    <w:rsid w:val="009C44A9"/>
    <w:rsid w:val="009C71FA"/>
    <w:rsid w:val="009C72E7"/>
    <w:rsid w:val="009C7F7E"/>
    <w:rsid w:val="009D1B97"/>
    <w:rsid w:val="009D3058"/>
    <w:rsid w:val="009D377E"/>
    <w:rsid w:val="009D40B6"/>
    <w:rsid w:val="009E1A2D"/>
    <w:rsid w:val="009E451E"/>
    <w:rsid w:val="009E593E"/>
    <w:rsid w:val="009E5E98"/>
    <w:rsid w:val="009E6BF4"/>
    <w:rsid w:val="009F05FF"/>
    <w:rsid w:val="009F3A13"/>
    <w:rsid w:val="00A0302B"/>
    <w:rsid w:val="00A122D3"/>
    <w:rsid w:val="00A14468"/>
    <w:rsid w:val="00A150CF"/>
    <w:rsid w:val="00A17F13"/>
    <w:rsid w:val="00A20739"/>
    <w:rsid w:val="00A21CA3"/>
    <w:rsid w:val="00A23AF9"/>
    <w:rsid w:val="00A300AA"/>
    <w:rsid w:val="00A31841"/>
    <w:rsid w:val="00A33C78"/>
    <w:rsid w:val="00A420A9"/>
    <w:rsid w:val="00A42C60"/>
    <w:rsid w:val="00A500F1"/>
    <w:rsid w:val="00A51816"/>
    <w:rsid w:val="00A52C8E"/>
    <w:rsid w:val="00A54668"/>
    <w:rsid w:val="00A57140"/>
    <w:rsid w:val="00A709D2"/>
    <w:rsid w:val="00A754B1"/>
    <w:rsid w:val="00A8025C"/>
    <w:rsid w:val="00A86C0D"/>
    <w:rsid w:val="00A87C26"/>
    <w:rsid w:val="00A925AD"/>
    <w:rsid w:val="00A97194"/>
    <w:rsid w:val="00AA0274"/>
    <w:rsid w:val="00AA080B"/>
    <w:rsid w:val="00AB0ADB"/>
    <w:rsid w:val="00AB30D4"/>
    <w:rsid w:val="00AC466D"/>
    <w:rsid w:val="00AD6F80"/>
    <w:rsid w:val="00AF1D25"/>
    <w:rsid w:val="00AF5B25"/>
    <w:rsid w:val="00AF7544"/>
    <w:rsid w:val="00B00C0E"/>
    <w:rsid w:val="00B01B1A"/>
    <w:rsid w:val="00B02418"/>
    <w:rsid w:val="00B024CD"/>
    <w:rsid w:val="00B0381D"/>
    <w:rsid w:val="00B0404B"/>
    <w:rsid w:val="00B04D3B"/>
    <w:rsid w:val="00B162DD"/>
    <w:rsid w:val="00B16B28"/>
    <w:rsid w:val="00B22BE8"/>
    <w:rsid w:val="00B443A2"/>
    <w:rsid w:val="00B44A47"/>
    <w:rsid w:val="00B4752F"/>
    <w:rsid w:val="00B53C1C"/>
    <w:rsid w:val="00B5706D"/>
    <w:rsid w:val="00B6113F"/>
    <w:rsid w:val="00B72CD3"/>
    <w:rsid w:val="00B72FFF"/>
    <w:rsid w:val="00B75E25"/>
    <w:rsid w:val="00B9043C"/>
    <w:rsid w:val="00B94F8F"/>
    <w:rsid w:val="00BA1EA8"/>
    <w:rsid w:val="00BA3D9C"/>
    <w:rsid w:val="00BB1DB6"/>
    <w:rsid w:val="00BB2B13"/>
    <w:rsid w:val="00BC3D36"/>
    <w:rsid w:val="00BC5CA2"/>
    <w:rsid w:val="00BC7C68"/>
    <w:rsid w:val="00BD4175"/>
    <w:rsid w:val="00BD4742"/>
    <w:rsid w:val="00BD54A6"/>
    <w:rsid w:val="00BD7F72"/>
    <w:rsid w:val="00BE1819"/>
    <w:rsid w:val="00BE228B"/>
    <w:rsid w:val="00BE732E"/>
    <w:rsid w:val="00BF7425"/>
    <w:rsid w:val="00C00F79"/>
    <w:rsid w:val="00C01610"/>
    <w:rsid w:val="00C03F30"/>
    <w:rsid w:val="00C04FB3"/>
    <w:rsid w:val="00C11D8B"/>
    <w:rsid w:val="00C15139"/>
    <w:rsid w:val="00C17086"/>
    <w:rsid w:val="00C330EB"/>
    <w:rsid w:val="00C34A82"/>
    <w:rsid w:val="00C47291"/>
    <w:rsid w:val="00C50D69"/>
    <w:rsid w:val="00C5146A"/>
    <w:rsid w:val="00C5365C"/>
    <w:rsid w:val="00C53B15"/>
    <w:rsid w:val="00C622DE"/>
    <w:rsid w:val="00C62EF1"/>
    <w:rsid w:val="00C63846"/>
    <w:rsid w:val="00C654FA"/>
    <w:rsid w:val="00C71DE4"/>
    <w:rsid w:val="00C754BE"/>
    <w:rsid w:val="00C75BA3"/>
    <w:rsid w:val="00C76B1C"/>
    <w:rsid w:val="00C76B5F"/>
    <w:rsid w:val="00C820EF"/>
    <w:rsid w:val="00C824BD"/>
    <w:rsid w:val="00C831EC"/>
    <w:rsid w:val="00C91D70"/>
    <w:rsid w:val="00C925AC"/>
    <w:rsid w:val="00C93DAC"/>
    <w:rsid w:val="00C95F94"/>
    <w:rsid w:val="00CA0621"/>
    <w:rsid w:val="00CA2E8A"/>
    <w:rsid w:val="00CB0A50"/>
    <w:rsid w:val="00CB44F3"/>
    <w:rsid w:val="00CB6357"/>
    <w:rsid w:val="00CC1B26"/>
    <w:rsid w:val="00CC29BA"/>
    <w:rsid w:val="00CE2A60"/>
    <w:rsid w:val="00CF24C0"/>
    <w:rsid w:val="00D027C3"/>
    <w:rsid w:val="00D0376A"/>
    <w:rsid w:val="00D05F46"/>
    <w:rsid w:val="00D078C9"/>
    <w:rsid w:val="00D109FE"/>
    <w:rsid w:val="00D11C80"/>
    <w:rsid w:val="00D22B7C"/>
    <w:rsid w:val="00D24AA6"/>
    <w:rsid w:val="00D27B04"/>
    <w:rsid w:val="00D31DC0"/>
    <w:rsid w:val="00D33696"/>
    <w:rsid w:val="00D35983"/>
    <w:rsid w:val="00D361FD"/>
    <w:rsid w:val="00D37660"/>
    <w:rsid w:val="00D423A2"/>
    <w:rsid w:val="00D44E26"/>
    <w:rsid w:val="00D520D8"/>
    <w:rsid w:val="00D63AC2"/>
    <w:rsid w:val="00D7383B"/>
    <w:rsid w:val="00D7788A"/>
    <w:rsid w:val="00D851ED"/>
    <w:rsid w:val="00D9033C"/>
    <w:rsid w:val="00DA1940"/>
    <w:rsid w:val="00DA231B"/>
    <w:rsid w:val="00DA71B3"/>
    <w:rsid w:val="00DC051E"/>
    <w:rsid w:val="00DC39FC"/>
    <w:rsid w:val="00DC7D55"/>
    <w:rsid w:val="00DD24B2"/>
    <w:rsid w:val="00DF021B"/>
    <w:rsid w:val="00DF1C4B"/>
    <w:rsid w:val="00DF32B2"/>
    <w:rsid w:val="00DF3D9A"/>
    <w:rsid w:val="00DF5254"/>
    <w:rsid w:val="00E00882"/>
    <w:rsid w:val="00E02524"/>
    <w:rsid w:val="00E1505C"/>
    <w:rsid w:val="00E16408"/>
    <w:rsid w:val="00E20894"/>
    <w:rsid w:val="00E245AB"/>
    <w:rsid w:val="00E25712"/>
    <w:rsid w:val="00E26E9D"/>
    <w:rsid w:val="00E2764C"/>
    <w:rsid w:val="00E27F2E"/>
    <w:rsid w:val="00E36715"/>
    <w:rsid w:val="00E425E8"/>
    <w:rsid w:val="00E50AFE"/>
    <w:rsid w:val="00E53EA1"/>
    <w:rsid w:val="00E53FCC"/>
    <w:rsid w:val="00E54F30"/>
    <w:rsid w:val="00E55CFA"/>
    <w:rsid w:val="00E65677"/>
    <w:rsid w:val="00E727F0"/>
    <w:rsid w:val="00E75C92"/>
    <w:rsid w:val="00E771DC"/>
    <w:rsid w:val="00E84734"/>
    <w:rsid w:val="00E85CA7"/>
    <w:rsid w:val="00E8772A"/>
    <w:rsid w:val="00E879DC"/>
    <w:rsid w:val="00E90F6B"/>
    <w:rsid w:val="00E910FB"/>
    <w:rsid w:val="00E92C27"/>
    <w:rsid w:val="00E92DD0"/>
    <w:rsid w:val="00EA02F5"/>
    <w:rsid w:val="00EA06E6"/>
    <w:rsid w:val="00EA0E3D"/>
    <w:rsid w:val="00EA16FC"/>
    <w:rsid w:val="00EA31C7"/>
    <w:rsid w:val="00EA44A1"/>
    <w:rsid w:val="00EA5D59"/>
    <w:rsid w:val="00EB7308"/>
    <w:rsid w:val="00EC38A7"/>
    <w:rsid w:val="00EC7C37"/>
    <w:rsid w:val="00EE1AA8"/>
    <w:rsid w:val="00EE7A5D"/>
    <w:rsid w:val="00EF41C4"/>
    <w:rsid w:val="00F14CCF"/>
    <w:rsid w:val="00F1633A"/>
    <w:rsid w:val="00F23FEA"/>
    <w:rsid w:val="00F31EDC"/>
    <w:rsid w:val="00F32723"/>
    <w:rsid w:val="00F33CF5"/>
    <w:rsid w:val="00F41C3E"/>
    <w:rsid w:val="00F462B3"/>
    <w:rsid w:val="00F47458"/>
    <w:rsid w:val="00F5119A"/>
    <w:rsid w:val="00F52E27"/>
    <w:rsid w:val="00F5664F"/>
    <w:rsid w:val="00F579DF"/>
    <w:rsid w:val="00F666C4"/>
    <w:rsid w:val="00F76AC9"/>
    <w:rsid w:val="00F76AFC"/>
    <w:rsid w:val="00F805C5"/>
    <w:rsid w:val="00F82724"/>
    <w:rsid w:val="00F955C6"/>
    <w:rsid w:val="00FA47C0"/>
    <w:rsid w:val="00FA5003"/>
    <w:rsid w:val="00FB16EC"/>
    <w:rsid w:val="00FB3899"/>
    <w:rsid w:val="00FB5DD1"/>
    <w:rsid w:val="00FB7920"/>
    <w:rsid w:val="00FC2B5D"/>
    <w:rsid w:val="00FD4A49"/>
    <w:rsid w:val="00FE26DE"/>
    <w:rsid w:val="00FF1449"/>
    <w:rsid w:val="00FF2610"/>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CD496-8D74-491F-B9C0-152AFA3D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C47291"/>
    <w:pPr>
      <w:spacing w:line="240" w:lineRule="exact"/>
    </w:pPr>
    <w:rPr>
      <w:vertAlign w:val="superscript"/>
    </w:rPr>
  </w:style>
  <w:style w:type="character" w:customStyle="1" w:styleId="baj">
    <w:name w:val="b_aj"/>
    <w:basedOn w:val="Fuentedeprrafopredeter"/>
    <w:rsid w:val="00C47291"/>
  </w:style>
  <w:style w:type="character" w:customStyle="1" w:styleId="NormalWebCar">
    <w:name w:val="Normal (Web) Car"/>
    <w:link w:val="NormalWeb"/>
    <w:uiPriority w:val="99"/>
    <w:locked/>
    <w:rsid w:val="00C472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D55CB"/>
    <w:rPr>
      <w:sz w:val="16"/>
      <w:szCs w:val="16"/>
    </w:rPr>
  </w:style>
  <w:style w:type="paragraph" w:styleId="Textocomentario">
    <w:name w:val="annotation text"/>
    <w:basedOn w:val="Normal"/>
    <w:link w:val="TextocomentarioCar"/>
    <w:uiPriority w:val="99"/>
    <w:unhideWhenUsed/>
    <w:rsid w:val="008D55CB"/>
    <w:pPr>
      <w:spacing w:line="240" w:lineRule="auto"/>
    </w:pPr>
    <w:rPr>
      <w:sz w:val="20"/>
      <w:szCs w:val="20"/>
    </w:rPr>
  </w:style>
  <w:style w:type="character" w:customStyle="1" w:styleId="TextocomentarioCar">
    <w:name w:val="Texto comentario Car"/>
    <w:basedOn w:val="Fuentedeprrafopredeter"/>
    <w:link w:val="Textocomentario"/>
    <w:uiPriority w:val="99"/>
    <w:rsid w:val="008D55CB"/>
    <w:rPr>
      <w:sz w:val="20"/>
      <w:szCs w:val="20"/>
    </w:rPr>
  </w:style>
  <w:style w:type="paragraph" w:styleId="Asuntodelcomentario">
    <w:name w:val="annotation subject"/>
    <w:basedOn w:val="Textocomentario"/>
    <w:next w:val="Textocomentario"/>
    <w:link w:val="AsuntodelcomentarioCar"/>
    <w:uiPriority w:val="99"/>
    <w:semiHidden/>
    <w:unhideWhenUsed/>
    <w:rsid w:val="008D55CB"/>
    <w:rPr>
      <w:b/>
      <w:bCs/>
    </w:rPr>
  </w:style>
  <w:style w:type="character" w:customStyle="1" w:styleId="AsuntodelcomentarioCar">
    <w:name w:val="Asunto del comentario Car"/>
    <w:basedOn w:val="TextocomentarioCar"/>
    <w:link w:val="Asuntodelcomentario"/>
    <w:uiPriority w:val="99"/>
    <w:semiHidden/>
    <w:rsid w:val="008D55CB"/>
    <w:rPr>
      <w:b/>
      <w:bCs/>
      <w:sz w:val="20"/>
      <w:szCs w:val="20"/>
    </w:rPr>
  </w:style>
  <w:style w:type="table" w:customStyle="1" w:styleId="Tablaconcuadrcula1">
    <w:name w:val="Tabla con cuadrícula1"/>
    <w:basedOn w:val="Tablanormal"/>
    <w:next w:val="Tablaconcuadrcula"/>
    <w:uiPriority w:val="39"/>
    <w:qFormat/>
    <w:rsid w:val="001B0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241">
      <w:bodyDiv w:val="1"/>
      <w:marLeft w:val="0"/>
      <w:marRight w:val="0"/>
      <w:marTop w:val="0"/>
      <w:marBottom w:val="0"/>
      <w:divBdr>
        <w:top w:val="none" w:sz="0" w:space="0" w:color="auto"/>
        <w:left w:val="none" w:sz="0" w:space="0" w:color="auto"/>
        <w:bottom w:val="none" w:sz="0" w:space="0" w:color="auto"/>
        <w:right w:val="none" w:sz="0" w:space="0" w:color="auto"/>
      </w:divBdr>
    </w:div>
    <w:div w:id="63797035">
      <w:bodyDiv w:val="1"/>
      <w:marLeft w:val="0"/>
      <w:marRight w:val="0"/>
      <w:marTop w:val="0"/>
      <w:marBottom w:val="0"/>
      <w:divBdr>
        <w:top w:val="none" w:sz="0" w:space="0" w:color="auto"/>
        <w:left w:val="none" w:sz="0" w:space="0" w:color="auto"/>
        <w:bottom w:val="none" w:sz="0" w:space="0" w:color="auto"/>
        <w:right w:val="none" w:sz="0" w:space="0" w:color="auto"/>
      </w:divBdr>
    </w:div>
    <w:div w:id="124738522">
      <w:bodyDiv w:val="1"/>
      <w:marLeft w:val="0"/>
      <w:marRight w:val="0"/>
      <w:marTop w:val="0"/>
      <w:marBottom w:val="0"/>
      <w:divBdr>
        <w:top w:val="none" w:sz="0" w:space="0" w:color="auto"/>
        <w:left w:val="none" w:sz="0" w:space="0" w:color="auto"/>
        <w:bottom w:val="none" w:sz="0" w:space="0" w:color="auto"/>
        <w:right w:val="none" w:sz="0" w:space="0" w:color="auto"/>
      </w:divBdr>
    </w:div>
    <w:div w:id="156120696">
      <w:bodyDiv w:val="1"/>
      <w:marLeft w:val="0"/>
      <w:marRight w:val="0"/>
      <w:marTop w:val="0"/>
      <w:marBottom w:val="0"/>
      <w:divBdr>
        <w:top w:val="none" w:sz="0" w:space="0" w:color="auto"/>
        <w:left w:val="none" w:sz="0" w:space="0" w:color="auto"/>
        <w:bottom w:val="none" w:sz="0" w:space="0" w:color="auto"/>
        <w:right w:val="none" w:sz="0" w:space="0" w:color="auto"/>
      </w:divBdr>
    </w:div>
    <w:div w:id="208539241">
      <w:bodyDiv w:val="1"/>
      <w:marLeft w:val="0"/>
      <w:marRight w:val="0"/>
      <w:marTop w:val="0"/>
      <w:marBottom w:val="0"/>
      <w:divBdr>
        <w:top w:val="none" w:sz="0" w:space="0" w:color="auto"/>
        <w:left w:val="none" w:sz="0" w:space="0" w:color="auto"/>
        <w:bottom w:val="none" w:sz="0" w:space="0" w:color="auto"/>
        <w:right w:val="none" w:sz="0" w:space="0" w:color="auto"/>
      </w:divBdr>
    </w:div>
    <w:div w:id="271012095">
      <w:bodyDiv w:val="1"/>
      <w:marLeft w:val="0"/>
      <w:marRight w:val="0"/>
      <w:marTop w:val="0"/>
      <w:marBottom w:val="0"/>
      <w:divBdr>
        <w:top w:val="none" w:sz="0" w:space="0" w:color="auto"/>
        <w:left w:val="none" w:sz="0" w:space="0" w:color="auto"/>
        <w:bottom w:val="none" w:sz="0" w:space="0" w:color="auto"/>
        <w:right w:val="none" w:sz="0" w:space="0" w:color="auto"/>
      </w:divBdr>
    </w:div>
    <w:div w:id="309529247">
      <w:bodyDiv w:val="1"/>
      <w:marLeft w:val="0"/>
      <w:marRight w:val="0"/>
      <w:marTop w:val="0"/>
      <w:marBottom w:val="0"/>
      <w:divBdr>
        <w:top w:val="none" w:sz="0" w:space="0" w:color="auto"/>
        <w:left w:val="none" w:sz="0" w:space="0" w:color="auto"/>
        <w:bottom w:val="none" w:sz="0" w:space="0" w:color="auto"/>
        <w:right w:val="none" w:sz="0" w:space="0" w:color="auto"/>
      </w:divBdr>
    </w:div>
    <w:div w:id="325669828">
      <w:bodyDiv w:val="1"/>
      <w:marLeft w:val="0"/>
      <w:marRight w:val="0"/>
      <w:marTop w:val="0"/>
      <w:marBottom w:val="0"/>
      <w:divBdr>
        <w:top w:val="none" w:sz="0" w:space="0" w:color="auto"/>
        <w:left w:val="none" w:sz="0" w:space="0" w:color="auto"/>
        <w:bottom w:val="none" w:sz="0" w:space="0" w:color="auto"/>
        <w:right w:val="none" w:sz="0" w:space="0" w:color="auto"/>
      </w:divBdr>
    </w:div>
    <w:div w:id="392658240">
      <w:bodyDiv w:val="1"/>
      <w:marLeft w:val="0"/>
      <w:marRight w:val="0"/>
      <w:marTop w:val="0"/>
      <w:marBottom w:val="0"/>
      <w:divBdr>
        <w:top w:val="none" w:sz="0" w:space="0" w:color="auto"/>
        <w:left w:val="none" w:sz="0" w:space="0" w:color="auto"/>
        <w:bottom w:val="none" w:sz="0" w:space="0" w:color="auto"/>
        <w:right w:val="none" w:sz="0" w:space="0" w:color="auto"/>
      </w:divBdr>
    </w:div>
    <w:div w:id="396977317">
      <w:bodyDiv w:val="1"/>
      <w:marLeft w:val="0"/>
      <w:marRight w:val="0"/>
      <w:marTop w:val="0"/>
      <w:marBottom w:val="0"/>
      <w:divBdr>
        <w:top w:val="none" w:sz="0" w:space="0" w:color="auto"/>
        <w:left w:val="none" w:sz="0" w:space="0" w:color="auto"/>
        <w:bottom w:val="none" w:sz="0" w:space="0" w:color="auto"/>
        <w:right w:val="none" w:sz="0" w:space="0" w:color="auto"/>
      </w:divBdr>
      <w:divsChild>
        <w:div w:id="781074697">
          <w:marLeft w:val="0"/>
          <w:marRight w:val="0"/>
          <w:marTop w:val="0"/>
          <w:marBottom w:val="0"/>
          <w:divBdr>
            <w:top w:val="none" w:sz="0" w:space="0" w:color="auto"/>
            <w:left w:val="none" w:sz="0" w:space="0" w:color="auto"/>
            <w:bottom w:val="none" w:sz="0" w:space="0" w:color="auto"/>
            <w:right w:val="none" w:sz="0" w:space="0" w:color="auto"/>
          </w:divBdr>
          <w:divsChild>
            <w:div w:id="1793399658">
              <w:marLeft w:val="0"/>
              <w:marRight w:val="0"/>
              <w:marTop w:val="0"/>
              <w:marBottom w:val="0"/>
              <w:divBdr>
                <w:top w:val="none" w:sz="0" w:space="0" w:color="auto"/>
                <w:left w:val="none" w:sz="0" w:space="0" w:color="auto"/>
                <w:bottom w:val="none" w:sz="0" w:space="0" w:color="auto"/>
                <w:right w:val="none" w:sz="0" w:space="0" w:color="auto"/>
              </w:divBdr>
              <w:divsChild>
                <w:div w:id="1619021198">
                  <w:marLeft w:val="0"/>
                  <w:marRight w:val="0"/>
                  <w:marTop w:val="0"/>
                  <w:marBottom w:val="0"/>
                  <w:divBdr>
                    <w:top w:val="none" w:sz="0" w:space="0" w:color="auto"/>
                    <w:left w:val="none" w:sz="0" w:space="0" w:color="auto"/>
                    <w:bottom w:val="none" w:sz="0" w:space="0" w:color="auto"/>
                    <w:right w:val="none" w:sz="0" w:space="0" w:color="auto"/>
                  </w:divBdr>
                  <w:divsChild>
                    <w:div w:id="541989328">
                      <w:marLeft w:val="0"/>
                      <w:marRight w:val="0"/>
                      <w:marTop w:val="0"/>
                      <w:marBottom w:val="0"/>
                      <w:divBdr>
                        <w:top w:val="none" w:sz="0" w:space="0" w:color="auto"/>
                        <w:left w:val="none" w:sz="0" w:space="0" w:color="auto"/>
                        <w:bottom w:val="none" w:sz="0" w:space="0" w:color="auto"/>
                        <w:right w:val="none" w:sz="0" w:space="0" w:color="auto"/>
                      </w:divBdr>
                      <w:divsChild>
                        <w:div w:id="670793184">
                          <w:marLeft w:val="0"/>
                          <w:marRight w:val="0"/>
                          <w:marTop w:val="0"/>
                          <w:marBottom w:val="0"/>
                          <w:divBdr>
                            <w:top w:val="none" w:sz="0" w:space="0" w:color="auto"/>
                            <w:left w:val="none" w:sz="0" w:space="0" w:color="auto"/>
                            <w:bottom w:val="none" w:sz="0" w:space="0" w:color="auto"/>
                            <w:right w:val="none" w:sz="0" w:space="0" w:color="auto"/>
                          </w:divBdr>
                          <w:divsChild>
                            <w:div w:id="1890607262">
                              <w:marLeft w:val="0"/>
                              <w:marRight w:val="0"/>
                              <w:marTop w:val="0"/>
                              <w:marBottom w:val="0"/>
                              <w:divBdr>
                                <w:top w:val="none" w:sz="0" w:space="0" w:color="auto"/>
                                <w:left w:val="none" w:sz="0" w:space="0" w:color="auto"/>
                                <w:bottom w:val="none" w:sz="0" w:space="0" w:color="auto"/>
                                <w:right w:val="none" w:sz="0" w:space="0" w:color="auto"/>
                              </w:divBdr>
                              <w:divsChild>
                                <w:div w:id="767847805">
                                  <w:marLeft w:val="0"/>
                                  <w:marRight w:val="0"/>
                                  <w:marTop w:val="0"/>
                                  <w:marBottom w:val="0"/>
                                  <w:divBdr>
                                    <w:top w:val="none" w:sz="0" w:space="0" w:color="auto"/>
                                    <w:left w:val="none" w:sz="0" w:space="0" w:color="auto"/>
                                    <w:bottom w:val="none" w:sz="0" w:space="0" w:color="auto"/>
                                    <w:right w:val="none" w:sz="0" w:space="0" w:color="auto"/>
                                  </w:divBdr>
                                  <w:divsChild>
                                    <w:div w:id="456535578">
                                      <w:marLeft w:val="0"/>
                                      <w:marRight w:val="0"/>
                                      <w:marTop w:val="0"/>
                                      <w:marBottom w:val="0"/>
                                      <w:divBdr>
                                        <w:top w:val="none" w:sz="0" w:space="0" w:color="auto"/>
                                        <w:left w:val="none" w:sz="0" w:space="0" w:color="auto"/>
                                        <w:bottom w:val="none" w:sz="0" w:space="0" w:color="auto"/>
                                        <w:right w:val="none" w:sz="0" w:space="0" w:color="auto"/>
                                      </w:divBdr>
                                      <w:divsChild>
                                        <w:div w:id="3165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5611751">
      <w:bodyDiv w:val="1"/>
      <w:marLeft w:val="0"/>
      <w:marRight w:val="0"/>
      <w:marTop w:val="0"/>
      <w:marBottom w:val="0"/>
      <w:divBdr>
        <w:top w:val="none" w:sz="0" w:space="0" w:color="auto"/>
        <w:left w:val="none" w:sz="0" w:space="0" w:color="auto"/>
        <w:bottom w:val="none" w:sz="0" w:space="0" w:color="auto"/>
        <w:right w:val="none" w:sz="0" w:space="0" w:color="auto"/>
      </w:divBdr>
    </w:div>
    <w:div w:id="6110165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9152002">
      <w:bodyDiv w:val="1"/>
      <w:marLeft w:val="0"/>
      <w:marRight w:val="0"/>
      <w:marTop w:val="0"/>
      <w:marBottom w:val="0"/>
      <w:divBdr>
        <w:top w:val="none" w:sz="0" w:space="0" w:color="auto"/>
        <w:left w:val="none" w:sz="0" w:space="0" w:color="auto"/>
        <w:bottom w:val="none" w:sz="0" w:space="0" w:color="auto"/>
        <w:right w:val="none" w:sz="0" w:space="0" w:color="auto"/>
      </w:divBdr>
    </w:div>
    <w:div w:id="1031877112">
      <w:bodyDiv w:val="1"/>
      <w:marLeft w:val="0"/>
      <w:marRight w:val="0"/>
      <w:marTop w:val="0"/>
      <w:marBottom w:val="0"/>
      <w:divBdr>
        <w:top w:val="none" w:sz="0" w:space="0" w:color="auto"/>
        <w:left w:val="none" w:sz="0" w:space="0" w:color="auto"/>
        <w:bottom w:val="none" w:sz="0" w:space="0" w:color="auto"/>
        <w:right w:val="none" w:sz="0" w:space="0" w:color="auto"/>
      </w:divBdr>
      <w:divsChild>
        <w:div w:id="1702588565">
          <w:marLeft w:val="0"/>
          <w:marRight w:val="0"/>
          <w:marTop w:val="0"/>
          <w:marBottom w:val="0"/>
          <w:divBdr>
            <w:top w:val="none" w:sz="0" w:space="0" w:color="auto"/>
            <w:left w:val="none" w:sz="0" w:space="0" w:color="auto"/>
            <w:bottom w:val="none" w:sz="0" w:space="0" w:color="auto"/>
            <w:right w:val="none" w:sz="0" w:space="0" w:color="auto"/>
          </w:divBdr>
          <w:divsChild>
            <w:div w:id="333999638">
              <w:marLeft w:val="0"/>
              <w:marRight w:val="0"/>
              <w:marTop w:val="0"/>
              <w:marBottom w:val="0"/>
              <w:divBdr>
                <w:top w:val="none" w:sz="0" w:space="0" w:color="auto"/>
                <w:left w:val="none" w:sz="0" w:space="0" w:color="auto"/>
                <w:bottom w:val="none" w:sz="0" w:space="0" w:color="auto"/>
                <w:right w:val="none" w:sz="0" w:space="0" w:color="auto"/>
              </w:divBdr>
              <w:divsChild>
                <w:div w:id="1560675419">
                  <w:marLeft w:val="0"/>
                  <w:marRight w:val="0"/>
                  <w:marTop w:val="0"/>
                  <w:marBottom w:val="0"/>
                  <w:divBdr>
                    <w:top w:val="none" w:sz="0" w:space="0" w:color="auto"/>
                    <w:left w:val="none" w:sz="0" w:space="0" w:color="auto"/>
                    <w:bottom w:val="none" w:sz="0" w:space="0" w:color="auto"/>
                    <w:right w:val="none" w:sz="0" w:space="0" w:color="auto"/>
                  </w:divBdr>
                  <w:divsChild>
                    <w:div w:id="867525885">
                      <w:marLeft w:val="0"/>
                      <w:marRight w:val="0"/>
                      <w:marTop w:val="0"/>
                      <w:marBottom w:val="0"/>
                      <w:divBdr>
                        <w:top w:val="none" w:sz="0" w:space="0" w:color="auto"/>
                        <w:left w:val="none" w:sz="0" w:space="0" w:color="auto"/>
                        <w:bottom w:val="none" w:sz="0" w:space="0" w:color="auto"/>
                        <w:right w:val="none" w:sz="0" w:space="0" w:color="auto"/>
                      </w:divBdr>
                      <w:divsChild>
                        <w:div w:id="514004121">
                          <w:marLeft w:val="0"/>
                          <w:marRight w:val="0"/>
                          <w:marTop w:val="0"/>
                          <w:marBottom w:val="0"/>
                          <w:divBdr>
                            <w:top w:val="none" w:sz="0" w:space="0" w:color="auto"/>
                            <w:left w:val="none" w:sz="0" w:space="0" w:color="auto"/>
                            <w:bottom w:val="none" w:sz="0" w:space="0" w:color="auto"/>
                            <w:right w:val="none" w:sz="0" w:space="0" w:color="auto"/>
                          </w:divBdr>
                          <w:divsChild>
                            <w:div w:id="395012684">
                              <w:marLeft w:val="0"/>
                              <w:marRight w:val="0"/>
                              <w:marTop w:val="0"/>
                              <w:marBottom w:val="0"/>
                              <w:divBdr>
                                <w:top w:val="none" w:sz="0" w:space="0" w:color="auto"/>
                                <w:left w:val="none" w:sz="0" w:space="0" w:color="auto"/>
                                <w:bottom w:val="none" w:sz="0" w:space="0" w:color="auto"/>
                                <w:right w:val="none" w:sz="0" w:space="0" w:color="auto"/>
                              </w:divBdr>
                              <w:divsChild>
                                <w:div w:id="1892960195">
                                  <w:marLeft w:val="0"/>
                                  <w:marRight w:val="0"/>
                                  <w:marTop w:val="0"/>
                                  <w:marBottom w:val="0"/>
                                  <w:divBdr>
                                    <w:top w:val="none" w:sz="0" w:space="0" w:color="auto"/>
                                    <w:left w:val="none" w:sz="0" w:space="0" w:color="auto"/>
                                    <w:bottom w:val="none" w:sz="0" w:space="0" w:color="auto"/>
                                    <w:right w:val="none" w:sz="0" w:space="0" w:color="auto"/>
                                  </w:divBdr>
                                  <w:divsChild>
                                    <w:div w:id="18164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692059">
      <w:bodyDiv w:val="1"/>
      <w:marLeft w:val="0"/>
      <w:marRight w:val="0"/>
      <w:marTop w:val="0"/>
      <w:marBottom w:val="0"/>
      <w:divBdr>
        <w:top w:val="none" w:sz="0" w:space="0" w:color="auto"/>
        <w:left w:val="none" w:sz="0" w:space="0" w:color="auto"/>
        <w:bottom w:val="none" w:sz="0" w:space="0" w:color="auto"/>
        <w:right w:val="none" w:sz="0" w:space="0" w:color="auto"/>
      </w:divBdr>
      <w:divsChild>
        <w:div w:id="582254496">
          <w:marLeft w:val="0"/>
          <w:marRight w:val="0"/>
          <w:marTop w:val="0"/>
          <w:marBottom w:val="0"/>
          <w:divBdr>
            <w:top w:val="none" w:sz="0" w:space="0" w:color="auto"/>
            <w:left w:val="none" w:sz="0" w:space="0" w:color="auto"/>
            <w:bottom w:val="none" w:sz="0" w:space="0" w:color="auto"/>
            <w:right w:val="none" w:sz="0" w:space="0" w:color="auto"/>
          </w:divBdr>
          <w:divsChild>
            <w:div w:id="1153790141">
              <w:marLeft w:val="0"/>
              <w:marRight w:val="0"/>
              <w:marTop w:val="0"/>
              <w:marBottom w:val="0"/>
              <w:divBdr>
                <w:top w:val="none" w:sz="0" w:space="0" w:color="auto"/>
                <w:left w:val="none" w:sz="0" w:space="0" w:color="auto"/>
                <w:bottom w:val="none" w:sz="0" w:space="0" w:color="auto"/>
                <w:right w:val="none" w:sz="0" w:space="0" w:color="auto"/>
              </w:divBdr>
              <w:divsChild>
                <w:div w:id="88238196">
                  <w:marLeft w:val="0"/>
                  <w:marRight w:val="0"/>
                  <w:marTop w:val="0"/>
                  <w:marBottom w:val="0"/>
                  <w:divBdr>
                    <w:top w:val="none" w:sz="0" w:space="0" w:color="auto"/>
                    <w:left w:val="none" w:sz="0" w:space="0" w:color="auto"/>
                    <w:bottom w:val="none" w:sz="0" w:space="0" w:color="auto"/>
                    <w:right w:val="none" w:sz="0" w:space="0" w:color="auto"/>
                  </w:divBdr>
                  <w:divsChild>
                    <w:div w:id="1427187738">
                      <w:marLeft w:val="0"/>
                      <w:marRight w:val="0"/>
                      <w:marTop w:val="0"/>
                      <w:marBottom w:val="0"/>
                      <w:divBdr>
                        <w:top w:val="none" w:sz="0" w:space="0" w:color="auto"/>
                        <w:left w:val="none" w:sz="0" w:space="0" w:color="auto"/>
                        <w:bottom w:val="none" w:sz="0" w:space="0" w:color="auto"/>
                        <w:right w:val="none" w:sz="0" w:space="0" w:color="auto"/>
                      </w:divBdr>
                      <w:divsChild>
                        <w:div w:id="2126607924">
                          <w:marLeft w:val="0"/>
                          <w:marRight w:val="0"/>
                          <w:marTop w:val="0"/>
                          <w:marBottom w:val="0"/>
                          <w:divBdr>
                            <w:top w:val="none" w:sz="0" w:space="0" w:color="auto"/>
                            <w:left w:val="none" w:sz="0" w:space="0" w:color="auto"/>
                            <w:bottom w:val="none" w:sz="0" w:space="0" w:color="auto"/>
                            <w:right w:val="none" w:sz="0" w:space="0" w:color="auto"/>
                          </w:divBdr>
                          <w:divsChild>
                            <w:div w:id="1616904365">
                              <w:marLeft w:val="0"/>
                              <w:marRight w:val="0"/>
                              <w:marTop w:val="0"/>
                              <w:marBottom w:val="0"/>
                              <w:divBdr>
                                <w:top w:val="none" w:sz="0" w:space="0" w:color="auto"/>
                                <w:left w:val="none" w:sz="0" w:space="0" w:color="auto"/>
                                <w:bottom w:val="none" w:sz="0" w:space="0" w:color="auto"/>
                                <w:right w:val="none" w:sz="0" w:space="0" w:color="auto"/>
                              </w:divBdr>
                              <w:divsChild>
                                <w:div w:id="516190732">
                                  <w:marLeft w:val="0"/>
                                  <w:marRight w:val="0"/>
                                  <w:marTop w:val="0"/>
                                  <w:marBottom w:val="0"/>
                                  <w:divBdr>
                                    <w:top w:val="none" w:sz="0" w:space="0" w:color="auto"/>
                                    <w:left w:val="none" w:sz="0" w:space="0" w:color="auto"/>
                                    <w:bottom w:val="none" w:sz="0" w:space="0" w:color="auto"/>
                                    <w:right w:val="none" w:sz="0" w:space="0" w:color="auto"/>
                                  </w:divBdr>
                                  <w:divsChild>
                                    <w:div w:id="203799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89399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1960701">
      <w:bodyDiv w:val="1"/>
      <w:marLeft w:val="0"/>
      <w:marRight w:val="0"/>
      <w:marTop w:val="0"/>
      <w:marBottom w:val="0"/>
      <w:divBdr>
        <w:top w:val="none" w:sz="0" w:space="0" w:color="auto"/>
        <w:left w:val="none" w:sz="0" w:space="0" w:color="auto"/>
        <w:bottom w:val="none" w:sz="0" w:space="0" w:color="auto"/>
        <w:right w:val="none" w:sz="0" w:space="0" w:color="auto"/>
      </w:divBdr>
    </w:div>
    <w:div w:id="125200626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1055532">
      <w:bodyDiv w:val="1"/>
      <w:marLeft w:val="0"/>
      <w:marRight w:val="0"/>
      <w:marTop w:val="0"/>
      <w:marBottom w:val="0"/>
      <w:divBdr>
        <w:top w:val="none" w:sz="0" w:space="0" w:color="auto"/>
        <w:left w:val="none" w:sz="0" w:space="0" w:color="auto"/>
        <w:bottom w:val="none" w:sz="0" w:space="0" w:color="auto"/>
        <w:right w:val="none" w:sz="0" w:space="0" w:color="auto"/>
      </w:divBdr>
    </w:div>
    <w:div w:id="1414081077">
      <w:bodyDiv w:val="1"/>
      <w:marLeft w:val="0"/>
      <w:marRight w:val="0"/>
      <w:marTop w:val="0"/>
      <w:marBottom w:val="0"/>
      <w:divBdr>
        <w:top w:val="none" w:sz="0" w:space="0" w:color="auto"/>
        <w:left w:val="none" w:sz="0" w:space="0" w:color="auto"/>
        <w:bottom w:val="none" w:sz="0" w:space="0" w:color="auto"/>
        <w:right w:val="none" w:sz="0" w:space="0" w:color="auto"/>
      </w:divBdr>
    </w:div>
    <w:div w:id="1620992496">
      <w:bodyDiv w:val="1"/>
      <w:marLeft w:val="0"/>
      <w:marRight w:val="0"/>
      <w:marTop w:val="0"/>
      <w:marBottom w:val="0"/>
      <w:divBdr>
        <w:top w:val="none" w:sz="0" w:space="0" w:color="auto"/>
        <w:left w:val="none" w:sz="0" w:space="0" w:color="auto"/>
        <w:bottom w:val="none" w:sz="0" w:space="0" w:color="auto"/>
        <w:right w:val="none" w:sz="0" w:space="0" w:color="auto"/>
      </w:divBdr>
    </w:div>
    <w:div w:id="1667980077">
      <w:bodyDiv w:val="1"/>
      <w:marLeft w:val="0"/>
      <w:marRight w:val="0"/>
      <w:marTop w:val="0"/>
      <w:marBottom w:val="0"/>
      <w:divBdr>
        <w:top w:val="none" w:sz="0" w:space="0" w:color="auto"/>
        <w:left w:val="none" w:sz="0" w:space="0" w:color="auto"/>
        <w:bottom w:val="none" w:sz="0" w:space="0" w:color="auto"/>
        <w:right w:val="none" w:sz="0" w:space="0" w:color="auto"/>
      </w:divBdr>
    </w:div>
    <w:div w:id="1701468496">
      <w:bodyDiv w:val="1"/>
      <w:marLeft w:val="0"/>
      <w:marRight w:val="0"/>
      <w:marTop w:val="0"/>
      <w:marBottom w:val="0"/>
      <w:divBdr>
        <w:top w:val="none" w:sz="0" w:space="0" w:color="auto"/>
        <w:left w:val="none" w:sz="0" w:space="0" w:color="auto"/>
        <w:bottom w:val="none" w:sz="0" w:space="0" w:color="auto"/>
        <w:right w:val="none" w:sz="0" w:space="0" w:color="auto"/>
      </w:divBdr>
    </w:div>
    <w:div w:id="1755012375">
      <w:bodyDiv w:val="1"/>
      <w:marLeft w:val="0"/>
      <w:marRight w:val="0"/>
      <w:marTop w:val="0"/>
      <w:marBottom w:val="0"/>
      <w:divBdr>
        <w:top w:val="none" w:sz="0" w:space="0" w:color="auto"/>
        <w:left w:val="none" w:sz="0" w:space="0" w:color="auto"/>
        <w:bottom w:val="none" w:sz="0" w:space="0" w:color="auto"/>
        <w:right w:val="none" w:sz="0" w:space="0" w:color="auto"/>
      </w:divBdr>
    </w:div>
    <w:div w:id="1796830007">
      <w:bodyDiv w:val="1"/>
      <w:marLeft w:val="0"/>
      <w:marRight w:val="0"/>
      <w:marTop w:val="0"/>
      <w:marBottom w:val="0"/>
      <w:divBdr>
        <w:top w:val="none" w:sz="0" w:space="0" w:color="auto"/>
        <w:left w:val="none" w:sz="0" w:space="0" w:color="auto"/>
        <w:bottom w:val="none" w:sz="0" w:space="0" w:color="auto"/>
        <w:right w:val="none" w:sz="0" w:space="0" w:color="auto"/>
      </w:divBdr>
    </w:div>
    <w:div w:id="2015186082">
      <w:bodyDiv w:val="1"/>
      <w:marLeft w:val="0"/>
      <w:marRight w:val="0"/>
      <w:marTop w:val="0"/>
      <w:marBottom w:val="0"/>
      <w:divBdr>
        <w:top w:val="none" w:sz="0" w:space="0" w:color="auto"/>
        <w:left w:val="none" w:sz="0" w:space="0" w:color="auto"/>
        <w:bottom w:val="none" w:sz="0" w:space="0" w:color="auto"/>
        <w:right w:val="none" w:sz="0" w:space="0" w:color="auto"/>
      </w:divBdr>
      <w:divsChild>
        <w:div w:id="1693144086">
          <w:marLeft w:val="0"/>
          <w:marRight w:val="0"/>
          <w:marTop w:val="0"/>
          <w:marBottom w:val="0"/>
          <w:divBdr>
            <w:top w:val="none" w:sz="0" w:space="0" w:color="auto"/>
            <w:left w:val="none" w:sz="0" w:space="0" w:color="auto"/>
            <w:bottom w:val="none" w:sz="0" w:space="0" w:color="auto"/>
            <w:right w:val="none" w:sz="0" w:space="0" w:color="auto"/>
          </w:divBdr>
          <w:divsChild>
            <w:div w:id="430047331">
              <w:marLeft w:val="0"/>
              <w:marRight w:val="0"/>
              <w:marTop w:val="0"/>
              <w:marBottom w:val="0"/>
              <w:divBdr>
                <w:top w:val="none" w:sz="0" w:space="0" w:color="auto"/>
                <w:left w:val="none" w:sz="0" w:space="0" w:color="auto"/>
                <w:bottom w:val="none" w:sz="0" w:space="0" w:color="auto"/>
                <w:right w:val="none" w:sz="0" w:space="0" w:color="auto"/>
              </w:divBdr>
              <w:divsChild>
                <w:div w:id="683558877">
                  <w:marLeft w:val="0"/>
                  <w:marRight w:val="0"/>
                  <w:marTop w:val="0"/>
                  <w:marBottom w:val="0"/>
                  <w:divBdr>
                    <w:top w:val="none" w:sz="0" w:space="0" w:color="auto"/>
                    <w:left w:val="none" w:sz="0" w:space="0" w:color="auto"/>
                    <w:bottom w:val="none" w:sz="0" w:space="0" w:color="auto"/>
                    <w:right w:val="none" w:sz="0" w:space="0" w:color="auto"/>
                  </w:divBdr>
                  <w:divsChild>
                    <w:div w:id="917910533">
                      <w:marLeft w:val="0"/>
                      <w:marRight w:val="0"/>
                      <w:marTop w:val="0"/>
                      <w:marBottom w:val="0"/>
                      <w:divBdr>
                        <w:top w:val="none" w:sz="0" w:space="0" w:color="auto"/>
                        <w:left w:val="none" w:sz="0" w:space="0" w:color="auto"/>
                        <w:bottom w:val="none" w:sz="0" w:space="0" w:color="auto"/>
                        <w:right w:val="none" w:sz="0" w:space="0" w:color="auto"/>
                      </w:divBdr>
                      <w:divsChild>
                        <w:div w:id="1778593813">
                          <w:marLeft w:val="0"/>
                          <w:marRight w:val="0"/>
                          <w:marTop w:val="0"/>
                          <w:marBottom w:val="0"/>
                          <w:divBdr>
                            <w:top w:val="none" w:sz="0" w:space="0" w:color="auto"/>
                            <w:left w:val="none" w:sz="0" w:space="0" w:color="auto"/>
                            <w:bottom w:val="none" w:sz="0" w:space="0" w:color="auto"/>
                            <w:right w:val="none" w:sz="0" w:space="0" w:color="auto"/>
                          </w:divBdr>
                          <w:divsChild>
                            <w:div w:id="1669559003">
                              <w:marLeft w:val="0"/>
                              <w:marRight w:val="0"/>
                              <w:marTop w:val="0"/>
                              <w:marBottom w:val="0"/>
                              <w:divBdr>
                                <w:top w:val="none" w:sz="0" w:space="0" w:color="auto"/>
                                <w:left w:val="none" w:sz="0" w:space="0" w:color="auto"/>
                                <w:bottom w:val="none" w:sz="0" w:space="0" w:color="auto"/>
                                <w:right w:val="none" w:sz="0" w:space="0" w:color="auto"/>
                              </w:divBdr>
                              <w:divsChild>
                                <w:div w:id="107743829">
                                  <w:marLeft w:val="0"/>
                                  <w:marRight w:val="0"/>
                                  <w:marTop w:val="0"/>
                                  <w:marBottom w:val="0"/>
                                  <w:divBdr>
                                    <w:top w:val="none" w:sz="0" w:space="0" w:color="auto"/>
                                    <w:left w:val="none" w:sz="0" w:space="0" w:color="auto"/>
                                    <w:bottom w:val="none" w:sz="0" w:space="0" w:color="auto"/>
                                    <w:right w:val="none" w:sz="0" w:space="0" w:color="auto"/>
                                  </w:divBdr>
                                  <w:divsChild>
                                    <w:div w:id="1925797067">
                                      <w:marLeft w:val="0"/>
                                      <w:marRight w:val="0"/>
                                      <w:marTop w:val="0"/>
                                      <w:marBottom w:val="0"/>
                                      <w:divBdr>
                                        <w:top w:val="none" w:sz="0" w:space="0" w:color="auto"/>
                                        <w:left w:val="none" w:sz="0" w:space="0" w:color="auto"/>
                                        <w:bottom w:val="none" w:sz="0" w:space="0" w:color="auto"/>
                                        <w:right w:val="none" w:sz="0" w:space="0" w:color="auto"/>
                                      </w:divBdr>
                                      <w:divsChild>
                                        <w:div w:id="64103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C8FDF-BB94-4FDF-AFB6-CBE72D22B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CDB8A3B-31BC-41B2-A240-320703FDCCF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26</TotalTime>
  <Pages>48</Pages>
  <Words>16615</Words>
  <Characters>91387</Characters>
  <Application>Microsoft Office Word</Application>
  <DocSecurity>0</DocSecurity>
  <Lines>761</Lines>
  <Paragraphs>215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2026-05-19T01:15:00Z</dcterms:created>
  <dcterms:modified xsi:type="dcterms:W3CDTF">2026-05-21T23:45:00Z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