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A0CC0C" w14:textId="17B12F59" w:rsidR="00117E26" w:rsidRPr="00B401B6" w:rsidRDefault="00117E26" w:rsidP="00B401B6">
      <w:pPr>
        <w:tabs>
          <w:tab w:val="left" w:pos="4820"/>
        </w:tabs>
        <w:jc w:val="both"/>
        <w:rPr>
          <w:rFonts w:ascii="Verdana" w:eastAsia="Calibri" w:hAnsi="Verdana" w:cs="Arial"/>
          <w:b/>
          <w:lang w:val="es-ES"/>
        </w:rPr>
      </w:pPr>
      <w:bookmarkStart w:id="0" w:name="_Hlk186494164"/>
      <w:r w:rsidRPr="00B401B6">
        <w:rPr>
          <w:rFonts w:ascii="Verdana" w:eastAsia="Calibri" w:hAnsi="Verdana" w:cs="Arial"/>
          <w:b/>
          <w:lang w:val="es-ES"/>
        </w:rPr>
        <w:t>GARANTÍA DE SERIEDAD – Finalidad</w:t>
      </w:r>
    </w:p>
    <w:p w14:paraId="0E2378FF" w14:textId="182E7B68" w:rsidR="00117E26" w:rsidRPr="00B401B6" w:rsidRDefault="00117E26" w:rsidP="00B401B6">
      <w:pPr>
        <w:jc w:val="both"/>
        <w:rPr>
          <w:rFonts w:ascii="Verdana" w:eastAsia="Calibri" w:hAnsi="Verdana" w:cs="Arial"/>
          <w:sz w:val="20"/>
          <w:lang w:val="es-ES"/>
        </w:rPr>
      </w:pPr>
      <w:r w:rsidRPr="00B401B6">
        <w:rPr>
          <w:rFonts w:ascii="Verdana" w:eastAsia="Calibri" w:hAnsi="Verdana" w:cs="Arial"/>
          <w:sz w:val="20"/>
          <w:lang w:val="es-ES"/>
        </w:rPr>
        <w:t>Esta garantía respalda al principio de irrevocabilidad de la oferta, caso en el cual los proponentes que pierdan interés en la adjudicación resarcirán los perjuicios causados por su retiro del proceso de selección. Naturalmente, esta garantía solo la constituyen quienes presenten oferta, motivo por el cual sus efectos no se extienden a personas ajenas a la actividad precontractual; sin perjuicio de que la póliza sea un mecanismo conminatorio, en la medida en que obliga a celebrar el contrato, so pena de hacerla efectiva. De esta manera, la exigencia permite que solo se presenten personas con la capacidad técnica y financiera suficiente para ejecutarlo en caso de adjudicación, desestimulando la presentación de ofertas que no son serias, cuya evaluación entorpece la buena marcha de la Administración, y en especial la celeridad y eficiencia de los procedimientos contractuales.</w:t>
      </w:r>
    </w:p>
    <w:p w14:paraId="01E58D5B" w14:textId="0C11E259" w:rsidR="00117E26" w:rsidRPr="00B401B6" w:rsidRDefault="00117E26" w:rsidP="00117E26">
      <w:pPr>
        <w:tabs>
          <w:tab w:val="left" w:pos="4820"/>
        </w:tabs>
        <w:jc w:val="both"/>
        <w:rPr>
          <w:rFonts w:ascii="Verdana" w:eastAsia="Calibri" w:hAnsi="Verdana" w:cs="Arial"/>
          <w:b/>
          <w:lang w:val="es-ES"/>
        </w:rPr>
      </w:pPr>
      <w:r w:rsidRPr="00B401B6">
        <w:rPr>
          <w:rFonts w:ascii="Verdana" w:eastAsia="Calibri" w:hAnsi="Verdana" w:cs="Arial"/>
          <w:b/>
          <w:lang w:val="es-ES"/>
        </w:rPr>
        <w:t>SERIEDAD DE LA OFERTA – Vigencia – Carácter estimativo – Ampliación</w:t>
      </w:r>
    </w:p>
    <w:p w14:paraId="7FBE84B7" w14:textId="3F308034" w:rsidR="009209A1" w:rsidRPr="00307F40" w:rsidRDefault="009209A1" w:rsidP="00307F40">
      <w:pPr>
        <w:spacing w:after="0" w:line="240" w:lineRule="auto"/>
        <w:jc w:val="both"/>
        <w:rPr>
          <w:rFonts w:ascii="Verdana" w:eastAsia="Calibri" w:hAnsi="Verdana" w:cs="Arial"/>
          <w:sz w:val="20"/>
          <w:szCs w:val="20"/>
          <w:lang w:val="es-ES"/>
        </w:rPr>
      </w:pPr>
      <w:r w:rsidRPr="00307F40">
        <w:rPr>
          <w:rFonts w:ascii="Verdana" w:eastAsia="Calibri" w:hAnsi="Verdana" w:cs="Arial"/>
          <w:sz w:val="20"/>
          <w:szCs w:val="20"/>
          <w:lang w:val="es-ES"/>
        </w:rPr>
        <w:t>Respecto al tiempo, la norma dispone que debe estar vigente entre “la fecha de presentación de la propuesta” y hasta “la fecha de aprobación de la garantía única de cumplimiento”. Allí se indica la fecha de inicio –</w:t>
      </w:r>
      <w:proofErr w:type="spellStart"/>
      <w:r w:rsidRPr="00307F40">
        <w:rPr>
          <w:rFonts w:ascii="Verdana" w:eastAsia="Calibri" w:hAnsi="Verdana" w:cs="Arial"/>
          <w:i/>
          <w:iCs/>
          <w:sz w:val="20"/>
          <w:szCs w:val="20"/>
          <w:lang w:val="es-ES"/>
        </w:rPr>
        <w:t>dies</w:t>
      </w:r>
      <w:proofErr w:type="spellEnd"/>
      <w:r w:rsidRPr="00307F40">
        <w:rPr>
          <w:rFonts w:ascii="Verdana" w:eastAsia="Calibri" w:hAnsi="Verdana" w:cs="Arial"/>
          <w:i/>
          <w:iCs/>
          <w:sz w:val="20"/>
          <w:szCs w:val="20"/>
          <w:lang w:val="es-ES"/>
        </w:rPr>
        <w:t xml:space="preserve"> a quo</w:t>
      </w:r>
      <w:r w:rsidRPr="00307F40">
        <w:rPr>
          <w:rFonts w:ascii="Verdana" w:eastAsia="Calibri" w:hAnsi="Verdana" w:cs="Arial"/>
          <w:sz w:val="20"/>
          <w:szCs w:val="20"/>
          <w:lang w:val="es-ES"/>
        </w:rPr>
        <w:t>–, pero la fecha final –</w:t>
      </w:r>
      <w:proofErr w:type="spellStart"/>
      <w:r w:rsidRPr="00307F40">
        <w:rPr>
          <w:rFonts w:ascii="Verdana" w:eastAsia="Calibri" w:hAnsi="Verdana" w:cs="Arial"/>
          <w:i/>
          <w:iCs/>
          <w:sz w:val="20"/>
          <w:szCs w:val="20"/>
          <w:lang w:val="es-ES"/>
        </w:rPr>
        <w:t>dies</w:t>
      </w:r>
      <w:proofErr w:type="spellEnd"/>
      <w:r w:rsidRPr="00307F40">
        <w:rPr>
          <w:rFonts w:ascii="Verdana" w:eastAsia="Calibri" w:hAnsi="Verdana" w:cs="Arial"/>
          <w:i/>
          <w:iCs/>
          <w:sz w:val="20"/>
          <w:szCs w:val="20"/>
          <w:lang w:val="es-ES"/>
        </w:rPr>
        <w:t xml:space="preserve"> ad </w:t>
      </w:r>
      <w:proofErr w:type="spellStart"/>
      <w:r w:rsidRPr="00307F40">
        <w:rPr>
          <w:rFonts w:ascii="Verdana" w:eastAsia="Calibri" w:hAnsi="Verdana" w:cs="Arial"/>
          <w:i/>
          <w:iCs/>
          <w:sz w:val="20"/>
          <w:szCs w:val="20"/>
          <w:lang w:val="es-ES"/>
        </w:rPr>
        <w:t>quem</w:t>
      </w:r>
      <w:proofErr w:type="spellEnd"/>
      <w:r w:rsidRPr="00307F40">
        <w:rPr>
          <w:rFonts w:ascii="Verdana" w:eastAsia="Calibri" w:hAnsi="Verdana" w:cs="Arial"/>
          <w:sz w:val="20"/>
          <w:szCs w:val="20"/>
          <w:lang w:val="es-ES"/>
        </w:rPr>
        <w:t xml:space="preserve">– se somete a una estimación razonable sobre el tiempo que toma adelantar el procedimiento de selección y la posterior legalización del contrato, especialmente cuando la aprobación de la garantía es uno de los requisitos de ejecución. </w:t>
      </w:r>
    </w:p>
    <w:p w14:paraId="3DEDAC88" w14:textId="77777777" w:rsidR="009209A1" w:rsidRPr="00307F40" w:rsidRDefault="009209A1" w:rsidP="00307F40">
      <w:pPr>
        <w:spacing w:after="0" w:line="240" w:lineRule="auto"/>
        <w:jc w:val="both"/>
        <w:rPr>
          <w:rFonts w:ascii="Verdana" w:eastAsia="Calibri" w:hAnsi="Verdana" w:cs="Arial"/>
          <w:sz w:val="20"/>
          <w:szCs w:val="20"/>
          <w:lang w:val="es-ES"/>
        </w:rPr>
      </w:pPr>
    </w:p>
    <w:p w14:paraId="4AF66F85" w14:textId="77777777" w:rsidR="009209A1" w:rsidRPr="00307F40" w:rsidRDefault="009209A1" w:rsidP="00307F40">
      <w:pPr>
        <w:spacing w:after="0" w:line="240" w:lineRule="auto"/>
        <w:jc w:val="both"/>
        <w:rPr>
          <w:rFonts w:ascii="Verdana" w:eastAsia="Calibri" w:hAnsi="Verdana" w:cs="Arial"/>
          <w:sz w:val="20"/>
          <w:szCs w:val="20"/>
          <w:lang w:val="es-ES"/>
        </w:rPr>
      </w:pPr>
      <w:r w:rsidRPr="00307F40">
        <w:rPr>
          <w:rFonts w:ascii="Verdana" w:eastAsia="Calibri" w:hAnsi="Verdana" w:cs="Arial"/>
          <w:sz w:val="20"/>
          <w:szCs w:val="20"/>
          <w:lang w:val="es-ES"/>
        </w:rPr>
        <w:t xml:space="preserve">Naturalmente, como el cronograma del procedimiento de contratación puede ampliarse, por sucesos inesperados, o por otras razones, el plazo que debe cubrir la garantía de seriedad se determina a partir de un </w:t>
      </w:r>
      <w:r w:rsidRPr="00307F40">
        <w:rPr>
          <w:rFonts w:ascii="Verdana" w:eastAsia="Calibri" w:hAnsi="Verdana" w:cs="Arial"/>
          <w:i/>
          <w:iCs/>
          <w:sz w:val="20"/>
          <w:szCs w:val="20"/>
          <w:lang w:val="es-ES"/>
        </w:rPr>
        <w:t>período de incertidumbre,</w:t>
      </w:r>
      <w:r w:rsidRPr="00307F40">
        <w:rPr>
          <w:rFonts w:ascii="Verdana" w:eastAsia="Calibri" w:hAnsi="Verdana" w:cs="Arial"/>
          <w:sz w:val="20"/>
          <w:szCs w:val="20"/>
          <w:lang w:val="es-ES"/>
        </w:rPr>
        <w:t xml:space="preserve"> bajo el cual las entidades disponen que la seriedad del ofrecimiento tenga una vigencia superior a la duración del procedimiento de selección, incluyendo tanto el plazo de suscripción del contrato como el de aprobación de la garantía única.</w:t>
      </w:r>
    </w:p>
    <w:p w14:paraId="5E6C90CE" w14:textId="77777777" w:rsidR="00117E26" w:rsidRPr="00307F40" w:rsidRDefault="00117E26" w:rsidP="00307F40">
      <w:pPr>
        <w:spacing w:after="0" w:line="240" w:lineRule="auto"/>
        <w:jc w:val="both"/>
        <w:rPr>
          <w:rFonts w:ascii="Verdana" w:eastAsia="Calibri" w:hAnsi="Verdana" w:cs="Arial"/>
          <w:sz w:val="20"/>
          <w:szCs w:val="20"/>
          <w:lang w:val="es-ES"/>
        </w:rPr>
      </w:pPr>
    </w:p>
    <w:p w14:paraId="4C3D951C" w14:textId="718E395F" w:rsidR="00307F40" w:rsidRDefault="00307F40" w:rsidP="00307F40">
      <w:pPr>
        <w:spacing w:after="0" w:line="240" w:lineRule="auto"/>
        <w:jc w:val="both"/>
        <w:rPr>
          <w:rFonts w:ascii="Verdana" w:eastAsia="Calibri" w:hAnsi="Verdana" w:cs="Arial"/>
          <w:sz w:val="20"/>
          <w:szCs w:val="20"/>
          <w:lang w:val="es-ES"/>
        </w:rPr>
      </w:pPr>
      <w:r w:rsidRPr="00307F40">
        <w:rPr>
          <w:rFonts w:ascii="Verdana" w:eastAsia="Calibri" w:hAnsi="Verdana" w:cs="Arial"/>
          <w:sz w:val="20"/>
          <w:szCs w:val="20"/>
          <w:lang w:val="es-ES"/>
        </w:rPr>
        <w:t>[…]</w:t>
      </w:r>
    </w:p>
    <w:p w14:paraId="65605FB7" w14:textId="77777777" w:rsidR="00307F40" w:rsidRPr="00307F40" w:rsidRDefault="00307F40" w:rsidP="00307F40">
      <w:pPr>
        <w:spacing w:after="0" w:line="240" w:lineRule="auto"/>
        <w:jc w:val="both"/>
        <w:rPr>
          <w:rFonts w:ascii="Verdana" w:eastAsia="Calibri" w:hAnsi="Verdana" w:cs="Arial"/>
          <w:sz w:val="20"/>
          <w:szCs w:val="20"/>
          <w:lang w:val="es-ES"/>
        </w:rPr>
      </w:pPr>
    </w:p>
    <w:p w14:paraId="7ECA060F" w14:textId="77777777" w:rsidR="00307F40" w:rsidRPr="00307F40" w:rsidRDefault="00307F40" w:rsidP="00307F40">
      <w:pPr>
        <w:spacing w:after="0" w:line="240" w:lineRule="auto"/>
        <w:jc w:val="both"/>
        <w:rPr>
          <w:rFonts w:ascii="Verdana" w:eastAsia="Calibri" w:hAnsi="Verdana" w:cs="Arial"/>
          <w:sz w:val="20"/>
          <w:szCs w:val="20"/>
          <w:lang w:val="es-ES"/>
        </w:rPr>
      </w:pPr>
      <w:r w:rsidRPr="00307F40">
        <w:rPr>
          <w:rFonts w:ascii="Verdana" w:eastAsia="Calibri" w:hAnsi="Verdana" w:cs="Arial"/>
          <w:sz w:val="20"/>
          <w:szCs w:val="20"/>
          <w:lang w:val="es-ES"/>
        </w:rPr>
        <w:t>En este contexto, cuando se presentan modificaciones al cronograma del proceso de selección que impliquen un cambio en la fecha de adjudicación, y que, en consecuencia, puedan afectar la vigencia de la garantía de seriedad de la oferta, resulta necesario ajustar dicha garantía con el objetivo de garantizar que se cumpla con el término establecido en el artículo 2.2.1.2.3.1.9 del Decreto 1082 de 2015, y que permanezca vigente hasta que se apruebe la garantía de cumplimiento del contrato. Lo anterior cobra especial relevancia cuando, por ejemplo, se han realizado aplazamientos de la audiencia de adjudicación y se advierte que la garantía inicialmente presentada no cubre la nueva fecha fijada para dicha audiencia. En estos casos, la entidad contratante debe requerir al proponente la ampliación, con el fin de asegurar que toda la etapa precontractual —hasta la adjudicación y suscripción del contrato— esté cubierta.</w:t>
      </w:r>
    </w:p>
    <w:p w14:paraId="7BAF7F25" w14:textId="77777777" w:rsidR="009030FF" w:rsidRPr="00B401B6" w:rsidRDefault="009030FF" w:rsidP="009030FF">
      <w:pPr>
        <w:spacing w:after="0" w:line="240" w:lineRule="auto"/>
        <w:rPr>
          <w:rFonts w:ascii="Verdana" w:eastAsia="Aptos" w:hAnsi="Verdana" w:cs="Times New Roman"/>
          <w:sz w:val="20"/>
          <w:szCs w:val="20"/>
        </w:rPr>
      </w:pPr>
    </w:p>
    <w:p w14:paraId="434B7F6D" w14:textId="77777777" w:rsidR="00FD2282" w:rsidRDefault="00FD2282" w:rsidP="00AD4F6A">
      <w:pPr>
        <w:spacing w:after="0" w:line="240" w:lineRule="auto"/>
        <w:rPr>
          <w:rFonts w:ascii="Verdana" w:eastAsia="Geomanist Light" w:hAnsi="Verdana" w:cs="Arial"/>
          <w:color w:val="000000" w:themeColor="text1"/>
        </w:rPr>
      </w:pPr>
    </w:p>
    <w:p w14:paraId="67F5E400" w14:textId="5948CCA3" w:rsidR="00647CE0" w:rsidRPr="008E0161" w:rsidRDefault="00647CE0" w:rsidP="00647CE0">
      <w:pPr>
        <w:spacing w:after="0" w:line="240" w:lineRule="auto"/>
        <w:rPr>
          <w:rFonts w:ascii="Verdana" w:eastAsia="Geomanist Light" w:hAnsi="Verdana" w:cs="Arial"/>
          <w:color w:val="201F1E"/>
        </w:rPr>
      </w:pPr>
      <w:r w:rsidRPr="008E0161">
        <w:rPr>
          <w:rFonts w:ascii="Verdana" w:eastAsia="Geomanist Light" w:hAnsi="Verdana" w:cs="Arial"/>
          <w:color w:val="000000" w:themeColor="text1"/>
        </w:rPr>
        <w:lastRenderedPageBreak/>
        <w:t>Bogotá D.C., </w:t>
      </w:r>
      <w:r w:rsidR="00B94EEC">
        <w:rPr>
          <w:rFonts w:ascii="Verdana" w:eastAsia="Geomanist Light" w:hAnsi="Verdana" w:cs="Arial"/>
          <w:color w:val="201F1E"/>
        </w:rPr>
        <w:t>24 de junio de 2025</w:t>
      </w:r>
    </w:p>
    <w:p w14:paraId="5F38D4CD" w14:textId="73FD8A97" w:rsidR="00647CE0" w:rsidRDefault="00647CE0" w:rsidP="00647CE0">
      <w:pPr>
        <w:spacing w:after="0" w:line="240" w:lineRule="auto"/>
        <w:jc w:val="both"/>
        <w:rPr>
          <w:rFonts w:ascii="Verdana" w:eastAsia="Calibri" w:hAnsi="Verdana" w:cs="Arial"/>
          <w:color w:val="000000"/>
        </w:rPr>
      </w:pPr>
    </w:p>
    <w:p w14:paraId="0EF8C9F7" w14:textId="60BABFE9" w:rsidR="00B94EEC" w:rsidRPr="008E0161" w:rsidRDefault="00F40D43" w:rsidP="00B94EEC">
      <w:pPr>
        <w:spacing w:after="0" w:line="240" w:lineRule="auto"/>
        <w:jc w:val="right"/>
        <w:rPr>
          <w:rFonts w:ascii="Verdana" w:eastAsia="Calibri" w:hAnsi="Verdana" w:cs="Arial"/>
          <w:color w:val="000000"/>
        </w:rPr>
      </w:pPr>
      <w:r w:rsidRPr="00B94EEC">
        <w:rPr>
          <w:rFonts w:ascii="Verdana" w:eastAsia="Calibri" w:hAnsi="Verdana" w:cs="Arial"/>
          <w:noProof/>
          <w:color w:val="000000"/>
        </w:rPr>
        <w:drawing>
          <wp:anchor distT="0" distB="0" distL="114300" distR="114300" simplePos="0" relativeHeight="251659264" behindDoc="0" locked="0" layoutInCell="1" allowOverlap="1" wp14:anchorId="6F4F3108" wp14:editId="77612DA0">
            <wp:simplePos x="0" y="0"/>
            <wp:positionH relativeFrom="margin">
              <wp:align>right</wp:align>
            </wp:positionH>
            <wp:positionV relativeFrom="paragraph">
              <wp:posOffset>91440</wp:posOffset>
            </wp:positionV>
            <wp:extent cx="3060700" cy="993775"/>
            <wp:effectExtent l="0" t="0" r="6350" b="0"/>
            <wp:wrapSquare wrapText="bothSides"/>
            <wp:docPr id="29050093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60700" cy="9937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2489F88" w14:textId="77777777" w:rsidR="00647CE0" w:rsidRPr="008E0161" w:rsidRDefault="00647CE0" w:rsidP="00647CE0">
      <w:pPr>
        <w:spacing w:after="0" w:line="240" w:lineRule="auto"/>
        <w:jc w:val="both"/>
        <w:rPr>
          <w:rFonts w:ascii="Verdana" w:eastAsia="Calibri" w:hAnsi="Verdana" w:cs="Arial"/>
          <w:color w:val="000000"/>
        </w:rPr>
      </w:pPr>
    </w:p>
    <w:p w14:paraId="571CDCD4" w14:textId="77777777" w:rsidR="00647CE0" w:rsidRPr="008E0161" w:rsidRDefault="00647CE0" w:rsidP="00647CE0">
      <w:pPr>
        <w:spacing w:after="0" w:line="240" w:lineRule="auto"/>
        <w:jc w:val="both"/>
        <w:rPr>
          <w:rFonts w:ascii="Verdana" w:eastAsia="Calibri" w:hAnsi="Verdana" w:cs="Arial"/>
          <w:lang w:eastAsia="es-ES"/>
        </w:rPr>
      </w:pPr>
      <w:r w:rsidRPr="008E0161">
        <w:rPr>
          <w:rFonts w:ascii="Verdana" w:eastAsia="Calibri" w:hAnsi="Verdana" w:cs="Arial"/>
          <w:lang w:eastAsia="es-ES"/>
        </w:rPr>
        <w:t>Señor</w:t>
      </w:r>
    </w:p>
    <w:p w14:paraId="0950823E" w14:textId="77777777" w:rsidR="00647CE0" w:rsidRPr="008E0161" w:rsidRDefault="00647CE0" w:rsidP="00647CE0">
      <w:pPr>
        <w:spacing w:after="0" w:line="240" w:lineRule="auto"/>
        <w:jc w:val="both"/>
        <w:rPr>
          <w:rFonts w:ascii="Verdana" w:eastAsia="Calibri" w:hAnsi="Verdana" w:cs="Arial"/>
          <w:b/>
          <w:bCs/>
          <w:lang w:eastAsia="es-ES"/>
        </w:rPr>
      </w:pPr>
      <w:proofErr w:type="spellStart"/>
      <w:r w:rsidRPr="008E0161">
        <w:rPr>
          <w:rFonts w:ascii="Verdana" w:eastAsia="Calibri" w:hAnsi="Verdana" w:cs="Arial"/>
          <w:b/>
          <w:bCs/>
          <w:lang w:eastAsia="es-ES"/>
        </w:rPr>
        <w:t>Jhon</w:t>
      </w:r>
      <w:proofErr w:type="spellEnd"/>
      <w:r w:rsidRPr="008E0161">
        <w:rPr>
          <w:rFonts w:ascii="Verdana" w:eastAsia="Calibri" w:hAnsi="Verdana" w:cs="Arial"/>
          <w:b/>
          <w:bCs/>
          <w:lang w:eastAsia="es-ES"/>
        </w:rPr>
        <w:t xml:space="preserve"> Alcides Gaviria Chaves </w:t>
      </w:r>
    </w:p>
    <w:p w14:paraId="70A1341A" w14:textId="77777777" w:rsidR="00647CE0" w:rsidRPr="008E0161" w:rsidRDefault="00647CE0" w:rsidP="00647CE0">
      <w:pPr>
        <w:spacing w:after="0" w:line="240" w:lineRule="auto"/>
        <w:rPr>
          <w:rFonts w:ascii="Verdana" w:hAnsi="Verdana"/>
        </w:rPr>
      </w:pPr>
      <w:hyperlink r:id="rId12" w:history="1">
        <w:r w:rsidRPr="008E0161">
          <w:rPr>
            <w:rFonts w:ascii="Verdana" w:hAnsi="Verdana"/>
            <w:color w:val="0563C1" w:themeColor="hyperlink"/>
            <w:u w:val="single"/>
          </w:rPr>
          <w:t>johngaviria66@hotmail.com</w:t>
        </w:r>
      </w:hyperlink>
      <w:r w:rsidRPr="008E0161">
        <w:rPr>
          <w:rFonts w:ascii="Verdana" w:hAnsi="Verdana"/>
        </w:rPr>
        <w:t xml:space="preserve"> </w:t>
      </w:r>
    </w:p>
    <w:p w14:paraId="7358B065" w14:textId="77777777" w:rsidR="00647CE0" w:rsidRPr="008E0161" w:rsidRDefault="00647CE0" w:rsidP="00647CE0">
      <w:pPr>
        <w:spacing w:after="0" w:line="240" w:lineRule="auto"/>
        <w:rPr>
          <w:rFonts w:ascii="Verdana" w:hAnsi="Verdana"/>
        </w:rPr>
      </w:pPr>
      <w:r w:rsidRPr="008E0161">
        <w:rPr>
          <w:rFonts w:ascii="Verdana" w:hAnsi="Verdana"/>
        </w:rPr>
        <w:t xml:space="preserve">San Andrés de Tumaco, Nariño </w:t>
      </w:r>
    </w:p>
    <w:p w14:paraId="2C7402B6" w14:textId="77777777" w:rsidR="00647CE0" w:rsidRPr="008E0161" w:rsidRDefault="00647CE0" w:rsidP="00647CE0">
      <w:pPr>
        <w:spacing w:after="0" w:line="240" w:lineRule="auto"/>
        <w:rPr>
          <w:rFonts w:ascii="Verdana" w:eastAsia="Calibri" w:hAnsi="Verdana" w:cs="Arial"/>
          <w:lang w:eastAsia="es-ES"/>
        </w:rPr>
      </w:pPr>
    </w:p>
    <w:p w14:paraId="7998C8DF" w14:textId="77777777" w:rsidR="00647CE0" w:rsidRPr="008E0161" w:rsidRDefault="00647CE0" w:rsidP="00647CE0">
      <w:pPr>
        <w:spacing w:after="0" w:line="240" w:lineRule="auto"/>
        <w:rPr>
          <w:rFonts w:ascii="Verdana" w:eastAsia="Calibri" w:hAnsi="Verdana" w:cs="Arial"/>
          <w:b/>
          <w:bCs/>
          <w:color w:val="000000"/>
          <w:lang w:eastAsia="es-ES_tradnl"/>
        </w:rPr>
      </w:pPr>
    </w:p>
    <w:p w14:paraId="755EFB29" w14:textId="77777777" w:rsidR="00647CE0" w:rsidRPr="008E0161" w:rsidRDefault="00647CE0" w:rsidP="00647CE0">
      <w:pPr>
        <w:spacing w:after="0" w:line="240" w:lineRule="auto"/>
        <w:jc w:val="center"/>
        <w:rPr>
          <w:rFonts w:ascii="Verdana" w:eastAsia="Calibri" w:hAnsi="Verdana" w:cs="Arial"/>
          <w:b/>
          <w:bCs/>
          <w:lang w:eastAsia="es-ES"/>
        </w:rPr>
      </w:pPr>
      <w:r w:rsidRPr="008E0161">
        <w:rPr>
          <w:rFonts w:ascii="Verdana" w:eastAsia="Calibri" w:hAnsi="Verdana" w:cs="Arial"/>
          <w:b/>
          <w:bCs/>
          <w:lang w:eastAsia="es-ES"/>
        </w:rPr>
        <w:t>Concepto C – 608 de 2025</w:t>
      </w:r>
    </w:p>
    <w:p w14:paraId="57D64051" w14:textId="77777777" w:rsidR="00647CE0" w:rsidRPr="008E0161" w:rsidRDefault="00647CE0" w:rsidP="00647CE0">
      <w:pPr>
        <w:spacing w:after="0" w:line="240" w:lineRule="auto"/>
        <w:rPr>
          <w:rFonts w:ascii="Verdana" w:eastAsia="Calibri" w:hAnsi="Verdana" w:cs="Arial"/>
          <w:b/>
          <w:bCs/>
          <w:color w:val="000000"/>
          <w:lang w:eastAsia="es-ES_tradnl"/>
        </w:rPr>
      </w:pPr>
    </w:p>
    <w:tbl>
      <w:tblPr>
        <w:tblStyle w:val="Tablaconcuadrcula"/>
        <w:tblW w:w="878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647CE0" w:rsidRPr="008E0161" w14:paraId="27333CE6" w14:textId="77777777" w:rsidTr="00440F7E">
        <w:trPr>
          <w:trHeight w:val="884"/>
        </w:trPr>
        <w:tc>
          <w:tcPr>
            <w:tcW w:w="2689" w:type="dxa"/>
          </w:tcPr>
          <w:p w14:paraId="516E36F8" w14:textId="77777777" w:rsidR="00647CE0" w:rsidRPr="008E0161" w:rsidRDefault="00647CE0" w:rsidP="00440F7E">
            <w:pPr>
              <w:jc w:val="both"/>
              <w:rPr>
                <w:rFonts w:ascii="Verdana" w:eastAsia="Calibri" w:hAnsi="Verdana" w:cs="Arial"/>
                <w:color w:val="000000"/>
                <w:lang w:eastAsia="es-ES_tradnl"/>
              </w:rPr>
            </w:pPr>
            <w:r w:rsidRPr="008E0161">
              <w:rPr>
                <w:rFonts w:ascii="Verdana" w:eastAsia="Calibri" w:hAnsi="Verdana" w:cs="Arial"/>
                <w:b/>
                <w:color w:val="000000"/>
                <w:lang w:eastAsia="es-ES_tradnl"/>
              </w:rPr>
              <w:t>Temas:</w:t>
            </w:r>
            <w:r w:rsidRPr="008E0161">
              <w:rPr>
                <w:rFonts w:ascii="Verdana" w:eastAsia="Calibri" w:hAnsi="Verdana" w:cs="Arial"/>
                <w:color w:val="000000"/>
                <w:lang w:eastAsia="es-ES_tradnl"/>
              </w:rPr>
              <w:t xml:space="preserve">                   </w:t>
            </w:r>
          </w:p>
        </w:tc>
        <w:tc>
          <w:tcPr>
            <w:tcW w:w="6100" w:type="dxa"/>
          </w:tcPr>
          <w:p w14:paraId="0C3FB63E" w14:textId="77777777" w:rsidR="00647CE0" w:rsidRPr="008E0161" w:rsidRDefault="00647CE0" w:rsidP="00440F7E">
            <w:pPr>
              <w:jc w:val="both"/>
              <w:rPr>
                <w:rFonts w:ascii="Verdana" w:eastAsia="Calibri" w:hAnsi="Verdana" w:cs="Arial"/>
                <w:bCs/>
                <w:lang w:val="es-ES"/>
              </w:rPr>
            </w:pPr>
            <w:r w:rsidRPr="008E0161">
              <w:rPr>
                <w:rFonts w:ascii="Verdana" w:eastAsia="Calibri" w:hAnsi="Verdana" w:cs="Arial"/>
                <w:bCs/>
                <w:lang w:val="es-ES"/>
              </w:rPr>
              <w:t xml:space="preserve">GARANTÍA DE SERIEDAD – Finalidad / SERIEDAD DE LA OFERTA – Vigencia – Carácter estimativo – Ampliación </w:t>
            </w:r>
          </w:p>
          <w:p w14:paraId="033F1C74" w14:textId="77777777" w:rsidR="00647CE0" w:rsidRPr="008E0161" w:rsidRDefault="00647CE0" w:rsidP="00440F7E">
            <w:pPr>
              <w:spacing w:line="276" w:lineRule="auto"/>
              <w:contextualSpacing/>
              <w:jc w:val="both"/>
              <w:rPr>
                <w:rFonts w:ascii="Verdana" w:eastAsia="Calibri" w:hAnsi="Verdana" w:cs="Arial"/>
                <w:lang w:eastAsia="es-ES"/>
              </w:rPr>
            </w:pPr>
          </w:p>
        </w:tc>
      </w:tr>
      <w:tr w:rsidR="00647CE0" w:rsidRPr="008E0161" w14:paraId="5655AF48" w14:textId="77777777" w:rsidTr="00440F7E">
        <w:tc>
          <w:tcPr>
            <w:tcW w:w="2689" w:type="dxa"/>
          </w:tcPr>
          <w:p w14:paraId="73B40438" w14:textId="77777777" w:rsidR="00647CE0" w:rsidRPr="008E0161" w:rsidRDefault="00647CE0" w:rsidP="00440F7E">
            <w:pPr>
              <w:jc w:val="both"/>
              <w:rPr>
                <w:rFonts w:ascii="Verdana" w:eastAsia="Calibri" w:hAnsi="Verdana" w:cs="Arial"/>
                <w:b/>
                <w:lang w:eastAsia="es-ES_tradnl"/>
              </w:rPr>
            </w:pPr>
            <w:r w:rsidRPr="008E0161">
              <w:rPr>
                <w:rFonts w:ascii="Verdana" w:eastAsia="Calibri" w:hAnsi="Verdana" w:cs="Arial"/>
                <w:b/>
                <w:lang w:eastAsia="es-ES_tradnl"/>
              </w:rPr>
              <w:t>Radicación:</w:t>
            </w:r>
            <w:r w:rsidRPr="008E0161">
              <w:rPr>
                <w:rFonts w:ascii="Verdana" w:eastAsia="Calibri" w:hAnsi="Verdana" w:cs="Arial"/>
                <w:lang w:eastAsia="es-ES_tradnl"/>
              </w:rPr>
              <w:t xml:space="preserve">               </w:t>
            </w:r>
          </w:p>
        </w:tc>
        <w:tc>
          <w:tcPr>
            <w:tcW w:w="6100" w:type="dxa"/>
          </w:tcPr>
          <w:p w14:paraId="5C12BFD1" w14:textId="77777777" w:rsidR="00647CE0" w:rsidRPr="008E0161" w:rsidRDefault="00647CE0" w:rsidP="00440F7E">
            <w:pPr>
              <w:jc w:val="both"/>
              <w:rPr>
                <w:rFonts w:ascii="Verdana" w:eastAsia="Calibri" w:hAnsi="Verdana" w:cs="Arial"/>
                <w:lang w:eastAsia="es-ES_tradnl"/>
              </w:rPr>
            </w:pPr>
            <w:r w:rsidRPr="008E0161">
              <w:rPr>
                <w:rFonts w:ascii="Verdana" w:eastAsia="Calibri" w:hAnsi="Verdana" w:cs="Arial"/>
                <w:lang w:eastAsia="es-ES_tradnl"/>
              </w:rPr>
              <w:t>Respuesta a la consulta con radicado No.</w:t>
            </w:r>
            <w:r w:rsidRPr="008E0161">
              <w:rPr>
                <w:rFonts w:ascii="Verdana" w:hAnsi="Verdana"/>
              </w:rPr>
              <w:t xml:space="preserve"> P20250516004747</w:t>
            </w:r>
          </w:p>
        </w:tc>
      </w:tr>
    </w:tbl>
    <w:p w14:paraId="30324EC0" w14:textId="77777777" w:rsidR="00647CE0" w:rsidRPr="008E0161" w:rsidRDefault="00647CE0" w:rsidP="00647CE0">
      <w:pPr>
        <w:spacing w:after="0" w:line="240" w:lineRule="auto"/>
        <w:jc w:val="both"/>
        <w:rPr>
          <w:rFonts w:ascii="Verdana" w:eastAsia="Calibri" w:hAnsi="Verdana" w:cs="Arial"/>
          <w:color w:val="000000"/>
          <w:lang w:eastAsia="es-ES_tradnl"/>
        </w:rPr>
      </w:pPr>
    </w:p>
    <w:p w14:paraId="1503DD51" w14:textId="77777777" w:rsidR="00647CE0" w:rsidRPr="008E0161" w:rsidRDefault="00647CE0" w:rsidP="00647CE0">
      <w:pPr>
        <w:spacing w:after="0" w:line="240" w:lineRule="auto"/>
        <w:jc w:val="both"/>
        <w:rPr>
          <w:rFonts w:ascii="Verdana" w:eastAsia="Calibri" w:hAnsi="Verdana" w:cs="Arial"/>
          <w:color w:val="000000"/>
          <w:lang w:eastAsia="es-ES_tradnl"/>
        </w:rPr>
      </w:pPr>
    </w:p>
    <w:p w14:paraId="504E1D6E" w14:textId="77777777" w:rsidR="00647CE0" w:rsidRPr="008E0161" w:rsidRDefault="00647CE0" w:rsidP="00647CE0">
      <w:pPr>
        <w:spacing w:after="0" w:line="276" w:lineRule="auto"/>
        <w:jc w:val="both"/>
        <w:rPr>
          <w:rFonts w:ascii="Verdana" w:eastAsia="Calibri" w:hAnsi="Verdana" w:cs="Arial"/>
          <w:lang w:eastAsia="es-ES"/>
        </w:rPr>
      </w:pPr>
      <w:r w:rsidRPr="008E0161">
        <w:rPr>
          <w:rFonts w:ascii="Verdana" w:eastAsia="Calibri" w:hAnsi="Verdana" w:cs="Arial"/>
          <w:lang w:eastAsia="es-ES"/>
        </w:rPr>
        <w:t xml:space="preserve">Estimado señor Gaviria Chaves: </w:t>
      </w:r>
    </w:p>
    <w:p w14:paraId="5FCBD6DB" w14:textId="77777777" w:rsidR="00647CE0" w:rsidRPr="008E0161" w:rsidRDefault="00647CE0" w:rsidP="00647CE0">
      <w:pPr>
        <w:tabs>
          <w:tab w:val="left" w:pos="3768"/>
        </w:tabs>
        <w:spacing w:after="0" w:line="276" w:lineRule="auto"/>
        <w:jc w:val="both"/>
        <w:rPr>
          <w:rFonts w:ascii="Verdana" w:eastAsia="Calibri" w:hAnsi="Verdana" w:cs="Arial"/>
          <w:color w:val="000000" w:themeColor="text1"/>
          <w:lang w:eastAsia="es-ES"/>
        </w:rPr>
      </w:pPr>
      <w:r w:rsidRPr="008E0161">
        <w:rPr>
          <w:rFonts w:ascii="Verdana" w:eastAsia="Calibri" w:hAnsi="Verdana" w:cs="Arial"/>
          <w:color w:val="000000" w:themeColor="text1"/>
          <w:lang w:eastAsia="es-ES"/>
        </w:rPr>
        <w:tab/>
      </w:r>
    </w:p>
    <w:p w14:paraId="29FE7DDB" w14:textId="77777777" w:rsidR="00647CE0" w:rsidRPr="008E0161" w:rsidRDefault="00647CE0" w:rsidP="00647CE0">
      <w:pPr>
        <w:spacing w:after="120" w:line="276" w:lineRule="auto"/>
        <w:jc w:val="both"/>
        <w:rPr>
          <w:rFonts w:ascii="Verdana" w:eastAsia="Calibri" w:hAnsi="Verdana" w:cs="Arial"/>
          <w:i/>
          <w:iCs/>
          <w:lang w:eastAsia="es-ES"/>
        </w:rPr>
      </w:pPr>
      <w:r w:rsidRPr="008E0161">
        <w:rPr>
          <w:rFonts w:ascii="Verdana" w:eastAsia="Calibri" w:hAnsi="Verdana" w:cs="Arial"/>
          <w:color w:val="000000" w:themeColor="text1"/>
          <w:lang w:eastAsia="es-ES"/>
        </w:rPr>
        <w:t>En ejercicio de la competencia otorgada por los artículos 3, numeral 5º, y 11, numeral 8º, del Decreto Ley 4170 de 2011,</w:t>
      </w:r>
      <w:r w:rsidRPr="008E0161">
        <w:rPr>
          <w:rFonts w:ascii="Verdana" w:eastAsia="Arial MT" w:hAnsi="Verdana" w:cs="Arial MT"/>
          <w:lang w:eastAsia="es-ES"/>
        </w:rPr>
        <w:t xml:space="preserve"> </w:t>
      </w:r>
      <w:r w:rsidRPr="008E0161">
        <w:rPr>
          <w:rFonts w:ascii="Verdana" w:hAnsi="Verdana" w:cs="Arial"/>
        </w:rPr>
        <w:t xml:space="preserve">así como lo establecido en el artículo 4 de la Resolución 1707 de 2018 expedida por esta Entidad, </w:t>
      </w:r>
      <w:r w:rsidRPr="008E0161">
        <w:rPr>
          <w:rFonts w:ascii="Verdana" w:eastAsia="Calibri" w:hAnsi="Verdana" w:cs="Arial"/>
          <w:color w:val="000000" w:themeColor="text1"/>
          <w:lang w:eastAsia="es-ES"/>
        </w:rPr>
        <w:t>la Agencia Nacional de Contratación Pública – Colombia Compra Eficiente responde su solicitud de concepto del 16 de mayo de 2025,</w:t>
      </w:r>
      <w:r w:rsidRPr="008E0161">
        <w:rPr>
          <w:rFonts w:ascii="Verdana" w:eastAsia="Calibri" w:hAnsi="Verdana" w:cs="Arial"/>
          <w:lang w:eastAsia="es-ES"/>
        </w:rPr>
        <w:t xml:space="preserve"> en la cual consulta sobre lo siguiente:</w:t>
      </w:r>
      <w:r w:rsidRPr="008E0161">
        <w:rPr>
          <w:rFonts w:ascii="Verdana" w:eastAsia="Calibri" w:hAnsi="Verdana" w:cs="Arial"/>
          <w:i/>
          <w:iCs/>
          <w:lang w:eastAsia="es-ES"/>
        </w:rPr>
        <w:t xml:space="preserve"> </w:t>
      </w:r>
      <w:bookmarkStart w:id="1" w:name="_Hlk95313578"/>
    </w:p>
    <w:p w14:paraId="232EFC6C" w14:textId="77777777" w:rsidR="00647CE0" w:rsidRPr="008E0161" w:rsidRDefault="00647CE0" w:rsidP="00647CE0">
      <w:pPr>
        <w:spacing w:after="0" w:line="276" w:lineRule="auto"/>
        <w:jc w:val="both"/>
        <w:rPr>
          <w:rFonts w:ascii="Verdana" w:eastAsia="Calibri" w:hAnsi="Verdana" w:cs="Arial"/>
          <w:i/>
          <w:iCs/>
          <w:lang w:eastAsia="es-ES"/>
        </w:rPr>
      </w:pPr>
    </w:p>
    <w:p w14:paraId="5C96881C" w14:textId="77777777" w:rsidR="00647CE0" w:rsidRPr="008E0161" w:rsidRDefault="00647CE0" w:rsidP="00647CE0">
      <w:pPr>
        <w:spacing w:after="0" w:line="240" w:lineRule="auto"/>
        <w:ind w:left="709" w:right="618"/>
        <w:jc w:val="both"/>
        <w:rPr>
          <w:rFonts w:ascii="Verdana" w:hAnsi="Verdana"/>
          <w:i/>
        </w:rPr>
      </w:pPr>
      <w:r w:rsidRPr="008E0161">
        <w:rPr>
          <w:rFonts w:ascii="Verdana" w:eastAsia="Arial" w:hAnsi="Verdana" w:cs="Arial"/>
          <w:i/>
          <w:color w:val="000000"/>
          <w:sz w:val="20"/>
          <w:szCs w:val="20"/>
        </w:rPr>
        <w:t>“</w:t>
      </w:r>
      <w:bookmarkEnd w:id="1"/>
      <w:r w:rsidRPr="008E0161">
        <w:rPr>
          <w:rFonts w:ascii="Verdana" w:eastAsia="Arial" w:hAnsi="Verdana" w:cs="Arial"/>
          <w:i/>
          <w:color w:val="000000"/>
          <w:sz w:val="20"/>
          <w:szCs w:val="20"/>
        </w:rPr>
        <w:t xml:space="preserve">Durante el desarrollo de un proceso licitatorio después de varios aplazamientos se llega a la diligencia de la audiencia de adjudicación y/o declaración de desierta. </w:t>
      </w:r>
      <w:proofErr w:type="gramStart"/>
      <w:r w:rsidRPr="008E0161">
        <w:rPr>
          <w:rFonts w:ascii="Verdana" w:eastAsia="Arial" w:hAnsi="Verdana" w:cs="Arial"/>
          <w:i/>
          <w:color w:val="000000"/>
          <w:sz w:val="20"/>
          <w:szCs w:val="20"/>
        </w:rPr>
        <w:t>Si la fecha de la audiencia es posterior a la fecha de vigencia de las garantías de seriedad de oferta es procedente continuar con la adjudicación y por ende con el proceso de selección?</w:t>
      </w:r>
      <w:proofErr w:type="gramEnd"/>
      <w:r w:rsidRPr="008E0161">
        <w:rPr>
          <w:rFonts w:ascii="Verdana" w:eastAsia="Arial" w:hAnsi="Verdana" w:cs="Arial"/>
          <w:i/>
          <w:color w:val="000000"/>
          <w:sz w:val="20"/>
          <w:szCs w:val="20"/>
        </w:rPr>
        <w:t xml:space="preserve"> Que se recomienda al respecto</w:t>
      </w:r>
      <w:r w:rsidRPr="008E0161">
        <w:rPr>
          <w:rFonts w:ascii="Verdana" w:hAnsi="Verdana"/>
          <w:i/>
        </w:rPr>
        <w:t>”</w:t>
      </w:r>
    </w:p>
    <w:p w14:paraId="15F081F3" w14:textId="77777777" w:rsidR="00647CE0" w:rsidRPr="008E0161" w:rsidRDefault="00647CE0" w:rsidP="00647CE0">
      <w:pPr>
        <w:spacing w:after="0" w:line="276" w:lineRule="auto"/>
        <w:ind w:left="709" w:right="618"/>
        <w:jc w:val="both"/>
        <w:rPr>
          <w:rFonts w:ascii="Verdana" w:eastAsia="Calibri" w:hAnsi="Verdana" w:cs="Arial"/>
          <w:i/>
          <w:iCs/>
          <w:lang w:eastAsia="es-ES"/>
        </w:rPr>
      </w:pPr>
    </w:p>
    <w:p w14:paraId="46B610B5" w14:textId="77777777" w:rsidR="00647CE0" w:rsidRPr="008E0161" w:rsidRDefault="00647CE0" w:rsidP="00647CE0">
      <w:pPr>
        <w:spacing w:after="120" w:line="276" w:lineRule="auto"/>
        <w:ind w:firstLine="709"/>
        <w:jc w:val="both"/>
        <w:rPr>
          <w:rFonts w:ascii="Verdana" w:eastAsia="Calibri" w:hAnsi="Verdana" w:cs="Arial"/>
          <w:color w:val="000000"/>
          <w:lang w:eastAsia="es-ES"/>
        </w:rPr>
      </w:pPr>
      <w:r w:rsidRPr="008E0161">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w:t>
      </w:r>
      <w:r w:rsidRPr="008E0161">
        <w:rPr>
          <w:rFonts w:ascii="Verdana" w:eastAsia="Calibri" w:hAnsi="Verdana" w:cs="Arial"/>
          <w:color w:val="000000"/>
          <w:lang w:eastAsia="es-ES"/>
        </w:rPr>
        <w:lastRenderedPageBreak/>
        <w:t xml:space="preserve">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8E0161">
        <w:rPr>
          <w:rFonts w:ascii="Verdana" w:eastAsia="Calibri" w:hAnsi="Verdana" w:cs="Arial"/>
          <w:color w:val="000000"/>
          <w:szCs w:val="24"/>
          <w:lang w:eastAsia="es-ES_tradnl"/>
        </w:rPr>
        <w:tab/>
      </w:r>
    </w:p>
    <w:p w14:paraId="51ABC9E4" w14:textId="77777777" w:rsidR="00647CE0" w:rsidRPr="008E0161" w:rsidRDefault="00647CE0" w:rsidP="00647CE0">
      <w:pPr>
        <w:spacing w:after="0" w:line="276" w:lineRule="auto"/>
        <w:ind w:firstLine="709"/>
        <w:jc w:val="both"/>
        <w:rPr>
          <w:rFonts w:ascii="Verdana" w:eastAsia="Calibri" w:hAnsi="Verdana" w:cs="Arial"/>
          <w:color w:val="000000"/>
          <w:lang w:eastAsia="es-ES"/>
        </w:rPr>
      </w:pPr>
      <w:r w:rsidRPr="008E0161">
        <w:rPr>
          <w:rFonts w:ascii="Verdana" w:eastAsia="Calibri" w:hAnsi="Verdana" w:cs="Arial"/>
          <w:color w:val="000000"/>
          <w:lang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las preguntas de la petición, pero haciendo unas consideraciones sobre las normas generales relacionadas con los</w:t>
      </w:r>
      <w:r w:rsidRPr="008E0161">
        <w:rPr>
          <w:rFonts w:ascii="Verdana" w:eastAsia="Calibri" w:hAnsi="Verdana" w:cs="Arial"/>
          <w:color w:val="7030A0"/>
          <w:lang w:eastAsia="es-ES"/>
        </w:rPr>
        <w:t xml:space="preserve"> </w:t>
      </w:r>
      <w:r w:rsidRPr="008E0161">
        <w:rPr>
          <w:rFonts w:ascii="Verdana" w:eastAsia="Calibri" w:hAnsi="Verdana" w:cs="Arial"/>
          <w:color w:val="000000"/>
          <w:lang w:eastAsia="es-ES"/>
        </w:rPr>
        <w:t>problemas</w:t>
      </w:r>
      <w:r w:rsidRPr="008E0161">
        <w:rPr>
          <w:rFonts w:ascii="Verdana" w:eastAsia="Calibri" w:hAnsi="Verdana" w:cs="Arial"/>
          <w:color w:val="7030A0"/>
          <w:lang w:eastAsia="es-ES"/>
        </w:rPr>
        <w:t xml:space="preserve"> </w:t>
      </w:r>
      <w:r w:rsidRPr="008E0161">
        <w:rPr>
          <w:rFonts w:ascii="Verdana" w:eastAsia="Calibri" w:hAnsi="Verdana" w:cs="Arial"/>
          <w:color w:val="000000"/>
          <w:lang w:eastAsia="es-ES"/>
        </w:rPr>
        <w:t>jurídicos</w:t>
      </w:r>
      <w:r w:rsidRPr="008E0161">
        <w:rPr>
          <w:rFonts w:ascii="Verdana" w:eastAsia="Calibri" w:hAnsi="Verdana" w:cs="Arial"/>
          <w:color w:val="7030A0"/>
          <w:lang w:eastAsia="es-ES"/>
        </w:rPr>
        <w:t xml:space="preserve"> </w:t>
      </w:r>
      <w:r w:rsidRPr="008E0161">
        <w:rPr>
          <w:rFonts w:ascii="Verdana" w:eastAsia="Calibri" w:hAnsi="Verdana" w:cs="Arial"/>
          <w:color w:val="000000"/>
          <w:lang w:eastAsia="es-ES"/>
        </w:rPr>
        <w:t xml:space="preserve">de su consulta. </w:t>
      </w:r>
    </w:p>
    <w:p w14:paraId="466D1D60" w14:textId="77777777" w:rsidR="00647CE0" w:rsidRPr="008E0161" w:rsidRDefault="00647CE0" w:rsidP="00647CE0">
      <w:pPr>
        <w:spacing w:after="0" w:line="276" w:lineRule="auto"/>
        <w:ind w:firstLine="709"/>
        <w:jc w:val="both"/>
        <w:rPr>
          <w:rFonts w:ascii="Verdana" w:eastAsia="Calibri" w:hAnsi="Verdana" w:cs="Arial"/>
          <w:color w:val="000000"/>
          <w:lang w:eastAsia="es-ES"/>
        </w:rPr>
      </w:pPr>
    </w:p>
    <w:p w14:paraId="630CB4C7" w14:textId="77777777" w:rsidR="00647CE0" w:rsidRPr="008E0161" w:rsidRDefault="00647CE0" w:rsidP="00647CE0">
      <w:pPr>
        <w:numPr>
          <w:ilvl w:val="0"/>
          <w:numId w:val="1"/>
        </w:numPr>
        <w:tabs>
          <w:tab w:val="left" w:pos="142"/>
          <w:tab w:val="left" w:pos="284"/>
        </w:tabs>
        <w:spacing w:after="0" w:line="276" w:lineRule="auto"/>
        <w:jc w:val="both"/>
        <w:rPr>
          <w:rFonts w:ascii="Verdana" w:eastAsia="Century Gothic" w:hAnsi="Verdana" w:cs="Century Gothic"/>
          <w:b/>
          <w:bCs/>
        </w:rPr>
      </w:pPr>
      <w:r w:rsidRPr="008E0161">
        <w:rPr>
          <w:rFonts w:ascii="Verdana" w:eastAsia="Century Gothic" w:hAnsi="Verdana" w:cs="Century Gothic"/>
          <w:b/>
          <w:bCs/>
        </w:rPr>
        <w:t>Problemas planteados:</w:t>
      </w:r>
    </w:p>
    <w:p w14:paraId="79802C60" w14:textId="77777777" w:rsidR="00647CE0" w:rsidRPr="008E0161" w:rsidRDefault="00647CE0" w:rsidP="00647CE0">
      <w:pPr>
        <w:tabs>
          <w:tab w:val="left" w:pos="426"/>
        </w:tabs>
        <w:spacing w:after="0" w:line="276" w:lineRule="auto"/>
        <w:jc w:val="both"/>
        <w:rPr>
          <w:rFonts w:ascii="Verdana" w:eastAsia="Century Gothic" w:hAnsi="Verdana" w:cs="Century Gothic"/>
        </w:rPr>
      </w:pPr>
    </w:p>
    <w:p w14:paraId="45336944" w14:textId="77777777" w:rsidR="00647CE0" w:rsidRPr="008E0161" w:rsidRDefault="00647CE0" w:rsidP="00647CE0">
      <w:pPr>
        <w:spacing w:after="0" w:line="276" w:lineRule="auto"/>
        <w:jc w:val="both"/>
        <w:rPr>
          <w:rFonts w:ascii="Verdana" w:eastAsia="Century Gothic" w:hAnsi="Verdana" w:cs="Century Gothic"/>
        </w:rPr>
      </w:pPr>
      <w:r w:rsidRPr="008E0161">
        <w:rPr>
          <w:rFonts w:ascii="Verdana" w:eastAsia="Century Gothic" w:hAnsi="Verdana" w:cs="Century Gothic"/>
        </w:rPr>
        <w:t>De acuerdo con el contenido de su solicitud, esta Agencia resolverá el siguiente problema jurídico: “¿</w:t>
      </w:r>
      <w:r w:rsidRPr="008E0161">
        <w:rPr>
          <w:rFonts w:ascii="Verdana" w:eastAsia="Century Gothic" w:hAnsi="Verdana" w:cs="Century Gothic"/>
          <w:lang w:val="es-ES"/>
        </w:rPr>
        <w:t>La garantía de seriedad de la oferta debe encontrarse vigente al momento de la audiencia pública de adjudicación de un proceso de contratación</w:t>
      </w:r>
      <w:r w:rsidRPr="008E0161">
        <w:rPr>
          <w:rFonts w:ascii="Verdana" w:eastAsia="Century Gothic" w:hAnsi="Verdana" w:cs="Century Gothic"/>
        </w:rPr>
        <w:t xml:space="preserve">?” </w:t>
      </w:r>
    </w:p>
    <w:p w14:paraId="605A426C" w14:textId="77777777" w:rsidR="00647CE0" w:rsidRPr="008E0161" w:rsidRDefault="00647CE0" w:rsidP="00647CE0">
      <w:pPr>
        <w:spacing w:after="0" w:line="276" w:lineRule="auto"/>
        <w:jc w:val="both"/>
        <w:rPr>
          <w:rFonts w:ascii="Verdana" w:eastAsia="Century Gothic" w:hAnsi="Verdana" w:cs="Century Gothic"/>
        </w:rPr>
      </w:pPr>
    </w:p>
    <w:p w14:paraId="01B31895" w14:textId="77777777" w:rsidR="00647CE0" w:rsidRPr="008E0161" w:rsidRDefault="00647CE0" w:rsidP="00647CE0">
      <w:pPr>
        <w:numPr>
          <w:ilvl w:val="0"/>
          <w:numId w:val="1"/>
        </w:numPr>
        <w:tabs>
          <w:tab w:val="left" w:pos="142"/>
          <w:tab w:val="left" w:pos="284"/>
        </w:tabs>
        <w:spacing w:after="0" w:line="276" w:lineRule="auto"/>
        <w:jc w:val="both"/>
        <w:rPr>
          <w:rFonts w:ascii="Verdana" w:eastAsia="Century Gothic" w:hAnsi="Verdana" w:cs="Century Gothic"/>
          <w:b/>
          <w:bCs/>
        </w:rPr>
      </w:pPr>
      <w:r w:rsidRPr="008E0161">
        <w:rPr>
          <w:rFonts w:ascii="Verdana" w:eastAsia="Century Gothic" w:hAnsi="Verdana" w:cs="Century Gothic"/>
          <w:b/>
          <w:bCs/>
        </w:rPr>
        <w:t>Respuestas:</w:t>
      </w:r>
    </w:p>
    <w:p w14:paraId="4EC2BC75" w14:textId="77777777" w:rsidR="00647CE0" w:rsidRPr="008E0161" w:rsidRDefault="00647CE0" w:rsidP="00647CE0">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647CE0" w:rsidRPr="008E0161" w14:paraId="69876E2D" w14:textId="77777777" w:rsidTr="00440F7E">
        <w:trPr>
          <w:trHeight w:val="693"/>
          <w:jc w:val="center"/>
        </w:trPr>
        <w:tc>
          <w:tcPr>
            <w:tcW w:w="8828" w:type="dxa"/>
            <w:shd w:val="clear" w:color="auto" w:fill="auto"/>
          </w:tcPr>
          <w:p w14:paraId="1FC4B46B" w14:textId="77777777" w:rsidR="00647CE0" w:rsidRPr="008E0161" w:rsidRDefault="00647CE0" w:rsidP="00440F7E">
            <w:pPr>
              <w:spacing w:after="120" w:line="276" w:lineRule="auto"/>
              <w:jc w:val="both"/>
              <w:textAlignment w:val="baseline"/>
              <w:rPr>
                <w:rFonts w:ascii="Verdana" w:hAnsi="Verdana" w:cs="Arial"/>
              </w:rPr>
            </w:pPr>
            <w:bookmarkStart w:id="2" w:name="_Hlk171694685"/>
            <w:r w:rsidRPr="008E0161">
              <w:rPr>
                <w:rFonts w:ascii="Verdana" w:hAnsi="Verdana" w:cs="Arial"/>
              </w:rPr>
              <w:t xml:space="preserve">De conformidad, con el artículo 2.2.1.2.3.1.9 del Decreto 1082 de 2015, la garantía de seriedad de la oferta debe estar vigente desde la presentación de la oferta y hasta la aprobación de la garantía de cumplimiento del contrato, período que abarca la realización de la audiencia efectiva de adjudicación. </w:t>
            </w:r>
          </w:p>
          <w:p w14:paraId="584A242B" w14:textId="77777777" w:rsidR="00647CE0" w:rsidRPr="008E0161" w:rsidRDefault="00647CE0" w:rsidP="00440F7E">
            <w:pPr>
              <w:spacing w:after="120" w:line="276" w:lineRule="auto"/>
              <w:ind w:firstLine="709"/>
              <w:jc w:val="both"/>
              <w:rPr>
                <w:rFonts w:ascii="Verdana" w:eastAsia="Calibri" w:hAnsi="Verdana" w:cs="Arial"/>
                <w:lang w:val="es-ES"/>
              </w:rPr>
            </w:pPr>
            <w:r w:rsidRPr="008E0161">
              <w:rPr>
                <w:rFonts w:ascii="Verdana" w:eastAsia="Calibri" w:hAnsi="Verdana" w:cs="Arial"/>
                <w:lang w:val="es-ES"/>
              </w:rPr>
              <w:t xml:space="preserve">En este contexto, cuando se presentan modificaciones al cronograma del proceso de selección que impliquen un cambio en la fecha de adjudicación, y que, en consecuencia, puedan afectar la vigencia de la garantía de seriedad de la oferta, resulta necesario ajustar dicha garantía con el objetivo de garantizar que se cumpla con el término establecido en el artículo 2.2.1.2.3.1.9 del Decreto 1082 de 2015, y que permanezca vigente hasta que se apruebe la garantía de cumplimiento del contrato. Lo anterior cobra especial </w:t>
            </w:r>
            <w:r w:rsidRPr="008E0161">
              <w:rPr>
                <w:rFonts w:ascii="Verdana" w:eastAsia="Calibri" w:hAnsi="Verdana" w:cs="Arial"/>
                <w:lang w:val="es-ES"/>
              </w:rPr>
              <w:lastRenderedPageBreak/>
              <w:t>relevancia cuando, por ejemplo, se han realizado aplazamientos de la audiencia de adjudicación y se advierte que la garantía inicialmente presentada no cubre la nueva fecha fijada para dicha audiencia. En estos casos, la entidad contratante debe requerir al proponente la ampliación, con el fin de asegurar que toda la etapa precontractual —hasta la adjudicación y suscripción del contrato— esté cubierta.</w:t>
            </w:r>
          </w:p>
          <w:p w14:paraId="2F5A6169" w14:textId="77777777" w:rsidR="00647CE0" w:rsidRPr="008E0161" w:rsidRDefault="00647CE0" w:rsidP="00440F7E">
            <w:pPr>
              <w:spacing w:after="120" w:line="276" w:lineRule="auto"/>
              <w:ind w:firstLine="709"/>
              <w:jc w:val="both"/>
              <w:rPr>
                <w:rFonts w:ascii="Verdana" w:eastAsia="Calibri" w:hAnsi="Verdana" w:cs="Arial"/>
                <w:lang w:val="es-ES"/>
              </w:rPr>
            </w:pPr>
            <w:r w:rsidRPr="008E0161">
              <w:rPr>
                <w:rFonts w:ascii="Verdana" w:eastAsia="Calibri" w:hAnsi="Verdana" w:cs="Arial"/>
                <w:lang w:val="es-ES"/>
              </w:rPr>
              <w:t xml:space="preserve">Este ajuste no solo se impone por mandato legal - ya que la norma determina el plazo de vigencia </w:t>
            </w:r>
            <w:r w:rsidRPr="008E0161">
              <w:rPr>
                <w:rFonts w:ascii="Verdana" w:eastAsia="Calibri" w:hAnsi="Verdana" w:cs="Arial"/>
                <w:i/>
                <w:iCs/>
                <w:lang w:val="es-ES"/>
              </w:rPr>
              <w:t>hasta la aprobación de la garantía de cumplimiento del contrato</w:t>
            </w:r>
            <w:r w:rsidRPr="008E0161">
              <w:rPr>
                <w:rFonts w:ascii="Verdana" w:eastAsia="Calibri" w:hAnsi="Verdana" w:cs="Arial"/>
                <w:lang w:val="es-ES"/>
              </w:rPr>
              <w:t>-, sino también como una medida indispensable para proteger el interés público</w:t>
            </w:r>
            <w:r w:rsidRPr="008E0161">
              <w:rPr>
                <w:rFonts w:ascii="Verdana" w:eastAsia="Calibri" w:hAnsi="Verdana" w:cs="Arial"/>
              </w:rPr>
              <w:t xml:space="preserve"> y el principio de responsabilidad en la contratación estatal</w:t>
            </w:r>
            <w:r w:rsidRPr="008E0161">
              <w:rPr>
                <w:rFonts w:ascii="Verdana" w:eastAsia="Calibri" w:hAnsi="Verdana" w:cs="Arial"/>
                <w:lang w:val="es-ES"/>
              </w:rPr>
              <w:t xml:space="preserve">. En efecto, si se llegara a configurar alguna de las causales previstas en el artículo 2.2.1.2.3.1.6 </w:t>
            </w:r>
            <w:r w:rsidRPr="008E0161">
              <w:rPr>
                <w:rFonts w:ascii="Verdana" w:eastAsia="Calibri" w:hAnsi="Verdana" w:cs="Arial"/>
                <w:i/>
                <w:iCs/>
                <w:lang w:val="es-ES"/>
              </w:rPr>
              <w:t>ibidem,</w:t>
            </w:r>
            <w:r w:rsidRPr="008E0161">
              <w:rPr>
                <w:rFonts w:ascii="Verdana" w:eastAsia="Calibri" w:hAnsi="Verdana" w:cs="Arial"/>
                <w:lang w:val="es-ES"/>
              </w:rPr>
              <w:t xml:space="preserve"> la entidad debe contar con una garantía vigente que le permita declararla exigible a título de sanción y brindar seguridad de que se mantengan los ofrecimientos realizados. Por lo tanto, no solo se trata de una obligación jurídica, sino de una condición necesaria para preservar la eficacia del proceso de contratación y la seguridad jurídica de todas las partes involucradas. </w:t>
            </w:r>
          </w:p>
          <w:p w14:paraId="3957C02D" w14:textId="77777777" w:rsidR="00647CE0" w:rsidRPr="008E0161" w:rsidRDefault="00647CE0" w:rsidP="00440F7E">
            <w:pPr>
              <w:spacing w:after="120" w:line="276" w:lineRule="auto"/>
              <w:ind w:firstLine="709"/>
              <w:jc w:val="both"/>
              <w:rPr>
                <w:rFonts w:ascii="Verdana" w:hAnsi="Verdana"/>
              </w:rPr>
            </w:pPr>
            <w:r w:rsidRPr="008E0161">
              <w:rPr>
                <w:rFonts w:ascii="Verdana" w:hAnsi="Verdana"/>
              </w:rPr>
              <w:t xml:space="preserve">En ese orden de ideas, si bien la garantía de seriedad de la oferta debe constituirse con un término de vigencia mínimo conforme a lo dispuesto en el artículo 2.2.1.2.3.1.9 del Decreto 1082 de 2015, dicho término se proyecta sobre fechas concretas determinadas en el cronograma del proceso de selección. No obstante, pueden presentarse circunstancias, como la prórroga o la modificación de la audiencia de adjudicación, que impliquen una alteración de la fecha inicialmente prevista para la finalización de la vigencia de dicha garantía. En tales eventos, lo recomendable y procedente es que la entidad contratante requiera a los oferentes la ampliación del término de la garantía, con el fin de asegurar que esta cubra la nueva fecha prevista para la adjudicación y, </w:t>
            </w:r>
            <w:r w:rsidRPr="008E0161">
              <w:rPr>
                <w:rFonts w:ascii="Verdana" w:eastAsia="Calibri" w:hAnsi="Verdana" w:cs="Arial"/>
                <w:lang w:val="es-ES"/>
              </w:rPr>
              <w:t xml:space="preserve">así garantizar la irrevocabilidad de la oferta. </w:t>
            </w:r>
          </w:p>
          <w:p w14:paraId="76745FAD" w14:textId="77777777" w:rsidR="00647CE0" w:rsidRPr="008E0161" w:rsidRDefault="00647CE0" w:rsidP="00440F7E">
            <w:pPr>
              <w:spacing w:after="120" w:line="276" w:lineRule="auto"/>
              <w:ind w:firstLine="709"/>
              <w:jc w:val="both"/>
              <w:rPr>
                <w:rFonts w:ascii="Verdana" w:hAnsi="Verdana"/>
              </w:rPr>
            </w:pPr>
            <w:r w:rsidRPr="008E0161">
              <w:rPr>
                <w:rFonts w:ascii="Verdana" w:eastAsia="Calibri" w:hAnsi="Verdana" w:cs="Arial"/>
                <w:bCs/>
                <w:color w:val="000000" w:themeColor="text1"/>
              </w:rPr>
              <w:t xml:space="preserve">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w:t>
            </w:r>
            <w:r w:rsidRPr="008E0161">
              <w:rPr>
                <w:rFonts w:ascii="Verdana" w:eastAsia="Calibri" w:hAnsi="Verdana" w:cs="Arial"/>
                <w:bCs/>
                <w:color w:val="000000" w:themeColor="text1"/>
              </w:rPr>
              <w:lastRenderedPageBreak/>
              <w:t>asesores, la solución de situaciones particulares corresponde a los interesados adoptar la decisión correspondiente y, en caso de conflicto, a las autoridades judiciales, fiscales y disciplinarias.</w:t>
            </w:r>
          </w:p>
        </w:tc>
      </w:tr>
    </w:tbl>
    <w:p w14:paraId="0B9A97C8" w14:textId="77777777" w:rsidR="00647CE0" w:rsidRPr="008E0161" w:rsidRDefault="00647CE0" w:rsidP="00647CE0">
      <w:pPr>
        <w:tabs>
          <w:tab w:val="left" w:pos="142"/>
          <w:tab w:val="left" w:pos="284"/>
        </w:tabs>
        <w:spacing w:after="0" w:line="276" w:lineRule="auto"/>
        <w:jc w:val="both"/>
        <w:rPr>
          <w:rFonts w:ascii="Verdana" w:eastAsia="Century Gothic" w:hAnsi="Verdana" w:cs="Century Gothic"/>
          <w:b/>
          <w:bCs/>
        </w:rPr>
      </w:pPr>
    </w:p>
    <w:bookmarkEnd w:id="2"/>
    <w:p w14:paraId="44BD888E" w14:textId="77777777" w:rsidR="00647CE0" w:rsidRPr="008E0161" w:rsidRDefault="00647CE0" w:rsidP="00647CE0">
      <w:pPr>
        <w:numPr>
          <w:ilvl w:val="0"/>
          <w:numId w:val="1"/>
        </w:numPr>
        <w:tabs>
          <w:tab w:val="left" w:pos="142"/>
          <w:tab w:val="left" w:pos="284"/>
        </w:tabs>
        <w:spacing w:after="0" w:line="276" w:lineRule="auto"/>
        <w:jc w:val="both"/>
        <w:rPr>
          <w:rFonts w:ascii="Verdana" w:eastAsia="Century Gothic" w:hAnsi="Verdana" w:cs="Century Gothic"/>
          <w:b/>
          <w:bCs/>
        </w:rPr>
      </w:pPr>
      <w:r w:rsidRPr="008E0161">
        <w:rPr>
          <w:rFonts w:ascii="Verdana" w:eastAsia="Century Gothic" w:hAnsi="Verdana" w:cs="Century Gothic"/>
          <w:b/>
          <w:bCs/>
        </w:rPr>
        <w:t>Razones de las respuestas:</w:t>
      </w:r>
    </w:p>
    <w:p w14:paraId="362C9291" w14:textId="77777777" w:rsidR="00647CE0" w:rsidRPr="008E0161" w:rsidRDefault="00647CE0" w:rsidP="00647CE0">
      <w:pPr>
        <w:spacing w:after="0" w:line="276" w:lineRule="auto"/>
        <w:jc w:val="both"/>
        <w:rPr>
          <w:rFonts w:ascii="Verdana" w:eastAsia="Calibri" w:hAnsi="Verdana" w:cs="Arial"/>
          <w:color w:val="7030A0"/>
        </w:rPr>
      </w:pPr>
    </w:p>
    <w:p w14:paraId="66FF9C7D" w14:textId="77777777" w:rsidR="00647CE0" w:rsidRPr="008E0161" w:rsidRDefault="00647CE0" w:rsidP="00647CE0">
      <w:pPr>
        <w:spacing w:after="0" w:line="276" w:lineRule="auto"/>
        <w:jc w:val="both"/>
        <w:rPr>
          <w:rFonts w:ascii="Verdana" w:eastAsia="Calibri" w:hAnsi="Verdana" w:cs="Arial"/>
        </w:rPr>
      </w:pPr>
      <w:r w:rsidRPr="008E0161">
        <w:rPr>
          <w:rFonts w:ascii="Verdana" w:eastAsia="Calibri" w:hAnsi="Verdana" w:cs="Arial"/>
        </w:rPr>
        <w:t>Lo anterior se sustenta en las siguientes consideraciones:</w:t>
      </w:r>
    </w:p>
    <w:p w14:paraId="7723631D" w14:textId="77777777" w:rsidR="00647CE0" w:rsidRPr="008E0161" w:rsidRDefault="00647CE0" w:rsidP="00647CE0">
      <w:pPr>
        <w:spacing w:after="0" w:line="276" w:lineRule="auto"/>
        <w:jc w:val="both"/>
        <w:rPr>
          <w:rFonts w:ascii="Verdana" w:eastAsia="Calibri" w:hAnsi="Verdana" w:cs="Arial"/>
        </w:rPr>
      </w:pPr>
    </w:p>
    <w:p w14:paraId="239E4B78" w14:textId="77777777" w:rsidR="00647CE0" w:rsidRPr="008E0161" w:rsidRDefault="00647CE0" w:rsidP="00647CE0">
      <w:pPr>
        <w:spacing w:after="120" w:line="276" w:lineRule="auto"/>
        <w:jc w:val="both"/>
        <w:rPr>
          <w:rFonts w:ascii="Verdana" w:eastAsia="Calibri" w:hAnsi="Verdana" w:cs="Arial"/>
          <w:lang w:val="es-ES"/>
        </w:rPr>
      </w:pPr>
      <w:r w:rsidRPr="008E0161">
        <w:rPr>
          <w:rFonts w:ascii="Verdana" w:eastAsia="Calibri" w:hAnsi="Verdana" w:cs="Arial"/>
          <w:lang w:val="es-ES"/>
        </w:rPr>
        <w:t>En los contratos estatales, por regla general, en la etapa precontractual y en la contractual se requiere la constitución de garantías. Mientras las garantías en la primera etapa implican una caución provisional que avala la propuesta y es una garantía precontractual –y parcialmente contractual– destinada a asegurar la suscripción del acuerdo, entre otras obligaciones; las garantías en la segunda etapa son un mecanismo de cobertura del riesgo derivado del incumplimiento de las obligaciones del contrato. Desde esta perspectiva, ambas constituyen una obligación de seguridad, es decir, aquella donde el interés del acreedor no consiste en una utilidad específica y tangible, sino en la tranquilidad frente a ciertos riesgos por la cobertura de sus consecuencias nocivas.</w:t>
      </w:r>
    </w:p>
    <w:p w14:paraId="0AC1FEDB" w14:textId="77777777" w:rsidR="00647CE0" w:rsidRPr="008E0161" w:rsidRDefault="00647CE0" w:rsidP="00647CE0">
      <w:pPr>
        <w:spacing w:line="276" w:lineRule="auto"/>
        <w:ind w:firstLine="708"/>
        <w:jc w:val="both"/>
        <w:rPr>
          <w:rFonts w:ascii="Verdana" w:eastAsia="Calibri" w:hAnsi="Verdana" w:cs="Arial"/>
          <w:lang w:val="es-ES"/>
        </w:rPr>
      </w:pPr>
      <w:r w:rsidRPr="008E0161">
        <w:rPr>
          <w:rFonts w:ascii="Verdana" w:eastAsia="Calibri" w:hAnsi="Verdana" w:cs="Arial"/>
          <w:lang w:val="es-ES"/>
        </w:rPr>
        <w:t xml:space="preserve">Los artículos 2.2.1.2.3.1.6 y 2.2.1.2.3.1.9 del Decreto 1082 de 2015 establecen las condiciones que debe cumplir la garantía de seriedad de la oferta. Esta puede otorgarse a través de: i) un contrato de seguro contenido en una póliza, </w:t>
      </w:r>
      <w:proofErr w:type="spellStart"/>
      <w:r w:rsidRPr="008E0161">
        <w:rPr>
          <w:rFonts w:ascii="Verdana" w:eastAsia="Calibri" w:hAnsi="Verdana" w:cs="Arial"/>
          <w:lang w:val="es-ES"/>
        </w:rPr>
        <w:t>ii</w:t>
      </w:r>
      <w:proofErr w:type="spellEnd"/>
      <w:r w:rsidRPr="008E0161">
        <w:rPr>
          <w:rFonts w:ascii="Verdana" w:eastAsia="Calibri" w:hAnsi="Verdana" w:cs="Arial"/>
          <w:lang w:val="es-ES"/>
        </w:rPr>
        <w:t xml:space="preserve">) la constitución de un patrimonio autónomo, o </w:t>
      </w:r>
      <w:proofErr w:type="spellStart"/>
      <w:r w:rsidRPr="008E0161">
        <w:rPr>
          <w:rFonts w:ascii="Verdana" w:eastAsia="Calibri" w:hAnsi="Verdana" w:cs="Arial"/>
          <w:lang w:val="es-ES"/>
        </w:rPr>
        <w:t>iii</w:t>
      </w:r>
      <w:proofErr w:type="spellEnd"/>
      <w:r w:rsidRPr="008E0161">
        <w:rPr>
          <w:rFonts w:ascii="Verdana" w:eastAsia="Calibri" w:hAnsi="Verdana" w:cs="Arial"/>
          <w:lang w:val="es-ES"/>
        </w:rPr>
        <w:t xml:space="preserve">) una garantía bancaria. Allí se indica que el proponente debe presentar una garantía que cumpla con los parámetros, condiciones y requisitos señalados en ese numeral, y no requiere necesariamente que se aporten documentos adicionales, concretamente el recibo de pago de la prima, porque el artículo 7 de la Ley 1150 de 2007 establece que “[…] tratándose de pólizas, las mismas no expirarán por falta de pago de la prima o por revocatoria unilateral </w:t>
      </w:r>
      <w:bookmarkStart w:id="3" w:name="_Hlk201436931"/>
      <w:r w:rsidRPr="008E0161">
        <w:rPr>
          <w:rFonts w:ascii="Verdana" w:eastAsia="Calibri" w:hAnsi="Verdana" w:cs="Arial"/>
          <w:lang w:val="es-ES"/>
        </w:rPr>
        <w:t>[…]</w:t>
      </w:r>
      <w:bookmarkEnd w:id="3"/>
      <w:r w:rsidRPr="008E0161">
        <w:rPr>
          <w:rFonts w:ascii="Verdana" w:eastAsia="Calibri" w:hAnsi="Verdana" w:cs="Arial"/>
          <w:lang w:val="es-ES"/>
        </w:rPr>
        <w:t>”. Esta disposición excepciona la terminación automática del contrato de seguro por falta de pago, prevista en el artículo 1068 del Código de Comercio</w:t>
      </w:r>
      <w:r w:rsidRPr="008E0161">
        <w:rPr>
          <w:rFonts w:ascii="Verdana" w:eastAsia="Calibri" w:hAnsi="Verdana" w:cs="Arial"/>
          <w:vertAlign w:val="superscript"/>
          <w:lang w:val="es-ES"/>
        </w:rPr>
        <w:footnoteReference w:id="2"/>
      </w:r>
      <w:r w:rsidRPr="008E0161">
        <w:rPr>
          <w:rFonts w:ascii="Verdana" w:eastAsia="Calibri" w:hAnsi="Verdana" w:cs="Arial"/>
          <w:lang w:val="es-ES"/>
        </w:rPr>
        <w:t>.</w:t>
      </w:r>
    </w:p>
    <w:p w14:paraId="4F5ADD3E" w14:textId="77777777" w:rsidR="00647CE0" w:rsidRPr="008E0161" w:rsidRDefault="00647CE0" w:rsidP="00647CE0">
      <w:pPr>
        <w:spacing w:before="120" w:line="276" w:lineRule="auto"/>
        <w:jc w:val="both"/>
        <w:rPr>
          <w:rFonts w:ascii="Verdana" w:eastAsia="Calibri" w:hAnsi="Verdana" w:cs="Arial"/>
          <w:sz w:val="21"/>
          <w:szCs w:val="21"/>
          <w:lang w:val="es-ES"/>
        </w:rPr>
      </w:pPr>
      <w:r w:rsidRPr="008E0161">
        <w:rPr>
          <w:rFonts w:ascii="Verdana" w:eastAsia="Calibri" w:hAnsi="Verdana" w:cs="Arial"/>
          <w:lang w:val="es-ES"/>
        </w:rPr>
        <w:lastRenderedPageBreak/>
        <w:tab/>
      </w:r>
      <w:bookmarkStart w:id="4" w:name="_Hlk47893233"/>
      <w:r w:rsidRPr="008E0161">
        <w:rPr>
          <w:rFonts w:ascii="Verdana" w:eastAsia="Calibri" w:hAnsi="Verdana" w:cs="Arial"/>
          <w:lang w:val="es-ES"/>
        </w:rPr>
        <w:t>Esta garantía tiene su fundamento en el principio de irrevocabilidad de la oferta, razón por la cual los proponentes que pierdan interés en la adjudicación resarcirán los perjuicios causados por su retiro del proceso de selección. Naturalmente, esta garantía solo la constituyen quienes presenten oferta, motivo por el cual sus efectos no se extienden a personas ajenas a la actividad precontractual; sin perjuicio de que la póliza sea un mecanismo conminatorio, en la medida en que obliga a celebrar el contrato, so pena de hacerla efectiva. De esta manera, la exigencia permite que solo se presenten personas con la capacidad técnica y financiera suficiente para ejecutarlo en caso de adjudicación, desestimulando la presentación de ofertas que no son serias, cuya evaluación entorpece la buena marcha de la Administración, y en especial la celeridad y eficiencia de los procedimientos contractuales</w:t>
      </w:r>
      <w:bookmarkEnd w:id="4"/>
      <w:r w:rsidRPr="008E0161">
        <w:rPr>
          <w:rFonts w:ascii="Verdana" w:eastAsia="Calibri" w:hAnsi="Verdana" w:cs="Arial"/>
          <w:vertAlign w:val="superscript"/>
          <w:lang w:val="es-ES"/>
        </w:rPr>
        <w:footnoteReference w:id="3"/>
      </w:r>
      <w:r w:rsidRPr="008E0161">
        <w:rPr>
          <w:rFonts w:ascii="Verdana" w:eastAsia="Calibri" w:hAnsi="Verdana" w:cs="Arial"/>
          <w:lang w:val="es-ES"/>
        </w:rPr>
        <w:t xml:space="preserve"> </w:t>
      </w:r>
      <w:r w:rsidRPr="008E0161">
        <w:rPr>
          <w:rFonts w:ascii="Verdana" w:eastAsia="Calibri" w:hAnsi="Verdana" w:cs="Arial"/>
          <w:vertAlign w:val="superscript"/>
          <w:lang w:val="es-ES"/>
        </w:rPr>
        <w:t xml:space="preserve">- </w:t>
      </w:r>
      <w:r w:rsidRPr="008E0161">
        <w:rPr>
          <w:rFonts w:ascii="Verdana" w:eastAsia="Calibri" w:hAnsi="Verdana" w:cs="Arial"/>
          <w:vertAlign w:val="superscript"/>
          <w:lang w:val="es-ES"/>
        </w:rPr>
        <w:footnoteReference w:id="4"/>
      </w:r>
      <w:r w:rsidRPr="008E0161">
        <w:rPr>
          <w:rFonts w:ascii="Verdana" w:eastAsia="Calibri" w:hAnsi="Verdana" w:cs="Arial"/>
          <w:lang w:val="es-ES"/>
        </w:rPr>
        <w:t xml:space="preserve">. </w:t>
      </w:r>
    </w:p>
    <w:p w14:paraId="6BE66A83" w14:textId="77777777" w:rsidR="00647CE0" w:rsidRPr="008E0161" w:rsidRDefault="00647CE0" w:rsidP="00647CE0">
      <w:pPr>
        <w:spacing w:after="120" w:line="276" w:lineRule="auto"/>
        <w:ind w:firstLine="709"/>
        <w:jc w:val="both"/>
        <w:rPr>
          <w:rFonts w:ascii="Verdana" w:eastAsia="Calibri" w:hAnsi="Verdana" w:cs="Arial"/>
          <w:lang w:val="es-ES"/>
        </w:rPr>
      </w:pPr>
      <w:bookmarkStart w:id="5" w:name="_Hlk36669819"/>
      <w:bookmarkStart w:id="6" w:name="_Hlk36672441"/>
      <w:r w:rsidRPr="008E0161">
        <w:rPr>
          <w:rFonts w:ascii="Verdana" w:eastAsia="Calibri" w:hAnsi="Verdana" w:cs="Arial"/>
          <w:lang w:val="es-ES"/>
        </w:rPr>
        <w:t xml:space="preserve">Conforme a lo anterior, para que la garantía de seriedad respalde el principio de irrevocabilidad de la oferta, y que esta sirva al célere y eficiente desarrollo de los procesos de contratación, el Decreto 1082 de 2015 reglamenta varios aspectos con los que debe cumplir la garantía de seriedad. </w:t>
      </w:r>
    </w:p>
    <w:bookmarkEnd w:id="5"/>
    <w:bookmarkEnd w:id="6"/>
    <w:p w14:paraId="01911F60" w14:textId="77777777" w:rsidR="00647CE0" w:rsidRPr="008E0161" w:rsidRDefault="00647CE0" w:rsidP="00647CE0">
      <w:pPr>
        <w:spacing w:after="120" w:line="276" w:lineRule="auto"/>
        <w:ind w:firstLine="709"/>
        <w:jc w:val="both"/>
        <w:rPr>
          <w:rFonts w:ascii="Verdana" w:eastAsia="Calibri" w:hAnsi="Verdana" w:cs="Arial"/>
          <w:lang w:val="es-ES"/>
        </w:rPr>
      </w:pPr>
      <w:r w:rsidRPr="008E0161">
        <w:rPr>
          <w:rFonts w:ascii="Verdana" w:eastAsia="Calibri" w:hAnsi="Verdana" w:cs="Arial"/>
          <w:lang w:val="es-ES"/>
        </w:rPr>
        <w:t xml:space="preserve">En primer lugar, el artículo </w:t>
      </w:r>
      <w:bookmarkStart w:id="7" w:name="_Hlk47457215"/>
      <w:r w:rsidRPr="008E0161">
        <w:rPr>
          <w:rFonts w:ascii="Verdana" w:eastAsia="Calibri" w:hAnsi="Verdana" w:cs="Arial"/>
          <w:lang w:val="es-ES"/>
        </w:rPr>
        <w:t>2.2.1.2.3.1.9</w:t>
      </w:r>
      <w:bookmarkEnd w:id="7"/>
      <w:r w:rsidRPr="008E0161">
        <w:rPr>
          <w:rFonts w:ascii="Verdana" w:eastAsia="Calibri" w:hAnsi="Verdana" w:cs="Arial"/>
          <w:lang w:val="es-ES"/>
        </w:rPr>
        <w:t xml:space="preserve"> del Decreto 1082 de 2015 define la cobertura en términos de monto y tiempo, disponiendo que “La garantía de seriedad de la oferta debe estar vigente desde la presentación de la oferta </w:t>
      </w:r>
      <w:r w:rsidRPr="008E0161">
        <w:rPr>
          <w:rFonts w:ascii="Verdana" w:eastAsia="Calibri" w:hAnsi="Verdana" w:cs="Arial"/>
          <w:i/>
          <w:iCs/>
          <w:lang w:val="es-ES"/>
        </w:rPr>
        <w:t>y hasta la aprobación de la garantía de cumplimiento del contrato</w:t>
      </w:r>
      <w:r w:rsidRPr="008E0161">
        <w:rPr>
          <w:rFonts w:ascii="Verdana" w:eastAsia="Calibri" w:hAnsi="Verdana" w:cs="Arial"/>
          <w:lang w:val="es-ES"/>
        </w:rPr>
        <w:t xml:space="preserve"> y su valor debe ser de por lo menos el diez por ciento (10%) del valor de la oferta”. [Énfasis por fuera de texto]</w:t>
      </w:r>
    </w:p>
    <w:p w14:paraId="376D5C0D" w14:textId="77777777" w:rsidR="00647CE0" w:rsidRPr="008E0161" w:rsidRDefault="00647CE0" w:rsidP="00647CE0">
      <w:pPr>
        <w:spacing w:after="120" w:line="276" w:lineRule="auto"/>
        <w:ind w:firstLine="709"/>
        <w:jc w:val="both"/>
        <w:rPr>
          <w:rFonts w:ascii="Verdana" w:eastAsia="Calibri" w:hAnsi="Verdana" w:cs="Arial"/>
          <w:lang w:val="es-ES"/>
        </w:rPr>
      </w:pPr>
      <w:r w:rsidRPr="008E0161">
        <w:rPr>
          <w:rFonts w:ascii="Verdana" w:eastAsia="Calibri" w:hAnsi="Verdana" w:cs="Arial"/>
          <w:lang w:val="es-ES"/>
        </w:rPr>
        <w:t xml:space="preserve">Respecto al valor, dispone que tendrá un monto igual o superior al diez por ciento (10%) de la oferta, constituyendo la suma mínima que la entidad </w:t>
      </w:r>
      <w:r w:rsidRPr="008E0161">
        <w:rPr>
          <w:rFonts w:ascii="Verdana" w:eastAsia="Calibri" w:hAnsi="Verdana" w:cs="Arial"/>
          <w:lang w:val="es-ES"/>
        </w:rPr>
        <w:lastRenderedPageBreak/>
        <w:t xml:space="preserve">puede establecer para cumplir la exigencia, sin perjuicio de que requiera un valor superior. En todo caso, conforme a la norma citada, este principio tiene excepciones para los acuerdos marco de precios, los contratos derivados de la selección abreviada por subasta inversa y el concurso de méritos, así como para los contratos que superan un millón –1’000.000– de </w:t>
      </w:r>
      <w:proofErr w:type="spellStart"/>
      <w:r w:rsidRPr="008E0161">
        <w:rPr>
          <w:rFonts w:ascii="Verdana" w:eastAsia="Calibri" w:hAnsi="Verdana" w:cs="Arial"/>
          <w:lang w:val="es-ES"/>
        </w:rPr>
        <w:t>smlmv</w:t>
      </w:r>
      <w:proofErr w:type="spellEnd"/>
      <w:r w:rsidRPr="008E0161">
        <w:rPr>
          <w:rFonts w:ascii="Verdana" w:eastAsia="Calibri" w:hAnsi="Verdana" w:cs="Arial"/>
          <w:lang w:val="es-ES"/>
        </w:rPr>
        <w:t xml:space="preserve">. </w:t>
      </w:r>
    </w:p>
    <w:p w14:paraId="79711EB6" w14:textId="77777777" w:rsidR="00647CE0" w:rsidRPr="008E0161" w:rsidRDefault="00647CE0" w:rsidP="00647CE0">
      <w:pPr>
        <w:spacing w:after="120" w:line="276" w:lineRule="auto"/>
        <w:ind w:firstLine="709"/>
        <w:jc w:val="both"/>
        <w:rPr>
          <w:rFonts w:ascii="Verdana" w:eastAsia="Calibri" w:hAnsi="Verdana" w:cs="Arial"/>
          <w:lang w:val="es-ES"/>
        </w:rPr>
      </w:pPr>
      <w:bookmarkStart w:id="8" w:name="_Hlk47893525"/>
      <w:r w:rsidRPr="008E0161">
        <w:rPr>
          <w:rFonts w:ascii="Verdana" w:eastAsia="Calibri" w:hAnsi="Verdana" w:cs="Arial"/>
          <w:lang w:val="es-ES"/>
        </w:rPr>
        <w:t>Respecto al tiempo, la norma dispone que debe estar vigente entre “la fecha de presentación de la propuesta” y hasta “la fecha de aprobación de la garantía única de cumplimiento”. Allí se indica la fecha de inicio –</w:t>
      </w:r>
      <w:proofErr w:type="spellStart"/>
      <w:r w:rsidRPr="008E0161">
        <w:rPr>
          <w:rFonts w:ascii="Verdana" w:eastAsia="Calibri" w:hAnsi="Verdana" w:cs="Arial"/>
          <w:i/>
          <w:iCs/>
          <w:lang w:val="es-ES"/>
        </w:rPr>
        <w:t>dies</w:t>
      </w:r>
      <w:proofErr w:type="spellEnd"/>
      <w:r w:rsidRPr="008E0161">
        <w:rPr>
          <w:rFonts w:ascii="Verdana" w:eastAsia="Calibri" w:hAnsi="Verdana" w:cs="Arial"/>
          <w:i/>
          <w:iCs/>
          <w:lang w:val="es-ES"/>
        </w:rPr>
        <w:t xml:space="preserve"> a quo</w:t>
      </w:r>
      <w:r w:rsidRPr="008E0161">
        <w:rPr>
          <w:rFonts w:ascii="Verdana" w:eastAsia="Calibri" w:hAnsi="Verdana" w:cs="Arial"/>
          <w:lang w:val="es-ES"/>
        </w:rPr>
        <w:t>–, pero la fecha final –</w:t>
      </w:r>
      <w:proofErr w:type="spellStart"/>
      <w:r w:rsidRPr="008E0161">
        <w:rPr>
          <w:rFonts w:ascii="Verdana" w:eastAsia="Calibri" w:hAnsi="Verdana" w:cs="Arial"/>
          <w:i/>
          <w:iCs/>
          <w:lang w:val="es-ES"/>
        </w:rPr>
        <w:t>dies</w:t>
      </w:r>
      <w:proofErr w:type="spellEnd"/>
      <w:r w:rsidRPr="008E0161">
        <w:rPr>
          <w:rFonts w:ascii="Verdana" w:eastAsia="Calibri" w:hAnsi="Verdana" w:cs="Arial"/>
          <w:i/>
          <w:iCs/>
          <w:lang w:val="es-ES"/>
        </w:rPr>
        <w:t xml:space="preserve"> ad </w:t>
      </w:r>
      <w:proofErr w:type="spellStart"/>
      <w:r w:rsidRPr="008E0161">
        <w:rPr>
          <w:rFonts w:ascii="Verdana" w:eastAsia="Calibri" w:hAnsi="Verdana" w:cs="Arial"/>
          <w:i/>
          <w:iCs/>
          <w:lang w:val="es-ES"/>
        </w:rPr>
        <w:t>quem</w:t>
      </w:r>
      <w:proofErr w:type="spellEnd"/>
      <w:r w:rsidRPr="008E0161">
        <w:rPr>
          <w:rFonts w:ascii="Verdana" w:eastAsia="Calibri" w:hAnsi="Verdana" w:cs="Arial"/>
          <w:lang w:val="es-ES"/>
        </w:rPr>
        <w:t>– se somete a una estimación razonable sobre el tiempo que toma adelantar el procedimiento de selección y la posterior legalización del contrato, especialmente cuando la aprobación de la garantía es uno de los requisitos de ejecución</w:t>
      </w:r>
      <w:r w:rsidRPr="008E0161">
        <w:rPr>
          <w:rFonts w:ascii="Verdana" w:eastAsia="Calibri" w:hAnsi="Verdana" w:cs="Arial"/>
          <w:vertAlign w:val="superscript"/>
          <w:lang w:val="es-ES"/>
        </w:rPr>
        <w:footnoteReference w:id="5"/>
      </w:r>
      <w:r w:rsidRPr="008E0161">
        <w:rPr>
          <w:rFonts w:ascii="Verdana" w:eastAsia="Calibri" w:hAnsi="Verdana" w:cs="Arial"/>
          <w:lang w:val="es-ES"/>
        </w:rPr>
        <w:t xml:space="preserve">. </w:t>
      </w:r>
    </w:p>
    <w:p w14:paraId="03B41612" w14:textId="77777777" w:rsidR="00647CE0" w:rsidRPr="008E0161" w:rsidRDefault="00647CE0" w:rsidP="00647CE0">
      <w:pPr>
        <w:spacing w:after="120" w:line="276" w:lineRule="auto"/>
        <w:ind w:firstLine="709"/>
        <w:jc w:val="both"/>
        <w:rPr>
          <w:rFonts w:ascii="Verdana" w:eastAsia="Calibri" w:hAnsi="Verdana" w:cs="Arial"/>
          <w:lang w:val="es-ES"/>
        </w:rPr>
      </w:pPr>
      <w:r w:rsidRPr="008E0161">
        <w:rPr>
          <w:rFonts w:ascii="Verdana" w:eastAsia="Calibri" w:hAnsi="Verdana" w:cs="Arial"/>
          <w:lang w:val="es-ES"/>
        </w:rPr>
        <w:t xml:space="preserve">Naturalmente, como el cronograma del procedimiento de contratación puede ampliarse, por sucesos inesperados, o por otras razones, el plazo que debe cubrir la garantía de seriedad se determina a partir de un </w:t>
      </w:r>
      <w:r w:rsidRPr="008E0161">
        <w:rPr>
          <w:rFonts w:ascii="Verdana" w:eastAsia="Calibri" w:hAnsi="Verdana" w:cs="Arial"/>
          <w:i/>
          <w:iCs/>
          <w:lang w:val="es-ES"/>
        </w:rPr>
        <w:t>período de incertidumbre,</w:t>
      </w:r>
      <w:r w:rsidRPr="008E0161">
        <w:rPr>
          <w:rFonts w:ascii="Verdana" w:eastAsia="Calibri" w:hAnsi="Verdana" w:cs="Arial"/>
          <w:lang w:val="es-ES"/>
        </w:rPr>
        <w:t xml:space="preserve"> bajo el cual las entidades disponen que la seriedad del ofrecimiento tenga una vigencia superior a la duración del procedimiento de selección, incluyendo tanto el plazo de suscripción del contrato como el de aprobación de la garantía única.</w:t>
      </w:r>
    </w:p>
    <w:p w14:paraId="2EBF5E06" w14:textId="77777777" w:rsidR="00647CE0" w:rsidRPr="008E0161" w:rsidRDefault="00647CE0" w:rsidP="00647CE0">
      <w:pPr>
        <w:spacing w:after="120" w:line="276" w:lineRule="auto"/>
        <w:ind w:firstLine="709"/>
        <w:jc w:val="both"/>
        <w:rPr>
          <w:rFonts w:ascii="Verdana" w:eastAsia="Calibri" w:hAnsi="Verdana" w:cs="Arial"/>
          <w:lang w:val="es-ES"/>
        </w:rPr>
      </w:pPr>
      <w:r w:rsidRPr="008E0161">
        <w:rPr>
          <w:rFonts w:ascii="Verdana" w:eastAsia="Calibri" w:hAnsi="Verdana" w:cs="Arial"/>
          <w:lang w:val="es-ES"/>
        </w:rPr>
        <w:t xml:space="preserve">Normalmente, en el pliego de condiciones, o en la invitación a contratar, las entidades “acostumbran” exigir a los proponentes que garanticen la seriedad de la propuesta durante 3 meses –pudiendo ser de más o menos tiempo–, para cubrir el lapso que tarda el trámite precontractual, pero también los eventuales contratiempos y hasta las eventuales ampliaciones de las distintas etapas del procedimiento de selección, así como la posterior firma del contrato y aprobación de la garantía de cumplimiento, lo que evita que la Administración solicite frecuentemente su prórroga. </w:t>
      </w:r>
    </w:p>
    <w:p w14:paraId="7E86C978" w14:textId="77777777" w:rsidR="00647CE0" w:rsidRPr="008E0161" w:rsidRDefault="00647CE0" w:rsidP="00647CE0">
      <w:pPr>
        <w:spacing w:after="120" w:line="276" w:lineRule="auto"/>
        <w:ind w:firstLine="709"/>
        <w:jc w:val="both"/>
        <w:rPr>
          <w:rFonts w:ascii="Verdana" w:eastAsia="Calibri" w:hAnsi="Verdana" w:cs="Arial"/>
          <w:lang w:val="es-ES"/>
        </w:rPr>
      </w:pPr>
      <w:r w:rsidRPr="008E0161">
        <w:rPr>
          <w:rFonts w:ascii="Verdana" w:eastAsia="Calibri" w:hAnsi="Verdana" w:cs="Arial"/>
          <w:lang w:val="es-ES"/>
        </w:rPr>
        <w:t xml:space="preserve">Por tanto, la entidad calcula y establece un </w:t>
      </w:r>
      <w:r w:rsidRPr="008E0161">
        <w:rPr>
          <w:rFonts w:ascii="Verdana" w:eastAsia="Calibri" w:hAnsi="Verdana" w:cs="Arial"/>
          <w:i/>
          <w:iCs/>
          <w:lang w:val="es-ES"/>
        </w:rPr>
        <w:t xml:space="preserve">término </w:t>
      </w:r>
      <w:r w:rsidRPr="008E0161">
        <w:rPr>
          <w:rFonts w:ascii="Verdana" w:eastAsia="Calibri" w:hAnsi="Verdana" w:cs="Arial"/>
          <w:lang w:val="es-ES"/>
        </w:rPr>
        <w:t xml:space="preserve">para realizar el procedimiento de selección, firmar el contrato y aprobar la garantía de </w:t>
      </w:r>
      <w:r w:rsidRPr="008E0161">
        <w:rPr>
          <w:rFonts w:ascii="Verdana" w:eastAsia="Calibri" w:hAnsi="Verdana" w:cs="Arial"/>
          <w:lang w:val="es-ES"/>
        </w:rPr>
        <w:lastRenderedPageBreak/>
        <w:t xml:space="preserve">cumplimiento, contado a partir de la recepción de las propuestas, fecha que se define al elaborar el pliego o la invitación. Esta </w:t>
      </w:r>
      <w:r w:rsidRPr="008E0161">
        <w:rPr>
          <w:rFonts w:ascii="Verdana" w:eastAsia="Calibri" w:hAnsi="Verdana" w:cs="Arial"/>
          <w:i/>
          <w:iCs/>
          <w:lang w:val="es-ES"/>
        </w:rPr>
        <w:t>estimación</w:t>
      </w:r>
      <w:r w:rsidRPr="008E0161">
        <w:rPr>
          <w:rFonts w:ascii="Verdana" w:eastAsia="Calibri" w:hAnsi="Verdana" w:cs="Arial"/>
          <w:lang w:val="es-ES"/>
        </w:rPr>
        <w:t xml:space="preserve"> corresponde a la vigencia de la garantía precontractual, y las </w:t>
      </w:r>
      <w:proofErr w:type="gramStart"/>
      <w:r w:rsidRPr="008E0161">
        <w:rPr>
          <w:rFonts w:ascii="Verdana" w:eastAsia="Calibri" w:hAnsi="Verdana" w:cs="Arial"/>
          <w:lang w:val="es-ES"/>
        </w:rPr>
        <w:t>autoridades públicas</w:t>
      </w:r>
      <w:proofErr w:type="gramEnd"/>
      <w:r w:rsidRPr="008E0161">
        <w:rPr>
          <w:rFonts w:ascii="Verdana" w:eastAsia="Calibri" w:hAnsi="Verdana" w:cs="Arial"/>
          <w:lang w:val="es-ES"/>
        </w:rPr>
        <w:t xml:space="preserve"> lo fijan discrecionalmente, salvo que se trate de un procedimiento regulado por documentos tipo</w:t>
      </w:r>
      <w:bookmarkEnd w:id="8"/>
      <w:r w:rsidRPr="008E0161">
        <w:rPr>
          <w:rFonts w:ascii="Verdana" w:eastAsia="Calibri" w:hAnsi="Verdana" w:cs="Arial"/>
          <w:vertAlign w:val="superscript"/>
          <w:lang w:val="es-ES"/>
        </w:rPr>
        <w:footnoteReference w:id="6"/>
      </w:r>
      <w:r w:rsidRPr="008E0161">
        <w:rPr>
          <w:rFonts w:ascii="Verdana" w:eastAsia="Calibri" w:hAnsi="Verdana" w:cs="Arial"/>
          <w:lang w:val="es-ES"/>
        </w:rPr>
        <w:t xml:space="preserve">.    </w:t>
      </w:r>
    </w:p>
    <w:p w14:paraId="13EBF0C4" w14:textId="77777777" w:rsidR="00647CE0" w:rsidRPr="008E0161" w:rsidRDefault="00647CE0" w:rsidP="00647CE0">
      <w:pPr>
        <w:spacing w:after="120" w:line="276" w:lineRule="auto"/>
        <w:ind w:firstLine="709"/>
        <w:jc w:val="both"/>
        <w:rPr>
          <w:rFonts w:ascii="Verdana" w:eastAsia="Calibri" w:hAnsi="Verdana" w:cs="Arial"/>
          <w:lang w:val="es-ES"/>
        </w:rPr>
      </w:pPr>
      <w:r w:rsidRPr="008E0161">
        <w:rPr>
          <w:rFonts w:ascii="Verdana" w:eastAsia="Calibri" w:hAnsi="Verdana" w:cs="Arial"/>
          <w:lang w:val="es-ES"/>
        </w:rPr>
        <w:t xml:space="preserve">Esta característica diferencia la garantía de seriedad de otros amparos, pues el Decreto 1082 de 2015 define, para muchos, tanto la fecha de inicio como la fecha de terminación. Por ejemplo, el artículo 2.2.1.2.3.1.13 dispone que el amparo de pago de salarios y prestaciones sociales tiene una vigencia equivalente al plazo del contrato y tres (3) años más; para la estabilidad de la obra, el artículo 2.2.1.2.3.1.14 dispone que el amparo estará vigente por un término no inferior a cinco (5) años, contado a partir del recibo a satisfacción; y para el seguro de responsabilidad civil extracontractual, la vigencia debe ser igual o superior al plazo de ejecución del contrato. </w:t>
      </w:r>
    </w:p>
    <w:p w14:paraId="5D803F88" w14:textId="77777777" w:rsidR="00647CE0" w:rsidRPr="008E0161" w:rsidRDefault="00647CE0" w:rsidP="00647CE0">
      <w:pPr>
        <w:spacing w:after="120" w:line="276" w:lineRule="auto"/>
        <w:ind w:firstLine="709"/>
        <w:jc w:val="both"/>
        <w:rPr>
          <w:rFonts w:ascii="Verdana" w:eastAsia="Calibri" w:hAnsi="Verdana" w:cs="Arial"/>
          <w:lang w:val="es-ES"/>
        </w:rPr>
      </w:pPr>
      <w:r w:rsidRPr="008E0161">
        <w:rPr>
          <w:rFonts w:ascii="Verdana" w:eastAsia="Calibri" w:hAnsi="Verdana" w:cs="Arial"/>
          <w:lang w:val="es-ES"/>
        </w:rPr>
        <w:t xml:space="preserve">La determinación del </w:t>
      </w:r>
      <w:r w:rsidRPr="008E0161">
        <w:rPr>
          <w:rFonts w:ascii="Verdana" w:eastAsia="Calibri" w:hAnsi="Verdana" w:cs="Arial"/>
          <w:i/>
          <w:iCs/>
          <w:lang w:val="es-ES"/>
        </w:rPr>
        <w:t>valor</w:t>
      </w:r>
      <w:r w:rsidRPr="008E0161">
        <w:rPr>
          <w:rFonts w:ascii="Verdana" w:eastAsia="Calibri" w:hAnsi="Verdana" w:cs="Arial"/>
          <w:lang w:val="es-ES"/>
        </w:rPr>
        <w:t xml:space="preserve"> y el </w:t>
      </w:r>
      <w:r w:rsidRPr="008E0161">
        <w:rPr>
          <w:rFonts w:ascii="Verdana" w:eastAsia="Calibri" w:hAnsi="Verdana" w:cs="Arial"/>
          <w:i/>
          <w:iCs/>
          <w:lang w:val="es-ES"/>
        </w:rPr>
        <w:t>tiempo</w:t>
      </w:r>
      <w:r w:rsidRPr="008E0161">
        <w:rPr>
          <w:rFonts w:ascii="Verdana" w:eastAsia="Calibri" w:hAnsi="Verdana" w:cs="Arial"/>
          <w:lang w:val="es-ES"/>
        </w:rPr>
        <w:t xml:space="preserve"> de cobertura de esta garantía precontractual es esencial en el procedimiento de selección. Respecto al primero, corresponde a la sanción por el incumplimiento de la seriedad de la propuesta, delimitando la obligación pecuniaria de la aseguradora</w:t>
      </w:r>
      <w:r w:rsidRPr="008E0161">
        <w:rPr>
          <w:rFonts w:ascii="Verdana" w:eastAsia="Calibri" w:hAnsi="Verdana" w:cs="Arial"/>
          <w:vertAlign w:val="superscript"/>
          <w:lang w:val="es-ES"/>
        </w:rPr>
        <w:footnoteReference w:id="7"/>
      </w:r>
      <w:r w:rsidRPr="008E0161">
        <w:rPr>
          <w:rFonts w:ascii="Verdana" w:eastAsia="Calibri" w:hAnsi="Verdana" w:cs="Arial"/>
          <w:lang w:val="es-ES"/>
        </w:rPr>
        <w:t xml:space="preserve">. Lo anterior es una consecuencia del principio de responsabilidad, ya que el mantenimiento de la oferta está sujeto al deber de buena fe y, por tanto, el desconocimiento de las expectativas legítimas de la Administración autoriza la reparación de los perjuicios sufridos. Respecto al segundo, el </w:t>
      </w:r>
      <w:r w:rsidRPr="008E0161">
        <w:rPr>
          <w:rFonts w:ascii="Verdana" w:eastAsia="Calibri" w:hAnsi="Verdana" w:cs="Arial"/>
          <w:i/>
          <w:iCs/>
          <w:lang w:val="es-ES"/>
        </w:rPr>
        <w:t xml:space="preserve">plazo de cobertura </w:t>
      </w:r>
      <w:r w:rsidRPr="008E0161">
        <w:rPr>
          <w:rFonts w:ascii="Verdana" w:eastAsia="Calibri" w:hAnsi="Verdana" w:cs="Arial"/>
          <w:lang w:val="es-ES"/>
        </w:rPr>
        <w:t>delimita directamente</w:t>
      </w:r>
      <w:r w:rsidRPr="008E0161">
        <w:rPr>
          <w:rFonts w:ascii="Verdana" w:eastAsia="Calibri" w:hAnsi="Verdana" w:cs="Arial"/>
          <w:i/>
          <w:iCs/>
          <w:lang w:val="es-ES"/>
        </w:rPr>
        <w:t xml:space="preserve"> </w:t>
      </w:r>
      <w:r w:rsidRPr="008E0161">
        <w:rPr>
          <w:rFonts w:ascii="Verdana" w:eastAsia="Calibri" w:hAnsi="Verdana" w:cs="Arial"/>
          <w:lang w:val="es-ES"/>
        </w:rPr>
        <w:t xml:space="preserve">el período de vigencia de la oferta. </w:t>
      </w:r>
    </w:p>
    <w:p w14:paraId="1C122451" w14:textId="77777777" w:rsidR="00647CE0" w:rsidRPr="008E0161" w:rsidRDefault="00647CE0" w:rsidP="00647CE0">
      <w:pPr>
        <w:spacing w:after="120" w:line="276" w:lineRule="auto"/>
        <w:ind w:firstLine="709"/>
        <w:jc w:val="both"/>
        <w:rPr>
          <w:rFonts w:ascii="Verdana" w:eastAsia="Calibri" w:hAnsi="Verdana" w:cs="Arial"/>
          <w:lang w:val="es-ES"/>
        </w:rPr>
      </w:pPr>
      <w:r w:rsidRPr="008E0161">
        <w:rPr>
          <w:rFonts w:ascii="Verdana" w:eastAsia="Calibri" w:hAnsi="Verdana" w:cs="Arial"/>
          <w:lang w:val="es-ES"/>
        </w:rPr>
        <w:t xml:space="preserve">En ambos aspectos, es decir, tanto respecto al valor como al plazo, la garantía de seriedad tiene diferencias marcadas con el régimen de la irrevocabilidad de la oferta en el derecho privado. El inciso primero del artículo 846 del Código de Comercio dispone que “La propuesta será irrevocable, por lo tanto, una vez comunicada, no podrá retractarse el proponente, so pena de </w:t>
      </w:r>
      <w:r w:rsidRPr="008E0161">
        <w:rPr>
          <w:rFonts w:ascii="Verdana" w:eastAsia="Calibri" w:hAnsi="Verdana" w:cs="Arial"/>
          <w:lang w:val="es-ES"/>
        </w:rPr>
        <w:lastRenderedPageBreak/>
        <w:t xml:space="preserve">indemnizar los perjuicios que con su revocación cause al destinatario”. Aunque la contratación estatal se rige por una regla similar, son evidentes los matices introducidos en el régimen de la garantía precontractual, pues el artículo 2.2.1.2.3.2.8 del Decreto 1082 de 2015 dispone que “En caso de siniestro en la garantía de la seriedad de la oferta, la compañía de seguros debe responder por el total del valor asegurado a título de sanción”. </w:t>
      </w:r>
    </w:p>
    <w:p w14:paraId="7F07FE14" w14:textId="77777777" w:rsidR="00647CE0" w:rsidRPr="008E0161" w:rsidRDefault="00647CE0" w:rsidP="00647CE0">
      <w:pPr>
        <w:spacing w:after="120" w:line="276" w:lineRule="auto"/>
        <w:ind w:firstLine="709"/>
        <w:jc w:val="both"/>
        <w:rPr>
          <w:rFonts w:ascii="Verdana" w:eastAsia="Calibri" w:hAnsi="Verdana" w:cs="Arial"/>
          <w:lang w:val="es-ES"/>
        </w:rPr>
      </w:pPr>
      <w:r w:rsidRPr="008E0161">
        <w:rPr>
          <w:rFonts w:ascii="Verdana" w:eastAsia="Calibri" w:hAnsi="Verdana" w:cs="Arial"/>
          <w:lang w:val="es-ES"/>
        </w:rPr>
        <w:t xml:space="preserve">De acuerdo con las anteriores consideraciones, la vigencia de la garantía de seriedad de la oferta en principio exigida por el artículo 2.2.1.2.3.1.9 del Decreto 1082 de 2015 abarca el momento de realización de la audiencia de adjudicación. Esto en la medida en que tal hito del </w:t>
      </w:r>
      <w:proofErr w:type="spellStart"/>
      <w:r w:rsidRPr="008E0161">
        <w:rPr>
          <w:rFonts w:ascii="Verdana" w:eastAsia="Calibri" w:hAnsi="Verdana" w:cs="Arial"/>
          <w:i/>
          <w:iCs/>
          <w:lang w:val="es-ES"/>
        </w:rPr>
        <w:t>iter</w:t>
      </w:r>
      <w:proofErr w:type="spellEnd"/>
      <w:r w:rsidRPr="008E0161">
        <w:rPr>
          <w:rFonts w:ascii="Verdana" w:eastAsia="Calibri" w:hAnsi="Verdana" w:cs="Arial"/>
          <w:i/>
          <w:iCs/>
          <w:lang w:val="es-ES"/>
        </w:rPr>
        <w:t xml:space="preserve"> </w:t>
      </w:r>
      <w:r w:rsidRPr="008E0161">
        <w:rPr>
          <w:rFonts w:ascii="Verdana" w:eastAsia="Calibri" w:hAnsi="Verdana" w:cs="Arial"/>
          <w:lang w:val="es-ES"/>
        </w:rPr>
        <w:t xml:space="preserve">precontractual es posterior a la presentación de la oferta, y, naturalmente, previo a la aprobación de la garantía única de cumplimiento, que da inicio al periodo de ejecución del contrato ya adjudicado.  </w:t>
      </w:r>
    </w:p>
    <w:p w14:paraId="70AB507B" w14:textId="77777777" w:rsidR="00647CE0" w:rsidRPr="008E0161" w:rsidRDefault="00647CE0" w:rsidP="00647CE0">
      <w:pPr>
        <w:spacing w:after="120" w:line="276" w:lineRule="auto"/>
        <w:ind w:firstLine="709"/>
        <w:jc w:val="both"/>
        <w:rPr>
          <w:rFonts w:ascii="Verdana" w:eastAsia="Calibri" w:hAnsi="Verdana" w:cs="Arial"/>
          <w:lang w:val="es-ES"/>
        </w:rPr>
      </w:pPr>
      <w:r w:rsidRPr="008E0161">
        <w:rPr>
          <w:rFonts w:ascii="Verdana" w:eastAsia="Calibri" w:hAnsi="Verdana" w:cs="Arial"/>
          <w:lang w:val="es-ES"/>
        </w:rPr>
        <w:t>No obstante, no debe perderse de vista que la garantía de seriedad es constituida de manera previa a la presentación de la oferta, por un término que se supone abarca tanto una fecha de inicio como una fecha de terminación establecidas en el artículo 2.2.1.2.3.1.9</w:t>
      </w:r>
      <w:r w:rsidRPr="008E0161">
        <w:rPr>
          <w:rFonts w:ascii="Verdana" w:eastAsia="Calibri" w:hAnsi="Verdana" w:cs="Arial"/>
          <w:i/>
          <w:iCs/>
          <w:lang w:val="es-ES"/>
        </w:rPr>
        <w:t xml:space="preserve"> </w:t>
      </w:r>
      <w:proofErr w:type="spellStart"/>
      <w:r w:rsidRPr="008E0161">
        <w:rPr>
          <w:rFonts w:ascii="Verdana" w:eastAsia="Calibri" w:hAnsi="Verdana" w:cs="Arial"/>
          <w:i/>
          <w:iCs/>
          <w:lang w:val="es-ES"/>
        </w:rPr>
        <w:t>Ibídem</w:t>
      </w:r>
      <w:proofErr w:type="spellEnd"/>
      <w:r w:rsidRPr="008E0161">
        <w:rPr>
          <w:rFonts w:ascii="Verdana" w:eastAsia="Calibri" w:hAnsi="Verdana" w:cs="Arial"/>
          <w:i/>
          <w:iCs/>
          <w:lang w:val="es-ES"/>
        </w:rPr>
        <w:t>,</w:t>
      </w:r>
      <w:r w:rsidRPr="008E0161">
        <w:rPr>
          <w:rFonts w:ascii="Verdana" w:eastAsia="Calibri" w:hAnsi="Verdana" w:cs="Arial"/>
          <w:lang w:val="es-ES"/>
        </w:rPr>
        <w:t xml:space="preserve"> aterrizados en unas fechas concretas determinadas por el cronograma del proceso de selección. Esto significa que las alteraciones del cronograma del proceso de selección, que se presenten de manera sobreviniente a la constitución de la garantía de seriedad, podrían incidir en el cumplimiento de la vigencia exigida por el reglamento. </w:t>
      </w:r>
    </w:p>
    <w:p w14:paraId="773B6B67" w14:textId="77777777" w:rsidR="00647CE0" w:rsidRPr="008E0161" w:rsidRDefault="00647CE0" w:rsidP="00647CE0">
      <w:pPr>
        <w:spacing w:after="120" w:line="276" w:lineRule="auto"/>
        <w:ind w:firstLine="709"/>
        <w:jc w:val="both"/>
        <w:rPr>
          <w:rFonts w:ascii="Verdana" w:eastAsia="Calibri" w:hAnsi="Verdana" w:cs="Arial"/>
          <w:lang w:val="es-ES"/>
        </w:rPr>
      </w:pPr>
      <w:r w:rsidRPr="008E0161">
        <w:rPr>
          <w:rFonts w:ascii="Verdana" w:eastAsia="Calibri" w:hAnsi="Verdana" w:cs="Arial"/>
          <w:lang w:val="es-ES"/>
        </w:rPr>
        <w:t xml:space="preserve">En ese sentido, eventos como la prórroga o la suspensión del proceso de contratación, </w:t>
      </w:r>
      <w:proofErr w:type="gramStart"/>
      <w:r w:rsidRPr="008E0161">
        <w:rPr>
          <w:rFonts w:ascii="Verdana" w:eastAsia="Calibri" w:hAnsi="Verdana" w:cs="Arial"/>
          <w:lang w:val="es-ES"/>
        </w:rPr>
        <w:t>que</w:t>
      </w:r>
      <w:proofErr w:type="gramEnd"/>
      <w:r w:rsidRPr="008E0161">
        <w:rPr>
          <w:rFonts w:ascii="Verdana" w:eastAsia="Calibri" w:hAnsi="Verdana" w:cs="Arial"/>
          <w:lang w:val="es-ES"/>
        </w:rPr>
        <w:t xml:space="preserve"> a pesar de no estar expresamente regulados por el EGCAP, pero que suelen presentarse en la práctica contractual, pueden afectar la vigencia de la garantía objeto de estudio. </w:t>
      </w:r>
    </w:p>
    <w:p w14:paraId="3D943DD6" w14:textId="77777777" w:rsidR="00647CE0" w:rsidRPr="008E0161" w:rsidRDefault="00647CE0" w:rsidP="00647CE0">
      <w:pPr>
        <w:spacing w:after="120" w:line="276" w:lineRule="auto"/>
        <w:ind w:firstLine="709"/>
        <w:jc w:val="both"/>
        <w:rPr>
          <w:rFonts w:ascii="Verdana" w:eastAsia="Calibri" w:hAnsi="Verdana" w:cs="Arial"/>
          <w:lang w:val="es-ES"/>
        </w:rPr>
      </w:pPr>
      <w:r w:rsidRPr="008E0161">
        <w:rPr>
          <w:rFonts w:ascii="Verdana" w:eastAsia="Calibri" w:hAnsi="Verdana" w:cs="Arial"/>
          <w:lang w:val="es-ES"/>
        </w:rPr>
        <w:t xml:space="preserve">Ahora bien, conforme con lo previsto en el artículo 2.2.1.2.3.1.6 del Decreto 1082 de 2015, en relación con los eventos que cubre la sanción derivada del incumplimiento de la propuesta, se dispone lo siguiente: </w:t>
      </w:r>
    </w:p>
    <w:p w14:paraId="7B151879" w14:textId="77777777" w:rsidR="00647CE0" w:rsidRPr="008E0161" w:rsidRDefault="00647CE0" w:rsidP="00647CE0">
      <w:pPr>
        <w:spacing w:after="0" w:line="276" w:lineRule="auto"/>
        <w:ind w:left="720"/>
        <w:contextualSpacing/>
        <w:jc w:val="both"/>
        <w:rPr>
          <w:rFonts w:ascii="Verdana" w:eastAsia="Calibri" w:hAnsi="Verdana" w:cs="Arial"/>
          <w:lang w:val="es-ES"/>
        </w:rPr>
      </w:pPr>
    </w:p>
    <w:p w14:paraId="7358E313" w14:textId="77777777" w:rsidR="00647CE0" w:rsidRPr="008E0161" w:rsidRDefault="00647CE0" w:rsidP="00647CE0">
      <w:pPr>
        <w:spacing w:after="0" w:line="256" w:lineRule="auto"/>
        <w:ind w:left="1134" w:right="709"/>
        <w:jc w:val="both"/>
        <w:rPr>
          <w:rFonts w:ascii="Verdana" w:eastAsia="Calibri" w:hAnsi="Verdana" w:cs="Arial"/>
          <w:sz w:val="20"/>
          <w:szCs w:val="20"/>
        </w:rPr>
      </w:pPr>
      <w:r w:rsidRPr="008E0161">
        <w:rPr>
          <w:rFonts w:ascii="Verdana" w:eastAsia="Calibri" w:hAnsi="Verdana" w:cs="Arial"/>
          <w:sz w:val="20"/>
          <w:szCs w:val="20"/>
        </w:rPr>
        <w:t xml:space="preserve">“1. </w:t>
      </w:r>
      <w:bookmarkStart w:id="9" w:name="_Hlk47463074"/>
      <w:r w:rsidRPr="008E0161">
        <w:rPr>
          <w:rFonts w:ascii="Verdana" w:eastAsia="Calibri" w:hAnsi="Verdana" w:cs="Arial"/>
          <w:sz w:val="20"/>
          <w:szCs w:val="20"/>
        </w:rPr>
        <w:t>La no ampliación de la vigencia de la garantía de seriedad de la oferta cuando el plazo para la adjudicación o para suscribir el contrato es prorrogado, siempre que tal prórroga sea inferior a tres (3) meses</w:t>
      </w:r>
      <w:bookmarkEnd w:id="9"/>
      <w:r w:rsidRPr="008E0161">
        <w:rPr>
          <w:rFonts w:ascii="Verdana" w:eastAsia="Calibri" w:hAnsi="Verdana" w:cs="Arial"/>
          <w:sz w:val="20"/>
          <w:szCs w:val="20"/>
        </w:rPr>
        <w:t>.</w:t>
      </w:r>
    </w:p>
    <w:p w14:paraId="340C3954" w14:textId="77777777" w:rsidR="00647CE0" w:rsidRPr="008E0161" w:rsidRDefault="00647CE0" w:rsidP="00647CE0">
      <w:pPr>
        <w:spacing w:after="0" w:line="256" w:lineRule="auto"/>
        <w:ind w:left="1134" w:right="709"/>
        <w:jc w:val="both"/>
        <w:rPr>
          <w:rFonts w:ascii="Verdana" w:eastAsia="Calibri" w:hAnsi="Verdana" w:cs="Arial"/>
          <w:sz w:val="20"/>
          <w:szCs w:val="20"/>
        </w:rPr>
      </w:pPr>
    </w:p>
    <w:p w14:paraId="540014DF" w14:textId="77777777" w:rsidR="00647CE0" w:rsidRPr="008E0161" w:rsidRDefault="00647CE0" w:rsidP="00647CE0">
      <w:pPr>
        <w:spacing w:after="0" w:line="256" w:lineRule="auto"/>
        <w:ind w:left="1134" w:right="709"/>
        <w:jc w:val="both"/>
        <w:rPr>
          <w:rFonts w:ascii="Verdana" w:eastAsia="Calibri" w:hAnsi="Verdana" w:cs="Arial"/>
          <w:sz w:val="20"/>
          <w:szCs w:val="20"/>
        </w:rPr>
      </w:pPr>
      <w:r w:rsidRPr="008E0161">
        <w:rPr>
          <w:rFonts w:ascii="Verdana" w:eastAsia="Calibri" w:hAnsi="Verdana" w:cs="Arial"/>
          <w:sz w:val="20"/>
          <w:szCs w:val="20"/>
        </w:rPr>
        <w:t>2. El retiro de la oferta después de vencido el plazo fijado para la presentación de las ofertas.</w:t>
      </w:r>
    </w:p>
    <w:p w14:paraId="222D822F" w14:textId="77777777" w:rsidR="00647CE0" w:rsidRPr="008E0161" w:rsidRDefault="00647CE0" w:rsidP="00647CE0">
      <w:pPr>
        <w:spacing w:after="0" w:line="256" w:lineRule="auto"/>
        <w:ind w:left="1134" w:right="709"/>
        <w:jc w:val="both"/>
        <w:rPr>
          <w:rFonts w:ascii="Verdana" w:eastAsia="Calibri" w:hAnsi="Verdana" w:cs="Arial"/>
          <w:sz w:val="20"/>
          <w:szCs w:val="20"/>
        </w:rPr>
      </w:pPr>
    </w:p>
    <w:p w14:paraId="46E81061" w14:textId="77777777" w:rsidR="00647CE0" w:rsidRPr="008E0161" w:rsidRDefault="00647CE0" w:rsidP="00647CE0">
      <w:pPr>
        <w:spacing w:after="0" w:line="256" w:lineRule="auto"/>
        <w:ind w:left="1134" w:right="709"/>
        <w:jc w:val="both"/>
        <w:rPr>
          <w:rFonts w:ascii="Verdana" w:eastAsia="Calibri" w:hAnsi="Verdana" w:cs="Arial"/>
          <w:sz w:val="20"/>
          <w:szCs w:val="20"/>
        </w:rPr>
      </w:pPr>
      <w:r w:rsidRPr="008E0161">
        <w:rPr>
          <w:rFonts w:ascii="Verdana" w:eastAsia="Calibri" w:hAnsi="Verdana" w:cs="Arial"/>
          <w:sz w:val="20"/>
          <w:szCs w:val="20"/>
        </w:rPr>
        <w:t>3. La no suscripción del contrato sin justa causa por parte del adjudicatario.</w:t>
      </w:r>
    </w:p>
    <w:p w14:paraId="4FC921C5" w14:textId="77777777" w:rsidR="00647CE0" w:rsidRPr="008E0161" w:rsidRDefault="00647CE0" w:rsidP="00647CE0">
      <w:pPr>
        <w:spacing w:after="0" w:line="256" w:lineRule="auto"/>
        <w:ind w:left="1134" w:right="709"/>
        <w:contextualSpacing/>
        <w:jc w:val="both"/>
        <w:rPr>
          <w:rFonts w:ascii="Verdana" w:eastAsia="Calibri" w:hAnsi="Verdana" w:cs="Arial"/>
          <w:sz w:val="20"/>
          <w:szCs w:val="20"/>
          <w:lang w:val="es-ES"/>
        </w:rPr>
      </w:pPr>
    </w:p>
    <w:p w14:paraId="722155CF" w14:textId="77777777" w:rsidR="00647CE0" w:rsidRPr="008E0161" w:rsidRDefault="00647CE0" w:rsidP="00647CE0">
      <w:pPr>
        <w:spacing w:after="0" w:line="256" w:lineRule="auto"/>
        <w:ind w:left="1134" w:right="709"/>
        <w:contextualSpacing/>
        <w:jc w:val="both"/>
        <w:rPr>
          <w:rFonts w:ascii="Verdana" w:eastAsia="Calibri" w:hAnsi="Verdana" w:cs="Arial"/>
          <w:sz w:val="20"/>
          <w:szCs w:val="20"/>
          <w:lang w:val="es-ES"/>
        </w:rPr>
      </w:pPr>
      <w:r w:rsidRPr="008E0161">
        <w:rPr>
          <w:rFonts w:ascii="Verdana" w:eastAsia="Calibri" w:hAnsi="Verdana" w:cs="Arial"/>
          <w:sz w:val="20"/>
          <w:szCs w:val="20"/>
          <w:lang w:val="es-ES"/>
        </w:rPr>
        <w:t xml:space="preserve">4. La </w:t>
      </w:r>
      <w:bookmarkStart w:id="10" w:name="_Hlk49506502"/>
      <w:r w:rsidRPr="008E0161">
        <w:rPr>
          <w:rFonts w:ascii="Verdana" w:eastAsia="Calibri" w:hAnsi="Verdana" w:cs="Arial"/>
          <w:sz w:val="20"/>
          <w:szCs w:val="20"/>
          <w:lang w:val="es-ES"/>
        </w:rPr>
        <w:t>falta de otorgamiento por parte del proponente seleccionado de la garantía de cumplimiento del contrato</w:t>
      </w:r>
      <w:bookmarkEnd w:id="10"/>
      <w:r w:rsidRPr="008E0161">
        <w:rPr>
          <w:rFonts w:ascii="Verdana" w:eastAsia="Calibri" w:hAnsi="Verdana" w:cs="Arial"/>
          <w:sz w:val="20"/>
          <w:szCs w:val="20"/>
          <w:lang w:val="es-ES"/>
        </w:rPr>
        <w:t>”.</w:t>
      </w:r>
      <w:r w:rsidRPr="008E0161">
        <w:rPr>
          <w:rFonts w:ascii="Verdana" w:eastAsia="Calibri" w:hAnsi="Verdana" w:cs="Arial"/>
          <w:lang w:val="es-ES"/>
        </w:rPr>
        <w:t xml:space="preserve"> </w:t>
      </w:r>
    </w:p>
    <w:p w14:paraId="03E5DED6" w14:textId="77777777" w:rsidR="00647CE0" w:rsidRPr="008E0161" w:rsidRDefault="00647CE0" w:rsidP="00647CE0">
      <w:pPr>
        <w:spacing w:after="120" w:line="256" w:lineRule="auto"/>
        <w:ind w:left="720" w:right="709"/>
        <w:contextualSpacing/>
        <w:jc w:val="both"/>
        <w:rPr>
          <w:rFonts w:ascii="Verdana" w:eastAsia="Calibri" w:hAnsi="Verdana" w:cs="Arial"/>
          <w:lang w:val="es-ES"/>
        </w:rPr>
      </w:pPr>
    </w:p>
    <w:p w14:paraId="24A27C4E" w14:textId="77777777" w:rsidR="00647CE0" w:rsidRPr="008E0161" w:rsidRDefault="00647CE0" w:rsidP="00647CE0">
      <w:pPr>
        <w:spacing w:after="120" w:line="276" w:lineRule="auto"/>
        <w:ind w:firstLine="709"/>
        <w:jc w:val="both"/>
        <w:rPr>
          <w:rFonts w:ascii="Verdana" w:eastAsia="Calibri" w:hAnsi="Verdana" w:cs="Arial"/>
        </w:rPr>
      </w:pPr>
      <w:r w:rsidRPr="008E0161">
        <w:rPr>
          <w:rFonts w:ascii="Verdana" w:eastAsia="Calibri" w:hAnsi="Verdana" w:cs="Arial"/>
        </w:rPr>
        <w:t>Las causales 1, 3 y 4 se configuran a través de omisiones –no ampliar, no suscribir y no otorgar–, mientras que la causal 2 se configura a través de una acción –retirar la oferta–. Además, guardan relación con diferentes etapas del procedimiento: mientras las causales 1, 2 y 3 están ubicadas en la etapa precontractual, la causal 4 lo está en la contractual. Finalmente, mientras las causales 2, 3 y 4 dependen de la conducta pura y simple del proponente, la causal 1 depende de una exigencia previa de la entidad contratante en la que, posteriormente, el oferente incumple el deber de mantener la vigencia de la garantía del ofrecimiento.</w:t>
      </w:r>
    </w:p>
    <w:p w14:paraId="08877788" w14:textId="77777777" w:rsidR="00647CE0" w:rsidRPr="008E0161" w:rsidRDefault="00647CE0" w:rsidP="00647CE0">
      <w:pPr>
        <w:spacing w:after="120" w:line="276" w:lineRule="auto"/>
        <w:ind w:firstLine="709"/>
        <w:jc w:val="both"/>
        <w:rPr>
          <w:rFonts w:ascii="Verdana" w:eastAsia="Calibri" w:hAnsi="Verdana" w:cs="Arial"/>
          <w:lang w:val="es-ES"/>
        </w:rPr>
      </w:pPr>
      <w:r w:rsidRPr="008E0161">
        <w:rPr>
          <w:rFonts w:ascii="Verdana" w:eastAsia="Calibri" w:hAnsi="Verdana" w:cs="Arial"/>
          <w:lang w:val="es-ES"/>
        </w:rPr>
        <w:t>En este contexto, cuando se presentan modificaciones al cronograma del proceso de selección que impliquen un cambio en la fecha de adjudicación, y que, en consecuencia, puedan afectar la vigencia de la garantía de seriedad de la oferta, resulta necesario ajustar dicha garantía con el objetivo de garantizar que se cumpla con el término establecido en el artículo 2.2.1.2.3.1.9 del Decreto 1082 de 2015, y que permanezca vigente hasta que se apruebe la garantía de cumplimiento del contrato. Lo anterior cobra especial relevancia cuando, por ejemplo, se han realizado aplazamientos de la audiencia de adjudicación y se advierte que la garantía inicialmente presentada no cubre la nueva fecha fijada para dicha audiencia. En estos casos, la entidad contratante debe requerir al proponente la ampliación, con el fin de asegurar que toda la etapa precontractual —hasta la adjudicación y suscripción del contrato— esté cubierta.</w:t>
      </w:r>
    </w:p>
    <w:p w14:paraId="500162EA" w14:textId="77777777" w:rsidR="00647CE0" w:rsidRPr="008E0161" w:rsidRDefault="00647CE0" w:rsidP="00647CE0">
      <w:pPr>
        <w:spacing w:after="120" w:line="276" w:lineRule="auto"/>
        <w:ind w:firstLine="709"/>
        <w:jc w:val="both"/>
        <w:rPr>
          <w:rFonts w:ascii="Verdana" w:eastAsia="Calibri" w:hAnsi="Verdana" w:cs="Arial"/>
          <w:lang w:val="es-ES"/>
        </w:rPr>
      </w:pPr>
      <w:r w:rsidRPr="008E0161">
        <w:rPr>
          <w:rFonts w:ascii="Verdana" w:eastAsia="Calibri" w:hAnsi="Verdana" w:cs="Arial"/>
          <w:lang w:val="es-ES"/>
        </w:rPr>
        <w:t xml:space="preserve">Este ajuste no solo se impone por mandato legal - ya que la norma determina el plazo de vigencia </w:t>
      </w:r>
      <w:r w:rsidRPr="008E0161">
        <w:rPr>
          <w:rFonts w:ascii="Verdana" w:eastAsia="Calibri" w:hAnsi="Verdana" w:cs="Arial"/>
          <w:i/>
          <w:iCs/>
          <w:lang w:val="es-ES"/>
        </w:rPr>
        <w:t>hasta la aprobación de la garantía de cumplimiento del contrato</w:t>
      </w:r>
      <w:r w:rsidRPr="008E0161">
        <w:rPr>
          <w:rFonts w:ascii="Verdana" w:eastAsia="Calibri" w:hAnsi="Verdana" w:cs="Arial"/>
          <w:lang w:val="es-ES"/>
        </w:rPr>
        <w:t>-, sino también como una medida indispensable para proteger el interés público</w:t>
      </w:r>
      <w:r w:rsidRPr="008E0161">
        <w:rPr>
          <w:rFonts w:ascii="Verdana" w:eastAsia="Calibri" w:hAnsi="Verdana" w:cs="Arial"/>
        </w:rPr>
        <w:t xml:space="preserve"> y el principio de responsabilidad en la contratación estatal</w:t>
      </w:r>
      <w:r w:rsidRPr="008E0161">
        <w:rPr>
          <w:rFonts w:ascii="Verdana" w:eastAsia="Calibri" w:hAnsi="Verdana" w:cs="Arial"/>
          <w:lang w:val="es-ES"/>
        </w:rPr>
        <w:t xml:space="preserve">. En efecto, si se llegara a configurar alguna de las causales previstas en el artículo 2.2.1.2.3.1.6 </w:t>
      </w:r>
      <w:r w:rsidRPr="008E0161">
        <w:rPr>
          <w:rFonts w:ascii="Verdana" w:eastAsia="Calibri" w:hAnsi="Verdana" w:cs="Arial"/>
          <w:i/>
          <w:iCs/>
          <w:lang w:val="es-ES"/>
        </w:rPr>
        <w:t>ibidem,</w:t>
      </w:r>
      <w:r w:rsidRPr="008E0161">
        <w:rPr>
          <w:rFonts w:ascii="Verdana" w:eastAsia="Calibri" w:hAnsi="Verdana" w:cs="Arial"/>
          <w:lang w:val="es-ES"/>
        </w:rPr>
        <w:t xml:space="preserve"> la entidad debe contar con una garantía vigente que le permita declararla exigible a título de sanción y brindar seguridad de que se mantengan los ofrecimientos realizados. Por lo tanto, no solo se trata de una </w:t>
      </w:r>
      <w:r w:rsidRPr="008E0161">
        <w:rPr>
          <w:rFonts w:ascii="Verdana" w:eastAsia="Calibri" w:hAnsi="Verdana" w:cs="Arial"/>
          <w:lang w:val="es-ES"/>
        </w:rPr>
        <w:lastRenderedPageBreak/>
        <w:t xml:space="preserve">obligación jurídica, sino de una condición necesaria para preservar la eficacia del proceso de contratación y la seguridad jurídica de todas las partes involucradas. </w:t>
      </w:r>
    </w:p>
    <w:p w14:paraId="603C81EC" w14:textId="77777777" w:rsidR="00647CE0" w:rsidRPr="008E0161" w:rsidRDefault="00647CE0" w:rsidP="00647CE0">
      <w:pPr>
        <w:spacing w:after="120" w:line="276" w:lineRule="auto"/>
        <w:ind w:firstLine="709"/>
        <w:jc w:val="both"/>
        <w:rPr>
          <w:rFonts w:ascii="Verdana" w:hAnsi="Verdana"/>
        </w:rPr>
      </w:pPr>
      <w:r w:rsidRPr="008E0161">
        <w:rPr>
          <w:rFonts w:ascii="Verdana" w:hAnsi="Verdana"/>
        </w:rPr>
        <w:t>Sobre el particular, el Consejo de Estado señaló que “Al estudiar la naturaleza y finalidad de la garantía de seriedad de la oferta en los procesos de selección de las entidades públicas, se concluyó que esta exigencia que tiene un origen legal no es meramente formal, sino que se trata de un aspecto esencial que desarrolla el principio de economía que rige este tipo de procesos, puesto que permite a las entidades contratantes tener un buen grado de certeza en cuanto a que la propuesta que sea escogida en el proceso se materializará con la celebración del contrato, o, en caso contrario, que se repararán los daños causados por no suscribirlo</w:t>
      </w:r>
      <w:r w:rsidRPr="008E0161">
        <w:rPr>
          <w:rFonts w:ascii="Verdana" w:hAnsi="Verdana"/>
          <w:vertAlign w:val="superscript"/>
        </w:rPr>
        <w:footnoteReference w:id="8"/>
      </w:r>
      <w:r w:rsidRPr="008E0161">
        <w:rPr>
          <w:rFonts w:ascii="Verdana" w:hAnsi="Verdana"/>
        </w:rPr>
        <w:t xml:space="preserve">”. </w:t>
      </w:r>
    </w:p>
    <w:p w14:paraId="0C512F8D" w14:textId="77777777" w:rsidR="00647CE0" w:rsidRPr="008E0161" w:rsidRDefault="00647CE0" w:rsidP="00647CE0">
      <w:pPr>
        <w:spacing w:after="120" w:line="276" w:lineRule="auto"/>
        <w:ind w:firstLine="709"/>
        <w:jc w:val="both"/>
        <w:rPr>
          <w:rFonts w:ascii="Verdana" w:hAnsi="Verdana"/>
        </w:rPr>
      </w:pPr>
      <w:r w:rsidRPr="008E0161">
        <w:rPr>
          <w:rFonts w:ascii="Verdana" w:hAnsi="Verdana"/>
        </w:rPr>
        <w:t xml:space="preserve">En este sentido, si el propósito de exigir la garantía de seriedad de la oferta es asegurar que las propuestas presentadas durante el proceso de selección se cumplan y, en consecuencia, que se firme el contrato, es necesario concluir que dicha garantía debe mantenerse vigente durante todo el tiempo que dure el proceso de selección, hasta la etapa que establece el </w:t>
      </w:r>
      <w:r w:rsidRPr="008E0161">
        <w:rPr>
          <w:rFonts w:ascii="Verdana" w:eastAsia="Calibri" w:hAnsi="Verdana" w:cs="Arial"/>
          <w:lang w:val="es-ES"/>
        </w:rPr>
        <w:t xml:space="preserve">artículo 2.2.1.2.3.1.9 del Decreto 1082 de 2015, lo cual </w:t>
      </w:r>
      <w:r w:rsidRPr="008E0161">
        <w:rPr>
          <w:rFonts w:ascii="Verdana" w:hAnsi="Verdana"/>
        </w:rPr>
        <w:t xml:space="preserve">incluye la audiencia de adjudicación. Sobre este aspecto, es recomendable que las entidades determinen la obligación de ampliación de la garantía de seriedad de la oferta en los pliegos de condiciones en los eventos de modificación del cronograma y las consecuencias de no realizarlo, de manera que cubra toda la etapa precontractual hasta la aprobación de la garantía de cumplimiento, como lo señala el reglamento. </w:t>
      </w:r>
    </w:p>
    <w:p w14:paraId="2199EE85" w14:textId="77777777" w:rsidR="00647CE0" w:rsidRPr="008E0161" w:rsidRDefault="00647CE0" w:rsidP="00647CE0">
      <w:pPr>
        <w:spacing w:after="120" w:line="276" w:lineRule="auto"/>
        <w:ind w:firstLine="709"/>
        <w:jc w:val="both"/>
        <w:rPr>
          <w:rFonts w:ascii="Verdana" w:hAnsi="Verdana"/>
        </w:rPr>
      </w:pPr>
      <w:r w:rsidRPr="008E0161">
        <w:rPr>
          <w:rFonts w:ascii="Verdana" w:hAnsi="Verdana"/>
        </w:rPr>
        <w:t>A modo de ilustración, vale la pena indicar que en el numeral 7.1 “Garantía de Seriedad de la Oferta” de los documentos tipo de licitación de infraestructura de transporte – Versión 4- se establece que “</w:t>
      </w:r>
      <w:r w:rsidRPr="008E0161">
        <w:rPr>
          <w:rFonts w:ascii="Verdana" w:hAnsi="Verdana"/>
          <w:lang w:val="es-MX"/>
        </w:rPr>
        <w:t xml:space="preserve">Si en desarrollo del proceso de selección se modifica el cronograma, </w:t>
      </w:r>
      <w:r w:rsidRPr="008E0161">
        <w:rPr>
          <w:rFonts w:ascii="Verdana" w:hAnsi="Verdana"/>
          <w:i/>
          <w:iCs/>
          <w:lang w:val="es-MX"/>
        </w:rPr>
        <w:t>el proponente deberá ampliar la vigencia de la garantía de seriedad de la oferta hasta tanto no se hayan perfeccionado y cumplido los requisitos de ejecución del respectivo contrato</w:t>
      </w:r>
      <w:r w:rsidRPr="008E0161">
        <w:rPr>
          <w:rFonts w:ascii="Verdana" w:hAnsi="Verdana"/>
          <w:lang w:val="es-MX"/>
        </w:rPr>
        <w:t>”</w:t>
      </w:r>
      <w:r w:rsidRPr="008E0161">
        <w:rPr>
          <w:rFonts w:ascii="Verdana" w:eastAsia="Calibri" w:hAnsi="Verdana" w:cs="Arial"/>
          <w:lang w:val="es-ES"/>
        </w:rPr>
        <w:t xml:space="preserve"> [Énfasis por fuera de texto]</w:t>
      </w:r>
      <w:r w:rsidRPr="008E0161">
        <w:rPr>
          <w:rFonts w:ascii="Verdana" w:hAnsi="Verdana"/>
          <w:lang w:val="es-MX"/>
        </w:rPr>
        <w:t xml:space="preserve">. De este modo, en cualquier </w:t>
      </w:r>
      <w:proofErr w:type="gramStart"/>
      <w:r w:rsidRPr="008E0161">
        <w:rPr>
          <w:rFonts w:ascii="Verdana" w:hAnsi="Verdana"/>
          <w:lang w:val="es-MX"/>
        </w:rPr>
        <w:t>caso</w:t>
      </w:r>
      <w:proofErr w:type="gramEnd"/>
      <w:r w:rsidRPr="008E0161">
        <w:rPr>
          <w:rFonts w:ascii="Verdana" w:hAnsi="Verdana"/>
          <w:lang w:val="es-MX"/>
        </w:rPr>
        <w:t xml:space="preserve"> que implique la modificación del cronograma, </w:t>
      </w:r>
      <w:r w:rsidRPr="008E0161">
        <w:rPr>
          <w:rFonts w:ascii="Verdana" w:hAnsi="Verdana"/>
        </w:rPr>
        <w:t xml:space="preserve">el proponente está obligado a extender el tiempo de vigencia de la </w:t>
      </w:r>
      <w:r w:rsidRPr="008E0161">
        <w:rPr>
          <w:rFonts w:ascii="Verdana" w:hAnsi="Verdana"/>
        </w:rPr>
        <w:lastRenderedPageBreak/>
        <w:t xml:space="preserve">garantía de seriedad de la oferta, hasta que el contrato se haya perfeccionado y se hayan cumplido todos los requisitos necesarios para su ejecución. </w:t>
      </w:r>
    </w:p>
    <w:p w14:paraId="296023EF" w14:textId="77777777" w:rsidR="00647CE0" w:rsidRPr="008E0161" w:rsidRDefault="00647CE0" w:rsidP="00647CE0">
      <w:pPr>
        <w:spacing w:after="120" w:line="276" w:lineRule="auto"/>
        <w:ind w:firstLine="709"/>
        <w:jc w:val="both"/>
        <w:rPr>
          <w:rFonts w:ascii="Verdana" w:hAnsi="Verdana"/>
        </w:rPr>
      </w:pPr>
      <w:r w:rsidRPr="008E0161">
        <w:rPr>
          <w:rFonts w:ascii="Verdana" w:hAnsi="Verdana"/>
        </w:rPr>
        <w:t xml:space="preserve">En ese orden de ideas, si bien la garantía de seriedad de la oferta debe constituirse con un término de vigencia mínimo conforme a lo dispuesto en el artículo 2.2.1.2.3.1.9 del Decreto 1082 de 2015, dicho término se proyecta sobre fechas concretas determinadas en el cronograma del proceso de selección. No obstante, pueden presentarse circunstancias, como la prórroga o la modificación de la audiencia de adjudicación, que impliquen una alteración de la fecha inicialmente prevista para la finalización de la vigencia de dicha garantía. En tales eventos, lo recomendable y procedente es que la entidad contratante requiera a los oferentes la ampliación del término de la garantía, con el fin de asegurar que esta cubra la nueva fecha prevista para la adjudicación y, </w:t>
      </w:r>
      <w:r w:rsidRPr="008E0161">
        <w:rPr>
          <w:rFonts w:ascii="Verdana" w:eastAsia="Calibri" w:hAnsi="Verdana" w:cs="Arial"/>
          <w:lang w:val="es-ES"/>
        </w:rPr>
        <w:t xml:space="preserve">así garantizar la irrevocabilidad de la oferta. </w:t>
      </w:r>
    </w:p>
    <w:p w14:paraId="684F4377" w14:textId="77777777" w:rsidR="00647CE0" w:rsidRPr="008E0161" w:rsidRDefault="00647CE0" w:rsidP="00647CE0">
      <w:pPr>
        <w:spacing w:after="120" w:line="276" w:lineRule="auto"/>
        <w:ind w:firstLine="709"/>
        <w:jc w:val="both"/>
        <w:rPr>
          <w:rFonts w:ascii="Verdana" w:hAnsi="Verdana"/>
        </w:rPr>
      </w:pPr>
      <w:r w:rsidRPr="008E0161">
        <w:rPr>
          <w:rFonts w:ascii="Verdana" w:eastAsia="Calibri" w:hAnsi="Verdana" w:cs="Arial"/>
          <w:bCs/>
          <w:color w:val="000000" w:themeColor="text1"/>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43DC1C8C" w14:textId="77777777" w:rsidR="00647CE0" w:rsidRPr="008E0161" w:rsidRDefault="00647CE0" w:rsidP="00647CE0">
      <w:pPr>
        <w:spacing w:after="0" w:line="276" w:lineRule="auto"/>
        <w:ind w:firstLine="708"/>
        <w:jc w:val="both"/>
        <w:rPr>
          <w:rFonts w:ascii="Verdana" w:eastAsia="Calibri" w:hAnsi="Verdana" w:cs="Arial"/>
          <w:bCs/>
          <w:color w:val="000000" w:themeColor="text1"/>
        </w:rPr>
      </w:pPr>
      <w:r w:rsidRPr="008E0161">
        <w:rPr>
          <w:rFonts w:ascii="Verdana" w:eastAsia="Calibri" w:hAnsi="Verdana" w:cs="Arial"/>
          <w:bCs/>
          <w:color w:val="000000" w:themeColor="text1"/>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p w14:paraId="6E400B69" w14:textId="77777777" w:rsidR="00647CE0" w:rsidRPr="008E0161" w:rsidRDefault="00647CE0" w:rsidP="00647CE0">
      <w:pPr>
        <w:widowControl w:val="0"/>
        <w:autoSpaceDE w:val="0"/>
        <w:autoSpaceDN w:val="0"/>
        <w:spacing w:after="0" w:line="276" w:lineRule="auto"/>
        <w:jc w:val="both"/>
        <w:rPr>
          <w:rFonts w:ascii="Verdana" w:eastAsia="Arial" w:hAnsi="Verdana" w:cs="Arial"/>
          <w:lang w:val="es-ES"/>
        </w:rPr>
      </w:pPr>
    </w:p>
    <w:p w14:paraId="2A02B235" w14:textId="77777777" w:rsidR="00647CE0" w:rsidRPr="008E0161" w:rsidRDefault="00647CE0" w:rsidP="00647CE0">
      <w:pPr>
        <w:numPr>
          <w:ilvl w:val="0"/>
          <w:numId w:val="1"/>
        </w:numPr>
        <w:tabs>
          <w:tab w:val="left" w:pos="142"/>
          <w:tab w:val="left" w:pos="284"/>
        </w:tabs>
        <w:spacing w:after="0" w:line="276" w:lineRule="auto"/>
        <w:jc w:val="both"/>
        <w:rPr>
          <w:rFonts w:ascii="Verdana" w:eastAsia="Century Gothic" w:hAnsi="Verdana" w:cs="Century Gothic"/>
          <w:b/>
          <w:bCs/>
        </w:rPr>
      </w:pPr>
      <w:r w:rsidRPr="008E0161">
        <w:rPr>
          <w:rFonts w:ascii="Verdana" w:eastAsia="Century Gothic" w:hAnsi="Verdana" w:cs="Century Gothic"/>
          <w:b/>
          <w:bCs/>
        </w:rPr>
        <w:t>Referencias normativas y jurisprudenciales:</w:t>
      </w:r>
    </w:p>
    <w:p w14:paraId="447B66DB" w14:textId="77777777" w:rsidR="00647CE0" w:rsidRPr="008E0161" w:rsidRDefault="00647CE0" w:rsidP="00647CE0">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647CE0" w:rsidRPr="008E0161" w14:paraId="47165A3E" w14:textId="77777777" w:rsidTr="00440F7E">
        <w:trPr>
          <w:trHeight w:val="410"/>
          <w:jc w:val="center"/>
        </w:trPr>
        <w:tc>
          <w:tcPr>
            <w:tcW w:w="8647" w:type="dxa"/>
          </w:tcPr>
          <w:p w14:paraId="4D25C3F6" w14:textId="77777777" w:rsidR="00647CE0" w:rsidRPr="008E0161" w:rsidRDefault="00647CE0" w:rsidP="00647CE0">
            <w:pPr>
              <w:widowControl w:val="0"/>
              <w:numPr>
                <w:ilvl w:val="0"/>
                <w:numId w:val="35"/>
              </w:numPr>
              <w:autoSpaceDE w:val="0"/>
              <w:autoSpaceDN w:val="0"/>
              <w:spacing w:line="276" w:lineRule="auto"/>
              <w:ind w:left="318" w:hanging="284"/>
              <w:jc w:val="both"/>
              <w:rPr>
                <w:rFonts w:ascii="Verdana" w:eastAsia="Calibri" w:hAnsi="Verdana" w:cs="Arial"/>
              </w:rPr>
            </w:pPr>
            <w:r w:rsidRPr="008E0161">
              <w:rPr>
                <w:rFonts w:ascii="Verdana" w:eastAsia="Calibri" w:hAnsi="Verdana" w:cs="Arial"/>
              </w:rPr>
              <w:lastRenderedPageBreak/>
              <w:t>Ley 1150 de 2007, artículo 7.</w:t>
            </w:r>
          </w:p>
          <w:p w14:paraId="3CDB9D7E" w14:textId="77777777" w:rsidR="00647CE0" w:rsidRPr="008E0161" w:rsidRDefault="00647CE0" w:rsidP="00647CE0">
            <w:pPr>
              <w:widowControl w:val="0"/>
              <w:numPr>
                <w:ilvl w:val="0"/>
                <w:numId w:val="35"/>
              </w:numPr>
              <w:autoSpaceDE w:val="0"/>
              <w:autoSpaceDN w:val="0"/>
              <w:spacing w:line="276" w:lineRule="auto"/>
              <w:ind w:left="318" w:hanging="284"/>
              <w:contextualSpacing/>
              <w:jc w:val="both"/>
              <w:rPr>
                <w:rFonts w:ascii="Verdana" w:eastAsia="Calibri" w:hAnsi="Verdana" w:cs="Arial"/>
              </w:rPr>
            </w:pPr>
            <w:r w:rsidRPr="008E0161">
              <w:rPr>
                <w:rFonts w:ascii="Verdana" w:eastAsia="Calibri" w:hAnsi="Verdana" w:cs="Arial"/>
              </w:rPr>
              <w:t xml:space="preserve">Decreto 1082 de 2015, artículos 2.2.1.2.3.1.9, 2.2.1.2.3.1.13, 2.2.1.2.3.1.14 y 2.2.1.2.3.1.6. </w:t>
            </w:r>
          </w:p>
          <w:p w14:paraId="5035BE8B" w14:textId="77777777" w:rsidR="00647CE0" w:rsidRPr="008E0161" w:rsidRDefault="00647CE0" w:rsidP="00647CE0">
            <w:pPr>
              <w:numPr>
                <w:ilvl w:val="0"/>
                <w:numId w:val="3"/>
              </w:numPr>
              <w:ind w:left="318" w:hanging="284"/>
              <w:contextualSpacing/>
              <w:jc w:val="both"/>
              <w:rPr>
                <w:rFonts w:ascii="Verdana" w:hAnsi="Verdana" w:cs="Arial"/>
                <w:lang w:val="es-MX"/>
              </w:rPr>
            </w:pPr>
            <w:r w:rsidRPr="008E0161">
              <w:rPr>
                <w:rFonts w:ascii="Verdana" w:eastAsia="Calibri" w:hAnsi="Verdana" w:cs="Arial"/>
              </w:rPr>
              <w:t>Código de Comercio, artículo 1068</w:t>
            </w:r>
          </w:p>
          <w:p w14:paraId="38DBB72F" w14:textId="77777777" w:rsidR="00647CE0" w:rsidRPr="008E0161" w:rsidRDefault="00647CE0" w:rsidP="00647CE0">
            <w:pPr>
              <w:numPr>
                <w:ilvl w:val="0"/>
                <w:numId w:val="3"/>
              </w:numPr>
              <w:ind w:left="318" w:hanging="284"/>
              <w:contextualSpacing/>
              <w:jc w:val="both"/>
              <w:rPr>
                <w:rFonts w:ascii="Verdana" w:hAnsi="Verdana" w:cs="Arial"/>
                <w:lang w:val="es-MX"/>
              </w:rPr>
            </w:pPr>
            <w:r w:rsidRPr="008E0161">
              <w:rPr>
                <w:rFonts w:ascii="Verdana" w:hAnsi="Verdana"/>
              </w:rPr>
              <w:t>Consejo de Estado. Sección Tercera. Sentencia del 10 de diciembre de 2018. Expediente: 39066. CP.: Carlos Alberto Zambrano Barrera.</w:t>
            </w:r>
          </w:p>
          <w:p w14:paraId="600F53FF" w14:textId="77777777" w:rsidR="00647CE0" w:rsidRPr="008E0161" w:rsidRDefault="00647CE0" w:rsidP="00647CE0">
            <w:pPr>
              <w:numPr>
                <w:ilvl w:val="0"/>
                <w:numId w:val="3"/>
              </w:numPr>
              <w:ind w:left="318" w:hanging="284"/>
              <w:contextualSpacing/>
              <w:jc w:val="both"/>
              <w:rPr>
                <w:rFonts w:ascii="Verdana" w:hAnsi="Verdana" w:cs="Arial"/>
                <w:lang w:val="es-MX"/>
              </w:rPr>
            </w:pPr>
            <w:r w:rsidRPr="008E0161">
              <w:rPr>
                <w:rFonts w:ascii="Verdana" w:hAnsi="Verdana" w:cs="Arial"/>
                <w:lang w:val="es-MX"/>
              </w:rPr>
              <w:t>Corte Constitucional. Sentencia C-452 de 1999. M.P. Eduardo Cifuentes Muñoz.</w:t>
            </w:r>
          </w:p>
        </w:tc>
      </w:tr>
    </w:tbl>
    <w:p w14:paraId="3F90D8FC" w14:textId="77777777" w:rsidR="00647CE0" w:rsidRPr="008E0161" w:rsidRDefault="00647CE0" w:rsidP="00647CE0">
      <w:pPr>
        <w:widowControl w:val="0"/>
        <w:autoSpaceDE w:val="0"/>
        <w:autoSpaceDN w:val="0"/>
        <w:spacing w:after="0" w:line="276" w:lineRule="auto"/>
        <w:jc w:val="both"/>
        <w:rPr>
          <w:rFonts w:ascii="Verdana" w:hAnsi="Verdana" w:cs="Arial"/>
        </w:rPr>
      </w:pPr>
    </w:p>
    <w:p w14:paraId="32E11AEF" w14:textId="77777777" w:rsidR="00647CE0" w:rsidRPr="008E0161" w:rsidRDefault="00647CE0" w:rsidP="00647CE0">
      <w:pPr>
        <w:numPr>
          <w:ilvl w:val="0"/>
          <w:numId w:val="1"/>
        </w:numPr>
        <w:tabs>
          <w:tab w:val="left" w:pos="142"/>
          <w:tab w:val="left" w:pos="284"/>
        </w:tabs>
        <w:spacing w:after="0" w:line="276" w:lineRule="auto"/>
        <w:jc w:val="both"/>
        <w:rPr>
          <w:rFonts w:ascii="Verdana" w:eastAsia="Century Gothic" w:hAnsi="Verdana" w:cs="Century Gothic"/>
          <w:b/>
          <w:bCs/>
        </w:rPr>
      </w:pPr>
      <w:r w:rsidRPr="008E0161">
        <w:rPr>
          <w:rFonts w:ascii="Verdana" w:eastAsia="Century Gothic" w:hAnsi="Verdana" w:cs="Century Gothic"/>
          <w:b/>
          <w:bCs/>
        </w:rPr>
        <w:t>Doctrina de la Agencia Nacional de Contratación Pública:</w:t>
      </w:r>
    </w:p>
    <w:p w14:paraId="00D2FF12" w14:textId="77777777" w:rsidR="00647CE0" w:rsidRPr="008E0161" w:rsidRDefault="00647CE0" w:rsidP="00647CE0">
      <w:pPr>
        <w:widowControl w:val="0"/>
        <w:autoSpaceDE w:val="0"/>
        <w:autoSpaceDN w:val="0"/>
        <w:spacing w:after="0" w:line="276" w:lineRule="auto"/>
        <w:jc w:val="both"/>
        <w:rPr>
          <w:rFonts w:ascii="Verdana" w:hAnsi="Verdana" w:cs="Arial"/>
        </w:rPr>
      </w:pPr>
    </w:p>
    <w:p w14:paraId="39900A84" w14:textId="77777777" w:rsidR="00647CE0" w:rsidRPr="008E0161" w:rsidRDefault="00647CE0" w:rsidP="00647CE0">
      <w:pPr>
        <w:widowControl w:val="0"/>
        <w:autoSpaceDE w:val="0"/>
        <w:autoSpaceDN w:val="0"/>
        <w:spacing w:after="120" w:line="276" w:lineRule="auto"/>
        <w:jc w:val="both"/>
        <w:rPr>
          <w:rFonts w:ascii="Verdana" w:eastAsia="Calibri" w:hAnsi="Verdana" w:cs="Arial"/>
          <w:color w:val="000000" w:themeColor="text1"/>
          <w:lang w:val="es-ES_tradnl" w:eastAsia="es-ES_tradnl"/>
        </w:rPr>
      </w:pPr>
      <w:r w:rsidRPr="008E0161">
        <w:rPr>
          <w:rFonts w:ascii="Verdana" w:eastAsia="Calibri" w:hAnsi="Verdana" w:cs="Arial"/>
          <w:shd w:val="clear" w:color="auto" w:fill="FFFFFF"/>
          <w:lang w:val="es-ES"/>
        </w:rPr>
        <w:t xml:space="preserve">La Agencia Nacional de Contratación Pública – Colombia Compra Eficiente explicó </w:t>
      </w:r>
      <w:r w:rsidRPr="008E0161">
        <w:rPr>
          <w:rFonts w:ascii="Verdana" w:eastAsia="Calibri" w:hAnsi="Verdana" w:cs="Arial"/>
          <w:shd w:val="clear" w:color="auto" w:fill="FFFFFF"/>
          <w:lang w:val="es-MX"/>
        </w:rPr>
        <w:t xml:space="preserve">Aspectos relativos a la garantía de seriedad de la oferta, su finalidad, vigencia y </w:t>
      </w:r>
      <w:proofErr w:type="spellStart"/>
      <w:r w:rsidRPr="008E0161">
        <w:rPr>
          <w:rFonts w:ascii="Verdana" w:eastAsia="Calibri" w:hAnsi="Verdana" w:cs="Arial"/>
          <w:shd w:val="clear" w:color="auto" w:fill="FFFFFF"/>
          <w:lang w:val="es-MX"/>
        </w:rPr>
        <w:t>subsanabilidad</w:t>
      </w:r>
      <w:proofErr w:type="spellEnd"/>
      <w:r w:rsidRPr="008E0161">
        <w:rPr>
          <w:rFonts w:ascii="Verdana" w:eastAsia="Calibri" w:hAnsi="Verdana" w:cs="Arial"/>
          <w:shd w:val="clear" w:color="auto" w:fill="FFFFFF"/>
          <w:lang w:val="es-MX"/>
        </w:rPr>
        <w:t xml:space="preserve"> </w:t>
      </w:r>
      <w:r w:rsidRPr="008E0161">
        <w:rPr>
          <w:rFonts w:ascii="Verdana" w:eastAsia="Calibri" w:hAnsi="Verdana" w:cs="Arial"/>
          <w:shd w:val="clear" w:color="auto" w:fill="FFFFFF"/>
          <w:lang w:val="es-ES"/>
        </w:rPr>
        <w:t>a través de los conceptos 2</w:t>
      </w:r>
      <w:r w:rsidRPr="008E0161">
        <w:rPr>
          <w:rFonts w:ascii="Verdana" w:eastAsia="Calibri" w:hAnsi="Verdana" w:cs="Arial"/>
          <w:shd w:val="clear" w:color="auto" w:fill="FFFFFF"/>
          <w:lang w:val="es-MX"/>
        </w:rPr>
        <w:t xml:space="preserve">201913000008068 del 28 de octubre del 2019, 2201913000008484 del 14 de noviembre del 2019, C-218 del 2 de abril de 2020, C-307 del 21 de mayo de 2020, C-391 del 10 de agosto de 2020, C-229 del 16 de abril de 2020, C-675 del 25 de noviembre de 2020, C-683 del 21 de noviembre de 2020, C-010 del 16 de febrero de 2021, C-487 del 30 de mayo de 2025. </w:t>
      </w:r>
      <w:r w:rsidRPr="008E0161">
        <w:rPr>
          <w:rFonts w:ascii="Verdana" w:hAnsi="Verdana" w:cs="Arial"/>
          <w:shd w:val="clear" w:color="auto" w:fill="FFFFFF"/>
        </w:rPr>
        <w:t>Es</w:t>
      </w:r>
      <w:r w:rsidRPr="008E0161">
        <w:rPr>
          <w:rFonts w:ascii="Verdana" w:hAnsi="Verdana"/>
        </w:rPr>
        <w:t>tos conceptos se encuentran disponibles para consulta en el Sistema de relatoría de la Agencia, al cual se puede acceder a través del siguiente enlace:</w:t>
      </w:r>
      <w:r w:rsidRPr="008E0161">
        <w:rPr>
          <w:rFonts w:ascii="Verdana" w:hAnsi="Verdana" w:cs="Arial"/>
          <w:shd w:val="clear" w:color="auto" w:fill="FFFFFF"/>
        </w:rPr>
        <w:t xml:space="preserve"> </w:t>
      </w:r>
      <w:hyperlink r:id="rId13" w:history="1">
        <w:r w:rsidRPr="008E0161">
          <w:rPr>
            <w:rFonts w:ascii="Verdana" w:hAnsi="Verdana" w:cs="Arial"/>
            <w:color w:val="0563C1" w:themeColor="hyperlink"/>
            <w:u w:val="single"/>
            <w:shd w:val="clear" w:color="auto" w:fill="FFFFFF"/>
          </w:rPr>
          <w:t>https://relatoria.colombiacompra.gov.co/busqueda/conceptos</w:t>
        </w:r>
      </w:hyperlink>
      <w:r w:rsidRPr="008E0161">
        <w:rPr>
          <w:rFonts w:ascii="Verdana" w:hAnsi="Verdana" w:cs="Arial"/>
          <w:shd w:val="clear" w:color="auto" w:fill="FFFFFF"/>
        </w:rPr>
        <w:t>.</w:t>
      </w:r>
      <w:r w:rsidRPr="008E0161">
        <w:rPr>
          <w:rFonts w:ascii="Verdana" w:hAnsi="Verdana" w:cs="Arial"/>
          <w:color w:val="FF0000"/>
          <w:shd w:val="clear" w:color="auto" w:fill="FFFFFF"/>
        </w:rPr>
        <w:t xml:space="preserve"> </w:t>
      </w:r>
      <w:r w:rsidRPr="008E0161">
        <w:rPr>
          <w:rFonts w:ascii="Verdana" w:hAnsi="Verdana" w:cs="Arial"/>
          <w:color w:val="000000" w:themeColor="text1"/>
          <w:shd w:val="clear" w:color="auto" w:fill="FFFFFF"/>
        </w:rPr>
        <w:t>  </w:t>
      </w:r>
    </w:p>
    <w:p w14:paraId="65F02D8A" w14:textId="77777777" w:rsidR="00647CE0" w:rsidRPr="008E0161" w:rsidRDefault="00647CE0" w:rsidP="00647CE0">
      <w:pPr>
        <w:shd w:val="clear" w:color="auto" w:fill="FFFFFF"/>
        <w:spacing w:after="120" w:line="276" w:lineRule="auto"/>
        <w:jc w:val="both"/>
        <w:textAlignment w:val="baseline"/>
        <w:rPr>
          <w:rFonts w:ascii="Verdana" w:eastAsia="Times New Roman" w:hAnsi="Verdana" w:cs="Times New Roman"/>
          <w:color w:val="242424"/>
          <w:lang w:eastAsia="es-CO"/>
        </w:rPr>
      </w:pPr>
      <w:r w:rsidRPr="008E0161">
        <w:rPr>
          <w:rFonts w:ascii="Verdana" w:eastAsia="Times New Roman" w:hAnsi="Verdana" w:cs="Times New Roman"/>
          <w:color w:val="000000"/>
          <w:bdr w:val="none" w:sz="0" w:space="0" w:color="auto" w:frame="1"/>
          <w:lang w:eastAsia="es-CO"/>
        </w:rPr>
        <w:t>También le contamos que ya se encuentra disponible la </w:t>
      </w:r>
      <w:r w:rsidRPr="008E0161">
        <w:rPr>
          <w:rFonts w:ascii="Verdana" w:eastAsia="Times New Roman" w:hAnsi="Verdana" w:cs="Times New Roman"/>
          <w:b/>
          <w:bCs/>
          <w:color w:val="000000"/>
          <w:bdr w:val="none" w:sz="0" w:space="0" w:color="auto" w:frame="1"/>
          <w:lang w:eastAsia="es-CO"/>
        </w:rPr>
        <w:t>Guía de lineamientos de transparencia y selección objetiva para el departamento de La Guajira – Objetivo sexto constitucional de la Sentencia T-302 del 2017. </w:t>
      </w:r>
      <w:r w:rsidRPr="008E0161">
        <w:rPr>
          <w:rFonts w:ascii="Verdana" w:eastAsia="Times New Roman" w:hAnsi="Verdana" w:cs="Times New Roman"/>
          <w:color w:val="000000"/>
          <w:bdr w:val="none" w:sz="0" w:space="0" w:color="auto" w:frame="1"/>
          <w:lang w:eastAsia="es-CO"/>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8E0161">
        <w:rPr>
          <w:rFonts w:ascii="Verdana" w:eastAsia="Times New Roman" w:hAnsi="Verdana" w:cs="Times New Roman"/>
          <w:color w:val="000000"/>
          <w:bdr w:val="none" w:sz="0" w:space="0" w:color="auto" w:frame="1"/>
          <w:lang w:eastAsia="es-CO"/>
        </w:rPr>
        <w:t>Wayúu</w:t>
      </w:r>
      <w:proofErr w:type="spellEnd"/>
      <w:r w:rsidRPr="008E0161">
        <w:rPr>
          <w:rFonts w:ascii="Verdana" w:eastAsia="Times New Roman" w:hAnsi="Verdana" w:cs="Times New Roman"/>
          <w:color w:val="000000"/>
          <w:bdr w:val="none" w:sz="0" w:space="0" w:color="auto" w:frame="1"/>
          <w:lang w:eastAsia="es-CO"/>
        </w:rPr>
        <w:t>. Puede consultar la guía en el siguiente enlace: </w:t>
      </w:r>
      <w:hyperlink r:id="rId14" w:tgtFrame="_blank" w:tooltip="Dirección URL original: https://www.colombiacompra.gov.co/wp-content/uploads/2025/05/GUIA-DE-LINEAMIENTOS-DE-TRANSPARENCIA-Y-SELECCION-OBJETIVA-1.0.pdf. Haga clic o pulse si confía en este vínculo." w:history="1">
        <w:r w:rsidRPr="008E0161">
          <w:rPr>
            <w:rFonts w:ascii="Verdana" w:eastAsia="Times New Roman" w:hAnsi="Verdana" w:cs="Times New Roman"/>
            <w:color w:val="467886"/>
            <w:u w:val="single"/>
            <w:bdr w:val="none" w:sz="0" w:space="0" w:color="auto" w:frame="1"/>
            <w:lang w:eastAsia="es-CO"/>
          </w:rPr>
          <w:t>Guía de lineamientos de transparencia y selección objetiva para el departamento de La Guajira – Objetivo sexto constitucional de la Sentencia T-302 del 2017</w:t>
        </w:r>
      </w:hyperlink>
      <w:r w:rsidRPr="008E0161">
        <w:rPr>
          <w:rFonts w:ascii="Verdana" w:eastAsia="Times New Roman" w:hAnsi="Verdana" w:cs="Times New Roman"/>
          <w:color w:val="467886"/>
          <w:u w:val="single"/>
          <w:bdr w:val="none" w:sz="0" w:space="0" w:color="auto" w:frame="1"/>
          <w:lang w:eastAsia="es-CO"/>
        </w:rPr>
        <w:t>"</w:t>
      </w:r>
    </w:p>
    <w:p w14:paraId="4A0FE64B" w14:textId="77777777" w:rsidR="00647CE0" w:rsidRPr="008E0161" w:rsidRDefault="00647CE0" w:rsidP="00647CE0">
      <w:pPr>
        <w:widowControl w:val="0"/>
        <w:autoSpaceDE w:val="0"/>
        <w:autoSpaceDN w:val="0"/>
        <w:spacing w:after="0" w:line="276" w:lineRule="auto"/>
        <w:jc w:val="both"/>
        <w:rPr>
          <w:rFonts w:ascii="Verdana" w:hAnsi="Verdana" w:cs="Arial"/>
        </w:rPr>
      </w:pPr>
      <w:r w:rsidRPr="008E0161">
        <w:rPr>
          <w:rFonts w:ascii="Verdana" w:hAnsi="Verdana" w:cs="Arial"/>
        </w:rPr>
        <w:t xml:space="preserve">Este concepto tiene el alcance previsto en el artículo 28 del Código de Procedimiento Administrativo y de lo Contencioso Administrativo y las expresiones aquí utilizadas con mayúscula inicial deben ser entendidas con el </w:t>
      </w:r>
      <w:r w:rsidRPr="008E0161">
        <w:rPr>
          <w:rFonts w:ascii="Verdana" w:hAnsi="Verdana" w:cs="Arial"/>
        </w:rPr>
        <w:lastRenderedPageBreak/>
        <w:t>significado que les otorga el artículo 2.2.1.1.1.3.1. del Decreto 1082 de 2015.</w:t>
      </w:r>
    </w:p>
    <w:p w14:paraId="5F0298F2" w14:textId="77777777" w:rsidR="00647CE0" w:rsidRPr="008E0161" w:rsidRDefault="00647CE0" w:rsidP="00647CE0">
      <w:pPr>
        <w:widowControl w:val="0"/>
        <w:autoSpaceDE w:val="0"/>
        <w:autoSpaceDN w:val="0"/>
        <w:spacing w:after="0" w:line="276" w:lineRule="auto"/>
        <w:jc w:val="both"/>
        <w:rPr>
          <w:rFonts w:ascii="Verdana" w:hAnsi="Verdana" w:cs="Arial"/>
        </w:rPr>
      </w:pPr>
    </w:p>
    <w:p w14:paraId="01B2639E" w14:textId="77777777" w:rsidR="00647CE0" w:rsidRPr="008E0161" w:rsidRDefault="00647CE0" w:rsidP="00647CE0">
      <w:pPr>
        <w:spacing w:after="0" w:line="276" w:lineRule="auto"/>
        <w:rPr>
          <w:rFonts w:ascii="Verdana" w:hAnsi="Verdana" w:cs="Arial"/>
          <w:lang w:eastAsia="es-CO"/>
        </w:rPr>
      </w:pPr>
      <w:r w:rsidRPr="008E0161">
        <w:rPr>
          <w:rFonts w:ascii="Verdana" w:eastAsia="Times New Roman" w:hAnsi="Verdana" w:cs="Arial"/>
          <w:lang w:eastAsia="es-CO"/>
        </w:rPr>
        <w:t>Atentamente,</w:t>
      </w:r>
      <w:r w:rsidRPr="008E0161">
        <w:rPr>
          <w:rFonts w:ascii="Verdana" w:hAnsi="Verdana" w:cs="Arial"/>
          <w:lang w:eastAsia="es-CO"/>
        </w:rPr>
        <w:t xml:space="preserve"> </w:t>
      </w:r>
    </w:p>
    <w:p w14:paraId="33A466DC" w14:textId="04C2E58A" w:rsidR="00647CE0" w:rsidRPr="008E0161" w:rsidRDefault="007E6F95" w:rsidP="00647CE0">
      <w:pPr>
        <w:spacing w:line="276" w:lineRule="auto"/>
        <w:jc w:val="center"/>
        <w:rPr>
          <w:rFonts w:ascii="Verdana" w:hAnsi="Verdana" w:cs="Arial"/>
          <w:color w:val="000000"/>
          <w:lang w:eastAsia="es-CO"/>
        </w:rPr>
      </w:pPr>
      <w:r w:rsidRPr="002C3AD6">
        <w:rPr>
          <w:rFonts w:ascii="Century Gothic" w:hAnsi="Century Gothic"/>
          <w:noProof/>
        </w:rPr>
        <w:drawing>
          <wp:inline distT="0" distB="0" distL="0" distR="0" wp14:anchorId="43EC9382" wp14:editId="65E3BACA">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5"/>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647CE0" w:rsidRPr="008E0161" w14:paraId="40F46ACE" w14:textId="77777777" w:rsidTr="00440F7E">
        <w:trPr>
          <w:trHeight w:val="315"/>
        </w:trPr>
        <w:tc>
          <w:tcPr>
            <w:tcW w:w="893" w:type="dxa"/>
            <w:vAlign w:val="center"/>
            <w:hideMark/>
          </w:tcPr>
          <w:p w14:paraId="450AE42F" w14:textId="77777777" w:rsidR="00647CE0" w:rsidRPr="008E0161" w:rsidRDefault="00647CE0" w:rsidP="00440F7E">
            <w:pPr>
              <w:contextualSpacing/>
              <w:rPr>
                <w:rFonts w:ascii="Verdana" w:hAnsi="Verdana" w:cs="Arial"/>
                <w:sz w:val="16"/>
                <w:szCs w:val="16"/>
                <w:lang w:eastAsia="es-ES"/>
              </w:rPr>
            </w:pPr>
            <w:r w:rsidRPr="008E0161">
              <w:rPr>
                <w:rFonts w:ascii="Verdana" w:hAnsi="Verdana" w:cs="Arial"/>
                <w:sz w:val="16"/>
                <w:szCs w:val="16"/>
                <w:lang w:eastAsia="es-ES"/>
              </w:rPr>
              <w:t>Elaboró:</w:t>
            </w:r>
          </w:p>
        </w:tc>
        <w:tc>
          <w:tcPr>
            <w:tcW w:w="5628" w:type="dxa"/>
            <w:tcBorders>
              <w:top w:val="nil"/>
              <w:left w:val="nil"/>
              <w:bottom w:val="dotted" w:sz="4" w:space="0" w:color="7F7F7F" w:themeColor="text1" w:themeTint="80"/>
              <w:right w:val="nil"/>
            </w:tcBorders>
            <w:vAlign w:val="center"/>
            <w:hideMark/>
          </w:tcPr>
          <w:p w14:paraId="4DE0BCE2" w14:textId="77777777" w:rsidR="00647CE0" w:rsidRPr="008E0161" w:rsidRDefault="00647CE0" w:rsidP="00440F7E">
            <w:pPr>
              <w:contextualSpacing/>
              <w:rPr>
                <w:rFonts w:ascii="Verdana" w:hAnsi="Verdana"/>
                <w:sz w:val="16"/>
                <w:szCs w:val="16"/>
              </w:rPr>
            </w:pPr>
            <w:r w:rsidRPr="008E0161">
              <w:rPr>
                <w:rFonts w:ascii="Verdana" w:hAnsi="Verdana"/>
                <w:sz w:val="16"/>
                <w:szCs w:val="16"/>
              </w:rPr>
              <w:t>Tatiana Baquero Iguarán</w:t>
            </w:r>
          </w:p>
          <w:p w14:paraId="41BB13D3" w14:textId="77777777" w:rsidR="00647CE0" w:rsidRPr="008E0161" w:rsidRDefault="00647CE0" w:rsidP="00440F7E">
            <w:pPr>
              <w:contextualSpacing/>
              <w:rPr>
                <w:rFonts w:ascii="Verdana" w:eastAsia="Arial" w:hAnsi="Verdana" w:cs="Arial"/>
                <w:sz w:val="16"/>
                <w:szCs w:val="16"/>
              </w:rPr>
            </w:pPr>
            <w:r w:rsidRPr="008E0161">
              <w:rPr>
                <w:rFonts w:ascii="Verdana" w:hAnsi="Verdana"/>
                <w:sz w:val="16"/>
                <w:szCs w:val="16"/>
              </w:rPr>
              <w:t>Contratista de la Subdirección de Gestión Contractual</w:t>
            </w:r>
          </w:p>
        </w:tc>
      </w:tr>
      <w:tr w:rsidR="00647CE0" w:rsidRPr="008E0161" w14:paraId="61E0FF48" w14:textId="77777777" w:rsidTr="00440F7E">
        <w:trPr>
          <w:trHeight w:val="330"/>
        </w:trPr>
        <w:tc>
          <w:tcPr>
            <w:tcW w:w="893" w:type="dxa"/>
            <w:vAlign w:val="center"/>
            <w:hideMark/>
          </w:tcPr>
          <w:p w14:paraId="7BB242EA" w14:textId="77777777" w:rsidR="00647CE0" w:rsidRPr="008E0161" w:rsidRDefault="00647CE0" w:rsidP="00440F7E">
            <w:pPr>
              <w:contextualSpacing/>
              <w:rPr>
                <w:rFonts w:ascii="Verdana" w:hAnsi="Verdana" w:cs="Arial"/>
                <w:sz w:val="16"/>
                <w:szCs w:val="16"/>
                <w:lang w:eastAsia="es-ES"/>
              </w:rPr>
            </w:pPr>
            <w:r w:rsidRPr="008E0161">
              <w:rPr>
                <w:rFonts w:ascii="Verdana" w:hAnsi="Verdana" w:cs="Arial"/>
                <w:sz w:val="16"/>
                <w:szCs w:val="16"/>
                <w:lang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00BE024C" w14:textId="77777777" w:rsidR="00647CE0" w:rsidRPr="008E0161" w:rsidRDefault="00647CE0" w:rsidP="00440F7E">
            <w:pPr>
              <w:textAlignment w:val="baseline"/>
              <w:rPr>
                <w:rFonts w:ascii="Verdana" w:eastAsia="Times New Roman" w:hAnsi="Verdana" w:cs="Arial"/>
                <w:sz w:val="16"/>
                <w:szCs w:val="16"/>
                <w:lang w:val="es-MX" w:eastAsia="es-CO"/>
              </w:rPr>
            </w:pPr>
            <w:r w:rsidRPr="008E0161">
              <w:rPr>
                <w:rFonts w:ascii="Verdana" w:eastAsia="Times New Roman" w:hAnsi="Verdana" w:cs="Arial"/>
                <w:sz w:val="16"/>
                <w:szCs w:val="16"/>
                <w:lang w:val="es-MX" w:eastAsia="es-CO"/>
              </w:rPr>
              <w:t>Alejandro Raúl Sarmiento Cantillo</w:t>
            </w:r>
          </w:p>
          <w:p w14:paraId="146AD7AF" w14:textId="77777777" w:rsidR="00647CE0" w:rsidRPr="008E0161" w:rsidRDefault="00647CE0" w:rsidP="00440F7E">
            <w:pPr>
              <w:spacing w:before="100" w:beforeAutospacing="1" w:after="100" w:afterAutospacing="1"/>
              <w:contextualSpacing/>
              <w:textAlignment w:val="baseline"/>
              <w:rPr>
                <w:rFonts w:ascii="Verdana" w:eastAsia="Times New Roman" w:hAnsi="Verdana" w:cs="Segoe UI"/>
                <w:sz w:val="16"/>
                <w:szCs w:val="16"/>
                <w:lang w:eastAsia="es-ES_tradnl"/>
              </w:rPr>
            </w:pPr>
            <w:r w:rsidRPr="008E0161">
              <w:rPr>
                <w:rFonts w:ascii="Verdana" w:eastAsia="Times New Roman" w:hAnsi="Verdana" w:cs="Arial"/>
                <w:sz w:val="16"/>
                <w:szCs w:val="16"/>
                <w:lang w:val="es-MX" w:eastAsia="es-CO"/>
              </w:rPr>
              <w:t>Gestor T1-15 de la Subdirección de Gestión Contractual</w:t>
            </w:r>
          </w:p>
        </w:tc>
      </w:tr>
      <w:tr w:rsidR="00647CE0" w:rsidRPr="008E0161" w14:paraId="3D4BFA36" w14:textId="77777777" w:rsidTr="00440F7E">
        <w:trPr>
          <w:trHeight w:val="300"/>
        </w:trPr>
        <w:tc>
          <w:tcPr>
            <w:tcW w:w="893" w:type="dxa"/>
            <w:vAlign w:val="center"/>
          </w:tcPr>
          <w:p w14:paraId="0FAE6708" w14:textId="77777777" w:rsidR="00647CE0" w:rsidRPr="008E0161" w:rsidRDefault="00647CE0" w:rsidP="00440F7E">
            <w:pPr>
              <w:contextualSpacing/>
              <w:rPr>
                <w:rFonts w:ascii="Verdana" w:hAnsi="Verdana" w:cs="Arial"/>
                <w:sz w:val="16"/>
                <w:szCs w:val="16"/>
                <w:lang w:eastAsia="es-ES"/>
              </w:rPr>
            </w:pPr>
            <w:r w:rsidRPr="008E0161">
              <w:rPr>
                <w:rFonts w:ascii="Verdana" w:hAnsi="Verdana" w:cs="Arial"/>
                <w:sz w:val="16"/>
                <w:szCs w:val="16"/>
                <w:lang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30B34F0F" w14:textId="77777777" w:rsidR="00647CE0" w:rsidRPr="008E0161" w:rsidRDefault="00647CE0" w:rsidP="00440F7E">
            <w:pPr>
              <w:contextualSpacing/>
              <w:rPr>
                <w:rFonts w:ascii="Verdana" w:eastAsia="Calibri" w:hAnsi="Verdana" w:cs="Arial"/>
                <w:sz w:val="16"/>
                <w:szCs w:val="16"/>
                <w:lang w:eastAsia="es-ES"/>
              </w:rPr>
            </w:pPr>
            <w:r w:rsidRPr="008E0161">
              <w:rPr>
                <w:rFonts w:ascii="Verdana" w:eastAsia="Calibri" w:hAnsi="Verdana" w:cs="Arial"/>
                <w:sz w:val="16"/>
                <w:szCs w:val="16"/>
                <w:lang w:eastAsia="es-ES"/>
              </w:rPr>
              <w:t xml:space="preserve">Carolina Quintero </w:t>
            </w:r>
            <w:proofErr w:type="spellStart"/>
            <w:r w:rsidRPr="008E0161">
              <w:rPr>
                <w:rFonts w:ascii="Verdana" w:eastAsia="Calibri" w:hAnsi="Verdana" w:cs="Arial"/>
                <w:sz w:val="16"/>
                <w:szCs w:val="16"/>
                <w:lang w:eastAsia="es-ES"/>
              </w:rPr>
              <w:t>Gacharná</w:t>
            </w:r>
            <w:proofErr w:type="spellEnd"/>
          </w:p>
          <w:p w14:paraId="69ECD248" w14:textId="77777777" w:rsidR="00647CE0" w:rsidRPr="008E0161" w:rsidRDefault="00647CE0" w:rsidP="00440F7E">
            <w:pPr>
              <w:contextualSpacing/>
              <w:rPr>
                <w:rFonts w:ascii="Verdana" w:eastAsia="Calibri" w:hAnsi="Verdana" w:cs="Arial"/>
                <w:sz w:val="16"/>
                <w:szCs w:val="16"/>
                <w:lang w:eastAsia="es-ES"/>
              </w:rPr>
            </w:pPr>
            <w:r w:rsidRPr="008E0161">
              <w:rPr>
                <w:rFonts w:ascii="Verdana" w:eastAsia="Calibri" w:hAnsi="Verdana" w:cs="Arial"/>
                <w:sz w:val="16"/>
                <w:szCs w:val="16"/>
                <w:lang w:eastAsia="es-ES"/>
              </w:rPr>
              <w:t>Subdirectora de Gestión Contractual ANCP – CCE</w:t>
            </w:r>
          </w:p>
        </w:tc>
      </w:tr>
    </w:tbl>
    <w:p w14:paraId="26CAAC3B" w14:textId="77777777" w:rsidR="00647CE0" w:rsidRPr="008E0161" w:rsidRDefault="00647CE0" w:rsidP="00647CE0">
      <w:pPr>
        <w:spacing w:after="0" w:line="240" w:lineRule="auto"/>
        <w:rPr>
          <w:rFonts w:ascii="Verdana" w:eastAsia="Aptos" w:hAnsi="Verdana" w:cs="Times New Roman"/>
          <w:sz w:val="20"/>
          <w:szCs w:val="20"/>
        </w:rPr>
      </w:pPr>
    </w:p>
    <w:p w14:paraId="483E1944" w14:textId="77777777" w:rsidR="00647CE0" w:rsidRPr="008E0161" w:rsidRDefault="00647CE0" w:rsidP="00647CE0"/>
    <w:p w14:paraId="115C2AA2" w14:textId="77777777" w:rsidR="00647CE0" w:rsidRPr="008E0161" w:rsidRDefault="00647CE0" w:rsidP="00647CE0">
      <w:pPr>
        <w:spacing w:after="0" w:line="240" w:lineRule="auto"/>
        <w:rPr>
          <w:rFonts w:ascii="Verdana" w:eastAsia="Geomanist Light" w:hAnsi="Verdana" w:cs="Arial"/>
          <w:color w:val="000000" w:themeColor="text1"/>
        </w:rPr>
      </w:pPr>
    </w:p>
    <w:p w14:paraId="17DC5608" w14:textId="77777777" w:rsidR="00647CE0" w:rsidRPr="008E0161" w:rsidRDefault="00647CE0" w:rsidP="00647CE0"/>
    <w:p w14:paraId="3A30C3EF" w14:textId="77777777" w:rsidR="00117E26" w:rsidRDefault="00117E26" w:rsidP="005C259E">
      <w:pPr>
        <w:spacing w:after="0" w:line="240" w:lineRule="auto"/>
        <w:rPr>
          <w:rFonts w:ascii="Verdana" w:eastAsia="Geomanist Light" w:hAnsi="Verdana" w:cs="Arial"/>
          <w:color w:val="000000" w:themeColor="text1"/>
        </w:rPr>
      </w:pPr>
    </w:p>
    <w:bookmarkEnd w:id="0"/>
    <w:sectPr w:rsidR="00117E26" w:rsidSect="00C44B4C">
      <w:headerReference w:type="default" r:id="rId16"/>
      <w:footerReference w:type="default" r:id="rId17"/>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471A09" w14:textId="77777777" w:rsidR="00BF5098" w:rsidRPr="009B7987" w:rsidRDefault="00BF5098" w:rsidP="00B30448">
      <w:pPr>
        <w:spacing w:after="0" w:line="240" w:lineRule="auto"/>
      </w:pPr>
      <w:r w:rsidRPr="009B7987">
        <w:separator/>
      </w:r>
    </w:p>
  </w:endnote>
  <w:endnote w:type="continuationSeparator" w:id="0">
    <w:p w14:paraId="53755000" w14:textId="77777777" w:rsidR="00BF5098" w:rsidRPr="009B7987" w:rsidRDefault="00BF5098" w:rsidP="00B30448">
      <w:pPr>
        <w:spacing w:after="0" w:line="240" w:lineRule="auto"/>
      </w:pPr>
      <w:r w:rsidRPr="009B7987">
        <w:continuationSeparator/>
      </w:r>
    </w:p>
  </w:endnote>
  <w:endnote w:type="continuationNotice" w:id="1">
    <w:p w14:paraId="2D5E8A91" w14:textId="77777777" w:rsidR="00BF5098" w:rsidRPr="009B7987" w:rsidRDefault="00BF509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9C0E4" w14:textId="77777777" w:rsidR="00A81E50" w:rsidRPr="009B7987" w:rsidRDefault="00A81E50" w:rsidP="00A81E50">
    <w:pPr>
      <w:pBdr>
        <w:top w:val="single" w:sz="4" w:space="1" w:color="auto"/>
      </w:pBdr>
      <w:spacing w:after="0"/>
      <w:rPr>
        <w:rFonts w:ascii="Verdana" w:hAnsi="Verdana"/>
        <w:b/>
        <w:bCs/>
        <w:sz w:val="20"/>
        <w:szCs w:val="20"/>
      </w:rPr>
    </w:pPr>
    <w:r w:rsidRPr="009B7987">
      <w:rPr>
        <w:rFonts w:ascii="Verdana" w:hAnsi="Verdana"/>
        <w:b/>
        <w:bCs/>
        <w:sz w:val="20"/>
        <w:szCs w:val="20"/>
      </w:rPr>
      <w:t xml:space="preserve">Agencia Nacional de Contratación Pública                                              </w:t>
    </w:r>
    <w:r w:rsidRPr="009B7987">
      <w:rPr>
        <w:rFonts w:ascii="Verdana" w:eastAsiaTheme="majorEastAsia" w:hAnsi="Verdana" w:cstheme="majorBidi"/>
        <w:b/>
        <w:bCs/>
        <w:sz w:val="16"/>
        <w:szCs w:val="16"/>
      </w:rPr>
      <w:t xml:space="preserve">pág. </w:t>
    </w:r>
    <w:r w:rsidRPr="009B7987">
      <w:rPr>
        <w:rFonts w:ascii="Verdana" w:eastAsiaTheme="minorEastAsia" w:hAnsi="Verdana"/>
        <w:b/>
        <w:bCs/>
        <w:sz w:val="16"/>
        <w:szCs w:val="16"/>
      </w:rPr>
      <w:fldChar w:fldCharType="begin"/>
    </w:r>
    <w:r w:rsidRPr="009B7987">
      <w:rPr>
        <w:rFonts w:ascii="Verdana" w:hAnsi="Verdana"/>
        <w:b/>
        <w:bCs/>
        <w:sz w:val="16"/>
        <w:szCs w:val="16"/>
      </w:rPr>
      <w:instrText>PAGE    \* MERGEFORMAT</w:instrText>
    </w:r>
    <w:r w:rsidRPr="009B7987">
      <w:rPr>
        <w:rFonts w:ascii="Verdana" w:eastAsiaTheme="minorEastAsia" w:hAnsi="Verdana"/>
        <w:b/>
        <w:bCs/>
        <w:sz w:val="16"/>
        <w:szCs w:val="16"/>
      </w:rPr>
      <w:fldChar w:fldCharType="separate"/>
    </w:r>
    <w:r w:rsidRPr="009B7987">
      <w:rPr>
        <w:rFonts w:ascii="Verdana" w:eastAsiaTheme="minorEastAsia" w:hAnsi="Verdana"/>
        <w:b/>
        <w:bCs/>
        <w:sz w:val="16"/>
        <w:szCs w:val="16"/>
      </w:rPr>
      <w:t>1</w:t>
    </w:r>
    <w:r w:rsidRPr="009B7987">
      <w:rPr>
        <w:rFonts w:ascii="Verdana" w:eastAsiaTheme="majorEastAsia" w:hAnsi="Verdana" w:cstheme="majorBidi"/>
        <w:b/>
        <w:bCs/>
        <w:sz w:val="16"/>
        <w:szCs w:val="16"/>
      </w:rPr>
      <w:fldChar w:fldCharType="end"/>
    </w:r>
    <w:r w:rsidRPr="009B7987">
      <w:rPr>
        <w:rFonts w:ascii="Verdana" w:hAnsi="Verdana"/>
        <w:b/>
        <w:bCs/>
        <w:sz w:val="20"/>
        <w:szCs w:val="20"/>
      </w:rPr>
      <w:t xml:space="preserve">              Colombia Compra Eficiente                                                            </w:t>
    </w:r>
  </w:p>
  <w:p w14:paraId="4FC9CAA9" w14:textId="77777777" w:rsidR="00A81E50" w:rsidRPr="009B7987" w:rsidRDefault="00A81E50" w:rsidP="00A81E50">
    <w:pPr>
      <w:spacing w:after="0"/>
      <w:jc w:val="both"/>
      <w:rPr>
        <w:rFonts w:ascii="Verdana" w:hAnsi="Verdana"/>
        <w:sz w:val="18"/>
        <w:szCs w:val="18"/>
      </w:rPr>
    </w:pPr>
    <w:r w:rsidRPr="009B7987">
      <w:rPr>
        <w:rFonts w:ascii="Verdana" w:hAnsi="Verdana"/>
        <w:sz w:val="18"/>
        <w:szCs w:val="18"/>
      </w:rPr>
      <w:t>Dirección: Carrera 7 # 26 – 20 - Bogotá, Colombia</w:t>
    </w:r>
  </w:p>
  <w:p w14:paraId="0B709B73" w14:textId="77777777" w:rsidR="00A81E50" w:rsidRPr="009B7987" w:rsidRDefault="00A81E50" w:rsidP="00A81E50">
    <w:pPr>
      <w:spacing w:after="0"/>
      <w:jc w:val="both"/>
      <w:rPr>
        <w:rFonts w:ascii="Verdana" w:hAnsi="Verdana"/>
        <w:sz w:val="18"/>
        <w:szCs w:val="18"/>
      </w:rPr>
    </w:pPr>
    <w:r w:rsidRPr="009B7987">
      <w:rPr>
        <w:rFonts w:ascii="Verdana" w:hAnsi="Verdana"/>
        <w:sz w:val="18"/>
        <w:szCs w:val="18"/>
      </w:rPr>
      <w:t>Mesa de servicio: (+57) 601 7456788</w:t>
    </w:r>
  </w:p>
  <w:p w14:paraId="224AB27F" w14:textId="77777777" w:rsidR="00DD7A2C" w:rsidRPr="009B7987" w:rsidRDefault="00A81E50" w:rsidP="00C00976">
    <w:pPr>
      <w:pBdr>
        <w:top w:val="nil"/>
        <w:left w:val="nil"/>
        <w:bottom w:val="nil"/>
        <w:right w:val="nil"/>
        <w:between w:val="nil"/>
      </w:pBdr>
      <w:tabs>
        <w:tab w:val="center" w:pos="4419"/>
        <w:tab w:val="right" w:pos="8838"/>
        <w:tab w:val="center" w:pos="5400"/>
      </w:tabs>
      <w:spacing w:after="0"/>
      <w:rPr>
        <w:rFonts w:ascii="Verdana" w:hAnsi="Verdana"/>
        <w:sz w:val="20"/>
        <w:szCs w:val="20"/>
      </w:rPr>
    </w:pPr>
    <w:r w:rsidRPr="009B7987">
      <w:rPr>
        <w:rFonts w:ascii="Verdana" w:hAnsi="Verdana"/>
        <w:sz w:val="18"/>
        <w:szCs w:val="18"/>
      </w:rPr>
      <w:t>Atención al ciudadano: (+57) 601 7956600</w:t>
    </w:r>
    <w:r w:rsidRPr="009B7987">
      <w:rPr>
        <w:rFonts w:ascii="Verdana" w:hAnsi="Verdana"/>
        <w:sz w:val="20"/>
        <w:szCs w:val="20"/>
      </w:rPr>
      <w:t xml:space="preserve">         </w:t>
    </w:r>
  </w:p>
  <w:p w14:paraId="2B8DBB2A" w14:textId="26AE77D2" w:rsidR="00A81E50" w:rsidRPr="009B7987" w:rsidRDefault="00A81E50" w:rsidP="00DD7A2C">
    <w:pPr>
      <w:pBdr>
        <w:top w:val="nil"/>
        <w:left w:val="nil"/>
        <w:bottom w:val="nil"/>
        <w:right w:val="nil"/>
        <w:between w:val="nil"/>
      </w:pBdr>
      <w:tabs>
        <w:tab w:val="center" w:pos="4419"/>
        <w:tab w:val="right" w:pos="8838"/>
        <w:tab w:val="center" w:pos="5400"/>
      </w:tabs>
      <w:spacing w:after="0"/>
      <w:jc w:val="right"/>
    </w:pPr>
    <w:r w:rsidRPr="009B7987">
      <w:rPr>
        <w:rFonts w:ascii="Verdana" w:hAnsi="Verdana"/>
        <w:sz w:val="20"/>
        <w:szCs w:val="20"/>
      </w:rPr>
      <w:t xml:space="preserve"> </w:t>
    </w:r>
    <w:r w:rsidRPr="009B7987">
      <w:rPr>
        <w:rFonts w:ascii="Verdana" w:eastAsia="Geo" w:hAnsi="Verdana" w:cs="Geo"/>
        <w:bCs/>
        <w:color w:val="000000"/>
        <w:sz w:val="16"/>
        <w:szCs w:val="16"/>
        <w:lang w:eastAsia="es-CO"/>
      </w:rPr>
      <w:t>Código: CCE-REC-FM-13 Versión</w:t>
    </w:r>
    <w:r w:rsidRPr="009B7987">
      <w:rPr>
        <w:rFonts w:ascii="Verdana" w:eastAsia="Arial Nova" w:hAnsi="Verdana" w:cs="Arial Nova"/>
        <w:bCs/>
        <w:color w:val="000000"/>
        <w:sz w:val="16"/>
        <w:szCs w:val="16"/>
        <w:lang w:eastAsia="es-CO"/>
      </w:rPr>
      <w:t>:</w:t>
    </w:r>
    <w:r w:rsidRPr="009B7987">
      <w:rPr>
        <w:rFonts w:ascii="Verdana" w:eastAsia="Arial Nova" w:hAnsi="Verdana" w:cs="Arial Nova"/>
        <w:b/>
        <w:color w:val="000000"/>
        <w:sz w:val="16"/>
        <w:szCs w:val="16"/>
        <w:lang w:eastAsia="es-CO"/>
      </w:rPr>
      <w:t xml:space="preserve"> </w:t>
    </w:r>
    <w:r w:rsidRPr="009B7987">
      <w:rPr>
        <w:rFonts w:ascii="Verdana" w:eastAsia="Geo" w:hAnsi="Verdana" w:cs="Geo"/>
        <w:sz w:val="16"/>
        <w:szCs w:val="16"/>
        <w:lang w:eastAsia="es-CO"/>
      </w:rPr>
      <w:t>01 Fecha:15-06-2023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9303A5" w14:textId="77777777" w:rsidR="00BF5098" w:rsidRPr="009B7987" w:rsidRDefault="00BF5098" w:rsidP="00B30448">
      <w:pPr>
        <w:spacing w:after="0" w:line="240" w:lineRule="auto"/>
      </w:pPr>
      <w:r w:rsidRPr="009B7987">
        <w:separator/>
      </w:r>
    </w:p>
  </w:footnote>
  <w:footnote w:type="continuationSeparator" w:id="0">
    <w:p w14:paraId="3DE0EA89" w14:textId="77777777" w:rsidR="00BF5098" w:rsidRPr="009B7987" w:rsidRDefault="00BF5098" w:rsidP="00B30448">
      <w:pPr>
        <w:spacing w:after="0" w:line="240" w:lineRule="auto"/>
      </w:pPr>
      <w:r w:rsidRPr="009B7987">
        <w:continuationSeparator/>
      </w:r>
    </w:p>
  </w:footnote>
  <w:footnote w:type="continuationNotice" w:id="1">
    <w:p w14:paraId="210D1FFA" w14:textId="77777777" w:rsidR="00BF5098" w:rsidRPr="009B7987" w:rsidRDefault="00BF5098">
      <w:pPr>
        <w:spacing w:after="0" w:line="240" w:lineRule="auto"/>
      </w:pPr>
    </w:p>
  </w:footnote>
  <w:footnote w:id="2">
    <w:p w14:paraId="71177EC9" w14:textId="77777777" w:rsidR="00647CE0" w:rsidRPr="00117E26" w:rsidRDefault="00647CE0" w:rsidP="00647CE0">
      <w:pPr>
        <w:pStyle w:val="Textonotapie"/>
        <w:ind w:firstLine="708"/>
        <w:jc w:val="both"/>
        <w:rPr>
          <w:rFonts w:ascii="Verdana" w:hAnsi="Verdana" w:cs="Arial"/>
          <w:color w:val="000000" w:themeColor="text1"/>
          <w:sz w:val="16"/>
          <w:szCs w:val="16"/>
        </w:rPr>
      </w:pPr>
    </w:p>
    <w:p w14:paraId="2D67EAD8" w14:textId="77777777" w:rsidR="00647CE0" w:rsidRPr="00117E26" w:rsidRDefault="00647CE0" w:rsidP="00647CE0">
      <w:pPr>
        <w:pStyle w:val="Textonotapie"/>
        <w:ind w:firstLine="708"/>
        <w:jc w:val="both"/>
        <w:rPr>
          <w:rFonts w:ascii="Verdana" w:hAnsi="Verdana" w:cs="Arial"/>
          <w:color w:val="000000" w:themeColor="text1"/>
          <w:sz w:val="16"/>
          <w:szCs w:val="16"/>
        </w:rPr>
      </w:pPr>
      <w:r w:rsidRPr="00117E26">
        <w:rPr>
          <w:rStyle w:val="Refdenotaalpie"/>
          <w:rFonts w:ascii="Verdana" w:hAnsi="Verdana" w:cs="Arial"/>
          <w:color w:val="000000" w:themeColor="text1"/>
          <w:sz w:val="16"/>
          <w:szCs w:val="16"/>
        </w:rPr>
        <w:footnoteRef/>
      </w:r>
      <w:r w:rsidRPr="00117E26">
        <w:rPr>
          <w:rFonts w:ascii="Verdana" w:hAnsi="Verdana" w:cs="Arial"/>
          <w:color w:val="000000" w:themeColor="text1"/>
          <w:sz w:val="16"/>
          <w:szCs w:val="16"/>
        </w:rPr>
        <w:t xml:space="preserve"> </w:t>
      </w:r>
      <w:r>
        <w:rPr>
          <w:rFonts w:ascii="Verdana" w:hAnsi="Verdana" w:cs="Arial"/>
          <w:color w:val="000000" w:themeColor="text1"/>
          <w:sz w:val="16"/>
          <w:szCs w:val="16"/>
        </w:rPr>
        <w:t>“</w:t>
      </w:r>
      <w:r w:rsidRPr="00117E26">
        <w:rPr>
          <w:rFonts w:ascii="Verdana" w:hAnsi="Verdana" w:cs="Arial"/>
          <w:color w:val="000000" w:themeColor="text1"/>
          <w:sz w:val="16"/>
          <w:szCs w:val="16"/>
        </w:rPr>
        <w:t>Artículo 1068. Mora en el pago de la prima: La mora en el pago de la prima de la póliza o de los certificados o anexos que se expidan con fundamento en ella, producirá la terminación automática del contrato y dará derecho al asegurador para exigir el pago de la prima devengada y de los gastos causados con ocasión de la expedición del contrato.</w:t>
      </w:r>
    </w:p>
    <w:p w14:paraId="06A923D5" w14:textId="77777777" w:rsidR="00647CE0" w:rsidRPr="00117E26" w:rsidRDefault="00647CE0" w:rsidP="00647CE0">
      <w:pPr>
        <w:pStyle w:val="Textonotapie"/>
        <w:ind w:firstLine="708"/>
        <w:jc w:val="both"/>
        <w:rPr>
          <w:rFonts w:ascii="Verdana" w:hAnsi="Verdana" w:cs="Arial"/>
          <w:color w:val="000000" w:themeColor="text1"/>
          <w:sz w:val="16"/>
          <w:szCs w:val="16"/>
        </w:rPr>
      </w:pPr>
      <w:r w:rsidRPr="00117E26">
        <w:rPr>
          <w:rFonts w:ascii="Verdana" w:hAnsi="Verdana" w:cs="Arial"/>
          <w:color w:val="000000" w:themeColor="text1"/>
          <w:sz w:val="16"/>
          <w:szCs w:val="16"/>
        </w:rPr>
        <w:t>Lo dispuesto en el inciso anterior deberá consignarse por parte del asegurador en la carátula de la póliza, en caracteres destacados.</w:t>
      </w:r>
    </w:p>
    <w:p w14:paraId="21D0612C" w14:textId="77777777" w:rsidR="00647CE0" w:rsidRPr="00117E26" w:rsidRDefault="00647CE0" w:rsidP="00647CE0">
      <w:pPr>
        <w:pStyle w:val="Textonotapie"/>
        <w:ind w:firstLine="708"/>
        <w:jc w:val="both"/>
        <w:rPr>
          <w:rFonts w:ascii="Verdana" w:hAnsi="Verdana" w:cs="Arial"/>
          <w:color w:val="000000" w:themeColor="text1"/>
          <w:sz w:val="16"/>
          <w:szCs w:val="16"/>
        </w:rPr>
      </w:pPr>
      <w:r w:rsidRPr="00117E26">
        <w:rPr>
          <w:rFonts w:ascii="Verdana" w:hAnsi="Verdana" w:cs="Arial"/>
          <w:color w:val="000000" w:themeColor="text1"/>
          <w:sz w:val="16"/>
          <w:szCs w:val="16"/>
        </w:rPr>
        <w:t>Lo dispuesto en este artículo no podrá ser modificado por las partes”.</w:t>
      </w:r>
    </w:p>
    <w:p w14:paraId="522C90B4" w14:textId="77777777" w:rsidR="00647CE0" w:rsidRPr="00117E26" w:rsidRDefault="00647CE0" w:rsidP="00647CE0">
      <w:pPr>
        <w:pStyle w:val="Textonotapie"/>
        <w:ind w:firstLine="708"/>
        <w:jc w:val="both"/>
        <w:rPr>
          <w:rFonts w:ascii="Verdana" w:hAnsi="Verdana" w:cs="Arial"/>
          <w:color w:val="000000" w:themeColor="text1"/>
          <w:sz w:val="16"/>
          <w:szCs w:val="16"/>
        </w:rPr>
      </w:pPr>
    </w:p>
  </w:footnote>
  <w:footnote w:id="3">
    <w:p w14:paraId="12B81A51" w14:textId="77777777" w:rsidR="00647CE0" w:rsidRPr="00117E26" w:rsidRDefault="00647CE0" w:rsidP="00647CE0">
      <w:pPr>
        <w:pStyle w:val="Textonotapie"/>
        <w:ind w:firstLine="708"/>
        <w:jc w:val="both"/>
        <w:rPr>
          <w:rFonts w:ascii="Verdana" w:hAnsi="Verdana" w:cs="Arial"/>
          <w:color w:val="000000" w:themeColor="text1"/>
          <w:sz w:val="16"/>
          <w:szCs w:val="16"/>
        </w:rPr>
      </w:pPr>
      <w:r w:rsidRPr="00117E26">
        <w:rPr>
          <w:rStyle w:val="Refdenotaalpie"/>
          <w:rFonts w:ascii="Verdana" w:hAnsi="Verdana" w:cs="Arial"/>
          <w:color w:val="000000" w:themeColor="text1"/>
          <w:sz w:val="16"/>
          <w:szCs w:val="16"/>
        </w:rPr>
        <w:footnoteRef/>
      </w:r>
      <w:r w:rsidRPr="00117E26">
        <w:rPr>
          <w:rFonts w:ascii="Verdana" w:hAnsi="Verdana" w:cs="Arial"/>
          <w:color w:val="000000" w:themeColor="text1"/>
          <w:sz w:val="16"/>
          <w:szCs w:val="16"/>
        </w:rPr>
        <w:t xml:space="preserve"> CORTE CONSTITUCIONAL. Sentencia C-452 de 1999. M.P. Eduardo Cifuentes Muñoz. </w:t>
      </w:r>
    </w:p>
    <w:p w14:paraId="3BD64F7F" w14:textId="77777777" w:rsidR="00647CE0" w:rsidRPr="00117E26" w:rsidRDefault="00647CE0" w:rsidP="00647CE0">
      <w:pPr>
        <w:pStyle w:val="Textonotapie"/>
        <w:ind w:firstLine="708"/>
        <w:jc w:val="both"/>
        <w:rPr>
          <w:rFonts w:ascii="Verdana" w:hAnsi="Verdana" w:cs="Arial"/>
          <w:color w:val="000000" w:themeColor="text1"/>
          <w:sz w:val="16"/>
          <w:szCs w:val="16"/>
        </w:rPr>
      </w:pPr>
    </w:p>
  </w:footnote>
  <w:footnote w:id="4">
    <w:p w14:paraId="27B48C36" w14:textId="77777777" w:rsidR="00647CE0" w:rsidRPr="00117E26" w:rsidRDefault="00647CE0" w:rsidP="00647CE0">
      <w:pPr>
        <w:pStyle w:val="Textonotapie"/>
        <w:ind w:firstLine="708"/>
        <w:jc w:val="both"/>
        <w:rPr>
          <w:rFonts w:ascii="Verdana" w:hAnsi="Verdana" w:cs="Arial"/>
          <w:color w:val="000000" w:themeColor="text1"/>
          <w:sz w:val="16"/>
          <w:szCs w:val="16"/>
        </w:rPr>
      </w:pPr>
      <w:r w:rsidRPr="00117E26">
        <w:rPr>
          <w:rStyle w:val="Refdenotaalpie"/>
          <w:rFonts w:ascii="Verdana" w:hAnsi="Verdana" w:cs="Arial"/>
          <w:sz w:val="16"/>
          <w:szCs w:val="16"/>
        </w:rPr>
        <w:footnoteRef/>
      </w:r>
      <w:r w:rsidRPr="00117E26">
        <w:rPr>
          <w:rFonts w:ascii="Verdana" w:hAnsi="Verdana" w:cs="Arial"/>
          <w:sz w:val="16"/>
          <w:szCs w:val="16"/>
        </w:rPr>
        <w:t xml:space="preserve"> Sobre este aspecto, la doctrina explica que: “Las garantías provisionales “avalan la solemnidad de la oferta por parte del contratista”; constituyen una seña </w:t>
      </w:r>
      <w:proofErr w:type="spellStart"/>
      <w:r w:rsidRPr="00117E26">
        <w:rPr>
          <w:rFonts w:ascii="Verdana" w:hAnsi="Verdana" w:cs="Arial"/>
          <w:sz w:val="16"/>
          <w:szCs w:val="16"/>
        </w:rPr>
        <w:t>pre-contractual</w:t>
      </w:r>
      <w:proofErr w:type="spellEnd"/>
      <w:r w:rsidRPr="00117E26">
        <w:rPr>
          <w:rFonts w:ascii="Verdana" w:hAnsi="Verdana" w:cs="Arial"/>
          <w:sz w:val="16"/>
          <w:szCs w:val="16"/>
        </w:rPr>
        <w:t xml:space="preserve"> destinada a asegurar la celebración del contrato, no su cumplimiento. La administración procede a devolver a los oferentes no adjudicatarios, y a transformar en definitiva respecto al adjudicatario, las garantías provisionales, deduciéndose entonces que las arras no forman parte del precio, ni son por tanto arras confirmatorias […], sino puramente penitenciales […] como garantías y compensación del ius </w:t>
      </w:r>
      <w:proofErr w:type="spellStart"/>
      <w:r w:rsidRPr="00117E26">
        <w:rPr>
          <w:rFonts w:ascii="Verdana" w:hAnsi="Verdana" w:cs="Arial"/>
          <w:sz w:val="16"/>
          <w:szCs w:val="16"/>
        </w:rPr>
        <w:t>poenitendi</w:t>
      </w:r>
      <w:proofErr w:type="spellEnd"/>
      <w:r w:rsidRPr="00117E26">
        <w:rPr>
          <w:rFonts w:ascii="Verdana" w:hAnsi="Verdana" w:cs="Arial"/>
          <w:sz w:val="16"/>
          <w:szCs w:val="16"/>
        </w:rPr>
        <w:t xml:space="preserve"> del licitante. Son, en consecuencia, “la medida de la responsabilidad </w:t>
      </w:r>
      <w:proofErr w:type="spellStart"/>
      <w:r w:rsidRPr="00117E26">
        <w:rPr>
          <w:rFonts w:ascii="Verdana" w:hAnsi="Verdana" w:cs="Arial"/>
          <w:sz w:val="16"/>
          <w:szCs w:val="16"/>
        </w:rPr>
        <w:t>pre-contractual</w:t>
      </w:r>
      <w:proofErr w:type="spellEnd"/>
      <w:r w:rsidRPr="00117E26">
        <w:rPr>
          <w:rFonts w:ascii="Verdana" w:hAnsi="Verdana" w:cs="Arial"/>
          <w:sz w:val="16"/>
          <w:szCs w:val="16"/>
        </w:rPr>
        <w:t xml:space="preserve"> del oferente”; o, más bien, la garantía de oferta representa en definitiva la medida de la responsabilidad” (Cursivas dentro del texto). </w:t>
      </w:r>
      <w:r w:rsidRPr="00117E26">
        <w:rPr>
          <w:rFonts w:ascii="Verdana" w:hAnsi="Verdana" w:cs="Arial"/>
          <w:color w:val="000000" w:themeColor="text1"/>
          <w:sz w:val="16"/>
          <w:szCs w:val="16"/>
        </w:rPr>
        <w:t>DROMI, José Roberto. La licitación pública. Buenos Aires: Ciudad Argentina, 1980. pp. 288-289.</w:t>
      </w:r>
    </w:p>
    <w:p w14:paraId="5473BB9F" w14:textId="77777777" w:rsidR="00647CE0" w:rsidRPr="00117E26" w:rsidRDefault="00647CE0" w:rsidP="00647CE0">
      <w:pPr>
        <w:pStyle w:val="Textonotapie"/>
        <w:ind w:firstLine="708"/>
        <w:jc w:val="both"/>
        <w:rPr>
          <w:rFonts w:ascii="Verdana" w:hAnsi="Verdana" w:cs="Arial"/>
          <w:sz w:val="16"/>
          <w:szCs w:val="16"/>
        </w:rPr>
      </w:pPr>
    </w:p>
  </w:footnote>
  <w:footnote w:id="5">
    <w:p w14:paraId="76F1B1F4" w14:textId="77777777" w:rsidR="00647CE0" w:rsidRPr="00117E26" w:rsidRDefault="00647CE0" w:rsidP="00647CE0">
      <w:pPr>
        <w:pStyle w:val="Textonotapie"/>
        <w:ind w:firstLine="708"/>
        <w:jc w:val="both"/>
        <w:rPr>
          <w:rFonts w:ascii="Verdana" w:hAnsi="Verdana" w:cs="Arial"/>
          <w:sz w:val="16"/>
          <w:szCs w:val="16"/>
        </w:rPr>
      </w:pPr>
      <w:r w:rsidRPr="00117E26">
        <w:rPr>
          <w:rStyle w:val="Refdenotaalpie"/>
          <w:rFonts w:ascii="Verdana" w:hAnsi="Verdana" w:cs="Arial"/>
          <w:sz w:val="16"/>
          <w:szCs w:val="16"/>
        </w:rPr>
        <w:footnoteRef/>
      </w:r>
      <w:r w:rsidRPr="00117E26">
        <w:rPr>
          <w:rFonts w:ascii="Verdana" w:hAnsi="Verdana" w:cs="Arial"/>
          <w:sz w:val="16"/>
          <w:szCs w:val="16"/>
        </w:rPr>
        <w:t xml:space="preserve"> Con relación a los requisitos de ejecución del contrato, el inciso segundo del </w:t>
      </w:r>
      <w:r w:rsidRPr="00B720BE">
        <w:rPr>
          <w:rFonts w:ascii="Verdana" w:hAnsi="Verdana" w:cs="Arial"/>
          <w:sz w:val="16"/>
          <w:szCs w:val="16"/>
        </w:rPr>
        <w:t>artículo 41 de la Ley 80 de 1993 dispone que “Para la ejecución se requerirá de la aprobación de la garantía y de la existencia de</w:t>
      </w:r>
      <w:r w:rsidRPr="00117E26">
        <w:rPr>
          <w:rFonts w:ascii="Verdana" w:hAnsi="Verdana" w:cs="Arial"/>
          <w:sz w:val="16"/>
          <w:szCs w:val="16"/>
        </w:rPr>
        <w:t xml:space="preserve"> las disponibilidades presupuestales correspondientes, salvo que se trate de la contratación con recursos de vigencias fiscales futuras de conformidad con lo previsto en la ley orgánica del presupuesto. El proponente y el contratista deberán acreditar que se encuentran al día en el pago de aportes parafiscales relativos al Sistema de Seguridad Social Integral, así como los propios del Sena, ICBF y Cajas de Compensación Familiar, cuando corresponda”.</w:t>
      </w:r>
    </w:p>
    <w:p w14:paraId="3144CCC3" w14:textId="77777777" w:rsidR="00647CE0" w:rsidRPr="00117E26" w:rsidRDefault="00647CE0" w:rsidP="00647CE0">
      <w:pPr>
        <w:pStyle w:val="Textonotapie"/>
        <w:ind w:firstLine="708"/>
        <w:jc w:val="both"/>
        <w:rPr>
          <w:rFonts w:ascii="Verdana" w:hAnsi="Verdana" w:cs="Arial"/>
          <w:sz w:val="16"/>
          <w:szCs w:val="16"/>
        </w:rPr>
      </w:pPr>
    </w:p>
  </w:footnote>
  <w:footnote w:id="6">
    <w:p w14:paraId="377016B4" w14:textId="77777777" w:rsidR="00647CE0" w:rsidRPr="00117E26" w:rsidRDefault="00647CE0" w:rsidP="00647CE0">
      <w:pPr>
        <w:pStyle w:val="Textonotapie"/>
        <w:ind w:firstLine="708"/>
        <w:jc w:val="both"/>
        <w:rPr>
          <w:rFonts w:ascii="Verdana" w:hAnsi="Verdana" w:cs="Arial"/>
          <w:sz w:val="16"/>
          <w:szCs w:val="16"/>
        </w:rPr>
      </w:pPr>
      <w:r w:rsidRPr="00117E26">
        <w:rPr>
          <w:rStyle w:val="Refdenotaalpie"/>
          <w:rFonts w:ascii="Verdana" w:hAnsi="Verdana" w:cs="Arial"/>
          <w:sz w:val="16"/>
          <w:szCs w:val="16"/>
        </w:rPr>
        <w:footnoteRef/>
      </w:r>
      <w:r w:rsidRPr="00117E26">
        <w:rPr>
          <w:rFonts w:ascii="Verdana" w:hAnsi="Verdana" w:cs="Arial"/>
          <w:sz w:val="16"/>
          <w:szCs w:val="16"/>
        </w:rPr>
        <w:t xml:space="preserve"> Al respecto, el </w:t>
      </w:r>
      <w:r w:rsidRPr="00B720BE">
        <w:rPr>
          <w:rFonts w:ascii="Verdana" w:hAnsi="Verdana" w:cs="Arial"/>
          <w:sz w:val="16"/>
          <w:szCs w:val="16"/>
        </w:rPr>
        <w:t>numeral 7.</w:t>
      </w:r>
      <w:r>
        <w:rPr>
          <w:rFonts w:ascii="Verdana" w:hAnsi="Verdana" w:cs="Arial"/>
          <w:sz w:val="16"/>
          <w:szCs w:val="16"/>
        </w:rPr>
        <w:t>1</w:t>
      </w:r>
      <w:r w:rsidRPr="00B720BE">
        <w:rPr>
          <w:rFonts w:ascii="Verdana" w:hAnsi="Verdana" w:cs="Arial"/>
          <w:sz w:val="16"/>
          <w:szCs w:val="16"/>
        </w:rPr>
        <w:t xml:space="preserve"> del </w:t>
      </w:r>
      <w:r>
        <w:rPr>
          <w:rFonts w:ascii="Verdana" w:hAnsi="Verdana" w:cs="Arial"/>
          <w:sz w:val="16"/>
          <w:szCs w:val="16"/>
        </w:rPr>
        <w:t>Documento</w:t>
      </w:r>
      <w:r w:rsidRPr="00B720BE">
        <w:rPr>
          <w:rFonts w:ascii="Verdana" w:hAnsi="Verdana" w:cs="Arial"/>
          <w:sz w:val="16"/>
          <w:szCs w:val="16"/>
        </w:rPr>
        <w:t xml:space="preserve"> Tipo – Versión 4 para la licitación pública para los contratos de obra de infraestructura de transporte dispone que la garantía de seriedad de la oferta tiene una vigencia de </w:t>
      </w:r>
      <w:r>
        <w:rPr>
          <w:rFonts w:ascii="Verdana" w:hAnsi="Verdana" w:cs="Arial"/>
          <w:sz w:val="16"/>
          <w:szCs w:val="16"/>
        </w:rPr>
        <w:t>“</w:t>
      </w:r>
      <w:r w:rsidRPr="00B720BE">
        <w:rPr>
          <w:rFonts w:ascii="Verdana" w:hAnsi="Verdana" w:cs="Arial"/>
          <w:sz w:val="16"/>
          <w:szCs w:val="16"/>
        </w:rPr>
        <w:t>3 meses contados a partir de la fecha de cierre del Proceso de Contratación</w:t>
      </w:r>
      <w:r>
        <w:rPr>
          <w:rFonts w:ascii="Verdana" w:hAnsi="Verdana" w:cs="Arial"/>
          <w:sz w:val="16"/>
          <w:szCs w:val="16"/>
        </w:rPr>
        <w:t>”</w:t>
      </w:r>
      <w:r w:rsidRPr="00117E26">
        <w:rPr>
          <w:rFonts w:ascii="Verdana" w:hAnsi="Verdana" w:cs="Arial"/>
          <w:sz w:val="16"/>
          <w:szCs w:val="16"/>
        </w:rPr>
        <w:t>, lo que se reitera en el numeral 7.1 del documento base para la selección abreviada de menor cuantía</w:t>
      </w:r>
      <w:r>
        <w:rPr>
          <w:rFonts w:ascii="Verdana" w:hAnsi="Verdana" w:cs="Arial"/>
          <w:sz w:val="16"/>
          <w:szCs w:val="16"/>
        </w:rPr>
        <w:t xml:space="preserve">. </w:t>
      </w:r>
    </w:p>
    <w:p w14:paraId="6223C444" w14:textId="77777777" w:rsidR="00647CE0" w:rsidRPr="00117E26" w:rsidRDefault="00647CE0" w:rsidP="00647CE0">
      <w:pPr>
        <w:pStyle w:val="Textonotapie"/>
        <w:ind w:firstLine="708"/>
        <w:jc w:val="both"/>
        <w:rPr>
          <w:rFonts w:ascii="Verdana" w:hAnsi="Verdana" w:cs="Arial"/>
          <w:sz w:val="16"/>
          <w:szCs w:val="16"/>
          <w:lang w:val="es-ES"/>
        </w:rPr>
      </w:pPr>
    </w:p>
  </w:footnote>
  <w:footnote w:id="7">
    <w:p w14:paraId="112D4C7B" w14:textId="77777777" w:rsidR="00647CE0" w:rsidRPr="00117E26" w:rsidRDefault="00647CE0" w:rsidP="00647CE0">
      <w:pPr>
        <w:pStyle w:val="Textonotapie"/>
        <w:ind w:firstLine="708"/>
        <w:jc w:val="both"/>
        <w:rPr>
          <w:rFonts w:ascii="Verdana" w:hAnsi="Verdana" w:cs="Arial"/>
          <w:sz w:val="16"/>
          <w:szCs w:val="16"/>
        </w:rPr>
      </w:pPr>
      <w:r w:rsidRPr="00117E26">
        <w:rPr>
          <w:rStyle w:val="Refdenotaalpie"/>
          <w:rFonts w:ascii="Verdana" w:hAnsi="Verdana" w:cs="Arial"/>
          <w:sz w:val="16"/>
          <w:szCs w:val="16"/>
        </w:rPr>
        <w:footnoteRef/>
      </w:r>
      <w:r w:rsidRPr="00117E26">
        <w:rPr>
          <w:rFonts w:ascii="Verdana" w:hAnsi="Verdana" w:cs="Arial"/>
          <w:sz w:val="16"/>
          <w:szCs w:val="16"/>
        </w:rPr>
        <w:t xml:space="preserve"> Sobre el particular, el artículo 2.2.1.2.3.2.8 del Decreto 1082 de 2015 dispone lo siguiente: “En caso de siniestro en la garantía de la seriedad de la oferta, la compañía de seguros debe responder por el total del valor asegurado a título de sanción”.</w:t>
      </w:r>
    </w:p>
    <w:p w14:paraId="11DBD41E" w14:textId="77777777" w:rsidR="00647CE0" w:rsidRPr="00117E26" w:rsidRDefault="00647CE0" w:rsidP="00647CE0">
      <w:pPr>
        <w:pStyle w:val="Textonotapie"/>
        <w:ind w:firstLine="708"/>
        <w:jc w:val="both"/>
        <w:rPr>
          <w:rFonts w:ascii="Verdana" w:hAnsi="Verdana" w:cs="Arial"/>
          <w:sz w:val="16"/>
          <w:szCs w:val="16"/>
        </w:rPr>
      </w:pPr>
    </w:p>
  </w:footnote>
  <w:footnote w:id="8">
    <w:p w14:paraId="396536AD" w14:textId="77777777" w:rsidR="00647CE0" w:rsidRPr="00117E26" w:rsidRDefault="00647CE0" w:rsidP="00647CE0">
      <w:pPr>
        <w:pStyle w:val="Textonotapie"/>
        <w:ind w:firstLine="709"/>
        <w:rPr>
          <w:rFonts w:ascii="Verdana" w:hAnsi="Verdana"/>
          <w:sz w:val="16"/>
          <w:szCs w:val="16"/>
          <w:lang w:val="es-CO"/>
        </w:rPr>
      </w:pPr>
      <w:r w:rsidRPr="00117E26">
        <w:rPr>
          <w:rStyle w:val="Refdenotaalpie"/>
          <w:rFonts w:ascii="Verdana" w:hAnsi="Verdana"/>
          <w:sz w:val="16"/>
          <w:szCs w:val="16"/>
        </w:rPr>
        <w:footnoteRef/>
      </w:r>
      <w:r w:rsidRPr="00117E26">
        <w:rPr>
          <w:rFonts w:ascii="Verdana" w:hAnsi="Verdana"/>
          <w:sz w:val="16"/>
          <w:szCs w:val="16"/>
        </w:rPr>
        <w:t xml:space="preserve"> Consejo de Estado. Sección Tercera. Sentencia del 10 de diciembre de 2018. Expediente: 39066. CP.: Carlos Alberto Zambrano Barrera.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49BFF" w14:textId="77777777" w:rsidR="00006F59" w:rsidRPr="009B7987" w:rsidRDefault="00006F59" w:rsidP="00006F59">
    <w:pPr>
      <w:pStyle w:val="Encabezado"/>
    </w:pPr>
    <w:r w:rsidRPr="009B7987">
      <w:rPr>
        <w:rFonts w:ascii="Geomanist Bold" w:hAnsi="Geomanist Bold"/>
        <w:b/>
        <w:bCs/>
        <w:noProof/>
        <w:color w:val="002060"/>
        <w:sz w:val="24"/>
        <w:szCs w:val="24"/>
      </w:rPr>
      <w:drawing>
        <wp:anchor distT="0" distB="0" distL="114300" distR="114300" simplePos="0" relativeHeight="251658241" behindDoc="1" locked="0" layoutInCell="1" allowOverlap="1" wp14:anchorId="4812B632" wp14:editId="2E35C64A">
          <wp:simplePos x="0" y="0"/>
          <wp:positionH relativeFrom="margin">
            <wp:align>center</wp:align>
          </wp:positionH>
          <wp:positionV relativeFrom="paragraph">
            <wp:posOffset>-250190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Pr="009B7987">
      <w:rPr>
        <w:rFonts w:ascii="Geomanist Bold" w:hAnsi="Geomanist Bold"/>
        <w:b/>
        <w:bCs/>
        <w:noProof/>
        <w:color w:val="002060"/>
        <w:sz w:val="24"/>
        <w:szCs w:val="24"/>
      </w:rPr>
      <w:drawing>
        <wp:anchor distT="0" distB="0" distL="114300" distR="114300" simplePos="0" relativeHeight="251658240" behindDoc="0" locked="0" layoutInCell="1" allowOverlap="1" wp14:anchorId="292DC36A" wp14:editId="6004C65E">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34B171C2" w14:textId="77777777" w:rsidR="00006F59" w:rsidRPr="009B7987" w:rsidRDefault="00006F59" w:rsidP="00006F59">
    <w:pPr>
      <w:pStyle w:val="Encabezado"/>
      <w:jc w:val="center"/>
    </w:pPr>
  </w:p>
  <w:p w14:paraId="1665FD71" w14:textId="77777777" w:rsidR="00006F59" w:rsidRPr="009B7987" w:rsidRDefault="00006F59" w:rsidP="00006F59">
    <w:pPr>
      <w:pStyle w:val="Encabezado"/>
    </w:pPr>
  </w:p>
  <w:p w14:paraId="61B882FC" w14:textId="77777777" w:rsidR="00006F59" w:rsidRPr="009B7987" w:rsidRDefault="00006F59" w:rsidP="00006F59">
    <w:pPr>
      <w:spacing w:after="0"/>
      <w:rPr>
        <w:rFonts w:ascii="Verdana" w:hAnsi="Verdana"/>
        <w:b/>
        <w:bCs/>
        <w:sz w:val="24"/>
        <w:szCs w:val="24"/>
      </w:rPr>
    </w:pPr>
  </w:p>
  <w:p w14:paraId="701A9D55" w14:textId="29EB49FC" w:rsidR="00006F59" w:rsidRPr="009B7987" w:rsidRDefault="00006F59" w:rsidP="001918F1">
    <w:pPr>
      <w:tabs>
        <w:tab w:val="left" w:pos="6217"/>
      </w:tabs>
      <w:spacing w:after="0"/>
      <w:rPr>
        <w:rFonts w:ascii="Verdana" w:hAnsi="Verdana"/>
        <w:b/>
        <w:bCs/>
        <w:sz w:val="24"/>
        <w:szCs w:val="24"/>
      </w:rPr>
    </w:pPr>
    <w:r w:rsidRPr="009B7987">
      <w:rPr>
        <w:rFonts w:ascii="Verdana" w:hAnsi="Verdana"/>
        <w:b/>
        <w:bCs/>
        <w:sz w:val="24"/>
        <w:szCs w:val="24"/>
      </w:rPr>
      <w:t>FORMATO PQRSD</w:t>
    </w:r>
  </w:p>
  <w:p w14:paraId="68E0C024" w14:textId="62811F13" w:rsidR="00B30448" w:rsidRPr="009B7987" w:rsidRDefault="00B30448" w:rsidP="00006F5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520020"/>
    <w:multiLevelType w:val="hybridMultilevel"/>
    <w:tmpl w:val="D6F4F646"/>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 w15:restartNumberingAfterBreak="0">
    <w:nsid w:val="05E83FFA"/>
    <w:multiLevelType w:val="hybridMultilevel"/>
    <w:tmpl w:val="8EF612C4"/>
    <w:lvl w:ilvl="0" w:tplc="DCA0A69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 w15:restartNumberingAfterBreak="0">
    <w:nsid w:val="0769791B"/>
    <w:multiLevelType w:val="hybridMultilevel"/>
    <w:tmpl w:val="6BF65156"/>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4" w15:restartNumberingAfterBreak="0">
    <w:nsid w:val="0801457A"/>
    <w:multiLevelType w:val="hybridMultilevel"/>
    <w:tmpl w:val="38A20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764EF3"/>
    <w:multiLevelType w:val="hybridMultilevel"/>
    <w:tmpl w:val="1F80E53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0F555BB5"/>
    <w:multiLevelType w:val="multilevel"/>
    <w:tmpl w:val="5868EEA8"/>
    <w:lvl w:ilvl="0">
      <w:start w:val="1"/>
      <w:numFmt w:val="decimal"/>
      <w:lvlText w:val="%1."/>
      <w:lvlJc w:val="left"/>
      <w:pPr>
        <w:ind w:left="46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820" w:hanging="720"/>
      </w:pPr>
      <w:rPr>
        <w:rFonts w:ascii="Arial" w:eastAsia="Arial" w:hAnsi="Arial" w:cs="Arial" w:hint="default"/>
        <w:b/>
        <w:bCs/>
        <w:color w:val="4E4D4D"/>
        <w:spacing w:val="-4"/>
        <w:w w:val="100"/>
        <w:sz w:val="22"/>
        <w:szCs w:val="22"/>
        <w:lang w:val="es-ES" w:eastAsia="en-US" w:bidi="ar-SA"/>
      </w:rPr>
    </w:lvl>
    <w:lvl w:ilvl="2">
      <w:start w:val="1"/>
      <w:numFmt w:val="decimal"/>
      <w:lvlText w:val="%3."/>
      <w:lvlJc w:val="left"/>
      <w:pPr>
        <w:ind w:left="1192" w:hanging="243"/>
      </w:pPr>
      <w:rPr>
        <w:rFonts w:ascii="Verdana" w:eastAsia="Arial" w:hAnsi="Verdana" w:cs="Arial" w:hint="default"/>
        <w:color w:val="auto"/>
        <w:spacing w:val="-1"/>
        <w:w w:val="100"/>
        <w:sz w:val="20"/>
        <w:szCs w:val="20"/>
        <w:lang w:val="es-ES" w:eastAsia="en-US" w:bidi="ar-SA"/>
      </w:rPr>
    </w:lvl>
    <w:lvl w:ilvl="3">
      <w:numFmt w:val="bullet"/>
      <w:lvlText w:val="•"/>
      <w:lvlJc w:val="left"/>
      <w:pPr>
        <w:ind w:left="2192" w:hanging="243"/>
      </w:pPr>
      <w:rPr>
        <w:rFonts w:hint="default"/>
        <w:lang w:val="es-ES" w:eastAsia="en-US" w:bidi="ar-SA"/>
      </w:rPr>
    </w:lvl>
    <w:lvl w:ilvl="4">
      <w:numFmt w:val="bullet"/>
      <w:lvlText w:val="•"/>
      <w:lvlJc w:val="left"/>
      <w:pPr>
        <w:ind w:left="3185" w:hanging="243"/>
      </w:pPr>
      <w:rPr>
        <w:rFonts w:hint="default"/>
        <w:lang w:val="es-ES" w:eastAsia="en-US" w:bidi="ar-SA"/>
      </w:rPr>
    </w:lvl>
    <w:lvl w:ilvl="5">
      <w:numFmt w:val="bullet"/>
      <w:lvlText w:val="•"/>
      <w:lvlJc w:val="left"/>
      <w:pPr>
        <w:ind w:left="4177" w:hanging="243"/>
      </w:pPr>
      <w:rPr>
        <w:rFonts w:hint="default"/>
        <w:lang w:val="es-ES" w:eastAsia="en-US" w:bidi="ar-SA"/>
      </w:rPr>
    </w:lvl>
    <w:lvl w:ilvl="6">
      <w:numFmt w:val="bullet"/>
      <w:lvlText w:val="•"/>
      <w:lvlJc w:val="left"/>
      <w:pPr>
        <w:ind w:left="5170" w:hanging="243"/>
      </w:pPr>
      <w:rPr>
        <w:rFonts w:hint="default"/>
        <w:lang w:val="es-ES" w:eastAsia="en-US" w:bidi="ar-SA"/>
      </w:rPr>
    </w:lvl>
    <w:lvl w:ilvl="7">
      <w:numFmt w:val="bullet"/>
      <w:lvlText w:val="•"/>
      <w:lvlJc w:val="left"/>
      <w:pPr>
        <w:ind w:left="6162" w:hanging="243"/>
      </w:pPr>
      <w:rPr>
        <w:rFonts w:hint="default"/>
        <w:lang w:val="es-ES" w:eastAsia="en-US" w:bidi="ar-SA"/>
      </w:rPr>
    </w:lvl>
    <w:lvl w:ilvl="8">
      <w:numFmt w:val="bullet"/>
      <w:lvlText w:val="•"/>
      <w:lvlJc w:val="left"/>
      <w:pPr>
        <w:ind w:left="7155" w:hanging="243"/>
      </w:pPr>
      <w:rPr>
        <w:rFonts w:hint="default"/>
        <w:lang w:val="es-ES" w:eastAsia="en-US" w:bidi="ar-SA"/>
      </w:rPr>
    </w:lvl>
  </w:abstractNum>
  <w:abstractNum w:abstractNumId="7" w15:restartNumberingAfterBreak="0">
    <w:nsid w:val="17AF3BD1"/>
    <w:multiLevelType w:val="hybridMultilevel"/>
    <w:tmpl w:val="13F4E45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1C23291E"/>
    <w:multiLevelType w:val="hybridMultilevel"/>
    <w:tmpl w:val="352C3E06"/>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9" w15:restartNumberingAfterBreak="0">
    <w:nsid w:val="239D63F5"/>
    <w:multiLevelType w:val="hybridMultilevel"/>
    <w:tmpl w:val="F538EEB4"/>
    <w:lvl w:ilvl="0" w:tplc="DB68C6FA">
      <w:numFmt w:val="bullet"/>
      <w:lvlText w:val="-"/>
      <w:lvlJc w:val="left"/>
      <w:pPr>
        <w:ind w:left="1069" w:hanging="360"/>
      </w:pPr>
      <w:rPr>
        <w:rFonts w:ascii="Verdana" w:eastAsia="Calibri" w:hAnsi="Verdana"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10" w15:restartNumberingAfterBreak="0">
    <w:nsid w:val="2F2143A1"/>
    <w:multiLevelType w:val="hybridMultilevel"/>
    <w:tmpl w:val="4EB84EEC"/>
    <w:lvl w:ilvl="0" w:tplc="5E185100">
      <w:start w:val="1"/>
      <w:numFmt w:val="lowerRoman"/>
      <w:lvlText w:val="%1)"/>
      <w:lvlJc w:val="left"/>
      <w:pPr>
        <w:ind w:left="2136" w:hanging="720"/>
      </w:pPr>
      <w:rPr>
        <w:rFonts w:hint="default"/>
      </w:rPr>
    </w:lvl>
    <w:lvl w:ilvl="1" w:tplc="240A0019" w:tentative="1">
      <w:start w:val="1"/>
      <w:numFmt w:val="lowerLetter"/>
      <w:lvlText w:val="%2."/>
      <w:lvlJc w:val="left"/>
      <w:pPr>
        <w:ind w:left="2496" w:hanging="360"/>
      </w:pPr>
    </w:lvl>
    <w:lvl w:ilvl="2" w:tplc="240A001B" w:tentative="1">
      <w:start w:val="1"/>
      <w:numFmt w:val="lowerRoman"/>
      <w:lvlText w:val="%3."/>
      <w:lvlJc w:val="right"/>
      <w:pPr>
        <w:ind w:left="3216" w:hanging="180"/>
      </w:pPr>
    </w:lvl>
    <w:lvl w:ilvl="3" w:tplc="240A000F" w:tentative="1">
      <w:start w:val="1"/>
      <w:numFmt w:val="decimal"/>
      <w:lvlText w:val="%4."/>
      <w:lvlJc w:val="left"/>
      <w:pPr>
        <w:ind w:left="3936" w:hanging="360"/>
      </w:pPr>
    </w:lvl>
    <w:lvl w:ilvl="4" w:tplc="240A0019" w:tentative="1">
      <w:start w:val="1"/>
      <w:numFmt w:val="lowerLetter"/>
      <w:lvlText w:val="%5."/>
      <w:lvlJc w:val="left"/>
      <w:pPr>
        <w:ind w:left="4656" w:hanging="360"/>
      </w:pPr>
    </w:lvl>
    <w:lvl w:ilvl="5" w:tplc="240A001B" w:tentative="1">
      <w:start w:val="1"/>
      <w:numFmt w:val="lowerRoman"/>
      <w:lvlText w:val="%6."/>
      <w:lvlJc w:val="right"/>
      <w:pPr>
        <w:ind w:left="5376" w:hanging="180"/>
      </w:pPr>
    </w:lvl>
    <w:lvl w:ilvl="6" w:tplc="240A000F" w:tentative="1">
      <w:start w:val="1"/>
      <w:numFmt w:val="decimal"/>
      <w:lvlText w:val="%7."/>
      <w:lvlJc w:val="left"/>
      <w:pPr>
        <w:ind w:left="6096" w:hanging="360"/>
      </w:pPr>
    </w:lvl>
    <w:lvl w:ilvl="7" w:tplc="240A0019" w:tentative="1">
      <w:start w:val="1"/>
      <w:numFmt w:val="lowerLetter"/>
      <w:lvlText w:val="%8."/>
      <w:lvlJc w:val="left"/>
      <w:pPr>
        <w:ind w:left="6816" w:hanging="360"/>
      </w:pPr>
    </w:lvl>
    <w:lvl w:ilvl="8" w:tplc="240A001B" w:tentative="1">
      <w:start w:val="1"/>
      <w:numFmt w:val="lowerRoman"/>
      <w:lvlText w:val="%9."/>
      <w:lvlJc w:val="right"/>
      <w:pPr>
        <w:ind w:left="7536" w:hanging="180"/>
      </w:pPr>
    </w:lvl>
  </w:abstractNum>
  <w:abstractNum w:abstractNumId="11" w15:restartNumberingAfterBreak="0">
    <w:nsid w:val="2F2F4AAF"/>
    <w:multiLevelType w:val="hybridMultilevel"/>
    <w:tmpl w:val="8780C6F4"/>
    <w:lvl w:ilvl="0" w:tplc="55946782">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2"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4" w15:restartNumberingAfterBreak="0">
    <w:nsid w:val="3835108C"/>
    <w:multiLevelType w:val="hybridMultilevel"/>
    <w:tmpl w:val="46D6164A"/>
    <w:lvl w:ilvl="0" w:tplc="9ADA0392">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5" w15:restartNumberingAfterBreak="0">
    <w:nsid w:val="388E5AE1"/>
    <w:multiLevelType w:val="hybridMultilevel"/>
    <w:tmpl w:val="1B62FAF4"/>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39CD3660"/>
    <w:multiLevelType w:val="hybridMultilevel"/>
    <w:tmpl w:val="DCEE24D0"/>
    <w:lvl w:ilvl="0" w:tplc="7D9E7E62">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8" w15:restartNumberingAfterBreak="0">
    <w:nsid w:val="3D5D596E"/>
    <w:multiLevelType w:val="hybridMultilevel"/>
    <w:tmpl w:val="88DE2ABC"/>
    <w:lvl w:ilvl="0" w:tplc="ECF04718">
      <w:start w:val="1"/>
      <w:numFmt w:val="lowerRoman"/>
      <w:lvlText w:val="%1)"/>
      <w:lvlJc w:val="left"/>
      <w:pPr>
        <w:ind w:left="1429" w:hanging="720"/>
      </w:pPr>
      <w:rPr>
        <w:rFonts w:ascii="Verdana" w:eastAsia="Calibri" w:hAnsi="Verdana" w:cs="Arial"/>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9" w15:restartNumberingAfterBreak="0">
    <w:nsid w:val="418679D0"/>
    <w:multiLevelType w:val="hybridMultilevel"/>
    <w:tmpl w:val="F2F430A2"/>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0" w15:restartNumberingAfterBreak="0">
    <w:nsid w:val="475C5A77"/>
    <w:multiLevelType w:val="hybridMultilevel"/>
    <w:tmpl w:val="F5321E28"/>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4D0E478B"/>
    <w:multiLevelType w:val="hybridMultilevel"/>
    <w:tmpl w:val="869EF6D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 w15:restartNumberingAfterBreak="0">
    <w:nsid w:val="522C350D"/>
    <w:multiLevelType w:val="hybridMultilevel"/>
    <w:tmpl w:val="89B6917E"/>
    <w:lvl w:ilvl="0" w:tplc="A7B2FCBE">
      <w:start w:val="1"/>
      <w:numFmt w:val="decimal"/>
      <w:lvlText w:val="%1."/>
      <w:lvlJc w:val="left"/>
      <w:pPr>
        <w:ind w:left="1494" w:hanging="360"/>
      </w:pPr>
      <w:rPr>
        <w:rFonts w:hint="default"/>
      </w:rPr>
    </w:lvl>
    <w:lvl w:ilvl="1" w:tplc="240A0019" w:tentative="1">
      <w:start w:val="1"/>
      <w:numFmt w:val="lowerLetter"/>
      <w:lvlText w:val="%2."/>
      <w:lvlJc w:val="left"/>
      <w:pPr>
        <w:ind w:left="2214" w:hanging="360"/>
      </w:pPr>
    </w:lvl>
    <w:lvl w:ilvl="2" w:tplc="240A001B" w:tentative="1">
      <w:start w:val="1"/>
      <w:numFmt w:val="lowerRoman"/>
      <w:lvlText w:val="%3."/>
      <w:lvlJc w:val="right"/>
      <w:pPr>
        <w:ind w:left="2934" w:hanging="180"/>
      </w:pPr>
    </w:lvl>
    <w:lvl w:ilvl="3" w:tplc="240A000F" w:tentative="1">
      <w:start w:val="1"/>
      <w:numFmt w:val="decimal"/>
      <w:lvlText w:val="%4."/>
      <w:lvlJc w:val="left"/>
      <w:pPr>
        <w:ind w:left="3654" w:hanging="360"/>
      </w:pPr>
    </w:lvl>
    <w:lvl w:ilvl="4" w:tplc="240A0019" w:tentative="1">
      <w:start w:val="1"/>
      <w:numFmt w:val="lowerLetter"/>
      <w:lvlText w:val="%5."/>
      <w:lvlJc w:val="left"/>
      <w:pPr>
        <w:ind w:left="4374" w:hanging="360"/>
      </w:pPr>
    </w:lvl>
    <w:lvl w:ilvl="5" w:tplc="240A001B" w:tentative="1">
      <w:start w:val="1"/>
      <w:numFmt w:val="lowerRoman"/>
      <w:lvlText w:val="%6."/>
      <w:lvlJc w:val="right"/>
      <w:pPr>
        <w:ind w:left="5094" w:hanging="180"/>
      </w:pPr>
    </w:lvl>
    <w:lvl w:ilvl="6" w:tplc="240A000F" w:tentative="1">
      <w:start w:val="1"/>
      <w:numFmt w:val="decimal"/>
      <w:lvlText w:val="%7."/>
      <w:lvlJc w:val="left"/>
      <w:pPr>
        <w:ind w:left="5814" w:hanging="360"/>
      </w:pPr>
    </w:lvl>
    <w:lvl w:ilvl="7" w:tplc="240A0019" w:tentative="1">
      <w:start w:val="1"/>
      <w:numFmt w:val="lowerLetter"/>
      <w:lvlText w:val="%8."/>
      <w:lvlJc w:val="left"/>
      <w:pPr>
        <w:ind w:left="6534" w:hanging="360"/>
      </w:pPr>
    </w:lvl>
    <w:lvl w:ilvl="8" w:tplc="240A001B" w:tentative="1">
      <w:start w:val="1"/>
      <w:numFmt w:val="lowerRoman"/>
      <w:lvlText w:val="%9."/>
      <w:lvlJc w:val="right"/>
      <w:pPr>
        <w:ind w:left="7254" w:hanging="180"/>
      </w:pPr>
    </w:lvl>
  </w:abstractNum>
  <w:abstractNum w:abstractNumId="23" w15:restartNumberingAfterBreak="0">
    <w:nsid w:val="540506B6"/>
    <w:multiLevelType w:val="hybridMultilevel"/>
    <w:tmpl w:val="974E041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4" w15:restartNumberingAfterBreak="0">
    <w:nsid w:val="603F1D1B"/>
    <w:multiLevelType w:val="hybridMultilevel"/>
    <w:tmpl w:val="D012F2B4"/>
    <w:lvl w:ilvl="0" w:tplc="88466D34">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 w15:restartNumberingAfterBreak="0">
    <w:nsid w:val="604178A9"/>
    <w:multiLevelType w:val="hybridMultilevel"/>
    <w:tmpl w:val="7486A3C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6" w15:restartNumberingAfterBreak="0">
    <w:nsid w:val="620101A4"/>
    <w:multiLevelType w:val="hybridMultilevel"/>
    <w:tmpl w:val="717C38BE"/>
    <w:lvl w:ilvl="0" w:tplc="FFFFFFFF">
      <w:start w:val="1"/>
      <w:numFmt w:val="lowerRoman"/>
      <w:lvlText w:val="%1)"/>
      <w:lvlJc w:val="left"/>
      <w:pPr>
        <w:ind w:left="1429" w:hanging="720"/>
      </w:pPr>
      <w:rPr>
        <w:rFonts w:ascii="Verdana" w:eastAsia="Calibri" w:hAnsi="Verdana" w:cs="Arial"/>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27" w15:restartNumberingAfterBreak="0">
    <w:nsid w:val="661C105F"/>
    <w:multiLevelType w:val="hybridMultilevel"/>
    <w:tmpl w:val="FF7611B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8" w15:restartNumberingAfterBreak="0">
    <w:nsid w:val="6D471CDA"/>
    <w:multiLevelType w:val="hybridMultilevel"/>
    <w:tmpl w:val="FF68D47A"/>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9" w15:restartNumberingAfterBreak="0">
    <w:nsid w:val="700542C4"/>
    <w:multiLevelType w:val="hybridMultilevel"/>
    <w:tmpl w:val="232828B0"/>
    <w:lvl w:ilvl="0" w:tplc="FFFFFFFF">
      <w:start w:val="1"/>
      <w:numFmt w:val="decimal"/>
      <w:lvlText w:val="%1."/>
      <w:lvlJc w:val="left"/>
      <w:pPr>
        <w:ind w:left="2061" w:hanging="360"/>
      </w:p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0" w15:restartNumberingAfterBreak="0">
    <w:nsid w:val="70D60AF4"/>
    <w:multiLevelType w:val="hybridMultilevel"/>
    <w:tmpl w:val="623869D6"/>
    <w:lvl w:ilvl="0" w:tplc="1E18C336">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1" w15:restartNumberingAfterBreak="0">
    <w:nsid w:val="77681820"/>
    <w:multiLevelType w:val="hybridMultilevel"/>
    <w:tmpl w:val="978A042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2" w15:restartNumberingAfterBreak="0">
    <w:nsid w:val="7B7F0FB5"/>
    <w:multiLevelType w:val="hybridMultilevel"/>
    <w:tmpl w:val="3586D1F0"/>
    <w:lvl w:ilvl="0" w:tplc="15C0C8AE">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3" w15:restartNumberingAfterBreak="0">
    <w:nsid w:val="7C190BA4"/>
    <w:multiLevelType w:val="hybridMultilevel"/>
    <w:tmpl w:val="D1FEAF26"/>
    <w:lvl w:ilvl="0" w:tplc="D5B89D1A">
      <w:start w:val="1"/>
      <w:numFmt w:val="decimal"/>
      <w:lvlText w:val="%1."/>
      <w:lvlJc w:val="left"/>
      <w:pPr>
        <w:ind w:left="1028" w:hanging="221"/>
      </w:pPr>
      <w:rPr>
        <w:rFonts w:ascii="Arial" w:eastAsia="Arial" w:hAnsi="Arial" w:cs="Arial" w:hint="default"/>
        <w:color w:val="auto"/>
        <w:spacing w:val="-2"/>
        <w:w w:val="100"/>
        <w:sz w:val="20"/>
        <w:szCs w:val="20"/>
        <w:lang w:val="es-ES" w:eastAsia="es-ES" w:bidi="es-ES"/>
      </w:rPr>
    </w:lvl>
    <w:lvl w:ilvl="1" w:tplc="053E5822">
      <w:numFmt w:val="bullet"/>
      <w:lvlText w:val="•"/>
      <w:lvlJc w:val="left"/>
      <w:pPr>
        <w:ind w:left="1846" w:hanging="221"/>
      </w:pPr>
      <w:rPr>
        <w:rFonts w:hint="default"/>
        <w:lang w:val="es-ES" w:eastAsia="es-ES" w:bidi="es-ES"/>
      </w:rPr>
    </w:lvl>
    <w:lvl w:ilvl="2" w:tplc="90242A8E">
      <w:numFmt w:val="bullet"/>
      <w:lvlText w:val="•"/>
      <w:lvlJc w:val="left"/>
      <w:pPr>
        <w:ind w:left="2672" w:hanging="221"/>
      </w:pPr>
      <w:rPr>
        <w:rFonts w:hint="default"/>
        <w:lang w:val="es-ES" w:eastAsia="es-ES" w:bidi="es-ES"/>
      </w:rPr>
    </w:lvl>
    <w:lvl w:ilvl="3" w:tplc="E160CF42">
      <w:numFmt w:val="bullet"/>
      <w:lvlText w:val="•"/>
      <w:lvlJc w:val="left"/>
      <w:pPr>
        <w:ind w:left="3498" w:hanging="221"/>
      </w:pPr>
      <w:rPr>
        <w:rFonts w:hint="default"/>
        <w:lang w:val="es-ES" w:eastAsia="es-ES" w:bidi="es-ES"/>
      </w:rPr>
    </w:lvl>
    <w:lvl w:ilvl="4" w:tplc="9B26973A">
      <w:numFmt w:val="bullet"/>
      <w:lvlText w:val="•"/>
      <w:lvlJc w:val="left"/>
      <w:pPr>
        <w:ind w:left="4324" w:hanging="221"/>
      </w:pPr>
      <w:rPr>
        <w:rFonts w:hint="default"/>
        <w:lang w:val="es-ES" w:eastAsia="es-ES" w:bidi="es-ES"/>
      </w:rPr>
    </w:lvl>
    <w:lvl w:ilvl="5" w:tplc="017409CE">
      <w:numFmt w:val="bullet"/>
      <w:lvlText w:val="•"/>
      <w:lvlJc w:val="left"/>
      <w:pPr>
        <w:ind w:left="5150" w:hanging="221"/>
      </w:pPr>
      <w:rPr>
        <w:rFonts w:hint="default"/>
        <w:lang w:val="es-ES" w:eastAsia="es-ES" w:bidi="es-ES"/>
      </w:rPr>
    </w:lvl>
    <w:lvl w:ilvl="6" w:tplc="870EC5D4">
      <w:numFmt w:val="bullet"/>
      <w:lvlText w:val="•"/>
      <w:lvlJc w:val="left"/>
      <w:pPr>
        <w:ind w:left="5976" w:hanging="221"/>
      </w:pPr>
      <w:rPr>
        <w:rFonts w:hint="default"/>
        <w:lang w:val="es-ES" w:eastAsia="es-ES" w:bidi="es-ES"/>
      </w:rPr>
    </w:lvl>
    <w:lvl w:ilvl="7" w:tplc="F4B4208E">
      <w:numFmt w:val="bullet"/>
      <w:lvlText w:val="•"/>
      <w:lvlJc w:val="left"/>
      <w:pPr>
        <w:ind w:left="6802" w:hanging="221"/>
      </w:pPr>
      <w:rPr>
        <w:rFonts w:hint="default"/>
        <w:lang w:val="es-ES" w:eastAsia="es-ES" w:bidi="es-ES"/>
      </w:rPr>
    </w:lvl>
    <w:lvl w:ilvl="8" w:tplc="55B09E2E">
      <w:numFmt w:val="bullet"/>
      <w:lvlText w:val="•"/>
      <w:lvlJc w:val="left"/>
      <w:pPr>
        <w:ind w:left="7628" w:hanging="221"/>
      </w:pPr>
      <w:rPr>
        <w:rFonts w:hint="default"/>
        <w:lang w:val="es-ES" w:eastAsia="es-ES" w:bidi="es-ES"/>
      </w:rPr>
    </w:lvl>
  </w:abstractNum>
  <w:abstractNum w:abstractNumId="34" w15:restartNumberingAfterBreak="0">
    <w:nsid w:val="7DD23916"/>
    <w:multiLevelType w:val="multilevel"/>
    <w:tmpl w:val="89F2A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30140246">
    <w:abstractNumId w:val="0"/>
  </w:num>
  <w:num w:numId="2" w16cid:durableId="1492209491">
    <w:abstractNumId w:val="13"/>
  </w:num>
  <w:num w:numId="3" w16cid:durableId="679089576">
    <w:abstractNumId w:val="17"/>
  </w:num>
  <w:num w:numId="4" w16cid:durableId="893472101">
    <w:abstractNumId w:val="9"/>
  </w:num>
  <w:num w:numId="5" w16cid:durableId="1982299905">
    <w:abstractNumId w:val="34"/>
  </w:num>
  <w:num w:numId="6" w16cid:durableId="130758360">
    <w:abstractNumId w:val="20"/>
  </w:num>
  <w:num w:numId="7" w16cid:durableId="262541512">
    <w:abstractNumId w:val="31"/>
  </w:num>
  <w:num w:numId="8" w16cid:durableId="1947226218">
    <w:abstractNumId w:val="16"/>
  </w:num>
  <w:num w:numId="9" w16cid:durableId="1180706126">
    <w:abstractNumId w:val="19"/>
  </w:num>
  <w:num w:numId="10" w16cid:durableId="2097506960">
    <w:abstractNumId w:val="25"/>
  </w:num>
  <w:num w:numId="11" w16cid:durableId="1977490869">
    <w:abstractNumId w:val="23"/>
  </w:num>
  <w:num w:numId="12" w16cid:durableId="158663248">
    <w:abstractNumId w:val="22"/>
  </w:num>
  <w:num w:numId="13" w16cid:durableId="2024085788">
    <w:abstractNumId w:val="2"/>
  </w:num>
  <w:num w:numId="14" w16cid:durableId="1885099950">
    <w:abstractNumId w:val="15"/>
  </w:num>
  <w:num w:numId="15" w16cid:durableId="32047459">
    <w:abstractNumId w:val="10"/>
  </w:num>
  <w:num w:numId="16" w16cid:durableId="1192261824">
    <w:abstractNumId w:val="11"/>
  </w:num>
  <w:num w:numId="17" w16cid:durableId="375933272">
    <w:abstractNumId w:val="18"/>
  </w:num>
  <w:num w:numId="18" w16cid:durableId="610939998">
    <w:abstractNumId w:val="26"/>
  </w:num>
  <w:num w:numId="19" w16cid:durableId="1910656144">
    <w:abstractNumId w:val="4"/>
  </w:num>
  <w:num w:numId="20" w16cid:durableId="947545103">
    <w:abstractNumId w:val="14"/>
  </w:num>
  <w:num w:numId="21" w16cid:durableId="1851335222">
    <w:abstractNumId w:val="33"/>
  </w:num>
  <w:num w:numId="22" w16cid:durableId="578707994">
    <w:abstractNumId w:val="6"/>
  </w:num>
  <w:num w:numId="23" w16cid:durableId="876742304">
    <w:abstractNumId w:val="12"/>
  </w:num>
  <w:num w:numId="24" w16cid:durableId="1994095851">
    <w:abstractNumId w:val="7"/>
  </w:num>
  <w:num w:numId="25" w16cid:durableId="1567109325">
    <w:abstractNumId w:val="27"/>
  </w:num>
  <w:num w:numId="26" w16cid:durableId="1116487847">
    <w:abstractNumId w:val="21"/>
  </w:num>
  <w:num w:numId="27" w16cid:durableId="611326471">
    <w:abstractNumId w:val="29"/>
    <w:lvlOverride w:ilvl="0">
      <w:startOverride w:val="1"/>
    </w:lvlOverride>
    <w:lvlOverride w:ilvl="1"/>
    <w:lvlOverride w:ilvl="2"/>
    <w:lvlOverride w:ilvl="3"/>
    <w:lvlOverride w:ilvl="4"/>
    <w:lvlOverride w:ilvl="5"/>
    <w:lvlOverride w:ilvl="6"/>
    <w:lvlOverride w:ilvl="7"/>
    <w:lvlOverride w:ilvl="8"/>
  </w:num>
  <w:num w:numId="28" w16cid:durableId="883785195">
    <w:abstractNumId w:val="1"/>
  </w:num>
  <w:num w:numId="29" w16cid:durableId="2116288898">
    <w:abstractNumId w:val="32"/>
  </w:num>
  <w:num w:numId="30" w16cid:durableId="363991975">
    <w:abstractNumId w:val="30"/>
  </w:num>
  <w:num w:numId="31" w16cid:durableId="1509440290">
    <w:abstractNumId w:val="24"/>
  </w:num>
  <w:num w:numId="32" w16cid:durableId="1601723362">
    <w:abstractNumId w:val="8"/>
  </w:num>
  <w:num w:numId="33" w16cid:durableId="1484539021">
    <w:abstractNumId w:val="5"/>
  </w:num>
  <w:num w:numId="34" w16cid:durableId="1387339555">
    <w:abstractNumId w:val="3"/>
  </w:num>
  <w:num w:numId="35" w16cid:durableId="591087840">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48"/>
    <w:rsid w:val="00001B12"/>
    <w:rsid w:val="00001B99"/>
    <w:rsid w:val="00001E08"/>
    <w:rsid w:val="00001E39"/>
    <w:rsid w:val="00002920"/>
    <w:rsid w:val="00002D55"/>
    <w:rsid w:val="0000399A"/>
    <w:rsid w:val="00005225"/>
    <w:rsid w:val="000054DB"/>
    <w:rsid w:val="0000587D"/>
    <w:rsid w:val="000059AE"/>
    <w:rsid w:val="00005BB0"/>
    <w:rsid w:val="00006F59"/>
    <w:rsid w:val="00007086"/>
    <w:rsid w:val="00007382"/>
    <w:rsid w:val="00007576"/>
    <w:rsid w:val="0001025F"/>
    <w:rsid w:val="0001155E"/>
    <w:rsid w:val="00011613"/>
    <w:rsid w:val="00011D3C"/>
    <w:rsid w:val="0001222D"/>
    <w:rsid w:val="00012550"/>
    <w:rsid w:val="00012679"/>
    <w:rsid w:val="00012EDA"/>
    <w:rsid w:val="00013B3F"/>
    <w:rsid w:val="00014981"/>
    <w:rsid w:val="00014B0D"/>
    <w:rsid w:val="00014E7B"/>
    <w:rsid w:val="00016280"/>
    <w:rsid w:val="0001672C"/>
    <w:rsid w:val="00016F04"/>
    <w:rsid w:val="00017870"/>
    <w:rsid w:val="00021068"/>
    <w:rsid w:val="00021595"/>
    <w:rsid w:val="000219D1"/>
    <w:rsid w:val="00021C3A"/>
    <w:rsid w:val="0002202D"/>
    <w:rsid w:val="00022C23"/>
    <w:rsid w:val="00023DF7"/>
    <w:rsid w:val="000267DD"/>
    <w:rsid w:val="000273EA"/>
    <w:rsid w:val="00027B63"/>
    <w:rsid w:val="00027CA9"/>
    <w:rsid w:val="00030B3D"/>
    <w:rsid w:val="00030BC5"/>
    <w:rsid w:val="00030BFB"/>
    <w:rsid w:val="00031DA1"/>
    <w:rsid w:val="00031EAF"/>
    <w:rsid w:val="00033390"/>
    <w:rsid w:val="000361EA"/>
    <w:rsid w:val="0003699E"/>
    <w:rsid w:val="000369C0"/>
    <w:rsid w:val="0003731A"/>
    <w:rsid w:val="00037A8B"/>
    <w:rsid w:val="00040372"/>
    <w:rsid w:val="000408AD"/>
    <w:rsid w:val="00041469"/>
    <w:rsid w:val="0004180C"/>
    <w:rsid w:val="000419D7"/>
    <w:rsid w:val="00042DD7"/>
    <w:rsid w:val="00043EE5"/>
    <w:rsid w:val="000442CC"/>
    <w:rsid w:val="000442DE"/>
    <w:rsid w:val="00044B24"/>
    <w:rsid w:val="0004508D"/>
    <w:rsid w:val="0004526E"/>
    <w:rsid w:val="00045B37"/>
    <w:rsid w:val="0004709D"/>
    <w:rsid w:val="000504AA"/>
    <w:rsid w:val="0005086B"/>
    <w:rsid w:val="0005098A"/>
    <w:rsid w:val="00050C95"/>
    <w:rsid w:val="00050CAD"/>
    <w:rsid w:val="0005142D"/>
    <w:rsid w:val="00051A3C"/>
    <w:rsid w:val="00051BE4"/>
    <w:rsid w:val="00051E96"/>
    <w:rsid w:val="000526A8"/>
    <w:rsid w:val="00052EF1"/>
    <w:rsid w:val="0005420B"/>
    <w:rsid w:val="00054DFE"/>
    <w:rsid w:val="000551CB"/>
    <w:rsid w:val="0005620B"/>
    <w:rsid w:val="00057392"/>
    <w:rsid w:val="000577A2"/>
    <w:rsid w:val="000577D3"/>
    <w:rsid w:val="00057963"/>
    <w:rsid w:val="000579AB"/>
    <w:rsid w:val="00060AE4"/>
    <w:rsid w:val="000622B9"/>
    <w:rsid w:val="000631E9"/>
    <w:rsid w:val="00063B4B"/>
    <w:rsid w:val="00064431"/>
    <w:rsid w:val="00064721"/>
    <w:rsid w:val="00064D60"/>
    <w:rsid w:val="00065973"/>
    <w:rsid w:val="00065C6D"/>
    <w:rsid w:val="000665D3"/>
    <w:rsid w:val="00066646"/>
    <w:rsid w:val="00066C7A"/>
    <w:rsid w:val="00066CF1"/>
    <w:rsid w:val="000678BB"/>
    <w:rsid w:val="0007144A"/>
    <w:rsid w:val="000716AB"/>
    <w:rsid w:val="00071AB8"/>
    <w:rsid w:val="0007243A"/>
    <w:rsid w:val="000734CB"/>
    <w:rsid w:val="00074660"/>
    <w:rsid w:val="00076211"/>
    <w:rsid w:val="000762C0"/>
    <w:rsid w:val="0007655A"/>
    <w:rsid w:val="00076737"/>
    <w:rsid w:val="00076C2B"/>
    <w:rsid w:val="00076C73"/>
    <w:rsid w:val="00076F81"/>
    <w:rsid w:val="000772B1"/>
    <w:rsid w:val="000779DE"/>
    <w:rsid w:val="000800B6"/>
    <w:rsid w:val="00080D15"/>
    <w:rsid w:val="00081B03"/>
    <w:rsid w:val="000847A0"/>
    <w:rsid w:val="00084BFD"/>
    <w:rsid w:val="00087073"/>
    <w:rsid w:val="0008739A"/>
    <w:rsid w:val="000875BD"/>
    <w:rsid w:val="000878E7"/>
    <w:rsid w:val="00087A3B"/>
    <w:rsid w:val="00087C01"/>
    <w:rsid w:val="000903E4"/>
    <w:rsid w:val="000906E3"/>
    <w:rsid w:val="00091D73"/>
    <w:rsid w:val="000933B5"/>
    <w:rsid w:val="000933BC"/>
    <w:rsid w:val="00093544"/>
    <w:rsid w:val="00093D95"/>
    <w:rsid w:val="00094663"/>
    <w:rsid w:val="00095410"/>
    <w:rsid w:val="00095E48"/>
    <w:rsid w:val="00096637"/>
    <w:rsid w:val="0009726B"/>
    <w:rsid w:val="00097285"/>
    <w:rsid w:val="000975EA"/>
    <w:rsid w:val="000A021A"/>
    <w:rsid w:val="000A1828"/>
    <w:rsid w:val="000A1C31"/>
    <w:rsid w:val="000A1D06"/>
    <w:rsid w:val="000A1F38"/>
    <w:rsid w:val="000A2030"/>
    <w:rsid w:val="000A37F5"/>
    <w:rsid w:val="000A413A"/>
    <w:rsid w:val="000A4F1E"/>
    <w:rsid w:val="000A5881"/>
    <w:rsid w:val="000A66A1"/>
    <w:rsid w:val="000A69FB"/>
    <w:rsid w:val="000B0B16"/>
    <w:rsid w:val="000B1087"/>
    <w:rsid w:val="000B199A"/>
    <w:rsid w:val="000B1FF7"/>
    <w:rsid w:val="000B2529"/>
    <w:rsid w:val="000B2B7C"/>
    <w:rsid w:val="000B377E"/>
    <w:rsid w:val="000B381D"/>
    <w:rsid w:val="000B3DD4"/>
    <w:rsid w:val="000B4024"/>
    <w:rsid w:val="000B44BA"/>
    <w:rsid w:val="000B4C9C"/>
    <w:rsid w:val="000B5311"/>
    <w:rsid w:val="000B5313"/>
    <w:rsid w:val="000B5C05"/>
    <w:rsid w:val="000B5C65"/>
    <w:rsid w:val="000B5F1D"/>
    <w:rsid w:val="000B6BE9"/>
    <w:rsid w:val="000C02AD"/>
    <w:rsid w:val="000C060A"/>
    <w:rsid w:val="000C07B0"/>
    <w:rsid w:val="000C09DF"/>
    <w:rsid w:val="000C0AA8"/>
    <w:rsid w:val="000C18BD"/>
    <w:rsid w:val="000C1FC8"/>
    <w:rsid w:val="000C36E1"/>
    <w:rsid w:val="000C42A9"/>
    <w:rsid w:val="000C42C6"/>
    <w:rsid w:val="000C50D6"/>
    <w:rsid w:val="000C557B"/>
    <w:rsid w:val="000C5A85"/>
    <w:rsid w:val="000C5F29"/>
    <w:rsid w:val="000C5F48"/>
    <w:rsid w:val="000C66BF"/>
    <w:rsid w:val="000C6FC1"/>
    <w:rsid w:val="000C7FF8"/>
    <w:rsid w:val="000D0372"/>
    <w:rsid w:val="000D0ADE"/>
    <w:rsid w:val="000D1A8F"/>
    <w:rsid w:val="000D2914"/>
    <w:rsid w:val="000D2E60"/>
    <w:rsid w:val="000D2F50"/>
    <w:rsid w:val="000D3275"/>
    <w:rsid w:val="000D3A1B"/>
    <w:rsid w:val="000D3B86"/>
    <w:rsid w:val="000D4E64"/>
    <w:rsid w:val="000D5008"/>
    <w:rsid w:val="000D570C"/>
    <w:rsid w:val="000D5A0F"/>
    <w:rsid w:val="000D5B1E"/>
    <w:rsid w:val="000D5D9B"/>
    <w:rsid w:val="000D5E3F"/>
    <w:rsid w:val="000D6532"/>
    <w:rsid w:val="000D6E33"/>
    <w:rsid w:val="000E0622"/>
    <w:rsid w:val="000E07AA"/>
    <w:rsid w:val="000E161A"/>
    <w:rsid w:val="000E1D6F"/>
    <w:rsid w:val="000E2D0D"/>
    <w:rsid w:val="000E3381"/>
    <w:rsid w:val="000E3744"/>
    <w:rsid w:val="000E3CD9"/>
    <w:rsid w:val="000E481D"/>
    <w:rsid w:val="000E4DBF"/>
    <w:rsid w:val="000E4DF2"/>
    <w:rsid w:val="000E5844"/>
    <w:rsid w:val="000E634B"/>
    <w:rsid w:val="000E7349"/>
    <w:rsid w:val="000E762D"/>
    <w:rsid w:val="000E77CC"/>
    <w:rsid w:val="000F0144"/>
    <w:rsid w:val="000F0783"/>
    <w:rsid w:val="000F0807"/>
    <w:rsid w:val="000F080D"/>
    <w:rsid w:val="000F0B3C"/>
    <w:rsid w:val="000F13D5"/>
    <w:rsid w:val="000F175F"/>
    <w:rsid w:val="000F1AD8"/>
    <w:rsid w:val="000F2F4C"/>
    <w:rsid w:val="000F306E"/>
    <w:rsid w:val="000F38D9"/>
    <w:rsid w:val="000F3CED"/>
    <w:rsid w:val="000F414C"/>
    <w:rsid w:val="000F6320"/>
    <w:rsid w:val="000F64FC"/>
    <w:rsid w:val="000F696E"/>
    <w:rsid w:val="000F6C10"/>
    <w:rsid w:val="000F718E"/>
    <w:rsid w:val="001001F2"/>
    <w:rsid w:val="00100207"/>
    <w:rsid w:val="001003C6"/>
    <w:rsid w:val="00100682"/>
    <w:rsid w:val="001010D3"/>
    <w:rsid w:val="0010144A"/>
    <w:rsid w:val="00101C11"/>
    <w:rsid w:val="00102F4F"/>
    <w:rsid w:val="001034DD"/>
    <w:rsid w:val="00104425"/>
    <w:rsid w:val="00104B4C"/>
    <w:rsid w:val="00105135"/>
    <w:rsid w:val="001055A2"/>
    <w:rsid w:val="00105DC2"/>
    <w:rsid w:val="0010682A"/>
    <w:rsid w:val="00106C4C"/>
    <w:rsid w:val="001079AE"/>
    <w:rsid w:val="00107DEF"/>
    <w:rsid w:val="00110145"/>
    <w:rsid w:val="0011031D"/>
    <w:rsid w:val="0011037E"/>
    <w:rsid w:val="00110404"/>
    <w:rsid w:val="001109E8"/>
    <w:rsid w:val="00110F73"/>
    <w:rsid w:val="00111E35"/>
    <w:rsid w:val="001128B4"/>
    <w:rsid w:val="00112EBD"/>
    <w:rsid w:val="001132C2"/>
    <w:rsid w:val="0011382D"/>
    <w:rsid w:val="00113AF2"/>
    <w:rsid w:val="00113C17"/>
    <w:rsid w:val="00113FDD"/>
    <w:rsid w:val="00114051"/>
    <w:rsid w:val="00114973"/>
    <w:rsid w:val="00114CFB"/>
    <w:rsid w:val="00114CFF"/>
    <w:rsid w:val="00114FDF"/>
    <w:rsid w:val="0011650B"/>
    <w:rsid w:val="00116616"/>
    <w:rsid w:val="00116FC5"/>
    <w:rsid w:val="00117163"/>
    <w:rsid w:val="00117BBD"/>
    <w:rsid w:val="00117E26"/>
    <w:rsid w:val="001202DF"/>
    <w:rsid w:val="00120F1B"/>
    <w:rsid w:val="001213E7"/>
    <w:rsid w:val="001224BA"/>
    <w:rsid w:val="001238BC"/>
    <w:rsid w:val="00124518"/>
    <w:rsid w:val="001248AB"/>
    <w:rsid w:val="00124981"/>
    <w:rsid w:val="00124B2E"/>
    <w:rsid w:val="001256A1"/>
    <w:rsid w:val="00125D81"/>
    <w:rsid w:val="00126301"/>
    <w:rsid w:val="0012661F"/>
    <w:rsid w:val="00126966"/>
    <w:rsid w:val="001269B0"/>
    <w:rsid w:val="00126B24"/>
    <w:rsid w:val="00127234"/>
    <w:rsid w:val="001276C4"/>
    <w:rsid w:val="00127C68"/>
    <w:rsid w:val="00127D5B"/>
    <w:rsid w:val="00131373"/>
    <w:rsid w:val="001314A0"/>
    <w:rsid w:val="00131A1F"/>
    <w:rsid w:val="00131A66"/>
    <w:rsid w:val="00131F9C"/>
    <w:rsid w:val="00132336"/>
    <w:rsid w:val="00132425"/>
    <w:rsid w:val="0013280A"/>
    <w:rsid w:val="00132875"/>
    <w:rsid w:val="001332B3"/>
    <w:rsid w:val="0013343F"/>
    <w:rsid w:val="001344F9"/>
    <w:rsid w:val="00134F37"/>
    <w:rsid w:val="00135F76"/>
    <w:rsid w:val="001360E9"/>
    <w:rsid w:val="001360F4"/>
    <w:rsid w:val="001363C7"/>
    <w:rsid w:val="00136E87"/>
    <w:rsid w:val="00140793"/>
    <w:rsid w:val="0014203B"/>
    <w:rsid w:val="001422BD"/>
    <w:rsid w:val="0014286D"/>
    <w:rsid w:val="00143B8E"/>
    <w:rsid w:val="00143F21"/>
    <w:rsid w:val="0014420C"/>
    <w:rsid w:val="001446C3"/>
    <w:rsid w:val="00145EA8"/>
    <w:rsid w:val="001461A7"/>
    <w:rsid w:val="00146946"/>
    <w:rsid w:val="00146E7C"/>
    <w:rsid w:val="00147F8C"/>
    <w:rsid w:val="00150492"/>
    <w:rsid w:val="00151200"/>
    <w:rsid w:val="001513CE"/>
    <w:rsid w:val="00151465"/>
    <w:rsid w:val="00151AD8"/>
    <w:rsid w:val="00151E77"/>
    <w:rsid w:val="00153287"/>
    <w:rsid w:val="001533E6"/>
    <w:rsid w:val="001538BE"/>
    <w:rsid w:val="00153BA7"/>
    <w:rsid w:val="00153C33"/>
    <w:rsid w:val="00155198"/>
    <w:rsid w:val="00155A26"/>
    <w:rsid w:val="00155EF1"/>
    <w:rsid w:val="00156192"/>
    <w:rsid w:val="00156E57"/>
    <w:rsid w:val="0015710D"/>
    <w:rsid w:val="00157338"/>
    <w:rsid w:val="00157CE5"/>
    <w:rsid w:val="00157DEB"/>
    <w:rsid w:val="001610BC"/>
    <w:rsid w:val="00161847"/>
    <w:rsid w:val="00161E13"/>
    <w:rsid w:val="001629D8"/>
    <w:rsid w:val="00162B2A"/>
    <w:rsid w:val="00162B8D"/>
    <w:rsid w:val="00162F9F"/>
    <w:rsid w:val="00163EB1"/>
    <w:rsid w:val="00164803"/>
    <w:rsid w:val="00164AE0"/>
    <w:rsid w:val="00165BF5"/>
    <w:rsid w:val="00165F2E"/>
    <w:rsid w:val="0016646A"/>
    <w:rsid w:val="0016793B"/>
    <w:rsid w:val="00167C43"/>
    <w:rsid w:val="001706C9"/>
    <w:rsid w:val="0017120C"/>
    <w:rsid w:val="0017150D"/>
    <w:rsid w:val="00171D3A"/>
    <w:rsid w:val="001727D7"/>
    <w:rsid w:val="00172C96"/>
    <w:rsid w:val="00172DDC"/>
    <w:rsid w:val="00172F3A"/>
    <w:rsid w:val="00173477"/>
    <w:rsid w:val="0017414F"/>
    <w:rsid w:val="0017432C"/>
    <w:rsid w:val="00174636"/>
    <w:rsid w:val="00174735"/>
    <w:rsid w:val="0017481D"/>
    <w:rsid w:val="00174B1B"/>
    <w:rsid w:val="00174BD8"/>
    <w:rsid w:val="00174D51"/>
    <w:rsid w:val="001750BC"/>
    <w:rsid w:val="001757B3"/>
    <w:rsid w:val="001765BB"/>
    <w:rsid w:val="0017667E"/>
    <w:rsid w:val="001766D3"/>
    <w:rsid w:val="00176AE8"/>
    <w:rsid w:val="00176E76"/>
    <w:rsid w:val="00177570"/>
    <w:rsid w:val="00177E95"/>
    <w:rsid w:val="0018007F"/>
    <w:rsid w:val="001811FC"/>
    <w:rsid w:val="00182338"/>
    <w:rsid w:val="00182348"/>
    <w:rsid w:val="001831FE"/>
    <w:rsid w:val="00183F50"/>
    <w:rsid w:val="00184BB2"/>
    <w:rsid w:val="00184BD9"/>
    <w:rsid w:val="00184ED6"/>
    <w:rsid w:val="00184F13"/>
    <w:rsid w:val="00184FD9"/>
    <w:rsid w:val="00185361"/>
    <w:rsid w:val="00186037"/>
    <w:rsid w:val="00186AE4"/>
    <w:rsid w:val="00186D14"/>
    <w:rsid w:val="001876D8"/>
    <w:rsid w:val="00187F6A"/>
    <w:rsid w:val="00190325"/>
    <w:rsid w:val="00190391"/>
    <w:rsid w:val="0019151E"/>
    <w:rsid w:val="00191593"/>
    <w:rsid w:val="001918F1"/>
    <w:rsid w:val="0019196E"/>
    <w:rsid w:val="00191FF5"/>
    <w:rsid w:val="001926D7"/>
    <w:rsid w:val="00192CCE"/>
    <w:rsid w:val="0019385B"/>
    <w:rsid w:val="00193F1C"/>
    <w:rsid w:val="001948F5"/>
    <w:rsid w:val="00194958"/>
    <w:rsid w:val="00196359"/>
    <w:rsid w:val="00197205"/>
    <w:rsid w:val="00197632"/>
    <w:rsid w:val="0019793F"/>
    <w:rsid w:val="00197A9D"/>
    <w:rsid w:val="001A08E7"/>
    <w:rsid w:val="001A17D7"/>
    <w:rsid w:val="001A189C"/>
    <w:rsid w:val="001A1A67"/>
    <w:rsid w:val="001A1FDD"/>
    <w:rsid w:val="001A2D8F"/>
    <w:rsid w:val="001A3D89"/>
    <w:rsid w:val="001A3E0A"/>
    <w:rsid w:val="001A5458"/>
    <w:rsid w:val="001A545B"/>
    <w:rsid w:val="001A54DA"/>
    <w:rsid w:val="001A5E69"/>
    <w:rsid w:val="001A6861"/>
    <w:rsid w:val="001A6FEC"/>
    <w:rsid w:val="001A78AA"/>
    <w:rsid w:val="001B08B5"/>
    <w:rsid w:val="001B143B"/>
    <w:rsid w:val="001B1532"/>
    <w:rsid w:val="001B1777"/>
    <w:rsid w:val="001B19C5"/>
    <w:rsid w:val="001B1B6D"/>
    <w:rsid w:val="001B1C93"/>
    <w:rsid w:val="001B21CA"/>
    <w:rsid w:val="001B28D5"/>
    <w:rsid w:val="001B28E4"/>
    <w:rsid w:val="001B35D4"/>
    <w:rsid w:val="001B4446"/>
    <w:rsid w:val="001B53DD"/>
    <w:rsid w:val="001B5A00"/>
    <w:rsid w:val="001B5F59"/>
    <w:rsid w:val="001B63A7"/>
    <w:rsid w:val="001B6810"/>
    <w:rsid w:val="001B6E89"/>
    <w:rsid w:val="001B791C"/>
    <w:rsid w:val="001B7B9B"/>
    <w:rsid w:val="001B7D70"/>
    <w:rsid w:val="001C0125"/>
    <w:rsid w:val="001C1074"/>
    <w:rsid w:val="001C21C8"/>
    <w:rsid w:val="001C25F5"/>
    <w:rsid w:val="001C265A"/>
    <w:rsid w:val="001C2DFD"/>
    <w:rsid w:val="001C34D0"/>
    <w:rsid w:val="001C4249"/>
    <w:rsid w:val="001C46E3"/>
    <w:rsid w:val="001C496A"/>
    <w:rsid w:val="001C4AC1"/>
    <w:rsid w:val="001C4F27"/>
    <w:rsid w:val="001C51FE"/>
    <w:rsid w:val="001C6573"/>
    <w:rsid w:val="001C7B08"/>
    <w:rsid w:val="001C7D03"/>
    <w:rsid w:val="001D00BE"/>
    <w:rsid w:val="001D079B"/>
    <w:rsid w:val="001D0D32"/>
    <w:rsid w:val="001D17C9"/>
    <w:rsid w:val="001D1AB9"/>
    <w:rsid w:val="001D1EEB"/>
    <w:rsid w:val="001D1F20"/>
    <w:rsid w:val="001D22D5"/>
    <w:rsid w:val="001D3795"/>
    <w:rsid w:val="001D4006"/>
    <w:rsid w:val="001D54BD"/>
    <w:rsid w:val="001D5C72"/>
    <w:rsid w:val="001D616F"/>
    <w:rsid w:val="001D626E"/>
    <w:rsid w:val="001D733B"/>
    <w:rsid w:val="001D73CF"/>
    <w:rsid w:val="001D7E8C"/>
    <w:rsid w:val="001E0902"/>
    <w:rsid w:val="001E1801"/>
    <w:rsid w:val="001E1C73"/>
    <w:rsid w:val="001E1E05"/>
    <w:rsid w:val="001E2254"/>
    <w:rsid w:val="001E22D2"/>
    <w:rsid w:val="001E2343"/>
    <w:rsid w:val="001E3A17"/>
    <w:rsid w:val="001E3FCB"/>
    <w:rsid w:val="001E52DF"/>
    <w:rsid w:val="001E5500"/>
    <w:rsid w:val="001E6BCB"/>
    <w:rsid w:val="001E774A"/>
    <w:rsid w:val="001E783B"/>
    <w:rsid w:val="001E7FBC"/>
    <w:rsid w:val="001F0822"/>
    <w:rsid w:val="001F08CB"/>
    <w:rsid w:val="001F105B"/>
    <w:rsid w:val="001F15F6"/>
    <w:rsid w:val="001F179C"/>
    <w:rsid w:val="001F24B7"/>
    <w:rsid w:val="001F2649"/>
    <w:rsid w:val="001F3496"/>
    <w:rsid w:val="001F41CA"/>
    <w:rsid w:val="001F4355"/>
    <w:rsid w:val="001F4819"/>
    <w:rsid w:val="001F48BD"/>
    <w:rsid w:val="001F4FAB"/>
    <w:rsid w:val="001F5034"/>
    <w:rsid w:val="001F61DE"/>
    <w:rsid w:val="001F63AA"/>
    <w:rsid w:val="001F69C8"/>
    <w:rsid w:val="001F7054"/>
    <w:rsid w:val="001F77E5"/>
    <w:rsid w:val="001F7DB7"/>
    <w:rsid w:val="002000AA"/>
    <w:rsid w:val="00201502"/>
    <w:rsid w:val="0020302A"/>
    <w:rsid w:val="0020324C"/>
    <w:rsid w:val="002032A0"/>
    <w:rsid w:val="00203532"/>
    <w:rsid w:val="00203AE0"/>
    <w:rsid w:val="00204106"/>
    <w:rsid w:val="00204109"/>
    <w:rsid w:val="0020503A"/>
    <w:rsid w:val="00205041"/>
    <w:rsid w:val="0020524C"/>
    <w:rsid w:val="002059E3"/>
    <w:rsid w:val="00207438"/>
    <w:rsid w:val="002100FF"/>
    <w:rsid w:val="00210543"/>
    <w:rsid w:val="00210B9B"/>
    <w:rsid w:val="0021102F"/>
    <w:rsid w:val="002118D1"/>
    <w:rsid w:val="00211DCE"/>
    <w:rsid w:val="0021229D"/>
    <w:rsid w:val="00212390"/>
    <w:rsid w:val="00212897"/>
    <w:rsid w:val="00213612"/>
    <w:rsid w:val="0021386A"/>
    <w:rsid w:val="00213C44"/>
    <w:rsid w:val="002147EE"/>
    <w:rsid w:val="00215516"/>
    <w:rsid w:val="002158DC"/>
    <w:rsid w:val="002159D5"/>
    <w:rsid w:val="00215B64"/>
    <w:rsid w:val="00215C05"/>
    <w:rsid w:val="002161E3"/>
    <w:rsid w:val="00216DF5"/>
    <w:rsid w:val="00216EFA"/>
    <w:rsid w:val="0021798E"/>
    <w:rsid w:val="00217CA1"/>
    <w:rsid w:val="00217DEE"/>
    <w:rsid w:val="002203BF"/>
    <w:rsid w:val="00220C4C"/>
    <w:rsid w:val="00220E95"/>
    <w:rsid w:val="002217FE"/>
    <w:rsid w:val="0022180C"/>
    <w:rsid w:val="00221935"/>
    <w:rsid w:val="00221C72"/>
    <w:rsid w:val="002223E1"/>
    <w:rsid w:val="002225AB"/>
    <w:rsid w:val="00222955"/>
    <w:rsid w:val="002231B0"/>
    <w:rsid w:val="002250D1"/>
    <w:rsid w:val="00225AAD"/>
    <w:rsid w:val="002267D2"/>
    <w:rsid w:val="00230839"/>
    <w:rsid w:val="00230EE8"/>
    <w:rsid w:val="00231ADB"/>
    <w:rsid w:val="00232178"/>
    <w:rsid w:val="00232248"/>
    <w:rsid w:val="00232D12"/>
    <w:rsid w:val="0023353F"/>
    <w:rsid w:val="00233616"/>
    <w:rsid w:val="00233975"/>
    <w:rsid w:val="00233B8C"/>
    <w:rsid w:val="002353E3"/>
    <w:rsid w:val="00235CC0"/>
    <w:rsid w:val="00235F30"/>
    <w:rsid w:val="00236287"/>
    <w:rsid w:val="002363FF"/>
    <w:rsid w:val="00236D10"/>
    <w:rsid w:val="002407CE"/>
    <w:rsid w:val="002410D2"/>
    <w:rsid w:val="00241A6E"/>
    <w:rsid w:val="00242325"/>
    <w:rsid w:val="00243A38"/>
    <w:rsid w:val="0024474F"/>
    <w:rsid w:val="00244761"/>
    <w:rsid w:val="002450F2"/>
    <w:rsid w:val="00245B7F"/>
    <w:rsid w:val="00246383"/>
    <w:rsid w:val="002469C2"/>
    <w:rsid w:val="00247BDE"/>
    <w:rsid w:val="00247DE2"/>
    <w:rsid w:val="002505DE"/>
    <w:rsid w:val="002514FA"/>
    <w:rsid w:val="00251DAF"/>
    <w:rsid w:val="00252503"/>
    <w:rsid w:val="0025265C"/>
    <w:rsid w:val="00252ED7"/>
    <w:rsid w:val="0025393C"/>
    <w:rsid w:val="002549E7"/>
    <w:rsid w:val="00254A7A"/>
    <w:rsid w:val="00254EA4"/>
    <w:rsid w:val="0025509C"/>
    <w:rsid w:val="002552F8"/>
    <w:rsid w:val="0025575F"/>
    <w:rsid w:val="002571E3"/>
    <w:rsid w:val="002573DA"/>
    <w:rsid w:val="00260496"/>
    <w:rsid w:val="00260542"/>
    <w:rsid w:val="00260BAD"/>
    <w:rsid w:val="002612EA"/>
    <w:rsid w:val="0026224C"/>
    <w:rsid w:val="00264C7C"/>
    <w:rsid w:val="0026650F"/>
    <w:rsid w:val="00266DC3"/>
    <w:rsid w:val="0027029D"/>
    <w:rsid w:val="00270443"/>
    <w:rsid w:val="00270EE2"/>
    <w:rsid w:val="0027138C"/>
    <w:rsid w:val="0027165A"/>
    <w:rsid w:val="00272787"/>
    <w:rsid w:val="00272826"/>
    <w:rsid w:val="00272A7B"/>
    <w:rsid w:val="00272C44"/>
    <w:rsid w:val="00272F05"/>
    <w:rsid w:val="00273527"/>
    <w:rsid w:val="00273F6B"/>
    <w:rsid w:val="002747EF"/>
    <w:rsid w:val="00274B06"/>
    <w:rsid w:val="002751D6"/>
    <w:rsid w:val="002754D3"/>
    <w:rsid w:val="00276261"/>
    <w:rsid w:val="00276944"/>
    <w:rsid w:val="00276964"/>
    <w:rsid w:val="002769AE"/>
    <w:rsid w:val="00276CA7"/>
    <w:rsid w:val="0027737B"/>
    <w:rsid w:val="002816DD"/>
    <w:rsid w:val="002817A6"/>
    <w:rsid w:val="002821E8"/>
    <w:rsid w:val="00282F1D"/>
    <w:rsid w:val="00283215"/>
    <w:rsid w:val="00283369"/>
    <w:rsid w:val="002833F3"/>
    <w:rsid w:val="00284203"/>
    <w:rsid w:val="00285237"/>
    <w:rsid w:val="00285E3F"/>
    <w:rsid w:val="0028610D"/>
    <w:rsid w:val="002862CC"/>
    <w:rsid w:val="00286BFE"/>
    <w:rsid w:val="00286C81"/>
    <w:rsid w:val="0028703E"/>
    <w:rsid w:val="0028709F"/>
    <w:rsid w:val="0028717B"/>
    <w:rsid w:val="00287524"/>
    <w:rsid w:val="00290119"/>
    <w:rsid w:val="0029040D"/>
    <w:rsid w:val="002908F8"/>
    <w:rsid w:val="00290A53"/>
    <w:rsid w:val="00290B64"/>
    <w:rsid w:val="00291CB7"/>
    <w:rsid w:val="00292E91"/>
    <w:rsid w:val="002930AD"/>
    <w:rsid w:val="00293254"/>
    <w:rsid w:val="00295002"/>
    <w:rsid w:val="0029568E"/>
    <w:rsid w:val="00295E8C"/>
    <w:rsid w:val="002971C7"/>
    <w:rsid w:val="002971F2"/>
    <w:rsid w:val="00297785"/>
    <w:rsid w:val="00297E05"/>
    <w:rsid w:val="002A0444"/>
    <w:rsid w:val="002A0BEB"/>
    <w:rsid w:val="002A0F8D"/>
    <w:rsid w:val="002A1311"/>
    <w:rsid w:val="002A1377"/>
    <w:rsid w:val="002A1F89"/>
    <w:rsid w:val="002A211A"/>
    <w:rsid w:val="002A264B"/>
    <w:rsid w:val="002A4A82"/>
    <w:rsid w:val="002A4B33"/>
    <w:rsid w:val="002A4C00"/>
    <w:rsid w:val="002A5311"/>
    <w:rsid w:val="002A5863"/>
    <w:rsid w:val="002A6E9B"/>
    <w:rsid w:val="002A6FBB"/>
    <w:rsid w:val="002B05D1"/>
    <w:rsid w:val="002B09F5"/>
    <w:rsid w:val="002B18C7"/>
    <w:rsid w:val="002B1933"/>
    <w:rsid w:val="002B20BD"/>
    <w:rsid w:val="002B22DB"/>
    <w:rsid w:val="002B2611"/>
    <w:rsid w:val="002B27D8"/>
    <w:rsid w:val="002B35B9"/>
    <w:rsid w:val="002B38D2"/>
    <w:rsid w:val="002B3A46"/>
    <w:rsid w:val="002B3F1C"/>
    <w:rsid w:val="002B3F60"/>
    <w:rsid w:val="002B401B"/>
    <w:rsid w:val="002B48C5"/>
    <w:rsid w:val="002B4ED9"/>
    <w:rsid w:val="002B4EF4"/>
    <w:rsid w:val="002B5007"/>
    <w:rsid w:val="002B51BB"/>
    <w:rsid w:val="002B58C5"/>
    <w:rsid w:val="002B6C1F"/>
    <w:rsid w:val="002B6CA2"/>
    <w:rsid w:val="002B6E44"/>
    <w:rsid w:val="002B6E8A"/>
    <w:rsid w:val="002B726F"/>
    <w:rsid w:val="002B744E"/>
    <w:rsid w:val="002B7909"/>
    <w:rsid w:val="002C000B"/>
    <w:rsid w:val="002C016F"/>
    <w:rsid w:val="002C09A8"/>
    <w:rsid w:val="002C103C"/>
    <w:rsid w:val="002C1109"/>
    <w:rsid w:val="002C12C7"/>
    <w:rsid w:val="002C1E93"/>
    <w:rsid w:val="002C29EB"/>
    <w:rsid w:val="002C30F0"/>
    <w:rsid w:val="002C401A"/>
    <w:rsid w:val="002C479B"/>
    <w:rsid w:val="002C4EC8"/>
    <w:rsid w:val="002C532B"/>
    <w:rsid w:val="002C6AF5"/>
    <w:rsid w:val="002C6D15"/>
    <w:rsid w:val="002C72F4"/>
    <w:rsid w:val="002C7E5B"/>
    <w:rsid w:val="002D0907"/>
    <w:rsid w:val="002D0E9E"/>
    <w:rsid w:val="002D1381"/>
    <w:rsid w:val="002D2D68"/>
    <w:rsid w:val="002D2F69"/>
    <w:rsid w:val="002D3016"/>
    <w:rsid w:val="002D3067"/>
    <w:rsid w:val="002D38D9"/>
    <w:rsid w:val="002D3CE3"/>
    <w:rsid w:val="002D4298"/>
    <w:rsid w:val="002D47E8"/>
    <w:rsid w:val="002D4FCC"/>
    <w:rsid w:val="002D5FD5"/>
    <w:rsid w:val="002D68F4"/>
    <w:rsid w:val="002D7395"/>
    <w:rsid w:val="002D7417"/>
    <w:rsid w:val="002D782B"/>
    <w:rsid w:val="002E0D9C"/>
    <w:rsid w:val="002E1247"/>
    <w:rsid w:val="002E26E8"/>
    <w:rsid w:val="002E33A6"/>
    <w:rsid w:val="002E3DD8"/>
    <w:rsid w:val="002E3ED8"/>
    <w:rsid w:val="002E5A01"/>
    <w:rsid w:val="002E5AF4"/>
    <w:rsid w:val="002E5EA3"/>
    <w:rsid w:val="002E717C"/>
    <w:rsid w:val="002E7533"/>
    <w:rsid w:val="002E7A61"/>
    <w:rsid w:val="002F00B8"/>
    <w:rsid w:val="002F0106"/>
    <w:rsid w:val="002F02C2"/>
    <w:rsid w:val="002F03C8"/>
    <w:rsid w:val="002F188D"/>
    <w:rsid w:val="002F18A5"/>
    <w:rsid w:val="002F26F3"/>
    <w:rsid w:val="002F317F"/>
    <w:rsid w:val="002F51A2"/>
    <w:rsid w:val="002F5BA8"/>
    <w:rsid w:val="002F5E95"/>
    <w:rsid w:val="002F5F68"/>
    <w:rsid w:val="002F63CA"/>
    <w:rsid w:val="002F67B4"/>
    <w:rsid w:val="002F6F73"/>
    <w:rsid w:val="002F7AA9"/>
    <w:rsid w:val="00300414"/>
    <w:rsid w:val="003004E3"/>
    <w:rsid w:val="00300FF1"/>
    <w:rsid w:val="003010FF"/>
    <w:rsid w:val="00301C0D"/>
    <w:rsid w:val="00301D7B"/>
    <w:rsid w:val="00301E19"/>
    <w:rsid w:val="003023DE"/>
    <w:rsid w:val="00302998"/>
    <w:rsid w:val="00303DC4"/>
    <w:rsid w:val="00304676"/>
    <w:rsid w:val="00306BE7"/>
    <w:rsid w:val="00306D4A"/>
    <w:rsid w:val="00307F1A"/>
    <w:rsid w:val="00307F40"/>
    <w:rsid w:val="003110A2"/>
    <w:rsid w:val="00311655"/>
    <w:rsid w:val="00311B66"/>
    <w:rsid w:val="00311F29"/>
    <w:rsid w:val="00312518"/>
    <w:rsid w:val="00314036"/>
    <w:rsid w:val="00314347"/>
    <w:rsid w:val="00314C4F"/>
    <w:rsid w:val="00314FAF"/>
    <w:rsid w:val="003162A5"/>
    <w:rsid w:val="00316591"/>
    <w:rsid w:val="00317C91"/>
    <w:rsid w:val="00320553"/>
    <w:rsid w:val="00320C6D"/>
    <w:rsid w:val="003213A8"/>
    <w:rsid w:val="00321FA8"/>
    <w:rsid w:val="00321FFD"/>
    <w:rsid w:val="003225AD"/>
    <w:rsid w:val="00322E18"/>
    <w:rsid w:val="00323C3D"/>
    <w:rsid w:val="00323D1D"/>
    <w:rsid w:val="00323F8A"/>
    <w:rsid w:val="00324752"/>
    <w:rsid w:val="00324D73"/>
    <w:rsid w:val="00326011"/>
    <w:rsid w:val="0032643D"/>
    <w:rsid w:val="00326D02"/>
    <w:rsid w:val="00327069"/>
    <w:rsid w:val="00327812"/>
    <w:rsid w:val="00327AFB"/>
    <w:rsid w:val="00327BAF"/>
    <w:rsid w:val="00327D10"/>
    <w:rsid w:val="00331894"/>
    <w:rsid w:val="00332CB8"/>
    <w:rsid w:val="00333428"/>
    <w:rsid w:val="00334784"/>
    <w:rsid w:val="003350B6"/>
    <w:rsid w:val="0033595E"/>
    <w:rsid w:val="0033601B"/>
    <w:rsid w:val="003364B6"/>
    <w:rsid w:val="0033764C"/>
    <w:rsid w:val="00337DF3"/>
    <w:rsid w:val="00337F8E"/>
    <w:rsid w:val="00340039"/>
    <w:rsid w:val="003400D3"/>
    <w:rsid w:val="0034024F"/>
    <w:rsid w:val="00340A77"/>
    <w:rsid w:val="00340D39"/>
    <w:rsid w:val="00340DFB"/>
    <w:rsid w:val="00341941"/>
    <w:rsid w:val="0034207A"/>
    <w:rsid w:val="0034278F"/>
    <w:rsid w:val="0034281F"/>
    <w:rsid w:val="00343B47"/>
    <w:rsid w:val="0034404F"/>
    <w:rsid w:val="00344ACC"/>
    <w:rsid w:val="00345F01"/>
    <w:rsid w:val="0034654F"/>
    <w:rsid w:val="00346762"/>
    <w:rsid w:val="00346B28"/>
    <w:rsid w:val="003475E1"/>
    <w:rsid w:val="00347685"/>
    <w:rsid w:val="003509A5"/>
    <w:rsid w:val="003515FD"/>
    <w:rsid w:val="003518A4"/>
    <w:rsid w:val="00351E21"/>
    <w:rsid w:val="00352327"/>
    <w:rsid w:val="003526A9"/>
    <w:rsid w:val="00354062"/>
    <w:rsid w:val="00354405"/>
    <w:rsid w:val="00355A76"/>
    <w:rsid w:val="00355DEC"/>
    <w:rsid w:val="0035635F"/>
    <w:rsid w:val="00356E0F"/>
    <w:rsid w:val="0035700C"/>
    <w:rsid w:val="003607EE"/>
    <w:rsid w:val="00360BC8"/>
    <w:rsid w:val="00360E35"/>
    <w:rsid w:val="00361106"/>
    <w:rsid w:val="003617AE"/>
    <w:rsid w:val="00361F64"/>
    <w:rsid w:val="0036215C"/>
    <w:rsid w:val="003630F7"/>
    <w:rsid w:val="0036332B"/>
    <w:rsid w:val="00363589"/>
    <w:rsid w:val="00363636"/>
    <w:rsid w:val="0036498F"/>
    <w:rsid w:val="003651AC"/>
    <w:rsid w:val="003653AA"/>
    <w:rsid w:val="00366120"/>
    <w:rsid w:val="003661FF"/>
    <w:rsid w:val="003665A5"/>
    <w:rsid w:val="00366A0C"/>
    <w:rsid w:val="00367238"/>
    <w:rsid w:val="00367462"/>
    <w:rsid w:val="003677D5"/>
    <w:rsid w:val="0037034B"/>
    <w:rsid w:val="00370507"/>
    <w:rsid w:val="00370682"/>
    <w:rsid w:val="00370F0B"/>
    <w:rsid w:val="003718D8"/>
    <w:rsid w:val="00372A01"/>
    <w:rsid w:val="00372ADC"/>
    <w:rsid w:val="00372CFC"/>
    <w:rsid w:val="003733DF"/>
    <w:rsid w:val="00373865"/>
    <w:rsid w:val="003739DA"/>
    <w:rsid w:val="00373CE8"/>
    <w:rsid w:val="00374DB0"/>
    <w:rsid w:val="003751C7"/>
    <w:rsid w:val="00375C84"/>
    <w:rsid w:val="00376524"/>
    <w:rsid w:val="00376E3B"/>
    <w:rsid w:val="003770C7"/>
    <w:rsid w:val="003776FE"/>
    <w:rsid w:val="00380424"/>
    <w:rsid w:val="00380868"/>
    <w:rsid w:val="00380B9B"/>
    <w:rsid w:val="003818B3"/>
    <w:rsid w:val="003819F5"/>
    <w:rsid w:val="00381A52"/>
    <w:rsid w:val="00381B57"/>
    <w:rsid w:val="00381D47"/>
    <w:rsid w:val="003821CC"/>
    <w:rsid w:val="003835F0"/>
    <w:rsid w:val="00384296"/>
    <w:rsid w:val="003853B1"/>
    <w:rsid w:val="003853ED"/>
    <w:rsid w:val="0038628F"/>
    <w:rsid w:val="00386421"/>
    <w:rsid w:val="0038704C"/>
    <w:rsid w:val="00387AA1"/>
    <w:rsid w:val="0039082A"/>
    <w:rsid w:val="0039101F"/>
    <w:rsid w:val="00392EDB"/>
    <w:rsid w:val="00392FAE"/>
    <w:rsid w:val="003931AA"/>
    <w:rsid w:val="00393EEE"/>
    <w:rsid w:val="003941C0"/>
    <w:rsid w:val="00394D45"/>
    <w:rsid w:val="00395132"/>
    <w:rsid w:val="00395D99"/>
    <w:rsid w:val="00396682"/>
    <w:rsid w:val="003968DF"/>
    <w:rsid w:val="003976C3"/>
    <w:rsid w:val="00397A03"/>
    <w:rsid w:val="00397A64"/>
    <w:rsid w:val="003A099A"/>
    <w:rsid w:val="003A1372"/>
    <w:rsid w:val="003A15DE"/>
    <w:rsid w:val="003A1D46"/>
    <w:rsid w:val="003A2447"/>
    <w:rsid w:val="003A2B82"/>
    <w:rsid w:val="003A36D3"/>
    <w:rsid w:val="003A3927"/>
    <w:rsid w:val="003A3D2E"/>
    <w:rsid w:val="003A3FF7"/>
    <w:rsid w:val="003A43D1"/>
    <w:rsid w:val="003A6A2B"/>
    <w:rsid w:val="003A6A51"/>
    <w:rsid w:val="003A6E29"/>
    <w:rsid w:val="003A7FEA"/>
    <w:rsid w:val="003B0464"/>
    <w:rsid w:val="003B0BDB"/>
    <w:rsid w:val="003B0E88"/>
    <w:rsid w:val="003B106E"/>
    <w:rsid w:val="003B153F"/>
    <w:rsid w:val="003B17B0"/>
    <w:rsid w:val="003B1844"/>
    <w:rsid w:val="003B1A5C"/>
    <w:rsid w:val="003B211E"/>
    <w:rsid w:val="003B24EA"/>
    <w:rsid w:val="003B2DA7"/>
    <w:rsid w:val="003B3AB7"/>
    <w:rsid w:val="003B3ABC"/>
    <w:rsid w:val="003B3CDD"/>
    <w:rsid w:val="003B3D8E"/>
    <w:rsid w:val="003B3FED"/>
    <w:rsid w:val="003B3FF1"/>
    <w:rsid w:val="003B4217"/>
    <w:rsid w:val="003B59A1"/>
    <w:rsid w:val="003B6D11"/>
    <w:rsid w:val="003B74F1"/>
    <w:rsid w:val="003B7541"/>
    <w:rsid w:val="003B7966"/>
    <w:rsid w:val="003B7F07"/>
    <w:rsid w:val="003B7FCE"/>
    <w:rsid w:val="003C0F87"/>
    <w:rsid w:val="003C1113"/>
    <w:rsid w:val="003C141E"/>
    <w:rsid w:val="003C1B83"/>
    <w:rsid w:val="003C210E"/>
    <w:rsid w:val="003C2186"/>
    <w:rsid w:val="003C21B3"/>
    <w:rsid w:val="003C30AD"/>
    <w:rsid w:val="003C3503"/>
    <w:rsid w:val="003C40DE"/>
    <w:rsid w:val="003C4851"/>
    <w:rsid w:val="003C4C96"/>
    <w:rsid w:val="003C55E0"/>
    <w:rsid w:val="003C5E39"/>
    <w:rsid w:val="003C683A"/>
    <w:rsid w:val="003D0079"/>
    <w:rsid w:val="003D017D"/>
    <w:rsid w:val="003D04D6"/>
    <w:rsid w:val="003D10EC"/>
    <w:rsid w:val="003D28DE"/>
    <w:rsid w:val="003D29B9"/>
    <w:rsid w:val="003D3500"/>
    <w:rsid w:val="003D37B6"/>
    <w:rsid w:val="003D3C68"/>
    <w:rsid w:val="003D450D"/>
    <w:rsid w:val="003D4BA9"/>
    <w:rsid w:val="003D4F8F"/>
    <w:rsid w:val="003D503A"/>
    <w:rsid w:val="003D6505"/>
    <w:rsid w:val="003D71A6"/>
    <w:rsid w:val="003D7709"/>
    <w:rsid w:val="003E004C"/>
    <w:rsid w:val="003E0BAF"/>
    <w:rsid w:val="003E0E25"/>
    <w:rsid w:val="003E1409"/>
    <w:rsid w:val="003E16F2"/>
    <w:rsid w:val="003E2195"/>
    <w:rsid w:val="003E36A5"/>
    <w:rsid w:val="003E42BC"/>
    <w:rsid w:val="003E4A52"/>
    <w:rsid w:val="003E5CBA"/>
    <w:rsid w:val="003E78A9"/>
    <w:rsid w:val="003E7912"/>
    <w:rsid w:val="003F04A3"/>
    <w:rsid w:val="003F04E6"/>
    <w:rsid w:val="003F097C"/>
    <w:rsid w:val="003F2CDD"/>
    <w:rsid w:val="003F3FB3"/>
    <w:rsid w:val="003F45D7"/>
    <w:rsid w:val="003F4C1B"/>
    <w:rsid w:val="003F5660"/>
    <w:rsid w:val="003F5717"/>
    <w:rsid w:val="003F5A39"/>
    <w:rsid w:val="003F5B56"/>
    <w:rsid w:val="003F5B9F"/>
    <w:rsid w:val="003F5C1A"/>
    <w:rsid w:val="003F6A6A"/>
    <w:rsid w:val="003F738D"/>
    <w:rsid w:val="003F7554"/>
    <w:rsid w:val="003F7845"/>
    <w:rsid w:val="003F7FA1"/>
    <w:rsid w:val="003F7FA4"/>
    <w:rsid w:val="004006EA"/>
    <w:rsid w:val="004008DE"/>
    <w:rsid w:val="00400B4E"/>
    <w:rsid w:val="0040130D"/>
    <w:rsid w:val="00402E56"/>
    <w:rsid w:val="00403634"/>
    <w:rsid w:val="00403A99"/>
    <w:rsid w:val="00404592"/>
    <w:rsid w:val="0040496E"/>
    <w:rsid w:val="00404B58"/>
    <w:rsid w:val="0040544F"/>
    <w:rsid w:val="00405537"/>
    <w:rsid w:val="0040597C"/>
    <w:rsid w:val="0040625C"/>
    <w:rsid w:val="004069D2"/>
    <w:rsid w:val="004076FF"/>
    <w:rsid w:val="00411B17"/>
    <w:rsid w:val="00411FFF"/>
    <w:rsid w:val="0041222D"/>
    <w:rsid w:val="004124F2"/>
    <w:rsid w:val="00412C2A"/>
    <w:rsid w:val="00412E6F"/>
    <w:rsid w:val="00413C5C"/>
    <w:rsid w:val="00413DB2"/>
    <w:rsid w:val="0041413F"/>
    <w:rsid w:val="0041567A"/>
    <w:rsid w:val="00415BAB"/>
    <w:rsid w:val="00415BCF"/>
    <w:rsid w:val="00416297"/>
    <w:rsid w:val="00417083"/>
    <w:rsid w:val="00417E36"/>
    <w:rsid w:val="0042057C"/>
    <w:rsid w:val="00420BDF"/>
    <w:rsid w:val="00421608"/>
    <w:rsid w:val="00421849"/>
    <w:rsid w:val="00421C23"/>
    <w:rsid w:val="0042261E"/>
    <w:rsid w:val="00422749"/>
    <w:rsid w:val="004228F2"/>
    <w:rsid w:val="004233DC"/>
    <w:rsid w:val="00424888"/>
    <w:rsid w:val="004255D9"/>
    <w:rsid w:val="00425763"/>
    <w:rsid w:val="00425C3C"/>
    <w:rsid w:val="00426B69"/>
    <w:rsid w:val="00426F8D"/>
    <w:rsid w:val="00427D1B"/>
    <w:rsid w:val="00427E40"/>
    <w:rsid w:val="004306AB"/>
    <w:rsid w:val="0043159D"/>
    <w:rsid w:val="0043171D"/>
    <w:rsid w:val="0043263C"/>
    <w:rsid w:val="00432F78"/>
    <w:rsid w:val="004334A2"/>
    <w:rsid w:val="004335BC"/>
    <w:rsid w:val="00433972"/>
    <w:rsid w:val="004339E6"/>
    <w:rsid w:val="00433DA5"/>
    <w:rsid w:val="00434723"/>
    <w:rsid w:val="00434729"/>
    <w:rsid w:val="004353E4"/>
    <w:rsid w:val="0043617B"/>
    <w:rsid w:val="00437D17"/>
    <w:rsid w:val="00437D2F"/>
    <w:rsid w:val="0044046D"/>
    <w:rsid w:val="004410D3"/>
    <w:rsid w:val="00441A5B"/>
    <w:rsid w:val="00441DAF"/>
    <w:rsid w:val="0044270D"/>
    <w:rsid w:val="00442E8C"/>
    <w:rsid w:val="0044312A"/>
    <w:rsid w:val="00443310"/>
    <w:rsid w:val="004435D5"/>
    <w:rsid w:val="00443A34"/>
    <w:rsid w:val="00443D38"/>
    <w:rsid w:val="00444140"/>
    <w:rsid w:val="00444BF5"/>
    <w:rsid w:val="00444F43"/>
    <w:rsid w:val="00447213"/>
    <w:rsid w:val="00447C23"/>
    <w:rsid w:val="00450744"/>
    <w:rsid w:val="00450BE7"/>
    <w:rsid w:val="00450FE8"/>
    <w:rsid w:val="004518D0"/>
    <w:rsid w:val="0045213A"/>
    <w:rsid w:val="0045227C"/>
    <w:rsid w:val="0045230E"/>
    <w:rsid w:val="00452553"/>
    <w:rsid w:val="004528FA"/>
    <w:rsid w:val="00452D67"/>
    <w:rsid w:val="00452E53"/>
    <w:rsid w:val="0045418C"/>
    <w:rsid w:val="004542C6"/>
    <w:rsid w:val="00454EDC"/>
    <w:rsid w:val="00455B00"/>
    <w:rsid w:val="00455B97"/>
    <w:rsid w:val="00456635"/>
    <w:rsid w:val="00456BFD"/>
    <w:rsid w:val="004575D5"/>
    <w:rsid w:val="00457657"/>
    <w:rsid w:val="004600BF"/>
    <w:rsid w:val="004607D0"/>
    <w:rsid w:val="00460CE3"/>
    <w:rsid w:val="00460F25"/>
    <w:rsid w:val="0046116D"/>
    <w:rsid w:val="004612A4"/>
    <w:rsid w:val="0046153C"/>
    <w:rsid w:val="004624D2"/>
    <w:rsid w:val="004625C8"/>
    <w:rsid w:val="00462DCE"/>
    <w:rsid w:val="00464194"/>
    <w:rsid w:val="0046442A"/>
    <w:rsid w:val="00464BF1"/>
    <w:rsid w:val="00465D73"/>
    <w:rsid w:val="00466078"/>
    <w:rsid w:val="0046626B"/>
    <w:rsid w:val="004676E4"/>
    <w:rsid w:val="00467AFF"/>
    <w:rsid w:val="00470183"/>
    <w:rsid w:val="004708C9"/>
    <w:rsid w:val="00470C48"/>
    <w:rsid w:val="0047139F"/>
    <w:rsid w:val="00471429"/>
    <w:rsid w:val="0047153B"/>
    <w:rsid w:val="004722B1"/>
    <w:rsid w:val="00473A2B"/>
    <w:rsid w:val="00473A47"/>
    <w:rsid w:val="00473A4F"/>
    <w:rsid w:val="00473C0A"/>
    <w:rsid w:val="00473EEF"/>
    <w:rsid w:val="00474415"/>
    <w:rsid w:val="00474BC1"/>
    <w:rsid w:val="00475A46"/>
    <w:rsid w:val="004763EC"/>
    <w:rsid w:val="0047722F"/>
    <w:rsid w:val="00477459"/>
    <w:rsid w:val="00477CC9"/>
    <w:rsid w:val="0048026E"/>
    <w:rsid w:val="00480303"/>
    <w:rsid w:val="004804C3"/>
    <w:rsid w:val="004807A9"/>
    <w:rsid w:val="00480A8A"/>
    <w:rsid w:val="00480F76"/>
    <w:rsid w:val="004810A5"/>
    <w:rsid w:val="004810E0"/>
    <w:rsid w:val="00481318"/>
    <w:rsid w:val="00481363"/>
    <w:rsid w:val="004813EE"/>
    <w:rsid w:val="00481835"/>
    <w:rsid w:val="00482CDC"/>
    <w:rsid w:val="00482FB0"/>
    <w:rsid w:val="00483B03"/>
    <w:rsid w:val="0048444C"/>
    <w:rsid w:val="00485058"/>
    <w:rsid w:val="00485702"/>
    <w:rsid w:val="00485C2D"/>
    <w:rsid w:val="004867EC"/>
    <w:rsid w:val="00486A37"/>
    <w:rsid w:val="00487662"/>
    <w:rsid w:val="004876C6"/>
    <w:rsid w:val="00487D7B"/>
    <w:rsid w:val="00490F7A"/>
    <w:rsid w:val="00490FD5"/>
    <w:rsid w:val="00491241"/>
    <w:rsid w:val="00491813"/>
    <w:rsid w:val="00493278"/>
    <w:rsid w:val="00493855"/>
    <w:rsid w:val="004951D8"/>
    <w:rsid w:val="004952C1"/>
    <w:rsid w:val="00497575"/>
    <w:rsid w:val="004A078B"/>
    <w:rsid w:val="004A12C0"/>
    <w:rsid w:val="004A169A"/>
    <w:rsid w:val="004A18C9"/>
    <w:rsid w:val="004A191A"/>
    <w:rsid w:val="004A1A70"/>
    <w:rsid w:val="004A2D5A"/>
    <w:rsid w:val="004A3988"/>
    <w:rsid w:val="004A4027"/>
    <w:rsid w:val="004A419E"/>
    <w:rsid w:val="004A4688"/>
    <w:rsid w:val="004A4776"/>
    <w:rsid w:val="004A6463"/>
    <w:rsid w:val="004A6B58"/>
    <w:rsid w:val="004A6BA2"/>
    <w:rsid w:val="004B06C3"/>
    <w:rsid w:val="004B0917"/>
    <w:rsid w:val="004B0B09"/>
    <w:rsid w:val="004B140F"/>
    <w:rsid w:val="004B14EB"/>
    <w:rsid w:val="004B21CF"/>
    <w:rsid w:val="004B2DE3"/>
    <w:rsid w:val="004B34DF"/>
    <w:rsid w:val="004B3FEA"/>
    <w:rsid w:val="004B44A9"/>
    <w:rsid w:val="004B4E68"/>
    <w:rsid w:val="004B53F1"/>
    <w:rsid w:val="004B5D6E"/>
    <w:rsid w:val="004B60BA"/>
    <w:rsid w:val="004B6946"/>
    <w:rsid w:val="004B6D89"/>
    <w:rsid w:val="004B6E81"/>
    <w:rsid w:val="004C0FFE"/>
    <w:rsid w:val="004C136D"/>
    <w:rsid w:val="004C1619"/>
    <w:rsid w:val="004C177F"/>
    <w:rsid w:val="004C19E4"/>
    <w:rsid w:val="004C1B59"/>
    <w:rsid w:val="004C3C25"/>
    <w:rsid w:val="004C3CFC"/>
    <w:rsid w:val="004C3EEA"/>
    <w:rsid w:val="004C4EA2"/>
    <w:rsid w:val="004C596B"/>
    <w:rsid w:val="004C5E41"/>
    <w:rsid w:val="004C60E7"/>
    <w:rsid w:val="004C664D"/>
    <w:rsid w:val="004C7BDE"/>
    <w:rsid w:val="004D0090"/>
    <w:rsid w:val="004D020F"/>
    <w:rsid w:val="004D03D1"/>
    <w:rsid w:val="004D10B0"/>
    <w:rsid w:val="004D11AF"/>
    <w:rsid w:val="004D2E58"/>
    <w:rsid w:val="004D37D9"/>
    <w:rsid w:val="004D41A2"/>
    <w:rsid w:val="004D47F2"/>
    <w:rsid w:val="004D502C"/>
    <w:rsid w:val="004D5CEE"/>
    <w:rsid w:val="004D5FB2"/>
    <w:rsid w:val="004D60A3"/>
    <w:rsid w:val="004D6DC3"/>
    <w:rsid w:val="004D71CA"/>
    <w:rsid w:val="004D78B9"/>
    <w:rsid w:val="004E016A"/>
    <w:rsid w:val="004E0461"/>
    <w:rsid w:val="004E1CC8"/>
    <w:rsid w:val="004E2052"/>
    <w:rsid w:val="004E29B1"/>
    <w:rsid w:val="004E3F87"/>
    <w:rsid w:val="004E461B"/>
    <w:rsid w:val="004E477D"/>
    <w:rsid w:val="004E5890"/>
    <w:rsid w:val="004E79EF"/>
    <w:rsid w:val="004E7B33"/>
    <w:rsid w:val="004F0368"/>
    <w:rsid w:val="004F0D19"/>
    <w:rsid w:val="004F121B"/>
    <w:rsid w:val="004F140F"/>
    <w:rsid w:val="004F185F"/>
    <w:rsid w:val="004F2811"/>
    <w:rsid w:val="004F3326"/>
    <w:rsid w:val="004F4D22"/>
    <w:rsid w:val="004F590E"/>
    <w:rsid w:val="004F5966"/>
    <w:rsid w:val="004F6026"/>
    <w:rsid w:val="004F60F4"/>
    <w:rsid w:val="004F62E8"/>
    <w:rsid w:val="004F67C3"/>
    <w:rsid w:val="004F6C17"/>
    <w:rsid w:val="004F7390"/>
    <w:rsid w:val="004F78F8"/>
    <w:rsid w:val="005001A5"/>
    <w:rsid w:val="00500201"/>
    <w:rsid w:val="00500CCD"/>
    <w:rsid w:val="005019AA"/>
    <w:rsid w:val="00502008"/>
    <w:rsid w:val="005028AF"/>
    <w:rsid w:val="005032E9"/>
    <w:rsid w:val="00503C3B"/>
    <w:rsid w:val="00503CE7"/>
    <w:rsid w:val="005040C9"/>
    <w:rsid w:val="005042DB"/>
    <w:rsid w:val="0050458E"/>
    <w:rsid w:val="00505928"/>
    <w:rsid w:val="00505CD6"/>
    <w:rsid w:val="005069B2"/>
    <w:rsid w:val="0050741A"/>
    <w:rsid w:val="00510452"/>
    <w:rsid w:val="005107BD"/>
    <w:rsid w:val="005108EC"/>
    <w:rsid w:val="00511F8F"/>
    <w:rsid w:val="00512A7E"/>
    <w:rsid w:val="00513291"/>
    <w:rsid w:val="00513EA4"/>
    <w:rsid w:val="005147DA"/>
    <w:rsid w:val="00514FBF"/>
    <w:rsid w:val="00514FCB"/>
    <w:rsid w:val="005153AC"/>
    <w:rsid w:val="005153C3"/>
    <w:rsid w:val="00515745"/>
    <w:rsid w:val="00515862"/>
    <w:rsid w:val="005165FE"/>
    <w:rsid w:val="0051690E"/>
    <w:rsid w:val="00516942"/>
    <w:rsid w:val="00516DC0"/>
    <w:rsid w:val="00516DC5"/>
    <w:rsid w:val="00517667"/>
    <w:rsid w:val="00520482"/>
    <w:rsid w:val="00520BBA"/>
    <w:rsid w:val="00522185"/>
    <w:rsid w:val="005225AC"/>
    <w:rsid w:val="005226FA"/>
    <w:rsid w:val="005233F3"/>
    <w:rsid w:val="0052365C"/>
    <w:rsid w:val="005245D2"/>
    <w:rsid w:val="0052488B"/>
    <w:rsid w:val="00524C98"/>
    <w:rsid w:val="00524C9C"/>
    <w:rsid w:val="00524EDD"/>
    <w:rsid w:val="00524FEB"/>
    <w:rsid w:val="00525B59"/>
    <w:rsid w:val="005269C4"/>
    <w:rsid w:val="00526A20"/>
    <w:rsid w:val="00531966"/>
    <w:rsid w:val="00532472"/>
    <w:rsid w:val="005325C9"/>
    <w:rsid w:val="005329DA"/>
    <w:rsid w:val="0053322F"/>
    <w:rsid w:val="00533BC1"/>
    <w:rsid w:val="00533DBF"/>
    <w:rsid w:val="00534940"/>
    <w:rsid w:val="00535673"/>
    <w:rsid w:val="00535784"/>
    <w:rsid w:val="00535D6B"/>
    <w:rsid w:val="00536442"/>
    <w:rsid w:val="005374FE"/>
    <w:rsid w:val="0054053D"/>
    <w:rsid w:val="0054126C"/>
    <w:rsid w:val="00541368"/>
    <w:rsid w:val="005415DD"/>
    <w:rsid w:val="00541D12"/>
    <w:rsid w:val="005423F3"/>
    <w:rsid w:val="005426DB"/>
    <w:rsid w:val="005442F1"/>
    <w:rsid w:val="00544A24"/>
    <w:rsid w:val="0054583C"/>
    <w:rsid w:val="00546227"/>
    <w:rsid w:val="005468E2"/>
    <w:rsid w:val="00546D83"/>
    <w:rsid w:val="00550113"/>
    <w:rsid w:val="0055019B"/>
    <w:rsid w:val="005504BE"/>
    <w:rsid w:val="0055082B"/>
    <w:rsid w:val="0055093A"/>
    <w:rsid w:val="00550F00"/>
    <w:rsid w:val="00551964"/>
    <w:rsid w:val="00551BDF"/>
    <w:rsid w:val="00551ED7"/>
    <w:rsid w:val="0055211C"/>
    <w:rsid w:val="0055263A"/>
    <w:rsid w:val="005526EE"/>
    <w:rsid w:val="00552B57"/>
    <w:rsid w:val="00552E53"/>
    <w:rsid w:val="00553E34"/>
    <w:rsid w:val="005547B7"/>
    <w:rsid w:val="005551E9"/>
    <w:rsid w:val="0055680D"/>
    <w:rsid w:val="00557670"/>
    <w:rsid w:val="00557C2D"/>
    <w:rsid w:val="00560094"/>
    <w:rsid w:val="00560C62"/>
    <w:rsid w:val="00562A61"/>
    <w:rsid w:val="00562E78"/>
    <w:rsid w:val="005638A2"/>
    <w:rsid w:val="00564E45"/>
    <w:rsid w:val="005652D5"/>
    <w:rsid w:val="00565E52"/>
    <w:rsid w:val="00567227"/>
    <w:rsid w:val="00567CD0"/>
    <w:rsid w:val="00570C7B"/>
    <w:rsid w:val="00571C77"/>
    <w:rsid w:val="00572BCD"/>
    <w:rsid w:val="00572D5B"/>
    <w:rsid w:val="00574614"/>
    <w:rsid w:val="00574A70"/>
    <w:rsid w:val="00574D35"/>
    <w:rsid w:val="00575C75"/>
    <w:rsid w:val="00575CEA"/>
    <w:rsid w:val="005762CA"/>
    <w:rsid w:val="005770CF"/>
    <w:rsid w:val="00577904"/>
    <w:rsid w:val="00577922"/>
    <w:rsid w:val="00577AC3"/>
    <w:rsid w:val="00580577"/>
    <w:rsid w:val="005815A8"/>
    <w:rsid w:val="00581915"/>
    <w:rsid w:val="0058284A"/>
    <w:rsid w:val="00583431"/>
    <w:rsid w:val="005835B0"/>
    <w:rsid w:val="005846C0"/>
    <w:rsid w:val="00584D04"/>
    <w:rsid w:val="005853F5"/>
    <w:rsid w:val="0058567E"/>
    <w:rsid w:val="00585DE1"/>
    <w:rsid w:val="0058659E"/>
    <w:rsid w:val="005869EE"/>
    <w:rsid w:val="005872DD"/>
    <w:rsid w:val="00587CF2"/>
    <w:rsid w:val="00587D3A"/>
    <w:rsid w:val="00590346"/>
    <w:rsid w:val="0059093F"/>
    <w:rsid w:val="00590BA2"/>
    <w:rsid w:val="00590CA7"/>
    <w:rsid w:val="00590E93"/>
    <w:rsid w:val="005915E1"/>
    <w:rsid w:val="00591C75"/>
    <w:rsid w:val="00592D10"/>
    <w:rsid w:val="0059388B"/>
    <w:rsid w:val="00593A5F"/>
    <w:rsid w:val="0059404E"/>
    <w:rsid w:val="00594269"/>
    <w:rsid w:val="00595539"/>
    <w:rsid w:val="00597108"/>
    <w:rsid w:val="005976DB"/>
    <w:rsid w:val="005A1A84"/>
    <w:rsid w:val="005A3E82"/>
    <w:rsid w:val="005A4287"/>
    <w:rsid w:val="005A482E"/>
    <w:rsid w:val="005A4DB0"/>
    <w:rsid w:val="005A5095"/>
    <w:rsid w:val="005A5597"/>
    <w:rsid w:val="005A57BF"/>
    <w:rsid w:val="005A6AC2"/>
    <w:rsid w:val="005A7A65"/>
    <w:rsid w:val="005A7B26"/>
    <w:rsid w:val="005A7B8E"/>
    <w:rsid w:val="005B012B"/>
    <w:rsid w:val="005B0C87"/>
    <w:rsid w:val="005B0FE9"/>
    <w:rsid w:val="005B2195"/>
    <w:rsid w:val="005B26C7"/>
    <w:rsid w:val="005B2D65"/>
    <w:rsid w:val="005B3877"/>
    <w:rsid w:val="005B3AC8"/>
    <w:rsid w:val="005B3CC1"/>
    <w:rsid w:val="005B4002"/>
    <w:rsid w:val="005B45AB"/>
    <w:rsid w:val="005B4D8F"/>
    <w:rsid w:val="005B526C"/>
    <w:rsid w:val="005B541E"/>
    <w:rsid w:val="005B6551"/>
    <w:rsid w:val="005B71A8"/>
    <w:rsid w:val="005B744B"/>
    <w:rsid w:val="005C0A6F"/>
    <w:rsid w:val="005C0FA7"/>
    <w:rsid w:val="005C155F"/>
    <w:rsid w:val="005C1C0E"/>
    <w:rsid w:val="005C1FF5"/>
    <w:rsid w:val="005C259E"/>
    <w:rsid w:val="005C36E2"/>
    <w:rsid w:val="005C3E9E"/>
    <w:rsid w:val="005C400C"/>
    <w:rsid w:val="005C410C"/>
    <w:rsid w:val="005C4BF1"/>
    <w:rsid w:val="005C4BF2"/>
    <w:rsid w:val="005C52D4"/>
    <w:rsid w:val="005C5967"/>
    <w:rsid w:val="005C5BED"/>
    <w:rsid w:val="005C5D86"/>
    <w:rsid w:val="005C6167"/>
    <w:rsid w:val="005C6ADB"/>
    <w:rsid w:val="005C6EE2"/>
    <w:rsid w:val="005C7A07"/>
    <w:rsid w:val="005C7DDC"/>
    <w:rsid w:val="005C7F7C"/>
    <w:rsid w:val="005D0BAD"/>
    <w:rsid w:val="005D0C0A"/>
    <w:rsid w:val="005D107D"/>
    <w:rsid w:val="005D123A"/>
    <w:rsid w:val="005D2506"/>
    <w:rsid w:val="005D2BB5"/>
    <w:rsid w:val="005D3677"/>
    <w:rsid w:val="005D3A10"/>
    <w:rsid w:val="005D4E4C"/>
    <w:rsid w:val="005D5B5E"/>
    <w:rsid w:val="005D5C85"/>
    <w:rsid w:val="005D5CA0"/>
    <w:rsid w:val="005D5F27"/>
    <w:rsid w:val="005D69AB"/>
    <w:rsid w:val="005D72FC"/>
    <w:rsid w:val="005D7DFC"/>
    <w:rsid w:val="005E035A"/>
    <w:rsid w:val="005E0464"/>
    <w:rsid w:val="005E0681"/>
    <w:rsid w:val="005E1218"/>
    <w:rsid w:val="005E18EC"/>
    <w:rsid w:val="005E1A55"/>
    <w:rsid w:val="005E1B6B"/>
    <w:rsid w:val="005E1F61"/>
    <w:rsid w:val="005E2127"/>
    <w:rsid w:val="005E2281"/>
    <w:rsid w:val="005E236C"/>
    <w:rsid w:val="005E2FAE"/>
    <w:rsid w:val="005E32C9"/>
    <w:rsid w:val="005E351B"/>
    <w:rsid w:val="005E38A8"/>
    <w:rsid w:val="005E39F9"/>
    <w:rsid w:val="005E3D9B"/>
    <w:rsid w:val="005E44B6"/>
    <w:rsid w:val="005E4828"/>
    <w:rsid w:val="005E4887"/>
    <w:rsid w:val="005E5016"/>
    <w:rsid w:val="005E5231"/>
    <w:rsid w:val="005E55BB"/>
    <w:rsid w:val="005E5D11"/>
    <w:rsid w:val="005E667C"/>
    <w:rsid w:val="005E6A1D"/>
    <w:rsid w:val="005E6F12"/>
    <w:rsid w:val="005E733E"/>
    <w:rsid w:val="005E7428"/>
    <w:rsid w:val="005F0694"/>
    <w:rsid w:val="005F06E1"/>
    <w:rsid w:val="005F077C"/>
    <w:rsid w:val="005F0B88"/>
    <w:rsid w:val="005F1735"/>
    <w:rsid w:val="005F187E"/>
    <w:rsid w:val="005F252A"/>
    <w:rsid w:val="005F3CC3"/>
    <w:rsid w:val="005F3CE8"/>
    <w:rsid w:val="005F4F41"/>
    <w:rsid w:val="005F4F70"/>
    <w:rsid w:val="005F566D"/>
    <w:rsid w:val="005F648F"/>
    <w:rsid w:val="005F68C3"/>
    <w:rsid w:val="005F7D87"/>
    <w:rsid w:val="00601794"/>
    <w:rsid w:val="00601E94"/>
    <w:rsid w:val="006021B1"/>
    <w:rsid w:val="006029A7"/>
    <w:rsid w:val="00602F40"/>
    <w:rsid w:val="006037C5"/>
    <w:rsid w:val="006040CE"/>
    <w:rsid w:val="0060467D"/>
    <w:rsid w:val="00604DF3"/>
    <w:rsid w:val="0060585E"/>
    <w:rsid w:val="00605B4D"/>
    <w:rsid w:val="00605B9D"/>
    <w:rsid w:val="00606213"/>
    <w:rsid w:val="00606B57"/>
    <w:rsid w:val="00606B85"/>
    <w:rsid w:val="00607390"/>
    <w:rsid w:val="006076D8"/>
    <w:rsid w:val="00607E6D"/>
    <w:rsid w:val="0061061D"/>
    <w:rsid w:val="00611708"/>
    <w:rsid w:val="00611816"/>
    <w:rsid w:val="00611A3B"/>
    <w:rsid w:val="006120CA"/>
    <w:rsid w:val="00612389"/>
    <w:rsid w:val="00612570"/>
    <w:rsid w:val="006127BD"/>
    <w:rsid w:val="00612871"/>
    <w:rsid w:val="00612929"/>
    <w:rsid w:val="00612A44"/>
    <w:rsid w:val="00612A8E"/>
    <w:rsid w:val="00613098"/>
    <w:rsid w:val="006134D9"/>
    <w:rsid w:val="006135DA"/>
    <w:rsid w:val="00613BDC"/>
    <w:rsid w:val="00614921"/>
    <w:rsid w:val="00615564"/>
    <w:rsid w:val="006155E2"/>
    <w:rsid w:val="00615ECA"/>
    <w:rsid w:val="00615F26"/>
    <w:rsid w:val="00616974"/>
    <w:rsid w:val="00616CCC"/>
    <w:rsid w:val="00617A81"/>
    <w:rsid w:val="00617C11"/>
    <w:rsid w:val="00617DEC"/>
    <w:rsid w:val="00617EEC"/>
    <w:rsid w:val="00620573"/>
    <w:rsid w:val="00620579"/>
    <w:rsid w:val="006208AA"/>
    <w:rsid w:val="0062128D"/>
    <w:rsid w:val="00621C96"/>
    <w:rsid w:val="00622161"/>
    <w:rsid w:val="0062228D"/>
    <w:rsid w:val="006224D1"/>
    <w:rsid w:val="0062258F"/>
    <w:rsid w:val="00622732"/>
    <w:rsid w:val="00622E6D"/>
    <w:rsid w:val="00623BC7"/>
    <w:rsid w:val="00623E70"/>
    <w:rsid w:val="006241D0"/>
    <w:rsid w:val="00624425"/>
    <w:rsid w:val="00624665"/>
    <w:rsid w:val="00624B06"/>
    <w:rsid w:val="00625434"/>
    <w:rsid w:val="0062576B"/>
    <w:rsid w:val="00625C5F"/>
    <w:rsid w:val="00625FF2"/>
    <w:rsid w:val="00626032"/>
    <w:rsid w:val="00627643"/>
    <w:rsid w:val="00627788"/>
    <w:rsid w:val="006300CD"/>
    <w:rsid w:val="0063017E"/>
    <w:rsid w:val="00630723"/>
    <w:rsid w:val="00630EAE"/>
    <w:rsid w:val="006312D0"/>
    <w:rsid w:val="00631866"/>
    <w:rsid w:val="006318A4"/>
    <w:rsid w:val="00631A11"/>
    <w:rsid w:val="00631D4F"/>
    <w:rsid w:val="006321B6"/>
    <w:rsid w:val="006327C6"/>
    <w:rsid w:val="00633496"/>
    <w:rsid w:val="006338D2"/>
    <w:rsid w:val="00633F92"/>
    <w:rsid w:val="0063435E"/>
    <w:rsid w:val="00634CB2"/>
    <w:rsid w:val="006357E2"/>
    <w:rsid w:val="00635FD8"/>
    <w:rsid w:val="00636651"/>
    <w:rsid w:val="006368E4"/>
    <w:rsid w:val="00636F7B"/>
    <w:rsid w:val="00640140"/>
    <w:rsid w:val="0064019C"/>
    <w:rsid w:val="00640288"/>
    <w:rsid w:val="006405AC"/>
    <w:rsid w:val="0064099D"/>
    <w:rsid w:val="00640E9A"/>
    <w:rsid w:val="006412CD"/>
    <w:rsid w:val="006413D8"/>
    <w:rsid w:val="00641610"/>
    <w:rsid w:val="00641B7B"/>
    <w:rsid w:val="00641C55"/>
    <w:rsid w:val="00642405"/>
    <w:rsid w:val="00642645"/>
    <w:rsid w:val="006437E8"/>
    <w:rsid w:val="006438E0"/>
    <w:rsid w:val="00644BED"/>
    <w:rsid w:val="006453C4"/>
    <w:rsid w:val="006455CB"/>
    <w:rsid w:val="00646FD5"/>
    <w:rsid w:val="006472F8"/>
    <w:rsid w:val="00647680"/>
    <w:rsid w:val="00647743"/>
    <w:rsid w:val="00647CE0"/>
    <w:rsid w:val="0065069B"/>
    <w:rsid w:val="006510C0"/>
    <w:rsid w:val="00651DC7"/>
    <w:rsid w:val="00652092"/>
    <w:rsid w:val="00652472"/>
    <w:rsid w:val="00652A5F"/>
    <w:rsid w:val="00652F31"/>
    <w:rsid w:val="006535E5"/>
    <w:rsid w:val="0065394E"/>
    <w:rsid w:val="00653B2B"/>
    <w:rsid w:val="00653B38"/>
    <w:rsid w:val="00654D37"/>
    <w:rsid w:val="00654F06"/>
    <w:rsid w:val="00656385"/>
    <w:rsid w:val="00656F19"/>
    <w:rsid w:val="00657BB7"/>
    <w:rsid w:val="00660299"/>
    <w:rsid w:val="00660552"/>
    <w:rsid w:val="00660DBE"/>
    <w:rsid w:val="00661113"/>
    <w:rsid w:val="0066127D"/>
    <w:rsid w:val="00661AB0"/>
    <w:rsid w:val="006623A4"/>
    <w:rsid w:val="006627B5"/>
    <w:rsid w:val="0066351C"/>
    <w:rsid w:val="006635BF"/>
    <w:rsid w:val="00663CBA"/>
    <w:rsid w:val="00664498"/>
    <w:rsid w:val="00664693"/>
    <w:rsid w:val="00664C4B"/>
    <w:rsid w:val="00664DC0"/>
    <w:rsid w:val="006651CC"/>
    <w:rsid w:val="0066582B"/>
    <w:rsid w:val="006658DA"/>
    <w:rsid w:val="00665B9B"/>
    <w:rsid w:val="00665CA1"/>
    <w:rsid w:val="00666F2F"/>
    <w:rsid w:val="00667421"/>
    <w:rsid w:val="0066780E"/>
    <w:rsid w:val="00667A31"/>
    <w:rsid w:val="00670702"/>
    <w:rsid w:val="006708EB"/>
    <w:rsid w:val="0067147C"/>
    <w:rsid w:val="00672895"/>
    <w:rsid w:val="00672A8A"/>
    <w:rsid w:val="00673524"/>
    <w:rsid w:val="00673F50"/>
    <w:rsid w:val="00674EEA"/>
    <w:rsid w:val="0067549D"/>
    <w:rsid w:val="006759B0"/>
    <w:rsid w:val="00677012"/>
    <w:rsid w:val="006771EA"/>
    <w:rsid w:val="006772F9"/>
    <w:rsid w:val="00680D0E"/>
    <w:rsid w:val="00680F00"/>
    <w:rsid w:val="006825A6"/>
    <w:rsid w:val="006825B4"/>
    <w:rsid w:val="006829BA"/>
    <w:rsid w:val="00682AF2"/>
    <w:rsid w:val="00682C1D"/>
    <w:rsid w:val="00682E8A"/>
    <w:rsid w:val="00682FB7"/>
    <w:rsid w:val="006837DE"/>
    <w:rsid w:val="00683CE0"/>
    <w:rsid w:val="00684FA5"/>
    <w:rsid w:val="00685026"/>
    <w:rsid w:val="0068537F"/>
    <w:rsid w:val="00686104"/>
    <w:rsid w:val="00686334"/>
    <w:rsid w:val="00686C3A"/>
    <w:rsid w:val="00686EEB"/>
    <w:rsid w:val="00687628"/>
    <w:rsid w:val="00687CFE"/>
    <w:rsid w:val="0069035A"/>
    <w:rsid w:val="006906FD"/>
    <w:rsid w:val="00690EB8"/>
    <w:rsid w:val="0069109D"/>
    <w:rsid w:val="006915E5"/>
    <w:rsid w:val="00692401"/>
    <w:rsid w:val="00693B7A"/>
    <w:rsid w:val="006941CC"/>
    <w:rsid w:val="006942BA"/>
    <w:rsid w:val="006945D4"/>
    <w:rsid w:val="00694EC0"/>
    <w:rsid w:val="00695852"/>
    <w:rsid w:val="00695F56"/>
    <w:rsid w:val="0069758B"/>
    <w:rsid w:val="00697F88"/>
    <w:rsid w:val="006A050B"/>
    <w:rsid w:val="006A07FF"/>
    <w:rsid w:val="006A0A70"/>
    <w:rsid w:val="006A0B6C"/>
    <w:rsid w:val="006A1692"/>
    <w:rsid w:val="006A16E1"/>
    <w:rsid w:val="006A179F"/>
    <w:rsid w:val="006A188D"/>
    <w:rsid w:val="006A1AEA"/>
    <w:rsid w:val="006A3293"/>
    <w:rsid w:val="006A36DF"/>
    <w:rsid w:val="006A3C8A"/>
    <w:rsid w:val="006A3E61"/>
    <w:rsid w:val="006A5213"/>
    <w:rsid w:val="006A6003"/>
    <w:rsid w:val="006A6737"/>
    <w:rsid w:val="006B0AE6"/>
    <w:rsid w:val="006B1E08"/>
    <w:rsid w:val="006B2099"/>
    <w:rsid w:val="006B26B1"/>
    <w:rsid w:val="006B2E45"/>
    <w:rsid w:val="006B341B"/>
    <w:rsid w:val="006B3875"/>
    <w:rsid w:val="006B3937"/>
    <w:rsid w:val="006B425B"/>
    <w:rsid w:val="006B545C"/>
    <w:rsid w:val="006B5AC8"/>
    <w:rsid w:val="006B5D32"/>
    <w:rsid w:val="006B6EDF"/>
    <w:rsid w:val="006B758B"/>
    <w:rsid w:val="006B78A5"/>
    <w:rsid w:val="006B7BF8"/>
    <w:rsid w:val="006C00A0"/>
    <w:rsid w:val="006C0E54"/>
    <w:rsid w:val="006C0F11"/>
    <w:rsid w:val="006C23E1"/>
    <w:rsid w:val="006C25D5"/>
    <w:rsid w:val="006C25F9"/>
    <w:rsid w:val="006C262B"/>
    <w:rsid w:val="006C27DC"/>
    <w:rsid w:val="006C2866"/>
    <w:rsid w:val="006C31C6"/>
    <w:rsid w:val="006C32BE"/>
    <w:rsid w:val="006C3A2D"/>
    <w:rsid w:val="006C4666"/>
    <w:rsid w:val="006C49BF"/>
    <w:rsid w:val="006C4BB3"/>
    <w:rsid w:val="006C63D7"/>
    <w:rsid w:val="006C6894"/>
    <w:rsid w:val="006C69D9"/>
    <w:rsid w:val="006C7535"/>
    <w:rsid w:val="006C76A6"/>
    <w:rsid w:val="006C796D"/>
    <w:rsid w:val="006D0525"/>
    <w:rsid w:val="006D08DC"/>
    <w:rsid w:val="006D09D1"/>
    <w:rsid w:val="006D23FF"/>
    <w:rsid w:val="006D2F09"/>
    <w:rsid w:val="006D2FD2"/>
    <w:rsid w:val="006D33E6"/>
    <w:rsid w:val="006D3783"/>
    <w:rsid w:val="006D3DC0"/>
    <w:rsid w:val="006D40C4"/>
    <w:rsid w:val="006D4162"/>
    <w:rsid w:val="006D453E"/>
    <w:rsid w:val="006D5303"/>
    <w:rsid w:val="006D5E84"/>
    <w:rsid w:val="006D7A4C"/>
    <w:rsid w:val="006D7C99"/>
    <w:rsid w:val="006E0443"/>
    <w:rsid w:val="006E0C50"/>
    <w:rsid w:val="006E0DCF"/>
    <w:rsid w:val="006E14D6"/>
    <w:rsid w:val="006E1647"/>
    <w:rsid w:val="006E1BA2"/>
    <w:rsid w:val="006E2298"/>
    <w:rsid w:val="006E2C5A"/>
    <w:rsid w:val="006E2F3A"/>
    <w:rsid w:val="006E310A"/>
    <w:rsid w:val="006E3C3E"/>
    <w:rsid w:val="006E3FBD"/>
    <w:rsid w:val="006E40C7"/>
    <w:rsid w:val="006E429F"/>
    <w:rsid w:val="006E47E0"/>
    <w:rsid w:val="006E50E4"/>
    <w:rsid w:val="006E6F30"/>
    <w:rsid w:val="006E6FE9"/>
    <w:rsid w:val="006E7082"/>
    <w:rsid w:val="006E709F"/>
    <w:rsid w:val="006E7F73"/>
    <w:rsid w:val="006F030F"/>
    <w:rsid w:val="006F03AF"/>
    <w:rsid w:val="006F193C"/>
    <w:rsid w:val="006F1B58"/>
    <w:rsid w:val="006F27DC"/>
    <w:rsid w:val="006F2B89"/>
    <w:rsid w:val="006F36F1"/>
    <w:rsid w:val="006F3B81"/>
    <w:rsid w:val="006F4860"/>
    <w:rsid w:val="006F4D59"/>
    <w:rsid w:val="006F4F79"/>
    <w:rsid w:val="006F4F80"/>
    <w:rsid w:val="006F5532"/>
    <w:rsid w:val="006F5ADA"/>
    <w:rsid w:val="006F62CC"/>
    <w:rsid w:val="006F644B"/>
    <w:rsid w:val="006F66C1"/>
    <w:rsid w:val="006F681D"/>
    <w:rsid w:val="006F6FA1"/>
    <w:rsid w:val="006F731E"/>
    <w:rsid w:val="006F78E9"/>
    <w:rsid w:val="0070235F"/>
    <w:rsid w:val="00702BC3"/>
    <w:rsid w:val="00702FF3"/>
    <w:rsid w:val="007032AC"/>
    <w:rsid w:val="00703496"/>
    <w:rsid w:val="007036FE"/>
    <w:rsid w:val="00703AB1"/>
    <w:rsid w:val="00704614"/>
    <w:rsid w:val="00704C5F"/>
    <w:rsid w:val="00704DEB"/>
    <w:rsid w:val="00705623"/>
    <w:rsid w:val="00705B37"/>
    <w:rsid w:val="0070658A"/>
    <w:rsid w:val="00706B65"/>
    <w:rsid w:val="007070DA"/>
    <w:rsid w:val="007071AF"/>
    <w:rsid w:val="00707C1A"/>
    <w:rsid w:val="00710023"/>
    <w:rsid w:val="00710207"/>
    <w:rsid w:val="0071023D"/>
    <w:rsid w:val="007103CD"/>
    <w:rsid w:val="007104CB"/>
    <w:rsid w:val="00710530"/>
    <w:rsid w:val="007107BD"/>
    <w:rsid w:val="00711E77"/>
    <w:rsid w:val="00712912"/>
    <w:rsid w:val="00713AAC"/>
    <w:rsid w:val="007141DC"/>
    <w:rsid w:val="00714B04"/>
    <w:rsid w:val="00714F75"/>
    <w:rsid w:val="007155CE"/>
    <w:rsid w:val="007168A0"/>
    <w:rsid w:val="00716BC6"/>
    <w:rsid w:val="00716C95"/>
    <w:rsid w:val="00717762"/>
    <w:rsid w:val="00717F1A"/>
    <w:rsid w:val="007204DA"/>
    <w:rsid w:val="00721A63"/>
    <w:rsid w:val="00721DED"/>
    <w:rsid w:val="00721FF9"/>
    <w:rsid w:val="0072229E"/>
    <w:rsid w:val="00722F53"/>
    <w:rsid w:val="0072337E"/>
    <w:rsid w:val="00723696"/>
    <w:rsid w:val="0072442F"/>
    <w:rsid w:val="00725189"/>
    <w:rsid w:val="0072541E"/>
    <w:rsid w:val="00725735"/>
    <w:rsid w:val="00725BB8"/>
    <w:rsid w:val="007260A3"/>
    <w:rsid w:val="0072630D"/>
    <w:rsid w:val="00726A2A"/>
    <w:rsid w:val="007271E9"/>
    <w:rsid w:val="007273BC"/>
    <w:rsid w:val="007275FD"/>
    <w:rsid w:val="007276E5"/>
    <w:rsid w:val="00730943"/>
    <w:rsid w:val="007310EF"/>
    <w:rsid w:val="00731D5E"/>
    <w:rsid w:val="00732492"/>
    <w:rsid w:val="00733E5A"/>
    <w:rsid w:val="00733F25"/>
    <w:rsid w:val="00736395"/>
    <w:rsid w:val="00736459"/>
    <w:rsid w:val="0073685F"/>
    <w:rsid w:val="00737821"/>
    <w:rsid w:val="0074058F"/>
    <w:rsid w:val="00740E86"/>
    <w:rsid w:val="00741175"/>
    <w:rsid w:val="007419FB"/>
    <w:rsid w:val="00742606"/>
    <w:rsid w:val="007441FF"/>
    <w:rsid w:val="007448A7"/>
    <w:rsid w:val="00744EE8"/>
    <w:rsid w:val="00744F42"/>
    <w:rsid w:val="007459F5"/>
    <w:rsid w:val="00745D9E"/>
    <w:rsid w:val="00746713"/>
    <w:rsid w:val="007467E4"/>
    <w:rsid w:val="00746B08"/>
    <w:rsid w:val="00747569"/>
    <w:rsid w:val="00750238"/>
    <w:rsid w:val="0075023C"/>
    <w:rsid w:val="007518E3"/>
    <w:rsid w:val="007518E9"/>
    <w:rsid w:val="00752247"/>
    <w:rsid w:val="007523E7"/>
    <w:rsid w:val="007524C4"/>
    <w:rsid w:val="00752AE5"/>
    <w:rsid w:val="007531CA"/>
    <w:rsid w:val="00754252"/>
    <w:rsid w:val="007577B1"/>
    <w:rsid w:val="00757CB3"/>
    <w:rsid w:val="00757D87"/>
    <w:rsid w:val="00757DB4"/>
    <w:rsid w:val="00757E79"/>
    <w:rsid w:val="00760EED"/>
    <w:rsid w:val="0076109F"/>
    <w:rsid w:val="00761399"/>
    <w:rsid w:val="00761615"/>
    <w:rsid w:val="007616DA"/>
    <w:rsid w:val="007619CE"/>
    <w:rsid w:val="00761F4F"/>
    <w:rsid w:val="007620DC"/>
    <w:rsid w:val="00762102"/>
    <w:rsid w:val="0076255D"/>
    <w:rsid w:val="007625F6"/>
    <w:rsid w:val="00762B8B"/>
    <w:rsid w:val="0076325B"/>
    <w:rsid w:val="00764AF9"/>
    <w:rsid w:val="007650AD"/>
    <w:rsid w:val="00765D18"/>
    <w:rsid w:val="0076640B"/>
    <w:rsid w:val="007673DE"/>
    <w:rsid w:val="00770C54"/>
    <w:rsid w:val="00771344"/>
    <w:rsid w:val="0077213A"/>
    <w:rsid w:val="00772613"/>
    <w:rsid w:val="00772B41"/>
    <w:rsid w:val="00772CED"/>
    <w:rsid w:val="00773EA1"/>
    <w:rsid w:val="00775215"/>
    <w:rsid w:val="00775748"/>
    <w:rsid w:val="00776ACC"/>
    <w:rsid w:val="00777AE2"/>
    <w:rsid w:val="00777C71"/>
    <w:rsid w:val="00777D6B"/>
    <w:rsid w:val="00777F20"/>
    <w:rsid w:val="0078080B"/>
    <w:rsid w:val="00781148"/>
    <w:rsid w:val="0078120F"/>
    <w:rsid w:val="00781F98"/>
    <w:rsid w:val="0078265B"/>
    <w:rsid w:val="00782AFE"/>
    <w:rsid w:val="00782E10"/>
    <w:rsid w:val="00784926"/>
    <w:rsid w:val="00784DB8"/>
    <w:rsid w:val="00784FDD"/>
    <w:rsid w:val="0078508F"/>
    <w:rsid w:val="00786448"/>
    <w:rsid w:val="007875D7"/>
    <w:rsid w:val="007906B2"/>
    <w:rsid w:val="0079134E"/>
    <w:rsid w:val="007925F0"/>
    <w:rsid w:val="0079278E"/>
    <w:rsid w:val="00792DCA"/>
    <w:rsid w:val="00792E3C"/>
    <w:rsid w:val="00793040"/>
    <w:rsid w:val="007930C1"/>
    <w:rsid w:val="0079315D"/>
    <w:rsid w:val="00793B45"/>
    <w:rsid w:val="0079477A"/>
    <w:rsid w:val="007956CD"/>
    <w:rsid w:val="00795706"/>
    <w:rsid w:val="007960E3"/>
    <w:rsid w:val="00796F7C"/>
    <w:rsid w:val="00797131"/>
    <w:rsid w:val="00797254"/>
    <w:rsid w:val="00797430"/>
    <w:rsid w:val="00797AF4"/>
    <w:rsid w:val="007A0F8D"/>
    <w:rsid w:val="007A1078"/>
    <w:rsid w:val="007A180A"/>
    <w:rsid w:val="007A21E4"/>
    <w:rsid w:val="007A2304"/>
    <w:rsid w:val="007A257D"/>
    <w:rsid w:val="007A2CB0"/>
    <w:rsid w:val="007A343D"/>
    <w:rsid w:val="007A38CE"/>
    <w:rsid w:val="007A3F1C"/>
    <w:rsid w:val="007A46E6"/>
    <w:rsid w:val="007A48D8"/>
    <w:rsid w:val="007A5ACE"/>
    <w:rsid w:val="007A5C5C"/>
    <w:rsid w:val="007A6528"/>
    <w:rsid w:val="007A6A64"/>
    <w:rsid w:val="007A7B48"/>
    <w:rsid w:val="007A7FD7"/>
    <w:rsid w:val="007B18C6"/>
    <w:rsid w:val="007B20C2"/>
    <w:rsid w:val="007B25D5"/>
    <w:rsid w:val="007B27E4"/>
    <w:rsid w:val="007B2910"/>
    <w:rsid w:val="007B301D"/>
    <w:rsid w:val="007B3264"/>
    <w:rsid w:val="007B35F6"/>
    <w:rsid w:val="007B3F87"/>
    <w:rsid w:val="007B404F"/>
    <w:rsid w:val="007B44A6"/>
    <w:rsid w:val="007B494E"/>
    <w:rsid w:val="007B4C5E"/>
    <w:rsid w:val="007B7462"/>
    <w:rsid w:val="007B7B52"/>
    <w:rsid w:val="007C02A3"/>
    <w:rsid w:val="007C0C55"/>
    <w:rsid w:val="007C1507"/>
    <w:rsid w:val="007C1857"/>
    <w:rsid w:val="007C207E"/>
    <w:rsid w:val="007C2F60"/>
    <w:rsid w:val="007C3639"/>
    <w:rsid w:val="007C3757"/>
    <w:rsid w:val="007C4D8D"/>
    <w:rsid w:val="007C5144"/>
    <w:rsid w:val="007C5613"/>
    <w:rsid w:val="007C6138"/>
    <w:rsid w:val="007C6153"/>
    <w:rsid w:val="007C6849"/>
    <w:rsid w:val="007C6BC6"/>
    <w:rsid w:val="007C6C12"/>
    <w:rsid w:val="007C73B2"/>
    <w:rsid w:val="007D0435"/>
    <w:rsid w:val="007D0D3E"/>
    <w:rsid w:val="007D116E"/>
    <w:rsid w:val="007D1B24"/>
    <w:rsid w:val="007D267F"/>
    <w:rsid w:val="007D3341"/>
    <w:rsid w:val="007D3A3E"/>
    <w:rsid w:val="007D400A"/>
    <w:rsid w:val="007D4B0E"/>
    <w:rsid w:val="007D4DD2"/>
    <w:rsid w:val="007D5D0F"/>
    <w:rsid w:val="007D6EA8"/>
    <w:rsid w:val="007D7B3C"/>
    <w:rsid w:val="007E010B"/>
    <w:rsid w:val="007E042B"/>
    <w:rsid w:val="007E05DB"/>
    <w:rsid w:val="007E1247"/>
    <w:rsid w:val="007E1A44"/>
    <w:rsid w:val="007E2419"/>
    <w:rsid w:val="007E2E7D"/>
    <w:rsid w:val="007E3FF5"/>
    <w:rsid w:val="007E4219"/>
    <w:rsid w:val="007E577E"/>
    <w:rsid w:val="007E635E"/>
    <w:rsid w:val="007E6A9C"/>
    <w:rsid w:val="007E6C0C"/>
    <w:rsid w:val="007E6F95"/>
    <w:rsid w:val="007E7300"/>
    <w:rsid w:val="007E767B"/>
    <w:rsid w:val="007E7B54"/>
    <w:rsid w:val="007F038C"/>
    <w:rsid w:val="007F0428"/>
    <w:rsid w:val="007F0C82"/>
    <w:rsid w:val="007F0F24"/>
    <w:rsid w:val="007F1755"/>
    <w:rsid w:val="007F222B"/>
    <w:rsid w:val="007F2CBC"/>
    <w:rsid w:val="007F3092"/>
    <w:rsid w:val="007F30F9"/>
    <w:rsid w:val="007F39B8"/>
    <w:rsid w:val="007F3C03"/>
    <w:rsid w:val="007F3E3F"/>
    <w:rsid w:val="007F45DF"/>
    <w:rsid w:val="007F4A6F"/>
    <w:rsid w:val="007F4FBC"/>
    <w:rsid w:val="007F5975"/>
    <w:rsid w:val="007F5AB9"/>
    <w:rsid w:val="007F6497"/>
    <w:rsid w:val="007F6836"/>
    <w:rsid w:val="007F7DF2"/>
    <w:rsid w:val="008005E6"/>
    <w:rsid w:val="00800A35"/>
    <w:rsid w:val="00800D91"/>
    <w:rsid w:val="008015F2"/>
    <w:rsid w:val="00801A0E"/>
    <w:rsid w:val="00803362"/>
    <w:rsid w:val="00803C65"/>
    <w:rsid w:val="00804BC0"/>
    <w:rsid w:val="00804E3C"/>
    <w:rsid w:val="00804E4C"/>
    <w:rsid w:val="0080662C"/>
    <w:rsid w:val="008070B2"/>
    <w:rsid w:val="00807D79"/>
    <w:rsid w:val="00810102"/>
    <w:rsid w:val="008102BC"/>
    <w:rsid w:val="008116F3"/>
    <w:rsid w:val="008117C4"/>
    <w:rsid w:val="0081222E"/>
    <w:rsid w:val="00812461"/>
    <w:rsid w:val="008127E0"/>
    <w:rsid w:val="00812810"/>
    <w:rsid w:val="0081398E"/>
    <w:rsid w:val="00813F02"/>
    <w:rsid w:val="008149D8"/>
    <w:rsid w:val="00815714"/>
    <w:rsid w:val="00815A2A"/>
    <w:rsid w:val="0081724D"/>
    <w:rsid w:val="0081788A"/>
    <w:rsid w:val="00817927"/>
    <w:rsid w:val="00817CFC"/>
    <w:rsid w:val="00817E82"/>
    <w:rsid w:val="00820A3F"/>
    <w:rsid w:val="00821D81"/>
    <w:rsid w:val="00822A52"/>
    <w:rsid w:val="00822F31"/>
    <w:rsid w:val="00823654"/>
    <w:rsid w:val="0082374A"/>
    <w:rsid w:val="008237F3"/>
    <w:rsid w:val="00823A90"/>
    <w:rsid w:val="00823D01"/>
    <w:rsid w:val="00825C68"/>
    <w:rsid w:val="00826883"/>
    <w:rsid w:val="0082757E"/>
    <w:rsid w:val="0082769C"/>
    <w:rsid w:val="00827B6C"/>
    <w:rsid w:val="00827D77"/>
    <w:rsid w:val="00830259"/>
    <w:rsid w:val="00830561"/>
    <w:rsid w:val="00831115"/>
    <w:rsid w:val="00832092"/>
    <w:rsid w:val="0083249C"/>
    <w:rsid w:val="00832D42"/>
    <w:rsid w:val="008333A9"/>
    <w:rsid w:val="00833419"/>
    <w:rsid w:val="008342A5"/>
    <w:rsid w:val="00834B7C"/>
    <w:rsid w:val="00834BE2"/>
    <w:rsid w:val="00834EA4"/>
    <w:rsid w:val="00835049"/>
    <w:rsid w:val="008354B9"/>
    <w:rsid w:val="00835DCB"/>
    <w:rsid w:val="00836090"/>
    <w:rsid w:val="00836921"/>
    <w:rsid w:val="00837237"/>
    <w:rsid w:val="008376C0"/>
    <w:rsid w:val="0084035D"/>
    <w:rsid w:val="008405F9"/>
    <w:rsid w:val="0084060B"/>
    <w:rsid w:val="0084139B"/>
    <w:rsid w:val="0084143B"/>
    <w:rsid w:val="008417D4"/>
    <w:rsid w:val="00842547"/>
    <w:rsid w:val="008427D3"/>
    <w:rsid w:val="008429CF"/>
    <w:rsid w:val="0084324C"/>
    <w:rsid w:val="00843910"/>
    <w:rsid w:val="00843B9B"/>
    <w:rsid w:val="008451F8"/>
    <w:rsid w:val="008457D2"/>
    <w:rsid w:val="00846212"/>
    <w:rsid w:val="008468E0"/>
    <w:rsid w:val="0084767E"/>
    <w:rsid w:val="0084790F"/>
    <w:rsid w:val="00847BE7"/>
    <w:rsid w:val="00850EAB"/>
    <w:rsid w:val="00851C80"/>
    <w:rsid w:val="00851D70"/>
    <w:rsid w:val="00852760"/>
    <w:rsid w:val="008529B3"/>
    <w:rsid w:val="008529BB"/>
    <w:rsid w:val="00852ADD"/>
    <w:rsid w:val="00853883"/>
    <w:rsid w:val="00853EB9"/>
    <w:rsid w:val="00854CF7"/>
    <w:rsid w:val="00854DA7"/>
    <w:rsid w:val="008557A0"/>
    <w:rsid w:val="00856607"/>
    <w:rsid w:val="008602F1"/>
    <w:rsid w:val="008604A8"/>
    <w:rsid w:val="00860ADD"/>
    <w:rsid w:val="008616A2"/>
    <w:rsid w:val="00861C6C"/>
    <w:rsid w:val="008636AC"/>
    <w:rsid w:val="00863862"/>
    <w:rsid w:val="00863AAD"/>
    <w:rsid w:val="00864644"/>
    <w:rsid w:val="00864F4D"/>
    <w:rsid w:val="008658DE"/>
    <w:rsid w:val="00865F5C"/>
    <w:rsid w:val="00866296"/>
    <w:rsid w:val="008665C7"/>
    <w:rsid w:val="00866DC1"/>
    <w:rsid w:val="008707A3"/>
    <w:rsid w:val="00870A36"/>
    <w:rsid w:val="008711AE"/>
    <w:rsid w:val="0087143E"/>
    <w:rsid w:val="00871A36"/>
    <w:rsid w:val="00871E97"/>
    <w:rsid w:val="00872F21"/>
    <w:rsid w:val="00873736"/>
    <w:rsid w:val="0087378E"/>
    <w:rsid w:val="008737DF"/>
    <w:rsid w:val="008755E7"/>
    <w:rsid w:val="00875A46"/>
    <w:rsid w:val="00875E16"/>
    <w:rsid w:val="00877D03"/>
    <w:rsid w:val="00877E96"/>
    <w:rsid w:val="0088023D"/>
    <w:rsid w:val="008803CE"/>
    <w:rsid w:val="00880D8F"/>
    <w:rsid w:val="00882077"/>
    <w:rsid w:val="008820D9"/>
    <w:rsid w:val="00883613"/>
    <w:rsid w:val="0088557F"/>
    <w:rsid w:val="00886393"/>
    <w:rsid w:val="00886579"/>
    <w:rsid w:val="00886F19"/>
    <w:rsid w:val="00887090"/>
    <w:rsid w:val="00887865"/>
    <w:rsid w:val="00887B37"/>
    <w:rsid w:val="00890598"/>
    <w:rsid w:val="0089065A"/>
    <w:rsid w:val="00890DEB"/>
    <w:rsid w:val="0089177A"/>
    <w:rsid w:val="00891D7A"/>
    <w:rsid w:val="00891DFC"/>
    <w:rsid w:val="00892791"/>
    <w:rsid w:val="00892B98"/>
    <w:rsid w:val="008945D2"/>
    <w:rsid w:val="008949A3"/>
    <w:rsid w:val="00894CB5"/>
    <w:rsid w:val="008959FC"/>
    <w:rsid w:val="0089605E"/>
    <w:rsid w:val="00896668"/>
    <w:rsid w:val="00896E9A"/>
    <w:rsid w:val="008A0CCC"/>
    <w:rsid w:val="008A1D0E"/>
    <w:rsid w:val="008A25EA"/>
    <w:rsid w:val="008A276E"/>
    <w:rsid w:val="008A31C7"/>
    <w:rsid w:val="008A3215"/>
    <w:rsid w:val="008A3630"/>
    <w:rsid w:val="008A3E8B"/>
    <w:rsid w:val="008A47BE"/>
    <w:rsid w:val="008A4AEC"/>
    <w:rsid w:val="008A5609"/>
    <w:rsid w:val="008A5697"/>
    <w:rsid w:val="008A6DD5"/>
    <w:rsid w:val="008A6DF0"/>
    <w:rsid w:val="008A6FA0"/>
    <w:rsid w:val="008B0385"/>
    <w:rsid w:val="008B05E6"/>
    <w:rsid w:val="008B105C"/>
    <w:rsid w:val="008B15CE"/>
    <w:rsid w:val="008B1C8F"/>
    <w:rsid w:val="008B21F8"/>
    <w:rsid w:val="008B2570"/>
    <w:rsid w:val="008B2B19"/>
    <w:rsid w:val="008B2F40"/>
    <w:rsid w:val="008B2FCD"/>
    <w:rsid w:val="008B3627"/>
    <w:rsid w:val="008B3EAD"/>
    <w:rsid w:val="008B49B6"/>
    <w:rsid w:val="008B534B"/>
    <w:rsid w:val="008B56A0"/>
    <w:rsid w:val="008B5AA1"/>
    <w:rsid w:val="008B5C51"/>
    <w:rsid w:val="008B5E61"/>
    <w:rsid w:val="008B64CE"/>
    <w:rsid w:val="008B68B4"/>
    <w:rsid w:val="008B756F"/>
    <w:rsid w:val="008B7633"/>
    <w:rsid w:val="008B7914"/>
    <w:rsid w:val="008C0D0C"/>
    <w:rsid w:val="008C127A"/>
    <w:rsid w:val="008C18BD"/>
    <w:rsid w:val="008C1932"/>
    <w:rsid w:val="008C1CC8"/>
    <w:rsid w:val="008C1ECC"/>
    <w:rsid w:val="008C2C41"/>
    <w:rsid w:val="008C2C7F"/>
    <w:rsid w:val="008C2F0D"/>
    <w:rsid w:val="008C364D"/>
    <w:rsid w:val="008C500C"/>
    <w:rsid w:val="008C5D2A"/>
    <w:rsid w:val="008C6754"/>
    <w:rsid w:val="008C6C16"/>
    <w:rsid w:val="008C6F7D"/>
    <w:rsid w:val="008C74FB"/>
    <w:rsid w:val="008C7AF4"/>
    <w:rsid w:val="008C7B0F"/>
    <w:rsid w:val="008C7DA4"/>
    <w:rsid w:val="008C7F6E"/>
    <w:rsid w:val="008C7FAE"/>
    <w:rsid w:val="008D0210"/>
    <w:rsid w:val="008D033E"/>
    <w:rsid w:val="008D0851"/>
    <w:rsid w:val="008D0AF5"/>
    <w:rsid w:val="008D0DEF"/>
    <w:rsid w:val="008D0FCD"/>
    <w:rsid w:val="008D1074"/>
    <w:rsid w:val="008D1079"/>
    <w:rsid w:val="008D2643"/>
    <w:rsid w:val="008D280F"/>
    <w:rsid w:val="008D2F60"/>
    <w:rsid w:val="008D318B"/>
    <w:rsid w:val="008D3994"/>
    <w:rsid w:val="008D3C3D"/>
    <w:rsid w:val="008D478E"/>
    <w:rsid w:val="008D4DB6"/>
    <w:rsid w:val="008D534E"/>
    <w:rsid w:val="008D619B"/>
    <w:rsid w:val="008D6E81"/>
    <w:rsid w:val="008D7739"/>
    <w:rsid w:val="008D7A64"/>
    <w:rsid w:val="008D7A92"/>
    <w:rsid w:val="008E0302"/>
    <w:rsid w:val="008E03F3"/>
    <w:rsid w:val="008E1267"/>
    <w:rsid w:val="008E19FD"/>
    <w:rsid w:val="008E22F8"/>
    <w:rsid w:val="008E25EC"/>
    <w:rsid w:val="008E39D8"/>
    <w:rsid w:val="008E5313"/>
    <w:rsid w:val="008E5D73"/>
    <w:rsid w:val="008E606F"/>
    <w:rsid w:val="008E6300"/>
    <w:rsid w:val="008E6AD9"/>
    <w:rsid w:val="008E6E25"/>
    <w:rsid w:val="008F022A"/>
    <w:rsid w:val="008F06FD"/>
    <w:rsid w:val="008F1172"/>
    <w:rsid w:val="008F27E3"/>
    <w:rsid w:val="008F3485"/>
    <w:rsid w:val="008F3AC3"/>
    <w:rsid w:val="008F42C1"/>
    <w:rsid w:val="008F51FF"/>
    <w:rsid w:val="008F52FC"/>
    <w:rsid w:val="008F5DEF"/>
    <w:rsid w:val="008F6031"/>
    <w:rsid w:val="008F61F2"/>
    <w:rsid w:val="008F636D"/>
    <w:rsid w:val="008F7C0A"/>
    <w:rsid w:val="00901140"/>
    <w:rsid w:val="00901613"/>
    <w:rsid w:val="00901DBB"/>
    <w:rsid w:val="009026CB"/>
    <w:rsid w:val="00902876"/>
    <w:rsid w:val="009030FF"/>
    <w:rsid w:val="009036E9"/>
    <w:rsid w:val="009038F6"/>
    <w:rsid w:val="00903FB2"/>
    <w:rsid w:val="00904038"/>
    <w:rsid w:val="009041AF"/>
    <w:rsid w:val="009042AA"/>
    <w:rsid w:val="009049AB"/>
    <w:rsid w:val="00904C8C"/>
    <w:rsid w:val="009050B7"/>
    <w:rsid w:val="0090510D"/>
    <w:rsid w:val="00905130"/>
    <w:rsid w:val="009053BD"/>
    <w:rsid w:val="00905728"/>
    <w:rsid w:val="009061B8"/>
    <w:rsid w:val="009064BF"/>
    <w:rsid w:val="009069B8"/>
    <w:rsid w:val="0091015D"/>
    <w:rsid w:val="009130CC"/>
    <w:rsid w:val="009133EC"/>
    <w:rsid w:val="00913AF7"/>
    <w:rsid w:val="00913B37"/>
    <w:rsid w:val="00914683"/>
    <w:rsid w:val="00914861"/>
    <w:rsid w:val="009148D8"/>
    <w:rsid w:val="00914B5F"/>
    <w:rsid w:val="00914E71"/>
    <w:rsid w:val="0091504C"/>
    <w:rsid w:val="0091573F"/>
    <w:rsid w:val="00915897"/>
    <w:rsid w:val="00915B44"/>
    <w:rsid w:val="00915CD5"/>
    <w:rsid w:val="00916093"/>
    <w:rsid w:val="009160E3"/>
    <w:rsid w:val="0091639C"/>
    <w:rsid w:val="00916A8C"/>
    <w:rsid w:val="00916E99"/>
    <w:rsid w:val="0092002E"/>
    <w:rsid w:val="0092050A"/>
    <w:rsid w:val="009209A1"/>
    <w:rsid w:val="00920EC6"/>
    <w:rsid w:val="0092101E"/>
    <w:rsid w:val="009225D6"/>
    <w:rsid w:val="0092383B"/>
    <w:rsid w:val="00923DCE"/>
    <w:rsid w:val="00924119"/>
    <w:rsid w:val="0092492A"/>
    <w:rsid w:val="00925120"/>
    <w:rsid w:val="009251B3"/>
    <w:rsid w:val="009255FA"/>
    <w:rsid w:val="009262E4"/>
    <w:rsid w:val="009266D2"/>
    <w:rsid w:val="00927361"/>
    <w:rsid w:val="00927D4E"/>
    <w:rsid w:val="00927F89"/>
    <w:rsid w:val="00930AC2"/>
    <w:rsid w:val="00930D2A"/>
    <w:rsid w:val="009312BF"/>
    <w:rsid w:val="00931680"/>
    <w:rsid w:val="00931B84"/>
    <w:rsid w:val="00931DA9"/>
    <w:rsid w:val="0093220A"/>
    <w:rsid w:val="009322B2"/>
    <w:rsid w:val="009328DA"/>
    <w:rsid w:val="00932E7E"/>
    <w:rsid w:val="00933846"/>
    <w:rsid w:val="00933A80"/>
    <w:rsid w:val="0093442D"/>
    <w:rsid w:val="00934CD2"/>
    <w:rsid w:val="00935A35"/>
    <w:rsid w:val="009375E5"/>
    <w:rsid w:val="0093785F"/>
    <w:rsid w:val="00937BC5"/>
    <w:rsid w:val="00937D30"/>
    <w:rsid w:val="00941848"/>
    <w:rsid w:val="0094337A"/>
    <w:rsid w:val="009437F2"/>
    <w:rsid w:val="009442E8"/>
    <w:rsid w:val="00944BA7"/>
    <w:rsid w:val="0094519B"/>
    <w:rsid w:val="0094636D"/>
    <w:rsid w:val="00947222"/>
    <w:rsid w:val="0094759C"/>
    <w:rsid w:val="009503FE"/>
    <w:rsid w:val="00950448"/>
    <w:rsid w:val="009507D4"/>
    <w:rsid w:val="00950ACD"/>
    <w:rsid w:val="00950E37"/>
    <w:rsid w:val="00951666"/>
    <w:rsid w:val="0095182F"/>
    <w:rsid w:val="00952524"/>
    <w:rsid w:val="0095278F"/>
    <w:rsid w:val="00953D2D"/>
    <w:rsid w:val="00953EAF"/>
    <w:rsid w:val="0095426C"/>
    <w:rsid w:val="00955EE9"/>
    <w:rsid w:val="009562AE"/>
    <w:rsid w:val="0095654A"/>
    <w:rsid w:val="00956BF5"/>
    <w:rsid w:val="00956F12"/>
    <w:rsid w:val="009570CF"/>
    <w:rsid w:val="009571C2"/>
    <w:rsid w:val="009575C3"/>
    <w:rsid w:val="0095770C"/>
    <w:rsid w:val="009579AF"/>
    <w:rsid w:val="00957CC8"/>
    <w:rsid w:val="00957EE7"/>
    <w:rsid w:val="0096086A"/>
    <w:rsid w:val="00961453"/>
    <w:rsid w:val="009616D4"/>
    <w:rsid w:val="0096182D"/>
    <w:rsid w:val="00962150"/>
    <w:rsid w:val="00962CCD"/>
    <w:rsid w:val="00964036"/>
    <w:rsid w:val="00964166"/>
    <w:rsid w:val="009645AD"/>
    <w:rsid w:val="0096475C"/>
    <w:rsid w:val="0096546E"/>
    <w:rsid w:val="0096562A"/>
    <w:rsid w:val="00965865"/>
    <w:rsid w:val="00966096"/>
    <w:rsid w:val="00966A13"/>
    <w:rsid w:val="00966BAF"/>
    <w:rsid w:val="00967473"/>
    <w:rsid w:val="00967730"/>
    <w:rsid w:val="00970D56"/>
    <w:rsid w:val="00970E50"/>
    <w:rsid w:val="00971074"/>
    <w:rsid w:val="009725B2"/>
    <w:rsid w:val="00972969"/>
    <w:rsid w:val="009747AA"/>
    <w:rsid w:val="00974B99"/>
    <w:rsid w:val="00974BCB"/>
    <w:rsid w:val="0097529C"/>
    <w:rsid w:val="00975361"/>
    <w:rsid w:val="009758CD"/>
    <w:rsid w:val="00975AEF"/>
    <w:rsid w:val="00975BF2"/>
    <w:rsid w:val="0097616C"/>
    <w:rsid w:val="009763E4"/>
    <w:rsid w:val="0097649D"/>
    <w:rsid w:val="0097654D"/>
    <w:rsid w:val="009766B7"/>
    <w:rsid w:val="00976D58"/>
    <w:rsid w:val="00977C23"/>
    <w:rsid w:val="00980A22"/>
    <w:rsid w:val="00980D85"/>
    <w:rsid w:val="00981E09"/>
    <w:rsid w:val="00983094"/>
    <w:rsid w:val="00983599"/>
    <w:rsid w:val="009843DE"/>
    <w:rsid w:val="0098544F"/>
    <w:rsid w:val="00985B04"/>
    <w:rsid w:val="0098661B"/>
    <w:rsid w:val="00986A6D"/>
    <w:rsid w:val="00986BEF"/>
    <w:rsid w:val="00987298"/>
    <w:rsid w:val="00987B34"/>
    <w:rsid w:val="00990282"/>
    <w:rsid w:val="00990769"/>
    <w:rsid w:val="00991DF8"/>
    <w:rsid w:val="00992499"/>
    <w:rsid w:val="009928A3"/>
    <w:rsid w:val="00992986"/>
    <w:rsid w:val="009936E2"/>
    <w:rsid w:val="00994B55"/>
    <w:rsid w:val="00995D86"/>
    <w:rsid w:val="00995FB2"/>
    <w:rsid w:val="00996A5A"/>
    <w:rsid w:val="0099781E"/>
    <w:rsid w:val="00997A68"/>
    <w:rsid w:val="009A0071"/>
    <w:rsid w:val="009A00EA"/>
    <w:rsid w:val="009A0403"/>
    <w:rsid w:val="009A0587"/>
    <w:rsid w:val="009A0DA2"/>
    <w:rsid w:val="009A1F6B"/>
    <w:rsid w:val="009A2616"/>
    <w:rsid w:val="009A2C4C"/>
    <w:rsid w:val="009A2DD8"/>
    <w:rsid w:val="009A30DE"/>
    <w:rsid w:val="009A3D29"/>
    <w:rsid w:val="009A509F"/>
    <w:rsid w:val="009A5453"/>
    <w:rsid w:val="009A6A7B"/>
    <w:rsid w:val="009A7532"/>
    <w:rsid w:val="009A7883"/>
    <w:rsid w:val="009B04B7"/>
    <w:rsid w:val="009B0596"/>
    <w:rsid w:val="009B1D50"/>
    <w:rsid w:val="009B237F"/>
    <w:rsid w:val="009B2760"/>
    <w:rsid w:val="009B308D"/>
    <w:rsid w:val="009B31D6"/>
    <w:rsid w:val="009B3707"/>
    <w:rsid w:val="009B38D5"/>
    <w:rsid w:val="009B3B62"/>
    <w:rsid w:val="009B3C8D"/>
    <w:rsid w:val="009B3DE3"/>
    <w:rsid w:val="009B4FFB"/>
    <w:rsid w:val="009B53C7"/>
    <w:rsid w:val="009B7489"/>
    <w:rsid w:val="009B7987"/>
    <w:rsid w:val="009B7B0A"/>
    <w:rsid w:val="009C0519"/>
    <w:rsid w:val="009C07C9"/>
    <w:rsid w:val="009C08D7"/>
    <w:rsid w:val="009C0DC5"/>
    <w:rsid w:val="009C1866"/>
    <w:rsid w:val="009C1FDE"/>
    <w:rsid w:val="009C23FE"/>
    <w:rsid w:val="009C24C8"/>
    <w:rsid w:val="009C375C"/>
    <w:rsid w:val="009C4E0D"/>
    <w:rsid w:val="009C4F1B"/>
    <w:rsid w:val="009C503B"/>
    <w:rsid w:val="009C542B"/>
    <w:rsid w:val="009C5793"/>
    <w:rsid w:val="009C5816"/>
    <w:rsid w:val="009C61EA"/>
    <w:rsid w:val="009C63EC"/>
    <w:rsid w:val="009C7DAC"/>
    <w:rsid w:val="009C7F93"/>
    <w:rsid w:val="009D077D"/>
    <w:rsid w:val="009D08A6"/>
    <w:rsid w:val="009D0EC0"/>
    <w:rsid w:val="009D1915"/>
    <w:rsid w:val="009D1B69"/>
    <w:rsid w:val="009D1EB3"/>
    <w:rsid w:val="009D25DE"/>
    <w:rsid w:val="009D2ABF"/>
    <w:rsid w:val="009D3AD2"/>
    <w:rsid w:val="009D3E06"/>
    <w:rsid w:val="009D5843"/>
    <w:rsid w:val="009D638D"/>
    <w:rsid w:val="009D6393"/>
    <w:rsid w:val="009D6B6C"/>
    <w:rsid w:val="009E0885"/>
    <w:rsid w:val="009E1CC8"/>
    <w:rsid w:val="009E2827"/>
    <w:rsid w:val="009E2863"/>
    <w:rsid w:val="009E30D2"/>
    <w:rsid w:val="009E4885"/>
    <w:rsid w:val="009E508B"/>
    <w:rsid w:val="009E5EDF"/>
    <w:rsid w:val="009E5FBE"/>
    <w:rsid w:val="009E6068"/>
    <w:rsid w:val="009E6A00"/>
    <w:rsid w:val="009F0086"/>
    <w:rsid w:val="009F03AB"/>
    <w:rsid w:val="009F0619"/>
    <w:rsid w:val="009F068A"/>
    <w:rsid w:val="009F08C5"/>
    <w:rsid w:val="009F0A85"/>
    <w:rsid w:val="009F1260"/>
    <w:rsid w:val="009F15CA"/>
    <w:rsid w:val="009F1B71"/>
    <w:rsid w:val="009F220A"/>
    <w:rsid w:val="009F36D6"/>
    <w:rsid w:val="009F6575"/>
    <w:rsid w:val="009F7ADC"/>
    <w:rsid w:val="00A0002A"/>
    <w:rsid w:val="00A01F3A"/>
    <w:rsid w:val="00A0236D"/>
    <w:rsid w:val="00A02985"/>
    <w:rsid w:val="00A02B2B"/>
    <w:rsid w:val="00A02FA8"/>
    <w:rsid w:val="00A03F1A"/>
    <w:rsid w:val="00A03F74"/>
    <w:rsid w:val="00A03F88"/>
    <w:rsid w:val="00A046BF"/>
    <w:rsid w:val="00A04709"/>
    <w:rsid w:val="00A05A37"/>
    <w:rsid w:val="00A05B25"/>
    <w:rsid w:val="00A05C04"/>
    <w:rsid w:val="00A05EC0"/>
    <w:rsid w:val="00A06254"/>
    <w:rsid w:val="00A06842"/>
    <w:rsid w:val="00A07459"/>
    <w:rsid w:val="00A07D78"/>
    <w:rsid w:val="00A07DB6"/>
    <w:rsid w:val="00A10573"/>
    <w:rsid w:val="00A10972"/>
    <w:rsid w:val="00A11406"/>
    <w:rsid w:val="00A13205"/>
    <w:rsid w:val="00A132A1"/>
    <w:rsid w:val="00A13422"/>
    <w:rsid w:val="00A148F0"/>
    <w:rsid w:val="00A15132"/>
    <w:rsid w:val="00A15331"/>
    <w:rsid w:val="00A1554D"/>
    <w:rsid w:val="00A15792"/>
    <w:rsid w:val="00A158E3"/>
    <w:rsid w:val="00A1591A"/>
    <w:rsid w:val="00A172E0"/>
    <w:rsid w:val="00A17527"/>
    <w:rsid w:val="00A211C5"/>
    <w:rsid w:val="00A221A3"/>
    <w:rsid w:val="00A223D5"/>
    <w:rsid w:val="00A235E4"/>
    <w:rsid w:val="00A23F41"/>
    <w:rsid w:val="00A254D5"/>
    <w:rsid w:val="00A25547"/>
    <w:rsid w:val="00A25F76"/>
    <w:rsid w:val="00A3003E"/>
    <w:rsid w:val="00A31E14"/>
    <w:rsid w:val="00A331DC"/>
    <w:rsid w:val="00A3325E"/>
    <w:rsid w:val="00A34276"/>
    <w:rsid w:val="00A34524"/>
    <w:rsid w:val="00A345B6"/>
    <w:rsid w:val="00A3502D"/>
    <w:rsid w:val="00A354D1"/>
    <w:rsid w:val="00A357A4"/>
    <w:rsid w:val="00A35AF5"/>
    <w:rsid w:val="00A35CDF"/>
    <w:rsid w:val="00A36453"/>
    <w:rsid w:val="00A37970"/>
    <w:rsid w:val="00A37A68"/>
    <w:rsid w:val="00A37B0C"/>
    <w:rsid w:val="00A37CE6"/>
    <w:rsid w:val="00A37D1C"/>
    <w:rsid w:val="00A37FFE"/>
    <w:rsid w:val="00A404BE"/>
    <w:rsid w:val="00A40C08"/>
    <w:rsid w:val="00A40ECF"/>
    <w:rsid w:val="00A411C9"/>
    <w:rsid w:val="00A41B47"/>
    <w:rsid w:val="00A41FEF"/>
    <w:rsid w:val="00A42476"/>
    <w:rsid w:val="00A433CA"/>
    <w:rsid w:val="00A43A1A"/>
    <w:rsid w:val="00A43D48"/>
    <w:rsid w:val="00A43F3C"/>
    <w:rsid w:val="00A447A5"/>
    <w:rsid w:val="00A44D18"/>
    <w:rsid w:val="00A45B83"/>
    <w:rsid w:val="00A4646E"/>
    <w:rsid w:val="00A468FD"/>
    <w:rsid w:val="00A46921"/>
    <w:rsid w:val="00A47249"/>
    <w:rsid w:val="00A47E3B"/>
    <w:rsid w:val="00A501C7"/>
    <w:rsid w:val="00A5058A"/>
    <w:rsid w:val="00A50905"/>
    <w:rsid w:val="00A513FD"/>
    <w:rsid w:val="00A517D0"/>
    <w:rsid w:val="00A5254B"/>
    <w:rsid w:val="00A52BC1"/>
    <w:rsid w:val="00A52D47"/>
    <w:rsid w:val="00A5347F"/>
    <w:rsid w:val="00A534A0"/>
    <w:rsid w:val="00A537EA"/>
    <w:rsid w:val="00A539AD"/>
    <w:rsid w:val="00A53E3E"/>
    <w:rsid w:val="00A540B2"/>
    <w:rsid w:val="00A5414D"/>
    <w:rsid w:val="00A54A3E"/>
    <w:rsid w:val="00A556B7"/>
    <w:rsid w:val="00A564A6"/>
    <w:rsid w:val="00A567AE"/>
    <w:rsid w:val="00A56819"/>
    <w:rsid w:val="00A568AC"/>
    <w:rsid w:val="00A57B07"/>
    <w:rsid w:val="00A6025F"/>
    <w:rsid w:val="00A60E9C"/>
    <w:rsid w:val="00A61196"/>
    <w:rsid w:val="00A6131E"/>
    <w:rsid w:val="00A616AF"/>
    <w:rsid w:val="00A61879"/>
    <w:rsid w:val="00A628B4"/>
    <w:rsid w:val="00A62E6A"/>
    <w:rsid w:val="00A63E4E"/>
    <w:rsid w:val="00A6444F"/>
    <w:rsid w:val="00A652FF"/>
    <w:rsid w:val="00A6598D"/>
    <w:rsid w:val="00A65A0D"/>
    <w:rsid w:val="00A65C27"/>
    <w:rsid w:val="00A65F3C"/>
    <w:rsid w:val="00A661FD"/>
    <w:rsid w:val="00A66FB3"/>
    <w:rsid w:val="00A67DF5"/>
    <w:rsid w:val="00A709A3"/>
    <w:rsid w:val="00A71216"/>
    <w:rsid w:val="00A714A3"/>
    <w:rsid w:val="00A71B8B"/>
    <w:rsid w:val="00A74456"/>
    <w:rsid w:val="00A75089"/>
    <w:rsid w:val="00A75832"/>
    <w:rsid w:val="00A75EDC"/>
    <w:rsid w:val="00A80404"/>
    <w:rsid w:val="00A80548"/>
    <w:rsid w:val="00A8085F"/>
    <w:rsid w:val="00A80A3D"/>
    <w:rsid w:val="00A817A8"/>
    <w:rsid w:val="00A81E50"/>
    <w:rsid w:val="00A81F1C"/>
    <w:rsid w:val="00A82241"/>
    <w:rsid w:val="00A82602"/>
    <w:rsid w:val="00A82DA0"/>
    <w:rsid w:val="00A83E49"/>
    <w:rsid w:val="00A8401C"/>
    <w:rsid w:val="00A8415A"/>
    <w:rsid w:val="00A841A6"/>
    <w:rsid w:val="00A84221"/>
    <w:rsid w:val="00A843CA"/>
    <w:rsid w:val="00A84B7A"/>
    <w:rsid w:val="00A85063"/>
    <w:rsid w:val="00A85367"/>
    <w:rsid w:val="00A86359"/>
    <w:rsid w:val="00A865DC"/>
    <w:rsid w:val="00A86FBC"/>
    <w:rsid w:val="00A879C5"/>
    <w:rsid w:val="00A87FA2"/>
    <w:rsid w:val="00A902AD"/>
    <w:rsid w:val="00A90302"/>
    <w:rsid w:val="00A9099E"/>
    <w:rsid w:val="00A91FB7"/>
    <w:rsid w:val="00A921CE"/>
    <w:rsid w:val="00A92967"/>
    <w:rsid w:val="00A9298F"/>
    <w:rsid w:val="00A9301E"/>
    <w:rsid w:val="00A93E3A"/>
    <w:rsid w:val="00A95186"/>
    <w:rsid w:val="00A951AD"/>
    <w:rsid w:val="00A952F8"/>
    <w:rsid w:val="00A9561B"/>
    <w:rsid w:val="00A961BD"/>
    <w:rsid w:val="00A9652F"/>
    <w:rsid w:val="00A973B1"/>
    <w:rsid w:val="00AA027E"/>
    <w:rsid w:val="00AA1224"/>
    <w:rsid w:val="00AA14F2"/>
    <w:rsid w:val="00AA180B"/>
    <w:rsid w:val="00AA1D43"/>
    <w:rsid w:val="00AA2358"/>
    <w:rsid w:val="00AA2469"/>
    <w:rsid w:val="00AA2CD7"/>
    <w:rsid w:val="00AA2FA4"/>
    <w:rsid w:val="00AA3301"/>
    <w:rsid w:val="00AA3360"/>
    <w:rsid w:val="00AA386B"/>
    <w:rsid w:val="00AA4C2E"/>
    <w:rsid w:val="00AA5B16"/>
    <w:rsid w:val="00AA6384"/>
    <w:rsid w:val="00AA6B93"/>
    <w:rsid w:val="00AA7A06"/>
    <w:rsid w:val="00AA7A7F"/>
    <w:rsid w:val="00AA7F56"/>
    <w:rsid w:val="00AB1984"/>
    <w:rsid w:val="00AB1CBB"/>
    <w:rsid w:val="00AB215B"/>
    <w:rsid w:val="00AB266D"/>
    <w:rsid w:val="00AB2E7D"/>
    <w:rsid w:val="00AB3146"/>
    <w:rsid w:val="00AB333E"/>
    <w:rsid w:val="00AB37DB"/>
    <w:rsid w:val="00AB3ECC"/>
    <w:rsid w:val="00AB54B5"/>
    <w:rsid w:val="00AB573A"/>
    <w:rsid w:val="00AB5A73"/>
    <w:rsid w:val="00AB5F48"/>
    <w:rsid w:val="00AB7156"/>
    <w:rsid w:val="00AB716D"/>
    <w:rsid w:val="00AB72BB"/>
    <w:rsid w:val="00AB7472"/>
    <w:rsid w:val="00AB7BF3"/>
    <w:rsid w:val="00AC09D5"/>
    <w:rsid w:val="00AC0D8E"/>
    <w:rsid w:val="00AC175B"/>
    <w:rsid w:val="00AC1AA3"/>
    <w:rsid w:val="00AC1F8E"/>
    <w:rsid w:val="00AC22C1"/>
    <w:rsid w:val="00AC374B"/>
    <w:rsid w:val="00AC3798"/>
    <w:rsid w:val="00AC3ED5"/>
    <w:rsid w:val="00AC4CB3"/>
    <w:rsid w:val="00AC4D7C"/>
    <w:rsid w:val="00AC53B0"/>
    <w:rsid w:val="00AC6655"/>
    <w:rsid w:val="00AC6EF2"/>
    <w:rsid w:val="00AC71A6"/>
    <w:rsid w:val="00AC742F"/>
    <w:rsid w:val="00AC7664"/>
    <w:rsid w:val="00AC774F"/>
    <w:rsid w:val="00AC780D"/>
    <w:rsid w:val="00AC787B"/>
    <w:rsid w:val="00AC78A0"/>
    <w:rsid w:val="00AC7956"/>
    <w:rsid w:val="00AC7E18"/>
    <w:rsid w:val="00AD1B79"/>
    <w:rsid w:val="00AD3208"/>
    <w:rsid w:val="00AD3C00"/>
    <w:rsid w:val="00AD4A3C"/>
    <w:rsid w:val="00AD4F6A"/>
    <w:rsid w:val="00AD50F8"/>
    <w:rsid w:val="00AD719F"/>
    <w:rsid w:val="00AD7447"/>
    <w:rsid w:val="00AD752A"/>
    <w:rsid w:val="00AD7D36"/>
    <w:rsid w:val="00AE0A0E"/>
    <w:rsid w:val="00AE0DED"/>
    <w:rsid w:val="00AE1D05"/>
    <w:rsid w:val="00AE2780"/>
    <w:rsid w:val="00AE284A"/>
    <w:rsid w:val="00AE307E"/>
    <w:rsid w:val="00AE3450"/>
    <w:rsid w:val="00AE392E"/>
    <w:rsid w:val="00AE3E11"/>
    <w:rsid w:val="00AE40B3"/>
    <w:rsid w:val="00AE4BAB"/>
    <w:rsid w:val="00AE4BDC"/>
    <w:rsid w:val="00AE4CFD"/>
    <w:rsid w:val="00AE4EA6"/>
    <w:rsid w:val="00AE51FF"/>
    <w:rsid w:val="00AE55AD"/>
    <w:rsid w:val="00AE5D8F"/>
    <w:rsid w:val="00AE67D5"/>
    <w:rsid w:val="00AE67FA"/>
    <w:rsid w:val="00AE78ED"/>
    <w:rsid w:val="00AE7AC2"/>
    <w:rsid w:val="00AE7EC9"/>
    <w:rsid w:val="00AF0117"/>
    <w:rsid w:val="00AF1117"/>
    <w:rsid w:val="00AF1555"/>
    <w:rsid w:val="00AF174E"/>
    <w:rsid w:val="00AF18BA"/>
    <w:rsid w:val="00AF1CA5"/>
    <w:rsid w:val="00AF228C"/>
    <w:rsid w:val="00AF2DB9"/>
    <w:rsid w:val="00AF3928"/>
    <w:rsid w:val="00AF3B55"/>
    <w:rsid w:val="00AF3D62"/>
    <w:rsid w:val="00AF4146"/>
    <w:rsid w:val="00AF56FE"/>
    <w:rsid w:val="00AF5C45"/>
    <w:rsid w:val="00AF62A7"/>
    <w:rsid w:val="00AF6AC5"/>
    <w:rsid w:val="00AF7809"/>
    <w:rsid w:val="00AF7CA7"/>
    <w:rsid w:val="00AF7F7B"/>
    <w:rsid w:val="00B00BDE"/>
    <w:rsid w:val="00B0104B"/>
    <w:rsid w:val="00B021E0"/>
    <w:rsid w:val="00B03A30"/>
    <w:rsid w:val="00B03A35"/>
    <w:rsid w:val="00B0430C"/>
    <w:rsid w:val="00B04F99"/>
    <w:rsid w:val="00B057B6"/>
    <w:rsid w:val="00B05A7C"/>
    <w:rsid w:val="00B06361"/>
    <w:rsid w:val="00B0651D"/>
    <w:rsid w:val="00B06955"/>
    <w:rsid w:val="00B0758A"/>
    <w:rsid w:val="00B07BEA"/>
    <w:rsid w:val="00B07F41"/>
    <w:rsid w:val="00B102F9"/>
    <w:rsid w:val="00B11C80"/>
    <w:rsid w:val="00B11F33"/>
    <w:rsid w:val="00B12152"/>
    <w:rsid w:val="00B12DCA"/>
    <w:rsid w:val="00B13ECB"/>
    <w:rsid w:val="00B1524F"/>
    <w:rsid w:val="00B15A54"/>
    <w:rsid w:val="00B15ECF"/>
    <w:rsid w:val="00B169CD"/>
    <w:rsid w:val="00B16C0A"/>
    <w:rsid w:val="00B1785C"/>
    <w:rsid w:val="00B17F60"/>
    <w:rsid w:val="00B2039A"/>
    <w:rsid w:val="00B20AC8"/>
    <w:rsid w:val="00B21063"/>
    <w:rsid w:val="00B215D5"/>
    <w:rsid w:val="00B21D55"/>
    <w:rsid w:val="00B225CB"/>
    <w:rsid w:val="00B22870"/>
    <w:rsid w:val="00B22A22"/>
    <w:rsid w:val="00B22AA6"/>
    <w:rsid w:val="00B23D1A"/>
    <w:rsid w:val="00B23F4C"/>
    <w:rsid w:val="00B24233"/>
    <w:rsid w:val="00B246DD"/>
    <w:rsid w:val="00B248D8"/>
    <w:rsid w:val="00B24BA7"/>
    <w:rsid w:val="00B25A6F"/>
    <w:rsid w:val="00B25CD9"/>
    <w:rsid w:val="00B268D0"/>
    <w:rsid w:val="00B269D3"/>
    <w:rsid w:val="00B27886"/>
    <w:rsid w:val="00B27F44"/>
    <w:rsid w:val="00B301ED"/>
    <w:rsid w:val="00B30448"/>
    <w:rsid w:val="00B3048B"/>
    <w:rsid w:val="00B30C49"/>
    <w:rsid w:val="00B30D75"/>
    <w:rsid w:val="00B30DAD"/>
    <w:rsid w:val="00B31315"/>
    <w:rsid w:val="00B3260E"/>
    <w:rsid w:val="00B32C4B"/>
    <w:rsid w:val="00B3407E"/>
    <w:rsid w:val="00B34C84"/>
    <w:rsid w:val="00B34D6A"/>
    <w:rsid w:val="00B35021"/>
    <w:rsid w:val="00B35749"/>
    <w:rsid w:val="00B35EF5"/>
    <w:rsid w:val="00B3677F"/>
    <w:rsid w:val="00B36872"/>
    <w:rsid w:val="00B3704D"/>
    <w:rsid w:val="00B37071"/>
    <w:rsid w:val="00B40162"/>
    <w:rsid w:val="00B401B6"/>
    <w:rsid w:val="00B4054D"/>
    <w:rsid w:val="00B405CD"/>
    <w:rsid w:val="00B40903"/>
    <w:rsid w:val="00B40FDB"/>
    <w:rsid w:val="00B41C6D"/>
    <w:rsid w:val="00B420B2"/>
    <w:rsid w:val="00B42800"/>
    <w:rsid w:val="00B42832"/>
    <w:rsid w:val="00B42863"/>
    <w:rsid w:val="00B430F6"/>
    <w:rsid w:val="00B43511"/>
    <w:rsid w:val="00B43CE6"/>
    <w:rsid w:val="00B4468B"/>
    <w:rsid w:val="00B45528"/>
    <w:rsid w:val="00B468B0"/>
    <w:rsid w:val="00B46B6E"/>
    <w:rsid w:val="00B478FA"/>
    <w:rsid w:val="00B50156"/>
    <w:rsid w:val="00B501E8"/>
    <w:rsid w:val="00B502A3"/>
    <w:rsid w:val="00B506D4"/>
    <w:rsid w:val="00B507AA"/>
    <w:rsid w:val="00B50953"/>
    <w:rsid w:val="00B509AE"/>
    <w:rsid w:val="00B50E13"/>
    <w:rsid w:val="00B51581"/>
    <w:rsid w:val="00B518AD"/>
    <w:rsid w:val="00B51BB6"/>
    <w:rsid w:val="00B52056"/>
    <w:rsid w:val="00B52B0E"/>
    <w:rsid w:val="00B52D81"/>
    <w:rsid w:val="00B5355B"/>
    <w:rsid w:val="00B5402E"/>
    <w:rsid w:val="00B540E8"/>
    <w:rsid w:val="00B54681"/>
    <w:rsid w:val="00B55852"/>
    <w:rsid w:val="00B560A9"/>
    <w:rsid w:val="00B56866"/>
    <w:rsid w:val="00B56CC4"/>
    <w:rsid w:val="00B604BB"/>
    <w:rsid w:val="00B6062A"/>
    <w:rsid w:val="00B60A96"/>
    <w:rsid w:val="00B60DD7"/>
    <w:rsid w:val="00B60EB6"/>
    <w:rsid w:val="00B60EE5"/>
    <w:rsid w:val="00B616A5"/>
    <w:rsid w:val="00B628BE"/>
    <w:rsid w:val="00B62B67"/>
    <w:rsid w:val="00B637FB"/>
    <w:rsid w:val="00B6386F"/>
    <w:rsid w:val="00B65295"/>
    <w:rsid w:val="00B65D9B"/>
    <w:rsid w:val="00B66E51"/>
    <w:rsid w:val="00B66E68"/>
    <w:rsid w:val="00B672CB"/>
    <w:rsid w:val="00B67346"/>
    <w:rsid w:val="00B6793A"/>
    <w:rsid w:val="00B67AC3"/>
    <w:rsid w:val="00B70880"/>
    <w:rsid w:val="00B71422"/>
    <w:rsid w:val="00B71486"/>
    <w:rsid w:val="00B71607"/>
    <w:rsid w:val="00B71EF7"/>
    <w:rsid w:val="00B720BE"/>
    <w:rsid w:val="00B72361"/>
    <w:rsid w:val="00B74AB0"/>
    <w:rsid w:val="00B75345"/>
    <w:rsid w:val="00B7584B"/>
    <w:rsid w:val="00B76327"/>
    <w:rsid w:val="00B76400"/>
    <w:rsid w:val="00B76C94"/>
    <w:rsid w:val="00B76D4E"/>
    <w:rsid w:val="00B76D6E"/>
    <w:rsid w:val="00B771A8"/>
    <w:rsid w:val="00B771AA"/>
    <w:rsid w:val="00B772D0"/>
    <w:rsid w:val="00B80A99"/>
    <w:rsid w:val="00B80F4E"/>
    <w:rsid w:val="00B814CF"/>
    <w:rsid w:val="00B81A33"/>
    <w:rsid w:val="00B8256C"/>
    <w:rsid w:val="00B82B2D"/>
    <w:rsid w:val="00B83117"/>
    <w:rsid w:val="00B8319C"/>
    <w:rsid w:val="00B90351"/>
    <w:rsid w:val="00B90532"/>
    <w:rsid w:val="00B906F2"/>
    <w:rsid w:val="00B90D9B"/>
    <w:rsid w:val="00B91259"/>
    <w:rsid w:val="00B91AD5"/>
    <w:rsid w:val="00B91B81"/>
    <w:rsid w:val="00B91FF0"/>
    <w:rsid w:val="00B92164"/>
    <w:rsid w:val="00B926A8"/>
    <w:rsid w:val="00B92FFF"/>
    <w:rsid w:val="00B93538"/>
    <w:rsid w:val="00B936F8"/>
    <w:rsid w:val="00B9492E"/>
    <w:rsid w:val="00B94EEC"/>
    <w:rsid w:val="00B960DB"/>
    <w:rsid w:val="00B96799"/>
    <w:rsid w:val="00B96DE5"/>
    <w:rsid w:val="00B97A76"/>
    <w:rsid w:val="00BA0166"/>
    <w:rsid w:val="00BA0584"/>
    <w:rsid w:val="00BA0755"/>
    <w:rsid w:val="00BA1E9D"/>
    <w:rsid w:val="00BA249D"/>
    <w:rsid w:val="00BA38D5"/>
    <w:rsid w:val="00BA3C66"/>
    <w:rsid w:val="00BA4D00"/>
    <w:rsid w:val="00BA4F9B"/>
    <w:rsid w:val="00BA51C0"/>
    <w:rsid w:val="00BA5665"/>
    <w:rsid w:val="00BA6825"/>
    <w:rsid w:val="00BA72D9"/>
    <w:rsid w:val="00BA74E8"/>
    <w:rsid w:val="00BB02DB"/>
    <w:rsid w:val="00BB0AB5"/>
    <w:rsid w:val="00BB195B"/>
    <w:rsid w:val="00BB1BBA"/>
    <w:rsid w:val="00BB1DB7"/>
    <w:rsid w:val="00BB204A"/>
    <w:rsid w:val="00BB2BD1"/>
    <w:rsid w:val="00BB31DF"/>
    <w:rsid w:val="00BB33E9"/>
    <w:rsid w:val="00BB34B7"/>
    <w:rsid w:val="00BB37AF"/>
    <w:rsid w:val="00BB3BE4"/>
    <w:rsid w:val="00BB44DB"/>
    <w:rsid w:val="00BB57D3"/>
    <w:rsid w:val="00BB58EE"/>
    <w:rsid w:val="00BB64EC"/>
    <w:rsid w:val="00BB7589"/>
    <w:rsid w:val="00BB7668"/>
    <w:rsid w:val="00BB767D"/>
    <w:rsid w:val="00BB7D3C"/>
    <w:rsid w:val="00BB7E42"/>
    <w:rsid w:val="00BC077E"/>
    <w:rsid w:val="00BC0DE5"/>
    <w:rsid w:val="00BC0E57"/>
    <w:rsid w:val="00BC1F5F"/>
    <w:rsid w:val="00BC21BE"/>
    <w:rsid w:val="00BC2465"/>
    <w:rsid w:val="00BC2A8A"/>
    <w:rsid w:val="00BC3E36"/>
    <w:rsid w:val="00BC4B2D"/>
    <w:rsid w:val="00BC4CE8"/>
    <w:rsid w:val="00BC4D54"/>
    <w:rsid w:val="00BC6E2F"/>
    <w:rsid w:val="00BC728A"/>
    <w:rsid w:val="00BC7632"/>
    <w:rsid w:val="00BC77A4"/>
    <w:rsid w:val="00BC7C9E"/>
    <w:rsid w:val="00BD1E79"/>
    <w:rsid w:val="00BD23A5"/>
    <w:rsid w:val="00BD2937"/>
    <w:rsid w:val="00BD2AFC"/>
    <w:rsid w:val="00BD2CD4"/>
    <w:rsid w:val="00BD3143"/>
    <w:rsid w:val="00BD330C"/>
    <w:rsid w:val="00BD359B"/>
    <w:rsid w:val="00BD3663"/>
    <w:rsid w:val="00BD367F"/>
    <w:rsid w:val="00BD46DF"/>
    <w:rsid w:val="00BD4871"/>
    <w:rsid w:val="00BD48A9"/>
    <w:rsid w:val="00BD4B47"/>
    <w:rsid w:val="00BD5712"/>
    <w:rsid w:val="00BD581A"/>
    <w:rsid w:val="00BD5C02"/>
    <w:rsid w:val="00BD658C"/>
    <w:rsid w:val="00BD678A"/>
    <w:rsid w:val="00BD6819"/>
    <w:rsid w:val="00BD7EC6"/>
    <w:rsid w:val="00BE063A"/>
    <w:rsid w:val="00BE0FF2"/>
    <w:rsid w:val="00BE1345"/>
    <w:rsid w:val="00BE18BC"/>
    <w:rsid w:val="00BE2147"/>
    <w:rsid w:val="00BE239E"/>
    <w:rsid w:val="00BE3B83"/>
    <w:rsid w:val="00BE3C67"/>
    <w:rsid w:val="00BE3CF7"/>
    <w:rsid w:val="00BE42FC"/>
    <w:rsid w:val="00BE6085"/>
    <w:rsid w:val="00BE66FC"/>
    <w:rsid w:val="00BE73FA"/>
    <w:rsid w:val="00BF00D1"/>
    <w:rsid w:val="00BF0353"/>
    <w:rsid w:val="00BF090A"/>
    <w:rsid w:val="00BF0918"/>
    <w:rsid w:val="00BF2001"/>
    <w:rsid w:val="00BF208E"/>
    <w:rsid w:val="00BF2575"/>
    <w:rsid w:val="00BF31A0"/>
    <w:rsid w:val="00BF323A"/>
    <w:rsid w:val="00BF36C0"/>
    <w:rsid w:val="00BF3CC3"/>
    <w:rsid w:val="00BF3F0A"/>
    <w:rsid w:val="00BF4331"/>
    <w:rsid w:val="00BF4C22"/>
    <w:rsid w:val="00BF4E35"/>
    <w:rsid w:val="00BF5098"/>
    <w:rsid w:val="00BF5FB3"/>
    <w:rsid w:val="00BF6F82"/>
    <w:rsid w:val="00BF7B9B"/>
    <w:rsid w:val="00C0083F"/>
    <w:rsid w:val="00C00976"/>
    <w:rsid w:val="00C020CD"/>
    <w:rsid w:val="00C02DDE"/>
    <w:rsid w:val="00C0362D"/>
    <w:rsid w:val="00C0367B"/>
    <w:rsid w:val="00C04E51"/>
    <w:rsid w:val="00C05074"/>
    <w:rsid w:val="00C05AF9"/>
    <w:rsid w:val="00C0606E"/>
    <w:rsid w:val="00C060A3"/>
    <w:rsid w:val="00C060B0"/>
    <w:rsid w:val="00C06D2C"/>
    <w:rsid w:val="00C072F0"/>
    <w:rsid w:val="00C07344"/>
    <w:rsid w:val="00C079A3"/>
    <w:rsid w:val="00C07C1F"/>
    <w:rsid w:val="00C07C79"/>
    <w:rsid w:val="00C11A79"/>
    <w:rsid w:val="00C1211E"/>
    <w:rsid w:val="00C13607"/>
    <w:rsid w:val="00C137B1"/>
    <w:rsid w:val="00C13811"/>
    <w:rsid w:val="00C13B43"/>
    <w:rsid w:val="00C14152"/>
    <w:rsid w:val="00C15E81"/>
    <w:rsid w:val="00C174C9"/>
    <w:rsid w:val="00C17A25"/>
    <w:rsid w:val="00C17B6E"/>
    <w:rsid w:val="00C200BA"/>
    <w:rsid w:val="00C20748"/>
    <w:rsid w:val="00C20754"/>
    <w:rsid w:val="00C21378"/>
    <w:rsid w:val="00C220A5"/>
    <w:rsid w:val="00C22307"/>
    <w:rsid w:val="00C22BB2"/>
    <w:rsid w:val="00C22EAF"/>
    <w:rsid w:val="00C23150"/>
    <w:rsid w:val="00C23F7D"/>
    <w:rsid w:val="00C24580"/>
    <w:rsid w:val="00C24908"/>
    <w:rsid w:val="00C250E8"/>
    <w:rsid w:val="00C25150"/>
    <w:rsid w:val="00C2515F"/>
    <w:rsid w:val="00C25B30"/>
    <w:rsid w:val="00C25DCF"/>
    <w:rsid w:val="00C26AEA"/>
    <w:rsid w:val="00C276EC"/>
    <w:rsid w:val="00C27C0A"/>
    <w:rsid w:val="00C305D9"/>
    <w:rsid w:val="00C31197"/>
    <w:rsid w:val="00C31AD4"/>
    <w:rsid w:val="00C31C63"/>
    <w:rsid w:val="00C31C8C"/>
    <w:rsid w:val="00C31CD9"/>
    <w:rsid w:val="00C32481"/>
    <w:rsid w:val="00C3394C"/>
    <w:rsid w:val="00C34278"/>
    <w:rsid w:val="00C34581"/>
    <w:rsid w:val="00C34A4C"/>
    <w:rsid w:val="00C34AD7"/>
    <w:rsid w:val="00C3516D"/>
    <w:rsid w:val="00C351E4"/>
    <w:rsid w:val="00C353D8"/>
    <w:rsid w:val="00C35B43"/>
    <w:rsid w:val="00C361A6"/>
    <w:rsid w:val="00C365C5"/>
    <w:rsid w:val="00C3670F"/>
    <w:rsid w:val="00C36E1A"/>
    <w:rsid w:val="00C36E26"/>
    <w:rsid w:val="00C371DF"/>
    <w:rsid w:val="00C37818"/>
    <w:rsid w:val="00C37EFC"/>
    <w:rsid w:val="00C37FF9"/>
    <w:rsid w:val="00C40126"/>
    <w:rsid w:val="00C41099"/>
    <w:rsid w:val="00C41425"/>
    <w:rsid w:val="00C41B4A"/>
    <w:rsid w:val="00C4213A"/>
    <w:rsid w:val="00C42C11"/>
    <w:rsid w:val="00C43344"/>
    <w:rsid w:val="00C43ADB"/>
    <w:rsid w:val="00C44949"/>
    <w:rsid w:val="00C44B4C"/>
    <w:rsid w:val="00C450E3"/>
    <w:rsid w:val="00C456CC"/>
    <w:rsid w:val="00C45830"/>
    <w:rsid w:val="00C45C56"/>
    <w:rsid w:val="00C45CCD"/>
    <w:rsid w:val="00C46734"/>
    <w:rsid w:val="00C50112"/>
    <w:rsid w:val="00C5105D"/>
    <w:rsid w:val="00C511F0"/>
    <w:rsid w:val="00C513C7"/>
    <w:rsid w:val="00C51639"/>
    <w:rsid w:val="00C51871"/>
    <w:rsid w:val="00C53220"/>
    <w:rsid w:val="00C533A0"/>
    <w:rsid w:val="00C537E7"/>
    <w:rsid w:val="00C53AFE"/>
    <w:rsid w:val="00C53E9D"/>
    <w:rsid w:val="00C5426B"/>
    <w:rsid w:val="00C54C18"/>
    <w:rsid w:val="00C573DA"/>
    <w:rsid w:val="00C5772E"/>
    <w:rsid w:val="00C5781B"/>
    <w:rsid w:val="00C609E1"/>
    <w:rsid w:val="00C61117"/>
    <w:rsid w:val="00C616B4"/>
    <w:rsid w:val="00C621A7"/>
    <w:rsid w:val="00C62AA0"/>
    <w:rsid w:val="00C62AEC"/>
    <w:rsid w:val="00C62BF2"/>
    <w:rsid w:val="00C62D1B"/>
    <w:rsid w:val="00C62D43"/>
    <w:rsid w:val="00C638A6"/>
    <w:rsid w:val="00C63FB9"/>
    <w:rsid w:val="00C64266"/>
    <w:rsid w:val="00C647DF"/>
    <w:rsid w:val="00C64F8E"/>
    <w:rsid w:val="00C66306"/>
    <w:rsid w:val="00C66CE8"/>
    <w:rsid w:val="00C70074"/>
    <w:rsid w:val="00C70D51"/>
    <w:rsid w:val="00C70DF4"/>
    <w:rsid w:val="00C71252"/>
    <w:rsid w:val="00C7277F"/>
    <w:rsid w:val="00C73C07"/>
    <w:rsid w:val="00C74930"/>
    <w:rsid w:val="00C74B47"/>
    <w:rsid w:val="00C74D80"/>
    <w:rsid w:val="00C754BD"/>
    <w:rsid w:val="00C75D3A"/>
    <w:rsid w:val="00C769A9"/>
    <w:rsid w:val="00C774C9"/>
    <w:rsid w:val="00C77F1B"/>
    <w:rsid w:val="00C80987"/>
    <w:rsid w:val="00C80A3F"/>
    <w:rsid w:val="00C8180E"/>
    <w:rsid w:val="00C818A9"/>
    <w:rsid w:val="00C82436"/>
    <w:rsid w:val="00C82933"/>
    <w:rsid w:val="00C82BE2"/>
    <w:rsid w:val="00C84BBF"/>
    <w:rsid w:val="00C84BE9"/>
    <w:rsid w:val="00C85DEF"/>
    <w:rsid w:val="00C85E40"/>
    <w:rsid w:val="00C86D76"/>
    <w:rsid w:val="00C87A64"/>
    <w:rsid w:val="00C910F8"/>
    <w:rsid w:val="00C91106"/>
    <w:rsid w:val="00C9117B"/>
    <w:rsid w:val="00C91D19"/>
    <w:rsid w:val="00C93B58"/>
    <w:rsid w:val="00C93C2F"/>
    <w:rsid w:val="00C9437C"/>
    <w:rsid w:val="00C946E4"/>
    <w:rsid w:val="00C946FF"/>
    <w:rsid w:val="00C94A14"/>
    <w:rsid w:val="00C94CDA"/>
    <w:rsid w:val="00C95BED"/>
    <w:rsid w:val="00C95EB3"/>
    <w:rsid w:val="00C96725"/>
    <w:rsid w:val="00C97A66"/>
    <w:rsid w:val="00CA007B"/>
    <w:rsid w:val="00CA01BB"/>
    <w:rsid w:val="00CA0AA4"/>
    <w:rsid w:val="00CA0C1E"/>
    <w:rsid w:val="00CA15B0"/>
    <w:rsid w:val="00CA1C71"/>
    <w:rsid w:val="00CA1D4C"/>
    <w:rsid w:val="00CA1D50"/>
    <w:rsid w:val="00CA1DAB"/>
    <w:rsid w:val="00CA20E0"/>
    <w:rsid w:val="00CA2598"/>
    <w:rsid w:val="00CA3347"/>
    <w:rsid w:val="00CA523D"/>
    <w:rsid w:val="00CA6FDA"/>
    <w:rsid w:val="00CA77CF"/>
    <w:rsid w:val="00CA7B58"/>
    <w:rsid w:val="00CB0836"/>
    <w:rsid w:val="00CB0CB9"/>
    <w:rsid w:val="00CB1413"/>
    <w:rsid w:val="00CB18D4"/>
    <w:rsid w:val="00CB24D9"/>
    <w:rsid w:val="00CB2518"/>
    <w:rsid w:val="00CB3156"/>
    <w:rsid w:val="00CB3920"/>
    <w:rsid w:val="00CB469E"/>
    <w:rsid w:val="00CB4C4C"/>
    <w:rsid w:val="00CB6413"/>
    <w:rsid w:val="00CB696F"/>
    <w:rsid w:val="00CB6A00"/>
    <w:rsid w:val="00CB7059"/>
    <w:rsid w:val="00CB7097"/>
    <w:rsid w:val="00CB73EE"/>
    <w:rsid w:val="00CB77F4"/>
    <w:rsid w:val="00CB780D"/>
    <w:rsid w:val="00CC00E9"/>
    <w:rsid w:val="00CC0F1C"/>
    <w:rsid w:val="00CC109F"/>
    <w:rsid w:val="00CC1983"/>
    <w:rsid w:val="00CC1BBB"/>
    <w:rsid w:val="00CC259D"/>
    <w:rsid w:val="00CC299A"/>
    <w:rsid w:val="00CC3039"/>
    <w:rsid w:val="00CC32B7"/>
    <w:rsid w:val="00CC36DE"/>
    <w:rsid w:val="00CC4498"/>
    <w:rsid w:val="00CC4F99"/>
    <w:rsid w:val="00CC5CDC"/>
    <w:rsid w:val="00CC5FC3"/>
    <w:rsid w:val="00CC6369"/>
    <w:rsid w:val="00CC6576"/>
    <w:rsid w:val="00CC65D6"/>
    <w:rsid w:val="00CC73F3"/>
    <w:rsid w:val="00CC7B85"/>
    <w:rsid w:val="00CD081C"/>
    <w:rsid w:val="00CD14DA"/>
    <w:rsid w:val="00CD1B5A"/>
    <w:rsid w:val="00CD1E9C"/>
    <w:rsid w:val="00CD27DB"/>
    <w:rsid w:val="00CD2E70"/>
    <w:rsid w:val="00CD386B"/>
    <w:rsid w:val="00CD3D06"/>
    <w:rsid w:val="00CD4A09"/>
    <w:rsid w:val="00CD4C67"/>
    <w:rsid w:val="00CD4C7B"/>
    <w:rsid w:val="00CD5125"/>
    <w:rsid w:val="00CD5397"/>
    <w:rsid w:val="00CD5E93"/>
    <w:rsid w:val="00CD6D2E"/>
    <w:rsid w:val="00CE1344"/>
    <w:rsid w:val="00CE15AE"/>
    <w:rsid w:val="00CE1CFC"/>
    <w:rsid w:val="00CE235A"/>
    <w:rsid w:val="00CE37A3"/>
    <w:rsid w:val="00CE3814"/>
    <w:rsid w:val="00CE3FC0"/>
    <w:rsid w:val="00CE4AC7"/>
    <w:rsid w:val="00CE56B7"/>
    <w:rsid w:val="00CE6660"/>
    <w:rsid w:val="00CE6855"/>
    <w:rsid w:val="00CE6B6F"/>
    <w:rsid w:val="00CE7033"/>
    <w:rsid w:val="00CE7075"/>
    <w:rsid w:val="00CE770A"/>
    <w:rsid w:val="00CF02A6"/>
    <w:rsid w:val="00CF05A6"/>
    <w:rsid w:val="00CF06CF"/>
    <w:rsid w:val="00CF101C"/>
    <w:rsid w:val="00CF15C5"/>
    <w:rsid w:val="00CF1EFE"/>
    <w:rsid w:val="00CF2DC1"/>
    <w:rsid w:val="00CF2EE2"/>
    <w:rsid w:val="00CF37AD"/>
    <w:rsid w:val="00CF3948"/>
    <w:rsid w:val="00CF3ACF"/>
    <w:rsid w:val="00CF441D"/>
    <w:rsid w:val="00CF4FCF"/>
    <w:rsid w:val="00CF4FDC"/>
    <w:rsid w:val="00CF53F2"/>
    <w:rsid w:val="00CF56AF"/>
    <w:rsid w:val="00CF5BE0"/>
    <w:rsid w:val="00CF5BF1"/>
    <w:rsid w:val="00CF6001"/>
    <w:rsid w:val="00CF61CB"/>
    <w:rsid w:val="00CF666F"/>
    <w:rsid w:val="00CF686F"/>
    <w:rsid w:val="00CF6CA7"/>
    <w:rsid w:val="00CF6E7D"/>
    <w:rsid w:val="00CF76FB"/>
    <w:rsid w:val="00D00175"/>
    <w:rsid w:val="00D00223"/>
    <w:rsid w:val="00D00312"/>
    <w:rsid w:val="00D0045E"/>
    <w:rsid w:val="00D008D8"/>
    <w:rsid w:val="00D00DBF"/>
    <w:rsid w:val="00D0149B"/>
    <w:rsid w:val="00D01F5D"/>
    <w:rsid w:val="00D01FA9"/>
    <w:rsid w:val="00D02D17"/>
    <w:rsid w:val="00D03DBE"/>
    <w:rsid w:val="00D03EED"/>
    <w:rsid w:val="00D0597D"/>
    <w:rsid w:val="00D06274"/>
    <w:rsid w:val="00D066D8"/>
    <w:rsid w:val="00D07FB9"/>
    <w:rsid w:val="00D11949"/>
    <w:rsid w:val="00D11A69"/>
    <w:rsid w:val="00D11CB2"/>
    <w:rsid w:val="00D12C98"/>
    <w:rsid w:val="00D12FFC"/>
    <w:rsid w:val="00D13CA3"/>
    <w:rsid w:val="00D1484F"/>
    <w:rsid w:val="00D14BA0"/>
    <w:rsid w:val="00D14D7B"/>
    <w:rsid w:val="00D1516D"/>
    <w:rsid w:val="00D158B0"/>
    <w:rsid w:val="00D1707A"/>
    <w:rsid w:val="00D17CC2"/>
    <w:rsid w:val="00D20EED"/>
    <w:rsid w:val="00D21435"/>
    <w:rsid w:val="00D2242C"/>
    <w:rsid w:val="00D224FA"/>
    <w:rsid w:val="00D23033"/>
    <w:rsid w:val="00D2402F"/>
    <w:rsid w:val="00D245C2"/>
    <w:rsid w:val="00D25660"/>
    <w:rsid w:val="00D2569B"/>
    <w:rsid w:val="00D258EB"/>
    <w:rsid w:val="00D25AEB"/>
    <w:rsid w:val="00D271CD"/>
    <w:rsid w:val="00D30480"/>
    <w:rsid w:val="00D3064E"/>
    <w:rsid w:val="00D315CC"/>
    <w:rsid w:val="00D31DDA"/>
    <w:rsid w:val="00D31F05"/>
    <w:rsid w:val="00D32067"/>
    <w:rsid w:val="00D327A3"/>
    <w:rsid w:val="00D33AE9"/>
    <w:rsid w:val="00D34927"/>
    <w:rsid w:val="00D34C82"/>
    <w:rsid w:val="00D36550"/>
    <w:rsid w:val="00D379EC"/>
    <w:rsid w:val="00D37C94"/>
    <w:rsid w:val="00D37E9F"/>
    <w:rsid w:val="00D40D88"/>
    <w:rsid w:val="00D41E42"/>
    <w:rsid w:val="00D41F6B"/>
    <w:rsid w:val="00D42380"/>
    <w:rsid w:val="00D42C9B"/>
    <w:rsid w:val="00D4348D"/>
    <w:rsid w:val="00D436D7"/>
    <w:rsid w:val="00D43ADD"/>
    <w:rsid w:val="00D44E42"/>
    <w:rsid w:val="00D44FC3"/>
    <w:rsid w:val="00D45072"/>
    <w:rsid w:val="00D450E2"/>
    <w:rsid w:val="00D453D7"/>
    <w:rsid w:val="00D4552D"/>
    <w:rsid w:val="00D462D6"/>
    <w:rsid w:val="00D4714D"/>
    <w:rsid w:val="00D474AB"/>
    <w:rsid w:val="00D4754E"/>
    <w:rsid w:val="00D50460"/>
    <w:rsid w:val="00D50961"/>
    <w:rsid w:val="00D50A02"/>
    <w:rsid w:val="00D512A1"/>
    <w:rsid w:val="00D518D6"/>
    <w:rsid w:val="00D52AB4"/>
    <w:rsid w:val="00D52F26"/>
    <w:rsid w:val="00D531F5"/>
    <w:rsid w:val="00D538C1"/>
    <w:rsid w:val="00D538D5"/>
    <w:rsid w:val="00D53B5C"/>
    <w:rsid w:val="00D54640"/>
    <w:rsid w:val="00D54916"/>
    <w:rsid w:val="00D55455"/>
    <w:rsid w:val="00D559B5"/>
    <w:rsid w:val="00D56420"/>
    <w:rsid w:val="00D5658A"/>
    <w:rsid w:val="00D56A94"/>
    <w:rsid w:val="00D56C0C"/>
    <w:rsid w:val="00D56F9E"/>
    <w:rsid w:val="00D570B4"/>
    <w:rsid w:val="00D5798B"/>
    <w:rsid w:val="00D60736"/>
    <w:rsid w:val="00D6170E"/>
    <w:rsid w:val="00D61972"/>
    <w:rsid w:val="00D61B58"/>
    <w:rsid w:val="00D6307D"/>
    <w:rsid w:val="00D63632"/>
    <w:rsid w:val="00D63732"/>
    <w:rsid w:val="00D63925"/>
    <w:rsid w:val="00D63D9C"/>
    <w:rsid w:val="00D6405D"/>
    <w:rsid w:val="00D6568E"/>
    <w:rsid w:val="00D65893"/>
    <w:rsid w:val="00D658EC"/>
    <w:rsid w:val="00D66816"/>
    <w:rsid w:val="00D6684E"/>
    <w:rsid w:val="00D6742A"/>
    <w:rsid w:val="00D67B9B"/>
    <w:rsid w:val="00D71733"/>
    <w:rsid w:val="00D718AC"/>
    <w:rsid w:val="00D719A3"/>
    <w:rsid w:val="00D71E7A"/>
    <w:rsid w:val="00D72DE7"/>
    <w:rsid w:val="00D7302F"/>
    <w:rsid w:val="00D7329E"/>
    <w:rsid w:val="00D73870"/>
    <w:rsid w:val="00D73BB2"/>
    <w:rsid w:val="00D74575"/>
    <w:rsid w:val="00D74D14"/>
    <w:rsid w:val="00D74F3B"/>
    <w:rsid w:val="00D752E7"/>
    <w:rsid w:val="00D7574B"/>
    <w:rsid w:val="00D75913"/>
    <w:rsid w:val="00D75E82"/>
    <w:rsid w:val="00D76270"/>
    <w:rsid w:val="00D767C6"/>
    <w:rsid w:val="00D769C5"/>
    <w:rsid w:val="00D76E76"/>
    <w:rsid w:val="00D80631"/>
    <w:rsid w:val="00D818EC"/>
    <w:rsid w:val="00D81A20"/>
    <w:rsid w:val="00D81F55"/>
    <w:rsid w:val="00D8321A"/>
    <w:rsid w:val="00D83F57"/>
    <w:rsid w:val="00D84A86"/>
    <w:rsid w:val="00D85152"/>
    <w:rsid w:val="00D85F2C"/>
    <w:rsid w:val="00D86030"/>
    <w:rsid w:val="00D861BD"/>
    <w:rsid w:val="00D86D55"/>
    <w:rsid w:val="00D8789C"/>
    <w:rsid w:val="00D8789D"/>
    <w:rsid w:val="00D87B3F"/>
    <w:rsid w:val="00D9003D"/>
    <w:rsid w:val="00D90558"/>
    <w:rsid w:val="00D9082F"/>
    <w:rsid w:val="00D90C79"/>
    <w:rsid w:val="00D914EB"/>
    <w:rsid w:val="00D91B36"/>
    <w:rsid w:val="00D9305B"/>
    <w:rsid w:val="00D94085"/>
    <w:rsid w:val="00D944D2"/>
    <w:rsid w:val="00D96D4F"/>
    <w:rsid w:val="00DA1806"/>
    <w:rsid w:val="00DA1BD1"/>
    <w:rsid w:val="00DA212B"/>
    <w:rsid w:val="00DA3155"/>
    <w:rsid w:val="00DA3A76"/>
    <w:rsid w:val="00DA5713"/>
    <w:rsid w:val="00DA5F95"/>
    <w:rsid w:val="00DA6856"/>
    <w:rsid w:val="00DA6D6D"/>
    <w:rsid w:val="00DA73C1"/>
    <w:rsid w:val="00DA7457"/>
    <w:rsid w:val="00DA770D"/>
    <w:rsid w:val="00DA77A8"/>
    <w:rsid w:val="00DA7851"/>
    <w:rsid w:val="00DA7DC1"/>
    <w:rsid w:val="00DB00EE"/>
    <w:rsid w:val="00DB0132"/>
    <w:rsid w:val="00DB2754"/>
    <w:rsid w:val="00DB2D88"/>
    <w:rsid w:val="00DB3687"/>
    <w:rsid w:val="00DB38D1"/>
    <w:rsid w:val="00DB41CB"/>
    <w:rsid w:val="00DB5114"/>
    <w:rsid w:val="00DB681B"/>
    <w:rsid w:val="00DB73C2"/>
    <w:rsid w:val="00DB7E24"/>
    <w:rsid w:val="00DC0445"/>
    <w:rsid w:val="00DC115F"/>
    <w:rsid w:val="00DC2082"/>
    <w:rsid w:val="00DC225F"/>
    <w:rsid w:val="00DC2883"/>
    <w:rsid w:val="00DC2C48"/>
    <w:rsid w:val="00DC46B5"/>
    <w:rsid w:val="00DC4B28"/>
    <w:rsid w:val="00DC4B5D"/>
    <w:rsid w:val="00DC525E"/>
    <w:rsid w:val="00DC535C"/>
    <w:rsid w:val="00DC5DCB"/>
    <w:rsid w:val="00DC6C0D"/>
    <w:rsid w:val="00DC75E7"/>
    <w:rsid w:val="00DD074A"/>
    <w:rsid w:val="00DD0D70"/>
    <w:rsid w:val="00DD1941"/>
    <w:rsid w:val="00DD26A5"/>
    <w:rsid w:val="00DD2812"/>
    <w:rsid w:val="00DD2CE3"/>
    <w:rsid w:val="00DD34F2"/>
    <w:rsid w:val="00DD3C6B"/>
    <w:rsid w:val="00DD4A56"/>
    <w:rsid w:val="00DD54ED"/>
    <w:rsid w:val="00DD6861"/>
    <w:rsid w:val="00DD697F"/>
    <w:rsid w:val="00DD699C"/>
    <w:rsid w:val="00DD739F"/>
    <w:rsid w:val="00DD7631"/>
    <w:rsid w:val="00DD7762"/>
    <w:rsid w:val="00DD781E"/>
    <w:rsid w:val="00DD7A2C"/>
    <w:rsid w:val="00DD7F63"/>
    <w:rsid w:val="00DE0A1B"/>
    <w:rsid w:val="00DE1238"/>
    <w:rsid w:val="00DE1966"/>
    <w:rsid w:val="00DE1FFE"/>
    <w:rsid w:val="00DE2F9E"/>
    <w:rsid w:val="00DE31B1"/>
    <w:rsid w:val="00DE32E7"/>
    <w:rsid w:val="00DE3BB8"/>
    <w:rsid w:val="00DE40EB"/>
    <w:rsid w:val="00DE5117"/>
    <w:rsid w:val="00DE51F6"/>
    <w:rsid w:val="00DE5648"/>
    <w:rsid w:val="00DE568A"/>
    <w:rsid w:val="00DE56B7"/>
    <w:rsid w:val="00DE595E"/>
    <w:rsid w:val="00DE5CD9"/>
    <w:rsid w:val="00DE6A70"/>
    <w:rsid w:val="00DE70B5"/>
    <w:rsid w:val="00DE7113"/>
    <w:rsid w:val="00DF00F9"/>
    <w:rsid w:val="00DF0576"/>
    <w:rsid w:val="00DF1981"/>
    <w:rsid w:val="00DF1D07"/>
    <w:rsid w:val="00DF1E89"/>
    <w:rsid w:val="00DF1EC8"/>
    <w:rsid w:val="00DF2144"/>
    <w:rsid w:val="00DF24D9"/>
    <w:rsid w:val="00DF2EA5"/>
    <w:rsid w:val="00DF310B"/>
    <w:rsid w:val="00DF3E47"/>
    <w:rsid w:val="00DF5362"/>
    <w:rsid w:val="00DF56E8"/>
    <w:rsid w:val="00DF5C01"/>
    <w:rsid w:val="00DF5FF5"/>
    <w:rsid w:val="00DF6655"/>
    <w:rsid w:val="00DF6EB6"/>
    <w:rsid w:val="00DF7133"/>
    <w:rsid w:val="00DF722A"/>
    <w:rsid w:val="00DF764C"/>
    <w:rsid w:val="00DF7FBF"/>
    <w:rsid w:val="00E00108"/>
    <w:rsid w:val="00E00BB4"/>
    <w:rsid w:val="00E00CAA"/>
    <w:rsid w:val="00E01441"/>
    <w:rsid w:val="00E01682"/>
    <w:rsid w:val="00E01D4A"/>
    <w:rsid w:val="00E02F4B"/>
    <w:rsid w:val="00E03D04"/>
    <w:rsid w:val="00E04332"/>
    <w:rsid w:val="00E043BB"/>
    <w:rsid w:val="00E047A0"/>
    <w:rsid w:val="00E04ECF"/>
    <w:rsid w:val="00E0502A"/>
    <w:rsid w:val="00E0584C"/>
    <w:rsid w:val="00E05902"/>
    <w:rsid w:val="00E067C4"/>
    <w:rsid w:val="00E06A36"/>
    <w:rsid w:val="00E074C9"/>
    <w:rsid w:val="00E1198B"/>
    <w:rsid w:val="00E11C0C"/>
    <w:rsid w:val="00E126B2"/>
    <w:rsid w:val="00E127E3"/>
    <w:rsid w:val="00E13E8F"/>
    <w:rsid w:val="00E14818"/>
    <w:rsid w:val="00E148E8"/>
    <w:rsid w:val="00E1610C"/>
    <w:rsid w:val="00E162BD"/>
    <w:rsid w:val="00E16660"/>
    <w:rsid w:val="00E16C78"/>
    <w:rsid w:val="00E16D73"/>
    <w:rsid w:val="00E17296"/>
    <w:rsid w:val="00E17833"/>
    <w:rsid w:val="00E17981"/>
    <w:rsid w:val="00E17CD2"/>
    <w:rsid w:val="00E17E36"/>
    <w:rsid w:val="00E201F2"/>
    <w:rsid w:val="00E206D8"/>
    <w:rsid w:val="00E20A87"/>
    <w:rsid w:val="00E2113A"/>
    <w:rsid w:val="00E21C65"/>
    <w:rsid w:val="00E2307E"/>
    <w:rsid w:val="00E2352B"/>
    <w:rsid w:val="00E23C63"/>
    <w:rsid w:val="00E23E84"/>
    <w:rsid w:val="00E23F9B"/>
    <w:rsid w:val="00E24D23"/>
    <w:rsid w:val="00E2546F"/>
    <w:rsid w:val="00E26285"/>
    <w:rsid w:val="00E26649"/>
    <w:rsid w:val="00E2703D"/>
    <w:rsid w:val="00E271F9"/>
    <w:rsid w:val="00E27F0A"/>
    <w:rsid w:val="00E30712"/>
    <w:rsid w:val="00E309B0"/>
    <w:rsid w:val="00E30E67"/>
    <w:rsid w:val="00E32143"/>
    <w:rsid w:val="00E325F3"/>
    <w:rsid w:val="00E326E9"/>
    <w:rsid w:val="00E32AB7"/>
    <w:rsid w:val="00E32B61"/>
    <w:rsid w:val="00E33106"/>
    <w:rsid w:val="00E345C2"/>
    <w:rsid w:val="00E34D99"/>
    <w:rsid w:val="00E352C3"/>
    <w:rsid w:val="00E35476"/>
    <w:rsid w:val="00E355C0"/>
    <w:rsid w:val="00E359A5"/>
    <w:rsid w:val="00E35C28"/>
    <w:rsid w:val="00E372F7"/>
    <w:rsid w:val="00E37431"/>
    <w:rsid w:val="00E37DC0"/>
    <w:rsid w:val="00E37E0A"/>
    <w:rsid w:val="00E37EC6"/>
    <w:rsid w:val="00E40432"/>
    <w:rsid w:val="00E40850"/>
    <w:rsid w:val="00E40D52"/>
    <w:rsid w:val="00E41187"/>
    <w:rsid w:val="00E411B3"/>
    <w:rsid w:val="00E41585"/>
    <w:rsid w:val="00E41F94"/>
    <w:rsid w:val="00E421ED"/>
    <w:rsid w:val="00E4220D"/>
    <w:rsid w:val="00E4231E"/>
    <w:rsid w:val="00E4279A"/>
    <w:rsid w:val="00E429ED"/>
    <w:rsid w:val="00E43894"/>
    <w:rsid w:val="00E44AC7"/>
    <w:rsid w:val="00E44E08"/>
    <w:rsid w:val="00E45B2D"/>
    <w:rsid w:val="00E45DF9"/>
    <w:rsid w:val="00E468F2"/>
    <w:rsid w:val="00E477C4"/>
    <w:rsid w:val="00E47A20"/>
    <w:rsid w:val="00E5065D"/>
    <w:rsid w:val="00E5084C"/>
    <w:rsid w:val="00E50871"/>
    <w:rsid w:val="00E50AD9"/>
    <w:rsid w:val="00E50B4C"/>
    <w:rsid w:val="00E512FE"/>
    <w:rsid w:val="00E5198D"/>
    <w:rsid w:val="00E52063"/>
    <w:rsid w:val="00E52C66"/>
    <w:rsid w:val="00E53533"/>
    <w:rsid w:val="00E537ED"/>
    <w:rsid w:val="00E5384D"/>
    <w:rsid w:val="00E53F2E"/>
    <w:rsid w:val="00E54004"/>
    <w:rsid w:val="00E546C9"/>
    <w:rsid w:val="00E54BB9"/>
    <w:rsid w:val="00E54D3F"/>
    <w:rsid w:val="00E55F1F"/>
    <w:rsid w:val="00E56735"/>
    <w:rsid w:val="00E56866"/>
    <w:rsid w:val="00E56904"/>
    <w:rsid w:val="00E56FA9"/>
    <w:rsid w:val="00E57DFD"/>
    <w:rsid w:val="00E60423"/>
    <w:rsid w:val="00E60545"/>
    <w:rsid w:val="00E606F4"/>
    <w:rsid w:val="00E607E5"/>
    <w:rsid w:val="00E60A16"/>
    <w:rsid w:val="00E610CB"/>
    <w:rsid w:val="00E6125B"/>
    <w:rsid w:val="00E615AF"/>
    <w:rsid w:val="00E6170A"/>
    <w:rsid w:val="00E62816"/>
    <w:rsid w:val="00E62ADF"/>
    <w:rsid w:val="00E62FA7"/>
    <w:rsid w:val="00E637A3"/>
    <w:rsid w:val="00E659FD"/>
    <w:rsid w:val="00E65B0C"/>
    <w:rsid w:val="00E66B16"/>
    <w:rsid w:val="00E66BA2"/>
    <w:rsid w:val="00E677DB"/>
    <w:rsid w:val="00E700F8"/>
    <w:rsid w:val="00E71C2D"/>
    <w:rsid w:val="00E72187"/>
    <w:rsid w:val="00E7266C"/>
    <w:rsid w:val="00E72BB6"/>
    <w:rsid w:val="00E72CD0"/>
    <w:rsid w:val="00E730AC"/>
    <w:rsid w:val="00E7310C"/>
    <w:rsid w:val="00E733ED"/>
    <w:rsid w:val="00E734CE"/>
    <w:rsid w:val="00E73D33"/>
    <w:rsid w:val="00E74DAE"/>
    <w:rsid w:val="00E750CB"/>
    <w:rsid w:val="00E778DC"/>
    <w:rsid w:val="00E80336"/>
    <w:rsid w:val="00E80D00"/>
    <w:rsid w:val="00E815CE"/>
    <w:rsid w:val="00E81611"/>
    <w:rsid w:val="00E81800"/>
    <w:rsid w:val="00E81863"/>
    <w:rsid w:val="00E81C42"/>
    <w:rsid w:val="00E81C5C"/>
    <w:rsid w:val="00E81FDB"/>
    <w:rsid w:val="00E82064"/>
    <w:rsid w:val="00E82B6E"/>
    <w:rsid w:val="00E82DC6"/>
    <w:rsid w:val="00E8347E"/>
    <w:rsid w:val="00E835C5"/>
    <w:rsid w:val="00E83ACD"/>
    <w:rsid w:val="00E83D4B"/>
    <w:rsid w:val="00E848F0"/>
    <w:rsid w:val="00E84D1C"/>
    <w:rsid w:val="00E84D9C"/>
    <w:rsid w:val="00E85069"/>
    <w:rsid w:val="00E8628F"/>
    <w:rsid w:val="00E86888"/>
    <w:rsid w:val="00E8695C"/>
    <w:rsid w:val="00E90DE0"/>
    <w:rsid w:val="00E92C96"/>
    <w:rsid w:val="00E942B8"/>
    <w:rsid w:val="00E944ED"/>
    <w:rsid w:val="00E945AF"/>
    <w:rsid w:val="00E94A0B"/>
    <w:rsid w:val="00E94A2C"/>
    <w:rsid w:val="00E9544C"/>
    <w:rsid w:val="00E95799"/>
    <w:rsid w:val="00E95D93"/>
    <w:rsid w:val="00E9683D"/>
    <w:rsid w:val="00E970B7"/>
    <w:rsid w:val="00E97D95"/>
    <w:rsid w:val="00EA0035"/>
    <w:rsid w:val="00EA010D"/>
    <w:rsid w:val="00EA04C5"/>
    <w:rsid w:val="00EA0507"/>
    <w:rsid w:val="00EA0BB5"/>
    <w:rsid w:val="00EA1A8A"/>
    <w:rsid w:val="00EA21FA"/>
    <w:rsid w:val="00EA25EB"/>
    <w:rsid w:val="00EA26D5"/>
    <w:rsid w:val="00EA2775"/>
    <w:rsid w:val="00EA305D"/>
    <w:rsid w:val="00EA3106"/>
    <w:rsid w:val="00EA3874"/>
    <w:rsid w:val="00EA5697"/>
    <w:rsid w:val="00EA5AB6"/>
    <w:rsid w:val="00EA5FB0"/>
    <w:rsid w:val="00EA612E"/>
    <w:rsid w:val="00EA6F91"/>
    <w:rsid w:val="00EA761C"/>
    <w:rsid w:val="00EA7D7F"/>
    <w:rsid w:val="00EB0810"/>
    <w:rsid w:val="00EB0B5F"/>
    <w:rsid w:val="00EB1CF7"/>
    <w:rsid w:val="00EB25C2"/>
    <w:rsid w:val="00EB2B6F"/>
    <w:rsid w:val="00EB2CAD"/>
    <w:rsid w:val="00EB2FA2"/>
    <w:rsid w:val="00EB3272"/>
    <w:rsid w:val="00EB37B2"/>
    <w:rsid w:val="00EB3FF9"/>
    <w:rsid w:val="00EB5F0B"/>
    <w:rsid w:val="00EB7352"/>
    <w:rsid w:val="00EB769A"/>
    <w:rsid w:val="00EC11E4"/>
    <w:rsid w:val="00EC14E1"/>
    <w:rsid w:val="00EC183C"/>
    <w:rsid w:val="00EC1CDD"/>
    <w:rsid w:val="00EC2A3F"/>
    <w:rsid w:val="00EC2E64"/>
    <w:rsid w:val="00EC3A35"/>
    <w:rsid w:val="00EC3C52"/>
    <w:rsid w:val="00EC3E5B"/>
    <w:rsid w:val="00EC3E69"/>
    <w:rsid w:val="00EC41A7"/>
    <w:rsid w:val="00EC4257"/>
    <w:rsid w:val="00EC46CE"/>
    <w:rsid w:val="00EC4F94"/>
    <w:rsid w:val="00EC5162"/>
    <w:rsid w:val="00EC5554"/>
    <w:rsid w:val="00EC572B"/>
    <w:rsid w:val="00EC5B8E"/>
    <w:rsid w:val="00EC7356"/>
    <w:rsid w:val="00EC75F6"/>
    <w:rsid w:val="00EC75FC"/>
    <w:rsid w:val="00ED0065"/>
    <w:rsid w:val="00ED17B5"/>
    <w:rsid w:val="00ED1BA0"/>
    <w:rsid w:val="00ED1D2D"/>
    <w:rsid w:val="00ED353D"/>
    <w:rsid w:val="00ED4C59"/>
    <w:rsid w:val="00ED4FF4"/>
    <w:rsid w:val="00ED588C"/>
    <w:rsid w:val="00ED5B71"/>
    <w:rsid w:val="00ED6E7A"/>
    <w:rsid w:val="00ED6EA1"/>
    <w:rsid w:val="00ED7A7F"/>
    <w:rsid w:val="00ED7B85"/>
    <w:rsid w:val="00EE060B"/>
    <w:rsid w:val="00EE07AC"/>
    <w:rsid w:val="00EE0891"/>
    <w:rsid w:val="00EE0C94"/>
    <w:rsid w:val="00EE0F24"/>
    <w:rsid w:val="00EE1062"/>
    <w:rsid w:val="00EE17F2"/>
    <w:rsid w:val="00EE188A"/>
    <w:rsid w:val="00EE1B01"/>
    <w:rsid w:val="00EE1C62"/>
    <w:rsid w:val="00EE1DB8"/>
    <w:rsid w:val="00EE210D"/>
    <w:rsid w:val="00EE2746"/>
    <w:rsid w:val="00EE2FD8"/>
    <w:rsid w:val="00EE3256"/>
    <w:rsid w:val="00EE4759"/>
    <w:rsid w:val="00EE4C20"/>
    <w:rsid w:val="00EE4F2D"/>
    <w:rsid w:val="00EE524C"/>
    <w:rsid w:val="00EE589E"/>
    <w:rsid w:val="00EE6755"/>
    <w:rsid w:val="00EE78D6"/>
    <w:rsid w:val="00EF03DC"/>
    <w:rsid w:val="00EF0437"/>
    <w:rsid w:val="00EF0568"/>
    <w:rsid w:val="00EF0BFE"/>
    <w:rsid w:val="00EF1878"/>
    <w:rsid w:val="00EF1DE8"/>
    <w:rsid w:val="00EF2AC7"/>
    <w:rsid w:val="00EF3397"/>
    <w:rsid w:val="00EF40BF"/>
    <w:rsid w:val="00EF429A"/>
    <w:rsid w:val="00EF4557"/>
    <w:rsid w:val="00EF493F"/>
    <w:rsid w:val="00EF5947"/>
    <w:rsid w:val="00EF5E22"/>
    <w:rsid w:val="00EF60CA"/>
    <w:rsid w:val="00EF63C1"/>
    <w:rsid w:val="00EF6557"/>
    <w:rsid w:val="00EF69B7"/>
    <w:rsid w:val="00EF6C2B"/>
    <w:rsid w:val="00F00059"/>
    <w:rsid w:val="00F00084"/>
    <w:rsid w:val="00F008BD"/>
    <w:rsid w:val="00F021A9"/>
    <w:rsid w:val="00F02C54"/>
    <w:rsid w:val="00F02CD0"/>
    <w:rsid w:val="00F02D03"/>
    <w:rsid w:val="00F035DB"/>
    <w:rsid w:val="00F0448C"/>
    <w:rsid w:val="00F04BAF"/>
    <w:rsid w:val="00F0553C"/>
    <w:rsid w:val="00F06BA7"/>
    <w:rsid w:val="00F06C50"/>
    <w:rsid w:val="00F071BA"/>
    <w:rsid w:val="00F11D2E"/>
    <w:rsid w:val="00F1284F"/>
    <w:rsid w:val="00F136A4"/>
    <w:rsid w:val="00F1377B"/>
    <w:rsid w:val="00F13C5E"/>
    <w:rsid w:val="00F14108"/>
    <w:rsid w:val="00F148D5"/>
    <w:rsid w:val="00F1601A"/>
    <w:rsid w:val="00F160BF"/>
    <w:rsid w:val="00F16173"/>
    <w:rsid w:val="00F1675C"/>
    <w:rsid w:val="00F16A3C"/>
    <w:rsid w:val="00F17428"/>
    <w:rsid w:val="00F17EAC"/>
    <w:rsid w:val="00F20046"/>
    <w:rsid w:val="00F20CC1"/>
    <w:rsid w:val="00F20D22"/>
    <w:rsid w:val="00F21A58"/>
    <w:rsid w:val="00F2302A"/>
    <w:rsid w:val="00F23048"/>
    <w:rsid w:val="00F239CD"/>
    <w:rsid w:val="00F23DCC"/>
    <w:rsid w:val="00F24158"/>
    <w:rsid w:val="00F24294"/>
    <w:rsid w:val="00F2477C"/>
    <w:rsid w:val="00F24E5D"/>
    <w:rsid w:val="00F24EBB"/>
    <w:rsid w:val="00F27696"/>
    <w:rsid w:val="00F2777F"/>
    <w:rsid w:val="00F27F06"/>
    <w:rsid w:val="00F30C26"/>
    <w:rsid w:val="00F314E8"/>
    <w:rsid w:val="00F316A2"/>
    <w:rsid w:val="00F323A2"/>
    <w:rsid w:val="00F32850"/>
    <w:rsid w:val="00F332D4"/>
    <w:rsid w:val="00F33B57"/>
    <w:rsid w:val="00F33CA8"/>
    <w:rsid w:val="00F33D5C"/>
    <w:rsid w:val="00F356D6"/>
    <w:rsid w:val="00F372DB"/>
    <w:rsid w:val="00F3785D"/>
    <w:rsid w:val="00F378BE"/>
    <w:rsid w:val="00F37D37"/>
    <w:rsid w:val="00F400E3"/>
    <w:rsid w:val="00F4021A"/>
    <w:rsid w:val="00F40876"/>
    <w:rsid w:val="00F40D43"/>
    <w:rsid w:val="00F4363B"/>
    <w:rsid w:val="00F44642"/>
    <w:rsid w:val="00F454A2"/>
    <w:rsid w:val="00F45E89"/>
    <w:rsid w:val="00F47845"/>
    <w:rsid w:val="00F47B6C"/>
    <w:rsid w:val="00F50039"/>
    <w:rsid w:val="00F50675"/>
    <w:rsid w:val="00F5071D"/>
    <w:rsid w:val="00F50BD6"/>
    <w:rsid w:val="00F50E16"/>
    <w:rsid w:val="00F513B2"/>
    <w:rsid w:val="00F51520"/>
    <w:rsid w:val="00F52140"/>
    <w:rsid w:val="00F521E4"/>
    <w:rsid w:val="00F52CCE"/>
    <w:rsid w:val="00F53151"/>
    <w:rsid w:val="00F535A9"/>
    <w:rsid w:val="00F53F3D"/>
    <w:rsid w:val="00F53F92"/>
    <w:rsid w:val="00F5480F"/>
    <w:rsid w:val="00F54AA5"/>
    <w:rsid w:val="00F552F7"/>
    <w:rsid w:val="00F553A7"/>
    <w:rsid w:val="00F554EB"/>
    <w:rsid w:val="00F5562D"/>
    <w:rsid w:val="00F55710"/>
    <w:rsid w:val="00F55BC7"/>
    <w:rsid w:val="00F566EA"/>
    <w:rsid w:val="00F567A4"/>
    <w:rsid w:val="00F578EB"/>
    <w:rsid w:val="00F605BE"/>
    <w:rsid w:val="00F60778"/>
    <w:rsid w:val="00F60AF6"/>
    <w:rsid w:val="00F60DDC"/>
    <w:rsid w:val="00F610A9"/>
    <w:rsid w:val="00F617BE"/>
    <w:rsid w:val="00F6185D"/>
    <w:rsid w:val="00F61C7A"/>
    <w:rsid w:val="00F625F7"/>
    <w:rsid w:val="00F64702"/>
    <w:rsid w:val="00F64D5A"/>
    <w:rsid w:val="00F65399"/>
    <w:rsid w:val="00F65B68"/>
    <w:rsid w:val="00F65C22"/>
    <w:rsid w:val="00F65EC9"/>
    <w:rsid w:val="00F66CB1"/>
    <w:rsid w:val="00F672BD"/>
    <w:rsid w:val="00F677CB"/>
    <w:rsid w:val="00F67E15"/>
    <w:rsid w:val="00F67FCA"/>
    <w:rsid w:val="00F70815"/>
    <w:rsid w:val="00F709F4"/>
    <w:rsid w:val="00F71019"/>
    <w:rsid w:val="00F710A9"/>
    <w:rsid w:val="00F7284D"/>
    <w:rsid w:val="00F72CFE"/>
    <w:rsid w:val="00F72FB0"/>
    <w:rsid w:val="00F73336"/>
    <w:rsid w:val="00F73423"/>
    <w:rsid w:val="00F7365E"/>
    <w:rsid w:val="00F737A4"/>
    <w:rsid w:val="00F73950"/>
    <w:rsid w:val="00F75481"/>
    <w:rsid w:val="00F76664"/>
    <w:rsid w:val="00F76A4C"/>
    <w:rsid w:val="00F76AB3"/>
    <w:rsid w:val="00F80B27"/>
    <w:rsid w:val="00F816A4"/>
    <w:rsid w:val="00F8194C"/>
    <w:rsid w:val="00F81AE9"/>
    <w:rsid w:val="00F827D0"/>
    <w:rsid w:val="00F82C78"/>
    <w:rsid w:val="00F82E2E"/>
    <w:rsid w:val="00F83186"/>
    <w:rsid w:val="00F83601"/>
    <w:rsid w:val="00F837E6"/>
    <w:rsid w:val="00F8389A"/>
    <w:rsid w:val="00F83AE9"/>
    <w:rsid w:val="00F83EC8"/>
    <w:rsid w:val="00F843D4"/>
    <w:rsid w:val="00F84A40"/>
    <w:rsid w:val="00F84B50"/>
    <w:rsid w:val="00F84DBD"/>
    <w:rsid w:val="00F8516E"/>
    <w:rsid w:val="00F852E5"/>
    <w:rsid w:val="00F85C0D"/>
    <w:rsid w:val="00F86741"/>
    <w:rsid w:val="00F86796"/>
    <w:rsid w:val="00F87C3F"/>
    <w:rsid w:val="00F87C5B"/>
    <w:rsid w:val="00F87FEA"/>
    <w:rsid w:val="00F90613"/>
    <w:rsid w:val="00F906F4"/>
    <w:rsid w:val="00F915F3"/>
    <w:rsid w:val="00F91800"/>
    <w:rsid w:val="00F91853"/>
    <w:rsid w:val="00F918B6"/>
    <w:rsid w:val="00F91987"/>
    <w:rsid w:val="00F9208E"/>
    <w:rsid w:val="00F92571"/>
    <w:rsid w:val="00F93837"/>
    <w:rsid w:val="00F93B2F"/>
    <w:rsid w:val="00F93CAE"/>
    <w:rsid w:val="00F9453D"/>
    <w:rsid w:val="00F954E4"/>
    <w:rsid w:val="00F95BFB"/>
    <w:rsid w:val="00F95CCE"/>
    <w:rsid w:val="00F966D3"/>
    <w:rsid w:val="00F9692D"/>
    <w:rsid w:val="00F978BE"/>
    <w:rsid w:val="00F97D7B"/>
    <w:rsid w:val="00FA0013"/>
    <w:rsid w:val="00FA0154"/>
    <w:rsid w:val="00FA0288"/>
    <w:rsid w:val="00FA0C62"/>
    <w:rsid w:val="00FA0F71"/>
    <w:rsid w:val="00FA23E2"/>
    <w:rsid w:val="00FA26BC"/>
    <w:rsid w:val="00FA3872"/>
    <w:rsid w:val="00FA3A97"/>
    <w:rsid w:val="00FA3AEA"/>
    <w:rsid w:val="00FA4219"/>
    <w:rsid w:val="00FA48C7"/>
    <w:rsid w:val="00FA54FF"/>
    <w:rsid w:val="00FA5570"/>
    <w:rsid w:val="00FA59E0"/>
    <w:rsid w:val="00FA5C0B"/>
    <w:rsid w:val="00FA70F5"/>
    <w:rsid w:val="00FA7902"/>
    <w:rsid w:val="00FB005D"/>
    <w:rsid w:val="00FB183E"/>
    <w:rsid w:val="00FB1CD3"/>
    <w:rsid w:val="00FB1D54"/>
    <w:rsid w:val="00FB2EE5"/>
    <w:rsid w:val="00FB3363"/>
    <w:rsid w:val="00FB4048"/>
    <w:rsid w:val="00FB446E"/>
    <w:rsid w:val="00FB4629"/>
    <w:rsid w:val="00FB577F"/>
    <w:rsid w:val="00FB5E5D"/>
    <w:rsid w:val="00FB5FC4"/>
    <w:rsid w:val="00FB6A07"/>
    <w:rsid w:val="00FB6FB1"/>
    <w:rsid w:val="00FB7460"/>
    <w:rsid w:val="00FB7747"/>
    <w:rsid w:val="00FB7A10"/>
    <w:rsid w:val="00FC0F81"/>
    <w:rsid w:val="00FC3798"/>
    <w:rsid w:val="00FC577C"/>
    <w:rsid w:val="00FC59AF"/>
    <w:rsid w:val="00FC5BDD"/>
    <w:rsid w:val="00FC5C43"/>
    <w:rsid w:val="00FC5F72"/>
    <w:rsid w:val="00FC62B5"/>
    <w:rsid w:val="00FC6D4E"/>
    <w:rsid w:val="00FC7073"/>
    <w:rsid w:val="00FC736F"/>
    <w:rsid w:val="00FD0CDB"/>
    <w:rsid w:val="00FD1FA7"/>
    <w:rsid w:val="00FD2282"/>
    <w:rsid w:val="00FD2D42"/>
    <w:rsid w:val="00FD30B5"/>
    <w:rsid w:val="00FD3453"/>
    <w:rsid w:val="00FD39CF"/>
    <w:rsid w:val="00FD4B7B"/>
    <w:rsid w:val="00FD4D84"/>
    <w:rsid w:val="00FD5468"/>
    <w:rsid w:val="00FD58F5"/>
    <w:rsid w:val="00FD6287"/>
    <w:rsid w:val="00FD754C"/>
    <w:rsid w:val="00FD7696"/>
    <w:rsid w:val="00FE0669"/>
    <w:rsid w:val="00FE0DAE"/>
    <w:rsid w:val="00FE0E6B"/>
    <w:rsid w:val="00FE1370"/>
    <w:rsid w:val="00FE1510"/>
    <w:rsid w:val="00FE2121"/>
    <w:rsid w:val="00FE2387"/>
    <w:rsid w:val="00FE254A"/>
    <w:rsid w:val="00FE321B"/>
    <w:rsid w:val="00FE3D07"/>
    <w:rsid w:val="00FE4411"/>
    <w:rsid w:val="00FE4B6F"/>
    <w:rsid w:val="00FE6818"/>
    <w:rsid w:val="00FE6A9E"/>
    <w:rsid w:val="00FE6BFB"/>
    <w:rsid w:val="00FF0CF5"/>
    <w:rsid w:val="00FF0D6F"/>
    <w:rsid w:val="00FF0E9E"/>
    <w:rsid w:val="00FF1103"/>
    <w:rsid w:val="00FF1712"/>
    <w:rsid w:val="00FF213D"/>
    <w:rsid w:val="00FF251D"/>
    <w:rsid w:val="00FF37DC"/>
    <w:rsid w:val="00FF37F2"/>
    <w:rsid w:val="00FF43D9"/>
    <w:rsid w:val="00FF5B3C"/>
    <w:rsid w:val="00FF69C8"/>
    <w:rsid w:val="00FF6D3D"/>
    <w:rsid w:val="00FF7866"/>
    <w:rsid w:val="024D7E2C"/>
    <w:rsid w:val="0D2EB883"/>
    <w:rsid w:val="0D8163B6"/>
    <w:rsid w:val="1BB32F19"/>
    <w:rsid w:val="1F2C3AF5"/>
    <w:rsid w:val="1FF4886A"/>
    <w:rsid w:val="22D2584A"/>
    <w:rsid w:val="28751A95"/>
    <w:rsid w:val="29FA8189"/>
    <w:rsid w:val="2C00A012"/>
    <w:rsid w:val="389994B3"/>
    <w:rsid w:val="3B30A011"/>
    <w:rsid w:val="3B93C128"/>
    <w:rsid w:val="3CFBE104"/>
    <w:rsid w:val="467F9A7B"/>
    <w:rsid w:val="510454D8"/>
    <w:rsid w:val="5395A1E2"/>
    <w:rsid w:val="5D8505AD"/>
    <w:rsid w:val="6F81B597"/>
    <w:rsid w:val="71443FBB"/>
    <w:rsid w:val="7563E76A"/>
    <w:rsid w:val="79A615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27A6B"/>
  <w15:docId w15:val="{9003D52C-EAFF-4023-919F-C462EC874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07E5"/>
  </w:style>
  <w:style w:type="paragraph" w:styleId="Ttulo1">
    <w:name w:val="heading 1"/>
    <w:basedOn w:val="Normal"/>
    <w:link w:val="Ttulo1Car"/>
    <w:uiPriority w:val="9"/>
    <w:qFormat/>
    <w:rsid w:val="00CD2E7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304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30448"/>
    <w:pPr>
      <w:spacing w:after="0" w:line="240" w:lineRule="auto"/>
    </w:pPr>
    <w:rPr>
      <w:sz w:val="20"/>
      <w:szCs w:val="20"/>
      <w:lang w:val="es-MX"/>
    </w:rPr>
  </w:style>
  <w:style w:type="character" w:customStyle="1" w:styleId="TextonotapieCar1">
    <w:name w:val="Texto nota pie Car1"/>
    <w:basedOn w:val="Fuentedeprrafopredeter"/>
    <w:uiPriority w:val="99"/>
    <w:semiHidden/>
    <w:rsid w:val="00B3044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30448"/>
    <w:rPr>
      <w:vertAlign w:val="superscript"/>
    </w:rPr>
  </w:style>
  <w:style w:type="paragraph" w:customStyle="1" w:styleId="Appelnotedebasde">
    <w:name w:val="Appel note de bas de..."/>
    <w:basedOn w:val="Normal"/>
    <w:link w:val="Refdenotaalpie"/>
    <w:uiPriority w:val="99"/>
    <w:rsid w:val="00B30448"/>
    <w:pPr>
      <w:spacing w:line="240" w:lineRule="exact"/>
    </w:pPr>
    <w:rPr>
      <w:vertAlign w:val="superscript"/>
    </w:rPr>
  </w:style>
  <w:style w:type="paragraph" w:styleId="Encabezado">
    <w:name w:val="header"/>
    <w:basedOn w:val="Normal"/>
    <w:link w:val="EncabezadoCar"/>
    <w:uiPriority w:val="99"/>
    <w:unhideWhenUsed/>
    <w:rsid w:val="00B3044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0448"/>
  </w:style>
  <w:style w:type="paragraph" w:styleId="Piedepgina">
    <w:name w:val="footer"/>
    <w:basedOn w:val="Normal"/>
    <w:link w:val="PiedepginaCar"/>
    <w:uiPriority w:val="99"/>
    <w:unhideWhenUsed/>
    <w:rsid w:val="00B3044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0448"/>
  </w:style>
  <w:style w:type="table" w:styleId="Tablaconcuadrcula">
    <w:name w:val="Table Grid"/>
    <w:basedOn w:val="Tablanormal"/>
    <w:uiPriority w:val="39"/>
    <w:qFormat/>
    <w:rsid w:val="00B304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22307"/>
    <w:rPr>
      <w:color w:val="0563C1" w:themeColor="hyperlink"/>
      <w:u w:val="single"/>
    </w:rPr>
  </w:style>
  <w:style w:type="character" w:styleId="Mencinsinresolver">
    <w:name w:val="Unresolved Mention"/>
    <w:basedOn w:val="Fuentedeprrafopredeter"/>
    <w:uiPriority w:val="99"/>
    <w:semiHidden/>
    <w:unhideWhenUsed/>
    <w:rsid w:val="00C22307"/>
    <w:rPr>
      <w:color w:val="605E5C"/>
      <w:shd w:val="clear" w:color="auto" w:fill="E1DFDD"/>
    </w:rPr>
  </w:style>
  <w:style w:type="character" w:styleId="Hipervnculovisitado">
    <w:name w:val="FollowedHyperlink"/>
    <w:basedOn w:val="Fuentedeprrafopredeter"/>
    <w:uiPriority w:val="99"/>
    <w:semiHidden/>
    <w:unhideWhenUsed/>
    <w:rsid w:val="00C22307"/>
    <w:rPr>
      <w:color w:val="954F72" w:themeColor="followedHyperlink"/>
      <w:u w:val="single"/>
    </w:rPr>
  </w:style>
  <w:style w:type="character" w:styleId="Refdecomentario">
    <w:name w:val="annotation reference"/>
    <w:basedOn w:val="Fuentedeprrafopredeter"/>
    <w:uiPriority w:val="99"/>
    <w:semiHidden/>
    <w:unhideWhenUsed/>
    <w:rsid w:val="00A37D1C"/>
    <w:rPr>
      <w:sz w:val="16"/>
      <w:szCs w:val="16"/>
    </w:rPr>
  </w:style>
  <w:style w:type="paragraph" w:styleId="Textocomentario">
    <w:name w:val="annotation text"/>
    <w:basedOn w:val="Normal"/>
    <w:link w:val="TextocomentarioCar"/>
    <w:uiPriority w:val="99"/>
    <w:unhideWhenUsed/>
    <w:rsid w:val="00A37D1C"/>
    <w:pPr>
      <w:spacing w:line="240" w:lineRule="auto"/>
    </w:pPr>
    <w:rPr>
      <w:sz w:val="20"/>
      <w:szCs w:val="20"/>
    </w:rPr>
  </w:style>
  <w:style w:type="character" w:customStyle="1" w:styleId="TextocomentarioCar">
    <w:name w:val="Texto comentario Car"/>
    <w:basedOn w:val="Fuentedeprrafopredeter"/>
    <w:link w:val="Textocomentario"/>
    <w:uiPriority w:val="99"/>
    <w:rsid w:val="00A37D1C"/>
    <w:rPr>
      <w:sz w:val="20"/>
      <w:szCs w:val="20"/>
    </w:rPr>
  </w:style>
  <w:style w:type="paragraph" w:styleId="Asuntodelcomentario">
    <w:name w:val="annotation subject"/>
    <w:basedOn w:val="Textocomentario"/>
    <w:next w:val="Textocomentario"/>
    <w:link w:val="AsuntodelcomentarioCar"/>
    <w:uiPriority w:val="99"/>
    <w:semiHidden/>
    <w:unhideWhenUsed/>
    <w:rsid w:val="00A37D1C"/>
    <w:rPr>
      <w:b/>
      <w:bCs/>
    </w:rPr>
  </w:style>
  <w:style w:type="character" w:customStyle="1" w:styleId="AsuntodelcomentarioCar">
    <w:name w:val="Asunto del comentario Car"/>
    <w:basedOn w:val="TextocomentarioCar"/>
    <w:link w:val="Asuntodelcomentario"/>
    <w:uiPriority w:val="99"/>
    <w:semiHidden/>
    <w:rsid w:val="00A37D1C"/>
    <w:rPr>
      <w:b/>
      <w:bCs/>
      <w:sz w:val="20"/>
      <w:szCs w:val="20"/>
    </w:rPr>
  </w:style>
  <w:style w:type="paragraph" w:customStyle="1" w:styleId="Normal11pt">
    <w:name w:val="Normal + 11 pt"/>
    <w:aliases w:val="Negro,Justificado,Izquierda:  -0,95 cm,Derecha:  0,04 cm"/>
    <w:basedOn w:val="Normal"/>
    <w:uiPriority w:val="99"/>
    <w:rsid w:val="00B76C94"/>
    <w:pPr>
      <w:spacing w:after="0" w:line="240" w:lineRule="auto"/>
      <w:ind w:left="-540"/>
      <w:jc w:val="both"/>
    </w:pPr>
    <w:rPr>
      <w:rFonts w:ascii="Arial" w:eastAsia="Times New Roman" w:hAnsi="Arial" w:cs="Arial"/>
      <w:color w:val="000000"/>
      <w:lang w:val="es-ES_tradnl" w:eastAsia="es-ES"/>
    </w:rPr>
  </w:style>
  <w:style w:type="paragraph" w:styleId="Revisin">
    <w:name w:val="Revision"/>
    <w:hidden/>
    <w:uiPriority w:val="99"/>
    <w:semiHidden/>
    <w:rsid w:val="00F64D5A"/>
    <w:pPr>
      <w:spacing w:after="0" w:line="240" w:lineRule="auto"/>
    </w:pPr>
  </w:style>
  <w:style w:type="character" w:customStyle="1" w:styleId="cf01">
    <w:name w:val="cf01"/>
    <w:basedOn w:val="Fuentedeprrafopredeter"/>
    <w:rsid w:val="005019AA"/>
    <w:rPr>
      <w:rFonts w:ascii="Segoe UI" w:hAnsi="Segoe UI" w:cs="Segoe UI" w:hint="default"/>
      <w:i/>
      <w:iCs/>
      <w:sz w:val="18"/>
      <w:szCs w:val="18"/>
    </w:rPr>
  </w:style>
  <w:style w:type="character" w:customStyle="1" w:styleId="normaltextrun">
    <w:name w:val="normaltextrun"/>
    <w:basedOn w:val="Fuentedeprrafopredeter"/>
    <w:rsid w:val="5D8505AD"/>
  </w:style>
  <w:style w:type="character" w:customStyle="1" w:styleId="eop">
    <w:name w:val="eop"/>
    <w:basedOn w:val="Fuentedeprrafopredeter"/>
    <w:rsid w:val="5D8505A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E84D1C"/>
    <w:pPr>
      <w:spacing w:after="0" w:line="240" w:lineRule="auto"/>
      <w:ind w:left="720"/>
      <w:contextualSpacing/>
    </w:pPr>
    <w:rPr>
      <w:sz w:val="24"/>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84D1C"/>
    <w:rPr>
      <w:sz w:val="24"/>
      <w:lang w:val="es-MX"/>
    </w:rPr>
  </w:style>
  <w:style w:type="character" w:customStyle="1" w:styleId="Ttulo1Car">
    <w:name w:val="Título 1 Car"/>
    <w:basedOn w:val="Fuentedeprrafopredeter"/>
    <w:link w:val="Ttulo1"/>
    <w:uiPriority w:val="9"/>
    <w:rsid w:val="00CD2E70"/>
    <w:rPr>
      <w:rFonts w:ascii="Times New Roman" w:eastAsia="Times New Roman" w:hAnsi="Times New Roman" w:cs="Times New Roman"/>
      <w:b/>
      <w:bCs/>
      <w:kern w:val="36"/>
      <w:sz w:val="48"/>
      <w:szCs w:val="48"/>
      <w:lang w:eastAsia="es-ES_tradnl"/>
    </w:rPr>
  </w:style>
  <w:style w:type="paragraph" w:customStyle="1" w:styleId="paragraph">
    <w:name w:val="paragraph"/>
    <w:basedOn w:val="Normal"/>
    <w:rsid w:val="00CD2E70"/>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superscript">
    <w:name w:val="superscript"/>
    <w:basedOn w:val="Fuentedeprrafopredeter"/>
    <w:rsid w:val="003651AC"/>
  </w:style>
  <w:style w:type="paragraph" w:styleId="NormalWeb">
    <w:name w:val="Normal (Web)"/>
    <w:basedOn w:val="Normal"/>
    <w:uiPriority w:val="99"/>
    <w:unhideWhenUsed/>
    <w:rsid w:val="00FB5FC4"/>
    <w:rPr>
      <w:rFonts w:ascii="Times New Roman" w:hAnsi="Times New Roman" w:cs="Times New Roman"/>
      <w:sz w:val="24"/>
      <w:szCs w:val="24"/>
    </w:rPr>
  </w:style>
  <w:style w:type="character" w:customStyle="1" w:styleId="Hipervnculo1">
    <w:name w:val="Hipervínculo1"/>
    <w:basedOn w:val="Fuentedeprrafopredeter"/>
    <w:uiPriority w:val="99"/>
    <w:unhideWhenUsed/>
    <w:rsid w:val="00FB5FC4"/>
    <w:rPr>
      <w:color w:val="F2F2F2"/>
      <w:u w:val="single"/>
    </w:rPr>
  </w:style>
  <w:style w:type="character" w:styleId="Textoennegrita">
    <w:name w:val="Strong"/>
    <w:basedOn w:val="Fuentedeprrafopredeter"/>
    <w:uiPriority w:val="22"/>
    <w:qFormat/>
    <w:rsid w:val="00FB5FC4"/>
    <w:rPr>
      <w:b/>
      <w:bCs/>
    </w:rPr>
  </w:style>
  <w:style w:type="character" w:styleId="nfasis">
    <w:name w:val="Emphasis"/>
    <w:basedOn w:val="Fuentedeprrafopredeter"/>
    <w:uiPriority w:val="20"/>
    <w:qFormat/>
    <w:rsid w:val="00FB5FC4"/>
    <w:rPr>
      <w:i/>
      <w:iCs/>
    </w:rPr>
  </w:style>
  <w:style w:type="paragraph" w:customStyle="1" w:styleId="Textoindependiente21">
    <w:name w:val="Texto independiente 21"/>
    <w:basedOn w:val="Normal"/>
    <w:rsid w:val="007A6528"/>
    <w:pPr>
      <w:overflowPunct w:val="0"/>
      <w:autoSpaceDE w:val="0"/>
      <w:autoSpaceDN w:val="0"/>
      <w:adjustRightInd w:val="0"/>
      <w:spacing w:after="0" w:line="360" w:lineRule="auto"/>
      <w:ind w:firstLine="710"/>
      <w:jc w:val="both"/>
      <w:textAlignment w:val="baseline"/>
    </w:pPr>
    <w:rPr>
      <w:rFonts w:ascii="Arial" w:eastAsia="Times New Roman" w:hAnsi="Arial" w:cs="Times New Roman"/>
      <w:sz w:val="24"/>
      <w:szCs w:val="20"/>
      <w:lang w:eastAsia="es-ES"/>
    </w:rPr>
  </w:style>
  <w:style w:type="paragraph" w:styleId="Textoindependiente">
    <w:name w:val="Body Text"/>
    <w:basedOn w:val="Normal"/>
    <w:link w:val="TextoindependienteCar"/>
    <w:uiPriority w:val="99"/>
    <w:unhideWhenUsed/>
    <w:rsid w:val="00002D5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extoindependienteCar">
    <w:name w:val="Texto independiente Car"/>
    <w:basedOn w:val="Fuentedeprrafopredeter"/>
    <w:link w:val="Textoindependiente"/>
    <w:uiPriority w:val="99"/>
    <w:rsid w:val="00002D55"/>
    <w:rPr>
      <w:rFonts w:ascii="Times New Roman" w:eastAsia="Times New Roman" w:hAnsi="Times New Roman" w:cs="Times New Roman"/>
      <w:sz w:val="24"/>
      <w:szCs w:val="24"/>
      <w:lang w:eastAsia="es-CO"/>
    </w:rPr>
  </w:style>
  <w:style w:type="character" w:customStyle="1" w:styleId="FontStyle23">
    <w:name w:val="Font Style23"/>
    <w:basedOn w:val="Fuentedeprrafopredeter"/>
    <w:rsid w:val="0081788A"/>
    <w:rPr>
      <w:rFonts w:ascii="Times New Roman" w:hAnsi="Times New Roman" w:cs="Times New Roman" w:hint="default"/>
      <w:sz w:val="20"/>
      <w:szCs w:val="20"/>
    </w:rPr>
  </w:style>
  <w:style w:type="character" w:customStyle="1" w:styleId="baj">
    <w:name w:val="b_aj"/>
    <w:basedOn w:val="Fuentedeprrafopredeter"/>
    <w:rsid w:val="00B43CE6"/>
  </w:style>
  <w:style w:type="character" w:customStyle="1" w:styleId="author-name">
    <w:name w:val="author-name"/>
    <w:basedOn w:val="Fuentedeprrafopredeter"/>
    <w:rsid w:val="00CA01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134882">
      <w:bodyDiv w:val="1"/>
      <w:marLeft w:val="0"/>
      <w:marRight w:val="0"/>
      <w:marTop w:val="0"/>
      <w:marBottom w:val="0"/>
      <w:divBdr>
        <w:top w:val="none" w:sz="0" w:space="0" w:color="auto"/>
        <w:left w:val="none" w:sz="0" w:space="0" w:color="auto"/>
        <w:bottom w:val="none" w:sz="0" w:space="0" w:color="auto"/>
        <w:right w:val="none" w:sz="0" w:space="0" w:color="auto"/>
      </w:divBdr>
    </w:div>
    <w:div w:id="46149373">
      <w:bodyDiv w:val="1"/>
      <w:marLeft w:val="0"/>
      <w:marRight w:val="0"/>
      <w:marTop w:val="0"/>
      <w:marBottom w:val="0"/>
      <w:divBdr>
        <w:top w:val="none" w:sz="0" w:space="0" w:color="auto"/>
        <w:left w:val="none" w:sz="0" w:space="0" w:color="auto"/>
        <w:bottom w:val="none" w:sz="0" w:space="0" w:color="auto"/>
        <w:right w:val="none" w:sz="0" w:space="0" w:color="auto"/>
      </w:divBdr>
    </w:div>
    <w:div w:id="65763639">
      <w:bodyDiv w:val="1"/>
      <w:marLeft w:val="0"/>
      <w:marRight w:val="0"/>
      <w:marTop w:val="0"/>
      <w:marBottom w:val="0"/>
      <w:divBdr>
        <w:top w:val="none" w:sz="0" w:space="0" w:color="auto"/>
        <w:left w:val="none" w:sz="0" w:space="0" w:color="auto"/>
        <w:bottom w:val="none" w:sz="0" w:space="0" w:color="auto"/>
        <w:right w:val="none" w:sz="0" w:space="0" w:color="auto"/>
      </w:divBdr>
    </w:div>
    <w:div w:id="107549441">
      <w:bodyDiv w:val="1"/>
      <w:marLeft w:val="0"/>
      <w:marRight w:val="0"/>
      <w:marTop w:val="0"/>
      <w:marBottom w:val="0"/>
      <w:divBdr>
        <w:top w:val="none" w:sz="0" w:space="0" w:color="auto"/>
        <w:left w:val="none" w:sz="0" w:space="0" w:color="auto"/>
        <w:bottom w:val="none" w:sz="0" w:space="0" w:color="auto"/>
        <w:right w:val="none" w:sz="0" w:space="0" w:color="auto"/>
      </w:divBdr>
    </w:div>
    <w:div w:id="112671991">
      <w:bodyDiv w:val="1"/>
      <w:marLeft w:val="0"/>
      <w:marRight w:val="0"/>
      <w:marTop w:val="0"/>
      <w:marBottom w:val="0"/>
      <w:divBdr>
        <w:top w:val="none" w:sz="0" w:space="0" w:color="auto"/>
        <w:left w:val="none" w:sz="0" w:space="0" w:color="auto"/>
        <w:bottom w:val="none" w:sz="0" w:space="0" w:color="auto"/>
        <w:right w:val="none" w:sz="0" w:space="0" w:color="auto"/>
      </w:divBdr>
    </w:div>
    <w:div w:id="125584597">
      <w:bodyDiv w:val="1"/>
      <w:marLeft w:val="0"/>
      <w:marRight w:val="0"/>
      <w:marTop w:val="0"/>
      <w:marBottom w:val="0"/>
      <w:divBdr>
        <w:top w:val="none" w:sz="0" w:space="0" w:color="auto"/>
        <w:left w:val="none" w:sz="0" w:space="0" w:color="auto"/>
        <w:bottom w:val="none" w:sz="0" w:space="0" w:color="auto"/>
        <w:right w:val="none" w:sz="0" w:space="0" w:color="auto"/>
      </w:divBdr>
    </w:div>
    <w:div w:id="139424028">
      <w:bodyDiv w:val="1"/>
      <w:marLeft w:val="0"/>
      <w:marRight w:val="0"/>
      <w:marTop w:val="0"/>
      <w:marBottom w:val="0"/>
      <w:divBdr>
        <w:top w:val="none" w:sz="0" w:space="0" w:color="auto"/>
        <w:left w:val="none" w:sz="0" w:space="0" w:color="auto"/>
        <w:bottom w:val="none" w:sz="0" w:space="0" w:color="auto"/>
        <w:right w:val="none" w:sz="0" w:space="0" w:color="auto"/>
      </w:divBdr>
      <w:divsChild>
        <w:div w:id="1821341347">
          <w:marLeft w:val="0"/>
          <w:marRight w:val="0"/>
          <w:marTop w:val="0"/>
          <w:marBottom w:val="0"/>
          <w:divBdr>
            <w:top w:val="none" w:sz="0" w:space="0" w:color="auto"/>
            <w:left w:val="none" w:sz="0" w:space="0" w:color="auto"/>
            <w:bottom w:val="none" w:sz="0" w:space="0" w:color="auto"/>
            <w:right w:val="none" w:sz="0" w:space="0" w:color="auto"/>
          </w:divBdr>
          <w:divsChild>
            <w:div w:id="91904659">
              <w:marLeft w:val="0"/>
              <w:marRight w:val="0"/>
              <w:marTop w:val="0"/>
              <w:marBottom w:val="0"/>
              <w:divBdr>
                <w:top w:val="none" w:sz="0" w:space="0" w:color="auto"/>
                <w:left w:val="none" w:sz="0" w:space="0" w:color="auto"/>
                <w:bottom w:val="none" w:sz="0" w:space="0" w:color="auto"/>
                <w:right w:val="none" w:sz="0" w:space="0" w:color="auto"/>
              </w:divBdr>
              <w:divsChild>
                <w:div w:id="205610424">
                  <w:marLeft w:val="0"/>
                  <w:marRight w:val="0"/>
                  <w:marTop w:val="0"/>
                  <w:marBottom w:val="0"/>
                  <w:divBdr>
                    <w:top w:val="none" w:sz="0" w:space="0" w:color="auto"/>
                    <w:left w:val="none" w:sz="0" w:space="0" w:color="auto"/>
                    <w:bottom w:val="none" w:sz="0" w:space="0" w:color="auto"/>
                    <w:right w:val="none" w:sz="0" w:space="0" w:color="auto"/>
                  </w:divBdr>
                  <w:divsChild>
                    <w:div w:id="744687126">
                      <w:marLeft w:val="0"/>
                      <w:marRight w:val="0"/>
                      <w:marTop w:val="0"/>
                      <w:marBottom w:val="0"/>
                      <w:divBdr>
                        <w:top w:val="none" w:sz="0" w:space="0" w:color="auto"/>
                        <w:left w:val="none" w:sz="0" w:space="0" w:color="auto"/>
                        <w:bottom w:val="none" w:sz="0" w:space="0" w:color="auto"/>
                        <w:right w:val="none" w:sz="0" w:space="0" w:color="auto"/>
                      </w:divBdr>
                      <w:divsChild>
                        <w:div w:id="658389621">
                          <w:marLeft w:val="0"/>
                          <w:marRight w:val="0"/>
                          <w:marTop w:val="0"/>
                          <w:marBottom w:val="0"/>
                          <w:divBdr>
                            <w:top w:val="none" w:sz="0" w:space="0" w:color="auto"/>
                            <w:left w:val="none" w:sz="0" w:space="0" w:color="auto"/>
                            <w:bottom w:val="none" w:sz="0" w:space="0" w:color="auto"/>
                            <w:right w:val="none" w:sz="0" w:space="0" w:color="auto"/>
                          </w:divBdr>
                          <w:divsChild>
                            <w:div w:id="49117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047657">
      <w:bodyDiv w:val="1"/>
      <w:marLeft w:val="0"/>
      <w:marRight w:val="0"/>
      <w:marTop w:val="0"/>
      <w:marBottom w:val="0"/>
      <w:divBdr>
        <w:top w:val="none" w:sz="0" w:space="0" w:color="auto"/>
        <w:left w:val="none" w:sz="0" w:space="0" w:color="auto"/>
        <w:bottom w:val="none" w:sz="0" w:space="0" w:color="auto"/>
        <w:right w:val="none" w:sz="0" w:space="0" w:color="auto"/>
      </w:divBdr>
    </w:div>
    <w:div w:id="182283863">
      <w:bodyDiv w:val="1"/>
      <w:marLeft w:val="0"/>
      <w:marRight w:val="0"/>
      <w:marTop w:val="0"/>
      <w:marBottom w:val="0"/>
      <w:divBdr>
        <w:top w:val="none" w:sz="0" w:space="0" w:color="auto"/>
        <w:left w:val="none" w:sz="0" w:space="0" w:color="auto"/>
        <w:bottom w:val="none" w:sz="0" w:space="0" w:color="auto"/>
        <w:right w:val="none" w:sz="0" w:space="0" w:color="auto"/>
      </w:divBdr>
    </w:div>
    <w:div w:id="188226555">
      <w:bodyDiv w:val="1"/>
      <w:marLeft w:val="0"/>
      <w:marRight w:val="0"/>
      <w:marTop w:val="0"/>
      <w:marBottom w:val="0"/>
      <w:divBdr>
        <w:top w:val="none" w:sz="0" w:space="0" w:color="auto"/>
        <w:left w:val="none" w:sz="0" w:space="0" w:color="auto"/>
        <w:bottom w:val="none" w:sz="0" w:space="0" w:color="auto"/>
        <w:right w:val="none" w:sz="0" w:space="0" w:color="auto"/>
      </w:divBdr>
    </w:div>
    <w:div w:id="192960455">
      <w:bodyDiv w:val="1"/>
      <w:marLeft w:val="0"/>
      <w:marRight w:val="0"/>
      <w:marTop w:val="0"/>
      <w:marBottom w:val="0"/>
      <w:divBdr>
        <w:top w:val="none" w:sz="0" w:space="0" w:color="auto"/>
        <w:left w:val="none" w:sz="0" w:space="0" w:color="auto"/>
        <w:bottom w:val="none" w:sz="0" w:space="0" w:color="auto"/>
        <w:right w:val="none" w:sz="0" w:space="0" w:color="auto"/>
      </w:divBdr>
    </w:div>
    <w:div w:id="271516540">
      <w:bodyDiv w:val="1"/>
      <w:marLeft w:val="0"/>
      <w:marRight w:val="0"/>
      <w:marTop w:val="0"/>
      <w:marBottom w:val="0"/>
      <w:divBdr>
        <w:top w:val="none" w:sz="0" w:space="0" w:color="auto"/>
        <w:left w:val="none" w:sz="0" w:space="0" w:color="auto"/>
        <w:bottom w:val="none" w:sz="0" w:space="0" w:color="auto"/>
        <w:right w:val="none" w:sz="0" w:space="0" w:color="auto"/>
      </w:divBdr>
    </w:div>
    <w:div w:id="277950301">
      <w:bodyDiv w:val="1"/>
      <w:marLeft w:val="0"/>
      <w:marRight w:val="0"/>
      <w:marTop w:val="0"/>
      <w:marBottom w:val="0"/>
      <w:divBdr>
        <w:top w:val="none" w:sz="0" w:space="0" w:color="auto"/>
        <w:left w:val="none" w:sz="0" w:space="0" w:color="auto"/>
        <w:bottom w:val="none" w:sz="0" w:space="0" w:color="auto"/>
        <w:right w:val="none" w:sz="0" w:space="0" w:color="auto"/>
      </w:divBdr>
    </w:div>
    <w:div w:id="283849664">
      <w:bodyDiv w:val="1"/>
      <w:marLeft w:val="0"/>
      <w:marRight w:val="0"/>
      <w:marTop w:val="0"/>
      <w:marBottom w:val="0"/>
      <w:divBdr>
        <w:top w:val="none" w:sz="0" w:space="0" w:color="auto"/>
        <w:left w:val="none" w:sz="0" w:space="0" w:color="auto"/>
        <w:bottom w:val="none" w:sz="0" w:space="0" w:color="auto"/>
        <w:right w:val="none" w:sz="0" w:space="0" w:color="auto"/>
      </w:divBdr>
    </w:div>
    <w:div w:id="302009774">
      <w:bodyDiv w:val="1"/>
      <w:marLeft w:val="0"/>
      <w:marRight w:val="0"/>
      <w:marTop w:val="0"/>
      <w:marBottom w:val="0"/>
      <w:divBdr>
        <w:top w:val="none" w:sz="0" w:space="0" w:color="auto"/>
        <w:left w:val="none" w:sz="0" w:space="0" w:color="auto"/>
        <w:bottom w:val="none" w:sz="0" w:space="0" w:color="auto"/>
        <w:right w:val="none" w:sz="0" w:space="0" w:color="auto"/>
      </w:divBdr>
    </w:div>
    <w:div w:id="311446626">
      <w:bodyDiv w:val="1"/>
      <w:marLeft w:val="0"/>
      <w:marRight w:val="0"/>
      <w:marTop w:val="0"/>
      <w:marBottom w:val="0"/>
      <w:divBdr>
        <w:top w:val="none" w:sz="0" w:space="0" w:color="auto"/>
        <w:left w:val="none" w:sz="0" w:space="0" w:color="auto"/>
        <w:bottom w:val="none" w:sz="0" w:space="0" w:color="auto"/>
        <w:right w:val="none" w:sz="0" w:space="0" w:color="auto"/>
      </w:divBdr>
    </w:div>
    <w:div w:id="329917147">
      <w:bodyDiv w:val="1"/>
      <w:marLeft w:val="0"/>
      <w:marRight w:val="0"/>
      <w:marTop w:val="0"/>
      <w:marBottom w:val="0"/>
      <w:divBdr>
        <w:top w:val="none" w:sz="0" w:space="0" w:color="auto"/>
        <w:left w:val="none" w:sz="0" w:space="0" w:color="auto"/>
        <w:bottom w:val="none" w:sz="0" w:space="0" w:color="auto"/>
        <w:right w:val="none" w:sz="0" w:space="0" w:color="auto"/>
      </w:divBdr>
    </w:div>
    <w:div w:id="334461891">
      <w:bodyDiv w:val="1"/>
      <w:marLeft w:val="0"/>
      <w:marRight w:val="0"/>
      <w:marTop w:val="0"/>
      <w:marBottom w:val="0"/>
      <w:divBdr>
        <w:top w:val="none" w:sz="0" w:space="0" w:color="auto"/>
        <w:left w:val="none" w:sz="0" w:space="0" w:color="auto"/>
        <w:bottom w:val="none" w:sz="0" w:space="0" w:color="auto"/>
        <w:right w:val="none" w:sz="0" w:space="0" w:color="auto"/>
      </w:divBdr>
    </w:div>
    <w:div w:id="337804836">
      <w:bodyDiv w:val="1"/>
      <w:marLeft w:val="0"/>
      <w:marRight w:val="0"/>
      <w:marTop w:val="0"/>
      <w:marBottom w:val="0"/>
      <w:divBdr>
        <w:top w:val="none" w:sz="0" w:space="0" w:color="auto"/>
        <w:left w:val="none" w:sz="0" w:space="0" w:color="auto"/>
        <w:bottom w:val="none" w:sz="0" w:space="0" w:color="auto"/>
        <w:right w:val="none" w:sz="0" w:space="0" w:color="auto"/>
      </w:divBdr>
    </w:div>
    <w:div w:id="374045247">
      <w:bodyDiv w:val="1"/>
      <w:marLeft w:val="0"/>
      <w:marRight w:val="0"/>
      <w:marTop w:val="0"/>
      <w:marBottom w:val="0"/>
      <w:divBdr>
        <w:top w:val="none" w:sz="0" w:space="0" w:color="auto"/>
        <w:left w:val="none" w:sz="0" w:space="0" w:color="auto"/>
        <w:bottom w:val="none" w:sz="0" w:space="0" w:color="auto"/>
        <w:right w:val="none" w:sz="0" w:space="0" w:color="auto"/>
      </w:divBdr>
      <w:divsChild>
        <w:div w:id="506864930">
          <w:marLeft w:val="0"/>
          <w:marRight w:val="0"/>
          <w:marTop w:val="0"/>
          <w:marBottom w:val="160"/>
          <w:divBdr>
            <w:top w:val="none" w:sz="0" w:space="0" w:color="auto"/>
            <w:left w:val="none" w:sz="0" w:space="0" w:color="auto"/>
            <w:bottom w:val="none" w:sz="0" w:space="0" w:color="auto"/>
            <w:right w:val="none" w:sz="0" w:space="0" w:color="auto"/>
          </w:divBdr>
        </w:div>
        <w:div w:id="563570546">
          <w:marLeft w:val="0"/>
          <w:marRight w:val="0"/>
          <w:marTop w:val="0"/>
          <w:marBottom w:val="160"/>
          <w:divBdr>
            <w:top w:val="none" w:sz="0" w:space="0" w:color="auto"/>
            <w:left w:val="none" w:sz="0" w:space="0" w:color="auto"/>
            <w:bottom w:val="none" w:sz="0" w:space="0" w:color="auto"/>
            <w:right w:val="none" w:sz="0" w:space="0" w:color="auto"/>
          </w:divBdr>
        </w:div>
        <w:div w:id="773287731">
          <w:marLeft w:val="0"/>
          <w:marRight w:val="0"/>
          <w:marTop w:val="0"/>
          <w:marBottom w:val="160"/>
          <w:divBdr>
            <w:top w:val="none" w:sz="0" w:space="0" w:color="auto"/>
            <w:left w:val="none" w:sz="0" w:space="0" w:color="auto"/>
            <w:bottom w:val="none" w:sz="0" w:space="0" w:color="auto"/>
            <w:right w:val="none" w:sz="0" w:space="0" w:color="auto"/>
          </w:divBdr>
        </w:div>
      </w:divsChild>
    </w:div>
    <w:div w:id="428160872">
      <w:bodyDiv w:val="1"/>
      <w:marLeft w:val="0"/>
      <w:marRight w:val="0"/>
      <w:marTop w:val="0"/>
      <w:marBottom w:val="0"/>
      <w:divBdr>
        <w:top w:val="none" w:sz="0" w:space="0" w:color="auto"/>
        <w:left w:val="none" w:sz="0" w:space="0" w:color="auto"/>
        <w:bottom w:val="none" w:sz="0" w:space="0" w:color="auto"/>
        <w:right w:val="none" w:sz="0" w:space="0" w:color="auto"/>
      </w:divBdr>
    </w:div>
    <w:div w:id="432018390">
      <w:bodyDiv w:val="1"/>
      <w:marLeft w:val="0"/>
      <w:marRight w:val="0"/>
      <w:marTop w:val="0"/>
      <w:marBottom w:val="0"/>
      <w:divBdr>
        <w:top w:val="none" w:sz="0" w:space="0" w:color="auto"/>
        <w:left w:val="none" w:sz="0" w:space="0" w:color="auto"/>
        <w:bottom w:val="none" w:sz="0" w:space="0" w:color="auto"/>
        <w:right w:val="none" w:sz="0" w:space="0" w:color="auto"/>
      </w:divBdr>
    </w:div>
    <w:div w:id="438305584">
      <w:bodyDiv w:val="1"/>
      <w:marLeft w:val="0"/>
      <w:marRight w:val="0"/>
      <w:marTop w:val="0"/>
      <w:marBottom w:val="0"/>
      <w:divBdr>
        <w:top w:val="none" w:sz="0" w:space="0" w:color="auto"/>
        <w:left w:val="none" w:sz="0" w:space="0" w:color="auto"/>
        <w:bottom w:val="none" w:sz="0" w:space="0" w:color="auto"/>
        <w:right w:val="none" w:sz="0" w:space="0" w:color="auto"/>
      </w:divBdr>
    </w:div>
    <w:div w:id="493691612">
      <w:bodyDiv w:val="1"/>
      <w:marLeft w:val="0"/>
      <w:marRight w:val="0"/>
      <w:marTop w:val="0"/>
      <w:marBottom w:val="0"/>
      <w:divBdr>
        <w:top w:val="none" w:sz="0" w:space="0" w:color="auto"/>
        <w:left w:val="none" w:sz="0" w:space="0" w:color="auto"/>
        <w:bottom w:val="none" w:sz="0" w:space="0" w:color="auto"/>
        <w:right w:val="none" w:sz="0" w:space="0" w:color="auto"/>
      </w:divBdr>
    </w:div>
    <w:div w:id="497113796">
      <w:bodyDiv w:val="1"/>
      <w:marLeft w:val="0"/>
      <w:marRight w:val="0"/>
      <w:marTop w:val="0"/>
      <w:marBottom w:val="0"/>
      <w:divBdr>
        <w:top w:val="none" w:sz="0" w:space="0" w:color="auto"/>
        <w:left w:val="none" w:sz="0" w:space="0" w:color="auto"/>
        <w:bottom w:val="none" w:sz="0" w:space="0" w:color="auto"/>
        <w:right w:val="none" w:sz="0" w:space="0" w:color="auto"/>
      </w:divBdr>
      <w:divsChild>
        <w:div w:id="932205885">
          <w:marLeft w:val="0"/>
          <w:marRight w:val="0"/>
          <w:marTop w:val="0"/>
          <w:marBottom w:val="0"/>
          <w:divBdr>
            <w:top w:val="none" w:sz="0" w:space="0" w:color="auto"/>
            <w:left w:val="none" w:sz="0" w:space="0" w:color="auto"/>
            <w:bottom w:val="none" w:sz="0" w:space="0" w:color="auto"/>
            <w:right w:val="none" w:sz="0" w:space="0" w:color="auto"/>
          </w:divBdr>
          <w:divsChild>
            <w:div w:id="396978682">
              <w:marLeft w:val="0"/>
              <w:marRight w:val="0"/>
              <w:marTop w:val="0"/>
              <w:marBottom w:val="0"/>
              <w:divBdr>
                <w:top w:val="none" w:sz="0" w:space="0" w:color="auto"/>
                <w:left w:val="none" w:sz="0" w:space="0" w:color="auto"/>
                <w:bottom w:val="none" w:sz="0" w:space="0" w:color="auto"/>
                <w:right w:val="none" w:sz="0" w:space="0" w:color="auto"/>
              </w:divBdr>
              <w:divsChild>
                <w:div w:id="1886520651">
                  <w:marLeft w:val="0"/>
                  <w:marRight w:val="0"/>
                  <w:marTop w:val="0"/>
                  <w:marBottom w:val="0"/>
                  <w:divBdr>
                    <w:top w:val="none" w:sz="0" w:space="0" w:color="auto"/>
                    <w:left w:val="none" w:sz="0" w:space="0" w:color="auto"/>
                    <w:bottom w:val="none" w:sz="0" w:space="0" w:color="auto"/>
                    <w:right w:val="none" w:sz="0" w:space="0" w:color="auto"/>
                  </w:divBdr>
                  <w:divsChild>
                    <w:div w:id="1561600205">
                      <w:marLeft w:val="0"/>
                      <w:marRight w:val="0"/>
                      <w:marTop w:val="0"/>
                      <w:marBottom w:val="0"/>
                      <w:divBdr>
                        <w:top w:val="none" w:sz="0" w:space="0" w:color="auto"/>
                        <w:left w:val="none" w:sz="0" w:space="0" w:color="auto"/>
                        <w:bottom w:val="none" w:sz="0" w:space="0" w:color="auto"/>
                        <w:right w:val="none" w:sz="0" w:space="0" w:color="auto"/>
                      </w:divBdr>
                      <w:divsChild>
                        <w:div w:id="312949149">
                          <w:marLeft w:val="0"/>
                          <w:marRight w:val="0"/>
                          <w:marTop w:val="0"/>
                          <w:marBottom w:val="0"/>
                          <w:divBdr>
                            <w:top w:val="none" w:sz="0" w:space="0" w:color="auto"/>
                            <w:left w:val="none" w:sz="0" w:space="0" w:color="auto"/>
                            <w:bottom w:val="none" w:sz="0" w:space="0" w:color="auto"/>
                            <w:right w:val="none" w:sz="0" w:space="0" w:color="auto"/>
                          </w:divBdr>
                          <w:divsChild>
                            <w:div w:id="1128743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9076646">
      <w:bodyDiv w:val="1"/>
      <w:marLeft w:val="0"/>
      <w:marRight w:val="0"/>
      <w:marTop w:val="0"/>
      <w:marBottom w:val="0"/>
      <w:divBdr>
        <w:top w:val="none" w:sz="0" w:space="0" w:color="auto"/>
        <w:left w:val="none" w:sz="0" w:space="0" w:color="auto"/>
        <w:bottom w:val="none" w:sz="0" w:space="0" w:color="auto"/>
        <w:right w:val="none" w:sz="0" w:space="0" w:color="auto"/>
      </w:divBdr>
    </w:div>
    <w:div w:id="588775434">
      <w:bodyDiv w:val="1"/>
      <w:marLeft w:val="0"/>
      <w:marRight w:val="0"/>
      <w:marTop w:val="0"/>
      <w:marBottom w:val="0"/>
      <w:divBdr>
        <w:top w:val="none" w:sz="0" w:space="0" w:color="auto"/>
        <w:left w:val="none" w:sz="0" w:space="0" w:color="auto"/>
        <w:bottom w:val="none" w:sz="0" w:space="0" w:color="auto"/>
        <w:right w:val="none" w:sz="0" w:space="0" w:color="auto"/>
      </w:divBdr>
      <w:divsChild>
        <w:div w:id="686953851">
          <w:marLeft w:val="0"/>
          <w:marRight w:val="0"/>
          <w:marTop w:val="0"/>
          <w:marBottom w:val="0"/>
          <w:divBdr>
            <w:top w:val="none" w:sz="0" w:space="0" w:color="auto"/>
            <w:left w:val="none" w:sz="0" w:space="0" w:color="auto"/>
            <w:bottom w:val="none" w:sz="0" w:space="0" w:color="auto"/>
            <w:right w:val="none" w:sz="0" w:space="0" w:color="auto"/>
          </w:divBdr>
          <w:divsChild>
            <w:div w:id="172259401">
              <w:marLeft w:val="0"/>
              <w:marRight w:val="0"/>
              <w:marTop w:val="0"/>
              <w:marBottom w:val="0"/>
              <w:divBdr>
                <w:top w:val="none" w:sz="0" w:space="0" w:color="auto"/>
                <w:left w:val="none" w:sz="0" w:space="0" w:color="auto"/>
                <w:bottom w:val="none" w:sz="0" w:space="0" w:color="auto"/>
                <w:right w:val="none" w:sz="0" w:space="0" w:color="auto"/>
              </w:divBdr>
              <w:divsChild>
                <w:div w:id="2105608189">
                  <w:marLeft w:val="0"/>
                  <w:marRight w:val="0"/>
                  <w:marTop w:val="0"/>
                  <w:marBottom w:val="0"/>
                  <w:divBdr>
                    <w:top w:val="none" w:sz="0" w:space="0" w:color="auto"/>
                    <w:left w:val="none" w:sz="0" w:space="0" w:color="auto"/>
                    <w:bottom w:val="none" w:sz="0" w:space="0" w:color="auto"/>
                    <w:right w:val="none" w:sz="0" w:space="0" w:color="auto"/>
                  </w:divBdr>
                  <w:divsChild>
                    <w:div w:id="1691952384">
                      <w:marLeft w:val="0"/>
                      <w:marRight w:val="0"/>
                      <w:marTop w:val="0"/>
                      <w:marBottom w:val="0"/>
                      <w:divBdr>
                        <w:top w:val="none" w:sz="0" w:space="0" w:color="auto"/>
                        <w:left w:val="none" w:sz="0" w:space="0" w:color="auto"/>
                        <w:bottom w:val="none" w:sz="0" w:space="0" w:color="auto"/>
                        <w:right w:val="none" w:sz="0" w:space="0" w:color="auto"/>
                      </w:divBdr>
                      <w:divsChild>
                        <w:div w:id="1490360998">
                          <w:marLeft w:val="0"/>
                          <w:marRight w:val="0"/>
                          <w:marTop w:val="0"/>
                          <w:marBottom w:val="0"/>
                          <w:divBdr>
                            <w:top w:val="none" w:sz="0" w:space="0" w:color="auto"/>
                            <w:left w:val="none" w:sz="0" w:space="0" w:color="auto"/>
                            <w:bottom w:val="none" w:sz="0" w:space="0" w:color="auto"/>
                            <w:right w:val="none" w:sz="0" w:space="0" w:color="auto"/>
                          </w:divBdr>
                          <w:divsChild>
                            <w:div w:id="626544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3080197">
      <w:bodyDiv w:val="1"/>
      <w:marLeft w:val="0"/>
      <w:marRight w:val="0"/>
      <w:marTop w:val="0"/>
      <w:marBottom w:val="0"/>
      <w:divBdr>
        <w:top w:val="none" w:sz="0" w:space="0" w:color="auto"/>
        <w:left w:val="none" w:sz="0" w:space="0" w:color="auto"/>
        <w:bottom w:val="none" w:sz="0" w:space="0" w:color="auto"/>
        <w:right w:val="none" w:sz="0" w:space="0" w:color="auto"/>
      </w:divBdr>
    </w:div>
    <w:div w:id="639845968">
      <w:bodyDiv w:val="1"/>
      <w:marLeft w:val="0"/>
      <w:marRight w:val="0"/>
      <w:marTop w:val="0"/>
      <w:marBottom w:val="0"/>
      <w:divBdr>
        <w:top w:val="none" w:sz="0" w:space="0" w:color="auto"/>
        <w:left w:val="none" w:sz="0" w:space="0" w:color="auto"/>
        <w:bottom w:val="none" w:sz="0" w:space="0" w:color="auto"/>
        <w:right w:val="none" w:sz="0" w:space="0" w:color="auto"/>
      </w:divBdr>
    </w:div>
    <w:div w:id="696200587">
      <w:bodyDiv w:val="1"/>
      <w:marLeft w:val="0"/>
      <w:marRight w:val="0"/>
      <w:marTop w:val="0"/>
      <w:marBottom w:val="0"/>
      <w:divBdr>
        <w:top w:val="none" w:sz="0" w:space="0" w:color="auto"/>
        <w:left w:val="none" w:sz="0" w:space="0" w:color="auto"/>
        <w:bottom w:val="none" w:sz="0" w:space="0" w:color="auto"/>
        <w:right w:val="none" w:sz="0" w:space="0" w:color="auto"/>
      </w:divBdr>
    </w:div>
    <w:div w:id="719481719">
      <w:bodyDiv w:val="1"/>
      <w:marLeft w:val="0"/>
      <w:marRight w:val="0"/>
      <w:marTop w:val="0"/>
      <w:marBottom w:val="0"/>
      <w:divBdr>
        <w:top w:val="none" w:sz="0" w:space="0" w:color="auto"/>
        <w:left w:val="none" w:sz="0" w:space="0" w:color="auto"/>
        <w:bottom w:val="none" w:sz="0" w:space="0" w:color="auto"/>
        <w:right w:val="none" w:sz="0" w:space="0" w:color="auto"/>
      </w:divBdr>
    </w:div>
    <w:div w:id="723599209">
      <w:bodyDiv w:val="1"/>
      <w:marLeft w:val="0"/>
      <w:marRight w:val="0"/>
      <w:marTop w:val="0"/>
      <w:marBottom w:val="0"/>
      <w:divBdr>
        <w:top w:val="none" w:sz="0" w:space="0" w:color="auto"/>
        <w:left w:val="none" w:sz="0" w:space="0" w:color="auto"/>
        <w:bottom w:val="none" w:sz="0" w:space="0" w:color="auto"/>
        <w:right w:val="none" w:sz="0" w:space="0" w:color="auto"/>
      </w:divBdr>
    </w:div>
    <w:div w:id="745341291">
      <w:bodyDiv w:val="1"/>
      <w:marLeft w:val="0"/>
      <w:marRight w:val="0"/>
      <w:marTop w:val="0"/>
      <w:marBottom w:val="0"/>
      <w:divBdr>
        <w:top w:val="none" w:sz="0" w:space="0" w:color="auto"/>
        <w:left w:val="none" w:sz="0" w:space="0" w:color="auto"/>
        <w:bottom w:val="none" w:sz="0" w:space="0" w:color="auto"/>
        <w:right w:val="none" w:sz="0" w:space="0" w:color="auto"/>
      </w:divBdr>
    </w:div>
    <w:div w:id="784926870">
      <w:bodyDiv w:val="1"/>
      <w:marLeft w:val="0"/>
      <w:marRight w:val="0"/>
      <w:marTop w:val="0"/>
      <w:marBottom w:val="0"/>
      <w:divBdr>
        <w:top w:val="none" w:sz="0" w:space="0" w:color="auto"/>
        <w:left w:val="none" w:sz="0" w:space="0" w:color="auto"/>
        <w:bottom w:val="none" w:sz="0" w:space="0" w:color="auto"/>
        <w:right w:val="none" w:sz="0" w:space="0" w:color="auto"/>
      </w:divBdr>
    </w:div>
    <w:div w:id="850341528">
      <w:bodyDiv w:val="1"/>
      <w:marLeft w:val="0"/>
      <w:marRight w:val="0"/>
      <w:marTop w:val="0"/>
      <w:marBottom w:val="0"/>
      <w:divBdr>
        <w:top w:val="none" w:sz="0" w:space="0" w:color="auto"/>
        <w:left w:val="none" w:sz="0" w:space="0" w:color="auto"/>
        <w:bottom w:val="none" w:sz="0" w:space="0" w:color="auto"/>
        <w:right w:val="none" w:sz="0" w:space="0" w:color="auto"/>
      </w:divBdr>
    </w:div>
    <w:div w:id="905454849">
      <w:bodyDiv w:val="1"/>
      <w:marLeft w:val="0"/>
      <w:marRight w:val="0"/>
      <w:marTop w:val="0"/>
      <w:marBottom w:val="0"/>
      <w:divBdr>
        <w:top w:val="none" w:sz="0" w:space="0" w:color="auto"/>
        <w:left w:val="none" w:sz="0" w:space="0" w:color="auto"/>
        <w:bottom w:val="none" w:sz="0" w:space="0" w:color="auto"/>
        <w:right w:val="none" w:sz="0" w:space="0" w:color="auto"/>
      </w:divBdr>
      <w:divsChild>
        <w:div w:id="591283175">
          <w:marLeft w:val="0"/>
          <w:marRight w:val="0"/>
          <w:marTop w:val="0"/>
          <w:marBottom w:val="160"/>
          <w:divBdr>
            <w:top w:val="none" w:sz="0" w:space="0" w:color="auto"/>
            <w:left w:val="none" w:sz="0" w:space="0" w:color="auto"/>
            <w:bottom w:val="none" w:sz="0" w:space="0" w:color="auto"/>
            <w:right w:val="none" w:sz="0" w:space="0" w:color="auto"/>
          </w:divBdr>
        </w:div>
        <w:div w:id="2145074026">
          <w:marLeft w:val="0"/>
          <w:marRight w:val="0"/>
          <w:marTop w:val="0"/>
          <w:marBottom w:val="160"/>
          <w:divBdr>
            <w:top w:val="none" w:sz="0" w:space="0" w:color="auto"/>
            <w:left w:val="none" w:sz="0" w:space="0" w:color="auto"/>
            <w:bottom w:val="none" w:sz="0" w:space="0" w:color="auto"/>
            <w:right w:val="none" w:sz="0" w:space="0" w:color="auto"/>
          </w:divBdr>
        </w:div>
        <w:div w:id="1578511561">
          <w:marLeft w:val="0"/>
          <w:marRight w:val="0"/>
          <w:marTop w:val="0"/>
          <w:marBottom w:val="160"/>
          <w:divBdr>
            <w:top w:val="none" w:sz="0" w:space="0" w:color="auto"/>
            <w:left w:val="none" w:sz="0" w:space="0" w:color="auto"/>
            <w:bottom w:val="none" w:sz="0" w:space="0" w:color="auto"/>
            <w:right w:val="none" w:sz="0" w:space="0" w:color="auto"/>
          </w:divBdr>
        </w:div>
      </w:divsChild>
    </w:div>
    <w:div w:id="935362018">
      <w:bodyDiv w:val="1"/>
      <w:marLeft w:val="0"/>
      <w:marRight w:val="0"/>
      <w:marTop w:val="0"/>
      <w:marBottom w:val="0"/>
      <w:divBdr>
        <w:top w:val="none" w:sz="0" w:space="0" w:color="auto"/>
        <w:left w:val="none" w:sz="0" w:space="0" w:color="auto"/>
        <w:bottom w:val="none" w:sz="0" w:space="0" w:color="auto"/>
        <w:right w:val="none" w:sz="0" w:space="0" w:color="auto"/>
      </w:divBdr>
    </w:div>
    <w:div w:id="951672208">
      <w:bodyDiv w:val="1"/>
      <w:marLeft w:val="0"/>
      <w:marRight w:val="0"/>
      <w:marTop w:val="0"/>
      <w:marBottom w:val="0"/>
      <w:divBdr>
        <w:top w:val="none" w:sz="0" w:space="0" w:color="auto"/>
        <w:left w:val="none" w:sz="0" w:space="0" w:color="auto"/>
        <w:bottom w:val="none" w:sz="0" w:space="0" w:color="auto"/>
        <w:right w:val="none" w:sz="0" w:space="0" w:color="auto"/>
      </w:divBdr>
    </w:div>
    <w:div w:id="1015158801">
      <w:bodyDiv w:val="1"/>
      <w:marLeft w:val="0"/>
      <w:marRight w:val="0"/>
      <w:marTop w:val="0"/>
      <w:marBottom w:val="0"/>
      <w:divBdr>
        <w:top w:val="none" w:sz="0" w:space="0" w:color="auto"/>
        <w:left w:val="none" w:sz="0" w:space="0" w:color="auto"/>
        <w:bottom w:val="none" w:sz="0" w:space="0" w:color="auto"/>
        <w:right w:val="none" w:sz="0" w:space="0" w:color="auto"/>
      </w:divBdr>
    </w:div>
    <w:div w:id="1067846211">
      <w:bodyDiv w:val="1"/>
      <w:marLeft w:val="0"/>
      <w:marRight w:val="0"/>
      <w:marTop w:val="0"/>
      <w:marBottom w:val="0"/>
      <w:divBdr>
        <w:top w:val="none" w:sz="0" w:space="0" w:color="auto"/>
        <w:left w:val="none" w:sz="0" w:space="0" w:color="auto"/>
        <w:bottom w:val="none" w:sz="0" w:space="0" w:color="auto"/>
        <w:right w:val="none" w:sz="0" w:space="0" w:color="auto"/>
      </w:divBdr>
    </w:div>
    <w:div w:id="1072897937">
      <w:bodyDiv w:val="1"/>
      <w:marLeft w:val="0"/>
      <w:marRight w:val="0"/>
      <w:marTop w:val="0"/>
      <w:marBottom w:val="0"/>
      <w:divBdr>
        <w:top w:val="none" w:sz="0" w:space="0" w:color="auto"/>
        <w:left w:val="none" w:sz="0" w:space="0" w:color="auto"/>
        <w:bottom w:val="none" w:sz="0" w:space="0" w:color="auto"/>
        <w:right w:val="none" w:sz="0" w:space="0" w:color="auto"/>
      </w:divBdr>
    </w:div>
    <w:div w:id="1090585167">
      <w:bodyDiv w:val="1"/>
      <w:marLeft w:val="0"/>
      <w:marRight w:val="0"/>
      <w:marTop w:val="0"/>
      <w:marBottom w:val="0"/>
      <w:divBdr>
        <w:top w:val="none" w:sz="0" w:space="0" w:color="auto"/>
        <w:left w:val="none" w:sz="0" w:space="0" w:color="auto"/>
        <w:bottom w:val="none" w:sz="0" w:space="0" w:color="auto"/>
        <w:right w:val="none" w:sz="0" w:space="0" w:color="auto"/>
      </w:divBdr>
    </w:div>
    <w:div w:id="1107236897">
      <w:bodyDiv w:val="1"/>
      <w:marLeft w:val="0"/>
      <w:marRight w:val="0"/>
      <w:marTop w:val="0"/>
      <w:marBottom w:val="0"/>
      <w:divBdr>
        <w:top w:val="none" w:sz="0" w:space="0" w:color="auto"/>
        <w:left w:val="none" w:sz="0" w:space="0" w:color="auto"/>
        <w:bottom w:val="none" w:sz="0" w:space="0" w:color="auto"/>
        <w:right w:val="none" w:sz="0" w:space="0" w:color="auto"/>
      </w:divBdr>
      <w:divsChild>
        <w:div w:id="477647396">
          <w:marLeft w:val="0"/>
          <w:marRight w:val="0"/>
          <w:marTop w:val="0"/>
          <w:marBottom w:val="0"/>
          <w:divBdr>
            <w:top w:val="none" w:sz="0" w:space="0" w:color="auto"/>
            <w:left w:val="none" w:sz="0" w:space="0" w:color="auto"/>
            <w:bottom w:val="none" w:sz="0" w:space="0" w:color="auto"/>
            <w:right w:val="none" w:sz="0" w:space="0" w:color="auto"/>
          </w:divBdr>
          <w:divsChild>
            <w:div w:id="796800405">
              <w:marLeft w:val="0"/>
              <w:marRight w:val="0"/>
              <w:marTop w:val="0"/>
              <w:marBottom w:val="0"/>
              <w:divBdr>
                <w:top w:val="none" w:sz="0" w:space="0" w:color="auto"/>
                <w:left w:val="none" w:sz="0" w:space="0" w:color="auto"/>
                <w:bottom w:val="none" w:sz="0" w:space="0" w:color="auto"/>
                <w:right w:val="none" w:sz="0" w:space="0" w:color="auto"/>
              </w:divBdr>
              <w:divsChild>
                <w:div w:id="969165727">
                  <w:marLeft w:val="0"/>
                  <w:marRight w:val="0"/>
                  <w:marTop w:val="0"/>
                  <w:marBottom w:val="0"/>
                  <w:divBdr>
                    <w:top w:val="none" w:sz="0" w:space="0" w:color="auto"/>
                    <w:left w:val="none" w:sz="0" w:space="0" w:color="auto"/>
                    <w:bottom w:val="none" w:sz="0" w:space="0" w:color="auto"/>
                    <w:right w:val="none" w:sz="0" w:space="0" w:color="auto"/>
                  </w:divBdr>
                  <w:divsChild>
                    <w:div w:id="324626554">
                      <w:marLeft w:val="0"/>
                      <w:marRight w:val="0"/>
                      <w:marTop w:val="0"/>
                      <w:marBottom w:val="0"/>
                      <w:divBdr>
                        <w:top w:val="none" w:sz="0" w:space="0" w:color="auto"/>
                        <w:left w:val="none" w:sz="0" w:space="0" w:color="auto"/>
                        <w:bottom w:val="none" w:sz="0" w:space="0" w:color="auto"/>
                        <w:right w:val="none" w:sz="0" w:space="0" w:color="auto"/>
                      </w:divBdr>
                      <w:divsChild>
                        <w:div w:id="1435707499">
                          <w:marLeft w:val="0"/>
                          <w:marRight w:val="0"/>
                          <w:marTop w:val="0"/>
                          <w:marBottom w:val="0"/>
                          <w:divBdr>
                            <w:top w:val="none" w:sz="0" w:space="0" w:color="auto"/>
                            <w:left w:val="none" w:sz="0" w:space="0" w:color="auto"/>
                            <w:bottom w:val="none" w:sz="0" w:space="0" w:color="auto"/>
                            <w:right w:val="none" w:sz="0" w:space="0" w:color="auto"/>
                          </w:divBdr>
                          <w:divsChild>
                            <w:div w:id="330301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3371148">
      <w:bodyDiv w:val="1"/>
      <w:marLeft w:val="0"/>
      <w:marRight w:val="0"/>
      <w:marTop w:val="0"/>
      <w:marBottom w:val="0"/>
      <w:divBdr>
        <w:top w:val="none" w:sz="0" w:space="0" w:color="auto"/>
        <w:left w:val="none" w:sz="0" w:space="0" w:color="auto"/>
        <w:bottom w:val="none" w:sz="0" w:space="0" w:color="auto"/>
        <w:right w:val="none" w:sz="0" w:space="0" w:color="auto"/>
      </w:divBdr>
      <w:divsChild>
        <w:div w:id="578834935">
          <w:marLeft w:val="0"/>
          <w:marRight w:val="0"/>
          <w:marTop w:val="0"/>
          <w:marBottom w:val="160"/>
          <w:divBdr>
            <w:top w:val="none" w:sz="0" w:space="0" w:color="auto"/>
            <w:left w:val="none" w:sz="0" w:space="0" w:color="auto"/>
            <w:bottom w:val="none" w:sz="0" w:space="0" w:color="auto"/>
            <w:right w:val="none" w:sz="0" w:space="0" w:color="auto"/>
          </w:divBdr>
        </w:div>
        <w:div w:id="86193346">
          <w:marLeft w:val="0"/>
          <w:marRight w:val="0"/>
          <w:marTop w:val="0"/>
          <w:marBottom w:val="160"/>
          <w:divBdr>
            <w:top w:val="none" w:sz="0" w:space="0" w:color="auto"/>
            <w:left w:val="none" w:sz="0" w:space="0" w:color="auto"/>
            <w:bottom w:val="none" w:sz="0" w:space="0" w:color="auto"/>
            <w:right w:val="none" w:sz="0" w:space="0" w:color="auto"/>
          </w:divBdr>
        </w:div>
        <w:div w:id="185557124">
          <w:marLeft w:val="0"/>
          <w:marRight w:val="0"/>
          <w:marTop w:val="0"/>
          <w:marBottom w:val="160"/>
          <w:divBdr>
            <w:top w:val="none" w:sz="0" w:space="0" w:color="auto"/>
            <w:left w:val="none" w:sz="0" w:space="0" w:color="auto"/>
            <w:bottom w:val="none" w:sz="0" w:space="0" w:color="auto"/>
            <w:right w:val="none" w:sz="0" w:space="0" w:color="auto"/>
          </w:divBdr>
        </w:div>
      </w:divsChild>
    </w:div>
    <w:div w:id="1165128992">
      <w:bodyDiv w:val="1"/>
      <w:marLeft w:val="0"/>
      <w:marRight w:val="0"/>
      <w:marTop w:val="0"/>
      <w:marBottom w:val="0"/>
      <w:divBdr>
        <w:top w:val="none" w:sz="0" w:space="0" w:color="auto"/>
        <w:left w:val="none" w:sz="0" w:space="0" w:color="auto"/>
        <w:bottom w:val="none" w:sz="0" w:space="0" w:color="auto"/>
        <w:right w:val="none" w:sz="0" w:space="0" w:color="auto"/>
      </w:divBdr>
    </w:div>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243177627">
      <w:bodyDiv w:val="1"/>
      <w:marLeft w:val="0"/>
      <w:marRight w:val="0"/>
      <w:marTop w:val="0"/>
      <w:marBottom w:val="0"/>
      <w:divBdr>
        <w:top w:val="none" w:sz="0" w:space="0" w:color="auto"/>
        <w:left w:val="none" w:sz="0" w:space="0" w:color="auto"/>
        <w:bottom w:val="none" w:sz="0" w:space="0" w:color="auto"/>
        <w:right w:val="none" w:sz="0" w:space="0" w:color="auto"/>
      </w:divBdr>
    </w:div>
    <w:div w:id="1320504720">
      <w:bodyDiv w:val="1"/>
      <w:marLeft w:val="0"/>
      <w:marRight w:val="0"/>
      <w:marTop w:val="0"/>
      <w:marBottom w:val="0"/>
      <w:divBdr>
        <w:top w:val="none" w:sz="0" w:space="0" w:color="auto"/>
        <w:left w:val="none" w:sz="0" w:space="0" w:color="auto"/>
        <w:bottom w:val="none" w:sz="0" w:space="0" w:color="auto"/>
        <w:right w:val="none" w:sz="0" w:space="0" w:color="auto"/>
      </w:divBdr>
    </w:div>
    <w:div w:id="1347245505">
      <w:bodyDiv w:val="1"/>
      <w:marLeft w:val="0"/>
      <w:marRight w:val="0"/>
      <w:marTop w:val="0"/>
      <w:marBottom w:val="0"/>
      <w:divBdr>
        <w:top w:val="none" w:sz="0" w:space="0" w:color="auto"/>
        <w:left w:val="none" w:sz="0" w:space="0" w:color="auto"/>
        <w:bottom w:val="none" w:sz="0" w:space="0" w:color="auto"/>
        <w:right w:val="none" w:sz="0" w:space="0" w:color="auto"/>
      </w:divBdr>
    </w:div>
    <w:div w:id="1350988023">
      <w:bodyDiv w:val="1"/>
      <w:marLeft w:val="0"/>
      <w:marRight w:val="0"/>
      <w:marTop w:val="0"/>
      <w:marBottom w:val="0"/>
      <w:divBdr>
        <w:top w:val="none" w:sz="0" w:space="0" w:color="auto"/>
        <w:left w:val="none" w:sz="0" w:space="0" w:color="auto"/>
        <w:bottom w:val="none" w:sz="0" w:space="0" w:color="auto"/>
        <w:right w:val="none" w:sz="0" w:space="0" w:color="auto"/>
      </w:divBdr>
    </w:div>
    <w:div w:id="1383409235">
      <w:bodyDiv w:val="1"/>
      <w:marLeft w:val="0"/>
      <w:marRight w:val="0"/>
      <w:marTop w:val="0"/>
      <w:marBottom w:val="0"/>
      <w:divBdr>
        <w:top w:val="none" w:sz="0" w:space="0" w:color="auto"/>
        <w:left w:val="none" w:sz="0" w:space="0" w:color="auto"/>
        <w:bottom w:val="none" w:sz="0" w:space="0" w:color="auto"/>
        <w:right w:val="none" w:sz="0" w:space="0" w:color="auto"/>
      </w:divBdr>
    </w:div>
    <w:div w:id="1391033297">
      <w:bodyDiv w:val="1"/>
      <w:marLeft w:val="0"/>
      <w:marRight w:val="0"/>
      <w:marTop w:val="0"/>
      <w:marBottom w:val="0"/>
      <w:divBdr>
        <w:top w:val="none" w:sz="0" w:space="0" w:color="auto"/>
        <w:left w:val="none" w:sz="0" w:space="0" w:color="auto"/>
        <w:bottom w:val="none" w:sz="0" w:space="0" w:color="auto"/>
        <w:right w:val="none" w:sz="0" w:space="0" w:color="auto"/>
      </w:divBdr>
      <w:divsChild>
        <w:div w:id="1302231751">
          <w:marLeft w:val="0"/>
          <w:marRight w:val="0"/>
          <w:marTop w:val="0"/>
          <w:marBottom w:val="0"/>
          <w:divBdr>
            <w:top w:val="none" w:sz="0" w:space="0" w:color="auto"/>
            <w:left w:val="none" w:sz="0" w:space="0" w:color="auto"/>
            <w:bottom w:val="none" w:sz="0" w:space="0" w:color="auto"/>
            <w:right w:val="none" w:sz="0" w:space="0" w:color="auto"/>
          </w:divBdr>
          <w:divsChild>
            <w:div w:id="1910311305">
              <w:marLeft w:val="0"/>
              <w:marRight w:val="0"/>
              <w:marTop w:val="0"/>
              <w:marBottom w:val="0"/>
              <w:divBdr>
                <w:top w:val="none" w:sz="0" w:space="0" w:color="auto"/>
                <w:left w:val="none" w:sz="0" w:space="0" w:color="auto"/>
                <w:bottom w:val="none" w:sz="0" w:space="0" w:color="auto"/>
                <w:right w:val="none" w:sz="0" w:space="0" w:color="auto"/>
              </w:divBdr>
              <w:divsChild>
                <w:div w:id="245462431">
                  <w:marLeft w:val="0"/>
                  <w:marRight w:val="0"/>
                  <w:marTop w:val="0"/>
                  <w:marBottom w:val="0"/>
                  <w:divBdr>
                    <w:top w:val="none" w:sz="0" w:space="0" w:color="auto"/>
                    <w:left w:val="none" w:sz="0" w:space="0" w:color="auto"/>
                    <w:bottom w:val="none" w:sz="0" w:space="0" w:color="auto"/>
                    <w:right w:val="none" w:sz="0" w:space="0" w:color="auto"/>
                  </w:divBdr>
                  <w:divsChild>
                    <w:div w:id="1029255869">
                      <w:marLeft w:val="0"/>
                      <w:marRight w:val="0"/>
                      <w:marTop w:val="0"/>
                      <w:marBottom w:val="0"/>
                      <w:divBdr>
                        <w:top w:val="none" w:sz="0" w:space="0" w:color="auto"/>
                        <w:left w:val="none" w:sz="0" w:space="0" w:color="auto"/>
                        <w:bottom w:val="none" w:sz="0" w:space="0" w:color="auto"/>
                        <w:right w:val="none" w:sz="0" w:space="0" w:color="auto"/>
                      </w:divBdr>
                      <w:divsChild>
                        <w:div w:id="613244225">
                          <w:marLeft w:val="0"/>
                          <w:marRight w:val="0"/>
                          <w:marTop w:val="0"/>
                          <w:marBottom w:val="0"/>
                          <w:divBdr>
                            <w:top w:val="none" w:sz="0" w:space="0" w:color="auto"/>
                            <w:left w:val="none" w:sz="0" w:space="0" w:color="auto"/>
                            <w:bottom w:val="none" w:sz="0" w:space="0" w:color="auto"/>
                            <w:right w:val="none" w:sz="0" w:space="0" w:color="auto"/>
                          </w:divBdr>
                          <w:divsChild>
                            <w:div w:id="582883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6247560">
      <w:bodyDiv w:val="1"/>
      <w:marLeft w:val="0"/>
      <w:marRight w:val="0"/>
      <w:marTop w:val="0"/>
      <w:marBottom w:val="0"/>
      <w:divBdr>
        <w:top w:val="none" w:sz="0" w:space="0" w:color="auto"/>
        <w:left w:val="none" w:sz="0" w:space="0" w:color="auto"/>
        <w:bottom w:val="none" w:sz="0" w:space="0" w:color="auto"/>
        <w:right w:val="none" w:sz="0" w:space="0" w:color="auto"/>
      </w:divBdr>
    </w:div>
    <w:div w:id="1448115632">
      <w:bodyDiv w:val="1"/>
      <w:marLeft w:val="0"/>
      <w:marRight w:val="0"/>
      <w:marTop w:val="0"/>
      <w:marBottom w:val="0"/>
      <w:divBdr>
        <w:top w:val="none" w:sz="0" w:space="0" w:color="auto"/>
        <w:left w:val="none" w:sz="0" w:space="0" w:color="auto"/>
        <w:bottom w:val="none" w:sz="0" w:space="0" w:color="auto"/>
        <w:right w:val="none" w:sz="0" w:space="0" w:color="auto"/>
      </w:divBdr>
    </w:div>
    <w:div w:id="1475366781">
      <w:bodyDiv w:val="1"/>
      <w:marLeft w:val="0"/>
      <w:marRight w:val="0"/>
      <w:marTop w:val="0"/>
      <w:marBottom w:val="0"/>
      <w:divBdr>
        <w:top w:val="none" w:sz="0" w:space="0" w:color="auto"/>
        <w:left w:val="none" w:sz="0" w:space="0" w:color="auto"/>
        <w:bottom w:val="none" w:sz="0" w:space="0" w:color="auto"/>
        <w:right w:val="none" w:sz="0" w:space="0" w:color="auto"/>
      </w:divBdr>
    </w:div>
    <w:div w:id="1496920400">
      <w:bodyDiv w:val="1"/>
      <w:marLeft w:val="0"/>
      <w:marRight w:val="0"/>
      <w:marTop w:val="0"/>
      <w:marBottom w:val="0"/>
      <w:divBdr>
        <w:top w:val="none" w:sz="0" w:space="0" w:color="auto"/>
        <w:left w:val="none" w:sz="0" w:space="0" w:color="auto"/>
        <w:bottom w:val="none" w:sz="0" w:space="0" w:color="auto"/>
        <w:right w:val="none" w:sz="0" w:space="0" w:color="auto"/>
      </w:divBdr>
    </w:div>
    <w:div w:id="1498619727">
      <w:bodyDiv w:val="1"/>
      <w:marLeft w:val="0"/>
      <w:marRight w:val="0"/>
      <w:marTop w:val="0"/>
      <w:marBottom w:val="0"/>
      <w:divBdr>
        <w:top w:val="none" w:sz="0" w:space="0" w:color="auto"/>
        <w:left w:val="none" w:sz="0" w:space="0" w:color="auto"/>
        <w:bottom w:val="none" w:sz="0" w:space="0" w:color="auto"/>
        <w:right w:val="none" w:sz="0" w:space="0" w:color="auto"/>
      </w:divBdr>
      <w:divsChild>
        <w:div w:id="797839195">
          <w:marLeft w:val="0"/>
          <w:marRight w:val="0"/>
          <w:marTop w:val="0"/>
          <w:marBottom w:val="160"/>
          <w:divBdr>
            <w:top w:val="none" w:sz="0" w:space="0" w:color="auto"/>
            <w:left w:val="none" w:sz="0" w:space="0" w:color="auto"/>
            <w:bottom w:val="none" w:sz="0" w:space="0" w:color="auto"/>
            <w:right w:val="none" w:sz="0" w:space="0" w:color="auto"/>
          </w:divBdr>
        </w:div>
        <w:div w:id="560681091">
          <w:marLeft w:val="0"/>
          <w:marRight w:val="0"/>
          <w:marTop w:val="0"/>
          <w:marBottom w:val="160"/>
          <w:divBdr>
            <w:top w:val="none" w:sz="0" w:space="0" w:color="auto"/>
            <w:left w:val="none" w:sz="0" w:space="0" w:color="auto"/>
            <w:bottom w:val="none" w:sz="0" w:space="0" w:color="auto"/>
            <w:right w:val="none" w:sz="0" w:space="0" w:color="auto"/>
          </w:divBdr>
        </w:div>
        <w:div w:id="1153833297">
          <w:marLeft w:val="0"/>
          <w:marRight w:val="0"/>
          <w:marTop w:val="0"/>
          <w:marBottom w:val="160"/>
          <w:divBdr>
            <w:top w:val="none" w:sz="0" w:space="0" w:color="auto"/>
            <w:left w:val="none" w:sz="0" w:space="0" w:color="auto"/>
            <w:bottom w:val="none" w:sz="0" w:space="0" w:color="auto"/>
            <w:right w:val="none" w:sz="0" w:space="0" w:color="auto"/>
          </w:divBdr>
        </w:div>
      </w:divsChild>
    </w:div>
    <w:div w:id="1505320125">
      <w:bodyDiv w:val="1"/>
      <w:marLeft w:val="0"/>
      <w:marRight w:val="0"/>
      <w:marTop w:val="0"/>
      <w:marBottom w:val="0"/>
      <w:divBdr>
        <w:top w:val="none" w:sz="0" w:space="0" w:color="auto"/>
        <w:left w:val="none" w:sz="0" w:space="0" w:color="auto"/>
        <w:bottom w:val="none" w:sz="0" w:space="0" w:color="auto"/>
        <w:right w:val="none" w:sz="0" w:space="0" w:color="auto"/>
      </w:divBdr>
    </w:div>
    <w:div w:id="1541283808">
      <w:bodyDiv w:val="1"/>
      <w:marLeft w:val="0"/>
      <w:marRight w:val="0"/>
      <w:marTop w:val="0"/>
      <w:marBottom w:val="0"/>
      <w:divBdr>
        <w:top w:val="none" w:sz="0" w:space="0" w:color="auto"/>
        <w:left w:val="none" w:sz="0" w:space="0" w:color="auto"/>
        <w:bottom w:val="none" w:sz="0" w:space="0" w:color="auto"/>
        <w:right w:val="none" w:sz="0" w:space="0" w:color="auto"/>
      </w:divBdr>
    </w:div>
    <w:div w:id="1555891875">
      <w:bodyDiv w:val="1"/>
      <w:marLeft w:val="0"/>
      <w:marRight w:val="0"/>
      <w:marTop w:val="0"/>
      <w:marBottom w:val="0"/>
      <w:divBdr>
        <w:top w:val="none" w:sz="0" w:space="0" w:color="auto"/>
        <w:left w:val="none" w:sz="0" w:space="0" w:color="auto"/>
        <w:bottom w:val="none" w:sz="0" w:space="0" w:color="auto"/>
        <w:right w:val="none" w:sz="0" w:space="0" w:color="auto"/>
      </w:divBdr>
    </w:div>
    <w:div w:id="1562521597">
      <w:bodyDiv w:val="1"/>
      <w:marLeft w:val="0"/>
      <w:marRight w:val="0"/>
      <w:marTop w:val="0"/>
      <w:marBottom w:val="0"/>
      <w:divBdr>
        <w:top w:val="none" w:sz="0" w:space="0" w:color="auto"/>
        <w:left w:val="none" w:sz="0" w:space="0" w:color="auto"/>
        <w:bottom w:val="none" w:sz="0" w:space="0" w:color="auto"/>
        <w:right w:val="none" w:sz="0" w:space="0" w:color="auto"/>
      </w:divBdr>
    </w:div>
    <w:div w:id="1568610026">
      <w:bodyDiv w:val="1"/>
      <w:marLeft w:val="0"/>
      <w:marRight w:val="0"/>
      <w:marTop w:val="0"/>
      <w:marBottom w:val="0"/>
      <w:divBdr>
        <w:top w:val="none" w:sz="0" w:space="0" w:color="auto"/>
        <w:left w:val="none" w:sz="0" w:space="0" w:color="auto"/>
        <w:bottom w:val="none" w:sz="0" w:space="0" w:color="auto"/>
        <w:right w:val="none" w:sz="0" w:space="0" w:color="auto"/>
      </w:divBdr>
    </w:div>
    <w:div w:id="1606376211">
      <w:bodyDiv w:val="1"/>
      <w:marLeft w:val="0"/>
      <w:marRight w:val="0"/>
      <w:marTop w:val="0"/>
      <w:marBottom w:val="0"/>
      <w:divBdr>
        <w:top w:val="none" w:sz="0" w:space="0" w:color="auto"/>
        <w:left w:val="none" w:sz="0" w:space="0" w:color="auto"/>
        <w:bottom w:val="none" w:sz="0" w:space="0" w:color="auto"/>
        <w:right w:val="none" w:sz="0" w:space="0" w:color="auto"/>
      </w:divBdr>
      <w:divsChild>
        <w:div w:id="729840230">
          <w:marLeft w:val="0"/>
          <w:marRight w:val="0"/>
          <w:marTop w:val="0"/>
          <w:marBottom w:val="160"/>
          <w:divBdr>
            <w:top w:val="none" w:sz="0" w:space="0" w:color="auto"/>
            <w:left w:val="none" w:sz="0" w:space="0" w:color="auto"/>
            <w:bottom w:val="none" w:sz="0" w:space="0" w:color="auto"/>
            <w:right w:val="none" w:sz="0" w:space="0" w:color="auto"/>
          </w:divBdr>
        </w:div>
        <w:div w:id="1459761652">
          <w:marLeft w:val="0"/>
          <w:marRight w:val="0"/>
          <w:marTop w:val="0"/>
          <w:marBottom w:val="160"/>
          <w:divBdr>
            <w:top w:val="none" w:sz="0" w:space="0" w:color="auto"/>
            <w:left w:val="none" w:sz="0" w:space="0" w:color="auto"/>
            <w:bottom w:val="none" w:sz="0" w:space="0" w:color="auto"/>
            <w:right w:val="none" w:sz="0" w:space="0" w:color="auto"/>
          </w:divBdr>
        </w:div>
        <w:div w:id="2021463511">
          <w:marLeft w:val="0"/>
          <w:marRight w:val="0"/>
          <w:marTop w:val="0"/>
          <w:marBottom w:val="160"/>
          <w:divBdr>
            <w:top w:val="none" w:sz="0" w:space="0" w:color="auto"/>
            <w:left w:val="none" w:sz="0" w:space="0" w:color="auto"/>
            <w:bottom w:val="none" w:sz="0" w:space="0" w:color="auto"/>
            <w:right w:val="none" w:sz="0" w:space="0" w:color="auto"/>
          </w:divBdr>
        </w:div>
      </w:divsChild>
    </w:div>
    <w:div w:id="1607687474">
      <w:bodyDiv w:val="1"/>
      <w:marLeft w:val="0"/>
      <w:marRight w:val="0"/>
      <w:marTop w:val="0"/>
      <w:marBottom w:val="0"/>
      <w:divBdr>
        <w:top w:val="none" w:sz="0" w:space="0" w:color="auto"/>
        <w:left w:val="none" w:sz="0" w:space="0" w:color="auto"/>
        <w:bottom w:val="none" w:sz="0" w:space="0" w:color="auto"/>
        <w:right w:val="none" w:sz="0" w:space="0" w:color="auto"/>
      </w:divBdr>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 w:id="1612129035">
      <w:bodyDiv w:val="1"/>
      <w:marLeft w:val="0"/>
      <w:marRight w:val="0"/>
      <w:marTop w:val="0"/>
      <w:marBottom w:val="0"/>
      <w:divBdr>
        <w:top w:val="none" w:sz="0" w:space="0" w:color="auto"/>
        <w:left w:val="none" w:sz="0" w:space="0" w:color="auto"/>
        <w:bottom w:val="none" w:sz="0" w:space="0" w:color="auto"/>
        <w:right w:val="none" w:sz="0" w:space="0" w:color="auto"/>
      </w:divBdr>
    </w:div>
    <w:div w:id="1626696393">
      <w:bodyDiv w:val="1"/>
      <w:marLeft w:val="0"/>
      <w:marRight w:val="0"/>
      <w:marTop w:val="0"/>
      <w:marBottom w:val="0"/>
      <w:divBdr>
        <w:top w:val="none" w:sz="0" w:space="0" w:color="auto"/>
        <w:left w:val="none" w:sz="0" w:space="0" w:color="auto"/>
        <w:bottom w:val="none" w:sz="0" w:space="0" w:color="auto"/>
        <w:right w:val="none" w:sz="0" w:space="0" w:color="auto"/>
      </w:divBdr>
    </w:div>
    <w:div w:id="1641811474">
      <w:bodyDiv w:val="1"/>
      <w:marLeft w:val="0"/>
      <w:marRight w:val="0"/>
      <w:marTop w:val="0"/>
      <w:marBottom w:val="0"/>
      <w:divBdr>
        <w:top w:val="none" w:sz="0" w:space="0" w:color="auto"/>
        <w:left w:val="none" w:sz="0" w:space="0" w:color="auto"/>
        <w:bottom w:val="none" w:sz="0" w:space="0" w:color="auto"/>
        <w:right w:val="none" w:sz="0" w:space="0" w:color="auto"/>
      </w:divBdr>
    </w:div>
    <w:div w:id="1647588101">
      <w:bodyDiv w:val="1"/>
      <w:marLeft w:val="0"/>
      <w:marRight w:val="0"/>
      <w:marTop w:val="0"/>
      <w:marBottom w:val="0"/>
      <w:divBdr>
        <w:top w:val="none" w:sz="0" w:space="0" w:color="auto"/>
        <w:left w:val="none" w:sz="0" w:space="0" w:color="auto"/>
        <w:bottom w:val="none" w:sz="0" w:space="0" w:color="auto"/>
        <w:right w:val="none" w:sz="0" w:space="0" w:color="auto"/>
      </w:divBdr>
    </w:div>
    <w:div w:id="1669096844">
      <w:bodyDiv w:val="1"/>
      <w:marLeft w:val="0"/>
      <w:marRight w:val="0"/>
      <w:marTop w:val="0"/>
      <w:marBottom w:val="0"/>
      <w:divBdr>
        <w:top w:val="none" w:sz="0" w:space="0" w:color="auto"/>
        <w:left w:val="none" w:sz="0" w:space="0" w:color="auto"/>
        <w:bottom w:val="none" w:sz="0" w:space="0" w:color="auto"/>
        <w:right w:val="none" w:sz="0" w:space="0" w:color="auto"/>
      </w:divBdr>
      <w:divsChild>
        <w:div w:id="518936356">
          <w:marLeft w:val="0"/>
          <w:marRight w:val="0"/>
          <w:marTop w:val="0"/>
          <w:marBottom w:val="160"/>
          <w:divBdr>
            <w:top w:val="none" w:sz="0" w:space="0" w:color="auto"/>
            <w:left w:val="none" w:sz="0" w:space="0" w:color="auto"/>
            <w:bottom w:val="none" w:sz="0" w:space="0" w:color="auto"/>
            <w:right w:val="none" w:sz="0" w:space="0" w:color="auto"/>
          </w:divBdr>
        </w:div>
        <w:div w:id="528104072">
          <w:marLeft w:val="0"/>
          <w:marRight w:val="0"/>
          <w:marTop w:val="0"/>
          <w:marBottom w:val="160"/>
          <w:divBdr>
            <w:top w:val="none" w:sz="0" w:space="0" w:color="auto"/>
            <w:left w:val="none" w:sz="0" w:space="0" w:color="auto"/>
            <w:bottom w:val="none" w:sz="0" w:space="0" w:color="auto"/>
            <w:right w:val="none" w:sz="0" w:space="0" w:color="auto"/>
          </w:divBdr>
        </w:div>
        <w:div w:id="273513336">
          <w:marLeft w:val="0"/>
          <w:marRight w:val="0"/>
          <w:marTop w:val="0"/>
          <w:marBottom w:val="160"/>
          <w:divBdr>
            <w:top w:val="none" w:sz="0" w:space="0" w:color="auto"/>
            <w:left w:val="none" w:sz="0" w:space="0" w:color="auto"/>
            <w:bottom w:val="none" w:sz="0" w:space="0" w:color="auto"/>
            <w:right w:val="none" w:sz="0" w:space="0" w:color="auto"/>
          </w:divBdr>
        </w:div>
      </w:divsChild>
    </w:div>
    <w:div w:id="1695689083">
      <w:bodyDiv w:val="1"/>
      <w:marLeft w:val="0"/>
      <w:marRight w:val="0"/>
      <w:marTop w:val="0"/>
      <w:marBottom w:val="0"/>
      <w:divBdr>
        <w:top w:val="none" w:sz="0" w:space="0" w:color="auto"/>
        <w:left w:val="none" w:sz="0" w:space="0" w:color="auto"/>
        <w:bottom w:val="none" w:sz="0" w:space="0" w:color="auto"/>
        <w:right w:val="none" w:sz="0" w:space="0" w:color="auto"/>
      </w:divBdr>
    </w:div>
    <w:div w:id="1761637096">
      <w:bodyDiv w:val="1"/>
      <w:marLeft w:val="0"/>
      <w:marRight w:val="0"/>
      <w:marTop w:val="0"/>
      <w:marBottom w:val="0"/>
      <w:divBdr>
        <w:top w:val="none" w:sz="0" w:space="0" w:color="auto"/>
        <w:left w:val="none" w:sz="0" w:space="0" w:color="auto"/>
        <w:bottom w:val="none" w:sz="0" w:space="0" w:color="auto"/>
        <w:right w:val="none" w:sz="0" w:space="0" w:color="auto"/>
      </w:divBdr>
      <w:divsChild>
        <w:div w:id="423385161">
          <w:marLeft w:val="0"/>
          <w:marRight w:val="0"/>
          <w:marTop w:val="0"/>
          <w:marBottom w:val="160"/>
          <w:divBdr>
            <w:top w:val="none" w:sz="0" w:space="0" w:color="auto"/>
            <w:left w:val="none" w:sz="0" w:space="0" w:color="auto"/>
            <w:bottom w:val="none" w:sz="0" w:space="0" w:color="auto"/>
            <w:right w:val="none" w:sz="0" w:space="0" w:color="auto"/>
          </w:divBdr>
        </w:div>
        <w:div w:id="2126801678">
          <w:marLeft w:val="0"/>
          <w:marRight w:val="0"/>
          <w:marTop w:val="0"/>
          <w:marBottom w:val="160"/>
          <w:divBdr>
            <w:top w:val="none" w:sz="0" w:space="0" w:color="auto"/>
            <w:left w:val="none" w:sz="0" w:space="0" w:color="auto"/>
            <w:bottom w:val="none" w:sz="0" w:space="0" w:color="auto"/>
            <w:right w:val="none" w:sz="0" w:space="0" w:color="auto"/>
          </w:divBdr>
        </w:div>
        <w:div w:id="827133892">
          <w:marLeft w:val="0"/>
          <w:marRight w:val="0"/>
          <w:marTop w:val="0"/>
          <w:marBottom w:val="160"/>
          <w:divBdr>
            <w:top w:val="none" w:sz="0" w:space="0" w:color="auto"/>
            <w:left w:val="none" w:sz="0" w:space="0" w:color="auto"/>
            <w:bottom w:val="none" w:sz="0" w:space="0" w:color="auto"/>
            <w:right w:val="none" w:sz="0" w:space="0" w:color="auto"/>
          </w:divBdr>
        </w:div>
      </w:divsChild>
    </w:div>
    <w:div w:id="1799494866">
      <w:bodyDiv w:val="1"/>
      <w:marLeft w:val="0"/>
      <w:marRight w:val="0"/>
      <w:marTop w:val="0"/>
      <w:marBottom w:val="0"/>
      <w:divBdr>
        <w:top w:val="none" w:sz="0" w:space="0" w:color="auto"/>
        <w:left w:val="none" w:sz="0" w:space="0" w:color="auto"/>
        <w:bottom w:val="none" w:sz="0" w:space="0" w:color="auto"/>
        <w:right w:val="none" w:sz="0" w:space="0" w:color="auto"/>
      </w:divBdr>
    </w:div>
    <w:div w:id="1806041921">
      <w:bodyDiv w:val="1"/>
      <w:marLeft w:val="0"/>
      <w:marRight w:val="0"/>
      <w:marTop w:val="0"/>
      <w:marBottom w:val="0"/>
      <w:divBdr>
        <w:top w:val="none" w:sz="0" w:space="0" w:color="auto"/>
        <w:left w:val="none" w:sz="0" w:space="0" w:color="auto"/>
        <w:bottom w:val="none" w:sz="0" w:space="0" w:color="auto"/>
        <w:right w:val="none" w:sz="0" w:space="0" w:color="auto"/>
      </w:divBdr>
    </w:div>
    <w:div w:id="1806653743">
      <w:bodyDiv w:val="1"/>
      <w:marLeft w:val="0"/>
      <w:marRight w:val="0"/>
      <w:marTop w:val="0"/>
      <w:marBottom w:val="0"/>
      <w:divBdr>
        <w:top w:val="none" w:sz="0" w:space="0" w:color="auto"/>
        <w:left w:val="none" w:sz="0" w:space="0" w:color="auto"/>
        <w:bottom w:val="none" w:sz="0" w:space="0" w:color="auto"/>
        <w:right w:val="none" w:sz="0" w:space="0" w:color="auto"/>
      </w:divBdr>
    </w:div>
    <w:div w:id="1831869620">
      <w:bodyDiv w:val="1"/>
      <w:marLeft w:val="0"/>
      <w:marRight w:val="0"/>
      <w:marTop w:val="0"/>
      <w:marBottom w:val="0"/>
      <w:divBdr>
        <w:top w:val="none" w:sz="0" w:space="0" w:color="auto"/>
        <w:left w:val="none" w:sz="0" w:space="0" w:color="auto"/>
        <w:bottom w:val="none" w:sz="0" w:space="0" w:color="auto"/>
        <w:right w:val="none" w:sz="0" w:space="0" w:color="auto"/>
      </w:divBdr>
    </w:div>
    <w:div w:id="1834879058">
      <w:bodyDiv w:val="1"/>
      <w:marLeft w:val="0"/>
      <w:marRight w:val="0"/>
      <w:marTop w:val="0"/>
      <w:marBottom w:val="0"/>
      <w:divBdr>
        <w:top w:val="none" w:sz="0" w:space="0" w:color="auto"/>
        <w:left w:val="none" w:sz="0" w:space="0" w:color="auto"/>
        <w:bottom w:val="none" w:sz="0" w:space="0" w:color="auto"/>
        <w:right w:val="none" w:sz="0" w:space="0" w:color="auto"/>
      </w:divBdr>
    </w:div>
    <w:div w:id="1838374371">
      <w:bodyDiv w:val="1"/>
      <w:marLeft w:val="0"/>
      <w:marRight w:val="0"/>
      <w:marTop w:val="0"/>
      <w:marBottom w:val="0"/>
      <w:divBdr>
        <w:top w:val="none" w:sz="0" w:space="0" w:color="auto"/>
        <w:left w:val="none" w:sz="0" w:space="0" w:color="auto"/>
        <w:bottom w:val="none" w:sz="0" w:space="0" w:color="auto"/>
        <w:right w:val="none" w:sz="0" w:space="0" w:color="auto"/>
      </w:divBdr>
    </w:div>
    <w:div w:id="1843085015">
      <w:bodyDiv w:val="1"/>
      <w:marLeft w:val="0"/>
      <w:marRight w:val="0"/>
      <w:marTop w:val="0"/>
      <w:marBottom w:val="0"/>
      <w:divBdr>
        <w:top w:val="none" w:sz="0" w:space="0" w:color="auto"/>
        <w:left w:val="none" w:sz="0" w:space="0" w:color="auto"/>
        <w:bottom w:val="none" w:sz="0" w:space="0" w:color="auto"/>
        <w:right w:val="none" w:sz="0" w:space="0" w:color="auto"/>
      </w:divBdr>
    </w:div>
    <w:div w:id="1902983792">
      <w:bodyDiv w:val="1"/>
      <w:marLeft w:val="0"/>
      <w:marRight w:val="0"/>
      <w:marTop w:val="0"/>
      <w:marBottom w:val="0"/>
      <w:divBdr>
        <w:top w:val="none" w:sz="0" w:space="0" w:color="auto"/>
        <w:left w:val="none" w:sz="0" w:space="0" w:color="auto"/>
        <w:bottom w:val="none" w:sz="0" w:space="0" w:color="auto"/>
        <w:right w:val="none" w:sz="0" w:space="0" w:color="auto"/>
      </w:divBdr>
    </w:div>
    <w:div w:id="1951625272">
      <w:bodyDiv w:val="1"/>
      <w:marLeft w:val="0"/>
      <w:marRight w:val="0"/>
      <w:marTop w:val="0"/>
      <w:marBottom w:val="0"/>
      <w:divBdr>
        <w:top w:val="none" w:sz="0" w:space="0" w:color="auto"/>
        <w:left w:val="none" w:sz="0" w:space="0" w:color="auto"/>
        <w:bottom w:val="none" w:sz="0" w:space="0" w:color="auto"/>
        <w:right w:val="none" w:sz="0" w:space="0" w:color="auto"/>
      </w:divBdr>
    </w:div>
    <w:div w:id="1958440709">
      <w:bodyDiv w:val="1"/>
      <w:marLeft w:val="0"/>
      <w:marRight w:val="0"/>
      <w:marTop w:val="0"/>
      <w:marBottom w:val="0"/>
      <w:divBdr>
        <w:top w:val="none" w:sz="0" w:space="0" w:color="auto"/>
        <w:left w:val="none" w:sz="0" w:space="0" w:color="auto"/>
        <w:bottom w:val="none" w:sz="0" w:space="0" w:color="auto"/>
        <w:right w:val="none" w:sz="0" w:space="0" w:color="auto"/>
      </w:divBdr>
    </w:div>
    <w:div w:id="2011717450">
      <w:bodyDiv w:val="1"/>
      <w:marLeft w:val="0"/>
      <w:marRight w:val="0"/>
      <w:marTop w:val="0"/>
      <w:marBottom w:val="0"/>
      <w:divBdr>
        <w:top w:val="none" w:sz="0" w:space="0" w:color="auto"/>
        <w:left w:val="none" w:sz="0" w:space="0" w:color="auto"/>
        <w:bottom w:val="none" w:sz="0" w:space="0" w:color="auto"/>
        <w:right w:val="none" w:sz="0" w:space="0" w:color="auto"/>
      </w:divBdr>
    </w:div>
    <w:div w:id="2021278799">
      <w:bodyDiv w:val="1"/>
      <w:marLeft w:val="0"/>
      <w:marRight w:val="0"/>
      <w:marTop w:val="0"/>
      <w:marBottom w:val="0"/>
      <w:divBdr>
        <w:top w:val="none" w:sz="0" w:space="0" w:color="auto"/>
        <w:left w:val="none" w:sz="0" w:space="0" w:color="auto"/>
        <w:bottom w:val="none" w:sz="0" w:space="0" w:color="auto"/>
        <w:right w:val="none" w:sz="0" w:space="0" w:color="auto"/>
      </w:divBdr>
    </w:div>
    <w:div w:id="2077781944">
      <w:bodyDiv w:val="1"/>
      <w:marLeft w:val="0"/>
      <w:marRight w:val="0"/>
      <w:marTop w:val="0"/>
      <w:marBottom w:val="0"/>
      <w:divBdr>
        <w:top w:val="none" w:sz="0" w:space="0" w:color="auto"/>
        <w:left w:val="none" w:sz="0" w:space="0" w:color="auto"/>
        <w:bottom w:val="none" w:sz="0" w:space="0" w:color="auto"/>
        <w:right w:val="none" w:sz="0" w:space="0" w:color="auto"/>
      </w:divBdr>
    </w:div>
    <w:div w:id="2110271813">
      <w:bodyDiv w:val="1"/>
      <w:marLeft w:val="0"/>
      <w:marRight w:val="0"/>
      <w:marTop w:val="0"/>
      <w:marBottom w:val="0"/>
      <w:divBdr>
        <w:top w:val="none" w:sz="0" w:space="0" w:color="auto"/>
        <w:left w:val="none" w:sz="0" w:space="0" w:color="auto"/>
        <w:bottom w:val="none" w:sz="0" w:space="0" w:color="auto"/>
        <w:right w:val="none" w:sz="0" w:space="0" w:color="auto"/>
      </w:divBdr>
    </w:div>
    <w:div w:id="2115590451">
      <w:bodyDiv w:val="1"/>
      <w:marLeft w:val="0"/>
      <w:marRight w:val="0"/>
      <w:marTop w:val="0"/>
      <w:marBottom w:val="0"/>
      <w:divBdr>
        <w:top w:val="none" w:sz="0" w:space="0" w:color="auto"/>
        <w:left w:val="none" w:sz="0" w:space="0" w:color="auto"/>
        <w:bottom w:val="none" w:sz="0" w:space="0" w:color="auto"/>
        <w:right w:val="none" w:sz="0" w:space="0" w:color="auto"/>
      </w:divBdr>
      <w:divsChild>
        <w:div w:id="428045146">
          <w:marLeft w:val="0"/>
          <w:marRight w:val="0"/>
          <w:marTop w:val="0"/>
          <w:marBottom w:val="0"/>
          <w:divBdr>
            <w:top w:val="none" w:sz="0" w:space="0" w:color="auto"/>
            <w:left w:val="none" w:sz="0" w:space="0" w:color="auto"/>
            <w:bottom w:val="none" w:sz="0" w:space="0" w:color="auto"/>
            <w:right w:val="none" w:sz="0" w:space="0" w:color="auto"/>
          </w:divBdr>
          <w:divsChild>
            <w:div w:id="1917788406">
              <w:marLeft w:val="0"/>
              <w:marRight w:val="0"/>
              <w:marTop w:val="0"/>
              <w:marBottom w:val="0"/>
              <w:divBdr>
                <w:top w:val="none" w:sz="0" w:space="0" w:color="auto"/>
                <w:left w:val="none" w:sz="0" w:space="0" w:color="auto"/>
                <w:bottom w:val="none" w:sz="0" w:space="0" w:color="auto"/>
                <w:right w:val="none" w:sz="0" w:space="0" w:color="auto"/>
              </w:divBdr>
              <w:divsChild>
                <w:div w:id="109321855">
                  <w:marLeft w:val="0"/>
                  <w:marRight w:val="0"/>
                  <w:marTop w:val="0"/>
                  <w:marBottom w:val="0"/>
                  <w:divBdr>
                    <w:top w:val="none" w:sz="0" w:space="0" w:color="auto"/>
                    <w:left w:val="none" w:sz="0" w:space="0" w:color="auto"/>
                    <w:bottom w:val="none" w:sz="0" w:space="0" w:color="auto"/>
                    <w:right w:val="none" w:sz="0" w:space="0" w:color="auto"/>
                  </w:divBdr>
                  <w:divsChild>
                    <w:div w:id="824205549">
                      <w:marLeft w:val="0"/>
                      <w:marRight w:val="0"/>
                      <w:marTop w:val="0"/>
                      <w:marBottom w:val="0"/>
                      <w:divBdr>
                        <w:top w:val="none" w:sz="0" w:space="0" w:color="auto"/>
                        <w:left w:val="none" w:sz="0" w:space="0" w:color="auto"/>
                        <w:bottom w:val="none" w:sz="0" w:space="0" w:color="auto"/>
                        <w:right w:val="none" w:sz="0" w:space="0" w:color="auto"/>
                      </w:divBdr>
                      <w:divsChild>
                        <w:div w:id="1492217882">
                          <w:marLeft w:val="0"/>
                          <w:marRight w:val="0"/>
                          <w:marTop w:val="0"/>
                          <w:marBottom w:val="0"/>
                          <w:divBdr>
                            <w:top w:val="none" w:sz="0" w:space="0" w:color="auto"/>
                            <w:left w:val="none" w:sz="0" w:space="0" w:color="auto"/>
                            <w:bottom w:val="none" w:sz="0" w:space="0" w:color="auto"/>
                            <w:right w:val="none" w:sz="0" w:space="0" w:color="auto"/>
                          </w:divBdr>
                          <w:divsChild>
                            <w:div w:id="1675567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82362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johngaviria66@hotmail.co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image" Target="media/image2.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wp-content%2Fuploads%2F2025%2F05%2FGUIA-DE-LINEAMIENTOS-DE-TRANSPARENCIA-Y-SELECCION-OBJETIVA-1.0.pdf&amp;data=05%7C02%7Ctatiana.baquero%40colombiacompra.gov.co%7C7cfff6dece924643582c08dd97bfed90%7C7b09041e245149d08cb179d5e3d8c1be%7C0%7C0%7C638833572792347448%7CUnknown%7CTWFpbGZsb3d8eyJFbXB0eU1hcGkiOnRydWUsIlYiOiIwLjAuMDAwMCIsIlAiOiJXaW4zMiIsIkFOIjoiTWFpbCIsIldUIjoyfQ%3D%3D%7C0%7C%7C%7C&amp;sdata=K03nwa35iwf9ehvktYrXqXUKICQPG9uZh4Vu1Re28IU%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SharedWithUsers xmlns="a6cb9e4b-f1d1-4245-83ec-6cad768d538a">
      <UserInfo>
        <DisplayName>Alejandro Sarmiento</DisplayName>
        <AccountId>129</AccountId>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524EFD2-6506-4654-A0AC-DEF36450FF53}">
  <ds:schemaRefs>
    <ds:schemaRef ds:uri="http://schemas.microsoft.com/sharepoint/v3/contenttype/forms"/>
  </ds:schemaRefs>
</ds:datastoreItem>
</file>

<file path=customXml/itemProps2.xml><?xml version="1.0" encoding="utf-8"?>
<ds:datastoreItem xmlns:ds="http://schemas.openxmlformats.org/officeDocument/2006/customXml" ds:itemID="{206954CD-A18B-4BC8-BDFD-948A7B8E2372}">
  <ds:schemaRefs>
    <ds:schemaRef ds:uri="http://schemas.openxmlformats.org/officeDocument/2006/bibliography"/>
  </ds:schemaRefs>
</ds:datastoreItem>
</file>

<file path=customXml/itemProps3.xml><?xml version="1.0" encoding="utf-8"?>
<ds:datastoreItem xmlns:ds="http://schemas.openxmlformats.org/officeDocument/2006/customXml" ds:itemID="{B3B8AE37-E1F3-4B08-98E9-52F0B3FA79CF}">
  <ds:schemaRefs>
    <ds:schemaRef ds:uri="9d85dbaf-23eb-4e57-a637-93dcacc8b1a1"/>
    <ds:schemaRef ds:uri="http://purl.org/dc/terms/"/>
    <ds:schemaRef ds:uri="http://www.w3.org/XML/1998/namespace"/>
    <ds:schemaRef ds:uri="http://schemas.microsoft.com/office/2006/documentManagement/types"/>
    <ds:schemaRef ds:uri="http://purl.org/dc/elements/1.1/"/>
    <ds:schemaRef ds:uri="http://purl.org/dc/dcmitype/"/>
    <ds:schemaRef ds:uri="http://schemas.microsoft.com/office/infopath/2007/PartnerControls"/>
    <ds:schemaRef ds:uri="http://schemas.openxmlformats.org/package/2006/metadata/core-properties"/>
    <ds:schemaRef ds:uri="a6cb9e4b-f1d1-4245-83ec-6cad768d538a"/>
    <ds:schemaRef ds:uri="http://schemas.microsoft.com/office/2006/metadata/properties"/>
  </ds:schemaRefs>
</ds:datastoreItem>
</file>

<file path=customXml/itemProps4.xml><?xml version="1.0" encoding="utf-8"?>
<ds:datastoreItem xmlns:ds="http://schemas.openxmlformats.org/officeDocument/2006/customXml" ds:itemID="{06F8AB61-4B8C-4292-AD00-5B9AA853CC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4577</Words>
  <Characters>25177</Characters>
  <Application>Microsoft Office Word</Application>
  <DocSecurity>0</DocSecurity>
  <Lines>209</Lines>
  <Paragraphs>59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29695</CharactersWithSpaces>
  <SharedDoc>false</SharedDoc>
  <HLinks>
    <vt:vector size="48" baseType="variant">
      <vt:variant>
        <vt:i4>5439494</vt:i4>
      </vt:variant>
      <vt:variant>
        <vt:i4>15</vt:i4>
      </vt:variant>
      <vt:variant>
        <vt:i4>0</vt:i4>
      </vt:variant>
      <vt:variant>
        <vt:i4>5</vt:i4>
      </vt:variant>
      <vt:variant>
        <vt:lpwstr>https://www.colombiacompra.gov.co/sala-de-prensa/boletin-digital</vt:lpwstr>
      </vt:variant>
      <vt:variant>
        <vt:lpwstr/>
      </vt:variant>
      <vt:variant>
        <vt:i4>7471218</vt:i4>
      </vt:variant>
      <vt:variant>
        <vt:i4>12</vt:i4>
      </vt:variant>
      <vt:variant>
        <vt:i4>0</vt:i4>
      </vt:variant>
      <vt:variant>
        <vt:i4>5</vt:i4>
      </vt:variant>
      <vt:variant>
        <vt:lpwstr>https://relatoria.colombiacompra.gov.co/busqueda/conceptos</vt:lpwstr>
      </vt:variant>
      <vt:variant>
        <vt:lpwstr/>
      </vt:variant>
      <vt:variant>
        <vt:i4>5111895</vt:i4>
      </vt:variant>
      <vt:variant>
        <vt:i4>9</vt:i4>
      </vt:variant>
      <vt:variant>
        <vt:i4>0</vt:i4>
      </vt:variant>
      <vt:variant>
        <vt:i4>5</vt:i4>
      </vt:variant>
      <vt:variant>
        <vt:lpwstr>https://www.colombiacompra.gov.co/manuales-guias-y-pliegos-tipo/manuales-y-guias</vt:lpwstr>
      </vt:variant>
      <vt:variant>
        <vt:lpwstr/>
      </vt:variant>
      <vt:variant>
        <vt:i4>3801145</vt:i4>
      </vt:variant>
      <vt:variant>
        <vt:i4>6</vt:i4>
      </vt:variant>
      <vt:variant>
        <vt:i4>0</vt:i4>
      </vt:variant>
      <vt:variant>
        <vt:i4>5</vt:i4>
      </vt:variant>
      <vt:variant>
        <vt:lpwstr>https://relatoria.colombiacompra.gov.co/providencias-consejo-de-estado/</vt:lpwstr>
      </vt:variant>
      <vt:variant>
        <vt:lpwstr/>
      </vt:variant>
      <vt:variant>
        <vt:i4>3145787</vt:i4>
      </vt:variant>
      <vt:variant>
        <vt:i4>3</vt:i4>
      </vt:variant>
      <vt:variant>
        <vt:i4>0</vt:i4>
      </vt:variant>
      <vt:variant>
        <vt:i4>5</vt:i4>
      </vt:variant>
      <vt:variant>
        <vt:lpwstr>https://www.colombiacompra.gov.co/content/04-documentos-tipo-de-licitacion-de-obra-publica-para-proyectos-de-infraestructura-social</vt:lpwstr>
      </vt:variant>
      <vt:variant>
        <vt:lpwstr/>
      </vt:variant>
      <vt:variant>
        <vt:i4>7208987</vt:i4>
      </vt:variant>
      <vt:variant>
        <vt:i4>0</vt:i4>
      </vt:variant>
      <vt:variant>
        <vt:i4>0</vt:i4>
      </vt:variant>
      <vt:variant>
        <vt:i4>5</vt:i4>
      </vt:variant>
      <vt:variant>
        <vt:lpwstr>https://www.colombiacompra.gov.co/sites/cce_public/files/cce_circulares/circular_externa_unica_version_3_vf49.pdf</vt:lpwstr>
      </vt:variant>
      <vt:variant>
        <vt:lpwstr/>
      </vt:variant>
      <vt:variant>
        <vt:i4>6619182</vt:i4>
      </vt:variant>
      <vt:variant>
        <vt:i4>3</vt:i4>
      </vt:variant>
      <vt:variant>
        <vt:i4>0</vt:i4>
      </vt:variant>
      <vt:variant>
        <vt:i4>5</vt:i4>
      </vt:variant>
      <vt:variant>
        <vt:lpwstr>https://www.culturarecreacionydeporte.gov.co/es/bogotanitos/bogodatos/las-plazas-de-mercado-de-bogota</vt:lpwstr>
      </vt:variant>
      <vt:variant>
        <vt:lpwstr>:~:text=Muchos%20tienen%20diferentes%20conceptos%20sobre,en%20un%20sitio%20abierto%20o</vt:lpwstr>
      </vt:variant>
      <vt:variant>
        <vt:i4>2883621</vt:i4>
      </vt:variant>
      <vt:variant>
        <vt:i4>0</vt:i4>
      </vt:variant>
      <vt:variant>
        <vt:i4>0</vt:i4>
      </vt:variant>
      <vt:variant>
        <vt:i4>5</vt:i4>
      </vt:variant>
      <vt:variant>
        <vt:lpwstr>https://www.colombiacompra.gov.co/content/03-documentos-tipo-transversales-de-licitacion-de-obra-publica-de-infraestructura-social-con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ANCP-SGC</dc:creator>
  <cp:keywords/>
  <dc:description/>
  <cp:lastModifiedBy>Sergio Andrés Rivera Cano</cp:lastModifiedBy>
  <cp:revision>2</cp:revision>
  <dcterms:created xsi:type="dcterms:W3CDTF">2025-06-24T22:42:00Z</dcterms:created>
  <dcterms:modified xsi:type="dcterms:W3CDTF">2025-06-24T22:42:00Z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