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60561" w14:textId="77777777" w:rsidR="00385569" w:rsidRPr="00DD176C" w:rsidRDefault="00385569" w:rsidP="00385569">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DD176C">
        <w:rPr>
          <w:rFonts w:ascii="Arial" w:hAnsi="Arial" w:cs="Arial"/>
          <w:b/>
          <w:color w:val="000000" w:themeColor="text1"/>
          <w:sz w:val="21"/>
          <w:szCs w:val="21"/>
          <w:lang w:val="es-ES_tradnl" w:eastAsia="es-ES"/>
        </w:rPr>
        <w:tab/>
      </w:r>
      <w:r w:rsidRPr="00DD176C">
        <w:rPr>
          <w:rFonts w:ascii="Arial" w:hAnsi="Arial" w:cs="Arial"/>
          <w:b/>
          <w:color w:val="000000" w:themeColor="text1"/>
          <w:sz w:val="16"/>
          <w:szCs w:val="16"/>
          <w:lang w:val="es-ES_tradnl" w:eastAsia="es-ES"/>
        </w:rPr>
        <w:t>CCE-DES-FM-17</w:t>
      </w:r>
    </w:p>
    <w:p w14:paraId="51C9270A" w14:textId="77777777" w:rsidR="00385569" w:rsidRPr="00DD176C" w:rsidRDefault="00385569" w:rsidP="00385569">
      <w:pPr>
        <w:jc w:val="both"/>
        <w:rPr>
          <w:rFonts w:ascii="Arial" w:eastAsia="Calibri" w:hAnsi="Arial" w:cs="Arial"/>
          <w:b/>
          <w:color w:val="000000" w:themeColor="text1"/>
          <w:sz w:val="16"/>
          <w:szCs w:val="16"/>
          <w:lang w:val="es-ES_tradnl"/>
        </w:rPr>
      </w:pPr>
    </w:p>
    <w:p w14:paraId="432EAC66" w14:textId="77777777" w:rsidR="00043A06" w:rsidRPr="00DD176C" w:rsidRDefault="00043A06" w:rsidP="00043A06">
      <w:pPr>
        <w:tabs>
          <w:tab w:val="left" w:pos="0"/>
        </w:tabs>
        <w:jc w:val="both"/>
        <w:rPr>
          <w:rFonts w:ascii="Arial" w:hAnsi="Arial" w:cs="Arial"/>
          <w:color w:val="000000" w:themeColor="text1"/>
          <w:sz w:val="20"/>
          <w:szCs w:val="20"/>
          <w:lang w:val="es-ES_tradnl"/>
        </w:rPr>
      </w:pPr>
      <w:r w:rsidRPr="00DD176C">
        <w:rPr>
          <w:rFonts w:ascii="Arial" w:eastAsia="Calibri" w:hAnsi="Arial" w:cs="Arial"/>
          <w:b/>
          <w:bCs/>
          <w:sz w:val="22"/>
          <w:lang w:val="es-ES_tradnl"/>
        </w:rPr>
        <w:t>CONFLICTOS DE INTERÉS – Sala de Consulta y Servicio Civil – Consejo de Estado – tipicidad – objetividad</w:t>
      </w:r>
    </w:p>
    <w:p w14:paraId="7098AF4D" w14:textId="77777777" w:rsidR="00043A06" w:rsidRPr="00DD176C" w:rsidRDefault="00043A06" w:rsidP="00043A06">
      <w:pPr>
        <w:tabs>
          <w:tab w:val="left" w:pos="0"/>
        </w:tabs>
        <w:jc w:val="both"/>
        <w:rPr>
          <w:rFonts w:ascii="Arial" w:hAnsi="Arial" w:cs="Arial"/>
          <w:color w:val="000000" w:themeColor="text1"/>
          <w:sz w:val="20"/>
          <w:szCs w:val="20"/>
          <w:lang w:val="es-ES_tradnl"/>
        </w:rPr>
      </w:pPr>
    </w:p>
    <w:p w14:paraId="2C8A0C8B" w14:textId="77777777" w:rsidR="00043A06" w:rsidRPr="00DD176C" w:rsidRDefault="00043A06" w:rsidP="00043A06">
      <w:pPr>
        <w:tabs>
          <w:tab w:val="left" w:pos="0"/>
        </w:tabs>
        <w:jc w:val="both"/>
        <w:rPr>
          <w:rFonts w:ascii="Arial" w:eastAsia="Calibri" w:hAnsi="Arial" w:cs="Arial"/>
          <w:i/>
          <w:iCs/>
          <w:sz w:val="20"/>
          <w:szCs w:val="20"/>
          <w:lang w:val="es-ES_tradnl"/>
        </w:rPr>
      </w:pPr>
      <w:r w:rsidRPr="00DD176C">
        <w:rPr>
          <w:rFonts w:ascii="Arial" w:eastAsia="Calibri" w:hAnsi="Arial" w:cs="Arial"/>
          <w:sz w:val="20"/>
          <w:szCs w:val="20"/>
          <w:lang w:val="es-ES_tradnl"/>
        </w:rPr>
        <w:t xml:space="preserve">[…] la Sala de Consulta y Servicio Civil del Consejo de Estado claramente han admitido la inclusión de causales de conflicto de interés en los pliegos de condiciones o en los contratos de las entidades estatales, siempre y cuando estas satisfagan, entre otros requisitos, los criterios de </w:t>
      </w:r>
      <w:r w:rsidRPr="00DD176C">
        <w:rPr>
          <w:rFonts w:ascii="Arial" w:eastAsia="Calibri" w:hAnsi="Arial" w:cs="Arial"/>
          <w:i/>
          <w:iCs/>
          <w:sz w:val="20"/>
          <w:szCs w:val="20"/>
          <w:lang w:val="es-ES_tradnl"/>
        </w:rPr>
        <w:t xml:space="preserve">tipicidad </w:t>
      </w:r>
      <w:r w:rsidRPr="00DD176C">
        <w:rPr>
          <w:rFonts w:ascii="Arial" w:eastAsia="Calibri" w:hAnsi="Arial" w:cs="Arial"/>
          <w:sz w:val="20"/>
          <w:szCs w:val="20"/>
          <w:lang w:val="es-ES_tradnl"/>
        </w:rPr>
        <w:t xml:space="preserve">y </w:t>
      </w:r>
      <w:r w:rsidRPr="00DD176C">
        <w:rPr>
          <w:rFonts w:ascii="Arial" w:eastAsia="Calibri" w:hAnsi="Arial" w:cs="Arial"/>
          <w:i/>
          <w:iCs/>
          <w:sz w:val="20"/>
          <w:szCs w:val="20"/>
          <w:lang w:val="es-ES_tradnl"/>
        </w:rPr>
        <w:t>objetividad.</w:t>
      </w:r>
    </w:p>
    <w:p w14:paraId="470FF5CE" w14:textId="77777777" w:rsidR="00043A06" w:rsidRPr="00DD176C" w:rsidRDefault="00043A06" w:rsidP="00043A06">
      <w:pPr>
        <w:tabs>
          <w:tab w:val="left" w:pos="0"/>
        </w:tabs>
        <w:jc w:val="both"/>
        <w:rPr>
          <w:rFonts w:ascii="Arial" w:hAnsi="Arial" w:cs="Arial"/>
          <w:color w:val="000000" w:themeColor="text1"/>
          <w:sz w:val="20"/>
          <w:szCs w:val="20"/>
          <w:lang w:val="es-ES_tradnl"/>
        </w:rPr>
      </w:pPr>
    </w:p>
    <w:p w14:paraId="4A55BA59" w14:textId="77777777" w:rsidR="00043A06" w:rsidRPr="00DD176C" w:rsidRDefault="00043A06" w:rsidP="00043A06">
      <w:pPr>
        <w:tabs>
          <w:tab w:val="left" w:pos="0"/>
        </w:tabs>
        <w:jc w:val="both"/>
        <w:rPr>
          <w:rFonts w:ascii="Arial" w:hAnsi="Arial" w:cs="Arial"/>
          <w:color w:val="000000" w:themeColor="text1"/>
          <w:sz w:val="20"/>
          <w:szCs w:val="20"/>
          <w:lang w:val="es-ES_tradnl"/>
        </w:rPr>
      </w:pPr>
      <w:r w:rsidRPr="00DD176C">
        <w:rPr>
          <w:rFonts w:ascii="Arial" w:eastAsia="Calibri" w:hAnsi="Arial" w:cs="Arial"/>
          <w:b/>
          <w:bCs/>
          <w:sz w:val="22"/>
          <w:lang w:val="es-ES_tradnl"/>
        </w:rPr>
        <w:t>CONFLICTOS DE INTERÉS – Pliegos de condiciones – Sala de Consulta y Servicio Civil – Consejo de Estado – Requisitos – Tipicidad – Objetividad</w:t>
      </w:r>
    </w:p>
    <w:p w14:paraId="55DAD25B" w14:textId="77777777" w:rsidR="00043A06" w:rsidRPr="00DD176C" w:rsidRDefault="00043A06" w:rsidP="00043A06">
      <w:pPr>
        <w:tabs>
          <w:tab w:val="left" w:pos="0"/>
        </w:tabs>
        <w:jc w:val="both"/>
        <w:rPr>
          <w:rFonts w:ascii="Arial" w:hAnsi="Arial" w:cs="Arial"/>
          <w:color w:val="000000" w:themeColor="text1"/>
          <w:sz w:val="20"/>
          <w:szCs w:val="20"/>
          <w:lang w:val="es-ES_tradnl"/>
        </w:rPr>
      </w:pPr>
    </w:p>
    <w:p w14:paraId="46C4C7B9" w14:textId="77777777" w:rsidR="00043A06" w:rsidRPr="00DD176C" w:rsidRDefault="00043A06" w:rsidP="00043A06">
      <w:pPr>
        <w:tabs>
          <w:tab w:val="left" w:pos="0"/>
        </w:tabs>
        <w:jc w:val="both"/>
        <w:rPr>
          <w:rFonts w:ascii="Arial" w:hAnsi="Arial" w:cs="Arial"/>
          <w:color w:val="000000" w:themeColor="text1"/>
          <w:sz w:val="20"/>
          <w:szCs w:val="20"/>
          <w:lang w:val="es-ES_tradnl"/>
        </w:rPr>
      </w:pPr>
      <w:r w:rsidRPr="00DD176C">
        <w:rPr>
          <w:rFonts w:ascii="Arial" w:eastAsia="Calibri" w:hAnsi="Arial" w:cs="Arial"/>
          <w:sz w:val="20"/>
          <w:szCs w:val="20"/>
          <w:lang w:val="es-ES_tradnl"/>
        </w:rPr>
        <w:t xml:space="preserve">De conformidad con los anteriores pronunciamientos de la Sala de Consulta y Servicio Civil del Consejo de Estado, es posible extraer las siguientes conclusiones en relación con la regulación de los conflictos de intereses en la contratación estatal: i) es posible que los pliegos de condiciones establezcan, si bien de forma restrictiva, conflictos de interés; ii) estos deben </w:t>
      </w:r>
      <w:r w:rsidRPr="00DD176C">
        <w:rPr>
          <w:rFonts w:ascii="Arial" w:eastAsia="Calibri" w:hAnsi="Arial" w:cs="Arial"/>
          <w:i/>
          <w:iCs/>
          <w:sz w:val="20"/>
          <w:szCs w:val="20"/>
          <w:lang w:val="es-ES_tradnl"/>
        </w:rPr>
        <w:t>tipificarse</w:t>
      </w:r>
      <w:r w:rsidRPr="00DD176C">
        <w:rPr>
          <w:rFonts w:ascii="Arial" w:eastAsia="Calibri" w:hAnsi="Arial" w:cs="Arial"/>
          <w:sz w:val="20"/>
          <w:szCs w:val="20"/>
          <w:lang w:val="es-ES_tradnl"/>
        </w:rPr>
        <w:t xml:space="preserve">, esto es, establecerse de forma expresa y concreta en los pliegos de condiciones; iii) las causales deben ser </w:t>
      </w:r>
      <w:r w:rsidRPr="00DD176C">
        <w:rPr>
          <w:rFonts w:ascii="Arial" w:eastAsia="Calibri" w:hAnsi="Arial" w:cs="Arial"/>
          <w:i/>
          <w:iCs/>
          <w:sz w:val="20"/>
          <w:szCs w:val="20"/>
          <w:lang w:val="es-ES_tradnl"/>
        </w:rPr>
        <w:t>objetivas</w:t>
      </w:r>
      <w:r w:rsidRPr="00DD176C">
        <w:rPr>
          <w:rFonts w:ascii="Arial" w:eastAsia="Calibri" w:hAnsi="Arial" w:cs="Arial"/>
          <w:sz w:val="20"/>
          <w:szCs w:val="20"/>
          <w:lang w:val="es-ES_tradnl"/>
        </w:rPr>
        <w:t>, esto es, que se describan con claridad, de manera que no resulten ambiguos dando lugar a que los intérpretes extraigan consecuencias diferentes; iv)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p>
    <w:p w14:paraId="062ED5CF" w14:textId="77777777" w:rsidR="00043A06" w:rsidRPr="00DD176C" w:rsidRDefault="00043A06" w:rsidP="00043A06">
      <w:pPr>
        <w:jc w:val="both"/>
        <w:rPr>
          <w:rFonts w:ascii="Arial" w:eastAsia="Calibri" w:hAnsi="Arial" w:cs="Arial"/>
          <w:color w:val="000000" w:themeColor="text1"/>
          <w:sz w:val="20"/>
          <w:szCs w:val="20"/>
          <w:lang w:val="es-ES_tradnl"/>
        </w:rPr>
      </w:pPr>
    </w:p>
    <w:p w14:paraId="4DCD1242" w14:textId="77777777" w:rsidR="00043A06" w:rsidRPr="00DD176C" w:rsidRDefault="00043A06" w:rsidP="00043A06">
      <w:pPr>
        <w:jc w:val="both"/>
        <w:rPr>
          <w:rFonts w:ascii="Arial" w:eastAsia="Calibri" w:hAnsi="Arial" w:cs="Arial"/>
          <w:b/>
          <w:bCs/>
          <w:color w:val="000000" w:themeColor="text1"/>
          <w:sz w:val="20"/>
          <w:szCs w:val="20"/>
          <w:lang w:val="es-ES_tradnl"/>
        </w:rPr>
      </w:pPr>
      <w:r w:rsidRPr="00DD176C">
        <w:rPr>
          <w:rFonts w:ascii="Arial" w:eastAsia="Calibri" w:hAnsi="Arial" w:cs="Arial"/>
          <w:b/>
          <w:bCs/>
          <w:color w:val="000000" w:themeColor="text1"/>
          <w:sz w:val="22"/>
          <w:lang w:val="es-ES_tradnl"/>
        </w:rPr>
        <w:t>CONFLICTOS DE INTERÉS – Pliego de condiciones – Tipicidad – Legalidad</w:t>
      </w:r>
    </w:p>
    <w:p w14:paraId="4F424052" w14:textId="77777777" w:rsidR="00043A06" w:rsidRPr="00DD176C" w:rsidRDefault="00043A06" w:rsidP="00043A06">
      <w:pPr>
        <w:jc w:val="both"/>
        <w:rPr>
          <w:rFonts w:ascii="Arial" w:hAnsi="Arial" w:cs="Arial"/>
          <w:color w:val="000000" w:themeColor="text1"/>
          <w:sz w:val="20"/>
          <w:szCs w:val="20"/>
          <w:lang w:val="es-ES_tradnl"/>
        </w:rPr>
      </w:pPr>
    </w:p>
    <w:p w14:paraId="3BAA7B88" w14:textId="77777777" w:rsidR="00043A06" w:rsidRPr="00DD176C" w:rsidRDefault="00043A06" w:rsidP="00043A06">
      <w:pPr>
        <w:tabs>
          <w:tab w:val="left" w:pos="0"/>
        </w:tabs>
        <w:jc w:val="both"/>
        <w:rPr>
          <w:rFonts w:ascii="Arial" w:eastAsia="Calibri" w:hAnsi="Arial" w:cs="Arial"/>
          <w:sz w:val="20"/>
          <w:szCs w:val="20"/>
          <w:lang w:val="es-ES_tradnl"/>
        </w:rPr>
      </w:pPr>
      <w:r w:rsidRPr="00DD176C">
        <w:rPr>
          <w:rFonts w:ascii="Arial" w:eastAsia="Calibri" w:hAnsi="Arial" w:cs="Arial"/>
          <w:sz w:val="20"/>
          <w:szCs w:val="20"/>
          <w:lang w:val="es-ES_tradnl"/>
        </w:rPr>
        <w:t xml:space="preserve">[…] </w:t>
      </w:r>
      <w:r w:rsidRPr="00DD176C">
        <w:rPr>
          <w:rFonts w:ascii="Arial" w:eastAsia="Calibri" w:hAnsi="Arial" w:cs="Arial"/>
          <w:color w:val="000000" w:themeColor="text1"/>
          <w:sz w:val="20"/>
          <w:szCs w:val="20"/>
          <w:lang w:val="es-ES_tradnl"/>
        </w:rPr>
        <w:t>la Constitución y la ley pueden establecer causales de conflicto de interés. Además de lo anterior, para que la entidad aplique otras causales que no estén prescritas en tales disposiciones, puede incluir excepcionalmente causales concretas en el pliego de condiciones, siguiendo los parámetros desarrollados en este concepto. Particularmente, deben observarse los requisitos precisados por la Sala de Consulta y Servicio Civil del Consejo de Estado en cuanto a la tipicidad y objetividad de las causales. Sin perjuicio de lo anterior, será el juez del contrato el encargado de juzgar la validez de las causales de conflicto de interés que incluyan y apliquen las entidades estatales en sus pliegos de condiciones.</w:t>
      </w:r>
    </w:p>
    <w:p w14:paraId="1651DFE8" w14:textId="77777777" w:rsidR="00043A06" w:rsidRPr="00DD176C" w:rsidRDefault="00043A06" w:rsidP="00043A06">
      <w:pPr>
        <w:tabs>
          <w:tab w:val="left" w:pos="0"/>
        </w:tabs>
        <w:jc w:val="both"/>
        <w:rPr>
          <w:rFonts w:ascii="Arial" w:eastAsia="Calibri" w:hAnsi="Arial" w:cs="Arial"/>
          <w:sz w:val="20"/>
          <w:szCs w:val="20"/>
          <w:lang w:val="es-ES_tradnl"/>
        </w:rPr>
      </w:pPr>
    </w:p>
    <w:p w14:paraId="007622A3" w14:textId="77777777" w:rsidR="00F0482F" w:rsidRPr="00DD176C" w:rsidRDefault="00F0482F" w:rsidP="00385569">
      <w:pPr>
        <w:pStyle w:val="Default"/>
        <w:rPr>
          <w:sz w:val="22"/>
          <w:szCs w:val="22"/>
          <w:lang w:val="es-ES_tradnl"/>
        </w:rPr>
      </w:pPr>
    </w:p>
    <w:p w14:paraId="6E21943F" w14:textId="77777777" w:rsidR="00F0482F" w:rsidRPr="00DD176C" w:rsidRDefault="00F0482F" w:rsidP="00385569">
      <w:pPr>
        <w:pStyle w:val="Default"/>
        <w:rPr>
          <w:sz w:val="22"/>
          <w:szCs w:val="22"/>
          <w:lang w:val="es-ES_tradnl"/>
        </w:rPr>
      </w:pPr>
    </w:p>
    <w:p w14:paraId="7140577B" w14:textId="77777777" w:rsidR="00F0482F" w:rsidRPr="00DD176C" w:rsidRDefault="00F0482F" w:rsidP="00385569">
      <w:pPr>
        <w:pStyle w:val="Default"/>
        <w:rPr>
          <w:sz w:val="22"/>
          <w:szCs w:val="22"/>
          <w:lang w:val="es-ES_tradnl"/>
        </w:rPr>
      </w:pPr>
    </w:p>
    <w:p w14:paraId="7579321A" w14:textId="77777777" w:rsidR="00F0482F" w:rsidRPr="00DD176C" w:rsidRDefault="00F0482F" w:rsidP="00385569">
      <w:pPr>
        <w:pStyle w:val="Default"/>
        <w:rPr>
          <w:sz w:val="22"/>
          <w:szCs w:val="22"/>
          <w:lang w:val="es-ES_tradnl"/>
        </w:rPr>
      </w:pPr>
    </w:p>
    <w:p w14:paraId="74C3D75C" w14:textId="77777777" w:rsidR="00F0482F" w:rsidRPr="00DD176C" w:rsidRDefault="00F0482F" w:rsidP="00385569">
      <w:pPr>
        <w:pStyle w:val="Default"/>
        <w:rPr>
          <w:sz w:val="22"/>
          <w:szCs w:val="22"/>
          <w:lang w:val="es-ES_tradnl"/>
        </w:rPr>
      </w:pPr>
    </w:p>
    <w:p w14:paraId="2006B615" w14:textId="77777777" w:rsidR="000729B1" w:rsidRPr="00DD176C" w:rsidRDefault="000729B1" w:rsidP="0038066B">
      <w:pPr>
        <w:spacing w:line="276" w:lineRule="auto"/>
        <w:jc w:val="both"/>
        <w:rPr>
          <w:rFonts w:ascii="Arial" w:hAnsi="Arial" w:cs="Arial"/>
          <w:noProof/>
          <w:color w:val="000000" w:themeColor="text1"/>
          <w:sz w:val="22"/>
          <w:lang w:val="es-ES_tradnl"/>
        </w:rPr>
      </w:pPr>
    </w:p>
    <w:p w14:paraId="2E6F0FB0" w14:textId="77777777" w:rsidR="000729B1" w:rsidRPr="00DD176C" w:rsidRDefault="000729B1" w:rsidP="0038066B">
      <w:pPr>
        <w:spacing w:line="276" w:lineRule="auto"/>
        <w:jc w:val="both"/>
        <w:rPr>
          <w:rFonts w:ascii="Arial" w:hAnsi="Arial" w:cs="Arial"/>
          <w:noProof/>
          <w:color w:val="000000" w:themeColor="text1"/>
          <w:sz w:val="22"/>
          <w:lang w:val="es-ES_tradnl"/>
        </w:rPr>
      </w:pPr>
    </w:p>
    <w:p w14:paraId="6D5474EA" w14:textId="77777777" w:rsidR="000729B1" w:rsidRPr="00DD176C" w:rsidRDefault="000729B1" w:rsidP="0038066B">
      <w:pPr>
        <w:spacing w:line="276" w:lineRule="auto"/>
        <w:jc w:val="both"/>
        <w:rPr>
          <w:rFonts w:ascii="Arial" w:hAnsi="Arial" w:cs="Arial"/>
          <w:noProof/>
          <w:color w:val="000000" w:themeColor="text1"/>
          <w:sz w:val="22"/>
          <w:lang w:val="es-ES_tradnl"/>
        </w:rPr>
      </w:pPr>
    </w:p>
    <w:p w14:paraId="578352B6" w14:textId="77777777" w:rsidR="000729B1" w:rsidRPr="00DD176C" w:rsidRDefault="000729B1" w:rsidP="0038066B">
      <w:pPr>
        <w:spacing w:line="276" w:lineRule="auto"/>
        <w:jc w:val="both"/>
        <w:rPr>
          <w:rFonts w:ascii="Arial" w:hAnsi="Arial" w:cs="Arial"/>
          <w:noProof/>
          <w:color w:val="000000" w:themeColor="text1"/>
          <w:sz w:val="22"/>
          <w:lang w:val="es-ES_tradnl"/>
        </w:rPr>
      </w:pPr>
    </w:p>
    <w:p w14:paraId="48F52048" w14:textId="77777777" w:rsidR="000729B1" w:rsidRPr="00DD176C" w:rsidRDefault="000729B1" w:rsidP="0038066B">
      <w:pPr>
        <w:spacing w:line="276" w:lineRule="auto"/>
        <w:jc w:val="both"/>
        <w:rPr>
          <w:rFonts w:ascii="Arial" w:hAnsi="Arial" w:cs="Arial"/>
          <w:noProof/>
          <w:color w:val="000000" w:themeColor="text1"/>
          <w:sz w:val="22"/>
          <w:lang w:val="es-ES_tradnl"/>
        </w:rPr>
      </w:pPr>
    </w:p>
    <w:p w14:paraId="6F93BAFE" w14:textId="77777777" w:rsidR="00266DB4" w:rsidRDefault="00266DB4" w:rsidP="0038066B">
      <w:pPr>
        <w:spacing w:line="276" w:lineRule="auto"/>
        <w:jc w:val="both"/>
        <w:rPr>
          <w:rFonts w:ascii="Arial" w:hAnsi="Arial" w:cs="Arial"/>
          <w:noProof/>
          <w:color w:val="000000" w:themeColor="text1"/>
          <w:sz w:val="22"/>
          <w:lang w:val="es-ES_tradnl"/>
        </w:rPr>
      </w:pPr>
    </w:p>
    <w:p w14:paraId="5889B848" w14:textId="7984264E" w:rsidR="0038066B" w:rsidRPr="00DD176C" w:rsidRDefault="0038066B" w:rsidP="0038066B">
      <w:pPr>
        <w:spacing w:line="276" w:lineRule="auto"/>
        <w:jc w:val="both"/>
        <w:rPr>
          <w:rFonts w:ascii="Arial" w:eastAsia="Calibri" w:hAnsi="Arial" w:cs="Arial"/>
          <w:noProof/>
          <w:color w:val="000000" w:themeColor="text1"/>
          <w:sz w:val="20"/>
          <w:lang w:val="es-ES_tradnl"/>
        </w:rPr>
      </w:pPr>
      <w:r w:rsidRPr="00DD176C">
        <w:rPr>
          <w:rFonts w:ascii="Arial" w:hAnsi="Arial" w:cs="Arial"/>
          <w:noProof/>
          <w:color w:val="000000" w:themeColor="text1"/>
          <w:sz w:val="22"/>
          <w:lang w:val="es-ES_tradnl"/>
        </w:rPr>
        <w:lastRenderedPageBreak/>
        <w:t xml:space="preserve">Bogotá D.C., </w:t>
      </w:r>
      <w:r w:rsidR="000B6C5A">
        <w:rPr>
          <w:rFonts w:ascii="Arial" w:hAnsi="Arial" w:cs="Arial"/>
          <w:b/>
          <w:color w:val="000000" w:themeColor="text1"/>
          <w:sz w:val="22"/>
          <w:lang w:val="es-ES_tradnl"/>
        </w:rPr>
        <w:t>27/09/2021 12:39:02</w:t>
      </w:r>
    </w:p>
    <w:p w14:paraId="5A42B9FE" w14:textId="1388A916" w:rsidR="0038066B" w:rsidRPr="00DD176C" w:rsidRDefault="000B6C5A" w:rsidP="000B6C5A">
      <w:pPr>
        <w:spacing w:line="276" w:lineRule="auto"/>
        <w:jc w:val="right"/>
        <w:rPr>
          <w:rFonts w:ascii="Arial" w:eastAsia="Calibri" w:hAnsi="Arial" w:cs="Arial"/>
          <w:color w:val="000000" w:themeColor="text1"/>
          <w:sz w:val="22"/>
          <w:lang w:val="es-ES_tradnl"/>
        </w:rPr>
      </w:pPr>
      <w:r w:rsidRPr="000B6C5A">
        <w:rPr>
          <w:rFonts w:ascii="Arial" w:hAnsi="Arial" w:cs="Arial"/>
          <w:b/>
          <w:color w:val="000000" w:themeColor="text1"/>
          <w:sz w:val="22"/>
          <w:lang w:val="es-ES_tradnl"/>
        </w:rPr>
        <w:drawing>
          <wp:inline distT="0" distB="0" distL="0" distR="0" wp14:anchorId="7CCB5E05" wp14:editId="20E2EC64">
            <wp:extent cx="2438400" cy="6477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8400" cy="647700"/>
                    </a:xfrm>
                    <a:prstGeom prst="rect">
                      <a:avLst/>
                    </a:prstGeom>
                  </pic:spPr>
                </pic:pic>
              </a:graphicData>
            </a:graphic>
          </wp:inline>
        </w:drawing>
      </w:r>
    </w:p>
    <w:p w14:paraId="44765932" w14:textId="1CCF93E2" w:rsidR="00385569" w:rsidRPr="00DD176C" w:rsidRDefault="001975BB" w:rsidP="00C9396D">
      <w:pPr>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Señor</w:t>
      </w:r>
    </w:p>
    <w:p w14:paraId="0B48B852" w14:textId="4502402B" w:rsidR="00385569" w:rsidRPr="00DD176C" w:rsidRDefault="000D2531" w:rsidP="00C9396D">
      <w:pPr>
        <w:rPr>
          <w:rFonts w:ascii="Arial" w:eastAsia="Calibri" w:hAnsi="Arial" w:cs="Arial"/>
          <w:b/>
          <w:color w:val="000000" w:themeColor="text1"/>
          <w:sz w:val="22"/>
          <w:lang w:val="es-ES_tradnl"/>
        </w:rPr>
      </w:pPr>
      <w:r w:rsidRPr="00DD176C">
        <w:rPr>
          <w:rFonts w:ascii="Arial" w:eastAsia="Calibri" w:hAnsi="Arial" w:cs="Arial"/>
          <w:b/>
          <w:color w:val="000000" w:themeColor="text1"/>
          <w:sz w:val="22"/>
          <w:lang w:val="es-ES_tradnl"/>
        </w:rPr>
        <w:t>Jorge Mauricio García Betancur</w:t>
      </w:r>
    </w:p>
    <w:p w14:paraId="2174C532" w14:textId="38D86783" w:rsidR="00B140D5" w:rsidRPr="00DD176C" w:rsidRDefault="005546B2" w:rsidP="00C9396D">
      <w:pPr>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Bogotá, D.C.</w:t>
      </w:r>
    </w:p>
    <w:p w14:paraId="60424EE1" w14:textId="77777777" w:rsidR="00B140D5" w:rsidRPr="00DD176C" w:rsidRDefault="00B140D5" w:rsidP="00385569">
      <w:pPr>
        <w:spacing w:line="276" w:lineRule="auto"/>
        <w:rPr>
          <w:rFonts w:ascii="Arial" w:eastAsia="Calibri" w:hAnsi="Arial" w:cs="Arial"/>
          <w:color w:val="000000" w:themeColor="text1"/>
          <w:sz w:val="22"/>
          <w:lang w:val="es-ES_tradnl"/>
        </w:rPr>
      </w:pPr>
    </w:p>
    <w:p w14:paraId="7DE59525" w14:textId="77777777" w:rsidR="00385569" w:rsidRPr="00DD176C" w:rsidRDefault="00385569" w:rsidP="00385569">
      <w:pPr>
        <w:spacing w:line="276" w:lineRule="auto"/>
        <w:jc w:val="center"/>
        <w:rPr>
          <w:rFonts w:ascii="Arial" w:eastAsia="Calibri" w:hAnsi="Arial" w:cs="Arial"/>
          <w:b/>
          <w:color w:val="000000" w:themeColor="text1"/>
          <w:sz w:val="22"/>
          <w:lang w:val="es-ES_tradnl"/>
        </w:rPr>
      </w:pPr>
    </w:p>
    <w:p w14:paraId="6B97B33C" w14:textId="7B3AB327" w:rsidR="00385569" w:rsidRPr="00DD176C" w:rsidRDefault="00385569" w:rsidP="00385569">
      <w:pPr>
        <w:spacing w:line="276" w:lineRule="auto"/>
        <w:jc w:val="center"/>
        <w:rPr>
          <w:rFonts w:ascii="Arial" w:eastAsia="Calibri" w:hAnsi="Arial" w:cs="Arial"/>
          <w:b/>
          <w:color w:val="000000" w:themeColor="text1"/>
          <w:sz w:val="22"/>
          <w:lang w:val="es-ES_tradnl"/>
        </w:rPr>
      </w:pPr>
      <w:r w:rsidRPr="00DD176C">
        <w:rPr>
          <w:rFonts w:ascii="Arial" w:eastAsia="Calibri" w:hAnsi="Arial" w:cs="Arial"/>
          <w:b/>
          <w:color w:val="000000" w:themeColor="text1"/>
          <w:sz w:val="22"/>
          <w:lang w:val="es-ES_tradnl"/>
        </w:rPr>
        <w:t xml:space="preserve">Concepto C ─ </w:t>
      </w:r>
      <w:r w:rsidR="007656A1">
        <w:rPr>
          <w:rFonts w:ascii="Arial" w:eastAsia="Calibri" w:hAnsi="Arial" w:cs="Arial"/>
          <w:b/>
          <w:color w:val="000000" w:themeColor="text1"/>
          <w:sz w:val="22"/>
          <w:lang w:val="es-ES_tradnl"/>
        </w:rPr>
        <w:t>610</w:t>
      </w:r>
      <w:r w:rsidRPr="00DD176C">
        <w:rPr>
          <w:rFonts w:ascii="Arial" w:eastAsia="Calibri" w:hAnsi="Arial" w:cs="Arial"/>
          <w:b/>
          <w:color w:val="000000" w:themeColor="text1"/>
          <w:sz w:val="22"/>
          <w:lang w:val="es-ES_tradnl"/>
        </w:rPr>
        <w:t xml:space="preserve"> de 202</w:t>
      </w:r>
      <w:r w:rsidR="0070543A" w:rsidRPr="00DD176C">
        <w:rPr>
          <w:rFonts w:ascii="Arial" w:eastAsia="Calibri" w:hAnsi="Arial" w:cs="Arial"/>
          <w:b/>
          <w:color w:val="000000" w:themeColor="text1"/>
          <w:sz w:val="22"/>
          <w:lang w:val="es-ES_tradnl"/>
        </w:rPr>
        <w:t>1</w:t>
      </w:r>
    </w:p>
    <w:p w14:paraId="329DB4B6" w14:textId="77777777" w:rsidR="0038066B" w:rsidRPr="00DD176C" w:rsidRDefault="0038066B" w:rsidP="00385569">
      <w:pPr>
        <w:spacing w:line="276" w:lineRule="auto"/>
        <w:jc w:val="center"/>
        <w:rPr>
          <w:rFonts w:ascii="Arial" w:eastAsia="Calibri" w:hAnsi="Arial" w:cs="Arial"/>
          <w:b/>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5569" w:rsidRPr="00DD176C" w14:paraId="159B66F9" w14:textId="77777777" w:rsidTr="00FB0BC1">
        <w:trPr>
          <w:trHeight w:val="1184"/>
        </w:trPr>
        <w:tc>
          <w:tcPr>
            <w:tcW w:w="2689" w:type="dxa"/>
            <w:hideMark/>
          </w:tcPr>
          <w:p w14:paraId="35C3FC4F" w14:textId="77777777" w:rsidR="00385569" w:rsidRPr="00DD176C" w:rsidRDefault="00385569" w:rsidP="00290C56">
            <w:pPr>
              <w:rPr>
                <w:rFonts w:ascii="Arial" w:eastAsia="Calibri" w:hAnsi="Arial" w:cs="Arial"/>
                <w:color w:val="000000" w:themeColor="text1"/>
                <w:sz w:val="22"/>
                <w:lang w:val="es-ES_tradnl"/>
              </w:rPr>
            </w:pPr>
            <w:r w:rsidRPr="00DD176C">
              <w:rPr>
                <w:rFonts w:ascii="Arial" w:eastAsia="Calibri" w:hAnsi="Arial" w:cs="Arial"/>
                <w:b/>
                <w:color w:val="000000" w:themeColor="text1"/>
                <w:sz w:val="22"/>
                <w:lang w:val="es-ES_tradnl"/>
              </w:rPr>
              <w:t>Temas:</w:t>
            </w:r>
            <w:r w:rsidRPr="00DD176C">
              <w:rPr>
                <w:rFonts w:ascii="Arial" w:eastAsia="Calibri" w:hAnsi="Arial" w:cs="Arial"/>
                <w:color w:val="000000" w:themeColor="text1"/>
                <w:sz w:val="22"/>
                <w:lang w:val="es-ES_tradnl"/>
              </w:rPr>
              <w:t xml:space="preserve">           </w:t>
            </w:r>
          </w:p>
          <w:p w14:paraId="3AB331C0" w14:textId="77777777" w:rsidR="00385569" w:rsidRPr="00DD176C" w:rsidRDefault="00385569" w:rsidP="00290C56">
            <w:pPr>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 xml:space="preserve">                           </w:t>
            </w:r>
          </w:p>
        </w:tc>
        <w:tc>
          <w:tcPr>
            <w:tcW w:w="6237" w:type="dxa"/>
            <w:hideMark/>
          </w:tcPr>
          <w:p w14:paraId="07885E6E" w14:textId="783275BD" w:rsidR="00385569" w:rsidRPr="00DD176C" w:rsidRDefault="009E6577" w:rsidP="00290C56">
            <w:pPr>
              <w:pStyle w:val="Prrafodelista"/>
              <w:ind w:left="0"/>
              <w:jc w:val="both"/>
              <w:rPr>
                <w:rFonts w:ascii="Arial" w:eastAsia="Calibri" w:hAnsi="Arial" w:cs="Arial"/>
                <w:b/>
                <w:color w:val="000000" w:themeColor="text1"/>
                <w:sz w:val="22"/>
                <w:szCs w:val="20"/>
                <w:lang w:val="es-ES_tradnl"/>
              </w:rPr>
            </w:pPr>
            <w:r w:rsidRPr="00DD176C">
              <w:rPr>
                <w:rFonts w:ascii="Arial" w:eastAsia="Calibri" w:hAnsi="Arial" w:cs="Arial"/>
                <w:bCs/>
                <w:sz w:val="22"/>
                <w:lang w:val="es-ES_tradnl"/>
              </w:rPr>
              <w:t xml:space="preserve">CONFLICTOS DE INTERÉS – Sala de Consulta y Servicio Civil – Consejo de Estado – tipicidad – objetividad / CONFLICTOS DE INTERÉS – Pliegos de condiciones – Sala de Consulta y Servicio Civil – Consejo de Estado – Requisitos – Tipicidad – Objetividad / </w:t>
            </w:r>
            <w:r w:rsidRPr="00DD176C">
              <w:rPr>
                <w:rFonts w:ascii="Arial" w:eastAsia="Calibri" w:hAnsi="Arial" w:cs="Arial"/>
                <w:bCs/>
                <w:color w:val="000000" w:themeColor="text1"/>
                <w:sz w:val="22"/>
                <w:lang w:val="es-ES_tradnl"/>
              </w:rPr>
              <w:t>CONFLICTOS DE INTERÉS – Pliego de condiciones – Tipicidad – Legalidad.</w:t>
            </w:r>
          </w:p>
        </w:tc>
      </w:tr>
      <w:tr w:rsidR="00385569" w:rsidRPr="00DD176C" w14:paraId="4C06B63C" w14:textId="77777777" w:rsidTr="00FB0BC1">
        <w:tc>
          <w:tcPr>
            <w:tcW w:w="2689" w:type="dxa"/>
          </w:tcPr>
          <w:p w14:paraId="05CA1D1A" w14:textId="77777777" w:rsidR="00385569" w:rsidRPr="00DD176C" w:rsidRDefault="00385569" w:rsidP="00D21D5D">
            <w:pPr>
              <w:spacing w:before="120"/>
              <w:rPr>
                <w:rFonts w:ascii="Arial" w:eastAsia="Calibri" w:hAnsi="Arial" w:cs="Arial"/>
                <w:b/>
                <w:color w:val="000000" w:themeColor="text1"/>
                <w:sz w:val="22"/>
                <w:lang w:val="es-ES_tradnl"/>
              </w:rPr>
            </w:pPr>
            <w:r w:rsidRPr="00DD176C">
              <w:rPr>
                <w:rFonts w:ascii="Arial" w:eastAsia="Calibri" w:hAnsi="Arial" w:cs="Arial"/>
                <w:b/>
                <w:color w:val="000000" w:themeColor="text1"/>
                <w:sz w:val="22"/>
                <w:lang w:val="es-ES_tradnl"/>
              </w:rPr>
              <w:t>Radicación:</w:t>
            </w:r>
            <w:r w:rsidRPr="00DD176C">
              <w:rPr>
                <w:rFonts w:ascii="Arial" w:eastAsia="Calibri" w:hAnsi="Arial" w:cs="Arial"/>
                <w:color w:val="000000" w:themeColor="text1"/>
                <w:sz w:val="22"/>
                <w:lang w:val="es-ES_tradnl"/>
              </w:rPr>
              <w:t xml:space="preserve">                              </w:t>
            </w:r>
          </w:p>
        </w:tc>
        <w:tc>
          <w:tcPr>
            <w:tcW w:w="6237" w:type="dxa"/>
          </w:tcPr>
          <w:p w14:paraId="35CB1C3A" w14:textId="44A6F5BE" w:rsidR="00385569" w:rsidRPr="00DD176C" w:rsidRDefault="00385569" w:rsidP="00D21D5D">
            <w:pPr>
              <w:spacing w:before="120"/>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 xml:space="preserve">Respuesta a consulta # </w:t>
            </w:r>
            <w:r w:rsidR="00CF2A93" w:rsidRPr="00DD176C">
              <w:rPr>
                <w:rFonts w:ascii="Arial" w:hAnsi="Arial" w:cs="Arial"/>
                <w:color w:val="000000" w:themeColor="text1"/>
                <w:sz w:val="22"/>
                <w:lang w:val="es-ES_tradnl"/>
              </w:rPr>
              <w:t>P20210921008609</w:t>
            </w:r>
            <w:r w:rsidR="00777CBD" w:rsidRPr="00DD176C">
              <w:rPr>
                <w:rFonts w:ascii="Arial" w:hAnsi="Arial" w:cs="Arial"/>
                <w:color w:val="000000" w:themeColor="text1"/>
                <w:sz w:val="22"/>
                <w:lang w:val="es-ES_tradnl"/>
              </w:rPr>
              <w:t>.</w:t>
            </w:r>
            <w:r w:rsidRPr="00DD176C">
              <w:rPr>
                <w:rFonts w:ascii="Arial" w:hAnsi="Arial" w:cs="Arial"/>
                <w:color w:val="000000" w:themeColor="text1"/>
                <w:sz w:val="22"/>
                <w:lang w:val="es-ES_tradnl"/>
              </w:rPr>
              <w:t xml:space="preserve"> </w:t>
            </w:r>
          </w:p>
        </w:tc>
      </w:tr>
    </w:tbl>
    <w:p w14:paraId="3889FB7B" w14:textId="77777777" w:rsidR="00385569" w:rsidRPr="00DD176C" w:rsidRDefault="00385569" w:rsidP="00385569">
      <w:pPr>
        <w:spacing w:line="276" w:lineRule="auto"/>
        <w:rPr>
          <w:rFonts w:ascii="Arial" w:eastAsia="Calibri" w:hAnsi="Arial" w:cs="Arial"/>
          <w:color w:val="000000" w:themeColor="text1"/>
          <w:sz w:val="22"/>
          <w:lang w:val="es-ES_tradnl"/>
        </w:rPr>
      </w:pPr>
    </w:p>
    <w:p w14:paraId="208175CD" w14:textId="11D9FA94" w:rsidR="00385569" w:rsidRPr="00DD176C" w:rsidRDefault="00385569" w:rsidP="00464236">
      <w:pPr>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Estimad</w:t>
      </w:r>
      <w:r w:rsidR="00464236" w:rsidRPr="00DD176C">
        <w:rPr>
          <w:rFonts w:ascii="Arial" w:eastAsia="Calibri" w:hAnsi="Arial" w:cs="Arial"/>
          <w:color w:val="000000" w:themeColor="text1"/>
          <w:sz w:val="22"/>
          <w:lang w:val="es-ES_tradnl"/>
        </w:rPr>
        <w:t>o</w:t>
      </w:r>
      <w:r w:rsidRPr="00DD176C">
        <w:rPr>
          <w:rFonts w:ascii="Arial" w:eastAsia="Calibri" w:hAnsi="Arial" w:cs="Arial"/>
          <w:color w:val="000000" w:themeColor="text1"/>
          <w:sz w:val="22"/>
          <w:lang w:val="es-ES_tradnl"/>
        </w:rPr>
        <w:t xml:space="preserve"> señor </w:t>
      </w:r>
      <w:r w:rsidR="00BA2473" w:rsidRPr="00DD176C">
        <w:rPr>
          <w:rFonts w:ascii="Arial" w:eastAsia="Calibri" w:hAnsi="Arial" w:cs="Arial"/>
          <w:color w:val="000000" w:themeColor="text1"/>
          <w:sz w:val="22"/>
          <w:lang w:val="es-ES_tradnl"/>
        </w:rPr>
        <w:t>García</w:t>
      </w:r>
      <w:r w:rsidRPr="00DD176C">
        <w:rPr>
          <w:rFonts w:ascii="Arial" w:eastAsia="Calibri" w:hAnsi="Arial" w:cs="Arial"/>
          <w:color w:val="000000" w:themeColor="text1"/>
          <w:sz w:val="22"/>
          <w:lang w:val="es-ES_tradnl"/>
        </w:rPr>
        <w:t>,</w:t>
      </w:r>
    </w:p>
    <w:p w14:paraId="21910454" w14:textId="77777777" w:rsidR="00385569" w:rsidRPr="00DD176C" w:rsidRDefault="00385569" w:rsidP="00385569">
      <w:pPr>
        <w:spacing w:line="276" w:lineRule="auto"/>
        <w:rPr>
          <w:rFonts w:ascii="Arial" w:eastAsia="Calibri" w:hAnsi="Arial" w:cs="Arial"/>
          <w:color w:val="000000" w:themeColor="text1"/>
          <w:sz w:val="22"/>
          <w:lang w:val="es-ES_tradnl"/>
        </w:rPr>
      </w:pPr>
    </w:p>
    <w:p w14:paraId="790CC83B" w14:textId="74654945" w:rsidR="00D62CB7" w:rsidRPr="00DD176C" w:rsidRDefault="00D62CB7" w:rsidP="00D62CB7">
      <w:pPr>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BD57AA" w:rsidRPr="00DD176C">
        <w:rPr>
          <w:rFonts w:ascii="Arial" w:eastAsia="Calibri" w:hAnsi="Arial" w:cs="Arial"/>
          <w:color w:val="000000" w:themeColor="text1"/>
          <w:sz w:val="22"/>
          <w:lang w:val="es-ES_tradnl"/>
        </w:rPr>
        <w:t>1</w:t>
      </w:r>
      <w:r w:rsidRPr="00DD176C">
        <w:rPr>
          <w:rFonts w:ascii="Arial" w:eastAsia="Calibri" w:hAnsi="Arial" w:cs="Arial"/>
          <w:color w:val="000000" w:themeColor="text1"/>
          <w:sz w:val="22"/>
          <w:lang w:val="es-ES_tradnl"/>
        </w:rPr>
        <w:t xml:space="preserve"> de septiembre del 2021</w:t>
      </w:r>
      <w:r w:rsidR="00BA2473" w:rsidRPr="00DD176C">
        <w:rPr>
          <w:rFonts w:ascii="Arial" w:eastAsia="Calibri" w:hAnsi="Arial" w:cs="Arial"/>
          <w:color w:val="000000" w:themeColor="text1"/>
          <w:sz w:val="22"/>
          <w:lang w:val="es-ES_tradnl"/>
        </w:rPr>
        <w:t>, remitid</w:t>
      </w:r>
      <w:r w:rsidR="00BD57AA" w:rsidRPr="00DD176C">
        <w:rPr>
          <w:rFonts w:ascii="Arial" w:eastAsia="Calibri" w:hAnsi="Arial" w:cs="Arial"/>
          <w:color w:val="000000" w:themeColor="text1"/>
          <w:sz w:val="22"/>
          <w:lang w:val="es-ES_tradnl"/>
        </w:rPr>
        <w:t>a</w:t>
      </w:r>
      <w:r w:rsidR="00BA2473" w:rsidRPr="00DD176C">
        <w:rPr>
          <w:rFonts w:ascii="Arial" w:eastAsia="Calibri" w:hAnsi="Arial" w:cs="Arial"/>
          <w:color w:val="000000" w:themeColor="text1"/>
          <w:sz w:val="22"/>
          <w:lang w:val="es-ES_tradnl"/>
        </w:rPr>
        <w:t xml:space="preserve"> por falta de competencia por parte de la </w:t>
      </w:r>
      <w:proofErr w:type="gramStart"/>
      <w:r w:rsidR="00BA2473" w:rsidRPr="00DD176C">
        <w:rPr>
          <w:rFonts w:ascii="Arial" w:eastAsia="Calibri" w:hAnsi="Arial" w:cs="Arial"/>
          <w:color w:val="000000" w:themeColor="text1"/>
          <w:sz w:val="22"/>
          <w:lang w:val="es-ES_tradnl"/>
        </w:rPr>
        <w:t>Fiscalía General</w:t>
      </w:r>
      <w:proofErr w:type="gramEnd"/>
      <w:r w:rsidR="00BA2473" w:rsidRPr="00DD176C">
        <w:rPr>
          <w:rFonts w:ascii="Arial" w:eastAsia="Calibri" w:hAnsi="Arial" w:cs="Arial"/>
          <w:color w:val="000000" w:themeColor="text1"/>
          <w:sz w:val="22"/>
          <w:lang w:val="es-ES_tradnl"/>
        </w:rPr>
        <w:t xml:space="preserve"> de la Nación</w:t>
      </w:r>
      <w:r w:rsidR="00A31E87" w:rsidRPr="00DD176C">
        <w:rPr>
          <w:rFonts w:ascii="Arial" w:eastAsia="Calibri" w:hAnsi="Arial" w:cs="Arial"/>
          <w:color w:val="000000" w:themeColor="text1"/>
          <w:sz w:val="22"/>
          <w:lang w:val="es-ES_tradnl"/>
        </w:rPr>
        <w:t>, mediante oficio con radicado No. 20217160024011</w:t>
      </w:r>
      <w:r w:rsidR="001B4307" w:rsidRPr="00DD176C">
        <w:rPr>
          <w:rFonts w:ascii="Arial" w:eastAsia="Calibri" w:hAnsi="Arial" w:cs="Arial"/>
          <w:color w:val="000000" w:themeColor="text1"/>
          <w:sz w:val="22"/>
          <w:lang w:val="es-ES_tradnl"/>
        </w:rPr>
        <w:t>, recibido por la Agencia el 20 de septiembre de 2021.</w:t>
      </w:r>
    </w:p>
    <w:p w14:paraId="1DAC0C8E" w14:textId="77777777" w:rsidR="00385569" w:rsidRPr="00DD176C" w:rsidRDefault="00385569" w:rsidP="00385569">
      <w:pPr>
        <w:tabs>
          <w:tab w:val="left" w:pos="426"/>
        </w:tabs>
        <w:spacing w:line="276" w:lineRule="auto"/>
        <w:jc w:val="both"/>
        <w:rPr>
          <w:rFonts w:ascii="Arial" w:eastAsia="Calibri" w:hAnsi="Arial" w:cs="Arial"/>
          <w:color w:val="000000" w:themeColor="text1"/>
          <w:sz w:val="22"/>
          <w:lang w:val="es-ES_tradnl"/>
        </w:rPr>
      </w:pPr>
    </w:p>
    <w:p w14:paraId="6C6A739B" w14:textId="7D7B25ED" w:rsidR="00385569" w:rsidRPr="00DD176C" w:rsidRDefault="00385569" w:rsidP="00385569">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DD176C">
        <w:rPr>
          <w:rFonts w:ascii="Arial" w:eastAsia="Calibri" w:hAnsi="Arial" w:cs="Arial"/>
          <w:b/>
          <w:color w:val="000000" w:themeColor="text1"/>
          <w:sz w:val="22"/>
          <w:lang w:val="es-ES_tradnl"/>
        </w:rPr>
        <w:t xml:space="preserve">1. Problema planteado </w:t>
      </w:r>
    </w:p>
    <w:p w14:paraId="4AE20136" w14:textId="77777777" w:rsidR="00385569" w:rsidRPr="00DD176C" w:rsidRDefault="00385569" w:rsidP="00385569">
      <w:pPr>
        <w:tabs>
          <w:tab w:val="left" w:pos="426"/>
        </w:tabs>
        <w:spacing w:line="276" w:lineRule="auto"/>
        <w:jc w:val="both"/>
        <w:rPr>
          <w:rFonts w:ascii="Arial" w:eastAsia="Calibri" w:hAnsi="Arial" w:cs="Arial"/>
          <w:b/>
          <w:color w:val="000000" w:themeColor="text1"/>
          <w:sz w:val="22"/>
          <w:lang w:val="es-ES_tradnl"/>
        </w:rPr>
      </w:pPr>
    </w:p>
    <w:p w14:paraId="5B5550DA" w14:textId="5E897EDC" w:rsidR="00385569" w:rsidRPr="00DD176C" w:rsidRDefault="00385569" w:rsidP="00385569">
      <w:pPr>
        <w:tabs>
          <w:tab w:val="left" w:pos="426"/>
        </w:tabs>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 xml:space="preserve">Usted realiza la siguiente </w:t>
      </w:r>
      <w:r w:rsidR="00B44404" w:rsidRPr="00DD176C">
        <w:rPr>
          <w:rFonts w:ascii="Arial" w:eastAsia="Calibri" w:hAnsi="Arial" w:cs="Arial"/>
          <w:color w:val="000000" w:themeColor="text1"/>
          <w:sz w:val="22"/>
          <w:lang w:val="es-ES_tradnl"/>
        </w:rPr>
        <w:t>consulta</w:t>
      </w:r>
      <w:r w:rsidR="008F360D" w:rsidRPr="00DD176C">
        <w:rPr>
          <w:rFonts w:ascii="Arial" w:eastAsia="Calibri" w:hAnsi="Arial" w:cs="Arial"/>
          <w:color w:val="000000" w:themeColor="text1"/>
          <w:sz w:val="22"/>
          <w:lang w:val="es-ES_tradnl"/>
        </w:rPr>
        <w:t>:</w:t>
      </w:r>
    </w:p>
    <w:p w14:paraId="768DFCDB" w14:textId="402A5A04" w:rsidR="00F273C0" w:rsidRPr="00DD176C" w:rsidRDefault="00F273C0" w:rsidP="00385569">
      <w:pPr>
        <w:tabs>
          <w:tab w:val="left" w:pos="426"/>
        </w:tabs>
        <w:spacing w:line="276" w:lineRule="auto"/>
        <w:jc w:val="both"/>
        <w:rPr>
          <w:rFonts w:ascii="Arial" w:eastAsia="Calibri" w:hAnsi="Arial" w:cs="Arial"/>
          <w:color w:val="000000" w:themeColor="text1"/>
          <w:sz w:val="22"/>
          <w:lang w:val="es-ES_tradnl"/>
        </w:rPr>
      </w:pPr>
    </w:p>
    <w:p w14:paraId="5EDB1B01" w14:textId="77777777" w:rsidR="00FE6D59" w:rsidRPr="00DD176C" w:rsidRDefault="00B55131" w:rsidP="00FE6D59">
      <w:pPr>
        <w:tabs>
          <w:tab w:val="left" w:pos="426"/>
        </w:tabs>
        <w:ind w:left="709" w:right="709"/>
        <w:jc w:val="both"/>
        <w:rPr>
          <w:rFonts w:ascii="Arial" w:eastAsia="Calibri" w:hAnsi="Arial" w:cs="Arial"/>
          <w:color w:val="000000" w:themeColor="text1"/>
          <w:sz w:val="21"/>
          <w:szCs w:val="21"/>
          <w:lang w:val="es-ES_tradnl"/>
        </w:rPr>
      </w:pPr>
      <w:r w:rsidRPr="00DD176C">
        <w:rPr>
          <w:rFonts w:ascii="Arial" w:eastAsia="Calibri" w:hAnsi="Arial" w:cs="Arial"/>
          <w:color w:val="000000" w:themeColor="text1"/>
          <w:sz w:val="21"/>
          <w:szCs w:val="21"/>
          <w:lang w:val="es-ES_tradnl"/>
        </w:rPr>
        <w:t>«</w:t>
      </w:r>
      <w:r w:rsidR="00FE6D59" w:rsidRPr="00DD176C">
        <w:rPr>
          <w:rFonts w:ascii="Arial" w:eastAsia="Calibri" w:hAnsi="Arial" w:cs="Arial"/>
          <w:color w:val="000000" w:themeColor="text1"/>
          <w:sz w:val="21"/>
          <w:szCs w:val="21"/>
          <w:lang w:val="es-ES_tradnl"/>
        </w:rPr>
        <w:t>¿Si una entidad pública del orden nacional es miembro de la junta directiva de una empresa, dicha empresa tiene conflicto de interés para participar en los procesos licitatorios que adelanta esa misma entidad pública?</w:t>
      </w:r>
    </w:p>
    <w:p w14:paraId="4353DB0E" w14:textId="77777777" w:rsidR="00FE6D59" w:rsidRPr="00DD176C" w:rsidRDefault="00FE6D59" w:rsidP="00FE6D59">
      <w:pPr>
        <w:tabs>
          <w:tab w:val="left" w:pos="426"/>
        </w:tabs>
        <w:ind w:left="709" w:right="709"/>
        <w:jc w:val="both"/>
        <w:rPr>
          <w:rFonts w:ascii="Arial" w:eastAsia="Calibri" w:hAnsi="Arial" w:cs="Arial"/>
          <w:color w:val="000000" w:themeColor="text1"/>
          <w:sz w:val="21"/>
          <w:szCs w:val="21"/>
          <w:lang w:val="es-ES_tradnl"/>
        </w:rPr>
      </w:pPr>
    </w:p>
    <w:p w14:paraId="16195341" w14:textId="45DF326E" w:rsidR="008C785B" w:rsidRPr="00DD176C" w:rsidRDefault="00FE6D59" w:rsidP="00FE6D59">
      <w:pPr>
        <w:tabs>
          <w:tab w:val="left" w:pos="426"/>
        </w:tabs>
        <w:ind w:left="709" w:right="709"/>
        <w:jc w:val="both"/>
        <w:rPr>
          <w:rFonts w:ascii="Arial" w:eastAsia="Calibri" w:hAnsi="Arial" w:cs="Arial"/>
          <w:color w:val="000000" w:themeColor="text1"/>
          <w:sz w:val="21"/>
          <w:szCs w:val="21"/>
          <w:lang w:val="es-ES_tradnl"/>
        </w:rPr>
      </w:pPr>
      <w:proofErr w:type="gramStart"/>
      <w:r w:rsidRPr="00DD176C">
        <w:rPr>
          <w:rFonts w:ascii="Arial" w:eastAsia="Calibri" w:hAnsi="Arial" w:cs="Arial"/>
          <w:color w:val="000000" w:themeColor="text1"/>
          <w:sz w:val="21"/>
          <w:szCs w:val="21"/>
          <w:lang w:val="es-ES_tradnl"/>
        </w:rPr>
        <w:t>»Celebrar</w:t>
      </w:r>
      <w:proofErr w:type="gramEnd"/>
      <w:r w:rsidRPr="00DD176C">
        <w:rPr>
          <w:rFonts w:ascii="Arial" w:eastAsia="Calibri" w:hAnsi="Arial" w:cs="Arial"/>
          <w:color w:val="000000" w:themeColor="text1"/>
          <w:sz w:val="21"/>
          <w:szCs w:val="21"/>
          <w:lang w:val="es-ES_tradnl"/>
        </w:rPr>
        <w:t xml:space="preserve"> el contrato estatal bajo la anterior situación, ¿puede generar alguna comisión de un delito, particularmente, de los relacionados con la celebración indebida de contratos?</w:t>
      </w:r>
      <w:r w:rsidR="006606EF" w:rsidRPr="00DD176C">
        <w:rPr>
          <w:rFonts w:ascii="Arial" w:eastAsia="Calibri" w:hAnsi="Arial" w:cs="Arial"/>
          <w:color w:val="000000" w:themeColor="text1"/>
          <w:sz w:val="21"/>
          <w:szCs w:val="21"/>
          <w:lang w:val="es-ES_tradnl"/>
        </w:rPr>
        <w:t xml:space="preserve"> (sic)</w:t>
      </w:r>
      <w:r w:rsidR="00847803" w:rsidRPr="00DD176C">
        <w:rPr>
          <w:rFonts w:ascii="Arial" w:eastAsia="Calibri" w:hAnsi="Arial" w:cs="Arial"/>
          <w:color w:val="000000" w:themeColor="text1"/>
          <w:sz w:val="21"/>
          <w:szCs w:val="21"/>
          <w:lang w:val="es-ES_tradnl"/>
        </w:rPr>
        <w:t>»</w:t>
      </w:r>
    </w:p>
    <w:p w14:paraId="730BAC09" w14:textId="77777777" w:rsidR="00385569" w:rsidRPr="00DD176C" w:rsidRDefault="00385569" w:rsidP="00385569">
      <w:pPr>
        <w:tabs>
          <w:tab w:val="left" w:pos="426"/>
        </w:tabs>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 xml:space="preserve"> </w:t>
      </w:r>
    </w:p>
    <w:p w14:paraId="21D3C43E" w14:textId="77777777" w:rsidR="00385569" w:rsidRPr="00DD176C" w:rsidRDefault="00385569" w:rsidP="00385569">
      <w:pPr>
        <w:tabs>
          <w:tab w:val="left" w:pos="426"/>
        </w:tabs>
        <w:spacing w:line="276" w:lineRule="auto"/>
        <w:jc w:val="both"/>
        <w:rPr>
          <w:rFonts w:ascii="Arial" w:eastAsia="Calibri" w:hAnsi="Arial" w:cs="Arial"/>
          <w:b/>
          <w:color w:val="000000" w:themeColor="text1"/>
          <w:sz w:val="22"/>
          <w:lang w:val="es-ES_tradnl"/>
        </w:rPr>
      </w:pPr>
      <w:r w:rsidRPr="00DD176C">
        <w:rPr>
          <w:rFonts w:ascii="Arial" w:eastAsia="Calibri" w:hAnsi="Arial" w:cs="Arial"/>
          <w:b/>
          <w:color w:val="000000" w:themeColor="text1"/>
          <w:sz w:val="22"/>
          <w:lang w:val="es-ES_tradnl"/>
        </w:rPr>
        <w:t>2. Consideraciones</w:t>
      </w:r>
    </w:p>
    <w:bookmarkEnd w:id="0"/>
    <w:bookmarkEnd w:id="1"/>
    <w:p w14:paraId="541C3273" w14:textId="77777777" w:rsidR="00385569" w:rsidRPr="00DD176C" w:rsidRDefault="00385569" w:rsidP="00385569">
      <w:pPr>
        <w:spacing w:line="276" w:lineRule="auto"/>
        <w:jc w:val="both"/>
        <w:rPr>
          <w:rFonts w:ascii="Arial" w:hAnsi="Arial" w:cs="Arial"/>
          <w:color w:val="000000" w:themeColor="text1"/>
          <w:sz w:val="22"/>
          <w:lang w:val="es-ES_tradnl"/>
        </w:rPr>
      </w:pPr>
    </w:p>
    <w:p w14:paraId="58C83AE5" w14:textId="7A3DDDBE" w:rsidR="00385569" w:rsidRPr="00DD176C" w:rsidRDefault="00D274A1" w:rsidP="00385569">
      <w:pPr>
        <w:spacing w:line="276" w:lineRule="auto"/>
        <w:jc w:val="both"/>
        <w:rPr>
          <w:rFonts w:ascii="Arial" w:hAnsi="Arial" w:cs="Arial"/>
          <w:sz w:val="22"/>
          <w:lang w:val="es-ES_tradnl"/>
        </w:rPr>
      </w:pPr>
      <w:r w:rsidRPr="00DD176C">
        <w:rPr>
          <w:rFonts w:ascii="Arial" w:hAnsi="Arial" w:cs="Arial"/>
          <w:color w:val="000000" w:themeColor="text1"/>
          <w:sz w:val="22"/>
          <w:lang w:val="es-ES_tradnl"/>
        </w:rPr>
        <w:lastRenderedPageBreak/>
        <w:t>Para resolver la consulta</w:t>
      </w:r>
      <w:r w:rsidR="00614FC8" w:rsidRPr="00DD176C">
        <w:rPr>
          <w:rFonts w:ascii="Arial" w:hAnsi="Arial" w:cs="Arial"/>
          <w:color w:val="000000" w:themeColor="text1"/>
          <w:sz w:val="22"/>
          <w:lang w:val="es-ES_tradnl"/>
        </w:rPr>
        <w:t xml:space="preserve">, </w:t>
      </w:r>
      <w:r w:rsidR="00385569" w:rsidRPr="00DD176C">
        <w:rPr>
          <w:rFonts w:ascii="Arial" w:hAnsi="Arial" w:cs="Arial"/>
          <w:color w:val="000000" w:themeColor="text1"/>
          <w:sz w:val="22"/>
          <w:lang w:val="es-ES_tradnl"/>
        </w:rPr>
        <w:t>se hará un análisis de los siguientes temas:</w:t>
      </w:r>
      <w:r w:rsidR="00533136" w:rsidRPr="00DD176C">
        <w:rPr>
          <w:rFonts w:ascii="Arial" w:hAnsi="Arial" w:cs="Arial"/>
          <w:color w:val="000000" w:themeColor="text1"/>
          <w:sz w:val="22"/>
          <w:lang w:val="es-ES_tradnl"/>
        </w:rPr>
        <w:t xml:space="preserve"> </w:t>
      </w:r>
      <w:r w:rsidR="00533136" w:rsidRPr="00DD176C">
        <w:rPr>
          <w:rFonts w:ascii="Arial" w:hAnsi="Arial" w:cs="Arial"/>
          <w:sz w:val="22"/>
          <w:lang w:val="es-ES_tradnl"/>
        </w:rPr>
        <w:t>ii)</w:t>
      </w:r>
      <w:r w:rsidR="003A4D40">
        <w:rPr>
          <w:rFonts w:ascii="Arial" w:hAnsi="Arial" w:cs="Arial"/>
          <w:sz w:val="22"/>
          <w:lang w:val="es-ES_tradnl"/>
        </w:rPr>
        <w:t xml:space="preserve"> </w:t>
      </w:r>
      <w:r w:rsidR="00533136" w:rsidRPr="00DD176C">
        <w:rPr>
          <w:rFonts w:ascii="Arial" w:hAnsi="Arial" w:cs="Arial"/>
          <w:sz w:val="22"/>
          <w:lang w:val="es-ES_tradnl"/>
        </w:rPr>
        <w:t>régimen de los conflictos de interés en la contratación estatal</w:t>
      </w:r>
      <w:r w:rsidR="003A4D40">
        <w:rPr>
          <w:rFonts w:ascii="Arial" w:hAnsi="Arial" w:cs="Arial"/>
          <w:sz w:val="22"/>
          <w:lang w:val="es-ES_tradnl"/>
        </w:rPr>
        <w:t xml:space="preserve"> y ii) </w:t>
      </w:r>
      <w:r w:rsidR="00533136" w:rsidRPr="00DD176C">
        <w:rPr>
          <w:rFonts w:ascii="Arial" w:hAnsi="Arial" w:cs="Arial"/>
          <w:sz w:val="22"/>
          <w:lang w:val="es-ES_tradnl"/>
        </w:rPr>
        <w:t xml:space="preserve">eventual inclusión </w:t>
      </w:r>
      <w:r w:rsidR="003A4D40">
        <w:rPr>
          <w:rFonts w:ascii="Arial" w:hAnsi="Arial" w:cs="Arial"/>
          <w:sz w:val="22"/>
          <w:lang w:val="es-ES_tradnl"/>
        </w:rPr>
        <w:t xml:space="preserve">de </w:t>
      </w:r>
      <w:proofErr w:type="gramStart"/>
      <w:r w:rsidR="003A4D40">
        <w:rPr>
          <w:rFonts w:ascii="Arial" w:hAnsi="Arial" w:cs="Arial"/>
          <w:sz w:val="22"/>
          <w:lang w:val="es-ES_tradnl"/>
        </w:rPr>
        <w:t>los mismos</w:t>
      </w:r>
      <w:proofErr w:type="gramEnd"/>
      <w:r w:rsidR="003A4D40">
        <w:rPr>
          <w:rFonts w:ascii="Arial" w:hAnsi="Arial" w:cs="Arial"/>
          <w:sz w:val="22"/>
          <w:lang w:val="es-ES_tradnl"/>
        </w:rPr>
        <w:t xml:space="preserve"> </w:t>
      </w:r>
      <w:r w:rsidR="00533136" w:rsidRPr="00DD176C">
        <w:rPr>
          <w:rFonts w:ascii="Arial" w:hAnsi="Arial" w:cs="Arial"/>
          <w:sz w:val="22"/>
          <w:lang w:val="es-ES_tradnl"/>
        </w:rPr>
        <w:t>en los pliegos de condiciones.</w:t>
      </w:r>
    </w:p>
    <w:p w14:paraId="3E94A5C3" w14:textId="77777777" w:rsidR="00BD16BF" w:rsidRPr="00DD176C" w:rsidRDefault="00BD16BF" w:rsidP="00BD16BF">
      <w:pPr>
        <w:spacing w:line="276" w:lineRule="auto"/>
        <w:jc w:val="both"/>
        <w:rPr>
          <w:rFonts w:ascii="Arial" w:hAnsi="Arial" w:cs="Arial"/>
          <w:sz w:val="22"/>
          <w:lang w:val="es-ES_tradnl"/>
        </w:rPr>
      </w:pPr>
    </w:p>
    <w:p w14:paraId="67A80793" w14:textId="44668D8B" w:rsidR="00BD16BF" w:rsidRPr="00DD176C" w:rsidRDefault="00BD16BF" w:rsidP="00BD16BF">
      <w:pPr>
        <w:spacing w:line="276" w:lineRule="auto"/>
        <w:jc w:val="both"/>
        <w:rPr>
          <w:rFonts w:ascii="Arial" w:eastAsia="Calibri" w:hAnsi="Arial" w:cs="Arial"/>
          <w:b/>
          <w:bCs/>
          <w:color w:val="000000" w:themeColor="text1"/>
          <w:sz w:val="22"/>
          <w:lang w:val="es-ES_tradnl"/>
        </w:rPr>
      </w:pPr>
      <w:r w:rsidRPr="00DD176C">
        <w:rPr>
          <w:rFonts w:ascii="Arial" w:eastAsia="Calibri" w:hAnsi="Arial" w:cs="Arial"/>
          <w:b/>
          <w:bCs/>
          <w:color w:val="000000" w:themeColor="text1"/>
          <w:sz w:val="22"/>
          <w:lang w:val="es-ES_tradnl"/>
        </w:rPr>
        <w:t>2.</w:t>
      </w:r>
      <w:r w:rsidR="009E7F34">
        <w:rPr>
          <w:rFonts w:ascii="Arial" w:eastAsia="Calibri" w:hAnsi="Arial" w:cs="Arial"/>
          <w:b/>
          <w:bCs/>
          <w:color w:val="000000" w:themeColor="text1"/>
          <w:sz w:val="22"/>
          <w:lang w:val="es-ES_tradnl"/>
        </w:rPr>
        <w:t>1</w:t>
      </w:r>
      <w:r w:rsidRPr="00DD176C">
        <w:rPr>
          <w:rFonts w:ascii="Arial" w:eastAsia="Calibri" w:hAnsi="Arial" w:cs="Arial"/>
          <w:b/>
          <w:bCs/>
          <w:color w:val="000000" w:themeColor="text1"/>
          <w:sz w:val="22"/>
          <w:lang w:val="es-ES_tradnl"/>
        </w:rPr>
        <w:t>. Régimen de los conflictos de interés en la contratación estatal</w:t>
      </w:r>
    </w:p>
    <w:p w14:paraId="34377529" w14:textId="77777777" w:rsidR="00BD16BF" w:rsidRPr="00DD176C" w:rsidRDefault="00BD16BF" w:rsidP="00BD16BF">
      <w:pPr>
        <w:spacing w:line="276" w:lineRule="auto"/>
        <w:jc w:val="both"/>
        <w:rPr>
          <w:rFonts w:ascii="Arial" w:hAnsi="Arial" w:cs="Arial"/>
          <w:color w:val="000000" w:themeColor="text1"/>
          <w:sz w:val="22"/>
          <w:lang w:val="es-ES_tradnl"/>
        </w:rPr>
      </w:pPr>
    </w:p>
    <w:p w14:paraId="4E9668CE" w14:textId="6FEC7690" w:rsidR="00BD16BF" w:rsidRPr="00DD176C" w:rsidRDefault="00BD16BF" w:rsidP="00BD16BF">
      <w:pPr>
        <w:spacing w:after="120" w:line="276" w:lineRule="auto"/>
        <w:jc w:val="both"/>
        <w:rPr>
          <w:rFonts w:ascii="Arial" w:eastAsia="Calibri" w:hAnsi="Arial" w:cs="Arial"/>
          <w:color w:val="000000" w:themeColor="text1"/>
          <w:sz w:val="22"/>
          <w:lang w:val="es-ES_tradnl"/>
        </w:rPr>
      </w:pPr>
      <w:bookmarkStart w:id="3" w:name="_Hlk36672256"/>
      <w:r w:rsidRPr="00DD176C">
        <w:rPr>
          <w:rFonts w:ascii="Arial" w:eastAsia="Calibri" w:hAnsi="Arial" w:cs="Arial"/>
          <w:color w:val="000000" w:themeColor="text1"/>
          <w:sz w:val="22"/>
          <w:lang w:val="es-ES_tradnl"/>
        </w:rPr>
        <w:t>Esta Agencia ha realizado algunos pronunciamientos sobre el régimen de los conflictos de interés en la contratación estatal, consideraciones que se retomarán y complementarán en lo pertinente</w:t>
      </w:r>
      <w:r w:rsidRPr="00DD176C">
        <w:rPr>
          <w:rStyle w:val="Refdenotaalpie"/>
          <w:rFonts w:ascii="Arial" w:eastAsia="Calibri" w:hAnsi="Arial" w:cs="Arial"/>
          <w:color w:val="000000" w:themeColor="text1"/>
          <w:sz w:val="22"/>
          <w:lang w:val="es-ES_tradnl"/>
        </w:rPr>
        <w:footnoteReference w:id="1"/>
      </w:r>
      <w:r w:rsidRPr="00DD176C">
        <w:rPr>
          <w:rFonts w:ascii="Arial" w:eastAsia="Calibri" w:hAnsi="Arial" w:cs="Arial"/>
          <w:color w:val="000000" w:themeColor="text1"/>
          <w:sz w:val="22"/>
          <w:lang w:val="es-ES_tradnl"/>
        </w:rPr>
        <w:t xml:space="preserv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w:t>
      </w:r>
      <w:r w:rsidR="00506825">
        <w:rPr>
          <w:rFonts w:ascii="Arial" w:eastAsia="Calibri" w:hAnsi="Arial" w:cs="Arial"/>
          <w:color w:val="000000" w:themeColor="text1"/>
          <w:sz w:val="22"/>
          <w:lang w:val="es-ES_tradnl"/>
        </w:rPr>
        <w:t xml:space="preserve">En desarrollo de esta </w:t>
      </w:r>
      <w:r w:rsidRPr="00DD176C">
        <w:rPr>
          <w:rFonts w:ascii="Arial" w:eastAsia="Calibri" w:hAnsi="Arial" w:cs="Arial"/>
          <w:color w:val="000000" w:themeColor="text1"/>
          <w:sz w:val="22"/>
          <w:lang w:val="es-ES_tradnl"/>
        </w:rPr>
        <w:t xml:space="preserve">directriz, </w:t>
      </w:r>
      <w:bookmarkStart w:id="4" w:name="_Hlk36672204"/>
      <w:r w:rsidRPr="00DD176C">
        <w:rPr>
          <w:rFonts w:ascii="Arial" w:eastAsia="Calibri" w:hAnsi="Arial" w:cs="Arial"/>
          <w:color w:val="000000" w:themeColor="text1"/>
          <w:sz w:val="22"/>
          <w:lang w:val="es-ES_tradnl"/>
        </w:rPr>
        <w:t xml:space="preserve">el régimen de los </w:t>
      </w:r>
      <w:r w:rsidRPr="00DD176C">
        <w:rPr>
          <w:rFonts w:ascii="Arial" w:eastAsia="Calibri" w:hAnsi="Arial" w:cs="Arial"/>
          <w:i/>
          <w:iCs/>
          <w:color w:val="000000" w:themeColor="text1"/>
          <w:sz w:val="22"/>
          <w:lang w:val="es-ES_tradnl"/>
        </w:rPr>
        <w:t>conflictos de interés</w:t>
      </w:r>
      <w:r w:rsidRPr="00DD176C">
        <w:rPr>
          <w:rFonts w:ascii="Arial" w:eastAsia="Calibri" w:hAnsi="Arial" w:cs="Arial"/>
          <w:color w:val="000000" w:themeColor="text1"/>
          <w:sz w:val="22"/>
          <w:lang w:val="es-ES_tradnl"/>
        </w:rPr>
        <w:t xml:space="preserve"> tiene como objetivo la prevalencia del bien común sobre el particular, razón por la cual se configuran cuando </w:t>
      </w:r>
      <w:r w:rsidR="00506825">
        <w:rPr>
          <w:rFonts w:ascii="Arial" w:eastAsia="Calibri" w:hAnsi="Arial" w:cs="Arial"/>
          <w:color w:val="000000" w:themeColor="text1"/>
          <w:sz w:val="22"/>
          <w:lang w:val="es-ES_tradnl"/>
        </w:rPr>
        <w:t xml:space="preserve">los servidores públicos </w:t>
      </w:r>
      <w:r w:rsidRPr="00DD176C">
        <w:rPr>
          <w:rFonts w:ascii="Arial" w:eastAsia="Calibri" w:hAnsi="Arial" w:cs="Arial"/>
          <w:color w:val="000000" w:themeColor="text1"/>
          <w:sz w:val="22"/>
          <w:lang w:val="es-ES_tradnl"/>
        </w:rPr>
        <w:t xml:space="preserve">actúan influenciados por consideraciones personales que colisionan con el </w:t>
      </w:r>
      <w:r w:rsidR="00C16AF3">
        <w:rPr>
          <w:rFonts w:ascii="Arial" w:eastAsia="Calibri" w:hAnsi="Arial" w:cs="Arial"/>
          <w:color w:val="000000" w:themeColor="text1"/>
          <w:sz w:val="22"/>
          <w:lang w:val="es-ES_tradnl"/>
        </w:rPr>
        <w:t>d</w:t>
      </w:r>
      <w:r w:rsidRPr="00DD176C">
        <w:rPr>
          <w:rFonts w:ascii="Arial" w:eastAsia="Calibri" w:hAnsi="Arial" w:cs="Arial"/>
          <w:color w:val="000000" w:themeColor="text1"/>
          <w:sz w:val="22"/>
          <w:lang w:val="es-ES_tradnl"/>
        </w:rPr>
        <w:t xml:space="preserve">eber de preservar su independencia e imparcialidad. En este sentido, se definen como la </w:t>
      </w:r>
      <w:bookmarkStart w:id="5" w:name="_Hlk36668905"/>
      <w:r w:rsidRPr="00DD176C">
        <w:rPr>
          <w:rFonts w:ascii="Arial" w:eastAsia="Calibri" w:hAnsi="Arial" w:cs="Arial"/>
          <w:color w:val="000000" w:themeColor="text1"/>
          <w:sz w:val="22"/>
          <w:lang w:val="es-ES_tradnl"/>
        </w:rPr>
        <w:t>concurrencia de intereses antagónicos que afectan la transparencia de las decisiones, al implicar –en detrimento del interés general– el aprovechamiento personal, familiar o particular</w:t>
      </w:r>
      <w:bookmarkEnd w:id="3"/>
      <w:bookmarkEnd w:id="4"/>
      <w:bookmarkEnd w:id="5"/>
      <w:r w:rsidRPr="00DD176C">
        <w:rPr>
          <w:rStyle w:val="Refdenotaalpie"/>
          <w:rFonts w:ascii="Arial" w:eastAsia="Calibri" w:hAnsi="Arial" w:cs="Arial"/>
          <w:color w:val="000000" w:themeColor="text1"/>
          <w:sz w:val="22"/>
          <w:lang w:val="es-ES_tradnl"/>
        </w:rPr>
        <w:footnoteReference w:id="2"/>
      </w:r>
      <w:r w:rsidRPr="00DD176C">
        <w:rPr>
          <w:rFonts w:ascii="Arial" w:eastAsia="Calibri" w:hAnsi="Arial" w:cs="Arial"/>
          <w:color w:val="000000" w:themeColor="text1"/>
          <w:sz w:val="22"/>
          <w:lang w:val="es-ES_tradnl"/>
        </w:rPr>
        <w:t>.</w:t>
      </w:r>
    </w:p>
    <w:p w14:paraId="7B3F888A" w14:textId="0B31E409" w:rsidR="00BD16BF" w:rsidRPr="00DD176C" w:rsidRDefault="00BD16BF" w:rsidP="00BD16BF">
      <w:pPr>
        <w:spacing w:after="120"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ab/>
        <w:t xml:space="preserve">La institución </w:t>
      </w:r>
      <w:r w:rsidR="00506825">
        <w:rPr>
          <w:rFonts w:ascii="Arial" w:eastAsia="Calibri" w:hAnsi="Arial" w:cs="Arial"/>
          <w:color w:val="000000" w:themeColor="text1"/>
          <w:sz w:val="22"/>
          <w:lang w:val="es-ES_tradnl"/>
        </w:rPr>
        <w:t xml:space="preserve">jurídica </w:t>
      </w:r>
      <w:r w:rsidRPr="00DD176C">
        <w:rPr>
          <w:rFonts w:ascii="Arial" w:eastAsia="Calibri" w:hAnsi="Arial" w:cs="Arial"/>
          <w:color w:val="000000" w:themeColor="text1"/>
          <w:sz w:val="22"/>
          <w:lang w:val="es-ES_tradnl"/>
        </w:rPr>
        <w:t xml:space="preserve">de los conflictos de interés no está definida con carácter general en el ordenamiento jurídico y tampoco de forma precisa en las normas que regulan la contratación estatal, por lo que es un asunto ausente en el Estatuto General de Contratación de la Administración Pública –en adelante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Estatuto General de Contratación de la Administración Pública dispone que aquellos obrarán con lealtad y buena fe en las distintas etapas contractuales. </w:t>
      </w:r>
    </w:p>
    <w:p w14:paraId="1ADA19D7" w14:textId="15E22A1D" w:rsidR="001128EC" w:rsidRDefault="00BD16BF" w:rsidP="007E441B">
      <w:pPr>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lastRenderedPageBreak/>
        <w:tab/>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w:t>
      </w:r>
      <w:r w:rsidR="00506825">
        <w:rPr>
          <w:rFonts w:ascii="Arial" w:eastAsia="Calibri" w:hAnsi="Arial" w:cs="Arial"/>
          <w:color w:val="000000" w:themeColor="text1"/>
          <w:sz w:val="22"/>
          <w:lang w:val="es-ES_tradnl"/>
        </w:rPr>
        <w:t>menciona</w:t>
      </w:r>
      <w:r w:rsidRPr="00DD176C">
        <w:rPr>
          <w:rFonts w:ascii="Arial" w:eastAsia="Calibri" w:hAnsi="Arial" w:cs="Arial"/>
          <w:color w:val="000000" w:themeColor="text1"/>
          <w:sz w:val="22"/>
          <w:lang w:val="es-ES_tradnl"/>
        </w:rPr>
        <w:t>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5FA66B68" w14:textId="77777777" w:rsidR="007E441B" w:rsidRDefault="007E441B" w:rsidP="007E441B">
      <w:pPr>
        <w:spacing w:line="276" w:lineRule="auto"/>
        <w:jc w:val="both"/>
        <w:rPr>
          <w:rFonts w:ascii="Arial" w:eastAsia="Calibri" w:hAnsi="Arial" w:cs="Arial"/>
          <w:b/>
          <w:bCs/>
          <w:color w:val="000000" w:themeColor="text1"/>
          <w:sz w:val="22"/>
          <w:lang w:val="es-ES_tradnl"/>
        </w:rPr>
      </w:pPr>
    </w:p>
    <w:p w14:paraId="025F61B6" w14:textId="6764CC63" w:rsidR="007E441B" w:rsidRPr="00DD176C" w:rsidRDefault="007E441B" w:rsidP="007E441B">
      <w:pPr>
        <w:spacing w:line="276" w:lineRule="auto"/>
        <w:jc w:val="both"/>
        <w:rPr>
          <w:rFonts w:ascii="Arial" w:eastAsia="Calibri" w:hAnsi="Arial" w:cs="Arial"/>
          <w:b/>
          <w:bCs/>
          <w:color w:val="000000" w:themeColor="text1"/>
          <w:sz w:val="22"/>
          <w:lang w:val="es-ES_tradnl"/>
        </w:rPr>
      </w:pPr>
      <w:r w:rsidRPr="00DD176C">
        <w:rPr>
          <w:rFonts w:ascii="Arial" w:eastAsia="Calibri" w:hAnsi="Arial" w:cs="Arial"/>
          <w:b/>
          <w:bCs/>
          <w:color w:val="000000" w:themeColor="text1"/>
          <w:sz w:val="22"/>
          <w:lang w:val="es-ES_tradnl"/>
        </w:rPr>
        <w:t>2.</w:t>
      </w:r>
      <w:r>
        <w:rPr>
          <w:rFonts w:ascii="Arial" w:eastAsia="Calibri" w:hAnsi="Arial" w:cs="Arial"/>
          <w:b/>
          <w:bCs/>
          <w:color w:val="000000" w:themeColor="text1"/>
          <w:sz w:val="22"/>
          <w:lang w:val="es-ES_tradnl"/>
        </w:rPr>
        <w:t>2</w:t>
      </w:r>
      <w:r w:rsidRPr="00DD176C">
        <w:rPr>
          <w:rFonts w:ascii="Arial" w:eastAsia="Calibri" w:hAnsi="Arial" w:cs="Arial"/>
          <w:b/>
          <w:bCs/>
          <w:color w:val="000000" w:themeColor="text1"/>
          <w:sz w:val="22"/>
          <w:lang w:val="es-ES_tradnl"/>
        </w:rPr>
        <w:t xml:space="preserve">. </w:t>
      </w:r>
      <w:r w:rsidR="003A3106">
        <w:rPr>
          <w:rFonts w:ascii="Arial" w:eastAsia="Calibri" w:hAnsi="Arial" w:cs="Arial"/>
          <w:b/>
          <w:bCs/>
          <w:color w:val="000000" w:themeColor="text1"/>
          <w:sz w:val="22"/>
          <w:lang w:val="es-ES_tradnl"/>
        </w:rPr>
        <w:t>Posibilidad limitada de incluir causales de conflicto de interés en los pliegos de condiciones</w:t>
      </w:r>
    </w:p>
    <w:p w14:paraId="41D76886" w14:textId="77777777" w:rsidR="007E441B" w:rsidRDefault="007E441B" w:rsidP="00BD16BF">
      <w:pPr>
        <w:spacing w:line="276" w:lineRule="auto"/>
        <w:jc w:val="both"/>
        <w:rPr>
          <w:rFonts w:ascii="Arial" w:eastAsia="Calibri" w:hAnsi="Arial" w:cs="Arial"/>
          <w:color w:val="000000" w:themeColor="text1"/>
          <w:sz w:val="22"/>
          <w:lang w:val="es-ES_tradnl"/>
        </w:rPr>
      </w:pPr>
    </w:p>
    <w:p w14:paraId="19A4BC4E" w14:textId="5DC6C7D4" w:rsidR="00BD16BF" w:rsidRPr="00DD176C" w:rsidRDefault="00506825" w:rsidP="00BD16BF">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Es bueno resaltar</w:t>
      </w:r>
      <w:r w:rsidR="00BA383D">
        <w:rPr>
          <w:rFonts w:ascii="Arial" w:eastAsia="Calibri" w:hAnsi="Arial" w:cs="Arial"/>
          <w:color w:val="000000" w:themeColor="text1"/>
          <w:sz w:val="22"/>
          <w:lang w:val="es-ES_tradnl"/>
        </w:rPr>
        <w:t>,</w:t>
      </w:r>
      <w:r w:rsidR="003A3106">
        <w:rPr>
          <w:rFonts w:ascii="Arial" w:eastAsia="Calibri" w:hAnsi="Arial" w:cs="Arial"/>
          <w:color w:val="000000" w:themeColor="text1"/>
          <w:sz w:val="22"/>
          <w:lang w:val="es-ES_tradnl"/>
        </w:rPr>
        <w:t xml:space="preserve"> como lo señaló la Agencia Nacional de Contratación Pública </w:t>
      </w:r>
      <w:r w:rsidR="00607CDE">
        <w:rPr>
          <w:rFonts w:ascii="Arial" w:eastAsia="Calibri" w:hAnsi="Arial" w:cs="Arial"/>
          <w:color w:val="000000" w:themeColor="text1"/>
          <w:sz w:val="22"/>
          <w:lang w:val="es-ES_tradnl"/>
        </w:rPr>
        <w:t xml:space="preserve">– Colombia Compra Eficiente en los conceptos </w:t>
      </w:r>
      <w:r w:rsidR="00607CDE" w:rsidRPr="00607CDE">
        <w:rPr>
          <w:rFonts w:ascii="Arial" w:eastAsia="Calibri" w:hAnsi="Arial" w:cs="Arial"/>
          <w:color w:val="000000" w:themeColor="text1"/>
          <w:sz w:val="22"/>
          <w:lang w:val="es-ES_tradnl"/>
        </w:rPr>
        <w:t>C-815 del 18 de febrero de 2021 y C-449 del 31 de agosto de 2021</w:t>
      </w:r>
      <w:r w:rsidR="00607CDE">
        <w:rPr>
          <w:rFonts w:ascii="Arial" w:eastAsia="Calibri" w:hAnsi="Arial" w:cs="Arial"/>
          <w:color w:val="000000" w:themeColor="text1"/>
          <w:sz w:val="22"/>
          <w:lang w:val="es-ES_tradnl"/>
        </w:rPr>
        <w:t>,</w:t>
      </w:r>
      <w:r w:rsidR="00BD16BF" w:rsidRPr="00DD176C">
        <w:rPr>
          <w:rFonts w:ascii="Arial" w:eastAsia="Calibri" w:hAnsi="Arial" w:cs="Arial"/>
          <w:color w:val="000000" w:themeColor="text1"/>
          <w:sz w:val="22"/>
          <w:lang w:val="es-ES_tradnl"/>
        </w:rPr>
        <w:t xml:space="preserve"> </w:t>
      </w:r>
      <w:r w:rsidR="00BA383D">
        <w:rPr>
          <w:rFonts w:ascii="Arial" w:eastAsia="Calibri" w:hAnsi="Arial" w:cs="Arial"/>
          <w:color w:val="000000" w:themeColor="text1"/>
          <w:sz w:val="22"/>
          <w:lang w:val="es-ES_tradnl"/>
        </w:rPr>
        <w:t xml:space="preserve">que </w:t>
      </w:r>
      <w:r w:rsidR="00BD16BF" w:rsidRPr="00DD176C">
        <w:rPr>
          <w:rFonts w:ascii="Arial" w:eastAsia="Calibri" w:hAnsi="Arial" w:cs="Arial"/>
          <w:color w:val="000000" w:themeColor="text1"/>
          <w:sz w:val="22"/>
          <w:lang w:val="es-ES_tradnl"/>
        </w:rPr>
        <w:t>la doctrina</w:t>
      </w:r>
      <w:r w:rsidR="00BD16BF" w:rsidRPr="00DD176C">
        <w:rPr>
          <w:rStyle w:val="Refdenotaalpie"/>
          <w:rFonts w:ascii="Arial" w:eastAsia="Calibri" w:hAnsi="Arial" w:cs="Arial"/>
          <w:color w:val="000000" w:themeColor="text1"/>
          <w:sz w:val="22"/>
          <w:lang w:val="es-ES_tradnl"/>
        </w:rPr>
        <w:footnoteReference w:id="3"/>
      </w:r>
      <w:r w:rsidR="00BD16BF" w:rsidRPr="00DD176C">
        <w:rPr>
          <w:rFonts w:ascii="Arial" w:eastAsia="Calibri" w:hAnsi="Arial" w:cs="Arial"/>
          <w:color w:val="000000" w:themeColor="text1"/>
          <w:sz w:val="22"/>
          <w:lang w:val="es-ES_tradnl"/>
        </w:rPr>
        <w:t xml:space="preserve"> y de forma particular la Sala de Consulta y Servicio Civil del Consejo de Estado</w:t>
      </w:r>
      <w:r w:rsidR="00BD16BF" w:rsidRPr="00DD176C">
        <w:rPr>
          <w:rStyle w:val="Refdenotaalpie"/>
          <w:rFonts w:ascii="Arial" w:eastAsia="Calibri" w:hAnsi="Arial" w:cs="Arial"/>
          <w:color w:val="000000" w:themeColor="text1"/>
          <w:sz w:val="22"/>
          <w:lang w:val="es-ES_tradnl"/>
        </w:rPr>
        <w:footnoteReference w:id="4"/>
      </w:r>
      <w:r w:rsidR="00BD16BF" w:rsidRPr="00DD176C">
        <w:rPr>
          <w:rFonts w:ascii="Arial" w:eastAsia="Calibri" w:hAnsi="Arial" w:cs="Arial"/>
          <w:color w:val="000000" w:themeColor="text1"/>
          <w:sz w:val="22"/>
          <w:lang w:val="es-ES_tradnl"/>
        </w:rPr>
        <w:t>, han reconocido la posibilidad que tienen las entidades estatales de establecer conflictos de interés en sus pliegos de condiciones, diferenciando dichas causales y su regulación de las inhabilidades e incompatibilidade</w:t>
      </w:r>
      <w:r w:rsidR="0088219A">
        <w:rPr>
          <w:rFonts w:ascii="Arial" w:eastAsia="Calibri" w:hAnsi="Arial" w:cs="Arial"/>
          <w:color w:val="000000" w:themeColor="text1"/>
          <w:sz w:val="22"/>
          <w:lang w:val="es-ES_tradnl"/>
        </w:rPr>
        <w:t xml:space="preserve">s consagradas en el Estatuto General de Contratación de la Administración Pública y </w:t>
      </w:r>
      <w:r w:rsidR="00B1783C">
        <w:rPr>
          <w:rFonts w:ascii="Arial" w:eastAsia="Calibri" w:hAnsi="Arial" w:cs="Arial"/>
          <w:color w:val="000000" w:themeColor="text1"/>
          <w:sz w:val="22"/>
          <w:lang w:val="es-ES_tradnl"/>
        </w:rPr>
        <w:t>demás normas complementarias</w:t>
      </w:r>
      <w:r w:rsidR="00BD16BF" w:rsidRPr="00DD176C">
        <w:rPr>
          <w:rFonts w:ascii="Arial" w:eastAsia="Calibri" w:hAnsi="Arial" w:cs="Arial"/>
          <w:color w:val="000000" w:themeColor="text1"/>
          <w:sz w:val="22"/>
          <w:lang w:val="es-ES_tradnl"/>
        </w:rPr>
        <w:t>. En tal sentido, se han establecido algunos requisitos y exigencias que deben cumplir dichas causales de conflicto de interés y sus consecuencias en los procedimientos de selección de contratistas o para la celebración de contratos, precisándose sus consecuencias. Así las cosas, la doctrina ha definido e identificado el origen de los conflictos de interés en los contratos estatales de la siguiente manera:</w:t>
      </w:r>
    </w:p>
    <w:p w14:paraId="5FD8AC23" w14:textId="77777777" w:rsidR="00BD16BF" w:rsidRPr="00DD176C" w:rsidRDefault="00BD16BF" w:rsidP="00BD16BF">
      <w:pPr>
        <w:widowControl w:val="0"/>
        <w:autoSpaceDE w:val="0"/>
        <w:autoSpaceDN w:val="0"/>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ab/>
      </w:r>
    </w:p>
    <w:p w14:paraId="1650B693"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He sido de la tesis que la entidad no puede «inventarse» prohibiciones en los pliegos de condiciones habida consideración que su consagración es eminentemente legal; sin embargo, de tiempo atrás y a raíz de la instauración legal del Conflicto de Interés en el artículo 40 de la Ley 734 de 2002, contentiva del Código Disciplinario Único, se ha venido regulando en los pliegos de condiciones esta figura con el fin de evitar la selección de oferentes que por </w:t>
      </w:r>
      <w:r w:rsidRPr="00DD176C">
        <w:rPr>
          <w:rFonts w:ascii="Arial" w:eastAsia="Calibri" w:hAnsi="Arial" w:cs="Arial"/>
          <w:sz w:val="21"/>
          <w:szCs w:val="21"/>
          <w:lang w:val="es-ES_tradnl"/>
        </w:rPr>
        <w:lastRenderedPageBreak/>
        <w:t xml:space="preserve">alguna circunstancia pueda poner en riesgo el adecuado cumplimiento del contrato dadas las relaciones que podría existir con personas directamente involucradas en la actividad concerniente al objeto del contrato. Así mismo las entidades estatales que están por fuera del Estatuto General de Contratación, han consagrado en sus Estatutos Internos de Contratación disposiciones que regulan la materia </w:t>
      </w:r>
      <w:proofErr w:type="gramStart"/>
      <w:r w:rsidRPr="00DD176C">
        <w:rPr>
          <w:rFonts w:ascii="Arial" w:eastAsia="Calibri" w:hAnsi="Arial" w:cs="Arial"/>
          <w:sz w:val="21"/>
          <w:szCs w:val="21"/>
          <w:lang w:val="es-ES_tradnl"/>
        </w:rPr>
        <w:t>que</w:t>
      </w:r>
      <w:proofErr w:type="gramEnd"/>
      <w:r w:rsidRPr="00DD176C">
        <w:rPr>
          <w:rFonts w:ascii="Arial" w:eastAsia="Calibri" w:hAnsi="Arial" w:cs="Arial"/>
          <w:sz w:val="21"/>
          <w:szCs w:val="21"/>
          <w:lang w:val="es-ES_tradnl"/>
        </w:rPr>
        <w:t xml:space="preserve"> por supuesto resultan aplicables a sus procesos de selección, así en los pliegos de condiciones nada se diga. </w:t>
      </w:r>
    </w:p>
    <w:p w14:paraId="3178E28C" w14:textId="77777777" w:rsidR="00BD16BF" w:rsidRPr="00DD176C" w:rsidRDefault="00BD16BF" w:rsidP="00BD16BF">
      <w:pPr>
        <w:ind w:left="709" w:right="709"/>
        <w:jc w:val="both"/>
        <w:rPr>
          <w:rFonts w:ascii="Arial" w:eastAsia="Calibri" w:hAnsi="Arial" w:cs="Arial"/>
          <w:color w:val="000000" w:themeColor="text1"/>
          <w:sz w:val="22"/>
          <w:lang w:val="es-ES_tradnl"/>
        </w:rPr>
      </w:pPr>
      <w:r w:rsidRPr="00DD176C">
        <w:rPr>
          <w:rFonts w:ascii="Arial" w:eastAsia="Calibri" w:hAnsi="Arial" w:cs="Arial"/>
          <w:sz w:val="21"/>
          <w:szCs w:val="21"/>
          <w:lang w:val="es-ES_tradnl"/>
        </w:rPr>
        <w:t>De manera general, habría que decir que se interpreta el conflicto de intereses como la concurrencia de intereses antagónicos, por lo que puede afectarse la transparencia de las decisiones que le competen y lo pueden llevar a adoptar determinaciones de aprovechamiento personal, familiar o particular, en detrimento del interés público.</w:t>
      </w:r>
    </w:p>
    <w:p w14:paraId="0597D0BB" w14:textId="77777777" w:rsidR="00BD16BF" w:rsidRPr="00DD176C" w:rsidRDefault="00BD16BF" w:rsidP="00BD16BF">
      <w:pPr>
        <w:widowControl w:val="0"/>
        <w:autoSpaceDE w:val="0"/>
        <w:autoSpaceDN w:val="0"/>
        <w:spacing w:line="276" w:lineRule="auto"/>
        <w:jc w:val="both"/>
        <w:rPr>
          <w:rFonts w:ascii="Arial" w:eastAsia="Calibri" w:hAnsi="Arial" w:cs="Arial"/>
          <w:sz w:val="22"/>
          <w:lang w:val="es-ES_tradnl"/>
        </w:rPr>
      </w:pPr>
    </w:p>
    <w:p w14:paraId="2C2F4E6E" w14:textId="77777777" w:rsidR="00BD16BF" w:rsidRPr="00DD176C" w:rsidRDefault="00BD16BF" w:rsidP="00BD16BF">
      <w:pPr>
        <w:widowControl w:val="0"/>
        <w:autoSpaceDE w:val="0"/>
        <w:autoSpaceDN w:val="0"/>
        <w:spacing w:after="120" w:line="276" w:lineRule="auto"/>
        <w:ind w:firstLine="708"/>
        <w:jc w:val="both"/>
        <w:rPr>
          <w:rFonts w:ascii="Arial" w:eastAsia="Calibri" w:hAnsi="Arial" w:cs="Arial"/>
          <w:sz w:val="22"/>
          <w:lang w:val="es-ES_tradnl"/>
        </w:rPr>
      </w:pPr>
      <w:r w:rsidRPr="00DD176C">
        <w:rPr>
          <w:rFonts w:ascii="Arial" w:eastAsia="Calibri" w:hAnsi="Arial" w:cs="Arial"/>
          <w:sz w:val="22"/>
          <w:lang w:val="es-ES_tradnl"/>
        </w:rPr>
        <w:t>De lo anterior se desprende que el fundamento axiológico para la existencia de los conflictos de interés se encuentra en la garantía del interés público, que podría comprometerse en los supuestos en que determinado contratista pudiera actuar movido por intereses personales, que le impedirían actuar con imparcialidad y probidad en la ejecución de determinado contrato estatal.</w:t>
      </w:r>
    </w:p>
    <w:p w14:paraId="2DE0AA27" w14:textId="4E3D1ACE" w:rsidR="00BD16BF" w:rsidRPr="00DD176C" w:rsidRDefault="00BD16BF" w:rsidP="00BD16BF">
      <w:pPr>
        <w:widowControl w:val="0"/>
        <w:autoSpaceDE w:val="0"/>
        <w:autoSpaceDN w:val="0"/>
        <w:spacing w:after="120" w:line="276" w:lineRule="auto"/>
        <w:ind w:firstLine="708"/>
        <w:jc w:val="both"/>
        <w:rPr>
          <w:rFonts w:ascii="Arial" w:eastAsia="Calibri" w:hAnsi="Arial" w:cs="Arial"/>
          <w:sz w:val="22"/>
          <w:lang w:val="es-ES_tradnl"/>
        </w:rPr>
      </w:pPr>
      <w:r w:rsidRPr="00DD176C">
        <w:rPr>
          <w:rFonts w:ascii="Arial" w:eastAsia="Calibri" w:hAnsi="Arial" w:cs="Arial"/>
          <w:sz w:val="22"/>
          <w:lang w:val="es-ES_tradnl"/>
        </w:rPr>
        <w:t>De esta manera, si bien el legislador establece las casuales de inhabilidad e incompatibilidad de forma general para celebrar contratos con cualquier entidad estatal o con alguna entidad estatal en particular</w:t>
      </w:r>
      <w:r w:rsidR="006D1A0C">
        <w:rPr>
          <w:rFonts w:ascii="Arial" w:eastAsia="Calibri" w:hAnsi="Arial" w:cs="Arial"/>
          <w:sz w:val="22"/>
          <w:lang w:val="es-ES_tradnl"/>
        </w:rPr>
        <w:t>,</w:t>
      </w:r>
      <w:r w:rsidRPr="00DD176C">
        <w:rPr>
          <w:rFonts w:ascii="Arial" w:eastAsia="Calibri" w:hAnsi="Arial" w:cs="Arial"/>
          <w:sz w:val="22"/>
          <w:lang w:val="es-ES_tradnl"/>
        </w:rPr>
        <w:t xml:space="preserve"> los conflictos de interés suelen establecerse frente a sujetos en particular que en razón a la ejecución de una actividad anterior podrían tener una posición privilegiada en determinado procedimiento de selección. A modo de ejemplo se pueden enunciar las siguientes situaciones: i) por participar en la estructuración del mismo procedimiento de selección o proyecto que se va a ejecutar, de manera que se impida su participación para garantizar el principio de igualdad; ii) cuando la ejecución de un contrato posterior pueda incidir eventualmente frente a la responsabilidad de un contrato ejecutado previamente; o iii) cuando entre ambos negocios jurídicos exista alguna relación que conduzca a esta consecuencia. De otro lado, </w:t>
      </w:r>
      <w:r w:rsidR="00506825">
        <w:rPr>
          <w:rFonts w:ascii="Arial" w:eastAsia="Calibri" w:hAnsi="Arial" w:cs="Arial"/>
          <w:sz w:val="22"/>
          <w:lang w:val="es-ES_tradnl"/>
        </w:rPr>
        <w:t xml:space="preserve">los conflictos de interés </w:t>
      </w:r>
      <w:r w:rsidRPr="00DD176C">
        <w:rPr>
          <w:rFonts w:ascii="Arial" w:eastAsia="Calibri" w:hAnsi="Arial" w:cs="Arial"/>
          <w:sz w:val="22"/>
          <w:lang w:val="es-ES_tradnl"/>
        </w:rPr>
        <w:t xml:space="preserve">se establecen con la finalidad de evitar alguna relación particular que tengan dos contratistas, quienes estarían vinculados por intereses comunes que podrían dar lugar a algún favorecimiento, en detrimento de la adecuada ejecución del contrato. Si bien los fundamentos anteriores no son exhaustivos ni taxativos, </w:t>
      </w:r>
      <w:r w:rsidR="00506825">
        <w:rPr>
          <w:rFonts w:ascii="Arial" w:eastAsia="Calibri" w:hAnsi="Arial" w:cs="Arial"/>
          <w:sz w:val="22"/>
          <w:lang w:val="es-ES_tradnl"/>
        </w:rPr>
        <w:t>constituyen ejemplos que podrían servir de fundamento para</w:t>
      </w:r>
      <w:r w:rsidRPr="00DD176C">
        <w:rPr>
          <w:rFonts w:ascii="Arial" w:eastAsia="Calibri" w:hAnsi="Arial" w:cs="Arial"/>
          <w:sz w:val="22"/>
          <w:lang w:val="es-ES_tradnl"/>
        </w:rPr>
        <w:t xml:space="preserve"> la inclusión de algún conflicto de interés en un pliego de condiciones.</w:t>
      </w:r>
    </w:p>
    <w:p w14:paraId="1EEC6BFE" w14:textId="193A3F95" w:rsidR="00BD16BF" w:rsidRPr="00DD176C" w:rsidRDefault="00BD16BF" w:rsidP="00BD16BF">
      <w:pPr>
        <w:widowControl w:val="0"/>
        <w:autoSpaceDE w:val="0"/>
        <w:autoSpaceDN w:val="0"/>
        <w:spacing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Ahora bien, con los fundamentos anteriores no se pretende justificar la inclusión de cualquier conflicto de interés en un pliego de condiciones, máxime cuando su utilización debe ser excepcional, y su legalidad, en todo caso, corresponde decidirla al juez del contrato. Con lo anterior, simplemente se pretenden señalar algunas de las razones que dan lugar a su inclusión y su vinculación con principios como la igualdad, la imparcialidad y la prevalencia del interés general sobre el particular. </w:t>
      </w:r>
      <w:r w:rsidR="004A59E5">
        <w:rPr>
          <w:rFonts w:ascii="Arial" w:eastAsia="Calibri" w:hAnsi="Arial" w:cs="Arial"/>
          <w:sz w:val="22"/>
          <w:lang w:val="es-ES_tradnl"/>
        </w:rPr>
        <w:t>Por ello</w:t>
      </w:r>
      <w:r w:rsidRPr="00DD176C">
        <w:rPr>
          <w:rFonts w:ascii="Arial" w:eastAsia="Calibri" w:hAnsi="Arial" w:cs="Arial"/>
          <w:sz w:val="22"/>
          <w:lang w:val="es-ES_tradnl"/>
        </w:rPr>
        <w:t>, la doctrina ha precisado algunos fundamentos concretos que dan lugar a la inclusión de estas causales de conflicto de interés:</w:t>
      </w:r>
    </w:p>
    <w:p w14:paraId="6EF7B03C" w14:textId="77777777" w:rsidR="00BD16BF" w:rsidRPr="00DD176C" w:rsidRDefault="00BD16BF" w:rsidP="00BD16BF">
      <w:pPr>
        <w:widowControl w:val="0"/>
        <w:autoSpaceDE w:val="0"/>
        <w:autoSpaceDN w:val="0"/>
        <w:spacing w:line="276" w:lineRule="auto"/>
        <w:ind w:firstLine="709"/>
        <w:jc w:val="both"/>
        <w:rPr>
          <w:rFonts w:ascii="Arial" w:eastAsia="Calibri" w:hAnsi="Arial" w:cs="Arial"/>
          <w:sz w:val="22"/>
          <w:lang w:val="es-ES_tradnl"/>
        </w:rPr>
      </w:pPr>
    </w:p>
    <w:p w14:paraId="2F30DA25"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 en el plano de los procesos de selección, esta figura busca garantizar la objetividad y el principio de igualdad mediante la prohibición para participar y concursar respecto de personas que por alguna razón conocieron con antelación elementos esenciales del proceso o del contrato que les otorgan una ventaja en el concurso respecto de los demás y con ello la ruptura del principio inmaculado de la igualdad. </w:t>
      </w:r>
    </w:p>
    <w:p w14:paraId="002D8A19" w14:textId="77777777" w:rsidR="00BD16BF" w:rsidRPr="00DD176C" w:rsidRDefault="00BD16BF" w:rsidP="00BD16BF">
      <w:pPr>
        <w:widowControl w:val="0"/>
        <w:autoSpaceDE w:val="0"/>
        <w:autoSpaceDN w:val="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el aserto antedicho se predica en relación con la mayoría de los contratos y en donde no (sic) existe nexo entre dos o más negocios jurídicos. Ello traduce que cuando se presenta un claro vínculo entre dos contratos, si se quiere relacionados íntimamente y donde el uno depende en gran medida de los realizado por uno anterior, resulta comprensible estatuir que no puede haber ningún tipo de vínculo entre los dos contratistas o que no pueda participar en el segundo, el contratista del primero en cuanto generador de información fundamental para el segundo»</w:t>
      </w:r>
      <w:r w:rsidRPr="00DD176C">
        <w:rPr>
          <w:rStyle w:val="Refdenotaalpie"/>
          <w:rFonts w:ascii="Arial" w:eastAsia="Calibri" w:hAnsi="Arial" w:cs="Arial"/>
          <w:sz w:val="21"/>
          <w:szCs w:val="21"/>
          <w:lang w:val="es-ES_tradnl"/>
        </w:rPr>
        <w:footnoteReference w:id="5"/>
      </w:r>
      <w:r w:rsidRPr="00DD176C">
        <w:rPr>
          <w:rFonts w:ascii="Arial" w:eastAsia="Calibri" w:hAnsi="Arial" w:cs="Arial"/>
          <w:sz w:val="21"/>
          <w:szCs w:val="21"/>
          <w:lang w:val="es-ES_tradnl"/>
        </w:rPr>
        <w:t>.</w:t>
      </w:r>
    </w:p>
    <w:p w14:paraId="6E178D96" w14:textId="77777777" w:rsidR="00BD16BF" w:rsidRPr="00DD176C" w:rsidRDefault="00BD16BF" w:rsidP="00BD16BF">
      <w:pPr>
        <w:widowControl w:val="0"/>
        <w:autoSpaceDE w:val="0"/>
        <w:autoSpaceDN w:val="0"/>
        <w:ind w:right="709"/>
        <w:jc w:val="both"/>
        <w:rPr>
          <w:rFonts w:ascii="Arial" w:eastAsia="Calibri" w:hAnsi="Arial" w:cs="Arial"/>
          <w:sz w:val="21"/>
          <w:szCs w:val="21"/>
          <w:lang w:val="es-ES_tradnl"/>
        </w:rPr>
      </w:pPr>
    </w:p>
    <w:p w14:paraId="189FAFA7" w14:textId="4911B9CB" w:rsidR="00BD16BF" w:rsidRPr="00DD176C" w:rsidRDefault="00BD16BF" w:rsidP="00BD16BF">
      <w:pPr>
        <w:widowControl w:val="0"/>
        <w:autoSpaceDE w:val="0"/>
        <w:autoSpaceDN w:val="0"/>
        <w:spacing w:line="276" w:lineRule="auto"/>
        <w:jc w:val="both"/>
        <w:rPr>
          <w:rFonts w:ascii="Arial" w:eastAsia="Calibri" w:hAnsi="Arial" w:cs="Arial"/>
          <w:sz w:val="22"/>
          <w:lang w:val="es-ES_tradnl"/>
        </w:rPr>
      </w:pPr>
      <w:r w:rsidRPr="00DD176C">
        <w:rPr>
          <w:rFonts w:ascii="Arial" w:eastAsia="Calibri" w:hAnsi="Arial" w:cs="Arial"/>
          <w:sz w:val="22"/>
          <w:lang w:val="es-ES_tradnl"/>
        </w:rPr>
        <w:tab/>
        <w:t>Como se esbozó con anterioridad, la Sala de Consulta y Servicio Civil del Consejo de Estado claramente ha</w:t>
      </w:r>
      <w:r w:rsidR="009268D9">
        <w:rPr>
          <w:rFonts w:ascii="Arial" w:eastAsia="Calibri" w:hAnsi="Arial" w:cs="Arial"/>
          <w:sz w:val="22"/>
          <w:lang w:val="es-ES_tradnl"/>
        </w:rPr>
        <w:t xml:space="preserve"> </w:t>
      </w:r>
      <w:r w:rsidRPr="00DD176C">
        <w:rPr>
          <w:rFonts w:ascii="Arial" w:eastAsia="Calibri" w:hAnsi="Arial" w:cs="Arial"/>
          <w:sz w:val="22"/>
          <w:lang w:val="es-ES_tradnl"/>
        </w:rPr>
        <w:t xml:space="preserve">admitido la inclusión de causales de conflicto de interés en los pliegos de condiciones o en los contratos de las entidades estatales, siempre y cuando estas satisfagan, entre otros requisitos, los criterios de </w:t>
      </w:r>
      <w:r w:rsidRPr="00DD176C">
        <w:rPr>
          <w:rFonts w:ascii="Arial" w:eastAsia="Calibri" w:hAnsi="Arial" w:cs="Arial"/>
          <w:i/>
          <w:iCs/>
          <w:sz w:val="22"/>
          <w:lang w:val="es-ES_tradnl"/>
        </w:rPr>
        <w:t xml:space="preserve">tipicidad </w:t>
      </w:r>
      <w:r w:rsidRPr="00DD176C">
        <w:rPr>
          <w:rFonts w:ascii="Arial" w:eastAsia="Calibri" w:hAnsi="Arial" w:cs="Arial"/>
          <w:sz w:val="22"/>
          <w:lang w:val="es-ES_tradnl"/>
        </w:rPr>
        <w:t xml:space="preserve">y </w:t>
      </w:r>
      <w:r w:rsidRPr="00DD176C">
        <w:rPr>
          <w:rFonts w:ascii="Arial" w:eastAsia="Calibri" w:hAnsi="Arial" w:cs="Arial"/>
          <w:i/>
          <w:iCs/>
          <w:sz w:val="22"/>
          <w:lang w:val="es-ES_tradnl"/>
        </w:rPr>
        <w:t xml:space="preserve">objetividad. </w:t>
      </w:r>
      <w:r w:rsidRPr="00DD176C">
        <w:rPr>
          <w:rFonts w:ascii="Arial" w:eastAsia="Calibri" w:hAnsi="Arial" w:cs="Arial"/>
          <w:sz w:val="22"/>
          <w:lang w:val="es-ES_tradnl"/>
        </w:rPr>
        <w:t>En efecto, en el concepto 1.767 del 10 de agosto de 2006, con fundamento en la estipulación de una causal de conflicto de interés en un contrato, se respondió una consulta confirmando que en el caso puesto a consideración de la Sala efectivamente se presentaba un conflicto de interés por lo que «el Consultor en quien se presenta, debió separarse inmediatamente del procedimiento de licitación». En dicho Concepto se señaló, en relación con los conflictos de interés, lo siguiente, teniendo en cuenta la causal incluida en el contrato relacionado con la consulta realizada al Consejo de Estado:</w:t>
      </w:r>
    </w:p>
    <w:p w14:paraId="41225AC8" w14:textId="77777777" w:rsidR="00BD16BF" w:rsidRPr="00DD176C" w:rsidRDefault="00BD16BF" w:rsidP="00BD16BF">
      <w:pPr>
        <w:widowControl w:val="0"/>
        <w:autoSpaceDE w:val="0"/>
        <w:autoSpaceDN w:val="0"/>
        <w:spacing w:line="276" w:lineRule="auto"/>
        <w:jc w:val="both"/>
        <w:rPr>
          <w:rFonts w:ascii="Arial" w:eastAsia="Calibri" w:hAnsi="Arial" w:cs="Arial"/>
          <w:sz w:val="22"/>
          <w:lang w:val="es-ES_tradnl"/>
        </w:rPr>
      </w:pPr>
    </w:p>
    <w:p w14:paraId="5E017E93"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La Sala destaca que el señalamiento contractual de la existencia de conflicto de intereses a partir de la identificación de actividades incompatibles con las tareas que le han sido contractualmente asignadas al </w:t>
      </w:r>
      <w:proofErr w:type="gramStart"/>
      <w:r w:rsidRPr="00DD176C">
        <w:rPr>
          <w:rFonts w:ascii="Arial" w:eastAsia="Calibri" w:hAnsi="Arial" w:cs="Arial"/>
          <w:sz w:val="21"/>
          <w:szCs w:val="21"/>
          <w:lang w:val="es-ES_tradnl"/>
        </w:rPr>
        <w:t>Consultor,</w:t>
      </w:r>
      <w:proofErr w:type="gramEnd"/>
      <w:r w:rsidRPr="00DD176C">
        <w:rPr>
          <w:rFonts w:ascii="Arial" w:eastAsia="Calibri" w:hAnsi="Arial" w:cs="Arial"/>
          <w:sz w:val="21"/>
          <w:szCs w:val="21"/>
          <w:lang w:val="es-ES_tradnl"/>
        </w:rPr>
        <w:t xml:space="preserve"> comporta una evaluación estrictamente objetiva, pues el comportamiento de conducta que da origen al conflicto, se presenta abstracción hecha de cualquier significado axiológico de la misma.</w:t>
      </w:r>
    </w:p>
    <w:p w14:paraId="7A61B806"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El postulado ético ínsito en las cláusulas sobre </w:t>
      </w:r>
      <w:proofErr w:type="gramStart"/>
      <w:r w:rsidRPr="00DD176C">
        <w:rPr>
          <w:rFonts w:ascii="Arial" w:eastAsia="Calibri" w:hAnsi="Arial" w:cs="Arial"/>
          <w:sz w:val="21"/>
          <w:szCs w:val="21"/>
          <w:lang w:val="es-ES_tradnl"/>
        </w:rPr>
        <w:t>conflictos,</w:t>
      </w:r>
      <w:proofErr w:type="gramEnd"/>
      <w:r w:rsidRPr="00DD176C">
        <w:rPr>
          <w:rFonts w:ascii="Arial" w:eastAsia="Calibri" w:hAnsi="Arial" w:cs="Arial"/>
          <w:sz w:val="21"/>
          <w:szCs w:val="21"/>
          <w:lang w:val="es-ES_tradnl"/>
        </w:rPr>
        <w:t xml:space="preserve"> lleva a significar que el propósito de las partes contratantes es el de amparar en grado extremo los principios de transparencia, igualdad y moralidad administrativas, prohibiendo determinadas conductas, sin consideración de los resultados dañinos o inocuos de las mismas en relación con el proceso de licitación.</w:t>
      </w:r>
    </w:p>
    <w:p w14:paraId="11DDAA3B"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Así las cosas, para la Sala es claro que el consultor o cualquiera de los miembros que integran la Unión Temporal, se encuentra incurso en conflicto de intereses, cuando, independientemente de la intencionalidad y de los </w:t>
      </w:r>
      <w:r w:rsidRPr="00DD176C">
        <w:rPr>
          <w:rFonts w:ascii="Arial" w:eastAsia="Calibri" w:hAnsi="Arial" w:cs="Arial"/>
          <w:sz w:val="21"/>
          <w:szCs w:val="21"/>
          <w:lang w:val="es-ES_tradnl"/>
        </w:rPr>
        <w:lastRenderedPageBreak/>
        <w:t xml:space="preserve">resultados,  desarrolla una actividad incompatible con alguna de aquellas que contractualmente le han sido asignadas, como por ejemplo, participar en el análisis, discusión o evaluación de la oferta de un  proponente cuyo asesor posee relaciones comerciales o profesionales con el consultor. </w:t>
      </w:r>
    </w:p>
    <w:p w14:paraId="7FD84A35" w14:textId="77777777" w:rsidR="00BD16BF" w:rsidRPr="00DD176C" w:rsidRDefault="00BD16BF" w:rsidP="00BD16BF">
      <w:pPr>
        <w:widowControl w:val="0"/>
        <w:autoSpaceDE w:val="0"/>
        <w:autoSpaceDN w:val="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Concretamente, lo que el contrato prohíbe en el presente caso, es que el consultor ejerza sus funciones dentro del proceso licitatorio cuando una persona con quien él tiene relaciones comerciales o profesionales vigentes es la asesora jurídica de uno de los proponentes. Es incompatible que el consultor atienda su relación comercial o profesional con esa persona y simultáneamente estudie, conceptúe o recomiende decisiones a la administración dentro de un proceso licitatorio en el cual esa persona presta asesoría legal a uno de los proponentes. Para el contrato, la situación descrita genera necesariamente un conflicto de intereses que se materializa en el momento en el que se conozca de la existencia de la incompatibilidad</w:t>
      </w:r>
      <w:r w:rsidRPr="00DD176C">
        <w:rPr>
          <w:rStyle w:val="Refdenotaalpie"/>
          <w:rFonts w:ascii="Arial" w:eastAsia="Calibri" w:hAnsi="Arial" w:cs="Arial"/>
          <w:sz w:val="21"/>
          <w:szCs w:val="21"/>
          <w:lang w:val="es-ES_tradnl"/>
        </w:rPr>
        <w:footnoteReference w:id="6"/>
      </w:r>
      <w:r w:rsidRPr="00DD176C">
        <w:rPr>
          <w:rFonts w:ascii="Arial" w:eastAsia="Calibri" w:hAnsi="Arial" w:cs="Arial"/>
          <w:sz w:val="21"/>
          <w:szCs w:val="21"/>
          <w:lang w:val="es-ES_tradnl"/>
        </w:rPr>
        <w:t xml:space="preserve">. </w:t>
      </w:r>
    </w:p>
    <w:p w14:paraId="27A3DCF9" w14:textId="77777777" w:rsidR="00BD16BF" w:rsidRPr="00DD176C" w:rsidRDefault="00BD16BF" w:rsidP="00BD16BF">
      <w:pPr>
        <w:widowControl w:val="0"/>
        <w:autoSpaceDE w:val="0"/>
        <w:autoSpaceDN w:val="0"/>
        <w:spacing w:line="276" w:lineRule="auto"/>
        <w:jc w:val="both"/>
        <w:rPr>
          <w:rFonts w:ascii="Arial" w:eastAsia="Calibri" w:hAnsi="Arial" w:cs="Arial"/>
          <w:sz w:val="22"/>
          <w:lang w:val="es-ES_tradnl"/>
        </w:rPr>
      </w:pPr>
    </w:p>
    <w:p w14:paraId="546110E6" w14:textId="77777777" w:rsidR="00BD16BF" w:rsidRPr="00DD176C" w:rsidRDefault="00BD16BF" w:rsidP="00BD16BF">
      <w:pPr>
        <w:widowControl w:val="0"/>
        <w:autoSpaceDE w:val="0"/>
        <w:autoSpaceDN w:val="0"/>
        <w:spacing w:line="276" w:lineRule="auto"/>
        <w:ind w:firstLine="709"/>
        <w:jc w:val="both"/>
        <w:rPr>
          <w:rFonts w:ascii="Arial" w:eastAsia="Calibri" w:hAnsi="Arial" w:cs="Arial"/>
          <w:i/>
          <w:iCs/>
          <w:sz w:val="22"/>
          <w:lang w:val="es-ES_tradnl"/>
        </w:rPr>
      </w:pPr>
      <w:r w:rsidRPr="00DD176C">
        <w:rPr>
          <w:rFonts w:ascii="Arial" w:eastAsia="Calibri" w:hAnsi="Arial" w:cs="Arial"/>
          <w:sz w:val="22"/>
          <w:lang w:val="es-ES_tradnl"/>
        </w:rPr>
        <w:t xml:space="preserve">Retomando la línea del concepto anterior, la Sala de Consulta y Servicio Civil del Consejo de Estado, en concepto del 23 de marzo de 2011, admitiendo la posibilidad de establecer conflictos de interés en los pliegos de condiciones, señaló que en su inclusión se deben cumplir con los requisitos de tipicidad y objetividad. Por la relevancia de las consideraciones de dicho concepto, estas se transcriben </w:t>
      </w:r>
      <w:proofErr w:type="gramStart"/>
      <w:r w:rsidRPr="00DD176C">
        <w:rPr>
          <w:rFonts w:ascii="Arial" w:eastAsia="Calibri" w:hAnsi="Arial" w:cs="Arial"/>
          <w:i/>
          <w:iCs/>
          <w:sz w:val="22"/>
          <w:lang w:val="es-ES_tradnl"/>
        </w:rPr>
        <w:t>in extenso</w:t>
      </w:r>
      <w:proofErr w:type="gramEnd"/>
      <w:r w:rsidRPr="00DD176C">
        <w:rPr>
          <w:rFonts w:ascii="Arial" w:eastAsia="Calibri" w:hAnsi="Arial" w:cs="Arial"/>
          <w:i/>
          <w:iCs/>
          <w:sz w:val="22"/>
          <w:lang w:val="es-ES_tradnl"/>
        </w:rPr>
        <w:t>:</w:t>
      </w:r>
    </w:p>
    <w:p w14:paraId="2AD23C98" w14:textId="77777777" w:rsidR="00BD16BF" w:rsidRPr="00DD176C" w:rsidRDefault="00BD16BF" w:rsidP="00BD16BF">
      <w:pPr>
        <w:widowControl w:val="0"/>
        <w:autoSpaceDE w:val="0"/>
        <w:autoSpaceDN w:val="0"/>
        <w:spacing w:line="276" w:lineRule="auto"/>
        <w:ind w:firstLine="709"/>
        <w:jc w:val="both"/>
        <w:rPr>
          <w:rFonts w:ascii="Arial" w:eastAsia="Calibri" w:hAnsi="Arial" w:cs="Arial"/>
          <w:sz w:val="22"/>
          <w:lang w:val="es-ES_tradnl"/>
        </w:rPr>
      </w:pPr>
    </w:p>
    <w:p w14:paraId="5E6B626B"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Para efectos del concepto que ahora se rinde, la Sala resalta dos elementos contenidos en el texto transcrito, a saber: </w:t>
      </w:r>
      <w:r w:rsidRPr="00DD176C">
        <w:rPr>
          <w:rFonts w:ascii="Arial" w:eastAsia="Calibri" w:hAnsi="Arial" w:cs="Arial"/>
          <w:i/>
          <w:iCs/>
          <w:sz w:val="21"/>
          <w:szCs w:val="21"/>
          <w:lang w:val="es-ES_tradnl"/>
        </w:rPr>
        <w:t>la «tipicidad» y la «objetividad»,</w:t>
      </w:r>
      <w:r w:rsidRPr="00DD176C">
        <w:rPr>
          <w:rFonts w:ascii="Arial" w:eastAsia="Calibri" w:hAnsi="Arial" w:cs="Arial"/>
          <w:sz w:val="21"/>
          <w:szCs w:val="21"/>
          <w:lang w:val="es-ES_tradnl"/>
        </w:rPr>
        <w:t xml:space="preserve"> que deben predicarse de las causales que se establezcan en cada caso particular, para preservar y hacer eficaz la selección objetiva del contratista, como se explica a continuación.</w:t>
      </w:r>
    </w:p>
    <w:p w14:paraId="58AB7C7C"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La «identificación de actividades incompatibles» con las obligaciones del contratista, significa jurídicamente, </w:t>
      </w:r>
      <w:r w:rsidRPr="00DD176C">
        <w:rPr>
          <w:rFonts w:ascii="Arial" w:eastAsia="Calibri" w:hAnsi="Arial" w:cs="Arial"/>
          <w:i/>
          <w:iCs/>
          <w:sz w:val="21"/>
          <w:szCs w:val="21"/>
          <w:lang w:val="es-ES_tradnl"/>
        </w:rPr>
        <w:t>«tipificarlas», esto es, definirlas de manera concreta para derivar de ellas una consecuencia que, en el caso en estudio, tiene una naturaleza restrictiva, prohibitiva o sancionatoria</w:t>
      </w:r>
      <w:r w:rsidRPr="00DD176C">
        <w:rPr>
          <w:rFonts w:ascii="Arial" w:eastAsia="Calibri" w:hAnsi="Arial" w:cs="Arial"/>
          <w:sz w:val="21"/>
          <w:szCs w:val="21"/>
          <w:lang w:val="es-ES_tradnl"/>
        </w:rPr>
        <w:t>.</w:t>
      </w:r>
    </w:p>
    <w:p w14:paraId="45D3842D"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La «evaluación estrictamente objetiva» que debe garantizarse con las causales que se definan en un proceso contractual dado, exige, por supuesto, la «objetividad» en la determinación de las causales que se adopten.</w:t>
      </w:r>
    </w:p>
    <w:p w14:paraId="5E829819" w14:textId="77777777" w:rsidR="00BD16BF" w:rsidRPr="00DD176C" w:rsidRDefault="00BD16BF" w:rsidP="00BD16BF">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en sí mismo.</w:t>
      </w:r>
      <w:bookmarkStart w:id="6" w:name="_ftnref18"/>
      <w:r w:rsidRPr="00DD176C">
        <w:rPr>
          <w:rFonts w:ascii="Arial" w:eastAsia="Calibri" w:hAnsi="Arial" w:cs="Arial"/>
          <w:sz w:val="21"/>
          <w:szCs w:val="21"/>
          <w:lang w:val="es-ES_tradnl"/>
        </w:rPr>
        <w:t>»</w:t>
      </w:r>
      <w:bookmarkEnd w:id="6"/>
      <w:r w:rsidRPr="00DD176C">
        <w:rPr>
          <w:rFonts w:ascii="Arial" w:eastAsia="Calibri" w:hAnsi="Arial" w:cs="Arial"/>
          <w:sz w:val="21"/>
          <w:szCs w:val="21"/>
          <w:lang w:val="es-ES_tradnl"/>
        </w:rPr>
        <w:t xml:space="preserve"> </w:t>
      </w:r>
    </w:p>
    <w:p w14:paraId="5311EA8C" w14:textId="77777777" w:rsidR="00BD16BF" w:rsidRPr="00DD176C" w:rsidRDefault="00BD16BF" w:rsidP="00BD16BF">
      <w:pPr>
        <w:widowControl w:val="0"/>
        <w:autoSpaceDE w:val="0"/>
        <w:autoSpaceDN w:val="0"/>
        <w:spacing w:after="120"/>
        <w:ind w:left="709" w:right="709"/>
        <w:jc w:val="both"/>
        <w:rPr>
          <w:rFonts w:ascii="Arial" w:eastAsia="Calibri" w:hAnsi="Arial" w:cs="Arial"/>
          <w:i/>
          <w:iCs/>
          <w:sz w:val="21"/>
          <w:szCs w:val="21"/>
          <w:lang w:val="es-ES_tradnl"/>
        </w:rPr>
      </w:pPr>
      <w:r w:rsidRPr="00DD176C">
        <w:rPr>
          <w:rFonts w:ascii="Arial" w:eastAsia="Calibri" w:hAnsi="Arial" w:cs="Arial"/>
          <w:sz w:val="21"/>
          <w:szCs w:val="21"/>
          <w:lang w:val="es-ES_tradnl"/>
        </w:rPr>
        <w:t xml:space="preserve">Siguiendo el significado gramatical de los citados términos y la exigencia legal de la objetividad en la selección de contratistas, las cláusulas o reglas que se </w:t>
      </w:r>
      <w:r w:rsidRPr="00DD176C">
        <w:rPr>
          <w:rFonts w:ascii="Arial" w:eastAsia="Calibri" w:hAnsi="Arial" w:cs="Arial"/>
          <w:sz w:val="21"/>
          <w:szCs w:val="21"/>
          <w:lang w:val="es-ES_tradnl"/>
        </w:rPr>
        <w:lastRenderedPageBreak/>
        <w:t xml:space="preserve">incorporen en los pliegos de condiciones y en los contratos para regular el conflicto de intereses deben tipificar las acciones u omisiones que lo generen, en forma tal que </w:t>
      </w:r>
      <w:r w:rsidRPr="00DD176C">
        <w:rPr>
          <w:rFonts w:ascii="Arial" w:eastAsia="Calibri" w:hAnsi="Arial" w:cs="Arial"/>
          <w:i/>
          <w:iCs/>
          <w:sz w:val="21"/>
          <w:szCs w:val="21"/>
          <w:lang w:val="es-ES_tradnl"/>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715FD32D" w14:textId="77777777" w:rsidR="00BD16BF" w:rsidRPr="00DD176C" w:rsidRDefault="00BD16BF" w:rsidP="00BD16BF">
      <w:pPr>
        <w:widowControl w:val="0"/>
        <w:autoSpaceDE w:val="0"/>
        <w:autoSpaceDN w:val="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DD176C">
        <w:rPr>
          <w:rFonts w:ascii="Arial" w:eastAsia="Calibri" w:hAnsi="Arial" w:cs="Arial"/>
          <w:sz w:val="21"/>
          <w:szCs w:val="21"/>
          <w:lang w:val="es-ES_tradnl"/>
        </w:rPr>
        <w:t>en razón de</w:t>
      </w:r>
      <w:proofErr w:type="gramEnd"/>
      <w:r w:rsidRPr="00DD176C">
        <w:rPr>
          <w:rFonts w:ascii="Arial" w:eastAsia="Calibri" w:hAnsi="Arial" w:cs="Arial"/>
          <w:sz w:val="21"/>
          <w:szCs w:val="21"/>
          <w:lang w:val="es-ES_tradnl"/>
        </w:rPr>
        <w:t xml:space="preserve"> este efecto </w:t>
      </w:r>
      <w:r w:rsidRPr="00DD176C">
        <w:rPr>
          <w:rFonts w:ascii="Arial" w:eastAsia="Calibri" w:hAnsi="Arial" w:cs="Arial"/>
          <w:i/>
          <w:iCs/>
          <w:sz w:val="21"/>
          <w:szCs w:val="21"/>
          <w:lang w:val="es-ES_tradnl"/>
        </w:rPr>
        <w:t>que el conflicto de intereses no puede cimentarse en definiciones ambiguas, abstractas o que permitan un margen de subjetividad en su examen</w:t>
      </w:r>
      <w:r w:rsidRPr="00DD176C">
        <w:rPr>
          <w:rStyle w:val="Refdenotaalpie"/>
          <w:rFonts w:ascii="Arial" w:eastAsia="Calibri" w:hAnsi="Arial" w:cs="Arial"/>
          <w:i/>
          <w:iCs/>
          <w:sz w:val="21"/>
          <w:szCs w:val="21"/>
          <w:lang w:val="es-ES_tradnl"/>
        </w:rPr>
        <w:footnoteReference w:id="7"/>
      </w:r>
      <w:r w:rsidRPr="00DD176C">
        <w:rPr>
          <w:rFonts w:ascii="Arial" w:eastAsia="Calibri" w:hAnsi="Arial" w:cs="Arial"/>
          <w:sz w:val="21"/>
          <w:szCs w:val="21"/>
          <w:lang w:val="es-ES_tradnl"/>
        </w:rPr>
        <w:t>. (Cursiva fuera del original).</w:t>
      </w:r>
    </w:p>
    <w:p w14:paraId="043548C8" w14:textId="77777777" w:rsidR="00BD16BF" w:rsidRPr="00DD176C" w:rsidRDefault="00BD16BF" w:rsidP="00BD16BF">
      <w:pPr>
        <w:widowControl w:val="0"/>
        <w:autoSpaceDE w:val="0"/>
        <w:autoSpaceDN w:val="0"/>
        <w:spacing w:line="276" w:lineRule="auto"/>
        <w:jc w:val="both"/>
        <w:rPr>
          <w:rFonts w:ascii="Arial" w:eastAsia="Calibri" w:hAnsi="Arial" w:cs="Arial"/>
          <w:sz w:val="22"/>
          <w:lang w:val="es-ES_tradnl"/>
        </w:rPr>
      </w:pPr>
    </w:p>
    <w:p w14:paraId="0B35D5A2" w14:textId="77777777" w:rsidR="00BD16BF" w:rsidRPr="00DD176C" w:rsidRDefault="00BD16BF" w:rsidP="00BD16BF">
      <w:pPr>
        <w:widowControl w:val="0"/>
        <w:autoSpaceDE w:val="0"/>
        <w:autoSpaceDN w:val="0"/>
        <w:spacing w:after="120"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De conformidad con los anteriores pronunciamientos de la Sala de Consulta y Servicio Civil del Consejo de Estado, es posible extraer las siguientes conclusiones en relación con la regulación de los conflictos de intereses en la contratación estatal: i) es posible que los pliegos de condiciones establezcan, si bien de forma restrictiva, conflictos de interés; ii) estos deben </w:t>
      </w:r>
      <w:r w:rsidRPr="00DD176C">
        <w:rPr>
          <w:rFonts w:ascii="Arial" w:eastAsia="Calibri" w:hAnsi="Arial" w:cs="Arial"/>
          <w:i/>
          <w:iCs/>
          <w:sz w:val="22"/>
          <w:lang w:val="es-ES_tradnl"/>
        </w:rPr>
        <w:t>tipificarse</w:t>
      </w:r>
      <w:r w:rsidRPr="00DD176C">
        <w:rPr>
          <w:rFonts w:ascii="Arial" w:eastAsia="Calibri" w:hAnsi="Arial" w:cs="Arial"/>
          <w:sz w:val="22"/>
          <w:lang w:val="es-ES_tradnl"/>
        </w:rPr>
        <w:t xml:space="preserve">, esto es, establecerse de forma expresa y concreta en los pliegos de condiciones; iii) las causales deben ser </w:t>
      </w:r>
      <w:r w:rsidRPr="00DD176C">
        <w:rPr>
          <w:rFonts w:ascii="Arial" w:eastAsia="Calibri" w:hAnsi="Arial" w:cs="Arial"/>
          <w:i/>
          <w:iCs/>
          <w:sz w:val="22"/>
          <w:lang w:val="es-ES_tradnl"/>
        </w:rPr>
        <w:t>objetivas</w:t>
      </w:r>
      <w:r w:rsidRPr="00DD176C">
        <w:rPr>
          <w:rFonts w:ascii="Arial" w:eastAsia="Calibri" w:hAnsi="Arial" w:cs="Arial"/>
          <w:sz w:val="22"/>
          <w:lang w:val="es-ES_tradnl"/>
        </w:rPr>
        <w:t>, esto es, que se describan con claridad, de manera que no resulten ambiguos dando lugar a que los intérpretes extraigan consecuencias diferentes; iv)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r w:rsidRPr="00DD176C">
        <w:rPr>
          <w:rStyle w:val="Refdenotaalpie"/>
          <w:rFonts w:ascii="Arial" w:eastAsia="Calibri" w:hAnsi="Arial" w:cs="Arial"/>
          <w:sz w:val="22"/>
          <w:lang w:val="es-ES_tradnl"/>
        </w:rPr>
        <w:footnoteReference w:id="8"/>
      </w:r>
      <w:r w:rsidRPr="00DD176C">
        <w:rPr>
          <w:rFonts w:ascii="Arial" w:eastAsia="Calibri" w:hAnsi="Arial" w:cs="Arial"/>
          <w:sz w:val="22"/>
          <w:lang w:val="es-ES_tradnl"/>
        </w:rPr>
        <w:t>.</w:t>
      </w:r>
    </w:p>
    <w:p w14:paraId="2B516B70" w14:textId="77777777" w:rsidR="00BD16BF" w:rsidRPr="00DD176C" w:rsidRDefault="00BD16BF" w:rsidP="00BD16BF">
      <w:pPr>
        <w:widowControl w:val="0"/>
        <w:autoSpaceDE w:val="0"/>
        <w:autoSpaceDN w:val="0"/>
        <w:spacing w:after="120"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Estudiados los requisitos para la inclusión de conflictos de interés en los pliegos de condiciones, resta por analizar las consecuencias que se siguen de que un oferente </w:t>
      </w:r>
      <w:r w:rsidRPr="00DD176C">
        <w:rPr>
          <w:rFonts w:ascii="Arial" w:eastAsia="Calibri" w:hAnsi="Arial" w:cs="Arial"/>
          <w:sz w:val="22"/>
          <w:lang w:val="es-ES_tradnl"/>
        </w:rPr>
        <w:lastRenderedPageBreak/>
        <w:t>presente una propuesta incurriendo en alguna de estas causales, toda vez que, aunque tiene efectos similares a las inhabilidades e incompatibilidades, en realidad sus efectos son diferentes. En este sentido, debe tenerse en cuenta que el ordenamiento jurídico establece consecuencias particulares frente a la violación del régimen de inhabilidades e incompatibilidades, lo que puede dar lugar a consecuencias como el nacimiento de una nueva inhabilidad, responsabilidad disciplinaria o penal; sin embargo, al ser el conflicto de interés una institución distinta sus efectos también lo son. En concreto, la principal consecuencia de que un oferente presente una propuesta incurriendo en alguna causal de conflicto de interés resulta en que da lugar al rechazo de la propuesta, pues tal es la consecuencia que se establece en los pliegos de condiciones, sin perjuicio de otros efectos asociados a una posible indebida adjudicación de un contrato por no aplicar el conflicto de interés. Con lo anterior simplemente se destaca la idea de que desconocer una causal de conflicto de interés en un procedimiento de selección no implica necesariamente violar el régimen de inhabilidades o incompatibilidades</w:t>
      </w:r>
      <w:r w:rsidRPr="00DD176C">
        <w:rPr>
          <w:rStyle w:val="Refdenotaalpie"/>
          <w:rFonts w:ascii="Arial" w:eastAsia="Calibri" w:hAnsi="Arial" w:cs="Arial"/>
          <w:sz w:val="22"/>
          <w:lang w:val="es-ES_tradnl"/>
        </w:rPr>
        <w:footnoteReference w:id="9"/>
      </w:r>
      <w:r w:rsidRPr="00DD176C">
        <w:rPr>
          <w:rFonts w:ascii="Arial" w:eastAsia="Calibri" w:hAnsi="Arial" w:cs="Arial"/>
          <w:sz w:val="22"/>
          <w:lang w:val="es-ES_tradnl"/>
        </w:rPr>
        <w:t>.</w:t>
      </w:r>
    </w:p>
    <w:p w14:paraId="337D12C9" w14:textId="6AA5FC6F" w:rsidR="00BD16BF" w:rsidRPr="00DD176C" w:rsidRDefault="00BB12AD" w:rsidP="00BD16BF">
      <w:pPr>
        <w:widowControl w:val="0"/>
        <w:autoSpaceDE w:val="0"/>
        <w:autoSpaceDN w:val="0"/>
        <w:spacing w:after="120" w:line="276" w:lineRule="auto"/>
        <w:ind w:firstLine="709"/>
        <w:jc w:val="both"/>
        <w:rPr>
          <w:rFonts w:ascii="Arial" w:eastAsia="Calibri" w:hAnsi="Arial" w:cs="Arial"/>
          <w:sz w:val="21"/>
          <w:szCs w:val="21"/>
          <w:lang w:val="es-ES_tradnl"/>
        </w:rPr>
      </w:pPr>
      <w:r>
        <w:rPr>
          <w:rFonts w:ascii="Arial" w:eastAsia="Calibri" w:hAnsi="Arial" w:cs="Arial"/>
          <w:sz w:val="22"/>
          <w:lang w:val="es-ES_tradnl"/>
        </w:rPr>
        <w:t>Así las cosas</w:t>
      </w:r>
      <w:r w:rsidR="00AD70FD">
        <w:rPr>
          <w:rFonts w:ascii="Arial" w:eastAsia="Calibri" w:hAnsi="Arial" w:cs="Arial"/>
          <w:sz w:val="22"/>
          <w:lang w:val="es-ES_tradnl"/>
        </w:rPr>
        <w:t xml:space="preserve">, </w:t>
      </w:r>
      <w:r w:rsidR="008926C8">
        <w:rPr>
          <w:rFonts w:ascii="Arial" w:eastAsia="Calibri" w:hAnsi="Arial" w:cs="Arial"/>
          <w:sz w:val="22"/>
          <w:lang w:val="es-ES_tradnl"/>
        </w:rPr>
        <w:t>se observa que, en principio, el artículo 11 de la Ley 1437 de 2011</w:t>
      </w:r>
      <w:r w:rsidR="00473699">
        <w:rPr>
          <w:rFonts w:ascii="Arial" w:eastAsia="Calibri" w:hAnsi="Arial" w:cs="Arial"/>
          <w:sz w:val="22"/>
          <w:lang w:val="es-ES_tradnl"/>
        </w:rPr>
        <w:t xml:space="preserve"> </w:t>
      </w:r>
      <w:r w:rsidR="008926C8">
        <w:rPr>
          <w:rFonts w:ascii="Arial" w:eastAsia="Calibri" w:hAnsi="Arial" w:cs="Arial"/>
          <w:sz w:val="22"/>
          <w:lang w:val="es-ES_tradnl"/>
        </w:rPr>
        <w:t>no consagra</w:t>
      </w:r>
      <w:r w:rsidR="00603E5E">
        <w:rPr>
          <w:rFonts w:ascii="Arial" w:eastAsia="Calibri" w:hAnsi="Arial" w:cs="Arial"/>
          <w:sz w:val="22"/>
          <w:lang w:val="es-ES_tradnl"/>
        </w:rPr>
        <w:t xml:space="preserve">, de manera expresa, </w:t>
      </w:r>
      <w:r w:rsidR="008926C8">
        <w:rPr>
          <w:rFonts w:ascii="Arial" w:eastAsia="Calibri" w:hAnsi="Arial" w:cs="Arial"/>
          <w:sz w:val="22"/>
          <w:lang w:val="es-ES_tradnl"/>
        </w:rPr>
        <w:t>como causal de conflicto de interés</w:t>
      </w:r>
      <w:r w:rsidR="00603E5E">
        <w:rPr>
          <w:rFonts w:ascii="Arial" w:eastAsia="Calibri" w:hAnsi="Arial" w:cs="Arial"/>
          <w:sz w:val="22"/>
          <w:lang w:val="es-ES_tradnl"/>
        </w:rPr>
        <w:t xml:space="preserve">, </w:t>
      </w:r>
      <w:r w:rsidR="00EF363A">
        <w:rPr>
          <w:rFonts w:ascii="Arial" w:eastAsia="Calibri" w:hAnsi="Arial" w:cs="Arial"/>
          <w:sz w:val="22"/>
          <w:lang w:val="es-ES_tradnl"/>
        </w:rPr>
        <w:t xml:space="preserve">la pertenencia de una entidad pública </w:t>
      </w:r>
      <w:r w:rsidR="00683F77">
        <w:rPr>
          <w:rFonts w:ascii="Arial" w:eastAsia="Calibri" w:hAnsi="Arial" w:cs="Arial"/>
          <w:sz w:val="22"/>
          <w:lang w:val="es-ES_tradnl"/>
        </w:rPr>
        <w:t>a</w:t>
      </w:r>
      <w:r w:rsidR="00EF363A">
        <w:rPr>
          <w:rFonts w:ascii="Arial" w:eastAsia="Calibri" w:hAnsi="Arial" w:cs="Arial"/>
          <w:sz w:val="22"/>
          <w:lang w:val="es-ES_tradnl"/>
        </w:rPr>
        <w:t xml:space="preserve"> la junta directiva de</w:t>
      </w:r>
      <w:r w:rsidR="006F0024">
        <w:rPr>
          <w:rFonts w:ascii="Arial" w:eastAsia="Calibri" w:hAnsi="Arial" w:cs="Arial"/>
          <w:sz w:val="22"/>
          <w:lang w:val="es-ES_tradnl"/>
        </w:rPr>
        <w:t xml:space="preserve"> una empresa.</w:t>
      </w:r>
      <w:r w:rsidR="00EF363A">
        <w:rPr>
          <w:rFonts w:ascii="Arial" w:eastAsia="Calibri" w:hAnsi="Arial" w:cs="Arial"/>
          <w:sz w:val="22"/>
          <w:lang w:val="es-ES_tradnl"/>
        </w:rPr>
        <w:t xml:space="preserve"> </w:t>
      </w:r>
      <w:r w:rsidR="00603E5E">
        <w:rPr>
          <w:rFonts w:ascii="Arial" w:eastAsia="Calibri" w:hAnsi="Arial" w:cs="Arial"/>
          <w:sz w:val="22"/>
          <w:lang w:val="es-ES_tradnl"/>
        </w:rPr>
        <w:t xml:space="preserve">Sin embargo, como se indicó, el pliego de condiciones adoptado por la entidad </w:t>
      </w:r>
      <w:r w:rsidR="00683F77">
        <w:rPr>
          <w:rFonts w:ascii="Arial" w:eastAsia="Calibri" w:hAnsi="Arial" w:cs="Arial"/>
          <w:sz w:val="22"/>
          <w:lang w:val="es-ES_tradnl"/>
        </w:rPr>
        <w:t>contratante podría prever esta circunstancia.</w:t>
      </w:r>
      <w:r w:rsidR="00395A05">
        <w:rPr>
          <w:rFonts w:ascii="Arial" w:eastAsia="Calibri" w:hAnsi="Arial" w:cs="Arial"/>
          <w:sz w:val="22"/>
          <w:lang w:val="es-ES_tradnl"/>
        </w:rPr>
        <w:t xml:space="preserve"> En todo caso, la posibilidad de incluir estas causales</w:t>
      </w:r>
      <w:r w:rsidR="00F03DD3">
        <w:rPr>
          <w:rFonts w:ascii="Arial" w:eastAsia="Calibri" w:hAnsi="Arial" w:cs="Arial"/>
          <w:sz w:val="22"/>
          <w:lang w:val="es-ES_tradnl"/>
        </w:rPr>
        <w:t xml:space="preserve"> y de decretar el rechazo de la oferta con fundamento en ellas, debe regirse por el principio de interpretación restrictiva.</w:t>
      </w:r>
    </w:p>
    <w:p w14:paraId="604686E7" w14:textId="77777777" w:rsidR="00BD16BF" w:rsidRPr="00DD176C" w:rsidRDefault="00BD16BF" w:rsidP="00BD16BF">
      <w:pPr>
        <w:widowControl w:val="0"/>
        <w:autoSpaceDE w:val="0"/>
        <w:autoSpaceDN w:val="0"/>
        <w:spacing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Luego de esta última precisión, de conformidad con las consideraciones anteriores, se responderán las preguntas de los peticionarios, de conformidad con las normas que asignan competencia consultiva a esta Agencia. En este sentido, se debe aclarar que </w:t>
      </w:r>
      <w:r w:rsidRPr="00DD176C">
        <w:rPr>
          <w:rFonts w:ascii="Arial" w:eastAsia="Calibri" w:hAnsi="Arial" w:cs="Arial"/>
          <w:color w:val="000000" w:themeColor="text1"/>
          <w:sz w:val="22"/>
          <w:lang w:val="es-ES_tradnl"/>
        </w:rPr>
        <w:t>de conformidad con la competencia otorgada por los artículos 11, numeral 8º, y 3º, numeral 5º, del Decreto Ley 4170 de 2011, la Agencia de Contratación Pública – Colombia Compra Eficiente es competente para absolver consultas sobre la aplicación de normas de carácter general en materia de contratación estatal</w:t>
      </w:r>
      <w:r w:rsidRPr="00DD176C">
        <w:rPr>
          <w:rStyle w:val="Refdenotaalpie"/>
          <w:rFonts w:ascii="Arial" w:eastAsia="Calibri" w:hAnsi="Arial" w:cs="Arial"/>
          <w:color w:val="000000" w:themeColor="text1"/>
          <w:sz w:val="22"/>
          <w:lang w:val="es-ES_tradnl"/>
        </w:rPr>
        <w:footnoteReference w:id="10"/>
      </w:r>
      <w:r w:rsidRPr="00DD176C">
        <w:rPr>
          <w:rFonts w:ascii="Arial" w:eastAsia="Calibri" w:hAnsi="Arial" w:cs="Arial"/>
          <w:color w:val="000000" w:themeColor="text1"/>
          <w:sz w:val="22"/>
          <w:lang w:val="es-ES_tradnl"/>
        </w:rPr>
        <w:t xml:space="preserve">. En tal sentido, su competencia se encuentra limitada por los criterios y requisitos establecidos en las disposiciones que le asignan dicha </w:t>
      </w:r>
      <w:r w:rsidRPr="00DD176C">
        <w:rPr>
          <w:rFonts w:ascii="Arial" w:eastAsia="Calibri" w:hAnsi="Arial" w:cs="Arial"/>
          <w:color w:val="000000" w:themeColor="text1"/>
          <w:sz w:val="22"/>
          <w:lang w:val="es-ES_tradnl"/>
        </w:rPr>
        <w:lastRenderedPageBreak/>
        <w:t>potestad, de manera que su ejercicio debe someterse a la norma habilitante, observando estrictamente el principio de legalidad. En tal sentido, esta Agencia no tiene competencia para pronunciarse sobre casos particulares o juzgar la legalidad de las actuaciones concretas realizadas por las entidades estatales, ni fungir como órgano asesor en la actividad contractual de estas entidades.</w:t>
      </w:r>
    </w:p>
    <w:p w14:paraId="169653D9" w14:textId="77777777" w:rsidR="0081677D" w:rsidRPr="00DD176C" w:rsidRDefault="0081677D" w:rsidP="00385569">
      <w:pPr>
        <w:spacing w:line="276" w:lineRule="auto"/>
        <w:jc w:val="both"/>
        <w:rPr>
          <w:rFonts w:ascii="Arial" w:eastAsia="Calibri" w:hAnsi="Arial" w:cs="Arial"/>
          <w:b/>
          <w:color w:val="000000" w:themeColor="text1"/>
          <w:sz w:val="22"/>
          <w:lang w:val="es-ES_tradnl"/>
        </w:rPr>
      </w:pPr>
    </w:p>
    <w:p w14:paraId="386BC34C" w14:textId="2EFF636F" w:rsidR="00385569" w:rsidRPr="00DD176C" w:rsidRDefault="00385569" w:rsidP="00385569">
      <w:pPr>
        <w:spacing w:line="276" w:lineRule="auto"/>
        <w:jc w:val="both"/>
        <w:rPr>
          <w:rFonts w:ascii="Arial" w:eastAsia="Calibri" w:hAnsi="Arial" w:cs="Arial"/>
          <w:color w:val="000000" w:themeColor="text1"/>
          <w:sz w:val="22"/>
          <w:lang w:val="es-ES_tradnl"/>
        </w:rPr>
      </w:pPr>
      <w:r w:rsidRPr="00DD176C">
        <w:rPr>
          <w:rFonts w:ascii="Arial" w:eastAsia="Calibri" w:hAnsi="Arial" w:cs="Arial"/>
          <w:b/>
          <w:color w:val="000000" w:themeColor="text1"/>
          <w:sz w:val="22"/>
          <w:lang w:val="es-ES_tradnl"/>
        </w:rPr>
        <w:t>3. Respuesta</w:t>
      </w:r>
    </w:p>
    <w:p w14:paraId="193010EE" w14:textId="2369B13D" w:rsidR="00385569" w:rsidRPr="00DD176C" w:rsidRDefault="00385569" w:rsidP="00385569">
      <w:pPr>
        <w:spacing w:line="276" w:lineRule="auto"/>
        <w:ind w:left="709" w:right="709"/>
        <w:jc w:val="both"/>
        <w:rPr>
          <w:rFonts w:ascii="Arial" w:eastAsia="Calibri" w:hAnsi="Arial" w:cs="Arial"/>
          <w:i/>
          <w:color w:val="000000" w:themeColor="text1"/>
          <w:sz w:val="22"/>
          <w:lang w:val="es-ES_tradnl"/>
        </w:rPr>
      </w:pPr>
    </w:p>
    <w:p w14:paraId="509F1450" w14:textId="77777777" w:rsidR="00DD5762" w:rsidRPr="00DD176C" w:rsidRDefault="00DD5762" w:rsidP="00DD5762">
      <w:pPr>
        <w:tabs>
          <w:tab w:val="left" w:pos="426"/>
        </w:tabs>
        <w:ind w:left="709" w:right="709"/>
        <w:jc w:val="both"/>
        <w:rPr>
          <w:rFonts w:ascii="Arial" w:eastAsia="Calibri" w:hAnsi="Arial" w:cs="Arial"/>
          <w:color w:val="000000" w:themeColor="text1"/>
          <w:sz w:val="21"/>
          <w:szCs w:val="21"/>
          <w:lang w:val="es-ES_tradnl"/>
        </w:rPr>
      </w:pPr>
      <w:r w:rsidRPr="00DD176C">
        <w:rPr>
          <w:rFonts w:ascii="Arial" w:eastAsia="Calibri" w:hAnsi="Arial" w:cs="Arial"/>
          <w:color w:val="000000" w:themeColor="text1"/>
          <w:sz w:val="21"/>
          <w:szCs w:val="21"/>
          <w:lang w:val="es-ES_tradnl"/>
        </w:rPr>
        <w:t>«¿Si una entidad pública del orden nacional es miembro de la junta directiva de una empresa, dicha empresa tiene conflicto de interés para participar en los procesos licitatorios que adelanta esa misma entidad pública?</w:t>
      </w:r>
    </w:p>
    <w:p w14:paraId="01DB10DE" w14:textId="77777777" w:rsidR="00DD5762" w:rsidRPr="00DD176C" w:rsidRDefault="00DD5762" w:rsidP="00DD5762">
      <w:pPr>
        <w:tabs>
          <w:tab w:val="left" w:pos="426"/>
        </w:tabs>
        <w:ind w:left="709" w:right="709"/>
        <w:jc w:val="both"/>
        <w:rPr>
          <w:rFonts w:ascii="Arial" w:eastAsia="Calibri" w:hAnsi="Arial" w:cs="Arial"/>
          <w:color w:val="000000" w:themeColor="text1"/>
          <w:sz w:val="21"/>
          <w:szCs w:val="21"/>
          <w:lang w:val="es-ES_tradnl"/>
        </w:rPr>
      </w:pPr>
    </w:p>
    <w:p w14:paraId="4C22B2EB" w14:textId="77777777" w:rsidR="00DD5762" w:rsidRPr="00DD176C" w:rsidRDefault="00DD5762" w:rsidP="00DD5762">
      <w:pPr>
        <w:tabs>
          <w:tab w:val="left" w:pos="426"/>
        </w:tabs>
        <w:ind w:left="709" w:right="709"/>
        <w:jc w:val="both"/>
        <w:rPr>
          <w:rFonts w:ascii="Arial" w:eastAsia="Calibri" w:hAnsi="Arial" w:cs="Arial"/>
          <w:color w:val="000000" w:themeColor="text1"/>
          <w:sz w:val="21"/>
          <w:szCs w:val="21"/>
          <w:lang w:val="es-ES_tradnl"/>
        </w:rPr>
      </w:pPr>
      <w:proofErr w:type="gramStart"/>
      <w:r w:rsidRPr="00DD176C">
        <w:rPr>
          <w:rFonts w:ascii="Arial" w:eastAsia="Calibri" w:hAnsi="Arial" w:cs="Arial"/>
          <w:color w:val="000000" w:themeColor="text1"/>
          <w:sz w:val="21"/>
          <w:szCs w:val="21"/>
          <w:lang w:val="es-ES_tradnl"/>
        </w:rPr>
        <w:t>»Celebrar</w:t>
      </w:r>
      <w:proofErr w:type="gramEnd"/>
      <w:r w:rsidRPr="00DD176C">
        <w:rPr>
          <w:rFonts w:ascii="Arial" w:eastAsia="Calibri" w:hAnsi="Arial" w:cs="Arial"/>
          <w:color w:val="000000" w:themeColor="text1"/>
          <w:sz w:val="21"/>
          <w:szCs w:val="21"/>
          <w:lang w:val="es-ES_tradnl"/>
        </w:rPr>
        <w:t xml:space="preserve"> el contrato estatal bajo la anterior situación, ¿puede generar alguna comisión de un delito, particularmente, de los relacionados con la celebración indebida de contratos? (sic)»</w:t>
      </w:r>
    </w:p>
    <w:p w14:paraId="28C14814" w14:textId="77777777" w:rsidR="0073378A" w:rsidRPr="00DD176C" w:rsidRDefault="0073378A" w:rsidP="00385569">
      <w:pPr>
        <w:spacing w:line="276" w:lineRule="auto"/>
        <w:ind w:left="709" w:right="709"/>
        <w:jc w:val="both"/>
        <w:rPr>
          <w:rFonts w:ascii="Arial" w:eastAsia="Calibri" w:hAnsi="Arial" w:cs="Arial"/>
          <w:i/>
          <w:color w:val="000000" w:themeColor="text1"/>
          <w:sz w:val="22"/>
          <w:lang w:val="es-ES_tradnl"/>
        </w:rPr>
      </w:pPr>
    </w:p>
    <w:p w14:paraId="4253E8B2" w14:textId="7207F95F" w:rsidR="00473699" w:rsidRPr="00DD176C" w:rsidRDefault="00473699" w:rsidP="00473699">
      <w:pPr>
        <w:widowControl w:val="0"/>
        <w:autoSpaceDE w:val="0"/>
        <w:autoSpaceDN w:val="0"/>
        <w:spacing w:after="120" w:line="276" w:lineRule="auto"/>
        <w:jc w:val="both"/>
        <w:rPr>
          <w:rFonts w:ascii="Arial" w:eastAsia="Calibri" w:hAnsi="Arial" w:cs="Arial"/>
          <w:sz w:val="21"/>
          <w:szCs w:val="21"/>
          <w:lang w:val="es-ES_tradnl"/>
        </w:rPr>
      </w:pPr>
      <w:r>
        <w:rPr>
          <w:rFonts w:ascii="Arial" w:eastAsia="Calibri" w:hAnsi="Arial" w:cs="Arial"/>
          <w:sz w:val="22"/>
          <w:lang w:val="es-ES_tradnl"/>
        </w:rPr>
        <w:t>En principio, el artículo 11 de la Ley 1437 de 2011 no consagra, de manera expresa, como causal de conflicto de interés, la pertenencia de una entidad pública a la junta directiva de una empresa. Sin embargo, como se indicó, el pliego de condiciones adoptado por la entidad contratante podría prever esta circunstancia. En todo caso, la posibilidad de incluir estas causales y de decretar el rechazo de la oferta con fundamento en ellas, debe regirse por el principio de interpretación restrictiva.</w:t>
      </w:r>
    </w:p>
    <w:p w14:paraId="7B694AB3" w14:textId="1D766E29" w:rsidR="00473699" w:rsidRPr="00DD176C" w:rsidRDefault="00473699" w:rsidP="00473699">
      <w:pPr>
        <w:widowControl w:val="0"/>
        <w:autoSpaceDE w:val="0"/>
        <w:autoSpaceDN w:val="0"/>
        <w:spacing w:after="120"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De los pronunciamientos de la Sala de Consulta y Servicio Civil del Consejo de Estado</w:t>
      </w:r>
      <w:r w:rsidR="00F356DB">
        <w:rPr>
          <w:rFonts w:ascii="Arial" w:eastAsia="Calibri" w:hAnsi="Arial" w:cs="Arial"/>
          <w:sz w:val="22"/>
          <w:lang w:val="es-ES_tradnl"/>
        </w:rPr>
        <w:t>, mencionados en este concepto,</w:t>
      </w:r>
      <w:r w:rsidR="00404500">
        <w:rPr>
          <w:rFonts w:ascii="Arial" w:eastAsia="Calibri" w:hAnsi="Arial" w:cs="Arial"/>
          <w:sz w:val="22"/>
          <w:lang w:val="es-ES_tradnl"/>
        </w:rPr>
        <w:t xml:space="preserve"> </w:t>
      </w:r>
      <w:r w:rsidRPr="00DD176C">
        <w:rPr>
          <w:rFonts w:ascii="Arial" w:eastAsia="Calibri" w:hAnsi="Arial" w:cs="Arial"/>
          <w:sz w:val="22"/>
          <w:lang w:val="es-ES_tradnl"/>
        </w:rPr>
        <w:t xml:space="preserve">es posible extraer las siguientes conclusiones en relación con la regulación de los conflictos de intereses en la contratación estatal: i) es posible que los pliegos de condiciones establezcan, si bien de forma restrictiva, conflictos de interés; ii) estos deben </w:t>
      </w:r>
      <w:r w:rsidRPr="00DD176C">
        <w:rPr>
          <w:rFonts w:ascii="Arial" w:eastAsia="Calibri" w:hAnsi="Arial" w:cs="Arial"/>
          <w:i/>
          <w:iCs/>
          <w:sz w:val="22"/>
          <w:lang w:val="es-ES_tradnl"/>
        </w:rPr>
        <w:t>tipificarse</w:t>
      </w:r>
      <w:r w:rsidRPr="00DD176C">
        <w:rPr>
          <w:rFonts w:ascii="Arial" w:eastAsia="Calibri" w:hAnsi="Arial" w:cs="Arial"/>
          <w:sz w:val="22"/>
          <w:lang w:val="es-ES_tradnl"/>
        </w:rPr>
        <w:t xml:space="preserve">, esto es, establecerse de forma expresa y concreta en los pliegos de condiciones; iii) las causales deben ser </w:t>
      </w:r>
      <w:r w:rsidRPr="00DD176C">
        <w:rPr>
          <w:rFonts w:ascii="Arial" w:eastAsia="Calibri" w:hAnsi="Arial" w:cs="Arial"/>
          <w:i/>
          <w:iCs/>
          <w:sz w:val="22"/>
          <w:lang w:val="es-ES_tradnl"/>
        </w:rPr>
        <w:t>objetivas</w:t>
      </w:r>
      <w:r w:rsidRPr="00DD176C">
        <w:rPr>
          <w:rFonts w:ascii="Arial" w:eastAsia="Calibri" w:hAnsi="Arial" w:cs="Arial"/>
          <w:sz w:val="22"/>
          <w:lang w:val="es-ES_tradnl"/>
        </w:rPr>
        <w:t>, esto es, que se describan con claridad, de manera que no resulten ambiguos dando lugar a que los intérpretes extraigan consecuencias diferentes; iv)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p>
    <w:p w14:paraId="1163AB44" w14:textId="50B9EB21" w:rsidR="00473699" w:rsidRPr="00DD176C" w:rsidRDefault="00F356DB" w:rsidP="00473699">
      <w:pPr>
        <w:widowControl w:val="0"/>
        <w:autoSpaceDE w:val="0"/>
        <w:autoSpaceDN w:val="0"/>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E</w:t>
      </w:r>
      <w:r w:rsidR="00473699" w:rsidRPr="00DD176C">
        <w:rPr>
          <w:rFonts w:ascii="Arial" w:eastAsia="Calibri" w:hAnsi="Arial" w:cs="Arial"/>
          <w:sz w:val="22"/>
          <w:lang w:val="es-ES_tradnl"/>
        </w:rPr>
        <w:t xml:space="preserve">l ordenamiento jurídico establece consecuencias particulares frente a la violación del régimen de inhabilidades e incompatibilidades, lo que puede dar lugar a </w:t>
      </w:r>
      <w:r w:rsidR="00AF60BA">
        <w:rPr>
          <w:rFonts w:ascii="Arial" w:eastAsia="Calibri" w:hAnsi="Arial" w:cs="Arial"/>
          <w:sz w:val="22"/>
          <w:lang w:val="es-ES_tradnl"/>
        </w:rPr>
        <w:t>efectos</w:t>
      </w:r>
      <w:r w:rsidR="00473699" w:rsidRPr="00DD176C">
        <w:rPr>
          <w:rFonts w:ascii="Arial" w:eastAsia="Calibri" w:hAnsi="Arial" w:cs="Arial"/>
          <w:sz w:val="22"/>
          <w:lang w:val="es-ES_tradnl"/>
        </w:rPr>
        <w:t xml:space="preserve"> como el nacimiento de una nueva inhabilidad, </w:t>
      </w:r>
      <w:r w:rsidR="00AF60BA">
        <w:rPr>
          <w:rFonts w:ascii="Arial" w:eastAsia="Calibri" w:hAnsi="Arial" w:cs="Arial"/>
          <w:sz w:val="22"/>
          <w:lang w:val="es-ES_tradnl"/>
        </w:rPr>
        <w:t xml:space="preserve">así como </w:t>
      </w:r>
      <w:r w:rsidR="00473699" w:rsidRPr="00DD176C">
        <w:rPr>
          <w:rFonts w:ascii="Arial" w:eastAsia="Calibri" w:hAnsi="Arial" w:cs="Arial"/>
          <w:sz w:val="22"/>
          <w:lang w:val="es-ES_tradnl"/>
        </w:rPr>
        <w:t>responsabilidad disciplinaria o penal</w:t>
      </w:r>
      <w:r w:rsidR="00AF60BA">
        <w:rPr>
          <w:rFonts w:ascii="Arial" w:eastAsia="Calibri" w:hAnsi="Arial" w:cs="Arial"/>
          <w:sz w:val="22"/>
          <w:lang w:val="es-ES_tradnl"/>
        </w:rPr>
        <w:t>.</w:t>
      </w:r>
      <w:r w:rsidR="00473699" w:rsidRPr="00DD176C">
        <w:rPr>
          <w:rFonts w:ascii="Arial" w:eastAsia="Calibri" w:hAnsi="Arial" w:cs="Arial"/>
          <w:sz w:val="22"/>
          <w:lang w:val="es-ES_tradnl"/>
        </w:rPr>
        <w:t xml:space="preserve"> </w:t>
      </w:r>
      <w:r w:rsidR="00AF60BA">
        <w:rPr>
          <w:rFonts w:ascii="Arial" w:eastAsia="Calibri" w:hAnsi="Arial" w:cs="Arial"/>
          <w:sz w:val="22"/>
          <w:lang w:val="es-ES_tradnl"/>
        </w:rPr>
        <w:t>S</w:t>
      </w:r>
      <w:r w:rsidR="00473699" w:rsidRPr="00DD176C">
        <w:rPr>
          <w:rFonts w:ascii="Arial" w:eastAsia="Calibri" w:hAnsi="Arial" w:cs="Arial"/>
          <w:sz w:val="22"/>
          <w:lang w:val="es-ES_tradnl"/>
        </w:rPr>
        <w:t>in embargo, al ser el conflicto de interés una institución distinta</w:t>
      </w:r>
      <w:r w:rsidR="008F13B2">
        <w:rPr>
          <w:rFonts w:ascii="Arial" w:eastAsia="Calibri" w:hAnsi="Arial" w:cs="Arial"/>
          <w:sz w:val="22"/>
          <w:lang w:val="es-ES_tradnl"/>
        </w:rPr>
        <w:t>,</w:t>
      </w:r>
      <w:r w:rsidR="00473699" w:rsidRPr="00DD176C">
        <w:rPr>
          <w:rFonts w:ascii="Arial" w:eastAsia="Calibri" w:hAnsi="Arial" w:cs="Arial"/>
          <w:sz w:val="22"/>
          <w:lang w:val="es-ES_tradnl"/>
        </w:rPr>
        <w:t xml:space="preserve"> sus efectos también lo son. </w:t>
      </w:r>
      <w:r w:rsidR="00473699" w:rsidRPr="00DD176C">
        <w:rPr>
          <w:rFonts w:ascii="Arial" w:eastAsia="Calibri" w:hAnsi="Arial" w:cs="Arial"/>
          <w:sz w:val="22"/>
          <w:lang w:val="es-ES_tradnl"/>
        </w:rPr>
        <w:lastRenderedPageBreak/>
        <w:t>En concreto, la principal consecuencia de que un oferente presente una propuesta incurriendo en alguna causal de conflicto de interés resulta en que da lugar al rechazo de la propuesta, pues tal es la consecuencia que se establece en los pliegos de condiciones, sin perjuicio de otros efectos asociados a una posible indebida adjudicación de un contrato por no aplicar el conflicto de interés. Con lo anterior simplemente se destaca la idea de que desconocer una causal de conflicto de interés en un procedimiento de selección no implica necesariamente violar el régimen de inhabilidades o incompatibilidades.</w:t>
      </w:r>
    </w:p>
    <w:p w14:paraId="0691EFBA" w14:textId="77777777" w:rsidR="00385569" w:rsidRPr="00DD176C" w:rsidRDefault="00385569" w:rsidP="00385569">
      <w:pPr>
        <w:spacing w:line="276" w:lineRule="auto"/>
        <w:jc w:val="both"/>
        <w:rPr>
          <w:rFonts w:ascii="Arial" w:eastAsia="Calibri" w:hAnsi="Arial" w:cs="Arial"/>
          <w:color w:val="000000" w:themeColor="text1"/>
          <w:sz w:val="22"/>
          <w:lang w:val="es-ES_tradnl"/>
        </w:rPr>
      </w:pPr>
    </w:p>
    <w:p w14:paraId="27A66DEA" w14:textId="77777777" w:rsidR="00385569" w:rsidRPr="00DD176C" w:rsidRDefault="00385569" w:rsidP="00385569">
      <w:pPr>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bookmarkEnd w:id="2"/>
    <w:p w14:paraId="64DE27C3" w14:textId="77777777" w:rsidR="00D27B44" w:rsidRDefault="00D27B44" w:rsidP="009E3C8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89A93A2" w14:textId="77777777" w:rsidR="00D27B44" w:rsidRDefault="00D27B44" w:rsidP="009E3C8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E22FFE3" w14:textId="39A84CE4" w:rsidR="009E3C85" w:rsidRPr="00DD176C" w:rsidRDefault="009E3C85" w:rsidP="009E3C85">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176C">
        <w:rPr>
          <w:rFonts w:ascii="Arial" w:hAnsi="Arial" w:cs="Arial"/>
          <w:color w:val="000000" w:themeColor="text1"/>
          <w:sz w:val="22"/>
          <w:szCs w:val="22"/>
          <w:lang w:val="es-ES_tradnl"/>
        </w:rPr>
        <w:t>Atentamente,</w:t>
      </w:r>
    </w:p>
    <w:p w14:paraId="2FBF8CB2" w14:textId="77777777" w:rsidR="009E3C85" w:rsidRPr="00DD176C" w:rsidRDefault="009E3C85" w:rsidP="009E3C8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2854B59" w14:textId="688AF7D5" w:rsidR="009E3C85" w:rsidRPr="00DD176C" w:rsidRDefault="00FE09CF" w:rsidP="009E3C85">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6528EC1" wp14:editId="183B5CE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2EA88880" w14:textId="77777777" w:rsidR="009E3C85" w:rsidRPr="00DD176C" w:rsidRDefault="009E3C85" w:rsidP="009E3C85">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3C85" w:rsidRPr="00DD176C" w14:paraId="586E2057" w14:textId="77777777" w:rsidTr="00692573">
        <w:trPr>
          <w:trHeight w:val="315"/>
        </w:trPr>
        <w:tc>
          <w:tcPr>
            <w:tcW w:w="812" w:type="dxa"/>
            <w:vAlign w:val="center"/>
            <w:hideMark/>
          </w:tcPr>
          <w:p w14:paraId="128950F2"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8F32177"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Cristian Andrés Díaz Díez</w:t>
            </w:r>
          </w:p>
          <w:p w14:paraId="6257ABFE"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Contratista de la Subdirección de Gestión Contractual</w:t>
            </w:r>
          </w:p>
        </w:tc>
      </w:tr>
      <w:tr w:rsidR="009E3C85" w:rsidRPr="00DD176C" w14:paraId="08B936C4" w14:textId="77777777" w:rsidTr="00692573">
        <w:trPr>
          <w:trHeight w:val="330"/>
        </w:trPr>
        <w:tc>
          <w:tcPr>
            <w:tcW w:w="812" w:type="dxa"/>
            <w:vAlign w:val="center"/>
            <w:hideMark/>
          </w:tcPr>
          <w:p w14:paraId="13DB871E"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C78AA9" w14:textId="77777777" w:rsidR="00672F9E" w:rsidRPr="00DD176C" w:rsidRDefault="00672F9E" w:rsidP="00672F9E">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Jorge Augusto Tirado Navarro</w:t>
            </w:r>
          </w:p>
          <w:p w14:paraId="64C23006" w14:textId="361F4EEF" w:rsidR="009E3C85" w:rsidRPr="00DD176C" w:rsidRDefault="00672F9E" w:rsidP="00672F9E">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Subdirector de Gestión Contractual ANCP – CCE</w:t>
            </w:r>
          </w:p>
        </w:tc>
      </w:tr>
      <w:tr w:rsidR="009E3C85" w:rsidRPr="00DD176C" w14:paraId="11823CFE" w14:textId="77777777" w:rsidTr="00692573">
        <w:trPr>
          <w:trHeight w:val="300"/>
        </w:trPr>
        <w:tc>
          <w:tcPr>
            <w:tcW w:w="812" w:type="dxa"/>
            <w:vAlign w:val="center"/>
            <w:hideMark/>
          </w:tcPr>
          <w:p w14:paraId="4476B5D9"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2B2BF6"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Jorge Augusto Tirado Navarro</w:t>
            </w:r>
          </w:p>
          <w:p w14:paraId="284245F3" w14:textId="77777777" w:rsidR="009E3C85" w:rsidRPr="00DD176C" w:rsidRDefault="009E3C85" w:rsidP="00692573">
            <w:pPr>
              <w:jc w:val="both"/>
              <w:rPr>
                <w:rFonts w:ascii="Arial" w:hAnsi="Arial" w:cs="Arial"/>
                <w:color w:val="000000" w:themeColor="text1"/>
                <w:sz w:val="16"/>
                <w:szCs w:val="16"/>
                <w:lang w:val="es-ES_tradnl" w:eastAsia="es-ES"/>
              </w:rPr>
            </w:pPr>
            <w:r w:rsidRPr="00DD176C">
              <w:rPr>
                <w:rFonts w:ascii="Arial" w:hAnsi="Arial" w:cs="Arial"/>
                <w:color w:val="000000" w:themeColor="text1"/>
                <w:sz w:val="16"/>
                <w:szCs w:val="16"/>
                <w:lang w:val="es-ES_tradnl" w:eastAsia="es-ES"/>
              </w:rPr>
              <w:t>Subdirector de Gestión Contractual ANCP – CCE</w:t>
            </w:r>
          </w:p>
        </w:tc>
      </w:tr>
    </w:tbl>
    <w:p w14:paraId="4C6A9B36" w14:textId="77777777" w:rsidR="009E3C85" w:rsidRPr="00DD176C" w:rsidRDefault="009E3C85" w:rsidP="009E3C85">
      <w:pPr>
        <w:jc w:val="both"/>
        <w:rPr>
          <w:rFonts w:ascii="Arial" w:hAnsi="Arial" w:cs="Arial"/>
          <w:color w:val="000000" w:themeColor="text1"/>
          <w:lang w:val="es-ES_tradnl"/>
        </w:rPr>
      </w:pPr>
    </w:p>
    <w:p w14:paraId="7EBF297E" w14:textId="77777777" w:rsidR="007B0854" w:rsidRPr="00DD176C" w:rsidRDefault="007B0854" w:rsidP="009E3C85">
      <w:pPr>
        <w:spacing w:line="276" w:lineRule="auto"/>
        <w:jc w:val="both"/>
        <w:rPr>
          <w:lang w:val="es-ES_tradnl"/>
        </w:rPr>
      </w:pPr>
    </w:p>
    <w:p w14:paraId="6B8BA0C0" w14:textId="77777777" w:rsidR="00181F84" w:rsidRPr="00DD176C" w:rsidRDefault="00181F84">
      <w:pPr>
        <w:spacing w:line="276" w:lineRule="auto"/>
        <w:jc w:val="both"/>
        <w:rPr>
          <w:lang w:val="es-ES_tradnl"/>
        </w:rPr>
      </w:pPr>
    </w:p>
    <w:sectPr w:rsidR="00181F84" w:rsidRPr="00DD176C"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99AEA" w14:textId="77777777" w:rsidR="00C77561" w:rsidRDefault="00C77561">
      <w:r>
        <w:separator/>
      </w:r>
    </w:p>
  </w:endnote>
  <w:endnote w:type="continuationSeparator" w:id="0">
    <w:p w14:paraId="414D4ECF" w14:textId="77777777" w:rsidR="00C77561" w:rsidRDefault="00C77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B254BA" w:rsidRDefault="00B254BA" w:rsidP="00856133">
    <w:pPr>
      <w:pStyle w:val="Sinespaciado"/>
      <w:jc w:val="right"/>
      <w:rPr>
        <w:rFonts w:ascii="Arial" w:hAnsi="Arial" w:cs="Arial"/>
        <w:sz w:val="18"/>
        <w:szCs w:val="18"/>
      </w:rPr>
    </w:pPr>
  </w:p>
  <w:p w14:paraId="512F463F" w14:textId="2FB23A9E" w:rsidR="00B254BA" w:rsidRPr="008217B7" w:rsidRDefault="00B254BA"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7598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75980">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1DA6AEB0" w14:textId="77777777" w:rsidR="00B254BA" w:rsidRDefault="00B254BA" w:rsidP="00856133">
    <w:pPr>
      <w:pStyle w:val="Piedepgina"/>
      <w:jc w:val="center"/>
      <w:rPr>
        <w:lang w:val="es-ES"/>
      </w:rPr>
    </w:pPr>
    <w:r>
      <w:rPr>
        <w:noProof/>
        <w:lang w:val="en-US"/>
      </w:rPr>
      <w:drawing>
        <wp:inline distT="0" distB="0" distL="0" distR="0" wp14:anchorId="6A1C2C0F" wp14:editId="55D3394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0077B90" w14:textId="77777777" w:rsidR="00B254BA" w:rsidRPr="007B0854" w:rsidRDefault="00B254BA" w:rsidP="00856133">
    <w:pPr>
      <w:pStyle w:val="Piedepgina"/>
      <w:jc w:val="center"/>
      <w:rPr>
        <w:lang w:val="es-ES"/>
      </w:rPr>
    </w:pPr>
  </w:p>
  <w:p w14:paraId="6C0EFC49" w14:textId="77777777" w:rsidR="00B254BA" w:rsidRPr="00856133" w:rsidRDefault="00B254BA"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1C2E1" w14:textId="77777777" w:rsidR="00C77561" w:rsidRDefault="00C77561">
      <w:r>
        <w:separator/>
      </w:r>
    </w:p>
  </w:footnote>
  <w:footnote w:type="continuationSeparator" w:id="0">
    <w:p w14:paraId="4B3F7AD1" w14:textId="77777777" w:rsidR="00C77561" w:rsidRDefault="00C77561">
      <w:r>
        <w:continuationSeparator/>
      </w:r>
    </w:p>
  </w:footnote>
  <w:footnote w:id="1">
    <w:p w14:paraId="1DCCE87B" w14:textId="6E664531" w:rsidR="00BD16BF" w:rsidRPr="00C36C58" w:rsidRDefault="00BD16BF" w:rsidP="00BD16BF">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Cfr. Concepto</w:t>
      </w:r>
      <w:r w:rsidR="004064A0">
        <w:rPr>
          <w:rFonts w:ascii="Arial" w:hAnsi="Arial" w:cs="Arial"/>
          <w:color w:val="000000" w:themeColor="text1"/>
          <w:sz w:val="19"/>
          <w:szCs w:val="19"/>
        </w:rPr>
        <w:t>s:</w:t>
      </w:r>
      <w:r w:rsidRPr="00C36C58">
        <w:rPr>
          <w:rFonts w:ascii="Arial" w:hAnsi="Arial" w:cs="Arial"/>
          <w:color w:val="000000" w:themeColor="text1"/>
          <w:sz w:val="19"/>
          <w:szCs w:val="19"/>
        </w:rPr>
        <w:t xml:space="preserve"> C</w:t>
      </w:r>
      <w:r w:rsidR="00D26266">
        <w:rPr>
          <w:rFonts w:ascii="Arial" w:hAnsi="Arial" w:cs="Arial"/>
          <w:color w:val="000000" w:themeColor="text1"/>
          <w:sz w:val="19"/>
          <w:szCs w:val="19"/>
        </w:rPr>
        <w:t>-</w:t>
      </w:r>
      <w:r w:rsidRPr="00C36C58">
        <w:rPr>
          <w:rFonts w:ascii="Arial" w:hAnsi="Arial" w:cs="Arial"/>
          <w:color w:val="000000" w:themeColor="text1"/>
          <w:sz w:val="19"/>
          <w:szCs w:val="19"/>
        </w:rPr>
        <w:t>229 del 16 de abril de 2020</w:t>
      </w:r>
      <w:r w:rsidR="004064A0">
        <w:rPr>
          <w:rFonts w:ascii="Arial" w:hAnsi="Arial" w:cs="Arial"/>
          <w:color w:val="000000" w:themeColor="text1"/>
          <w:sz w:val="19"/>
          <w:szCs w:val="19"/>
        </w:rPr>
        <w:t xml:space="preserve">, </w:t>
      </w:r>
      <w:r w:rsidR="006D671D">
        <w:rPr>
          <w:rFonts w:ascii="Arial" w:hAnsi="Arial" w:cs="Arial"/>
          <w:color w:val="000000" w:themeColor="text1"/>
          <w:sz w:val="19"/>
          <w:szCs w:val="19"/>
        </w:rPr>
        <w:t xml:space="preserve">C-815 del </w:t>
      </w:r>
      <w:r w:rsidR="004C61E0">
        <w:rPr>
          <w:rFonts w:ascii="Arial" w:hAnsi="Arial" w:cs="Arial"/>
          <w:color w:val="000000" w:themeColor="text1"/>
          <w:sz w:val="19"/>
          <w:szCs w:val="19"/>
        </w:rPr>
        <w:t xml:space="preserve">18 de febrero de 2021 y </w:t>
      </w:r>
      <w:r w:rsidR="004064A0">
        <w:rPr>
          <w:rFonts w:ascii="Arial" w:hAnsi="Arial" w:cs="Arial"/>
          <w:color w:val="000000" w:themeColor="text1"/>
          <w:sz w:val="19"/>
          <w:szCs w:val="19"/>
        </w:rPr>
        <w:t>C-449 de</w:t>
      </w:r>
      <w:r w:rsidR="0011676E">
        <w:rPr>
          <w:rFonts w:ascii="Arial" w:hAnsi="Arial" w:cs="Arial"/>
          <w:color w:val="000000" w:themeColor="text1"/>
          <w:sz w:val="19"/>
          <w:szCs w:val="19"/>
        </w:rPr>
        <w:t>l 31 de agosto de</w:t>
      </w:r>
      <w:r w:rsidR="004064A0">
        <w:rPr>
          <w:rFonts w:ascii="Arial" w:hAnsi="Arial" w:cs="Arial"/>
          <w:color w:val="000000" w:themeColor="text1"/>
          <w:sz w:val="19"/>
          <w:szCs w:val="19"/>
        </w:rPr>
        <w:t xml:space="preserve"> 2021</w:t>
      </w:r>
      <w:r w:rsidR="004C61E0">
        <w:rPr>
          <w:rFonts w:ascii="Arial" w:hAnsi="Arial" w:cs="Arial"/>
          <w:color w:val="000000" w:themeColor="text1"/>
          <w:sz w:val="19"/>
          <w:szCs w:val="19"/>
        </w:rPr>
        <w:t>.</w:t>
      </w:r>
    </w:p>
    <w:p w14:paraId="58FF7E2A" w14:textId="77777777" w:rsidR="00BD16BF" w:rsidRPr="00C36C58" w:rsidRDefault="00BD16BF" w:rsidP="00BD16BF">
      <w:pPr>
        <w:pStyle w:val="Textonotapie"/>
        <w:ind w:firstLine="708"/>
        <w:jc w:val="both"/>
        <w:rPr>
          <w:rFonts w:ascii="Arial" w:hAnsi="Arial" w:cs="Arial"/>
          <w:color w:val="000000" w:themeColor="text1"/>
          <w:sz w:val="19"/>
          <w:szCs w:val="19"/>
          <w:lang w:val="es-CO"/>
        </w:rPr>
      </w:pPr>
    </w:p>
  </w:footnote>
  <w:footnote w:id="2">
    <w:p w14:paraId="5C97F609" w14:textId="77777777" w:rsidR="00BD16BF" w:rsidRPr="00C36C58" w:rsidRDefault="00BD16BF" w:rsidP="00BD16BF">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Sala de Consulta y de Servicio Civil. Concepto del 23 de marzo de 2011. Rad. 2.045. C.P. Enrique José Arboleda Perdomo.</w:t>
      </w:r>
    </w:p>
    <w:p w14:paraId="4CC69CDF" w14:textId="77777777" w:rsidR="00BD16BF" w:rsidRPr="00C36C58" w:rsidRDefault="00BD16BF" w:rsidP="00BD16BF">
      <w:pPr>
        <w:pStyle w:val="Textonotapie"/>
        <w:ind w:firstLine="708"/>
        <w:jc w:val="both"/>
        <w:rPr>
          <w:rFonts w:ascii="Arial" w:hAnsi="Arial" w:cs="Arial"/>
          <w:color w:val="000000" w:themeColor="text1"/>
          <w:sz w:val="19"/>
          <w:szCs w:val="19"/>
        </w:rPr>
      </w:pPr>
    </w:p>
  </w:footnote>
  <w:footnote w:id="3">
    <w:p w14:paraId="7A7CFC89" w14:textId="77777777" w:rsidR="00BD16BF" w:rsidRPr="00C36C58" w:rsidRDefault="00BD16BF" w:rsidP="00BD16BF">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DÁVILA VINUEZA, Luis Guillermo. Op. Cit., pp. 149-153.</w:t>
      </w:r>
    </w:p>
    <w:p w14:paraId="27F118B2" w14:textId="77777777" w:rsidR="00BD16BF" w:rsidRPr="00C36C58" w:rsidRDefault="00BD16BF" w:rsidP="00BD16BF">
      <w:pPr>
        <w:pStyle w:val="Textonotapie"/>
        <w:ind w:firstLine="708"/>
        <w:jc w:val="both"/>
        <w:rPr>
          <w:rFonts w:ascii="Arial" w:hAnsi="Arial" w:cs="Arial"/>
          <w:color w:val="000000" w:themeColor="text1"/>
          <w:sz w:val="19"/>
          <w:szCs w:val="19"/>
          <w:lang w:val="es-CO"/>
        </w:rPr>
      </w:pPr>
    </w:p>
  </w:footnote>
  <w:footnote w:id="4">
    <w:p w14:paraId="674D2121" w14:textId="77777777" w:rsidR="00BD16BF" w:rsidRPr="00C36C58" w:rsidRDefault="00BD16BF" w:rsidP="00BD16BF">
      <w:pPr>
        <w:pStyle w:val="Textonotapie"/>
        <w:ind w:firstLine="708"/>
        <w:jc w:val="both"/>
        <w:rPr>
          <w:rFonts w:ascii="Arial" w:hAnsi="Arial" w:cs="Arial"/>
          <w:color w:val="000000" w:themeColor="text1"/>
          <w:sz w:val="19"/>
          <w:szCs w:val="19"/>
          <w:lang w:val="es-CO"/>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Siendo los pronunciamientos más relevantes el Concepto del 10 de agosto de 2006. Exp. 1.767 –C.P. Luis Fernando Álvarez Jaramillo–, reiterado y complementado en el Concepto del 23 de marzo de 2011. Rad. 2.045 –C.P. Enrique José Arboleda Perdomo–.</w:t>
      </w:r>
    </w:p>
  </w:footnote>
  <w:footnote w:id="5">
    <w:p w14:paraId="14FCDF3C" w14:textId="77777777" w:rsidR="00BD16BF" w:rsidRPr="00C36C58" w:rsidRDefault="00BD16BF" w:rsidP="00BD16BF">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DÁVILA VINUEZA, Luis Guillermo. Op. Cit., pp. 150-152.</w:t>
      </w:r>
    </w:p>
    <w:p w14:paraId="440CB805" w14:textId="77777777" w:rsidR="00BD16BF" w:rsidRPr="00C36C58" w:rsidRDefault="00BD16BF" w:rsidP="00BD16BF">
      <w:pPr>
        <w:pStyle w:val="Textonotapie"/>
        <w:ind w:firstLine="708"/>
        <w:jc w:val="both"/>
        <w:rPr>
          <w:rFonts w:ascii="Arial" w:hAnsi="Arial" w:cs="Arial"/>
          <w:color w:val="000000" w:themeColor="text1"/>
          <w:sz w:val="19"/>
          <w:szCs w:val="19"/>
          <w:lang w:val="es-CO"/>
        </w:rPr>
      </w:pPr>
    </w:p>
  </w:footnote>
  <w:footnote w:id="6">
    <w:p w14:paraId="36FC6CA3" w14:textId="77777777" w:rsidR="00BD16BF" w:rsidRPr="00C36C58" w:rsidRDefault="00BD16BF" w:rsidP="00BD16BF">
      <w:pPr>
        <w:pStyle w:val="Textonotapie"/>
        <w:ind w:firstLine="708"/>
        <w:jc w:val="both"/>
        <w:rPr>
          <w:rFonts w:ascii="Arial"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CONSEJO DE ESTADO. Sala de Consulta y Servicio Civil. </w:t>
      </w:r>
      <w:r w:rsidRPr="00C36C58">
        <w:rPr>
          <w:rFonts w:ascii="Arial" w:hAnsi="Arial" w:cs="Arial"/>
          <w:color w:val="000000" w:themeColor="text1"/>
          <w:sz w:val="19"/>
          <w:szCs w:val="19"/>
        </w:rPr>
        <w:t>Concepto del 23 de marzo de 2011. Rad. 2.045. C.P. Enrique José Arboleda Perdomo.</w:t>
      </w:r>
    </w:p>
  </w:footnote>
  <w:footnote w:id="7">
    <w:p w14:paraId="0CE0745F" w14:textId="77777777" w:rsidR="00BD16BF" w:rsidRPr="00C36C58" w:rsidRDefault="00BD16BF" w:rsidP="00BD16BF">
      <w:pPr>
        <w:pStyle w:val="Textonotapie"/>
        <w:ind w:firstLine="708"/>
        <w:jc w:val="both"/>
        <w:rPr>
          <w:rFonts w:ascii="Arial" w:hAnsi="Arial" w:cs="Arial"/>
          <w:color w:val="000000" w:themeColor="text1"/>
          <w:sz w:val="19"/>
          <w:szCs w:val="19"/>
        </w:rPr>
      </w:pPr>
      <w:r w:rsidRPr="00C36C58">
        <w:rPr>
          <w:rStyle w:val="Refdenotaalpie"/>
          <w:rFonts w:ascii="Arial" w:hAnsi="Arial" w:cs="Arial"/>
          <w:sz w:val="19"/>
          <w:szCs w:val="19"/>
        </w:rPr>
        <w:footnoteRef/>
      </w:r>
      <w:r w:rsidRPr="00C36C58">
        <w:rPr>
          <w:rFonts w:ascii="Arial" w:hAnsi="Arial" w:cs="Arial"/>
          <w:sz w:val="19"/>
          <w:szCs w:val="19"/>
        </w:rPr>
        <w:t xml:space="preserve"> CONSEJO DE ESTADO. Sala de Consulta y Servicio Civil. Concepto del </w:t>
      </w:r>
      <w:r w:rsidRPr="00C36C58">
        <w:rPr>
          <w:rFonts w:ascii="Arial" w:hAnsi="Arial" w:cs="Arial"/>
          <w:color w:val="000000" w:themeColor="text1"/>
          <w:sz w:val="19"/>
          <w:szCs w:val="19"/>
        </w:rPr>
        <w:t>10 de agosto de 2006. Exp. 1.767. C.P. Luis Fernando Álvarez Jaramillo.</w:t>
      </w:r>
    </w:p>
    <w:p w14:paraId="19DD1B1C" w14:textId="77777777" w:rsidR="00BD16BF" w:rsidRPr="00C36C58" w:rsidRDefault="00BD16BF" w:rsidP="00BD16BF">
      <w:pPr>
        <w:pStyle w:val="Textonotapie"/>
        <w:ind w:firstLine="708"/>
        <w:jc w:val="both"/>
        <w:rPr>
          <w:rFonts w:ascii="Arial" w:hAnsi="Arial" w:cs="Arial"/>
          <w:sz w:val="19"/>
          <w:szCs w:val="19"/>
          <w:lang w:val="es-CO"/>
        </w:rPr>
      </w:pPr>
    </w:p>
  </w:footnote>
  <w:footnote w:id="8">
    <w:p w14:paraId="5265B64C" w14:textId="77777777" w:rsidR="00BD16BF" w:rsidRPr="00C36C58" w:rsidRDefault="00BD16BF" w:rsidP="00BD16BF">
      <w:pPr>
        <w:pStyle w:val="Textonotapie"/>
        <w:ind w:firstLine="708"/>
        <w:jc w:val="both"/>
        <w:rPr>
          <w:rFonts w:ascii="Arial" w:eastAsia="Calibri"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Como expresa DÁVILA: «[…] </w:t>
      </w:r>
      <w:r w:rsidRPr="00C36C58">
        <w:rPr>
          <w:rFonts w:ascii="Arial" w:eastAsia="Calibri" w:hAnsi="Arial" w:cs="Arial"/>
          <w:sz w:val="19"/>
          <w:szCs w:val="19"/>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230F5322" w14:textId="77777777" w:rsidR="00BD16BF" w:rsidRPr="00C36C58" w:rsidRDefault="00BD16BF" w:rsidP="00BD16BF">
      <w:pPr>
        <w:pStyle w:val="Textonotapie"/>
        <w:ind w:firstLine="708"/>
        <w:jc w:val="both"/>
        <w:rPr>
          <w:rFonts w:ascii="Arial" w:hAnsi="Arial" w:cs="Arial"/>
          <w:sz w:val="19"/>
          <w:szCs w:val="19"/>
          <w:lang w:val="es-CO"/>
        </w:rPr>
      </w:pPr>
    </w:p>
  </w:footnote>
  <w:footnote w:id="9">
    <w:p w14:paraId="1DF50ACF" w14:textId="77777777" w:rsidR="00BD16BF" w:rsidRPr="00C36C58" w:rsidRDefault="00BD16BF" w:rsidP="00BD16BF">
      <w:pPr>
        <w:pStyle w:val="Textonotapie"/>
        <w:ind w:firstLine="708"/>
        <w:jc w:val="both"/>
        <w:rPr>
          <w:rFonts w:ascii="Arial" w:eastAsia="Calibri"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Cfr. Ibíd. </w:t>
      </w:r>
      <w:r w:rsidRPr="00C36C58">
        <w:rPr>
          <w:rFonts w:ascii="Arial" w:eastAsia="Calibri" w:hAnsi="Arial" w:cs="Arial"/>
          <w:sz w:val="19"/>
          <w:szCs w:val="19"/>
          <w:lang w:val="es-CO"/>
        </w:rPr>
        <w:t>«Cuando respecto de un oferente se configure un conflicto de interés tipificado en el pliego de condiciones, lo procedente es el rechazo de la propuesta pero a diferencia de las inhabilidades e incompatibilidades, no genera otro tipo de sanción como ocurre con ellas, por ejemplo, el nacimiento de una nueva inhabilidad».</w:t>
      </w:r>
    </w:p>
    <w:p w14:paraId="5CAC574D" w14:textId="77777777" w:rsidR="00BD16BF" w:rsidRPr="00C36C58" w:rsidRDefault="00BD16BF" w:rsidP="00BD16BF">
      <w:pPr>
        <w:pStyle w:val="Textonotapie"/>
        <w:ind w:firstLine="708"/>
        <w:jc w:val="both"/>
        <w:rPr>
          <w:rFonts w:ascii="Arial" w:hAnsi="Arial" w:cs="Arial"/>
          <w:sz w:val="19"/>
          <w:szCs w:val="19"/>
          <w:lang w:val="es-CO"/>
        </w:rPr>
      </w:pPr>
    </w:p>
  </w:footnote>
  <w:footnote w:id="10">
    <w:p w14:paraId="108F0FDC" w14:textId="77777777" w:rsidR="00BD16BF" w:rsidRPr="00C36C58" w:rsidRDefault="00BD16BF" w:rsidP="00BD16BF">
      <w:pPr>
        <w:pStyle w:val="Textonotapie"/>
        <w:ind w:firstLine="708"/>
        <w:jc w:val="both"/>
        <w:rPr>
          <w:rFonts w:ascii="Arial"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36C58">
        <w:rPr>
          <w:rFonts w:ascii="Arial" w:hAnsi="Arial" w:cs="Arial"/>
          <w:i/>
          <w:iCs/>
          <w:sz w:val="19"/>
          <w:szCs w:val="19"/>
        </w:rPr>
        <w:t xml:space="preserve">ibidem </w:t>
      </w:r>
      <w:r w:rsidRPr="00C36C58">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B254BA" w:rsidRDefault="00B254BA">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7092"/>
    <w:rsid w:val="0001011E"/>
    <w:rsid w:val="0002128D"/>
    <w:rsid w:val="0002438E"/>
    <w:rsid w:val="000245BA"/>
    <w:rsid w:val="00040C72"/>
    <w:rsid w:val="00040F98"/>
    <w:rsid w:val="00041293"/>
    <w:rsid w:val="00043881"/>
    <w:rsid w:val="00043A06"/>
    <w:rsid w:val="000448CC"/>
    <w:rsid w:val="00045A28"/>
    <w:rsid w:val="00047C18"/>
    <w:rsid w:val="00050BDA"/>
    <w:rsid w:val="00057438"/>
    <w:rsid w:val="00061699"/>
    <w:rsid w:val="000661A2"/>
    <w:rsid w:val="000729B1"/>
    <w:rsid w:val="000734C3"/>
    <w:rsid w:val="0007666B"/>
    <w:rsid w:val="000835DB"/>
    <w:rsid w:val="00084818"/>
    <w:rsid w:val="00091F4C"/>
    <w:rsid w:val="000920F0"/>
    <w:rsid w:val="000933D8"/>
    <w:rsid w:val="000942EB"/>
    <w:rsid w:val="00094748"/>
    <w:rsid w:val="000A000F"/>
    <w:rsid w:val="000A0343"/>
    <w:rsid w:val="000A6AAF"/>
    <w:rsid w:val="000A6F0A"/>
    <w:rsid w:val="000B103F"/>
    <w:rsid w:val="000B2324"/>
    <w:rsid w:val="000B2627"/>
    <w:rsid w:val="000B324A"/>
    <w:rsid w:val="000B6C5A"/>
    <w:rsid w:val="000C1F32"/>
    <w:rsid w:val="000C23C7"/>
    <w:rsid w:val="000C397B"/>
    <w:rsid w:val="000C6CCE"/>
    <w:rsid w:val="000C798F"/>
    <w:rsid w:val="000D2531"/>
    <w:rsid w:val="000D30D4"/>
    <w:rsid w:val="000D387A"/>
    <w:rsid w:val="000D3AA5"/>
    <w:rsid w:val="000D47EF"/>
    <w:rsid w:val="000D7947"/>
    <w:rsid w:val="000E1CDD"/>
    <w:rsid w:val="000E450F"/>
    <w:rsid w:val="000E7D7E"/>
    <w:rsid w:val="000F14E8"/>
    <w:rsid w:val="000F6F8A"/>
    <w:rsid w:val="00101394"/>
    <w:rsid w:val="00103045"/>
    <w:rsid w:val="00103915"/>
    <w:rsid w:val="001078E6"/>
    <w:rsid w:val="00111960"/>
    <w:rsid w:val="001128EC"/>
    <w:rsid w:val="00113BD0"/>
    <w:rsid w:val="0011676E"/>
    <w:rsid w:val="00122B23"/>
    <w:rsid w:val="00124E57"/>
    <w:rsid w:val="001279B6"/>
    <w:rsid w:val="001340D5"/>
    <w:rsid w:val="00137FFA"/>
    <w:rsid w:val="001438ED"/>
    <w:rsid w:val="00147224"/>
    <w:rsid w:val="00151306"/>
    <w:rsid w:val="001522B6"/>
    <w:rsid w:val="00154B53"/>
    <w:rsid w:val="00156BE4"/>
    <w:rsid w:val="00161F01"/>
    <w:rsid w:val="00167B32"/>
    <w:rsid w:val="0017082E"/>
    <w:rsid w:val="00173306"/>
    <w:rsid w:val="00181F84"/>
    <w:rsid w:val="0018311E"/>
    <w:rsid w:val="00183388"/>
    <w:rsid w:val="00183888"/>
    <w:rsid w:val="001963DD"/>
    <w:rsid w:val="00196BC6"/>
    <w:rsid w:val="001975BB"/>
    <w:rsid w:val="001977F3"/>
    <w:rsid w:val="00197B93"/>
    <w:rsid w:val="001B4307"/>
    <w:rsid w:val="001B449C"/>
    <w:rsid w:val="001C0A60"/>
    <w:rsid w:val="001C0AF7"/>
    <w:rsid w:val="001C16CC"/>
    <w:rsid w:val="001C27A0"/>
    <w:rsid w:val="001D1883"/>
    <w:rsid w:val="001D5240"/>
    <w:rsid w:val="001D779A"/>
    <w:rsid w:val="001D7FE6"/>
    <w:rsid w:val="001E40C6"/>
    <w:rsid w:val="001E5ACA"/>
    <w:rsid w:val="001E5B2A"/>
    <w:rsid w:val="001E7DEE"/>
    <w:rsid w:val="001F083C"/>
    <w:rsid w:val="001F20B7"/>
    <w:rsid w:val="001F2F3E"/>
    <w:rsid w:val="002006CA"/>
    <w:rsid w:val="00205850"/>
    <w:rsid w:val="00205E48"/>
    <w:rsid w:val="00211C31"/>
    <w:rsid w:val="002132FD"/>
    <w:rsid w:val="00215C85"/>
    <w:rsid w:val="00220681"/>
    <w:rsid w:val="00224722"/>
    <w:rsid w:val="00230E98"/>
    <w:rsid w:val="002324AC"/>
    <w:rsid w:val="0023384B"/>
    <w:rsid w:val="00233A64"/>
    <w:rsid w:val="00234B84"/>
    <w:rsid w:val="0024212A"/>
    <w:rsid w:val="002436DD"/>
    <w:rsid w:val="002467C4"/>
    <w:rsid w:val="00246A6D"/>
    <w:rsid w:val="002518A6"/>
    <w:rsid w:val="0025531C"/>
    <w:rsid w:val="00255BFC"/>
    <w:rsid w:val="0026505D"/>
    <w:rsid w:val="0026516C"/>
    <w:rsid w:val="002668CC"/>
    <w:rsid w:val="00266DB4"/>
    <w:rsid w:val="00273A60"/>
    <w:rsid w:val="0027497E"/>
    <w:rsid w:val="002815CE"/>
    <w:rsid w:val="00286956"/>
    <w:rsid w:val="00287FF8"/>
    <w:rsid w:val="00290C56"/>
    <w:rsid w:val="0029572E"/>
    <w:rsid w:val="0029678E"/>
    <w:rsid w:val="002A0E95"/>
    <w:rsid w:val="002A0F0D"/>
    <w:rsid w:val="002A2125"/>
    <w:rsid w:val="002B446C"/>
    <w:rsid w:val="002B52B4"/>
    <w:rsid w:val="002C1A4C"/>
    <w:rsid w:val="002D2FF2"/>
    <w:rsid w:val="002D77CF"/>
    <w:rsid w:val="002E0C71"/>
    <w:rsid w:val="002E3EF2"/>
    <w:rsid w:val="002E4EFE"/>
    <w:rsid w:val="002E6F80"/>
    <w:rsid w:val="002F23C9"/>
    <w:rsid w:val="00300F64"/>
    <w:rsid w:val="0030118B"/>
    <w:rsid w:val="00302658"/>
    <w:rsid w:val="003033BA"/>
    <w:rsid w:val="00307E45"/>
    <w:rsid w:val="003102F2"/>
    <w:rsid w:val="00317242"/>
    <w:rsid w:val="00317BB7"/>
    <w:rsid w:val="00321134"/>
    <w:rsid w:val="00321B8E"/>
    <w:rsid w:val="00331966"/>
    <w:rsid w:val="00331A72"/>
    <w:rsid w:val="00333156"/>
    <w:rsid w:val="00333612"/>
    <w:rsid w:val="00337875"/>
    <w:rsid w:val="003461EA"/>
    <w:rsid w:val="0034680A"/>
    <w:rsid w:val="003477C1"/>
    <w:rsid w:val="00352ABF"/>
    <w:rsid w:val="00356A34"/>
    <w:rsid w:val="00361348"/>
    <w:rsid w:val="0036167C"/>
    <w:rsid w:val="003623CA"/>
    <w:rsid w:val="00362709"/>
    <w:rsid w:val="00363BC9"/>
    <w:rsid w:val="003643E8"/>
    <w:rsid w:val="003649A6"/>
    <w:rsid w:val="00367883"/>
    <w:rsid w:val="003743B6"/>
    <w:rsid w:val="0038066B"/>
    <w:rsid w:val="003817A3"/>
    <w:rsid w:val="00381EF6"/>
    <w:rsid w:val="00385569"/>
    <w:rsid w:val="00386456"/>
    <w:rsid w:val="00390FEC"/>
    <w:rsid w:val="00391F77"/>
    <w:rsid w:val="00393DF4"/>
    <w:rsid w:val="003946F7"/>
    <w:rsid w:val="00395A05"/>
    <w:rsid w:val="00396ABB"/>
    <w:rsid w:val="003A03E8"/>
    <w:rsid w:val="003A0EAA"/>
    <w:rsid w:val="003A1A92"/>
    <w:rsid w:val="003A3106"/>
    <w:rsid w:val="003A4D40"/>
    <w:rsid w:val="003A581E"/>
    <w:rsid w:val="003B1815"/>
    <w:rsid w:val="003B2F69"/>
    <w:rsid w:val="003B4D4F"/>
    <w:rsid w:val="003B6A90"/>
    <w:rsid w:val="003C1C2A"/>
    <w:rsid w:val="003C5458"/>
    <w:rsid w:val="003C564B"/>
    <w:rsid w:val="003D5FFB"/>
    <w:rsid w:val="003E21E7"/>
    <w:rsid w:val="003E36D7"/>
    <w:rsid w:val="003F3EDD"/>
    <w:rsid w:val="00402FFB"/>
    <w:rsid w:val="00403934"/>
    <w:rsid w:val="00404500"/>
    <w:rsid w:val="00405F6D"/>
    <w:rsid w:val="004064A0"/>
    <w:rsid w:val="004116DF"/>
    <w:rsid w:val="00412C94"/>
    <w:rsid w:val="00414B36"/>
    <w:rsid w:val="00415076"/>
    <w:rsid w:val="004206A4"/>
    <w:rsid w:val="004301E2"/>
    <w:rsid w:val="00433063"/>
    <w:rsid w:val="00436F07"/>
    <w:rsid w:val="00437E23"/>
    <w:rsid w:val="00441D52"/>
    <w:rsid w:val="004422D6"/>
    <w:rsid w:val="0044423C"/>
    <w:rsid w:val="00447DCE"/>
    <w:rsid w:val="00450066"/>
    <w:rsid w:val="00464236"/>
    <w:rsid w:val="00467068"/>
    <w:rsid w:val="00473699"/>
    <w:rsid w:val="00474F64"/>
    <w:rsid w:val="004755F5"/>
    <w:rsid w:val="0048447C"/>
    <w:rsid w:val="00494F71"/>
    <w:rsid w:val="004A0336"/>
    <w:rsid w:val="004A29A5"/>
    <w:rsid w:val="004A34D2"/>
    <w:rsid w:val="004A3E90"/>
    <w:rsid w:val="004A45DD"/>
    <w:rsid w:val="004A59E5"/>
    <w:rsid w:val="004B0296"/>
    <w:rsid w:val="004B3D99"/>
    <w:rsid w:val="004B6246"/>
    <w:rsid w:val="004B645B"/>
    <w:rsid w:val="004B794D"/>
    <w:rsid w:val="004C18A5"/>
    <w:rsid w:val="004C36DF"/>
    <w:rsid w:val="004C61E0"/>
    <w:rsid w:val="004D0E67"/>
    <w:rsid w:val="004D2B04"/>
    <w:rsid w:val="004D718B"/>
    <w:rsid w:val="004D7EC4"/>
    <w:rsid w:val="004E16E5"/>
    <w:rsid w:val="004E750B"/>
    <w:rsid w:val="004F0275"/>
    <w:rsid w:val="004F357D"/>
    <w:rsid w:val="004F4A9C"/>
    <w:rsid w:val="004F58AE"/>
    <w:rsid w:val="00501F2A"/>
    <w:rsid w:val="00502D15"/>
    <w:rsid w:val="00506825"/>
    <w:rsid w:val="0051074C"/>
    <w:rsid w:val="00513AF2"/>
    <w:rsid w:val="0051777B"/>
    <w:rsid w:val="00521AED"/>
    <w:rsid w:val="00525274"/>
    <w:rsid w:val="005259EE"/>
    <w:rsid w:val="00527802"/>
    <w:rsid w:val="005311CA"/>
    <w:rsid w:val="00531C8E"/>
    <w:rsid w:val="00533136"/>
    <w:rsid w:val="0054061C"/>
    <w:rsid w:val="00540BDD"/>
    <w:rsid w:val="005437D9"/>
    <w:rsid w:val="0054413A"/>
    <w:rsid w:val="0054651C"/>
    <w:rsid w:val="00547F13"/>
    <w:rsid w:val="00553B5D"/>
    <w:rsid w:val="005542DB"/>
    <w:rsid w:val="005546B2"/>
    <w:rsid w:val="00555985"/>
    <w:rsid w:val="005564CA"/>
    <w:rsid w:val="00560A4E"/>
    <w:rsid w:val="00562490"/>
    <w:rsid w:val="00565C7E"/>
    <w:rsid w:val="00566225"/>
    <w:rsid w:val="00575980"/>
    <w:rsid w:val="00576733"/>
    <w:rsid w:val="00577071"/>
    <w:rsid w:val="005807D1"/>
    <w:rsid w:val="00587E9D"/>
    <w:rsid w:val="00592CC6"/>
    <w:rsid w:val="005938E7"/>
    <w:rsid w:val="00594A2F"/>
    <w:rsid w:val="005A7D52"/>
    <w:rsid w:val="005B01B5"/>
    <w:rsid w:val="005B1B8A"/>
    <w:rsid w:val="005B61E8"/>
    <w:rsid w:val="005C280F"/>
    <w:rsid w:val="005C2A6C"/>
    <w:rsid w:val="005C4060"/>
    <w:rsid w:val="005C4222"/>
    <w:rsid w:val="005C66D8"/>
    <w:rsid w:val="005D1434"/>
    <w:rsid w:val="005D1980"/>
    <w:rsid w:val="005D1E83"/>
    <w:rsid w:val="005D32C8"/>
    <w:rsid w:val="005D3C8F"/>
    <w:rsid w:val="005D4016"/>
    <w:rsid w:val="005D78E7"/>
    <w:rsid w:val="005D79F9"/>
    <w:rsid w:val="005E5885"/>
    <w:rsid w:val="005E7E46"/>
    <w:rsid w:val="005F2058"/>
    <w:rsid w:val="005F51D1"/>
    <w:rsid w:val="00603E5E"/>
    <w:rsid w:val="00606720"/>
    <w:rsid w:val="00607CDE"/>
    <w:rsid w:val="00614FC8"/>
    <w:rsid w:val="006160D2"/>
    <w:rsid w:val="00620FBC"/>
    <w:rsid w:val="006224C5"/>
    <w:rsid w:val="00622B0F"/>
    <w:rsid w:val="006313A5"/>
    <w:rsid w:val="00632865"/>
    <w:rsid w:val="006376C9"/>
    <w:rsid w:val="00640DDA"/>
    <w:rsid w:val="00645246"/>
    <w:rsid w:val="00646B5C"/>
    <w:rsid w:val="00654A4D"/>
    <w:rsid w:val="00655371"/>
    <w:rsid w:val="006606EF"/>
    <w:rsid w:val="00664B5C"/>
    <w:rsid w:val="00665CC0"/>
    <w:rsid w:val="00667FF9"/>
    <w:rsid w:val="00672F9E"/>
    <w:rsid w:val="0067611C"/>
    <w:rsid w:val="00682E0D"/>
    <w:rsid w:val="00683856"/>
    <w:rsid w:val="00683F77"/>
    <w:rsid w:val="00685162"/>
    <w:rsid w:val="0068782C"/>
    <w:rsid w:val="00687F8E"/>
    <w:rsid w:val="00690B55"/>
    <w:rsid w:val="00691DF1"/>
    <w:rsid w:val="00696576"/>
    <w:rsid w:val="00697665"/>
    <w:rsid w:val="006A0471"/>
    <w:rsid w:val="006A22FE"/>
    <w:rsid w:val="006A603D"/>
    <w:rsid w:val="006A6B4A"/>
    <w:rsid w:val="006A7FD0"/>
    <w:rsid w:val="006B246B"/>
    <w:rsid w:val="006B3A45"/>
    <w:rsid w:val="006B566E"/>
    <w:rsid w:val="006C01CD"/>
    <w:rsid w:val="006C2EDF"/>
    <w:rsid w:val="006C6B35"/>
    <w:rsid w:val="006D1A0C"/>
    <w:rsid w:val="006D1C63"/>
    <w:rsid w:val="006D4E5A"/>
    <w:rsid w:val="006D671D"/>
    <w:rsid w:val="006D7687"/>
    <w:rsid w:val="006E0572"/>
    <w:rsid w:val="006E3D5D"/>
    <w:rsid w:val="006E73B1"/>
    <w:rsid w:val="006F0024"/>
    <w:rsid w:val="006F098D"/>
    <w:rsid w:val="006F3FD3"/>
    <w:rsid w:val="007026A8"/>
    <w:rsid w:val="00703690"/>
    <w:rsid w:val="00703DDF"/>
    <w:rsid w:val="00705025"/>
    <w:rsid w:val="0070543A"/>
    <w:rsid w:val="00705631"/>
    <w:rsid w:val="00714CC7"/>
    <w:rsid w:val="00720B31"/>
    <w:rsid w:val="00727F0B"/>
    <w:rsid w:val="007330DE"/>
    <w:rsid w:val="0073378A"/>
    <w:rsid w:val="007349F3"/>
    <w:rsid w:val="00736292"/>
    <w:rsid w:val="00742AFC"/>
    <w:rsid w:val="00742DD2"/>
    <w:rsid w:val="00745B0A"/>
    <w:rsid w:val="00746C26"/>
    <w:rsid w:val="0075345C"/>
    <w:rsid w:val="007563A4"/>
    <w:rsid w:val="0075647A"/>
    <w:rsid w:val="00760C7C"/>
    <w:rsid w:val="007634AD"/>
    <w:rsid w:val="007656A1"/>
    <w:rsid w:val="007668C6"/>
    <w:rsid w:val="00770DEC"/>
    <w:rsid w:val="007751AB"/>
    <w:rsid w:val="0077581F"/>
    <w:rsid w:val="0077655E"/>
    <w:rsid w:val="00777CBD"/>
    <w:rsid w:val="00777D3C"/>
    <w:rsid w:val="0078122E"/>
    <w:rsid w:val="00795F60"/>
    <w:rsid w:val="007A3365"/>
    <w:rsid w:val="007A36F7"/>
    <w:rsid w:val="007B0854"/>
    <w:rsid w:val="007B4A3A"/>
    <w:rsid w:val="007C2BF6"/>
    <w:rsid w:val="007C4999"/>
    <w:rsid w:val="007C67B5"/>
    <w:rsid w:val="007C7C71"/>
    <w:rsid w:val="007D28D9"/>
    <w:rsid w:val="007E0012"/>
    <w:rsid w:val="007E13BA"/>
    <w:rsid w:val="007E2667"/>
    <w:rsid w:val="007E441B"/>
    <w:rsid w:val="007F33EE"/>
    <w:rsid w:val="007F3A6A"/>
    <w:rsid w:val="007F40CD"/>
    <w:rsid w:val="007F5CD2"/>
    <w:rsid w:val="007F72CB"/>
    <w:rsid w:val="008020B4"/>
    <w:rsid w:val="00802F20"/>
    <w:rsid w:val="00812B27"/>
    <w:rsid w:val="008150DF"/>
    <w:rsid w:val="0081677D"/>
    <w:rsid w:val="00823D1D"/>
    <w:rsid w:val="0082674E"/>
    <w:rsid w:val="0083119B"/>
    <w:rsid w:val="008313AA"/>
    <w:rsid w:val="00836EAB"/>
    <w:rsid w:val="00840D0A"/>
    <w:rsid w:val="0084308B"/>
    <w:rsid w:val="00845BC2"/>
    <w:rsid w:val="00847803"/>
    <w:rsid w:val="0085092D"/>
    <w:rsid w:val="00854646"/>
    <w:rsid w:val="00856133"/>
    <w:rsid w:val="008563D1"/>
    <w:rsid w:val="00860ED8"/>
    <w:rsid w:val="00866464"/>
    <w:rsid w:val="008674BF"/>
    <w:rsid w:val="0088219A"/>
    <w:rsid w:val="00884548"/>
    <w:rsid w:val="0088563B"/>
    <w:rsid w:val="00891978"/>
    <w:rsid w:val="00892103"/>
    <w:rsid w:val="008926C8"/>
    <w:rsid w:val="00893313"/>
    <w:rsid w:val="00893744"/>
    <w:rsid w:val="00893FD8"/>
    <w:rsid w:val="008965D7"/>
    <w:rsid w:val="008B1E24"/>
    <w:rsid w:val="008B404F"/>
    <w:rsid w:val="008C1335"/>
    <w:rsid w:val="008C69F7"/>
    <w:rsid w:val="008C7603"/>
    <w:rsid w:val="008C785B"/>
    <w:rsid w:val="008D082E"/>
    <w:rsid w:val="008D40BB"/>
    <w:rsid w:val="008D41C2"/>
    <w:rsid w:val="008D5F2A"/>
    <w:rsid w:val="008D7BDB"/>
    <w:rsid w:val="008D7FDF"/>
    <w:rsid w:val="008E12EE"/>
    <w:rsid w:val="008E1C15"/>
    <w:rsid w:val="008E2DDF"/>
    <w:rsid w:val="008E58E3"/>
    <w:rsid w:val="008E76C6"/>
    <w:rsid w:val="008F13B2"/>
    <w:rsid w:val="008F31A1"/>
    <w:rsid w:val="008F360D"/>
    <w:rsid w:val="008F67B0"/>
    <w:rsid w:val="008F6974"/>
    <w:rsid w:val="009008B0"/>
    <w:rsid w:val="00900C60"/>
    <w:rsid w:val="009047C5"/>
    <w:rsid w:val="00905C1F"/>
    <w:rsid w:val="00914BEA"/>
    <w:rsid w:val="00914CA9"/>
    <w:rsid w:val="00921E06"/>
    <w:rsid w:val="00924B30"/>
    <w:rsid w:val="009268D9"/>
    <w:rsid w:val="00931EF5"/>
    <w:rsid w:val="009320FF"/>
    <w:rsid w:val="0093265C"/>
    <w:rsid w:val="00932C52"/>
    <w:rsid w:val="009333DD"/>
    <w:rsid w:val="00943ED3"/>
    <w:rsid w:val="00952E0B"/>
    <w:rsid w:val="0095385A"/>
    <w:rsid w:val="00960E4D"/>
    <w:rsid w:val="0096718E"/>
    <w:rsid w:val="00977307"/>
    <w:rsid w:val="00984D1B"/>
    <w:rsid w:val="009973A4"/>
    <w:rsid w:val="009A0F89"/>
    <w:rsid w:val="009A1DB3"/>
    <w:rsid w:val="009A2E9B"/>
    <w:rsid w:val="009A69D9"/>
    <w:rsid w:val="009B223B"/>
    <w:rsid w:val="009B38BA"/>
    <w:rsid w:val="009B603E"/>
    <w:rsid w:val="009B7D69"/>
    <w:rsid w:val="009C3CDB"/>
    <w:rsid w:val="009C65FA"/>
    <w:rsid w:val="009C68C5"/>
    <w:rsid w:val="009D2184"/>
    <w:rsid w:val="009D71D6"/>
    <w:rsid w:val="009D72B1"/>
    <w:rsid w:val="009D768B"/>
    <w:rsid w:val="009E06E5"/>
    <w:rsid w:val="009E134A"/>
    <w:rsid w:val="009E3C85"/>
    <w:rsid w:val="009E6577"/>
    <w:rsid w:val="009E76F8"/>
    <w:rsid w:val="009E7F34"/>
    <w:rsid w:val="009F7878"/>
    <w:rsid w:val="00A037EA"/>
    <w:rsid w:val="00A03D83"/>
    <w:rsid w:val="00A04EE6"/>
    <w:rsid w:val="00A11395"/>
    <w:rsid w:val="00A131D8"/>
    <w:rsid w:val="00A15652"/>
    <w:rsid w:val="00A24560"/>
    <w:rsid w:val="00A2644D"/>
    <w:rsid w:val="00A31E87"/>
    <w:rsid w:val="00A34538"/>
    <w:rsid w:val="00A35DB0"/>
    <w:rsid w:val="00A37325"/>
    <w:rsid w:val="00A55589"/>
    <w:rsid w:val="00A57699"/>
    <w:rsid w:val="00A62219"/>
    <w:rsid w:val="00A63214"/>
    <w:rsid w:val="00A637F0"/>
    <w:rsid w:val="00A64D34"/>
    <w:rsid w:val="00A67D3A"/>
    <w:rsid w:val="00A703B4"/>
    <w:rsid w:val="00A713D4"/>
    <w:rsid w:val="00A7259A"/>
    <w:rsid w:val="00A80657"/>
    <w:rsid w:val="00A80A35"/>
    <w:rsid w:val="00A84638"/>
    <w:rsid w:val="00A846F0"/>
    <w:rsid w:val="00A872E4"/>
    <w:rsid w:val="00A90376"/>
    <w:rsid w:val="00A92173"/>
    <w:rsid w:val="00A97A30"/>
    <w:rsid w:val="00A97BA9"/>
    <w:rsid w:val="00AA0108"/>
    <w:rsid w:val="00AA400E"/>
    <w:rsid w:val="00AA442B"/>
    <w:rsid w:val="00AB019E"/>
    <w:rsid w:val="00AB22AC"/>
    <w:rsid w:val="00AB3CB9"/>
    <w:rsid w:val="00AC4F82"/>
    <w:rsid w:val="00AC604E"/>
    <w:rsid w:val="00AC7AF0"/>
    <w:rsid w:val="00AD0301"/>
    <w:rsid w:val="00AD1BC5"/>
    <w:rsid w:val="00AD6F35"/>
    <w:rsid w:val="00AD70FD"/>
    <w:rsid w:val="00AD7A70"/>
    <w:rsid w:val="00AE7DA8"/>
    <w:rsid w:val="00AF080A"/>
    <w:rsid w:val="00AF3B59"/>
    <w:rsid w:val="00AF3C31"/>
    <w:rsid w:val="00AF5311"/>
    <w:rsid w:val="00AF60BA"/>
    <w:rsid w:val="00AF6C24"/>
    <w:rsid w:val="00AF722A"/>
    <w:rsid w:val="00B01FFE"/>
    <w:rsid w:val="00B02308"/>
    <w:rsid w:val="00B050FF"/>
    <w:rsid w:val="00B113BF"/>
    <w:rsid w:val="00B140D5"/>
    <w:rsid w:val="00B14A1D"/>
    <w:rsid w:val="00B14C1E"/>
    <w:rsid w:val="00B16A1D"/>
    <w:rsid w:val="00B16F93"/>
    <w:rsid w:val="00B1783C"/>
    <w:rsid w:val="00B20A77"/>
    <w:rsid w:val="00B22064"/>
    <w:rsid w:val="00B22E22"/>
    <w:rsid w:val="00B2375A"/>
    <w:rsid w:val="00B246F2"/>
    <w:rsid w:val="00B251F5"/>
    <w:rsid w:val="00B254BA"/>
    <w:rsid w:val="00B27137"/>
    <w:rsid w:val="00B30B07"/>
    <w:rsid w:val="00B35A49"/>
    <w:rsid w:val="00B442BB"/>
    <w:rsid w:val="00B44404"/>
    <w:rsid w:val="00B51683"/>
    <w:rsid w:val="00B525CB"/>
    <w:rsid w:val="00B55131"/>
    <w:rsid w:val="00B627B2"/>
    <w:rsid w:val="00B628C8"/>
    <w:rsid w:val="00B63135"/>
    <w:rsid w:val="00B63CB2"/>
    <w:rsid w:val="00B64914"/>
    <w:rsid w:val="00B64FCD"/>
    <w:rsid w:val="00B67830"/>
    <w:rsid w:val="00B734AF"/>
    <w:rsid w:val="00B80E1B"/>
    <w:rsid w:val="00B81B4F"/>
    <w:rsid w:val="00B86742"/>
    <w:rsid w:val="00B86E19"/>
    <w:rsid w:val="00B93C15"/>
    <w:rsid w:val="00B955E0"/>
    <w:rsid w:val="00BA2473"/>
    <w:rsid w:val="00BA2A4A"/>
    <w:rsid w:val="00BA383D"/>
    <w:rsid w:val="00BB094C"/>
    <w:rsid w:val="00BB12AD"/>
    <w:rsid w:val="00BB20AF"/>
    <w:rsid w:val="00BB52CB"/>
    <w:rsid w:val="00BC2E1A"/>
    <w:rsid w:val="00BC6C18"/>
    <w:rsid w:val="00BD14F4"/>
    <w:rsid w:val="00BD16BF"/>
    <w:rsid w:val="00BD28D5"/>
    <w:rsid w:val="00BD57AA"/>
    <w:rsid w:val="00BD72A2"/>
    <w:rsid w:val="00BD78FE"/>
    <w:rsid w:val="00BE020D"/>
    <w:rsid w:val="00BE2414"/>
    <w:rsid w:val="00BF3F8D"/>
    <w:rsid w:val="00BF70CA"/>
    <w:rsid w:val="00BF78C7"/>
    <w:rsid w:val="00C00D0D"/>
    <w:rsid w:val="00C1187E"/>
    <w:rsid w:val="00C12619"/>
    <w:rsid w:val="00C15F60"/>
    <w:rsid w:val="00C16AF3"/>
    <w:rsid w:val="00C17820"/>
    <w:rsid w:val="00C253B9"/>
    <w:rsid w:val="00C3265D"/>
    <w:rsid w:val="00C32FA9"/>
    <w:rsid w:val="00C34E5D"/>
    <w:rsid w:val="00C3799C"/>
    <w:rsid w:val="00C45264"/>
    <w:rsid w:val="00C53893"/>
    <w:rsid w:val="00C53B49"/>
    <w:rsid w:val="00C53CC2"/>
    <w:rsid w:val="00C57F52"/>
    <w:rsid w:val="00C6215B"/>
    <w:rsid w:val="00C63E6D"/>
    <w:rsid w:val="00C660E1"/>
    <w:rsid w:val="00C66325"/>
    <w:rsid w:val="00C70B6F"/>
    <w:rsid w:val="00C71D37"/>
    <w:rsid w:val="00C77561"/>
    <w:rsid w:val="00C82D6A"/>
    <w:rsid w:val="00C84725"/>
    <w:rsid w:val="00C8487E"/>
    <w:rsid w:val="00C85A64"/>
    <w:rsid w:val="00C9396D"/>
    <w:rsid w:val="00CA32B5"/>
    <w:rsid w:val="00CA474A"/>
    <w:rsid w:val="00CA4E1C"/>
    <w:rsid w:val="00CA6A4C"/>
    <w:rsid w:val="00CC00CD"/>
    <w:rsid w:val="00CC2908"/>
    <w:rsid w:val="00CC5C83"/>
    <w:rsid w:val="00CC716B"/>
    <w:rsid w:val="00CD1655"/>
    <w:rsid w:val="00CD33C9"/>
    <w:rsid w:val="00CD56AA"/>
    <w:rsid w:val="00CD7262"/>
    <w:rsid w:val="00CD76F0"/>
    <w:rsid w:val="00CE1E32"/>
    <w:rsid w:val="00CE1E9A"/>
    <w:rsid w:val="00CE4365"/>
    <w:rsid w:val="00CE56A6"/>
    <w:rsid w:val="00CE65B0"/>
    <w:rsid w:val="00CE68C6"/>
    <w:rsid w:val="00CF0469"/>
    <w:rsid w:val="00CF2A93"/>
    <w:rsid w:val="00CF6D2B"/>
    <w:rsid w:val="00D00D00"/>
    <w:rsid w:val="00D0147E"/>
    <w:rsid w:val="00D01C1F"/>
    <w:rsid w:val="00D035F8"/>
    <w:rsid w:val="00D05399"/>
    <w:rsid w:val="00D06ADE"/>
    <w:rsid w:val="00D1574C"/>
    <w:rsid w:val="00D15B6E"/>
    <w:rsid w:val="00D16E39"/>
    <w:rsid w:val="00D2134B"/>
    <w:rsid w:val="00D21D5D"/>
    <w:rsid w:val="00D2246B"/>
    <w:rsid w:val="00D26266"/>
    <w:rsid w:val="00D270A9"/>
    <w:rsid w:val="00D274A1"/>
    <w:rsid w:val="00D27700"/>
    <w:rsid w:val="00D27B44"/>
    <w:rsid w:val="00D32642"/>
    <w:rsid w:val="00D4277C"/>
    <w:rsid w:val="00D44045"/>
    <w:rsid w:val="00D4699F"/>
    <w:rsid w:val="00D47D51"/>
    <w:rsid w:val="00D50075"/>
    <w:rsid w:val="00D5060F"/>
    <w:rsid w:val="00D5365B"/>
    <w:rsid w:val="00D55C9B"/>
    <w:rsid w:val="00D60119"/>
    <w:rsid w:val="00D62CB7"/>
    <w:rsid w:val="00D709EF"/>
    <w:rsid w:val="00D72E9D"/>
    <w:rsid w:val="00D73430"/>
    <w:rsid w:val="00D747D7"/>
    <w:rsid w:val="00D74C57"/>
    <w:rsid w:val="00D76E0E"/>
    <w:rsid w:val="00D82CE5"/>
    <w:rsid w:val="00D936D0"/>
    <w:rsid w:val="00D95624"/>
    <w:rsid w:val="00D96E9B"/>
    <w:rsid w:val="00DA0B9C"/>
    <w:rsid w:val="00DA4F12"/>
    <w:rsid w:val="00DA5AB1"/>
    <w:rsid w:val="00DA6202"/>
    <w:rsid w:val="00DA6FB5"/>
    <w:rsid w:val="00DB323A"/>
    <w:rsid w:val="00DC62E5"/>
    <w:rsid w:val="00DC6B92"/>
    <w:rsid w:val="00DD1521"/>
    <w:rsid w:val="00DD176C"/>
    <w:rsid w:val="00DD180F"/>
    <w:rsid w:val="00DD514A"/>
    <w:rsid w:val="00DD5762"/>
    <w:rsid w:val="00DD59F1"/>
    <w:rsid w:val="00DD59FE"/>
    <w:rsid w:val="00DD67A5"/>
    <w:rsid w:val="00DD735D"/>
    <w:rsid w:val="00DE3119"/>
    <w:rsid w:val="00DE3771"/>
    <w:rsid w:val="00DE4FB3"/>
    <w:rsid w:val="00DE63CA"/>
    <w:rsid w:val="00DF236B"/>
    <w:rsid w:val="00DF6427"/>
    <w:rsid w:val="00E05934"/>
    <w:rsid w:val="00E1209F"/>
    <w:rsid w:val="00E126C1"/>
    <w:rsid w:val="00E13AB8"/>
    <w:rsid w:val="00E20955"/>
    <w:rsid w:val="00E237C1"/>
    <w:rsid w:val="00E3337D"/>
    <w:rsid w:val="00E33B62"/>
    <w:rsid w:val="00E351A3"/>
    <w:rsid w:val="00E36C78"/>
    <w:rsid w:val="00E40119"/>
    <w:rsid w:val="00E4055D"/>
    <w:rsid w:val="00E42F19"/>
    <w:rsid w:val="00E51BAC"/>
    <w:rsid w:val="00E61DE8"/>
    <w:rsid w:val="00E64032"/>
    <w:rsid w:val="00E64E54"/>
    <w:rsid w:val="00E66D38"/>
    <w:rsid w:val="00E7383B"/>
    <w:rsid w:val="00E73DA1"/>
    <w:rsid w:val="00E766C1"/>
    <w:rsid w:val="00E932EF"/>
    <w:rsid w:val="00E9469D"/>
    <w:rsid w:val="00E97A9B"/>
    <w:rsid w:val="00EA1FCC"/>
    <w:rsid w:val="00EA6706"/>
    <w:rsid w:val="00EB31E8"/>
    <w:rsid w:val="00EB4E60"/>
    <w:rsid w:val="00EB66BC"/>
    <w:rsid w:val="00EC0612"/>
    <w:rsid w:val="00EC6EB1"/>
    <w:rsid w:val="00ED10D5"/>
    <w:rsid w:val="00ED23DD"/>
    <w:rsid w:val="00ED4524"/>
    <w:rsid w:val="00ED4F9F"/>
    <w:rsid w:val="00EE458B"/>
    <w:rsid w:val="00EE5D34"/>
    <w:rsid w:val="00EE759C"/>
    <w:rsid w:val="00EE7F0C"/>
    <w:rsid w:val="00EF1743"/>
    <w:rsid w:val="00EF363A"/>
    <w:rsid w:val="00EF3E5A"/>
    <w:rsid w:val="00EF795E"/>
    <w:rsid w:val="00F00C5A"/>
    <w:rsid w:val="00F02D0C"/>
    <w:rsid w:val="00F03DD3"/>
    <w:rsid w:val="00F0482F"/>
    <w:rsid w:val="00F0647D"/>
    <w:rsid w:val="00F118CE"/>
    <w:rsid w:val="00F14E57"/>
    <w:rsid w:val="00F21834"/>
    <w:rsid w:val="00F250AD"/>
    <w:rsid w:val="00F273C0"/>
    <w:rsid w:val="00F2744C"/>
    <w:rsid w:val="00F335FA"/>
    <w:rsid w:val="00F33ED0"/>
    <w:rsid w:val="00F356DB"/>
    <w:rsid w:val="00F40429"/>
    <w:rsid w:val="00F42F0C"/>
    <w:rsid w:val="00F442A2"/>
    <w:rsid w:val="00F4653A"/>
    <w:rsid w:val="00F50DDA"/>
    <w:rsid w:val="00F50F00"/>
    <w:rsid w:val="00F548D5"/>
    <w:rsid w:val="00F6177E"/>
    <w:rsid w:val="00F646C8"/>
    <w:rsid w:val="00F649BA"/>
    <w:rsid w:val="00F66CCA"/>
    <w:rsid w:val="00F71F95"/>
    <w:rsid w:val="00F740F2"/>
    <w:rsid w:val="00F755D0"/>
    <w:rsid w:val="00F805E6"/>
    <w:rsid w:val="00F84899"/>
    <w:rsid w:val="00F859F0"/>
    <w:rsid w:val="00F86D58"/>
    <w:rsid w:val="00F87C4D"/>
    <w:rsid w:val="00F92088"/>
    <w:rsid w:val="00FA09F6"/>
    <w:rsid w:val="00FA6021"/>
    <w:rsid w:val="00FA69D3"/>
    <w:rsid w:val="00FA69E2"/>
    <w:rsid w:val="00FB2446"/>
    <w:rsid w:val="00FC2A7E"/>
    <w:rsid w:val="00FC2D7A"/>
    <w:rsid w:val="00FC2DE9"/>
    <w:rsid w:val="00FD2262"/>
    <w:rsid w:val="00FD5AFE"/>
    <w:rsid w:val="00FD7563"/>
    <w:rsid w:val="00FD79B7"/>
    <w:rsid w:val="00FE09CF"/>
    <w:rsid w:val="00FE10A0"/>
    <w:rsid w:val="00FE141E"/>
    <w:rsid w:val="00FE2AAC"/>
    <w:rsid w:val="00FE6D59"/>
    <w:rsid w:val="00FE7371"/>
    <w:rsid w:val="00FF25A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paragraph" w:customStyle="1" w:styleId="Default">
    <w:name w:val="Default"/>
    <w:rsid w:val="00E237C1"/>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2C1A4C"/>
    <w:rPr>
      <w:color w:val="605E5C"/>
      <w:shd w:val="clear" w:color="auto" w:fill="E1DFDD"/>
    </w:rPr>
  </w:style>
  <w:style w:type="paragraph" w:customStyle="1" w:styleId="Appelnotedebasde">
    <w:name w:val="Appel note de bas de..."/>
    <w:basedOn w:val="Normal"/>
    <w:link w:val="Refdenotaalpie"/>
    <w:uiPriority w:val="99"/>
    <w:rsid w:val="001E7DEE"/>
    <w:pPr>
      <w:spacing w:after="160" w:line="240" w:lineRule="exact"/>
    </w:pPr>
    <w:rPr>
      <w:sz w:val="22"/>
      <w:vertAlign w:val="superscript"/>
      <w:lang w:val="es-CO"/>
    </w:rPr>
  </w:style>
  <w:style w:type="paragraph" w:customStyle="1" w:styleId="CEDAContenido">
    <w:name w:val="CEDA Contenido"/>
    <w:basedOn w:val="Normal"/>
    <w:link w:val="CEDAContenidoCar"/>
    <w:qFormat/>
    <w:rsid w:val="00BD16BF"/>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BD16BF"/>
    <w:rPr>
      <w:rFonts w:ascii="Bookman Old Style" w:eastAsiaTheme="minorEastAsia"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3682">
      <w:bodyDiv w:val="1"/>
      <w:marLeft w:val="0"/>
      <w:marRight w:val="0"/>
      <w:marTop w:val="0"/>
      <w:marBottom w:val="0"/>
      <w:divBdr>
        <w:top w:val="none" w:sz="0" w:space="0" w:color="auto"/>
        <w:left w:val="none" w:sz="0" w:space="0" w:color="auto"/>
        <w:bottom w:val="none" w:sz="0" w:space="0" w:color="auto"/>
        <w:right w:val="none" w:sz="0" w:space="0" w:color="auto"/>
      </w:divBdr>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18941244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89111067">
      <w:bodyDiv w:val="1"/>
      <w:marLeft w:val="0"/>
      <w:marRight w:val="0"/>
      <w:marTop w:val="0"/>
      <w:marBottom w:val="0"/>
      <w:divBdr>
        <w:top w:val="none" w:sz="0" w:space="0" w:color="auto"/>
        <w:left w:val="none" w:sz="0" w:space="0" w:color="auto"/>
        <w:bottom w:val="none" w:sz="0" w:space="0" w:color="auto"/>
        <w:right w:val="none" w:sz="0" w:space="0" w:color="auto"/>
      </w:divBdr>
    </w:div>
    <w:div w:id="417755585">
      <w:bodyDiv w:val="1"/>
      <w:marLeft w:val="0"/>
      <w:marRight w:val="0"/>
      <w:marTop w:val="0"/>
      <w:marBottom w:val="0"/>
      <w:divBdr>
        <w:top w:val="none" w:sz="0" w:space="0" w:color="auto"/>
        <w:left w:val="none" w:sz="0" w:space="0" w:color="auto"/>
        <w:bottom w:val="none" w:sz="0" w:space="0" w:color="auto"/>
        <w:right w:val="none" w:sz="0" w:space="0" w:color="auto"/>
      </w:divBdr>
    </w:div>
    <w:div w:id="420640658">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68389775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230456">
      <w:bodyDiv w:val="1"/>
      <w:marLeft w:val="0"/>
      <w:marRight w:val="0"/>
      <w:marTop w:val="0"/>
      <w:marBottom w:val="0"/>
      <w:divBdr>
        <w:top w:val="none" w:sz="0" w:space="0" w:color="auto"/>
        <w:left w:val="none" w:sz="0" w:space="0" w:color="auto"/>
        <w:bottom w:val="none" w:sz="0" w:space="0" w:color="auto"/>
        <w:right w:val="none" w:sz="0" w:space="0" w:color="auto"/>
      </w:divBdr>
    </w:div>
    <w:div w:id="807162099">
      <w:bodyDiv w:val="1"/>
      <w:marLeft w:val="0"/>
      <w:marRight w:val="0"/>
      <w:marTop w:val="0"/>
      <w:marBottom w:val="0"/>
      <w:divBdr>
        <w:top w:val="none" w:sz="0" w:space="0" w:color="auto"/>
        <w:left w:val="none" w:sz="0" w:space="0" w:color="auto"/>
        <w:bottom w:val="none" w:sz="0" w:space="0" w:color="auto"/>
        <w:right w:val="none" w:sz="0" w:space="0" w:color="auto"/>
      </w:divBdr>
      <w:divsChild>
        <w:div w:id="923565366">
          <w:marLeft w:val="0"/>
          <w:marRight w:val="0"/>
          <w:marTop w:val="0"/>
          <w:marBottom w:val="0"/>
          <w:divBdr>
            <w:top w:val="none" w:sz="0" w:space="0" w:color="auto"/>
            <w:left w:val="none" w:sz="0" w:space="0" w:color="auto"/>
            <w:bottom w:val="none" w:sz="0" w:space="0" w:color="auto"/>
            <w:right w:val="none" w:sz="0" w:space="0" w:color="auto"/>
          </w:divBdr>
          <w:divsChild>
            <w:div w:id="1411659301">
              <w:marLeft w:val="0"/>
              <w:marRight w:val="0"/>
              <w:marTop w:val="0"/>
              <w:marBottom w:val="0"/>
              <w:divBdr>
                <w:top w:val="none" w:sz="0" w:space="0" w:color="auto"/>
                <w:left w:val="none" w:sz="0" w:space="0" w:color="auto"/>
                <w:bottom w:val="none" w:sz="0" w:space="0" w:color="auto"/>
                <w:right w:val="none" w:sz="0" w:space="0" w:color="auto"/>
              </w:divBdr>
              <w:divsChild>
                <w:div w:id="271206167">
                  <w:marLeft w:val="0"/>
                  <w:marRight w:val="0"/>
                  <w:marTop w:val="0"/>
                  <w:marBottom w:val="0"/>
                  <w:divBdr>
                    <w:top w:val="none" w:sz="0" w:space="0" w:color="auto"/>
                    <w:left w:val="none" w:sz="0" w:space="0" w:color="auto"/>
                    <w:bottom w:val="none" w:sz="0" w:space="0" w:color="auto"/>
                    <w:right w:val="none" w:sz="0" w:space="0" w:color="auto"/>
                  </w:divBdr>
                  <w:divsChild>
                    <w:div w:id="180211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764440">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102184562">
      <w:bodyDiv w:val="1"/>
      <w:marLeft w:val="0"/>
      <w:marRight w:val="0"/>
      <w:marTop w:val="0"/>
      <w:marBottom w:val="0"/>
      <w:divBdr>
        <w:top w:val="none" w:sz="0" w:space="0" w:color="auto"/>
        <w:left w:val="none" w:sz="0" w:space="0" w:color="auto"/>
        <w:bottom w:val="none" w:sz="0" w:space="0" w:color="auto"/>
        <w:right w:val="none" w:sz="0" w:space="0" w:color="auto"/>
      </w:divBdr>
    </w:div>
    <w:div w:id="1125083895">
      <w:bodyDiv w:val="1"/>
      <w:marLeft w:val="0"/>
      <w:marRight w:val="0"/>
      <w:marTop w:val="0"/>
      <w:marBottom w:val="0"/>
      <w:divBdr>
        <w:top w:val="none" w:sz="0" w:space="0" w:color="auto"/>
        <w:left w:val="none" w:sz="0" w:space="0" w:color="auto"/>
        <w:bottom w:val="none" w:sz="0" w:space="0" w:color="auto"/>
        <w:right w:val="none" w:sz="0" w:space="0" w:color="auto"/>
      </w:divBdr>
    </w:div>
    <w:div w:id="1125345455">
      <w:bodyDiv w:val="1"/>
      <w:marLeft w:val="0"/>
      <w:marRight w:val="0"/>
      <w:marTop w:val="0"/>
      <w:marBottom w:val="0"/>
      <w:divBdr>
        <w:top w:val="none" w:sz="0" w:space="0" w:color="auto"/>
        <w:left w:val="none" w:sz="0" w:space="0" w:color="auto"/>
        <w:bottom w:val="none" w:sz="0" w:space="0" w:color="auto"/>
        <w:right w:val="none" w:sz="0" w:space="0" w:color="auto"/>
      </w:divBdr>
    </w:div>
    <w:div w:id="1184637267">
      <w:bodyDiv w:val="1"/>
      <w:marLeft w:val="0"/>
      <w:marRight w:val="0"/>
      <w:marTop w:val="0"/>
      <w:marBottom w:val="0"/>
      <w:divBdr>
        <w:top w:val="none" w:sz="0" w:space="0" w:color="auto"/>
        <w:left w:val="none" w:sz="0" w:space="0" w:color="auto"/>
        <w:bottom w:val="none" w:sz="0" w:space="0" w:color="auto"/>
        <w:right w:val="none" w:sz="0" w:space="0" w:color="auto"/>
      </w:divBdr>
      <w:divsChild>
        <w:div w:id="152182284">
          <w:marLeft w:val="0"/>
          <w:marRight w:val="0"/>
          <w:marTop w:val="0"/>
          <w:marBottom w:val="0"/>
          <w:divBdr>
            <w:top w:val="none" w:sz="0" w:space="0" w:color="auto"/>
            <w:left w:val="none" w:sz="0" w:space="0" w:color="auto"/>
            <w:bottom w:val="none" w:sz="0" w:space="0" w:color="auto"/>
            <w:right w:val="none" w:sz="0" w:space="0" w:color="auto"/>
          </w:divBdr>
        </w:div>
      </w:divsChild>
    </w:div>
    <w:div w:id="1197350735">
      <w:bodyDiv w:val="1"/>
      <w:marLeft w:val="0"/>
      <w:marRight w:val="0"/>
      <w:marTop w:val="0"/>
      <w:marBottom w:val="0"/>
      <w:divBdr>
        <w:top w:val="none" w:sz="0" w:space="0" w:color="auto"/>
        <w:left w:val="none" w:sz="0" w:space="0" w:color="auto"/>
        <w:bottom w:val="none" w:sz="0" w:space="0" w:color="auto"/>
        <w:right w:val="none" w:sz="0" w:space="0" w:color="auto"/>
      </w:divBdr>
      <w:divsChild>
        <w:div w:id="1262029159">
          <w:marLeft w:val="0"/>
          <w:marRight w:val="0"/>
          <w:marTop w:val="0"/>
          <w:marBottom w:val="0"/>
          <w:divBdr>
            <w:top w:val="none" w:sz="0" w:space="0" w:color="auto"/>
            <w:left w:val="none" w:sz="0" w:space="0" w:color="auto"/>
            <w:bottom w:val="none" w:sz="0" w:space="0" w:color="auto"/>
            <w:right w:val="none" w:sz="0" w:space="0" w:color="auto"/>
          </w:divBdr>
          <w:divsChild>
            <w:div w:id="1134832648">
              <w:marLeft w:val="0"/>
              <w:marRight w:val="0"/>
              <w:marTop w:val="0"/>
              <w:marBottom w:val="0"/>
              <w:divBdr>
                <w:top w:val="none" w:sz="0" w:space="0" w:color="auto"/>
                <w:left w:val="none" w:sz="0" w:space="0" w:color="auto"/>
                <w:bottom w:val="none" w:sz="0" w:space="0" w:color="auto"/>
                <w:right w:val="none" w:sz="0" w:space="0" w:color="auto"/>
              </w:divBdr>
              <w:divsChild>
                <w:div w:id="389619699">
                  <w:marLeft w:val="0"/>
                  <w:marRight w:val="0"/>
                  <w:marTop w:val="0"/>
                  <w:marBottom w:val="0"/>
                  <w:divBdr>
                    <w:top w:val="none" w:sz="0" w:space="0" w:color="auto"/>
                    <w:left w:val="none" w:sz="0" w:space="0" w:color="auto"/>
                    <w:bottom w:val="none" w:sz="0" w:space="0" w:color="auto"/>
                    <w:right w:val="none" w:sz="0" w:space="0" w:color="auto"/>
                  </w:divBdr>
                </w:div>
              </w:divsChild>
            </w:div>
            <w:div w:id="1204252517">
              <w:marLeft w:val="0"/>
              <w:marRight w:val="0"/>
              <w:marTop w:val="0"/>
              <w:marBottom w:val="0"/>
              <w:divBdr>
                <w:top w:val="none" w:sz="0" w:space="0" w:color="auto"/>
                <w:left w:val="none" w:sz="0" w:space="0" w:color="auto"/>
                <w:bottom w:val="none" w:sz="0" w:space="0" w:color="auto"/>
                <w:right w:val="none" w:sz="0" w:space="0" w:color="auto"/>
              </w:divBdr>
              <w:divsChild>
                <w:div w:id="1211460408">
                  <w:marLeft w:val="0"/>
                  <w:marRight w:val="0"/>
                  <w:marTop w:val="0"/>
                  <w:marBottom w:val="0"/>
                  <w:divBdr>
                    <w:top w:val="none" w:sz="0" w:space="0" w:color="auto"/>
                    <w:left w:val="none" w:sz="0" w:space="0" w:color="auto"/>
                    <w:bottom w:val="none" w:sz="0" w:space="0" w:color="auto"/>
                    <w:right w:val="none" w:sz="0" w:space="0" w:color="auto"/>
                  </w:divBdr>
                </w:div>
                <w:div w:id="1592083466">
                  <w:marLeft w:val="0"/>
                  <w:marRight w:val="0"/>
                  <w:marTop w:val="0"/>
                  <w:marBottom w:val="0"/>
                  <w:divBdr>
                    <w:top w:val="none" w:sz="0" w:space="0" w:color="auto"/>
                    <w:left w:val="none" w:sz="0" w:space="0" w:color="auto"/>
                    <w:bottom w:val="none" w:sz="0" w:space="0" w:color="auto"/>
                    <w:right w:val="none" w:sz="0" w:space="0" w:color="auto"/>
                  </w:divBdr>
                </w:div>
              </w:divsChild>
            </w:div>
            <w:div w:id="1298225690">
              <w:marLeft w:val="0"/>
              <w:marRight w:val="0"/>
              <w:marTop w:val="0"/>
              <w:marBottom w:val="0"/>
              <w:divBdr>
                <w:top w:val="none" w:sz="0" w:space="0" w:color="auto"/>
                <w:left w:val="none" w:sz="0" w:space="0" w:color="auto"/>
                <w:bottom w:val="none" w:sz="0" w:space="0" w:color="auto"/>
                <w:right w:val="none" w:sz="0" w:space="0" w:color="auto"/>
              </w:divBdr>
              <w:divsChild>
                <w:div w:id="80905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17741">
      <w:bodyDiv w:val="1"/>
      <w:marLeft w:val="0"/>
      <w:marRight w:val="0"/>
      <w:marTop w:val="0"/>
      <w:marBottom w:val="0"/>
      <w:divBdr>
        <w:top w:val="none" w:sz="0" w:space="0" w:color="auto"/>
        <w:left w:val="none" w:sz="0" w:space="0" w:color="auto"/>
        <w:bottom w:val="none" w:sz="0" w:space="0" w:color="auto"/>
        <w:right w:val="none" w:sz="0" w:space="0" w:color="auto"/>
      </w:divBdr>
      <w:divsChild>
        <w:div w:id="487743533">
          <w:marLeft w:val="0"/>
          <w:marRight w:val="0"/>
          <w:marTop w:val="0"/>
          <w:marBottom w:val="0"/>
          <w:divBdr>
            <w:top w:val="none" w:sz="0" w:space="0" w:color="auto"/>
            <w:left w:val="none" w:sz="0" w:space="0" w:color="auto"/>
            <w:bottom w:val="none" w:sz="0" w:space="0" w:color="auto"/>
            <w:right w:val="none" w:sz="0" w:space="0" w:color="auto"/>
          </w:divBdr>
          <w:divsChild>
            <w:div w:id="554706687">
              <w:marLeft w:val="0"/>
              <w:marRight w:val="0"/>
              <w:marTop w:val="0"/>
              <w:marBottom w:val="0"/>
              <w:divBdr>
                <w:top w:val="none" w:sz="0" w:space="0" w:color="auto"/>
                <w:left w:val="none" w:sz="0" w:space="0" w:color="auto"/>
                <w:bottom w:val="none" w:sz="0" w:space="0" w:color="auto"/>
                <w:right w:val="none" w:sz="0" w:space="0" w:color="auto"/>
              </w:divBdr>
              <w:divsChild>
                <w:div w:id="13292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6489">
      <w:bodyDiv w:val="1"/>
      <w:marLeft w:val="0"/>
      <w:marRight w:val="0"/>
      <w:marTop w:val="0"/>
      <w:marBottom w:val="0"/>
      <w:divBdr>
        <w:top w:val="none" w:sz="0" w:space="0" w:color="auto"/>
        <w:left w:val="none" w:sz="0" w:space="0" w:color="auto"/>
        <w:bottom w:val="none" w:sz="0" w:space="0" w:color="auto"/>
        <w:right w:val="none" w:sz="0" w:space="0" w:color="auto"/>
      </w:divBdr>
    </w:div>
    <w:div w:id="1377242665">
      <w:bodyDiv w:val="1"/>
      <w:marLeft w:val="0"/>
      <w:marRight w:val="0"/>
      <w:marTop w:val="0"/>
      <w:marBottom w:val="0"/>
      <w:divBdr>
        <w:top w:val="none" w:sz="0" w:space="0" w:color="auto"/>
        <w:left w:val="none" w:sz="0" w:space="0" w:color="auto"/>
        <w:bottom w:val="none" w:sz="0" w:space="0" w:color="auto"/>
        <w:right w:val="none" w:sz="0" w:space="0" w:color="auto"/>
      </w:divBdr>
    </w:div>
    <w:div w:id="1422143015">
      <w:bodyDiv w:val="1"/>
      <w:marLeft w:val="0"/>
      <w:marRight w:val="0"/>
      <w:marTop w:val="0"/>
      <w:marBottom w:val="0"/>
      <w:divBdr>
        <w:top w:val="none" w:sz="0" w:space="0" w:color="auto"/>
        <w:left w:val="none" w:sz="0" w:space="0" w:color="auto"/>
        <w:bottom w:val="none" w:sz="0" w:space="0" w:color="auto"/>
        <w:right w:val="none" w:sz="0" w:space="0" w:color="auto"/>
      </w:divBdr>
    </w:div>
    <w:div w:id="1612593160">
      <w:bodyDiv w:val="1"/>
      <w:marLeft w:val="0"/>
      <w:marRight w:val="0"/>
      <w:marTop w:val="0"/>
      <w:marBottom w:val="0"/>
      <w:divBdr>
        <w:top w:val="none" w:sz="0" w:space="0" w:color="auto"/>
        <w:left w:val="none" w:sz="0" w:space="0" w:color="auto"/>
        <w:bottom w:val="none" w:sz="0" w:space="0" w:color="auto"/>
        <w:right w:val="none" w:sz="0" w:space="0" w:color="auto"/>
      </w:divBdr>
      <w:divsChild>
        <w:div w:id="1283996332">
          <w:marLeft w:val="0"/>
          <w:marRight w:val="0"/>
          <w:marTop w:val="0"/>
          <w:marBottom w:val="0"/>
          <w:divBdr>
            <w:top w:val="none" w:sz="0" w:space="0" w:color="auto"/>
            <w:left w:val="none" w:sz="0" w:space="0" w:color="auto"/>
            <w:bottom w:val="none" w:sz="0" w:space="0" w:color="auto"/>
            <w:right w:val="none" w:sz="0" w:space="0" w:color="auto"/>
          </w:divBdr>
          <w:divsChild>
            <w:div w:id="1874420942">
              <w:marLeft w:val="0"/>
              <w:marRight w:val="0"/>
              <w:marTop w:val="0"/>
              <w:marBottom w:val="0"/>
              <w:divBdr>
                <w:top w:val="none" w:sz="0" w:space="0" w:color="auto"/>
                <w:left w:val="none" w:sz="0" w:space="0" w:color="auto"/>
                <w:bottom w:val="none" w:sz="0" w:space="0" w:color="auto"/>
                <w:right w:val="none" w:sz="0" w:space="0" w:color="auto"/>
              </w:divBdr>
              <w:divsChild>
                <w:div w:id="20980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64597">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3819172">
      <w:bodyDiv w:val="1"/>
      <w:marLeft w:val="0"/>
      <w:marRight w:val="0"/>
      <w:marTop w:val="0"/>
      <w:marBottom w:val="0"/>
      <w:divBdr>
        <w:top w:val="none" w:sz="0" w:space="0" w:color="auto"/>
        <w:left w:val="none" w:sz="0" w:space="0" w:color="auto"/>
        <w:bottom w:val="none" w:sz="0" w:space="0" w:color="auto"/>
        <w:right w:val="none" w:sz="0" w:space="0" w:color="auto"/>
      </w:divBdr>
    </w:div>
    <w:div w:id="1769305152">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1997756779">
      <w:bodyDiv w:val="1"/>
      <w:marLeft w:val="0"/>
      <w:marRight w:val="0"/>
      <w:marTop w:val="0"/>
      <w:marBottom w:val="0"/>
      <w:divBdr>
        <w:top w:val="none" w:sz="0" w:space="0" w:color="auto"/>
        <w:left w:val="none" w:sz="0" w:space="0" w:color="auto"/>
        <w:bottom w:val="none" w:sz="0" w:space="0" w:color="auto"/>
        <w:right w:val="none" w:sz="0" w:space="0" w:color="auto"/>
      </w:divBdr>
    </w:div>
    <w:div w:id="2001883493">
      <w:bodyDiv w:val="1"/>
      <w:marLeft w:val="0"/>
      <w:marRight w:val="0"/>
      <w:marTop w:val="0"/>
      <w:marBottom w:val="0"/>
      <w:divBdr>
        <w:top w:val="none" w:sz="0" w:space="0" w:color="auto"/>
        <w:left w:val="none" w:sz="0" w:space="0" w:color="auto"/>
        <w:bottom w:val="none" w:sz="0" w:space="0" w:color="auto"/>
        <w:right w:val="none" w:sz="0" w:space="0" w:color="auto"/>
      </w:divBdr>
      <w:divsChild>
        <w:div w:id="282617466">
          <w:marLeft w:val="0"/>
          <w:marRight w:val="0"/>
          <w:marTop w:val="0"/>
          <w:marBottom w:val="0"/>
          <w:divBdr>
            <w:top w:val="none" w:sz="0" w:space="0" w:color="auto"/>
            <w:left w:val="none" w:sz="0" w:space="0" w:color="auto"/>
            <w:bottom w:val="none" w:sz="0" w:space="0" w:color="auto"/>
            <w:right w:val="none" w:sz="0" w:space="0" w:color="auto"/>
          </w:divBdr>
          <w:divsChild>
            <w:div w:id="1182861380">
              <w:marLeft w:val="0"/>
              <w:marRight w:val="0"/>
              <w:marTop w:val="0"/>
              <w:marBottom w:val="0"/>
              <w:divBdr>
                <w:top w:val="none" w:sz="0" w:space="0" w:color="auto"/>
                <w:left w:val="none" w:sz="0" w:space="0" w:color="auto"/>
                <w:bottom w:val="none" w:sz="0" w:space="0" w:color="auto"/>
                <w:right w:val="none" w:sz="0" w:space="0" w:color="auto"/>
              </w:divBdr>
              <w:divsChild>
                <w:div w:id="677773730">
                  <w:marLeft w:val="0"/>
                  <w:marRight w:val="0"/>
                  <w:marTop w:val="0"/>
                  <w:marBottom w:val="0"/>
                  <w:divBdr>
                    <w:top w:val="none" w:sz="0" w:space="0" w:color="auto"/>
                    <w:left w:val="none" w:sz="0" w:space="0" w:color="auto"/>
                    <w:bottom w:val="none" w:sz="0" w:space="0" w:color="auto"/>
                    <w:right w:val="none" w:sz="0" w:space="0" w:color="auto"/>
                  </w:divBdr>
                </w:div>
                <w:div w:id="8857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0479CDF-BC11-4712-96EB-3DBEB5231973}"/>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CCEADAF-5D21-6145-87CA-78C3794A9B65}">
  <ds:schemaRefs>
    <ds:schemaRef ds:uri="http://schemas.openxmlformats.org/officeDocument/2006/bibliography"/>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12</TotalTime>
  <Pages>11</Pages>
  <Words>4320</Words>
  <Characters>23763</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26</cp:revision>
  <dcterms:created xsi:type="dcterms:W3CDTF">2021-09-27T15:43:00Z</dcterms:created>
  <dcterms:modified xsi:type="dcterms:W3CDTF">2021-09-27T17:43:00Z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