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B5270" w14:textId="77777777" w:rsidR="00164E23" w:rsidRPr="004C046B" w:rsidRDefault="00164E23" w:rsidP="00164E2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Sistema Integral de Preferencias ‒ Contratación pública inclusiva ‒ Personas con discapacidad</w:t>
      </w:r>
    </w:p>
    <w:p w14:paraId="5DE664F5"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6ABBF5C6" w14:textId="77777777" w:rsidR="00164E23" w:rsidRDefault="00164E23" w:rsidP="00164E23">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R</w:t>
      </w:r>
      <w:r w:rsidRPr="000A5E13">
        <w:rPr>
          <w:rFonts w:ascii="Verdana" w:eastAsia="Calibri" w:hAnsi="Verdana" w:cs="Arial"/>
          <w:sz w:val="20"/>
          <w:szCs w:val="20"/>
          <w:lang w:eastAsia="es-ES"/>
        </w:rPr>
        <w:t xml:space="preserve">especto al alcance del Decreto 0287 de 2026, es necesario indicar que este reglamenta los numerales 1, 7 y 8 del artículo 13 de la Ley 1618 de 2013, acción que fue ordenada por el Consejo de Estado, Sección Quinta de la Sala de lo Contencioso Administrativo, mediante sentencia de acción de cumplimiento del 12 de diciembre de 2024, radicación </w:t>
      </w:r>
      <w:proofErr w:type="spellStart"/>
      <w:r w:rsidRPr="000A5E13">
        <w:rPr>
          <w:rFonts w:ascii="Verdana" w:eastAsia="Calibri" w:hAnsi="Verdana" w:cs="Arial"/>
          <w:sz w:val="20"/>
          <w:szCs w:val="20"/>
          <w:lang w:eastAsia="es-ES"/>
        </w:rPr>
        <w:t>N.°</w:t>
      </w:r>
      <w:proofErr w:type="spellEnd"/>
      <w:r w:rsidRPr="000A5E13">
        <w:rPr>
          <w:rFonts w:ascii="Verdana" w:eastAsia="Calibri" w:hAnsi="Verdana" w:cs="Arial"/>
          <w:sz w:val="20"/>
          <w:szCs w:val="20"/>
          <w:lang w:eastAsia="es-ES"/>
        </w:rPr>
        <w:t xml:space="preserve">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 irradiando la fase de planeación ya que es allí donde la compra debe plantearse con criterios de accesibilidad.</w:t>
      </w:r>
    </w:p>
    <w:p w14:paraId="47D0A6EA" w14:textId="77777777" w:rsidR="00164E23" w:rsidRPr="007B5AD4" w:rsidRDefault="00164E23" w:rsidP="00164E23">
      <w:pPr>
        <w:spacing w:after="0" w:line="240" w:lineRule="auto"/>
        <w:contextualSpacing/>
        <w:jc w:val="both"/>
        <w:rPr>
          <w:rFonts w:ascii="Verdana" w:eastAsia="Calibri" w:hAnsi="Verdana" w:cs="Arial"/>
          <w:sz w:val="20"/>
          <w:szCs w:val="20"/>
          <w:lang w:eastAsia="es-ES"/>
        </w:rPr>
      </w:pPr>
    </w:p>
    <w:p w14:paraId="2AA02DC2" w14:textId="77777777" w:rsidR="00164E23" w:rsidRPr="004C046B" w:rsidRDefault="00164E23" w:rsidP="00164E2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Antecedentes normativos ‒ Decreto 392 de 2018 ‒ Omisiones reglamentarias ‒ Sentencia de acción de cumplimiento</w:t>
      </w:r>
    </w:p>
    <w:p w14:paraId="5E0841A5" w14:textId="77777777" w:rsidR="00164E23" w:rsidRPr="007B5AD4" w:rsidRDefault="00164E23" w:rsidP="00164E23">
      <w:pPr>
        <w:spacing w:after="0" w:line="240" w:lineRule="auto"/>
        <w:contextualSpacing/>
        <w:jc w:val="both"/>
        <w:rPr>
          <w:rFonts w:ascii="Verdana" w:eastAsia="Calibri" w:hAnsi="Verdana" w:cs="Arial"/>
          <w:b/>
          <w:bCs/>
          <w:sz w:val="20"/>
          <w:szCs w:val="20"/>
          <w:lang w:eastAsia="es-ES"/>
        </w:rPr>
      </w:pPr>
    </w:p>
    <w:p w14:paraId="7DCB2C6E" w14:textId="77777777" w:rsidR="00164E23" w:rsidRDefault="00164E23" w:rsidP="00164E23">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La insuficiencia del Decreto 392 de 2018 fue constatada judicialmente. La Sección Quinta del Consejo de Estado, mediante sentencia de acción de cumplimiento del 12 de diciembre de 2024, radicación </w:t>
      </w:r>
      <w:proofErr w:type="spellStart"/>
      <w:r w:rsidRPr="007C6F9B">
        <w:rPr>
          <w:rFonts w:ascii="Verdana" w:eastAsia="Calibri" w:hAnsi="Verdana" w:cs="Arial"/>
          <w:sz w:val="20"/>
          <w:szCs w:val="20"/>
          <w:lang w:eastAsia="es-ES"/>
        </w:rPr>
        <w:t>n.°</w:t>
      </w:r>
      <w:proofErr w:type="spellEnd"/>
      <w:r w:rsidRPr="007C6F9B">
        <w:rPr>
          <w:rFonts w:ascii="Verdana" w:eastAsia="Calibri" w:hAnsi="Verdana" w:cs="Arial"/>
          <w:sz w:val="20"/>
          <w:szCs w:val="20"/>
          <w:lang w:eastAsia="es-ES"/>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767481D3"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6EA5843E" w14:textId="77777777" w:rsidR="00164E23" w:rsidRPr="004C046B" w:rsidRDefault="00164E23" w:rsidP="00164E2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5ECF43D2" w14:textId="77777777" w:rsidR="00164E23" w:rsidRPr="007B5AD4" w:rsidRDefault="00164E23" w:rsidP="00164E23">
      <w:pPr>
        <w:spacing w:after="0" w:line="240" w:lineRule="auto"/>
        <w:contextualSpacing/>
        <w:jc w:val="both"/>
        <w:rPr>
          <w:rFonts w:ascii="Verdana" w:eastAsia="Calibri" w:hAnsi="Verdana" w:cs="Arial"/>
          <w:b/>
          <w:bCs/>
          <w:sz w:val="20"/>
          <w:szCs w:val="20"/>
          <w:lang w:eastAsia="es-ES"/>
        </w:rPr>
      </w:pPr>
    </w:p>
    <w:p w14:paraId="5069AE86" w14:textId="77777777" w:rsidR="00164E23" w:rsidRPr="00206556" w:rsidRDefault="00164E23" w:rsidP="00164E23">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sistema beneficia a dos sujetos diferenciados cuyas medidas no son idénticas ni intercambiables. El primer sujeto son los emprendimientos y empresas de PcD, definidos en el artículo 2.2.1.2.4.2.6. del Decreto 1082 de 2015 (modificado) según cuatro categorías: personas naturales con discapacidad que ejerzan una profesión liberal; </w:t>
      </w:r>
      <w:r w:rsidRPr="007C6F9B">
        <w:rPr>
          <w:rFonts w:ascii="Verdana" w:eastAsia="Calibri" w:hAnsi="Verdana" w:cs="Arial"/>
          <w:sz w:val="20"/>
          <w:szCs w:val="20"/>
          <w:lang w:eastAsia="es-ES"/>
        </w:rPr>
        <w:lastRenderedPageBreak/>
        <w:t>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El segundo sujeto son los empleadores de PcD, esto es, cualquier empresa que tenga en su planta de personal trabajadores con discapacidad contratados laboralmente con dedicación exclusiva, superando los mínimos que exige la Ley 2466 de 2025 (Reforma Laboral).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r w:rsidRPr="007B5AD4">
        <w:rPr>
          <w:rFonts w:ascii="Verdana" w:eastAsia="Calibri" w:hAnsi="Verdana" w:cs="Arial"/>
          <w:sz w:val="20"/>
          <w:szCs w:val="20"/>
          <w:lang w:eastAsia="es-ES"/>
        </w:rPr>
        <w:t>.</w:t>
      </w:r>
    </w:p>
    <w:p w14:paraId="01591F5A" w14:textId="77777777" w:rsidR="00164E23" w:rsidRPr="007B5AD4" w:rsidRDefault="00164E23" w:rsidP="00164E23">
      <w:pPr>
        <w:spacing w:after="0" w:line="240" w:lineRule="auto"/>
        <w:contextualSpacing/>
        <w:jc w:val="both"/>
        <w:rPr>
          <w:rFonts w:ascii="Verdana" w:eastAsia="Calibri" w:hAnsi="Verdana" w:cs="Arial"/>
          <w:sz w:val="20"/>
          <w:szCs w:val="20"/>
          <w:lang w:eastAsia="es-ES"/>
        </w:rPr>
      </w:pPr>
    </w:p>
    <w:p w14:paraId="0F9FB0F0" w14:textId="146BC1EC" w:rsidR="00164E23" w:rsidRPr="0072655D" w:rsidRDefault="00164E23" w:rsidP="00164E23">
      <w:pPr>
        <w:spacing w:after="0" w:line="240" w:lineRule="auto"/>
        <w:contextualSpacing/>
        <w:jc w:val="both"/>
        <w:rPr>
          <w:rFonts w:ascii="Verdana" w:eastAsia="Calibri" w:hAnsi="Verdana" w:cs="Arial"/>
          <w:b/>
          <w:bCs/>
          <w:lang w:eastAsia="es-ES"/>
        </w:rPr>
      </w:pPr>
      <w:r w:rsidRPr="0072655D">
        <w:rPr>
          <w:rFonts w:ascii="Verdana" w:eastAsia="Calibri" w:hAnsi="Verdana" w:cs="Arial"/>
          <w:b/>
          <w:bCs/>
          <w:lang w:eastAsia="es-ES"/>
        </w:rPr>
        <w:t xml:space="preserve">DECRETO 0287 DE 2026 ‒ </w:t>
      </w:r>
      <w:r w:rsidR="00A760BB" w:rsidRPr="0072655D">
        <w:rPr>
          <w:rFonts w:ascii="Verdana" w:eastAsia="Calibri" w:hAnsi="Verdana" w:cs="Arial"/>
          <w:b/>
          <w:bCs/>
          <w:lang w:eastAsia="es-ES"/>
        </w:rPr>
        <w:t>Sistema de preferencias</w:t>
      </w:r>
      <w:r w:rsidRPr="0072655D">
        <w:rPr>
          <w:rFonts w:ascii="Verdana" w:eastAsia="Calibri" w:hAnsi="Verdana" w:cs="Arial"/>
          <w:b/>
          <w:bCs/>
          <w:lang w:eastAsia="es-ES"/>
        </w:rPr>
        <w:t xml:space="preserve"> ‒ </w:t>
      </w:r>
      <w:r w:rsidR="00A760BB" w:rsidRPr="0072655D">
        <w:rPr>
          <w:rFonts w:ascii="Verdana" w:eastAsia="Calibri" w:hAnsi="Verdana" w:cs="Arial"/>
          <w:b/>
          <w:bCs/>
          <w:lang w:eastAsia="es-ES"/>
        </w:rPr>
        <w:t>Medidas</w:t>
      </w:r>
      <w:r w:rsidRPr="0072655D">
        <w:rPr>
          <w:rFonts w:ascii="Verdana" w:eastAsia="Calibri" w:hAnsi="Verdana" w:cs="Arial"/>
          <w:b/>
          <w:bCs/>
          <w:lang w:eastAsia="es-ES"/>
        </w:rPr>
        <w:t xml:space="preserve"> ‒ </w:t>
      </w:r>
      <w:r w:rsidR="00A760BB" w:rsidRPr="0072655D">
        <w:rPr>
          <w:rFonts w:ascii="Verdana" w:eastAsia="Calibri" w:hAnsi="Verdana" w:cs="Arial"/>
          <w:b/>
          <w:bCs/>
          <w:lang w:eastAsia="es-ES"/>
        </w:rPr>
        <w:t>Selección abreviada</w:t>
      </w:r>
      <w:r w:rsidRPr="0072655D">
        <w:rPr>
          <w:rFonts w:ascii="Verdana" w:eastAsia="Calibri" w:hAnsi="Verdana" w:cs="Arial"/>
          <w:b/>
          <w:bCs/>
          <w:lang w:eastAsia="es-ES"/>
        </w:rPr>
        <w:t xml:space="preserve"> ‒ </w:t>
      </w:r>
      <w:r w:rsidR="00A760BB" w:rsidRPr="0072655D">
        <w:rPr>
          <w:rFonts w:ascii="Verdana" w:eastAsia="Calibri" w:hAnsi="Verdana" w:cs="Arial"/>
          <w:b/>
          <w:bCs/>
          <w:lang w:eastAsia="es-ES"/>
        </w:rPr>
        <w:t>Aplicación</w:t>
      </w:r>
    </w:p>
    <w:p w14:paraId="7C53AD78" w14:textId="77777777" w:rsidR="00164E23" w:rsidRPr="002E47C3" w:rsidRDefault="00164E23" w:rsidP="00164E23">
      <w:pPr>
        <w:spacing w:after="0" w:line="240" w:lineRule="auto"/>
        <w:contextualSpacing/>
        <w:jc w:val="both"/>
        <w:rPr>
          <w:rFonts w:ascii="Verdana" w:eastAsia="Calibri" w:hAnsi="Verdana" w:cs="Arial"/>
          <w:b/>
          <w:bCs/>
          <w:sz w:val="20"/>
          <w:szCs w:val="20"/>
          <w:highlight w:val="yellow"/>
          <w:lang w:eastAsia="es-ES"/>
        </w:rPr>
      </w:pPr>
    </w:p>
    <w:p w14:paraId="028850FC" w14:textId="112BE748" w:rsidR="00164E23" w:rsidRDefault="00A760BB" w:rsidP="00164E23">
      <w:pPr>
        <w:spacing w:after="0" w:line="240" w:lineRule="auto"/>
        <w:contextualSpacing/>
        <w:jc w:val="both"/>
        <w:rPr>
          <w:rFonts w:ascii="Verdana" w:eastAsia="Calibri" w:hAnsi="Verdana" w:cs="Arial"/>
          <w:sz w:val="20"/>
          <w:szCs w:val="20"/>
          <w:lang w:eastAsia="es-ES"/>
        </w:rPr>
      </w:pPr>
      <w:r w:rsidRPr="00A760BB">
        <w:rPr>
          <w:rFonts w:ascii="Verdana" w:eastAsia="Calibri" w:hAnsi="Verdana" w:cs="Arial"/>
          <w:sz w:val="20"/>
          <w:szCs w:val="20"/>
          <w:lang w:eastAsia="es-ES"/>
        </w:rPr>
        <w:t xml:space="preserve">La aplicación del Decreto 287 de 2026 en los procesos de contratación que se adelantan mediante la modalidad de selección abreviada depende de la medida del sistema de preferencias que se establece en la nueva norma, es decir, las cinco (5) medidas antes mencionadas, ya que en la selección abreviada son aplicables tres (3): i) herramientas de planeación, </w:t>
      </w:r>
      <w:proofErr w:type="spellStart"/>
      <w:r w:rsidRPr="00A760BB">
        <w:rPr>
          <w:rFonts w:ascii="Verdana" w:eastAsia="Calibri" w:hAnsi="Verdana" w:cs="Arial"/>
          <w:sz w:val="20"/>
          <w:szCs w:val="20"/>
          <w:lang w:eastAsia="es-ES"/>
        </w:rPr>
        <w:t>ii</w:t>
      </w:r>
      <w:proofErr w:type="spellEnd"/>
      <w:r w:rsidRPr="00A760BB">
        <w:rPr>
          <w:rFonts w:ascii="Verdana" w:eastAsia="Calibri" w:hAnsi="Verdana" w:cs="Arial"/>
          <w:sz w:val="20"/>
          <w:szCs w:val="20"/>
          <w:lang w:eastAsia="es-ES"/>
        </w:rPr>
        <w:t xml:space="preserve">) criterios habilitantes diferenciales y </w:t>
      </w:r>
      <w:proofErr w:type="spellStart"/>
      <w:r w:rsidRPr="00A760BB">
        <w:rPr>
          <w:rFonts w:ascii="Verdana" w:eastAsia="Calibri" w:hAnsi="Verdana" w:cs="Arial"/>
          <w:sz w:val="20"/>
          <w:szCs w:val="20"/>
          <w:lang w:eastAsia="es-ES"/>
        </w:rPr>
        <w:t>iii</w:t>
      </w:r>
      <w:proofErr w:type="spellEnd"/>
      <w:r w:rsidRPr="00A760BB">
        <w:rPr>
          <w:rFonts w:ascii="Verdana" w:eastAsia="Calibri" w:hAnsi="Verdana" w:cs="Arial"/>
          <w:sz w:val="20"/>
          <w:szCs w:val="20"/>
          <w:lang w:eastAsia="es-ES"/>
        </w:rPr>
        <w:t>) condiciones especiales de ejecución, es decir, que las medidas que no aplican a la selección abreviada son el puntaje adicional, debido a que la Ley 1618 de 2013 mencionó que las modalidades son únicamente licitación pública y concurso de méritos; y tampoco es aplicable los contratos de prestación de servicios con personas con discapacidad ya que la modalidad de estos es la contratación directa.</w:t>
      </w:r>
    </w:p>
    <w:p w14:paraId="6C047F2D"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109FB8D0" w14:textId="77777777" w:rsidR="00A760BB" w:rsidRPr="00AB4696" w:rsidRDefault="00A760BB" w:rsidP="00A760BB">
      <w:pPr>
        <w:spacing w:after="0" w:line="240" w:lineRule="auto"/>
        <w:contextualSpacing/>
        <w:jc w:val="both"/>
        <w:rPr>
          <w:rFonts w:ascii="Verdana" w:eastAsia="Calibri" w:hAnsi="Verdana" w:cs="Arial"/>
          <w:b/>
          <w:bCs/>
          <w:lang w:eastAsia="es-ES"/>
        </w:rPr>
      </w:pPr>
      <w:r w:rsidRPr="00AB4696">
        <w:rPr>
          <w:rFonts w:ascii="Verdana" w:eastAsia="Calibri" w:hAnsi="Verdana" w:cs="Arial"/>
          <w:b/>
          <w:bCs/>
          <w:lang w:eastAsia="es-ES"/>
        </w:rPr>
        <w:t>DECRETO 0287 DE 2026 ‒ Sistema de preferencias ‒ Medidas ‒ Selección abreviada ‒ Aplicación</w:t>
      </w:r>
    </w:p>
    <w:p w14:paraId="5A81C8CC" w14:textId="77777777" w:rsidR="00A760BB" w:rsidRPr="002E47C3" w:rsidRDefault="00A760BB" w:rsidP="00A760BB">
      <w:pPr>
        <w:spacing w:after="0" w:line="240" w:lineRule="auto"/>
        <w:contextualSpacing/>
        <w:jc w:val="both"/>
        <w:rPr>
          <w:rFonts w:ascii="Verdana" w:eastAsia="Calibri" w:hAnsi="Verdana" w:cs="Arial"/>
          <w:b/>
          <w:bCs/>
          <w:sz w:val="20"/>
          <w:szCs w:val="20"/>
          <w:highlight w:val="yellow"/>
          <w:lang w:eastAsia="es-ES"/>
        </w:rPr>
      </w:pPr>
    </w:p>
    <w:p w14:paraId="40010DA8" w14:textId="77777777" w:rsidR="00A760BB" w:rsidRDefault="00A760BB" w:rsidP="00A760BB">
      <w:pPr>
        <w:spacing w:after="0" w:line="240" w:lineRule="auto"/>
        <w:contextualSpacing/>
        <w:jc w:val="both"/>
        <w:rPr>
          <w:rFonts w:ascii="Verdana" w:eastAsia="Calibri" w:hAnsi="Verdana" w:cs="Arial"/>
          <w:sz w:val="20"/>
          <w:szCs w:val="20"/>
          <w:lang w:eastAsia="es-ES"/>
        </w:rPr>
      </w:pPr>
      <w:r w:rsidRPr="00A760BB">
        <w:rPr>
          <w:rFonts w:ascii="Verdana" w:eastAsia="Calibri" w:hAnsi="Verdana" w:cs="Arial"/>
          <w:sz w:val="20"/>
          <w:szCs w:val="20"/>
          <w:lang w:eastAsia="es-ES"/>
        </w:rPr>
        <w:t xml:space="preserve">La aplicación del Decreto 287 de 2026 en los procesos de contratación que se adelantan mediante la modalidad de selección abreviada depende de la medida del sistema de preferencias que se establece en la nueva norma, es decir, las cinco (5) medidas antes mencionadas, ya que en la selección abreviada son aplicables tres (3): i) herramientas de planeación, </w:t>
      </w:r>
      <w:proofErr w:type="spellStart"/>
      <w:r w:rsidRPr="00A760BB">
        <w:rPr>
          <w:rFonts w:ascii="Verdana" w:eastAsia="Calibri" w:hAnsi="Verdana" w:cs="Arial"/>
          <w:sz w:val="20"/>
          <w:szCs w:val="20"/>
          <w:lang w:eastAsia="es-ES"/>
        </w:rPr>
        <w:t>ii</w:t>
      </w:r>
      <w:proofErr w:type="spellEnd"/>
      <w:r w:rsidRPr="00A760BB">
        <w:rPr>
          <w:rFonts w:ascii="Verdana" w:eastAsia="Calibri" w:hAnsi="Verdana" w:cs="Arial"/>
          <w:sz w:val="20"/>
          <w:szCs w:val="20"/>
          <w:lang w:eastAsia="es-ES"/>
        </w:rPr>
        <w:t xml:space="preserve">) criterios habilitantes diferenciales y </w:t>
      </w:r>
      <w:proofErr w:type="spellStart"/>
      <w:r w:rsidRPr="00A760BB">
        <w:rPr>
          <w:rFonts w:ascii="Verdana" w:eastAsia="Calibri" w:hAnsi="Verdana" w:cs="Arial"/>
          <w:sz w:val="20"/>
          <w:szCs w:val="20"/>
          <w:lang w:eastAsia="es-ES"/>
        </w:rPr>
        <w:t>iii</w:t>
      </w:r>
      <w:proofErr w:type="spellEnd"/>
      <w:r w:rsidRPr="00A760BB">
        <w:rPr>
          <w:rFonts w:ascii="Verdana" w:eastAsia="Calibri" w:hAnsi="Verdana" w:cs="Arial"/>
          <w:sz w:val="20"/>
          <w:szCs w:val="20"/>
          <w:lang w:eastAsia="es-ES"/>
        </w:rPr>
        <w:t>) condiciones especiales de ejecución, es decir, que las medidas que no aplican a la selección abreviada son el puntaje adicional, debido a que la Ley 1618 de 2013 mencionó que las modalidades son únicamente licitación pública y concurso de méritos; y tampoco es aplicable los contratos de prestación de servicios con personas con discapacidad ya que la modalidad de estos es la contratación directa.</w:t>
      </w:r>
    </w:p>
    <w:p w14:paraId="038FE274"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28D70453" w14:textId="77777777" w:rsidR="00AB4696" w:rsidRPr="004C046B" w:rsidRDefault="00AB4696" w:rsidP="00AB4696">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 xml:space="preserve">DECRETO 0287 DE 2026 ‒ </w:t>
      </w:r>
      <w:r>
        <w:rPr>
          <w:rFonts w:ascii="Verdana" w:eastAsia="Calibri" w:hAnsi="Verdana" w:cs="Arial"/>
          <w:b/>
          <w:bCs/>
          <w:lang w:eastAsia="es-ES"/>
        </w:rPr>
        <w:t>Entidades de r</w:t>
      </w:r>
      <w:r w:rsidRPr="004C046B">
        <w:rPr>
          <w:rFonts w:ascii="Verdana" w:eastAsia="Calibri" w:hAnsi="Verdana" w:cs="Arial"/>
          <w:b/>
          <w:bCs/>
          <w:lang w:eastAsia="es-ES"/>
        </w:rPr>
        <w:t>égimen especial ‒ Aplicación</w:t>
      </w:r>
    </w:p>
    <w:p w14:paraId="5BCDA6B0" w14:textId="77777777" w:rsidR="00AB4696" w:rsidRPr="00206556" w:rsidRDefault="00AB4696" w:rsidP="00AB4696">
      <w:pPr>
        <w:spacing w:after="0" w:line="240" w:lineRule="auto"/>
        <w:contextualSpacing/>
        <w:jc w:val="both"/>
        <w:rPr>
          <w:rFonts w:ascii="Verdana" w:eastAsia="Calibri" w:hAnsi="Verdana" w:cs="Arial"/>
          <w:sz w:val="20"/>
          <w:szCs w:val="20"/>
          <w:lang w:eastAsia="es-ES"/>
        </w:rPr>
      </w:pPr>
    </w:p>
    <w:p w14:paraId="7B80932A" w14:textId="77777777" w:rsidR="00AB4696" w:rsidRDefault="00AB4696" w:rsidP="00AB4696">
      <w:pPr>
        <w:spacing w:after="0" w:line="240" w:lineRule="auto"/>
        <w:contextualSpacing/>
        <w:jc w:val="both"/>
        <w:rPr>
          <w:rFonts w:ascii="Verdana" w:eastAsia="Calibri" w:hAnsi="Verdana" w:cs="Arial"/>
          <w:sz w:val="20"/>
          <w:szCs w:val="20"/>
          <w:lang w:eastAsia="es-ES"/>
        </w:rPr>
      </w:pPr>
      <w:r w:rsidRPr="00E910FB">
        <w:rPr>
          <w:rFonts w:ascii="Verdana" w:eastAsia="Calibri" w:hAnsi="Verdana" w:cs="Arial"/>
          <w:sz w:val="20"/>
          <w:szCs w:val="20"/>
          <w:lang w:eastAsia="es-ES"/>
        </w:rPr>
        <w:t xml:space="preserve">En cuanto a la aplicación de las medidas afirmativas en entidades con régimen especial de contratación, el decreto diferencia el alcance de las medidas según el régimen contractual de la entidad. Las medidas que aplican a ambos regímenes —Estatuto </w:t>
      </w:r>
      <w:r w:rsidRPr="00E910FB">
        <w:rPr>
          <w:rFonts w:ascii="Verdana" w:eastAsia="Calibri" w:hAnsi="Verdana" w:cs="Arial"/>
          <w:sz w:val="20"/>
          <w:szCs w:val="20"/>
          <w:lang w:eastAsia="es-ES"/>
        </w:rPr>
        <w:lastRenderedPageBreak/>
        <w:t>General de Contratación Pública y régimen especial— son los criterios habilitantes diferenciales y las compras públicas accesibles. Las medidas que aplican exclusivamente a entidades regidas por el Estatuto General de Contratación Pública son las herramientas de planeación, el puntaje adicional del 2%, las condiciones especiales de ejecución y los contratos de prestación de servicios con PcD. En consecuencia, una entidad con régimen especial que adelante procesos competitivos está obligada a establecer criterios habilitantes diferenciales y a garantizar compras públicas accesibles, pero no está obligada a otorgar el puntaje adicional del 2% ni a incluir condiciones especiales de ejecución, pues estas últimas medidas están previstas exclusivamente para el Estatuto General de Contratación Pública.</w:t>
      </w:r>
    </w:p>
    <w:p w14:paraId="050B981B" w14:textId="77777777" w:rsidR="00AB4696" w:rsidRDefault="00AB4696" w:rsidP="00164E23">
      <w:pPr>
        <w:spacing w:after="0" w:line="240" w:lineRule="auto"/>
        <w:contextualSpacing/>
        <w:jc w:val="both"/>
        <w:rPr>
          <w:rFonts w:ascii="Verdana" w:eastAsia="Calibri" w:hAnsi="Verdana" w:cs="Arial"/>
          <w:sz w:val="20"/>
          <w:szCs w:val="20"/>
          <w:lang w:eastAsia="es-ES"/>
        </w:rPr>
      </w:pPr>
    </w:p>
    <w:p w14:paraId="41EF2E6B"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0FD49425"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6943F7AD"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6F819670"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59754AC9"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03C2E3DB"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66ABEC13"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6C8C727C"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6310FA3A"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1D5C7497"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7EF17F72"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11B33A45"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23CF144D"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6EBC6DF9" w14:textId="77777777" w:rsidR="00AB4696" w:rsidRDefault="00AB4696" w:rsidP="00164E23">
      <w:pPr>
        <w:spacing w:after="0"/>
        <w:rPr>
          <w:rFonts w:ascii="Verdana" w:hAnsi="Verdana"/>
        </w:rPr>
      </w:pPr>
    </w:p>
    <w:p w14:paraId="51457D5B" w14:textId="77777777" w:rsidR="00AB4696" w:rsidRDefault="00AB4696" w:rsidP="00164E23">
      <w:pPr>
        <w:spacing w:after="0"/>
        <w:rPr>
          <w:rFonts w:ascii="Verdana" w:hAnsi="Verdana"/>
        </w:rPr>
      </w:pPr>
    </w:p>
    <w:p w14:paraId="40622D7F" w14:textId="77777777" w:rsidR="00AB4696" w:rsidRDefault="00AB4696" w:rsidP="00164E23">
      <w:pPr>
        <w:spacing w:after="0"/>
        <w:rPr>
          <w:rFonts w:ascii="Verdana" w:hAnsi="Verdana"/>
        </w:rPr>
      </w:pPr>
    </w:p>
    <w:p w14:paraId="4C759AC0" w14:textId="77777777" w:rsidR="00AB4696" w:rsidRDefault="00AB4696" w:rsidP="00164E23">
      <w:pPr>
        <w:spacing w:after="0"/>
        <w:rPr>
          <w:rFonts w:ascii="Verdana" w:hAnsi="Verdana"/>
        </w:rPr>
      </w:pPr>
    </w:p>
    <w:p w14:paraId="690F1213" w14:textId="77777777" w:rsidR="00AB4696" w:rsidRDefault="00AB4696" w:rsidP="00164E23">
      <w:pPr>
        <w:spacing w:after="0"/>
        <w:rPr>
          <w:rFonts w:ascii="Verdana" w:hAnsi="Verdana"/>
        </w:rPr>
      </w:pPr>
    </w:p>
    <w:p w14:paraId="5419A0A3" w14:textId="77777777" w:rsidR="00AB4696" w:rsidRDefault="00AB4696" w:rsidP="00164E23">
      <w:pPr>
        <w:spacing w:after="0"/>
        <w:rPr>
          <w:rFonts w:ascii="Verdana" w:hAnsi="Verdana"/>
        </w:rPr>
      </w:pPr>
    </w:p>
    <w:p w14:paraId="53E0E712" w14:textId="77777777" w:rsidR="00AB4696" w:rsidRDefault="00AB4696" w:rsidP="00164E23">
      <w:pPr>
        <w:spacing w:after="0"/>
        <w:rPr>
          <w:rFonts w:ascii="Verdana" w:hAnsi="Verdana"/>
        </w:rPr>
      </w:pPr>
    </w:p>
    <w:p w14:paraId="7DD1D419" w14:textId="77777777" w:rsidR="00AB4696" w:rsidRDefault="00AB4696" w:rsidP="00164E23">
      <w:pPr>
        <w:spacing w:after="0"/>
        <w:rPr>
          <w:rFonts w:ascii="Verdana" w:hAnsi="Verdana"/>
        </w:rPr>
      </w:pPr>
    </w:p>
    <w:p w14:paraId="48D3BB68" w14:textId="77777777" w:rsidR="00AB4696" w:rsidRDefault="00AB4696" w:rsidP="00164E23">
      <w:pPr>
        <w:spacing w:after="0"/>
        <w:rPr>
          <w:rFonts w:ascii="Verdana" w:hAnsi="Verdana"/>
        </w:rPr>
      </w:pPr>
    </w:p>
    <w:p w14:paraId="344DA842" w14:textId="77777777" w:rsidR="00AB4696" w:rsidRDefault="00AB4696" w:rsidP="00164E23">
      <w:pPr>
        <w:spacing w:after="0"/>
        <w:rPr>
          <w:rFonts w:ascii="Verdana" w:hAnsi="Verdana"/>
        </w:rPr>
      </w:pPr>
    </w:p>
    <w:p w14:paraId="0F30439A" w14:textId="77777777" w:rsidR="00AB4696" w:rsidRDefault="00AB4696" w:rsidP="00164E23">
      <w:pPr>
        <w:spacing w:after="0"/>
        <w:rPr>
          <w:rFonts w:ascii="Verdana" w:hAnsi="Verdana"/>
        </w:rPr>
      </w:pPr>
    </w:p>
    <w:p w14:paraId="54970929" w14:textId="77777777" w:rsidR="00AB4696" w:rsidRDefault="00AB4696" w:rsidP="00164E23">
      <w:pPr>
        <w:spacing w:after="0"/>
        <w:rPr>
          <w:rFonts w:ascii="Verdana" w:hAnsi="Verdana"/>
        </w:rPr>
      </w:pPr>
    </w:p>
    <w:p w14:paraId="679C4258" w14:textId="77777777" w:rsidR="00AB4696" w:rsidRDefault="00AB4696" w:rsidP="00164E23">
      <w:pPr>
        <w:spacing w:after="0"/>
        <w:rPr>
          <w:rFonts w:ascii="Verdana" w:hAnsi="Verdana"/>
        </w:rPr>
      </w:pPr>
    </w:p>
    <w:p w14:paraId="485D8B78" w14:textId="77777777" w:rsidR="00AB4696" w:rsidRDefault="00AB4696" w:rsidP="00164E23">
      <w:pPr>
        <w:spacing w:after="0"/>
        <w:rPr>
          <w:rFonts w:ascii="Verdana" w:hAnsi="Verdana"/>
        </w:rPr>
      </w:pPr>
    </w:p>
    <w:p w14:paraId="21615C95" w14:textId="77777777" w:rsidR="00AB4696" w:rsidRDefault="00AB4696" w:rsidP="00164E23">
      <w:pPr>
        <w:spacing w:after="0"/>
        <w:rPr>
          <w:rFonts w:ascii="Verdana" w:hAnsi="Verdana"/>
        </w:rPr>
      </w:pPr>
    </w:p>
    <w:p w14:paraId="658104C1" w14:textId="77777777" w:rsidR="00AB4696" w:rsidRDefault="00AB4696" w:rsidP="00164E23">
      <w:pPr>
        <w:spacing w:after="0"/>
        <w:rPr>
          <w:rFonts w:ascii="Verdana" w:hAnsi="Verdana"/>
        </w:rPr>
      </w:pPr>
    </w:p>
    <w:p w14:paraId="1BD90BEF" w14:textId="77777777" w:rsidR="00AB4696" w:rsidRDefault="00AB4696" w:rsidP="00164E23">
      <w:pPr>
        <w:spacing w:after="0"/>
        <w:rPr>
          <w:rFonts w:ascii="Verdana" w:hAnsi="Verdana"/>
        </w:rPr>
      </w:pPr>
    </w:p>
    <w:p w14:paraId="01EC8F37" w14:textId="77777777" w:rsidR="00AB4696" w:rsidRDefault="00AB4696" w:rsidP="00164E23">
      <w:pPr>
        <w:spacing w:after="0"/>
        <w:rPr>
          <w:rFonts w:ascii="Verdana" w:hAnsi="Verdana"/>
        </w:rPr>
      </w:pPr>
    </w:p>
    <w:p w14:paraId="3EF490AF" w14:textId="4DC74091" w:rsidR="004D75D8" w:rsidRDefault="00AF2DB4" w:rsidP="00164E23">
      <w:pPr>
        <w:spacing w:after="0"/>
        <w:rPr>
          <w:rFonts w:ascii="Verdana" w:hAnsi="Verdana"/>
        </w:rPr>
      </w:pPr>
      <w:r w:rsidRPr="00AF2DB4">
        <w:rPr>
          <w:rFonts w:ascii="Verdana" w:hAnsi="Verdana"/>
        </w:rPr>
        <w:lastRenderedPageBreak/>
        <w:t xml:space="preserve">Bogotá D.C., </w:t>
      </w:r>
      <w:r w:rsidR="0088322E">
        <w:rPr>
          <w:rFonts w:ascii="Verdana" w:hAnsi="Verdana"/>
        </w:rPr>
        <w:t>27 de mayo de 2026</w:t>
      </w:r>
    </w:p>
    <w:p w14:paraId="032BCB35" w14:textId="77777777" w:rsidR="0088322E" w:rsidRDefault="0088322E" w:rsidP="00164E23">
      <w:pPr>
        <w:spacing w:after="0"/>
        <w:rPr>
          <w:rFonts w:ascii="Verdana" w:hAnsi="Verdana"/>
        </w:rPr>
      </w:pPr>
    </w:p>
    <w:p w14:paraId="4ACE7CC3" w14:textId="13886BEC" w:rsidR="0088322E" w:rsidRDefault="0088322E" w:rsidP="0088322E">
      <w:pPr>
        <w:spacing w:after="0"/>
        <w:jc w:val="right"/>
        <w:rPr>
          <w:rFonts w:ascii="Verdana" w:hAnsi="Verdana"/>
          <w:lang w:val="es-ES"/>
        </w:rPr>
      </w:pPr>
      <w:r w:rsidRPr="0088322E">
        <w:rPr>
          <w:rFonts w:ascii="Verdana" w:hAnsi="Verdana"/>
          <w:lang w:val="es-ES"/>
        </w:rPr>
        <w:drawing>
          <wp:inline distT="0" distB="0" distL="0" distR="0" wp14:anchorId="73A0EAE3" wp14:editId="7F600278">
            <wp:extent cx="3677163" cy="1019317"/>
            <wp:effectExtent l="0" t="0" r="0" b="9525"/>
            <wp:docPr id="13180983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098348" name=""/>
                    <pic:cNvPicPr/>
                  </pic:nvPicPr>
                  <pic:blipFill>
                    <a:blip r:embed="rId10"/>
                    <a:stretch>
                      <a:fillRect/>
                    </a:stretch>
                  </pic:blipFill>
                  <pic:spPr>
                    <a:xfrm>
                      <a:off x="0" y="0"/>
                      <a:ext cx="3677163" cy="1019317"/>
                    </a:xfrm>
                    <a:prstGeom prst="rect">
                      <a:avLst/>
                    </a:prstGeom>
                  </pic:spPr>
                </pic:pic>
              </a:graphicData>
            </a:graphic>
          </wp:inline>
        </w:drawing>
      </w:r>
    </w:p>
    <w:p w14:paraId="2EC989F6" w14:textId="60AD36C7" w:rsidR="004D75D8" w:rsidRPr="00E1440E" w:rsidRDefault="004D75D8" w:rsidP="004D75D8">
      <w:pPr>
        <w:spacing w:after="0"/>
        <w:jc w:val="right"/>
        <w:rPr>
          <w:rFonts w:ascii="Verdana" w:hAnsi="Verdana"/>
          <w:lang w:val="es-ES"/>
        </w:rPr>
      </w:pPr>
    </w:p>
    <w:p w14:paraId="0CF6CA87" w14:textId="77777777" w:rsidR="00164E23" w:rsidRPr="00777292" w:rsidRDefault="00164E23" w:rsidP="00164E23">
      <w:pPr>
        <w:spacing w:after="0"/>
        <w:rPr>
          <w:rFonts w:ascii="Verdana" w:hAnsi="Verdana"/>
          <w:lang w:val="es-ES_tradnl"/>
        </w:rPr>
      </w:pPr>
    </w:p>
    <w:p w14:paraId="72C44607" w14:textId="77777777" w:rsidR="00164E23" w:rsidRPr="00AF0A23" w:rsidRDefault="00164E23" w:rsidP="00164E23">
      <w:pPr>
        <w:spacing w:after="0" w:line="240" w:lineRule="auto"/>
        <w:rPr>
          <w:rFonts w:ascii="Verdana" w:hAnsi="Verdana"/>
          <w:lang w:val="es-ES"/>
        </w:rPr>
      </w:pPr>
      <w:bookmarkStart w:id="0" w:name="_Hlk143780582"/>
      <w:r w:rsidRPr="00AF0A23">
        <w:rPr>
          <w:rFonts w:ascii="Verdana" w:eastAsia="Calibri" w:hAnsi="Verdana" w:cs="Arial"/>
          <w:lang w:val="es-ES" w:eastAsia="es-ES"/>
        </w:rPr>
        <w:t>Señora</w:t>
      </w:r>
    </w:p>
    <w:p w14:paraId="31843CA4" w14:textId="77777777" w:rsidR="00C05814" w:rsidRPr="00AF0A23" w:rsidRDefault="00C05814" w:rsidP="00164E23">
      <w:pPr>
        <w:spacing w:after="0"/>
        <w:rPr>
          <w:rFonts w:ascii="Verdana" w:eastAsia="Calibri" w:hAnsi="Verdana" w:cs="Arial"/>
          <w:b/>
          <w:bCs/>
          <w:lang w:val="es-ES" w:eastAsia="es-ES"/>
        </w:rPr>
      </w:pPr>
      <w:r w:rsidRPr="00AF0A23">
        <w:rPr>
          <w:rFonts w:ascii="Verdana" w:eastAsia="Calibri" w:hAnsi="Verdana" w:cs="Arial"/>
          <w:b/>
          <w:bCs/>
          <w:lang w:val="es-ES" w:eastAsia="es-ES"/>
        </w:rPr>
        <w:t xml:space="preserve">Monserrath Riveros </w:t>
      </w:r>
    </w:p>
    <w:p w14:paraId="49C237E3" w14:textId="5C9076A2" w:rsidR="00AF0A23" w:rsidRPr="00AF0A23" w:rsidRDefault="00AF0A23" w:rsidP="00164E23">
      <w:pPr>
        <w:spacing w:after="0"/>
        <w:rPr>
          <w:rFonts w:ascii="Verdana" w:hAnsi="Verdana"/>
        </w:rPr>
      </w:pPr>
      <w:hyperlink r:id="rId11" w:history="1">
        <w:r w:rsidRPr="00AF0A23">
          <w:rPr>
            <w:rStyle w:val="Hipervnculo"/>
            <w:rFonts w:ascii="Verdana" w:hAnsi="Verdana"/>
          </w:rPr>
          <w:t>monserrathriveros1811@gmail.com</w:t>
        </w:r>
      </w:hyperlink>
    </w:p>
    <w:p w14:paraId="3ED399A1" w14:textId="7F6B12EE" w:rsidR="00164E23" w:rsidRPr="00AF0A23" w:rsidRDefault="00164E23" w:rsidP="00164E23">
      <w:pPr>
        <w:spacing w:after="0"/>
        <w:rPr>
          <w:rFonts w:ascii="Verdana" w:eastAsia="Calibri" w:hAnsi="Verdana" w:cs="Arial"/>
          <w:lang w:eastAsia="es-ES"/>
        </w:rPr>
      </w:pPr>
      <w:r w:rsidRPr="00AF0A23">
        <w:rPr>
          <w:rFonts w:ascii="Verdana" w:eastAsia="Calibri" w:hAnsi="Verdana" w:cs="Arial"/>
          <w:lang w:eastAsia="es-ES"/>
        </w:rPr>
        <w:t>Ciudad</w:t>
      </w:r>
    </w:p>
    <w:p w14:paraId="27CE2DEA" w14:textId="77777777" w:rsidR="00CC2839" w:rsidRDefault="00CC2839" w:rsidP="00164E23">
      <w:pPr>
        <w:spacing w:after="0"/>
        <w:rPr>
          <w:rFonts w:ascii="Verdana" w:eastAsia="Calibri" w:hAnsi="Verdana" w:cs="Arial"/>
          <w:lang w:eastAsia="es-ES"/>
        </w:rPr>
      </w:pPr>
    </w:p>
    <w:p w14:paraId="5A98DA23" w14:textId="77777777" w:rsidR="00CC2839" w:rsidRPr="00E1440E" w:rsidRDefault="00CC2839" w:rsidP="00164E23">
      <w:pPr>
        <w:spacing w:after="0"/>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64E23" w:rsidRPr="00777292" w14:paraId="733E9F43" w14:textId="77777777" w:rsidTr="00640533">
        <w:trPr>
          <w:trHeight w:val="190"/>
        </w:trPr>
        <w:tc>
          <w:tcPr>
            <w:tcW w:w="2689" w:type="dxa"/>
          </w:tcPr>
          <w:p w14:paraId="56B97A45" w14:textId="77777777" w:rsidR="00164E23" w:rsidRPr="00777292" w:rsidRDefault="00164E23" w:rsidP="00640533">
            <w:pPr>
              <w:jc w:val="both"/>
              <w:rPr>
                <w:rFonts w:ascii="Verdana" w:eastAsia="Calibri" w:hAnsi="Verdana" w:cs="Arial"/>
                <w:b/>
                <w:bCs/>
                <w:lang w:eastAsia="es-ES_tradnl"/>
              </w:rPr>
            </w:pPr>
          </w:p>
        </w:tc>
        <w:tc>
          <w:tcPr>
            <w:tcW w:w="6100" w:type="dxa"/>
          </w:tcPr>
          <w:p w14:paraId="24949F88" w14:textId="406887ED" w:rsidR="00164E23" w:rsidRPr="00AB4696" w:rsidRDefault="00164E23" w:rsidP="00640533">
            <w:pPr>
              <w:jc w:val="both"/>
              <w:rPr>
                <w:rFonts w:ascii="Verdana" w:eastAsia="Calibri" w:hAnsi="Verdana" w:cs="Arial"/>
                <w:b/>
                <w:bCs/>
                <w:lang w:eastAsia="es-ES"/>
              </w:rPr>
            </w:pPr>
            <w:r w:rsidRPr="00AB4696">
              <w:rPr>
                <w:rFonts w:ascii="Verdana" w:eastAsia="Calibri" w:hAnsi="Verdana" w:cs="Arial"/>
                <w:b/>
                <w:bCs/>
                <w:lang w:eastAsia="es-ES"/>
              </w:rPr>
              <w:t xml:space="preserve">Concepto C- </w:t>
            </w:r>
            <w:r w:rsidR="00DC083E" w:rsidRPr="00AB4696">
              <w:rPr>
                <w:rFonts w:ascii="Verdana" w:eastAsia="Calibri" w:hAnsi="Verdana" w:cs="Arial"/>
                <w:b/>
                <w:bCs/>
                <w:lang w:eastAsia="es-ES"/>
              </w:rPr>
              <w:t>612</w:t>
            </w:r>
            <w:r w:rsidRPr="00AB4696">
              <w:rPr>
                <w:rFonts w:ascii="Verdana" w:eastAsia="Calibri" w:hAnsi="Verdana" w:cs="Arial"/>
                <w:b/>
                <w:bCs/>
                <w:lang w:eastAsia="es-ES"/>
              </w:rPr>
              <w:t xml:space="preserve"> de 2026</w:t>
            </w:r>
          </w:p>
          <w:p w14:paraId="74B8DE8C" w14:textId="77777777" w:rsidR="00164E23" w:rsidRPr="00AB4696" w:rsidRDefault="00164E23" w:rsidP="00640533">
            <w:pPr>
              <w:jc w:val="both"/>
              <w:rPr>
                <w:rFonts w:ascii="Verdana" w:eastAsia="Calibri" w:hAnsi="Verdana" w:cs="Arial"/>
                <w:b/>
                <w:bCs/>
                <w:lang w:eastAsia="es-ES"/>
              </w:rPr>
            </w:pPr>
          </w:p>
        </w:tc>
      </w:tr>
      <w:tr w:rsidR="00164E23" w:rsidRPr="00777292" w14:paraId="238CA5CF" w14:textId="77777777" w:rsidTr="00640533">
        <w:trPr>
          <w:trHeight w:val="884"/>
        </w:trPr>
        <w:tc>
          <w:tcPr>
            <w:tcW w:w="2689" w:type="dxa"/>
          </w:tcPr>
          <w:p w14:paraId="4470B7AA" w14:textId="77777777" w:rsidR="00164E23" w:rsidRPr="00777292" w:rsidRDefault="00164E23" w:rsidP="00640533">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3342C502" w14:textId="260930FB" w:rsidR="00164E23" w:rsidRPr="00AB4696" w:rsidRDefault="00164E23" w:rsidP="002E47C3">
            <w:pPr>
              <w:contextualSpacing/>
              <w:jc w:val="both"/>
              <w:rPr>
                <w:rFonts w:ascii="Verdana" w:eastAsia="Calibri" w:hAnsi="Verdana" w:cs="Arial"/>
                <w:lang w:eastAsia="es-ES"/>
              </w:rPr>
            </w:pPr>
            <w:r w:rsidRPr="00AB4696">
              <w:rPr>
                <w:rFonts w:ascii="Verdana" w:eastAsia="Calibri" w:hAnsi="Verdana" w:cs="Arial"/>
                <w:lang w:eastAsia="es-ES"/>
              </w:rPr>
              <w:t>DECRETO 0287 DE 2026 ‒ Sistema Integral de Preferencias ‒ Contratación pública inclusiva ‒ Personas con discapacidad / DECRETO 0287 DE 2026 ‒ Antecedentes normativos ‒ Decreto 392 de 2018 ‒ Omisiones reglamentarias ‒ Sentencia de acción de cumplimiento / DECRETO 0287 DE 2026 ‒ Sujetos del sistema ‒ Emprendimientos y empresas de personas con discapacidad ‒ Empleadores de personas con discapacidad ‒ Definición y diferenciación</w:t>
            </w:r>
            <w:r w:rsidR="00AB4696" w:rsidRPr="00AB4696">
              <w:rPr>
                <w:rFonts w:ascii="Verdana" w:eastAsia="Calibri" w:hAnsi="Verdana" w:cs="Arial"/>
                <w:lang w:eastAsia="es-ES"/>
              </w:rPr>
              <w:t xml:space="preserve"> / DECRETO 0287 DE 2026 ‒ Sistema de preferencias ‒ Medidas ‒ Selección abreviada ‒ Aplicación / DECRETO 0287 DE 2026 ‒ Entidades de régimen especial ‒ Aplicación</w:t>
            </w:r>
          </w:p>
        </w:tc>
      </w:tr>
      <w:tr w:rsidR="00164E23" w:rsidRPr="00777292" w14:paraId="0232D961" w14:textId="77777777" w:rsidTr="00640533">
        <w:tc>
          <w:tcPr>
            <w:tcW w:w="2689" w:type="dxa"/>
          </w:tcPr>
          <w:p w14:paraId="65C1C5FF" w14:textId="77777777" w:rsidR="00164E23" w:rsidRPr="00777292" w:rsidRDefault="00164E23" w:rsidP="00640533">
            <w:pPr>
              <w:jc w:val="both"/>
              <w:rPr>
                <w:rFonts w:ascii="Verdana" w:eastAsia="Calibri" w:hAnsi="Verdana" w:cs="Arial"/>
                <w:b/>
                <w:lang w:eastAsia="es-ES_tradnl"/>
              </w:rPr>
            </w:pPr>
            <w:r w:rsidRPr="00777292">
              <w:rPr>
                <w:rFonts w:ascii="Verdana" w:eastAsia="Calibri" w:hAnsi="Verdana" w:cs="Arial"/>
                <w:b/>
                <w:lang w:eastAsia="es-ES_tradnl"/>
              </w:rPr>
              <w:t>Radicación:</w:t>
            </w:r>
            <w:r w:rsidRPr="00777292">
              <w:rPr>
                <w:rFonts w:ascii="Verdana" w:eastAsia="Calibri" w:hAnsi="Verdana" w:cs="Arial"/>
                <w:lang w:eastAsia="es-ES_tradnl"/>
              </w:rPr>
              <w:t xml:space="preserve">               </w:t>
            </w:r>
          </w:p>
        </w:tc>
        <w:tc>
          <w:tcPr>
            <w:tcW w:w="6100" w:type="dxa"/>
          </w:tcPr>
          <w:p w14:paraId="55D5B2A2" w14:textId="3633E8D3" w:rsidR="00164E23" w:rsidRPr="00777292" w:rsidRDefault="00164E23" w:rsidP="00640533">
            <w:pPr>
              <w:jc w:val="both"/>
              <w:rPr>
                <w:rFonts w:ascii="Verdana" w:eastAsia="Calibri" w:hAnsi="Verdana" w:cs="Arial"/>
                <w:lang w:eastAsia="es-ES_tradnl"/>
              </w:rPr>
            </w:pPr>
            <w:r w:rsidRPr="00777292">
              <w:rPr>
                <w:rFonts w:ascii="Verdana" w:eastAsia="Calibri" w:hAnsi="Verdana" w:cs="Arial"/>
                <w:lang w:eastAsia="es-ES_tradnl"/>
              </w:rPr>
              <w:t>Respuesta a consulta con radicado No.</w:t>
            </w:r>
            <w:r w:rsidRPr="00777292">
              <w:rPr>
                <w:rFonts w:ascii="Verdana" w:hAnsi="Verdana" w:cs="Segoe UI"/>
                <w:color w:val="2B2B2B"/>
                <w:shd w:val="clear" w:color="auto" w:fill="FFFFFF"/>
              </w:rPr>
              <w:t xml:space="preserve"> </w:t>
            </w:r>
            <w:r w:rsidR="00296619" w:rsidRPr="00296619">
              <w:rPr>
                <w:rFonts w:ascii="Verdana" w:hAnsi="Verdana" w:cs="Segoe UI"/>
                <w:color w:val="2B2B2B"/>
                <w:shd w:val="clear" w:color="auto" w:fill="FFFFFF"/>
              </w:rPr>
              <w:t>1_2026_04_14_005076</w:t>
            </w:r>
          </w:p>
        </w:tc>
      </w:tr>
    </w:tbl>
    <w:p w14:paraId="73CA209F" w14:textId="77777777" w:rsidR="00164E23" w:rsidRPr="00206556" w:rsidRDefault="00164E23" w:rsidP="00164E23">
      <w:pPr>
        <w:tabs>
          <w:tab w:val="left" w:pos="1520"/>
        </w:tabs>
        <w:spacing w:after="0" w:line="276" w:lineRule="auto"/>
        <w:jc w:val="both"/>
        <w:rPr>
          <w:rFonts w:ascii="Verdana" w:eastAsia="Calibri" w:hAnsi="Verdana" w:cs="Arial"/>
          <w:color w:val="ED7D31" w:themeColor="accent2"/>
          <w:sz w:val="20"/>
          <w:szCs w:val="20"/>
          <w:lang w:val="es-ES" w:eastAsia="es-ES"/>
        </w:rPr>
      </w:pPr>
    </w:p>
    <w:p w14:paraId="2C52716C" w14:textId="77777777" w:rsidR="00164E23" w:rsidRPr="00206556" w:rsidRDefault="00164E23" w:rsidP="00164E23">
      <w:pPr>
        <w:spacing w:after="0" w:line="276" w:lineRule="auto"/>
        <w:jc w:val="both"/>
        <w:rPr>
          <w:rFonts w:ascii="Verdana" w:eastAsia="Calibri" w:hAnsi="Verdana" w:cs="Arial"/>
          <w:color w:val="ED7D31" w:themeColor="accent2"/>
          <w:lang w:val="es-ES" w:eastAsia="es-ES"/>
        </w:rPr>
      </w:pPr>
    </w:p>
    <w:p w14:paraId="71D5F7CD" w14:textId="56275A85" w:rsidR="00164E23" w:rsidRPr="00206556" w:rsidRDefault="00164E23" w:rsidP="00164E23">
      <w:pPr>
        <w:spacing w:after="0" w:line="276" w:lineRule="auto"/>
        <w:jc w:val="both"/>
        <w:rPr>
          <w:rFonts w:ascii="Verdana" w:eastAsia="Calibri" w:hAnsi="Verdana" w:cs="Arial"/>
          <w:lang w:val="es-ES" w:eastAsia="es-ES"/>
        </w:rPr>
      </w:pPr>
      <w:r w:rsidRPr="006A7B59">
        <w:rPr>
          <w:rFonts w:ascii="Verdana" w:eastAsia="Calibri" w:hAnsi="Verdana" w:cs="Arial"/>
          <w:lang w:val="es-ES" w:eastAsia="es-ES"/>
        </w:rPr>
        <w:t xml:space="preserve">Estimada Señora </w:t>
      </w:r>
      <w:r w:rsidR="00C05814">
        <w:rPr>
          <w:rFonts w:ascii="Verdana" w:eastAsia="Calibri" w:hAnsi="Verdana" w:cs="Arial"/>
          <w:lang w:val="es-ES" w:eastAsia="es-ES"/>
        </w:rPr>
        <w:t>Riveros</w:t>
      </w:r>
      <w:r w:rsidRPr="006A7B59">
        <w:rPr>
          <w:rFonts w:ascii="Verdana" w:eastAsia="Calibri" w:hAnsi="Verdana" w:cs="Arial"/>
          <w:lang w:val="es-ES" w:eastAsia="es-ES"/>
        </w:rPr>
        <w:t>,</w:t>
      </w:r>
    </w:p>
    <w:p w14:paraId="38905CD3" w14:textId="77777777" w:rsidR="00164E23" w:rsidRPr="00206556" w:rsidRDefault="00164E23" w:rsidP="00164E23">
      <w:pPr>
        <w:tabs>
          <w:tab w:val="left" w:pos="3768"/>
        </w:tabs>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ab/>
      </w:r>
    </w:p>
    <w:p w14:paraId="1545CD1E" w14:textId="00287A34" w:rsidR="00164E23" w:rsidRPr="00206556" w:rsidRDefault="00164E23" w:rsidP="00164E23">
      <w:pPr>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En ejercicio de la competencia otorgada por los artículos 3, numeral 5º, y 11, numeral 8º, del Decreto Ley 4170 de 2011,</w:t>
      </w:r>
      <w:r w:rsidRPr="00206556">
        <w:rPr>
          <w:rFonts w:ascii="Verdana" w:eastAsia="Arial MT" w:hAnsi="Verdana" w:cs="Arial MT"/>
          <w:lang w:val="es-ES" w:eastAsia="es-ES"/>
        </w:rPr>
        <w:t xml:space="preserve"> </w:t>
      </w:r>
      <w:r w:rsidRPr="00206556">
        <w:rPr>
          <w:rFonts w:ascii="Verdana" w:hAnsi="Verdana" w:cs="Arial"/>
          <w:lang w:val="es-ES"/>
        </w:rPr>
        <w:t xml:space="preserve">así como lo establecido en la Resolución 469 de 2025 expedida por esta Entidad, </w:t>
      </w:r>
      <w:r w:rsidRPr="00206556">
        <w:rPr>
          <w:rFonts w:ascii="Verdana" w:eastAsia="Calibri" w:hAnsi="Verdana" w:cs="Arial"/>
          <w:lang w:val="es-ES" w:eastAsia="es-ES"/>
        </w:rPr>
        <w:t xml:space="preserve">la Agencia Nacional de </w:t>
      </w:r>
      <w:r w:rsidRPr="00206556">
        <w:rPr>
          <w:rFonts w:ascii="Verdana" w:eastAsia="Calibri" w:hAnsi="Verdana" w:cs="Arial"/>
          <w:lang w:val="es-ES" w:eastAsia="es-ES"/>
        </w:rPr>
        <w:lastRenderedPageBreak/>
        <w:t xml:space="preserve">Contratación Pública – Colombia Compra Eficiente– responde su solicitud de </w:t>
      </w:r>
      <w:r w:rsidRPr="00FB46F9">
        <w:rPr>
          <w:rFonts w:ascii="Verdana" w:eastAsia="Calibri" w:hAnsi="Verdana" w:cs="Arial"/>
          <w:lang w:val="es-ES" w:eastAsia="es-ES"/>
        </w:rPr>
        <w:t xml:space="preserve">consulta de fecha </w:t>
      </w:r>
      <w:r w:rsidR="00B80858">
        <w:rPr>
          <w:rFonts w:ascii="Verdana" w:eastAsia="Calibri" w:hAnsi="Verdana" w:cs="Arial"/>
          <w:lang w:val="es-ES" w:eastAsia="es-ES"/>
        </w:rPr>
        <w:t>14</w:t>
      </w:r>
      <w:r w:rsidRPr="00FB46F9">
        <w:rPr>
          <w:rFonts w:ascii="Verdana" w:eastAsia="Calibri" w:hAnsi="Verdana" w:cs="Arial"/>
          <w:lang w:val="es-ES" w:eastAsia="es-ES"/>
        </w:rPr>
        <w:t xml:space="preserve"> de </w:t>
      </w:r>
      <w:r w:rsidR="00B80858">
        <w:rPr>
          <w:rFonts w:ascii="Verdana" w:eastAsia="Calibri" w:hAnsi="Verdana" w:cs="Arial"/>
          <w:lang w:val="es-ES" w:eastAsia="es-ES"/>
        </w:rPr>
        <w:t>abril</w:t>
      </w:r>
      <w:r w:rsidRPr="00FB46F9">
        <w:rPr>
          <w:rFonts w:ascii="Verdana" w:eastAsia="Calibri" w:hAnsi="Verdana" w:cs="Arial"/>
          <w:lang w:val="es-ES" w:eastAsia="es-ES"/>
        </w:rPr>
        <w:t xml:space="preserve"> de 2026, en</w:t>
      </w:r>
      <w:r w:rsidRPr="00206556">
        <w:rPr>
          <w:rFonts w:ascii="Verdana" w:eastAsia="Calibri" w:hAnsi="Verdana" w:cs="Arial"/>
          <w:lang w:val="es-ES" w:eastAsia="es-ES"/>
        </w:rPr>
        <w:t xml:space="preserve"> la cual manifiesta lo siguiente: </w:t>
      </w:r>
    </w:p>
    <w:p w14:paraId="31DAAFCC" w14:textId="77777777" w:rsidR="00164E23" w:rsidRDefault="00164E23" w:rsidP="00A07A6E">
      <w:pPr>
        <w:spacing w:before="120" w:after="120" w:line="276" w:lineRule="auto"/>
        <w:ind w:right="709"/>
        <w:contextualSpacing/>
        <w:jc w:val="both"/>
        <w:rPr>
          <w:rFonts w:ascii="Verdana" w:eastAsia="Century Gothic" w:hAnsi="Verdana" w:cs="Century Gothic"/>
          <w:i/>
          <w:iCs/>
          <w:sz w:val="20"/>
          <w:szCs w:val="20"/>
          <w:lang w:val="es-ES"/>
        </w:rPr>
      </w:pPr>
    </w:p>
    <w:p w14:paraId="2578885D" w14:textId="07E66CB1" w:rsidR="00164E23" w:rsidRPr="00A07A6E" w:rsidRDefault="00E1440E" w:rsidP="004619E3">
      <w:pPr>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lang w:val="es-ES"/>
        </w:rPr>
        <w:t>“</w:t>
      </w:r>
      <w:r w:rsidR="004619E3" w:rsidRPr="004619E3">
        <w:rPr>
          <w:rFonts w:ascii="Verdana" w:eastAsia="Century Gothic" w:hAnsi="Verdana" w:cs="Century Gothic"/>
          <w:sz w:val="20"/>
          <w:szCs w:val="20"/>
          <w:lang w:val="es-ES"/>
        </w:rPr>
        <w:t>Referente al Decreto 287 de 2026 siendo CCE el ente rector de la contratación Pública, me permito solicitar concepto para la aplicación del mismo en selecciones abreviadas para prestación de servicios de salud, en principio existe en  la base de datos de la entidad que los  posibles oferente no pertenecen a empresas emprendimientos y empresas de personas con discapacidad , de igual forma se solicita saber si para el sector salud las incorporación de condiciones especiales  de ejecución  en favor de las personas con discapacidad se deben incluir</w:t>
      </w:r>
      <w:r>
        <w:rPr>
          <w:rFonts w:ascii="Verdana" w:eastAsia="Century Gothic" w:hAnsi="Verdana" w:cs="Century Gothic"/>
          <w:sz w:val="20"/>
          <w:szCs w:val="20"/>
          <w:lang w:val="es-ES"/>
        </w:rPr>
        <w:t>”</w:t>
      </w:r>
    </w:p>
    <w:p w14:paraId="1C140DD0" w14:textId="77777777" w:rsidR="00164E23" w:rsidRPr="00A07A6E" w:rsidRDefault="00164E23" w:rsidP="00164E23">
      <w:pPr>
        <w:spacing w:before="120" w:after="120" w:line="240" w:lineRule="auto"/>
        <w:ind w:left="709" w:right="709"/>
        <w:contextualSpacing/>
        <w:jc w:val="both"/>
        <w:rPr>
          <w:rFonts w:ascii="Verdana" w:eastAsia="Century Gothic" w:hAnsi="Verdana" w:cs="Century Gothic"/>
          <w:i/>
          <w:lang w:val="es-ES"/>
        </w:rPr>
      </w:pPr>
    </w:p>
    <w:p w14:paraId="4862969D" w14:textId="356F1E74" w:rsidR="00164E23" w:rsidRPr="00206556" w:rsidRDefault="00164E23" w:rsidP="00164E23">
      <w:pPr>
        <w:spacing w:after="120" w:line="276" w:lineRule="auto"/>
        <w:ind w:firstLine="708"/>
        <w:jc w:val="both"/>
        <w:rPr>
          <w:rFonts w:ascii="Verdana" w:eastAsia="Calibri" w:hAnsi="Verdana" w:cs="Arial"/>
          <w:lang w:val="es-ES" w:eastAsia="es-ES"/>
        </w:rPr>
      </w:pPr>
      <w:r w:rsidRPr="0020655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4A701A">
        <w:rPr>
          <w:rFonts w:ascii="Verdana" w:eastAsia="Calibri" w:hAnsi="Verdana" w:cs="Arial"/>
          <w:lang w:val="es-ES" w:eastAsia="es-ES"/>
        </w:rPr>
        <w:t xml:space="preserve">la Agencia </w:t>
      </w:r>
      <w:r w:rsidR="00E567BE">
        <w:rPr>
          <w:rFonts w:ascii="Verdana" w:eastAsia="Calibri" w:hAnsi="Verdana" w:cs="Arial"/>
          <w:lang w:val="es-ES" w:eastAsia="es-ES"/>
        </w:rPr>
        <w:t xml:space="preserve">Nacional de Contratación Pública – </w:t>
      </w:r>
      <w:r w:rsidRPr="00206556">
        <w:rPr>
          <w:rFonts w:ascii="Verdana" w:eastAsia="Calibri" w:hAnsi="Verdana" w:cs="Arial"/>
          <w:lang w:val="es-ES" w:eastAsia="es-ES"/>
        </w:rPr>
        <w:t>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w:t>
      </w:r>
      <w:r>
        <w:rPr>
          <w:rFonts w:ascii="Verdana" w:eastAsia="Calibri" w:hAnsi="Verdana" w:cs="Arial"/>
          <w:lang w:val="es-ES" w:eastAsia="es-ES"/>
        </w:rPr>
        <w:t xml:space="preserve"> al</w:t>
      </w:r>
      <w:r w:rsidRPr="00206556">
        <w:rPr>
          <w:rFonts w:ascii="Verdana" w:eastAsia="Calibri" w:hAnsi="Verdana" w:cs="Arial"/>
          <w:lang w:val="es-ES" w:eastAsia="es-ES"/>
        </w:rPr>
        <w:t xml:space="preserve"> </w:t>
      </w:r>
      <w:r>
        <w:rPr>
          <w:rFonts w:ascii="Verdana" w:hAnsi="Verdana"/>
        </w:rPr>
        <w:t>Estatuto General de Contratación Pública</w:t>
      </w:r>
      <w:r w:rsidRPr="00206556">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sidRPr="00206556">
        <w:rPr>
          <w:rFonts w:ascii="Verdana" w:hAnsi="Verdana"/>
          <w:lang w:val="es-ES"/>
        </w:rPr>
        <w:tab/>
      </w:r>
    </w:p>
    <w:p w14:paraId="0938EBC4" w14:textId="6AEB8BE0" w:rsidR="00164E23" w:rsidRPr="00206556" w:rsidRDefault="00164E23" w:rsidP="00164E23">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500BFE">
        <w:rPr>
          <w:rFonts w:ascii="Verdana" w:eastAsia="Calibri" w:hAnsi="Verdana" w:cs="Arial"/>
          <w:lang w:val="es-ES" w:eastAsia="es-ES"/>
        </w:rPr>
        <w:t>señala</w:t>
      </w:r>
      <w:r w:rsidR="00500BFE" w:rsidRPr="00206556">
        <w:rPr>
          <w:rFonts w:ascii="Verdana" w:eastAsia="Calibri" w:hAnsi="Verdana" w:cs="Arial"/>
          <w:lang w:val="es-ES" w:eastAsia="es-ES"/>
        </w:rPr>
        <w:t xml:space="preserve">ndo </w:t>
      </w:r>
      <w:r w:rsidR="00500BFE">
        <w:rPr>
          <w:rFonts w:ascii="Verdana" w:eastAsia="Calibri" w:hAnsi="Verdana" w:cs="Arial"/>
          <w:lang w:val="es-ES" w:eastAsia="es-ES"/>
        </w:rPr>
        <w:t>alg</w:t>
      </w:r>
      <w:r w:rsidRPr="00206556">
        <w:rPr>
          <w:rFonts w:ascii="Verdana" w:eastAsia="Calibri" w:hAnsi="Verdana" w:cs="Arial"/>
          <w:lang w:val="es-ES" w:eastAsia="es-ES"/>
        </w:rPr>
        <w:t xml:space="preserve">unas consideraciones sobre las normas generales relacionadas con </w:t>
      </w:r>
      <w:r w:rsidR="00A35EC3">
        <w:rPr>
          <w:rFonts w:ascii="Verdana" w:eastAsia="Calibri" w:hAnsi="Verdana" w:cs="Arial"/>
          <w:lang w:val="es-ES" w:eastAsia="es-ES"/>
        </w:rPr>
        <w:t>los</w:t>
      </w:r>
      <w:r w:rsidRPr="00206556">
        <w:rPr>
          <w:rFonts w:ascii="Verdana" w:eastAsia="Calibri" w:hAnsi="Verdana" w:cs="Arial"/>
          <w:lang w:val="es-ES" w:eastAsia="es-ES"/>
        </w:rPr>
        <w:t xml:space="preserve"> problema</w:t>
      </w:r>
      <w:r w:rsidR="00A35EC3">
        <w:rPr>
          <w:rFonts w:ascii="Verdana" w:eastAsia="Calibri" w:hAnsi="Verdana" w:cs="Arial"/>
          <w:lang w:val="es-ES" w:eastAsia="es-ES"/>
        </w:rPr>
        <w:t>s</w:t>
      </w:r>
      <w:r w:rsidRPr="00206556">
        <w:rPr>
          <w:rFonts w:ascii="Verdana" w:eastAsia="Calibri" w:hAnsi="Verdana" w:cs="Arial"/>
          <w:lang w:val="es-ES" w:eastAsia="es-ES"/>
        </w:rPr>
        <w:t xml:space="preserve"> jurídico</w:t>
      </w:r>
      <w:r w:rsidR="00A35EC3">
        <w:rPr>
          <w:rFonts w:ascii="Verdana" w:eastAsia="Calibri" w:hAnsi="Verdana" w:cs="Arial"/>
          <w:lang w:val="es-ES" w:eastAsia="es-ES"/>
        </w:rPr>
        <w:t>s</w:t>
      </w:r>
      <w:r w:rsidRPr="00206556">
        <w:rPr>
          <w:rFonts w:ascii="Verdana" w:eastAsia="Calibri" w:hAnsi="Verdana" w:cs="Arial"/>
          <w:lang w:val="es-ES" w:eastAsia="es-ES"/>
        </w:rPr>
        <w:t xml:space="preserve"> de su consulta. </w:t>
      </w:r>
    </w:p>
    <w:p w14:paraId="67B972CD" w14:textId="77777777" w:rsidR="00164E23" w:rsidRPr="00206556" w:rsidRDefault="00164E23" w:rsidP="00164E23">
      <w:pPr>
        <w:spacing w:after="0" w:line="276" w:lineRule="auto"/>
        <w:ind w:firstLine="709"/>
        <w:jc w:val="both"/>
        <w:rPr>
          <w:rFonts w:ascii="Verdana" w:eastAsia="Calibri" w:hAnsi="Verdana" w:cs="Arial"/>
          <w:lang w:val="es-ES" w:eastAsia="es-ES"/>
        </w:rPr>
      </w:pPr>
    </w:p>
    <w:p w14:paraId="50760FF1" w14:textId="77777777" w:rsidR="00164E23" w:rsidRPr="00206556" w:rsidRDefault="00164E23" w:rsidP="00164E23">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w:t>
      </w:r>
      <w:r>
        <w:rPr>
          <w:rFonts w:ascii="Verdana" w:eastAsia="Century Gothic" w:hAnsi="Verdana" w:cs="Century Gothic"/>
          <w:b/>
          <w:lang w:val="es-ES"/>
        </w:rPr>
        <w:t>s</w:t>
      </w:r>
      <w:r w:rsidRPr="00206556">
        <w:rPr>
          <w:rFonts w:ascii="Verdana" w:eastAsia="Century Gothic" w:hAnsi="Verdana" w:cs="Century Gothic"/>
          <w:b/>
          <w:lang w:val="es-ES"/>
        </w:rPr>
        <w:t xml:space="preserve"> planteado</w:t>
      </w:r>
      <w:r>
        <w:rPr>
          <w:rFonts w:ascii="Verdana" w:eastAsia="Century Gothic" w:hAnsi="Verdana" w:cs="Century Gothic"/>
          <w:b/>
          <w:lang w:val="es-ES"/>
        </w:rPr>
        <w:t>s</w:t>
      </w:r>
      <w:r w:rsidRPr="00206556">
        <w:rPr>
          <w:rFonts w:ascii="Verdana" w:eastAsia="Century Gothic" w:hAnsi="Verdana" w:cs="Century Gothic"/>
          <w:b/>
          <w:lang w:val="es-ES"/>
        </w:rPr>
        <w:t>:</w:t>
      </w:r>
    </w:p>
    <w:p w14:paraId="5C4E78D9" w14:textId="77777777" w:rsidR="00164E23" w:rsidRPr="00206556" w:rsidRDefault="00164E23" w:rsidP="00164E23">
      <w:pPr>
        <w:tabs>
          <w:tab w:val="left" w:pos="426"/>
        </w:tabs>
        <w:spacing w:after="0" w:line="276" w:lineRule="auto"/>
        <w:jc w:val="both"/>
        <w:rPr>
          <w:rFonts w:ascii="Verdana" w:eastAsia="Century Gothic" w:hAnsi="Verdana" w:cs="Century Gothic"/>
          <w:color w:val="ED7D31" w:themeColor="accent2"/>
          <w:lang w:val="es-ES"/>
        </w:rPr>
      </w:pPr>
    </w:p>
    <w:p w14:paraId="497F170A" w14:textId="0ABDE5CA" w:rsidR="00164E23" w:rsidRDefault="00164E23" w:rsidP="00164E23">
      <w:pPr>
        <w:spacing w:after="0" w:line="276" w:lineRule="auto"/>
        <w:jc w:val="both"/>
        <w:rPr>
          <w:rFonts w:ascii="Verdana" w:eastAsia="Century Gothic" w:hAnsi="Verdana" w:cs="Century Gothic"/>
        </w:rPr>
      </w:pPr>
      <w:r w:rsidRPr="00206556">
        <w:rPr>
          <w:rFonts w:ascii="Verdana" w:eastAsia="Century Gothic" w:hAnsi="Verdana" w:cs="Century Gothic"/>
          <w:lang w:val="es-ES"/>
        </w:rPr>
        <w:t xml:space="preserve">De acuerdo con el contenido de su solicitud, esta Agencia resolverá el siguiente problema jurídico: </w:t>
      </w:r>
      <w:r w:rsidR="00853F4D">
        <w:rPr>
          <w:rFonts w:ascii="Verdana" w:eastAsia="Century Gothic" w:hAnsi="Verdana" w:cs="Century Gothic"/>
          <w:lang w:val="es-ES"/>
        </w:rPr>
        <w:t xml:space="preserve">i) </w:t>
      </w:r>
      <w:r w:rsidRPr="00206556">
        <w:rPr>
          <w:rFonts w:ascii="Verdana" w:eastAsia="Century Gothic" w:hAnsi="Verdana" w:cs="Century Gothic"/>
        </w:rPr>
        <w:t>¿</w:t>
      </w:r>
      <w:r w:rsidR="007F2669">
        <w:rPr>
          <w:rFonts w:ascii="Verdana" w:eastAsia="Century Gothic" w:hAnsi="Verdana" w:cs="Century Gothic"/>
        </w:rPr>
        <w:t>Cómo se aplica el Decreto 287 de 2026 en la modalidad de selección abreviada</w:t>
      </w:r>
      <w:r w:rsidR="00853F4D">
        <w:rPr>
          <w:rFonts w:ascii="Verdana" w:eastAsia="Century Gothic" w:hAnsi="Verdana" w:cs="Century Gothic"/>
        </w:rPr>
        <w:t>?</w:t>
      </w:r>
      <w:r w:rsidR="00C65393">
        <w:rPr>
          <w:rFonts w:ascii="Verdana" w:eastAsia="Century Gothic" w:hAnsi="Verdana" w:cs="Century Gothic"/>
        </w:rPr>
        <w:t>;</w:t>
      </w:r>
      <w:r w:rsidR="007F2669">
        <w:rPr>
          <w:rFonts w:ascii="Verdana" w:eastAsia="Century Gothic" w:hAnsi="Verdana" w:cs="Century Gothic"/>
        </w:rPr>
        <w:t xml:space="preserve"> y</w:t>
      </w:r>
      <w:r w:rsidR="00C65393">
        <w:rPr>
          <w:rFonts w:ascii="Verdana" w:eastAsia="Century Gothic" w:hAnsi="Verdana" w:cs="Century Gothic"/>
        </w:rPr>
        <w:t xml:space="preserve"> </w:t>
      </w:r>
      <w:proofErr w:type="spellStart"/>
      <w:r w:rsidR="00C65393">
        <w:rPr>
          <w:rFonts w:ascii="Verdana" w:eastAsia="Century Gothic" w:hAnsi="Verdana" w:cs="Century Gothic"/>
        </w:rPr>
        <w:t>ii</w:t>
      </w:r>
      <w:proofErr w:type="spellEnd"/>
      <w:r w:rsidR="00C65393">
        <w:rPr>
          <w:rFonts w:ascii="Verdana" w:eastAsia="Century Gothic" w:hAnsi="Verdana" w:cs="Century Gothic"/>
        </w:rPr>
        <w:t xml:space="preserve">) </w:t>
      </w:r>
      <w:r w:rsidRPr="00206556">
        <w:rPr>
          <w:rFonts w:ascii="Verdana" w:eastAsia="Century Gothic" w:hAnsi="Verdana" w:cs="Century Gothic"/>
        </w:rPr>
        <w:t>¿</w:t>
      </w:r>
      <w:r w:rsidR="007F2669">
        <w:rPr>
          <w:rFonts w:ascii="Verdana" w:eastAsia="Century Gothic" w:hAnsi="Verdana" w:cs="Century Gothic"/>
        </w:rPr>
        <w:t>Cuál</w:t>
      </w:r>
      <w:r w:rsidR="001803BD">
        <w:rPr>
          <w:rFonts w:ascii="Verdana" w:eastAsia="Century Gothic" w:hAnsi="Verdana" w:cs="Century Gothic"/>
        </w:rPr>
        <w:t xml:space="preserve"> es el alcance </w:t>
      </w:r>
      <w:r w:rsidR="008B2501">
        <w:rPr>
          <w:rFonts w:ascii="Verdana" w:eastAsia="Century Gothic" w:hAnsi="Verdana" w:cs="Century Gothic"/>
        </w:rPr>
        <w:t>jurídico de</w:t>
      </w:r>
      <w:r>
        <w:rPr>
          <w:rFonts w:ascii="Verdana" w:eastAsia="Century Gothic" w:hAnsi="Verdana" w:cs="Century Gothic"/>
        </w:rPr>
        <w:t xml:space="preserve"> </w:t>
      </w:r>
      <w:r w:rsidR="00E97288">
        <w:rPr>
          <w:rFonts w:ascii="Verdana" w:eastAsia="Century Gothic" w:hAnsi="Verdana" w:cs="Century Gothic"/>
        </w:rPr>
        <w:t xml:space="preserve">las </w:t>
      </w:r>
      <w:r w:rsidR="00E97288" w:rsidRPr="00E97288">
        <w:rPr>
          <w:rFonts w:ascii="Verdana" w:eastAsia="Century Gothic" w:hAnsi="Verdana" w:cs="Century Gothic"/>
        </w:rPr>
        <w:t xml:space="preserve">condiciones </w:t>
      </w:r>
      <w:r w:rsidR="006923C0" w:rsidRPr="00E97288">
        <w:rPr>
          <w:rFonts w:ascii="Verdana" w:eastAsia="Century Gothic" w:hAnsi="Verdana" w:cs="Century Gothic"/>
        </w:rPr>
        <w:t>especiales de</w:t>
      </w:r>
      <w:r w:rsidR="00E97288" w:rsidRPr="00E97288">
        <w:rPr>
          <w:rFonts w:ascii="Verdana" w:eastAsia="Century Gothic" w:hAnsi="Verdana" w:cs="Century Gothic"/>
        </w:rPr>
        <w:t xml:space="preserve"> ejecución </w:t>
      </w:r>
      <w:r w:rsidR="00F30B59">
        <w:rPr>
          <w:rFonts w:ascii="Verdana" w:eastAsia="Century Gothic" w:hAnsi="Verdana" w:cs="Century Gothic"/>
        </w:rPr>
        <w:t>respecto de las entidades de régimen especial</w:t>
      </w:r>
      <w:r w:rsidRPr="00206556">
        <w:rPr>
          <w:rFonts w:ascii="Verdana" w:eastAsia="Century Gothic" w:hAnsi="Verdana" w:cs="Century Gothic"/>
        </w:rPr>
        <w:t>?</w:t>
      </w:r>
    </w:p>
    <w:p w14:paraId="2BA3BE4A" w14:textId="77777777" w:rsidR="00164E23" w:rsidRPr="00206556" w:rsidRDefault="00164E23" w:rsidP="00164E23">
      <w:pPr>
        <w:spacing w:after="0" w:line="276" w:lineRule="auto"/>
        <w:jc w:val="both"/>
        <w:rPr>
          <w:rFonts w:ascii="Verdana" w:eastAsia="Century Gothic" w:hAnsi="Verdana" w:cs="Century Gothic"/>
          <w:color w:val="ED7D31" w:themeColor="accent2"/>
        </w:rPr>
      </w:pPr>
    </w:p>
    <w:p w14:paraId="43C7E6B0" w14:textId="77777777" w:rsidR="00164E23" w:rsidRPr="00206556" w:rsidRDefault="00164E23" w:rsidP="00164E2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r>
        <w:rPr>
          <w:rFonts w:ascii="Verdana" w:eastAsia="Century Gothic" w:hAnsi="Verdana" w:cs="Century Gothic"/>
          <w:b/>
          <w:lang w:val="es-ES"/>
        </w:rPr>
        <w:t>s</w:t>
      </w:r>
      <w:r w:rsidRPr="00206556">
        <w:rPr>
          <w:rFonts w:ascii="Verdana" w:eastAsia="Century Gothic" w:hAnsi="Verdana" w:cs="Century Gothic"/>
          <w:b/>
          <w:lang w:val="es-ES"/>
        </w:rPr>
        <w:t>:</w:t>
      </w:r>
    </w:p>
    <w:p w14:paraId="66E9C48D" w14:textId="77777777" w:rsidR="00164E23" w:rsidRPr="00206556" w:rsidRDefault="00164E23" w:rsidP="00164E23">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64E23" w:rsidRPr="00206556" w14:paraId="5D3B7703" w14:textId="77777777" w:rsidTr="00640533">
        <w:tc>
          <w:tcPr>
            <w:tcW w:w="8828" w:type="dxa"/>
          </w:tcPr>
          <w:p w14:paraId="7EC298AB" w14:textId="392CA789" w:rsidR="00A6021A" w:rsidRDefault="00164E23" w:rsidP="00E21B1F">
            <w:pPr>
              <w:spacing w:after="120" w:line="276" w:lineRule="auto"/>
              <w:jc w:val="both"/>
              <w:rPr>
                <w:rFonts w:ascii="Verdana" w:eastAsia="Calibri" w:hAnsi="Verdana" w:cs="Arial"/>
              </w:rPr>
            </w:pPr>
            <w:r>
              <w:rPr>
                <w:rFonts w:ascii="Verdana" w:eastAsia="Calibri" w:hAnsi="Verdana" w:cs="Arial"/>
              </w:rPr>
              <w:t>i) En atención al problema jurídico planteado, es necesario indicar que e</w:t>
            </w:r>
            <w:r w:rsidR="00AE7F45">
              <w:rPr>
                <w:rFonts w:ascii="Verdana" w:eastAsia="Calibri" w:hAnsi="Verdana" w:cs="Arial"/>
              </w:rPr>
              <w:t>l Decreto 287 de 2026</w:t>
            </w:r>
            <w:r w:rsidRPr="00E54F30">
              <w:rPr>
                <w:rFonts w:ascii="Verdana" w:eastAsia="Calibri" w:hAnsi="Verdana" w:cs="Arial"/>
              </w:rPr>
              <w:t xml:space="preserve"> reglamenta </w:t>
            </w:r>
            <w:r>
              <w:rPr>
                <w:rFonts w:ascii="Verdana" w:eastAsia="Calibri" w:hAnsi="Verdana" w:cs="Arial"/>
              </w:rPr>
              <w:t>los numerales 1, 7 y 8</w:t>
            </w:r>
            <w:r w:rsidRPr="00E54F30">
              <w:rPr>
                <w:rFonts w:ascii="Verdana" w:eastAsia="Calibri" w:hAnsi="Verdana" w:cs="Arial"/>
              </w:rPr>
              <w:t xml:space="preserve"> </w:t>
            </w:r>
            <w:r>
              <w:rPr>
                <w:rFonts w:ascii="Verdana" w:eastAsia="Calibri" w:hAnsi="Verdana" w:cs="Arial"/>
              </w:rPr>
              <w:t>d</w:t>
            </w:r>
            <w:r w:rsidRPr="00E54F30">
              <w:rPr>
                <w:rFonts w:ascii="Verdana" w:eastAsia="Calibri" w:hAnsi="Verdana" w:cs="Arial"/>
              </w:rPr>
              <w:t xml:space="preserve">el artículo 13 de la Ley </w:t>
            </w:r>
            <w:r w:rsidR="00BB06B9">
              <w:rPr>
                <w:rFonts w:ascii="Verdana" w:eastAsia="Calibri" w:hAnsi="Verdana" w:cs="Arial"/>
              </w:rPr>
              <w:t>Estatutaria</w:t>
            </w:r>
            <w:r w:rsidRPr="00E54F30">
              <w:rPr>
                <w:rFonts w:ascii="Verdana" w:eastAsia="Calibri" w:hAnsi="Verdana" w:cs="Arial"/>
              </w:rPr>
              <w:t xml:space="preserve"> 1618 de 2013, </w:t>
            </w:r>
            <w:r w:rsidR="00827E65">
              <w:rPr>
                <w:rFonts w:ascii="Verdana" w:eastAsia="Calibri" w:hAnsi="Verdana" w:cs="Arial"/>
              </w:rPr>
              <w:t>en cumplimiento de la</w:t>
            </w:r>
            <w:r w:rsidRPr="00E54F30">
              <w:rPr>
                <w:rFonts w:ascii="Verdana" w:eastAsia="Calibri" w:hAnsi="Verdana" w:cs="Arial"/>
              </w:rPr>
              <w:t xml:space="preserve"> orden </w:t>
            </w:r>
            <w:r w:rsidR="00827E65">
              <w:rPr>
                <w:rFonts w:ascii="Verdana" w:eastAsia="Calibri" w:hAnsi="Verdana" w:cs="Arial"/>
              </w:rPr>
              <w:t>impartida</w:t>
            </w:r>
            <w:r w:rsidRPr="00E54F30">
              <w:rPr>
                <w:rFonts w:ascii="Verdana" w:eastAsia="Calibri" w:hAnsi="Verdana" w:cs="Arial"/>
              </w:rPr>
              <w:t xml:space="preserve"> por el Consejo de Estado, Sección Quinta de la Sala de lo Contencioso Administrativo, mediante sentencia de acción de cumplimiento del 12 de diciembre de 2024, radicación </w:t>
            </w:r>
            <w:proofErr w:type="spellStart"/>
            <w:r>
              <w:rPr>
                <w:rFonts w:ascii="Verdana" w:eastAsia="Calibri" w:hAnsi="Verdana" w:cs="Arial"/>
              </w:rPr>
              <w:t>N</w:t>
            </w:r>
            <w:r w:rsidRPr="00E54F30">
              <w:rPr>
                <w:rFonts w:ascii="Verdana" w:eastAsia="Calibri" w:hAnsi="Verdana" w:cs="Arial"/>
              </w:rPr>
              <w:t>.°</w:t>
            </w:r>
            <w:proofErr w:type="spellEnd"/>
            <w:r>
              <w:rPr>
                <w:rFonts w:ascii="Verdana" w:eastAsia="Calibri" w:hAnsi="Verdana" w:cs="Arial"/>
              </w:rPr>
              <w:t xml:space="preserve"> </w:t>
            </w:r>
            <w:r w:rsidRPr="00E54F30">
              <w:rPr>
                <w:rFonts w:ascii="Verdana" w:eastAsia="Calibri" w:hAnsi="Verdana" w:cs="Arial"/>
              </w:rPr>
              <w:t>05001-23-33-000-2024-00847-01, con ponencia del magistrado Omar Joaquín Barreto Suárez</w:t>
            </w:r>
            <w:r w:rsidR="00827E65">
              <w:rPr>
                <w:rFonts w:ascii="Verdana" w:eastAsia="Calibri" w:hAnsi="Verdana" w:cs="Arial"/>
              </w:rPr>
              <w:t xml:space="preserve">. En desarrollo de este mandato, </w:t>
            </w:r>
            <w:r w:rsidR="00A6021A">
              <w:rPr>
                <w:rFonts w:ascii="Verdana" w:eastAsia="Calibri" w:hAnsi="Verdana" w:cs="Arial"/>
              </w:rPr>
              <w:t>el Decreto</w:t>
            </w:r>
            <w:r w:rsidRPr="00073658">
              <w:rPr>
                <w:rFonts w:ascii="Verdana" w:eastAsia="Calibri" w:hAnsi="Verdana" w:cs="Arial"/>
              </w:rPr>
              <w:t xml:space="preserve">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w:t>
            </w:r>
          </w:p>
          <w:p w14:paraId="31265487" w14:textId="3C4C6083" w:rsidR="00164E23" w:rsidRDefault="00164E23" w:rsidP="00DC2097">
            <w:pPr>
              <w:spacing w:after="120" w:line="276" w:lineRule="auto"/>
              <w:ind w:firstLine="709"/>
              <w:jc w:val="both"/>
              <w:rPr>
                <w:rFonts w:ascii="Verdana" w:eastAsia="Calibri" w:hAnsi="Verdana" w:cs="Arial"/>
              </w:rPr>
            </w:pPr>
            <w:r w:rsidRPr="00073658">
              <w:rPr>
                <w:rFonts w:ascii="Verdana" w:eastAsia="Calibri" w:hAnsi="Verdana" w:cs="Arial"/>
              </w:rPr>
              <w:t xml:space="preserve">Este sistema está compuesto por cinco </w:t>
            </w:r>
            <w:r w:rsidR="007847CE">
              <w:rPr>
                <w:rFonts w:ascii="Verdana" w:eastAsia="Calibri" w:hAnsi="Verdana" w:cs="Arial"/>
              </w:rPr>
              <w:t>(5)</w:t>
            </w:r>
            <w:r w:rsidRPr="00073658">
              <w:rPr>
                <w:rFonts w:ascii="Verdana" w:eastAsia="Calibri" w:hAnsi="Verdana" w:cs="Arial"/>
              </w:rPr>
              <w:t xml:space="preserve"> medidas</w:t>
            </w:r>
            <w:r w:rsidR="007847CE">
              <w:rPr>
                <w:rFonts w:ascii="Verdana" w:eastAsia="Calibri" w:hAnsi="Verdana" w:cs="Arial"/>
              </w:rPr>
              <w:t xml:space="preserve"> específicas, a saber</w:t>
            </w:r>
            <w:r w:rsidRPr="00073658">
              <w:rPr>
                <w:rFonts w:ascii="Verdana" w:eastAsia="Calibri" w:hAnsi="Verdana" w:cs="Arial"/>
              </w:rPr>
              <w:t xml:space="preserve">: </w:t>
            </w:r>
            <w:r w:rsidR="007847CE">
              <w:rPr>
                <w:rFonts w:ascii="Verdana" w:eastAsia="Calibri" w:hAnsi="Verdana" w:cs="Arial"/>
              </w:rPr>
              <w:t>i)</w:t>
            </w:r>
            <w:r w:rsidRPr="00073658">
              <w:rPr>
                <w:rFonts w:ascii="Verdana" w:eastAsia="Calibri" w:hAnsi="Verdana" w:cs="Arial"/>
              </w:rPr>
              <w:t xml:space="preserve"> herramientas de planeación para procesos inclusivos, </w:t>
            </w:r>
            <w:proofErr w:type="spellStart"/>
            <w:r w:rsidR="007847CE">
              <w:rPr>
                <w:rFonts w:ascii="Verdana" w:eastAsia="Calibri" w:hAnsi="Verdana" w:cs="Arial"/>
              </w:rPr>
              <w:t>ii</w:t>
            </w:r>
            <w:proofErr w:type="spellEnd"/>
            <w:r w:rsidR="007847CE">
              <w:rPr>
                <w:rFonts w:ascii="Verdana" w:eastAsia="Calibri" w:hAnsi="Verdana" w:cs="Arial"/>
              </w:rPr>
              <w:t xml:space="preserve">) </w:t>
            </w:r>
            <w:r w:rsidRPr="00073658">
              <w:rPr>
                <w:rFonts w:ascii="Verdana" w:eastAsia="Calibri" w:hAnsi="Verdana" w:cs="Arial"/>
              </w:rPr>
              <w:t xml:space="preserve">criterios habilitantes diferenciales, </w:t>
            </w:r>
            <w:proofErr w:type="spellStart"/>
            <w:r w:rsidR="006F558C">
              <w:rPr>
                <w:rFonts w:ascii="Verdana" w:eastAsia="Calibri" w:hAnsi="Verdana" w:cs="Arial"/>
              </w:rPr>
              <w:t>iii</w:t>
            </w:r>
            <w:proofErr w:type="spellEnd"/>
            <w:r w:rsidR="006F558C">
              <w:rPr>
                <w:rFonts w:ascii="Verdana" w:eastAsia="Calibri" w:hAnsi="Verdana" w:cs="Arial"/>
              </w:rPr>
              <w:t>)</w:t>
            </w:r>
            <w:r w:rsidRPr="00073658">
              <w:rPr>
                <w:rFonts w:ascii="Verdana" w:eastAsia="Calibri" w:hAnsi="Verdana" w:cs="Arial"/>
              </w:rPr>
              <w:t xml:space="preserve"> </w:t>
            </w:r>
            <w:r w:rsidR="006F558C">
              <w:rPr>
                <w:rFonts w:ascii="Verdana" w:eastAsia="Calibri" w:hAnsi="Verdana" w:cs="Arial"/>
              </w:rPr>
              <w:t xml:space="preserve">asignación de un </w:t>
            </w:r>
            <w:r w:rsidRPr="00073658">
              <w:rPr>
                <w:rFonts w:ascii="Verdana" w:eastAsia="Calibri" w:hAnsi="Verdana" w:cs="Arial"/>
              </w:rPr>
              <w:t xml:space="preserve">puntaje adicional del </w:t>
            </w:r>
            <w:r w:rsidR="005773F3">
              <w:rPr>
                <w:rFonts w:ascii="Verdana" w:eastAsia="Calibri" w:hAnsi="Verdana" w:cs="Arial"/>
              </w:rPr>
              <w:t>dos por ciento (</w:t>
            </w:r>
            <w:r w:rsidRPr="00073658">
              <w:rPr>
                <w:rFonts w:ascii="Verdana" w:eastAsia="Calibri" w:hAnsi="Verdana" w:cs="Arial"/>
              </w:rPr>
              <w:t>2%</w:t>
            </w:r>
            <w:r w:rsidR="005773F3">
              <w:rPr>
                <w:rFonts w:ascii="Verdana" w:eastAsia="Calibri" w:hAnsi="Verdana" w:cs="Arial"/>
              </w:rPr>
              <w:t>)</w:t>
            </w:r>
            <w:r w:rsidRPr="00073658">
              <w:rPr>
                <w:rFonts w:ascii="Verdana" w:eastAsia="Calibri" w:hAnsi="Verdana" w:cs="Arial"/>
              </w:rPr>
              <w:t>,</w:t>
            </w:r>
            <w:r w:rsidR="005773F3">
              <w:rPr>
                <w:rFonts w:ascii="Verdana" w:eastAsia="Calibri" w:hAnsi="Verdana" w:cs="Arial"/>
              </w:rPr>
              <w:t xml:space="preserve"> </w:t>
            </w:r>
            <w:proofErr w:type="spellStart"/>
            <w:r w:rsidR="005773F3">
              <w:rPr>
                <w:rFonts w:ascii="Verdana" w:eastAsia="Calibri" w:hAnsi="Verdana" w:cs="Arial"/>
              </w:rPr>
              <w:t>iv</w:t>
            </w:r>
            <w:proofErr w:type="spellEnd"/>
            <w:r w:rsidR="005773F3">
              <w:rPr>
                <w:rFonts w:ascii="Verdana" w:eastAsia="Calibri" w:hAnsi="Verdana" w:cs="Arial"/>
              </w:rPr>
              <w:t>) la inclusión de</w:t>
            </w:r>
            <w:r w:rsidRPr="00073658">
              <w:rPr>
                <w:rFonts w:ascii="Verdana" w:eastAsia="Calibri" w:hAnsi="Verdana" w:cs="Arial"/>
              </w:rPr>
              <w:t xml:space="preserve"> condiciones especiales de ejecución </w:t>
            </w:r>
            <w:r w:rsidR="00F86907">
              <w:rPr>
                <w:rFonts w:ascii="Verdana" w:eastAsia="Calibri" w:hAnsi="Verdana" w:cs="Arial"/>
              </w:rPr>
              <w:t xml:space="preserve">y </w:t>
            </w:r>
            <w:proofErr w:type="spellStart"/>
            <w:r w:rsidR="00F86907">
              <w:rPr>
                <w:rFonts w:ascii="Verdana" w:eastAsia="Calibri" w:hAnsi="Verdana" w:cs="Arial"/>
              </w:rPr>
              <w:t>iv</w:t>
            </w:r>
            <w:proofErr w:type="spellEnd"/>
            <w:r w:rsidR="00F86907">
              <w:rPr>
                <w:rFonts w:ascii="Verdana" w:eastAsia="Calibri" w:hAnsi="Verdana" w:cs="Arial"/>
              </w:rPr>
              <w:t>) la</w:t>
            </w:r>
            <w:r w:rsidRPr="00073658">
              <w:rPr>
                <w:rFonts w:ascii="Verdana" w:eastAsia="Calibri" w:hAnsi="Verdana" w:cs="Arial"/>
              </w:rPr>
              <w:t xml:space="preserv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w:t>
            </w:r>
            <w:r>
              <w:rPr>
                <w:rFonts w:ascii="Verdana" w:eastAsia="Calibri" w:hAnsi="Verdana" w:cs="Arial"/>
              </w:rPr>
              <w:t>, irradiando la fase de planeación</w:t>
            </w:r>
            <w:r w:rsidR="0071236F">
              <w:rPr>
                <w:rFonts w:ascii="Verdana" w:eastAsia="Calibri" w:hAnsi="Verdana" w:cs="Arial"/>
              </w:rPr>
              <w:t>,</w:t>
            </w:r>
            <w:r>
              <w:rPr>
                <w:rFonts w:ascii="Verdana" w:eastAsia="Calibri" w:hAnsi="Verdana" w:cs="Arial"/>
              </w:rPr>
              <w:t xml:space="preserve"> ya que es allí donde la compra debe plantearse con criterios de accesibilidad</w:t>
            </w:r>
            <w:r w:rsidRPr="00073658">
              <w:rPr>
                <w:rFonts w:ascii="Verdana" w:eastAsia="Calibri" w:hAnsi="Verdana" w:cs="Arial"/>
              </w:rPr>
              <w:t>.</w:t>
            </w:r>
          </w:p>
          <w:p w14:paraId="667F334A" w14:textId="77777777" w:rsidR="00111A55" w:rsidRPr="00111A55" w:rsidRDefault="00111A55" w:rsidP="00111A55">
            <w:pPr>
              <w:spacing w:after="120" w:line="276" w:lineRule="auto"/>
              <w:ind w:firstLine="709"/>
              <w:jc w:val="both"/>
              <w:rPr>
                <w:rFonts w:ascii="Verdana" w:eastAsia="Calibri" w:hAnsi="Verdana" w:cs="Arial"/>
              </w:rPr>
            </w:pPr>
            <w:r w:rsidRPr="00111A55">
              <w:rPr>
                <w:rFonts w:ascii="Verdana" w:eastAsia="Calibri" w:hAnsi="Verdana" w:cs="Arial"/>
              </w:rPr>
              <w:t xml:space="preserve">El sistema beneficia a dos sujetos diferenciados cuyas medidas no son idénticas ni intercambiables. El primer sujeto son los emprendimientos y empresas de PcD,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w:t>
            </w:r>
            <w:r w:rsidRPr="00111A55">
              <w:rPr>
                <w:rFonts w:ascii="Verdana" w:eastAsia="Calibri" w:hAnsi="Verdana" w:cs="Arial"/>
              </w:rPr>
              <w:lastRenderedPageBreak/>
              <w:t>de nivel directivo por al menos un año. El segundo sujeto son los empleadores de PcD, esto es, cualquier empresa que tenga en su planta de personal trabajadores con discapacidad contratados laboralmente con dedicación exclusiva, superando los mínimos que exige la Ley 2466 de 2025 (Reforma Laboral). Estos sujetos no tienen en cuenta el género, es decir si son PcD hombres o mujeres, por lo que la definición es aplicable independientemente del género de la PcD y no afecta las medidas afirmativas a aplicar. Por otra parte,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1BED4C4C" w14:textId="61E78A4B" w:rsidR="00164E23" w:rsidRPr="00073658" w:rsidRDefault="00164E23" w:rsidP="00727317">
            <w:pPr>
              <w:spacing w:before="120" w:after="120" w:line="276" w:lineRule="auto"/>
              <w:ind w:firstLine="709"/>
              <w:jc w:val="both"/>
              <w:rPr>
                <w:rFonts w:ascii="Verdana" w:eastAsia="Calibri" w:hAnsi="Verdana" w:cs="Arial"/>
              </w:rPr>
            </w:pPr>
            <w:r w:rsidRPr="00D851ED">
              <w:rPr>
                <w:rFonts w:ascii="Verdana" w:eastAsia="Calibri" w:hAnsi="Verdana" w:cs="Arial"/>
              </w:rPr>
              <w:t xml:space="preserve">La aplicación del Decreto 287 de 2026 en los procesos de contratación </w:t>
            </w:r>
            <w:r w:rsidR="008145AE">
              <w:rPr>
                <w:rFonts w:ascii="Verdana" w:eastAsia="Calibri" w:hAnsi="Verdana" w:cs="Arial"/>
              </w:rPr>
              <w:t xml:space="preserve">que se adelantan mediante la modalidad de selección abreviada </w:t>
            </w:r>
            <w:r w:rsidR="00A30FEE">
              <w:rPr>
                <w:rFonts w:ascii="Verdana" w:eastAsia="Calibri" w:hAnsi="Verdana" w:cs="Arial"/>
              </w:rPr>
              <w:t xml:space="preserve">depende de la medida del sistema de preferencias que se establece en la nueva norma, </w:t>
            </w:r>
            <w:r w:rsidR="00AB1E90">
              <w:rPr>
                <w:rFonts w:ascii="Verdana" w:eastAsia="Calibri" w:hAnsi="Verdana" w:cs="Arial"/>
              </w:rPr>
              <w:t xml:space="preserve">es decir, </w:t>
            </w:r>
            <w:r w:rsidR="00C0617C">
              <w:rPr>
                <w:rFonts w:ascii="Verdana" w:eastAsia="Calibri" w:hAnsi="Verdana" w:cs="Arial"/>
              </w:rPr>
              <w:t xml:space="preserve">las </w:t>
            </w:r>
            <w:r w:rsidR="00335ADD">
              <w:rPr>
                <w:rFonts w:ascii="Verdana" w:eastAsia="Calibri" w:hAnsi="Verdana" w:cs="Arial"/>
              </w:rPr>
              <w:t>cinco (</w:t>
            </w:r>
            <w:r w:rsidR="00C0617C">
              <w:rPr>
                <w:rFonts w:ascii="Verdana" w:eastAsia="Calibri" w:hAnsi="Verdana" w:cs="Arial"/>
              </w:rPr>
              <w:t>5</w:t>
            </w:r>
            <w:r w:rsidR="00335ADD">
              <w:rPr>
                <w:rFonts w:ascii="Verdana" w:eastAsia="Calibri" w:hAnsi="Verdana" w:cs="Arial"/>
              </w:rPr>
              <w:t>)</w:t>
            </w:r>
            <w:r w:rsidR="00E00DEA">
              <w:rPr>
                <w:rFonts w:ascii="Verdana" w:eastAsia="Calibri" w:hAnsi="Verdana" w:cs="Arial"/>
              </w:rPr>
              <w:t xml:space="preserve"> medidas antes mencionadas, ya que </w:t>
            </w:r>
            <w:r w:rsidR="00335ADD">
              <w:rPr>
                <w:rFonts w:ascii="Verdana" w:eastAsia="Calibri" w:hAnsi="Verdana" w:cs="Arial"/>
              </w:rPr>
              <w:t xml:space="preserve">en la selección abreviada son aplicables tres (3): i) herramientas de planeación, </w:t>
            </w:r>
            <w:proofErr w:type="spellStart"/>
            <w:r w:rsidR="00335ADD">
              <w:rPr>
                <w:rFonts w:ascii="Verdana" w:eastAsia="Calibri" w:hAnsi="Verdana" w:cs="Arial"/>
              </w:rPr>
              <w:t>ii</w:t>
            </w:r>
            <w:proofErr w:type="spellEnd"/>
            <w:r w:rsidR="00335ADD">
              <w:rPr>
                <w:rFonts w:ascii="Verdana" w:eastAsia="Calibri" w:hAnsi="Verdana" w:cs="Arial"/>
              </w:rPr>
              <w:t xml:space="preserve">) criterios habilitantes diferenciales y </w:t>
            </w:r>
            <w:proofErr w:type="spellStart"/>
            <w:r w:rsidR="00335ADD">
              <w:rPr>
                <w:rFonts w:ascii="Verdana" w:eastAsia="Calibri" w:hAnsi="Verdana" w:cs="Arial"/>
              </w:rPr>
              <w:t>iii</w:t>
            </w:r>
            <w:proofErr w:type="spellEnd"/>
            <w:r w:rsidR="00335ADD">
              <w:rPr>
                <w:rFonts w:ascii="Verdana" w:eastAsia="Calibri" w:hAnsi="Verdana" w:cs="Arial"/>
              </w:rPr>
              <w:t xml:space="preserve">) </w:t>
            </w:r>
            <w:r w:rsidR="006B1034">
              <w:rPr>
                <w:rFonts w:ascii="Verdana" w:eastAsia="Calibri" w:hAnsi="Verdana" w:cs="Arial"/>
              </w:rPr>
              <w:t>condiciones especiales de ejecución</w:t>
            </w:r>
            <w:r w:rsidR="00581D4B">
              <w:rPr>
                <w:rFonts w:ascii="Verdana" w:eastAsia="Calibri" w:hAnsi="Verdana" w:cs="Arial"/>
              </w:rPr>
              <w:t xml:space="preserve">, es decir, que las medidas que no aplican a la selección abreviada son el puntaje adicional, debido a que la Ley 1618 de 2013 mencionó que las modalidades son únicamente licitación pública y concurso de méritos; y tampoco es aplicable </w:t>
            </w:r>
            <w:r w:rsidR="004E53FB">
              <w:rPr>
                <w:rFonts w:ascii="Verdana" w:eastAsia="Calibri" w:hAnsi="Verdana" w:cs="Arial"/>
              </w:rPr>
              <w:t>los contratos de prestación de servicios con personas con discapacidad ya que la modalidad de estos es la contratación directa.</w:t>
            </w:r>
          </w:p>
          <w:p w14:paraId="13152445" w14:textId="77777777" w:rsidR="00A612CD" w:rsidRDefault="00A612CD" w:rsidP="00A07A6E">
            <w:pPr>
              <w:spacing w:line="276" w:lineRule="auto"/>
              <w:jc w:val="both"/>
              <w:rPr>
                <w:rFonts w:ascii="Verdana" w:eastAsia="Calibri" w:hAnsi="Verdana" w:cs="Arial"/>
              </w:rPr>
            </w:pPr>
          </w:p>
          <w:p w14:paraId="16A1EE30" w14:textId="4887DBA5" w:rsidR="00164E23" w:rsidRPr="00670CFB" w:rsidRDefault="00A612CD" w:rsidP="003606F3">
            <w:pPr>
              <w:spacing w:line="276" w:lineRule="auto"/>
              <w:jc w:val="both"/>
              <w:rPr>
                <w:rFonts w:ascii="Verdana" w:eastAsia="Calibri" w:hAnsi="Verdana" w:cs="Arial"/>
              </w:rPr>
            </w:pPr>
            <w:proofErr w:type="spellStart"/>
            <w:r>
              <w:rPr>
                <w:rFonts w:ascii="Verdana" w:eastAsia="Calibri" w:hAnsi="Verdana" w:cs="Arial"/>
              </w:rPr>
              <w:t>ii</w:t>
            </w:r>
            <w:proofErr w:type="spellEnd"/>
            <w:r>
              <w:rPr>
                <w:rFonts w:ascii="Verdana" w:eastAsia="Calibri" w:hAnsi="Verdana" w:cs="Arial"/>
              </w:rPr>
              <w:t xml:space="preserve">) </w:t>
            </w:r>
            <w:r w:rsidR="00DF1A20" w:rsidRPr="00DF1A20">
              <w:rPr>
                <w:rFonts w:ascii="Verdana" w:eastAsia="Calibri" w:hAnsi="Verdana" w:cs="Arial"/>
              </w:rPr>
              <w:t xml:space="preserve">En cuanto a la aplicación de las medidas afirmativas en entidades con régimen especial de contratación, el decreto diferencia el alcance de las medidas según el régimen contractual de la entidad. Las medidas que aplican a ambos regímenes —Estatuto General de Contratación Pública y régimen especial— son los criterios habilitantes diferenciales y las compras públicas accesibles. Las medidas que aplican exclusivamente a entidades regidas por el Estatuto General de Contratación Pública son las herramientas de planeación, el puntaje adicional del 2%, las condiciones especiales de ejecución y los contratos de prestación de servicios con PcD. En consecuencia, una entidad con régimen especial que adelante procesos competitivos está obligada a establecer criterios habilitantes diferenciales y a garantizar compras públicas accesibles, pero no está obligada a otorgar el puntaje adicional del </w:t>
            </w:r>
            <w:r w:rsidR="00DF1A20" w:rsidRPr="00DF1A20">
              <w:rPr>
                <w:rFonts w:ascii="Verdana" w:eastAsia="Calibri" w:hAnsi="Verdana" w:cs="Arial"/>
              </w:rPr>
              <w:lastRenderedPageBreak/>
              <w:t>2% ni a incluir condiciones especiales de ejecución, pues estas últimas medidas están previstas exclusivamente para el Estatuto General de Contratación Pública</w:t>
            </w:r>
            <w:r w:rsidR="003606F3">
              <w:rPr>
                <w:rFonts w:ascii="Verdana" w:eastAsia="Calibri" w:hAnsi="Verdana" w:cs="Arial"/>
              </w:rPr>
              <w:t>.</w:t>
            </w:r>
            <w:r w:rsidR="007204C2">
              <w:rPr>
                <w:rFonts w:ascii="Verdana" w:eastAsia="Calibri" w:hAnsi="Verdana" w:cs="Arial"/>
              </w:rPr>
              <w:t xml:space="preserve"> </w:t>
            </w:r>
            <w:r w:rsidR="00164E23">
              <w:rPr>
                <w:rFonts w:ascii="Verdana" w:eastAsia="Calibri" w:hAnsi="Verdana" w:cs="Arial"/>
                <w:lang w:val="es-ES" w:eastAsia="es-ES"/>
              </w:rPr>
              <w:t xml:space="preserve"> </w:t>
            </w:r>
          </w:p>
        </w:tc>
      </w:tr>
    </w:tbl>
    <w:p w14:paraId="4D51842F" w14:textId="77777777" w:rsidR="00164E23" w:rsidRPr="00206556" w:rsidRDefault="00164E23" w:rsidP="00164E23">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4B48CD99" w14:textId="295EBD49" w:rsidR="00164E23" w:rsidRPr="00206556" w:rsidRDefault="00164E23" w:rsidP="00164E2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w:t>
      </w:r>
      <w:r w:rsidR="00C764E1">
        <w:rPr>
          <w:rFonts w:ascii="Verdana" w:eastAsia="Century Gothic" w:hAnsi="Verdana" w:cs="Century Gothic"/>
          <w:b/>
          <w:lang w:val="es-ES"/>
        </w:rPr>
        <w:t>s</w:t>
      </w:r>
      <w:r w:rsidRPr="00206556">
        <w:rPr>
          <w:rFonts w:ascii="Verdana" w:eastAsia="Century Gothic" w:hAnsi="Verdana" w:cs="Century Gothic"/>
          <w:b/>
          <w:lang w:val="es-ES"/>
        </w:rPr>
        <w:t xml:space="preserve"> respuesta</w:t>
      </w:r>
      <w:r w:rsidR="00C764E1">
        <w:rPr>
          <w:rFonts w:ascii="Verdana" w:eastAsia="Century Gothic" w:hAnsi="Verdana" w:cs="Century Gothic"/>
          <w:b/>
          <w:lang w:val="es-ES"/>
        </w:rPr>
        <w:t>s</w:t>
      </w:r>
      <w:r w:rsidRPr="00206556">
        <w:rPr>
          <w:rFonts w:ascii="Verdana" w:eastAsia="Century Gothic" w:hAnsi="Verdana" w:cs="Century Gothic"/>
          <w:b/>
          <w:lang w:val="es-ES"/>
        </w:rPr>
        <w:t>:</w:t>
      </w:r>
    </w:p>
    <w:p w14:paraId="43044E35" w14:textId="77777777" w:rsidR="00164E23" w:rsidRPr="00206556" w:rsidRDefault="00164E23" w:rsidP="00164E23">
      <w:pPr>
        <w:tabs>
          <w:tab w:val="left" w:pos="142"/>
          <w:tab w:val="left" w:pos="284"/>
        </w:tabs>
        <w:spacing w:after="0" w:line="276" w:lineRule="auto"/>
        <w:jc w:val="both"/>
        <w:rPr>
          <w:rFonts w:ascii="Verdana" w:eastAsia="Century Gothic" w:hAnsi="Verdana" w:cs="Century Gothic"/>
          <w:b/>
          <w:color w:val="ED7D31" w:themeColor="accent2"/>
          <w:lang w:val="es-ES"/>
        </w:rPr>
      </w:pPr>
    </w:p>
    <w:p w14:paraId="1739291D" w14:textId="77777777" w:rsidR="00164E23" w:rsidRPr="00206556" w:rsidRDefault="00164E23" w:rsidP="00164E23">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06EAF98E" w14:textId="77777777" w:rsidR="00164E23" w:rsidRPr="00206556" w:rsidRDefault="00164E23" w:rsidP="00164E23">
      <w:pPr>
        <w:spacing w:after="0" w:line="276" w:lineRule="auto"/>
        <w:jc w:val="both"/>
        <w:rPr>
          <w:rFonts w:ascii="Verdana" w:eastAsia="Calibri" w:hAnsi="Verdana" w:cs="Arial"/>
          <w:lang w:val="es-ES"/>
        </w:rPr>
      </w:pPr>
    </w:p>
    <w:p w14:paraId="0AA4FB2A" w14:textId="4409A64F" w:rsidR="00ED72A7" w:rsidRPr="000C6B53" w:rsidRDefault="00164E23" w:rsidP="00164E23">
      <w:pPr>
        <w:spacing w:after="120" w:line="276" w:lineRule="auto"/>
        <w:jc w:val="both"/>
        <w:rPr>
          <w:rFonts w:ascii="Verdana" w:eastAsia="Calibri" w:hAnsi="Verdana" w:cs="Arial"/>
        </w:rPr>
      </w:pPr>
      <w:r w:rsidRPr="000C6B53">
        <w:rPr>
          <w:rFonts w:ascii="Verdana" w:eastAsia="Calibri" w:hAnsi="Verdana" w:cs="Arial"/>
          <w:lang w:val="es-ES"/>
        </w:rPr>
        <w:t xml:space="preserve">(i) </w:t>
      </w:r>
      <w:r w:rsidRPr="000C6B53">
        <w:rPr>
          <w:rFonts w:ascii="Verdana" w:eastAsia="Calibri" w:hAnsi="Verdana" w:cs="Arial"/>
        </w:rPr>
        <w:t>Para resolver el problema jurídico planteado, esta Agencia considera necesario partir de</w:t>
      </w:r>
      <w:r w:rsidR="005E53B6" w:rsidRPr="000C6B53">
        <w:rPr>
          <w:rFonts w:ascii="Verdana" w:eastAsia="Calibri" w:hAnsi="Verdana" w:cs="Arial"/>
        </w:rPr>
        <w:t xml:space="preserve">l análisis </w:t>
      </w:r>
      <w:r w:rsidRPr="000C6B53">
        <w:rPr>
          <w:rFonts w:ascii="Verdana" w:eastAsia="Calibri" w:hAnsi="Verdana" w:cs="Arial"/>
        </w:rPr>
        <w:t xml:space="preserve">de los antecedentes normativos que explican el origen, la finalidad y el alcance del Sistema Integral de Preferencias establecido por el Decreto 0287 de 2026, </w:t>
      </w:r>
      <w:r w:rsidR="009724CD" w:rsidRPr="000C6B53">
        <w:rPr>
          <w:rFonts w:ascii="Verdana" w:eastAsia="Calibri" w:hAnsi="Verdana" w:cs="Arial"/>
        </w:rPr>
        <w:t xml:space="preserve">en la medida </w:t>
      </w:r>
      <w:r w:rsidR="00B157DF" w:rsidRPr="000C6B53">
        <w:rPr>
          <w:rFonts w:ascii="Verdana" w:eastAsia="Calibri" w:hAnsi="Verdana" w:cs="Arial"/>
        </w:rPr>
        <w:t xml:space="preserve">en </w:t>
      </w:r>
      <w:r w:rsidR="009724CD" w:rsidRPr="000C6B53">
        <w:rPr>
          <w:rFonts w:ascii="Verdana" w:eastAsia="Calibri" w:hAnsi="Verdana" w:cs="Arial"/>
        </w:rPr>
        <w:t xml:space="preserve">que </w:t>
      </w:r>
      <w:r w:rsidRPr="000C6B53">
        <w:rPr>
          <w:rFonts w:ascii="Verdana" w:eastAsia="Calibri" w:hAnsi="Verdana" w:cs="Arial"/>
        </w:rPr>
        <w:t xml:space="preserve">solo a partir de ese contexto es posible comprender las obligaciones concretas que dicho decreto impone a las entidades estatales y a los demás partícipes de la contratación pública. </w:t>
      </w:r>
    </w:p>
    <w:p w14:paraId="243250AB" w14:textId="71389623" w:rsidR="00DB55D1" w:rsidRPr="000C6B53" w:rsidRDefault="00164E23" w:rsidP="00505D00">
      <w:pPr>
        <w:spacing w:after="120" w:line="276" w:lineRule="auto"/>
        <w:ind w:firstLine="708"/>
        <w:jc w:val="both"/>
        <w:rPr>
          <w:rFonts w:ascii="Verdana" w:eastAsia="Times New Roman" w:hAnsi="Verdana" w:cs="Times New Roman"/>
        </w:rPr>
      </w:pPr>
      <w:r w:rsidRPr="000C6B53">
        <w:rPr>
          <w:rFonts w:ascii="Verdana" w:eastAsia="Times New Roman" w:hAnsi="Verdana" w:cs="Times New Roman"/>
        </w:rPr>
        <w:t xml:space="preserve">El fundamento </w:t>
      </w:r>
      <w:r w:rsidR="001C3294" w:rsidRPr="000C6B53">
        <w:rPr>
          <w:rFonts w:ascii="Verdana" w:eastAsia="Times New Roman" w:hAnsi="Verdana" w:cs="Times New Roman"/>
        </w:rPr>
        <w:t xml:space="preserve">constitucional </w:t>
      </w:r>
      <w:r w:rsidRPr="000C6B53">
        <w:rPr>
          <w:rFonts w:ascii="Verdana" w:eastAsia="Times New Roman" w:hAnsi="Verdana" w:cs="Times New Roman"/>
        </w:rPr>
        <w:t xml:space="preserve">del Sistema de Preferencias </w:t>
      </w:r>
      <w:r w:rsidR="00691BB4" w:rsidRPr="000C6B53">
        <w:rPr>
          <w:rFonts w:ascii="Verdana" w:eastAsia="Times New Roman" w:hAnsi="Verdana" w:cs="Times New Roman"/>
        </w:rPr>
        <w:t xml:space="preserve">en favor de las </w:t>
      </w:r>
      <w:r w:rsidRPr="000C6B53">
        <w:rPr>
          <w:rFonts w:ascii="Verdana" w:eastAsia="Times New Roman" w:hAnsi="Verdana" w:cs="Times New Roman"/>
        </w:rPr>
        <w:t xml:space="preserve">PcD en la contratación pública </w:t>
      </w:r>
      <w:r w:rsidR="00157128" w:rsidRPr="000C6B53">
        <w:rPr>
          <w:rFonts w:ascii="Verdana" w:eastAsia="Times New Roman" w:hAnsi="Verdana" w:cs="Times New Roman"/>
        </w:rPr>
        <w:t xml:space="preserve">se encuentra en </w:t>
      </w:r>
      <w:r w:rsidRPr="000C6B53">
        <w:rPr>
          <w:rFonts w:ascii="Verdana" w:eastAsia="Times New Roman" w:hAnsi="Verdana" w:cs="Times New Roman"/>
        </w:rPr>
        <w:t xml:space="preserve">el principio de igualdad </w:t>
      </w:r>
      <w:r w:rsidR="00C8303C" w:rsidRPr="000C6B53">
        <w:rPr>
          <w:rFonts w:ascii="Verdana" w:eastAsia="Times New Roman" w:hAnsi="Verdana" w:cs="Times New Roman"/>
        </w:rPr>
        <w:t xml:space="preserve">material o </w:t>
      </w:r>
      <w:r w:rsidRPr="000C6B53">
        <w:rPr>
          <w:rFonts w:ascii="Verdana" w:eastAsia="Times New Roman" w:hAnsi="Verdana" w:cs="Times New Roman"/>
        </w:rPr>
        <w:t>real y efectiva consagrado en el artículo 13 de la Constitución Política de 1991</w:t>
      </w:r>
      <w:r w:rsidRPr="000C6B53">
        <w:rPr>
          <w:rStyle w:val="Refdenotaalpie"/>
          <w:rFonts w:ascii="Verdana" w:eastAsia="Times New Roman" w:hAnsi="Verdana" w:cs="Times New Roman"/>
        </w:rPr>
        <w:footnoteReference w:id="1"/>
      </w:r>
      <w:r w:rsidRPr="000C6B53">
        <w:rPr>
          <w:rFonts w:ascii="Verdana" w:eastAsia="Times New Roman" w:hAnsi="Verdana" w:cs="Times New Roman"/>
        </w:rPr>
        <w:t xml:space="preserve">, </w:t>
      </w:r>
      <w:r w:rsidR="0018583C" w:rsidRPr="000C6B53">
        <w:rPr>
          <w:rFonts w:ascii="Verdana" w:eastAsia="Times New Roman" w:hAnsi="Verdana" w:cs="Times New Roman"/>
        </w:rPr>
        <w:t xml:space="preserve">el cual le </w:t>
      </w:r>
      <w:r w:rsidRPr="000C6B53">
        <w:rPr>
          <w:rFonts w:ascii="Verdana" w:eastAsia="Times New Roman" w:hAnsi="Verdana" w:cs="Times New Roman"/>
        </w:rPr>
        <w:t xml:space="preserve">impone al Estado el deber positivo de adoptar </w:t>
      </w:r>
      <w:r w:rsidRPr="000C6B53">
        <w:rPr>
          <w:rFonts w:ascii="Verdana" w:eastAsia="Times New Roman" w:hAnsi="Verdana" w:cs="Times New Roman"/>
          <w:i/>
          <w:iCs/>
        </w:rPr>
        <w:t>acciones afirmativas</w:t>
      </w:r>
      <w:r w:rsidRPr="000C6B53">
        <w:rPr>
          <w:rFonts w:ascii="Verdana" w:eastAsia="Times New Roman" w:hAnsi="Verdana" w:cs="Times New Roman"/>
        </w:rPr>
        <w:t xml:space="preserve"> en favor de grupos históricamente excluidos</w:t>
      </w:r>
      <w:r w:rsidR="0018583C" w:rsidRPr="000C6B53">
        <w:rPr>
          <w:rFonts w:ascii="Verdana" w:eastAsia="Times New Roman" w:hAnsi="Verdana" w:cs="Times New Roman"/>
        </w:rPr>
        <w:t xml:space="preserve">, dirigidas a </w:t>
      </w:r>
      <w:r w:rsidR="00CE4D68" w:rsidRPr="000C6B53">
        <w:rPr>
          <w:rFonts w:ascii="Verdana" w:eastAsia="Times New Roman" w:hAnsi="Verdana" w:cs="Times New Roman"/>
        </w:rPr>
        <w:t>corregir situaciones de discriminación estructural que los afectan</w:t>
      </w:r>
      <w:r w:rsidRPr="000C6B53">
        <w:rPr>
          <w:rFonts w:ascii="Verdana" w:eastAsia="Times New Roman" w:hAnsi="Verdana" w:cs="Times New Roman"/>
        </w:rPr>
        <w:t xml:space="preserve">. </w:t>
      </w:r>
      <w:r w:rsidR="00CE4D68" w:rsidRPr="000C6B53">
        <w:rPr>
          <w:rFonts w:ascii="Verdana" w:eastAsia="Times New Roman" w:hAnsi="Verdana" w:cs="Times New Roman"/>
        </w:rPr>
        <w:t>En desarrollo de este mandato, la</w:t>
      </w:r>
      <w:r w:rsidRPr="000C6B53">
        <w:rPr>
          <w:rFonts w:ascii="Verdana" w:eastAsia="Times New Roman" w:hAnsi="Verdana" w:cs="Times New Roman"/>
        </w:rPr>
        <w:t xml:space="preserve"> Corte Constitucional ha sostenido que tales medidas buscan contrarrestar los efectos de la discriminación y que el Estado puede establecer tratamientos diferenciales a favor de estos grupos en aras de lograr una igualdad real y efectiva. </w:t>
      </w:r>
    </w:p>
    <w:p w14:paraId="7F748304" w14:textId="22E4ABD6" w:rsidR="00164E23" w:rsidRPr="000C6B53" w:rsidRDefault="00DB55D1" w:rsidP="00A07A6E">
      <w:pPr>
        <w:spacing w:after="120" w:line="276" w:lineRule="auto"/>
        <w:ind w:firstLine="708"/>
        <w:jc w:val="both"/>
        <w:rPr>
          <w:rFonts w:ascii="Verdana" w:eastAsia="Times New Roman" w:hAnsi="Verdana" w:cs="Times New Roman"/>
        </w:rPr>
      </w:pPr>
      <w:r w:rsidRPr="000C6B53">
        <w:rPr>
          <w:rFonts w:ascii="Verdana" w:eastAsia="Times New Roman" w:hAnsi="Verdana" w:cs="Times New Roman"/>
        </w:rPr>
        <w:t>A su vez, l</w:t>
      </w:r>
      <w:r w:rsidR="00164E23" w:rsidRPr="000C6B53">
        <w:rPr>
          <w:rFonts w:ascii="Verdana" w:eastAsia="Times New Roman" w:hAnsi="Verdana" w:cs="Times New Roman"/>
        </w:rPr>
        <w:t>os artículos 47 y 54 de la Carta Política refuerzan este mandato al ordenar políticas de integración social y ubicación laboral para las PcD</w:t>
      </w:r>
      <w:r w:rsidR="00164E23" w:rsidRPr="000C6B53">
        <w:rPr>
          <w:rStyle w:val="Refdenotaalpie"/>
          <w:rFonts w:ascii="Verdana" w:eastAsia="Times New Roman" w:hAnsi="Verdana" w:cs="Times New Roman"/>
        </w:rPr>
        <w:footnoteReference w:id="2"/>
      </w:r>
      <w:r w:rsidR="00164E23" w:rsidRPr="000C6B53">
        <w:rPr>
          <w:rFonts w:ascii="Verdana" w:eastAsia="Times New Roman" w:hAnsi="Verdana" w:cs="Times New Roman"/>
        </w:rPr>
        <w:t>.</w:t>
      </w:r>
    </w:p>
    <w:p w14:paraId="33D326C4" w14:textId="5C0197B3" w:rsidR="00164E23" w:rsidRPr="000C6B53" w:rsidRDefault="00164E23" w:rsidP="00164E23">
      <w:pPr>
        <w:spacing w:after="120" w:line="276" w:lineRule="auto"/>
        <w:ind w:firstLine="708"/>
        <w:jc w:val="both"/>
        <w:rPr>
          <w:rFonts w:ascii="Verdana" w:hAnsi="Verdana"/>
        </w:rPr>
      </w:pPr>
      <w:r w:rsidRPr="000C6B53">
        <w:rPr>
          <w:rFonts w:ascii="Verdana" w:eastAsia="Times New Roman" w:hAnsi="Verdana" w:cs="Times New Roman"/>
        </w:rPr>
        <w:t xml:space="preserve">En el plano internacional, Colombia es Estado Parte de </w:t>
      </w:r>
      <w:r w:rsidR="00126041" w:rsidRPr="000C6B53">
        <w:rPr>
          <w:rFonts w:ascii="Verdana" w:eastAsia="Times New Roman" w:hAnsi="Verdana" w:cs="Times New Roman"/>
        </w:rPr>
        <w:t>diversos</w:t>
      </w:r>
      <w:r w:rsidRPr="000C6B53">
        <w:rPr>
          <w:rFonts w:ascii="Verdana" w:eastAsia="Times New Roman" w:hAnsi="Verdana" w:cs="Times New Roman"/>
        </w:rPr>
        <w:t xml:space="preserve"> instrumentos que conforman el Bloque de Constitucionalidad en </w:t>
      </w:r>
      <w:r w:rsidR="00125336" w:rsidRPr="000C6B53">
        <w:rPr>
          <w:rFonts w:ascii="Verdana" w:eastAsia="Times New Roman" w:hAnsi="Verdana" w:cs="Times New Roman"/>
        </w:rPr>
        <w:t xml:space="preserve">los términos </w:t>
      </w:r>
      <w:r w:rsidRPr="000C6B53">
        <w:rPr>
          <w:rFonts w:ascii="Verdana" w:eastAsia="Times New Roman" w:hAnsi="Verdana" w:cs="Times New Roman"/>
        </w:rPr>
        <w:t xml:space="preserve">del artículo 93 superior. </w:t>
      </w:r>
      <w:r w:rsidR="00125336" w:rsidRPr="000C6B53">
        <w:rPr>
          <w:rFonts w:ascii="Verdana" w:eastAsia="Times New Roman" w:hAnsi="Verdana" w:cs="Times New Roman"/>
        </w:rPr>
        <w:t>En particular, l</w:t>
      </w:r>
      <w:r w:rsidRPr="000C6B53">
        <w:rPr>
          <w:rFonts w:ascii="Verdana" w:eastAsia="Times New Roman" w:hAnsi="Verdana" w:cs="Times New Roman"/>
        </w:rPr>
        <w:t xml:space="preserve">a Convención sobre los Derechos de las </w:t>
      </w:r>
      <w:r w:rsidRPr="000C6B53">
        <w:rPr>
          <w:rFonts w:ascii="Verdana" w:eastAsia="Times New Roman" w:hAnsi="Verdana" w:cs="Times New Roman"/>
        </w:rPr>
        <w:lastRenderedPageBreak/>
        <w:t>Personas con Discapacidad de la ONU</w:t>
      </w:r>
      <w:r w:rsidRPr="000C6B53">
        <w:rPr>
          <w:rStyle w:val="Refdenotaalpie"/>
          <w:rFonts w:ascii="Verdana" w:eastAsia="Times New Roman" w:hAnsi="Verdana" w:cs="Times New Roman"/>
        </w:rPr>
        <w:footnoteReference w:id="3"/>
      </w:r>
      <w:r w:rsidRPr="000C6B53">
        <w:rPr>
          <w:rFonts w:ascii="Verdana" w:eastAsia="Times New Roman" w:hAnsi="Verdana" w:cs="Times New Roman"/>
        </w:rPr>
        <w:t xml:space="preserve"> reconoce el derecho de las PcD a trabajar en igualdad de condiciones y exige programas de acción afirmativa. </w:t>
      </w:r>
      <w:r w:rsidR="00A6494C" w:rsidRPr="000C6B53">
        <w:rPr>
          <w:rFonts w:ascii="Verdana" w:eastAsia="Times New Roman" w:hAnsi="Verdana" w:cs="Times New Roman"/>
        </w:rPr>
        <w:t>De igual forma, l</w:t>
      </w:r>
      <w:r w:rsidRPr="000C6B53">
        <w:rPr>
          <w:rFonts w:ascii="Verdana" w:eastAsia="Times New Roman" w:hAnsi="Verdana" w:cs="Times New Roman"/>
        </w:rPr>
        <w:t>a Convención Interamericana para la Eliminación de todas las Formas de Discriminación</w:t>
      </w:r>
      <w:r w:rsidRPr="000C6B53">
        <w:rPr>
          <w:rStyle w:val="Refdenotaalpie"/>
          <w:rFonts w:ascii="Verdana" w:eastAsia="Times New Roman" w:hAnsi="Verdana" w:cs="Times New Roman"/>
        </w:rPr>
        <w:footnoteReference w:id="4"/>
      </w:r>
      <w:r w:rsidRPr="000C6B53">
        <w:rPr>
          <w:rFonts w:ascii="Verdana" w:eastAsia="Times New Roman" w:hAnsi="Verdana" w:cs="Times New Roman"/>
        </w:rPr>
        <w:t xml:space="preserve"> ordena eliminar progresivamente la discriminación en la prestación de servicios, incluido el empleo. </w:t>
      </w:r>
      <w:r w:rsidR="00A6494C" w:rsidRPr="000C6B53">
        <w:rPr>
          <w:rFonts w:ascii="Verdana" w:eastAsia="Times New Roman" w:hAnsi="Verdana" w:cs="Times New Roman"/>
        </w:rPr>
        <w:t>Finalmente, e</w:t>
      </w:r>
      <w:r w:rsidRPr="000C6B53">
        <w:rPr>
          <w:rFonts w:ascii="Verdana" w:eastAsia="Times New Roman" w:hAnsi="Verdana" w:cs="Times New Roman"/>
        </w:rPr>
        <w:t>l Convenio 159 de la OIT</w:t>
      </w:r>
      <w:r w:rsidRPr="000C6B53">
        <w:rPr>
          <w:rStyle w:val="Refdenotaalpie"/>
          <w:rFonts w:ascii="Verdana" w:eastAsia="Times New Roman" w:hAnsi="Verdana" w:cs="Times New Roman"/>
        </w:rPr>
        <w:footnoteReference w:id="5"/>
      </w:r>
      <w:r w:rsidRPr="000C6B53">
        <w:rPr>
          <w:rFonts w:ascii="Verdana" w:eastAsia="Times New Roman" w:hAnsi="Verdana" w:cs="Times New Roman"/>
        </w:rPr>
        <w:t xml:space="preserve"> exige medidas orientadas a garantizar la igualdad de oportunidades de todas las categorías de PcD en materia de empleo.</w:t>
      </w:r>
    </w:p>
    <w:p w14:paraId="4682FFD9" w14:textId="7831A976" w:rsidR="00164E23" w:rsidRPr="000C6B53" w:rsidRDefault="00164E23" w:rsidP="00164E23">
      <w:pPr>
        <w:spacing w:after="120" w:line="276" w:lineRule="auto"/>
        <w:jc w:val="both"/>
        <w:rPr>
          <w:rFonts w:ascii="Verdana" w:hAnsi="Verdana"/>
        </w:rPr>
      </w:pPr>
      <w:r w:rsidRPr="000C6B53">
        <w:rPr>
          <w:rFonts w:ascii="Verdana" w:eastAsia="Times New Roman" w:hAnsi="Verdana" w:cs="Times New Roman"/>
          <w:b/>
          <w:bCs/>
        </w:rPr>
        <w:t xml:space="preserve">       </w:t>
      </w:r>
      <w:r w:rsidR="00C7016F" w:rsidRPr="000C6B53">
        <w:rPr>
          <w:rFonts w:ascii="Verdana" w:eastAsia="Times New Roman" w:hAnsi="Verdana" w:cs="Times New Roman"/>
        </w:rPr>
        <w:t>En desarrollo de estos mandatos, con rango constitucional,</w:t>
      </w:r>
      <w:r w:rsidRPr="000C6B53">
        <w:rPr>
          <w:rFonts w:ascii="Verdana" w:eastAsia="Times New Roman" w:hAnsi="Verdana" w:cs="Times New Roman"/>
          <w:b/>
          <w:bCs/>
        </w:rPr>
        <w:t xml:space="preserve"> </w:t>
      </w:r>
      <w:r w:rsidR="00C7016F" w:rsidRPr="000C6B53">
        <w:rPr>
          <w:rFonts w:ascii="Verdana" w:eastAsia="Times New Roman" w:hAnsi="Verdana" w:cs="Times New Roman"/>
        </w:rPr>
        <w:t>l</w:t>
      </w:r>
      <w:r w:rsidRPr="000C6B53">
        <w:rPr>
          <w:rFonts w:ascii="Verdana" w:eastAsia="Times New Roman" w:hAnsi="Verdana" w:cs="Times New Roman"/>
        </w:rPr>
        <w:t xml:space="preserve">a Ley 361 de 1997 estableció los primeros mecanismos de integración social de las PcD. Su artículo 24 introdujo una preferencia en igualdad de condiciones en licitaciones y adjudicaciones de contratos </w:t>
      </w:r>
      <w:r w:rsidR="000F7E9F" w:rsidRPr="000C6B53">
        <w:rPr>
          <w:rFonts w:ascii="Verdana" w:eastAsia="Times New Roman" w:hAnsi="Verdana" w:cs="Times New Roman"/>
        </w:rPr>
        <w:t>estatales</w:t>
      </w:r>
      <w:r w:rsidRPr="000C6B53">
        <w:rPr>
          <w:rFonts w:ascii="Verdana" w:eastAsia="Times New Roman" w:hAnsi="Verdana" w:cs="Times New Roman"/>
        </w:rPr>
        <w:t xml:space="preserve"> para </w:t>
      </w:r>
      <w:r w:rsidR="000F7E9F" w:rsidRPr="000C6B53">
        <w:rPr>
          <w:rFonts w:ascii="Verdana" w:eastAsia="Times New Roman" w:hAnsi="Verdana" w:cs="Times New Roman"/>
        </w:rPr>
        <w:t>aquel</w:t>
      </w:r>
      <w:r w:rsidRPr="000C6B53">
        <w:rPr>
          <w:rFonts w:ascii="Verdana" w:eastAsia="Times New Roman" w:hAnsi="Verdana" w:cs="Times New Roman"/>
        </w:rPr>
        <w:t xml:space="preserve">los empleadores que tuvieran al menos el </w:t>
      </w:r>
      <w:r w:rsidR="006D3C49" w:rsidRPr="000C6B53">
        <w:rPr>
          <w:rFonts w:ascii="Verdana" w:eastAsia="Times New Roman" w:hAnsi="Verdana" w:cs="Times New Roman"/>
        </w:rPr>
        <w:t>diez por ciento (</w:t>
      </w:r>
      <w:r w:rsidRPr="000C6B53">
        <w:rPr>
          <w:rFonts w:ascii="Verdana" w:eastAsia="Times New Roman" w:hAnsi="Verdana" w:cs="Times New Roman"/>
        </w:rPr>
        <w:t>10%</w:t>
      </w:r>
      <w:r w:rsidR="006D3C49" w:rsidRPr="000C6B53">
        <w:rPr>
          <w:rFonts w:ascii="Verdana" w:eastAsia="Times New Roman" w:hAnsi="Verdana" w:cs="Times New Roman"/>
        </w:rPr>
        <w:t>)</w:t>
      </w:r>
      <w:r w:rsidRPr="000C6B53">
        <w:rPr>
          <w:rFonts w:ascii="Verdana" w:eastAsia="Times New Roman" w:hAnsi="Verdana" w:cs="Times New Roman"/>
        </w:rPr>
        <w:t xml:space="preserve"> de su nómina compuesta por PcD</w:t>
      </w:r>
      <w:r w:rsidRPr="000C6B53">
        <w:rPr>
          <w:rStyle w:val="Refdenotaalpie"/>
          <w:rFonts w:ascii="Verdana" w:eastAsia="Times New Roman" w:hAnsi="Verdana" w:cs="Times New Roman"/>
        </w:rPr>
        <w:footnoteReference w:id="6"/>
      </w:r>
      <w:r w:rsidRPr="000C6B53">
        <w:rPr>
          <w:rFonts w:ascii="Verdana" w:eastAsia="Times New Roman" w:hAnsi="Verdana" w:cs="Times New Roman"/>
        </w:rPr>
        <w:t>. Esta norma vinculó por primera vez la contratación pública con la inclusión laboral de las PcD, pero su alcance era limitado</w:t>
      </w:r>
      <w:r w:rsidR="00526A2A" w:rsidRPr="000C6B53">
        <w:rPr>
          <w:rFonts w:ascii="Verdana" w:eastAsia="Times New Roman" w:hAnsi="Verdana" w:cs="Times New Roman"/>
        </w:rPr>
        <w:t xml:space="preserve"> en la medida que se trataba de</w:t>
      </w:r>
      <w:r w:rsidRPr="000C6B53">
        <w:rPr>
          <w:rFonts w:ascii="Verdana" w:eastAsia="Times New Roman" w:hAnsi="Verdana" w:cs="Times New Roman"/>
        </w:rPr>
        <w:t xml:space="preserve"> una preferencia residual aplicable solo en caso de empate</w:t>
      </w:r>
      <w:r w:rsidR="00335C0D" w:rsidRPr="000C6B53">
        <w:rPr>
          <w:rFonts w:ascii="Verdana" w:eastAsia="Times New Roman" w:hAnsi="Verdana" w:cs="Times New Roman"/>
        </w:rPr>
        <w:t xml:space="preserve"> y</w:t>
      </w:r>
      <w:r w:rsidRPr="000C6B53">
        <w:rPr>
          <w:rFonts w:ascii="Verdana" w:eastAsia="Times New Roman" w:hAnsi="Verdana" w:cs="Times New Roman"/>
        </w:rPr>
        <w:t xml:space="preserve"> que beneficiaba únicamente a los empleadores de PcD sin considerar a las propias PcD como proponentes </w:t>
      </w:r>
      <w:r w:rsidR="00335C0D" w:rsidRPr="000C6B53">
        <w:rPr>
          <w:rFonts w:ascii="Verdana" w:eastAsia="Times New Roman" w:hAnsi="Verdana" w:cs="Times New Roman"/>
        </w:rPr>
        <w:t xml:space="preserve">o contratistas </w:t>
      </w:r>
      <w:r w:rsidRPr="000C6B53">
        <w:rPr>
          <w:rFonts w:ascii="Verdana" w:eastAsia="Times New Roman" w:hAnsi="Verdana" w:cs="Times New Roman"/>
        </w:rPr>
        <w:t>directos.</w:t>
      </w:r>
    </w:p>
    <w:p w14:paraId="2A9E0F16" w14:textId="48DF2EA7" w:rsidR="00164E23" w:rsidRPr="000C6B53" w:rsidRDefault="00164E23" w:rsidP="00164E23">
      <w:pPr>
        <w:spacing w:after="120" w:line="276" w:lineRule="auto"/>
        <w:jc w:val="both"/>
        <w:rPr>
          <w:rFonts w:ascii="Verdana" w:hAnsi="Verdana"/>
        </w:rPr>
      </w:pPr>
      <w:r w:rsidRPr="000C6B53">
        <w:rPr>
          <w:rFonts w:ascii="Verdana" w:eastAsia="Times New Roman" w:hAnsi="Verdana" w:cs="Times New Roman"/>
          <w:b/>
          <w:bCs/>
        </w:rPr>
        <w:t xml:space="preserve">       </w:t>
      </w:r>
      <w:r w:rsidR="00E40AC1" w:rsidRPr="000C6B53">
        <w:rPr>
          <w:rFonts w:ascii="Verdana" w:eastAsia="Times New Roman" w:hAnsi="Verdana" w:cs="Times New Roman"/>
        </w:rPr>
        <w:t>Posteriormente</w:t>
      </w:r>
      <w:r w:rsidR="006533ED" w:rsidRPr="000C6B53">
        <w:rPr>
          <w:rFonts w:ascii="Verdana" w:eastAsia="Times New Roman" w:hAnsi="Verdana" w:cs="Times New Roman"/>
        </w:rPr>
        <w:t>, la</w:t>
      </w:r>
      <w:r w:rsidRPr="000C6B53">
        <w:rPr>
          <w:rFonts w:ascii="Verdana" w:eastAsia="Times New Roman" w:hAnsi="Verdana" w:cs="Times New Roman"/>
        </w:rPr>
        <w:t xml:space="preserve"> Ley Estatutaria 1618 de 2013 representó un </w:t>
      </w:r>
      <w:r w:rsidR="00CB64D7" w:rsidRPr="000C6B53">
        <w:rPr>
          <w:rFonts w:ascii="Verdana" w:eastAsia="Times New Roman" w:hAnsi="Verdana" w:cs="Times New Roman"/>
        </w:rPr>
        <w:t xml:space="preserve">avance sustancial </w:t>
      </w:r>
      <w:r w:rsidRPr="000C6B53">
        <w:rPr>
          <w:rFonts w:ascii="Verdana" w:eastAsia="Times New Roman" w:hAnsi="Verdana" w:cs="Times New Roman"/>
        </w:rPr>
        <w:t>en el marco jurídico de protección de las PcD, al definir</w:t>
      </w:r>
      <w:r w:rsidR="00FE647A" w:rsidRPr="000C6B53">
        <w:rPr>
          <w:rFonts w:ascii="Verdana" w:eastAsia="Times New Roman" w:hAnsi="Verdana" w:cs="Times New Roman"/>
        </w:rPr>
        <w:t>l</w:t>
      </w:r>
      <w:r w:rsidRPr="000C6B53">
        <w:rPr>
          <w:rFonts w:ascii="Verdana" w:eastAsia="Times New Roman" w:hAnsi="Verdana" w:cs="Times New Roman"/>
        </w:rPr>
        <w:t xml:space="preserve">as como </w:t>
      </w:r>
      <w:r w:rsidRPr="000C6B53">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0C6B53">
        <w:rPr>
          <w:rStyle w:val="Refdenotaalpie"/>
          <w:rFonts w:ascii="Verdana" w:eastAsia="Times New Roman" w:hAnsi="Verdana" w:cs="Times New Roman"/>
          <w:i/>
          <w:iCs/>
        </w:rPr>
        <w:footnoteReference w:id="7"/>
      </w:r>
      <w:r w:rsidRPr="000C6B53">
        <w:rPr>
          <w:rFonts w:ascii="Verdana" w:eastAsia="Times New Roman" w:hAnsi="Verdana" w:cs="Times New Roman"/>
          <w:i/>
          <w:iCs/>
        </w:rPr>
        <w:t>.</w:t>
      </w:r>
      <w:r w:rsidRPr="000C6B53">
        <w:rPr>
          <w:rFonts w:ascii="Verdana" w:eastAsia="Times New Roman" w:hAnsi="Verdana" w:cs="Times New Roman"/>
        </w:rPr>
        <w:t xml:space="preserve"> </w:t>
      </w:r>
      <w:r w:rsidR="0018359A" w:rsidRPr="000C6B53">
        <w:rPr>
          <w:rFonts w:ascii="Verdana" w:eastAsia="Times New Roman" w:hAnsi="Verdana" w:cs="Times New Roman"/>
        </w:rPr>
        <w:t>En s</w:t>
      </w:r>
      <w:r w:rsidRPr="000C6B53">
        <w:rPr>
          <w:rFonts w:ascii="Verdana" w:eastAsia="Times New Roman" w:hAnsi="Verdana" w:cs="Times New Roman"/>
        </w:rPr>
        <w:t xml:space="preserve">u artículo 13, </w:t>
      </w:r>
      <w:r w:rsidRPr="000C6B53">
        <w:rPr>
          <w:rFonts w:ascii="Verdana" w:eastAsia="Times New Roman" w:hAnsi="Verdana" w:cs="Times New Roman"/>
        </w:rPr>
        <w:lastRenderedPageBreak/>
        <w:t xml:space="preserve">numerales 1, 7 y 8, ordenó al Gobierno Nacional reglamentar: </w:t>
      </w:r>
      <w:r w:rsidR="0032703F" w:rsidRPr="000C6B53">
        <w:rPr>
          <w:rFonts w:ascii="Verdana" w:eastAsia="Times New Roman" w:hAnsi="Verdana" w:cs="Times New Roman"/>
        </w:rPr>
        <w:t xml:space="preserve">i) </w:t>
      </w:r>
      <w:r w:rsidRPr="000C6B53">
        <w:rPr>
          <w:rFonts w:ascii="Verdana" w:eastAsia="Times New Roman" w:hAnsi="Verdana" w:cs="Times New Roman"/>
        </w:rPr>
        <w:t xml:space="preserve">una puntuación adicional en licitación pública, concurso de méritos y contratación directa para empresas que vinculen PcD y para empresas de PcD; </w:t>
      </w:r>
      <w:proofErr w:type="spellStart"/>
      <w:r w:rsidR="0032703F" w:rsidRPr="000C6B53">
        <w:rPr>
          <w:rFonts w:ascii="Verdana" w:eastAsia="Times New Roman" w:hAnsi="Verdana" w:cs="Times New Roman"/>
        </w:rPr>
        <w:t>ii</w:t>
      </w:r>
      <w:proofErr w:type="spellEnd"/>
      <w:r w:rsidR="0032703F" w:rsidRPr="000C6B53">
        <w:rPr>
          <w:rFonts w:ascii="Verdana" w:eastAsia="Times New Roman" w:hAnsi="Verdana" w:cs="Times New Roman"/>
        </w:rPr>
        <w:t>)</w:t>
      </w:r>
      <w:r w:rsidRPr="000C6B53">
        <w:rPr>
          <w:rFonts w:ascii="Verdana" w:eastAsia="Times New Roman" w:hAnsi="Verdana" w:cs="Times New Roman"/>
        </w:rPr>
        <w:t xml:space="preserve"> un sistema de preferencias para empleadores de PcD en la adjudicación; y </w:t>
      </w:r>
      <w:proofErr w:type="spellStart"/>
      <w:r w:rsidR="0032703F" w:rsidRPr="000C6B53">
        <w:rPr>
          <w:rFonts w:ascii="Verdana" w:eastAsia="Times New Roman" w:hAnsi="Verdana" w:cs="Times New Roman"/>
        </w:rPr>
        <w:t>iii</w:t>
      </w:r>
      <w:proofErr w:type="spellEnd"/>
      <w:r w:rsidR="0032703F" w:rsidRPr="000C6B53">
        <w:rPr>
          <w:rFonts w:ascii="Verdana" w:eastAsia="Times New Roman" w:hAnsi="Verdana" w:cs="Times New Roman"/>
        </w:rPr>
        <w:t xml:space="preserve">) </w:t>
      </w:r>
      <w:r w:rsidRPr="000C6B53">
        <w:rPr>
          <w:rFonts w:ascii="Verdana" w:eastAsia="Times New Roman" w:hAnsi="Verdana" w:cs="Times New Roman"/>
          <w:i/>
        </w:rPr>
        <w:t>un sistema de preferencias en favor de las propias PcD como contratistas</w:t>
      </w:r>
      <w:r w:rsidRPr="000C6B53">
        <w:rPr>
          <w:rStyle w:val="Refdenotaalpie"/>
          <w:rFonts w:ascii="Verdana" w:eastAsia="Times New Roman" w:hAnsi="Verdana" w:cs="Times New Roman"/>
        </w:rPr>
        <w:footnoteReference w:id="8"/>
      </w:r>
      <w:r w:rsidRPr="000C6B53">
        <w:rPr>
          <w:rFonts w:ascii="Verdana" w:eastAsia="Times New Roman" w:hAnsi="Verdana" w:cs="Times New Roman"/>
        </w:rPr>
        <w:t xml:space="preserve">. Este último mandato fue especialmente significativo porque introdujo el concepto de </w:t>
      </w:r>
      <w:r w:rsidRPr="000C6B53">
        <w:rPr>
          <w:rFonts w:ascii="Verdana" w:eastAsia="Times New Roman" w:hAnsi="Verdana" w:cs="Times New Roman"/>
          <w:i/>
          <w:iCs/>
        </w:rPr>
        <w:t>"sistema de preferencias"</w:t>
      </w:r>
      <w:r w:rsidRPr="000C6B53">
        <w:rPr>
          <w:rFonts w:ascii="Verdana" w:eastAsia="Times New Roman" w:hAnsi="Verdana" w:cs="Times New Roman"/>
        </w:rPr>
        <w:t>, que por definición no puede reducirse a una sola medida</w:t>
      </w:r>
      <w:r w:rsidR="007450CC" w:rsidRPr="000C6B53">
        <w:rPr>
          <w:rFonts w:ascii="Verdana" w:eastAsia="Times New Roman" w:hAnsi="Verdana" w:cs="Times New Roman"/>
        </w:rPr>
        <w:t>,</w:t>
      </w:r>
      <w:r w:rsidRPr="000C6B53">
        <w:rPr>
          <w:rFonts w:ascii="Verdana" w:eastAsia="Times New Roman" w:hAnsi="Verdana" w:cs="Times New Roman"/>
        </w:rPr>
        <w:t xml:space="preserve"> sino que implica un conjunto estructurado de instrumentos que actúen en las distintas fases del proceso contractual.</w:t>
      </w:r>
    </w:p>
    <w:p w14:paraId="0CB57E03" w14:textId="65C6C5B9" w:rsidR="00164E23" w:rsidRPr="000C6B53" w:rsidRDefault="00164E23" w:rsidP="00164E23">
      <w:pPr>
        <w:spacing w:after="120" w:line="276" w:lineRule="auto"/>
        <w:ind w:firstLine="709"/>
        <w:jc w:val="both"/>
        <w:rPr>
          <w:rFonts w:ascii="Verdana" w:hAnsi="Verdana"/>
        </w:rPr>
      </w:pPr>
      <w:r w:rsidRPr="000C6B53">
        <w:rPr>
          <w:rFonts w:ascii="Verdana" w:hAnsi="Verdana"/>
        </w:rPr>
        <w:t xml:space="preserve">En cumplimiento parcial de los numerales 1 y 8 del artículo 13 de la Ley 1618 de 2013, se expidió el Decreto 392 de 2018. Sin embargo, </w:t>
      </w:r>
      <w:r w:rsidR="00773727" w:rsidRPr="000C6B53">
        <w:rPr>
          <w:rFonts w:ascii="Verdana" w:hAnsi="Verdana"/>
        </w:rPr>
        <w:t>tal y</w:t>
      </w:r>
      <w:r w:rsidRPr="000C6B53">
        <w:rPr>
          <w:rFonts w:ascii="Verdana" w:hAnsi="Verdana"/>
        </w:rPr>
        <w:t xml:space="preserve"> como se reconoce en los considerandos del Decreto 0287 de 2026, dicha regulación presentó omisiones estructurales que frustraron la finalidad de la </w:t>
      </w:r>
      <w:r w:rsidR="00E26217" w:rsidRPr="000C6B53">
        <w:rPr>
          <w:rFonts w:ascii="Verdana" w:hAnsi="Verdana"/>
        </w:rPr>
        <w:t>Ley Estatutaria</w:t>
      </w:r>
      <w:r w:rsidR="000416B2" w:rsidRPr="000C6B53">
        <w:rPr>
          <w:rFonts w:ascii="Verdana" w:hAnsi="Verdana"/>
        </w:rPr>
        <w:t xml:space="preserve">. En efecto, el Decreto 392 de 2018 </w:t>
      </w:r>
      <w:r w:rsidRPr="000C6B53">
        <w:rPr>
          <w:rFonts w:ascii="Verdana" w:hAnsi="Verdana"/>
        </w:rPr>
        <w:t xml:space="preserve">solo contempló el </w:t>
      </w:r>
      <w:r w:rsidR="000416B2" w:rsidRPr="000C6B53">
        <w:rPr>
          <w:rFonts w:ascii="Verdana" w:hAnsi="Verdana"/>
        </w:rPr>
        <w:t>uno por ciento (</w:t>
      </w:r>
      <w:r w:rsidRPr="000C6B53">
        <w:rPr>
          <w:rFonts w:ascii="Verdana" w:hAnsi="Verdana"/>
        </w:rPr>
        <w:t>1%</w:t>
      </w:r>
      <w:r w:rsidR="000416B2" w:rsidRPr="000C6B53">
        <w:rPr>
          <w:rFonts w:ascii="Verdana" w:hAnsi="Verdana"/>
        </w:rPr>
        <w:t>)</w:t>
      </w:r>
      <w:r w:rsidRPr="000C6B53">
        <w:rPr>
          <w:rFonts w:ascii="Verdana" w:hAnsi="Verdana"/>
        </w:rPr>
        <w:t xml:space="preserve"> de</w:t>
      </w:r>
      <w:r w:rsidR="00806491" w:rsidRPr="000C6B53">
        <w:rPr>
          <w:rFonts w:ascii="Verdana" w:hAnsi="Verdana"/>
        </w:rPr>
        <w:t>l</w:t>
      </w:r>
      <w:r w:rsidRPr="000C6B53">
        <w:rPr>
          <w:rFonts w:ascii="Verdana" w:hAnsi="Verdana"/>
        </w:rPr>
        <w:t xml:space="preserve"> puntaje para empleadores de PcD, sin incluir a las empresas de PcD;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8, que era precisamente el que ordenaba el </w:t>
      </w:r>
      <w:r w:rsidR="00915175" w:rsidRPr="000C6B53">
        <w:rPr>
          <w:rFonts w:ascii="Verdana" w:hAnsi="Verdana"/>
        </w:rPr>
        <w:t>Sistema De Preferencias</w:t>
      </w:r>
      <w:r w:rsidRPr="000C6B53">
        <w:rPr>
          <w:rFonts w:ascii="Verdana" w:hAnsi="Verdana"/>
        </w:rPr>
        <w:t xml:space="preserve"> en favor de las propias PcD como contratistas.</w:t>
      </w:r>
    </w:p>
    <w:p w14:paraId="29AFE35A" w14:textId="26194440" w:rsidR="00164E23" w:rsidRPr="000C6B53" w:rsidRDefault="00164E23" w:rsidP="00164E23">
      <w:pPr>
        <w:spacing w:after="120" w:line="276" w:lineRule="auto"/>
        <w:ind w:firstLine="709"/>
        <w:jc w:val="both"/>
        <w:rPr>
          <w:rFonts w:ascii="Verdana" w:hAnsi="Verdana"/>
        </w:rPr>
      </w:pPr>
      <w:r w:rsidRPr="000C6B53">
        <w:rPr>
          <w:rFonts w:ascii="Verdana" w:hAnsi="Verdana"/>
        </w:rPr>
        <w:t xml:space="preserve">La insuficiencia del Decreto 392 de 2018 fue constatada judicialmente. La Sección Quinta del Consejo de Estado, mediante sentencia </w:t>
      </w:r>
      <w:r w:rsidR="00AA5C88" w:rsidRPr="000C6B53">
        <w:rPr>
          <w:rFonts w:ascii="Verdana" w:hAnsi="Verdana"/>
        </w:rPr>
        <w:t xml:space="preserve">proferida </w:t>
      </w:r>
      <w:r w:rsidRPr="000C6B53">
        <w:rPr>
          <w:rFonts w:ascii="Verdana" w:hAnsi="Verdana"/>
        </w:rPr>
        <w:t>de</w:t>
      </w:r>
      <w:r w:rsidR="00AA5C88" w:rsidRPr="000C6B53">
        <w:rPr>
          <w:rFonts w:ascii="Verdana" w:hAnsi="Verdana"/>
        </w:rPr>
        <w:t>ntro de una</w:t>
      </w:r>
      <w:r w:rsidRPr="000C6B53">
        <w:rPr>
          <w:rFonts w:ascii="Verdana" w:hAnsi="Verdana"/>
        </w:rPr>
        <w:t xml:space="preserve"> acción de cumplimiento del 12 de diciembre de 2024, radicación </w:t>
      </w:r>
      <w:proofErr w:type="spellStart"/>
      <w:r w:rsidRPr="000C6B53">
        <w:rPr>
          <w:rFonts w:ascii="Verdana" w:hAnsi="Verdana"/>
        </w:rPr>
        <w:t>n.°</w:t>
      </w:r>
      <w:proofErr w:type="spellEnd"/>
      <w:r w:rsidRPr="000C6B53">
        <w:rPr>
          <w:rFonts w:ascii="Verdana" w:hAnsi="Verdana"/>
        </w:rPr>
        <w:t xml:space="preserve"> 05001-23-33-000-2024-00847-01, M.P. Omar Joaquín Barreto Suárez, declaró el incumplimiento </w:t>
      </w:r>
      <w:r w:rsidR="00E973FF" w:rsidRPr="000C6B53">
        <w:rPr>
          <w:rFonts w:ascii="Verdana" w:hAnsi="Verdana"/>
        </w:rPr>
        <w:t xml:space="preserve">por parte </w:t>
      </w:r>
      <w:r w:rsidRPr="000C6B53">
        <w:rPr>
          <w:rFonts w:ascii="Verdana" w:hAnsi="Verdana"/>
        </w:rPr>
        <w:t xml:space="preserve">del Gobierno Nacional del artículo 62 de la Ley 1996 de 2019, </w:t>
      </w:r>
      <w:r w:rsidR="003A1653" w:rsidRPr="000C6B53">
        <w:rPr>
          <w:rFonts w:ascii="Verdana" w:hAnsi="Verdana"/>
        </w:rPr>
        <w:t xml:space="preserve">norma </w:t>
      </w:r>
      <w:r w:rsidRPr="000C6B53">
        <w:rPr>
          <w:rFonts w:ascii="Verdana" w:hAnsi="Verdana"/>
        </w:rPr>
        <w:t>que ordenaba reglamentar las medidas del artículo 13 de la Ley 1618 de 2013</w:t>
      </w:r>
      <w:r w:rsidR="00871029" w:rsidRPr="000C6B53">
        <w:rPr>
          <w:rFonts w:ascii="Verdana" w:hAnsi="Verdana"/>
        </w:rPr>
        <w:t>. En dicha providencia, la Sala</w:t>
      </w:r>
      <w:r w:rsidRPr="000C6B53">
        <w:rPr>
          <w:rFonts w:ascii="Verdana" w:hAnsi="Verdana"/>
        </w:rPr>
        <w:t xml:space="preserve"> ordenó expedir los decretos reglamentarios faltantes en el término de cuatro (4) meses contados a partir de la ejecutoria de la providencia. La Sala calificó la obligación como imperativa, expresa e inobjetable, señalando que el Gobierno Nacional no contaba con </w:t>
      </w:r>
      <w:r w:rsidRPr="000C6B53">
        <w:rPr>
          <w:rFonts w:ascii="Verdana" w:hAnsi="Verdana"/>
        </w:rPr>
        <w:lastRenderedPageBreak/>
        <w:t xml:space="preserve">margen de discrecionalidad para decidir si reglamentaba o no el </w:t>
      </w:r>
      <w:r w:rsidR="00FF208E" w:rsidRPr="000C6B53">
        <w:rPr>
          <w:rFonts w:ascii="Verdana" w:hAnsi="Verdana"/>
        </w:rPr>
        <w:t>Sistema</w:t>
      </w:r>
      <w:r w:rsidRPr="000C6B53">
        <w:rPr>
          <w:rFonts w:ascii="Verdana" w:hAnsi="Verdana"/>
        </w:rPr>
        <w:t xml:space="preserve"> de </w:t>
      </w:r>
      <w:r w:rsidR="00FF208E" w:rsidRPr="000C6B53">
        <w:rPr>
          <w:rFonts w:ascii="Verdana" w:hAnsi="Verdana"/>
        </w:rPr>
        <w:t>Preferencias</w:t>
      </w:r>
      <w:r w:rsidRPr="000C6B53">
        <w:rPr>
          <w:rFonts w:ascii="Verdana" w:hAnsi="Verdana"/>
        </w:rPr>
        <w:t>.</w:t>
      </w:r>
    </w:p>
    <w:p w14:paraId="5BB1B841" w14:textId="224A0419" w:rsidR="00164E23" w:rsidRDefault="00164E23" w:rsidP="00B84F28">
      <w:pPr>
        <w:spacing w:after="120" w:line="276" w:lineRule="auto"/>
        <w:ind w:firstLine="709"/>
        <w:jc w:val="both"/>
        <w:rPr>
          <w:rFonts w:ascii="Verdana" w:hAnsi="Verdana"/>
        </w:rPr>
      </w:pPr>
      <w:r w:rsidRPr="000C6B53">
        <w:rPr>
          <w:rFonts w:ascii="Verdana" w:hAnsi="Verdana"/>
        </w:rPr>
        <w:t>En cumplimiento de esa decisión</w:t>
      </w:r>
      <w:r w:rsidR="00494D98" w:rsidRPr="000C6B53">
        <w:rPr>
          <w:rFonts w:ascii="Verdana" w:hAnsi="Verdana"/>
        </w:rPr>
        <w:t>,</w:t>
      </w:r>
      <w:r w:rsidRPr="000C6B53">
        <w:rPr>
          <w:rFonts w:ascii="Verdana" w:hAnsi="Verdana"/>
        </w:rPr>
        <w:t xml:space="preserve"> fue expedido el Decreto 0287 de 2026, el cual, como se indicó en la respuesta</w:t>
      </w:r>
      <w:r w:rsidR="003729CA" w:rsidRPr="000C6B53">
        <w:rPr>
          <w:rFonts w:ascii="Verdana" w:hAnsi="Verdana"/>
        </w:rPr>
        <w:t xml:space="preserve"> del presente concepto</w:t>
      </w:r>
      <w:r w:rsidRPr="000C6B53">
        <w:rPr>
          <w:rFonts w:ascii="Verdana" w:hAnsi="Verdana"/>
        </w:rPr>
        <w:t>, establece un Sistema Integral de Preferencias compuesto por cinco medidas afirmativas que actúan en todas las fases del proceso contractual</w:t>
      </w:r>
      <w:r w:rsidR="007B4751" w:rsidRPr="000C6B53">
        <w:rPr>
          <w:rFonts w:ascii="Verdana" w:hAnsi="Verdana"/>
        </w:rPr>
        <w:t>:</w:t>
      </w:r>
      <w:r w:rsidRPr="000C6B53">
        <w:rPr>
          <w:rFonts w:ascii="Verdana" w:hAnsi="Verdana"/>
        </w:rPr>
        <w:t xml:space="preserve"> planeación, selección, adjudicación y ejecución</w:t>
      </w:r>
      <w:r w:rsidR="007B4751" w:rsidRPr="000C6B53">
        <w:rPr>
          <w:rFonts w:ascii="Verdana" w:hAnsi="Verdana"/>
        </w:rPr>
        <w:t>. Dicho sistema se orienta a</w:t>
      </w:r>
      <w:r w:rsidRPr="000C6B53">
        <w:rPr>
          <w:rFonts w:ascii="Verdana" w:hAnsi="Verdana"/>
        </w:rPr>
        <w:t xml:space="preserve"> beneficia</w:t>
      </w:r>
      <w:r w:rsidR="007B4751" w:rsidRPr="000C6B53">
        <w:rPr>
          <w:rFonts w:ascii="Verdana" w:hAnsi="Verdana"/>
        </w:rPr>
        <w:t>r</w:t>
      </w:r>
      <w:r w:rsidRPr="000C6B53">
        <w:rPr>
          <w:rFonts w:ascii="Verdana" w:hAnsi="Verdana"/>
        </w:rPr>
        <w:t xml:space="preserve"> a dos sujetos diferenciados: los emprendimientos y empresas de PcD y los empleadores de PcD. A continuación, se desarrolla el alcance de cada aspecto del sistema planteado en los problemas jurídicos.</w:t>
      </w:r>
      <w:r w:rsidRPr="00E727F0">
        <w:rPr>
          <w:rFonts w:ascii="Verdana" w:hAnsi="Verdana"/>
        </w:rPr>
        <w:t xml:space="preserve"> </w:t>
      </w:r>
    </w:p>
    <w:p w14:paraId="74420CF6" w14:textId="63E7387C" w:rsidR="00E81338" w:rsidRDefault="00E81338" w:rsidP="00E81338">
      <w:pPr>
        <w:spacing w:after="120" w:line="276" w:lineRule="auto"/>
        <w:ind w:firstLine="709"/>
        <w:jc w:val="both"/>
        <w:rPr>
          <w:rFonts w:ascii="Verdana" w:hAnsi="Verdana"/>
        </w:rPr>
      </w:pPr>
      <w:r w:rsidRPr="00206556">
        <w:rPr>
          <w:rFonts w:ascii="Verdana" w:hAnsi="Verdana"/>
        </w:rPr>
        <w:t>(</w:t>
      </w:r>
      <w:proofErr w:type="spellStart"/>
      <w:r w:rsidRPr="00206556">
        <w:rPr>
          <w:rFonts w:ascii="Verdana" w:hAnsi="Verdana"/>
        </w:rPr>
        <w:t>i</w:t>
      </w:r>
      <w:r>
        <w:rPr>
          <w:rFonts w:ascii="Verdana" w:hAnsi="Verdana"/>
        </w:rPr>
        <w:t>i</w:t>
      </w:r>
      <w:proofErr w:type="spellEnd"/>
      <w:r w:rsidRPr="00206556">
        <w:rPr>
          <w:rFonts w:ascii="Verdana" w:hAnsi="Verdana"/>
        </w:rPr>
        <w:t>)</w:t>
      </w:r>
      <w:r w:rsidRPr="00975224">
        <w:t xml:space="preserve"> </w:t>
      </w:r>
      <w:r w:rsidRPr="00975224">
        <w:rPr>
          <w:rFonts w:ascii="Verdana" w:hAnsi="Verdana"/>
        </w:rPr>
        <w:t>En lo que respecta a las condiciones especiales de ejecución, el artículo 2.2.1.2.4.2.7.5. del Decreto 0287 de 2026 dispone que las entidades estatales "deberán incluir como obligación contractual, en los Documentos del Proceso, previo análisis de conveniencia y oportunidad, al menos una (1) de las siguientes condiciones especiales de ejecución": la subcontratación inclusiva, que exige priorizar a PcD o a emprendimientos y empresas de PcD cuando se requiera subcontratar; y la integración del equipo de trabajo, que exige priorizar personas naturales con discapacidad cuando se requiera conformar equipo para la ejecución. La obligación consiste en incluir al menos una de las dos condiciones, no necesariamente ambas. La palabra "deberán" hace de esta una medida imperativa en cuanto a la obligación de incluir al menos una condición, pero la entidad tiene discrecionalidad para escoger cuál de las dos incorpora o si incorpora ambas. Solo puede omitirse la inclusión de las dos cuando la entidad justifique esa omisión con argumentos objetivos en los estudios previos. La priorización no implica exclusividad; el contratista puede contratar otros proveedores, pero debe procurar que las PcD y sus empresas tengan preferencia cuando existan en el mercado. El incumplimiento injustificado puede constituir causal de incumplimiento contractual, verificable por el supervisor o interventor con cada solicitud de pago.</w:t>
      </w:r>
      <w:r w:rsidRPr="00206556">
        <w:rPr>
          <w:rFonts w:ascii="Verdana" w:hAnsi="Verdana"/>
        </w:rPr>
        <w:t xml:space="preserve"> </w:t>
      </w:r>
    </w:p>
    <w:p w14:paraId="79604DBF" w14:textId="33736C02" w:rsidR="00164E23" w:rsidRPr="00670CFB" w:rsidRDefault="00164E23" w:rsidP="00886A86">
      <w:pPr>
        <w:spacing w:after="120" w:line="276" w:lineRule="auto"/>
        <w:ind w:firstLine="708"/>
        <w:jc w:val="both"/>
        <w:rPr>
          <w:rFonts w:ascii="Verdana" w:hAnsi="Verdana"/>
        </w:rPr>
      </w:pPr>
      <w:r w:rsidRPr="00206556">
        <w:rPr>
          <w:rFonts w:ascii="Verdana" w:hAnsi="Verdana"/>
        </w:rPr>
        <w:t>(</w:t>
      </w:r>
      <w:proofErr w:type="spellStart"/>
      <w:r w:rsidR="00E81338">
        <w:rPr>
          <w:rFonts w:ascii="Verdana" w:hAnsi="Verdana"/>
        </w:rPr>
        <w:t>iii</w:t>
      </w:r>
      <w:proofErr w:type="spellEnd"/>
      <w:r w:rsidRPr="00206556">
        <w:rPr>
          <w:rFonts w:ascii="Verdana" w:hAnsi="Verdana"/>
        </w:rPr>
        <w:t xml:space="preserve">) </w:t>
      </w:r>
      <w:r w:rsidRPr="00670CFB">
        <w:rPr>
          <w:rFonts w:ascii="Verdana" w:hAnsi="Verdana"/>
        </w:rPr>
        <w:t xml:space="preserve">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se derivan de su inobservancia, es necesario precisar que el Decreto 0287 de 2026 no concibe la inclusión de las PcD como un momento aislado sino como un </w:t>
      </w:r>
      <w:r w:rsidRPr="00670CFB">
        <w:rPr>
          <w:rFonts w:ascii="Verdana" w:hAnsi="Verdana"/>
        </w:rPr>
        <w:lastRenderedPageBreak/>
        <w:t>compromiso continuo que atraviesa todo el ciclo contractual. Cada medida tiene un momento de activación, unas obligaciones concretas para la entidad y el contratista, y unas consecuencias específicas frente a su incumplimiento, que se exponen a continuación.</w:t>
      </w:r>
    </w:p>
    <w:p w14:paraId="7E939F67" w14:textId="77777777" w:rsidR="00164E23" w:rsidRPr="00670CFB" w:rsidRDefault="00164E23" w:rsidP="00164E23">
      <w:pPr>
        <w:spacing w:after="120" w:line="276" w:lineRule="auto"/>
        <w:ind w:firstLine="709"/>
        <w:jc w:val="both"/>
        <w:rPr>
          <w:rFonts w:ascii="Verdana" w:hAnsi="Verdana"/>
        </w:rPr>
      </w:pPr>
      <w:r w:rsidRPr="00670CFB">
        <w:rPr>
          <w:rFonts w:ascii="Verdana" w:hAnsi="Verdana"/>
        </w:rPr>
        <w:t xml:space="preserve">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PcD que puedan ofrecer los bienes, obras o servicios requeridos, con el propósito de identificarlos en el mercado y recibir sus observaciones sobre la estructuración del proceso antes de que este sea abierto; estas ferias no son ruedas de negocios ni implican compromisos 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contrato que promuevan la integración laboral de las PcD, más allá de lo que el propio decreto ya exige como mínimo obligatorio. El tercero es la división del proceso en lotes o segmentos, que facilita la participación de emprendimientos de menor capacidad al reducir la escala de las obligaciones contractuales requeridas para cada parte. Estas herramientas aplican a las entidades </w:t>
      </w:r>
      <w:r>
        <w:rPr>
          <w:rFonts w:ascii="Verdana" w:hAnsi="Verdana"/>
        </w:rPr>
        <w:t xml:space="preserve">sometidas al </w:t>
      </w:r>
      <w:r w:rsidRPr="00670CFB">
        <w:rPr>
          <w:rFonts w:ascii="Verdana" w:hAnsi="Verdana"/>
        </w:rPr>
        <w:t>Estatuto</w:t>
      </w:r>
      <w:r>
        <w:rPr>
          <w:rFonts w:ascii="Verdana" w:hAnsi="Verdana"/>
        </w:rPr>
        <w:t xml:space="preserve"> General de Contratación Pública </w:t>
      </w:r>
      <w:r w:rsidRPr="00670CFB">
        <w:rPr>
          <w:rFonts w:ascii="Verdana" w:hAnsi="Verdana"/>
        </w:rPr>
        <w:t>en licitación pública, concurso de méritos, mínima cuantía y selección abreviada, pero no en contratación directa, que tiene su propia medida afirmativa. Su omisión injustificada en los estudios previos puede comprometer la legalidad de la planeación contractual al desconocer una obligación legal expresa.</w:t>
      </w:r>
    </w:p>
    <w:p w14:paraId="00573EEA" w14:textId="77777777" w:rsidR="00164E23" w:rsidRPr="00670CFB" w:rsidRDefault="00164E23" w:rsidP="00164E23">
      <w:pPr>
        <w:spacing w:after="120" w:line="276" w:lineRule="auto"/>
        <w:ind w:firstLine="709"/>
        <w:jc w:val="both"/>
        <w:rPr>
          <w:rFonts w:ascii="Verdana" w:hAnsi="Verdana"/>
        </w:rPr>
      </w:pPr>
      <w:r w:rsidRPr="00670CFB">
        <w:rPr>
          <w:rFonts w:ascii="Verdana" w:hAnsi="Verdana"/>
        </w:rPr>
        <w:t xml:space="preserve">La segunda medida son los criterios habilitantes diferenciales, regulados en el artículo 2.2.1.2.4.2.7.3. del Decreto 1082 de 2015 (modificado), que operan en la fase de selección y consisten en la obligación de establecer requisitos habilitantes ajustados o reducidos en materia de experiencia, capacidad financiera, capacidad organizacional o valor de la garantía de seriedad de la oferta, para facilitar la participación de los emprendimientos y empresas de PcD con domicilio en el territorio nacional. La entidad debe flexibilizar la mayor cantidad posible de estos requisitos de acuerdo con lo que resulte justificado en sus estudios previos, garantizando en todo caso que los requisitos </w:t>
      </w:r>
      <w:r w:rsidRPr="00670CFB">
        <w:rPr>
          <w:rFonts w:ascii="Verdana" w:hAnsi="Verdana"/>
        </w:rPr>
        <w:lastRenderedPageBreak/>
        <w:t>ajustados sean suficientes para acreditar la idoneidad del proponente y el adecuado cumplimiento del objeto contractual, con el límite del principio de proporcionalidad. Esta medida aplica en licitación pública, selección abreviada y concurso de méritos, tanto en el régimen de</w:t>
      </w:r>
      <w:r>
        <w:rPr>
          <w:rFonts w:ascii="Verdana" w:hAnsi="Verdana"/>
        </w:rPr>
        <w:t>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como en los procesos competitivos de entidades con régimen especial, pero no en mínima cuantía ni en contratación directa. Aplica exclusivamente para los emprendimientos y empresas de PcD y no para los empleadores de PcD. En tratándose de proponentes plurales, opera cuando al menos uno de los integrantes cumple las condiciones del artículo 2.2.1.2.4.2.6. con una participación no inferior al 10%, aportando la experiencia en proporción equivalente a su participación. Su omisión injustificada en el pliego de condiciones puede constituir una barrera de acceso contraria a los mandatos del decreto y comprometer la validez del proceso de selección.</w:t>
      </w:r>
    </w:p>
    <w:p w14:paraId="2E153A4D" w14:textId="77777777" w:rsidR="00164E23" w:rsidRPr="00670CFB" w:rsidRDefault="00164E23" w:rsidP="00164E23">
      <w:pPr>
        <w:spacing w:after="120" w:line="276" w:lineRule="auto"/>
        <w:ind w:firstLine="709"/>
        <w:jc w:val="both"/>
        <w:rPr>
          <w:rFonts w:ascii="Verdana" w:hAnsi="Verdana"/>
        </w:rPr>
      </w:pPr>
      <w:r w:rsidRPr="00670CFB">
        <w:rPr>
          <w:rFonts w:ascii="Verdana" w:hAnsi="Verdana"/>
        </w:rPr>
        <w:t xml:space="preserve">La tercera medida es el puntaje adicional del 2%, regulado en el artículo 2.2.1.2.4.2.7.4. del Decreto 1082 de 2015 (modificado), que opera en la fase de evaluación de propuestas y consiste en otorgar un puntaje adicional máximo del dos por ciento (2%) del total de los puntos del pliego a los proponentes que acrediten ser emprendimientos o empresas de PcD o ser empleadores de PcD que superen los mínimos de vinculación exigidos por la Ley 2466 de 2025. </w:t>
      </w:r>
      <w:r>
        <w:rPr>
          <w:rFonts w:ascii="Verdana" w:hAnsi="Verdana"/>
        </w:rPr>
        <w:t>Como ya se indicó anteriormente, e</w:t>
      </w:r>
      <w:r w:rsidRPr="00670CFB">
        <w:rPr>
          <w:rFonts w:ascii="Verdana" w:hAnsi="Verdana"/>
        </w:rPr>
        <w:t xml:space="preserve">ste puntaje es único </w:t>
      </w:r>
      <w:r>
        <w:rPr>
          <w:rFonts w:ascii="Verdana" w:hAnsi="Verdana"/>
        </w:rPr>
        <w:t xml:space="preserve">y no </w:t>
      </w:r>
      <w:r w:rsidRPr="00670CFB">
        <w:rPr>
          <w:rFonts w:ascii="Verdana" w:hAnsi="Verdana"/>
        </w:rPr>
        <w:t xml:space="preserve">acumulable: aunque el proponente acredite ambas condiciones simultáneamente, el puntaje máximo a otorgar es siempre el 2%, sin que las condiciones sean sumables. Aplica únicamente en entidades </w:t>
      </w:r>
      <w:r>
        <w:rPr>
          <w:rFonts w:ascii="Verdana" w:hAnsi="Verdana"/>
        </w:rPr>
        <w:t>sometidas al Estatuto General de Contratación Pública</w:t>
      </w:r>
      <w:r w:rsidRPr="00670CFB">
        <w:rPr>
          <w:rFonts w:ascii="Verdana" w:hAnsi="Verdana"/>
        </w:rPr>
        <w:t>, en licitación pública y concurso de méritos. La acreditación exige, entre otros documentos, los certificados de aportes a seguridad social de los tres (3) meses anteriores a la presentación de la oferta para cada PcD incluida en el cómputo, junto con el certificado del Ministerio de Trabajo. La no inclusión de este puntaje 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PcD vinculadas puede constituir causal de incumplimiento contractual, salvo que se demuestre fuerza mayor o caso fortuito, y en todo caso respetando el derecho a la estabilidad laboral reforzada de las PcD.</w:t>
      </w:r>
    </w:p>
    <w:p w14:paraId="7F6A64A7" w14:textId="77777777" w:rsidR="00164E23" w:rsidRPr="00670CFB" w:rsidRDefault="00164E23" w:rsidP="00164E23">
      <w:pPr>
        <w:spacing w:after="120" w:line="276" w:lineRule="auto"/>
        <w:ind w:firstLine="709"/>
        <w:jc w:val="both"/>
        <w:rPr>
          <w:rFonts w:ascii="Verdana" w:hAnsi="Verdana"/>
        </w:rPr>
      </w:pPr>
      <w:r w:rsidRPr="00670CFB">
        <w:rPr>
          <w:rFonts w:ascii="Verdana" w:hAnsi="Verdana"/>
        </w:rPr>
        <w:t xml:space="preserve">La cuarta medida son las condiciones especiales de ejecución, reguladas en el artículo 2.2.1.2.4.2.7.5. del Decreto 1082 de 2015 (modificado), que </w:t>
      </w:r>
      <w:r w:rsidRPr="00670CFB">
        <w:rPr>
          <w:rFonts w:ascii="Verdana" w:hAnsi="Verdana"/>
        </w:rPr>
        <w:lastRenderedPageBreak/>
        <w:t xml:space="preserve">operan durante la ejecución del contrato y consisten en la obligación de incluir en los documentos del proceso al menos una de dos condiciones contractuales: la subcontratación inclusiva, que exige al contratista priorizar a PcD y a emprendimientos y empresas de PcD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PcD y sus empresas tengan preferencia cuando existan en el mercado y sea factible su vinculación. Esta medida aplica en entidades </w:t>
      </w:r>
      <w:r>
        <w:rPr>
          <w:rFonts w:ascii="Verdana" w:hAnsi="Verdana"/>
        </w:rPr>
        <w:t>sometidas al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2FA44A3D" w14:textId="77777777" w:rsidR="00164E23" w:rsidRPr="00670CFB" w:rsidRDefault="00164E23" w:rsidP="00164E23">
      <w:pPr>
        <w:spacing w:after="120" w:line="276" w:lineRule="auto"/>
        <w:ind w:firstLine="709"/>
        <w:jc w:val="both"/>
        <w:rPr>
          <w:rFonts w:ascii="Verdana" w:hAnsi="Verdana"/>
        </w:rPr>
      </w:pPr>
      <w:r w:rsidRPr="00670CFB">
        <w:rPr>
          <w:rFonts w:ascii="Verdana" w:hAnsi="Verdana"/>
        </w:rPr>
        <w:t xml:space="preserve">La quinta medida es la inclusión de PcD en contratos de prestación de servicios profesionales y/o de apoyo a la gestión, regulada en el artículo 2.2.1.2.4.2.7.6. del Decreto 1082 de 2015 (modificado), que opera en la modalidad de contratación directa y tiene carácter potestativo: las entidades </w:t>
      </w:r>
      <w:r>
        <w:rPr>
          <w:rFonts w:ascii="Verdana" w:hAnsi="Verdana"/>
        </w:rPr>
        <w:t>sometidas al Estatuto General de Contratación Pública</w:t>
      </w:r>
      <w:r w:rsidRPr="00670CFB">
        <w:rPr>
          <w:rFonts w:ascii="Verdana" w:hAnsi="Verdana"/>
        </w:rPr>
        <w:t xml:space="preserve">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PcD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esta medida a través del SECOP, evaluando pertinencia, duración, objeto y nivel de especialización de cada contrato.</w:t>
      </w:r>
    </w:p>
    <w:p w14:paraId="4CC0CB78" w14:textId="77777777" w:rsidR="00164E23" w:rsidRPr="00670CFB" w:rsidRDefault="00164E23" w:rsidP="00164E23">
      <w:pPr>
        <w:spacing w:after="120" w:line="276" w:lineRule="auto"/>
        <w:ind w:firstLine="709"/>
        <w:jc w:val="both"/>
        <w:rPr>
          <w:rFonts w:ascii="Verdana" w:hAnsi="Verdana"/>
        </w:rPr>
      </w:pPr>
      <w:r w:rsidRPr="00670CFB">
        <w:rPr>
          <w:rFonts w:ascii="Verdana" w:hAnsi="Verdana"/>
        </w:rPr>
        <w:lastRenderedPageBreak/>
        <w:t xml:space="preserve">A estas cinco medidas se suma, de manera transversal e independiente, la obligación de compras públicas accesibles regulada en el artículo 2.2.1.2.4.2.7.1. del Decreto 1082 de 2015 (modificado), que aplica a todos los entes del Estado con independencia de su régimen de contratación, en todas las modalidades de selección incluida la contratación directa, y en todos los contratos en </w:t>
      </w:r>
      <w:r>
        <w:rPr>
          <w:rFonts w:ascii="Verdana" w:hAnsi="Verdana"/>
        </w:rPr>
        <w:t>los que se adquieran</w:t>
      </w:r>
      <w:r w:rsidRPr="00670CFB">
        <w:rPr>
          <w:rFonts w:ascii="Verdana" w:hAnsi="Verdana"/>
        </w:rPr>
        <w:t xml:space="preserve"> bien</w:t>
      </w:r>
      <w:r>
        <w:rPr>
          <w:rFonts w:ascii="Verdana" w:hAnsi="Verdana"/>
        </w:rPr>
        <w:t>es</w:t>
      </w:r>
      <w:r w:rsidRPr="00670CFB">
        <w:rPr>
          <w:rFonts w:ascii="Verdana" w:hAnsi="Verdana"/>
        </w:rPr>
        <w:t>, obra</w:t>
      </w:r>
      <w:r>
        <w:rPr>
          <w:rFonts w:ascii="Verdana" w:hAnsi="Verdana"/>
        </w:rPr>
        <w:t>s</w:t>
      </w:r>
      <w:r w:rsidRPr="00670CFB">
        <w:rPr>
          <w:rFonts w:ascii="Verdana" w:hAnsi="Verdana"/>
        </w:rPr>
        <w:t xml:space="preserve"> o servicio</w:t>
      </w:r>
      <w:r>
        <w:rPr>
          <w:rFonts w:ascii="Verdana" w:hAnsi="Verdana"/>
        </w:rPr>
        <w:t>s</w:t>
      </w:r>
      <w:r w:rsidRPr="00670CFB">
        <w:rPr>
          <w:rFonts w:ascii="Verdana" w:hAnsi="Verdana"/>
        </w:rPr>
        <w:t>. Esta obligación consiste en incorporar en los estudios previos y en los documentos del proceso criterios que garanticen la accesibilidad de las PcD,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accesibilidad; la inexistencia de norma técnica no exonera a la entidad de esta obligación sino que la convierte en autora de sus propios estándares de accesibilidad para ese contrato específico.</w:t>
      </w:r>
    </w:p>
    <w:p w14:paraId="1B4A951C" w14:textId="77777777" w:rsidR="00164E23" w:rsidRPr="00670CFB" w:rsidRDefault="00164E23" w:rsidP="00A07A6E">
      <w:pPr>
        <w:spacing w:after="0" w:line="276" w:lineRule="auto"/>
        <w:ind w:firstLine="709"/>
        <w:jc w:val="both"/>
        <w:rPr>
          <w:rFonts w:ascii="Verdana" w:hAnsi="Verdana"/>
        </w:rPr>
      </w:pPr>
      <w:r w:rsidRPr="00670CFB">
        <w:rPr>
          <w:rFonts w:ascii="Verdana" w:hAnsi="Verdana"/>
        </w:rPr>
        <w:t>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p w14:paraId="174716D6" w14:textId="77777777" w:rsidR="00164E23" w:rsidRPr="00206556" w:rsidRDefault="00164E23" w:rsidP="00164E23">
      <w:pPr>
        <w:spacing w:after="0" w:line="276" w:lineRule="auto"/>
        <w:jc w:val="both"/>
        <w:rPr>
          <w:rFonts w:ascii="Verdana" w:eastAsia="Calibri" w:hAnsi="Verdana" w:cs="Arial"/>
          <w:lang w:val="es-ES"/>
        </w:rPr>
      </w:pPr>
    </w:p>
    <w:p w14:paraId="1D43C40B" w14:textId="77777777" w:rsidR="00164E23" w:rsidRPr="00206556" w:rsidRDefault="00164E23" w:rsidP="002F4D9E">
      <w:pPr>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4. Referencias normativas, jurisprudenciales y otras fuentes:</w:t>
      </w:r>
    </w:p>
    <w:p w14:paraId="404AA5EF" w14:textId="77777777" w:rsidR="0063630C" w:rsidRPr="002F4D9E" w:rsidRDefault="0063630C" w:rsidP="00A07A6E">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64E23" w:rsidRPr="00206556" w14:paraId="04282F3E" w14:textId="77777777" w:rsidTr="00640533">
        <w:trPr>
          <w:trHeight w:val="297"/>
        </w:trPr>
        <w:tc>
          <w:tcPr>
            <w:tcW w:w="8647" w:type="dxa"/>
          </w:tcPr>
          <w:p w14:paraId="4BC4AB98" w14:textId="77777777" w:rsidR="00164E23" w:rsidRPr="00670CFB"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670CFB">
              <w:rPr>
                <w:rFonts w:ascii="Verdana" w:eastAsia="Arial MT" w:hAnsi="Verdana" w:cs="Arial"/>
                <w:lang w:eastAsia="es-ES" w:bidi="es-ES"/>
              </w:rPr>
              <w:t>Constitución Política de Colombia. Artículos 13, 47, 54 y 93.</w:t>
            </w:r>
          </w:p>
          <w:p w14:paraId="52F7B8A4"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22 de 1967. Por la cual se aprueba el Convenio número 111 Internacional del Trabajo, relativo a la discriminación en materia de empleo y ocupación.</w:t>
            </w:r>
          </w:p>
          <w:p w14:paraId="04733DEE"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82 de 1988. Por la cual se aprueba el Convenio 159 de la OIT sobre readaptación profesional y empleo de personas inválidas.</w:t>
            </w:r>
          </w:p>
          <w:p w14:paraId="541B787A"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361 de 1997. Artículo 24.</w:t>
            </w:r>
          </w:p>
          <w:p w14:paraId="3CE9AFD2"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 xml:space="preserve">Ley 762 de 2002. Por medio de la cual se aprueba la Convención </w:t>
            </w:r>
            <w:r w:rsidRPr="00206556">
              <w:rPr>
                <w:rFonts w:ascii="Verdana" w:eastAsia="Arial MT" w:hAnsi="Verdana" w:cs="Arial"/>
                <w:lang w:eastAsia="es-ES" w:bidi="es-ES"/>
              </w:rPr>
              <w:lastRenderedPageBreak/>
              <w:t>Interamericana para la Eliminación de todas las Formas de Discriminación contra las Personas con Discapacidad.</w:t>
            </w:r>
          </w:p>
          <w:p w14:paraId="6C0ADA69"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1346 de 2009. Por medio de la cual se aprueba la Convención sobre los Derechos de las Personas con Discapacidad de la ONU.</w:t>
            </w:r>
          </w:p>
          <w:p w14:paraId="7769E727"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Estatutaria 1618 de 2013. Artículo 13, numerales 1, 7 y 8.</w:t>
            </w:r>
          </w:p>
          <w:p w14:paraId="34D5AA7F"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1996 de 2019. Artículo 62.</w:t>
            </w:r>
          </w:p>
          <w:p w14:paraId="03FA9033"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2069 de 2020. Artículos 34 y 35.</w:t>
            </w:r>
          </w:p>
          <w:p w14:paraId="3E7AA1A2"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2294 de 2023. Artículos 4, 76 y 79.</w:t>
            </w:r>
          </w:p>
          <w:p w14:paraId="0197AB08"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2466 de 2025. Artículo 15, numeral 17.</w:t>
            </w:r>
          </w:p>
          <w:p w14:paraId="328909F4"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Decreto 1082 de 2015. Artículos 2.2.1.2.4.2.6., 2.2.1.2.4.2.7. y siguientes, y 2.2.1.2.4.2.8., modificados por el Decreto 0287 de 2026.</w:t>
            </w:r>
          </w:p>
          <w:p w14:paraId="4E4FAA63"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Decreto 392 de 2018. Derogado en lo contrario por el Decreto 0287 de 2026.</w:t>
            </w:r>
          </w:p>
          <w:p w14:paraId="614867A6"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Decreto 1860 de 2021. Artículo 3.</w:t>
            </w:r>
          </w:p>
          <w:p w14:paraId="31BD3EFF"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Decreto 0287 de 2026. Por el cual se modifican los artículos 2.2.1.2.4.2.6., 2.2.1.2.4.2.7. y 2.2.1.2.4.2.8. del Decreto 1082 de 2015.</w:t>
            </w:r>
          </w:p>
          <w:p w14:paraId="4426817F"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Corte Constitucional. Sentencia C-410 de 2001. M.P. Álvaro Tafur Galvis.</w:t>
            </w:r>
          </w:p>
          <w:p w14:paraId="1442BC35"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Corte Constitucional. Sentencia SU-049 de 2017. M.P. María Victoria Calle Correa.</w:t>
            </w:r>
          </w:p>
          <w:p w14:paraId="5F3AF347"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 xml:space="preserve">Consejo de Estado. Sala de lo Contencioso Administrativo, Sección Quinta. Sentencia de acción de cumplimiento del 12 de diciembre de 2024. Rad. </w:t>
            </w:r>
            <w:proofErr w:type="spellStart"/>
            <w:r w:rsidRPr="00206556">
              <w:rPr>
                <w:rFonts w:ascii="Verdana" w:eastAsia="Arial MT" w:hAnsi="Verdana" w:cs="Arial"/>
                <w:lang w:eastAsia="es-ES" w:bidi="es-ES"/>
              </w:rPr>
              <w:t>n.°</w:t>
            </w:r>
            <w:proofErr w:type="spellEnd"/>
            <w:r w:rsidRPr="00206556">
              <w:rPr>
                <w:rFonts w:ascii="Verdana" w:eastAsia="Arial MT" w:hAnsi="Verdana" w:cs="Arial"/>
                <w:lang w:eastAsia="es-ES" w:bidi="es-ES"/>
              </w:rPr>
              <w:t xml:space="preserve"> 05001-23-33-000-2024-00847-01. M.P. Omar Joaquín Barreto Suárez.</w:t>
            </w:r>
          </w:p>
          <w:p w14:paraId="7393C335"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Consejo de Estado. Sala de Consulta y Servicio Civil. Concepto del 24 de julio de 2013. Rad. 2166. C.P. Álvaro Namén Vargas.</w:t>
            </w:r>
          </w:p>
          <w:p w14:paraId="06B4AEFC"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Circular Externa sobre orientaciones para la aplicación del Decreto 287 de 2026. Bogotá, 2026.</w:t>
            </w:r>
          </w:p>
          <w:p w14:paraId="5CA9AE38"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ABC del Decreto 0287 de 2026. Bogotá, 2026.</w:t>
            </w:r>
          </w:p>
          <w:p w14:paraId="748D8EC8"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Memoria Justificativa del Decreto 0287 de 2026. Bogotá, 2026.</w:t>
            </w:r>
          </w:p>
          <w:p w14:paraId="75AB72D5"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 xml:space="preserve">Agencia Nacional de Contratación Pública – Colombia Compra </w:t>
            </w:r>
            <w:r w:rsidRPr="00206556">
              <w:rPr>
                <w:rFonts w:ascii="Verdana" w:eastAsia="Arial MT" w:hAnsi="Verdana" w:cs="Arial"/>
                <w:lang w:eastAsia="es-ES" w:bidi="es-ES"/>
              </w:rPr>
              <w:lastRenderedPageBreak/>
              <w:t>Eficiente. Guía de Compras Públicas Sostenibles y Socialmente Responsables. Bogotá, 2025.</w:t>
            </w:r>
          </w:p>
          <w:p w14:paraId="4D615009"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C-864 del 14 de diciembre de 2022.</w:t>
            </w:r>
          </w:p>
          <w:p w14:paraId="29485073"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C-1519 del 19 de noviembre de 2025.</w:t>
            </w:r>
          </w:p>
          <w:p w14:paraId="564303D3"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Departamento Nacional de Planeación. Documento CONPES 166 de 2013. Política Pública Nacional de Discapacidad e Inclusión Social.</w:t>
            </w:r>
          </w:p>
          <w:p w14:paraId="63F68A65" w14:textId="77777777" w:rsidR="00164E23" w:rsidRPr="00206556" w:rsidRDefault="00164E23" w:rsidP="00640533">
            <w:pPr>
              <w:widowControl w:val="0"/>
              <w:autoSpaceDE w:val="0"/>
              <w:autoSpaceDN w:val="0"/>
              <w:spacing w:line="276" w:lineRule="auto"/>
              <w:jc w:val="both"/>
              <w:rPr>
                <w:rFonts w:ascii="Verdana" w:eastAsia="Arial MT" w:hAnsi="Verdana" w:cs="Arial"/>
                <w:lang w:val="es-ES" w:eastAsia="es-ES" w:bidi="es-ES"/>
              </w:rPr>
            </w:pPr>
          </w:p>
        </w:tc>
      </w:tr>
    </w:tbl>
    <w:p w14:paraId="14A91C3E" w14:textId="77777777" w:rsidR="00164E23" w:rsidRPr="00206556" w:rsidRDefault="00164E23" w:rsidP="00164E23">
      <w:pPr>
        <w:widowControl w:val="0"/>
        <w:autoSpaceDE w:val="0"/>
        <w:autoSpaceDN w:val="0"/>
        <w:spacing w:after="0" w:line="276" w:lineRule="auto"/>
        <w:jc w:val="both"/>
        <w:rPr>
          <w:rFonts w:ascii="Verdana" w:hAnsi="Verdana" w:cs="Arial"/>
          <w:color w:val="ED7D31" w:themeColor="accent2"/>
          <w:lang w:val="es-ES"/>
        </w:rPr>
      </w:pPr>
    </w:p>
    <w:p w14:paraId="36AD2B46" w14:textId="77777777" w:rsidR="00164E23" w:rsidRDefault="00164E23" w:rsidP="00164E2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5. Doctrina de la Agencia Nacional de Contratación Pública:</w:t>
      </w:r>
    </w:p>
    <w:p w14:paraId="2C61F17A" w14:textId="77777777" w:rsidR="00164E23" w:rsidRPr="00670CFB" w:rsidRDefault="00164E23" w:rsidP="00164E23">
      <w:pPr>
        <w:tabs>
          <w:tab w:val="left" w:pos="142"/>
          <w:tab w:val="left" w:pos="284"/>
        </w:tabs>
        <w:spacing w:after="0" w:line="276" w:lineRule="auto"/>
        <w:jc w:val="both"/>
        <w:rPr>
          <w:rFonts w:ascii="Verdana" w:eastAsia="Century Gothic" w:hAnsi="Verdana" w:cs="Century Gothic"/>
          <w:b/>
          <w:lang w:val="es-ES"/>
        </w:rPr>
      </w:pPr>
    </w:p>
    <w:p w14:paraId="44798F04" w14:textId="51958428" w:rsidR="00164E23" w:rsidRPr="00206556" w:rsidRDefault="0068724C" w:rsidP="00164E23">
      <w:pPr>
        <w:spacing w:after="0" w:line="276" w:lineRule="auto"/>
        <w:jc w:val="both"/>
        <w:rPr>
          <w:rFonts w:ascii="Verdana" w:hAnsi="Verdana"/>
          <w:color w:val="ED7D31" w:themeColor="accent2"/>
          <w:lang w:val="es-ES"/>
        </w:rPr>
      </w:pPr>
      <w:r w:rsidRPr="0068724C">
        <w:rPr>
          <w:rFonts w:ascii="Verdana" w:eastAsia="Calibri" w:hAnsi="Verdana" w:cs="Arial"/>
          <w:lang w:val="es-ES"/>
        </w:rPr>
        <w:t xml:space="preserve">La Agencia Nacional de Contratación Pública – Colombia Compra Eficiente se ha referido sobre el alcance del Decreto 0287 de 2026 en los conceptos C-473 del 7 de mayo de 2026, C-498 del 8 de mayo de 2026 y C-576 del 19 de mayo de </w:t>
      </w:r>
      <w:r w:rsidR="00FA7E0B" w:rsidRPr="0068724C">
        <w:rPr>
          <w:rFonts w:ascii="Verdana" w:eastAsia="Calibri" w:hAnsi="Verdana" w:cs="Arial"/>
          <w:lang w:val="es-ES"/>
        </w:rPr>
        <w:t>2026</w:t>
      </w:r>
      <w:r w:rsidR="00FA7E0B" w:rsidRPr="0068724C">
        <w:rPr>
          <w:rFonts w:ascii="Verdana" w:eastAsia="Calibri" w:hAnsi="Verdana" w:cs="Arial"/>
          <w:lang w:val="es-ES_tradnl"/>
        </w:rPr>
        <w:t>.</w:t>
      </w:r>
      <w:r w:rsidR="00164E23" w:rsidRPr="00206556">
        <w:rPr>
          <w:rFonts w:ascii="Verdana" w:hAnsi="Verdana" w:cs="Arial"/>
          <w:shd w:val="clear" w:color="auto" w:fill="FFFFFF"/>
          <w:lang w:val="es-ES"/>
        </w:rPr>
        <w:t xml:space="preserve"> Est</w:t>
      </w:r>
      <w:r w:rsidR="003D1B7C">
        <w:rPr>
          <w:rFonts w:ascii="Verdana" w:hAnsi="Verdana" w:cs="Arial"/>
          <w:shd w:val="clear" w:color="auto" w:fill="FFFFFF"/>
          <w:lang w:val="es-ES"/>
        </w:rPr>
        <w:t>os</w:t>
      </w:r>
      <w:r w:rsidR="00164E23" w:rsidRPr="00206556">
        <w:rPr>
          <w:rFonts w:ascii="Verdana" w:hAnsi="Verdana"/>
          <w:lang w:val="es-ES"/>
        </w:rPr>
        <w:t xml:space="preserve"> y otros se encuentran disponibles para consulta en el Sistema de relatoría de la Agencia, al cual se puede acceder a través del siguiente enlace:</w:t>
      </w:r>
      <w:r w:rsidR="00164E23" w:rsidRPr="00206556">
        <w:rPr>
          <w:rFonts w:ascii="Verdana" w:hAnsi="Verdana" w:cs="Arial"/>
          <w:shd w:val="clear" w:color="auto" w:fill="FFFFFF"/>
          <w:lang w:val="es-ES"/>
        </w:rPr>
        <w:t xml:space="preserve"> </w:t>
      </w:r>
      <w:hyperlink r:id="rId12" w:history="1">
        <w:r w:rsidR="00164E23" w:rsidRPr="00206556">
          <w:rPr>
            <w:rStyle w:val="Hipervnculo"/>
            <w:rFonts w:ascii="Verdana" w:hAnsi="Verdana" w:cs="Arial"/>
            <w:shd w:val="clear" w:color="auto" w:fill="FFFFFF"/>
            <w:lang w:val="es-ES"/>
          </w:rPr>
          <w:t>https://relatoria.colombiacompra.gov.co/busqueda/conceptos</w:t>
        </w:r>
      </w:hyperlink>
    </w:p>
    <w:p w14:paraId="0670610D" w14:textId="77777777" w:rsidR="00164E23" w:rsidRPr="00206556" w:rsidRDefault="00164E23" w:rsidP="00164E23">
      <w:pPr>
        <w:spacing w:after="0" w:line="276" w:lineRule="auto"/>
        <w:jc w:val="both"/>
        <w:rPr>
          <w:rFonts w:ascii="Verdana" w:hAnsi="Verdana" w:cs="Arial"/>
          <w:color w:val="ED7D31" w:themeColor="accent2"/>
          <w:shd w:val="clear" w:color="auto" w:fill="FFFFFF"/>
          <w:lang w:val="es-ES"/>
        </w:rPr>
      </w:pPr>
    </w:p>
    <w:p w14:paraId="2047E5F9" w14:textId="77777777" w:rsidR="00164E23" w:rsidRPr="00206556" w:rsidRDefault="00164E23" w:rsidP="00164E23">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3" w:history="1">
        <w:r w:rsidRPr="00206556">
          <w:rPr>
            <w:rStyle w:val="Hipervnculo"/>
            <w:rFonts w:ascii="Verdana" w:hAnsi="Verdana" w:cs="Arial"/>
            <w:shd w:val="clear" w:color="auto" w:fill="FFFFFF"/>
          </w:rPr>
          <w:t>https://formacionvirtual.colombiacompra.gov.co/mod/page/view.php?id=3718</w:t>
        </w:r>
      </w:hyperlink>
      <w:r w:rsidRPr="00206556">
        <w:rPr>
          <w:rFonts w:ascii="Verdana" w:hAnsi="Verdana" w:cs="Arial"/>
          <w:shd w:val="clear" w:color="auto" w:fill="FFFFFF"/>
        </w:rPr>
        <w:t xml:space="preserve"> </w:t>
      </w:r>
    </w:p>
    <w:p w14:paraId="014E486B" w14:textId="77777777" w:rsidR="00164E23" w:rsidRPr="00206556" w:rsidRDefault="00164E23" w:rsidP="00164E23">
      <w:pPr>
        <w:spacing w:after="0" w:line="276" w:lineRule="auto"/>
        <w:jc w:val="both"/>
        <w:rPr>
          <w:rFonts w:ascii="Verdana" w:hAnsi="Verdana" w:cs="Arial"/>
          <w:shd w:val="clear" w:color="auto" w:fill="FFFFFF"/>
        </w:rPr>
      </w:pPr>
    </w:p>
    <w:p w14:paraId="333CE4DF" w14:textId="77777777" w:rsidR="00164E23" w:rsidRPr="00206556" w:rsidRDefault="00164E23" w:rsidP="00164E23">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w:t>
      </w:r>
      <w:r w:rsidRPr="00206556">
        <w:rPr>
          <w:rFonts w:ascii="Verdana" w:hAnsi="Verdana" w:cs="Arial"/>
          <w:shd w:val="clear" w:color="auto" w:fill="FFFFFF"/>
        </w:rPr>
        <w:lastRenderedPageBreak/>
        <w:t xml:space="preserve">documentos aquí: </w:t>
      </w:r>
      <w:hyperlink r:id="rId14" w:history="1">
        <w:r w:rsidRPr="00206556">
          <w:rPr>
            <w:rStyle w:val="Hipervnculo"/>
            <w:rFonts w:ascii="Verdana" w:hAnsi="Verdana" w:cs="Arial"/>
            <w:shd w:val="clear" w:color="auto" w:fill="FFFFFF"/>
          </w:rPr>
          <w:t>https://www.colombiacompra.gov.co/normativa-y-relatoria/documentos-tipo</w:t>
        </w:r>
      </w:hyperlink>
    </w:p>
    <w:p w14:paraId="42251B1A" w14:textId="77777777" w:rsidR="00164E23" w:rsidRPr="00206556" w:rsidRDefault="00164E23" w:rsidP="00164E23">
      <w:pPr>
        <w:spacing w:after="0" w:line="276" w:lineRule="auto"/>
        <w:jc w:val="both"/>
        <w:rPr>
          <w:rFonts w:ascii="Verdana" w:hAnsi="Verdana" w:cs="Arial"/>
          <w:shd w:val="clear" w:color="auto" w:fill="FFFFFF"/>
        </w:rPr>
      </w:pPr>
    </w:p>
    <w:p w14:paraId="248D7C7E" w14:textId="1352FC89" w:rsidR="00164E23" w:rsidRPr="00206556" w:rsidRDefault="00164E23" w:rsidP="00164E23">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r w:rsidRPr="002F4D9E">
        <w:rPr>
          <w:rFonts w:ascii="Verdana" w:hAnsi="Verdana" w:cs="Arial"/>
          <w:shd w:val="clear" w:color="auto" w:fill="FFFFFF"/>
        </w:rPr>
        <w:t>Además</w:t>
      </w:r>
      <w:r w:rsidR="00053AC1">
        <w:rPr>
          <w:rFonts w:ascii="Verdana" w:hAnsi="Verdana" w:cs="Arial"/>
          <w:shd w:val="clear" w:color="auto" w:fill="FFFFFF"/>
        </w:rPr>
        <w:t>,</w:t>
      </w:r>
      <w:r w:rsidRPr="002F4D9E">
        <w:rPr>
          <w:rFonts w:ascii="Verdana" w:hAnsi="Verdana" w:cs="Arial"/>
          <w:shd w:val="clear" w:color="auto" w:fill="FFFFFF"/>
        </w:rPr>
        <w:t xml:space="preserve"> se incluyeron lineamientos que orientan la implementación de los criterios ambientales y sociales incluidos en los documentos tipo: Consulta la guía aquí: </w:t>
      </w:r>
      <w:hyperlink r:id="rId15" w:history="1">
        <w:r w:rsidR="00053AC1" w:rsidRPr="007F46C4">
          <w:rPr>
            <w:rStyle w:val="Hipervnculo"/>
            <w:rFonts w:ascii="Verdana" w:hAnsi="Verdana" w:cs="Arial"/>
            <w:shd w:val="clear" w:color="auto" w:fill="FFFFFF"/>
          </w:rPr>
          <w:t>https://www.colombiacompra.gov.co/archivos/manual/guia-para-la-comprension-e-implementacion-de-los-documentos-tipo-de-obra-publica-de-infraestructura-de-transporte-bajo-las-diferentes-modalidades-de-contratacion-vigentes</w:t>
        </w:r>
      </w:hyperlink>
      <w:r w:rsidR="00053AC1">
        <w:rPr>
          <w:rFonts w:ascii="Verdana" w:hAnsi="Verdana" w:cs="Arial"/>
          <w:shd w:val="clear" w:color="auto" w:fill="FFFFFF"/>
        </w:rPr>
        <w:t xml:space="preserve"> </w:t>
      </w:r>
    </w:p>
    <w:p w14:paraId="62EDA6DE" w14:textId="77777777" w:rsidR="00164E23" w:rsidRPr="00206556" w:rsidRDefault="00164E23" w:rsidP="00164E23">
      <w:pPr>
        <w:spacing w:after="0" w:line="276" w:lineRule="auto"/>
        <w:jc w:val="both"/>
        <w:rPr>
          <w:rFonts w:ascii="Verdana" w:hAnsi="Verdana" w:cs="Arial"/>
          <w:color w:val="ED7D31" w:themeColor="accent2"/>
          <w:shd w:val="clear" w:color="auto" w:fill="FFFFFF"/>
        </w:rPr>
      </w:pPr>
    </w:p>
    <w:p w14:paraId="52277C39" w14:textId="77777777" w:rsidR="00164E23" w:rsidRPr="00206556" w:rsidRDefault="00164E23" w:rsidP="00A07A6E">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Por último, lo invitamos a seguirnos en las redes sociales en las cuales se difunde información institucional: </w:t>
      </w:r>
    </w:p>
    <w:p w14:paraId="4FD56DEC" w14:textId="77777777" w:rsidR="00164E23" w:rsidRPr="00206556" w:rsidRDefault="00164E23" w:rsidP="00A07A6E">
      <w:pPr>
        <w:spacing w:after="0" w:line="276" w:lineRule="auto"/>
        <w:jc w:val="both"/>
        <w:rPr>
          <w:rFonts w:ascii="Verdana" w:hAnsi="Verdana" w:cs="Arial"/>
          <w:shd w:val="clear" w:color="auto" w:fill="FFFFFF"/>
        </w:rPr>
      </w:pPr>
    </w:p>
    <w:p w14:paraId="49E6E10F" w14:textId="77777777" w:rsidR="00164E23" w:rsidRPr="00206556" w:rsidRDefault="00164E23" w:rsidP="00A07A6E">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3954CCA0" w14:textId="77777777" w:rsidR="00164E23" w:rsidRPr="00206556" w:rsidRDefault="00164E23" w:rsidP="00A07A6E">
      <w:pPr>
        <w:spacing w:after="0" w:line="276" w:lineRule="auto"/>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053AD73E" w14:textId="77777777" w:rsidR="00164E23" w:rsidRPr="00206556" w:rsidRDefault="00164E23" w:rsidP="00A07A6E">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3D601315" w14:textId="77777777" w:rsidR="00164E23" w:rsidRPr="00206556" w:rsidRDefault="00164E23" w:rsidP="00A07A6E">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29C8D0E4" w14:textId="77777777" w:rsidR="00164E23" w:rsidRPr="00206556" w:rsidRDefault="00164E23" w:rsidP="00164E23">
      <w:pPr>
        <w:widowControl w:val="0"/>
        <w:autoSpaceDE w:val="0"/>
        <w:autoSpaceDN w:val="0"/>
        <w:spacing w:after="0" w:line="276" w:lineRule="auto"/>
        <w:jc w:val="both"/>
        <w:rPr>
          <w:rFonts w:ascii="Verdana" w:hAnsi="Verdana" w:cs="Arial"/>
          <w:color w:val="ED7D31" w:themeColor="accent2"/>
          <w:lang w:val="es-ES"/>
        </w:rPr>
      </w:pPr>
    </w:p>
    <w:p w14:paraId="18028084" w14:textId="77777777" w:rsidR="00164E23" w:rsidRPr="00206556" w:rsidRDefault="00164E23" w:rsidP="00164E23">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308F895" w14:textId="77777777" w:rsidR="00164E23" w:rsidRPr="00206556" w:rsidRDefault="00164E23" w:rsidP="00164E23">
      <w:pPr>
        <w:widowControl w:val="0"/>
        <w:autoSpaceDE w:val="0"/>
        <w:autoSpaceDN w:val="0"/>
        <w:spacing w:after="0" w:line="276" w:lineRule="auto"/>
        <w:jc w:val="both"/>
        <w:rPr>
          <w:rFonts w:ascii="Verdana" w:hAnsi="Verdana" w:cs="Arial"/>
          <w:lang w:val="es-ES"/>
        </w:rPr>
      </w:pPr>
    </w:p>
    <w:p w14:paraId="68207465" w14:textId="2DFE592D" w:rsidR="00164E23" w:rsidRPr="00206556" w:rsidRDefault="00164E23" w:rsidP="00A07A6E">
      <w:pPr>
        <w:spacing w:after="0" w:line="276" w:lineRule="auto"/>
        <w:rPr>
          <w:rFonts w:ascii="Verdana" w:eastAsia="Calibri" w:hAnsi="Verdana" w:cs="Arial"/>
          <w:noProof/>
          <w:sz w:val="20"/>
          <w:szCs w:val="20"/>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60B5BD5A" w14:textId="22EFFAA1" w:rsidR="00164E23" w:rsidRPr="00206556" w:rsidRDefault="00E94DAD" w:rsidP="00A07A6E">
      <w:pPr>
        <w:spacing w:after="0" w:line="256" w:lineRule="auto"/>
        <w:jc w:val="center"/>
        <w:rPr>
          <w:rFonts w:ascii="Verdana" w:eastAsia="Times New Roman" w:hAnsi="Verdana" w:cs="Arial"/>
          <w:lang w:eastAsia="es-ES"/>
        </w:rPr>
      </w:pPr>
      <w:r w:rsidRPr="00AC023F">
        <w:rPr>
          <w:rFonts w:ascii="Verdana" w:hAnsi="Verdana"/>
          <w:noProof/>
        </w:rPr>
        <w:lastRenderedPageBreak/>
        <w:drawing>
          <wp:inline distT="0" distB="0" distL="0" distR="0" wp14:anchorId="6B6EB373" wp14:editId="10E72F20">
            <wp:extent cx="3381375" cy="1333500"/>
            <wp:effectExtent l="0" t="0" r="9525" b="0"/>
            <wp:docPr id="280232186" name="Imagen 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232186" name="Imagen 1" descr="Imagen que contiene Diagrama&#10;&#10;Descripción generada automáticamente"/>
                    <pic:cNvPicPr/>
                  </pic:nvPicPr>
                  <pic:blipFill rotWithShape="1">
                    <a:blip r:embed="rId16"/>
                    <a:srcRect l="7068" t="24758" b="7281"/>
                    <a:stretch/>
                  </pic:blipFill>
                  <pic:spPr bwMode="auto">
                    <a:xfrm>
                      <a:off x="0" y="0"/>
                      <a:ext cx="3381847" cy="1333686"/>
                    </a:xfrm>
                    <a:prstGeom prst="rect">
                      <a:avLst/>
                    </a:prstGeom>
                    <a:ln>
                      <a:noFill/>
                    </a:ln>
                    <a:extLst>
                      <a:ext uri="{53640926-AAD7-44D8-BBD7-CCE9431645EC}">
                        <a14:shadowObscured xmlns:a14="http://schemas.microsoft.com/office/drawing/2010/main"/>
                      </a:ext>
                    </a:extLst>
                  </pic:spPr>
                </pic:pic>
              </a:graphicData>
            </a:graphic>
          </wp:inline>
        </w:drawing>
      </w: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164E23" w:rsidRPr="00206556" w14:paraId="00AFDB46" w14:textId="77777777" w:rsidTr="00640533">
        <w:trPr>
          <w:trHeight w:val="322"/>
        </w:trPr>
        <w:tc>
          <w:tcPr>
            <w:tcW w:w="733" w:type="dxa"/>
            <w:tcBorders>
              <w:top w:val="nil"/>
              <w:left w:val="nil"/>
              <w:bottom w:val="nil"/>
              <w:right w:val="nil"/>
            </w:tcBorders>
            <w:vAlign w:val="center"/>
            <w:hideMark/>
          </w:tcPr>
          <w:p w14:paraId="372DFD4A" w14:textId="77777777" w:rsidR="00164E23" w:rsidRPr="00206556" w:rsidRDefault="00164E23" w:rsidP="00640533">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7A5AC051" w14:textId="77777777" w:rsidR="00164E23" w:rsidRPr="00206556" w:rsidRDefault="00164E23" w:rsidP="00640533">
            <w:pPr>
              <w:spacing w:after="0" w:line="256" w:lineRule="auto"/>
              <w:rPr>
                <w:rFonts w:ascii="Verdana" w:eastAsia="Times New Roman" w:hAnsi="Verdana" w:cs="Arial"/>
                <w:sz w:val="16"/>
                <w:szCs w:val="16"/>
                <w:lang w:val="es-ES_tradnl" w:eastAsia="es-ES"/>
              </w:rPr>
            </w:pPr>
            <w:r w:rsidRPr="00206556">
              <w:rPr>
                <w:rFonts w:ascii="Verdana" w:eastAsia="Times New Roman" w:hAnsi="Verdana" w:cs="Arial"/>
                <w:sz w:val="16"/>
                <w:szCs w:val="16"/>
                <w:lang w:val="es-ES_tradnl" w:eastAsia="es-ES"/>
              </w:rPr>
              <w:t>Ximena Ríos López</w:t>
            </w:r>
          </w:p>
          <w:p w14:paraId="0690EBB9" w14:textId="77777777" w:rsidR="00164E23" w:rsidRPr="00A5703A" w:rsidRDefault="00164E23" w:rsidP="00640533">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T1-11 de la Subdirección de Gestión Contractual</w:t>
            </w:r>
          </w:p>
        </w:tc>
      </w:tr>
      <w:tr w:rsidR="00164E23" w:rsidRPr="00206556" w14:paraId="04998A47" w14:textId="77777777" w:rsidTr="00640533">
        <w:trPr>
          <w:trHeight w:val="322"/>
        </w:trPr>
        <w:tc>
          <w:tcPr>
            <w:tcW w:w="733" w:type="dxa"/>
            <w:tcBorders>
              <w:top w:val="nil"/>
              <w:left w:val="nil"/>
              <w:bottom w:val="nil"/>
              <w:right w:val="nil"/>
            </w:tcBorders>
            <w:vAlign w:val="center"/>
            <w:hideMark/>
          </w:tcPr>
          <w:p w14:paraId="757BAF58" w14:textId="77777777" w:rsidR="00164E23" w:rsidRPr="00206556" w:rsidRDefault="00164E23" w:rsidP="00640533">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502B58A" w14:textId="2BC4B20D" w:rsidR="00164E23" w:rsidRPr="00206556" w:rsidRDefault="00164E23" w:rsidP="0064053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 xml:space="preserve">Diana </w:t>
            </w:r>
            <w:r w:rsidR="002F4D9E">
              <w:rPr>
                <w:rFonts w:ascii="Verdana" w:eastAsia="Times New Roman" w:hAnsi="Verdana" w:cs="Arial"/>
                <w:sz w:val="16"/>
                <w:szCs w:val="16"/>
                <w:lang w:val="es-ES_tradnl" w:eastAsia="es-ES"/>
              </w:rPr>
              <w:t>Lucia</w:t>
            </w:r>
            <w:r>
              <w:rPr>
                <w:rFonts w:ascii="Verdana" w:eastAsia="Times New Roman" w:hAnsi="Verdana" w:cs="Arial"/>
                <w:sz w:val="16"/>
                <w:szCs w:val="16"/>
                <w:lang w:val="es-ES_tradnl" w:eastAsia="es-ES"/>
              </w:rPr>
              <w:t xml:space="preserve"> Saavedra</w:t>
            </w:r>
            <w:r w:rsidR="002F4D9E">
              <w:rPr>
                <w:rFonts w:ascii="Verdana" w:eastAsia="Times New Roman" w:hAnsi="Verdana" w:cs="Arial"/>
                <w:sz w:val="16"/>
                <w:szCs w:val="16"/>
                <w:lang w:val="es-ES_tradnl" w:eastAsia="es-ES"/>
              </w:rPr>
              <w:t xml:space="preserve"> Castañeda</w:t>
            </w:r>
          </w:p>
          <w:p w14:paraId="73FB23CE" w14:textId="77777777" w:rsidR="00164E23" w:rsidRPr="00A5703A" w:rsidRDefault="00164E23" w:rsidP="00640533">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tc>
      </w:tr>
      <w:tr w:rsidR="00164E23" w:rsidRPr="00206556" w14:paraId="594A5E55" w14:textId="77777777" w:rsidTr="00640533">
        <w:trPr>
          <w:trHeight w:val="307"/>
        </w:trPr>
        <w:tc>
          <w:tcPr>
            <w:tcW w:w="733" w:type="dxa"/>
            <w:tcBorders>
              <w:top w:val="nil"/>
              <w:left w:val="nil"/>
              <w:bottom w:val="nil"/>
              <w:right w:val="nil"/>
            </w:tcBorders>
            <w:vAlign w:val="center"/>
            <w:hideMark/>
          </w:tcPr>
          <w:p w14:paraId="115A83C3" w14:textId="77777777" w:rsidR="00164E23" w:rsidRPr="00206556" w:rsidRDefault="00164E23" w:rsidP="00640533">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87D8BA2" w14:textId="77777777" w:rsidR="00164E23" w:rsidRPr="00206556" w:rsidRDefault="00164E23" w:rsidP="00640533">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63629DBE" w14:textId="77777777" w:rsidR="00164E23" w:rsidRPr="00206556" w:rsidRDefault="00164E23" w:rsidP="00640533">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bookmarkEnd w:id="0"/>
    </w:tbl>
    <w:p w14:paraId="1511DAB1" w14:textId="77777777" w:rsidR="00164E23" w:rsidRDefault="00164E23" w:rsidP="00164E23">
      <w:pPr>
        <w:autoSpaceDE w:val="0"/>
        <w:autoSpaceDN w:val="0"/>
        <w:adjustRightInd w:val="0"/>
        <w:spacing w:after="0" w:line="276" w:lineRule="auto"/>
        <w:jc w:val="center"/>
        <w:rPr>
          <w:rFonts w:ascii="Verdana" w:eastAsia="Calibri" w:hAnsi="Verdana" w:cs="Arial"/>
        </w:rPr>
      </w:pPr>
    </w:p>
    <w:p w14:paraId="0F293BF4" w14:textId="214BA71D" w:rsidR="00127233" w:rsidRPr="000D01C1" w:rsidRDefault="00127233" w:rsidP="00E45DDE">
      <w:pPr>
        <w:autoSpaceDE w:val="0"/>
        <w:autoSpaceDN w:val="0"/>
        <w:adjustRightInd w:val="0"/>
        <w:spacing w:after="0" w:line="276" w:lineRule="auto"/>
      </w:pPr>
    </w:p>
    <w:sectPr w:rsidR="00127233" w:rsidRPr="000D01C1"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E2D7C" w14:textId="77777777" w:rsidR="002945CE" w:rsidRDefault="002945CE" w:rsidP="004A1847">
      <w:pPr>
        <w:spacing w:after="0" w:line="240" w:lineRule="auto"/>
      </w:pPr>
      <w:r>
        <w:separator/>
      </w:r>
    </w:p>
  </w:endnote>
  <w:endnote w:type="continuationSeparator" w:id="0">
    <w:p w14:paraId="5749B761" w14:textId="77777777" w:rsidR="002945CE" w:rsidRDefault="002945C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1CFB8" w14:textId="77777777" w:rsidR="002945CE" w:rsidRDefault="002945CE" w:rsidP="004A1847">
      <w:pPr>
        <w:spacing w:after="0" w:line="240" w:lineRule="auto"/>
      </w:pPr>
      <w:r>
        <w:separator/>
      </w:r>
    </w:p>
  </w:footnote>
  <w:footnote w:type="continuationSeparator" w:id="0">
    <w:p w14:paraId="2AB139F6" w14:textId="77777777" w:rsidR="002945CE" w:rsidRDefault="002945CE" w:rsidP="004A1847">
      <w:pPr>
        <w:spacing w:after="0" w:line="240" w:lineRule="auto"/>
      </w:pPr>
      <w:r>
        <w:continuationSeparator/>
      </w:r>
    </w:p>
  </w:footnote>
  <w:footnote w:id="1">
    <w:p w14:paraId="1FEB13DF" w14:textId="77777777" w:rsidR="00164E23" w:rsidRPr="00206556" w:rsidRDefault="00164E23" w:rsidP="00A07A6E">
      <w:pPr>
        <w:spacing w:after="0" w:line="240" w:lineRule="auto"/>
        <w:ind w:firstLine="709"/>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18660BA3" w14:textId="77777777" w:rsidR="00164E23" w:rsidRPr="00206556" w:rsidRDefault="00164E23" w:rsidP="00A07A6E">
      <w:pPr>
        <w:spacing w:after="0" w:line="240" w:lineRule="auto"/>
        <w:ind w:firstLine="709"/>
        <w:jc w:val="both"/>
        <w:rPr>
          <w:rFonts w:ascii="Verdana" w:hAnsi="Verdana"/>
          <w:sz w:val="16"/>
          <w:szCs w:val="16"/>
        </w:rPr>
      </w:pPr>
    </w:p>
  </w:footnote>
  <w:footnote w:id="2">
    <w:p w14:paraId="1DD92A7C" w14:textId="77777777" w:rsidR="00164E23" w:rsidRPr="00206556" w:rsidRDefault="00164E23" w:rsidP="00A07A6E">
      <w:pPr>
        <w:pStyle w:val="Textonotapie"/>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2F3F885A" w14:textId="77777777" w:rsidR="00164E23" w:rsidRPr="00206556" w:rsidRDefault="00164E23" w:rsidP="00A07A6E">
      <w:pPr>
        <w:pStyle w:val="Textonotapie"/>
        <w:ind w:firstLine="709"/>
        <w:jc w:val="both"/>
        <w:rPr>
          <w:rFonts w:ascii="Verdana" w:hAnsi="Verdana"/>
          <w:sz w:val="16"/>
          <w:szCs w:val="16"/>
          <w:lang w:val="es-ES"/>
        </w:rPr>
      </w:pPr>
    </w:p>
  </w:footnote>
  <w:footnote w:id="3">
    <w:p w14:paraId="335EAC1A" w14:textId="77777777" w:rsidR="00164E23" w:rsidRPr="00206556" w:rsidRDefault="00164E23" w:rsidP="00A07A6E">
      <w:pPr>
        <w:spacing w:after="0" w:line="240" w:lineRule="auto"/>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51FD3F41" w14:textId="77777777" w:rsidR="00164E23" w:rsidRPr="00206556" w:rsidRDefault="00164E23" w:rsidP="00A07A6E">
      <w:pPr>
        <w:spacing w:after="0" w:line="240" w:lineRule="auto"/>
        <w:ind w:firstLine="709"/>
        <w:jc w:val="both"/>
        <w:rPr>
          <w:rFonts w:ascii="Verdana" w:hAnsi="Verdana"/>
          <w:sz w:val="16"/>
          <w:szCs w:val="16"/>
        </w:rPr>
      </w:pPr>
    </w:p>
  </w:footnote>
  <w:footnote w:id="4">
    <w:p w14:paraId="7B708A55" w14:textId="77777777" w:rsidR="00164E23" w:rsidRPr="00206556" w:rsidRDefault="00164E23" w:rsidP="00A07A6E">
      <w:pPr>
        <w:pStyle w:val="Textonotapie"/>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2777EA66" w14:textId="77777777" w:rsidR="00164E23" w:rsidRPr="00206556" w:rsidRDefault="00164E23" w:rsidP="00A07A6E">
      <w:pPr>
        <w:pStyle w:val="Textonotapie"/>
        <w:ind w:firstLine="709"/>
        <w:jc w:val="both"/>
        <w:rPr>
          <w:rFonts w:ascii="Verdana" w:hAnsi="Verdana"/>
          <w:sz w:val="16"/>
          <w:szCs w:val="16"/>
          <w:lang w:val="es-ES"/>
        </w:rPr>
      </w:pPr>
    </w:p>
  </w:footnote>
  <w:footnote w:id="5">
    <w:p w14:paraId="3E6806EC" w14:textId="77777777" w:rsidR="00164E23" w:rsidRPr="00206556" w:rsidRDefault="00164E23" w:rsidP="00A07A6E">
      <w:pPr>
        <w:pStyle w:val="Textonotapie"/>
        <w:ind w:firstLine="709"/>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37DE6A98" w14:textId="77777777" w:rsidR="00164E23" w:rsidRPr="00206556" w:rsidRDefault="00164E23" w:rsidP="00A07A6E">
      <w:pPr>
        <w:pStyle w:val="Textonotapie"/>
        <w:ind w:firstLine="709"/>
        <w:jc w:val="both"/>
        <w:rPr>
          <w:rFonts w:ascii="Verdana" w:hAnsi="Verdana"/>
          <w:sz w:val="16"/>
          <w:szCs w:val="16"/>
          <w:lang w:val="es-ES"/>
        </w:rPr>
      </w:pPr>
    </w:p>
  </w:footnote>
  <w:footnote w:id="6">
    <w:p w14:paraId="6AAC2168" w14:textId="77777777" w:rsidR="00164E23" w:rsidRPr="00206556" w:rsidRDefault="00164E23" w:rsidP="00A07A6E">
      <w:pPr>
        <w:pStyle w:val="Textonotapie"/>
        <w:ind w:firstLine="709"/>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688A8AF7" w14:textId="77777777" w:rsidR="00164E23" w:rsidRPr="00206556" w:rsidRDefault="00164E23" w:rsidP="00A07A6E">
      <w:pPr>
        <w:pStyle w:val="Textonotapie"/>
        <w:ind w:firstLine="709"/>
        <w:rPr>
          <w:rFonts w:ascii="Verdana" w:hAnsi="Verdana"/>
          <w:sz w:val="16"/>
          <w:szCs w:val="16"/>
          <w:lang w:val="es-ES"/>
        </w:rPr>
      </w:pPr>
    </w:p>
  </w:footnote>
  <w:footnote w:id="7">
    <w:p w14:paraId="26020D0F" w14:textId="77777777" w:rsidR="00164E23" w:rsidRPr="00206556" w:rsidRDefault="00164E23" w:rsidP="00A07A6E">
      <w:pPr>
        <w:pStyle w:val="Textonotapie"/>
        <w:ind w:firstLine="709"/>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37BBBE6F" w14:textId="77777777" w:rsidR="00164E23" w:rsidRPr="00206556" w:rsidRDefault="00164E23" w:rsidP="00A07A6E">
      <w:pPr>
        <w:pStyle w:val="Textonotapie"/>
        <w:ind w:firstLine="709"/>
        <w:rPr>
          <w:rFonts w:ascii="Verdana" w:hAnsi="Verdana"/>
          <w:sz w:val="16"/>
          <w:szCs w:val="16"/>
          <w:lang w:val="es-ES"/>
        </w:rPr>
      </w:pPr>
    </w:p>
  </w:footnote>
  <w:footnote w:id="8">
    <w:p w14:paraId="388574D4" w14:textId="77777777" w:rsidR="00164E23" w:rsidRPr="00206556" w:rsidRDefault="00164E23" w:rsidP="00A07A6E">
      <w:pPr>
        <w:pStyle w:val="Textonotapie"/>
        <w:ind w:firstLine="709"/>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24564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16B2"/>
    <w:rsid w:val="00046945"/>
    <w:rsid w:val="000509A1"/>
    <w:rsid w:val="00053AC1"/>
    <w:rsid w:val="00061B2A"/>
    <w:rsid w:val="00082362"/>
    <w:rsid w:val="000A0C65"/>
    <w:rsid w:val="000A683E"/>
    <w:rsid w:val="000B0524"/>
    <w:rsid w:val="000B19B9"/>
    <w:rsid w:val="000C6B53"/>
    <w:rsid w:val="000D01C1"/>
    <w:rsid w:val="000D0334"/>
    <w:rsid w:val="000D1C00"/>
    <w:rsid w:val="000D5DA7"/>
    <w:rsid w:val="000E4951"/>
    <w:rsid w:val="000F3396"/>
    <w:rsid w:val="000F6486"/>
    <w:rsid w:val="000F7E9F"/>
    <w:rsid w:val="00111A55"/>
    <w:rsid w:val="00116940"/>
    <w:rsid w:val="00122B9A"/>
    <w:rsid w:val="00125105"/>
    <w:rsid w:val="00125336"/>
    <w:rsid w:val="00126041"/>
    <w:rsid w:val="00127233"/>
    <w:rsid w:val="00133911"/>
    <w:rsid w:val="001474A4"/>
    <w:rsid w:val="00150786"/>
    <w:rsid w:val="0015699B"/>
    <w:rsid w:val="00157128"/>
    <w:rsid w:val="0016103B"/>
    <w:rsid w:val="00164E23"/>
    <w:rsid w:val="001803BD"/>
    <w:rsid w:val="00182B5C"/>
    <w:rsid w:val="0018359A"/>
    <w:rsid w:val="0018583C"/>
    <w:rsid w:val="001A33BF"/>
    <w:rsid w:val="001C3294"/>
    <w:rsid w:val="001E4177"/>
    <w:rsid w:val="001F0B24"/>
    <w:rsid w:val="001F7DC6"/>
    <w:rsid w:val="0022400B"/>
    <w:rsid w:val="002421BB"/>
    <w:rsid w:val="0025796E"/>
    <w:rsid w:val="002707A2"/>
    <w:rsid w:val="00290DF7"/>
    <w:rsid w:val="002945CE"/>
    <w:rsid w:val="002951A0"/>
    <w:rsid w:val="002962BC"/>
    <w:rsid w:val="00296619"/>
    <w:rsid w:val="002A093D"/>
    <w:rsid w:val="002A0DD0"/>
    <w:rsid w:val="002A49AC"/>
    <w:rsid w:val="002A64FD"/>
    <w:rsid w:val="002C052E"/>
    <w:rsid w:val="002C69E0"/>
    <w:rsid w:val="002C7A84"/>
    <w:rsid w:val="002E27F9"/>
    <w:rsid w:val="002E2BF8"/>
    <w:rsid w:val="002E47C3"/>
    <w:rsid w:val="002E4FD9"/>
    <w:rsid w:val="002F4D9E"/>
    <w:rsid w:val="00303D3C"/>
    <w:rsid w:val="0030657A"/>
    <w:rsid w:val="00322A85"/>
    <w:rsid w:val="00324168"/>
    <w:rsid w:val="0032703F"/>
    <w:rsid w:val="003270CC"/>
    <w:rsid w:val="00330834"/>
    <w:rsid w:val="00335ADD"/>
    <w:rsid w:val="00335C0D"/>
    <w:rsid w:val="003448F4"/>
    <w:rsid w:val="003606F3"/>
    <w:rsid w:val="003729CA"/>
    <w:rsid w:val="00374F5E"/>
    <w:rsid w:val="00377E3E"/>
    <w:rsid w:val="003A1653"/>
    <w:rsid w:val="003A779E"/>
    <w:rsid w:val="003D0F4D"/>
    <w:rsid w:val="003D1B7C"/>
    <w:rsid w:val="003D5B0D"/>
    <w:rsid w:val="003E0499"/>
    <w:rsid w:val="003E4F80"/>
    <w:rsid w:val="003E6439"/>
    <w:rsid w:val="003F3941"/>
    <w:rsid w:val="00406575"/>
    <w:rsid w:val="0041020F"/>
    <w:rsid w:val="00414C74"/>
    <w:rsid w:val="0042722E"/>
    <w:rsid w:val="004375E9"/>
    <w:rsid w:val="0044528D"/>
    <w:rsid w:val="00456D3A"/>
    <w:rsid w:val="004619E3"/>
    <w:rsid w:val="00466E39"/>
    <w:rsid w:val="00494D98"/>
    <w:rsid w:val="004A1847"/>
    <w:rsid w:val="004A305D"/>
    <w:rsid w:val="004A701A"/>
    <w:rsid w:val="004D4988"/>
    <w:rsid w:val="004D75D8"/>
    <w:rsid w:val="004E53FB"/>
    <w:rsid w:val="004F056A"/>
    <w:rsid w:val="004F21C4"/>
    <w:rsid w:val="004F685F"/>
    <w:rsid w:val="00500BFE"/>
    <w:rsid w:val="005026A7"/>
    <w:rsid w:val="00505D00"/>
    <w:rsid w:val="005242AD"/>
    <w:rsid w:val="00526A2A"/>
    <w:rsid w:val="005325DF"/>
    <w:rsid w:val="005566E8"/>
    <w:rsid w:val="005634B8"/>
    <w:rsid w:val="0057033C"/>
    <w:rsid w:val="00574851"/>
    <w:rsid w:val="00574867"/>
    <w:rsid w:val="005773F3"/>
    <w:rsid w:val="00581D4B"/>
    <w:rsid w:val="005833B7"/>
    <w:rsid w:val="00590511"/>
    <w:rsid w:val="00591460"/>
    <w:rsid w:val="00595BAC"/>
    <w:rsid w:val="005A65E0"/>
    <w:rsid w:val="005A79D2"/>
    <w:rsid w:val="005B09E0"/>
    <w:rsid w:val="005C3777"/>
    <w:rsid w:val="005C4399"/>
    <w:rsid w:val="005C5CDC"/>
    <w:rsid w:val="005D476C"/>
    <w:rsid w:val="005E53B6"/>
    <w:rsid w:val="006025B0"/>
    <w:rsid w:val="00603B26"/>
    <w:rsid w:val="006200BF"/>
    <w:rsid w:val="006219F8"/>
    <w:rsid w:val="006302F7"/>
    <w:rsid w:val="0063518A"/>
    <w:rsid w:val="0063630C"/>
    <w:rsid w:val="00640533"/>
    <w:rsid w:val="006465B7"/>
    <w:rsid w:val="00646B9F"/>
    <w:rsid w:val="0065252D"/>
    <w:rsid w:val="006533ED"/>
    <w:rsid w:val="00665D70"/>
    <w:rsid w:val="00666747"/>
    <w:rsid w:val="006700BA"/>
    <w:rsid w:val="0068724C"/>
    <w:rsid w:val="006900D9"/>
    <w:rsid w:val="00691BB4"/>
    <w:rsid w:val="006923C0"/>
    <w:rsid w:val="006B1034"/>
    <w:rsid w:val="006D3C49"/>
    <w:rsid w:val="006F558C"/>
    <w:rsid w:val="00706C16"/>
    <w:rsid w:val="00710C2C"/>
    <w:rsid w:val="0071236F"/>
    <w:rsid w:val="007171B8"/>
    <w:rsid w:val="007201F7"/>
    <w:rsid w:val="007204C2"/>
    <w:rsid w:val="00726168"/>
    <w:rsid w:val="0072655D"/>
    <w:rsid w:val="00727317"/>
    <w:rsid w:val="007340C3"/>
    <w:rsid w:val="007450CC"/>
    <w:rsid w:val="0075235A"/>
    <w:rsid w:val="00756841"/>
    <w:rsid w:val="007649AB"/>
    <w:rsid w:val="00771D0C"/>
    <w:rsid w:val="00773727"/>
    <w:rsid w:val="007833AC"/>
    <w:rsid w:val="007847CE"/>
    <w:rsid w:val="007A7025"/>
    <w:rsid w:val="007B211A"/>
    <w:rsid w:val="007B268C"/>
    <w:rsid w:val="007B4751"/>
    <w:rsid w:val="007B7171"/>
    <w:rsid w:val="007C0C0F"/>
    <w:rsid w:val="007C3DC2"/>
    <w:rsid w:val="007C656C"/>
    <w:rsid w:val="007E5497"/>
    <w:rsid w:val="007F2669"/>
    <w:rsid w:val="007F4846"/>
    <w:rsid w:val="00806491"/>
    <w:rsid w:val="00806F5F"/>
    <w:rsid w:val="00811CD9"/>
    <w:rsid w:val="008145AE"/>
    <w:rsid w:val="00820278"/>
    <w:rsid w:val="008258C9"/>
    <w:rsid w:val="00827E65"/>
    <w:rsid w:val="00844AE9"/>
    <w:rsid w:val="00853F4D"/>
    <w:rsid w:val="008553BA"/>
    <w:rsid w:val="00862E72"/>
    <w:rsid w:val="00867F95"/>
    <w:rsid w:val="00871029"/>
    <w:rsid w:val="00871529"/>
    <w:rsid w:val="0088322E"/>
    <w:rsid w:val="008843B6"/>
    <w:rsid w:val="00886A86"/>
    <w:rsid w:val="00891928"/>
    <w:rsid w:val="00894CE9"/>
    <w:rsid w:val="008A446D"/>
    <w:rsid w:val="008A7747"/>
    <w:rsid w:val="008B2501"/>
    <w:rsid w:val="008B25F1"/>
    <w:rsid w:val="008D180B"/>
    <w:rsid w:val="008D1F54"/>
    <w:rsid w:val="008F0EA7"/>
    <w:rsid w:val="008F630C"/>
    <w:rsid w:val="00913C15"/>
    <w:rsid w:val="00915175"/>
    <w:rsid w:val="00916872"/>
    <w:rsid w:val="00923EEF"/>
    <w:rsid w:val="009400EF"/>
    <w:rsid w:val="009419F9"/>
    <w:rsid w:val="00942E9F"/>
    <w:rsid w:val="009534FC"/>
    <w:rsid w:val="0095685E"/>
    <w:rsid w:val="009616E5"/>
    <w:rsid w:val="00961B09"/>
    <w:rsid w:val="00965334"/>
    <w:rsid w:val="0097093E"/>
    <w:rsid w:val="009724CD"/>
    <w:rsid w:val="009767C2"/>
    <w:rsid w:val="009A0DFA"/>
    <w:rsid w:val="009A1C6F"/>
    <w:rsid w:val="009B2D26"/>
    <w:rsid w:val="009C71FA"/>
    <w:rsid w:val="009C72E7"/>
    <w:rsid w:val="009C7F7E"/>
    <w:rsid w:val="009D3058"/>
    <w:rsid w:val="009E2368"/>
    <w:rsid w:val="009E2D14"/>
    <w:rsid w:val="009F3A13"/>
    <w:rsid w:val="00A07A6E"/>
    <w:rsid w:val="00A122D3"/>
    <w:rsid w:val="00A14468"/>
    <w:rsid w:val="00A17F13"/>
    <w:rsid w:val="00A20739"/>
    <w:rsid w:val="00A23AF9"/>
    <w:rsid w:val="00A26DE9"/>
    <w:rsid w:val="00A30FEE"/>
    <w:rsid w:val="00A33C78"/>
    <w:rsid w:val="00A35EC3"/>
    <w:rsid w:val="00A6021A"/>
    <w:rsid w:val="00A612CD"/>
    <w:rsid w:val="00A6494C"/>
    <w:rsid w:val="00A760BB"/>
    <w:rsid w:val="00A8025C"/>
    <w:rsid w:val="00AA5C88"/>
    <w:rsid w:val="00AB0ADB"/>
    <w:rsid w:val="00AB1E90"/>
    <w:rsid w:val="00AB4696"/>
    <w:rsid w:val="00AE7F45"/>
    <w:rsid w:val="00AF0A23"/>
    <w:rsid w:val="00AF2DB4"/>
    <w:rsid w:val="00AF74E2"/>
    <w:rsid w:val="00B00C0E"/>
    <w:rsid w:val="00B01B1A"/>
    <w:rsid w:val="00B0381D"/>
    <w:rsid w:val="00B157DF"/>
    <w:rsid w:val="00B22EAF"/>
    <w:rsid w:val="00B352DD"/>
    <w:rsid w:val="00B44A47"/>
    <w:rsid w:val="00B53DCF"/>
    <w:rsid w:val="00B72CD3"/>
    <w:rsid w:val="00B72FFF"/>
    <w:rsid w:val="00B73555"/>
    <w:rsid w:val="00B80858"/>
    <w:rsid w:val="00B8187E"/>
    <w:rsid w:val="00B84F28"/>
    <w:rsid w:val="00B8790B"/>
    <w:rsid w:val="00BB06B9"/>
    <w:rsid w:val="00BC1ABF"/>
    <w:rsid w:val="00BC3D36"/>
    <w:rsid w:val="00BD0136"/>
    <w:rsid w:val="00BD06BD"/>
    <w:rsid w:val="00BD54A6"/>
    <w:rsid w:val="00BD7F72"/>
    <w:rsid w:val="00BF7425"/>
    <w:rsid w:val="00C019B2"/>
    <w:rsid w:val="00C04FB3"/>
    <w:rsid w:val="00C05814"/>
    <w:rsid w:val="00C0617C"/>
    <w:rsid w:val="00C10FA2"/>
    <w:rsid w:val="00C11D8B"/>
    <w:rsid w:val="00C15139"/>
    <w:rsid w:val="00C330EB"/>
    <w:rsid w:val="00C478AD"/>
    <w:rsid w:val="00C50D69"/>
    <w:rsid w:val="00C5365C"/>
    <w:rsid w:val="00C65393"/>
    <w:rsid w:val="00C7016F"/>
    <w:rsid w:val="00C754BE"/>
    <w:rsid w:val="00C764E1"/>
    <w:rsid w:val="00C76B1C"/>
    <w:rsid w:val="00C8303C"/>
    <w:rsid w:val="00C925AC"/>
    <w:rsid w:val="00C929BC"/>
    <w:rsid w:val="00C97362"/>
    <w:rsid w:val="00CB6152"/>
    <w:rsid w:val="00CB6357"/>
    <w:rsid w:val="00CB64D7"/>
    <w:rsid w:val="00CC1B26"/>
    <w:rsid w:val="00CC2839"/>
    <w:rsid w:val="00CD11FC"/>
    <w:rsid w:val="00CE4D68"/>
    <w:rsid w:val="00D12E0D"/>
    <w:rsid w:val="00D251CB"/>
    <w:rsid w:val="00D31D71"/>
    <w:rsid w:val="00D361FD"/>
    <w:rsid w:val="00D423A2"/>
    <w:rsid w:val="00D44E26"/>
    <w:rsid w:val="00D520D8"/>
    <w:rsid w:val="00D63AC2"/>
    <w:rsid w:val="00D65302"/>
    <w:rsid w:val="00D7383B"/>
    <w:rsid w:val="00D74E0C"/>
    <w:rsid w:val="00D7788A"/>
    <w:rsid w:val="00D844F9"/>
    <w:rsid w:val="00D91296"/>
    <w:rsid w:val="00D946AC"/>
    <w:rsid w:val="00DA231B"/>
    <w:rsid w:val="00DB1383"/>
    <w:rsid w:val="00DB47ED"/>
    <w:rsid w:val="00DB55D1"/>
    <w:rsid w:val="00DC083E"/>
    <w:rsid w:val="00DC2097"/>
    <w:rsid w:val="00DC39FC"/>
    <w:rsid w:val="00DE2EE0"/>
    <w:rsid w:val="00DF1A20"/>
    <w:rsid w:val="00DF5254"/>
    <w:rsid w:val="00E00DEA"/>
    <w:rsid w:val="00E02524"/>
    <w:rsid w:val="00E1440E"/>
    <w:rsid w:val="00E16408"/>
    <w:rsid w:val="00E20894"/>
    <w:rsid w:val="00E21B1F"/>
    <w:rsid w:val="00E245AB"/>
    <w:rsid w:val="00E26217"/>
    <w:rsid w:val="00E2764C"/>
    <w:rsid w:val="00E27F2E"/>
    <w:rsid w:val="00E37168"/>
    <w:rsid w:val="00E40AC1"/>
    <w:rsid w:val="00E45DDE"/>
    <w:rsid w:val="00E50AFE"/>
    <w:rsid w:val="00E567BE"/>
    <w:rsid w:val="00E75C92"/>
    <w:rsid w:val="00E771DC"/>
    <w:rsid w:val="00E81338"/>
    <w:rsid w:val="00E8772A"/>
    <w:rsid w:val="00E877D4"/>
    <w:rsid w:val="00E90F6B"/>
    <w:rsid w:val="00E92C27"/>
    <w:rsid w:val="00E94DAD"/>
    <w:rsid w:val="00E97288"/>
    <w:rsid w:val="00E973FF"/>
    <w:rsid w:val="00EA0E3D"/>
    <w:rsid w:val="00EC38A7"/>
    <w:rsid w:val="00ED72A7"/>
    <w:rsid w:val="00EE1AA8"/>
    <w:rsid w:val="00EF0F2F"/>
    <w:rsid w:val="00F23FEA"/>
    <w:rsid w:val="00F30B59"/>
    <w:rsid w:val="00F31EDC"/>
    <w:rsid w:val="00F462B3"/>
    <w:rsid w:val="00F5664F"/>
    <w:rsid w:val="00F666C4"/>
    <w:rsid w:val="00F76AFC"/>
    <w:rsid w:val="00F86907"/>
    <w:rsid w:val="00FA214D"/>
    <w:rsid w:val="00FA47C0"/>
    <w:rsid w:val="00FA7E0B"/>
    <w:rsid w:val="00FB5DD1"/>
    <w:rsid w:val="00FC2B5D"/>
    <w:rsid w:val="00FE647A"/>
    <w:rsid w:val="00FF1449"/>
    <w:rsid w:val="00FF208E"/>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4BCD7692"/>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7716DB8D-79F8-445A-8BB0-2E9A66012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64E2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onserrathriveros1811@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C9B35FC-0CC6-44FB-932F-FB8B473FA470}"/>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372</TotalTime>
  <Pages>19</Pages>
  <Words>6224</Words>
  <Characters>34232</Characters>
  <Application>Microsoft Office Word</Application>
  <DocSecurity>0</DocSecurity>
  <Lines>285</Lines>
  <Paragraphs>80</Paragraphs>
  <ScaleCrop>false</ScaleCrop>
  <Company/>
  <LinksUpToDate>false</LinksUpToDate>
  <CharactersWithSpaces>40376</CharactersWithSpaces>
  <SharedDoc>false</SharedDoc>
  <HLinks>
    <vt:vector size="36" baseType="variant">
      <vt:variant>
        <vt:i4>3735661</vt:i4>
      </vt:variant>
      <vt:variant>
        <vt:i4>15</vt:i4>
      </vt:variant>
      <vt:variant>
        <vt:i4>0</vt:i4>
      </vt:variant>
      <vt:variant>
        <vt:i4>5</vt:i4>
      </vt:variant>
      <vt:variant>
        <vt:lpwstr>https://www.colombiacompra.gov.co/normativa-y-relatoria/documentos-tipo</vt:lpwstr>
      </vt:variant>
      <vt:variant>
        <vt:lpwstr/>
      </vt:variant>
      <vt:variant>
        <vt:i4>65544</vt:i4>
      </vt:variant>
      <vt:variant>
        <vt:i4>12</vt:i4>
      </vt:variant>
      <vt:variant>
        <vt:i4>0</vt:i4>
      </vt:variant>
      <vt:variant>
        <vt:i4>5</vt:i4>
      </vt:variant>
      <vt:variant>
        <vt:lpwstr>https://formacionvirtual.colombiacompra.gov.co/mod/page/view.php?id=3718</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4456541</vt:i4>
      </vt:variant>
      <vt:variant>
        <vt:i4>6</vt:i4>
      </vt:variant>
      <vt:variant>
        <vt:i4>0</vt:i4>
      </vt:variant>
      <vt:variant>
        <vt:i4>5</vt:i4>
      </vt:variant>
      <vt:variant>
        <vt:lpwstr>https://www.youtube.com/live/vpxD3PlXqPI?si=49f8ghb7Iiit6Ja9</vt:lpwstr>
      </vt:variant>
      <vt:variant>
        <vt:lpwstr/>
      </vt:variant>
      <vt:variant>
        <vt:i4>1441861</vt:i4>
      </vt:variant>
      <vt:variant>
        <vt:i4>3</vt:i4>
      </vt:variant>
      <vt:variant>
        <vt:i4>0</vt:i4>
      </vt:variant>
      <vt:variant>
        <vt:i4>5</vt:i4>
      </vt:variant>
      <vt:variant>
        <vt:lpwstr>https://www.colombiacompra.gov.co/archivos/infografia/abc-del-decreto-0287-de-2026-contratacion-publica-inclusiva-para-personas-con-discapacidad</vt:lpwstr>
      </vt:variant>
      <vt:variant>
        <vt:lpwstr/>
      </vt:variant>
      <vt:variant>
        <vt:i4>7995476</vt:i4>
      </vt:variant>
      <vt:variant>
        <vt:i4>0</vt:i4>
      </vt:variant>
      <vt:variant>
        <vt:i4>0</vt:i4>
      </vt:variant>
      <vt:variant>
        <vt:i4>5</vt:i4>
      </vt:variant>
      <vt:variant>
        <vt:lpwstr>mailto:infralarlicitaciones@gmail.com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66</cp:revision>
  <cp:lastPrinted>2023-01-10T21:18:00Z</cp:lastPrinted>
  <dcterms:created xsi:type="dcterms:W3CDTF">2026-05-20T22:50:00Z</dcterms:created>
  <dcterms:modified xsi:type="dcterms:W3CDTF">2026-05-27T21:36:00Z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