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A656A" w14:textId="77777777" w:rsidR="00991668" w:rsidRPr="008F73D4" w:rsidRDefault="00991668" w:rsidP="00991668">
      <w:pPr>
        <w:jc w:val="right"/>
        <w:rPr>
          <w:rFonts w:ascii="Arial" w:hAnsi="Arial" w:cs="Arial"/>
          <w:b/>
          <w:color w:val="000000" w:themeColor="text1"/>
          <w:sz w:val="16"/>
          <w:szCs w:val="16"/>
          <w:lang w:eastAsia="es-ES"/>
        </w:rPr>
      </w:pPr>
      <w:bookmarkStart w:id="0" w:name="_Hlk34141372"/>
      <w:bookmarkStart w:id="1" w:name="_Hlk28946138"/>
      <w:bookmarkStart w:id="2" w:name="_Hlk29548183"/>
      <w:bookmarkEnd w:id="0"/>
      <w:r w:rsidRPr="008F73D4">
        <w:rPr>
          <w:rFonts w:ascii="Arial" w:hAnsi="Arial" w:cs="Arial"/>
          <w:b/>
          <w:color w:val="000000" w:themeColor="text1"/>
          <w:sz w:val="16"/>
          <w:szCs w:val="16"/>
          <w:lang w:eastAsia="es-ES"/>
        </w:rPr>
        <w:t>CCE-DES-FM-17</w:t>
      </w:r>
    </w:p>
    <w:p w14:paraId="78E14ABA" w14:textId="77777777" w:rsidR="00991668" w:rsidRPr="008F73D4" w:rsidRDefault="00991668" w:rsidP="00991668">
      <w:pPr>
        <w:jc w:val="both"/>
        <w:rPr>
          <w:rFonts w:ascii="Arial" w:eastAsia="Calibri" w:hAnsi="Arial" w:cs="Arial"/>
          <w:b/>
          <w:color w:val="000000" w:themeColor="text1"/>
          <w:sz w:val="20"/>
          <w:szCs w:val="20"/>
        </w:rPr>
      </w:pPr>
    </w:p>
    <w:bookmarkEnd w:id="1"/>
    <w:bookmarkEnd w:id="2"/>
    <w:p w14:paraId="75FCBCC0" w14:textId="77777777" w:rsidR="00991668" w:rsidRPr="008F73D4" w:rsidRDefault="00991668" w:rsidP="00991668">
      <w:pPr>
        <w:jc w:val="both"/>
        <w:rPr>
          <w:rFonts w:ascii="Arial" w:eastAsia="Calibri" w:hAnsi="Arial" w:cs="Arial"/>
          <w:b/>
          <w:bCs/>
          <w:color w:val="000000" w:themeColor="text1"/>
          <w:sz w:val="22"/>
        </w:rPr>
      </w:pPr>
      <w:r w:rsidRPr="008F73D4">
        <w:rPr>
          <w:rFonts w:ascii="Arial" w:eastAsia="Calibri" w:hAnsi="Arial" w:cs="Arial"/>
          <w:b/>
          <w:bCs/>
          <w:color w:val="000000" w:themeColor="text1"/>
          <w:sz w:val="22"/>
        </w:rPr>
        <w:t>SELECCIÓN OBJETIVA ― Noción y factores de escogencia</w:t>
      </w:r>
    </w:p>
    <w:p w14:paraId="7BE20343" w14:textId="77777777" w:rsidR="00991668" w:rsidRPr="008F73D4" w:rsidRDefault="00991668" w:rsidP="00991668">
      <w:pPr>
        <w:rPr>
          <w:rFonts w:ascii="Arial" w:eastAsia="Calibri" w:hAnsi="Arial" w:cs="Arial"/>
          <w:b/>
          <w:bCs/>
          <w:color w:val="000000" w:themeColor="text1"/>
          <w:sz w:val="20"/>
          <w:szCs w:val="20"/>
        </w:rPr>
      </w:pPr>
    </w:p>
    <w:p w14:paraId="28A428BD" w14:textId="77777777" w:rsidR="00991668" w:rsidRPr="008F73D4" w:rsidRDefault="00991668" w:rsidP="00991668">
      <w:pPr>
        <w:jc w:val="both"/>
        <w:rPr>
          <w:rFonts w:ascii="Arial" w:eastAsia="Calibri" w:hAnsi="Arial" w:cs="Arial"/>
          <w:color w:val="000000" w:themeColor="text1"/>
          <w:sz w:val="20"/>
          <w:szCs w:val="20"/>
          <w:lang w:val="es-ES"/>
        </w:rPr>
      </w:pPr>
      <w:r w:rsidRPr="008F73D4">
        <w:rPr>
          <w:rFonts w:ascii="Arial" w:eastAsia="Calibri" w:hAnsi="Arial" w:cs="Arial"/>
          <w:color w:val="000000" w:themeColor="text1"/>
          <w:sz w:val="20"/>
          <w:szCs w:val="20"/>
          <w:lang w:val="es-ES"/>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 los factores de escogencia y calificación que establezcan las entidades en los pliegos de condiciones o sus equivalentes deberán tener en cuenta, entre otras cuestiones, los criterios establecidos en los numerales 1 a 4 del mencionado artículo 5, así como los 5 parágrafos de dicha norma. </w:t>
      </w:r>
    </w:p>
    <w:p w14:paraId="3CBB96D4" w14:textId="77777777" w:rsidR="00991668" w:rsidRPr="008F73D4" w:rsidRDefault="00991668" w:rsidP="00991668">
      <w:pPr>
        <w:spacing w:before="120"/>
        <w:jc w:val="both"/>
        <w:rPr>
          <w:rFonts w:ascii="Arial" w:hAnsi="Arial" w:cs="Arial"/>
          <w:color w:val="000000" w:themeColor="text1"/>
          <w:sz w:val="20"/>
          <w:szCs w:val="20"/>
        </w:rPr>
      </w:pPr>
      <w:r w:rsidRPr="008F73D4">
        <w:rPr>
          <w:rFonts w:ascii="Arial" w:eastAsia="Calibri" w:hAnsi="Arial" w:cs="Arial"/>
          <w:color w:val="000000" w:themeColor="text1"/>
          <w:sz w:val="20"/>
          <w:szCs w:val="20"/>
          <w:lang w:val="es-ES"/>
        </w:rPr>
        <w:t>Específicamente, el numeral 1º de la disposición referida establece que en los procesos de selección de contratistas serán objeto de verificación, como requisitos habilitantes, los siguientes: i) la capacidad jurídica; ii) la experiencia; iii) la capacidad financiera y iv) la capacidad de organización.</w:t>
      </w:r>
    </w:p>
    <w:p w14:paraId="03961764" w14:textId="77777777" w:rsidR="00991668" w:rsidRPr="008F73D4" w:rsidRDefault="00991668" w:rsidP="00991668">
      <w:pPr>
        <w:jc w:val="both"/>
        <w:rPr>
          <w:rFonts w:ascii="Arial" w:eastAsia="Calibri" w:hAnsi="Arial" w:cs="Arial"/>
          <w:b/>
          <w:bCs/>
          <w:color w:val="000000" w:themeColor="text1"/>
          <w:sz w:val="22"/>
        </w:rPr>
      </w:pPr>
    </w:p>
    <w:p w14:paraId="300BF8AC" w14:textId="77777777" w:rsidR="00991668" w:rsidRPr="008F73D4" w:rsidRDefault="00991668" w:rsidP="00991668">
      <w:pPr>
        <w:jc w:val="both"/>
        <w:rPr>
          <w:rFonts w:ascii="Arial" w:eastAsia="Calibri" w:hAnsi="Arial" w:cs="Arial"/>
          <w:b/>
          <w:bCs/>
          <w:color w:val="000000" w:themeColor="text1"/>
          <w:sz w:val="22"/>
        </w:rPr>
      </w:pPr>
      <w:r w:rsidRPr="008F73D4">
        <w:rPr>
          <w:rFonts w:ascii="Arial" w:eastAsia="Calibri" w:hAnsi="Arial" w:cs="Arial"/>
          <w:b/>
          <w:bCs/>
          <w:color w:val="000000" w:themeColor="text1"/>
          <w:sz w:val="22"/>
        </w:rPr>
        <w:t>REQUISITOS HABILITANTES DE LA LEY 1150 DE 2007 ― Carácter enunciativo</w:t>
      </w:r>
    </w:p>
    <w:p w14:paraId="564FB1CE" w14:textId="77777777" w:rsidR="00991668" w:rsidRPr="008F73D4" w:rsidRDefault="00991668" w:rsidP="00991668">
      <w:pPr>
        <w:rPr>
          <w:rFonts w:ascii="Arial" w:eastAsia="Calibri" w:hAnsi="Arial" w:cs="Arial"/>
          <w:b/>
          <w:bCs/>
          <w:color w:val="000000" w:themeColor="text1"/>
          <w:sz w:val="20"/>
          <w:szCs w:val="20"/>
        </w:rPr>
      </w:pPr>
    </w:p>
    <w:p w14:paraId="4A650513" w14:textId="77777777" w:rsidR="00991668" w:rsidRPr="008F73D4" w:rsidRDefault="00991668" w:rsidP="00991668">
      <w:pPr>
        <w:jc w:val="both"/>
        <w:rPr>
          <w:rFonts w:ascii="Arial" w:eastAsia="Calibri" w:hAnsi="Arial" w:cs="Arial"/>
          <w:color w:val="000000" w:themeColor="text1"/>
          <w:sz w:val="20"/>
          <w:szCs w:val="20"/>
          <w:lang w:val="es-ES"/>
        </w:rPr>
      </w:pPr>
      <w:r w:rsidRPr="008F73D4">
        <w:rPr>
          <w:rFonts w:ascii="Arial" w:eastAsia="Calibri" w:hAnsi="Arial" w:cs="Arial"/>
          <w:color w:val="000000" w:themeColor="text1"/>
          <w:sz w:val="20"/>
          <w:szCs w:val="20"/>
          <w:lang w:val="es-ES"/>
        </w:rPr>
        <w:t>[…] en este punto vale la pena preguntarse si los cuatro requisitos habilitantes establecidos en el artículo 5, numeral 1, de la Ley 1150 de 2007, cuyo alcance fue explicado previamente, son taxativos, esto es, si son los únicos requisitos habilitantes que puede exigirle una entidad a los proponentes. Esta pregunta tiene, al menos, dos respuestas razonables. Por un lado, que sí lo son, habida cuenta que la norma no hace referencia a otros diferentes y, por el otro, que no lo son, pues esta no contiene una expresión como «únicamente» o «solo» al referirse a los requisitos habilitantes y, además, debido a que la lectura íntegra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Pública.</w:t>
      </w:r>
    </w:p>
    <w:p w14:paraId="2080908E" w14:textId="77777777" w:rsidR="00991668" w:rsidRPr="008F73D4" w:rsidRDefault="00991668" w:rsidP="00991668">
      <w:pPr>
        <w:jc w:val="both"/>
        <w:rPr>
          <w:rFonts w:ascii="Arial" w:eastAsia="Calibri" w:hAnsi="Arial" w:cs="Arial"/>
          <w:color w:val="000000" w:themeColor="text1"/>
          <w:sz w:val="20"/>
          <w:szCs w:val="20"/>
        </w:rPr>
      </w:pPr>
    </w:p>
    <w:p w14:paraId="7F366B94" w14:textId="77777777" w:rsidR="00991668" w:rsidRPr="008F73D4" w:rsidRDefault="00991668" w:rsidP="00991668">
      <w:pPr>
        <w:rPr>
          <w:rFonts w:ascii="Arial" w:eastAsia="Calibri" w:hAnsi="Arial" w:cs="Arial"/>
          <w:b/>
          <w:bCs/>
          <w:color w:val="000000" w:themeColor="text1"/>
          <w:sz w:val="22"/>
        </w:rPr>
      </w:pPr>
      <w:r w:rsidRPr="008F73D4">
        <w:rPr>
          <w:rFonts w:ascii="Arial" w:eastAsia="Calibri" w:hAnsi="Arial" w:cs="Arial"/>
          <w:b/>
          <w:bCs/>
          <w:color w:val="000000" w:themeColor="text1"/>
          <w:sz w:val="22"/>
        </w:rPr>
        <w:t>CERTIFICACIONES DE SISTEMAS DE GESTIÓN DE CALIDAD – No se pueden exigir como requisito habilitante o puntuable</w:t>
      </w:r>
    </w:p>
    <w:p w14:paraId="65C9FE5B" w14:textId="77777777" w:rsidR="00991668" w:rsidRPr="008F73D4" w:rsidRDefault="00991668" w:rsidP="00991668">
      <w:pPr>
        <w:rPr>
          <w:rFonts w:ascii="Arial" w:eastAsia="Calibri" w:hAnsi="Arial" w:cs="Arial"/>
          <w:b/>
          <w:bCs/>
          <w:color w:val="000000" w:themeColor="text1"/>
          <w:sz w:val="20"/>
          <w:szCs w:val="20"/>
        </w:rPr>
      </w:pPr>
    </w:p>
    <w:p w14:paraId="112FD0FD" w14:textId="77777777" w:rsidR="00991668" w:rsidRPr="008F73D4" w:rsidRDefault="00991668" w:rsidP="00991668">
      <w:pPr>
        <w:jc w:val="both"/>
        <w:rPr>
          <w:rFonts w:ascii="Arial" w:eastAsia="Calibri" w:hAnsi="Arial" w:cs="Arial"/>
          <w:color w:val="000000" w:themeColor="text1"/>
          <w:sz w:val="20"/>
          <w:szCs w:val="20"/>
          <w:lang w:val="es-ES"/>
        </w:rPr>
      </w:pPr>
      <w:r w:rsidRPr="008F73D4">
        <w:rPr>
          <w:rFonts w:ascii="Arial" w:eastAsia="Calibri" w:hAnsi="Arial" w:cs="Arial"/>
          <w:color w:val="000000" w:themeColor="text1"/>
          <w:sz w:val="20"/>
          <w:szCs w:val="20"/>
        </w:rPr>
        <w:t xml:space="preserve">[…] </w:t>
      </w:r>
      <w:r w:rsidRPr="008F73D4">
        <w:rPr>
          <w:rFonts w:ascii="Arial" w:eastAsia="Calibri" w:hAnsi="Arial" w:cs="Arial"/>
          <w:color w:val="000000" w:themeColor="text1"/>
          <w:sz w:val="20"/>
          <w:szCs w:val="20"/>
          <w:lang w:val="es-ES"/>
        </w:rPr>
        <w:t>en el caso de los requisitos habilitantes, el artículo 5, parágrafo 2, de la Ley 1150 de 2007 establece que las «certificaciones de sistemas de gestión de calidad no serán objeto de calificación, ni podrán establecerse como documento habilitante para participar en licitaciones o concursos». Es del caso precisar que esta prohibición comprende los requisitos habilitantes y, además, los requisitos puntuables, pues la norma prohíbe expresamente que dichas certificaciones sean objeto de calificación. […]</w:t>
      </w:r>
    </w:p>
    <w:p w14:paraId="72712AE9" w14:textId="77777777" w:rsidR="00991668" w:rsidRPr="008F73D4" w:rsidRDefault="00991668" w:rsidP="00991668">
      <w:pPr>
        <w:spacing w:before="120"/>
        <w:jc w:val="both"/>
        <w:rPr>
          <w:rFonts w:ascii="Arial" w:eastAsia="Calibri" w:hAnsi="Arial" w:cs="Arial"/>
          <w:color w:val="000000" w:themeColor="text1"/>
          <w:sz w:val="20"/>
          <w:szCs w:val="20"/>
          <w:lang w:val="es-ES"/>
        </w:rPr>
      </w:pPr>
      <w:r w:rsidRPr="008F73D4">
        <w:rPr>
          <w:rFonts w:ascii="Arial" w:eastAsia="Calibri" w:hAnsi="Arial" w:cs="Arial"/>
          <w:color w:val="000000" w:themeColor="text1"/>
          <w:sz w:val="20"/>
          <w:szCs w:val="20"/>
          <w:lang w:val="es-ES"/>
        </w:rPr>
        <w:t>Ese es el criterio actual en el Consejo de Estado. En efecto, en concepto del 20 de mayo del 2010, la Sala de Consulta y Servicio Civil de dicha Corporación aclaró que «[…] Los certificados de gestión de calidad no se pueden solicitar a los proponentes, ni como requisito habilitante para participar en los procesos de selección, ni para otorgar puntaje».</w:t>
      </w:r>
    </w:p>
    <w:p w14:paraId="7A8824E7" w14:textId="77777777" w:rsidR="00991668" w:rsidRPr="008F73D4" w:rsidRDefault="00991668" w:rsidP="00991668">
      <w:pPr>
        <w:rPr>
          <w:rFonts w:ascii="Arial" w:hAnsi="Arial" w:cs="Arial"/>
          <w:color w:val="000000" w:themeColor="text1"/>
          <w:sz w:val="22"/>
          <w:lang w:val="es-ES"/>
        </w:rPr>
      </w:pPr>
    </w:p>
    <w:p w14:paraId="53FCA049" w14:textId="77777777" w:rsidR="00991668" w:rsidRPr="008F73D4" w:rsidRDefault="00991668" w:rsidP="00991668">
      <w:pPr>
        <w:rPr>
          <w:rFonts w:ascii="Arial" w:eastAsia="Calibri" w:hAnsi="Arial" w:cs="Arial"/>
          <w:b/>
          <w:bCs/>
          <w:sz w:val="22"/>
          <w:lang w:val="es-ES"/>
        </w:rPr>
      </w:pPr>
      <w:r w:rsidRPr="008F73D4">
        <w:rPr>
          <w:rFonts w:ascii="Arial" w:eastAsia="Calibri" w:hAnsi="Arial" w:cs="Arial"/>
          <w:b/>
          <w:bCs/>
          <w:sz w:val="22"/>
          <w:lang w:val="es-ES"/>
        </w:rPr>
        <w:t xml:space="preserve">SEGURIDAD SOCIAL </w:t>
      </w:r>
      <w:r w:rsidRPr="008F73D4">
        <w:rPr>
          <w:rFonts w:ascii="Arial" w:eastAsia="Calibri" w:hAnsi="Arial" w:cs="Arial"/>
          <w:b/>
          <w:sz w:val="22"/>
          <w:lang w:val="es-ES"/>
        </w:rPr>
        <w:t>–</w:t>
      </w:r>
      <w:r w:rsidRPr="008F73D4">
        <w:rPr>
          <w:rFonts w:ascii="Arial" w:eastAsia="Calibri" w:hAnsi="Arial" w:cs="Arial"/>
          <w:b/>
          <w:bCs/>
          <w:sz w:val="22"/>
          <w:lang w:val="es-ES"/>
        </w:rPr>
        <w:t xml:space="preserve"> Verificación </w:t>
      </w:r>
      <w:r w:rsidRPr="008F73D4">
        <w:rPr>
          <w:rFonts w:ascii="Arial" w:eastAsia="Calibri" w:hAnsi="Arial" w:cs="Arial"/>
          <w:b/>
          <w:sz w:val="22"/>
          <w:lang w:val="es-ES"/>
        </w:rPr>
        <w:t>–</w:t>
      </w:r>
      <w:r w:rsidRPr="008F73D4">
        <w:rPr>
          <w:rFonts w:ascii="Arial" w:eastAsia="Calibri" w:hAnsi="Arial" w:cs="Arial"/>
          <w:b/>
          <w:bCs/>
          <w:sz w:val="22"/>
          <w:lang w:val="es-ES"/>
        </w:rPr>
        <w:t xml:space="preserve"> Pago </w:t>
      </w:r>
      <w:r w:rsidRPr="008F73D4">
        <w:rPr>
          <w:rFonts w:ascii="Arial" w:eastAsia="Calibri" w:hAnsi="Arial" w:cs="Arial"/>
          <w:b/>
          <w:sz w:val="22"/>
          <w:lang w:val="es-ES"/>
        </w:rPr>
        <w:t>–</w:t>
      </w:r>
      <w:r w:rsidRPr="008F73D4">
        <w:rPr>
          <w:rFonts w:ascii="Arial" w:eastAsia="Calibri" w:hAnsi="Arial" w:cs="Arial"/>
          <w:b/>
          <w:bCs/>
          <w:sz w:val="22"/>
          <w:lang w:val="es-ES"/>
        </w:rPr>
        <w:t xml:space="preserve"> Persona natural </w:t>
      </w:r>
      <w:r w:rsidRPr="008F73D4">
        <w:rPr>
          <w:rFonts w:ascii="Arial" w:eastAsia="Calibri" w:hAnsi="Arial" w:cs="Arial"/>
          <w:b/>
          <w:sz w:val="22"/>
          <w:lang w:val="es-ES"/>
        </w:rPr>
        <w:t>–</w:t>
      </w:r>
      <w:r w:rsidRPr="008F73D4">
        <w:rPr>
          <w:rFonts w:ascii="Arial" w:eastAsia="Calibri" w:hAnsi="Arial" w:cs="Arial"/>
          <w:b/>
          <w:bCs/>
          <w:sz w:val="22"/>
          <w:lang w:val="es-ES"/>
        </w:rPr>
        <w:t xml:space="preserve"> Persona jurídica</w:t>
      </w:r>
    </w:p>
    <w:p w14:paraId="1D9DFFCA" w14:textId="77777777" w:rsidR="00991668" w:rsidRPr="008F73D4" w:rsidRDefault="00991668" w:rsidP="00991668">
      <w:pPr>
        <w:rPr>
          <w:rFonts w:ascii="Arial" w:eastAsia="Calibri" w:hAnsi="Arial" w:cs="Arial"/>
          <w:b/>
          <w:bCs/>
          <w:sz w:val="20"/>
          <w:szCs w:val="20"/>
          <w:lang w:val="es-ES"/>
        </w:rPr>
      </w:pPr>
    </w:p>
    <w:p w14:paraId="516AB81B" w14:textId="77777777" w:rsidR="00991668" w:rsidRPr="008F73D4" w:rsidRDefault="00991668" w:rsidP="00991668">
      <w:pPr>
        <w:jc w:val="both"/>
        <w:rPr>
          <w:rFonts w:ascii="Arial" w:hAnsi="Arial" w:cs="Arial"/>
          <w:sz w:val="20"/>
          <w:szCs w:val="20"/>
          <w:lang w:val="es-ES"/>
        </w:rPr>
      </w:pPr>
      <w:r w:rsidRPr="008F73D4">
        <w:rPr>
          <w:rFonts w:ascii="Arial" w:hAnsi="Arial" w:cs="Arial"/>
          <w:sz w:val="20"/>
          <w:szCs w:val="20"/>
          <w:lang w:val="es-ES"/>
        </w:rPr>
        <w:t xml:space="preserve">La verificación de los aportes al Sistema de Seguridad Social Integral cambia, dependiendo de si se trata de una persona natural o de una jurídica: i) si es una natural, la entidad estatal verificará el pago </w:t>
      </w:r>
      <w:r w:rsidRPr="008F73D4">
        <w:rPr>
          <w:rFonts w:ascii="Arial" w:hAnsi="Arial" w:cs="Arial"/>
          <w:sz w:val="20"/>
          <w:szCs w:val="20"/>
          <w:lang w:val="es-ES"/>
        </w:rPr>
        <w:lastRenderedPageBreak/>
        <w:t xml:space="preserve">al Sistema de Seguridad Social Integral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pagar las cuentas o facturas. En los casos en los que opere, también constituye un requisito para la liquidación. </w:t>
      </w:r>
    </w:p>
    <w:p w14:paraId="0625C7D7" w14:textId="77777777" w:rsidR="00991668" w:rsidRPr="008F73D4" w:rsidRDefault="00991668" w:rsidP="00991668">
      <w:pPr>
        <w:rPr>
          <w:rFonts w:ascii="Arial" w:hAnsi="Arial" w:cs="Arial"/>
          <w:color w:val="000000" w:themeColor="text1"/>
          <w:sz w:val="22"/>
          <w:lang w:val="es-ES"/>
        </w:rPr>
      </w:pPr>
    </w:p>
    <w:p w14:paraId="72704963" w14:textId="77777777" w:rsidR="00991668" w:rsidRPr="008F73D4" w:rsidRDefault="00991668" w:rsidP="00991668">
      <w:pPr>
        <w:rPr>
          <w:rFonts w:ascii="Arial" w:hAnsi="Arial" w:cs="Arial"/>
          <w:color w:val="000000" w:themeColor="text1"/>
          <w:sz w:val="22"/>
          <w:lang w:val="es-ES"/>
        </w:rPr>
      </w:pPr>
    </w:p>
    <w:p w14:paraId="58BC4357" w14:textId="2D6CA6FF" w:rsidR="00991668" w:rsidRPr="008F73D4" w:rsidRDefault="00991668" w:rsidP="00991668">
      <w:pPr>
        <w:rPr>
          <w:rFonts w:ascii="Arial" w:hAnsi="Arial" w:cs="Arial"/>
          <w:b/>
          <w:color w:val="000000" w:themeColor="text1"/>
          <w:sz w:val="22"/>
        </w:rPr>
      </w:pPr>
      <w:r w:rsidRPr="008F73D4">
        <w:rPr>
          <w:rFonts w:ascii="Arial" w:hAnsi="Arial" w:cs="Arial"/>
          <w:color w:val="000000" w:themeColor="text1"/>
          <w:sz w:val="22"/>
        </w:rPr>
        <w:t xml:space="preserve">Bogotá D.C., </w:t>
      </w:r>
      <w:r w:rsidR="00C47A23" w:rsidRPr="00C47A23">
        <w:rPr>
          <w:rFonts w:ascii="Arial" w:hAnsi="Arial" w:cs="Arial"/>
          <w:b/>
          <w:color w:val="000000" w:themeColor="text1"/>
          <w:sz w:val="22"/>
        </w:rPr>
        <w:t>16/09/2020 Hora 20:4:52s</w:t>
      </w:r>
    </w:p>
    <w:p w14:paraId="49703B7E" w14:textId="1FED033F" w:rsidR="00991668" w:rsidRPr="00C47A23" w:rsidRDefault="00991668" w:rsidP="00991668">
      <w:pPr>
        <w:jc w:val="right"/>
        <w:rPr>
          <w:rFonts w:ascii="Arial" w:hAnsi="Arial" w:cs="Arial"/>
          <w:b/>
          <w:color w:val="000000" w:themeColor="text1"/>
          <w:sz w:val="22"/>
          <w:lang w:val="es-CO"/>
        </w:rPr>
      </w:pPr>
      <w:r w:rsidRPr="008F73D4">
        <w:rPr>
          <w:rFonts w:ascii="Arial" w:hAnsi="Arial" w:cs="Arial"/>
          <w:b/>
          <w:color w:val="000000" w:themeColor="text1"/>
          <w:sz w:val="22"/>
        </w:rPr>
        <w:t xml:space="preserve">N° Radicado: </w:t>
      </w:r>
      <w:r w:rsidR="00F66C7C" w:rsidRPr="00F66C7C">
        <w:rPr>
          <w:rFonts w:ascii="Arial" w:hAnsi="Arial" w:cs="Arial"/>
          <w:b/>
          <w:color w:val="000000" w:themeColor="text1"/>
          <w:sz w:val="22"/>
        </w:rPr>
        <w:t>2202013000008894</w:t>
      </w:r>
    </w:p>
    <w:p w14:paraId="71A73746" w14:textId="77777777" w:rsidR="00991668" w:rsidRPr="008F73D4" w:rsidRDefault="00991668" w:rsidP="00991668">
      <w:pPr>
        <w:jc w:val="center"/>
        <w:rPr>
          <w:rFonts w:ascii="Arial" w:hAnsi="Arial" w:cs="Arial"/>
          <w:b/>
          <w:color w:val="000000" w:themeColor="text1"/>
          <w:sz w:val="22"/>
        </w:rPr>
      </w:pPr>
    </w:p>
    <w:p w14:paraId="370064DA" w14:textId="77777777" w:rsidR="00991668" w:rsidRPr="008F73D4" w:rsidRDefault="00991668" w:rsidP="00991668">
      <w:pPr>
        <w:rPr>
          <w:rFonts w:ascii="Arial" w:eastAsia="Calibri" w:hAnsi="Arial" w:cs="Arial"/>
          <w:color w:val="000000" w:themeColor="text1"/>
          <w:sz w:val="22"/>
        </w:rPr>
      </w:pPr>
    </w:p>
    <w:p w14:paraId="2529D2BE" w14:textId="77777777" w:rsidR="00991668" w:rsidRPr="008F73D4" w:rsidRDefault="00991668" w:rsidP="00991668">
      <w:pPr>
        <w:rPr>
          <w:rFonts w:ascii="Arial" w:eastAsia="Calibri" w:hAnsi="Arial" w:cs="Arial"/>
          <w:color w:val="000000" w:themeColor="text1"/>
          <w:sz w:val="22"/>
        </w:rPr>
      </w:pPr>
      <w:r w:rsidRPr="008F73D4">
        <w:rPr>
          <w:rFonts w:ascii="Arial" w:eastAsia="Calibri" w:hAnsi="Arial" w:cs="Arial"/>
          <w:color w:val="000000" w:themeColor="text1"/>
          <w:sz w:val="22"/>
        </w:rPr>
        <w:t>Señora</w:t>
      </w:r>
    </w:p>
    <w:p w14:paraId="50868ACE" w14:textId="77777777" w:rsidR="00991668" w:rsidRPr="008F73D4" w:rsidRDefault="00991668" w:rsidP="00991668">
      <w:pPr>
        <w:rPr>
          <w:rFonts w:ascii="Arial" w:eastAsia="Calibri" w:hAnsi="Arial" w:cs="Arial"/>
          <w:b/>
          <w:color w:val="000000" w:themeColor="text1"/>
          <w:sz w:val="22"/>
        </w:rPr>
      </w:pPr>
      <w:r w:rsidRPr="008F73D4">
        <w:rPr>
          <w:rFonts w:ascii="Arial" w:eastAsia="Calibri" w:hAnsi="Arial" w:cs="Arial"/>
          <w:b/>
          <w:color w:val="000000" w:themeColor="text1"/>
          <w:sz w:val="22"/>
        </w:rPr>
        <w:t>Isis Andrea Muñoz Espinosa</w:t>
      </w:r>
    </w:p>
    <w:p w14:paraId="5487DB20" w14:textId="77777777" w:rsidR="00991668" w:rsidRPr="008F73D4" w:rsidRDefault="00991668" w:rsidP="00991668">
      <w:pPr>
        <w:rPr>
          <w:rFonts w:ascii="Arial" w:eastAsia="Calibri" w:hAnsi="Arial" w:cs="Arial"/>
          <w:color w:val="000000" w:themeColor="text1"/>
          <w:sz w:val="22"/>
        </w:rPr>
      </w:pPr>
    </w:p>
    <w:p w14:paraId="7AEE2FBE" w14:textId="77777777" w:rsidR="00991668" w:rsidRPr="008F73D4" w:rsidRDefault="00991668" w:rsidP="00991668">
      <w:pPr>
        <w:rPr>
          <w:rFonts w:ascii="Arial" w:eastAsia="Calibri" w:hAnsi="Arial" w:cs="Arial"/>
          <w:color w:val="000000" w:themeColor="text1"/>
          <w:sz w:val="22"/>
        </w:rPr>
      </w:pPr>
    </w:p>
    <w:p w14:paraId="1EAA730D" w14:textId="4D6F4778" w:rsidR="00991668" w:rsidRPr="008F73D4" w:rsidRDefault="00991668" w:rsidP="00991668">
      <w:pPr>
        <w:jc w:val="center"/>
        <w:rPr>
          <w:rFonts w:ascii="Arial" w:eastAsia="Calibri" w:hAnsi="Arial" w:cs="Arial"/>
          <w:b/>
          <w:bCs/>
          <w:color w:val="000000" w:themeColor="text1"/>
          <w:sz w:val="22"/>
        </w:rPr>
      </w:pPr>
      <w:r w:rsidRPr="008F73D4">
        <w:rPr>
          <w:rFonts w:ascii="Arial" w:eastAsia="Calibri" w:hAnsi="Arial" w:cs="Arial"/>
          <w:b/>
          <w:bCs/>
          <w:color w:val="000000" w:themeColor="text1"/>
          <w:sz w:val="22"/>
        </w:rPr>
        <w:t>Concepto C‒ 6</w:t>
      </w:r>
      <w:r w:rsidR="004E5F22">
        <w:rPr>
          <w:rFonts w:ascii="Arial" w:eastAsia="Calibri" w:hAnsi="Arial" w:cs="Arial"/>
          <w:b/>
          <w:bCs/>
          <w:color w:val="000000" w:themeColor="text1"/>
          <w:sz w:val="22"/>
        </w:rPr>
        <w:t>14</w:t>
      </w:r>
      <w:r w:rsidRPr="008F73D4">
        <w:rPr>
          <w:rFonts w:ascii="Arial" w:eastAsia="Calibri" w:hAnsi="Arial" w:cs="Arial"/>
          <w:b/>
          <w:bCs/>
          <w:color w:val="000000" w:themeColor="text1"/>
          <w:sz w:val="22"/>
        </w:rPr>
        <w:t>de 2020</w:t>
      </w:r>
    </w:p>
    <w:p w14:paraId="0C0C8A46" w14:textId="77777777" w:rsidR="00991668" w:rsidRPr="008F73D4" w:rsidRDefault="00991668" w:rsidP="00991668">
      <w:pPr>
        <w:rPr>
          <w:rFonts w:ascii="Arial" w:eastAsia="Calibri" w:hAnsi="Arial" w:cs="Arial"/>
          <w:color w:val="000000" w:themeColor="text1"/>
          <w:sz w:val="22"/>
        </w:rPr>
      </w:pPr>
    </w:p>
    <w:p w14:paraId="58215D05" w14:textId="77777777" w:rsidR="00991668" w:rsidRPr="008F73D4" w:rsidRDefault="00991668" w:rsidP="00991668">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91668" w:rsidRPr="008F73D4" w14:paraId="0A0F6582" w14:textId="77777777" w:rsidTr="007A03C6">
        <w:tc>
          <w:tcPr>
            <w:tcW w:w="2689" w:type="dxa"/>
          </w:tcPr>
          <w:p w14:paraId="12FA6E7F" w14:textId="77777777" w:rsidR="00991668" w:rsidRPr="008F73D4" w:rsidRDefault="00991668" w:rsidP="007A03C6">
            <w:pPr>
              <w:rPr>
                <w:rFonts w:ascii="Arial" w:eastAsia="Calibri" w:hAnsi="Arial" w:cs="Arial"/>
                <w:color w:val="000000" w:themeColor="text1"/>
                <w:sz w:val="22"/>
              </w:rPr>
            </w:pPr>
            <w:r w:rsidRPr="008F73D4">
              <w:rPr>
                <w:rFonts w:ascii="Arial" w:eastAsia="Calibri" w:hAnsi="Arial" w:cs="Arial"/>
                <w:b/>
                <w:color w:val="000000" w:themeColor="text1"/>
                <w:sz w:val="22"/>
              </w:rPr>
              <w:t>Temas:</w:t>
            </w:r>
            <w:r w:rsidRPr="008F73D4">
              <w:rPr>
                <w:rFonts w:ascii="Arial" w:eastAsia="Calibri" w:hAnsi="Arial" w:cs="Arial"/>
                <w:color w:val="000000" w:themeColor="text1"/>
                <w:sz w:val="22"/>
              </w:rPr>
              <w:t xml:space="preserve">                                      </w:t>
            </w:r>
          </w:p>
        </w:tc>
        <w:tc>
          <w:tcPr>
            <w:tcW w:w="6237" w:type="dxa"/>
          </w:tcPr>
          <w:p w14:paraId="2C6DC445" w14:textId="77777777" w:rsidR="00991668" w:rsidRPr="008F73D4" w:rsidRDefault="00991668" w:rsidP="007A03C6">
            <w:pPr>
              <w:jc w:val="both"/>
              <w:rPr>
                <w:rFonts w:ascii="Arial" w:eastAsia="Calibri" w:hAnsi="Arial" w:cs="Arial"/>
                <w:color w:val="000000" w:themeColor="text1"/>
                <w:sz w:val="22"/>
                <w:lang w:val="es-ES"/>
              </w:rPr>
            </w:pPr>
            <w:r w:rsidRPr="008F73D4">
              <w:rPr>
                <w:rFonts w:ascii="Arial" w:eastAsia="Calibri" w:hAnsi="Arial" w:cs="Arial"/>
                <w:color w:val="000000" w:themeColor="text1"/>
                <w:sz w:val="22"/>
              </w:rPr>
              <w:t>SELECCIÓN OBJETIVA ― Noción y factores de escogencia / REQUISITOS HABILITANTES DE LA LEY 1150 DE 2007 ― Carácter enunciativo / CERTIFICACIONES DE SISTEMAS DE GESTIÓN DE CALIDAD – No se pueden exigir como requisito habilitante o puntuable / SEGURIDAD SOCIAL – Verificación – Pago – Persona natural – Persona jurídica</w:t>
            </w:r>
          </w:p>
        </w:tc>
      </w:tr>
      <w:tr w:rsidR="00991668" w:rsidRPr="008F73D4" w14:paraId="34E9F5C1" w14:textId="77777777" w:rsidTr="007A03C6">
        <w:tc>
          <w:tcPr>
            <w:tcW w:w="2689" w:type="dxa"/>
          </w:tcPr>
          <w:p w14:paraId="0BB5E8EC" w14:textId="77777777" w:rsidR="00991668" w:rsidRPr="008F73D4" w:rsidRDefault="00991668" w:rsidP="007A03C6">
            <w:pPr>
              <w:spacing w:before="120"/>
              <w:rPr>
                <w:rFonts w:ascii="Arial" w:eastAsia="Calibri" w:hAnsi="Arial" w:cs="Arial"/>
                <w:b/>
                <w:color w:val="000000" w:themeColor="text1"/>
                <w:sz w:val="22"/>
              </w:rPr>
            </w:pPr>
            <w:r w:rsidRPr="008F73D4">
              <w:rPr>
                <w:rFonts w:ascii="Arial" w:eastAsia="Calibri" w:hAnsi="Arial" w:cs="Arial"/>
                <w:b/>
                <w:color w:val="000000" w:themeColor="text1"/>
                <w:sz w:val="22"/>
              </w:rPr>
              <w:t>Radicación:</w:t>
            </w:r>
            <w:r w:rsidRPr="008F73D4">
              <w:rPr>
                <w:rFonts w:ascii="Arial" w:eastAsia="Calibri" w:hAnsi="Arial" w:cs="Arial"/>
                <w:color w:val="000000" w:themeColor="text1"/>
                <w:sz w:val="22"/>
              </w:rPr>
              <w:t xml:space="preserve">                              </w:t>
            </w:r>
          </w:p>
        </w:tc>
        <w:tc>
          <w:tcPr>
            <w:tcW w:w="6237" w:type="dxa"/>
          </w:tcPr>
          <w:p w14:paraId="5CB55E27" w14:textId="77777777" w:rsidR="00991668" w:rsidRPr="008F73D4" w:rsidRDefault="00991668" w:rsidP="007A03C6">
            <w:pPr>
              <w:spacing w:before="120"/>
              <w:jc w:val="both"/>
              <w:rPr>
                <w:rFonts w:ascii="Arial" w:eastAsia="Calibri" w:hAnsi="Arial" w:cs="Arial"/>
                <w:color w:val="000000" w:themeColor="text1"/>
                <w:sz w:val="22"/>
              </w:rPr>
            </w:pPr>
            <w:r w:rsidRPr="008F73D4">
              <w:rPr>
                <w:rFonts w:ascii="Arial" w:eastAsia="Calibri" w:hAnsi="Arial" w:cs="Arial"/>
                <w:color w:val="000000" w:themeColor="text1"/>
                <w:sz w:val="22"/>
              </w:rPr>
              <w:t>Respuesta consulta # 42020130000007863</w:t>
            </w:r>
          </w:p>
        </w:tc>
      </w:tr>
    </w:tbl>
    <w:p w14:paraId="0E85C30F" w14:textId="77777777" w:rsidR="00991668" w:rsidRPr="008F73D4" w:rsidRDefault="00991668" w:rsidP="00991668">
      <w:pPr>
        <w:jc w:val="both"/>
        <w:rPr>
          <w:rFonts w:ascii="Arial" w:eastAsia="Calibri" w:hAnsi="Arial" w:cs="Arial"/>
          <w:b/>
          <w:bCs/>
          <w:color w:val="000000" w:themeColor="text1"/>
          <w:sz w:val="20"/>
          <w:szCs w:val="20"/>
        </w:rPr>
      </w:pPr>
    </w:p>
    <w:p w14:paraId="3C98D70A" w14:textId="77777777" w:rsidR="00991668" w:rsidRPr="008F73D4" w:rsidRDefault="00991668" w:rsidP="00991668">
      <w:pPr>
        <w:jc w:val="both"/>
        <w:rPr>
          <w:rFonts w:ascii="Arial" w:eastAsia="Calibri" w:hAnsi="Arial" w:cs="Arial"/>
          <w:color w:val="000000" w:themeColor="text1"/>
          <w:sz w:val="22"/>
        </w:rPr>
      </w:pPr>
    </w:p>
    <w:p w14:paraId="4E7E6423" w14:textId="77777777" w:rsidR="00991668" w:rsidRPr="008F73D4" w:rsidRDefault="00991668" w:rsidP="00991668">
      <w:pPr>
        <w:rPr>
          <w:rFonts w:ascii="Arial" w:eastAsia="Calibri" w:hAnsi="Arial" w:cs="Arial"/>
          <w:color w:val="000000" w:themeColor="text1"/>
          <w:sz w:val="22"/>
        </w:rPr>
      </w:pPr>
      <w:r w:rsidRPr="008F73D4">
        <w:rPr>
          <w:rFonts w:ascii="Arial" w:eastAsia="Calibri" w:hAnsi="Arial" w:cs="Arial"/>
          <w:color w:val="000000" w:themeColor="text1"/>
          <w:sz w:val="22"/>
        </w:rPr>
        <w:t>Estimado señor Muñoz Espinosa:</w:t>
      </w:r>
    </w:p>
    <w:p w14:paraId="61D473D2" w14:textId="77777777" w:rsidR="00991668" w:rsidRPr="008F73D4" w:rsidRDefault="00991668" w:rsidP="00991668">
      <w:pPr>
        <w:rPr>
          <w:rFonts w:ascii="Arial" w:eastAsia="Calibri" w:hAnsi="Arial" w:cs="Arial"/>
          <w:color w:val="000000" w:themeColor="text1"/>
          <w:sz w:val="22"/>
        </w:rPr>
      </w:pPr>
    </w:p>
    <w:p w14:paraId="2E6C28B7" w14:textId="77777777" w:rsidR="00991668" w:rsidRPr="008F73D4" w:rsidRDefault="00991668" w:rsidP="00991668">
      <w:pPr>
        <w:spacing w:line="276" w:lineRule="auto"/>
        <w:jc w:val="both"/>
        <w:rPr>
          <w:rFonts w:ascii="Arial" w:eastAsia="Calibri" w:hAnsi="Arial" w:cs="Arial"/>
          <w:color w:val="000000" w:themeColor="text1"/>
          <w:sz w:val="22"/>
        </w:rPr>
      </w:pPr>
      <w:r w:rsidRPr="008F73D4">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 Colombia Compra Eficiente responde su consulta del 8 de septiembre del año 2020. </w:t>
      </w:r>
    </w:p>
    <w:p w14:paraId="0662BDC4" w14:textId="77777777" w:rsidR="00991668" w:rsidRPr="008F73D4" w:rsidRDefault="00991668" w:rsidP="00991668">
      <w:pPr>
        <w:spacing w:line="276" w:lineRule="auto"/>
        <w:jc w:val="both"/>
        <w:rPr>
          <w:rFonts w:ascii="Arial" w:eastAsia="Calibri" w:hAnsi="Arial" w:cs="Arial"/>
          <w:b/>
          <w:color w:val="000000" w:themeColor="text1"/>
          <w:sz w:val="22"/>
        </w:rPr>
      </w:pPr>
    </w:p>
    <w:p w14:paraId="1516AE0B" w14:textId="77777777" w:rsidR="00991668" w:rsidRPr="008F73D4" w:rsidRDefault="00991668" w:rsidP="0099166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rPr>
      </w:pPr>
      <w:r w:rsidRPr="008F73D4">
        <w:rPr>
          <w:rFonts w:ascii="Arial" w:eastAsia="Calibri" w:hAnsi="Arial" w:cs="Arial"/>
          <w:b/>
          <w:color w:val="000000" w:themeColor="text1"/>
          <w:sz w:val="22"/>
        </w:rPr>
        <w:t xml:space="preserve">Problema planteado </w:t>
      </w:r>
    </w:p>
    <w:p w14:paraId="221FAB6C" w14:textId="77777777" w:rsidR="00991668" w:rsidRPr="008F73D4" w:rsidRDefault="00991668" w:rsidP="00991668">
      <w:pPr>
        <w:tabs>
          <w:tab w:val="left" w:pos="426"/>
        </w:tabs>
        <w:spacing w:line="276" w:lineRule="auto"/>
        <w:jc w:val="both"/>
        <w:rPr>
          <w:rFonts w:ascii="Arial" w:eastAsia="Calibri" w:hAnsi="Arial" w:cs="Arial"/>
          <w:b/>
          <w:color w:val="000000" w:themeColor="text1"/>
          <w:sz w:val="22"/>
        </w:rPr>
      </w:pPr>
    </w:p>
    <w:p w14:paraId="34001664" w14:textId="77777777" w:rsidR="00991668" w:rsidRPr="008F73D4" w:rsidRDefault="00991668" w:rsidP="00991668">
      <w:pPr>
        <w:spacing w:line="276" w:lineRule="auto"/>
        <w:jc w:val="both"/>
        <w:rPr>
          <w:rFonts w:ascii="Arial" w:hAnsi="Arial" w:cs="Arial"/>
          <w:color w:val="000000" w:themeColor="text1"/>
          <w:sz w:val="22"/>
          <w:lang w:val="es-CO"/>
        </w:rPr>
      </w:pPr>
      <w:r w:rsidRPr="008F73D4">
        <w:rPr>
          <w:rFonts w:ascii="Arial" w:hAnsi="Arial" w:cs="Arial"/>
          <w:color w:val="000000" w:themeColor="text1"/>
          <w:sz w:val="22"/>
        </w:rPr>
        <w:t xml:space="preserve">Usted pregunta: i) «¿La acreditación de una certificación de no reclamaciones, investigaciones o sanciones laborales expedida por este Ministerio a solicitud de un posible proponente se considera un requisito habilitante o en un criterio de desempate en la contratación pública?»; y ii) «¿La acreditación de una certificación de no reclamaciones, investigaciones o sanciones laborales expedida por este Ministerio a solicitud de un contratista se considera un requisito necesario para cancelar una factura por los servicios prestados de un contrato, el pago de la última cuenta asociada al contrato y en la liquidación contractual?». Agrega que, si las respuestas a lo interrogantes anteriores son afirmativas, </w:t>
      </w:r>
      <w:r w:rsidRPr="008F73D4">
        <w:rPr>
          <w:rFonts w:ascii="Arial" w:hAnsi="Arial" w:cs="Arial"/>
          <w:color w:val="000000" w:themeColor="text1"/>
          <w:sz w:val="22"/>
        </w:rPr>
        <w:lastRenderedPageBreak/>
        <w:t>le informemos cuál es «[…]</w:t>
      </w:r>
      <w:r w:rsidRPr="008F73D4">
        <w:t xml:space="preserve"> </w:t>
      </w:r>
      <w:r w:rsidRPr="008F73D4">
        <w:rPr>
          <w:rFonts w:ascii="Arial" w:hAnsi="Arial" w:cs="Arial"/>
          <w:color w:val="000000" w:themeColor="text1"/>
          <w:sz w:val="22"/>
        </w:rPr>
        <w:t>todo el soporte normativo que nos permita aclarar las funciones y responsabilidades de esta cartera ministerial, respecto de dicha circunstancia […]».</w:t>
      </w:r>
    </w:p>
    <w:p w14:paraId="0267D119" w14:textId="77777777" w:rsidR="00991668" w:rsidRPr="008F73D4" w:rsidRDefault="00991668" w:rsidP="00991668">
      <w:pPr>
        <w:tabs>
          <w:tab w:val="left" w:pos="426"/>
        </w:tabs>
        <w:spacing w:line="276" w:lineRule="auto"/>
        <w:jc w:val="both"/>
        <w:rPr>
          <w:rFonts w:ascii="Arial" w:eastAsia="Calibri" w:hAnsi="Arial" w:cs="Arial"/>
          <w:color w:val="000000" w:themeColor="text1"/>
          <w:sz w:val="22"/>
        </w:rPr>
      </w:pPr>
    </w:p>
    <w:p w14:paraId="63CD6C98" w14:textId="77777777" w:rsidR="00991668" w:rsidRPr="008F73D4" w:rsidRDefault="00991668" w:rsidP="00991668">
      <w:pPr>
        <w:pStyle w:val="Prrafodelista"/>
        <w:numPr>
          <w:ilvl w:val="0"/>
          <w:numId w:val="8"/>
        </w:numPr>
        <w:tabs>
          <w:tab w:val="left" w:pos="0"/>
          <w:tab w:val="left" w:pos="284"/>
        </w:tabs>
        <w:ind w:left="0" w:firstLine="0"/>
        <w:rPr>
          <w:rFonts w:ascii="Arial" w:eastAsia="Calibri" w:hAnsi="Arial" w:cs="Arial"/>
          <w:b/>
          <w:color w:val="000000" w:themeColor="text1"/>
          <w:sz w:val="22"/>
        </w:rPr>
      </w:pPr>
      <w:r w:rsidRPr="008F73D4">
        <w:rPr>
          <w:rFonts w:ascii="Arial" w:eastAsia="Calibri" w:hAnsi="Arial" w:cs="Arial"/>
          <w:b/>
          <w:color w:val="000000" w:themeColor="text1"/>
          <w:sz w:val="22"/>
        </w:rPr>
        <w:t>Consideraciones</w:t>
      </w:r>
    </w:p>
    <w:p w14:paraId="5ACBEC1F" w14:textId="77777777" w:rsidR="00991668" w:rsidRPr="008F73D4" w:rsidRDefault="00991668" w:rsidP="00991668">
      <w:pPr>
        <w:spacing w:line="276" w:lineRule="auto"/>
        <w:jc w:val="both"/>
        <w:rPr>
          <w:rFonts w:ascii="Arial" w:eastAsia="Calibri" w:hAnsi="Arial" w:cs="Arial"/>
          <w:color w:val="000000" w:themeColor="text1"/>
          <w:sz w:val="20"/>
          <w:szCs w:val="20"/>
        </w:rPr>
      </w:pPr>
    </w:p>
    <w:p w14:paraId="5C2E3721" w14:textId="77777777" w:rsidR="00991668" w:rsidRPr="008F73D4" w:rsidRDefault="00991668" w:rsidP="00991668">
      <w:pPr>
        <w:spacing w:line="276" w:lineRule="auto"/>
        <w:jc w:val="both"/>
        <w:rPr>
          <w:rFonts w:ascii="Arial" w:eastAsia="Calibri" w:hAnsi="Arial" w:cs="Arial"/>
          <w:color w:val="000000" w:themeColor="text1"/>
          <w:sz w:val="22"/>
        </w:rPr>
      </w:pPr>
      <w:r w:rsidRPr="008F73D4">
        <w:rPr>
          <w:rFonts w:ascii="Arial" w:eastAsia="Calibri" w:hAnsi="Arial" w:cs="Arial"/>
          <w:color w:val="000000" w:themeColor="text1"/>
          <w:sz w:val="22"/>
        </w:rPr>
        <w:t xml:space="preserve">La Agencia Nacional de Contratación Pública ― Colombia Compra Eficiente, en los conceptos del 8 de julio, 13 y 29 de agosto, 25 de septiembre, 15 de noviembre y 16 de diciembre de 2019 –radicados Nos. 2201913000004727, 2201913000005855, 2201913000006343, 2201913000007131, 2201913000008520 y 2201913000009295–, analizó el alcance del artículo 5, parágrafo 2, de la Ley 1150 de 2007. Igualmente, mediante los conceptos C-166 del 13 de abril de 2020 y C-587 del 31 de agosto de 2020, se pronunció sobre la facultad de las entidades de exigir requisitos habilitantes. </w:t>
      </w:r>
      <w:r w:rsidRPr="008F73D4">
        <w:rPr>
          <w:rFonts w:ascii="Arial" w:hAnsi="Arial" w:cs="Arial"/>
          <w:color w:val="000000" w:themeColor="text1"/>
          <w:sz w:val="22"/>
          <w:lang w:val="es-ES"/>
        </w:rPr>
        <w:t>Las tesis propuestas se exponen a continuación.</w:t>
      </w:r>
    </w:p>
    <w:p w14:paraId="7405CCF8" w14:textId="77777777" w:rsidR="00991668" w:rsidRPr="008F73D4" w:rsidRDefault="00991668" w:rsidP="00991668">
      <w:pPr>
        <w:spacing w:line="276" w:lineRule="auto"/>
        <w:jc w:val="both"/>
        <w:rPr>
          <w:rFonts w:ascii="Arial" w:eastAsia="Calibri" w:hAnsi="Arial" w:cs="Arial"/>
          <w:color w:val="000000" w:themeColor="text1"/>
          <w:sz w:val="22"/>
        </w:rPr>
      </w:pPr>
    </w:p>
    <w:p w14:paraId="1D953A16" w14:textId="77777777" w:rsidR="00991668" w:rsidRPr="008F73D4" w:rsidRDefault="00991668" w:rsidP="00991668">
      <w:pPr>
        <w:spacing w:line="276" w:lineRule="auto"/>
        <w:jc w:val="both"/>
        <w:rPr>
          <w:rFonts w:ascii="Arial" w:eastAsia="Calibri" w:hAnsi="Arial" w:cs="Arial"/>
          <w:b/>
          <w:sz w:val="22"/>
          <w:lang w:val="es-ES"/>
        </w:rPr>
      </w:pPr>
      <w:r w:rsidRPr="008F73D4">
        <w:rPr>
          <w:rFonts w:ascii="Arial" w:eastAsia="Calibri" w:hAnsi="Arial" w:cs="Arial"/>
          <w:b/>
          <w:sz w:val="22"/>
          <w:lang w:val="es-ES"/>
        </w:rPr>
        <w:t>2.1. Selección objetiva y requisitos habilitantes</w:t>
      </w:r>
    </w:p>
    <w:p w14:paraId="00E2185E" w14:textId="77777777" w:rsidR="00991668" w:rsidRPr="008F73D4" w:rsidRDefault="00991668" w:rsidP="00991668">
      <w:pPr>
        <w:spacing w:line="276" w:lineRule="auto"/>
        <w:jc w:val="both"/>
        <w:rPr>
          <w:rFonts w:ascii="Arial" w:eastAsia="Calibri" w:hAnsi="Arial" w:cs="Arial"/>
          <w:color w:val="000000" w:themeColor="text1"/>
          <w:sz w:val="22"/>
        </w:rPr>
      </w:pPr>
    </w:p>
    <w:p w14:paraId="7CCD6E5D" w14:textId="77777777" w:rsidR="00991668" w:rsidRPr="008F73D4" w:rsidRDefault="00991668" w:rsidP="00991668">
      <w:pPr>
        <w:spacing w:line="276" w:lineRule="auto"/>
        <w:jc w:val="both"/>
        <w:rPr>
          <w:rFonts w:ascii="Arial" w:eastAsia="Calibri" w:hAnsi="Arial" w:cs="Arial"/>
          <w:color w:val="000000" w:themeColor="text1"/>
          <w:sz w:val="22"/>
        </w:rPr>
      </w:pPr>
      <w:r w:rsidRPr="008F73D4">
        <w:rPr>
          <w:rFonts w:ascii="Arial" w:eastAsia="Calibri" w:hAnsi="Arial" w:cs="Arial"/>
          <w:color w:val="000000" w:themeColor="text1"/>
          <w:sz w:val="22"/>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equivalentes deberán tener en cuenta, entre otras cuestiones, los criterios establecidos en los numerales 1 a 4 del mencionado artículo 5, así como los 5 parágrafos de dicha norma. </w:t>
      </w:r>
    </w:p>
    <w:p w14:paraId="700FEA08" w14:textId="77777777" w:rsidR="00991668" w:rsidRPr="008F73D4" w:rsidRDefault="00991668" w:rsidP="00991668">
      <w:pPr>
        <w:spacing w:before="120" w:line="276" w:lineRule="auto"/>
        <w:ind w:firstLine="709"/>
        <w:jc w:val="both"/>
        <w:rPr>
          <w:rFonts w:ascii="Arial" w:eastAsia="Calibri" w:hAnsi="Arial" w:cs="Arial"/>
          <w:color w:val="000000" w:themeColor="text1"/>
          <w:sz w:val="22"/>
        </w:rPr>
      </w:pPr>
      <w:r w:rsidRPr="008F73D4">
        <w:rPr>
          <w:rFonts w:ascii="Arial" w:eastAsia="Calibri" w:hAnsi="Arial" w:cs="Arial"/>
          <w:color w:val="000000" w:themeColor="text1"/>
          <w:sz w:val="22"/>
        </w:rPr>
        <w:t xml:space="preserve">Específicamente, el numeral 1º de la disposición referida establece que en los procesos de selección de contratistas serán objeto de verificación, como requisitos habilitantes, los siguientes: i) la capacidad jurídica; ii) la experiencia; iii) la capacidad financiera y iv) la capacidad de organización. En efecto, la normativa </w:t>
      </w:r>
      <w:r w:rsidRPr="008F73D4">
        <w:rPr>
          <w:rFonts w:ascii="Arial" w:eastAsia="Calibri" w:hAnsi="Arial" w:cs="Arial"/>
          <w:i/>
          <w:iCs/>
          <w:color w:val="000000" w:themeColor="text1"/>
          <w:sz w:val="22"/>
        </w:rPr>
        <w:t>sub lite</w:t>
      </w:r>
      <w:r w:rsidRPr="008F73D4">
        <w:rPr>
          <w:rFonts w:ascii="Arial" w:eastAsia="Calibri" w:hAnsi="Arial" w:cs="Arial"/>
          <w:color w:val="000000" w:themeColor="text1"/>
          <w:sz w:val="22"/>
        </w:rPr>
        <w:t xml:space="preserve"> dispone: </w:t>
      </w:r>
    </w:p>
    <w:p w14:paraId="2D923137" w14:textId="77777777" w:rsidR="00991668" w:rsidRPr="008F73D4" w:rsidRDefault="00991668" w:rsidP="00991668">
      <w:pPr>
        <w:jc w:val="both"/>
        <w:rPr>
          <w:rFonts w:ascii="Arial" w:eastAsia="Calibri" w:hAnsi="Arial" w:cs="Arial"/>
          <w:color w:val="000000" w:themeColor="text1"/>
          <w:sz w:val="22"/>
        </w:rPr>
      </w:pPr>
    </w:p>
    <w:p w14:paraId="5C76CBA4" w14:textId="77777777" w:rsidR="00991668" w:rsidRPr="008F73D4" w:rsidRDefault="00991668" w:rsidP="00991668">
      <w:pPr>
        <w:ind w:left="709" w:right="709"/>
        <w:jc w:val="both"/>
        <w:rPr>
          <w:rFonts w:ascii="Arial" w:eastAsia="Calibri" w:hAnsi="Arial" w:cs="Arial"/>
          <w:color w:val="000000" w:themeColor="text1"/>
          <w:sz w:val="21"/>
          <w:szCs w:val="21"/>
        </w:rPr>
      </w:pPr>
      <w:r w:rsidRPr="008F73D4">
        <w:rPr>
          <w:rFonts w:ascii="Arial" w:eastAsia="Calibri" w:hAnsi="Arial" w:cs="Arial"/>
          <w:color w:val="000000" w:themeColor="text1"/>
          <w:sz w:val="21"/>
          <w:szCs w:val="21"/>
        </w:rPr>
        <w:t xml:space="preserve">Artículo 5. De la Selección Objetiva. </w:t>
      </w:r>
    </w:p>
    <w:p w14:paraId="546F496A" w14:textId="77777777" w:rsidR="00991668" w:rsidRPr="008F73D4" w:rsidRDefault="00991668" w:rsidP="00991668">
      <w:pPr>
        <w:ind w:left="709" w:right="709"/>
        <w:jc w:val="both"/>
        <w:rPr>
          <w:rFonts w:ascii="Arial" w:eastAsia="Calibri" w:hAnsi="Arial" w:cs="Arial"/>
          <w:color w:val="000000" w:themeColor="text1"/>
          <w:sz w:val="21"/>
          <w:szCs w:val="21"/>
        </w:rPr>
      </w:pPr>
      <w:r w:rsidRPr="008F73D4">
        <w:rPr>
          <w:rFonts w:ascii="Arial" w:eastAsia="Calibri" w:hAnsi="Arial" w:cs="Arial"/>
          <w:color w:val="000000" w:themeColor="text1"/>
          <w:sz w:val="21"/>
          <w:szCs w:val="21"/>
        </w:rPr>
        <w:t>[…]</w:t>
      </w:r>
    </w:p>
    <w:p w14:paraId="4C60447E" w14:textId="77777777" w:rsidR="00991668" w:rsidRPr="008F73D4" w:rsidRDefault="00991668" w:rsidP="00991668">
      <w:pPr>
        <w:ind w:left="709" w:right="709"/>
        <w:jc w:val="both"/>
        <w:rPr>
          <w:rFonts w:ascii="Arial" w:eastAsia="Calibri" w:hAnsi="Arial" w:cs="Arial"/>
          <w:color w:val="000000" w:themeColor="text1"/>
          <w:sz w:val="21"/>
          <w:szCs w:val="21"/>
        </w:rPr>
      </w:pPr>
    </w:p>
    <w:p w14:paraId="24307F93" w14:textId="77777777" w:rsidR="00991668" w:rsidRPr="008F73D4" w:rsidRDefault="00991668" w:rsidP="00991668">
      <w:pPr>
        <w:ind w:left="709" w:right="709"/>
        <w:jc w:val="both"/>
        <w:rPr>
          <w:rFonts w:ascii="Arial" w:eastAsia="Calibri" w:hAnsi="Arial" w:cs="Arial"/>
          <w:color w:val="000000" w:themeColor="text1"/>
          <w:sz w:val="21"/>
          <w:szCs w:val="21"/>
        </w:rPr>
      </w:pPr>
      <w:r w:rsidRPr="008F73D4">
        <w:rPr>
          <w:rFonts w:ascii="Arial" w:eastAsia="Calibri" w:hAnsi="Arial" w:cs="Arial"/>
          <w:color w:val="000000" w:themeColor="text1"/>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739AF028" w14:textId="77777777" w:rsidR="00991668" w:rsidRPr="008F73D4" w:rsidRDefault="00991668" w:rsidP="00991668">
      <w:pPr>
        <w:spacing w:line="276" w:lineRule="auto"/>
        <w:jc w:val="both"/>
        <w:rPr>
          <w:rFonts w:ascii="Arial" w:eastAsia="Calibri" w:hAnsi="Arial" w:cs="Arial"/>
          <w:color w:val="000000" w:themeColor="text1"/>
          <w:sz w:val="22"/>
        </w:rPr>
      </w:pPr>
    </w:p>
    <w:p w14:paraId="19FC32DB" w14:textId="77777777" w:rsidR="00991668" w:rsidRPr="008F73D4" w:rsidRDefault="00991668" w:rsidP="00991668">
      <w:pPr>
        <w:spacing w:before="120" w:line="276" w:lineRule="auto"/>
        <w:ind w:firstLine="709"/>
        <w:jc w:val="both"/>
        <w:rPr>
          <w:rFonts w:ascii="Arial" w:eastAsia="Calibri" w:hAnsi="Arial" w:cs="Arial"/>
          <w:color w:val="000000" w:themeColor="text1"/>
          <w:sz w:val="22"/>
        </w:rPr>
      </w:pPr>
      <w:r w:rsidRPr="008F73D4">
        <w:rPr>
          <w:rFonts w:ascii="Arial" w:eastAsia="Calibri" w:hAnsi="Arial" w:cs="Arial"/>
          <w:color w:val="000000" w:themeColor="text1"/>
          <w:sz w:val="22"/>
        </w:rPr>
        <w:t xml:space="preserve">A continuación, se explicará el alcance de los requisitos habilitantes previamente referidos. </w:t>
      </w:r>
    </w:p>
    <w:p w14:paraId="7B37CD01" w14:textId="77777777" w:rsidR="00991668" w:rsidRPr="008F73D4" w:rsidRDefault="00991668" w:rsidP="00991668">
      <w:pPr>
        <w:spacing w:before="120" w:after="120" w:line="276" w:lineRule="auto"/>
        <w:ind w:firstLine="709"/>
        <w:jc w:val="both"/>
        <w:rPr>
          <w:rFonts w:ascii="Arial" w:eastAsia="Calibri" w:hAnsi="Arial" w:cs="Arial"/>
          <w:color w:val="000000" w:themeColor="text1"/>
          <w:sz w:val="22"/>
        </w:rPr>
      </w:pPr>
      <w:r w:rsidRPr="008F73D4">
        <w:rPr>
          <w:rFonts w:ascii="Arial" w:eastAsia="Calibri" w:hAnsi="Arial" w:cs="Arial"/>
          <w:color w:val="000000" w:themeColor="text1"/>
          <w:sz w:val="22"/>
        </w:rPr>
        <w:lastRenderedPageBreak/>
        <w:t xml:space="preserve">La </w:t>
      </w:r>
      <w:r w:rsidRPr="008F73D4">
        <w:rPr>
          <w:rFonts w:ascii="Arial" w:eastAsia="Calibri" w:hAnsi="Arial" w:cs="Arial"/>
          <w:bCs/>
          <w:i/>
          <w:iCs/>
          <w:color w:val="000000" w:themeColor="text1"/>
          <w:sz w:val="22"/>
        </w:rPr>
        <w:t>capacidad jurídica</w:t>
      </w:r>
      <w:r w:rsidRPr="008F73D4">
        <w:rPr>
          <w:rFonts w:ascii="Arial" w:eastAsia="Calibri" w:hAnsi="Arial" w:cs="Arial"/>
          <w:color w:val="000000" w:themeColor="text1"/>
          <w:sz w:val="22"/>
        </w:rPr>
        <w:t xml:space="preserve"> es la aptitud que recae en los sujetos activos o pasivos de las relaciones jurídicas</w:t>
      </w:r>
      <w:r w:rsidRPr="008F73D4">
        <w:rPr>
          <w:rStyle w:val="Refdenotaalpie"/>
          <w:rFonts w:ascii="Arial" w:eastAsia="Calibri" w:hAnsi="Arial" w:cs="Arial"/>
          <w:color w:val="000000" w:themeColor="text1"/>
          <w:sz w:val="22"/>
        </w:rPr>
        <w:footnoteReference w:id="1"/>
      </w:r>
      <w:r w:rsidRPr="008F73D4">
        <w:rPr>
          <w:rFonts w:ascii="Arial" w:eastAsia="Calibri" w:hAnsi="Arial" w:cs="Arial"/>
          <w:color w:val="000000" w:themeColor="text1"/>
          <w:sz w:val="22"/>
        </w:rPr>
        <w:t>. Para efectos de la contratación estatal, es la facultad que tiene una persona natural o jurídica o una forma asociativa sin personería jurídica para celebrar contratos con una entidad pública. En ese ámbito, la capacidad jurídica tiene doble proyección: de un lado, en la facultad que alguien tiene para obligarse a cumplir el objeto del contrato estatal y, por el otro, en la prohibición de que esa persona esté incursa en inhabilidades</w:t>
      </w:r>
      <w:r w:rsidRPr="008F73D4">
        <w:rPr>
          <w:rStyle w:val="Refdenotaalpie"/>
          <w:rFonts w:ascii="Arial" w:eastAsia="Calibri" w:hAnsi="Arial" w:cs="Arial"/>
          <w:color w:val="000000" w:themeColor="text1"/>
          <w:sz w:val="22"/>
        </w:rPr>
        <w:footnoteReference w:id="2"/>
      </w:r>
      <w:r w:rsidRPr="008F73D4">
        <w:rPr>
          <w:rFonts w:ascii="Arial" w:eastAsia="Calibri" w:hAnsi="Arial" w:cs="Arial"/>
          <w:color w:val="000000" w:themeColor="text1"/>
          <w:sz w:val="22"/>
        </w:rPr>
        <w:t xml:space="preserve"> o incompatibilidades, que le impidan la celebración del contrato. </w:t>
      </w:r>
    </w:p>
    <w:p w14:paraId="26C08A37" w14:textId="77777777" w:rsidR="00991668" w:rsidRPr="008F73D4" w:rsidRDefault="00991668" w:rsidP="00991668">
      <w:pPr>
        <w:spacing w:line="276" w:lineRule="auto"/>
        <w:ind w:firstLine="708"/>
        <w:jc w:val="both"/>
        <w:rPr>
          <w:rFonts w:ascii="Arial" w:eastAsia="Calibri" w:hAnsi="Arial" w:cs="Arial"/>
          <w:color w:val="000000" w:themeColor="text1"/>
          <w:sz w:val="22"/>
        </w:rPr>
      </w:pPr>
      <w:r w:rsidRPr="008F73D4">
        <w:rPr>
          <w:rFonts w:ascii="Arial" w:eastAsia="Calibri" w:hAnsi="Arial" w:cs="Arial"/>
          <w:color w:val="000000" w:themeColor="text1"/>
          <w:sz w:val="22"/>
        </w:rPr>
        <w:t>Para efectos del Estatuto General de Contratación de la Administración Pública, la capacidad para contratar la tienen las personas consideradas legalmente capaces, según lo que establece el artículo 6 de la Ley 80 de 1993</w:t>
      </w:r>
      <w:r w:rsidRPr="008F73D4">
        <w:rPr>
          <w:rStyle w:val="Refdenotaalpie"/>
          <w:rFonts w:ascii="Arial" w:eastAsia="Calibri" w:hAnsi="Arial" w:cs="Arial"/>
          <w:color w:val="000000" w:themeColor="text1"/>
          <w:sz w:val="22"/>
        </w:rPr>
        <w:footnoteReference w:id="3"/>
      </w:r>
      <w:r w:rsidRPr="008F73D4">
        <w:rPr>
          <w:rFonts w:ascii="Arial" w:eastAsia="Calibri" w:hAnsi="Arial" w:cs="Arial"/>
          <w:color w:val="000000" w:themeColor="text1"/>
          <w:sz w:val="22"/>
        </w:rPr>
        <w:t xml:space="preserve">. Por un lado, las personas naturales tienen capacidad jurídica cuando alcanzan la mayoría de edad, claro está, siempre que su capacidad no haya sido limitada –ej. interdicción judicial–, y siempre que no estén incursas en inhabilidades, incompatibilidades o prohibiciones para contratar. Por otro lado, la capacidad de las personas jurídicas se traduce en la posibilidad que tienen estas para adelantar actividades en el marco de su objeto social, en las facultades que le han sido otorgadas al representante legal y en la ausencia de inhabilidades, incompatibilidades o prohibiciones para contratar, bien sea de los socios individualmente considerados o de la empresa como tal. </w:t>
      </w:r>
    </w:p>
    <w:p w14:paraId="4383145B" w14:textId="77777777" w:rsidR="00991668" w:rsidRPr="008F73D4" w:rsidRDefault="00991668" w:rsidP="00991668">
      <w:pPr>
        <w:spacing w:before="120" w:line="276" w:lineRule="auto"/>
        <w:jc w:val="both"/>
        <w:rPr>
          <w:rFonts w:ascii="Arial" w:eastAsia="Calibri" w:hAnsi="Arial" w:cs="Arial"/>
          <w:color w:val="000000" w:themeColor="text1"/>
          <w:sz w:val="22"/>
        </w:rPr>
      </w:pPr>
      <w:r w:rsidRPr="008F73D4">
        <w:rPr>
          <w:rFonts w:ascii="Arial" w:eastAsia="Calibri" w:hAnsi="Arial" w:cs="Arial"/>
          <w:color w:val="000000" w:themeColor="text1"/>
          <w:sz w:val="22"/>
        </w:rPr>
        <w:tab/>
        <w:t xml:space="preserve">La </w:t>
      </w:r>
      <w:r w:rsidRPr="008F73D4">
        <w:rPr>
          <w:rFonts w:ascii="Arial" w:eastAsia="Calibri" w:hAnsi="Arial" w:cs="Arial"/>
          <w:bCs/>
          <w:i/>
          <w:iCs/>
          <w:color w:val="000000" w:themeColor="text1"/>
          <w:sz w:val="22"/>
        </w:rPr>
        <w:t>experiencia</w:t>
      </w:r>
      <w:r w:rsidRPr="008F73D4">
        <w:rPr>
          <w:rFonts w:ascii="Arial" w:eastAsia="Calibri" w:hAnsi="Arial" w:cs="Arial"/>
          <w:i/>
          <w:iCs/>
          <w:color w:val="000000" w:themeColor="text1"/>
          <w:sz w:val="22"/>
        </w:rPr>
        <w:t xml:space="preserve"> </w:t>
      </w:r>
      <w:r w:rsidRPr="008F73D4">
        <w:rPr>
          <w:rFonts w:ascii="Arial" w:eastAsia="Calibri" w:hAnsi="Arial" w:cs="Arial"/>
          <w:color w:val="000000" w:themeColor="text1"/>
          <w:sz w:val="22"/>
        </w:rPr>
        <w:t xml:space="preserve">como requisito habilitante, según las consideraciones expuestas en el concepto C-002 del 12 de febrero de 2020 –radicado No. 2202013000000921–, tiene como propósito que </w:t>
      </w:r>
      <w:r w:rsidRPr="008F73D4">
        <w:rPr>
          <w:rStyle w:val="normaltextrun"/>
          <w:rFonts w:ascii="Arial" w:hAnsi="Arial" w:cs="Arial"/>
          <w:color w:val="000000" w:themeColor="text1"/>
          <w:sz w:val="22"/>
        </w:rPr>
        <w:t>las entidades fijen unos requisitos mínimos que deben acreditar los proponentes, para que estas puedan verificar su aptitud para participar en el proceso de selección y, eventualmente, ejecutar el contrato estatal</w:t>
      </w:r>
      <w:r w:rsidRPr="008F73D4">
        <w:rPr>
          <w:rStyle w:val="Refdenotaalpie"/>
          <w:rFonts w:ascii="Arial" w:hAnsi="Arial" w:cs="Arial"/>
          <w:color w:val="000000" w:themeColor="text1"/>
          <w:sz w:val="22"/>
        </w:rPr>
        <w:footnoteReference w:id="4"/>
      </w:r>
      <w:r w:rsidRPr="008F73D4">
        <w:rPr>
          <w:rStyle w:val="normaltextrun"/>
          <w:rFonts w:ascii="Arial" w:hAnsi="Arial" w:cs="Arial"/>
          <w:color w:val="000000" w:themeColor="text1"/>
          <w:sz w:val="22"/>
        </w:rPr>
        <w:t xml:space="preserve">. La entidad, como responsable de </w:t>
      </w:r>
      <w:r w:rsidRPr="008F73D4">
        <w:rPr>
          <w:rStyle w:val="normaltextrun"/>
          <w:rFonts w:ascii="Arial" w:hAnsi="Arial" w:cs="Arial"/>
          <w:color w:val="000000" w:themeColor="text1"/>
          <w:sz w:val="22"/>
        </w:rPr>
        <w:lastRenderedPageBreak/>
        <w:t>la estructuración del proceso de contratación, 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r w:rsidRPr="008F73D4">
        <w:rPr>
          <w:rStyle w:val="Refdenotaalpie"/>
          <w:rFonts w:ascii="Arial" w:hAnsi="Arial" w:cs="Arial"/>
          <w:color w:val="000000" w:themeColor="text1"/>
          <w:sz w:val="22"/>
        </w:rPr>
        <w:footnoteReference w:id="5"/>
      </w:r>
      <w:r w:rsidRPr="008F73D4">
        <w:rPr>
          <w:rStyle w:val="normaltextrun"/>
          <w:rFonts w:ascii="Arial" w:hAnsi="Arial" w:cs="Arial"/>
          <w:color w:val="000000" w:themeColor="text1"/>
          <w:sz w:val="22"/>
        </w:rPr>
        <w:t>.</w:t>
      </w:r>
    </w:p>
    <w:p w14:paraId="16B0BFA0" w14:textId="77777777" w:rsidR="00991668" w:rsidRPr="008F73D4" w:rsidRDefault="00991668" w:rsidP="00991668">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r w:rsidRPr="008F73D4">
        <w:rPr>
          <w:rStyle w:val="normaltextrun"/>
          <w:rFonts w:ascii="Arial" w:hAnsi="Arial" w:cs="Arial"/>
          <w:color w:val="000000" w:themeColor="text1"/>
          <w:sz w:val="22"/>
          <w:szCs w:val="22"/>
        </w:rPr>
        <w:t>La experiencia que se deriva de la ejecución de los contratos que el proponente ha celebrado y ejecutado con diferentes contratantes, sin importar la naturaleza de estos últimos, se verifica con el Registro Único de Proponentes «RUP»</w:t>
      </w:r>
      <w:r w:rsidRPr="008F73D4">
        <w:rPr>
          <w:rStyle w:val="Refdenotaalpie"/>
          <w:rFonts w:ascii="Arial" w:hAnsi="Arial" w:cs="Arial"/>
          <w:color w:val="000000" w:themeColor="text1"/>
          <w:sz w:val="22"/>
          <w:szCs w:val="22"/>
        </w:rPr>
        <w:footnoteReference w:id="6"/>
      </w:r>
      <w:r w:rsidRPr="008F73D4">
        <w:rPr>
          <w:rStyle w:val="normaltextrun"/>
          <w:rFonts w:ascii="Arial" w:hAnsi="Arial" w:cs="Arial"/>
          <w:color w:val="000000" w:themeColor="text1"/>
          <w:sz w:val="22"/>
          <w:szCs w:val="22"/>
        </w:rPr>
        <w:t>, claro está, cuando este certificado sea exigible. Allí constan únicamente los requisitos habilitantes que se evalúan con este documento, de los cuales el mismo es plena prueba, sin que le sea posible a la entidad o al proponente solicitar o aportar otra documentación distinta para acreditar la información que contiene el certificado</w:t>
      </w:r>
      <w:r w:rsidRPr="008F73D4">
        <w:rPr>
          <w:rStyle w:val="Refdenotaalpie"/>
          <w:rFonts w:ascii="Arial" w:hAnsi="Arial" w:cs="Arial"/>
          <w:color w:val="000000" w:themeColor="text1"/>
          <w:sz w:val="22"/>
          <w:szCs w:val="22"/>
        </w:rPr>
        <w:footnoteReference w:id="7"/>
      </w:r>
      <w:r w:rsidRPr="008F73D4">
        <w:rPr>
          <w:rStyle w:val="normaltextrun"/>
          <w:rFonts w:ascii="Arial" w:hAnsi="Arial" w:cs="Arial"/>
          <w:color w:val="000000" w:themeColor="text1"/>
          <w:sz w:val="22"/>
          <w:szCs w:val="22"/>
        </w:rPr>
        <w:t>.</w:t>
      </w:r>
    </w:p>
    <w:p w14:paraId="15B42B6E" w14:textId="77777777" w:rsidR="00991668" w:rsidRPr="008F73D4" w:rsidRDefault="00991668" w:rsidP="00991668">
      <w:pPr>
        <w:pStyle w:val="paragraph"/>
        <w:spacing w:before="120" w:beforeAutospacing="0" w:after="0" w:afterAutospacing="0" w:line="276" w:lineRule="auto"/>
        <w:ind w:firstLine="703"/>
        <w:jc w:val="both"/>
        <w:textAlignment w:val="baseline"/>
        <w:rPr>
          <w:rStyle w:val="normaltextrun"/>
          <w:rFonts w:ascii="Arial" w:hAnsi="Arial" w:cs="Arial"/>
          <w:color w:val="000000" w:themeColor="text1"/>
          <w:sz w:val="22"/>
          <w:szCs w:val="22"/>
        </w:rPr>
      </w:pPr>
      <w:r w:rsidRPr="008F73D4">
        <w:rPr>
          <w:rStyle w:val="normaltextrun"/>
          <w:rFonts w:ascii="Arial" w:hAnsi="Arial" w:cs="Arial"/>
          <w:color w:val="000000" w:themeColor="text1"/>
          <w:sz w:val="22"/>
          <w:szCs w:val="22"/>
        </w:rPr>
        <w:lastRenderedPageBreak/>
        <w:t>La experiencia debe inscribirse, renovarse o actualizarse en el RUP con copia de los contratos o con certificados de los contratos celebrados por el proponente con diferentes contratantes, quienes los expiden dando cuenta del contrato ejecutado y de que recibieron los bienes, obras o servicios de parte del proponente. Estos documentos deben codificarse de acuerdo con el clasificador de bienes y servicios en el tercer nivel</w:t>
      </w:r>
      <w:r w:rsidRPr="008F73D4">
        <w:rPr>
          <w:rStyle w:val="Refdenotaalpie"/>
          <w:rFonts w:ascii="Arial" w:hAnsi="Arial" w:cs="Arial"/>
          <w:color w:val="000000" w:themeColor="text1"/>
          <w:sz w:val="22"/>
          <w:szCs w:val="22"/>
        </w:rPr>
        <w:footnoteReference w:id="8"/>
      </w:r>
      <w:r w:rsidRPr="008F73D4">
        <w:rPr>
          <w:rStyle w:val="normaltextrun"/>
          <w:rFonts w:ascii="Arial" w:hAnsi="Arial" w:cs="Arial"/>
          <w:color w:val="000000" w:themeColor="text1"/>
          <w:sz w:val="22"/>
          <w:szCs w:val="22"/>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 </w:t>
      </w:r>
    </w:p>
    <w:p w14:paraId="3BF2C752" w14:textId="77777777" w:rsidR="00991668" w:rsidRPr="008F73D4" w:rsidRDefault="00991668" w:rsidP="00991668">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r w:rsidRPr="008F73D4">
        <w:rPr>
          <w:rStyle w:val="normaltextrun"/>
          <w:rFonts w:ascii="Arial" w:hAnsi="Arial" w:cs="Arial"/>
          <w:color w:val="000000" w:themeColor="text1"/>
          <w:sz w:val="22"/>
          <w:szCs w:val="22"/>
        </w:rPr>
        <w:t>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según estos parámetros.</w:t>
      </w:r>
      <w:r w:rsidRPr="008F73D4">
        <w:rPr>
          <w:rStyle w:val="eop"/>
          <w:rFonts w:ascii="Arial" w:hAnsi="Arial" w:cs="Arial"/>
          <w:color w:val="000000" w:themeColor="text1"/>
          <w:sz w:val="22"/>
          <w:szCs w:val="22"/>
        </w:rPr>
        <w:t> </w:t>
      </w:r>
    </w:p>
    <w:p w14:paraId="6BD55CA5" w14:textId="77777777" w:rsidR="00991668" w:rsidRPr="008F73D4" w:rsidRDefault="00991668" w:rsidP="00991668">
      <w:pPr>
        <w:spacing w:before="120" w:line="276" w:lineRule="auto"/>
        <w:jc w:val="both"/>
        <w:rPr>
          <w:rFonts w:ascii="Arial" w:eastAsia="Calibri" w:hAnsi="Arial" w:cs="Arial"/>
          <w:color w:val="000000" w:themeColor="text1"/>
          <w:sz w:val="22"/>
        </w:rPr>
      </w:pPr>
      <w:r w:rsidRPr="008F73D4">
        <w:rPr>
          <w:rFonts w:ascii="Arial" w:eastAsia="Calibri" w:hAnsi="Arial" w:cs="Arial"/>
          <w:color w:val="000000" w:themeColor="text1"/>
          <w:sz w:val="22"/>
        </w:rPr>
        <w:tab/>
        <w:t xml:space="preserve">La </w:t>
      </w:r>
      <w:r w:rsidRPr="008F73D4">
        <w:rPr>
          <w:rFonts w:ascii="Arial" w:eastAsia="Calibri" w:hAnsi="Arial" w:cs="Arial"/>
          <w:bCs/>
          <w:i/>
          <w:iCs/>
          <w:color w:val="000000" w:themeColor="text1"/>
          <w:sz w:val="22"/>
        </w:rPr>
        <w:t>capacidad financiera</w:t>
      </w:r>
      <w:r w:rsidRPr="008F73D4">
        <w:rPr>
          <w:rFonts w:ascii="Arial" w:eastAsia="Calibri" w:hAnsi="Arial" w:cs="Arial"/>
          <w:i/>
          <w:iCs/>
          <w:color w:val="000000" w:themeColor="text1"/>
          <w:sz w:val="22"/>
        </w:rPr>
        <w:t xml:space="preserve"> </w:t>
      </w:r>
      <w:r w:rsidRPr="008F73D4">
        <w:rPr>
          <w:rFonts w:ascii="Arial" w:eastAsia="Calibri" w:hAnsi="Arial" w:cs="Arial"/>
          <w:color w:val="000000" w:themeColor="text1"/>
          <w:sz w:val="22"/>
        </w:rPr>
        <w:t>se determina a través de la liquidez y el endeudamiento de los proponentes. Busca establecer condiciones mínimas en relación con la «salud financiera» de estos últimos, particularmente demostrar su aptitud para cumplir oportuna y cabalmente el objeto del contrato.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w:t>
      </w:r>
    </w:p>
    <w:p w14:paraId="73500732" w14:textId="77777777" w:rsidR="00991668" w:rsidRPr="008F73D4" w:rsidRDefault="00991668" w:rsidP="00991668">
      <w:pPr>
        <w:spacing w:before="120" w:line="276" w:lineRule="auto"/>
        <w:ind w:firstLine="709"/>
        <w:jc w:val="both"/>
        <w:rPr>
          <w:rFonts w:ascii="Arial" w:eastAsia="Calibri" w:hAnsi="Arial" w:cs="Arial"/>
          <w:color w:val="000000" w:themeColor="text1"/>
          <w:sz w:val="22"/>
        </w:rPr>
      </w:pPr>
      <w:r w:rsidRPr="008F73D4">
        <w:rPr>
          <w:rFonts w:ascii="Arial" w:eastAsia="Calibri" w:hAnsi="Arial" w:cs="Arial"/>
          <w:color w:val="000000" w:themeColor="text1"/>
          <w:sz w:val="22"/>
        </w:rPr>
        <w:t xml:space="preserve">En atención a la naturaleza del contrato a suscribir y su valor, plazo y forma de pago, la entidad debe hacer uso de los indicadores que considere adecuados respecto del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8F73D4">
        <w:rPr>
          <w:rFonts w:ascii="Arial" w:eastAsia="Calibri" w:hAnsi="Arial" w:cs="Arial"/>
          <w:i/>
          <w:iCs/>
          <w:color w:val="000000" w:themeColor="text1"/>
          <w:sz w:val="22"/>
        </w:rPr>
        <w:t>Índice de Liquidez</w:t>
      </w:r>
      <w:r w:rsidRPr="008F73D4">
        <w:rPr>
          <w:rFonts w:ascii="Arial" w:eastAsia="Calibri" w:hAnsi="Arial" w:cs="Arial"/>
          <w:color w:val="000000" w:themeColor="text1"/>
          <w:sz w:val="22"/>
        </w:rPr>
        <w:t xml:space="preserve">, que corresponde a la división entre el </w:t>
      </w:r>
      <w:r w:rsidRPr="008F73D4">
        <w:rPr>
          <w:rFonts w:ascii="Arial" w:eastAsia="Calibri" w:hAnsi="Arial" w:cs="Arial"/>
          <w:color w:val="000000" w:themeColor="text1"/>
          <w:sz w:val="22"/>
        </w:rPr>
        <w:lastRenderedPageBreak/>
        <w:t xml:space="preserve">activo corriente y el pasivo corriente, y que determina la capacidad que tiene el proponente para cumplir con sus obligaciones de corto plazo; ii) el </w:t>
      </w:r>
      <w:r w:rsidRPr="008F73D4">
        <w:rPr>
          <w:rFonts w:ascii="Arial" w:eastAsia="Calibri" w:hAnsi="Arial" w:cs="Arial"/>
          <w:i/>
          <w:iCs/>
          <w:color w:val="000000" w:themeColor="text1"/>
          <w:sz w:val="22"/>
        </w:rPr>
        <w:t>Índice de Endeudamiento</w:t>
      </w:r>
      <w:r w:rsidRPr="008F73D4">
        <w:rPr>
          <w:rFonts w:ascii="Arial" w:eastAsia="Calibri" w:hAnsi="Arial" w:cs="Arial"/>
          <w:color w:val="000000" w:themeColor="text1"/>
          <w:sz w:val="22"/>
        </w:rPr>
        <w:t xml:space="preserve">, que se calcula dividiendo el pasivo total por el activo total, el cual determina el grado de endeudamiento en la estructura de financiación del proponente; y iii) la </w:t>
      </w:r>
      <w:r w:rsidRPr="008F73D4">
        <w:rPr>
          <w:rFonts w:ascii="Arial" w:eastAsia="Calibri" w:hAnsi="Arial" w:cs="Arial"/>
          <w:i/>
          <w:iCs/>
          <w:color w:val="000000" w:themeColor="text1"/>
          <w:sz w:val="22"/>
        </w:rPr>
        <w:t>Razón de Cobertura de Intereses</w:t>
      </w:r>
      <w:r w:rsidRPr="008F73D4">
        <w:rPr>
          <w:rFonts w:ascii="Arial" w:eastAsia="Calibri" w:hAnsi="Arial" w:cs="Arial"/>
          <w:color w:val="000000" w:themeColor="text1"/>
          <w:sz w:val="22"/>
        </w:rPr>
        <w:t xml:space="preserve">, que es igual a la utilidad operacional, sobre los gastos de intereses, y que refleja la capacidad del proponente de cumplir con sus obligaciones financieras. Adicionalmente, Colombia Compra Eficiente recomienda valorar otro tipo de indicadores como el </w:t>
      </w:r>
      <w:r w:rsidRPr="008F73D4">
        <w:rPr>
          <w:rFonts w:ascii="Arial" w:eastAsia="Calibri" w:hAnsi="Arial" w:cs="Arial"/>
          <w:i/>
          <w:iCs/>
          <w:color w:val="000000" w:themeColor="text1"/>
          <w:sz w:val="22"/>
        </w:rPr>
        <w:t>capital de trabajo</w:t>
      </w:r>
      <w:r w:rsidRPr="008F73D4">
        <w:rPr>
          <w:rFonts w:ascii="Arial" w:eastAsia="Calibri" w:hAnsi="Arial" w:cs="Arial"/>
          <w:color w:val="000000" w:themeColor="text1"/>
          <w:sz w:val="22"/>
        </w:rPr>
        <w:t xml:space="preserve">, la </w:t>
      </w:r>
      <w:r w:rsidRPr="008F73D4">
        <w:rPr>
          <w:rFonts w:ascii="Arial" w:eastAsia="Calibri" w:hAnsi="Arial" w:cs="Arial"/>
          <w:i/>
          <w:iCs/>
          <w:color w:val="000000" w:themeColor="text1"/>
          <w:sz w:val="22"/>
        </w:rPr>
        <w:t>razón de efectivo</w:t>
      </w:r>
      <w:r w:rsidRPr="008F73D4">
        <w:rPr>
          <w:rFonts w:ascii="Arial" w:eastAsia="Calibri" w:hAnsi="Arial" w:cs="Arial"/>
          <w:color w:val="000000" w:themeColor="text1"/>
          <w:sz w:val="22"/>
        </w:rPr>
        <w:t xml:space="preserve">, la denominada </w:t>
      </w:r>
      <w:r w:rsidRPr="008F73D4">
        <w:rPr>
          <w:rFonts w:ascii="Arial" w:eastAsia="Calibri" w:hAnsi="Arial" w:cs="Arial"/>
          <w:i/>
          <w:iCs/>
          <w:color w:val="000000" w:themeColor="text1"/>
          <w:sz w:val="22"/>
        </w:rPr>
        <w:t>prueba ácida</w:t>
      </w:r>
      <w:r w:rsidRPr="008F73D4">
        <w:rPr>
          <w:rStyle w:val="Refdenotaalpie"/>
          <w:rFonts w:ascii="Arial" w:eastAsia="Calibri" w:hAnsi="Arial" w:cs="Arial"/>
          <w:color w:val="000000" w:themeColor="text1"/>
          <w:sz w:val="22"/>
        </w:rPr>
        <w:footnoteReference w:id="9"/>
      </w:r>
      <w:r w:rsidRPr="008F73D4">
        <w:rPr>
          <w:rFonts w:ascii="Arial" w:eastAsia="Calibri" w:hAnsi="Arial" w:cs="Arial"/>
          <w:color w:val="000000" w:themeColor="text1"/>
          <w:sz w:val="22"/>
        </w:rPr>
        <w:t xml:space="preserve">, la </w:t>
      </w:r>
      <w:r w:rsidRPr="008F73D4">
        <w:rPr>
          <w:rFonts w:ascii="Arial" w:eastAsia="Calibri" w:hAnsi="Arial" w:cs="Arial"/>
          <w:i/>
          <w:iCs/>
          <w:color w:val="000000" w:themeColor="text1"/>
          <w:sz w:val="22"/>
        </w:rPr>
        <w:t xml:space="preserve">concentración de endeudamiento a corto </w:t>
      </w:r>
      <w:r w:rsidRPr="008F73D4">
        <w:rPr>
          <w:rFonts w:ascii="Arial" w:eastAsia="Calibri" w:hAnsi="Arial" w:cs="Arial"/>
          <w:color w:val="000000" w:themeColor="text1"/>
          <w:sz w:val="22"/>
        </w:rPr>
        <w:t>y</w:t>
      </w:r>
      <w:r w:rsidRPr="008F73D4">
        <w:rPr>
          <w:rFonts w:ascii="Arial" w:eastAsia="Calibri" w:hAnsi="Arial" w:cs="Arial"/>
          <w:i/>
          <w:iCs/>
          <w:color w:val="000000" w:themeColor="text1"/>
          <w:sz w:val="22"/>
        </w:rPr>
        <w:t xml:space="preserve"> a largo plazo</w:t>
      </w:r>
      <w:r w:rsidRPr="008F73D4">
        <w:rPr>
          <w:rFonts w:ascii="Arial" w:eastAsia="Calibri" w:hAnsi="Arial" w:cs="Arial"/>
          <w:color w:val="000000" w:themeColor="text1"/>
          <w:sz w:val="22"/>
        </w:rPr>
        <w:t xml:space="preserve"> y el </w:t>
      </w:r>
      <w:r w:rsidRPr="008F73D4">
        <w:rPr>
          <w:rFonts w:ascii="Arial" w:eastAsia="Calibri" w:hAnsi="Arial" w:cs="Arial"/>
          <w:i/>
          <w:iCs/>
          <w:color w:val="000000" w:themeColor="text1"/>
          <w:sz w:val="22"/>
        </w:rPr>
        <w:t>patrimonio</w:t>
      </w:r>
      <w:r w:rsidRPr="008F73D4">
        <w:rPr>
          <w:rFonts w:ascii="Arial" w:eastAsia="Calibri" w:hAnsi="Arial" w:cs="Arial"/>
          <w:color w:val="000000" w:themeColor="text1"/>
          <w:sz w:val="22"/>
        </w:rPr>
        <w:t>.</w:t>
      </w:r>
    </w:p>
    <w:p w14:paraId="603100AC" w14:textId="77777777" w:rsidR="00991668" w:rsidRPr="008F73D4" w:rsidRDefault="00991668" w:rsidP="00991668">
      <w:pPr>
        <w:spacing w:before="120" w:line="276" w:lineRule="auto"/>
        <w:ind w:firstLine="709"/>
        <w:jc w:val="both"/>
        <w:rPr>
          <w:rFonts w:ascii="Arial" w:eastAsia="Calibri" w:hAnsi="Arial" w:cs="Arial"/>
          <w:color w:val="000000" w:themeColor="text1"/>
          <w:sz w:val="22"/>
        </w:rPr>
      </w:pPr>
      <w:r w:rsidRPr="008F73D4">
        <w:rPr>
          <w:rFonts w:ascii="Arial" w:hAnsi="Arial" w:cs="Arial"/>
          <w:color w:val="000000" w:themeColor="text1"/>
          <w:sz w:val="22"/>
        </w:rPr>
        <w:t>L</w:t>
      </w:r>
      <w:r w:rsidRPr="008F73D4">
        <w:rPr>
          <w:rFonts w:ascii="Arial" w:eastAsia="Calibri" w:hAnsi="Arial" w:cs="Arial"/>
          <w:color w:val="000000" w:themeColor="text1"/>
          <w:sz w:val="22"/>
        </w:rPr>
        <w:t xml:space="preserve">a </w:t>
      </w:r>
      <w:r w:rsidRPr="008F73D4">
        <w:rPr>
          <w:rFonts w:ascii="Arial" w:eastAsia="Calibri" w:hAnsi="Arial" w:cs="Arial"/>
          <w:bCs/>
          <w:i/>
          <w:iCs/>
          <w:color w:val="000000" w:themeColor="text1"/>
          <w:sz w:val="22"/>
        </w:rPr>
        <w:t>capacidad de organización</w:t>
      </w:r>
      <w:r w:rsidRPr="008F73D4">
        <w:rPr>
          <w:rFonts w:ascii="Arial" w:eastAsia="Calibri" w:hAnsi="Arial" w:cs="Arial"/>
          <w:color w:val="000000" w:themeColor="text1"/>
          <w:sz w:val="22"/>
        </w:rPr>
        <w:t>, s</w:t>
      </w:r>
      <w:r w:rsidRPr="008F73D4">
        <w:rPr>
          <w:rFonts w:ascii="Arial" w:hAnsi="Arial" w:cs="Arial"/>
          <w:color w:val="000000" w:themeColor="text1"/>
          <w:sz w:val="22"/>
        </w:rPr>
        <w:t xml:space="preserve">egún el «Manual para determinar y verificar los requisitos habilitantes en los Procesos de Contratación», elaborado por la Agencia Nacional de Contratación Pública, </w:t>
      </w:r>
      <w:r w:rsidRPr="008F73D4">
        <w:rPr>
          <w:rFonts w:ascii="Arial" w:eastAsia="Calibri" w:hAnsi="Arial" w:cs="Arial"/>
          <w:color w:val="000000" w:themeColor="text1"/>
          <w:sz w:val="22"/>
        </w:rPr>
        <w:t xml:space="preserve">es «la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w:t>
      </w:r>
      <w:r w:rsidRPr="008F73D4">
        <w:rPr>
          <w:rFonts w:ascii="Arial" w:eastAsia="Calibri" w:hAnsi="Arial" w:cs="Arial"/>
          <w:i/>
          <w:iCs/>
          <w:color w:val="000000" w:themeColor="text1"/>
          <w:sz w:val="22"/>
        </w:rPr>
        <w:t>rentabilidad del patrimonio</w:t>
      </w:r>
      <w:r w:rsidRPr="008F73D4">
        <w:rPr>
          <w:rFonts w:ascii="Arial" w:eastAsia="Calibri" w:hAnsi="Arial" w:cs="Arial"/>
          <w:color w:val="000000" w:themeColor="text1"/>
          <w:sz w:val="22"/>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w:t>
      </w:r>
      <w:r w:rsidRPr="008F73D4">
        <w:rPr>
          <w:rFonts w:ascii="Arial" w:eastAsia="Calibri" w:hAnsi="Arial" w:cs="Arial"/>
          <w:i/>
          <w:iCs/>
          <w:color w:val="000000" w:themeColor="text1"/>
          <w:sz w:val="22"/>
        </w:rPr>
        <w:t>rentabilidad del activo</w:t>
      </w:r>
      <w:r w:rsidRPr="008F73D4">
        <w:rPr>
          <w:rFonts w:ascii="Arial" w:eastAsia="Calibri" w:hAnsi="Arial" w:cs="Arial"/>
          <w:color w:val="000000" w:themeColor="text1"/>
          <w:sz w:val="22"/>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52F3BBE5" w14:textId="77777777" w:rsidR="00991668" w:rsidRPr="008F73D4" w:rsidRDefault="00991668" w:rsidP="00991668">
      <w:pPr>
        <w:spacing w:before="120" w:line="276" w:lineRule="auto"/>
        <w:ind w:firstLine="709"/>
        <w:jc w:val="both"/>
        <w:rPr>
          <w:rFonts w:ascii="Arial" w:hAnsi="Arial" w:cs="Arial"/>
          <w:color w:val="000000" w:themeColor="text1"/>
          <w:sz w:val="22"/>
        </w:rPr>
      </w:pPr>
      <w:r w:rsidRPr="008F73D4">
        <w:rPr>
          <w:rFonts w:ascii="Arial" w:hAnsi="Arial" w:cs="Arial"/>
          <w:color w:val="000000" w:themeColor="text1"/>
          <w:sz w:val="22"/>
        </w:rPr>
        <w:t xml:space="preserve">Ahora bien, en este punto vale la pena preguntarse si los cuatro requisitos habilitantes establecidos en el artículo 5, numeral 1, de la Ley 1150 de 2007, cuyo alcance fue explicado previamente, son taxativos, esto es, si son los únicos requisitos habilitantes que puede exigirle una entidad a los proponentes. Esta pregunta tiene, al menos, dos respuestas razonables. Por un lado, que sí lo son, habida cuenta que la norma no hace referencia a otros diferentes y, por el otro, que no lo son, pues esta no contiene una expresión como «únicamente» o «solo» al referirse a los requisitos habilitantes y, además, debido a que la lectura íntegra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w:t>
      </w:r>
      <w:r w:rsidRPr="008F73D4">
        <w:rPr>
          <w:rFonts w:ascii="Arial" w:hAnsi="Arial" w:cs="Arial"/>
          <w:color w:val="000000" w:themeColor="text1"/>
          <w:sz w:val="22"/>
        </w:rPr>
        <w:lastRenderedPageBreak/>
        <w:t xml:space="preserve">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Pública. </w:t>
      </w:r>
    </w:p>
    <w:p w14:paraId="6B7C323B" w14:textId="77777777" w:rsidR="00991668" w:rsidRPr="008F73D4" w:rsidRDefault="00991668" w:rsidP="00991668">
      <w:pPr>
        <w:spacing w:before="120" w:line="276" w:lineRule="auto"/>
        <w:ind w:firstLine="709"/>
        <w:jc w:val="both"/>
        <w:rPr>
          <w:rFonts w:ascii="Arial" w:hAnsi="Arial" w:cs="Arial"/>
          <w:color w:val="000000" w:themeColor="text1"/>
          <w:sz w:val="22"/>
        </w:rPr>
      </w:pPr>
      <w:r w:rsidRPr="008F73D4">
        <w:rPr>
          <w:rFonts w:ascii="Arial" w:hAnsi="Arial" w:cs="Arial"/>
          <w:color w:val="000000" w:themeColor="text1"/>
          <w:sz w:val="22"/>
        </w:rPr>
        <w:t>Hay otros argumentos que sustentan tal elección interpretativa. Tal y como lo han considerado la Corte Constitucional</w:t>
      </w:r>
      <w:r w:rsidRPr="008F73D4">
        <w:rPr>
          <w:rStyle w:val="Refdenotaalpie"/>
          <w:rFonts w:ascii="Arial" w:hAnsi="Arial" w:cs="Arial"/>
          <w:color w:val="000000" w:themeColor="text1"/>
          <w:sz w:val="22"/>
        </w:rPr>
        <w:footnoteReference w:id="10"/>
      </w:r>
      <w:r w:rsidRPr="008F73D4">
        <w:rPr>
          <w:rFonts w:ascii="Arial" w:hAnsi="Arial" w:cs="Arial"/>
          <w:color w:val="000000" w:themeColor="text1"/>
          <w:sz w:val="22"/>
        </w:rPr>
        <w:t xml:space="preserve"> y el Consejo de Estado</w:t>
      </w:r>
      <w:r w:rsidRPr="008F73D4">
        <w:rPr>
          <w:rStyle w:val="Refdenotaalpie"/>
          <w:rFonts w:ascii="Arial" w:hAnsi="Arial" w:cs="Arial"/>
          <w:color w:val="000000" w:themeColor="text1"/>
          <w:sz w:val="22"/>
        </w:rPr>
        <w:footnoteReference w:id="11"/>
      </w:r>
      <w:r w:rsidRPr="008F73D4">
        <w:rPr>
          <w:rFonts w:ascii="Arial" w:hAnsi="Arial" w:cs="Arial"/>
          <w:color w:val="000000" w:themeColor="text1"/>
          <w:sz w:val="22"/>
        </w:rPr>
        <w:t>,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solo fueran requisitos habilitantes los cuatro que contiene el numeral 1 de dicha disposición, ¿cómo se explica que el referido parágrafo aclare que «</w:t>
      </w:r>
      <w:r w:rsidRPr="008F73D4">
        <w:rPr>
          <w:rFonts w:ascii="Arial" w:hAnsi="Arial" w:cs="Arial"/>
          <w:color w:val="000000" w:themeColor="text1"/>
        </w:rPr>
        <w:t>l</w:t>
      </w:r>
      <w:r w:rsidRPr="008F73D4">
        <w:rPr>
          <w:rFonts w:ascii="Arial" w:hAnsi="Arial" w:cs="Arial"/>
          <w:color w:val="000000" w:themeColor="text1"/>
          <w:sz w:val="22"/>
        </w:rPr>
        <w:t xml:space="preserve">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169FECCF" w14:textId="77777777" w:rsidR="00991668" w:rsidRPr="008F73D4" w:rsidRDefault="00991668" w:rsidP="00991668">
      <w:pPr>
        <w:spacing w:before="120" w:line="276" w:lineRule="auto"/>
        <w:ind w:firstLine="709"/>
        <w:jc w:val="both"/>
        <w:rPr>
          <w:rFonts w:ascii="Arial" w:hAnsi="Arial" w:cs="Arial"/>
          <w:color w:val="000000" w:themeColor="text1"/>
          <w:sz w:val="22"/>
        </w:rPr>
      </w:pPr>
      <w:r w:rsidRPr="008F73D4">
        <w:rPr>
          <w:rFonts w:ascii="Arial" w:hAnsi="Arial" w:cs="Arial"/>
          <w:color w:val="000000" w:themeColor="text1"/>
          <w:sz w:val="22"/>
        </w:rPr>
        <w:t xml:space="preserve">La intención del legislador, de la cual dan cuenta los antecedentes legislativos de la norma </w:t>
      </w:r>
      <w:r w:rsidRPr="008F73D4">
        <w:rPr>
          <w:rFonts w:ascii="Arial" w:hAnsi="Arial" w:cs="Arial"/>
          <w:i/>
          <w:iCs/>
          <w:color w:val="000000" w:themeColor="text1"/>
          <w:sz w:val="22"/>
        </w:rPr>
        <w:t>sub examine</w:t>
      </w:r>
      <w:r w:rsidRPr="008F73D4">
        <w:rPr>
          <w:rFonts w:ascii="Arial" w:hAnsi="Arial" w:cs="Arial"/>
          <w:color w:val="000000" w:themeColor="text1"/>
          <w:sz w:val="22"/>
        </w:rPr>
        <w:t>, también justifica la interpretación propuesta por esta Agencia, ya que fue hasta el cuarto debate parlamentario en donde se incluyó el parágrafo comentando anteriormente</w:t>
      </w:r>
      <w:r w:rsidRPr="008F73D4">
        <w:rPr>
          <w:rStyle w:val="Refdenotaalpie"/>
          <w:rFonts w:ascii="Arial" w:hAnsi="Arial" w:cs="Arial"/>
          <w:color w:val="000000" w:themeColor="text1"/>
          <w:sz w:val="22"/>
        </w:rPr>
        <w:footnoteReference w:id="12"/>
      </w:r>
      <w:r w:rsidRPr="008F73D4">
        <w:rPr>
          <w:rFonts w:ascii="Arial" w:hAnsi="Arial" w:cs="Arial"/>
          <w:color w:val="000000" w:themeColor="text1"/>
          <w:sz w:val="22"/>
        </w:rPr>
        <w:t>, lo que deja ver la necesidad que tenía el Congreso de aclarar que unos documentos no podrían ser tenidos como requisitos habilitantes, lo que da cuenta, a su vez, de su reconocimiento tácito de la existencia de otros requisitos habilitantes, distintos a los cuatro que establece el artículo 5, parágrafo 1, de la Ley 1150 de 2007.</w:t>
      </w:r>
    </w:p>
    <w:p w14:paraId="104C7FEB" w14:textId="77777777" w:rsidR="00991668" w:rsidRPr="008F73D4" w:rsidRDefault="00991668" w:rsidP="00991668">
      <w:pPr>
        <w:spacing w:before="120" w:line="276" w:lineRule="auto"/>
        <w:ind w:firstLine="709"/>
        <w:jc w:val="both"/>
        <w:rPr>
          <w:rFonts w:ascii="Arial" w:hAnsi="Arial" w:cs="Arial"/>
          <w:color w:val="000000" w:themeColor="text1"/>
          <w:sz w:val="22"/>
        </w:rPr>
      </w:pPr>
      <w:r w:rsidRPr="008F73D4">
        <w:rPr>
          <w:rFonts w:ascii="Arial" w:hAnsi="Arial" w:cs="Arial"/>
          <w:color w:val="000000" w:themeColor="text1"/>
          <w:sz w:val="22"/>
        </w:rPr>
        <w:t xml:space="preserve">Por otro lado, en el referido «Manual para determinar y verificar los requisitos habilitantes en los Procesos de Contratación» se determinaron los parámetros para </w:t>
      </w:r>
      <w:r w:rsidRPr="008F73D4">
        <w:rPr>
          <w:rFonts w:ascii="Arial" w:hAnsi="Arial" w:cs="Arial"/>
          <w:i/>
          <w:iCs/>
          <w:color w:val="000000" w:themeColor="text1"/>
          <w:sz w:val="22"/>
        </w:rPr>
        <w:t>establecer</w:t>
      </w:r>
      <w:r w:rsidRPr="008F73D4">
        <w:rPr>
          <w:rFonts w:ascii="Arial" w:hAnsi="Arial" w:cs="Arial"/>
          <w:color w:val="000000" w:themeColor="text1"/>
          <w:sz w:val="22"/>
        </w:rPr>
        <w:t xml:space="preserve">, </w:t>
      </w:r>
      <w:r w:rsidRPr="008F73D4">
        <w:rPr>
          <w:rFonts w:ascii="Arial" w:hAnsi="Arial" w:cs="Arial"/>
          <w:i/>
          <w:iCs/>
          <w:color w:val="000000" w:themeColor="text1"/>
          <w:sz w:val="22"/>
        </w:rPr>
        <w:t>acreditar</w:t>
      </w:r>
      <w:r w:rsidRPr="008F73D4">
        <w:rPr>
          <w:rFonts w:ascii="Arial" w:hAnsi="Arial" w:cs="Arial"/>
          <w:color w:val="000000" w:themeColor="text1"/>
          <w:sz w:val="22"/>
        </w:rPr>
        <w:t xml:space="preserve"> y </w:t>
      </w:r>
      <w:r w:rsidRPr="008F73D4">
        <w:rPr>
          <w:rFonts w:ascii="Arial" w:hAnsi="Arial" w:cs="Arial"/>
          <w:i/>
          <w:iCs/>
          <w:color w:val="000000" w:themeColor="text1"/>
          <w:sz w:val="22"/>
        </w:rPr>
        <w:t>subsanar</w:t>
      </w:r>
      <w:r w:rsidRPr="008F73D4">
        <w:rPr>
          <w:rFonts w:ascii="Arial" w:hAnsi="Arial" w:cs="Arial"/>
          <w:color w:val="000000" w:themeColor="text1"/>
          <w:sz w:val="22"/>
        </w:rPr>
        <w:t xml:space="preserve">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w:t>
      </w:r>
      <w:r w:rsidRPr="008F73D4">
        <w:rPr>
          <w:rFonts w:ascii="Arial" w:hAnsi="Arial" w:cs="Arial"/>
          <w:color w:val="000000" w:themeColor="text1"/>
          <w:sz w:val="22"/>
        </w:rPr>
        <w:lastRenderedPageBreak/>
        <w:t>experiencia». Su propósito es, según el Manual, «establecer unas condiciones mínimas para los proponentes de tal manera que la Entidad Estatal sólo evalúe las ofertas de aquellos que están en condiciones de cumplir con el objeto del Proceso de Contratación».</w:t>
      </w:r>
    </w:p>
    <w:p w14:paraId="61D40F1E" w14:textId="77777777" w:rsidR="00991668" w:rsidRPr="008F73D4" w:rsidRDefault="00991668" w:rsidP="00991668">
      <w:pPr>
        <w:spacing w:before="120" w:line="276" w:lineRule="auto"/>
        <w:ind w:firstLine="709"/>
        <w:jc w:val="both"/>
        <w:rPr>
          <w:rFonts w:ascii="Arial" w:hAnsi="Arial" w:cs="Arial"/>
          <w:color w:val="000000" w:themeColor="text1"/>
          <w:sz w:val="22"/>
        </w:rPr>
      </w:pPr>
      <w:bookmarkStart w:id="3" w:name="_Hlk34917473"/>
      <w:r w:rsidRPr="008F73D4">
        <w:rPr>
          <w:rFonts w:ascii="Arial" w:hAnsi="Arial" w:cs="Arial"/>
          <w:color w:val="000000" w:themeColor="text1"/>
          <w:sz w:val="22"/>
        </w:rPr>
        <w:t xml:space="preserve">Corresponde a las entidades estatales, durante la etapa de planeación del contrato estatal, estudiar y </w:t>
      </w:r>
      <w:r w:rsidRPr="008F73D4">
        <w:rPr>
          <w:rFonts w:ascii="Arial" w:hAnsi="Arial" w:cs="Arial"/>
          <w:bCs/>
          <w:iCs/>
          <w:color w:val="000000" w:themeColor="text1"/>
          <w:sz w:val="22"/>
        </w:rPr>
        <w:t>determinar</w:t>
      </w:r>
      <w:r w:rsidRPr="008F73D4">
        <w:rPr>
          <w:rFonts w:ascii="Arial" w:hAnsi="Arial" w:cs="Arial"/>
          <w:color w:val="000000" w:themeColor="text1"/>
          <w:sz w:val="22"/>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8F73D4">
        <w:rPr>
          <w:rFonts w:ascii="Arial" w:hAnsi="Arial" w:cs="Arial"/>
          <w:i/>
          <w:iCs/>
          <w:color w:val="000000" w:themeColor="text1"/>
          <w:sz w:val="22"/>
        </w:rPr>
        <w:t>riesgos</w:t>
      </w:r>
      <w:r w:rsidRPr="008F73D4">
        <w:rPr>
          <w:rFonts w:ascii="Arial" w:hAnsi="Arial" w:cs="Arial"/>
          <w:color w:val="000000" w:themeColor="text1"/>
          <w:sz w:val="22"/>
        </w:rPr>
        <w:t xml:space="preserve"> </w:t>
      </w:r>
      <w:r w:rsidRPr="008F73D4">
        <w:rPr>
          <w:rFonts w:ascii="Arial" w:hAnsi="Arial" w:cs="Arial"/>
          <w:i/>
          <w:iCs/>
          <w:color w:val="000000" w:themeColor="text1"/>
          <w:sz w:val="22"/>
        </w:rPr>
        <w:t>asociados al contrato</w:t>
      </w:r>
      <w:r w:rsidRPr="008F73D4">
        <w:rPr>
          <w:rFonts w:ascii="Arial" w:hAnsi="Arial" w:cs="Arial"/>
          <w:color w:val="000000" w:themeColor="text1"/>
          <w:sz w:val="22"/>
        </w:rPr>
        <w:t xml:space="preserve">, el plazo y la complejidad de ejecución del objeto. Todo porque el ejercicio de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por ejemplo, como el que estable el artículo 5, parágrafo 2, de la Ley 1150 de 2007, </w:t>
      </w:r>
      <w:r w:rsidRPr="008F73D4">
        <w:rPr>
          <w:rFonts w:ascii="Arial" w:hAnsi="Arial" w:cs="Arial"/>
          <w:color w:val="000000" w:themeColor="text1"/>
          <w:sz w:val="22"/>
          <w:lang w:val="es-ES"/>
        </w:rPr>
        <w:t>relacionado con la prohibición de exigir certificaciones de sistemas de gestión de calidad como requisito habilitante</w:t>
      </w:r>
      <w:r w:rsidRPr="008F73D4">
        <w:rPr>
          <w:rFonts w:ascii="Arial" w:hAnsi="Arial" w:cs="Arial"/>
          <w:color w:val="000000" w:themeColor="text1"/>
          <w:sz w:val="22"/>
        </w:rPr>
        <w:t xml:space="preserve">. </w:t>
      </w:r>
    </w:p>
    <w:bookmarkEnd w:id="3"/>
    <w:p w14:paraId="1F54ED4F" w14:textId="77777777" w:rsidR="00991668" w:rsidRPr="008F73D4" w:rsidRDefault="00991668" w:rsidP="00991668">
      <w:pPr>
        <w:spacing w:before="120" w:line="276" w:lineRule="auto"/>
        <w:ind w:firstLine="709"/>
        <w:jc w:val="both"/>
        <w:rPr>
          <w:rFonts w:ascii="Arial" w:hAnsi="Arial" w:cs="Arial"/>
          <w:color w:val="000000" w:themeColor="text1"/>
          <w:sz w:val="22"/>
        </w:rPr>
      </w:pPr>
      <w:r w:rsidRPr="008F73D4">
        <w:rPr>
          <w:rFonts w:ascii="Arial" w:hAnsi="Arial" w:cs="Arial"/>
          <w:color w:val="000000" w:themeColor="text1"/>
          <w:sz w:val="22"/>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1820A966" w14:textId="77777777" w:rsidR="00991668" w:rsidRPr="008F73D4" w:rsidRDefault="00991668" w:rsidP="00991668">
      <w:pPr>
        <w:spacing w:before="120" w:line="276" w:lineRule="auto"/>
        <w:ind w:firstLine="709"/>
        <w:jc w:val="both"/>
        <w:rPr>
          <w:rFonts w:ascii="Arial" w:hAnsi="Arial" w:cs="Arial"/>
          <w:color w:val="000000" w:themeColor="text1"/>
          <w:sz w:val="22"/>
        </w:rPr>
      </w:pPr>
      <w:r w:rsidRPr="008F73D4">
        <w:rPr>
          <w:rFonts w:ascii="Arial" w:hAnsi="Arial" w:cs="Arial"/>
          <w:color w:val="000000" w:themeColor="text1"/>
          <w:sz w:val="22"/>
        </w:rPr>
        <w:t>De todos modos, como se dijo antes, para la configuración de los requisitos habilitantes, la entidad no está limitada a los cuatro que enuncia el artículo 5, numeral 1, de la Ley 1150 de 2007, pues, se insiste, estos son solo enunciativos y no taxativos.</w:t>
      </w:r>
    </w:p>
    <w:p w14:paraId="380F5C49" w14:textId="77777777" w:rsidR="00991668" w:rsidRPr="008F73D4" w:rsidRDefault="00991668" w:rsidP="00991668">
      <w:pPr>
        <w:spacing w:before="120" w:line="276" w:lineRule="auto"/>
        <w:ind w:firstLine="709"/>
        <w:jc w:val="both"/>
        <w:rPr>
          <w:rFonts w:ascii="Arial" w:eastAsia="Calibri" w:hAnsi="Arial" w:cs="Arial"/>
          <w:color w:val="000000" w:themeColor="text1"/>
          <w:sz w:val="22"/>
        </w:rPr>
      </w:pPr>
      <w:r w:rsidRPr="008F73D4">
        <w:rPr>
          <w:rFonts w:ascii="Arial" w:eastAsia="Calibri" w:hAnsi="Arial" w:cs="Arial"/>
          <w:color w:val="000000" w:themeColor="text1"/>
          <w:sz w:val="22"/>
        </w:rPr>
        <w:t>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de habilitación, quienes presenten ofertas deben acreditar que cumplen con ellos, so pena de que sus propuestas sean rechazadas, claro está, sin perjuicio de la posibilidad de subsanarlas, cuando a ello haya lugar. Todo, dentro de los parámetros explicados en las consideraciones anteriores.</w:t>
      </w:r>
    </w:p>
    <w:p w14:paraId="40543922" w14:textId="13BF24AB" w:rsidR="00991668" w:rsidRPr="008F73D4" w:rsidRDefault="00991668" w:rsidP="00991668">
      <w:pPr>
        <w:spacing w:before="120" w:line="276" w:lineRule="auto"/>
        <w:ind w:firstLine="709"/>
        <w:jc w:val="both"/>
        <w:rPr>
          <w:rFonts w:ascii="Arial" w:eastAsia="Calibri" w:hAnsi="Arial" w:cs="Arial"/>
          <w:color w:val="000000" w:themeColor="text1"/>
          <w:sz w:val="22"/>
        </w:rPr>
      </w:pPr>
      <w:r w:rsidRPr="008F73D4">
        <w:rPr>
          <w:rFonts w:ascii="Arial" w:eastAsia="Calibri" w:hAnsi="Arial" w:cs="Arial"/>
          <w:color w:val="000000" w:themeColor="text1"/>
          <w:sz w:val="22"/>
        </w:rPr>
        <w:t xml:space="preserve">Lo dicho, claro está, sin perjuicio de las prohibiciones legales. Por ejemplo, en relación con el principio de economía, el numeral 15 del artículo 25 de la Ley 80 de 1993 establece que «[…] Las autoridades no exigirán sellos, autenticaciones, documentos originales o autenticados, reconocimientos de firmas, traducciones oficiales, ni cualquier otra clase de formalidades o exigencias rituales, salvo cuando en forma perentoria y expresa lo exijan leyes especiales». Es del caso precisar que esta prohibición legal </w:t>
      </w:r>
      <w:r w:rsidRPr="008F73D4">
        <w:rPr>
          <w:rFonts w:ascii="Arial" w:eastAsia="Calibri" w:hAnsi="Arial" w:cs="Arial"/>
          <w:color w:val="000000" w:themeColor="text1"/>
          <w:sz w:val="22"/>
        </w:rPr>
        <w:lastRenderedPageBreak/>
        <w:t>comprende lo relacionado con requisitos habilitantes y, además, los requisitos puntuables, pues la norma no distingue entre uno y otro, sino que contiene una prohibición genérica.</w:t>
      </w:r>
    </w:p>
    <w:p w14:paraId="7A20944E" w14:textId="77777777" w:rsidR="00991668" w:rsidRPr="008F73D4" w:rsidRDefault="00991668" w:rsidP="00991668">
      <w:pPr>
        <w:spacing w:line="276" w:lineRule="auto"/>
        <w:jc w:val="both"/>
        <w:rPr>
          <w:rFonts w:ascii="Arial" w:eastAsia="Calibri" w:hAnsi="Arial" w:cs="Arial"/>
          <w:b/>
          <w:sz w:val="22"/>
          <w:lang w:val="es-ES"/>
        </w:rPr>
      </w:pPr>
    </w:p>
    <w:p w14:paraId="4EE67510" w14:textId="77777777" w:rsidR="00991668" w:rsidRPr="008F73D4" w:rsidRDefault="00991668" w:rsidP="00991668">
      <w:pPr>
        <w:spacing w:line="276" w:lineRule="auto"/>
        <w:jc w:val="both"/>
        <w:rPr>
          <w:rFonts w:ascii="Arial" w:eastAsia="Calibri" w:hAnsi="Arial" w:cs="Arial"/>
          <w:bCs/>
          <w:sz w:val="22"/>
          <w:lang w:val="es-ES"/>
        </w:rPr>
      </w:pPr>
      <w:r w:rsidRPr="008F73D4">
        <w:rPr>
          <w:rFonts w:ascii="Arial" w:eastAsia="Calibri" w:hAnsi="Arial" w:cs="Arial"/>
          <w:b/>
          <w:sz w:val="22"/>
          <w:lang w:val="es-ES"/>
        </w:rPr>
        <w:t>2.2. Verificación por parte de las entidades estatales del pago al Sistema de Seguridad Social Integral.</w:t>
      </w:r>
    </w:p>
    <w:p w14:paraId="7A25C30C" w14:textId="77777777" w:rsidR="00991668" w:rsidRPr="008F73D4" w:rsidRDefault="00991668" w:rsidP="00991668">
      <w:pPr>
        <w:tabs>
          <w:tab w:val="left" w:pos="142"/>
          <w:tab w:val="left" w:pos="426"/>
        </w:tabs>
        <w:spacing w:line="276" w:lineRule="auto"/>
        <w:jc w:val="both"/>
        <w:rPr>
          <w:rFonts w:ascii="Arial" w:eastAsia="Calibri" w:hAnsi="Arial" w:cs="Arial"/>
          <w:b/>
          <w:sz w:val="22"/>
          <w:lang w:val="es-ES"/>
        </w:rPr>
      </w:pPr>
    </w:p>
    <w:p w14:paraId="15B89434" w14:textId="77777777" w:rsidR="00991668" w:rsidRPr="008F73D4" w:rsidRDefault="00991668" w:rsidP="00991668">
      <w:pPr>
        <w:spacing w:line="276" w:lineRule="auto"/>
        <w:jc w:val="both"/>
        <w:rPr>
          <w:rFonts w:ascii="Arial" w:eastAsia="Calibri" w:hAnsi="Arial" w:cs="Arial"/>
          <w:sz w:val="22"/>
          <w:lang w:val="es-ES"/>
        </w:rPr>
      </w:pPr>
      <w:r w:rsidRPr="008F73D4">
        <w:rPr>
          <w:rFonts w:ascii="Arial" w:hAnsi="Arial" w:cs="Arial"/>
          <w:sz w:val="22"/>
          <w:lang w:val="es-ES"/>
        </w:rPr>
        <w:t xml:space="preserve">La Agencia Nacional de Contratación Pública – Colombia Compra Eficiente se ha pronunciado en diversas oportunidades acerca de la acreditación del cumplimiento de las obligaciones con el Sistema de Seguridad Social Integral en el marco de la contratación estatal. En tal sentido, algunas de las ideas planteadas en los conceptos emitidos en respuesta a las </w:t>
      </w:r>
      <w:r w:rsidRPr="008F73D4">
        <w:rPr>
          <w:rFonts w:ascii="Arial" w:eastAsia="Calibri" w:hAnsi="Arial" w:cs="Arial"/>
          <w:sz w:val="22"/>
          <w:lang w:val="es-ES"/>
        </w:rPr>
        <w:t>consultas con radicado No. C-006 del 04 de febrero de 2020, C–118 de 03 de marzo de 2020 y C-319 del 12 de junio de 2020, se reiteran a continuación</w:t>
      </w:r>
      <w:r>
        <w:rPr>
          <w:rFonts w:ascii="Arial" w:eastAsia="Calibri" w:hAnsi="Arial" w:cs="Arial"/>
          <w:sz w:val="22"/>
          <w:lang w:val="es-ES"/>
        </w:rPr>
        <w:t>.</w:t>
      </w:r>
    </w:p>
    <w:p w14:paraId="651A57A5" w14:textId="77777777" w:rsidR="00991668" w:rsidRPr="008F73D4" w:rsidRDefault="00991668" w:rsidP="00991668">
      <w:pPr>
        <w:spacing w:before="120" w:after="120" w:line="276" w:lineRule="auto"/>
        <w:ind w:firstLine="709"/>
        <w:jc w:val="both"/>
        <w:rPr>
          <w:rFonts w:ascii="Arial" w:hAnsi="Arial" w:cs="Arial"/>
          <w:sz w:val="22"/>
          <w:lang w:val="es-ES"/>
        </w:rPr>
      </w:pPr>
      <w:r w:rsidRPr="008F73D4">
        <w:rPr>
          <w:rFonts w:ascii="Arial" w:hAnsi="Arial" w:cs="Arial"/>
          <w:sz w:val="22"/>
          <w:lang w:val="es-ES"/>
        </w:rPr>
        <w:t>La Ley 80 de 1993, en el texto original del artículo 41, estableció que los requisitos para perfeccionar el contrato eran: i) llegar a un acuerdo sobre el objeto y la contraprestación y ii) que conste por escrito. Por su parte, para iniciar la ejecución se requería: i) la constitución y aprobación de la garantía y ii) la existencia del registro presupuestal.</w:t>
      </w:r>
    </w:p>
    <w:p w14:paraId="3EA13D18" w14:textId="77777777" w:rsidR="00991668" w:rsidRPr="008F73D4" w:rsidRDefault="00991668" w:rsidP="00991668">
      <w:pPr>
        <w:spacing w:before="120" w:after="120" w:line="276" w:lineRule="auto"/>
        <w:ind w:firstLine="708"/>
        <w:jc w:val="both"/>
        <w:rPr>
          <w:rFonts w:ascii="Arial" w:hAnsi="Arial" w:cs="Arial"/>
          <w:sz w:val="22"/>
          <w:lang w:val="es-ES"/>
        </w:rPr>
      </w:pPr>
      <w:r w:rsidRPr="008F73D4">
        <w:rPr>
          <w:rFonts w:ascii="Arial" w:hAnsi="Arial" w:cs="Arial"/>
          <w:sz w:val="22"/>
          <w:lang w:val="es-ES"/>
        </w:rPr>
        <w:t>Posteriormente,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8F73D4">
        <w:rPr>
          <w:rStyle w:val="Refdenotaalpie"/>
          <w:rFonts w:ascii="Arial" w:hAnsi="Arial" w:cs="Arial"/>
          <w:sz w:val="22"/>
          <w:lang w:val="es-ES"/>
        </w:rPr>
        <w:footnoteReference w:id="13"/>
      </w:r>
      <w:r w:rsidRPr="008F73D4">
        <w:rPr>
          <w:rFonts w:ascii="Arial" w:hAnsi="Arial" w:cs="Arial"/>
          <w:sz w:val="22"/>
          <w:lang w:val="es-ES"/>
        </w:rPr>
        <w:t xml:space="preserve">. </w:t>
      </w:r>
    </w:p>
    <w:p w14:paraId="4AB187A0" w14:textId="77777777" w:rsidR="00991668" w:rsidRPr="008F73D4" w:rsidRDefault="00991668" w:rsidP="00991668">
      <w:pPr>
        <w:spacing w:before="120" w:after="120" w:line="276" w:lineRule="auto"/>
        <w:ind w:firstLine="708"/>
        <w:jc w:val="both"/>
        <w:rPr>
          <w:rFonts w:ascii="Arial" w:hAnsi="Arial" w:cs="Arial"/>
          <w:sz w:val="22"/>
          <w:lang w:val="es-ES"/>
        </w:rPr>
      </w:pPr>
      <w:r w:rsidRPr="008F73D4">
        <w:rPr>
          <w:rFonts w:ascii="Arial" w:hAnsi="Arial" w:cs="Arial"/>
          <w:sz w:val="22"/>
          <w:lang w:val="es-ES"/>
        </w:rPr>
        <w:lastRenderedPageBreak/>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 En este sentido, la ley señala que para presentar la oferta las personas jurídicas deben acreditar el requisito señalado anteriormente, es decir, el pago al sistema de seguridad social de sus empleados.</w:t>
      </w:r>
    </w:p>
    <w:p w14:paraId="17ACF106" w14:textId="77777777" w:rsidR="00991668" w:rsidRPr="008F73D4" w:rsidRDefault="00991668" w:rsidP="00991668">
      <w:pPr>
        <w:spacing w:before="120" w:after="120" w:line="276" w:lineRule="auto"/>
        <w:ind w:firstLine="708"/>
        <w:jc w:val="both"/>
        <w:rPr>
          <w:rFonts w:ascii="Arial" w:hAnsi="Arial" w:cs="Arial"/>
          <w:sz w:val="22"/>
          <w:lang w:val="es-ES"/>
        </w:rPr>
      </w:pPr>
      <w:r w:rsidRPr="008F73D4">
        <w:rPr>
          <w:rFonts w:ascii="Arial" w:hAnsi="Arial" w:cs="Arial"/>
          <w:sz w:val="22"/>
          <w:lang w:val="es-ES"/>
        </w:rPr>
        <w:t>Esta norma fue analizada por el Consejo de Estado, quien consideró que el artículo 50 de la Ley 789 de 2002 tiene por objeto evitar la evasión por parte de los empleadores de las cotizaciones al Sistema de Seguridad Social Integral y de los aportes parafiscales; y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8F73D4">
        <w:rPr>
          <w:rStyle w:val="Refdenotaalpie"/>
          <w:rFonts w:ascii="Arial" w:hAnsi="Arial" w:cs="Arial"/>
          <w:sz w:val="22"/>
          <w:lang w:val="es-ES"/>
        </w:rPr>
        <w:footnoteReference w:id="14"/>
      </w:r>
      <w:r w:rsidRPr="008F73D4">
        <w:rPr>
          <w:rFonts w:ascii="Arial" w:hAnsi="Arial" w:cs="Arial"/>
          <w:sz w:val="22"/>
          <w:lang w:val="es-ES"/>
        </w:rPr>
        <w:t xml:space="preserve">. Por lo tanto, la jurisprudencia reiteró la necesidad de que las entidades estatales, durante la ejecución del contrato, verifiquen el cumplimiento de las obligaciones del Sistema de Seguridad Social Integral por parte de los contratistas. </w:t>
      </w:r>
    </w:p>
    <w:p w14:paraId="60A73C3C" w14:textId="77777777" w:rsidR="00991668" w:rsidRPr="008F73D4" w:rsidRDefault="00991668" w:rsidP="00991668">
      <w:pPr>
        <w:spacing w:line="276" w:lineRule="auto"/>
        <w:ind w:firstLine="708"/>
        <w:jc w:val="both"/>
        <w:rPr>
          <w:rFonts w:ascii="Arial" w:hAnsi="Arial" w:cs="Arial"/>
          <w:sz w:val="22"/>
          <w:lang w:val="es-ES"/>
        </w:rPr>
      </w:pPr>
      <w:r w:rsidRPr="008F73D4">
        <w:rPr>
          <w:rFonts w:ascii="Arial" w:hAnsi="Arial" w:cs="Arial"/>
          <w:sz w:val="22"/>
          <w:lang w:val="es-ES"/>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0ABEA776" w14:textId="77777777" w:rsidR="00991668" w:rsidRPr="008F73D4" w:rsidRDefault="00991668" w:rsidP="00991668">
      <w:pPr>
        <w:pStyle w:val="NormalWeb"/>
        <w:spacing w:before="0" w:beforeAutospacing="0" w:after="0" w:afterAutospacing="0"/>
        <w:ind w:right="709"/>
        <w:jc w:val="both"/>
        <w:rPr>
          <w:rFonts w:ascii="Arial" w:hAnsi="Arial" w:cs="Arial"/>
          <w:sz w:val="21"/>
          <w:szCs w:val="21"/>
          <w:lang w:val="es-ES"/>
        </w:rPr>
      </w:pPr>
    </w:p>
    <w:p w14:paraId="4F2B0F4A" w14:textId="77777777" w:rsidR="00991668" w:rsidRPr="008F73D4" w:rsidRDefault="00991668" w:rsidP="00991668">
      <w:pPr>
        <w:pStyle w:val="NormalWeb"/>
        <w:spacing w:before="0" w:beforeAutospacing="0" w:after="0" w:afterAutospacing="0"/>
        <w:ind w:left="709" w:right="709"/>
        <w:jc w:val="both"/>
        <w:rPr>
          <w:rFonts w:ascii="Arial" w:hAnsi="Arial" w:cs="Arial"/>
          <w:sz w:val="21"/>
          <w:szCs w:val="21"/>
          <w:lang w:val="es-ES"/>
        </w:rPr>
      </w:pPr>
      <w:r w:rsidRPr="008F73D4">
        <w:rPr>
          <w:rFonts w:ascii="Arial" w:hAnsi="Arial" w:cs="Arial"/>
          <w:sz w:val="21"/>
          <w:szCs w:val="21"/>
          <w:lang w:val="es-ES"/>
        </w:rPr>
        <w:t>[…]</w:t>
      </w:r>
    </w:p>
    <w:p w14:paraId="41F67747" w14:textId="77777777" w:rsidR="00991668" w:rsidRPr="008F73D4" w:rsidRDefault="00991668" w:rsidP="00991668">
      <w:pPr>
        <w:pStyle w:val="NormalWeb"/>
        <w:tabs>
          <w:tab w:val="left" w:pos="7938"/>
          <w:tab w:val="left" w:pos="8080"/>
        </w:tabs>
        <w:spacing w:before="0" w:beforeAutospacing="0" w:after="0" w:afterAutospacing="0"/>
        <w:ind w:left="709" w:right="709"/>
        <w:jc w:val="both"/>
        <w:rPr>
          <w:rFonts w:ascii="Arial" w:hAnsi="Arial" w:cs="Arial"/>
          <w:sz w:val="21"/>
          <w:szCs w:val="21"/>
          <w:lang w:val="es-ES"/>
        </w:rPr>
      </w:pPr>
      <w:r w:rsidRPr="008F73D4">
        <w:rPr>
          <w:rFonts w:ascii="Arial" w:hAnsi="Arial" w:cs="Arial"/>
          <w:sz w:val="21"/>
          <w:szCs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74AC020" w14:textId="77777777" w:rsidR="00991668" w:rsidRPr="008F73D4" w:rsidRDefault="00991668" w:rsidP="00991668">
      <w:pPr>
        <w:pStyle w:val="NormalWeb"/>
        <w:tabs>
          <w:tab w:val="left" w:pos="7938"/>
          <w:tab w:val="left" w:pos="8080"/>
        </w:tabs>
        <w:spacing w:before="0" w:beforeAutospacing="0" w:after="0" w:afterAutospacing="0"/>
        <w:ind w:left="709" w:right="709"/>
        <w:jc w:val="both"/>
        <w:rPr>
          <w:rFonts w:ascii="Arial" w:hAnsi="Arial" w:cs="Arial"/>
          <w:sz w:val="21"/>
          <w:szCs w:val="21"/>
          <w:lang w:val="es-ES"/>
        </w:rPr>
      </w:pPr>
    </w:p>
    <w:p w14:paraId="79B96396" w14:textId="77777777" w:rsidR="00991668" w:rsidRPr="008F73D4" w:rsidRDefault="00991668" w:rsidP="00991668">
      <w:pPr>
        <w:pStyle w:val="NormalWeb"/>
        <w:spacing w:before="0" w:beforeAutospacing="0" w:after="0" w:afterAutospacing="0"/>
        <w:ind w:left="709" w:right="709"/>
        <w:jc w:val="both"/>
        <w:rPr>
          <w:rFonts w:ascii="Arial" w:hAnsi="Arial" w:cs="Arial"/>
          <w:sz w:val="21"/>
          <w:szCs w:val="21"/>
          <w:lang w:val="es-ES"/>
        </w:rPr>
      </w:pPr>
      <w:r w:rsidRPr="008F73D4">
        <w:rPr>
          <w:rStyle w:val="baj"/>
          <w:rFonts w:ascii="Arial" w:hAnsi="Arial" w:cs="Arial"/>
          <w:bCs/>
          <w:sz w:val="21"/>
          <w:szCs w:val="21"/>
          <w:lang w:val="es-ES"/>
        </w:rPr>
        <w:t>Parágrafo 1.</w:t>
      </w:r>
      <w:r w:rsidRPr="008F73D4">
        <w:rPr>
          <w:rFonts w:ascii="Arial" w:hAnsi="Arial" w:cs="Arial"/>
          <w:sz w:val="21"/>
          <w:szCs w:val="21"/>
          <w:lang w:val="es-ES"/>
        </w:rPr>
        <w:t> El requisito establecido en la parte final del inciso segundo de este artículo deberá acreditarse para la realización de cada pago derivado del contrato estatal.</w:t>
      </w:r>
    </w:p>
    <w:p w14:paraId="582E7B22" w14:textId="77777777" w:rsidR="00991668" w:rsidRPr="008F73D4" w:rsidRDefault="00991668" w:rsidP="00991668">
      <w:pPr>
        <w:pStyle w:val="NormalWeb"/>
        <w:spacing w:before="0" w:beforeAutospacing="0" w:after="0" w:afterAutospacing="0"/>
        <w:ind w:left="709" w:right="709"/>
        <w:jc w:val="both"/>
        <w:rPr>
          <w:rFonts w:ascii="Arial" w:hAnsi="Arial" w:cs="Arial"/>
          <w:sz w:val="21"/>
          <w:szCs w:val="21"/>
          <w:lang w:val="es-ES"/>
        </w:rPr>
      </w:pPr>
    </w:p>
    <w:p w14:paraId="0A36BB1F" w14:textId="77777777" w:rsidR="00991668" w:rsidRPr="008F73D4" w:rsidRDefault="00991668" w:rsidP="00991668">
      <w:pPr>
        <w:pStyle w:val="NormalWeb"/>
        <w:spacing w:before="0" w:beforeAutospacing="0" w:after="0" w:afterAutospacing="0"/>
        <w:ind w:left="709" w:right="709"/>
        <w:jc w:val="both"/>
        <w:rPr>
          <w:rFonts w:ascii="Arial" w:hAnsi="Arial" w:cs="Arial"/>
          <w:sz w:val="21"/>
          <w:szCs w:val="21"/>
          <w:lang w:val="es-ES"/>
        </w:rPr>
      </w:pPr>
      <w:r w:rsidRPr="008F73D4">
        <w:rPr>
          <w:rFonts w:ascii="Arial" w:hAnsi="Arial" w:cs="Arial"/>
          <w:sz w:val="21"/>
          <w:szCs w:val="21"/>
          <w:lang w:val="es-ES"/>
        </w:rPr>
        <w:t>El servidor público que sin justa causa no verifique el pago de los aportes a que se refiere el presente artículo, incurrirá en causal de mala conducta, que será sancionada con arreglo al régimen disciplinario vigente.</w:t>
      </w:r>
    </w:p>
    <w:p w14:paraId="70B539B9" w14:textId="77777777" w:rsidR="00991668" w:rsidRPr="008F73D4" w:rsidRDefault="00991668" w:rsidP="00991668">
      <w:pPr>
        <w:spacing w:line="276" w:lineRule="auto"/>
        <w:ind w:firstLine="709"/>
        <w:jc w:val="both"/>
        <w:rPr>
          <w:rFonts w:ascii="Arial" w:hAnsi="Arial" w:cs="Arial"/>
          <w:sz w:val="22"/>
          <w:lang w:val="es-ES"/>
        </w:rPr>
      </w:pPr>
    </w:p>
    <w:p w14:paraId="73746783" w14:textId="77777777" w:rsidR="00991668" w:rsidRPr="008F73D4" w:rsidRDefault="00991668" w:rsidP="00991668">
      <w:pPr>
        <w:spacing w:line="276" w:lineRule="auto"/>
        <w:ind w:firstLine="709"/>
        <w:jc w:val="both"/>
        <w:rPr>
          <w:rFonts w:ascii="Arial" w:hAnsi="Arial" w:cs="Arial"/>
          <w:sz w:val="22"/>
          <w:lang w:val="es-ES"/>
        </w:rPr>
      </w:pPr>
      <w:r w:rsidRPr="008F73D4">
        <w:rPr>
          <w:rFonts w:ascii="Arial" w:hAnsi="Arial" w:cs="Arial"/>
          <w:sz w:val="22"/>
          <w:lang w:val="es-ES"/>
        </w:rPr>
        <w:t>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w:t>
      </w:r>
    </w:p>
    <w:p w14:paraId="53B40FCA" w14:textId="77777777" w:rsidR="00991668" w:rsidRPr="008F73D4" w:rsidRDefault="00991668" w:rsidP="00991668">
      <w:pPr>
        <w:spacing w:before="120" w:after="120" w:line="276" w:lineRule="auto"/>
        <w:ind w:firstLine="709"/>
        <w:jc w:val="both"/>
        <w:rPr>
          <w:rFonts w:ascii="Arial" w:hAnsi="Arial" w:cs="Arial"/>
          <w:sz w:val="22"/>
          <w:lang w:val="es-ES"/>
        </w:rPr>
      </w:pPr>
      <w:r w:rsidRPr="008F73D4">
        <w:rPr>
          <w:rFonts w:ascii="Arial" w:hAnsi="Arial" w:cs="Arial"/>
          <w:sz w:val="22"/>
          <w:lang w:val="es-ES"/>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w:t>
      </w:r>
    </w:p>
    <w:p w14:paraId="3DCE9452" w14:textId="77777777" w:rsidR="00991668" w:rsidRPr="008F73D4" w:rsidRDefault="00991668" w:rsidP="00991668">
      <w:pPr>
        <w:spacing w:before="120" w:after="120" w:line="276" w:lineRule="auto"/>
        <w:ind w:firstLine="709"/>
        <w:jc w:val="both"/>
        <w:rPr>
          <w:rFonts w:ascii="Arial" w:hAnsi="Arial" w:cs="Arial"/>
          <w:sz w:val="22"/>
          <w:lang w:val="es-ES"/>
        </w:rPr>
      </w:pPr>
      <w:r w:rsidRPr="008F73D4">
        <w:rPr>
          <w:rFonts w:ascii="Arial" w:hAnsi="Arial" w:cs="Arial"/>
          <w:sz w:val="22"/>
          <w:lang w:val="es-ES"/>
        </w:rPr>
        <w:t xml:space="preserve">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 si a ello hubiere lugar. </w:t>
      </w:r>
    </w:p>
    <w:p w14:paraId="391CE2C2" w14:textId="77777777" w:rsidR="00991668" w:rsidRPr="008F73D4" w:rsidRDefault="00991668" w:rsidP="00991668">
      <w:pPr>
        <w:spacing w:before="120" w:after="120" w:line="276" w:lineRule="auto"/>
        <w:ind w:firstLine="709"/>
        <w:jc w:val="both"/>
        <w:rPr>
          <w:rFonts w:ascii="Arial" w:hAnsi="Arial" w:cs="Arial"/>
          <w:sz w:val="22"/>
          <w:lang w:val="es-ES"/>
        </w:rPr>
      </w:pPr>
      <w:r w:rsidRPr="008F73D4">
        <w:rPr>
          <w:rFonts w:ascii="Arial" w:hAnsi="Arial" w:cs="Arial"/>
          <w:sz w:val="22"/>
          <w:lang w:val="es-ES"/>
        </w:rPr>
        <w:t xml:space="preserve">Asimismo,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24340591" w14:textId="41159B30" w:rsidR="00991668" w:rsidRPr="008F73D4" w:rsidRDefault="00991668" w:rsidP="00991668">
      <w:pPr>
        <w:spacing w:after="120" w:line="276" w:lineRule="auto"/>
        <w:ind w:firstLine="709"/>
        <w:jc w:val="both"/>
        <w:rPr>
          <w:rFonts w:ascii="Arial" w:hAnsi="Arial" w:cs="Arial"/>
          <w:sz w:val="22"/>
          <w:lang w:val="es-ES"/>
        </w:rPr>
      </w:pPr>
      <w:r w:rsidRPr="008F73D4">
        <w:rPr>
          <w:rFonts w:ascii="Arial" w:hAnsi="Arial" w:cs="Arial"/>
          <w:sz w:val="22"/>
          <w:lang w:val="es-ES"/>
        </w:rPr>
        <w:t xml:space="preserve">No cabe duda, pues,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 conforme a la naturaleza jurídica de la persona con quien se va a realizar el contrato. </w:t>
      </w:r>
    </w:p>
    <w:p w14:paraId="7AC66463" w14:textId="77777777" w:rsidR="00991668" w:rsidRPr="008F73D4" w:rsidRDefault="00991668" w:rsidP="00991668">
      <w:pPr>
        <w:spacing w:before="120" w:line="276" w:lineRule="auto"/>
        <w:jc w:val="both"/>
        <w:rPr>
          <w:rFonts w:ascii="Arial" w:eastAsia="Calibri" w:hAnsi="Arial" w:cs="Arial"/>
          <w:bCs/>
          <w:color w:val="000000" w:themeColor="text1"/>
          <w:sz w:val="22"/>
          <w:lang w:val="es-ES"/>
        </w:rPr>
      </w:pPr>
      <w:r w:rsidRPr="008F73D4">
        <w:rPr>
          <w:rFonts w:ascii="Arial" w:eastAsia="Calibri" w:hAnsi="Arial" w:cs="Arial"/>
          <w:bCs/>
          <w:color w:val="000000" w:themeColor="text1"/>
          <w:sz w:val="22"/>
          <w:lang w:val="es-ES"/>
        </w:rPr>
        <w:lastRenderedPageBreak/>
        <w:tab/>
        <w:t xml:space="preserve">Como se observa, en lo que tiene que ver con la realización de cada pago derivado del contrato estatal, el ordenamiento jurídico únicamente le impone a las entidades el deber de verificar que el contratista se encuentre </w:t>
      </w:r>
      <w:r w:rsidRPr="008F73D4">
        <w:rPr>
          <w:rFonts w:ascii="Arial" w:eastAsia="Times New Roman" w:hAnsi="Arial" w:cs="Arial"/>
          <w:color w:val="000000"/>
          <w:sz w:val="22"/>
          <w:shd w:val="clear" w:color="auto" w:fill="FFFFFF"/>
          <w:lang w:eastAsia="es-ES_tradnl"/>
        </w:rPr>
        <w:t>al día en el pago de los aportes parafiscales relativos al Sistema de Seguridad Social Integral, así como los propios del Sena, ICBF y Cajas de Compensación Familiar, cuando corresponda</w:t>
      </w:r>
      <w:r w:rsidRPr="008F73D4">
        <w:rPr>
          <w:rFonts w:ascii="Arial" w:eastAsia="Calibri" w:hAnsi="Arial" w:cs="Arial"/>
          <w:bCs/>
          <w:color w:val="000000" w:themeColor="text1"/>
          <w:sz w:val="22"/>
          <w:lang w:val="es-ES"/>
        </w:rPr>
        <w:t xml:space="preserve">; según el artículo </w:t>
      </w:r>
      <w:r w:rsidRPr="008F73D4">
        <w:rPr>
          <w:rFonts w:ascii="Arial" w:hAnsi="Arial" w:cs="Arial"/>
          <w:sz w:val="22"/>
          <w:lang w:val="es-ES"/>
        </w:rPr>
        <w:t>50 de la Ley 789 de 2002, y en los términos del artículo 244 de la Ley 1955 de 2019, esto es, mes vencido.</w:t>
      </w:r>
    </w:p>
    <w:p w14:paraId="28062C91" w14:textId="77777777" w:rsidR="00991668" w:rsidRPr="008F73D4" w:rsidRDefault="00991668" w:rsidP="00991668">
      <w:pPr>
        <w:spacing w:before="120" w:line="276" w:lineRule="auto"/>
        <w:ind w:firstLine="709"/>
        <w:jc w:val="both"/>
        <w:rPr>
          <w:rFonts w:ascii="Arial" w:eastAsia="Calibri" w:hAnsi="Arial" w:cs="Arial"/>
          <w:bCs/>
          <w:color w:val="000000" w:themeColor="text1"/>
          <w:sz w:val="22"/>
          <w:lang w:val="es-ES"/>
        </w:rPr>
      </w:pPr>
      <w:r w:rsidRPr="008F73D4">
        <w:rPr>
          <w:rFonts w:ascii="Arial" w:eastAsia="Calibri" w:hAnsi="Arial" w:cs="Arial"/>
          <w:bCs/>
          <w:color w:val="000000" w:themeColor="text1"/>
          <w:sz w:val="22"/>
          <w:lang w:val="es-ES"/>
        </w:rPr>
        <w:t xml:space="preserve">Con todo, nada obsta para que la partes establezcan algo diferente en el contrato, particularmente en la cláusula relacionada con la forma de pago. En este evento, será obligatorio aportar los documentos que las partes acuerden y cumplir con los requisitos que estas determinen, pero no porque la ley así lo disponga, sino porque, como se dijo, las mismas partes así lo acordaron, en otras palabras, en virtud de la autonomía de la voluntad. </w:t>
      </w:r>
    </w:p>
    <w:p w14:paraId="0FE8813C" w14:textId="77777777" w:rsidR="00991668" w:rsidRPr="008F73D4" w:rsidRDefault="00991668" w:rsidP="00991668">
      <w:pPr>
        <w:spacing w:before="120" w:line="276" w:lineRule="auto"/>
        <w:ind w:firstLine="709"/>
        <w:jc w:val="both"/>
        <w:rPr>
          <w:rFonts w:ascii="Arial" w:eastAsia="Calibri" w:hAnsi="Arial" w:cs="Arial"/>
          <w:bCs/>
          <w:color w:val="000000" w:themeColor="text1"/>
          <w:sz w:val="22"/>
          <w:lang w:val="es-ES"/>
        </w:rPr>
      </w:pPr>
      <w:r w:rsidRPr="008F73D4">
        <w:rPr>
          <w:rFonts w:ascii="Arial" w:eastAsia="Calibri" w:hAnsi="Arial" w:cs="Arial"/>
          <w:bCs/>
          <w:color w:val="000000" w:themeColor="text1"/>
          <w:sz w:val="22"/>
          <w:lang w:val="es-ES"/>
        </w:rPr>
        <w:t>Puede pasar, por ejemplo, que las partes acuerden que el contratista aporte  «</w:t>
      </w:r>
      <w:r w:rsidRPr="008F73D4">
        <w:rPr>
          <w:lang w:val="es-ES"/>
        </w:rPr>
        <w:t xml:space="preserve">[…] </w:t>
      </w:r>
      <w:r w:rsidRPr="008F73D4">
        <w:rPr>
          <w:rFonts w:ascii="Arial" w:eastAsia="Calibri" w:hAnsi="Arial" w:cs="Arial"/>
          <w:bCs/>
          <w:color w:val="000000" w:themeColor="text1"/>
          <w:sz w:val="22"/>
          <w:lang w:val="es-ES"/>
        </w:rPr>
        <w:t>una certificación de no reclamaciones, investigaciones o sanciones laborales expedidas por […]</w:t>
      </w:r>
      <w:r w:rsidRPr="008F73D4">
        <w:rPr>
          <w:rStyle w:val="Refdenotaalpie"/>
          <w:rFonts w:ascii="Arial" w:eastAsia="Calibri" w:hAnsi="Arial" w:cs="Arial"/>
          <w:bCs/>
          <w:color w:val="000000" w:themeColor="text1"/>
          <w:sz w:val="22"/>
          <w:lang w:val="es-ES"/>
        </w:rPr>
        <w:footnoteReference w:id="15"/>
      </w:r>
      <w:r w:rsidRPr="008F73D4">
        <w:rPr>
          <w:rFonts w:ascii="Arial" w:eastAsia="Calibri" w:hAnsi="Arial" w:cs="Arial"/>
          <w:bCs/>
          <w:color w:val="000000" w:themeColor="text1"/>
          <w:sz w:val="22"/>
          <w:lang w:val="es-ES"/>
        </w:rPr>
        <w:t xml:space="preserve"> el Ministerio del Trabajo. Pero si las partes no pactan al respecto, no existe una norma que imponga el deber legal de exigir ese tipo de documentación. Por el contrario, el numeral 15 del artículo 25 de la Ley 80 de 1993, prohíbe a las autoridades exigir «[…] sellos, autenticaciones, documentos originales o autenticados, reconocimientos de firmas, traducciones oficiales, ni cualquier otra clase de formalidades o exigencias rituales […]». </w:t>
      </w:r>
    </w:p>
    <w:p w14:paraId="65B28401" w14:textId="3EC8FFC4" w:rsidR="00991668" w:rsidRPr="008F73D4" w:rsidRDefault="00991668" w:rsidP="00991668">
      <w:pPr>
        <w:spacing w:before="120" w:line="276" w:lineRule="auto"/>
        <w:ind w:firstLine="709"/>
        <w:jc w:val="both"/>
        <w:rPr>
          <w:rFonts w:ascii="Arial" w:eastAsia="Calibri" w:hAnsi="Arial" w:cs="Arial"/>
          <w:bCs/>
          <w:color w:val="000000" w:themeColor="text1"/>
          <w:sz w:val="22"/>
          <w:lang w:val="es-ES"/>
        </w:rPr>
      </w:pPr>
      <w:r w:rsidRPr="008F73D4">
        <w:rPr>
          <w:rFonts w:ascii="Arial" w:eastAsia="Calibri" w:hAnsi="Arial" w:cs="Arial"/>
          <w:bCs/>
          <w:color w:val="000000" w:themeColor="text1"/>
          <w:sz w:val="22"/>
          <w:lang w:val="es-ES"/>
        </w:rPr>
        <w:t>Al respecto, Colombia Compra Eficiente considera necesario aclarar que</w:t>
      </w:r>
      <w:r w:rsidR="004E5F22">
        <w:rPr>
          <w:rFonts w:ascii="Arial" w:eastAsia="Calibri" w:hAnsi="Arial" w:cs="Arial"/>
          <w:bCs/>
          <w:color w:val="000000" w:themeColor="text1"/>
          <w:sz w:val="22"/>
          <w:lang w:val="es-ES"/>
        </w:rPr>
        <w:t xml:space="preserve">, en atención a lo establecido en </w:t>
      </w:r>
      <w:r w:rsidR="004E5F22" w:rsidRPr="008F73D4">
        <w:rPr>
          <w:rFonts w:ascii="Arial" w:eastAsia="Calibri" w:hAnsi="Arial" w:cs="Arial"/>
          <w:color w:val="000000" w:themeColor="text1"/>
          <w:sz w:val="22"/>
        </w:rPr>
        <w:t>el numeral 8 del artículo 11 y el numeral 5 del artículo 3 del Decreto Ley 4170 de 2011</w:t>
      </w:r>
      <w:r w:rsidR="004E5F22">
        <w:rPr>
          <w:rFonts w:ascii="Arial" w:eastAsia="Calibri" w:hAnsi="Arial" w:cs="Arial"/>
          <w:color w:val="000000" w:themeColor="text1"/>
          <w:sz w:val="22"/>
        </w:rPr>
        <w:t>,</w:t>
      </w:r>
      <w:r w:rsidRPr="008F73D4">
        <w:rPr>
          <w:rFonts w:ascii="Arial" w:eastAsia="Calibri" w:hAnsi="Arial" w:cs="Arial"/>
          <w:bCs/>
          <w:color w:val="000000" w:themeColor="text1"/>
          <w:sz w:val="22"/>
          <w:lang w:val="es-ES"/>
        </w:rPr>
        <w:t xml:space="preserve"> carece de competencia para determinar cuál es la autoridad que debe expedir la certificación o documentos que las partes acuerden o si expedirlo constituye una obligación legal, así como tampoco la tiene para definir si esto le corresponde al Ministerio del Trabajo en la situación expuesta en la consulta </w:t>
      </w:r>
      <w:r w:rsidRPr="008F73D4">
        <w:rPr>
          <w:rFonts w:ascii="Arial" w:eastAsia="Calibri" w:hAnsi="Arial" w:cs="Arial"/>
          <w:bCs/>
          <w:i/>
          <w:color w:val="000000" w:themeColor="text1"/>
          <w:sz w:val="22"/>
          <w:lang w:val="es-ES"/>
        </w:rPr>
        <w:t>sub examine</w:t>
      </w:r>
      <w:r w:rsidRPr="008F73D4">
        <w:rPr>
          <w:rFonts w:ascii="Arial" w:eastAsia="Calibri" w:hAnsi="Arial" w:cs="Arial"/>
          <w:bCs/>
          <w:color w:val="000000" w:themeColor="text1"/>
          <w:sz w:val="22"/>
          <w:lang w:val="es-ES"/>
        </w:rPr>
        <w:t>, menos para establecer si dentro de las obligaciones de este último está la de expedir certificaciones como el que aquí se comenta.</w:t>
      </w:r>
    </w:p>
    <w:p w14:paraId="0C7F16D3" w14:textId="77777777" w:rsidR="00991668" w:rsidRPr="008F73D4" w:rsidRDefault="00991668" w:rsidP="00991668">
      <w:pPr>
        <w:tabs>
          <w:tab w:val="left" w:pos="0"/>
        </w:tabs>
        <w:spacing w:line="276" w:lineRule="auto"/>
        <w:jc w:val="both"/>
        <w:rPr>
          <w:rFonts w:ascii="Arial" w:eastAsia="Calibri" w:hAnsi="Arial" w:cs="Arial"/>
          <w:b/>
          <w:color w:val="000000" w:themeColor="text1"/>
          <w:sz w:val="22"/>
          <w:lang w:val="es-ES"/>
        </w:rPr>
      </w:pPr>
    </w:p>
    <w:p w14:paraId="029B44D1" w14:textId="77777777" w:rsidR="00991668" w:rsidRPr="008F73D4" w:rsidRDefault="00991668" w:rsidP="00991668">
      <w:pPr>
        <w:pStyle w:val="Prrafodelista"/>
        <w:numPr>
          <w:ilvl w:val="0"/>
          <w:numId w:val="8"/>
        </w:numPr>
        <w:tabs>
          <w:tab w:val="left" w:pos="0"/>
        </w:tabs>
        <w:spacing w:line="276" w:lineRule="auto"/>
        <w:ind w:left="360"/>
        <w:jc w:val="both"/>
        <w:rPr>
          <w:rFonts w:ascii="Arial" w:eastAsia="Calibri" w:hAnsi="Arial" w:cs="Arial"/>
          <w:b/>
          <w:color w:val="000000" w:themeColor="text1"/>
          <w:sz w:val="22"/>
          <w:lang w:val="es-ES"/>
        </w:rPr>
      </w:pPr>
      <w:r w:rsidRPr="008F73D4">
        <w:rPr>
          <w:rFonts w:ascii="Arial" w:eastAsia="Calibri" w:hAnsi="Arial" w:cs="Arial"/>
          <w:b/>
          <w:color w:val="000000" w:themeColor="text1"/>
          <w:sz w:val="22"/>
          <w:lang w:val="es-ES"/>
        </w:rPr>
        <w:t xml:space="preserve"> Respuesta </w:t>
      </w:r>
    </w:p>
    <w:p w14:paraId="19ABC731" w14:textId="77777777" w:rsidR="00991668" w:rsidRPr="008F73D4" w:rsidRDefault="00991668" w:rsidP="00991668">
      <w:pPr>
        <w:tabs>
          <w:tab w:val="left" w:pos="0"/>
        </w:tabs>
        <w:spacing w:line="276" w:lineRule="auto"/>
        <w:jc w:val="both"/>
        <w:rPr>
          <w:rFonts w:ascii="Arial" w:eastAsia="Calibri" w:hAnsi="Arial" w:cs="Arial"/>
          <w:color w:val="000000" w:themeColor="text1"/>
          <w:sz w:val="22"/>
          <w:lang w:val="es-ES"/>
        </w:rPr>
      </w:pPr>
    </w:p>
    <w:p w14:paraId="6E055E4B" w14:textId="74EF5D0C" w:rsidR="00991668" w:rsidRPr="008F73D4" w:rsidRDefault="00991668" w:rsidP="00991668">
      <w:pPr>
        <w:spacing w:before="120"/>
        <w:ind w:left="709" w:right="758"/>
        <w:jc w:val="both"/>
        <w:rPr>
          <w:rFonts w:ascii="Arial" w:eastAsia="Calibri" w:hAnsi="Arial" w:cs="Arial"/>
          <w:color w:val="000000" w:themeColor="text1"/>
          <w:sz w:val="22"/>
        </w:rPr>
      </w:pPr>
      <w:r w:rsidRPr="008F73D4">
        <w:rPr>
          <w:rFonts w:ascii="Arial" w:eastAsia="Calibri" w:hAnsi="Arial" w:cs="Arial"/>
          <w:color w:val="000000" w:themeColor="text1"/>
          <w:sz w:val="22"/>
        </w:rPr>
        <w:t>i) «¿La acreditación de una certificación de no reclamaciones, investigaciones o sanciones laborales expedida por este Ministerio a solicitud de un posible proponente se considera un requisito habilitante o en un criterio de desempate en la contratación pública?»</w:t>
      </w:r>
      <w:r w:rsidR="00577637">
        <w:rPr>
          <w:rFonts w:ascii="Arial" w:eastAsia="Calibri" w:hAnsi="Arial" w:cs="Arial"/>
          <w:color w:val="000000" w:themeColor="text1"/>
          <w:sz w:val="22"/>
        </w:rPr>
        <w:t>.</w:t>
      </w:r>
    </w:p>
    <w:p w14:paraId="5EFF5CA1" w14:textId="77777777" w:rsidR="00991668" w:rsidRPr="008F73D4" w:rsidRDefault="00991668" w:rsidP="00991668">
      <w:pPr>
        <w:spacing w:before="120" w:line="276" w:lineRule="auto"/>
        <w:jc w:val="both"/>
        <w:rPr>
          <w:rFonts w:ascii="Arial" w:hAnsi="Arial" w:cs="Arial"/>
          <w:color w:val="000000" w:themeColor="text1"/>
          <w:sz w:val="22"/>
          <w:lang w:val="es-CO"/>
        </w:rPr>
      </w:pPr>
    </w:p>
    <w:p w14:paraId="05917039" w14:textId="39551DC5" w:rsidR="00991668" w:rsidRPr="008F73D4" w:rsidRDefault="00991668" w:rsidP="00991668">
      <w:pPr>
        <w:spacing w:line="276" w:lineRule="auto"/>
        <w:jc w:val="both"/>
        <w:rPr>
          <w:rFonts w:ascii="Arial" w:hAnsi="Arial" w:cs="Arial"/>
          <w:color w:val="000000" w:themeColor="text1"/>
          <w:sz w:val="22"/>
        </w:rPr>
      </w:pPr>
      <w:r w:rsidRPr="008F73D4">
        <w:rPr>
          <w:rFonts w:ascii="Arial" w:hAnsi="Arial" w:cs="Arial"/>
          <w:color w:val="000000" w:themeColor="text1"/>
          <w:sz w:val="22"/>
        </w:rPr>
        <w:t xml:space="preserve">No es posible hacerlo. La Agencia no desconoce que corresponde a las entidades estatales, durante la etapa de planeación del contrato estatal, establecer los requisitos habilitantes y puntuables que exigirán en el pliego de condiciones. Sin embargo, encuentra que esa facultad con la que cuentan las entidades públicas debe ejercerse de forma adecuada y </w:t>
      </w:r>
      <w:r w:rsidRPr="008F73D4">
        <w:rPr>
          <w:rFonts w:ascii="Arial" w:hAnsi="Arial" w:cs="Arial"/>
          <w:color w:val="000000" w:themeColor="text1"/>
          <w:sz w:val="22"/>
        </w:rPr>
        <w:lastRenderedPageBreak/>
        <w:t xml:space="preserve">proporcional, según se deriva de la lectura del artículo 2.2.1.1.1.6.2 del Decreto 1082 de 2015, lo que implica la necesidad de valorar la naturaleza, el valor del contrato, la forma de pago, los </w:t>
      </w:r>
      <w:r w:rsidRPr="008F73D4">
        <w:rPr>
          <w:rFonts w:ascii="Arial" w:hAnsi="Arial" w:cs="Arial"/>
          <w:i/>
          <w:iCs/>
          <w:color w:val="000000" w:themeColor="text1"/>
          <w:sz w:val="22"/>
        </w:rPr>
        <w:t>riesgos</w:t>
      </w:r>
      <w:r w:rsidRPr="008F73D4">
        <w:rPr>
          <w:rFonts w:ascii="Arial" w:hAnsi="Arial" w:cs="Arial"/>
          <w:color w:val="000000" w:themeColor="text1"/>
          <w:sz w:val="22"/>
        </w:rPr>
        <w:t xml:space="preserve"> </w:t>
      </w:r>
      <w:r w:rsidRPr="008F73D4">
        <w:rPr>
          <w:rFonts w:ascii="Arial" w:hAnsi="Arial" w:cs="Arial"/>
          <w:i/>
          <w:iCs/>
          <w:color w:val="000000" w:themeColor="text1"/>
          <w:sz w:val="22"/>
        </w:rPr>
        <w:t>asociados al contrato</w:t>
      </w:r>
      <w:r w:rsidRPr="008F73D4">
        <w:rPr>
          <w:rFonts w:ascii="Arial" w:hAnsi="Arial" w:cs="Arial"/>
          <w:color w:val="000000" w:themeColor="text1"/>
          <w:sz w:val="22"/>
        </w:rPr>
        <w:t xml:space="preserve">, el plazo y la complejidad de ejecución del objeto, aspectos estos que </w:t>
      </w:r>
      <w:r w:rsidRPr="008F73D4">
        <w:rPr>
          <w:rFonts w:ascii="Arial" w:hAnsi="Arial" w:cs="Arial"/>
          <w:i/>
          <w:color w:val="000000" w:themeColor="text1"/>
          <w:sz w:val="22"/>
        </w:rPr>
        <w:t xml:space="preserve">prima facie </w:t>
      </w:r>
      <w:r w:rsidRPr="008F73D4">
        <w:rPr>
          <w:rFonts w:ascii="Arial" w:hAnsi="Arial" w:cs="Arial"/>
          <w:color w:val="000000" w:themeColor="text1"/>
          <w:sz w:val="22"/>
        </w:rPr>
        <w:t xml:space="preserve">no se relacionan con una «una certificación de no reclamaciones, investigaciones o sanciones laborales», pues los requisitos habilitantes tienen como fin primordial medir la aptitud y las condiciones del proponente para ejecutar el contrato estatal. Dicho margen, </w:t>
      </w:r>
      <w:r>
        <w:rPr>
          <w:rFonts w:ascii="Arial" w:hAnsi="Arial" w:cs="Arial"/>
          <w:color w:val="000000" w:themeColor="text1"/>
          <w:sz w:val="22"/>
        </w:rPr>
        <w:t>por otro lado</w:t>
      </w:r>
      <w:r w:rsidRPr="008F73D4">
        <w:rPr>
          <w:rFonts w:ascii="Arial" w:hAnsi="Arial" w:cs="Arial"/>
          <w:color w:val="000000" w:themeColor="text1"/>
          <w:sz w:val="22"/>
        </w:rPr>
        <w:t xml:space="preserve">, encuentra límite en las prohibiciones establecidas </w:t>
      </w:r>
      <w:r>
        <w:rPr>
          <w:rFonts w:ascii="Arial" w:hAnsi="Arial" w:cs="Arial"/>
          <w:color w:val="000000" w:themeColor="text1"/>
          <w:sz w:val="22"/>
        </w:rPr>
        <w:t>en</w:t>
      </w:r>
      <w:r w:rsidRPr="008F73D4">
        <w:rPr>
          <w:rFonts w:ascii="Arial" w:hAnsi="Arial" w:cs="Arial"/>
          <w:color w:val="000000" w:themeColor="text1"/>
          <w:sz w:val="22"/>
        </w:rPr>
        <w:t xml:space="preserve"> el </w:t>
      </w:r>
      <w:r w:rsidRPr="008F73D4">
        <w:rPr>
          <w:rFonts w:ascii="Arial" w:eastAsia="Calibri" w:hAnsi="Arial" w:cs="Arial"/>
          <w:color w:val="000000" w:themeColor="text1"/>
          <w:sz w:val="22"/>
        </w:rPr>
        <w:t>numeral 15 del artículo 25 de la Ley 80 de 1993</w:t>
      </w:r>
      <w:r w:rsidRPr="008F73D4">
        <w:rPr>
          <w:rFonts w:ascii="Arial" w:hAnsi="Arial" w:cs="Arial"/>
          <w:color w:val="000000" w:themeColor="text1"/>
          <w:sz w:val="22"/>
        </w:rPr>
        <w:t>, que establece</w:t>
      </w:r>
      <w:r>
        <w:rPr>
          <w:rFonts w:ascii="Arial" w:hAnsi="Arial" w:cs="Arial"/>
          <w:color w:val="000000" w:themeColor="text1"/>
          <w:sz w:val="22"/>
        </w:rPr>
        <w:t xml:space="preserve"> </w:t>
      </w:r>
      <w:r w:rsidRPr="008F73D4">
        <w:rPr>
          <w:rFonts w:ascii="Arial" w:eastAsia="Calibri" w:hAnsi="Arial" w:cs="Arial"/>
          <w:color w:val="000000" w:themeColor="text1"/>
          <w:sz w:val="22"/>
        </w:rPr>
        <w:t>que «[…] Las autoridades no exigirán sellos, autenticaciones, documentos originales o autenticados, reconocimientos de firmas, traducciones oficiales, ni cualquier otra clase de formalidades o exigencias rituales, salvo cuando en forma perentoria y expresa lo exijan leyes especiales».</w:t>
      </w:r>
      <w:r w:rsidRPr="008F73D4">
        <w:rPr>
          <w:rFonts w:ascii="Arial" w:hAnsi="Arial" w:cs="Arial"/>
          <w:color w:val="000000" w:themeColor="text1"/>
          <w:sz w:val="22"/>
        </w:rPr>
        <w:t xml:space="preserve"> </w:t>
      </w:r>
    </w:p>
    <w:p w14:paraId="378AE51E" w14:textId="77777777" w:rsidR="00991668" w:rsidRPr="008F73D4" w:rsidRDefault="00991668" w:rsidP="00991668">
      <w:pPr>
        <w:spacing w:line="276" w:lineRule="auto"/>
        <w:jc w:val="both"/>
        <w:rPr>
          <w:rFonts w:ascii="Arial" w:eastAsia="Calibri" w:hAnsi="Arial" w:cs="Arial"/>
          <w:bCs/>
          <w:color w:val="000000" w:themeColor="text1"/>
          <w:sz w:val="22"/>
          <w:lang w:val="es-ES"/>
        </w:rPr>
      </w:pPr>
    </w:p>
    <w:p w14:paraId="66848264" w14:textId="77777777" w:rsidR="00991668" w:rsidRPr="008F73D4" w:rsidRDefault="00991668" w:rsidP="00991668">
      <w:pPr>
        <w:spacing w:before="120"/>
        <w:ind w:left="709" w:right="758"/>
        <w:jc w:val="both"/>
        <w:rPr>
          <w:rFonts w:ascii="Arial" w:eastAsia="Calibri" w:hAnsi="Arial" w:cs="Arial"/>
          <w:color w:val="000000" w:themeColor="text1"/>
          <w:sz w:val="22"/>
        </w:rPr>
      </w:pPr>
      <w:r w:rsidRPr="008F73D4">
        <w:rPr>
          <w:rFonts w:ascii="Arial" w:eastAsia="Calibri" w:hAnsi="Arial" w:cs="Arial"/>
          <w:color w:val="000000" w:themeColor="text1"/>
          <w:sz w:val="22"/>
        </w:rPr>
        <w:t>ii) «¿La acreditación de una certificación de no reclamaciones, investigaciones o sanciones laborales expedida por este Ministerio a solicitud de un contratista se considera un requisito necesario para cancelar una factura por los servicios prestados de un contrato, el pago de la última cuenta asociada al contrato y en la liquidación contractual?». Agrega que, si las respuestas a lo interrogantes anteriores son afirmativas, le informemos cuál es «[…] todo el soporte normativo que nos permita aclarar las funciones y responsabilidades de esta cartera ministerial, respecto de dicha circunstancia […]».</w:t>
      </w:r>
    </w:p>
    <w:p w14:paraId="048B3603" w14:textId="77777777" w:rsidR="00991668" w:rsidRPr="008F73D4" w:rsidRDefault="00991668" w:rsidP="00991668">
      <w:pPr>
        <w:spacing w:before="120" w:line="276" w:lineRule="auto"/>
        <w:ind w:firstLine="708"/>
        <w:jc w:val="both"/>
        <w:rPr>
          <w:rFonts w:ascii="Arial" w:eastAsia="Calibri" w:hAnsi="Arial" w:cs="Arial"/>
          <w:bCs/>
          <w:color w:val="000000" w:themeColor="text1"/>
          <w:sz w:val="22"/>
        </w:rPr>
      </w:pPr>
    </w:p>
    <w:p w14:paraId="6BA3B1FB" w14:textId="1163D60D" w:rsidR="00991668" w:rsidRPr="008F73D4" w:rsidRDefault="00991668" w:rsidP="00991668">
      <w:pPr>
        <w:spacing w:before="120" w:line="276" w:lineRule="auto"/>
        <w:jc w:val="both"/>
        <w:rPr>
          <w:rFonts w:ascii="Arial" w:eastAsia="Calibri" w:hAnsi="Arial" w:cs="Arial"/>
          <w:bCs/>
          <w:color w:val="000000" w:themeColor="text1"/>
          <w:sz w:val="22"/>
          <w:lang w:val="es-ES"/>
        </w:rPr>
      </w:pPr>
      <w:r w:rsidRPr="008F73D4">
        <w:rPr>
          <w:rFonts w:ascii="Arial" w:hAnsi="Arial" w:cs="Arial"/>
          <w:sz w:val="22"/>
          <w:lang w:val="es-ES"/>
        </w:rPr>
        <w:t>En</w:t>
      </w:r>
      <w:r w:rsidRPr="008F73D4">
        <w:rPr>
          <w:rFonts w:ascii="Arial" w:eastAsia="Calibri" w:hAnsi="Arial" w:cs="Arial"/>
          <w:bCs/>
          <w:color w:val="000000" w:themeColor="text1"/>
          <w:sz w:val="22"/>
          <w:lang w:val="es-ES"/>
        </w:rPr>
        <w:t xml:space="preserve"> lo que tiene que ver con la realización de los pagos derivados del contrato estatal, el ordenamiento jurídico le impone a las entidades el deber de verificar que el contratista se encuentre </w:t>
      </w:r>
      <w:r w:rsidRPr="008F73D4">
        <w:rPr>
          <w:rFonts w:ascii="Arial" w:eastAsia="Times New Roman" w:hAnsi="Arial" w:cs="Arial"/>
          <w:color w:val="000000"/>
          <w:sz w:val="22"/>
          <w:shd w:val="clear" w:color="auto" w:fill="FFFFFF"/>
          <w:lang w:eastAsia="es-ES_tradnl"/>
        </w:rPr>
        <w:t>al día con los aportes parafiscales relativos al Sistema de Seguridad Social Integral, así como los propios del Sena, ICBF y Cajas de Compensación Familiar, cuando corresponda</w:t>
      </w:r>
      <w:r w:rsidRPr="008F73D4">
        <w:rPr>
          <w:rFonts w:ascii="Arial" w:hAnsi="Arial" w:cs="Arial"/>
          <w:sz w:val="22"/>
          <w:lang w:val="es-ES"/>
        </w:rPr>
        <w:t>, y en los términos del artículo 244 de la Ley 1955 de 2019, esto es, mes vencido.</w:t>
      </w:r>
    </w:p>
    <w:p w14:paraId="01EFE06D" w14:textId="77777777" w:rsidR="00991668" w:rsidRPr="008F73D4" w:rsidRDefault="00991668" w:rsidP="00991668">
      <w:pPr>
        <w:spacing w:before="120" w:line="276" w:lineRule="auto"/>
        <w:ind w:firstLine="709"/>
        <w:jc w:val="both"/>
        <w:rPr>
          <w:rFonts w:ascii="Arial" w:eastAsia="Calibri" w:hAnsi="Arial" w:cs="Arial"/>
          <w:bCs/>
          <w:color w:val="000000" w:themeColor="text1"/>
          <w:sz w:val="22"/>
          <w:lang w:val="es-ES"/>
        </w:rPr>
      </w:pPr>
      <w:r w:rsidRPr="008F73D4">
        <w:rPr>
          <w:rFonts w:ascii="Arial" w:eastAsia="Calibri" w:hAnsi="Arial" w:cs="Arial"/>
          <w:bCs/>
          <w:color w:val="000000" w:themeColor="text1"/>
          <w:sz w:val="22"/>
          <w:lang w:val="es-ES"/>
        </w:rPr>
        <w:t xml:space="preserve">Con todo, nada obsta para que la partes establezcan algo diferente en el contrato, particularmente en la cláusula relacionada con la forma de pago. En este evento, será obligatorio aportar los documentos que las partes acuerden y cumplir con los requisitos que estas determinen, pero no porque la ley así lo disponga, sino porque, como se dijo, las mismas partes así lo acordaron, en otras palabras, en virtud de la autonomía de la voluntad. </w:t>
      </w:r>
    </w:p>
    <w:p w14:paraId="6A815AFC" w14:textId="77777777" w:rsidR="00991668" w:rsidRPr="008F73D4" w:rsidRDefault="00991668" w:rsidP="00991668">
      <w:pPr>
        <w:spacing w:before="120" w:line="276" w:lineRule="auto"/>
        <w:ind w:firstLine="709"/>
        <w:jc w:val="both"/>
        <w:rPr>
          <w:rFonts w:ascii="Arial" w:eastAsia="Calibri" w:hAnsi="Arial" w:cs="Arial"/>
          <w:bCs/>
          <w:color w:val="000000" w:themeColor="text1"/>
          <w:sz w:val="22"/>
          <w:lang w:val="es-ES"/>
        </w:rPr>
      </w:pPr>
      <w:r w:rsidRPr="008F73D4">
        <w:rPr>
          <w:rFonts w:ascii="Arial" w:eastAsia="Calibri" w:hAnsi="Arial" w:cs="Arial"/>
          <w:bCs/>
          <w:color w:val="000000" w:themeColor="text1"/>
          <w:sz w:val="22"/>
          <w:lang w:val="es-ES"/>
        </w:rPr>
        <w:t>Puede pasar, entonces, que las partes acuerden que el contratista aporte  «</w:t>
      </w:r>
      <w:r w:rsidRPr="008F73D4">
        <w:rPr>
          <w:lang w:val="es-ES"/>
        </w:rPr>
        <w:t xml:space="preserve">[…] </w:t>
      </w:r>
      <w:r w:rsidRPr="008F73D4">
        <w:rPr>
          <w:rFonts w:ascii="Arial" w:eastAsia="Calibri" w:hAnsi="Arial" w:cs="Arial"/>
          <w:bCs/>
          <w:color w:val="000000" w:themeColor="text1"/>
          <w:sz w:val="22"/>
          <w:lang w:val="es-ES"/>
        </w:rPr>
        <w:t>una certificación de no reclamaciones, investigaciones o sanciones laborales expedidas por […]</w:t>
      </w:r>
      <w:r w:rsidRPr="008F73D4">
        <w:rPr>
          <w:rStyle w:val="Refdenotaalpie"/>
          <w:rFonts w:ascii="Arial" w:eastAsia="Calibri" w:hAnsi="Arial" w:cs="Arial"/>
          <w:bCs/>
          <w:color w:val="000000" w:themeColor="text1"/>
          <w:sz w:val="22"/>
          <w:lang w:val="es-ES"/>
        </w:rPr>
        <w:footnoteReference w:id="16"/>
      </w:r>
      <w:r w:rsidRPr="008F73D4">
        <w:rPr>
          <w:rFonts w:ascii="Arial" w:eastAsia="Calibri" w:hAnsi="Arial" w:cs="Arial"/>
          <w:bCs/>
          <w:color w:val="000000" w:themeColor="text1"/>
          <w:sz w:val="22"/>
          <w:lang w:val="es-ES"/>
        </w:rPr>
        <w:t xml:space="preserve"> el Ministerio del Trabajo. Pero si las partes no pactan al respecto, no existe una norma que imponga el deber legal de exigir ese tipo de documentación. Por el contrario, el numeral 15 del artículo 25 de la Ley 80 de 1993, prohíbe a las autoridades exigir «[…] sellos, </w:t>
      </w:r>
      <w:r w:rsidRPr="008F73D4">
        <w:rPr>
          <w:rFonts w:ascii="Arial" w:eastAsia="Calibri" w:hAnsi="Arial" w:cs="Arial"/>
          <w:bCs/>
          <w:color w:val="000000" w:themeColor="text1"/>
          <w:sz w:val="22"/>
          <w:lang w:val="es-ES"/>
        </w:rPr>
        <w:lastRenderedPageBreak/>
        <w:t xml:space="preserve">autenticaciones, documentos originales o autenticados, reconocimientos de firmas, traducciones oficiales, ni cualquier otra clase de formalidades o exigencias rituales […]». </w:t>
      </w:r>
    </w:p>
    <w:p w14:paraId="7F8C67E3" w14:textId="1EDBFC21" w:rsidR="00991668" w:rsidRPr="008F73D4" w:rsidRDefault="00991668" w:rsidP="00991668">
      <w:pPr>
        <w:spacing w:before="120" w:line="276" w:lineRule="auto"/>
        <w:ind w:firstLine="709"/>
        <w:jc w:val="both"/>
        <w:rPr>
          <w:rFonts w:ascii="Arial" w:eastAsia="Calibri" w:hAnsi="Arial" w:cs="Arial"/>
          <w:bCs/>
          <w:color w:val="000000" w:themeColor="text1"/>
          <w:sz w:val="22"/>
          <w:lang w:val="es-ES"/>
        </w:rPr>
      </w:pPr>
      <w:r w:rsidRPr="008F73D4">
        <w:rPr>
          <w:rFonts w:ascii="Arial" w:eastAsia="Calibri" w:hAnsi="Arial" w:cs="Arial"/>
          <w:bCs/>
          <w:color w:val="000000" w:themeColor="text1"/>
          <w:sz w:val="22"/>
          <w:lang w:val="es-ES"/>
        </w:rPr>
        <w:t xml:space="preserve">Al respecto, Colombia Compra Eficiente considera necesario aclarar </w:t>
      </w:r>
      <w:r w:rsidR="004E5F22" w:rsidRPr="008F73D4">
        <w:rPr>
          <w:rFonts w:ascii="Arial" w:eastAsia="Calibri" w:hAnsi="Arial" w:cs="Arial"/>
          <w:bCs/>
          <w:color w:val="000000" w:themeColor="text1"/>
          <w:sz w:val="22"/>
          <w:lang w:val="es-ES"/>
        </w:rPr>
        <w:t>que</w:t>
      </w:r>
      <w:r w:rsidR="004E5F22">
        <w:rPr>
          <w:rFonts w:ascii="Arial" w:eastAsia="Calibri" w:hAnsi="Arial" w:cs="Arial"/>
          <w:bCs/>
          <w:color w:val="000000" w:themeColor="text1"/>
          <w:sz w:val="22"/>
          <w:lang w:val="es-ES"/>
        </w:rPr>
        <w:t xml:space="preserve">, en atención a lo establecido en </w:t>
      </w:r>
      <w:r w:rsidR="004E5F22" w:rsidRPr="008F73D4">
        <w:rPr>
          <w:rFonts w:ascii="Arial" w:eastAsia="Calibri" w:hAnsi="Arial" w:cs="Arial"/>
          <w:color w:val="000000" w:themeColor="text1"/>
          <w:sz w:val="22"/>
        </w:rPr>
        <w:t>el numeral 8 del artículo 11 y el numeral 5 del artículo 3 del Decreto Ley 4170 de 2011</w:t>
      </w:r>
      <w:r w:rsidR="004E5F22">
        <w:rPr>
          <w:rFonts w:ascii="Arial" w:eastAsia="Calibri" w:hAnsi="Arial" w:cs="Arial"/>
          <w:color w:val="000000" w:themeColor="text1"/>
          <w:sz w:val="22"/>
        </w:rPr>
        <w:t>,</w:t>
      </w:r>
      <w:r w:rsidR="004E5F22" w:rsidRPr="008F73D4">
        <w:rPr>
          <w:rFonts w:ascii="Arial" w:eastAsia="Calibri" w:hAnsi="Arial" w:cs="Arial"/>
          <w:bCs/>
          <w:color w:val="000000" w:themeColor="text1"/>
          <w:sz w:val="22"/>
          <w:lang w:val="es-ES"/>
        </w:rPr>
        <w:t xml:space="preserve"> carece</w:t>
      </w:r>
      <w:r w:rsidRPr="008F73D4">
        <w:rPr>
          <w:rFonts w:ascii="Arial" w:eastAsia="Calibri" w:hAnsi="Arial" w:cs="Arial"/>
          <w:bCs/>
          <w:color w:val="000000" w:themeColor="text1"/>
          <w:sz w:val="22"/>
          <w:lang w:val="es-ES"/>
        </w:rPr>
        <w:t xml:space="preserve"> de competencia para determinar cuál es la autoridad que debe expedir la certificación o documentos que las partes acuerden o si expedirlo constituye una obligación legal, así como tampoco la tiene para definir si esto le corresponde al Ministerio del Trabajo en la situación expuesta en la consulta </w:t>
      </w:r>
      <w:r w:rsidRPr="008F73D4">
        <w:rPr>
          <w:rFonts w:ascii="Arial" w:eastAsia="Calibri" w:hAnsi="Arial" w:cs="Arial"/>
          <w:bCs/>
          <w:i/>
          <w:color w:val="000000" w:themeColor="text1"/>
          <w:sz w:val="22"/>
          <w:lang w:val="es-ES"/>
        </w:rPr>
        <w:t>sub examine</w:t>
      </w:r>
      <w:r w:rsidRPr="008F73D4">
        <w:rPr>
          <w:rFonts w:ascii="Arial" w:eastAsia="Calibri" w:hAnsi="Arial" w:cs="Arial"/>
          <w:bCs/>
          <w:color w:val="000000" w:themeColor="text1"/>
          <w:sz w:val="22"/>
          <w:lang w:val="es-ES"/>
        </w:rPr>
        <w:t>, menos para establecer si dentro de las obligaciones de este último está la de expedir certificaciones como el que aquí se comenta.</w:t>
      </w:r>
    </w:p>
    <w:p w14:paraId="487A675A" w14:textId="77777777" w:rsidR="00991668" w:rsidRPr="008F73D4" w:rsidRDefault="00991668" w:rsidP="00991668">
      <w:pPr>
        <w:spacing w:before="120" w:line="276" w:lineRule="auto"/>
        <w:jc w:val="both"/>
        <w:rPr>
          <w:rFonts w:ascii="Arial" w:hAnsi="Arial" w:cs="Arial"/>
          <w:color w:val="000000" w:themeColor="text1"/>
          <w:sz w:val="22"/>
          <w:lang w:val="es-ES"/>
        </w:rPr>
      </w:pPr>
    </w:p>
    <w:p w14:paraId="1ADBB327" w14:textId="77777777" w:rsidR="00991668" w:rsidRPr="008F73D4" w:rsidRDefault="00991668" w:rsidP="00991668">
      <w:pPr>
        <w:spacing w:before="120" w:line="276" w:lineRule="auto"/>
        <w:jc w:val="both"/>
        <w:rPr>
          <w:rFonts w:ascii="Arial" w:hAnsi="Arial" w:cs="Arial"/>
          <w:color w:val="000000" w:themeColor="text1"/>
          <w:sz w:val="22"/>
        </w:rPr>
      </w:pPr>
      <w:r w:rsidRPr="008F73D4">
        <w:rPr>
          <w:rFonts w:ascii="Arial" w:hAnsi="Arial" w:cs="Arial"/>
          <w:color w:val="000000" w:themeColor="text1"/>
          <w:sz w:val="22"/>
        </w:rPr>
        <w:t>Este concepto tiene el alcance previsto en el artículo 28 del Código de Procedimiento Administrativo y de lo Contencioso Administrativo.</w:t>
      </w:r>
    </w:p>
    <w:p w14:paraId="79748F45" w14:textId="77777777" w:rsidR="00991668" w:rsidRPr="008F73D4" w:rsidRDefault="00991668" w:rsidP="00991668">
      <w:pPr>
        <w:pStyle w:val="NormalWeb"/>
        <w:spacing w:before="0" w:beforeAutospacing="0" w:after="0" w:afterAutospacing="0" w:line="276" w:lineRule="auto"/>
        <w:jc w:val="both"/>
        <w:rPr>
          <w:rFonts w:ascii="Arial" w:hAnsi="Arial" w:cs="Arial"/>
          <w:color w:val="000000" w:themeColor="text1"/>
          <w:sz w:val="22"/>
          <w:szCs w:val="22"/>
          <w:lang w:val="es-MX"/>
        </w:rPr>
      </w:pPr>
    </w:p>
    <w:p w14:paraId="07A93B70" w14:textId="77777777" w:rsidR="00991668" w:rsidRPr="008F73D4" w:rsidRDefault="00991668" w:rsidP="00991668">
      <w:pPr>
        <w:spacing w:line="276" w:lineRule="auto"/>
        <w:rPr>
          <w:rFonts w:ascii="Arial" w:hAnsi="Arial" w:cs="Arial"/>
          <w:color w:val="000000" w:themeColor="text1"/>
          <w:sz w:val="22"/>
          <w:lang w:val="es-ES_tradnl" w:eastAsia="es-CO"/>
        </w:rPr>
      </w:pPr>
      <w:r w:rsidRPr="008F73D4">
        <w:rPr>
          <w:rFonts w:ascii="Arial" w:hAnsi="Arial" w:cs="Arial"/>
          <w:color w:val="000000" w:themeColor="text1"/>
          <w:sz w:val="22"/>
          <w:lang w:val="es-ES_tradnl" w:eastAsia="es-CO"/>
        </w:rPr>
        <w:t>Atentamente,</w:t>
      </w:r>
    </w:p>
    <w:p w14:paraId="0259E46C" w14:textId="77777777" w:rsidR="00991668" w:rsidRPr="008F73D4" w:rsidRDefault="00991668" w:rsidP="00991668">
      <w:pPr>
        <w:spacing w:line="276" w:lineRule="auto"/>
        <w:rPr>
          <w:rFonts w:ascii="Arial" w:hAnsi="Arial" w:cs="Arial"/>
          <w:color w:val="000000" w:themeColor="text1"/>
          <w:sz w:val="18"/>
          <w:szCs w:val="20"/>
          <w:lang w:val="es-ES_tradnl" w:eastAsia="es-CO"/>
        </w:rPr>
      </w:pPr>
    </w:p>
    <w:p w14:paraId="4D9CC792" w14:textId="38956CE6" w:rsidR="00991668" w:rsidRPr="008F73D4" w:rsidRDefault="00451971" w:rsidP="00991668">
      <w:pPr>
        <w:spacing w:line="276" w:lineRule="auto"/>
        <w:jc w:val="center"/>
        <w:rPr>
          <w:rFonts w:ascii="Arial" w:hAnsi="Arial" w:cs="Arial"/>
          <w:color w:val="000000" w:themeColor="text1"/>
          <w:sz w:val="18"/>
          <w:szCs w:val="20"/>
          <w:lang w:val="es-ES_tradnl" w:eastAsia="es-CO"/>
        </w:rPr>
      </w:pPr>
      <w:r>
        <w:rPr>
          <w:noProof/>
          <w:lang w:eastAsia="es-CO"/>
        </w:rPr>
        <w:drawing>
          <wp:inline distT="0" distB="0" distL="0" distR="0" wp14:anchorId="577F93E9" wp14:editId="545A421C">
            <wp:extent cx="2171700" cy="923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71700" cy="923925"/>
                    </a:xfrm>
                    <a:prstGeom prst="rect">
                      <a:avLst/>
                    </a:prstGeom>
                  </pic:spPr>
                </pic:pic>
              </a:graphicData>
            </a:graphic>
          </wp:inline>
        </w:drawing>
      </w:r>
      <w:bookmarkStart w:id="4" w:name="_GoBack"/>
      <w:bookmarkEnd w:id="4"/>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91668" w:rsidRPr="008F73D4" w14:paraId="5E56F9BD" w14:textId="77777777" w:rsidTr="007A03C6">
        <w:trPr>
          <w:trHeight w:val="315"/>
        </w:trPr>
        <w:tc>
          <w:tcPr>
            <w:tcW w:w="812" w:type="dxa"/>
            <w:vAlign w:val="center"/>
            <w:hideMark/>
          </w:tcPr>
          <w:p w14:paraId="12A0F8B2" w14:textId="77777777" w:rsidR="00991668" w:rsidRPr="008F73D4" w:rsidRDefault="00991668" w:rsidP="007A03C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471882D" w14:textId="77777777" w:rsidR="00991668" w:rsidRPr="008F73D4" w:rsidRDefault="00991668" w:rsidP="007A03C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David Castellanos Carreño</w:t>
            </w:r>
          </w:p>
          <w:p w14:paraId="5281F313" w14:textId="77777777" w:rsidR="00991668" w:rsidRPr="008F73D4" w:rsidRDefault="00991668" w:rsidP="007A03C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Contratista de la Subdirección de Gestión Contractual</w:t>
            </w:r>
          </w:p>
        </w:tc>
      </w:tr>
      <w:tr w:rsidR="00991668" w:rsidRPr="008F73D4" w14:paraId="0A91A4D2" w14:textId="77777777" w:rsidTr="007A03C6">
        <w:trPr>
          <w:trHeight w:val="330"/>
        </w:trPr>
        <w:tc>
          <w:tcPr>
            <w:tcW w:w="812" w:type="dxa"/>
            <w:vAlign w:val="center"/>
            <w:hideMark/>
          </w:tcPr>
          <w:p w14:paraId="49B7BFB2" w14:textId="77777777" w:rsidR="00991668" w:rsidRPr="008F73D4" w:rsidRDefault="00991668" w:rsidP="007A03C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941E90E" w14:textId="36488A2A" w:rsidR="00991668" w:rsidRPr="008F73D4" w:rsidRDefault="002D4FE8" w:rsidP="007A03C6">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Cristian Andrés Díaz Díez</w:t>
            </w:r>
          </w:p>
          <w:p w14:paraId="60968C4F" w14:textId="681AA120" w:rsidR="00991668" w:rsidRPr="008F73D4" w:rsidRDefault="002D4FE8" w:rsidP="007A03C6">
            <w:pPr>
              <w:spacing w:line="276" w:lineRule="auto"/>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w:t>
            </w:r>
            <w:r w:rsidR="00991668" w:rsidRPr="008F73D4">
              <w:rPr>
                <w:rFonts w:ascii="Arial" w:hAnsi="Arial" w:cs="Arial"/>
                <w:color w:val="000000" w:themeColor="text1"/>
                <w:sz w:val="16"/>
                <w:szCs w:val="16"/>
                <w:lang w:val="es-ES_tradnl" w:eastAsia="es-ES"/>
              </w:rPr>
              <w:t>Subdirec</w:t>
            </w:r>
            <w:r>
              <w:rPr>
                <w:rFonts w:ascii="Arial" w:hAnsi="Arial" w:cs="Arial"/>
                <w:color w:val="000000" w:themeColor="text1"/>
                <w:sz w:val="16"/>
                <w:szCs w:val="16"/>
                <w:lang w:val="es-ES_tradnl" w:eastAsia="es-ES"/>
              </w:rPr>
              <w:t>ción</w:t>
            </w:r>
            <w:r w:rsidR="00991668" w:rsidRPr="008F73D4">
              <w:rPr>
                <w:rFonts w:ascii="Arial" w:hAnsi="Arial" w:cs="Arial"/>
                <w:color w:val="000000" w:themeColor="text1"/>
                <w:sz w:val="16"/>
                <w:szCs w:val="16"/>
                <w:lang w:val="es-ES_tradnl" w:eastAsia="es-ES"/>
              </w:rPr>
              <w:t xml:space="preserve"> de Gestión Contractual</w:t>
            </w:r>
          </w:p>
        </w:tc>
      </w:tr>
      <w:tr w:rsidR="00991668" w:rsidRPr="000C7C28" w14:paraId="7A8424EA" w14:textId="77777777" w:rsidTr="007A03C6">
        <w:trPr>
          <w:trHeight w:val="300"/>
        </w:trPr>
        <w:tc>
          <w:tcPr>
            <w:tcW w:w="812" w:type="dxa"/>
            <w:vAlign w:val="center"/>
            <w:hideMark/>
          </w:tcPr>
          <w:p w14:paraId="106CB1E8" w14:textId="77777777" w:rsidR="00991668" w:rsidRPr="008F73D4" w:rsidRDefault="00991668" w:rsidP="007A03C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F1CBCD" w14:textId="77777777" w:rsidR="00991668" w:rsidRPr="008F73D4" w:rsidRDefault="00991668" w:rsidP="007A03C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Andrés Ricardo Mancipe González</w:t>
            </w:r>
          </w:p>
          <w:p w14:paraId="3B244BFE" w14:textId="77777777" w:rsidR="00991668" w:rsidRPr="000C7C28" w:rsidRDefault="00991668" w:rsidP="007A03C6">
            <w:pPr>
              <w:spacing w:line="276" w:lineRule="auto"/>
              <w:rPr>
                <w:rFonts w:ascii="Arial" w:hAnsi="Arial" w:cs="Arial"/>
                <w:color w:val="000000" w:themeColor="text1"/>
                <w:sz w:val="16"/>
                <w:szCs w:val="16"/>
                <w:lang w:val="es-ES_tradnl" w:eastAsia="es-ES"/>
              </w:rPr>
            </w:pPr>
            <w:r w:rsidRPr="008F73D4">
              <w:rPr>
                <w:rFonts w:ascii="Arial" w:hAnsi="Arial" w:cs="Arial"/>
                <w:color w:val="000000" w:themeColor="text1"/>
                <w:sz w:val="16"/>
                <w:szCs w:val="16"/>
                <w:lang w:val="es-ES_tradnl" w:eastAsia="es-ES"/>
              </w:rPr>
              <w:t>Subdirector de Gestión Contractual (E)</w:t>
            </w:r>
          </w:p>
        </w:tc>
      </w:tr>
    </w:tbl>
    <w:p w14:paraId="3A891673" w14:textId="77777777" w:rsidR="00991668" w:rsidRPr="008F73D4" w:rsidRDefault="00991668" w:rsidP="00991668">
      <w:pPr>
        <w:pStyle w:val="NormalWeb"/>
        <w:spacing w:before="0" w:beforeAutospacing="0" w:after="0" w:afterAutospacing="0" w:line="276" w:lineRule="auto"/>
        <w:jc w:val="both"/>
        <w:rPr>
          <w:lang w:val="es-MX"/>
        </w:rPr>
      </w:pPr>
    </w:p>
    <w:p w14:paraId="35B56F46" w14:textId="77777777" w:rsidR="00746E08" w:rsidRPr="00991668" w:rsidRDefault="00746E08" w:rsidP="00991668"/>
    <w:sectPr w:rsidR="00746E08" w:rsidRPr="00991668"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CB1F4" w16cex:dateUtc="2020-09-16T20:47:00Z"/>
  <w16cex:commentExtensible w16cex:durableId="230CB32B" w16cex:dateUtc="2020-09-16T20:52:00Z"/>
  <w16cex:commentExtensible w16cex:durableId="230CB36B" w16cex:dateUtc="2020-09-16T20:53:00Z"/>
  <w16cex:commentExtensible w16cex:durableId="230CB39F" w16cex:dateUtc="2020-09-16T20:54:00Z"/>
  <w16cex:commentExtensible w16cex:durableId="230CB41F" w16cex:dateUtc="2020-09-16T20: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98BFC" w14:textId="77777777" w:rsidR="00B557DB" w:rsidRDefault="00B557DB">
      <w:r>
        <w:separator/>
      </w:r>
    </w:p>
  </w:endnote>
  <w:endnote w:type="continuationSeparator" w:id="0">
    <w:p w14:paraId="10BD4AD9" w14:textId="77777777" w:rsidR="00B557DB" w:rsidRDefault="00B55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C5E5B" w14:textId="77777777" w:rsidR="003C103B" w:rsidRDefault="003C103B" w:rsidP="008F73D4">
    <w:pPr>
      <w:pStyle w:val="Sinespaciado"/>
      <w:rPr>
        <w:rFonts w:ascii="Arial" w:hAnsi="Arial" w:cs="Arial"/>
        <w:sz w:val="18"/>
        <w:szCs w:val="18"/>
      </w:rPr>
    </w:pPr>
  </w:p>
  <w:p w14:paraId="7A3785F3" w14:textId="2EF28465" w:rsidR="00821D83" w:rsidRPr="008217B7" w:rsidRDefault="00821D8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Pr>
        <w:rFonts w:ascii="Arial" w:hAnsi="Arial" w:cs="Arial"/>
        <w:b/>
        <w:bCs/>
        <w:noProof/>
        <w:color w:val="7F7F7F" w:themeColor="text1" w:themeTint="80"/>
        <w:sz w:val="16"/>
        <w:szCs w:val="16"/>
      </w:rPr>
      <w:t>23</w:t>
    </w:r>
    <w:r w:rsidRPr="008217B7">
      <w:rPr>
        <w:rFonts w:ascii="Arial" w:hAnsi="Arial" w:cs="Arial"/>
        <w:color w:val="7F7F7F" w:themeColor="text1" w:themeTint="80"/>
        <w:sz w:val="16"/>
        <w:szCs w:val="16"/>
      </w:rPr>
      <w:t xml:space="preserve"> de </w:t>
    </w:r>
    <w:r>
      <w:rPr>
        <w:rFonts w:ascii="Arial" w:hAnsi="Arial" w:cs="Arial"/>
        <w:b/>
        <w:bCs/>
        <w:noProof/>
        <w:color w:val="7F7F7F" w:themeColor="text1" w:themeTint="80"/>
        <w:sz w:val="16"/>
        <w:szCs w:val="16"/>
      </w:rPr>
      <w:t>26</w:t>
    </w:r>
  </w:p>
  <w:p w14:paraId="48FC6A04" w14:textId="5FD1A7C9" w:rsidR="00821D83" w:rsidRDefault="00821D83" w:rsidP="00322937">
    <w:pPr>
      <w:pStyle w:val="Piedepgina"/>
      <w:jc w:val="center"/>
      <w:rPr>
        <w:lang w:val="es-ES"/>
      </w:rPr>
    </w:pPr>
    <w:r>
      <w:rPr>
        <w:noProof/>
        <w:lang w:val="es-ES_tradnl" w:eastAsia="es-ES_tradnl"/>
      </w:rPr>
      <w:drawing>
        <wp:inline distT="0" distB="0" distL="0" distR="0" wp14:anchorId="608B196D" wp14:editId="2B20E202">
          <wp:extent cx="3700130" cy="519139"/>
          <wp:effectExtent l="0" t="0" r="0" b="0"/>
          <wp:docPr id="3937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821D83" w:rsidRPr="007B0854" w:rsidRDefault="00821D83" w:rsidP="00A54903">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FF75EF" w14:textId="77777777" w:rsidR="00B557DB" w:rsidRDefault="00B557DB">
      <w:r>
        <w:separator/>
      </w:r>
    </w:p>
  </w:footnote>
  <w:footnote w:type="continuationSeparator" w:id="0">
    <w:p w14:paraId="7C7710C3" w14:textId="77777777" w:rsidR="00B557DB" w:rsidRDefault="00B557DB">
      <w:r>
        <w:continuationSeparator/>
      </w:r>
    </w:p>
  </w:footnote>
  <w:footnote w:id="1">
    <w:p w14:paraId="2642417E" w14:textId="77777777" w:rsidR="00991668" w:rsidRPr="002772F7" w:rsidRDefault="00991668" w:rsidP="00991668">
      <w:pPr>
        <w:pStyle w:val="Textonotapie"/>
        <w:ind w:firstLine="708"/>
        <w:jc w:val="both"/>
        <w:rPr>
          <w:rFonts w:ascii="Arial" w:hAnsi="Arial" w:cs="Arial"/>
          <w:sz w:val="19"/>
          <w:szCs w:val="19"/>
        </w:rPr>
      </w:pPr>
      <w:r w:rsidRPr="002772F7">
        <w:rPr>
          <w:rStyle w:val="Refdenotaalpie"/>
          <w:rFonts w:ascii="Arial" w:hAnsi="Arial" w:cs="Arial"/>
          <w:sz w:val="19"/>
          <w:szCs w:val="19"/>
        </w:rPr>
        <w:footnoteRef/>
      </w:r>
      <w:r w:rsidRPr="002772F7">
        <w:rPr>
          <w:rFonts w:ascii="Arial" w:hAnsi="Arial" w:cs="Arial"/>
          <w:sz w:val="19"/>
          <w:szCs w:val="19"/>
        </w:rPr>
        <w:t xml:space="preserve"> </w:t>
      </w:r>
      <w:r w:rsidRPr="002772F7">
        <w:rPr>
          <w:rFonts w:ascii="Arial" w:eastAsia="Calibri" w:hAnsi="Arial" w:cs="Arial"/>
          <w:sz w:val="19"/>
          <w:szCs w:val="19"/>
        </w:rPr>
        <w:t>Corte Constitucional. Sentencia C 178 de 1996. M. P. Antonio Barrera Carbonell.</w:t>
      </w:r>
      <w:r w:rsidRPr="002772F7">
        <w:rPr>
          <w:rFonts w:ascii="Arial" w:hAnsi="Arial" w:cs="Arial"/>
          <w:sz w:val="19"/>
          <w:szCs w:val="19"/>
        </w:rPr>
        <w:t xml:space="preserve"> </w:t>
      </w:r>
    </w:p>
    <w:p w14:paraId="56D74E7F" w14:textId="77777777" w:rsidR="00991668" w:rsidRPr="002772F7" w:rsidRDefault="00991668" w:rsidP="00991668">
      <w:pPr>
        <w:pStyle w:val="Textonotapie"/>
        <w:ind w:firstLine="708"/>
        <w:jc w:val="both"/>
        <w:rPr>
          <w:rFonts w:ascii="Arial" w:hAnsi="Arial" w:cs="Arial"/>
          <w:sz w:val="19"/>
          <w:szCs w:val="19"/>
          <w:lang w:val="es-CO"/>
        </w:rPr>
      </w:pPr>
    </w:p>
  </w:footnote>
  <w:footnote w:id="2">
    <w:p w14:paraId="1CEB4DAC" w14:textId="77777777" w:rsidR="00991668" w:rsidRPr="002772F7" w:rsidRDefault="00991668" w:rsidP="00991668">
      <w:pPr>
        <w:pStyle w:val="Textonotapie"/>
        <w:ind w:firstLine="708"/>
        <w:jc w:val="both"/>
        <w:rPr>
          <w:rFonts w:ascii="Arial" w:hAnsi="Arial" w:cs="Arial"/>
          <w:sz w:val="19"/>
          <w:szCs w:val="19"/>
        </w:rPr>
      </w:pPr>
      <w:r w:rsidRPr="002772F7">
        <w:rPr>
          <w:rStyle w:val="Refdenotaalpie"/>
          <w:rFonts w:ascii="Arial" w:hAnsi="Arial" w:cs="Arial"/>
          <w:sz w:val="19"/>
          <w:szCs w:val="19"/>
        </w:rPr>
        <w:footnoteRef/>
      </w:r>
      <w:r w:rsidRPr="002772F7">
        <w:rPr>
          <w:rFonts w:ascii="Arial" w:hAnsi="Arial" w:cs="Arial"/>
          <w:sz w:val="19"/>
          <w:szCs w:val="19"/>
        </w:rPr>
        <w:t xml:space="preserve"> Frente a la naturaleza de las inhabilidades, la Corte Constitucional ha manifestado que son circunstancias previstas en la Constitución Política, o en la ley, que le impiden a una persona ser elegida o designada para desempeñar cargos públicos. Esas circunstancias también pueden tener consecuencias respecto de otras personas que quieran celebrar o hayan celebrados contratos con el Estado. Existen dos tipos de inhabilidades, en primer lugar las que se derivan de la imposición de una condena o de una sanción disciplinaria. Estás inhabilidades son en efecto una sanción como consecuencia de la persona. En segundo lugar, se encuentran las inhabilidades que se desprenden de la posición funcional o desempeño de empleados públicos, en este caso, la inhabilidad no es una sanción sino una medida de protección del interés general en razón a la articulación o afinidad entre las funciones” o actividades a desempeñar en una determinada actividad. Cfr. Corte Constitucional. Sentencia C-353 de 2019. M.P. Jorge Iván Palacio Palacio.</w:t>
      </w:r>
    </w:p>
    <w:p w14:paraId="0A0F6E18" w14:textId="77777777" w:rsidR="00991668" w:rsidRPr="002772F7" w:rsidRDefault="00991668" w:rsidP="00991668">
      <w:pPr>
        <w:pStyle w:val="Textonotapie"/>
        <w:ind w:firstLine="708"/>
        <w:jc w:val="both"/>
        <w:rPr>
          <w:rFonts w:ascii="Arial" w:hAnsi="Arial" w:cs="Arial"/>
          <w:sz w:val="19"/>
          <w:szCs w:val="19"/>
          <w:lang w:val="es-ES"/>
        </w:rPr>
      </w:pPr>
    </w:p>
  </w:footnote>
  <w:footnote w:id="3">
    <w:p w14:paraId="0CFF4173" w14:textId="77777777" w:rsidR="00991668" w:rsidRPr="002772F7" w:rsidRDefault="00991668" w:rsidP="00991668">
      <w:pPr>
        <w:pStyle w:val="Textonotapie"/>
        <w:ind w:firstLine="708"/>
        <w:jc w:val="both"/>
        <w:rPr>
          <w:rFonts w:ascii="Arial" w:eastAsia="Calibri" w:hAnsi="Arial" w:cs="Arial"/>
          <w:sz w:val="19"/>
          <w:szCs w:val="19"/>
        </w:rPr>
      </w:pPr>
      <w:r w:rsidRPr="002772F7">
        <w:rPr>
          <w:rStyle w:val="Refdenotaalpie"/>
          <w:rFonts w:ascii="Arial" w:hAnsi="Arial" w:cs="Arial"/>
          <w:sz w:val="19"/>
          <w:szCs w:val="19"/>
        </w:rPr>
        <w:footnoteRef/>
      </w:r>
      <w:r w:rsidRPr="002772F7">
        <w:rPr>
          <w:rFonts w:ascii="Arial" w:hAnsi="Arial" w:cs="Arial"/>
          <w:sz w:val="19"/>
          <w:szCs w:val="19"/>
        </w:rPr>
        <w:t xml:space="preserve"> </w:t>
      </w:r>
      <w:r w:rsidRPr="002772F7">
        <w:rPr>
          <w:rFonts w:ascii="Arial" w:eastAsia="Calibri" w:hAnsi="Arial" w:cs="Arial"/>
          <w:sz w:val="19"/>
          <w:szCs w:val="19"/>
        </w:rPr>
        <w:t>«Artículo 6o. De la capacidad para contratar. Pueden celebrar contratos con las entidades estatales las personas consideradas legalmente capaces en las disposiciones vigentes».</w:t>
      </w:r>
    </w:p>
    <w:p w14:paraId="377E8B21" w14:textId="77777777" w:rsidR="00991668" w:rsidRPr="002772F7" w:rsidRDefault="00991668" w:rsidP="00991668">
      <w:pPr>
        <w:pStyle w:val="Textonotapie"/>
        <w:ind w:firstLine="708"/>
        <w:jc w:val="both"/>
        <w:rPr>
          <w:rFonts w:ascii="Arial" w:hAnsi="Arial" w:cs="Arial"/>
          <w:sz w:val="19"/>
          <w:szCs w:val="19"/>
          <w:lang w:val="es-CO"/>
        </w:rPr>
      </w:pPr>
    </w:p>
  </w:footnote>
  <w:footnote w:id="4">
    <w:p w14:paraId="0CAC4D3A" w14:textId="77777777" w:rsidR="00991668" w:rsidRPr="002772F7" w:rsidRDefault="00991668" w:rsidP="00991668">
      <w:pPr>
        <w:pStyle w:val="Textonotapie"/>
        <w:ind w:firstLine="708"/>
        <w:jc w:val="both"/>
        <w:rPr>
          <w:rFonts w:ascii="Arial" w:eastAsia="Calibri" w:hAnsi="Arial" w:cs="Arial"/>
          <w:sz w:val="19"/>
          <w:szCs w:val="19"/>
        </w:rPr>
      </w:pPr>
      <w:r w:rsidRPr="002772F7">
        <w:rPr>
          <w:rStyle w:val="Refdenotaalpie"/>
          <w:rFonts w:ascii="Arial" w:hAnsi="Arial" w:cs="Arial"/>
          <w:sz w:val="19"/>
          <w:szCs w:val="19"/>
        </w:rPr>
        <w:footnoteRef/>
      </w:r>
      <w:r w:rsidRPr="002772F7">
        <w:rPr>
          <w:rFonts w:ascii="Arial" w:hAnsi="Arial" w:cs="Arial"/>
          <w:sz w:val="19"/>
          <w:szCs w:val="19"/>
        </w:rPr>
        <w:t xml:space="preserve"> </w:t>
      </w:r>
      <w:r w:rsidRPr="002772F7">
        <w:rPr>
          <w:rFonts w:ascii="Arial" w:eastAsia="Calibri" w:hAnsi="Arial" w:cs="Arial"/>
          <w:sz w:val="19"/>
          <w:szCs w:val="19"/>
        </w:rPr>
        <w:t>Consejo de Estado. Sección Tercera. Subsección B. Providencia del 5 de diciembre de 2016. Expediente: 05001-23-31-000-2003-03663-01 (41.333). C. P. Ramiro Pazos Guerrero. Allí se dijo que «es deber de los servidores evitar que prevalezca el interés particular sobre el general, de manera que para garantizar tal propósito el legislador ha establecido toda una reglamentación para propender por la transparencia en la adopción de decisiones, la cual no solo está contenida en la Ley 80 de 1993 o en los régimen especiales de contratación estatal, sino en otro tipo de normas, verbigracia en los ordenamientos disciplinarios , los que regulan el funcionamiento de los entes territoriales  o la actividad de la administración, etc.</w:t>
      </w:r>
    </w:p>
    <w:p w14:paraId="491B748C" w14:textId="77777777" w:rsidR="00991668" w:rsidRPr="002772F7" w:rsidRDefault="00991668" w:rsidP="00991668">
      <w:pPr>
        <w:pStyle w:val="Textonotapie"/>
        <w:tabs>
          <w:tab w:val="left" w:pos="1892"/>
        </w:tabs>
        <w:ind w:firstLine="708"/>
        <w:jc w:val="both"/>
        <w:rPr>
          <w:rFonts w:ascii="Arial" w:eastAsia="Calibri" w:hAnsi="Arial" w:cs="Arial"/>
          <w:sz w:val="19"/>
          <w:szCs w:val="19"/>
        </w:rPr>
      </w:pPr>
      <w:r w:rsidRPr="002772F7">
        <w:rPr>
          <w:rFonts w:ascii="Arial" w:eastAsia="Calibri" w:hAnsi="Arial" w:cs="Arial"/>
          <w:sz w:val="19"/>
          <w:szCs w:val="19"/>
        </w:rPr>
        <w:tab/>
      </w:r>
    </w:p>
    <w:p w14:paraId="3D530DD4" w14:textId="77777777" w:rsidR="00991668" w:rsidRPr="002772F7" w:rsidRDefault="00991668" w:rsidP="00991668">
      <w:pPr>
        <w:pStyle w:val="Textonotapie"/>
        <w:ind w:firstLine="708"/>
        <w:jc w:val="both"/>
        <w:rPr>
          <w:rFonts w:ascii="Arial" w:eastAsia="Calibri" w:hAnsi="Arial" w:cs="Arial"/>
          <w:sz w:val="19"/>
          <w:szCs w:val="19"/>
        </w:rPr>
      </w:pPr>
      <w:r w:rsidRPr="002772F7">
        <w:rPr>
          <w:rFonts w:ascii="Arial" w:eastAsia="Calibri" w:hAnsi="Arial" w:cs="Arial"/>
          <w:sz w:val="19"/>
          <w:szCs w:val="19"/>
        </w:rPr>
        <w:t>»27.6. No sobra decir que, con toda razón, el Consejo de Estado ha considerado que el régimen de inhabilidades e incompatibilidades se justifica en la prevalencia de los intereses estatales y en los principios y valores de igualdad, moralidad, ética, corrección, probidad, trasparencia e imparcialidad».</w:t>
      </w:r>
    </w:p>
    <w:p w14:paraId="3646583B" w14:textId="77777777" w:rsidR="00991668" w:rsidRPr="002772F7" w:rsidRDefault="00991668" w:rsidP="00991668">
      <w:pPr>
        <w:pStyle w:val="Textonotapie"/>
        <w:ind w:firstLine="708"/>
        <w:jc w:val="both"/>
        <w:rPr>
          <w:rFonts w:ascii="Arial" w:eastAsia="Calibri" w:hAnsi="Arial" w:cs="Arial"/>
          <w:sz w:val="19"/>
          <w:szCs w:val="19"/>
        </w:rPr>
      </w:pPr>
      <w:r w:rsidRPr="002772F7">
        <w:rPr>
          <w:rFonts w:ascii="Arial" w:eastAsia="Calibri" w:hAnsi="Arial" w:cs="Arial"/>
          <w:sz w:val="19"/>
          <w:szCs w:val="19"/>
        </w:rPr>
        <w:t xml:space="preserve"> </w:t>
      </w:r>
    </w:p>
  </w:footnote>
  <w:footnote w:id="5">
    <w:p w14:paraId="43B39D95" w14:textId="77777777" w:rsidR="00991668" w:rsidRPr="002772F7" w:rsidRDefault="00991668" w:rsidP="00991668">
      <w:pPr>
        <w:pStyle w:val="Textonotapie"/>
        <w:ind w:firstLine="708"/>
        <w:jc w:val="both"/>
        <w:rPr>
          <w:rFonts w:ascii="Arial" w:hAnsi="Arial" w:cs="Arial"/>
          <w:sz w:val="19"/>
          <w:szCs w:val="19"/>
          <w:lang w:val="es-ES"/>
        </w:rPr>
      </w:pPr>
      <w:r w:rsidRPr="002772F7">
        <w:rPr>
          <w:rStyle w:val="Refdenotaalpie"/>
          <w:rFonts w:ascii="Arial" w:hAnsi="Arial" w:cs="Arial"/>
          <w:sz w:val="19"/>
          <w:szCs w:val="19"/>
        </w:rPr>
        <w:footnoteRef/>
      </w:r>
      <w:r w:rsidRPr="002772F7">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6">
    <w:p w14:paraId="5CB14846" w14:textId="77777777" w:rsidR="00991668" w:rsidRPr="002772F7" w:rsidRDefault="00991668" w:rsidP="00991668">
      <w:pPr>
        <w:pStyle w:val="Textonotapie"/>
        <w:ind w:firstLine="708"/>
        <w:jc w:val="both"/>
        <w:rPr>
          <w:rFonts w:ascii="Arial" w:hAnsi="Arial" w:cs="Arial"/>
          <w:sz w:val="19"/>
          <w:szCs w:val="19"/>
        </w:rPr>
      </w:pPr>
    </w:p>
    <w:p w14:paraId="182E9BE5" w14:textId="77777777" w:rsidR="00991668" w:rsidRPr="002772F7" w:rsidRDefault="00991668" w:rsidP="00991668">
      <w:pPr>
        <w:pStyle w:val="Textonotapie"/>
        <w:ind w:firstLine="708"/>
        <w:jc w:val="both"/>
        <w:rPr>
          <w:rFonts w:ascii="Arial" w:hAnsi="Arial" w:cs="Arial"/>
          <w:sz w:val="19"/>
          <w:szCs w:val="19"/>
        </w:rPr>
      </w:pPr>
      <w:r w:rsidRPr="002772F7">
        <w:rPr>
          <w:rStyle w:val="Refdenotaalpie"/>
          <w:rFonts w:ascii="Arial" w:hAnsi="Arial" w:cs="Arial"/>
          <w:sz w:val="19"/>
          <w:szCs w:val="19"/>
        </w:rPr>
        <w:footnoteRef/>
      </w:r>
      <w:r w:rsidRPr="002772F7">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4F1F5A56" w14:textId="77777777" w:rsidR="00991668" w:rsidRPr="002772F7" w:rsidRDefault="00991668" w:rsidP="00991668">
      <w:pPr>
        <w:pStyle w:val="Textonotapie"/>
        <w:ind w:firstLine="708"/>
        <w:jc w:val="both"/>
        <w:rPr>
          <w:rFonts w:ascii="Arial" w:hAnsi="Arial" w:cs="Arial"/>
          <w:sz w:val="19"/>
          <w:szCs w:val="19"/>
          <w:lang w:val="es-ES"/>
        </w:rPr>
      </w:pPr>
      <w:r w:rsidRPr="002772F7">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footnote>
  <w:footnote w:id="7">
    <w:p w14:paraId="00D96D4A" w14:textId="77777777" w:rsidR="00991668" w:rsidRPr="002772F7" w:rsidRDefault="00991668" w:rsidP="00991668">
      <w:pPr>
        <w:pStyle w:val="Textonotapie"/>
        <w:ind w:firstLine="708"/>
        <w:jc w:val="both"/>
        <w:rPr>
          <w:rFonts w:ascii="Arial" w:hAnsi="Arial" w:cs="Arial"/>
          <w:sz w:val="19"/>
          <w:szCs w:val="19"/>
        </w:rPr>
      </w:pPr>
    </w:p>
    <w:p w14:paraId="30424D68" w14:textId="77777777" w:rsidR="00991668" w:rsidRPr="002772F7" w:rsidRDefault="00991668" w:rsidP="00991668">
      <w:pPr>
        <w:pStyle w:val="Textonotapie"/>
        <w:ind w:firstLine="708"/>
        <w:jc w:val="both"/>
        <w:rPr>
          <w:rFonts w:ascii="Arial" w:hAnsi="Arial" w:cs="Arial"/>
          <w:sz w:val="19"/>
          <w:szCs w:val="19"/>
        </w:rPr>
      </w:pPr>
      <w:r w:rsidRPr="002772F7">
        <w:rPr>
          <w:rStyle w:val="Refdenotaalpie"/>
          <w:rFonts w:ascii="Arial" w:hAnsi="Arial" w:cs="Arial"/>
          <w:sz w:val="19"/>
          <w:szCs w:val="19"/>
        </w:rPr>
        <w:footnoteRef/>
      </w:r>
      <w:r w:rsidRPr="002772F7">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AA057FC" w14:textId="77777777" w:rsidR="00991668" w:rsidRPr="002772F7" w:rsidRDefault="00991668" w:rsidP="00991668">
      <w:pPr>
        <w:pStyle w:val="Textonotapie"/>
        <w:ind w:firstLine="708"/>
        <w:jc w:val="both"/>
        <w:rPr>
          <w:rFonts w:ascii="Arial" w:hAnsi="Arial" w:cs="Arial"/>
          <w:sz w:val="19"/>
          <w:szCs w:val="19"/>
        </w:rPr>
      </w:pPr>
      <w:r w:rsidRPr="002772F7">
        <w:rPr>
          <w:rFonts w:ascii="Arial" w:hAnsi="Arial" w:cs="Arial"/>
          <w:sz w:val="19"/>
          <w:szCs w:val="19"/>
        </w:rPr>
        <w:t>[...]</w:t>
      </w:r>
    </w:p>
    <w:p w14:paraId="745C55A4" w14:textId="77777777" w:rsidR="00991668" w:rsidRPr="002772F7" w:rsidRDefault="00991668" w:rsidP="00991668">
      <w:pPr>
        <w:pStyle w:val="Textonotapie"/>
        <w:ind w:firstLine="708"/>
        <w:jc w:val="both"/>
        <w:rPr>
          <w:rFonts w:ascii="Arial" w:hAnsi="Arial" w:cs="Arial"/>
          <w:sz w:val="19"/>
          <w:szCs w:val="19"/>
        </w:rPr>
      </w:pPr>
      <w:r w:rsidRPr="002772F7">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54E7D2D" w14:textId="77777777" w:rsidR="00991668" w:rsidRPr="002772F7" w:rsidRDefault="00991668" w:rsidP="00991668">
      <w:pPr>
        <w:pStyle w:val="Textonotapie"/>
        <w:ind w:firstLine="708"/>
        <w:jc w:val="both"/>
        <w:rPr>
          <w:rFonts w:ascii="Arial" w:hAnsi="Arial" w:cs="Arial"/>
          <w:sz w:val="19"/>
          <w:szCs w:val="19"/>
          <w:lang w:val="es-ES"/>
        </w:rPr>
      </w:pPr>
      <w:r w:rsidRPr="002772F7">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8">
    <w:p w14:paraId="7F24DFEA" w14:textId="77777777" w:rsidR="00991668" w:rsidRPr="002772F7" w:rsidRDefault="00991668" w:rsidP="00991668">
      <w:pPr>
        <w:pStyle w:val="Textonotapie"/>
        <w:ind w:firstLine="708"/>
        <w:jc w:val="both"/>
        <w:rPr>
          <w:rFonts w:ascii="Arial" w:hAnsi="Arial" w:cs="Arial"/>
          <w:sz w:val="19"/>
          <w:szCs w:val="19"/>
        </w:rPr>
      </w:pPr>
    </w:p>
    <w:p w14:paraId="44AF1988" w14:textId="77777777" w:rsidR="00991668" w:rsidRPr="002772F7" w:rsidRDefault="00991668" w:rsidP="00991668">
      <w:pPr>
        <w:pStyle w:val="Textonotapie"/>
        <w:ind w:firstLine="708"/>
        <w:jc w:val="both"/>
        <w:rPr>
          <w:rFonts w:ascii="Arial" w:hAnsi="Arial" w:cs="Arial"/>
          <w:sz w:val="19"/>
          <w:szCs w:val="19"/>
        </w:rPr>
      </w:pPr>
      <w:r w:rsidRPr="002772F7">
        <w:rPr>
          <w:rStyle w:val="Refdenotaalpie"/>
          <w:rFonts w:ascii="Arial" w:hAnsi="Arial" w:cs="Arial"/>
          <w:sz w:val="19"/>
          <w:szCs w:val="19"/>
        </w:rPr>
        <w:footnoteRef/>
      </w:r>
      <w:r w:rsidRPr="002772F7">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C734443" w14:textId="77777777" w:rsidR="00991668" w:rsidRPr="002772F7" w:rsidRDefault="00991668" w:rsidP="00991668">
      <w:pPr>
        <w:pStyle w:val="Textonotapie"/>
        <w:ind w:firstLine="709"/>
        <w:jc w:val="both"/>
        <w:rPr>
          <w:rFonts w:ascii="Arial" w:hAnsi="Arial" w:cs="Arial"/>
          <w:sz w:val="19"/>
          <w:szCs w:val="19"/>
        </w:rPr>
      </w:pPr>
      <w:r w:rsidRPr="002772F7">
        <w:rPr>
          <w:rFonts w:ascii="Arial" w:hAnsi="Arial" w:cs="Arial"/>
          <w:sz w:val="19"/>
          <w:szCs w:val="19"/>
        </w:rPr>
        <w:t>»1.    Si es una persona natural:</w:t>
      </w:r>
    </w:p>
    <w:p w14:paraId="3D0E6740" w14:textId="77777777" w:rsidR="00991668" w:rsidRPr="002772F7" w:rsidRDefault="00991668" w:rsidP="00991668">
      <w:pPr>
        <w:pStyle w:val="Textonotapie"/>
        <w:ind w:firstLine="709"/>
        <w:jc w:val="both"/>
        <w:rPr>
          <w:rFonts w:ascii="Arial" w:hAnsi="Arial" w:cs="Arial"/>
          <w:sz w:val="19"/>
          <w:szCs w:val="19"/>
        </w:rPr>
      </w:pPr>
      <w:r w:rsidRPr="002772F7">
        <w:rPr>
          <w:rFonts w:ascii="Arial" w:hAnsi="Arial" w:cs="Arial"/>
          <w:sz w:val="19"/>
          <w:szCs w:val="19"/>
        </w:rPr>
        <w:t>»1.1. Bienes, obras y servicios que ofrecerá a las Entidades Estatales, identificados con el Clasificador de Bienes y Servicios en el tercer nivel.</w:t>
      </w:r>
    </w:p>
    <w:p w14:paraId="6C9BE2D5" w14:textId="77777777" w:rsidR="00991668" w:rsidRPr="002772F7" w:rsidRDefault="00991668" w:rsidP="00991668">
      <w:pPr>
        <w:pStyle w:val="Textonotapie"/>
        <w:ind w:firstLine="709"/>
        <w:jc w:val="both"/>
        <w:rPr>
          <w:rFonts w:ascii="Arial" w:hAnsi="Arial" w:cs="Arial"/>
          <w:sz w:val="19"/>
          <w:szCs w:val="19"/>
        </w:rPr>
      </w:pPr>
      <w:r w:rsidRPr="002772F7">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3359E464" w14:textId="77777777" w:rsidR="00991668" w:rsidRPr="002772F7" w:rsidRDefault="00991668" w:rsidP="00991668">
      <w:pPr>
        <w:pStyle w:val="Textonotapie"/>
        <w:jc w:val="both"/>
        <w:rPr>
          <w:rFonts w:ascii="Arial" w:hAnsi="Arial" w:cs="Arial"/>
          <w:sz w:val="19"/>
          <w:szCs w:val="19"/>
        </w:rPr>
      </w:pPr>
    </w:p>
    <w:p w14:paraId="1A9B9018" w14:textId="77777777" w:rsidR="00991668" w:rsidRPr="002772F7" w:rsidRDefault="00991668" w:rsidP="00991668">
      <w:pPr>
        <w:pStyle w:val="Textonotapie"/>
        <w:ind w:firstLine="708"/>
        <w:jc w:val="both"/>
        <w:rPr>
          <w:rFonts w:ascii="Arial" w:hAnsi="Arial" w:cs="Arial"/>
          <w:sz w:val="19"/>
          <w:szCs w:val="19"/>
          <w:lang w:val="es-ES"/>
        </w:rPr>
      </w:pPr>
      <w:r w:rsidRPr="002772F7">
        <w:rPr>
          <w:rFonts w:ascii="Arial" w:hAnsi="Arial" w:cs="Arial"/>
          <w:sz w:val="19"/>
          <w:szCs w:val="19"/>
        </w:rPr>
        <w:t xml:space="preserve"> </w:t>
      </w:r>
    </w:p>
  </w:footnote>
  <w:footnote w:id="9">
    <w:p w14:paraId="5CF3B24C" w14:textId="77777777" w:rsidR="00991668" w:rsidRPr="002772F7" w:rsidRDefault="00991668" w:rsidP="00991668">
      <w:pPr>
        <w:pStyle w:val="Textonotapie"/>
        <w:ind w:firstLine="708"/>
        <w:jc w:val="both"/>
        <w:rPr>
          <w:rFonts w:ascii="Arial" w:hAnsi="Arial" w:cs="Arial"/>
          <w:sz w:val="19"/>
          <w:szCs w:val="19"/>
          <w:lang w:val="es-ES"/>
        </w:rPr>
      </w:pPr>
      <w:r w:rsidRPr="002772F7">
        <w:rPr>
          <w:rStyle w:val="Refdenotaalpie"/>
          <w:rFonts w:ascii="Arial" w:hAnsi="Arial" w:cs="Arial"/>
          <w:sz w:val="19"/>
          <w:szCs w:val="19"/>
        </w:rPr>
        <w:footnoteRef/>
      </w:r>
      <w:r w:rsidRPr="002772F7">
        <w:rPr>
          <w:rFonts w:ascii="Arial" w:hAnsi="Arial" w:cs="Arial"/>
          <w:sz w:val="19"/>
          <w:szCs w:val="19"/>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footnote>
  <w:footnote w:id="10">
    <w:p w14:paraId="0C0BF5B0" w14:textId="77777777" w:rsidR="00991668" w:rsidRPr="002772F7" w:rsidRDefault="00991668" w:rsidP="00991668">
      <w:pPr>
        <w:pStyle w:val="Textonotapie"/>
        <w:ind w:firstLine="708"/>
        <w:jc w:val="both"/>
        <w:rPr>
          <w:rFonts w:ascii="Arial" w:hAnsi="Arial" w:cs="Arial"/>
          <w:sz w:val="19"/>
          <w:szCs w:val="19"/>
        </w:rPr>
      </w:pPr>
      <w:r w:rsidRPr="002772F7">
        <w:rPr>
          <w:rStyle w:val="Refdenotaalpie"/>
          <w:rFonts w:ascii="Arial" w:hAnsi="Arial" w:cs="Arial"/>
          <w:sz w:val="19"/>
          <w:szCs w:val="19"/>
        </w:rPr>
        <w:footnoteRef/>
      </w:r>
      <w:r w:rsidRPr="002772F7">
        <w:rPr>
          <w:rFonts w:ascii="Arial" w:hAnsi="Arial" w:cs="Arial"/>
          <w:sz w:val="19"/>
          <w:szCs w:val="19"/>
        </w:rPr>
        <w:t xml:space="preserve"> Cfr. Consejo de Estado. Sección Tercera. Providencias del 11 de diciembre de 2002, dictada dentro del expediente AG-1683, y del 18 de octubre de 2001, proferida dentro del plenario AG-021.</w:t>
      </w:r>
    </w:p>
    <w:p w14:paraId="41DD1FE1" w14:textId="77777777" w:rsidR="00991668" w:rsidRPr="002772F7" w:rsidRDefault="00991668" w:rsidP="00991668">
      <w:pPr>
        <w:pStyle w:val="Textonotapie"/>
        <w:ind w:firstLine="708"/>
        <w:jc w:val="both"/>
        <w:rPr>
          <w:rFonts w:ascii="Arial" w:hAnsi="Arial" w:cs="Arial"/>
          <w:sz w:val="19"/>
          <w:szCs w:val="19"/>
          <w:lang w:val="es-ES"/>
        </w:rPr>
      </w:pPr>
    </w:p>
  </w:footnote>
  <w:footnote w:id="11">
    <w:p w14:paraId="5B1CC464" w14:textId="77777777" w:rsidR="00991668" w:rsidRPr="002772F7" w:rsidRDefault="00991668" w:rsidP="00991668">
      <w:pPr>
        <w:pStyle w:val="Textonotapie"/>
        <w:ind w:firstLine="708"/>
        <w:jc w:val="both"/>
        <w:rPr>
          <w:rFonts w:ascii="Arial" w:hAnsi="Arial" w:cs="Arial"/>
          <w:sz w:val="19"/>
          <w:szCs w:val="19"/>
        </w:rPr>
      </w:pPr>
      <w:r w:rsidRPr="002772F7">
        <w:rPr>
          <w:rStyle w:val="Refdenotaalpie"/>
          <w:rFonts w:ascii="Arial" w:hAnsi="Arial" w:cs="Arial"/>
          <w:sz w:val="19"/>
          <w:szCs w:val="19"/>
        </w:rPr>
        <w:footnoteRef/>
      </w:r>
      <w:r w:rsidRPr="002772F7">
        <w:rPr>
          <w:rFonts w:ascii="Arial" w:hAnsi="Arial" w:cs="Arial"/>
          <w:sz w:val="19"/>
          <w:szCs w:val="19"/>
        </w:rPr>
        <w:t xml:space="preserve"> Cfr. Corte Constitucional. Sentencia C-569 de 2004. M.P. Rodrigo Uprimny Yepes.</w:t>
      </w:r>
    </w:p>
    <w:p w14:paraId="79A71F5E" w14:textId="77777777" w:rsidR="00991668" w:rsidRPr="002772F7" w:rsidRDefault="00991668" w:rsidP="00991668">
      <w:pPr>
        <w:pStyle w:val="Textonotapie"/>
        <w:ind w:firstLine="708"/>
        <w:jc w:val="both"/>
        <w:rPr>
          <w:rFonts w:ascii="Arial" w:hAnsi="Arial" w:cs="Arial"/>
          <w:sz w:val="19"/>
          <w:szCs w:val="19"/>
          <w:lang w:val="es-ES"/>
        </w:rPr>
      </w:pPr>
    </w:p>
  </w:footnote>
  <w:footnote w:id="12">
    <w:p w14:paraId="1B6B60B2" w14:textId="77777777" w:rsidR="00991668" w:rsidRPr="002772F7" w:rsidRDefault="00991668" w:rsidP="00991668">
      <w:pPr>
        <w:pStyle w:val="Textonotapie"/>
        <w:ind w:firstLine="708"/>
        <w:jc w:val="both"/>
        <w:rPr>
          <w:rFonts w:ascii="Arial" w:hAnsi="Arial" w:cs="Arial"/>
          <w:sz w:val="19"/>
          <w:szCs w:val="19"/>
          <w:lang w:val="es-ES"/>
        </w:rPr>
      </w:pPr>
      <w:r w:rsidRPr="002772F7">
        <w:rPr>
          <w:rStyle w:val="Refdenotaalpie"/>
          <w:rFonts w:ascii="Arial" w:hAnsi="Arial" w:cs="Arial"/>
          <w:sz w:val="19"/>
          <w:szCs w:val="19"/>
        </w:rPr>
        <w:footnoteRef/>
      </w:r>
      <w:r w:rsidRPr="002772F7">
        <w:rPr>
          <w:rFonts w:ascii="Arial" w:hAnsi="Arial" w:cs="Arial"/>
          <w:sz w:val="19"/>
          <w:szCs w:val="19"/>
        </w:rPr>
        <w:t xml:space="preserve"> Gaceta 096 de 2007. Pág. 9. Allí se lee: «Parágrafo 2°. Nuevo. Se adiciona un parágrafo nuevo para </w:t>
      </w:r>
      <w:r w:rsidRPr="002772F7">
        <w:rPr>
          <w:rFonts w:ascii="Arial" w:hAnsi="Arial" w:cs="Arial"/>
          <w:i/>
          <w:iCs/>
          <w:sz w:val="19"/>
          <w:szCs w:val="19"/>
        </w:rPr>
        <w:t>establecer de manera concreta</w:t>
      </w:r>
      <w:r w:rsidRPr="002772F7">
        <w:rPr>
          <w:rFonts w:ascii="Arial" w:hAnsi="Arial" w:cs="Arial"/>
          <w:sz w:val="19"/>
          <w:szCs w:val="19"/>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13">
    <w:p w14:paraId="016956C6" w14:textId="77777777" w:rsidR="00991668" w:rsidRPr="002772F7" w:rsidRDefault="00991668" w:rsidP="00991668">
      <w:pPr>
        <w:pStyle w:val="NormalWeb"/>
        <w:spacing w:before="0" w:beforeAutospacing="0" w:after="0" w:afterAutospacing="0"/>
        <w:ind w:firstLine="709"/>
        <w:jc w:val="both"/>
        <w:rPr>
          <w:rFonts w:ascii="Arial" w:hAnsi="Arial" w:cs="Arial"/>
          <w:color w:val="000000" w:themeColor="text1"/>
          <w:sz w:val="19"/>
          <w:szCs w:val="19"/>
          <w:lang w:eastAsia="en-US"/>
        </w:rPr>
      </w:pPr>
      <w:r w:rsidRPr="002772F7">
        <w:rPr>
          <w:rStyle w:val="Refdenotaalpie"/>
          <w:rFonts w:ascii="Arial" w:hAnsi="Arial" w:cs="Arial"/>
          <w:color w:val="000000" w:themeColor="text1"/>
          <w:sz w:val="19"/>
          <w:szCs w:val="19"/>
        </w:rPr>
        <w:footnoteRef/>
      </w:r>
      <w:r w:rsidRPr="002772F7">
        <w:rPr>
          <w:rFonts w:ascii="Arial" w:hAnsi="Arial" w:cs="Arial"/>
          <w:color w:val="000000" w:themeColor="text1"/>
          <w:sz w:val="19"/>
          <w:szCs w:val="19"/>
        </w:rPr>
        <w:t xml:space="preserve"> Ley 789 de 2002: «Artículo 50. Control a la evasión de los recursos parafiscales. </w:t>
      </w:r>
      <w:r w:rsidRPr="002772F7">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41328FB2" w14:textId="77777777" w:rsidR="00991668" w:rsidRPr="002772F7" w:rsidRDefault="00991668" w:rsidP="00991668">
      <w:pPr>
        <w:ind w:firstLine="709"/>
        <w:jc w:val="both"/>
        <w:rPr>
          <w:rFonts w:ascii="Arial" w:hAnsi="Arial" w:cs="Arial"/>
          <w:color w:val="000000" w:themeColor="text1"/>
          <w:sz w:val="19"/>
          <w:szCs w:val="19"/>
        </w:rPr>
      </w:pPr>
      <w:r w:rsidRPr="002772F7">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BBF681F" w14:textId="77777777" w:rsidR="00991668" w:rsidRPr="002772F7" w:rsidRDefault="00991668" w:rsidP="00991668">
      <w:pPr>
        <w:ind w:firstLine="709"/>
        <w:jc w:val="both"/>
        <w:rPr>
          <w:rFonts w:ascii="Arial" w:hAnsi="Arial" w:cs="Arial"/>
          <w:color w:val="000000" w:themeColor="text1"/>
          <w:sz w:val="19"/>
          <w:szCs w:val="19"/>
        </w:rPr>
      </w:pPr>
      <w:r w:rsidRPr="002772F7">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090A4502" w14:textId="77777777" w:rsidR="00991668" w:rsidRPr="002772F7" w:rsidRDefault="00991668" w:rsidP="00991668">
      <w:pPr>
        <w:ind w:firstLine="709"/>
        <w:jc w:val="both"/>
        <w:rPr>
          <w:rFonts w:ascii="Arial" w:hAnsi="Arial" w:cs="Arial"/>
          <w:color w:val="000000" w:themeColor="text1"/>
          <w:sz w:val="19"/>
          <w:szCs w:val="19"/>
        </w:rPr>
      </w:pPr>
      <w:r w:rsidRPr="002772F7">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6A0605BC" w14:textId="77777777" w:rsidR="00991668" w:rsidRPr="002772F7" w:rsidRDefault="00991668" w:rsidP="00991668">
      <w:pPr>
        <w:ind w:firstLine="709"/>
        <w:jc w:val="both"/>
        <w:rPr>
          <w:rFonts w:ascii="Arial" w:hAnsi="Arial" w:cs="Arial"/>
          <w:color w:val="000000" w:themeColor="text1"/>
          <w:sz w:val="19"/>
          <w:szCs w:val="19"/>
        </w:rPr>
      </w:pPr>
    </w:p>
  </w:footnote>
  <w:footnote w:id="14">
    <w:p w14:paraId="0416FD5A" w14:textId="77777777" w:rsidR="00991668" w:rsidRPr="002772F7" w:rsidRDefault="00991668" w:rsidP="00991668">
      <w:pPr>
        <w:pStyle w:val="Textonotapie"/>
        <w:ind w:firstLine="709"/>
        <w:jc w:val="both"/>
        <w:rPr>
          <w:rFonts w:ascii="Arial" w:hAnsi="Arial" w:cs="Arial"/>
          <w:color w:val="000000" w:themeColor="text1"/>
          <w:sz w:val="19"/>
          <w:szCs w:val="19"/>
        </w:rPr>
      </w:pPr>
      <w:r w:rsidRPr="002772F7">
        <w:rPr>
          <w:rStyle w:val="Refdenotaalpie"/>
          <w:rFonts w:ascii="Arial" w:hAnsi="Arial" w:cs="Arial"/>
          <w:color w:val="000000" w:themeColor="text1"/>
          <w:sz w:val="19"/>
          <w:szCs w:val="19"/>
        </w:rPr>
        <w:footnoteRef/>
      </w:r>
      <w:r w:rsidRPr="002772F7">
        <w:rPr>
          <w:rFonts w:ascii="Arial" w:hAnsi="Arial" w:cs="Arial"/>
          <w:color w:val="000000" w:themeColor="text1"/>
          <w:sz w:val="19"/>
          <w:szCs w:val="19"/>
        </w:rPr>
        <w:t xml:space="preserve"> Consejo de Estado. Sección Tercera. Sentencia del 8 de junio de 2011. Rad. 20001-23-31-000-2005-00409-01[AP]. Consejero Ponente: Enrique Gil Botero.</w:t>
      </w:r>
    </w:p>
    <w:p w14:paraId="0102296F" w14:textId="77777777" w:rsidR="00991668" w:rsidRPr="002772F7" w:rsidRDefault="00991668" w:rsidP="00991668">
      <w:pPr>
        <w:pStyle w:val="Textonotapie"/>
        <w:ind w:firstLine="709"/>
        <w:jc w:val="both"/>
        <w:rPr>
          <w:rFonts w:ascii="Arial" w:hAnsi="Arial" w:cs="Arial"/>
          <w:color w:val="000000" w:themeColor="text1"/>
          <w:sz w:val="19"/>
          <w:szCs w:val="19"/>
        </w:rPr>
      </w:pPr>
    </w:p>
  </w:footnote>
  <w:footnote w:id="15">
    <w:p w14:paraId="4AFC4298" w14:textId="77777777" w:rsidR="00991668" w:rsidRPr="002772F7" w:rsidRDefault="00991668" w:rsidP="00991668">
      <w:pPr>
        <w:pStyle w:val="Textonotapie"/>
        <w:ind w:firstLine="708"/>
        <w:rPr>
          <w:rFonts w:ascii="Arial" w:hAnsi="Arial" w:cs="Arial"/>
          <w:sz w:val="19"/>
          <w:szCs w:val="19"/>
          <w:lang w:val="es-ES"/>
        </w:rPr>
      </w:pPr>
      <w:r w:rsidRPr="002772F7">
        <w:rPr>
          <w:rStyle w:val="Refdenotaalpie"/>
          <w:rFonts w:ascii="Arial" w:hAnsi="Arial" w:cs="Arial"/>
          <w:sz w:val="19"/>
          <w:szCs w:val="19"/>
        </w:rPr>
        <w:footnoteRef/>
      </w:r>
      <w:r w:rsidRPr="002772F7">
        <w:rPr>
          <w:rFonts w:ascii="Arial" w:hAnsi="Arial" w:cs="Arial"/>
          <w:sz w:val="19"/>
          <w:szCs w:val="19"/>
        </w:rPr>
        <w:t xml:space="preserve"> Página 5 de la petición.</w:t>
      </w:r>
    </w:p>
  </w:footnote>
  <w:footnote w:id="16">
    <w:p w14:paraId="4A938EB2" w14:textId="77777777" w:rsidR="00991668" w:rsidRPr="002772F7" w:rsidRDefault="00991668" w:rsidP="00991668">
      <w:pPr>
        <w:pStyle w:val="Textonotapie"/>
        <w:ind w:firstLine="708"/>
        <w:rPr>
          <w:rFonts w:ascii="Arial" w:hAnsi="Arial" w:cs="Arial"/>
          <w:sz w:val="19"/>
          <w:szCs w:val="19"/>
          <w:lang w:val="es-ES"/>
        </w:rPr>
      </w:pPr>
      <w:r w:rsidRPr="002772F7">
        <w:rPr>
          <w:rStyle w:val="Refdenotaalpie"/>
          <w:rFonts w:ascii="Arial" w:hAnsi="Arial" w:cs="Arial"/>
          <w:sz w:val="19"/>
          <w:szCs w:val="19"/>
        </w:rPr>
        <w:footnoteRef/>
      </w:r>
      <w:r w:rsidRPr="002772F7">
        <w:rPr>
          <w:rFonts w:ascii="Arial" w:hAnsi="Arial" w:cs="Arial"/>
          <w:sz w:val="19"/>
          <w:szCs w:val="19"/>
        </w:rPr>
        <w:t xml:space="preserve"> Página 5 de la petición.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0770B" w14:textId="1A2BB94C" w:rsidR="00821D83" w:rsidRDefault="00821D83">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039E029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5"/>
  </w:num>
  <w:num w:numId="3">
    <w:abstractNumId w:val="10"/>
  </w:num>
  <w:num w:numId="4">
    <w:abstractNumId w:val="12"/>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4"/>
  </w:num>
  <w:num w:numId="1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1"/>
  </w:num>
  <w:num w:numId="19">
    <w:abstractNumId w:val="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093"/>
    <w:rsid w:val="00001D21"/>
    <w:rsid w:val="00003500"/>
    <w:rsid w:val="0000445B"/>
    <w:rsid w:val="00007785"/>
    <w:rsid w:val="000104C9"/>
    <w:rsid w:val="00013F19"/>
    <w:rsid w:val="00014A9B"/>
    <w:rsid w:val="00014C5D"/>
    <w:rsid w:val="00014DDB"/>
    <w:rsid w:val="00015480"/>
    <w:rsid w:val="000215DE"/>
    <w:rsid w:val="00021690"/>
    <w:rsid w:val="00021A13"/>
    <w:rsid w:val="00021BA8"/>
    <w:rsid w:val="0002467A"/>
    <w:rsid w:val="00024AA0"/>
    <w:rsid w:val="00026F04"/>
    <w:rsid w:val="0002715F"/>
    <w:rsid w:val="000309FC"/>
    <w:rsid w:val="000323BC"/>
    <w:rsid w:val="00032D83"/>
    <w:rsid w:val="000346F0"/>
    <w:rsid w:val="00034E90"/>
    <w:rsid w:val="000358D0"/>
    <w:rsid w:val="00037429"/>
    <w:rsid w:val="00044F89"/>
    <w:rsid w:val="0005043C"/>
    <w:rsid w:val="00051214"/>
    <w:rsid w:val="00052A45"/>
    <w:rsid w:val="00056017"/>
    <w:rsid w:val="00056188"/>
    <w:rsid w:val="00057F7A"/>
    <w:rsid w:val="00060E3F"/>
    <w:rsid w:val="0006228F"/>
    <w:rsid w:val="00064B9E"/>
    <w:rsid w:val="000677C6"/>
    <w:rsid w:val="0007062A"/>
    <w:rsid w:val="00073683"/>
    <w:rsid w:val="00076A49"/>
    <w:rsid w:val="00082376"/>
    <w:rsid w:val="00084456"/>
    <w:rsid w:val="00084B97"/>
    <w:rsid w:val="00087B8C"/>
    <w:rsid w:val="00087C99"/>
    <w:rsid w:val="000904D9"/>
    <w:rsid w:val="00091011"/>
    <w:rsid w:val="00092103"/>
    <w:rsid w:val="00093EF7"/>
    <w:rsid w:val="000942EB"/>
    <w:rsid w:val="000A1FB8"/>
    <w:rsid w:val="000A5A17"/>
    <w:rsid w:val="000A61F6"/>
    <w:rsid w:val="000A77DE"/>
    <w:rsid w:val="000B0E45"/>
    <w:rsid w:val="000B103F"/>
    <w:rsid w:val="000B10A2"/>
    <w:rsid w:val="000B111D"/>
    <w:rsid w:val="000B469D"/>
    <w:rsid w:val="000B48E2"/>
    <w:rsid w:val="000B51CB"/>
    <w:rsid w:val="000C2063"/>
    <w:rsid w:val="000C2966"/>
    <w:rsid w:val="000C3C7B"/>
    <w:rsid w:val="000C58F9"/>
    <w:rsid w:val="000C7D37"/>
    <w:rsid w:val="000D364E"/>
    <w:rsid w:val="000D38C2"/>
    <w:rsid w:val="000D4BA7"/>
    <w:rsid w:val="000D4CC7"/>
    <w:rsid w:val="000D6E65"/>
    <w:rsid w:val="000E11D2"/>
    <w:rsid w:val="000E1348"/>
    <w:rsid w:val="000E30E1"/>
    <w:rsid w:val="000E4187"/>
    <w:rsid w:val="000E626F"/>
    <w:rsid w:val="000E7829"/>
    <w:rsid w:val="000E7B14"/>
    <w:rsid w:val="000E7F60"/>
    <w:rsid w:val="000F1236"/>
    <w:rsid w:val="000F14E8"/>
    <w:rsid w:val="000F63AB"/>
    <w:rsid w:val="000F7192"/>
    <w:rsid w:val="001003C8"/>
    <w:rsid w:val="001009E6"/>
    <w:rsid w:val="00103325"/>
    <w:rsid w:val="0010368A"/>
    <w:rsid w:val="00103915"/>
    <w:rsid w:val="00104120"/>
    <w:rsid w:val="001054F0"/>
    <w:rsid w:val="0010593B"/>
    <w:rsid w:val="00106571"/>
    <w:rsid w:val="0011233F"/>
    <w:rsid w:val="0011312F"/>
    <w:rsid w:val="00113705"/>
    <w:rsid w:val="00117821"/>
    <w:rsid w:val="00117EA2"/>
    <w:rsid w:val="001224AC"/>
    <w:rsid w:val="00122B23"/>
    <w:rsid w:val="00123CDB"/>
    <w:rsid w:val="00125E4D"/>
    <w:rsid w:val="00126569"/>
    <w:rsid w:val="00132C93"/>
    <w:rsid w:val="00133134"/>
    <w:rsid w:val="0013551E"/>
    <w:rsid w:val="001373AA"/>
    <w:rsid w:val="00137D00"/>
    <w:rsid w:val="00137E23"/>
    <w:rsid w:val="00137FFA"/>
    <w:rsid w:val="0014065D"/>
    <w:rsid w:val="00141C3E"/>
    <w:rsid w:val="00145052"/>
    <w:rsid w:val="00150687"/>
    <w:rsid w:val="00151F9C"/>
    <w:rsid w:val="001559E8"/>
    <w:rsid w:val="001613A0"/>
    <w:rsid w:val="0016204C"/>
    <w:rsid w:val="00162123"/>
    <w:rsid w:val="00162824"/>
    <w:rsid w:val="00163502"/>
    <w:rsid w:val="00164FB6"/>
    <w:rsid w:val="00166DEC"/>
    <w:rsid w:val="0016763A"/>
    <w:rsid w:val="00167AE6"/>
    <w:rsid w:val="00171790"/>
    <w:rsid w:val="00172BA3"/>
    <w:rsid w:val="0017427E"/>
    <w:rsid w:val="00174583"/>
    <w:rsid w:val="00177828"/>
    <w:rsid w:val="00181621"/>
    <w:rsid w:val="00182DC3"/>
    <w:rsid w:val="00182FE5"/>
    <w:rsid w:val="00184310"/>
    <w:rsid w:val="00185F5C"/>
    <w:rsid w:val="00193AB9"/>
    <w:rsid w:val="00193E1F"/>
    <w:rsid w:val="001A1E4D"/>
    <w:rsid w:val="001A2C61"/>
    <w:rsid w:val="001A4AE9"/>
    <w:rsid w:val="001A65D8"/>
    <w:rsid w:val="001A6A83"/>
    <w:rsid w:val="001A77B6"/>
    <w:rsid w:val="001A7D42"/>
    <w:rsid w:val="001B0444"/>
    <w:rsid w:val="001B0CDD"/>
    <w:rsid w:val="001B11CC"/>
    <w:rsid w:val="001B3D2F"/>
    <w:rsid w:val="001B5BEC"/>
    <w:rsid w:val="001B6133"/>
    <w:rsid w:val="001B7109"/>
    <w:rsid w:val="001C0043"/>
    <w:rsid w:val="001C17C6"/>
    <w:rsid w:val="001C33D0"/>
    <w:rsid w:val="001C56D1"/>
    <w:rsid w:val="001C5A34"/>
    <w:rsid w:val="001C613D"/>
    <w:rsid w:val="001C662E"/>
    <w:rsid w:val="001C7461"/>
    <w:rsid w:val="001D0E79"/>
    <w:rsid w:val="001D2046"/>
    <w:rsid w:val="001D2A15"/>
    <w:rsid w:val="001D3C7F"/>
    <w:rsid w:val="001D4AEF"/>
    <w:rsid w:val="001D6D29"/>
    <w:rsid w:val="001E246F"/>
    <w:rsid w:val="001E27F5"/>
    <w:rsid w:val="001E3D1E"/>
    <w:rsid w:val="001E4D7C"/>
    <w:rsid w:val="001E530D"/>
    <w:rsid w:val="001F13F4"/>
    <w:rsid w:val="001F2A05"/>
    <w:rsid w:val="001F30D9"/>
    <w:rsid w:val="001F4603"/>
    <w:rsid w:val="001F4999"/>
    <w:rsid w:val="001F5684"/>
    <w:rsid w:val="001F6709"/>
    <w:rsid w:val="001F7C07"/>
    <w:rsid w:val="00203925"/>
    <w:rsid w:val="00204C79"/>
    <w:rsid w:val="0020593C"/>
    <w:rsid w:val="00205BB7"/>
    <w:rsid w:val="0020632A"/>
    <w:rsid w:val="00206AD7"/>
    <w:rsid w:val="0021065C"/>
    <w:rsid w:val="002110EB"/>
    <w:rsid w:val="00211338"/>
    <w:rsid w:val="00214DED"/>
    <w:rsid w:val="00214EAD"/>
    <w:rsid w:val="00215A9E"/>
    <w:rsid w:val="00220822"/>
    <w:rsid w:val="00220F9A"/>
    <w:rsid w:val="00221A77"/>
    <w:rsid w:val="00222C3D"/>
    <w:rsid w:val="0022447B"/>
    <w:rsid w:val="00230747"/>
    <w:rsid w:val="00230E0C"/>
    <w:rsid w:val="002333E4"/>
    <w:rsid w:val="00234B84"/>
    <w:rsid w:val="0023521A"/>
    <w:rsid w:val="002357D4"/>
    <w:rsid w:val="00237AF5"/>
    <w:rsid w:val="0024057C"/>
    <w:rsid w:val="0024067E"/>
    <w:rsid w:val="00242FDD"/>
    <w:rsid w:val="002436CC"/>
    <w:rsid w:val="0024540F"/>
    <w:rsid w:val="00246957"/>
    <w:rsid w:val="002533A2"/>
    <w:rsid w:val="00254EEB"/>
    <w:rsid w:val="002550CD"/>
    <w:rsid w:val="00255137"/>
    <w:rsid w:val="0025522E"/>
    <w:rsid w:val="002560CA"/>
    <w:rsid w:val="0026149C"/>
    <w:rsid w:val="00261AA9"/>
    <w:rsid w:val="00262430"/>
    <w:rsid w:val="00262F9B"/>
    <w:rsid w:val="00264492"/>
    <w:rsid w:val="00265F6F"/>
    <w:rsid w:val="00266627"/>
    <w:rsid w:val="0026769A"/>
    <w:rsid w:val="00270F94"/>
    <w:rsid w:val="0027202B"/>
    <w:rsid w:val="0027397F"/>
    <w:rsid w:val="002772F7"/>
    <w:rsid w:val="00277D4B"/>
    <w:rsid w:val="00280CB9"/>
    <w:rsid w:val="0028166B"/>
    <w:rsid w:val="00282570"/>
    <w:rsid w:val="00283AAC"/>
    <w:rsid w:val="00283D65"/>
    <w:rsid w:val="00284768"/>
    <w:rsid w:val="00287259"/>
    <w:rsid w:val="00290A29"/>
    <w:rsid w:val="00290EBE"/>
    <w:rsid w:val="0029134D"/>
    <w:rsid w:val="002916F3"/>
    <w:rsid w:val="00291C39"/>
    <w:rsid w:val="002946A7"/>
    <w:rsid w:val="00296813"/>
    <w:rsid w:val="0029747A"/>
    <w:rsid w:val="002A021C"/>
    <w:rsid w:val="002A0940"/>
    <w:rsid w:val="002A2098"/>
    <w:rsid w:val="002A27DD"/>
    <w:rsid w:val="002A7D36"/>
    <w:rsid w:val="002A7D82"/>
    <w:rsid w:val="002B27CC"/>
    <w:rsid w:val="002B3014"/>
    <w:rsid w:val="002B4117"/>
    <w:rsid w:val="002B70EB"/>
    <w:rsid w:val="002C1E84"/>
    <w:rsid w:val="002C1FE0"/>
    <w:rsid w:val="002C37C4"/>
    <w:rsid w:val="002C4C0C"/>
    <w:rsid w:val="002C4E4F"/>
    <w:rsid w:val="002D2D8C"/>
    <w:rsid w:val="002D4DD1"/>
    <w:rsid w:val="002D4FE8"/>
    <w:rsid w:val="002D7AD4"/>
    <w:rsid w:val="002E0159"/>
    <w:rsid w:val="002E16E5"/>
    <w:rsid w:val="002E1F3A"/>
    <w:rsid w:val="002E2455"/>
    <w:rsid w:val="002E3EED"/>
    <w:rsid w:val="002E402D"/>
    <w:rsid w:val="002E4DB9"/>
    <w:rsid w:val="002E50D3"/>
    <w:rsid w:val="002F587A"/>
    <w:rsid w:val="002F7463"/>
    <w:rsid w:val="003012DD"/>
    <w:rsid w:val="00301CE4"/>
    <w:rsid w:val="003033BA"/>
    <w:rsid w:val="00303663"/>
    <w:rsid w:val="00304497"/>
    <w:rsid w:val="00304B63"/>
    <w:rsid w:val="00304CC2"/>
    <w:rsid w:val="0030585E"/>
    <w:rsid w:val="00305E2E"/>
    <w:rsid w:val="0030678F"/>
    <w:rsid w:val="00314A11"/>
    <w:rsid w:val="00317109"/>
    <w:rsid w:val="0032039E"/>
    <w:rsid w:val="003225F2"/>
    <w:rsid w:val="003228F5"/>
    <w:rsid w:val="00322937"/>
    <w:rsid w:val="00323E5B"/>
    <w:rsid w:val="0033060A"/>
    <w:rsid w:val="00332B25"/>
    <w:rsid w:val="00332E3E"/>
    <w:rsid w:val="0033300D"/>
    <w:rsid w:val="003342D4"/>
    <w:rsid w:val="0033494E"/>
    <w:rsid w:val="0033501C"/>
    <w:rsid w:val="00336695"/>
    <w:rsid w:val="0034177C"/>
    <w:rsid w:val="00342D7E"/>
    <w:rsid w:val="0034680A"/>
    <w:rsid w:val="003468A4"/>
    <w:rsid w:val="00346CA9"/>
    <w:rsid w:val="0034701A"/>
    <w:rsid w:val="003533D3"/>
    <w:rsid w:val="003535E1"/>
    <w:rsid w:val="00353C0F"/>
    <w:rsid w:val="00353CFD"/>
    <w:rsid w:val="00353DD5"/>
    <w:rsid w:val="00353E79"/>
    <w:rsid w:val="00354AE4"/>
    <w:rsid w:val="00361428"/>
    <w:rsid w:val="00361ED3"/>
    <w:rsid w:val="003630A7"/>
    <w:rsid w:val="00363F0E"/>
    <w:rsid w:val="00364C43"/>
    <w:rsid w:val="00365587"/>
    <w:rsid w:val="0036633A"/>
    <w:rsid w:val="003675F7"/>
    <w:rsid w:val="00367CA9"/>
    <w:rsid w:val="003711F4"/>
    <w:rsid w:val="003728D3"/>
    <w:rsid w:val="0037370D"/>
    <w:rsid w:val="00374024"/>
    <w:rsid w:val="00380F5C"/>
    <w:rsid w:val="00383390"/>
    <w:rsid w:val="0038416D"/>
    <w:rsid w:val="0038617E"/>
    <w:rsid w:val="00386456"/>
    <w:rsid w:val="00387244"/>
    <w:rsid w:val="00394127"/>
    <w:rsid w:val="003949FF"/>
    <w:rsid w:val="00396F0C"/>
    <w:rsid w:val="003A0878"/>
    <w:rsid w:val="003A088D"/>
    <w:rsid w:val="003A1DFB"/>
    <w:rsid w:val="003A1F8E"/>
    <w:rsid w:val="003A21FB"/>
    <w:rsid w:val="003A2FC8"/>
    <w:rsid w:val="003A32E9"/>
    <w:rsid w:val="003A581E"/>
    <w:rsid w:val="003B161C"/>
    <w:rsid w:val="003B2391"/>
    <w:rsid w:val="003B3C04"/>
    <w:rsid w:val="003B5A0F"/>
    <w:rsid w:val="003B6939"/>
    <w:rsid w:val="003B6F4E"/>
    <w:rsid w:val="003B76A0"/>
    <w:rsid w:val="003C103B"/>
    <w:rsid w:val="003C14E5"/>
    <w:rsid w:val="003C2DF8"/>
    <w:rsid w:val="003C3083"/>
    <w:rsid w:val="003C5BE1"/>
    <w:rsid w:val="003C74A1"/>
    <w:rsid w:val="003D2AA0"/>
    <w:rsid w:val="003D3478"/>
    <w:rsid w:val="003D5138"/>
    <w:rsid w:val="003D61BF"/>
    <w:rsid w:val="003D7A49"/>
    <w:rsid w:val="003D7CD3"/>
    <w:rsid w:val="003E17CE"/>
    <w:rsid w:val="003E1A31"/>
    <w:rsid w:val="003E34B2"/>
    <w:rsid w:val="003E3A2B"/>
    <w:rsid w:val="003E40DD"/>
    <w:rsid w:val="003E57AA"/>
    <w:rsid w:val="003F1B17"/>
    <w:rsid w:val="003F4236"/>
    <w:rsid w:val="003F5043"/>
    <w:rsid w:val="00401F92"/>
    <w:rsid w:val="0040231C"/>
    <w:rsid w:val="0040668F"/>
    <w:rsid w:val="004073A2"/>
    <w:rsid w:val="00407EAB"/>
    <w:rsid w:val="004111C3"/>
    <w:rsid w:val="0041259B"/>
    <w:rsid w:val="00413655"/>
    <w:rsid w:val="00417C63"/>
    <w:rsid w:val="00420FA5"/>
    <w:rsid w:val="00422925"/>
    <w:rsid w:val="00423DC9"/>
    <w:rsid w:val="00423F9F"/>
    <w:rsid w:val="004242EB"/>
    <w:rsid w:val="00425554"/>
    <w:rsid w:val="004256F7"/>
    <w:rsid w:val="0042702D"/>
    <w:rsid w:val="00427BA2"/>
    <w:rsid w:val="00431FBF"/>
    <w:rsid w:val="00433233"/>
    <w:rsid w:val="0043363A"/>
    <w:rsid w:val="00433B59"/>
    <w:rsid w:val="0043587C"/>
    <w:rsid w:val="00440A17"/>
    <w:rsid w:val="004422D6"/>
    <w:rsid w:val="00442933"/>
    <w:rsid w:val="004450E1"/>
    <w:rsid w:val="004502E3"/>
    <w:rsid w:val="00451971"/>
    <w:rsid w:val="004526E5"/>
    <w:rsid w:val="00454846"/>
    <w:rsid w:val="00457B1E"/>
    <w:rsid w:val="004611BA"/>
    <w:rsid w:val="00462D9F"/>
    <w:rsid w:val="00464A11"/>
    <w:rsid w:val="00465061"/>
    <w:rsid w:val="004653F5"/>
    <w:rsid w:val="00470667"/>
    <w:rsid w:val="004754F9"/>
    <w:rsid w:val="004778AC"/>
    <w:rsid w:val="00481990"/>
    <w:rsid w:val="00485DF9"/>
    <w:rsid w:val="004865D1"/>
    <w:rsid w:val="004879F6"/>
    <w:rsid w:val="00490535"/>
    <w:rsid w:val="00491C10"/>
    <w:rsid w:val="0049241A"/>
    <w:rsid w:val="0049795A"/>
    <w:rsid w:val="004A0A92"/>
    <w:rsid w:val="004A269E"/>
    <w:rsid w:val="004A34D2"/>
    <w:rsid w:val="004A5E7F"/>
    <w:rsid w:val="004A71A3"/>
    <w:rsid w:val="004A7825"/>
    <w:rsid w:val="004B226F"/>
    <w:rsid w:val="004C3674"/>
    <w:rsid w:val="004C4372"/>
    <w:rsid w:val="004C5F43"/>
    <w:rsid w:val="004C7670"/>
    <w:rsid w:val="004D004E"/>
    <w:rsid w:val="004D0BA1"/>
    <w:rsid w:val="004D11C3"/>
    <w:rsid w:val="004D4750"/>
    <w:rsid w:val="004D7B9C"/>
    <w:rsid w:val="004E286B"/>
    <w:rsid w:val="004E2ED2"/>
    <w:rsid w:val="004E39CE"/>
    <w:rsid w:val="004E3EB9"/>
    <w:rsid w:val="004E5641"/>
    <w:rsid w:val="004E5830"/>
    <w:rsid w:val="004E5F22"/>
    <w:rsid w:val="004E6421"/>
    <w:rsid w:val="004E6C48"/>
    <w:rsid w:val="004F10EB"/>
    <w:rsid w:val="004F30FE"/>
    <w:rsid w:val="004F4B91"/>
    <w:rsid w:val="004F74DA"/>
    <w:rsid w:val="0050433C"/>
    <w:rsid w:val="00504A12"/>
    <w:rsid w:val="00506297"/>
    <w:rsid w:val="0051074C"/>
    <w:rsid w:val="00511A63"/>
    <w:rsid w:val="00513AF2"/>
    <w:rsid w:val="00514B29"/>
    <w:rsid w:val="00515011"/>
    <w:rsid w:val="00515C4C"/>
    <w:rsid w:val="0051676C"/>
    <w:rsid w:val="00516B6F"/>
    <w:rsid w:val="00520AAF"/>
    <w:rsid w:val="005211A1"/>
    <w:rsid w:val="00522B1C"/>
    <w:rsid w:val="005240F8"/>
    <w:rsid w:val="005249DF"/>
    <w:rsid w:val="005257E3"/>
    <w:rsid w:val="0053014B"/>
    <w:rsid w:val="005318B1"/>
    <w:rsid w:val="00532CE4"/>
    <w:rsid w:val="00534702"/>
    <w:rsid w:val="00535360"/>
    <w:rsid w:val="00535B5E"/>
    <w:rsid w:val="00535DEE"/>
    <w:rsid w:val="0054413A"/>
    <w:rsid w:val="005465A7"/>
    <w:rsid w:val="00550A52"/>
    <w:rsid w:val="00550F70"/>
    <w:rsid w:val="00551097"/>
    <w:rsid w:val="005518AC"/>
    <w:rsid w:val="0055204C"/>
    <w:rsid w:val="005524A3"/>
    <w:rsid w:val="005530A5"/>
    <w:rsid w:val="00553803"/>
    <w:rsid w:val="0055600F"/>
    <w:rsid w:val="005564CA"/>
    <w:rsid w:val="005606DA"/>
    <w:rsid w:val="0056182B"/>
    <w:rsid w:val="005618A8"/>
    <w:rsid w:val="00562631"/>
    <w:rsid w:val="00564327"/>
    <w:rsid w:val="005669CA"/>
    <w:rsid w:val="00566C61"/>
    <w:rsid w:val="00567A3B"/>
    <w:rsid w:val="005702B9"/>
    <w:rsid w:val="005756AA"/>
    <w:rsid w:val="0057632F"/>
    <w:rsid w:val="005771CB"/>
    <w:rsid w:val="00577637"/>
    <w:rsid w:val="005818C5"/>
    <w:rsid w:val="00581957"/>
    <w:rsid w:val="00583F0D"/>
    <w:rsid w:val="005842CF"/>
    <w:rsid w:val="005855A9"/>
    <w:rsid w:val="00587290"/>
    <w:rsid w:val="00587C4A"/>
    <w:rsid w:val="005910E7"/>
    <w:rsid w:val="00591277"/>
    <w:rsid w:val="005922F1"/>
    <w:rsid w:val="005966EB"/>
    <w:rsid w:val="0059728F"/>
    <w:rsid w:val="005A01A9"/>
    <w:rsid w:val="005A1FC6"/>
    <w:rsid w:val="005A66AD"/>
    <w:rsid w:val="005B0BCD"/>
    <w:rsid w:val="005B1221"/>
    <w:rsid w:val="005B14E3"/>
    <w:rsid w:val="005B1D34"/>
    <w:rsid w:val="005B1FDF"/>
    <w:rsid w:val="005B48FF"/>
    <w:rsid w:val="005B5C08"/>
    <w:rsid w:val="005C056B"/>
    <w:rsid w:val="005C332A"/>
    <w:rsid w:val="005C4E30"/>
    <w:rsid w:val="005C575C"/>
    <w:rsid w:val="005C7180"/>
    <w:rsid w:val="005D0327"/>
    <w:rsid w:val="005D21CA"/>
    <w:rsid w:val="005D33BD"/>
    <w:rsid w:val="005D51FA"/>
    <w:rsid w:val="005D5F25"/>
    <w:rsid w:val="005D791B"/>
    <w:rsid w:val="005E2117"/>
    <w:rsid w:val="005E22FA"/>
    <w:rsid w:val="005E2371"/>
    <w:rsid w:val="005E468B"/>
    <w:rsid w:val="005E4DE5"/>
    <w:rsid w:val="005E5F39"/>
    <w:rsid w:val="005E644F"/>
    <w:rsid w:val="005F2E31"/>
    <w:rsid w:val="005F5E60"/>
    <w:rsid w:val="006014A6"/>
    <w:rsid w:val="00603890"/>
    <w:rsid w:val="00603D5E"/>
    <w:rsid w:val="0060403B"/>
    <w:rsid w:val="006106C2"/>
    <w:rsid w:val="00611084"/>
    <w:rsid w:val="006127F4"/>
    <w:rsid w:val="00614817"/>
    <w:rsid w:val="00621FC5"/>
    <w:rsid w:val="0062433C"/>
    <w:rsid w:val="006252A9"/>
    <w:rsid w:val="006253AA"/>
    <w:rsid w:val="00627624"/>
    <w:rsid w:val="00632BEA"/>
    <w:rsid w:val="00633DBF"/>
    <w:rsid w:val="00636660"/>
    <w:rsid w:val="00636F9E"/>
    <w:rsid w:val="0063706B"/>
    <w:rsid w:val="00642D35"/>
    <w:rsid w:val="00651C84"/>
    <w:rsid w:val="00655371"/>
    <w:rsid w:val="006617EB"/>
    <w:rsid w:val="00663A60"/>
    <w:rsid w:val="00666E51"/>
    <w:rsid w:val="0066715E"/>
    <w:rsid w:val="00667403"/>
    <w:rsid w:val="0067191A"/>
    <w:rsid w:val="006724A7"/>
    <w:rsid w:val="006724FF"/>
    <w:rsid w:val="006756C2"/>
    <w:rsid w:val="00676247"/>
    <w:rsid w:val="006771B0"/>
    <w:rsid w:val="0067795F"/>
    <w:rsid w:val="006823F1"/>
    <w:rsid w:val="00682AEE"/>
    <w:rsid w:val="0068493A"/>
    <w:rsid w:val="006862F2"/>
    <w:rsid w:val="006865BA"/>
    <w:rsid w:val="00691854"/>
    <w:rsid w:val="00694B83"/>
    <w:rsid w:val="00695471"/>
    <w:rsid w:val="00697665"/>
    <w:rsid w:val="00697F41"/>
    <w:rsid w:val="006A020E"/>
    <w:rsid w:val="006A0461"/>
    <w:rsid w:val="006A58F7"/>
    <w:rsid w:val="006A7CB5"/>
    <w:rsid w:val="006A7FD0"/>
    <w:rsid w:val="006B11CF"/>
    <w:rsid w:val="006B16AA"/>
    <w:rsid w:val="006B1FE2"/>
    <w:rsid w:val="006C089F"/>
    <w:rsid w:val="006C5B2E"/>
    <w:rsid w:val="006C7D5D"/>
    <w:rsid w:val="006D0D2C"/>
    <w:rsid w:val="006D1B29"/>
    <w:rsid w:val="006D1E2E"/>
    <w:rsid w:val="006D5C2F"/>
    <w:rsid w:val="006D7687"/>
    <w:rsid w:val="006E0572"/>
    <w:rsid w:val="006E21A5"/>
    <w:rsid w:val="006E225B"/>
    <w:rsid w:val="006E32E5"/>
    <w:rsid w:val="006E5206"/>
    <w:rsid w:val="006E69E3"/>
    <w:rsid w:val="006E7122"/>
    <w:rsid w:val="006F376A"/>
    <w:rsid w:val="006F410C"/>
    <w:rsid w:val="00700727"/>
    <w:rsid w:val="007049F5"/>
    <w:rsid w:val="007052C5"/>
    <w:rsid w:val="00705631"/>
    <w:rsid w:val="00707163"/>
    <w:rsid w:val="0071064E"/>
    <w:rsid w:val="007110B3"/>
    <w:rsid w:val="00711153"/>
    <w:rsid w:val="00711674"/>
    <w:rsid w:val="007157DD"/>
    <w:rsid w:val="00715EAA"/>
    <w:rsid w:val="00716537"/>
    <w:rsid w:val="007169B5"/>
    <w:rsid w:val="00722D5E"/>
    <w:rsid w:val="007250B1"/>
    <w:rsid w:val="00725B0A"/>
    <w:rsid w:val="00726711"/>
    <w:rsid w:val="00727262"/>
    <w:rsid w:val="007306D5"/>
    <w:rsid w:val="007320B4"/>
    <w:rsid w:val="007325BE"/>
    <w:rsid w:val="00732D07"/>
    <w:rsid w:val="00735B6D"/>
    <w:rsid w:val="00736A81"/>
    <w:rsid w:val="00736F43"/>
    <w:rsid w:val="007426AB"/>
    <w:rsid w:val="00742907"/>
    <w:rsid w:val="00742DD2"/>
    <w:rsid w:val="0074520C"/>
    <w:rsid w:val="0074677F"/>
    <w:rsid w:val="00746E08"/>
    <w:rsid w:val="007474B6"/>
    <w:rsid w:val="00747BA0"/>
    <w:rsid w:val="00747C1F"/>
    <w:rsid w:val="00747C96"/>
    <w:rsid w:val="0075094E"/>
    <w:rsid w:val="007522E8"/>
    <w:rsid w:val="007539D6"/>
    <w:rsid w:val="00753C34"/>
    <w:rsid w:val="0075647A"/>
    <w:rsid w:val="00756CC1"/>
    <w:rsid w:val="00761E39"/>
    <w:rsid w:val="007634AD"/>
    <w:rsid w:val="007636A5"/>
    <w:rsid w:val="007666CD"/>
    <w:rsid w:val="00767E0E"/>
    <w:rsid w:val="00773B98"/>
    <w:rsid w:val="007767CE"/>
    <w:rsid w:val="007767E5"/>
    <w:rsid w:val="00776FCD"/>
    <w:rsid w:val="0077770B"/>
    <w:rsid w:val="0078055F"/>
    <w:rsid w:val="00780787"/>
    <w:rsid w:val="0078122E"/>
    <w:rsid w:val="00781306"/>
    <w:rsid w:val="0078446D"/>
    <w:rsid w:val="00791896"/>
    <w:rsid w:val="00795647"/>
    <w:rsid w:val="00796340"/>
    <w:rsid w:val="0079682C"/>
    <w:rsid w:val="007A262A"/>
    <w:rsid w:val="007A37B5"/>
    <w:rsid w:val="007A4344"/>
    <w:rsid w:val="007A48A0"/>
    <w:rsid w:val="007A7697"/>
    <w:rsid w:val="007B0854"/>
    <w:rsid w:val="007B6DC6"/>
    <w:rsid w:val="007B798B"/>
    <w:rsid w:val="007C58E6"/>
    <w:rsid w:val="007C5AFF"/>
    <w:rsid w:val="007C5EE7"/>
    <w:rsid w:val="007C66A0"/>
    <w:rsid w:val="007C719D"/>
    <w:rsid w:val="007D039A"/>
    <w:rsid w:val="007D0FE7"/>
    <w:rsid w:val="007D203D"/>
    <w:rsid w:val="007D3C61"/>
    <w:rsid w:val="007D4686"/>
    <w:rsid w:val="007D5E75"/>
    <w:rsid w:val="007E03E6"/>
    <w:rsid w:val="007E1017"/>
    <w:rsid w:val="007E296D"/>
    <w:rsid w:val="007E3ED6"/>
    <w:rsid w:val="007E7065"/>
    <w:rsid w:val="007F058F"/>
    <w:rsid w:val="007F224E"/>
    <w:rsid w:val="007F339D"/>
    <w:rsid w:val="007F35FE"/>
    <w:rsid w:val="007F57CC"/>
    <w:rsid w:val="007F6B46"/>
    <w:rsid w:val="007F72CB"/>
    <w:rsid w:val="008028DA"/>
    <w:rsid w:val="008038A2"/>
    <w:rsid w:val="00804B66"/>
    <w:rsid w:val="00805423"/>
    <w:rsid w:val="00805D10"/>
    <w:rsid w:val="00805E29"/>
    <w:rsid w:val="00811025"/>
    <w:rsid w:val="00811696"/>
    <w:rsid w:val="0081275C"/>
    <w:rsid w:val="00820342"/>
    <w:rsid w:val="008203DC"/>
    <w:rsid w:val="008217B7"/>
    <w:rsid w:val="00821D83"/>
    <w:rsid w:val="00821EB1"/>
    <w:rsid w:val="00823638"/>
    <w:rsid w:val="00823DDA"/>
    <w:rsid w:val="00824369"/>
    <w:rsid w:val="008256B5"/>
    <w:rsid w:val="00825FCE"/>
    <w:rsid w:val="0082603A"/>
    <w:rsid w:val="00826DF3"/>
    <w:rsid w:val="008271DC"/>
    <w:rsid w:val="00827885"/>
    <w:rsid w:val="0083119B"/>
    <w:rsid w:val="00832B5C"/>
    <w:rsid w:val="00833833"/>
    <w:rsid w:val="00833A23"/>
    <w:rsid w:val="008344DD"/>
    <w:rsid w:val="00836288"/>
    <w:rsid w:val="00836EAB"/>
    <w:rsid w:val="00837F02"/>
    <w:rsid w:val="0084101C"/>
    <w:rsid w:val="00842041"/>
    <w:rsid w:val="0084254F"/>
    <w:rsid w:val="00842892"/>
    <w:rsid w:val="00844902"/>
    <w:rsid w:val="0084512E"/>
    <w:rsid w:val="00846BC7"/>
    <w:rsid w:val="0085092D"/>
    <w:rsid w:val="00850F79"/>
    <w:rsid w:val="00852035"/>
    <w:rsid w:val="00852D8F"/>
    <w:rsid w:val="0085323E"/>
    <w:rsid w:val="0085358E"/>
    <w:rsid w:val="0085405F"/>
    <w:rsid w:val="0085643E"/>
    <w:rsid w:val="00864011"/>
    <w:rsid w:val="008653B4"/>
    <w:rsid w:val="00865AFF"/>
    <w:rsid w:val="00866274"/>
    <w:rsid w:val="00871C39"/>
    <w:rsid w:val="00873EA4"/>
    <w:rsid w:val="00874A3E"/>
    <w:rsid w:val="00874C6B"/>
    <w:rsid w:val="00877DC9"/>
    <w:rsid w:val="00880E1C"/>
    <w:rsid w:val="0088329E"/>
    <w:rsid w:val="008853EC"/>
    <w:rsid w:val="00887026"/>
    <w:rsid w:val="0089205D"/>
    <w:rsid w:val="008931AC"/>
    <w:rsid w:val="00894B8D"/>
    <w:rsid w:val="00895431"/>
    <w:rsid w:val="008956B8"/>
    <w:rsid w:val="008961C6"/>
    <w:rsid w:val="00896EAB"/>
    <w:rsid w:val="0089774F"/>
    <w:rsid w:val="008A31C3"/>
    <w:rsid w:val="008A34C1"/>
    <w:rsid w:val="008A577F"/>
    <w:rsid w:val="008B0135"/>
    <w:rsid w:val="008B134D"/>
    <w:rsid w:val="008B2223"/>
    <w:rsid w:val="008B4202"/>
    <w:rsid w:val="008B5546"/>
    <w:rsid w:val="008B602E"/>
    <w:rsid w:val="008C2CEB"/>
    <w:rsid w:val="008C2F58"/>
    <w:rsid w:val="008C455E"/>
    <w:rsid w:val="008C56D0"/>
    <w:rsid w:val="008D03AA"/>
    <w:rsid w:val="008D11DC"/>
    <w:rsid w:val="008D1663"/>
    <w:rsid w:val="008D306B"/>
    <w:rsid w:val="008D4363"/>
    <w:rsid w:val="008D4E03"/>
    <w:rsid w:val="008D50FC"/>
    <w:rsid w:val="008D5C96"/>
    <w:rsid w:val="008D5EC1"/>
    <w:rsid w:val="008D7B41"/>
    <w:rsid w:val="008E1C15"/>
    <w:rsid w:val="008E37F7"/>
    <w:rsid w:val="008E607A"/>
    <w:rsid w:val="008E63B4"/>
    <w:rsid w:val="008E6902"/>
    <w:rsid w:val="008F0CC4"/>
    <w:rsid w:val="008F23F0"/>
    <w:rsid w:val="008F4CB1"/>
    <w:rsid w:val="008F4F49"/>
    <w:rsid w:val="008F538E"/>
    <w:rsid w:val="008F73D4"/>
    <w:rsid w:val="009025EE"/>
    <w:rsid w:val="00902F50"/>
    <w:rsid w:val="009037F7"/>
    <w:rsid w:val="009038DA"/>
    <w:rsid w:val="009047C5"/>
    <w:rsid w:val="009118A9"/>
    <w:rsid w:val="00911B73"/>
    <w:rsid w:val="009125A3"/>
    <w:rsid w:val="00913F70"/>
    <w:rsid w:val="00916B6F"/>
    <w:rsid w:val="00922BB5"/>
    <w:rsid w:val="009236A5"/>
    <w:rsid w:val="00924595"/>
    <w:rsid w:val="00925A83"/>
    <w:rsid w:val="00926216"/>
    <w:rsid w:val="00926B4E"/>
    <w:rsid w:val="00932A9F"/>
    <w:rsid w:val="00932C0C"/>
    <w:rsid w:val="00933BB3"/>
    <w:rsid w:val="009357C7"/>
    <w:rsid w:val="00936424"/>
    <w:rsid w:val="00936D26"/>
    <w:rsid w:val="00936F04"/>
    <w:rsid w:val="00942E45"/>
    <w:rsid w:val="009437A1"/>
    <w:rsid w:val="00943CA6"/>
    <w:rsid w:val="009463B5"/>
    <w:rsid w:val="009502C8"/>
    <w:rsid w:val="0095328D"/>
    <w:rsid w:val="0095385A"/>
    <w:rsid w:val="00954523"/>
    <w:rsid w:val="00954FE7"/>
    <w:rsid w:val="009567DE"/>
    <w:rsid w:val="00956F89"/>
    <w:rsid w:val="00961B83"/>
    <w:rsid w:val="0096200D"/>
    <w:rsid w:val="00963161"/>
    <w:rsid w:val="00964562"/>
    <w:rsid w:val="00964AC4"/>
    <w:rsid w:val="00970615"/>
    <w:rsid w:val="009710BF"/>
    <w:rsid w:val="0097121F"/>
    <w:rsid w:val="009719CF"/>
    <w:rsid w:val="0097209F"/>
    <w:rsid w:val="00972BA0"/>
    <w:rsid w:val="00972FB2"/>
    <w:rsid w:val="009757AA"/>
    <w:rsid w:val="009757AF"/>
    <w:rsid w:val="009778E0"/>
    <w:rsid w:val="00977DA2"/>
    <w:rsid w:val="00980AC2"/>
    <w:rsid w:val="0098155D"/>
    <w:rsid w:val="00981711"/>
    <w:rsid w:val="00984452"/>
    <w:rsid w:val="00984782"/>
    <w:rsid w:val="00986565"/>
    <w:rsid w:val="009909E6"/>
    <w:rsid w:val="00991668"/>
    <w:rsid w:val="00993024"/>
    <w:rsid w:val="00995E94"/>
    <w:rsid w:val="009A29DE"/>
    <w:rsid w:val="009A597A"/>
    <w:rsid w:val="009A66DC"/>
    <w:rsid w:val="009A7FFB"/>
    <w:rsid w:val="009A7FFE"/>
    <w:rsid w:val="009B1ED5"/>
    <w:rsid w:val="009B2008"/>
    <w:rsid w:val="009B3F99"/>
    <w:rsid w:val="009B45B0"/>
    <w:rsid w:val="009B6BEF"/>
    <w:rsid w:val="009C02E4"/>
    <w:rsid w:val="009C1692"/>
    <w:rsid w:val="009C2030"/>
    <w:rsid w:val="009C3386"/>
    <w:rsid w:val="009C4D3C"/>
    <w:rsid w:val="009C5B84"/>
    <w:rsid w:val="009C5CA0"/>
    <w:rsid w:val="009D166E"/>
    <w:rsid w:val="009D17A0"/>
    <w:rsid w:val="009D31DA"/>
    <w:rsid w:val="009D56B5"/>
    <w:rsid w:val="009D6AF2"/>
    <w:rsid w:val="009D76A3"/>
    <w:rsid w:val="009D7902"/>
    <w:rsid w:val="009E4079"/>
    <w:rsid w:val="009E5821"/>
    <w:rsid w:val="009E6061"/>
    <w:rsid w:val="009E6707"/>
    <w:rsid w:val="009E7136"/>
    <w:rsid w:val="009F0A48"/>
    <w:rsid w:val="009F1D95"/>
    <w:rsid w:val="009F59C2"/>
    <w:rsid w:val="009F75EF"/>
    <w:rsid w:val="009F7B7A"/>
    <w:rsid w:val="009F7D6C"/>
    <w:rsid w:val="00A038CC"/>
    <w:rsid w:val="00A03B66"/>
    <w:rsid w:val="00A0465D"/>
    <w:rsid w:val="00A06271"/>
    <w:rsid w:val="00A069A2"/>
    <w:rsid w:val="00A146D1"/>
    <w:rsid w:val="00A20D98"/>
    <w:rsid w:val="00A24560"/>
    <w:rsid w:val="00A2589B"/>
    <w:rsid w:val="00A30A8B"/>
    <w:rsid w:val="00A31C80"/>
    <w:rsid w:val="00A34538"/>
    <w:rsid w:val="00A34B3E"/>
    <w:rsid w:val="00A36A2C"/>
    <w:rsid w:val="00A376C8"/>
    <w:rsid w:val="00A37FB6"/>
    <w:rsid w:val="00A43A0E"/>
    <w:rsid w:val="00A44989"/>
    <w:rsid w:val="00A44B78"/>
    <w:rsid w:val="00A45B69"/>
    <w:rsid w:val="00A4743D"/>
    <w:rsid w:val="00A5023D"/>
    <w:rsid w:val="00A511A7"/>
    <w:rsid w:val="00A513FF"/>
    <w:rsid w:val="00A51B9D"/>
    <w:rsid w:val="00A547AE"/>
    <w:rsid w:val="00A54903"/>
    <w:rsid w:val="00A56A5E"/>
    <w:rsid w:val="00A628BC"/>
    <w:rsid w:val="00A6375C"/>
    <w:rsid w:val="00A65C0C"/>
    <w:rsid w:val="00A66552"/>
    <w:rsid w:val="00A67EC3"/>
    <w:rsid w:val="00A7170D"/>
    <w:rsid w:val="00A71D21"/>
    <w:rsid w:val="00A71D68"/>
    <w:rsid w:val="00A758A6"/>
    <w:rsid w:val="00A75EAB"/>
    <w:rsid w:val="00A7777A"/>
    <w:rsid w:val="00A82997"/>
    <w:rsid w:val="00A8562F"/>
    <w:rsid w:val="00A85F66"/>
    <w:rsid w:val="00A874DE"/>
    <w:rsid w:val="00A90822"/>
    <w:rsid w:val="00A916B1"/>
    <w:rsid w:val="00A93678"/>
    <w:rsid w:val="00A94376"/>
    <w:rsid w:val="00A94E66"/>
    <w:rsid w:val="00A94F81"/>
    <w:rsid w:val="00A96235"/>
    <w:rsid w:val="00A9781C"/>
    <w:rsid w:val="00A9786A"/>
    <w:rsid w:val="00AA0731"/>
    <w:rsid w:val="00AA082E"/>
    <w:rsid w:val="00AA08E7"/>
    <w:rsid w:val="00AA2550"/>
    <w:rsid w:val="00AA367A"/>
    <w:rsid w:val="00AA442B"/>
    <w:rsid w:val="00AA5651"/>
    <w:rsid w:val="00AA669D"/>
    <w:rsid w:val="00AA6844"/>
    <w:rsid w:val="00AA7218"/>
    <w:rsid w:val="00AB11B1"/>
    <w:rsid w:val="00AB11CA"/>
    <w:rsid w:val="00AB12E9"/>
    <w:rsid w:val="00AB3D53"/>
    <w:rsid w:val="00AB48BA"/>
    <w:rsid w:val="00AB626C"/>
    <w:rsid w:val="00AB68E7"/>
    <w:rsid w:val="00AC3505"/>
    <w:rsid w:val="00AC754B"/>
    <w:rsid w:val="00AD0716"/>
    <w:rsid w:val="00AD0863"/>
    <w:rsid w:val="00AD0D7E"/>
    <w:rsid w:val="00AD0E40"/>
    <w:rsid w:val="00AD4293"/>
    <w:rsid w:val="00AD6002"/>
    <w:rsid w:val="00AD68F5"/>
    <w:rsid w:val="00AD6B6D"/>
    <w:rsid w:val="00AE0858"/>
    <w:rsid w:val="00AE0A52"/>
    <w:rsid w:val="00AE1628"/>
    <w:rsid w:val="00AE1DE2"/>
    <w:rsid w:val="00AF0404"/>
    <w:rsid w:val="00AF09E8"/>
    <w:rsid w:val="00AF140C"/>
    <w:rsid w:val="00AF24D9"/>
    <w:rsid w:val="00AF258A"/>
    <w:rsid w:val="00AF3336"/>
    <w:rsid w:val="00AF48C5"/>
    <w:rsid w:val="00AF49FA"/>
    <w:rsid w:val="00AF6B9A"/>
    <w:rsid w:val="00B00900"/>
    <w:rsid w:val="00B029B3"/>
    <w:rsid w:val="00B0378A"/>
    <w:rsid w:val="00B04D3D"/>
    <w:rsid w:val="00B07DB7"/>
    <w:rsid w:val="00B13EC0"/>
    <w:rsid w:val="00B1432D"/>
    <w:rsid w:val="00B17B43"/>
    <w:rsid w:val="00B203BB"/>
    <w:rsid w:val="00B20A0B"/>
    <w:rsid w:val="00B222C1"/>
    <w:rsid w:val="00B22E22"/>
    <w:rsid w:val="00B23071"/>
    <w:rsid w:val="00B243F8"/>
    <w:rsid w:val="00B249E0"/>
    <w:rsid w:val="00B31971"/>
    <w:rsid w:val="00B34B3F"/>
    <w:rsid w:val="00B4049E"/>
    <w:rsid w:val="00B42122"/>
    <w:rsid w:val="00B42B3D"/>
    <w:rsid w:val="00B43C08"/>
    <w:rsid w:val="00B44228"/>
    <w:rsid w:val="00B4671D"/>
    <w:rsid w:val="00B47176"/>
    <w:rsid w:val="00B4795A"/>
    <w:rsid w:val="00B51DD2"/>
    <w:rsid w:val="00B525CB"/>
    <w:rsid w:val="00B52760"/>
    <w:rsid w:val="00B549D6"/>
    <w:rsid w:val="00B54F61"/>
    <w:rsid w:val="00B557DB"/>
    <w:rsid w:val="00B564AD"/>
    <w:rsid w:val="00B5792C"/>
    <w:rsid w:val="00B60B79"/>
    <w:rsid w:val="00B61053"/>
    <w:rsid w:val="00B63872"/>
    <w:rsid w:val="00B63CB2"/>
    <w:rsid w:val="00B64EDB"/>
    <w:rsid w:val="00B6557B"/>
    <w:rsid w:val="00B669BC"/>
    <w:rsid w:val="00B70310"/>
    <w:rsid w:val="00B7202F"/>
    <w:rsid w:val="00B7315F"/>
    <w:rsid w:val="00B73B1B"/>
    <w:rsid w:val="00B73CC4"/>
    <w:rsid w:val="00B73FCA"/>
    <w:rsid w:val="00B7441D"/>
    <w:rsid w:val="00B7752B"/>
    <w:rsid w:val="00B80D67"/>
    <w:rsid w:val="00B80F66"/>
    <w:rsid w:val="00B823D7"/>
    <w:rsid w:val="00B83F81"/>
    <w:rsid w:val="00B866CA"/>
    <w:rsid w:val="00B90FEF"/>
    <w:rsid w:val="00B91B8E"/>
    <w:rsid w:val="00B93192"/>
    <w:rsid w:val="00B93FCC"/>
    <w:rsid w:val="00B9509D"/>
    <w:rsid w:val="00B95CAE"/>
    <w:rsid w:val="00B96300"/>
    <w:rsid w:val="00B96396"/>
    <w:rsid w:val="00B96618"/>
    <w:rsid w:val="00BA1616"/>
    <w:rsid w:val="00BA254F"/>
    <w:rsid w:val="00BA42A3"/>
    <w:rsid w:val="00BA4987"/>
    <w:rsid w:val="00BA6AD7"/>
    <w:rsid w:val="00BB029D"/>
    <w:rsid w:val="00BB1591"/>
    <w:rsid w:val="00BB287C"/>
    <w:rsid w:val="00BB2AD6"/>
    <w:rsid w:val="00BB56B4"/>
    <w:rsid w:val="00BB5D46"/>
    <w:rsid w:val="00BB6522"/>
    <w:rsid w:val="00BC207A"/>
    <w:rsid w:val="00BC5918"/>
    <w:rsid w:val="00BC5BF9"/>
    <w:rsid w:val="00BC65A6"/>
    <w:rsid w:val="00BC69CF"/>
    <w:rsid w:val="00BC7852"/>
    <w:rsid w:val="00BC7BCA"/>
    <w:rsid w:val="00BC7F75"/>
    <w:rsid w:val="00BD0D98"/>
    <w:rsid w:val="00BD2054"/>
    <w:rsid w:val="00BD20B7"/>
    <w:rsid w:val="00BD319C"/>
    <w:rsid w:val="00BD453F"/>
    <w:rsid w:val="00BD78FE"/>
    <w:rsid w:val="00BE659F"/>
    <w:rsid w:val="00BF20DA"/>
    <w:rsid w:val="00BF3C32"/>
    <w:rsid w:val="00C00612"/>
    <w:rsid w:val="00C0161A"/>
    <w:rsid w:val="00C01718"/>
    <w:rsid w:val="00C073AA"/>
    <w:rsid w:val="00C076F8"/>
    <w:rsid w:val="00C1033A"/>
    <w:rsid w:val="00C109D1"/>
    <w:rsid w:val="00C11B63"/>
    <w:rsid w:val="00C12961"/>
    <w:rsid w:val="00C134E7"/>
    <w:rsid w:val="00C147E7"/>
    <w:rsid w:val="00C14E6C"/>
    <w:rsid w:val="00C22847"/>
    <w:rsid w:val="00C228D0"/>
    <w:rsid w:val="00C22B1B"/>
    <w:rsid w:val="00C23C1B"/>
    <w:rsid w:val="00C31D25"/>
    <w:rsid w:val="00C346D2"/>
    <w:rsid w:val="00C401D8"/>
    <w:rsid w:val="00C44C26"/>
    <w:rsid w:val="00C45698"/>
    <w:rsid w:val="00C4573A"/>
    <w:rsid w:val="00C47A23"/>
    <w:rsid w:val="00C5231C"/>
    <w:rsid w:val="00C525DC"/>
    <w:rsid w:val="00C54BDA"/>
    <w:rsid w:val="00C55132"/>
    <w:rsid w:val="00C55CB0"/>
    <w:rsid w:val="00C61019"/>
    <w:rsid w:val="00C639F6"/>
    <w:rsid w:val="00C717C7"/>
    <w:rsid w:val="00C71B6D"/>
    <w:rsid w:val="00C76B05"/>
    <w:rsid w:val="00C80F09"/>
    <w:rsid w:val="00C81938"/>
    <w:rsid w:val="00C8276B"/>
    <w:rsid w:val="00C83AA2"/>
    <w:rsid w:val="00C841F4"/>
    <w:rsid w:val="00C92908"/>
    <w:rsid w:val="00C96FF0"/>
    <w:rsid w:val="00C972A2"/>
    <w:rsid w:val="00CA055A"/>
    <w:rsid w:val="00CA0F39"/>
    <w:rsid w:val="00CA27D1"/>
    <w:rsid w:val="00CA31EA"/>
    <w:rsid w:val="00CA519C"/>
    <w:rsid w:val="00CA689E"/>
    <w:rsid w:val="00CB1E0E"/>
    <w:rsid w:val="00CB57B3"/>
    <w:rsid w:val="00CB5AD7"/>
    <w:rsid w:val="00CB622A"/>
    <w:rsid w:val="00CC00CD"/>
    <w:rsid w:val="00CC0CA7"/>
    <w:rsid w:val="00CC59C9"/>
    <w:rsid w:val="00CC62AE"/>
    <w:rsid w:val="00CC635B"/>
    <w:rsid w:val="00CD0263"/>
    <w:rsid w:val="00CD2160"/>
    <w:rsid w:val="00CD34C9"/>
    <w:rsid w:val="00CD3EF0"/>
    <w:rsid w:val="00CD6760"/>
    <w:rsid w:val="00CE198E"/>
    <w:rsid w:val="00CE39C7"/>
    <w:rsid w:val="00CE483A"/>
    <w:rsid w:val="00CE7356"/>
    <w:rsid w:val="00CF37E7"/>
    <w:rsid w:val="00CF414F"/>
    <w:rsid w:val="00CF6735"/>
    <w:rsid w:val="00CF6BF5"/>
    <w:rsid w:val="00CF7AF4"/>
    <w:rsid w:val="00D01760"/>
    <w:rsid w:val="00D01902"/>
    <w:rsid w:val="00D0239D"/>
    <w:rsid w:val="00D03073"/>
    <w:rsid w:val="00D05667"/>
    <w:rsid w:val="00D07D60"/>
    <w:rsid w:val="00D10EC1"/>
    <w:rsid w:val="00D12BA5"/>
    <w:rsid w:val="00D131C0"/>
    <w:rsid w:val="00D14533"/>
    <w:rsid w:val="00D152ED"/>
    <w:rsid w:val="00D16E39"/>
    <w:rsid w:val="00D202BE"/>
    <w:rsid w:val="00D2067F"/>
    <w:rsid w:val="00D20D74"/>
    <w:rsid w:val="00D223B6"/>
    <w:rsid w:val="00D227BD"/>
    <w:rsid w:val="00D22A38"/>
    <w:rsid w:val="00D22DE2"/>
    <w:rsid w:val="00D2318A"/>
    <w:rsid w:val="00D32424"/>
    <w:rsid w:val="00D338C8"/>
    <w:rsid w:val="00D33C21"/>
    <w:rsid w:val="00D33C9D"/>
    <w:rsid w:val="00D3450E"/>
    <w:rsid w:val="00D34DFE"/>
    <w:rsid w:val="00D367D6"/>
    <w:rsid w:val="00D400AE"/>
    <w:rsid w:val="00D42442"/>
    <w:rsid w:val="00D42465"/>
    <w:rsid w:val="00D4795D"/>
    <w:rsid w:val="00D50E46"/>
    <w:rsid w:val="00D52525"/>
    <w:rsid w:val="00D60327"/>
    <w:rsid w:val="00D6042C"/>
    <w:rsid w:val="00D605EE"/>
    <w:rsid w:val="00D60A44"/>
    <w:rsid w:val="00D620B8"/>
    <w:rsid w:val="00D62EDA"/>
    <w:rsid w:val="00D64E1D"/>
    <w:rsid w:val="00D67AC3"/>
    <w:rsid w:val="00D67FE7"/>
    <w:rsid w:val="00D70889"/>
    <w:rsid w:val="00D72E9D"/>
    <w:rsid w:val="00D75FFD"/>
    <w:rsid w:val="00D81216"/>
    <w:rsid w:val="00D82CE5"/>
    <w:rsid w:val="00D850ED"/>
    <w:rsid w:val="00D85290"/>
    <w:rsid w:val="00D86513"/>
    <w:rsid w:val="00D90688"/>
    <w:rsid w:val="00D90AF9"/>
    <w:rsid w:val="00D91F82"/>
    <w:rsid w:val="00D9326E"/>
    <w:rsid w:val="00D933AB"/>
    <w:rsid w:val="00D93E7A"/>
    <w:rsid w:val="00D94810"/>
    <w:rsid w:val="00D955E2"/>
    <w:rsid w:val="00D96A9A"/>
    <w:rsid w:val="00D97E4C"/>
    <w:rsid w:val="00DA04A6"/>
    <w:rsid w:val="00DA3165"/>
    <w:rsid w:val="00DA3B69"/>
    <w:rsid w:val="00DA40C0"/>
    <w:rsid w:val="00DA4B56"/>
    <w:rsid w:val="00DA5AB1"/>
    <w:rsid w:val="00DB1A88"/>
    <w:rsid w:val="00DB2CF1"/>
    <w:rsid w:val="00DB4A47"/>
    <w:rsid w:val="00DB5463"/>
    <w:rsid w:val="00DC0143"/>
    <w:rsid w:val="00DC1765"/>
    <w:rsid w:val="00DC37D1"/>
    <w:rsid w:val="00DC5CD3"/>
    <w:rsid w:val="00DC62E5"/>
    <w:rsid w:val="00DC7D0F"/>
    <w:rsid w:val="00DD0C0F"/>
    <w:rsid w:val="00DD0EC3"/>
    <w:rsid w:val="00DD197D"/>
    <w:rsid w:val="00DD3B1B"/>
    <w:rsid w:val="00DD5776"/>
    <w:rsid w:val="00DD735D"/>
    <w:rsid w:val="00DD73CF"/>
    <w:rsid w:val="00DE171D"/>
    <w:rsid w:val="00DE192F"/>
    <w:rsid w:val="00DE1F83"/>
    <w:rsid w:val="00DE2229"/>
    <w:rsid w:val="00DE3119"/>
    <w:rsid w:val="00DE573E"/>
    <w:rsid w:val="00DF1778"/>
    <w:rsid w:val="00DF1EAF"/>
    <w:rsid w:val="00DF2157"/>
    <w:rsid w:val="00DF236B"/>
    <w:rsid w:val="00DF45FC"/>
    <w:rsid w:val="00DF7174"/>
    <w:rsid w:val="00E00498"/>
    <w:rsid w:val="00E0238C"/>
    <w:rsid w:val="00E04231"/>
    <w:rsid w:val="00E04388"/>
    <w:rsid w:val="00E0610E"/>
    <w:rsid w:val="00E06383"/>
    <w:rsid w:val="00E077F6"/>
    <w:rsid w:val="00E07F87"/>
    <w:rsid w:val="00E104B0"/>
    <w:rsid w:val="00E10BAD"/>
    <w:rsid w:val="00E125F3"/>
    <w:rsid w:val="00E12820"/>
    <w:rsid w:val="00E13AB8"/>
    <w:rsid w:val="00E13C2A"/>
    <w:rsid w:val="00E15564"/>
    <w:rsid w:val="00E15785"/>
    <w:rsid w:val="00E162BE"/>
    <w:rsid w:val="00E21C3B"/>
    <w:rsid w:val="00E241EF"/>
    <w:rsid w:val="00E257E5"/>
    <w:rsid w:val="00E25CB3"/>
    <w:rsid w:val="00E30B08"/>
    <w:rsid w:val="00E32439"/>
    <w:rsid w:val="00E33B62"/>
    <w:rsid w:val="00E34074"/>
    <w:rsid w:val="00E344D4"/>
    <w:rsid w:val="00E3610E"/>
    <w:rsid w:val="00E37F5F"/>
    <w:rsid w:val="00E40270"/>
    <w:rsid w:val="00E4143A"/>
    <w:rsid w:val="00E425F5"/>
    <w:rsid w:val="00E42F71"/>
    <w:rsid w:val="00E4379B"/>
    <w:rsid w:val="00E4405E"/>
    <w:rsid w:val="00E44593"/>
    <w:rsid w:val="00E446F2"/>
    <w:rsid w:val="00E44883"/>
    <w:rsid w:val="00E4768D"/>
    <w:rsid w:val="00E543DF"/>
    <w:rsid w:val="00E549B6"/>
    <w:rsid w:val="00E54B84"/>
    <w:rsid w:val="00E54F8D"/>
    <w:rsid w:val="00E55CE1"/>
    <w:rsid w:val="00E569CD"/>
    <w:rsid w:val="00E57122"/>
    <w:rsid w:val="00E60BCE"/>
    <w:rsid w:val="00E61051"/>
    <w:rsid w:val="00E62109"/>
    <w:rsid w:val="00E662AB"/>
    <w:rsid w:val="00E66A4D"/>
    <w:rsid w:val="00E7245B"/>
    <w:rsid w:val="00E73574"/>
    <w:rsid w:val="00E759D6"/>
    <w:rsid w:val="00E76D24"/>
    <w:rsid w:val="00E76FD8"/>
    <w:rsid w:val="00E8249B"/>
    <w:rsid w:val="00E842C7"/>
    <w:rsid w:val="00E84B6B"/>
    <w:rsid w:val="00E923AC"/>
    <w:rsid w:val="00E939B8"/>
    <w:rsid w:val="00E94D24"/>
    <w:rsid w:val="00EA067A"/>
    <w:rsid w:val="00EA28BE"/>
    <w:rsid w:val="00EA2DA1"/>
    <w:rsid w:val="00EA4A11"/>
    <w:rsid w:val="00EA5340"/>
    <w:rsid w:val="00EA6929"/>
    <w:rsid w:val="00EA6ACD"/>
    <w:rsid w:val="00EB06A1"/>
    <w:rsid w:val="00EB0D6D"/>
    <w:rsid w:val="00EB130F"/>
    <w:rsid w:val="00EB5F9D"/>
    <w:rsid w:val="00EB63D6"/>
    <w:rsid w:val="00EB6D79"/>
    <w:rsid w:val="00EB6EB3"/>
    <w:rsid w:val="00EB718F"/>
    <w:rsid w:val="00EB7A68"/>
    <w:rsid w:val="00EC1BD9"/>
    <w:rsid w:val="00EC1E29"/>
    <w:rsid w:val="00EC2126"/>
    <w:rsid w:val="00EC3B16"/>
    <w:rsid w:val="00EC5332"/>
    <w:rsid w:val="00EC5E22"/>
    <w:rsid w:val="00ED0C11"/>
    <w:rsid w:val="00ED11F6"/>
    <w:rsid w:val="00ED415C"/>
    <w:rsid w:val="00ED6869"/>
    <w:rsid w:val="00EE1AB7"/>
    <w:rsid w:val="00EE2D4B"/>
    <w:rsid w:val="00EE55F8"/>
    <w:rsid w:val="00EE59B5"/>
    <w:rsid w:val="00EE6ABD"/>
    <w:rsid w:val="00EF36E1"/>
    <w:rsid w:val="00EF49A7"/>
    <w:rsid w:val="00F0060E"/>
    <w:rsid w:val="00F006BE"/>
    <w:rsid w:val="00F018C5"/>
    <w:rsid w:val="00F02984"/>
    <w:rsid w:val="00F031BB"/>
    <w:rsid w:val="00F04D9A"/>
    <w:rsid w:val="00F06A7F"/>
    <w:rsid w:val="00F07882"/>
    <w:rsid w:val="00F10B89"/>
    <w:rsid w:val="00F116F4"/>
    <w:rsid w:val="00F117EF"/>
    <w:rsid w:val="00F13BB4"/>
    <w:rsid w:val="00F1432A"/>
    <w:rsid w:val="00F144D8"/>
    <w:rsid w:val="00F14F74"/>
    <w:rsid w:val="00F2114F"/>
    <w:rsid w:val="00F2156D"/>
    <w:rsid w:val="00F21D2C"/>
    <w:rsid w:val="00F22E4E"/>
    <w:rsid w:val="00F22F5E"/>
    <w:rsid w:val="00F23EA0"/>
    <w:rsid w:val="00F25C6D"/>
    <w:rsid w:val="00F26D1D"/>
    <w:rsid w:val="00F2716F"/>
    <w:rsid w:val="00F278FC"/>
    <w:rsid w:val="00F31A20"/>
    <w:rsid w:val="00F3308A"/>
    <w:rsid w:val="00F367CB"/>
    <w:rsid w:val="00F375BE"/>
    <w:rsid w:val="00F424C5"/>
    <w:rsid w:val="00F4747B"/>
    <w:rsid w:val="00F52861"/>
    <w:rsid w:val="00F57221"/>
    <w:rsid w:val="00F62605"/>
    <w:rsid w:val="00F626C9"/>
    <w:rsid w:val="00F63D56"/>
    <w:rsid w:val="00F65BF1"/>
    <w:rsid w:val="00F66AB9"/>
    <w:rsid w:val="00F66C7C"/>
    <w:rsid w:val="00F7181B"/>
    <w:rsid w:val="00F74A9B"/>
    <w:rsid w:val="00F75EE3"/>
    <w:rsid w:val="00F8147A"/>
    <w:rsid w:val="00F828C7"/>
    <w:rsid w:val="00F84899"/>
    <w:rsid w:val="00F859F0"/>
    <w:rsid w:val="00F86D1E"/>
    <w:rsid w:val="00F8799D"/>
    <w:rsid w:val="00F9063B"/>
    <w:rsid w:val="00F92807"/>
    <w:rsid w:val="00FA1342"/>
    <w:rsid w:val="00FA1644"/>
    <w:rsid w:val="00FA2B47"/>
    <w:rsid w:val="00FA4BA7"/>
    <w:rsid w:val="00FA4E68"/>
    <w:rsid w:val="00FB0979"/>
    <w:rsid w:val="00FB31DA"/>
    <w:rsid w:val="00FB536E"/>
    <w:rsid w:val="00FB58A6"/>
    <w:rsid w:val="00FB7B6A"/>
    <w:rsid w:val="00FC0D0E"/>
    <w:rsid w:val="00FC29B2"/>
    <w:rsid w:val="00FC3419"/>
    <w:rsid w:val="00FC3AD6"/>
    <w:rsid w:val="00FC4C35"/>
    <w:rsid w:val="00FC7B9B"/>
    <w:rsid w:val="00FD2A7D"/>
    <w:rsid w:val="00FE0D9D"/>
    <w:rsid w:val="00FE141E"/>
    <w:rsid w:val="00FE18E2"/>
    <w:rsid w:val="00FE2E25"/>
    <w:rsid w:val="00FE405C"/>
    <w:rsid w:val="00FE42ED"/>
    <w:rsid w:val="00FE4DA6"/>
    <w:rsid w:val="00FE6C21"/>
    <w:rsid w:val="00FE7C8A"/>
    <w:rsid w:val="00FE7D7C"/>
    <w:rsid w:val="00FF2D01"/>
    <w:rsid w:val="00FF44C6"/>
    <w:rsid w:val="00FF4B0C"/>
    <w:rsid w:val="00FF4D34"/>
    <w:rsid w:val="00FF672B"/>
    <w:rsid w:val="00FF7097"/>
    <w:rsid w:val="00FF7ACC"/>
    <w:rsid w:val="5218AF67"/>
    <w:rsid w:val="5912C351"/>
    <w:rsid w:val="69ABDB7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833A23"/>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semiHidden/>
    <w:rsid w:val="00833A23"/>
    <w:rPr>
      <w:rFonts w:eastAsiaTheme="minorEastAsia"/>
      <w:lang w:eastAsia="es-CO"/>
    </w:rPr>
  </w:style>
  <w:style w:type="paragraph" w:customStyle="1" w:styleId="paragraph">
    <w:name w:val="paragraph"/>
    <w:basedOn w:val="Normal"/>
    <w:rsid w:val="00182FE5"/>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182FE5"/>
  </w:style>
  <w:style w:type="character" w:customStyle="1" w:styleId="normaltextrun">
    <w:name w:val="normaltextrun"/>
    <w:basedOn w:val="Fuentedeprrafopredeter"/>
    <w:rsid w:val="00182FE5"/>
  </w:style>
  <w:style w:type="character" w:customStyle="1" w:styleId="eop">
    <w:name w:val="eop"/>
    <w:basedOn w:val="Fuentedeprrafopredeter"/>
    <w:rsid w:val="00182FE5"/>
  </w:style>
  <w:style w:type="character" w:customStyle="1" w:styleId="spellingerror">
    <w:name w:val="spellingerror"/>
    <w:basedOn w:val="Fuentedeprrafopredeter"/>
    <w:rsid w:val="00182FE5"/>
  </w:style>
  <w:style w:type="character" w:customStyle="1" w:styleId="baj">
    <w:name w:val="b_aj"/>
    <w:basedOn w:val="Fuentedeprrafopredeter"/>
    <w:rsid w:val="00DC7D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1710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7025951">
      <w:bodyDiv w:val="1"/>
      <w:marLeft w:val="0"/>
      <w:marRight w:val="0"/>
      <w:marTop w:val="0"/>
      <w:marBottom w:val="0"/>
      <w:divBdr>
        <w:top w:val="none" w:sz="0" w:space="0" w:color="auto"/>
        <w:left w:val="none" w:sz="0" w:space="0" w:color="auto"/>
        <w:bottom w:val="none" w:sz="0" w:space="0" w:color="auto"/>
        <w:right w:val="none" w:sz="0" w:space="0" w:color="auto"/>
      </w:divBdr>
    </w:div>
    <w:div w:id="11267449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3829910">
      <w:bodyDiv w:val="1"/>
      <w:marLeft w:val="0"/>
      <w:marRight w:val="0"/>
      <w:marTop w:val="0"/>
      <w:marBottom w:val="0"/>
      <w:divBdr>
        <w:top w:val="none" w:sz="0" w:space="0" w:color="auto"/>
        <w:left w:val="none" w:sz="0" w:space="0" w:color="auto"/>
        <w:bottom w:val="none" w:sz="0" w:space="0" w:color="auto"/>
        <w:right w:val="none" w:sz="0" w:space="0" w:color="auto"/>
      </w:divBdr>
    </w:div>
    <w:div w:id="25579403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4046160">
      <w:bodyDiv w:val="1"/>
      <w:marLeft w:val="0"/>
      <w:marRight w:val="0"/>
      <w:marTop w:val="0"/>
      <w:marBottom w:val="0"/>
      <w:divBdr>
        <w:top w:val="none" w:sz="0" w:space="0" w:color="auto"/>
        <w:left w:val="none" w:sz="0" w:space="0" w:color="auto"/>
        <w:bottom w:val="none" w:sz="0" w:space="0" w:color="auto"/>
        <w:right w:val="none" w:sz="0" w:space="0" w:color="auto"/>
      </w:divBdr>
    </w:div>
    <w:div w:id="374240645">
      <w:bodyDiv w:val="1"/>
      <w:marLeft w:val="0"/>
      <w:marRight w:val="0"/>
      <w:marTop w:val="0"/>
      <w:marBottom w:val="0"/>
      <w:divBdr>
        <w:top w:val="none" w:sz="0" w:space="0" w:color="auto"/>
        <w:left w:val="none" w:sz="0" w:space="0" w:color="auto"/>
        <w:bottom w:val="none" w:sz="0" w:space="0" w:color="auto"/>
        <w:right w:val="none" w:sz="0" w:space="0" w:color="auto"/>
      </w:divBdr>
    </w:div>
    <w:div w:id="393892844">
      <w:bodyDiv w:val="1"/>
      <w:marLeft w:val="0"/>
      <w:marRight w:val="0"/>
      <w:marTop w:val="0"/>
      <w:marBottom w:val="0"/>
      <w:divBdr>
        <w:top w:val="none" w:sz="0" w:space="0" w:color="auto"/>
        <w:left w:val="none" w:sz="0" w:space="0" w:color="auto"/>
        <w:bottom w:val="none" w:sz="0" w:space="0" w:color="auto"/>
        <w:right w:val="none" w:sz="0" w:space="0" w:color="auto"/>
      </w:divBdr>
    </w:div>
    <w:div w:id="486631407">
      <w:bodyDiv w:val="1"/>
      <w:marLeft w:val="0"/>
      <w:marRight w:val="0"/>
      <w:marTop w:val="0"/>
      <w:marBottom w:val="0"/>
      <w:divBdr>
        <w:top w:val="none" w:sz="0" w:space="0" w:color="auto"/>
        <w:left w:val="none" w:sz="0" w:space="0" w:color="auto"/>
        <w:bottom w:val="none" w:sz="0" w:space="0" w:color="auto"/>
        <w:right w:val="none" w:sz="0" w:space="0" w:color="auto"/>
      </w:divBdr>
      <w:divsChild>
        <w:div w:id="176041521">
          <w:marLeft w:val="0"/>
          <w:marRight w:val="0"/>
          <w:marTop w:val="0"/>
          <w:marBottom w:val="0"/>
          <w:divBdr>
            <w:top w:val="none" w:sz="0" w:space="0" w:color="auto"/>
            <w:left w:val="none" w:sz="0" w:space="0" w:color="auto"/>
            <w:bottom w:val="none" w:sz="0" w:space="0" w:color="auto"/>
            <w:right w:val="none" w:sz="0" w:space="0" w:color="auto"/>
          </w:divBdr>
        </w:div>
        <w:div w:id="641618397">
          <w:marLeft w:val="0"/>
          <w:marRight w:val="0"/>
          <w:marTop w:val="0"/>
          <w:marBottom w:val="0"/>
          <w:divBdr>
            <w:top w:val="none" w:sz="0" w:space="0" w:color="auto"/>
            <w:left w:val="none" w:sz="0" w:space="0" w:color="auto"/>
            <w:bottom w:val="none" w:sz="0" w:space="0" w:color="auto"/>
            <w:right w:val="none" w:sz="0" w:space="0" w:color="auto"/>
          </w:divBdr>
        </w:div>
        <w:div w:id="942348089">
          <w:marLeft w:val="0"/>
          <w:marRight w:val="0"/>
          <w:marTop w:val="0"/>
          <w:marBottom w:val="0"/>
          <w:divBdr>
            <w:top w:val="none" w:sz="0" w:space="0" w:color="auto"/>
            <w:left w:val="none" w:sz="0" w:space="0" w:color="auto"/>
            <w:bottom w:val="none" w:sz="0" w:space="0" w:color="auto"/>
            <w:right w:val="none" w:sz="0" w:space="0" w:color="auto"/>
          </w:divBdr>
        </w:div>
        <w:div w:id="122045357">
          <w:marLeft w:val="0"/>
          <w:marRight w:val="0"/>
          <w:marTop w:val="0"/>
          <w:marBottom w:val="0"/>
          <w:divBdr>
            <w:top w:val="none" w:sz="0" w:space="0" w:color="auto"/>
            <w:left w:val="none" w:sz="0" w:space="0" w:color="auto"/>
            <w:bottom w:val="none" w:sz="0" w:space="0" w:color="auto"/>
            <w:right w:val="none" w:sz="0" w:space="0" w:color="auto"/>
          </w:divBdr>
        </w:div>
        <w:div w:id="1562597630">
          <w:marLeft w:val="0"/>
          <w:marRight w:val="0"/>
          <w:marTop w:val="0"/>
          <w:marBottom w:val="0"/>
          <w:divBdr>
            <w:top w:val="none" w:sz="0" w:space="0" w:color="auto"/>
            <w:left w:val="none" w:sz="0" w:space="0" w:color="auto"/>
            <w:bottom w:val="none" w:sz="0" w:space="0" w:color="auto"/>
            <w:right w:val="none" w:sz="0" w:space="0" w:color="auto"/>
          </w:divBdr>
        </w:div>
        <w:div w:id="655040013">
          <w:marLeft w:val="0"/>
          <w:marRight w:val="0"/>
          <w:marTop w:val="0"/>
          <w:marBottom w:val="0"/>
          <w:divBdr>
            <w:top w:val="none" w:sz="0" w:space="0" w:color="auto"/>
            <w:left w:val="none" w:sz="0" w:space="0" w:color="auto"/>
            <w:bottom w:val="none" w:sz="0" w:space="0" w:color="auto"/>
            <w:right w:val="none" w:sz="0" w:space="0" w:color="auto"/>
          </w:divBdr>
        </w:div>
        <w:div w:id="1598439346">
          <w:marLeft w:val="0"/>
          <w:marRight w:val="0"/>
          <w:marTop w:val="0"/>
          <w:marBottom w:val="0"/>
          <w:divBdr>
            <w:top w:val="none" w:sz="0" w:space="0" w:color="auto"/>
            <w:left w:val="none" w:sz="0" w:space="0" w:color="auto"/>
            <w:bottom w:val="none" w:sz="0" w:space="0" w:color="auto"/>
            <w:right w:val="none" w:sz="0" w:space="0" w:color="auto"/>
          </w:divBdr>
        </w:div>
        <w:div w:id="721096271">
          <w:marLeft w:val="0"/>
          <w:marRight w:val="0"/>
          <w:marTop w:val="0"/>
          <w:marBottom w:val="0"/>
          <w:divBdr>
            <w:top w:val="none" w:sz="0" w:space="0" w:color="auto"/>
            <w:left w:val="none" w:sz="0" w:space="0" w:color="auto"/>
            <w:bottom w:val="none" w:sz="0" w:space="0" w:color="auto"/>
            <w:right w:val="none" w:sz="0" w:space="0" w:color="auto"/>
          </w:divBdr>
        </w:div>
        <w:div w:id="189227487">
          <w:marLeft w:val="0"/>
          <w:marRight w:val="0"/>
          <w:marTop w:val="0"/>
          <w:marBottom w:val="0"/>
          <w:divBdr>
            <w:top w:val="none" w:sz="0" w:space="0" w:color="auto"/>
            <w:left w:val="none" w:sz="0" w:space="0" w:color="auto"/>
            <w:bottom w:val="none" w:sz="0" w:space="0" w:color="auto"/>
            <w:right w:val="none" w:sz="0" w:space="0" w:color="auto"/>
          </w:divBdr>
        </w:div>
        <w:div w:id="1072431892">
          <w:marLeft w:val="0"/>
          <w:marRight w:val="0"/>
          <w:marTop w:val="0"/>
          <w:marBottom w:val="0"/>
          <w:divBdr>
            <w:top w:val="none" w:sz="0" w:space="0" w:color="auto"/>
            <w:left w:val="none" w:sz="0" w:space="0" w:color="auto"/>
            <w:bottom w:val="none" w:sz="0" w:space="0" w:color="auto"/>
            <w:right w:val="none" w:sz="0" w:space="0" w:color="auto"/>
          </w:divBdr>
        </w:div>
        <w:div w:id="695621469">
          <w:marLeft w:val="0"/>
          <w:marRight w:val="0"/>
          <w:marTop w:val="0"/>
          <w:marBottom w:val="0"/>
          <w:divBdr>
            <w:top w:val="none" w:sz="0" w:space="0" w:color="auto"/>
            <w:left w:val="none" w:sz="0" w:space="0" w:color="auto"/>
            <w:bottom w:val="none" w:sz="0" w:space="0" w:color="auto"/>
            <w:right w:val="none" w:sz="0" w:space="0" w:color="auto"/>
          </w:divBdr>
        </w:div>
      </w:divsChild>
    </w:div>
    <w:div w:id="517040653">
      <w:bodyDiv w:val="1"/>
      <w:marLeft w:val="0"/>
      <w:marRight w:val="0"/>
      <w:marTop w:val="0"/>
      <w:marBottom w:val="0"/>
      <w:divBdr>
        <w:top w:val="none" w:sz="0" w:space="0" w:color="auto"/>
        <w:left w:val="none" w:sz="0" w:space="0" w:color="auto"/>
        <w:bottom w:val="none" w:sz="0" w:space="0" w:color="auto"/>
        <w:right w:val="none" w:sz="0" w:space="0" w:color="auto"/>
      </w:divBdr>
    </w:div>
    <w:div w:id="754716000">
      <w:bodyDiv w:val="1"/>
      <w:marLeft w:val="0"/>
      <w:marRight w:val="0"/>
      <w:marTop w:val="0"/>
      <w:marBottom w:val="0"/>
      <w:divBdr>
        <w:top w:val="none" w:sz="0" w:space="0" w:color="auto"/>
        <w:left w:val="none" w:sz="0" w:space="0" w:color="auto"/>
        <w:bottom w:val="none" w:sz="0" w:space="0" w:color="auto"/>
        <w:right w:val="none" w:sz="0" w:space="0" w:color="auto"/>
      </w:divBdr>
    </w:div>
    <w:div w:id="788627327">
      <w:bodyDiv w:val="1"/>
      <w:marLeft w:val="0"/>
      <w:marRight w:val="0"/>
      <w:marTop w:val="0"/>
      <w:marBottom w:val="0"/>
      <w:divBdr>
        <w:top w:val="none" w:sz="0" w:space="0" w:color="auto"/>
        <w:left w:val="none" w:sz="0" w:space="0" w:color="auto"/>
        <w:bottom w:val="none" w:sz="0" w:space="0" w:color="auto"/>
        <w:right w:val="none" w:sz="0" w:space="0" w:color="auto"/>
      </w:divBdr>
    </w:div>
    <w:div w:id="807671478">
      <w:bodyDiv w:val="1"/>
      <w:marLeft w:val="0"/>
      <w:marRight w:val="0"/>
      <w:marTop w:val="0"/>
      <w:marBottom w:val="0"/>
      <w:divBdr>
        <w:top w:val="none" w:sz="0" w:space="0" w:color="auto"/>
        <w:left w:val="none" w:sz="0" w:space="0" w:color="auto"/>
        <w:bottom w:val="none" w:sz="0" w:space="0" w:color="auto"/>
        <w:right w:val="none" w:sz="0" w:space="0" w:color="auto"/>
      </w:divBdr>
      <w:divsChild>
        <w:div w:id="2034264736">
          <w:marLeft w:val="0"/>
          <w:marRight w:val="0"/>
          <w:marTop w:val="0"/>
          <w:marBottom w:val="0"/>
          <w:divBdr>
            <w:top w:val="none" w:sz="0" w:space="0" w:color="auto"/>
            <w:left w:val="none" w:sz="0" w:space="0" w:color="auto"/>
            <w:bottom w:val="none" w:sz="0" w:space="0" w:color="auto"/>
            <w:right w:val="none" w:sz="0" w:space="0" w:color="auto"/>
          </w:divBdr>
          <w:divsChild>
            <w:div w:id="1356923120">
              <w:marLeft w:val="0"/>
              <w:marRight w:val="0"/>
              <w:marTop w:val="0"/>
              <w:marBottom w:val="0"/>
              <w:divBdr>
                <w:top w:val="none" w:sz="0" w:space="0" w:color="auto"/>
                <w:left w:val="none" w:sz="0" w:space="0" w:color="auto"/>
                <w:bottom w:val="none" w:sz="0" w:space="0" w:color="auto"/>
                <w:right w:val="none" w:sz="0" w:space="0" w:color="auto"/>
              </w:divBdr>
              <w:divsChild>
                <w:div w:id="859469631">
                  <w:marLeft w:val="0"/>
                  <w:marRight w:val="0"/>
                  <w:marTop w:val="0"/>
                  <w:marBottom w:val="0"/>
                  <w:divBdr>
                    <w:top w:val="none" w:sz="0" w:space="0" w:color="auto"/>
                    <w:left w:val="none" w:sz="0" w:space="0" w:color="auto"/>
                    <w:bottom w:val="none" w:sz="0" w:space="0" w:color="auto"/>
                    <w:right w:val="none" w:sz="0" w:space="0" w:color="auto"/>
                  </w:divBdr>
                  <w:divsChild>
                    <w:div w:id="197683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424191">
      <w:bodyDiv w:val="1"/>
      <w:marLeft w:val="0"/>
      <w:marRight w:val="0"/>
      <w:marTop w:val="0"/>
      <w:marBottom w:val="0"/>
      <w:divBdr>
        <w:top w:val="none" w:sz="0" w:space="0" w:color="auto"/>
        <w:left w:val="none" w:sz="0" w:space="0" w:color="auto"/>
        <w:bottom w:val="none" w:sz="0" w:space="0" w:color="auto"/>
        <w:right w:val="none" w:sz="0" w:space="0" w:color="auto"/>
      </w:divBdr>
    </w:div>
    <w:div w:id="841697388">
      <w:bodyDiv w:val="1"/>
      <w:marLeft w:val="0"/>
      <w:marRight w:val="0"/>
      <w:marTop w:val="0"/>
      <w:marBottom w:val="0"/>
      <w:divBdr>
        <w:top w:val="none" w:sz="0" w:space="0" w:color="auto"/>
        <w:left w:val="none" w:sz="0" w:space="0" w:color="auto"/>
        <w:bottom w:val="none" w:sz="0" w:space="0" w:color="auto"/>
        <w:right w:val="none" w:sz="0" w:space="0" w:color="auto"/>
      </w:divBdr>
    </w:div>
    <w:div w:id="852768933">
      <w:bodyDiv w:val="1"/>
      <w:marLeft w:val="0"/>
      <w:marRight w:val="0"/>
      <w:marTop w:val="0"/>
      <w:marBottom w:val="0"/>
      <w:divBdr>
        <w:top w:val="none" w:sz="0" w:space="0" w:color="auto"/>
        <w:left w:val="none" w:sz="0" w:space="0" w:color="auto"/>
        <w:bottom w:val="none" w:sz="0" w:space="0" w:color="auto"/>
        <w:right w:val="none" w:sz="0" w:space="0" w:color="auto"/>
      </w:divBdr>
      <w:divsChild>
        <w:div w:id="2096169658">
          <w:marLeft w:val="0"/>
          <w:marRight w:val="0"/>
          <w:marTop w:val="0"/>
          <w:marBottom w:val="0"/>
          <w:divBdr>
            <w:top w:val="none" w:sz="0" w:space="0" w:color="auto"/>
            <w:left w:val="none" w:sz="0" w:space="0" w:color="auto"/>
            <w:bottom w:val="none" w:sz="0" w:space="0" w:color="auto"/>
            <w:right w:val="none" w:sz="0" w:space="0" w:color="auto"/>
          </w:divBdr>
          <w:divsChild>
            <w:div w:id="726952440">
              <w:marLeft w:val="0"/>
              <w:marRight w:val="0"/>
              <w:marTop w:val="0"/>
              <w:marBottom w:val="0"/>
              <w:divBdr>
                <w:top w:val="none" w:sz="0" w:space="0" w:color="auto"/>
                <w:left w:val="none" w:sz="0" w:space="0" w:color="auto"/>
                <w:bottom w:val="none" w:sz="0" w:space="0" w:color="auto"/>
                <w:right w:val="none" w:sz="0" w:space="0" w:color="auto"/>
              </w:divBdr>
              <w:divsChild>
                <w:div w:id="1679193881">
                  <w:marLeft w:val="0"/>
                  <w:marRight w:val="0"/>
                  <w:marTop w:val="0"/>
                  <w:marBottom w:val="0"/>
                  <w:divBdr>
                    <w:top w:val="none" w:sz="0" w:space="0" w:color="auto"/>
                    <w:left w:val="none" w:sz="0" w:space="0" w:color="auto"/>
                    <w:bottom w:val="none" w:sz="0" w:space="0" w:color="auto"/>
                    <w:right w:val="none" w:sz="0" w:space="0" w:color="auto"/>
                  </w:divBdr>
                  <w:divsChild>
                    <w:div w:id="7124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815612">
      <w:bodyDiv w:val="1"/>
      <w:marLeft w:val="0"/>
      <w:marRight w:val="0"/>
      <w:marTop w:val="0"/>
      <w:marBottom w:val="0"/>
      <w:divBdr>
        <w:top w:val="none" w:sz="0" w:space="0" w:color="auto"/>
        <w:left w:val="none" w:sz="0" w:space="0" w:color="auto"/>
        <w:bottom w:val="none" w:sz="0" w:space="0" w:color="auto"/>
        <w:right w:val="none" w:sz="0" w:space="0" w:color="auto"/>
      </w:divBdr>
    </w:div>
    <w:div w:id="964853663">
      <w:bodyDiv w:val="1"/>
      <w:marLeft w:val="0"/>
      <w:marRight w:val="0"/>
      <w:marTop w:val="0"/>
      <w:marBottom w:val="0"/>
      <w:divBdr>
        <w:top w:val="none" w:sz="0" w:space="0" w:color="auto"/>
        <w:left w:val="none" w:sz="0" w:space="0" w:color="auto"/>
        <w:bottom w:val="none" w:sz="0" w:space="0" w:color="auto"/>
        <w:right w:val="none" w:sz="0" w:space="0" w:color="auto"/>
      </w:divBdr>
    </w:div>
    <w:div w:id="970206254">
      <w:bodyDiv w:val="1"/>
      <w:marLeft w:val="0"/>
      <w:marRight w:val="0"/>
      <w:marTop w:val="0"/>
      <w:marBottom w:val="0"/>
      <w:divBdr>
        <w:top w:val="none" w:sz="0" w:space="0" w:color="auto"/>
        <w:left w:val="none" w:sz="0" w:space="0" w:color="auto"/>
        <w:bottom w:val="none" w:sz="0" w:space="0" w:color="auto"/>
        <w:right w:val="none" w:sz="0" w:space="0" w:color="auto"/>
      </w:divBdr>
      <w:divsChild>
        <w:div w:id="568882105">
          <w:marLeft w:val="0"/>
          <w:marRight w:val="0"/>
          <w:marTop w:val="0"/>
          <w:marBottom w:val="0"/>
          <w:divBdr>
            <w:top w:val="none" w:sz="0" w:space="0" w:color="auto"/>
            <w:left w:val="none" w:sz="0" w:space="0" w:color="auto"/>
            <w:bottom w:val="none" w:sz="0" w:space="0" w:color="auto"/>
            <w:right w:val="none" w:sz="0" w:space="0" w:color="auto"/>
          </w:divBdr>
          <w:divsChild>
            <w:div w:id="1471744582">
              <w:marLeft w:val="0"/>
              <w:marRight w:val="0"/>
              <w:marTop w:val="0"/>
              <w:marBottom w:val="0"/>
              <w:divBdr>
                <w:top w:val="none" w:sz="0" w:space="0" w:color="auto"/>
                <w:left w:val="none" w:sz="0" w:space="0" w:color="auto"/>
                <w:bottom w:val="none" w:sz="0" w:space="0" w:color="auto"/>
                <w:right w:val="none" w:sz="0" w:space="0" w:color="auto"/>
              </w:divBdr>
              <w:divsChild>
                <w:div w:id="206085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946912">
      <w:bodyDiv w:val="1"/>
      <w:marLeft w:val="0"/>
      <w:marRight w:val="0"/>
      <w:marTop w:val="0"/>
      <w:marBottom w:val="0"/>
      <w:divBdr>
        <w:top w:val="none" w:sz="0" w:space="0" w:color="auto"/>
        <w:left w:val="none" w:sz="0" w:space="0" w:color="auto"/>
        <w:bottom w:val="none" w:sz="0" w:space="0" w:color="auto"/>
        <w:right w:val="none" w:sz="0" w:space="0" w:color="auto"/>
      </w:divBdr>
    </w:div>
    <w:div w:id="1014963830">
      <w:bodyDiv w:val="1"/>
      <w:marLeft w:val="0"/>
      <w:marRight w:val="0"/>
      <w:marTop w:val="0"/>
      <w:marBottom w:val="0"/>
      <w:divBdr>
        <w:top w:val="none" w:sz="0" w:space="0" w:color="auto"/>
        <w:left w:val="none" w:sz="0" w:space="0" w:color="auto"/>
        <w:bottom w:val="none" w:sz="0" w:space="0" w:color="auto"/>
        <w:right w:val="none" w:sz="0" w:space="0" w:color="auto"/>
      </w:divBdr>
      <w:divsChild>
        <w:div w:id="1482889262">
          <w:marLeft w:val="0"/>
          <w:marRight w:val="0"/>
          <w:marTop w:val="0"/>
          <w:marBottom w:val="0"/>
          <w:divBdr>
            <w:top w:val="none" w:sz="0" w:space="0" w:color="auto"/>
            <w:left w:val="none" w:sz="0" w:space="0" w:color="auto"/>
            <w:bottom w:val="none" w:sz="0" w:space="0" w:color="auto"/>
            <w:right w:val="none" w:sz="0" w:space="0" w:color="auto"/>
          </w:divBdr>
          <w:divsChild>
            <w:div w:id="565264584">
              <w:marLeft w:val="0"/>
              <w:marRight w:val="0"/>
              <w:marTop w:val="0"/>
              <w:marBottom w:val="0"/>
              <w:divBdr>
                <w:top w:val="none" w:sz="0" w:space="0" w:color="auto"/>
                <w:left w:val="none" w:sz="0" w:space="0" w:color="auto"/>
                <w:bottom w:val="none" w:sz="0" w:space="0" w:color="auto"/>
                <w:right w:val="none" w:sz="0" w:space="0" w:color="auto"/>
              </w:divBdr>
              <w:divsChild>
                <w:div w:id="155851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520698">
      <w:bodyDiv w:val="1"/>
      <w:marLeft w:val="0"/>
      <w:marRight w:val="0"/>
      <w:marTop w:val="0"/>
      <w:marBottom w:val="0"/>
      <w:divBdr>
        <w:top w:val="none" w:sz="0" w:space="0" w:color="auto"/>
        <w:left w:val="none" w:sz="0" w:space="0" w:color="auto"/>
        <w:bottom w:val="none" w:sz="0" w:space="0" w:color="auto"/>
        <w:right w:val="none" w:sz="0" w:space="0" w:color="auto"/>
      </w:divBdr>
      <w:divsChild>
        <w:div w:id="2101948177">
          <w:marLeft w:val="0"/>
          <w:marRight w:val="0"/>
          <w:marTop w:val="0"/>
          <w:marBottom w:val="0"/>
          <w:divBdr>
            <w:top w:val="none" w:sz="0" w:space="0" w:color="auto"/>
            <w:left w:val="none" w:sz="0" w:space="0" w:color="auto"/>
            <w:bottom w:val="none" w:sz="0" w:space="0" w:color="auto"/>
            <w:right w:val="none" w:sz="0" w:space="0" w:color="auto"/>
          </w:divBdr>
          <w:divsChild>
            <w:div w:id="912852579">
              <w:marLeft w:val="0"/>
              <w:marRight w:val="0"/>
              <w:marTop w:val="0"/>
              <w:marBottom w:val="0"/>
              <w:divBdr>
                <w:top w:val="none" w:sz="0" w:space="0" w:color="auto"/>
                <w:left w:val="none" w:sz="0" w:space="0" w:color="auto"/>
                <w:bottom w:val="none" w:sz="0" w:space="0" w:color="auto"/>
                <w:right w:val="none" w:sz="0" w:space="0" w:color="auto"/>
              </w:divBdr>
              <w:divsChild>
                <w:div w:id="28963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846232">
      <w:bodyDiv w:val="1"/>
      <w:marLeft w:val="0"/>
      <w:marRight w:val="0"/>
      <w:marTop w:val="0"/>
      <w:marBottom w:val="0"/>
      <w:divBdr>
        <w:top w:val="none" w:sz="0" w:space="0" w:color="auto"/>
        <w:left w:val="none" w:sz="0" w:space="0" w:color="auto"/>
        <w:bottom w:val="none" w:sz="0" w:space="0" w:color="auto"/>
        <w:right w:val="none" w:sz="0" w:space="0" w:color="auto"/>
      </w:divBdr>
    </w:div>
    <w:div w:id="1162894339">
      <w:bodyDiv w:val="1"/>
      <w:marLeft w:val="0"/>
      <w:marRight w:val="0"/>
      <w:marTop w:val="0"/>
      <w:marBottom w:val="0"/>
      <w:divBdr>
        <w:top w:val="none" w:sz="0" w:space="0" w:color="auto"/>
        <w:left w:val="none" w:sz="0" w:space="0" w:color="auto"/>
        <w:bottom w:val="none" w:sz="0" w:space="0" w:color="auto"/>
        <w:right w:val="none" w:sz="0" w:space="0" w:color="auto"/>
      </w:divBdr>
      <w:divsChild>
        <w:div w:id="2074083383">
          <w:marLeft w:val="0"/>
          <w:marRight w:val="0"/>
          <w:marTop w:val="0"/>
          <w:marBottom w:val="0"/>
          <w:divBdr>
            <w:top w:val="none" w:sz="0" w:space="0" w:color="auto"/>
            <w:left w:val="none" w:sz="0" w:space="0" w:color="auto"/>
            <w:bottom w:val="none" w:sz="0" w:space="0" w:color="auto"/>
            <w:right w:val="none" w:sz="0" w:space="0" w:color="auto"/>
          </w:divBdr>
          <w:divsChild>
            <w:div w:id="1181045535">
              <w:marLeft w:val="0"/>
              <w:marRight w:val="0"/>
              <w:marTop w:val="0"/>
              <w:marBottom w:val="0"/>
              <w:divBdr>
                <w:top w:val="none" w:sz="0" w:space="0" w:color="auto"/>
                <w:left w:val="none" w:sz="0" w:space="0" w:color="auto"/>
                <w:bottom w:val="none" w:sz="0" w:space="0" w:color="auto"/>
                <w:right w:val="none" w:sz="0" w:space="0" w:color="auto"/>
              </w:divBdr>
              <w:divsChild>
                <w:div w:id="189511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743831">
      <w:bodyDiv w:val="1"/>
      <w:marLeft w:val="0"/>
      <w:marRight w:val="0"/>
      <w:marTop w:val="0"/>
      <w:marBottom w:val="0"/>
      <w:divBdr>
        <w:top w:val="none" w:sz="0" w:space="0" w:color="auto"/>
        <w:left w:val="none" w:sz="0" w:space="0" w:color="auto"/>
        <w:bottom w:val="none" w:sz="0" w:space="0" w:color="auto"/>
        <w:right w:val="none" w:sz="0" w:space="0" w:color="auto"/>
      </w:divBdr>
    </w:div>
    <w:div w:id="1243641488">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16369">
      <w:bodyDiv w:val="1"/>
      <w:marLeft w:val="0"/>
      <w:marRight w:val="0"/>
      <w:marTop w:val="0"/>
      <w:marBottom w:val="0"/>
      <w:divBdr>
        <w:top w:val="none" w:sz="0" w:space="0" w:color="auto"/>
        <w:left w:val="none" w:sz="0" w:space="0" w:color="auto"/>
        <w:bottom w:val="none" w:sz="0" w:space="0" w:color="auto"/>
        <w:right w:val="none" w:sz="0" w:space="0" w:color="auto"/>
      </w:divBdr>
      <w:divsChild>
        <w:div w:id="1633095933">
          <w:marLeft w:val="0"/>
          <w:marRight w:val="0"/>
          <w:marTop w:val="0"/>
          <w:marBottom w:val="0"/>
          <w:divBdr>
            <w:top w:val="none" w:sz="0" w:space="0" w:color="auto"/>
            <w:left w:val="none" w:sz="0" w:space="0" w:color="auto"/>
            <w:bottom w:val="none" w:sz="0" w:space="0" w:color="auto"/>
            <w:right w:val="none" w:sz="0" w:space="0" w:color="auto"/>
          </w:divBdr>
          <w:divsChild>
            <w:div w:id="1045714442">
              <w:marLeft w:val="0"/>
              <w:marRight w:val="0"/>
              <w:marTop w:val="0"/>
              <w:marBottom w:val="0"/>
              <w:divBdr>
                <w:top w:val="none" w:sz="0" w:space="0" w:color="auto"/>
                <w:left w:val="none" w:sz="0" w:space="0" w:color="auto"/>
                <w:bottom w:val="none" w:sz="0" w:space="0" w:color="auto"/>
                <w:right w:val="none" w:sz="0" w:space="0" w:color="auto"/>
              </w:divBdr>
              <w:divsChild>
                <w:div w:id="756486307">
                  <w:marLeft w:val="0"/>
                  <w:marRight w:val="0"/>
                  <w:marTop w:val="0"/>
                  <w:marBottom w:val="0"/>
                  <w:divBdr>
                    <w:top w:val="none" w:sz="0" w:space="0" w:color="auto"/>
                    <w:left w:val="none" w:sz="0" w:space="0" w:color="auto"/>
                    <w:bottom w:val="none" w:sz="0" w:space="0" w:color="auto"/>
                    <w:right w:val="none" w:sz="0" w:space="0" w:color="auto"/>
                  </w:divBdr>
                  <w:divsChild>
                    <w:div w:id="24014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815175">
      <w:bodyDiv w:val="1"/>
      <w:marLeft w:val="0"/>
      <w:marRight w:val="0"/>
      <w:marTop w:val="0"/>
      <w:marBottom w:val="0"/>
      <w:divBdr>
        <w:top w:val="none" w:sz="0" w:space="0" w:color="auto"/>
        <w:left w:val="none" w:sz="0" w:space="0" w:color="auto"/>
        <w:bottom w:val="none" w:sz="0" w:space="0" w:color="auto"/>
        <w:right w:val="none" w:sz="0" w:space="0" w:color="auto"/>
      </w:divBdr>
    </w:div>
    <w:div w:id="1361279688">
      <w:bodyDiv w:val="1"/>
      <w:marLeft w:val="0"/>
      <w:marRight w:val="0"/>
      <w:marTop w:val="0"/>
      <w:marBottom w:val="0"/>
      <w:divBdr>
        <w:top w:val="none" w:sz="0" w:space="0" w:color="auto"/>
        <w:left w:val="none" w:sz="0" w:space="0" w:color="auto"/>
        <w:bottom w:val="none" w:sz="0" w:space="0" w:color="auto"/>
        <w:right w:val="none" w:sz="0" w:space="0" w:color="auto"/>
      </w:divBdr>
    </w:div>
    <w:div w:id="1398092222">
      <w:bodyDiv w:val="1"/>
      <w:marLeft w:val="0"/>
      <w:marRight w:val="0"/>
      <w:marTop w:val="0"/>
      <w:marBottom w:val="0"/>
      <w:divBdr>
        <w:top w:val="none" w:sz="0" w:space="0" w:color="auto"/>
        <w:left w:val="none" w:sz="0" w:space="0" w:color="auto"/>
        <w:bottom w:val="none" w:sz="0" w:space="0" w:color="auto"/>
        <w:right w:val="none" w:sz="0" w:space="0" w:color="auto"/>
      </w:divBdr>
    </w:div>
    <w:div w:id="1450054904">
      <w:bodyDiv w:val="1"/>
      <w:marLeft w:val="0"/>
      <w:marRight w:val="0"/>
      <w:marTop w:val="0"/>
      <w:marBottom w:val="0"/>
      <w:divBdr>
        <w:top w:val="none" w:sz="0" w:space="0" w:color="auto"/>
        <w:left w:val="none" w:sz="0" w:space="0" w:color="auto"/>
        <w:bottom w:val="none" w:sz="0" w:space="0" w:color="auto"/>
        <w:right w:val="none" w:sz="0" w:space="0" w:color="auto"/>
      </w:divBdr>
    </w:div>
    <w:div w:id="1526669511">
      <w:bodyDiv w:val="1"/>
      <w:marLeft w:val="0"/>
      <w:marRight w:val="0"/>
      <w:marTop w:val="0"/>
      <w:marBottom w:val="0"/>
      <w:divBdr>
        <w:top w:val="none" w:sz="0" w:space="0" w:color="auto"/>
        <w:left w:val="none" w:sz="0" w:space="0" w:color="auto"/>
        <w:bottom w:val="none" w:sz="0" w:space="0" w:color="auto"/>
        <w:right w:val="none" w:sz="0" w:space="0" w:color="auto"/>
      </w:divBdr>
    </w:div>
    <w:div w:id="1592423385">
      <w:bodyDiv w:val="1"/>
      <w:marLeft w:val="0"/>
      <w:marRight w:val="0"/>
      <w:marTop w:val="0"/>
      <w:marBottom w:val="0"/>
      <w:divBdr>
        <w:top w:val="none" w:sz="0" w:space="0" w:color="auto"/>
        <w:left w:val="none" w:sz="0" w:space="0" w:color="auto"/>
        <w:bottom w:val="none" w:sz="0" w:space="0" w:color="auto"/>
        <w:right w:val="none" w:sz="0" w:space="0" w:color="auto"/>
      </w:divBdr>
      <w:divsChild>
        <w:div w:id="1737969118">
          <w:marLeft w:val="0"/>
          <w:marRight w:val="0"/>
          <w:marTop w:val="0"/>
          <w:marBottom w:val="0"/>
          <w:divBdr>
            <w:top w:val="none" w:sz="0" w:space="0" w:color="auto"/>
            <w:left w:val="none" w:sz="0" w:space="0" w:color="auto"/>
            <w:bottom w:val="none" w:sz="0" w:space="0" w:color="auto"/>
            <w:right w:val="none" w:sz="0" w:space="0" w:color="auto"/>
          </w:divBdr>
          <w:divsChild>
            <w:div w:id="2096437252">
              <w:marLeft w:val="0"/>
              <w:marRight w:val="0"/>
              <w:marTop w:val="0"/>
              <w:marBottom w:val="0"/>
              <w:divBdr>
                <w:top w:val="none" w:sz="0" w:space="0" w:color="auto"/>
                <w:left w:val="none" w:sz="0" w:space="0" w:color="auto"/>
                <w:bottom w:val="none" w:sz="0" w:space="0" w:color="auto"/>
                <w:right w:val="none" w:sz="0" w:space="0" w:color="auto"/>
              </w:divBdr>
              <w:divsChild>
                <w:div w:id="148812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479849">
      <w:bodyDiv w:val="1"/>
      <w:marLeft w:val="0"/>
      <w:marRight w:val="0"/>
      <w:marTop w:val="0"/>
      <w:marBottom w:val="0"/>
      <w:divBdr>
        <w:top w:val="none" w:sz="0" w:space="0" w:color="auto"/>
        <w:left w:val="none" w:sz="0" w:space="0" w:color="auto"/>
        <w:bottom w:val="none" w:sz="0" w:space="0" w:color="auto"/>
        <w:right w:val="none" w:sz="0" w:space="0" w:color="auto"/>
      </w:divBdr>
      <w:divsChild>
        <w:div w:id="1954747850">
          <w:marLeft w:val="0"/>
          <w:marRight w:val="0"/>
          <w:marTop w:val="0"/>
          <w:marBottom w:val="0"/>
          <w:divBdr>
            <w:top w:val="none" w:sz="0" w:space="0" w:color="auto"/>
            <w:left w:val="none" w:sz="0" w:space="0" w:color="auto"/>
            <w:bottom w:val="none" w:sz="0" w:space="0" w:color="auto"/>
            <w:right w:val="none" w:sz="0" w:space="0" w:color="auto"/>
          </w:divBdr>
          <w:divsChild>
            <w:div w:id="1675759810">
              <w:marLeft w:val="0"/>
              <w:marRight w:val="0"/>
              <w:marTop w:val="0"/>
              <w:marBottom w:val="0"/>
              <w:divBdr>
                <w:top w:val="none" w:sz="0" w:space="0" w:color="auto"/>
                <w:left w:val="none" w:sz="0" w:space="0" w:color="auto"/>
                <w:bottom w:val="none" w:sz="0" w:space="0" w:color="auto"/>
                <w:right w:val="none" w:sz="0" w:space="0" w:color="auto"/>
              </w:divBdr>
              <w:divsChild>
                <w:div w:id="157189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98261">
      <w:bodyDiv w:val="1"/>
      <w:marLeft w:val="0"/>
      <w:marRight w:val="0"/>
      <w:marTop w:val="0"/>
      <w:marBottom w:val="0"/>
      <w:divBdr>
        <w:top w:val="none" w:sz="0" w:space="0" w:color="auto"/>
        <w:left w:val="none" w:sz="0" w:space="0" w:color="auto"/>
        <w:bottom w:val="none" w:sz="0" w:space="0" w:color="auto"/>
        <w:right w:val="none" w:sz="0" w:space="0" w:color="auto"/>
      </w:divBdr>
    </w:div>
    <w:div w:id="2121803641">
      <w:bodyDiv w:val="1"/>
      <w:marLeft w:val="0"/>
      <w:marRight w:val="0"/>
      <w:marTop w:val="0"/>
      <w:marBottom w:val="0"/>
      <w:divBdr>
        <w:top w:val="none" w:sz="0" w:space="0" w:color="auto"/>
        <w:left w:val="none" w:sz="0" w:space="0" w:color="auto"/>
        <w:bottom w:val="none" w:sz="0" w:space="0" w:color="auto"/>
        <w:right w:val="none" w:sz="0" w:space="0" w:color="auto"/>
      </w:divBdr>
      <w:divsChild>
        <w:div w:id="1755005659">
          <w:marLeft w:val="0"/>
          <w:marRight w:val="0"/>
          <w:marTop w:val="0"/>
          <w:marBottom w:val="0"/>
          <w:divBdr>
            <w:top w:val="none" w:sz="0" w:space="0" w:color="auto"/>
            <w:left w:val="none" w:sz="0" w:space="0" w:color="auto"/>
            <w:bottom w:val="none" w:sz="0" w:space="0" w:color="auto"/>
            <w:right w:val="none" w:sz="0" w:space="0" w:color="auto"/>
          </w:divBdr>
        </w:div>
        <w:div w:id="1762870770">
          <w:marLeft w:val="0"/>
          <w:marRight w:val="0"/>
          <w:marTop w:val="0"/>
          <w:marBottom w:val="0"/>
          <w:divBdr>
            <w:top w:val="none" w:sz="0" w:space="0" w:color="auto"/>
            <w:left w:val="none" w:sz="0" w:space="0" w:color="auto"/>
            <w:bottom w:val="none" w:sz="0" w:space="0" w:color="auto"/>
            <w:right w:val="none" w:sz="0" w:space="0" w:color="auto"/>
          </w:divBdr>
        </w:div>
        <w:div w:id="1627814034">
          <w:marLeft w:val="0"/>
          <w:marRight w:val="0"/>
          <w:marTop w:val="0"/>
          <w:marBottom w:val="0"/>
          <w:divBdr>
            <w:top w:val="none" w:sz="0" w:space="0" w:color="auto"/>
            <w:left w:val="none" w:sz="0" w:space="0" w:color="auto"/>
            <w:bottom w:val="none" w:sz="0" w:space="0" w:color="auto"/>
            <w:right w:val="none" w:sz="0" w:space="0" w:color="auto"/>
          </w:divBdr>
        </w:div>
        <w:div w:id="848787739">
          <w:marLeft w:val="0"/>
          <w:marRight w:val="0"/>
          <w:marTop w:val="0"/>
          <w:marBottom w:val="0"/>
          <w:divBdr>
            <w:top w:val="none" w:sz="0" w:space="0" w:color="auto"/>
            <w:left w:val="none" w:sz="0" w:space="0" w:color="auto"/>
            <w:bottom w:val="none" w:sz="0" w:space="0" w:color="auto"/>
            <w:right w:val="none" w:sz="0" w:space="0" w:color="auto"/>
          </w:divBdr>
        </w:div>
        <w:div w:id="984309455">
          <w:marLeft w:val="0"/>
          <w:marRight w:val="0"/>
          <w:marTop w:val="0"/>
          <w:marBottom w:val="0"/>
          <w:divBdr>
            <w:top w:val="none" w:sz="0" w:space="0" w:color="auto"/>
            <w:left w:val="none" w:sz="0" w:space="0" w:color="auto"/>
            <w:bottom w:val="none" w:sz="0" w:space="0" w:color="auto"/>
            <w:right w:val="none" w:sz="0" w:space="0" w:color="auto"/>
          </w:divBdr>
        </w:div>
        <w:div w:id="1191408733">
          <w:marLeft w:val="0"/>
          <w:marRight w:val="0"/>
          <w:marTop w:val="0"/>
          <w:marBottom w:val="0"/>
          <w:divBdr>
            <w:top w:val="none" w:sz="0" w:space="0" w:color="auto"/>
            <w:left w:val="none" w:sz="0" w:space="0" w:color="auto"/>
            <w:bottom w:val="none" w:sz="0" w:space="0" w:color="auto"/>
            <w:right w:val="none" w:sz="0" w:space="0" w:color="auto"/>
          </w:divBdr>
        </w:div>
        <w:div w:id="1071466467">
          <w:marLeft w:val="0"/>
          <w:marRight w:val="0"/>
          <w:marTop w:val="0"/>
          <w:marBottom w:val="0"/>
          <w:divBdr>
            <w:top w:val="none" w:sz="0" w:space="0" w:color="auto"/>
            <w:left w:val="none" w:sz="0" w:space="0" w:color="auto"/>
            <w:bottom w:val="none" w:sz="0" w:space="0" w:color="auto"/>
            <w:right w:val="none" w:sz="0" w:space="0" w:color="auto"/>
          </w:divBdr>
        </w:div>
        <w:div w:id="2053993360">
          <w:marLeft w:val="0"/>
          <w:marRight w:val="0"/>
          <w:marTop w:val="0"/>
          <w:marBottom w:val="0"/>
          <w:divBdr>
            <w:top w:val="none" w:sz="0" w:space="0" w:color="auto"/>
            <w:left w:val="none" w:sz="0" w:space="0" w:color="auto"/>
            <w:bottom w:val="none" w:sz="0" w:space="0" w:color="auto"/>
            <w:right w:val="none" w:sz="0" w:space="0" w:color="auto"/>
          </w:divBdr>
        </w:div>
        <w:div w:id="197553106">
          <w:marLeft w:val="0"/>
          <w:marRight w:val="0"/>
          <w:marTop w:val="0"/>
          <w:marBottom w:val="0"/>
          <w:divBdr>
            <w:top w:val="none" w:sz="0" w:space="0" w:color="auto"/>
            <w:left w:val="none" w:sz="0" w:space="0" w:color="auto"/>
            <w:bottom w:val="none" w:sz="0" w:space="0" w:color="auto"/>
            <w:right w:val="none" w:sz="0" w:space="0" w:color="auto"/>
          </w:divBdr>
        </w:div>
        <w:div w:id="79985260">
          <w:marLeft w:val="0"/>
          <w:marRight w:val="0"/>
          <w:marTop w:val="0"/>
          <w:marBottom w:val="0"/>
          <w:divBdr>
            <w:top w:val="none" w:sz="0" w:space="0" w:color="auto"/>
            <w:left w:val="none" w:sz="0" w:space="0" w:color="auto"/>
            <w:bottom w:val="none" w:sz="0" w:space="0" w:color="auto"/>
            <w:right w:val="none" w:sz="0" w:space="0" w:color="auto"/>
          </w:divBdr>
        </w:div>
        <w:div w:id="745146715">
          <w:marLeft w:val="0"/>
          <w:marRight w:val="0"/>
          <w:marTop w:val="0"/>
          <w:marBottom w:val="0"/>
          <w:divBdr>
            <w:top w:val="none" w:sz="0" w:space="0" w:color="auto"/>
            <w:left w:val="none" w:sz="0" w:space="0" w:color="auto"/>
            <w:bottom w:val="none" w:sz="0" w:space="0" w:color="auto"/>
            <w:right w:val="none" w:sz="0" w:space="0" w:color="auto"/>
          </w:divBdr>
        </w:div>
        <w:div w:id="2130778384">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0C1C1-979A-4D18-AA04-74768EDBC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7A608E5C-A9D9-4959-9777-FC475BD504B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E946DD5-736B-C541-BA9A-94AA910ED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5738</Words>
  <Characters>31562</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4</cp:revision>
  <cp:lastPrinted>2020-04-13T17:56:00Z</cp:lastPrinted>
  <dcterms:created xsi:type="dcterms:W3CDTF">2020-09-16T23:19:00Z</dcterms:created>
  <dcterms:modified xsi:type="dcterms:W3CDTF">2020-09-17T01:11:00Z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