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50662" w14:textId="28058EE3" w:rsidR="005316BF" w:rsidRPr="005316BF" w:rsidRDefault="005316BF" w:rsidP="005316BF">
      <w:pPr>
        <w:tabs>
          <w:tab w:val="left" w:pos="3374"/>
        </w:tabs>
        <w:spacing w:after="0" w:line="240" w:lineRule="auto"/>
        <w:jc w:val="both"/>
        <w:rPr>
          <w:rFonts w:ascii="Arial" w:eastAsia="Calibri" w:hAnsi="Arial" w:cs="Arial"/>
          <w:sz w:val="20"/>
          <w:szCs w:val="20"/>
        </w:rPr>
      </w:pPr>
    </w:p>
    <w:p w14:paraId="6EE0CFA0" w14:textId="77777777" w:rsidR="00187658" w:rsidRPr="00A1791A" w:rsidRDefault="00187658" w:rsidP="0032514E">
      <w:pPr>
        <w:spacing w:after="0" w:line="240" w:lineRule="auto"/>
        <w:jc w:val="both"/>
        <w:rPr>
          <w:rFonts w:ascii="Arial" w:eastAsia="Calibri" w:hAnsi="Arial" w:cs="Arial"/>
          <w:b/>
          <w:bCs/>
          <w:color w:val="000000" w:themeColor="text1"/>
          <w:lang w:val="es-ES"/>
        </w:rPr>
      </w:pPr>
      <w:r w:rsidRPr="00A1791A">
        <w:rPr>
          <w:rFonts w:ascii="Arial" w:eastAsia="Calibri" w:hAnsi="Arial" w:cs="Arial"/>
          <w:b/>
          <w:bCs/>
          <w:color w:val="000000" w:themeColor="text1"/>
          <w:lang w:val="es-ES"/>
        </w:rPr>
        <w:t xml:space="preserve">COSORCIOS Y UNIONES TEMPORALES – Capacidad jurídica – Concepto </w:t>
      </w:r>
    </w:p>
    <w:p w14:paraId="6FA64E76" w14:textId="77777777" w:rsidR="00A1791A" w:rsidRPr="00A1791A" w:rsidRDefault="00A1791A" w:rsidP="00A1791A">
      <w:pPr>
        <w:tabs>
          <w:tab w:val="left" w:pos="0"/>
        </w:tabs>
        <w:spacing w:after="0" w:line="240" w:lineRule="auto"/>
        <w:jc w:val="both"/>
        <w:rPr>
          <w:rFonts w:ascii="Arial" w:eastAsia="Calibri" w:hAnsi="Arial" w:cs="Arial"/>
          <w:sz w:val="20"/>
          <w:szCs w:val="20"/>
        </w:rPr>
      </w:pPr>
    </w:p>
    <w:p w14:paraId="2D1F5B1B" w14:textId="0AA82529" w:rsidR="00A1791A" w:rsidRPr="00A1791A" w:rsidRDefault="00A1791A" w:rsidP="00A1791A">
      <w:pPr>
        <w:tabs>
          <w:tab w:val="left" w:pos="0"/>
        </w:tabs>
        <w:spacing w:after="120" w:line="240" w:lineRule="auto"/>
        <w:jc w:val="both"/>
        <w:rPr>
          <w:rFonts w:ascii="Arial" w:eastAsia="Calibri" w:hAnsi="Arial" w:cs="Arial"/>
          <w:bCs/>
          <w:color w:val="000000"/>
          <w:sz w:val="20"/>
          <w:szCs w:val="20"/>
          <w:lang w:val="es-ES_tradnl" w:eastAsia="es-ES_tradnl"/>
        </w:rPr>
      </w:pPr>
      <w:r w:rsidRPr="007559A2">
        <w:rPr>
          <w:rFonts w:ascii="Arial" w:eastAsia="Calibri" w:hAnsi="Arial" w:cs="Arial"/>
          <w:bCs/>
          <w:color w:val="000000"/>
          <w:sz w:val="20"/>
          <w:szCs w:val="20"/>
          <w:lang w:val="es-ES_tradnl" w:eastAsia="es-ES_tradnl" w:bidi="es-ES"/>
        </w:rPr>
        <w:t>En consecuencia, en virtud de la ley en mención, también pueden celebrar contratos estatales los consorcios y uniones temporales. No obstante, estos sujetos no son personas jurídicas conforme lo establece el artículo 7 de la Ley 80 de 1993, el cual a su vez los define como un número plural de interesados unidos para la presentación de una oferta en un procedimiento de selección, para la adjudicación, celebración y ejecución de un contrato</w:t>
      </w:r>
      <w:r w:rsidRPr="007559A2" w:rsidDel="00C8511F">
        <w:rPr>
          <w:rFonts w:ascii="Arial" w:eastAsia="Calibri" w:hAnsi="Arial" w:cs="Arial"/>
          <w:bCs/>
          <w:color w:val="000000"/>
          <w:sz w:val="20"/>
          <w:szCs w:val="20"/>
          <w:lang w:val="es-ES_tradnl" w:eastAsia="es-ES_tradnl" w:bidi="es-ES"/>
        </w:rPr>
        <w:t xml:space="preserve"> </w:t>
      </w:r>
      <w:r w:rsidRPr="007559A2">
        <w:rPr>
          <w:rFonts w:ascii="Arial" w:eastAsia="Calibri" w:hAnsi="Arial" w:cs="Arial"/>
          <w:bCs/>
          <w:color w:val="000000"/>
          <w:sz w:val="20"/>
          <w:szCs w:val="20"/>
          <w:lang w:val="es-ES_tradnl" w:eastAsia="es-ES_tradnl" w:bidi="es-ES"/>
        </w:rPr>
        <w:t>estatal</w:t>
      </w:r>
      <w:r w:rsidR="00187658" w:rsidRPr="00D22CA0">
        <w:rPr>
          <w:rFonts w:ascii="Arial" w:eastAsia="Calibri" w:hAnsi="Arial" w:cs="Arial"/>
          <w:bCs/>
          <w:color w:val="000000"/>
          <w:sz w:val="20"/>
          <w:szCs w:val="20"/>
          <w:lang w:val="es-ES_tradnl" w:eastAsia="es-ES_tradnl"/>
        </w:rPr>
        <w:t xml:space="preserve">. […] </w:t>
      </w:r>
    </w:p>
    <w:p w14:paraId="610207B5" w14:textId="7E2C5F7B" w:rsidR="00A1791A" w:rsidRPr="007559A2" w:rsidRDefault="00A1791A" w:rsidP="00A1791A">
      <w:pPr>
        <w:tabs>
          <w:tab w:val="left" w:pos="0"/>
        </w:tabs>
        <w:spacing w:after="120" w:line="240" w:lineRule="auto"/>
        <w:jc w:val="both"/>
        <w:rPr>
          <w:rFonts w:ascii="Arial" w:eastAsia="Calibri" w:hAnsi="Arial" w:cs="Arial"/>
          <w:bCs/>
          <w:color w:val="000000"/>
          <w:sz w:val="20"/>
          <w:szCs w:val="20"/>
          <w:lang w:val="es-ES_tradnl" w:eastAsia="es-ES_tradnl" w:bidi="es-ES"/>
        </w:rPr>
      </w:pPr>
      <w:r w:rsidRPr="007559A2">
        <w:rPr>
          <w:rFonts w:ascii="Arial" w:eastAsia="Calibri" w:hAnsi="Arial" w:cs="Arial"/>
          <w:bCs/>
          <w:color w:val="000000"/>
          <w:sz w:val="20"/>
          <w:szCs w:val="20"/>
          <w:lang w:val="es-ES_tradnl" w:eastAsia="es-ES_tradnl" w:bidi="es-ES"/>
        </w:rPr>
        <w:t xml:space="preserve">Los consorcios y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Estos sujetos comparten recursos de toda índole con el propósito de lograr la ejecución del contrato y, al mismo tiempo, compartir las utilidades y los riesgos. </w:t>
      </w:r>
    </w:p>
    <w:p w14:paraId="20F347E5" w14:textId="77777777" w:rsidR="00A1791A" w:rsidRPr="00A1791A" w:rsidRDefault="00A1791A" w:rsidP="00A1791A">
      <w:pPr>
        <w:spacing w:after="120" w:line="240" w:lineRule="auto"/>
        <w:jc w:val="both"/>
        <w:rPr>
          <w:rFonts w:ascii="Arial" w:eastAsia="Calibri" w:hAnsi="Arial" w:cs="Arial"/>
          <w:bCs/>
          <w:color w:val="000000"/>
          <w:sz w:val="20"/>
          <w:szCs w:val="20"/>
          <w:lang w:val="es-ES_tradnl" w:eastAsia="es-ES_tradnl"/>
        </w:rPr>
      </w:pPr>
      <w:r w:rsidRPr="007559A2">
        <w:rPr>
          <w:rFonts w:ascii="Arial" w:eastAsia="Calibri" w:hAnsi="Arial" w:cs="Arial"/>
          <w:bCs/>
          <w:color w:val="000000"/>
          <w:sz w:val="20"/>
          <w:szCs w:val="20"/>
          <w:lang w:val="es-ES_tradnl" w:eastAsia="es-ES_tradnl" w:bidi="es-ES"/>
        </w:rPr>
        <w:t xml:space="preserve">La diferencia entre los consorcios y las uniones temporales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 </w:t>
      </w:r>
      <w:r w:rsidR="00187658" w:rsidRPr="00A1791A">
        <w:rPr>
          <w:rFonts w:ascii="Arial" w:eastAsia="Calibri" w:hAnsi="Arial" w:cs="Arial"/>
          <w:bCs/>
          <w:color w:val="000000"/>
          <w:sz w:val="20"/>
          <w:szCs w:val="20"/>
          <w:lang w:val="es-ES_tradnl" w:eastAsia="es-ES_tradnl"/>
        </w:rPr>
        <w:t>[…]</w:t>
      </w:r>
    </w:p>
    <w:p w14:paraId="688D3437" w14:textId="28D57B98" w:rsidR="00187658" w:rsidRPr="00A1791A" w:rsidRDefault="00187658" w:rsidP="00A1791A">
      <w:pPr>
        <w:spacing w:after="0" w:line="240" w:lineRule="auto"/>
        <w:jc w:val="both"/>
        <w:rPr>
          <w:rFonts w:ascii="Arial" w:eastAsia="Calibri" w:hAnsi="Arial" w:cs="Arial"/>
          <w:bCs/>
          <w:color w:val="000000"/>
          <w:sz w:val="20"/>
          <w:szCs w:val="20"/>
          <w:lang w:val="es-ES_tradnl" w:eastAsia="es-ES_tradnl"/>
        </w:rPr>
      </w:pPr>
      <w:r w:rsidRPr="00A1791A">
        <w:rPr>
          <w:rFonts w:ascii="Arial" w:eastAsia="Calibri" w:hAnsi="Arial" w:cs="Arial"/>
          <w:bCs/>
          <w:color w:val="000000"/>
          <w:sz w:val="20"/>
          <w:szCs w:val="20"/>
          <w:lang w:val="es-ES_tradnl" w:eastAsia="es-ES_tradnl"/>
        </w:rPr>
        <w:t xml:space="preserve"> </w:t>
      </w:r>
      <w:r w:rsidR="00A1791A" w:rsidRPr="007559A2">
        <w:rPr>
          <w:rFonts w:ascii="Arial" w:eastAsia="Calibri" w:hAnsi="Arial" w:cs="Arial"/>
          <w:bCs/>
          <w:color w:val="000000"/>
          <w:sz w:val="20"/>
          <w:szCs w:val="20"/>
          <w:lang w:val="es-ES_tradnl" w:eastAsia="es-ES_tradnl" w:bidi="es-ES"/>
        </w:rPr>
        <w:t>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w:t>
      </w:r>
    </w:p>
    <w:p w14:paraId="0C190EC8" w14:textId="77777777" w:rsidR="00187658" w:rsidRPr="00A1791A" w:rsidRDefault="00187658" w:rsidP="0032514E">
      <w:pPr>
        <w:spacing w:after="0" w:line="240" w:lineRule="auto"/>
        <w:jc w:val="both"/>
        <w:rPr>
          <w:rFonts w:ascii="Arial" w:eastAsia="Calibri" w:hAnsi="Arial" w:cs="Arial"/>
          <w:b/>
          <w:bCs/>
          <w:color w:val="000000" w:themeColor="text1"/>
          <w:lang w:val="es-ES_tradnl"/>
        </w:rPr>
      </w:pPr>
    </w:p>
    <w:p w14:paraId="3858B83E" w14:textId="79365429" w:rsidR="00187658" w:rsidRPr="00A1791A" w:rsidRDefault="00187658" w:rsidP="0032514E">
      <w:pPr>
        <w:spacing w:after="0" w:line="240" w:lineRule="auto"/>
        <w:jc w:val="both"/>
        <w:rPr>
          <w:rFonts w:ascii="Arial" w:eastAsia="Calibri" w:hAnsi="Arial" w:cs="Arial"/>
          <w:b/>
          <w:bCs/>
          <w:color w:val="000000" w:themeColor="text1"/>
          <w:lang w:val="es-ES"/>
        </w:rPr>
      </w:pPr>
      <w:r w:rsidRPr="00A1791A">
        <w:rPr>
          <w:rFonts w:ascii="Arial" w:eastAsia="Calibri" w:hAnsi="Arial" w:cs="Arial"/>
          <w:b/>
          <w:bCs/>
          <w:color w:val="000000" w:themeColor="text1"/>
          <w:lang w:val="es-ES"/>
        </w:rPr>
        <w:t xml:space="preserve">COSORCIOS Y UNIONES TEMPORALES – Aportes a </w:t>
      </w:r>
      <w:r w:rsidR="00A1791A" w:rsidRPr="00A1791A">
        <w:rPr>
          <w:rFonts w:ascii="Arial" w:eastAsia="Calibri" w:hAnsi="Arial" w:cs="Arial"/>
          <w:b/>
          <w:bCs/>
          <w:color w:val="000000" w:themeColor="text1"/>
          <w:lang w:val="es-ES"/>
        </w:rPr>
        <w:t xml:space="preserve">la </w:t>
      </w:r>
      <w:r w:rsidRPr="00A1791A">
        <w:rPr>
          <w:rFonts w:ascii="Arial" w:eastAsia="Calibri" w:hAnsi="Arial" w:cs="Arial"/>
          <w:b/>
          <w:bCs/>
          <w:color w:val="000000" w:themeColor="text1"/>
          <w:lang w:val="es-ES"/>
        </w:rPr>
        <w:t xml:space="preserve">Seguridad Social Integral – Supuestos </w:t>
      </w:r>
    </w:p>
    <w:p w14:paraId="3EA0F518" w14:textId="77777777" w:rsidR="00187658" w:rsidRPr="00A1791A" w:rsidRDefault="00187658" w:rsidP="0032514E">
      <w:pPr>
        <w:spacing w:after="0" w:line="240" w:lineRule="auto"/>
        <w:jc w:val="both"/>
        <w:rPr>
          <w:rFonts w:ascii="Arial" w:eastAsia="Calibri" w:hAnsi="Arial" w:cs="Arial"/>
          <w:b/>
          <w:bCs/>
          <w:color w:val="000000" w:themeColor="text1"/>
          <w:lang w:val="es-ES"/>
        </w:rPr>
      </w:pPr>
    </w:p>
    <w:p w14:paraId="7E940563" w14:textId="39117677" w:rsidR="00A1791A" w:rsidRPr="00A1791A" w:rsidRDefault="00A1791A" w:rsidP="00A1791A">
      <w:pPr>
        <w:spacing w:after="0" w:line="240" w:lineRule="auto"/>
        <w:jc w:val="both"/>
        <w:rPr>
          <w:rFonts w:ascii="Arial" w:eastAsia="Calibri" w:hAnsi="Arial" w:cs="Arial"/>
          <w:bCs/>
          <w:color w:val="000000"/>
          <w:sz w:val="20"/>
          <w:szCs w:val="20"/>
          <w:lang w:val="es-ES_tradnl" w:eastAsia="es-ES_tradnl" w:bidi="es-ES"/>
        </w:rPr>
      </w:pPr>
      <w:r w:rsidRPr="00A1791A">
        <w:rPr>
          <w:rFonts w:ascii="Arial" w:eastAsia="Calibri" w:hAnsi="Arial" w:cs="Arial"/>
          <w:bCs/>
          <w:color w:val="000000"/>
          <w:sz w:val="20"/>
          <w:szCs w:val="20"/>
          <w:lang w:val="es-ES_tradnl" w:eastAsia="es-ES_tradnl" w:bidi="es-ES"/>
        </w:rPr>
        <w:t>S</w:t>
      </w:r>
      <w:r w:rsidRPr="007559A2">
        <w:rPr>
          <w:rFonts w:ascii="Arial" w:eastAsia="Calibri" w:hAnsi="Arial" w:cs="Arial"/>
          <w:bCs/>
          <w:color w:val="000000"/>
          <w:sz w:val="20"/>
          <w:szCs w:val="20"/>
          <w:lang w:val="es-ES_tradnl" w:eastAsia="es-ES_tradnl" w:bidi="es-ES"/>
        </w:rPr>
        <w:t xml:space="preserve">in perjuicio del contenido de las cláusulas que se hayan pactado en cada contrato, frente a la acreditación del cumplimiento de las obligaciones con el Sistema de Seguridad Social Integral, los consorcios y uniones temporales pueden asumir la obligación de certificar aportes al Sistema en función de dos supuestos: i) cuando la relación laboral en virtud de la cual se debe hacer el aporte es entre el trabajador y el consorcio o unión temporal directamente; y </w:t>
      </w:r>
      <w:proofErr w:type="spellStart"/>
      <w:r w:rsidRPr="007559A2">
        <w:rPr>
          <w:rFonts w:ascii="Arial" w:eastAsia="Calibri" w:hAnsi="Arial" w:cs="Arial"/>
          <w:bCs/>
          <w:color w:val="000000"/>
          <w:sz w:val="20"/>
          <w:szCs w:val="20"/>
          <w:lang w:val="es-ES_tradnl" w:eastAsia="es-ES_tradnl" w:bidi="es-ES"/>
        </w:rPr>
        <w:t>ii</w:t>
      </w:r>
      <w:proofErr w:type="spellEnd"/>
      <w:r w:rsidRPr="007559A2">
        <w:rPr>
          <w:rFonts w:ascii="Arial" w:eastAsia="Calibri" w:hAnsi="Arial" w:cs="Arial"/>
          <w:bCs/>
          <w:color w:val="000000"/>
          <w:sz w:val="20"/>
          <w:szCs w:val="20"/>
          <w:lang w:val="es-ES_tradnl" w:eastAsia="es-ES_tradnl" w:bidi="es-ES"/>
        </w:rPr>
        <w:t>) cuando el representante legal del consorcio o unión temporal es designado para ello, a pesar de que la relación laboral es entre el trabajador y las personas que conforman la figura.</w:t>
      </w:r>
    </w:p>
    <w:p w14:paraId="1FF11408" w14:textId="3E0E61DB" w:rsidR="00A1791A" w:rsidRDefault="00A1791A">
      <w:pPr>
        <w:rPr>
          <w:rFonts w:ascii="Arial" w:eastAsia="Calibri" w:hAnsi="Arial" w:cs="Arial"/>
          <w:lang w:val="es-ES"/>
        </w:rPr>
      </w:pPr>
      <w:r>
        <w:rPr>
          <w:rFonts w:ascii="Arial" w:eastAsia="Calibri" w:hAnsi="Arial" w:cs="Arial"/>
          <w:lang w:val="es-ES"/>
        </w:rPr>
        <w:br w:type="page"/>
      </w:r>
    </w:p>
    <w:p w14:paraId="48CCE5B3" w14:textId="77777777" w:rsidR="00A1791A" w:rsidRDefault="00A1791A" w:rsidP="00A1791A">
      <w:pPr>
        <w:spacing w:after="0" w:line="240" w:lineRule="auto"/>
        <w:jc w:val="both"/>
        <w:rPr>
          <w:rFonts w:ascii="Arial" w:eastAsia="Calibri" w:hAnsi="Arial" w:cs="Arial"/>
          <w:lang w:val="es-ES"/>
        </w:rPr>
      </w:pPr>
    </w:p>
    <w:p w14:paraId="1364C801" w14:textId="4C232118" w:rsidR="003C3F35" w:rsidRPr="005316BF" w:rsidRDefault="0032514E" w:rsidP="0032514E">
      <w:pPr>
        <w:widowControl w:val="0"/>
        <w:autoSpaceDE w:val="0"/>
        <w:autoSpaceDN w:val="0"/>
        <w:spacing w:after="0" w:line="240" w:lineRule="auto"/>
        <w:jc w:val="right"/>
        <w:rPr>
          <w:rFonts w:ascii="Arial" w:eastAsia="Arial MT" w:hAnsi="Arial" w:cs="Arial"/>
          <w:b/>
          <w:lang w:val="es-ES"/>
        </w:rPr>
      </w:pPr>
      <w:r>
        <w:rPr>
          <w:noProof/>
        </w:rPr>
        <w:drawing>
          <wp:inline distT="0" distB="0" distL="0" distR="0" wp14:anchorId="7AB97014" wp14:editId="060C3F25">
            <wp:extent cx="3046103" cy="905774"/>
            <wp:effectExtent l="0" t="0" r="1905" b="889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rotWithShape="1">
                    <a:blip r:embed="rId10"/>
                    <a:srcRect l="57787" t="42987" r="15492" b="44301"/>
                    <a:stretch/>
                  </pic:blipFill>
                  <pic:spPr bwMode="auto">
                    <a:xfrm>
                      <a:off x="0" y="0"/>
                      <a:ext cx="3059892" cy="909874"/>
                    </a:xfrm>
                    <a:prstGeom prst="rect">
                      <a:avLst/>
                    </a:prstGeom>
                    <a:ln>
                      <a:noFill/>
                    </a:ln>
                    <a:extLst>
                      <a:ext uri="{53640926-AAD7-44D8-BBD7-CCE9431645EC}">
                        <a14:shadowObscured xmlns:a14="http://schemas.microsoft.com/office/drawing/2010/main"/>
                      </a:ext>
                    </a:extLst>
                  </pic:spPr>
                </pic:pic>
              </a:graphicData>
            </a:graphic>
          </wp:inline>
        </w:drawing>
      </w:r>
    </w:p>
    <w:p w14:paraId="0E212BE2" w14:textId="77777777" w:rsidR="005316BF" w:rsidRPr="005316BF" w:rsidRDefault="005316BF" w:rsidP="005316BF">
      <w:pPr>
        <w:widowControl w:val="0"/>
        <w:autoSpaceDE w:val="0"/>
        <w:autoSpaceDN w:val="0"/>
        <w:spacing w:after="0" w:line="240" w:lineRule="auto"/>
        <w:rPr>
          <w:rFonts w:ascii="Arial" w:eastAsia="Arial MT" w:hAnsi="Arial" w:cs="Arial"/>
          <w:b/>
          <w:lang w:val="es-ES"/>
        </w:rPr>
      </w:pPr>
    </w:p>
    <w:p w14:paraId="0A5E1EF7" w14:textId="13B5F3D4" w:rsidR="00AE0A95" w:rsidRDefault="00AE0A95" w:rsidP="00AE0A95">
      <w:pPr>
        <w:widowControl w:val="0"/>
        <w:autoSpaceDE w:val="0"/>
        <w:autoSpaceDN w:val="0"/>
        <w:spacing w:after="0" w:line="240" w:lineRule="auto"/>
        <w:ind w:left="102"/>
        <w:rPr>
          <w:rFonts w:ascii="Arial" w:eastAsia="Arial MT" w:hAnsi="Arial" w:cs="Arial"/>
          <w:lang w:val="es-ES"/>
        </w:rPr>
      </w:pPr>
      <w:r>
        <w:rPr>
          <w:rFonts w:ascii="Arial" w:eastAsia="Arial MT" w:hAnsi="Arial" w:cs="Arial"/>
          <w:lang w:val="es-ES"/>
        </w:rPr>
        <w:t>Bogotá D.C</w:t>
      </w:r>
      <w:r w:rsidR="0032514E">
        <w:rPr>
          <w:rFonts w:ascii="Arial" w:eastAsia="Arial MT" w:hAnsi="Arial" w:cs="Arial"/>
          <w:lang w:val="es-ES"/>
        </w:rPr>
        <w:t xml:space="preserve"> 05 de octubre de 2022</w:t>
      </w:r>
      <w:r>
        <w:rPr>
          <w:rFonts w:ascii="Arial" w:eastAsia="Arial MT" w:hAnsi="Arial" w:cs="Arial"/>
          <w:lang w:val="es-ES"/>
        </w:rPr>
        <w:t xml:space="preserve">., </w:t>
      </w:r>
    </w:p>
    <w:p w14:paraId="528EA520" w14:textId="3993D94F" w:rsidR="00AE0A95" w:rsidRDefault="00AE0A95" w:rsidP="00AE0A95">
      <w:pPr>
        <w:widowControl w:val="0"/>
        <w:autoSpaceDE w:val="0"/>
        <w:autoSpaceDN w:val="0"/>
        <w:spacing w:after="0" w:line="240" w:lineRule="auto"/>
        <w:ind w:left="102"/>
        <w:rPr>
          <w:rFonts w:ascii="Arial" w:eastAsia="Arial MT" w:hAnsi="Arial" w:cs="Arial"/>
          <w:lang w:val="es-ES"/>
        </w:rPr>
      </w:pPr>
    </w:p>
    <w:p w14:paraId="1F7C48DF" w14:textId="25E3A5DF" w:rsidR="005316BF" w:rsidRPr="005316BF" w:rsidRDefault="005316BF" w:rsidP="005316BF">
      <w:pPr>
        <w:widowControl w:val="0"/>
        <w:autoSpaceDE w:val="0"/>
        <w:autoSpaceDN w:val="0"/>
        <w:spacing w:before="167" w:after="0" w:line="240" w:lineRule="auto"/>
        <w:ind w:left="100"/>
        <w:rPr>
          <w:rFonts w:ascii="Arial" w:eastAsia="Arial MT" w:hAnsi="Arial" w:cs="Arial"/>
          <w:lang w:val="es-ES"/>
        </w:rPr>
      </w:pPr>
      <w:r w:rsidRPr="005316BF">
        <w:rPr>
          <w:rFonts w:ascii="Arial" w:eastAsia="Arial MT" w:hAnsi="Arial" w:cs="Arial"/>
          <w:lang w:val="es-ES"/>
        </w:rPr>
        <w:t>Señor</w:t>
      </w:r>
    </w:p>
    <w:p w14:paraId="7E0457A4" w14:textId="1F57D5CF" w:rsidR="005316BF" w:rsidRPr="005316BF" w:rsidRDefault="005316BF" w:rsidP="005316BF">
      <w:pPr>
        <w:widowControl w:val="0"/>
        <w:autoSpaceDE w:val="0"/>
        <w:autoSpaceDN w:val="0"/>
        <w:spacing w:after="0" w:line="240" w:lineRule="auto"/>
        <w:ind w:left="100"/>
        <w:outlineLvl w:val="0"/>
        <w:rPr>
          <w:rFonts w:ascii="Arial" w:eastAsia="Arial" w:hAnsi="Arial" w:cs="Arial"/>
          <w:b/>
          <w:bCs/>
          <w:lang w:val="es-ES"/>
        </w:rPr>
      </w:pPr>
      <w:r>
        <w:rPr>
          <w:rFonts w:ascii="Arial" w:eastAsia="Arial" w:hAnsi="Arial" w:cs="Arial"/>
          <w:b/>
          <w:bCs/>
          <w:lang w:val="es-ES"/>
        </w:rPr>
        <w:t>Cristian Fabián Obregón Guevara</w:t>
      </w:r>
    </w:p>
    <w:p w14:paraId="07A33D78" w14:textId="3E6FCA20" w:rsidR="005316BF" w:rsidRPr="005316BF" w:rsidRDefault="005316BF" w:rsidP="005316BF">
      <w:pPr>
        <w:widowControl w:val="0"/>
        <w:autoSpaceDE w:val="0"/>
        <w:autoSpaceDN w:val="0"/>
        <w:spacing w:after="0" w:line="240" w:lineRule="auto"/>
        <w:ind w:left="100"/>
        <w:rPr>
          <w:rFonts w:ascii="Arial" w:eastAsia="Arial MT" w:hAnsi="Arial" w:cs="Arial"/>
          <w:lang w:val="es-ES"/>
        </w:rPr>
      </w:pPr>
      <w:r>
        <w:rPr>
          <w:rFonts w:ascii="Arial" w:eastAsia="Arial MT" w:hAnsi="Arial" w:cs="Arial"/>
          <w:lang w:val="es-ES"/>
        </w:rPr>
        <w:t>Bogotá -Colombia</w:t>
      </w:r>
    </w:p>
    <w:p w14:paraId="1C79E70F" w14:textId="77777777" w:rsidR="005316BF" w:rsidRPr="005316BF" w:rsidRDefault="005316BF" w:rsidP="005316BF">
      <w:pPr>
        <w:widowControl w:val="0"/>
        <w:autoSpaceDE w:val="0"/>
        <w:autoSpaceDN w:val="0"/>
        <w:spacing w:after="0" w:line="240" w:lineRule="auto"/>
        <w:rPr>
          <w:rFonts w:ascii="Arial" w:eastAsia="Arial MT" w:hAnsi="Arial" w:cs="Arial"/>
          <w:lang w:val="es-ES"/>
        </w:rPr>
      </w:pPr>
    </w:p>
    <w:p w14:paraId="0BA1E259" w14:textId="77777777" w:rsidR="005316BF" w:rsidRPr="005316BF" w:rsidRDefault="005316BF" w:rsidP="005316BF">
      <w:pPr>
        <w:widowControl w:val="0"/>
        <w:autoSpaceDE w:val="0"/>
        <w:autoSpaceDN w:val="0"/>
        <w:spacing w:before="11" w:after="0" w:line="240" w:lineRule="auto"/>
        <w:rPr>
          <w:rFonts w:ascii="Arial" w:eastAsia="Arial MT" w:hAnsi="Arial" w:cs="Arial"/>
          <w:lang w:val="es-ES"/>
        </w:rPr>
      </w:pPr>
    </w:p>
    <w:p w14:paraId="5C753723" w14:textId="685FC6FE" w:rsidR="005316BF" w:rsidRPr="005316BF" w:rsidRDefault="005316BF" w:rsidP="005316BF">
      <w:pPr>
        <w:widowControl w:val="0"/>
        <w:autoSpaceDE w:val="0"/>
        <w:autoSpaceDN w:val="0"/>
        <w:spacing w:after="0" w:line="240" w:lineRule="auto"/>
        <w:ind w:left="2790"/>
        <w:outlineLvl w:val="0"/>
        <w:rPr>
          <w:rFonts w:ascii="Arial" w:eastAsia="Arial" w:hAnsi="Arial" w:cs="Arial"/>
          <w:b/>
          <w:bCs/>
          <w:lang w:val="es-ES"/>
        </w:rPr>
      </w:pPr>
      <w:r w:rsidRPr="005316BF">
        <w:rPr>
          <w:rFonts w:ascii="Arial" w:eastAsia="Arial" w:hAnsi="Arial" w:cs="Arial"/>
          <w:b/>
          <w:bCs/>
          <w:lang w:val="es-ES"/>
        </w:rPr>
        <w:t>Concepto</w:t>
      </w:r>
      <w:r w:rsidRPr="005316BF">
        <w:rPr>
          <w:rFonts w:ascii="Arial" w:eastAsia="Arial" w:hAnsi="Arial" w:cs="Arial"/>
          <w:b/>
          <w:bCs/>
          <w:spacing w:val="-4"/>
          <w:lang w:val="es-ES"/>
        </w:rPr>
        <w:t xml:space="preserve"> </w:t>
      </w:r>
      <w:r w:rsidRPr="005316BF">
        <w:rPr>
          <w:rFonts w:ascii="Arial" w:eastAsia="Arial" w:hAnsi="Arial" w:cs="Arial"/>
          <w:b/>
          <w:bCs/>
          <w:lang w:val="es-ES"/>
        </w:rPr>
        <w:t>C</w:t>
      </w:r>
      <w:r w:rsidRPr="005316BF">
        <w:rPr>
          <w:rFonts w:ascii="Arial" w:eastAsia="Arial" w:hAnsi="Arial" w:cs="Arial"/>
          <w:b/>
          <w:bCs/>
          <w:spacing w:val="-2"/>
          <w:lang w:val="es-ES"/>
        </w:rPr>
        <w:t xml:space="preserve"> </w:t>
      </w:r>
      <w:r w:rsidRPr="005316BF">
        <w:rPr>
          <w:rFonts w:ascii="Arial" w:eastAsia="Arial" w:hAnsi="Arial" w:cs="Arial"/>
          <w:b/>
          <w:bCs/>
          <w:lang w:val="es-ES"/>
        </w:rPr>
        <w:t>–</w:t>
      </w:r>
      <w:r w:rsidRPr="005316BF">
        <w:rPr>
          <w:rFonts w:ascii="Arial" w:eastAsia="Arial" w:hAnsi="Arial" w:cs="Arial"/>
          <w:b/>
          <w:bCs/>
          <w:spacing w:val="-3"/>
          <w:lang w:val="es-ES"/>
        </w:rPr>
        <w:t xml:space="preserve"> </w:t>
      </w:r>
      <w:r w:rsidRPr="005316BF">
        <w:rPr>
          <w:rFonts w:ascii="Arial" w:eastAsia="Arial" w:hAnsi="Arial" w:cs="Arial"/>
          <w:b/>
          <w:bCs/>
          <w:lang w:val="es-ES"/>
        </w:rPr>
        <w:t>614 de 2022</w:t>
      </w:r>
    </w:p>
    <w:p w14:paraId="17D12C82" w14:textId="77777777" w:rsidR="005316BF" w:rsidRPr="005316BF" w:rsidRDefault="005316BF" w:rsidP="005316BF">
      <w:pPr>
        <w:widowControl w:val="0"/>
        <w:autoSpaceDE w:val="0"/>
        <w:autoSpaceDN w:val="0"/>
        <w:spacing w:after="0" w:line="240" w:lineRule="auto"/>
        <w:rPr>
          <w:rFonts w:ascii="Arial" w:eastAsia="Arial MT" w:hAnsi="Arial" w:cs="Arial"/>
          <w:b/>
          <w:lang w:val="es-ES"/>
        </w:rPr>
      </w:pPr>
    </w:p>
    <w:p w14:paraId="4EA53531" w14:textId="77777777" w:rsidR="005316BF" w:rsidRPr="005316BF" w:rsidRDefault="005316BF" w:rsidP="005316BF">
      <w:pPr>
        <w:widowControl w:val="0"/>
        <w:autoSpaceDE w:val="0"/>
        <w:autoSpaceDN w:val="0"/>
        <w:spacing w:before="11" w:after="0" w:line="240" w:lineRule="auto"/>
        <w:rPr>
          <w:rFonts w:ascii="Arial" w:eastAsia="Arial MT" w:hAnsi="Arial" w:cs="Arial"/>
          <w:b/>
          <w:lang w:val="es-ES"/>
        </w:rPr>
      </w:pPr>
    </w:p>
    <w:p w14:paraId="1DF5EDB2" w14:textId="7ABD1E66" w:rsidR="008959EE" w:rsidRPr="003C3F35" w:rsidRDefault="005316BF" w:rsidP="008959EE">
      <w:pPr>
        <w:tabs>
          <w:tab w:val="left" w:pos="2789"/>
        </w:tabs>
        <w:spacing w:after="120" w:line="240" w:lineRule="auto"/>
        <w:ind w:left="2790" w:right="111" w:hanging="2689"/>
        <w:jc w:val="both"/>
        <w:rPr>
          <w:rFonts w:ascii="Arial" w:eastAsia="Arial" w:hAnsi="Arial" w:cs="Arial"/>
          <w:lang w:val="es-ES"/>
        </w:rPr>
      </w:pPr>
      <w:r w:rsidRPr="005316BF">
        <w:rPr>
          <w:rFonts w:ascii="Arial" w:eastAsia="Arial MT" w:hAnsi="Arial" w:cs="Arial"/>
          <w:b/>
          <w:lang w:val="es-ES"/>
        </w:rPr>
        <w:t>Temas:</w:t>
      </w:r>
      <w:r w:rsidRPr="005316BF">
        <w:rPr>
          <w:rFonts w:ascii="Arial" w:eastAsia="Arial MT" w:hAnsi="Arial" w:cs="Arial"/>
          <w:b/>
          <w:lang w:val="es-ES"/>
        </w:rPr>
        <w:tab/>
      </w:r>
      <w:r w:rsidR="00A1791A" w:rsidRPr="00A1791A">
        <w:rPr>
          <w:rFonts w:ascii="Arial" w:eastAsia="Calibri" w:hAnsi="Arial" w:cs="Arial"/>
          <w:color w:val="000000" w:themeColor="text1"/>
          <w:lang w:val="es-ES"/>
        </w:rPr>
        <w:t>COSORCIOS Y UNIONES TEMPORALES – Capacidad jurídica – Concepto / COSORCIOS Y UNIONES TEMPORALES – Aportes a la Seguridad Social Integral – Supuestos</w:t>
      </w:r>
    </w:p>
    <w:p w14:paraId="34D7E0E5" w14:textId="77777777" w:rsidR="005316BF" w:rsidRPr="008959EE" w:rsidRDefault="005316BF" w:rsidP="005316BF">
      <w:pPr>
        <w:tabs>
          <w:tab w:val="left" w:pos="2789"/>
        </w:tabs>
        <w:spacing w:after="120" w:line="240" w:lineRule="auto"/>
        <w:ind w:left="2790" w:right="111" w:hanging="2689"/>
        <w:jc w:val="both"/>
        <w:rPr>
          <w:rFonts w:ascii="Arial" w:eastAsia="MS Mincho" w:hAnsi="Arial" w:cs="Arial"/>
          <w:lang w:val="es-MX" w:eastAsia="es-CO"/>
        </w:rPr>
      </w:pPr>
    </w:p>
    <w:p w14:paraId="3D5F97B1" w14:textId="174B2C02" w:rsidR="005316BF" w:rsidRPr="00187658" w:rsidRDefault="005316BF" w:rsidP="005316BF">
      <w:pPr>
        <w:rPr>
          <w:rFonts w:ascii="Arial" w:eastAsia="Times New Roman" w:hAnsi="Arial" w:cs="Arial"/>
        </w:rPr>
      </w:pPr>
      <w:r w:rsidRPr="005316BF">
        <w:rPr>
          <w:rFonts w:ascii="Arial" w:eastAsia="Arial MT" w:hAnsi="Arial" w:cs="Arial"/>
          <w:b/>
          <w:lang w:val="es-ES"/>
        </w:rPr>
        <w:t xml:space="preserve">Radicación:                          </w:t>
      </w:r>
      <w:r w:rsidRPr="005316BF">
        <w:rPr>
          <w:rFonts w:ascii="Arial" w:eastAsia="Arial MT" w:hAnsi="Arial" w:cs="Arial"/>
          <w:color w:val="000000"/>
          <w:lang w:val="es-ES"/>
        </w:rPr>
        <w:t xml:space="preserve">Respuesta al Radicado </w:t>
      </w:r>
      <w:r w:rsidRPr="00187658">
        <w:rPr>
          <w:rFonts w:ascii="Arial" w:eastAsia="Times New Roman" w:hAnsi="Arial" w:cs="Arial"/>
        </w:rPr>
        <w:t>P20220812008034</w:t>
      </w:r>
    </w:p>
    <w:p w14:paraId="49E5448C" w14:textId="03CCD5B1" w:rsidR="005316BF" w:rsidRPr="005316BF" w:rsidRDefault="005316BF" w:rsidP="005316BF">
      <w:pPr>
        <w:widowControl w:val="0"/>
        <w:autoSpaceDE w:val="0"/>
        <w:autoSpaceDN w:val="0"/>
        <w:spacing w:before="10" w:after="0" w:line="240" w:lineRule="auto"/>
        <w:rPr>
          <w:rFonts w:ascii="Arial MT" w:eastAsia="Arial MT" w:hAnsi="Arial MT" w:cs="Arial MT"/>
          <w:sz w:val="20"/>
          <w:lang w:val="es-ES"/>
        </w:rPr>
      </w:pPr>
    </w:p>
    <w:p w14:paraId="7B838998" w14:textId="3D788322" w:rsidR="005316BF" w:rsidRPr="005316BF" w:rsidRDefault="008959EE" w:rsidP="005316BF">
      <w:pPr>
        <w:widowControl w:val="0"/>
        <w:autoSpaceDE w:val="0"/>
        <w:autoSpaceDN w:val="0"/>
        <w:spacing w:after="0" w:line="240" w:lineRule="auto"/>
        <w:rPr>
          <w:rFonts w:ascii="Arial" w:eastAsia="Arial MT" w:hAnsi="Arial" w:cs="Arial"/>
          <w:lang w:val="es-ES"/>
        </w:rPr>
      </w:pPr>
      <w:r>
        <w:rPr>
          <w:rFonts w:ascii="Arial" w:eastAsia="Arial MT" w:hAnsi="Arial" w:cs="Arial"/>
          <w:lang w:val="es-ES"/>
        </w:rPr>
        <w:t xml:space="preserve">Estimado Señor Obregón. </w:t>
      </w:r>
    </w:p>
    <w:p w14:paraId="00428B27" w14:textId="77777777" w:rsidR="005316BF" w:rsidRPr="005316BF" w:rsidRDefault="005316BF" w:rsidP="005316BF">
      <w:pPr>
        <w:widowControl w:val="0"/>
        <w:autoSpaceDE w:val="0"/>
        <w:autoSpaceDN w:val="0"/>
        <w:spacing w:before="7" w:after="0" w:line="240" w:lineRule="auto"/>
        <w:rPr>
          <w:rFonts w:ascii="Arial" w:eastAsia="Arial MT" w:hAnsi="Arial" w:cs="Arial"/>
          <w:lang w:val="es-ES"/>
        </w:rPr>
      </w:pPr>
    </w:p>
    <w:p w14:paraId="13E0FF42" w14:textId="31F853F6" w:rsidR="005316BF" w:rsidRPr="005316BF" w:rsidRDefault="005316BF" w:rsidP="005316BF">
      <w:pPr>
        <w:widowControl w:val="0"/>
        <w:autoSpaceDE w:val="0"/>
        <w:autoSpaceDN w:val="0"/>
        <w:spacing w:after="0" w:line="276" w:lineRule="auto"/>
        <w:jc w:val="both"/>
        <w:rPr>
          <w:rFonts w:ascii="Arial MT" w:eastAsia="Arial MT" w:hAnsi="Arial MT" w:cs="Arial MT"/>
          <w:lang w:val="es-ES"/>
        </w:rPr>
      </w:pPr>
      <w:r w:rsidRPr="005316BF">
        <w:rPr>
          <w:rFonts w:ascii="Arial MT" w:eastAsia="Arial MT" w:hAnsi="Arial MT" w:cs="Arial MT"/>
          <w:lang w:val="es-ES"/>
        </w:rPr>
        <w:t xml:space="preserve">En ejercicio de la competencia otorgada por el numeral 8 del artículo 11 y el numeral 5 </w:t>
      </w:r>
      <w:r w:rsidRPr="005316BF">
        <w:rPr>
          <w:rFonts w:ascii="Arial MT" w:eastAsia="Arial MT" w:hAnsi="Arial MT" w:cs="Arial MT"/>
          <w:spacing w:val="-59"/>
          <w:lang w:val="es-ES"/>
        </w:rPr>
        <w:t xml:space="preserve">  </w:t>
      </w:r>
      <w:r w:rsidRPr="005316BF">
        <w:rPr>
          <w:rFonts w:ascii="Arial MT" w:eastAsia="Arial MT" w:hAnsi="Arial MT" w:cs="Arial MT"/>
          <w:lang w:val="es-ES"/>
        </w:rPr>
        <w:t>del</w:t>
      </w:r>
      <w:r w:rsidRPr="005316BF">
        <w:rPr>
          <w:rFonts w:ascii="Arial MT" w:eastAsia="Arial MT" w:hAnsi="Arial MT" w:cs="Arial MT"/>
          <w:spacing w:val="-8"/>
          <w:lang w:val="es-ES"/>
        </w:rPr>
        <w:t xml:space="preserve"> </w:t>
      </w:r>
      <w:r w:rsidRPr="005316BF">
        <w:rPr>
          <w:rFonts w:ascii="Arial MT" w:eastAsia="Arial MT" w:hAnsi="Arial MT" w:cs="Arial MT"/>
          <w:lang w:val="es-ES"/>
        </w:rPr>
        <w:t>artículo</w:t>
      </w:r>
      <w:r w:rsidRPr="005316BF">
        <w:rPr>
          <w:rFonts w:ascii="Arial MT" w:eastAsia="Arial MT" w:hAnsi="Arial MT" w:cs="Arial MT"/>
          <w:spacing w:val="-7"/>
          <w:lang w:val="es-ES"/>
        </w:rPr>
        <w:t xml:space="preserve"> </w:t>
      </w:r>
      <w:r w:rsidRPr="005316BF">
        <w:rPr>
          <w:rFonts w:ascii="Arial MT" w:eastAsia="Arial MT" w:hAnsi="Arial MT" w:cs="Arial MT"/>
          <w:lang w:val="es-ES"/>
        </w:rPr>
        <w:t>3</w:t>
      </w:r>
      <w:r w:rsidRPr="005316BF">
        <w:rPr>
          <w:rFonts w:ascii="Arial MT" w:eastAsia="Arial MT" w:hAnsi="Arial MT" w:cs="Arial MT"/>
          <w:spacing w:val="-7"/>
          <w:lang w:val="es-ES"/>
        </w:rPr>
        <w:t xml:space="preserve"> </w:t>
      </w:r>
      <w:r w:rsidRPr="005316BF">
        <w:rPr>
          <w:rFonts w:ascii="Arial MT" w:eastAsia="Arial MT" w:hAnsi="Arial MT" w:cs="Arial MT"/>
          <w:lang w:val="es-ES"/>
        </w:rPr>
        <w:t>del</w:t>
      </w:r>
      <w:r w:rsidRPr="005316BF">
        <w:rPr>
          <w:rFonts w:ascii="Arial MT" w:eastAsia="Arial MT" w:hAnsi="Arial MT" w:cs="Arial MT"/>
          <w:spacing w:val="-8"/>
          <w:lang w:val="es-ES"/>
        </w:rPr>
        <w:t xml:space="preserve"> </w:t>
      </w:r>
      <w:r w:rsidRPr="005316BF">
        <w:rPr>
          <w:rFonts w:ascii="Arial MT" w:eastAsia="Arial MT" w:hAnsi="Arial MT" w:cs="Arial MT"/>
          <w:lang w:val="es-ES"/>
        </w:rPr>
        <w:t>Decreto</w:t>
      </w:r>
      <w:r w:rsidRPr="005316BF">
        <w:rPr>
          <w:rFonts w:ascii="Arial MT" w:eastAsia="Arial MT" w:hAnsi="Arial MT" w:cs="Arial MT"/>
          <w:spacing w:val="-7"/>
          <w:lang w:val="es-ES"/>
        </w:rPr>
        <w:t xml:space="preserve"> </w:t>
      </w:r>
      <w:r w:rsidRPr="005316BF">
        <w:rPr>
          <w:rFonts w:ascii="Arial MT" w:eastAsia="Arial MT" w:hAnsi="Arial MT" w:cs="Arial MT"/>
          <w:lang w:val="es-ES"/>
        </w:rPr>
        <w:t>Ley</w:t>
      </w:r>
      <w:r w:rsidRPr="005316BF">
        <w:rPr>
          <w:rFonts w:ascii="Arial MT" w:eastAsia="Arial MT" w:hAnsi="Arial MT" w:cs="Arial MT"/>
          <w:spacing w:val="-7"/>
          <w:lang w:val="es-ES"/>
        </w:rPr>
        <w:t xml:space="preserve"> </w:t>
      </w:r>
      <w:r w:rsidRPr="005316BF">
        <w:rPr>
          <w:rFonts w:ascii="Arial MT" w:eastAsia="Arial MT" w:hAnsi="Arial MT" w:cs="Arial MT"/>
          <w:lang w:val="es-ES"/>
        </w:rPr>
        <w:t>4170</w:t>
      </w:r>
      <w:r w:rsidRPr="005316BF">
        <w:rPr>
          <w:rFonts w:ascii="Arial MT" w:eastAsia="Arial MT" w:hAnsi="Arial MT" w:cs="Arial MT"/>
          <w:spacing w:val="-7"/>
          <w:lang w:val="es-ES"/>
        </w:rPr>
        <w:t xml:space="preserve"> </w:t>
      </w:r>
      <w:r w:rsidRPr="005316BF">
        <w:rPr>
          <w:rFonts w:ascii="Arial MT" w:eastAsia="Arial MT" w:hAnsi="Arial MT" w:cs="Arial MT"/>
          <w:lang w:val="es-ES"/>
        </w:rPr>
        <w:t>de</w:t>
      </w:r>
      <w:r w:rsidRPr="005316BF">
        <w:rPr>
          <w:rFonts w:ascii="Arial MT" w:eastAsia="Arial MT" w:hAnsi="Arial MT" w:cs="Arial MT"/>
          <w:spacing w:val="-8"/>
          <w:lang w:val="es-ES"/>
        </w:rPr>
        <w:t xml:space="preserve"> </w:t>
      </w:r>
      <w:r w:rsidRPr="005316BF">
        <w:rPr>
          <w:rFonts w:ascii="Arial MT" w:eastAsia="Arial MT" w:hAnsi="Arial MT" w:cs="Arial MT"/>
          <w:lang w:val="es-ES"/>
        </w:rPr>
        <w:t>2011,</w:t>
      </w:r>
      <w:r w:rsidRPr="005316BF">
        <w:rPr>
          <w:rFonts w:ascii="Arial MT" w:eastAsia="Arial MT" w:hAnsi="Arial MT" w:cs="Arial MT"/>
          <w:spacing w:val="-7"/>
          <w:lang w:val="es-ES"/>
        </w:rPr>
        <w:t xml:space="preserve"> </w:t>
      </w:r>
      <w:r w:rsidRPr="005316BF">
        <w:rPr>
          <w:rFonts w:ascii="Arial MT" w:eastAsia="Arial MT" w:hAnsi="Arial MT" w:cs="Arial MT"/>
          <w:lang w:val="es-ES"/>
        </w:rPr>
        <w:t>la Agencia Nac</w:t>
      </w:r>
      <w:r>
        <w:rPr>
          <w:rFonts w:ascii="Arial MT" w:eastAsia="Arial MT" w:hAnsi="Arial MT" w:cs="Arial MT"/>
          <w:lang w:val="es-ES"/>
        </w:rPr>
        <w:t xml:space="preserve">ional de Contratación Pública –Colombia Compra </w:t>
      </w:r>
      <w:r w:rsidRPr="005316BF">
        <w:rPr>
          <w:rFonts w:ascii="Arial MT" w:eastAsia="Arial MT" w:hAnsi="Arial MT" w:cs="Arial MT"/>
          <w:lang w:val="es-ES"/>
        </w:rPr>
        <w:t>Eficiente</w:t>
      </w:r>
      <w:r>
        <w:rPr>
          <w:rFonts w:ascii="Arial MT" w:eastAsia="Arial MT" w:hAnsi="Arial MT" w:cs="Arial MT"/>
          <w:lang w:val="es-ES"/>
        </w:rPr>
        <w:t xml:space="preserve">– </w:t>
      </w:r>
      <w:r w:rsidRPr="005316BF">
        <w:rPr>
          <w:rFonts w:ascii="Arial MT" w:eastAsia="Arial MT" w:hAnsi="Arial MT" w:cs="Arial MT"/>
          <w:lang w:val="es-ES"/>
        </w:rPr>
        <w:t>responde</w:t>
      </w:r>
      <w:r w:rsidRPr="005316BF">
        <w:rPr>
          <w:rFonts w:ascii="Arial MT" w:eastAsia="Arial MT" w:hAnsi="Arial MT" w:cs="Arial MT"/>
          <w:spacing w:val="-1"/>
          <w:lang w:val="es-ES"/>
        </w:rPr>
        <w:t xml:space="preserve"> </w:t>
      </w:r>
      <w:r w:rsidRPr="005316BF">
        <w:rPr>
          <w:rFonts w:ascii="Arial MT" w:eastAsia="Arial MT" w:hAnsi="Arial MT" w:cs="Arial MT"/>
          <w:lang w:val="es-ES"/>
        </w:rPr>
        <w:t>su</w:t>
      </w:r>
      <w:r w:rsidRPr="005316BF">
        <w:rPr>
          <w:rFonts w:ascii="Arial MT" w:eastAsia="Arial MT" w:hAnsi="Arial MT" w:cs="Arial MT"/>
          <w:spacing w:val="-2"/>
          <w:lang w:val="es-ES"/>
        </w:rPr>
        <w:t xml:space="preserve"> </w:t>
      </w:r>
      <w:r w:rsidRPr="005316BF">
        <w:rPr>
          <w:rFonts w:ascii="Arial MT" w:eastAsia="Arial MT" w:hAnsi="Arial MT" w:cs="Arial MT"/>
          <w:lang w:val="es-ES"/>
        </w:rPr>
        <w:t>consulta</w:t>
      </w:r>
      <w:r w:rsidRPr="005316BF">
        <w:rPr>
          <w:rFonts w:ascii="Arial MT" w:eastAsia="Arial MT" w:hAnsi="Arial MT" w:cs="Arial MT"/>
          <w:spacing w:val="-2"/>
          <w:lang w:val="es-ES"/>
        </w:rPr>
        <w:t xml:space="preserve"> </w:t>
      </w:r>
      <w:r w:rsidRPr="005316BF">
        <w:rPr>
          <w:rFonts w:ascii="Arial MT" w:eastAsia="Arial MT" w:hAnsi="Arial MT" w:cs="Arial MT"/>
          <w:lang w:val="es-ES"/>
        </w:rPr>
        <w:t>del</w:t>
      </w:r>
      <w:r w:rsidRPr="005316BF">
        <w:rPr>
          <w:rFonts w:ascii="Arial MT" w:eastAsia="Arial MT" w:hAnsi="Arial MT" w:cs="Arial MT"/>
          <w:spacing w:val="-1"/>
          <w:lang w:val="es-ES"/>
        </w:rPr>
        <w:t xml:space="preserve"> </w:t>
      </w:r>
      <w:r>
        <w:rPr>
          <w:rFonts w:ascii="Arial MT" w:eastAsia="Arial MT" w:hAnsi="Arial MT" w:cs="Arial MT"/>
          <w:spacing w:val="-1"/>
          <w:lang w:val="es-ES"/>
        </w:rPr>
        <w:t xml:space="preserve">12 de agosto de 2022. </w:t>
      </w:r>
    </w:p>
    <w:p w14:paraId="39AD4146" w14:textId="77777777" w:rsidR="005316BF" w:rsidRPr="005316BF" w:rsidRDefault="005316BF" w:rsidP="005316BF">
      <w:pPr>
        <w:spacing w:after="0" w:line="240" w:lineRule="auto"/>
        <w:jc w:val="both"/>
        <w:rPr>
          <w:rFonts w:ascii="Arial" w:eastAsia="Calibri" w:hAnsi="Arial" w:cs="Arial"/>
          <w:b/>
          <w:color w:val="000000"/>
          <w:lang w:val="es-ES_tradnl" w:eastAsia="es-ES_tradnl"/>
        </w:rPr>
      </w:pPr>
    </w:p>
    <w:p w14:paraId="46ADE869" w14:textId="266A2215" w:rsidR="005316BF" w:rsidRPr="005316BF" w:rsidRDefault="005316BF" w:rsidP="005316BF">
      <w:pPr>
        <w:tabs>
          <w:tab w:val="left" w:pos="0"/>
          <w:tab w:val="left" w:pos="142"/>
          <w:tab w:val="left" w:pos="284"/>
        </w:tabs>
        <w:spacing w:after="0" w:line="276" w:lineRule="auto"/>
        <w:contextualSpacing/>
        <w:jc w:val="both"/>
        <w:rPr>
          <w:rFonts w:ascii="Arial" w:eastAsia="Calibri" w:hAnsi="Arial" w:cs="Arial"/>
          <w:b/>
          <w:color w:val="000000"/>
          <w:lang w:val="es-ES_tradnl"/>
        </w:rPr>
      </w:pPr>
      <w:r>
        <w:rPr>
          <w:rFonts w:ascii="Arial" w:eastAsia="Calibri" w:hAnsi="Arial" w:cs="Arial"/>
          <w:b/>
          <w:color w:val="000000"/>
          <w:lang w:val="es-ES_tradnl"/>
        </w:rPr>
        <w:t xml:space="preserve">1. </w:t>
      </w:r>
      <w:r w:rsidRPr="005316BF">
        <w:rPr>
          <w:rFonts w:ascii="Arial" w:eastAsia="Calibri" w:hAnsi="Arial" w:cs="Arial"/>
          <w:b/>
          <w:color w:val="000000"/>
          <w:lang w:val="es-ES_tradnl"/>
        </w:rPr>
        <w:t xml:space="preserve">Problema planteado </w:t>
      </w:r>
    </w:p>
    <w:p w14:paraId="18B9E93A" w14:textId="77777777" w:rsidR="005316BF" w:rsidRPr="005316BF" w:rsidRDefault="005316BF" w:rsidP="005316BF">
      <w:pPr>
        <w:tabs>
          <w:tab w:val="left" w:pos="0"/>
          <w:tab w:val="left" w:pos="142"/>
          <w:tab w:val="left" w:pos="284"/>
        </w:tabs>
        <w:spacing w:after="0" w:line="276" w:lineRule="auto"/>
        <w:jc w:val="both"/>
        <w:rPr>
          <w:rFonts w:ascii="Arial" w:eastAsia="Calibri" w:hAnsi="Arial" w:cs="Arial"/>
          <w:b/>
          <w:color w:val="000000"/>
          <w:lang w:val="es-ES_tradnl" w:eastAsia="es-ES_tradnl"/>
        </w:rPr>
      </w:pPr>
    </w:p>
    <w:p w14:paraId="2F350AD2" w14:textId="5A43D7CC" w:rsidR="005316BF" w:rsidRPr="0032514E" w:rsidRDefault="00187658" w:rsidP="005316BF">
      <w:pPr>
        <w:autoSpaceDE w:val="0"/>
        <w:autoSpaceDN w:val="0"/>
        <w:adjustRightInd w:val="0"/>
        <w:spacing w:after="0" w:line="276" w:lineRule="auto"/>
        <w:jc w:val="both"/>
        <w:rPr>
          <w:rFonts w:ascii="Arial" w:eastAsia="Calibri" w:hAnsi="Arial" w:cs="Arial"/>
          <w:bCs/>
          <w:color w:val="000000"/>
          <w:lang w:val="es-ES_tradnl" w:eastAsia="es-ES_tradnl"/>
        </w:rPr>
      </w:pPr>
      <w:r>
        <w:rPr>
          <w:rFonts w:ascii="Arial" w:eastAsia="Calibri" w:hAnsi="Arial" w:cs="Arial"/>
          <w:bCs/>
          <w:color w:val="000000"/>
          <w:lang w:val="es-ES_tradnl" w:eastAsia="es-ES_tradnl"/>
        </w:rPr>
        <w:t>Luego de expresar algunas consideraciones en su petición, formula la siguiente consulta</w:t>
      </w:r>
      <w:r w:rsidR="005316BF" w:rsidRPr="005316BF">
        <w:rPr>
          <w:rFonts w:ascii="Arial" w:eastAsia="Calibri" w:hAnsi="Arial" w:cs="Arial"/>
          <w:bCs/>
          <w:color w:val="000000"/>
          <w:lang w:val="es-ES_tradnl" w:eastAsia="es-ES_tradnl"/>
        </w:rPr>
        <w:t>:</w:t>
      </w:r>
      <w:r w:rsidR="005316BF" w:rsidRPr="0032514E">
        <w:rPr>
          <w:rFonts w:ascii="Arial" w:eastAsia="Calibri" w:hAnsi="Arial" w:cs="Arial"/>
          <w:bCs/>
          <w:color w:val="000000"/>
          <w:lang w:val="es-ES_tradnl" w:eastAsia="es-ES_tradnl"/>
        </w:rPr>
        <w:t xml:space="preserve"> «En el cumplimiento de las obligaciones de acuerdo con el artículo 41 de la Ley 80 de 1993, el artículo 50 de la Ley 789 de 2002, el artículo 9 de la Ley 828 de 2003 y el artículo 23 de la Ley 1150 de 2007, se da por CUMPLIDO con el Certificado y Pago de Aportes Parafiscales y Seguridad Social de la Unión Temporal o se requiere a cada uno de los integrantes que lo conforman».</w:t>
      </w:r>
    </w:p>
    <w:p w14:paraId="20ECEF56" w14:textId="77777777" w:rsidR="005316BF" w:rsidRPr="005316BF" w:rsidRDefault="005316BF" w:rsidP="005316BF">
      <w:pPr>
        <w:spacing w:after="0" w:line="276" w:lineRule="auto"/>
        <w:jc w:val="both"/>
        <w:rPr>
          <w:rFonts w:ascii="Arial" w:eastAsia="Times New Roman" w:hAnsi="Arial" w:cs="Arial"/>
          <w:lang w:eastAsia="es-ES_tradnl"/>
        </w:rPr>
      </w:pPr>
    </w:p>
    <w:p w14:paraId="624E06C4" w14:textId="77777777" w:rsidR="003C3F35" w:rsidRDefault="005316BF" w:rsidP="003C3F35">
      <w:pPr>
        <w:spacing w:after="0" w:line="276" w:lineRule="auto"/>
        <w:jc w:val="both"/>
        <w:rPr>
          <w:rFonts w:ascii="Arial" w:eastAsia="Times New Roman" w:hAnsi="Arial" w:cs="Arial"/>
          <w:lang w:eastAsia="es-ES_tradnl"/>
        </w:rPr>
      </w:pPr>
      <w:r w:rsidRPr="005316BF">
        <w:rPr>
          <w:rFonts w:ascii="Arial" w:eastAsia="Times New Roman" w:hAnsi="Arial" w:cs="Arial"/>
          <w:b/>
          <w:bCs/>
          <w:lang w:eastAsia="es-ES_tradnl"/>
        </w:rPr>
        <w:t>2.</w:t>
      </w:r>
      <w:r w:rsidRPr="005316BF">
        <w:rPr>
          <w:rFonts w:ascii="Arial" w:eastAsia="Calibri" w:hAnsi="Arial" w:cs="Arial"/>
          <w:b/>
          <w:color w:val="000000"/>
          <w:lang w:val="es-ES_tradnl" w:eastAsia="es-ES_tradnl"/>
        </w:rPr>
        <w:t>Consideraciones</w:t>
      </w:r>
    </w:p>
    <w:p w14:paraId="62418C47" w14:textId="77777777" w:rsidR="003C3F35" w:rsidRDefault="003C3F35" w:rsidP="003C3F35">
      <w:pPr>
        <w:spacing w:after="0" w:line="276" w:lineRule="auto"/>
        <w:jc w:val="both"/>
        <w:rPr>
          <w:rFonts w:ascii="Arial" w:eastAsia="Times New Roman" w:hAnsi="Arial" w:cs="Arial"/>
          <w:lang w:eastAsia="es-ES_tradnl"/>
        </w:rPr>
      </w:pPr>
    </w:p>
    <w:p w14:paraId="71A7A17D" w14:textId="77777777" w:rsidR="00187658" w:rsidRPr="0060580F" w:rsidRDefault="00187658" w:rsidP="00187658">
      <w:pPr>
        <w:spacing w:line="276" w:lineRule="auto"/>
        <w:jc w:val="both"/>
        <w:rPr>
          <w:rFonts w:ascii="Arial" w:hAnsi="Arial" w:cs="Arial"/>
          <w:lang w:val="es-ES"/>
        </w:rPr>
      </w:pPr>
      <w:r w:rsidRPr="0060580F">
        <w:rPr>
          <w:rFonts w:ascii="Arial" w:hAnsi="Arial" w:cs="Arial"/>
          <w:bCs/>
        </w:rPr>
        <w:lastRenderedPageBreak/>
        <w:t xml:space="preserve">En ejercicio de las competencias establecidas en los artículos 3.5 y 11.8 del Decreto 4170 de 2011, la Agencia Nacional de Contratación Pública – Colombia Compra Eficiente resuelve consultas sobre </w:t>
      </w:r>
      <w:r w:rsidRPr="0060580F">
        <w:rPr>
          <w:rFonts w:ascii="Arial" w:hAnsi="Arial" w:cs="Arial"/>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60580F">
        <w:rPr>
          <w:rFonts w:ascii="Arial" w:hAnsi="Arial" w:cs="Arial"/>
          <w:bCs/>
        </w:rPr>
        <w:t xml:space="preserve"> de todos los partícipes de la contratación estatal ni para interpretar el alcance de cualquier norma vigente en el ordenamiento jurídico.</w:t>
      </w:r>
    </w:p>
    <w:p w14:paraId="46EB382A" w14:textId="77777777" w:rsidR="00187658" w:rsidRPr="0060580F" w:rsidRDefault="00187658" w:rsidP="00187658">
      <w:pPr>
        <w:spacing w:before="120" w:line="276" w:lineRule="auto"/>
        <w:ind w:firstLine="708"/>
        <w:jc w:val="both"/>
        <w:rPr>
          <w:rFonts w:ascii="Arial" w:hAnsi="Arial" w:cs="Arial"/>
          <w:lang w:val="es-ES"/>
        </w:rPr>
      </w:pPr>
      <w:r w:rsidRPr="0060580F">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0580F">
        <w:rPr>
          <w:rFonts w:ascii="Arial" w:hAnsi="Arial" w:cs="Arial"/>
          <w:vertAlign w:val="superscript"/>
          <w:lang w:val="es-ES"/>
        </w:rPr>
        <w:footnoteReference w:id="1"/>
      </w:r>
      <w:r w:rsidRPr="0060580F">
        <w:rPr>
          <w:rFonts w:ascii="Arial" w:hAnsi="Arial" w:cs="Arial"/>
          <w:lang w:val="es-ES"/>
        </w:rPr>
        <w:t xml:space="preserve">. Esta competencia de interpretación de normas generales, por definición, no puede extenderse a la resolución de controversias, brindar asesorías sobre casos puntuales ni interpretar normas ajenas al sistema de compras públicas. </w:t>
      </w:r>
    </w:p>
    <w:p w14:paraId="48D6718F" w14:textId="073904DC" w:rsidR="00187658" w:rsidRDefault="00187658" w:rsidP="00187658">
      <w:pPr>
        <w:spacing w:before="120" w:line="276" w:lineRule="auto"/>
        <w:ind w:firstLine="708"/>
        <w:jc w:val="both"/>
        <w:rPr>
          <w:rFonts w:ascii="Arial" w:hAnsi="Arial" w:cs="Arial"/>
          <w:lang w:val="es-ES_tradnl"/>
        </w:rPr>
      </w:pPr>
      <w:r w:rsidRPr="0060580F">
        <w:rPr>
          <w:rFonts w:ascii="Arial" w:hAnsi="Arial" w:cs="Arial"/>
          <w:lang w:val="es-ES"/>
        </w:rPr>
        <w:t xml:space="preserve">En este contexto, </w:t>
      </w:r>
      <w:r>
        <w:rPr>
          <w:rFonts w:ascii="Arial" w:hAnsi="Arial" w:cs="Arial"/>
          <w:lang w:val="es-ES"/>
        </w:rPr>
        <w:t>l</w:t>
      </w:r>
      <w:r w:rsidRPr="00B7032A">
        <w:rPr>
          <w:rFonts w:ascii="Arial" w:eastAsia="Calibri" w:hAnsi="Arial" w:cs="Arial"/>
          <w:color w:val="000000" w:themeColor="text1"/>
          <w:lang w:val="es-ES"/>
        </w:rPr>
        <w:t>a Subdirección –dentro de los límites de sus atribuciones</w:t>
      </w:r>
      <w:r>
        <w:rPr>
          <w:rFonts w:ascii="Arial" w:eastAsia="Calibri" w:hAnsi="Arial" w:cs="Arial"/>
          <w:color w:val="000000" w:themeColor="text1"/>
          <w:lang w:val="es-ES"/>
        </w:rPr>
        <w:t>, esto es, haciendo abstracción del caso particular–</w:t>
      </w:r>
      <w:r w:rsidRPr="00B7032A">
        <w:rPr>
          <w:rFonts w:ascii="Arial" w:eastAsia="Calibri" w:hAnsi="Arial" w:cs="Arial"/>
          <w:color w:val="000000" w:themeColor="text1"/>
          <w:lang w:val="es-ES"/>
        </w:rPr>
        <w:t>, resolverá la consulta conforme a las normas generales en materia de contratación estatal</w:t>
      </w:r>
      <w:r>
        <w:rPr>
          <w:rFonts w:ascii="Arial" w:eastAsia="Calibri" w:hAnsi="Arial" w:cs="Arial"/>
          <w:bCs/>
          <w:color w:val="000000" w:themeColor="text1"/>
          <w:lang w:val="es-ES"/>
        </w:rPr>
        <w:t xml:space="preserve">. </w:t>
      </w:r>
      <w:r w:rsidRPr="00621981">
        <w:rPr>
          <w:rFonts w:ascii="Arial" w:eastAsia="Calibri" w:hAnsi="Arial" w:cs="Arial"/>
          <w:bCs/>
          <w:color w:val="000000" w:themeColor="text1"/>
        </w:rPr>
        <w:t xml:space="preserve">Para estos efectos, </w:t>
      </w:r>
      <w:r w:rsidRPr="00621981">
        <w:rPr>
          <w:rFonts w:ascii="Arial" w:eastAsia="Calibri" w:hAnsi="Arial" w:cs="Arial"/>
          <w:bCs/>
          <w:color w:val="000000" w:themeColor="text1"/>
          <w:lang w:val="es-ES"/>
        </w:rPr>
        <w:t>se analizará</w:t>
      </w:r>
      <w:r w:rsidRPr="001A3832">
        <w:rPr>
          <w:rFonts w:ascii="Arial" w:eastAsia="Calibri" w:hAnsi="Arial" w:cs="Arial"/>
          <w:color w:val="000000" w:themeColor="text1"/>
        </w:rPr>
        <w:t xml:space="preserve">: i) </w:t>
      </w:r>
      <w:r>
        <w:rPr>
          <w:rFonts w:ascii="Arial" w:eastAsia="Calibri" w:hAnsi="Arial" w:cs="Arial"/>
          <w:color w:val="000000" w:themeColor="text1"/>
        </w:rPr>
        <w:t>n</w:t>
      </w:r>
      <w:r w:rsidRPr="00187658">
        <w:rPr>
          <w:rFonts w:ascii="Arial" w:eastAsia="Calibri" w:hAnsi="Arial" w:cs="Arial"/>
          <w:color w:val="000000" w:themeColor="text1"/>
        </w:rPr>
        <w:t>aturaleza y capacidad jurídica de los consorcios y uniones temporales</w:t>
      </w:r>
      <w:r>
        <w:rPr>
          <w:rFonts w:ascii="Arial" w:eastAsia="Calibri" w:hAnsi="Arial" w:cs="Arial"/>
          <w:color w:val="000000" w:themeColor="text1"/>
        </w:rPr>
        <w:t xml:space="preserve">; </w:t>
      </w:r>
      <w:proofErr w:type="spellStart"/>
      <w:r>
        <w:rPr>
          <w:rFonts w:ascii="Arial" w:eastAsia="Calibri" w:hAnsi="Arial" w:cs="Arial"/>
          <w:color w:val="000000" w:themeColor="text1"/>
        </w:rPr>
        <w:t>ii</w:t>
      </w:r>
      <w:proofErr w:type="spellEnd"/>
      <w:r>
        <w:rPr>
          <w:rFonts w:ascii="Arial" w:eastAsia="Calibri" w:hAnsi="Arial" w:cs="Arial"/>
          <w:color w:val="000000" w:themeColor="text1"/>
        </w:rPr>
        <w:t xml:space="preserve">) </w:t>
      </w:r>
      <w:r w:rsidR="00CC4E37">
        <w:rPr>
          <w:rFonts w:ascii="Arial" w:eastAsia="Calibri" w:hAnsi="Arial" w:cs="Arial"/>
          <w:color w:val="000000" w:themeColor="text1"/>
        </w:rPr>
        <w:t xml:space="preserve">la </w:t>
      </w:r>
      <w:r w:rsidR="00CC4E37" w:rsidRPr="00CC4E37">
        <w:rPr>
          <w:rFonts w:ascii="Arial" w:eastAsia="Calibri" w:hAnsi="Arial" w:cs="Arial"/>
          <w:color w:val="000000" w:themeColor="text1"/>
        </w:rPr>
        <w:t>Seguridad Social Integral en las diferentes etapas de los procesos de contratación pública</w:t>
      </w:r>
      <w:r w:rsidR="00CC4E37">
        <w:rPr>
          <w:rFonts w:ascii="Arial" w:eastAsia="Calibri" w:hAnsi="Arial" w:cs="Arial"/>
          <w:color w:val="000000" w:themeColor="text1"/>
        </w:rPr>
        <w:t xml:space="preserve">; y </w:t>
      </w:r>
      <w:proofErr w:type="spellStart"/>
      <w:r w:rsidR="00CC4E37">
        <w:rPr>
          <w:rFonts w:ascii="Arial" w:eastAsia="Calibri" w:hAnsi="Arial" w:cs="Arial"/>
          <w:color w:val="000000" w:themeColor="text1"/>
        </w:rPr>
        <w:t>iii</w:t>
      </w:r>
      <w:proofErr w:type="spellEnd"/>
      <w:r w:rsidR="00CC4E37">
        <w:rPr>
          <w:rFonts w:ascii="Arial" w:eastAsia="Calibri" w:hAnsi="Arial" w:cs="Arial"/>
          <w:color w:val="000000" w:themeColor="text1"/>
        </w:rPr>
        <w:t>) l</w:t>
      </w:r>
      <w:r w:rsidR="00CC4E37" w:rsidRPr="00CC4E37">
        <w:rPr>
          <w:rFonts w:ascii="Arial" w:eastAsia="Calibri" w:hAnsi="Arial" w:cs="Arial"/>
          <w:color w:val="000000" w:themeColor="text1"/>
        </w:rPr>
        <w:t>a obligación de aportar al Sistema de Seguridad Social Integral, durante la ejecución del contrato, por parte de los consorcios y uniones temporales</w:t>
      </w:r>
      <w:r w:rsidR="00CC4E37">
        <w:rPr>
          <w:rFonts w:ascii="Arial" w:eastAsia="Calibri" w:hAnsi="Arial" w:cs="Arial"/>
          <w:color w:val="000000" w:themeColor="text1"/>
        </w:rPr>
        <w:t>.</w:t>
      </w:r>
    </w:p>
    <w:p w14:paraId="029C092A" w14:textId="0BDDFD73" w:rsidR="008134DB" w:rsidRPr="008134DB" w:rsidRDefault="005316BF" w:rsidP="0032514E">
      <w:pPr>
        <w:spacing w:after="0" w:line="276" w:lineRule="auto"/>
        <w:ind w:firstLine="708"/>
        <w:jc w:val="both"/>
        <w:rPr>
          <w:rFonts w:ascii="Arial" w:eastAsia="Calibri" w:hAnsi="Arial" w:cs="Arial"/>
          <w:color w:val="000000" w:themeColor="text1"/>
          <w:lang w:val="es-MX"/>
        </w:rPr>
      </w:pPr>
      <w:r w:rsidRPr="005316BF">
        <w:rPr>
          <w:rFonts w:ascii="Arial" w:eastAsia="Arial" w:hAnsi="Arial" w:cs="Arial"/>
          <w:lang w:val="es-ES"/>
        </w:rPr>
        <w:t>La Agencia Nacional de Contratación Pública − Colombia Compra Eficiente se pronunció sobre el perfeccionamiento de los contratos y el régimen de seguridad</w:t>
      </w:r>
      <w:r w:rsidRPr="005316BF">
        <w:rPr>
          <w:rFonts w:ascii="Arial" w:eastAsia="Arial" w:hAnsi="Arial" w:cs="Arial"/>
          <w:spacing w:val="-12"/>
          <w:lang w:val="es-ES"/>
        </w:rPr>
        <w:t xml:space="preserve"> </w:t>
      </w:r>
      <w:r w:rsidRPr="005316BF">
        <w:rPr>
          <w:rFonts w:ascii="Arial" w:eastAsia="Arial" w:hAnsi="Arial" w:cs="Arial"/>
          <w:lang w:val="es-ES"/>
        </w:rPr>
        <w:t>social,</w:t>
      </w:r>
      <w:r w:rsidRPr="005316BF">
        <w:rPr>
          <w:rFonts w:ascii="Arial" w:eastAsia="Arial" w:hAnsi="Arial" w:cs="Arial"/>
          <w:spacing w:val="-11"/>
          <w:lang w:val="es-ES"/>
        </w:rPr>
        <w:t xml:space="preserve"> </w:t>
      </w:r>
      <w:r w:rsidRPr="005316BF">
        <w:rPr>
          <w:rFonts w:ascii="Arial" w:eastAsia="Arial" w:hAnsi="Arial" w:cs="Arial"/>
          <w:lang w:val="es-ES"/>
        </w:rPr>
        <w:t>en</w:t>
      </w:r>
      <w:r w:rsidRPr="005316BF">
        <w:rPr>
          <w:rFonts w:ascii="Arial" w:eastAsia="Arial" w:hAnsi="Arial" w:cs="Arial"/>
          <w:spacing w:val="-11"/>
          <w:lang w:val="es-ES"/>
        </w:rPr>
        <w:t xml:space="preserve"> </w:t>
      </w:r>
      <w:r w:rsidRPr="005316BF">
        <w:rPr>
          <w:rFonts w:ascii="Arial" w:eastAsia="Arial" w:hAnsi="Arial" w:cs="Arial"/>
          <w:lang w:val="es-ES"/>
        </w:rPr>
        <w:t>los</w:t>
      </w:r>
      <w:r w:rsidRPr="005316BF">
        <w:rPr>
          <w:rFonts w:ascii="Arial" w:eastAsia="Arial" w:hAnsi="Arial" w:cs="Arial"/>
          <w:spacing w:val="-11"/>
          <w:lang w:val="es-ES"/>
        </w:rPr>
        <w:t xml:space="preserve"> </w:t>
      </w:r>
      <w:r w:rsidRPr="005316BF">
        <w:rPr>
          <w:rFonts w:ascii="Arial" w:eastAsia="Arial" w:hAnsi="Arial" w:cs="Arial"/>
          <w:lang w:val="es-ES"/>
        </w:rPr>
        <w:t>conceptos</w:t>
      </w:r>
      <w:r w:rsidRPr="005316BF">
        <w:rPr>
          <w:rFonts w:ascii="Arial" w:eastAsia="Arial" w:hAnsi="Arial" w:cs="Arial"/>
          <w:spacing w:val="-11"/>
          <w:lang w:val="es-ES"/>
        </w:rPr>
        <w:t xml:space="preserve"> </w:t>
      </w:r>
      <w:r w:rsidRPr="005316BF">
        <w:rPr>
          <w:rFonts w:ascii="Arial" w:eastAsia="Arial" w:hAnsi="Arial" w:cs="Arial"/>
          <w:lang w:val="es-ES"/>
        </w:rPr>
        <w:t>radicados</w:t>
      </w:r>
      <w:r w:rsidRPr="005316BF">
        <w:rPr>
          <w:rFonts w:ascii="Arial" w:eastAsia="Arial" w:hAnsi="Arial" w:cs="Arial"/>
          <w:spacing w:val="-11"/>
          <w:lang w:val="es-ES"/>
        </w:rPr>
        <w:t xml:space="preserve"> </w:t>
      </w:r>
      <w:r w:rsidRPr="005316BF">
        <w:rPr>
          <w:rFonts w:ascii="Arial" w:eastAsia="Arial" w:hAnsi="Arial" w:cs="Arial"/>
          <w:lang w:val="es-ES"/>
        </w:rPr>
        <w:t>42019130000005594</w:t>
      </w:r>
      <w:r w:rsidRPr="005316BF">
        <w:rPr>
          <w:rFonts w:ascii="Arial" w:eastAsia="Arial" w:hAnsi="Arial" w:cs="Arial"/>
          <w:spacing w:val="-10"/>
          <w:lang w:val="es-ES"/>
        </w:rPr>
        <w:t xml:space="preserve"> </w:t>
      </w:r>
      <w:r w:rsidRPr="005316BF">
        <w:rPr>
          <w:rFonts w:ascii="Arial" w:eastAsia="Arial" w:hAnsi="Arial" w:cs="Arial"/>
          <w:lang w:val="es-ES"/>
        </w:rPr>
        <w:t>de</w:t>
      </w:r>
      <w:r w:rsidRPr="005316BF">
        <w:rPr>
          <w:rFonts w:ascii="Arial" w:eastAsia="Arial" w:hAnsi="Arial" w:cs="Arial"/>
          <w:spacing w:val="-11"/>
          <w:lang w:val="es-ES"/>
        </w:rPr>
        <w:t xml:space="preserve"> </w:t>
      </w:r>
      <w:r w:rsidRPr="005316BF">
        <w:rPr>
          <w:rFonts w:ascii="Arial" w:eastAsia="Arial" w:hAnsi="Arial" w:cs="Arial"/>
          <w:lang w:val="es-ES"/>
        </w:rPr>
        <w:t>30</w:t>
      </w:r>
      <w:r w:rsidRPr="005316BF">
        <w:rPr>
          <w:rFonts w:ascii="Arial" w:eastAsia="Arial" w:hAnsi="Arial" w:cs="Arial"/>
          <w:spacing w:val="-11"/>
          <w:lang w:val="es-ES"/>
        </w:rPr>
        <w:t xml:space="preserve"> </w:t>
      </w:r>
      <w:r w:rsidRPr="005316BF">
        <w:rPr>
          <w:rFonts w:ascii="Arial" w:eastAsia="Arial" w:hAnsi="Arial" w:cs="Arial"/>
          <w:lang w:val="es-ES"/>
        </w:rPr>
        <w:t>de</w:t>
      </w:r>
      <w:r w:rsidRPr="005316BF">
        <w:rPr>
          <w:rFonts w:ascii="Arial" w:eastAsia="Arial" w:hAnsi="Arial" w:cs="Arial"/>
          <w:spacing w:val="-11"/>
          <w:lang w:val="es-ES"/>
        </w:rPr>
        <w:t xml:space="preserve"> </w:t>
      </w:r>
      <w:r w:rsidRPr="005316BF">
        <w:rPr>
          <w:rFonts w:ascii="Arial" w:eastAsia="Arial" w:hAnsi="Arial" w:cs="Arial"/>
          <w:lang w:val="es-ES"/>
        </w:rPr>
        <w:t>septiembre de 2019, 4201913000006384 de 21 de octubre de 2019, 4201912000007492 de 17</w:t>
      </w:r>
      <w:r w:rsidRPr="005316BF">
        <w:rPr>
          <w:rFonts w:ascii="Arial" w:eastAsia="Arial" w:hAnsi="Arial" w:cs="Arial"/>
          <w:spacing w:val="10"/>
          <w:lang w:val="es-ES"/>
        </w:rPr>
        <w:t xml:space="preserve"> </w:t>
      </w:r>
      <w:r w:rsidRPr="005316BF">
        <w:rPr>
          <w:rFonts w:ascii="Arial" w:eastAsia="Arial" w:hAnsi="Arial" w:cs="Arial"/>
          <w:lang w:val="es-ES"/>
        </w:rPr>
        <w:t>de diciembre de 2019, C-040 de 5 de febrero de 2020, C-042 de 5 de f</w:t>
      </w:r>
      <w:r w:rsidR="00F2749B">
        <w:rPr>
          <w:rFonts w:ascii="Arial" w:eastAsia="Arial" w:hAnsi="Arial" w:cs="Arial"/>
          <w:lang w:val="es-ES"/>
        </w:rPr>
        <w:t xml:space="preserve">ebrero de 2020 y C-134 de 2021, C-583 del 15 de octubre de 2022. </w:t>
      </w:r>
      <w:r w:rsidR="008134DB">
        <w:rPr>
          <w:rFonts w:ascii="Arial" w:eastAsia="Arial" w:hAnsi="Arial" w:cs="Arial"/>
          <w:lang w:val="es-ES"/>
        </w:rPr>
        <w:t xml:space="preserve">Con respecto, a la naturaleza y obligaciones de los proponentes plurales, se han expedido los Conceptos </w:t>
      </w:r>
      <w:r w:rsidR="008134DB" w:rsidRPr="008134DB">
        <w:rPr>
          <w:rFonts w:ascii="Arial" w:eastAsia="Calibri" w:hAnsi="Arial" w:cs="Arial"/>
          <w:color w:val="000000" w:themeColor="text1"/>
          <w:lang w:val="es-MX"/>
        </w:rPr>
        <w:t xml:space="preserve">4201913000007643 del 26 de diciembre de 2019, C-343 del 17 de junio de 2020, </w:t>
      </w:r>
      <w:r w:rsidR="008134DB">
        <w:rPr>
          <w:rFonts w:ascii="Arial" w:eastAsia="Calibri" w:hAnsi="Arial" w:cs="Arial"/>
          <w:color w:val="000000" w:themeColor="text1"/>
          <w:lang w:val="es-MX"/>
        </w:rPr>
        <w:t xml:space="preserve">C-099 del 6 de abril de 2020, </w:t>
      </w:r>
      <w:r w:rsidR="003C3F35">
        <w:rPr>
          <w:rFonts w:ascii="Arial" w:eastAsia="Calibri" w:hAnsi="Arial" w:cs="Arial"/>
          <w:color w:val="000000" w:themeColor="text1"/>
          <w:lang w:val="es-MX"/>
        </w:rPr>
        <w:t xml:space="preserve">C-518 del 9 de septiembre de 2020, C-701 del 7 de enero de 2022, </w:t>
      </w:r>
      <w:r w:rsidR="003C3F35">
        <w:rPr>
          <w:rFonts w:ascii="Arial" w:eastAsia="Calibri" w:hAnsi="Arial" w:cs="Arial"/>
          <w:color w:val="000000" w:themeColor="text1"/>
          <w:lang w:val="es-MX"/>
        </w:rPr>
        <w:lastRenderedPageBreak/>
        <w:t>entre otros</w:t>
      </w:r>
      <w:r w:rsidR="008134DB" w:rsidRPr="008134DB">
        <w:rPr>
          <w:rFonts w:ascii="Arial" w:eastAsia="Calibri" w:hAnsi="Arial" w:cs="Arial"/>
          <w:color w:val="000000" w:themeColor="text1"/>
          <w:lang w:val="es-MX"/>
        </w:rPr>
        <w:t xml:space="preserve">. </w:t>
      </w:r>
      <w:r w:rsidR="00CC4E37" w:rsidRPr="00165C07">
        <w:rPr>
          <w:rFonts w:ascii="Arial" w:eastAsia="Calibri" w:hAnsi="Arial" w:cs="Arial"/>
          <w:color w:val="000000" w:themeColor="text1"/>
          <w:lang w:val="es-MX"/>
        </w:rPr>
        <w:t>Además, en los concepto</w:t>
      </w:r>
      <w:r w:rsidR="004C0635" w:rsidRPr="00165C07">
        <w:rPr>
          <w:rFonts w:ascii="Arial" w:eastAsia="Calibri" w:hAnsi="Arial" w:cs="Arial"/>
          <w:color w:val="000000" w:themeColor="text1"/>
          <w:lang w:val="es-MX"/>
        </w:rPr>
        <w:t>s C-621 del</w:t>
      </w:r>
      <w:r w:rsidR="004C0635">
        <w:rPr>
          <w:rFonts w:ascii="Arial" w:eastAsia="Calibri" w:hAnsi="Arial" w:cs="Arial"/>
          <w:color w:val="000000" w:themeColor="text1"/>
          <w:lang w:val="es-MX"/>
        </w:rPr>
        <w:t xml:space="preserve"> 28 de septiembre de 2022 y C-636 del 3 de octubre de 2022</w:t>
      </w:r>
      <w:r w:rsidR="00CC4E37">
        <w:rPr>
          <w:rFonts w:ascii="Arial" w:eastAsia="Calibri" w:hAnsi="Arial" w:cs="Arial"/>
          <w:color w:val="000000" w:themeColor="text1"/>
          <w:lang w:val="es-MX"/>
        </w:rPr>
        <w:t xml:space="preserve"> se ocup</w:t>
      </w:r>
      <w:r w:rsidR="004C0635">
        <w:rPr>
          <w:rFonts w:ascii="Arial" w:eastAsia="Calibri" w:hAnsi="Arial" w:cs="Arial"/>
          <w:color w:val="000000" w:themeColor="text1"/>
          <w:lang w:val="es-MX"/>
        </w:rPr>
        <w:t xml:space="preserve">ó de la acreditación del cumplimiento de las obligaciones </w:t>
      </w:r>
      <w:r w:rsidR="004C0635">
        <w:rPr>
          <w:rFonts w:ascii="Arial" w:eastAsia="Calibri" w:hAnsi="Arial" w:cs="Arial"/>
          <w:color w:val="000000" w:themeColor="text1"/>
        </w:rPr>
        <w:t>con el</w:t>
      </w:r>
      <w:r w:rsidR="004C0635" w:rsidRPr="00CC4E37">
        <w:rPr>
          <w:rFonts w:ascii="Arial" w:eastAsia="Calibri" w:hAnsi="Arial" w:cs="Arial"/>
          <w:color w:val="000000" w:themeColor="text1"/>
        </w:rPr>
        <w:t xml:space="preserve"> Sistema de Seguridad Social Integral, durante la ejecución del contrato, por parte de los consorcios y uniones temporales</w:t>
      </w:r>
      <w:r w:rsidR="004C0635">
        <w:rPr>
          <w:rFonts w:ascii="Arial" w:eastAsia="Calibri" w:hAnsi="Arial" w:cs="Arial"/>
          <w:color w:val="000000" w:themeColor="text1"/>
        </w:rPr>
        <w:t>.</w:t>
      </w:r>
      <w:r w:rsidR="00CC4E37">
        <w:rPr>
          <w:rFonts w:ascii="Arial" w:eastAsia="Calibri" w:hAnsi="Arial" w:cs="Arial"/>
          <w:color w:val="000000" w:themeColor="text1"/>
          <w:lang w:val="es-MX"/>
        </w:rPr>
        <w:t xml:space="preserve"> </w:t>
      </w:r>
      <w:r w:rsidR="008134DB" w:rsidRPr="008134DB">
        <w:rPr>
          <w:rFonts w:ascii="Arial" w:eastAsia="Calibri" w:hAnsi="Arial" w:cs="Arial"/>
          <w:color w:val="000000" w:themeColor="text1"/>
          <w:lang w:val="es-MX"/>
        </w:rPr>
        <w:t xml:space="preserve">La tesis desarrollada en estos conceptos se reitera </w:t>
      </w:r>
      <w:r w:rsidR="003C3F35">
        <w:rPr>
          <w:rFonts w:ascii="Arial" w:eastAsia="Calibri" w:hAnsi="Arial" w:cs="Arial"/>
          <w:color w:val="000000" w:themeColor="text1"/>
          <w:lang w:val="es-MX"/>
        </w:rPr>
        <w:t xml:space="preserve">y se complementa a continuación. </w:t>
      </w:r>
    </w:p>
    <w:p w14:paraId="17B7762C" w14:textId="78A44C7A" w:rsidR="005316BF" w:rsidRPr="005316BF" w:rsidRDefault="005316BF" w:rsidP="0032514E">
      <w:pPr>
        <w:widowControl w:val="0"/>
        <w:autoSpaceDE w:val="0"/>
        <w:autoSpaceDN w:val="0"/>
        <w:spacing w:after="0" w:line="240" w:lineRule="auto"/>
        <w:jc w:val="both"/>
        <w:rPr>
          <w:rFonts w:ascii="Arial" w:eastAsia="Arial" w:hAnsi="Arial" w:cs="Arial"/>
          <w:sz w:val="25"/>
          <w:lang w:val="es-ES"/>
        </w:rPr>
      </w:pPr>
    </w:p>
    <w:p w14:paraId="1B318AF9" w14:textId="6E854DB7" w:rsidR="007559A2" w:rsidRDefault="007559A2" w:rsidP="0032514E">
      <w:pPr>
        <w:spacing w:after="0" w:line="276" w:lineRule="auto"/>
        <w:jc w:val="both"/>
        <w:rPr>
          <w:rFonts w:ascii="Arial" w:eastAsia="Calibri" w:hAnsi="Arial" w:cs="Arial"/>
          <w:b/>
          <w:bCs/>
          <w:color w:val="000000"/>
          <w:szCs w:val="24"/>
          <w:lang w:val="pt-BR" w:eastAsia="en-GB"/>
        </w:rPr>
      </w:pPr>
      <w:r w:rsidRPr="007559A2">
        <w:rPr>
          <w:rFonts w:ascii="Arial" w:eastAsia="Calibri" w:hAnsi="Arial" w:cs="Arial"/>
          <w:b/>
          <w:bCs/>
          <w:color w:val="000000"/>
          <w:szCs w:val="24"/>
          <w:lang w:val="es-ES_tradnl" w:eastAsia="es-ES_tradnl"/>
        </w:rPr>
        <w:t>2.1.</w:t>
      </w:r>
      <w:r w:rsidRPr="007559A2">
        <w:rPr>
          <w:rFonts w:ascii="Arial" w:eastAsia="Calibri" w:hAnsi="Arial" w:cs="Arial"/>
          <w:b/>
          <w:bCs/>
          <w:color w:val="000000"/>
          <w:szCs w:val="24"/>
          <w:lang w:val="pt-BR" w:eastAsia="en-GB"/>
        </w:rPr>
        <w:t xml:space="preserve"> </w:t>
      </w:r>
      <w:proofErr w:type="spellStart"/>
      <w:r w:rsidRPr="007559A2">
        <w:rPr>
          <w:rFonts w:ascii="Arial" w:eastAsia="Calibri" w:hAnsi="Arial" w:cs="Arial"/>
          <w:b/>
          <w:bCs/>
          <w:color w:val="000000"/>
          <w:szCs w:val="24"/>
          <w:lang w:val="pt-BR" w:eastAsia="en-GB"/>
        </w:rPr>
        <w:t>Naturaleza</w:t>
      </w:r>
      <w:proofErr w:type="spellEnd"/>
      <w:r w:rsidRPr="007559A2">
        <w:rPr>
          <w:rFonts w:ascii="Arial" w:eastAsia="Calibri" w:hAnsi="Arial" w:cs="Arial"/>
          <w:b/>
          <w:bCs/>
          <w:color w:val="000000"/>
          <w:szCs w:val="24"/>
          <w:lang w:val="pt-BR" w:eastAsia="en-GB"/>
        </w:rPr>
        <w:t xml:space="preserve"> y </w:t>
      </w:r>
      <w:proofErr w:type="spellStart"/>
      <w:r w:rsidRPr="007559A2">
        <w:rPr>
          <w:rFonts w:ascii="Arial" w:eastAsia="Calibri" w:hAnsi="Arial" w:cs="Arial"/>
          <w:b/>
          <w:bCs/>
          <w:color w:val="000000"/>
          <w:szCs w:val="24"/>
          <w:lang w:val="pt-BR" w:eastAsia="en-GB"/>
        </w:rPr>
        <w:t>capacidad</w:t>
      </w:r>
      <w:proofErr w:type="spellEnd"/>
      <w:r w:rsidRPr="007559A2">
        <w:rPr>
          <w:rFonts w:ascii="Arial" w:eastAsia="Calibri" w:hAnsi="Arial" w:cs="Arial"/>
          <w:b/>
          <w:bCs/>
          <w:color w:val="000000"/>
          <w:szCs w:val="24"/>
          <w:lang w:val="pt-BR" w:eastAsia="en-GB"/>
        </w:rPr>
        <w:t xml:space="preserve"> jurídica de </w:t>
      </w:r>
      <w:proofErr w:type="spellStart"/>
      <w:r w:rsidRPr="007559A2">
        <w:rPr>
          <w:rFonts w:ascii="Arial" w:eastAsia="Calibri" w:hAnsi="Arial" w:cs="Arial"/>
          <w:b/>
          <w:bCs/>
          <w:color w:val="000000"/>
          <w:szCs w:val="24"/>
          <w:lang w:val="pt-BR" w:eastAsia="en-GB"/>
        </w:rPr>
        <w:t>los</w:t>
      </w:r>
      <w:proofErr w:type="spellEnd"/>
      <w:r w:rsidRPr="007559A2">
        <w:rPr>
          <w:rFonts w:ascii="Arial" w:eastAsia="Calibri" w:hAnsi="Arial" w:cs="Arial"/>
          <w:b/>
          <w:bCs/>
          <w:color w:val="000000"/>
          <w:szCs w:val="24"/>
          <w:lang w:val="pt-BR" w:eastAsia="en-GB"/>
        </w:rPr>
        <w:t xml:space="preserve"> </w:t>
      </w:r>
      <w:proofErr w:type="spellStart"/>
      <w:r w:rsidRPr="007559A2">
        <w:rPr>
          <w:rFonts w:ascii="Arial" w:eastAsia="Calibri" w:hAnsi="Arial" w:cs="Arial"/>
          <w:b/>
          <w:bCs/>
          <w:color w:val="000000"/>
          <w:szCs w:val="24"/>
          <w:lang w:val="pt-BR" w:eastAsia="en-GB"/>
        </w:rPr>
        <w:t>consorcios</w:t>
      </w:r>
      <w:proofErr w:type="spellEnd"/>
      <w:r w:rsidRPr="007559A2">
        <w:rPr>
          <w:rFonts w:ascii="Arial" w:eastAsia="Calibri" w:hAnsi="Arial" w:cs="Arial"/>
          <w:b/>
          <w:bCs/>
          <w:color w:val="000000"/>
          <w:szCs w:val="24"/>
          <w:lang w:val="pt-BR" w:eastAsia="en-GB"/>
        </w:rPr>
        <w:t xml:space="preserve"> y </w:t>
      </w:r>
      <w:proofErr w:type="spellStart"/>
      <w:r w:rsidRPr="007559A2">
        <w:rPr>
          <w:rFonts w:ascii="Arial" w:eastAsia="Calibri" w:hAnsi="Arial" w:cs="Arial"/>
          <w:b/>
          <w:bCs/>
          <w:color w:val="000000"/>
          <w:szCs w:val="24"/>
          <w:lang w:val="pt-BR" w:eastAsia="en-GB"/>
        </w:rPr>
        <w:t>uniones</w:t>
      </w:r>
      <w:proofErr w:type="spellEnd"/>
      <w:r w:rsidRPr="007559A2">
        <w:rPr>
          <w:rFonts w:ascii="Arial" w:eastAsia="Calibri" w:hAnsi="Arial" w:cs="Arial"/>
          <w:b/>
          <w:bCs/>
          <w:color w:val="000000"/>
          <w:szCs w:val="24"/>
          <w:lang w:val="pt-BR" w:eastAsia="en-GB"/>
        </w:rPr>
        <w:t xml:space="preserve"> </w:t>
      </w:r>
      <w:proofErr w:type="spellStart"/>
      <w:r w:rsidRPr="007559A2">
        <w:rPr>
          <w:rFonts w:ascii="Arial" w:eastAsia="Calibri" w:hAnsi="Arial" w:cs="Arial"/>
          <w:b/>
          <w:bCs/>
          <w:color w:val="000000"/>
          <w:szCs w:val="24"/>
          <w:lang w:val="pt-BR" w:eastAsia="en-GB"/>
        </w:rPr>
        <w:t>temporales</w:t>
      </w:r>
      <w:proofErr w:type="spellEnd"/>
    </w:p>
    <w:p w14:paraId="0B035C18" w14:textId="77777777" w:rsidR="0032514E" w:rsidRPr="007559A2" w:rsidRDefault="0032514E" w:rsidP="0032514E">
      <w:pPr>
        <w:spacing w:after="0" w:line="276" w:lineRule="auto"/>
        <w:jc w:val="both"/>
        <w:rPr>
          <w:rFonts w:ascii="Arial" w:eastAsia="Calibri" w:hAnsi="Arial" w:cs="Arial"/>
          <w:color w:val="000000"/>
          <w:lang w:val="es-ES_tradnl" w:eastAsia="es-ES_tradnl"/>
        </w:rPr>
      </w:pPr>
    </w:p>
    <w:p w14:paraId="56AD23FC" w14:textId="77777777" w:rsidR="007559A2" w:rsidRPr="007559A2" w:rsidRDefault="007559A2" w:rsidP="0032514E">
      <w:pPr>
        <w:tabs>
          <w:tab w:val="left" w:pos="0"/>
        </w:tabs>
        <w:spacing w:after="0" w:line="276" w:lineRule="auto"/>
        <w:jc w:val="both"/>
        <w:rPr>
          <w:rFonts w:ascii="Arial" w:eastAsia="Calibri" w:hAnsi="Arial" w:cs="Arial"/>
          <w:bCs/>
          <w:color w:val="000000"/>
          <w:szCs w:val="24"/>
          <w:lang w:val="es-ES_tradnl" w:eastAsia="es-ES_tradnl" w:bidi="es-ES"/>
        </w:rPr>
      </w:pPr>
      <w:r w:rsidRPr="007559A2">
        <w:rPr>
          <w:rFonts w:ascii="Arial" w:eastAsia="Calibri" w:hAnsi="Arial" w:cs="Arial"/>
          <w:bCs/>
          <w:color w:val="000000"/>
          <w:szCs w:val="24"/>
          <w:lang w:val="es-ES_tradnl" w:eastAsia="es-ES_tradnl" w:bidi="es-ES"/>
        </w:rPr>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 y de comparecer en juicio</w:t>
      </w:r>
      <w:r w:rsidRPr="007559A2">
        <w:rPr>
          <w:rFonts w:ascii="Arial" w:eastAsia="Calibri" w:hAnsi="Arial" w:cs="Arial"/>
          <w:bCs/>
          <w:color w:val="000000"/>
          <w:szCs w:val="24"/>
          <w:vertAlign w:val="superscript"/>
          <w:lang w:val="es-ES_tradnl" w:eastAsia="es-ES_tradnl" w:bidi="es-ES"/>
        </w:rPr>
        <w:footnoteReference w:id="2"/>
      </w:r>
      <w:r w:rsidRPr="007559A2">
        <w:rPr>
          <w:rFonts w:ascii="Arial" w:eastAsia="Calibri" w:hAnsi="Arial" w:cs="Arial"/>
          <w:bCs/>
          <w:color w:val="000000"/>
          <w:szCs w:val="24"/>
          <w:lang w:val="es-ES_tradnl" w:eastAsia="es-ES_tradnl" w:bidi="es-ES"/>
        </w:rPr>
        <w:t xml:space="preserve">. </w:t>
      </w:r>
    </w:p>
    <w:p w14:paraId="4B4A56DC" w14:textId="77777777" w:rsidR="007559A2" w:rsidRPr="007559A2" w:rsidRDefault="007559A2" w:rsidP="007559A2">
      <w:pPr>
        <w:tabs>
          <w:tab w:val="left" w:pos="0"/>
        </w:tabs>
        <w:spacing w:before="120" w:after="0" w:line="276" w:lineRule="auto"/>
        <w:ind w:firstLine="709"/>
        <w:jc w:val="both"/>
        <w:rPr>
          <w:rFonts w:ascii="Arial" w:eastAsia="Calibri" w:hAnsi="Arial" w:cs="Arial"/>
          <w:bCs/>
          <w:color w:val="000000"/>
          <w:szCs w:val="24"/>
          <w:lang w:val="es-ES_tradnl" w:eastAsia="es-ES_tradnl" w:bidi="es-ES"/>
        </w:rPr>
      </w:pPr>
      <w:r w:rsidRPr="007559A2">
        <w:rPr>
          <w:rFonts w:ascii="Arial" w:eastAsia="Calibri" w:hAnsi="Arial" w:cs="Arial"/>
          <w:bCs/>
          <w:color w:val="000000"/>
          <w:szCs w:val="24"/>
          <w:lang w:val="es-ES_tradnl" w:eastAsia="es-ES_tradnl" w:bidi="es-ES"/>
        </w:rPr>
        <w:t xml:space="preserve">La capacidad jurídica permite crear, modificar o extinguir relaciones jurídicas de forma voluntaria y autónoma. De manera que, de acuerdo con lo establecido en el Código Civil, se refiere a la facultad que la ley le confiere a un sujeto para ejercer derechos y contraer obligaciones, partiendo del supuesto de que todas las personas naturales mayores de edad son capaces, con excepción de aquellas que la ley expresamente excluye de tal presunción </w:t>
      </w:r>
      <w:r w:rsidRPr="007559A2">
        <w:rPr>
          <w:rFonts w:ascii="Arial" w:eastAsia="Calibri" w:hAnsi="Arial" w:cs="Arial"/>
          <w:b/>
          <w:bCs/>
          <w:color w:val="000000" w:themeColor="text1"/>
          <w:lang w:val="es-ES"/>
        </w:rPr>
        <w:t>–</w:t>
      </w:r>
      <w:r w:rsidRPr="007559A2">
        <w:rPr>
          <w:rFonts w:ascii="Arial" w:eastAsia="Calibri" w:hAnsi="Arial" w:cs="Arial"/>
          <w:bCs/>
          <w:color w:val="000000"/>
          <w:szCs w:val="24"/>
          <w:lang w:val="es-ES_tradnl" w:eastAsia="es-ES_tradnl" w:bidi="es-ES"/>
        </w:rPr>
        <w:t>artículos 1502, 1503 y 1504</w:t>
      </w:r>
      <w:r w:rsidRPr="007559A2">
        <w:rPr>
          <w:rFonts w:ascii="Arial" w:eastAsia="Calibri" w:hAnsi="Arial" w:cs="Arial"/>
          <w:b/>
          <w:bCs/>
          <w:color w:val="000000" w:themeColor="text1"/>
          <w:lang w:val="es-ES"/>
        </w:rPr>
        <w:t>–</w:t>
      </w:r>
      <w:r w:rsidRPr="007559A2">
        <w:rPr>
          <w:rFonts w:ascii="Arial" w:eastAsia="Calibri" w:hAnsi="Arial" w:cs="Arial"/>
          <w:bCs/>
          <w:color w:val="000000"/>
          <w:szCs w:val="24"/>
          <w:lang w:val="es-ES_tradnl" w:eastAsia="es-ES_tradnl" w:bidi="es-ES"/>
        </w:rPr>
        <w:t>, y de que la capacidad de las personas jurídicas se circunscribe a lo expresado en su objeto social y su forma de creación</w:t>
      </w:r>
      <w:r w:rsidRPr="007559A2">
        <w:rPr>
          <w:rFonts w:ascii="Arial" w:eastAsia="Calibri" w:hAnsi="Arial" w:cs="Arial"/>
          <w:bCs/>
          <w:color w:val="000000"/>
          <w:szCs w:val="24"/>
          <w:vertAlign w:val="superscript"/>
          <w:lang w:val="es-ES_tradnl" w:eastAsia="es-ES_tradnl" w:bidi="es-ES"/>
        </w:rPr>
        <w:footnoteReference w:id="3"/>
      </w:r>
      <w:r w:rsidRPr="007559A2">
        <w:rPr>
          <w:rFonts w:ascii="Arial" w:eastAsia="Calibri" w:hAnsi="Arial" w:cs="Arial"/>
          <w:bCs/>
          <w:color w:val="000000"/>
          <w:szCs w:val="24"/>
          <w:lang w:val="es-ES_tradnl" w:eastAsia="es-ES_tradnl" w:bidi="es-ES"/>
        </w:rPr>
        <w:t>.</w:t>
      </w:r>
    </w:p>
    <w:p w14:paraId="7DF3075E" w14:textId="77777777" w:rsidR="007559A2" w:rsidRPr="007559A2" w:rsidRDefault="007559A2" w:rsidP="007559A2">
      <w:pPr>
        <w:tabs>
          <w:tab w:val="left" w:pos="0"/>
        </w:tabs>
        <w:spacing w:before="120" w:after="0" w:line="276" w:lineRule="auto"/>
        <w:ind w:firstLine="709"/>
        <w:jc w:val="both"/>
        <w:rPr>
          <w:rFonts w:ascii="Arial" w:eastAsia="Calibri" w:hAnsi="Arial" w:cs="Arial"/>
          <w:bCs/>
          <w:color w:val="000000"/>
          <w:szCs w:val="24"/>
          <w:lang w:val="es-ES_tradnl" w:eastAsia="es-ES_tradnl" w:bidi="es-ES"/>
        </w:rPr>
      </w:pPr>
      <w:r w:rsidRPr="007559A2">
        <w:rPr>
          <w:rFonts w:ascii="Arial" w:eastAsia="Calibri" w:hAnsi="Arial" w:cs="Arial"/>
          <w:bCs/>
          <w:color w:val="000000"/>
          <w:szCs w:val="24"/>
          <w:lang w:val="es-ES_tradnl" w:eastAsia="es-ES_tradnl" w:bidi="es-ES"/>
        </w:rPr>
        <w:t xml:space="preserve">El Estatuto General de Contratación de la Administración Pública </w:t>
      </w:r>
      <w:r w:rsidRPr="007559A2">
        <w:rPr>
          <w:rFonts w:ascii="Arial" w:eastAsia="Calibri" w:hAnsi="Arial" w:cs="Arial"/>
          <w:b/>
          <w:bCs/>
          <w:color w:val="000000" w:themeColor="text1"/>
          <w:lang w:val="es-ES"/>
        </w:rPr>
        <w:t>–</w:t>
      </w:r>
      <w:r w:rsidRPr="007559A2">
        <w:rPr>
          <w:rFonts w:ascii="Arial" w:eastAsia="Calibri" w:hAnsi="Arial" w:cs="Arial"/>
          <w:bCs/>
          <w:color w:val="000000"/>
          <w:szCs w:val="24"/>
          <w:lang w:val="es-ES_tradnl" w:eastAsia="es-ES_tradnl" w:bidi="es-ES"/>
        </w:rPr>
        <w:t>artículo 6 Ley 80 de 1993</w:t>
      </w:r>
      <w:r w:rsidRPr="007559A2">
        <w:rPr>
          <w:rFonts w:ascii="Arial" w:eastAsia="Calibri" w:hAnsi="Arial" w:cs="Arial"/>
          <w:b/>
          <w:bCs/>
          <w:color w:val="000000" w:themeColor="text1"/>
          <w:lang w:val="es-ES"/>
        </w:rPr>
        <w:t>–</w:t>
      </w:r>
      <w:r w:rsidRPr="007559A2">
        <w:rPr>
          <w:rFonts w:ascii="Arial" w:eastAsia="Calibri" w:hAnsi="Arial" w:cs="Arial"/>
          <w:bCs/>
          <w:color w:val="000000"/>
          <w:szCs w:val="24"/>
          <w:lang w:val="es-ES_tradnl" w:eastAsia="es-ES_tradnl" w:bidi="es-ES"/>
        </w:rPr>
        <w:t xml:space="preserve">, define lo siguiente respecto de quienes pueden celebrar contratos con las entidades estatales: </w:t>
      </w:r>
    </w:p>
    <w:p w14:paraId="6F6E8BFE" w14:textId="77777777" w:rsidR="007559A2" w:rsidRPr="007559A2" w:rsidRDefault="007559A2" w:rsidP="007559A2">
      <w:pPr>
        <w:tabs>
          <w:tab w:val="left" w:pos="0"/>
        </w:tabs>
        <w:spacing w:before="120" w:after="0" w:line="240" w:lineRule="auto"/>
        <w:ind w:left="708" w:right="709"/>
        <w:jc w:val="both"/>
        <w:rPr>
          <w:rFonts w:ascii="Arial" w:eastAsia="Calibri" w:hAnsi="Arial" w:cs="Arial"/>
          <w:bCs/>
          <w:color w:val="000000"/>
          <w:sz w:val="21"/>
          <w:szCs w:val="21"/>
          <w:lang w:val="es-ES_tradnl" w:eastAsia="es-ES_tradnl" w:bidi="es-ES"/>
        </w:rPr>
      </w:pPr>
      <w:r w:rsidRPr="007559A2">
        <w:rPr>
          <w:rFonts w:ascii="Arial" w:eastAsia="Calibri" w:hAnsi="Arial" w:cs="Arial"/>
          <w:bCs/>
          <w:color w:val="000000"/>
          <w:sz w:val="21"/>
          <w:szCs w:val="21"/>
          <w:lang w:val="es-ES_tradnl" w:eastAsia="es-ES_tradnl" w:bidi="es-ES"/>
        </w:rPr>
        <w:t xml:space="preserve">Artículo 6o. De la capacidad para contratar.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 </w:t>
      </w:r>
    </w:p>
    <w:p w14:paraId="7EFD905F" w14:textId="77777777" w:rsidR="007559A2" w:rsidRPr="007559A2" w:rsidRDefault="007559A2" w:rsidP="007559A2">
      <w:pPr>
        <w:tabs>
          <w:tab w:val="left" w:pos="0"/>
        </w:tabs>
        <w:spacing w:before="120" w:after="0" w:line="240" w:lineRule="auto"/>
        <w:ind w:left="708" w:right="709"/>
        <w:jc w:val="both"/>
        <w:rPr>
          <w:rFonts w:ascii="Arial" w:eastAsia="Calibri" w:hAnsi="Arial" w:cs="Arial"/>
          <w:bCs/>
          <w:color w:val="000000"/>
          <w:sz w:val="21"/>
          <w:szCs w:val="21"/>
          <w:lang w:val="es-ES_tradnl" w:eastAsia="es-ES_tradnl" w:bidi="es-ES"/>
        </w:rPr>
      </w:pPr>
      <w:r w:rsidRPr="007559A2">
        <w:rPr>
          <w:rFonts w:ascii="Arial" w:eastAsia="Calibri" w:hAnsi="Arial" w:cs="Arial"/>
          <w:bCs/>
          <w:color w:val="000000"/>
          <w:sz w:val="21"/>
          <w:szCs w:val="21"/>
          <w:lang w:val="es-ES_tradnl" w:eastAsia="es-ES_tradnl" w:bidi="es-ES"/>
        </w:rPr>
        <w:t xml:space="preserve">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w:t>
      </w:r>
      <w:r w:rsidRPr="007559A2">
        <w:rPr>
          <w:rFonts w:ascii="Arial" w:eastAsia="Calibri" w:hAnsi="Arial" w:cs="Arial"/>
          <w:bCs/>
          <w:color w:val="000000"/>
          <w:sz w:val="21"/>
          <w:szCs w:val="21"/>
          <w:lang w:val="es-ES_tradnl" w:eastAsia="es-ES_tradnl" w:bidi="es-ES"/>
        </w:rPr>
        <w:lastRenderedPageBreak/>
        <w:t xml:space="preserve">de actualización de información en el mismo registro; y </w:t>
      </w:r>
      <w:r w:rsidRPr="007559A2">
        <w:rPr>
          <w:rFonts w:ascii="Arial" w:eastAsia="Calibri" w:hAnsi="Arial" w:cs="Arial"/>
          <w:bCs/>
          <w:i/>
          <w:iCs/>
          <w:color w:val="000000"/>
          <w:sz w:val="21"/>
          <w:szCs w:val="21"/>
          <w:lang w:val="es-ES_tradnl" w:eastAsia="es-ES_tradnl" w:bidi="es-ES"/>
        </w:rPr>
        <w:t>los consorcios y uniones temporales</w:t>
      </w:r>
      <w:r w:rsidRPr="007559A2">
        <w:rPr>
          <w:rFonts w:ascii="Arial" w:eastAsia="Calibri" w:hAnsi="Arial" w:cs="Arial"/>
          <w:bCs/>
          <w:color w:val="000000"/>
          <w:sz w:val="21"/>
          <w:szCs w:val="21"/>
          <w:lang w:val="es-ES_tradnl" w:eastAsia="es-ES_tradnl" w:bidi="es-ES"/>
        </w:rPr>
        <w:t>.</w:t>
      </w:r>
    </w:p>
    <w:p w14:paraId="60988B83" w14:textId="77777777" w:rsidR="007559A2" w:rsidRPr="007559A2" w:rsidRDefault="007559A2" w:rsidP="007559A2">
      <w:pPr>
        <w:tabs>
          <w:tab w:val="left" w:pos="0"/>
        </w:tabs>
        <w:spacing w:before="120" w:after="0" w:line="240" w:lineRule="auto"/>
        <w:ind w:left="708" w:right="709"/>
        <w:jc w:val="both"/>
        <w:rPr>
          <w:rFonts w:ascii="Arial" w:eastAsia="Calibri" w:hAnsi="Arial" w:cs="Arial"/>
          <w:bCs/>
          <w:color w:val="000000"/>
          <w:szCs w:val="24"/>
          <w:lang w:val="es-ES_tradnl" w:eastAsia="es-ES_tradnl" w:bidi="es-ES"/>
        </w:rPr>
      </w:pPr>
      <w:r w:rsidRPr="007559A2">
        <w:rPr>
          <w:rFonts w:ascii="Arial" w:eastAsia="Calibri" w:hAnsi="Arial" w:cs="Arial"/>
          <w:bCs/>
          <w:color w:val="000000"/>
          <w:sz w:val="21"/>
          <w:szCs w:val="21"/>
          <w:lang w:val="es-ES_tradnl" w:eastAsia="es-ES_tradnl" w:bidi="es-ES"/>
        </w:rPr>
        <w:t xml:space="preserve">Las personas jurídicas nacionales y extranjeras deberán acreditar que su duración no será inferior a la del plazo del contrato y un año más. (Cursiva fuera del original) </w:t>
      </w:r>
    </w:p>
    <w:p w14:paraId="572D1C4C" w14:textId="77777777" w:rsidR="007559A2" w:rsidRPr="007559A2" w:rsidRDefault="007559A2" w:rsidP="007559A2">
      <w:pPr>
        <w:tabs>
          <w:tab w:val="left" w:pos="0"/>
        </w:tabs>
        <w:spacing w:before="120" w:after="0" w:line="276" w:lineRule="auto"/>
        <w:ind w:firstLine="709"/>
        <w:jc w:val="both"/>
        <w:rPr>
          <w:rFonts w:ascii="Arial" w:eastAsia="Calibri" w:hAnsi="Arial" w:cs="Arial"/>
          <w:bCs/>
          <w:color w:val="000000"/>
          <w:szCs w:val="24"/>
          <w:lang w:val="es-ES_tradnl" w:eastAsia="es-ES_tradnl" w:bidi="es-ES"/>
        </w:rPr>
      </w:pPr>
      <w:r w:rsidRPr="007559A2">
        <w:rPr>
          <w:rFonts w:ascii="Arial" w:eastAsia="Calibri" w:hAnsi="Arial" w:cs="Arial"/>
          <w:bCs/>
          <w:color w:val="000000"/>
          <w:szCs w:val="24"/>
          <w:lang w:val="es-ES_tradnl" w:eastAsia="es-ES_tradnl" w:bidi="es-ES"/>
        </w:rPr>
        <w:t>En consecuencia, en virtud de la ley en mención, también pueden celebrar contratos estatales los consorcios y uniones temporales. No obstante, estos sujetos no son personas jurídicas conforme lo establece el artículo 7 de la Ley 80 de 1993, el cual a su vez los define como un número plural de interesados unidos para la presentación de una oferta en un procedimiento de selección, para la adjudicación, celebración y ejecución de un contrato</w:t>
      </w:r>
      <w:r w:rsidRPr="007559A2" w:rsidDel="00C8511F">
        <w:rPr>
          <w:rFonts w:ascii="Arial" w:eastAsia="Calibri" w:hAnsi="Arial" w:cs="Arial"/>
          <w:bCs/>
          <w:color w:val="000000"/>
          <w:szCs w:val="24"/>
          <w:lang w:val="es-ES_tradnl" w:eastAsia="es-ES_tradnl" w:bidi="es-ES"/>
        </w:rPr>
        <w:t xml:space="preserve"> </w:t>
      </w:r>
      <w:r w:rsidRPr="007559A2">
        <w:rPr>
          <w:rFonts w:ascii="Arial" w:eastAsia="Calibri" w:hAnsi="Arial" w:cs="Arial"/>
          <w:bCs/>
          <w:color w:val="000000"/>
          <w:szCs w:val="24"/>
          <w:lang w:val="es-ES_tradnl" w:eastAsia="es-ES_tradnl" w:bidi="es-ES"/>
        </w:rPr>
        <w:t>estatal:</w:t>
      </w:r>
    </w:p>
    <w:p w14:paraId="78A3652D" w14:textId="77777777" w:rsidR="007559A2" w:rsidRPr="007559A2" w:rsidRDefault="007559A2" w:rsidP="007559A2">
      <w:pPr>
        <w:tabs>
          <w:tab w:val="left" w:pos="0"/>
        </w:tabs>
        <w:spacing w:before="120" w:after="0" w:line="240" w:lineRule="auto"/>
        <w:ind w:left="708" w:right="709"/>
        <w:jc w:val="both"/>
        <w:rPr>
          <w:rFonts w:ascii="Arial" w:eastAsia="Calibri" w:hAnsi="Arial" w:cs="Arial"/>
          <w:bCs/>
          <w:i/>
          <w:iCs/>
          <w:color w:val="000000"/>
          <w:sz w:val="21"/>
          <w:lang w:val="es-ES_tradnl" w:eastAsia="es-ES_tradnl" w:bidi="es-ES"/>
        </w:rPr>
      </w:pPr>
      <w:r w:rsidRPr="007559A2">
        <w:rPr>
          <w:rFonts w:ascii="Arial" w:eastAsia="Calibri" w:hAnsi="Arial" w:cs="Arial"/>
          <w:bCs/>
          <w:color w:val="000000"/>
          <w:sz w:val="21"/>
          <w:lang w:val="es-ES_tradnl" w:eastAsia="es-ES_tradnl" w:bidi="es-ES"/>
        </w:rPr>
        <w:t>«</w:t>
      </w:r>
      <w:r w:rsidRPr="007559A2">
        <w:rPr>
          <w:rFonts w:ascii="Arial" w:eastAsia="Calibri" w:hAnsi="Arial" w:cs="Arial"/>
          <w:bCs/>
          <w:i/>
          <w:iCs/>
          <w:color w:val="000000"/>
          <w:sz w:val="21"/>
          <w:lang w:val="es-ES_tradnl" w:eastAsia="es-ES_tradnl" w:bidi="es-ES"/>
        </w:rPr>
        <w:t>Artículo 7o. De los consorcios y uniones temporales. Para los efectos de esta ley se entiende por:</w:t>
      </w:r>
    </w:p>
    <w:p w14:paraId="2F6D59D2" w14:textId="77777777" w:rsidR="007559A2" w:rsidRPr="007559A2" w:rsidRDefault="007559A2" w:rsidP="007559A2">
      <w:pPr>
        <w:tabs>
          <w:tab w:val="left" w:pos="0"/>
        </w:tabs>
        <w:spacing w:before="120" w:after="0" w:line="240" w:lineRule="auto"/>
        <w:ind w:left="708" w:right="709"/>
        <w:jc w:val="both"/>
        <w:rPr>
          <w:rFonts w:ascii="Arial" w:eastAsia="Calibri" w:hAnsi="Arial" w:cs="Arial"/>
          <w:bCs/>
          <w:i/>
          <w:iCs/>
          <w:color w:val="000000"/>
          <w:sz w:val="21"/>
          <w:lang w:val="es-ES_tradnl" w:eastAsia="es-ES_tradnl" w:bidi="es-ES"/>
        </w:rPr>
      </w:pPr>
      <w:r w:rsidRPr="007559A2">
        <w:rPr>
          <w:rFonts w:ascii="Arial" w:eastAsia="Calibri" w:hAnsi="Arial" w:cs="Arial"/>
          <w:bCs/>
          <w:i/>
          <w:iCs/>
          <w:color w:val="000000"/>
          <w:sz w:val="21"/>
          <w:lang w:val="es-ES_tradnl" w:eastAsia="es-ES_tradnl" w:bidi="es-ES"/>
        </w:rPr>
        <w:t>1o. Consorcio:</w:t>
      </w:r>
    </w:p>
    <w:p w14:paraId="111BAB7A" w14:textId="77777777" w:rsidR="007559A2" w:rsidRPr="007559A2" w:rsidRDefault="007559A2" w:rsidP="007559A2">
      <w:pPr>
        <w:tabs>
          <w:tab w:val="left" w:pos="0"/>
        </w:tabs>
        <w:spacing w:before="120" w:after="0" w:line="240" w:lineRule="auto"/>
        <w:ind w:left="708" w:right="709"/>
        <w:jc w:val="both"/>
        <w:rPr>
          <w:rFonts w:ascii="Arial" w:eastAsia="Calibri" w:hAnsi="Arial" w:cs="Arial"/>
          <w:bCs/>
          <w:i/>
          <w:iCs/>
          <w:color w:val="000000"/>
          <w:sz w:val="21"/>
          <w:lang w:val="es-ES_tradnl" w:eastAsia="es-ES_tradnl" w:bidi="es-ES"/>
        </w:rPr>
      </w:pPr>
      <w:r w:rsidRPr="007559A2">
        <w:rPr>
          <w:rFonts w:ascii="Arial" w:eastAsia="Calibri" w:hAnsi="Arial" w:cs="Arial"/>
          <w:bCs/>
          <w:i/>
          <w:iCs/>
          <w:color w:val="000000"/>
          <w:sz w:val="21"/>
          <w:lang w:val="es-ES_tradnl" w:eastAsia="es-ES_tradnl" w:bidi="es-ES"/>
        </w:rPr>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6D8E2728" w14:textId="77777777" w:rsidR="007559A2" w:rsidRPr="007559A2" w:rsidRDefault="007559A2" w:rsidP="007559A2">
      <w:pPr>
        <w:tabs>
          <w:tab w:val="left" w:pos="0"/>
        </w:tabs>
        <w:spacing w:before="120" w:after="0" w:line="240" w:lineRule="auto"/>
        <w:ind w:left="708" w:right="709"/>
        <w:jc w:val="both"/>
        <w:rPr>
          <w:rFonts w:ascii="Arial" w:eastAsia="Calibri" w:hAnsi="Arial" w:cs="Arial"/>
          <w:bCs/>
          <w:i/>
          <w:iCs/>
          <w:color w:val="000000"/>
          <w:sz w:val="21"/>
          <w:lang w:val="es-ES_tradnl" w:eastAsia="es-ES_tradnl" w:bidi="es-ES"/>
        </w:rPr>
      </w:pPr>
      <w:r w:rsidRPr="007559A2">
        <w:rPr>
          <w:rFonts w:ascii="Arial" w:eastAsia="Calibri" w:hAnsi="Arial" w:cs="Arial"/>
          <w:bCs/>
          <w:i/>
          <w:iCs/>
          <w:color w:val="000000"/>
          <w:sz w:val="21"/>
          <w:lang w:val="es-ES_tradnl" w:eastAsia="es-ES_tradnl" w:bidi="es-ES"/>
        </w:rPr>
        <w:t>2o. Unión Temporal:</w:t>
      </w:r>
    </w:p>
    <w:p w14:paraId="01812072" w14:textId="77777777" w:rsidR="007559A2" w:rsidRPr="007559A2" w:rsidRDefault="007559A2" w:rsidP="007559A2">
      <w:pPr>
        <w:tabs>
          <w:tab w:val="left" w:pos="0"/>
        </w:tabs>
        <w:spacing w:before="120" w:after="0" w:line="240" w:lineRule="auto"/>
        <w:ind w:left="708" w:right="709"/>
        <w:jc w:val="both"/>
        <w:rPr>
          <w:rFonts w:ascii="Arial" w:eastAsia="Calibri" w:hAnsi="Arial" w:cs="Arial"/>
          <w:bCs/>
          <w:i/>
          <w:iCs/>
          <w:color w:val="000000"/>
          <w:sz w:val="21"/>
          <w:lang w:val="es-ES_tradnl" w:eastAsia="es-ES_tradnl" w:bidi="es-ES"/>
        </w:rPr>
      </w:pPr>
      <w:r w:rsidRPr="007559A2">
        <w:rPr>
          <w:rFonts w:ascii="Arial" w:eastAsia="Calibri" w:hAnsi="Arial" w:cs="Arial"/>
          <w:bCs/>
          <w:i/>
          <w:iCs/>
          <w:color w:val="000000"/>
          <w:sz w:val="21"/>
          <w:lang w:val="es-ES_tradnl" w:eastAsia="es-ES_tradnl" w:bidi="es-ES"/>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51C67314" w14:textId="77777777" w:rsidR="007559A2" w:rsidRPr="007559A2" w:rsidRDefault="007559A2" w:rsidP="007559A2">
      <w:pPr>
        <w:tabs>
          <w:tab w:val="left" w:pos="0"/>
        </w:tabs>
        <w:spacing w:before="120" w:after="0" w:line="240" w:lineRule="auto"/>
        <w:ind w:left="708" w:right="709"/>
        <w:jc w:val="both"/>
        <w:rPr>
          <w:rFonts w:ascii="Arial" w:eastAsia="Calibri" w:hAnsi="Arial" w:cs="Arial"/>
          <w:bCs/>
          <w:i/>
          <w:iCs/>
          <w:color w:val="000000"/>
          <w:sz w:val="21"/>
          <w:lang w:val="es-ES_tradnl" w:eastAsia="es-ES_tradnl" w:bidi="es-ES"/>
        </w:rPr>
      </w:pPr>
      <w:r w:rsidRPr="007559A2">
        <w:rPr>
          <w:rFonts w:ascii="Arial" w:eastAsia="Calibri" w:hAnsi="Arial" w:cs="Arial"/>
          <w:bCs/>
          <w:i/>
          <w:iCs/>
          <w:color w:val="000000"/>
          <w:sz w:val="21"/>
          <w:lang w:val="es-ES_tradnl" w:eastAsia="es-ES_tradnl" w:bidi="es-ES"/>
        </w:rPr>
        <w:t>PARÁGRAFO 1o.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4539B2EA" w14:textId="77777777" w:rsidR="007559A2" w:rsidRPr="007559A2" w:rsidRDefault="007559A2" w:rsidP="007559A2">
      <w:pPr>
        <w:tabs>
          <w:tab w:val="left" w:pos="0"/>
        </w:tabs>
        <w:spacing w:before="120" w:after="0" w:line="240" w:lineRule="auto"/>
        <w:ind w:left="708" w:right="709"/>
        <w:jc w:val="both"/>
        <w:rPr>
          <w:rFonts w:ascii="Arial" w:eastAsia="Calibri" w:hAnsi="Arial" w:cs="Arial"/>
          <w:bCs/>
          <w:color w:val="000000"/>
          <w:szCs w:val="24"/>
          <w:lang w:val="es-ES_tradnl" w:eastAsia="es-ES_tradnl" w:bidi="es-ES"/>
        </w:rPr>
      </w:pPr>
      <w:r w:rsidRPr="007559A2">
        <w:rPr>
          <w:rFonts w:ascii="Arial" w:eastAsia="Calibri" w:hAnsi="Arial" w:cs="Arial"/>
          <w:bCs/>
          <w:i/>
          <w:iCs/>
          <w:color w:val="000000"/>
          <w:sz w:val="21"/>
          <w:lang w:val="es-ES_tradnl" w:eastAsia="es-ES_tradnl" w:bidi="es-ES"/>
        </w:rPr>
        <w:t>Los miembros del consorcio y de la unión temporal deberán designar la persona que, para todos los efectos, representará al consorcio o unión temporal y señalarán las reglas básicas que regulen las relaciones entre ellos y su responsabilidad.</w:t>
      </w:r>
      <w:r w:rsidRPr="007559A2">
        <w:rPr>
          <w:rFonts w:ascii="Arial" w:eastAsia="Calibri" w:hAnsi="Arial" w:cs="Arial"/>
          <w:b/>
          <w:bCs/>
          <w:color w:val="000000"/>
          <w:sz w:val="21"/>
          <w:lang w:val="es-ES_tradnl" w:eastAsia="es-ES_tradnl" w:bidi="es-ES"/>
        </w:rPr>
        <w:t>»</w:t>
      </w:r>
    </w:p>
    <w:p w14:paraId="5191887C" w14:textId="77777777" w:rsidR="007559A2" w:rsidRPr="007559A2" w:rsidRDefault="007559A2" w:rsidP="007559A2">
      <w:pPr>
        <w:tabs>
          <w:tab w:val="left" w:pos="0"/>
        </w:tabs>
        <w:spacing w:before="120" w:after="0" w:line="276" w:lineRule="auto"/>
        <w:ind w:firstLine="709"/>
        <w:jc w:val="both"/>
        <w:rPr>
          <w:rFonts w:ascii="Arial" w:eastAsia="Calibri" w:hAnsi="Arial" w:cs="Arial"/>
          <w:bCs/>
          <w:color w:val="000000"/>
          <w:szCs w:val="24"/>
          <w:lang w:val="es-ES_tradnl" w:eastAsia="es-ES_tradnl" w:bidi="es-ES"/>
        </w:rPr>
      </w:pPr>
      <w:r w:rsidRPr="007559A2">
        <w:rPr>
          <w:rFonts w:ascii="Arial" w:eastAsia="Calibri" w:hAnsi="Arial" w:cs="Arial"/>
          <w:bCs/>
          <w:color w:val="000000"/>
          <w:szCs w:val="24"/>
          <w:lang w:val="es-ES_tradnl" w:eastAsia="es-ES_tradnl" w:bidi="es-ES"/>
        </w:rPr>
        <w:t>Los consorcios</w:t>
      </w:r>
      <w:r w:rsidRPr="007559A2">
        <w:rPr>
          <w:rFonts w:ascii="Arial" w:eastAsia="Calibri" w:hAnsi="Arial" w:cs="Arial"/>
          <w:bCs/>
          <w:color w:val="000000"/>
          <w:szCs w:val="24"/>
          <w:vertAlign w:val="superscript"/>
          <w:lang w:val="es-ES_tradnl" w:eastAsia="es-ES_tradnl" w:bidi="es-ES"/>
        </w:rPr>
        <w:footnoteReference w:id="4"/>
      </w:r>
      <w:r w:rsidRPr="007559A2">
        <w:rPr>
          <w:rFonts w:ascii="Arial" w:eastAsia="Calibri" w:hAnsi="Arial" w:cs="Arial"/>
          <w:bCs/>
          <w:color w:val="000000"/>
          <w:szCs w:val="24"/>
          <w:lang w:val="es-ES_tradnl" w:eastAsia="es-ES_tradnl" w:bidi="es-ES"/>
        </w:rPr>
        <w:t xml:space="preserve"> y uniones temporales son convenios de asociación provenientes de la colaboración empresarial, mediante los cuales sus integrantes se unen y organizan mancomunadamente para lograr con mayor eficacia un fin común de contenido patrimonial y </w:t>
      </w:r>
      <w:r w:rsidRPr="007559A2">
        <w:rPr>
          <w:rFonts w:ascii="Arial" w:eastAsia="Calibri" w:hAnsi="Arial" w:cs="Arial"/>
          <w:bCs/>
          <w:color w:val="000000"/>
          <w:szCs w:val="24"/>
          <w:lang w:val="es-ES_tradnl" w:eastAsia="es-ES_tradnl" w:bidi="es-ES"/>
        </w:rPr>
        <w:lastRenderedPageBreak/>
        <w:t xml:space="preserve">lucrativo, como lo es la obtención del derecho a ser adjudicatarios de un contrato estatal. Estos sujetos comparten recursos de toda índole con el propósito de lograr la ejecución del contrato y, al mismo tiempo, compartir las utilidades y los riesgos. </w:t>
      </w:r>
    </w:p>
    <w:p w14:paraId="572DCFD7" w14:textId="77777777" w:rsidR="007559A2" w:rsidRPr="007559A2" w:rsidRDefault="007559A2" w:rsidP="007559A2">
      <w:pPr>
        <w:tabs>
          <w:tab w:val="left" w:pos="0"/>
        </w:tabs>
        <w:spacing w:before="120" w:after="0" w:line="276" w:lineRule="auto"/>
        <w:ind w:firstLine="709"/>
        <w:jc w:val="both"/>
        <w:rPr>
          <w:rFonts w:ascii="Arial" w:eastAsia="Calibri" w:hAnsi="Arial" w:cs="Arial"/>
          <w:bCs/>
          <w:color w:val="000000"/>
          <w:szCs w:val="24"/>
          <w:lang w:val="es-ES_tradnl" w:eastAsia="es-ES_tradnl" w:bidi="es-ES"/>
        </w:rPr>
      </w:pPr>
      <w:r w:rsidRPr="007559A2">
        <w:rPr>
          <w:rFonts w:ascii="Arial" w:eastAsia="Calibri" w:hAnsi="Arial" w:cs="Arial"/>
          <w:bCs/>
          <w:color w:val="000000"/>
          <w:szCs w:val="24"/>
          <w:lang w:val="es-ES_tradnl" w:eastAsia="es-ES_tradnl" w:bidi="es-ES"/>
        </w:rPr>
        <w:t>La diferencia entre los consorcios y las uniones temporales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 Sobre el particular la Corte Constitucional en sentencia C – 949 de 2001</w:t>
      </w:r>
      <w:r w:rsidRPr="007559A2">
        <w:rPr>
          <w:rFonts w:ascii="Arial" w:eastAsia="Calibri" w:hAnsi="Arial" w:cs="Arial"/>
          <w:bCs/>
          <w:color w:val="000000"/>
          <w:szCs w:val="24"/>
          <w:vertAlign w:val="superscript"/>
          <w:lang w:val="es-ES_tradnl" w:eastAsia="es-ES_tradnl" w:bidi="es-ES"/>
        </w:rPr>
        <w:footnoteReference w:id="5"/>
      </w:r>
      <w:r w:rsidRPr="007559A2">
        <w:rPr>
          <w:rFonts w:ascii="Arial" w:eastAsia="Calibri" w:hAnsi="Arial" w:cs="Arial"/>
          <w:bCs/>
          <w:color w:val="000000"/>
          <w:szCs w:val="24"/>
          <w:lang w:val="es-ES_tradnl" w:eastAsia="es-ES_tradnl" w:bidi="es-ES"/>
        </w:rPr>
        <w:t xml:space="preserve"> consideró lo siguiente:</w:t>
      </w:r>
    </w:p>
    <w:p w14:paraId="138B604C" w14:textId="77777777" w:rsidR="007559A2" w:rsidRPr="007559A2" w:rsidRDefault="007559A2" w:rsidP="007559A2">
      <w:pPr>
        <w:tabs>
          <w:tab w:val="left" w:pos="0"/>
        </w:tabs>
        <w:spacing w:before="120" w:after="0" w:line="240" w:lineRule="auto"/>
        <w:ind w:left="708" w:right="709"/>
        <w:jc w:val="both"/>
        <w:rPr>
          <w:rFonts w:ascii="Arial" w:eastAsia="Calibri" w:hAnsi="Arial" w:cs="Arial"/>
          <w:b/>
          <w:bCs/>
          <w:color w:val="000000"/>
          <w:sz w:val="21"/>
          <w:lang w:val="es-ES_tradnl" w:eastAsia="es-ES_tradnl" w:bidi="es-ES"/>
        </w:rPr>
      </w:pPr>
      <w:r w:rsidRPr="007559A2">
        <w:rPr>
          <w:rFonts w:ascii="Arial" w:eastAsia="Calibri" w:hAnsi="Arial" w:cs="Arial"/>
          <w:bCs/>
          <w:color w:val="000000"/>
          <w:sz w:val="21"/>
          <w:lang w:val="es-ES_tradnl" w:eastAsia="es-ES_tradnl" w:bidi="es-ES"/>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sidRPr="007559A2">
        <w:rPr>
          <w:rFonts w:ascii="Arial" w:eastAsia="Calibri" w:hAnsi="Arial" w:cs="Arial"/>
          <w:color w:val="000000"/>
          <w:sz w:val="21"/>
          <w:lang w:val="es-ES_tradnl" w:eastAsia="es-ES_tradnl" w:bidi="es-ES"/>
        </w:rPr>
        <w:t xml:space="preserve"> […]</w:t>
      </w:r>
    </w:p>
    <w:p w14:paraId="64F9FA61" w14:textId="77777777" w:rsidR="007559A2" w:rsidRPr="007559A2" w:rsidRDefault="007559A2" w:rsidP="007559A2">
      <w:pPr>
        <w:tabs>
          <w:tab w:val="left" w:pos="0"/>
        </w:tabs>
        <w:spacing w:before="120" w:after="0" w:line="240" w:lineRule="auto"/>
        <w:ind w:left="708" w:right="709"/>
        <w:jc w:val="both"/>
        <w:rPr>
          <w:rFonts w:ascii="Arial" w:eastAsia="Calibri" w:hAnsi="Arial" w:cs="Arial"/>
          <w:bCs/>
          <w:color w:val="000000"/>
          <w:sz w:val="21"/>
          <w:lang w:val="es-ES_tradnl" w:eastAsia="es-ES_tradnl" w:bidi="es-ES"/>
        </w:rPr>
      </w:pPr>
      <w:r w:rsidRPr="007559A2">
        <w:rPr>
          <w:rFonts w:ascii="Arial" w:eastAsia="Calibri" w:hAnsi="Arial" w:cs="Arial"/>
          <w:bCs/>
          <w:color w:val="000000"/>
          <w:sz w:val="21"/>
          <w:lang w:val="es-ES_tradnl" w:eastAsia="es-ES_tradnl" w:bidi="es-ES"/>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 […]</w:t>
      </w:r>
    </w:p>
    <w:p w14:paraId="650752F9" w14:textId="77777777" w:rsidR="007559A2" w:rsidRPr="007559A2" w:rsidRDefault="007559A2" w:rsidP="007559A2">
      <w:pPr>
        <w:tabs>
          <w:tab w:val="left" w:pos="0"/>
        </w:tabs>
        <w:spacing w:before="120" w:after="0" w:line="240" w:lineRule="auto"/>
        <w:ind w:left="708" w:right="709"/>
        <w:jc w:val="both"/>
        <w:rPr>
          <w:rFonts w:ascii="Arial" w:eastAsia="Calibri" w:hAnsi="Arial" w:cs="Arial"/>
          <w:bCs/>
          <w:color w:val="000000"/>
          <w:szCs w:val="24"/>
          <w:lang w:val="es-ES_tradnl" w:eastAsia="es-ES_tradnl" w:bidi="es-ES"/>
        </w:rPr>
      </w:pPr>
      <w:r w:rsidRPr="007559A2">
        <w:rPr>
          <w:rFonts w:ascii="Arial" w:eastAsia="Calibri" w:hAnsi="Arial" w:cs="Arial"/>
          <w:bCs/>
          <w:color w:val="000000"/>
          <w:sz w:val="21"/>
          <w:lang w:val="es-ES_tradnl" w:eastAsia="es-ES_tradnl" w:bidi="es-ES"/>
        </w:rPr>
        <w:t>La Ley 80 de 1993, al crear las figuras de los consorcios y uniones temporales y constituirlas como sujetos de la contratación administrativa, reconoce una realidad del mundo negocial que son los denominados “contratos de colaboración económica”,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1o. y 2o. Superiores).</w:t>
      </w:r>
    </w:p>
    <w:p w14:paraId="6506FE56" w14:textId="77777777" w:rsidR="007559A2" w:rsidRPr="007559A2" w:rsidRDefault="007559A2" w:rsidP="007559A2">
      <w:pPr>
        <w:tabs>
          <w:tab w:val="left" w:pos="0"/>
        </w:tabs>
        <w:spacing w:before="120" w:after="0" w:line="276" w:lineRule="auto"/>
        <w:ind w:firstLine="709"/>
        <w:jc w:val="both"/>
        <w:rPr>
          <w:rFonts w:ascii="Arial" w:eastAsia="Calibri" w:hAnsi="Arial" w:cs="Arial"/>
          <w:bCs/>
          <w:color w:val="000000"/>
          <w:szCs w:val="24"/>
          <w:lang w:val="es-ES_tradnl" w:eastAsia="es-ES_tradnl" w:bidi="es-ES"/>
        </w:rPr>
      </w:pPr>
      <w:r w:rsidRPr="007559A2">
        <w:rPr>
          <w:rFonts w:ascii="Arial" w:eastAsia="Calibri" w:hAnsi="Arial" w:cs="Arial"/>
          <w:bCs/>
          <w:color w:val="000000"/>
          <w:szCs w:val="24"/>
          <w:lang w:val="es-ES_tradnl" w:eastAsia="es-ES_tradnl" w:bidi="es-ES"/>
        </w:rPr>
        <w:t xml:space="preserve">Al no ser los consorcios y uniones temporales personas jurídicas, su creación convencional se logra mediante un acuerdo privado en el que concurre la voluntad de sus integrantes para regular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w:t>
      </w:r>
      <w:r w:rsidRPr="007559A2">
        <w:rPr>
          <w:rFonts w:ascii="Arial" w:eastAsia="Calibri" w:hAnsi="Arial" w:cs="Arial"/>
          <w:bCs/>
          <w:color w:val="000000"/>
          <w:szCs w:val="24"/>
          <w:lang w:val="es-ES_tradnl" w:eastAsia="es-ES_tradnl" w:bidi="es-ES"/>
        </w:rPr>
        <w:lastRenderedPageBreak/>
        <w:t xml:space="preserve">creado con la constitución del consorcio o unión temporal tenga vocación de resultar el adjudicatario del contrato estatal. </w:t>
      </w:r>
    </w:p>
    <w:p w14:paraId="585807F3" w14:textId="77777777" w:rsidR="007559A2" w:rsidRPr="007559A2" w:rsidRDefault="007559A2" w:rsidP="007559A2">
      <w:pPr>
        <w:tabs>
          <w:tab w:val="left" w:pos="0"/>
        </w:tabs>
        <w:spacing w:before="120" w:after="0" w:line="276" w:lineRule="auto"/>
        <w:ind w:firstLine="709"/>
        <w:jc w:val="both"/>
        <w:rPr>
          <w:rFonts w:ascii="Arial" w:eastAsia="Calibri" w:hAnsi="Arial" w:cs="Arial"/>
          <w:bCs/>
          <w:color w:val="000000"/>
          <w:szCs w:val="24"/>
          <w:lang w:val="es-ES_tradnl" w:eastAsia="es-ES_tradnl" w:bidi="es-ES"/>
        </w:rPr>
      </w:pPr>
      <w:r w:rsidRPr="007559A2">
        <w:rPr>
          <w:rFonts w:ascii="Arial" w:eastAsia="Calibri" w:hAnsi="Arial" w:cs="Arial"/>
          <w:bCs/>
          <w:color w:val="000000"/>
          <w:szCs w:val="24"/>
          <w:lang w:val="es-ES_tradnl" w:eastAsia="es-ES_tradnl" w:bidi="es-ES"/>
        </w:rPr>
        <w:t>Por lo anterior, cabe mencionar que el contrato de constitución del consorcio o unión temporal debe designar las facultades del «representante</w:t>
      </w:r>
      <w:r w:rsidRPr="007559A2">
        <w:rPr>
          <w:rFonts w:ascii="Arial" w:eastAsia="Calibri" w:hAnsi="Arial" w:cs="Arial"/>
          <w:color w:val="000000"/>
          <w:szCs w:val="24"/>
          <w:lang w:val="es-ES_tradnl" w:eastAsia="es-ES_tradnl" w:bidi="es-ES"/>
        </w:rPr>
        <w:t>»</w:t>
      </w:r>
      <w:r w:rsidRPr="007559A2">
        <w:rPr>
          <w:rFonts w:ascii="Arial" w:eastAsia="Calibri" w:hAnsi="Arial" w:cs="Arial"/>
          <w:bCs/>
          <w:color w:val="000000"/>
          <w:szCs w:val="24"/>
          <w:lang w:val="es-ES_tradnl" w:eastAsia="es-ES_tradnl" w:bidi="es-ES"/>
        </w:rPr>
        <w:t xml:space="preserve"> del ente asociado, designación que tendrá los efectos de la representación previstos en el artículo 1505 del Código Civil</w:t>
      </w:r>
      <w:r w:rsidRPr="007559A2">
        <w:rPr>
          <w:rFonts w:ascii="Arial" w:eastAsia="Calibri" w:hAnsi="Arial" w:cs="Arial"/>
          <w:bCs/>
          <w:color w:val="000000"/>
          <w:szCs w:val="24"/>
          <w:vertAlign w:val="superscript"/>
          <w:lang w:val="es-ES_tradnl" w:eastAsia="es-ES_tradnl" w:bidi="es-ES"/>
        </w:rPr>
        <w:footnoteReference w:id="6"/>
      </w:r>
      <w:r w:rsidRPr="007559A2">
        <w:rPr>
          <w:rFonts w:ascii="Arial" w:eastAsia="Calibri" w:hAnsi="Arial" w:cs="Arial"/>
          <w:bCs/>
          <w:color w:val="000000"/>
          <w:szCs w:val="24"/>
          <w:lang w:val="es-ES_tradnl" w:eastAsia="es-ES_tradnl" w:bidi="es-ES"/>
        </w:rPr>
        <w:t>: «Lo que una persona ejecuta a nombre de otra, estando facultada por ella o por la ley para representarla, produce respecto del representado iguales efectos que si hubiese contratado él mismo».</w:t>
      </w:r>
    </w:p>
    <w:p w14:paraId="4435E5E5" w14:textId="77777777" w:rsidR="007559A2" w:rsidRPr="007559A2" w:rsidRDefault="007559A2" w:rsidP="007559A2">
      <w:pPr>
        <w:tabs>
          <w:tab w:val="left" w:pos="0"/>
        </w:tabs>
        <w:spacing w:before="120" w:after="0" w:line="276" w:lineRule="auto"/>
        <w:ind w:firstLine="709"/>
        <w:jc w:val="both"/>
        <w:rPr>
          <w:rFonts w:ascii="Arial" w:eastAsia="Calibri" w:hAnsi="Arial" w:cs="Arial"/>
          <w:bCs/>
          <w:color w:val="000000"/>
          <w:szCs w:val="24"/>
          <w:lang w:val="es-ES_tradnl" w:eastAsia="es-ES_tradnl" w:bidi="es-ES"/>
        </w:rPr>
      </w:pPr>
      <w:r w:rsidRPr="007559A2">
        <w:rPr>
          <w:rFonts w:ascii="Arial" w:eastAsia="Calibri" w:hAnsi="Arial" w:cs="Arial"/>
          <w:bCs/>
          <w:color w:val="000000"/>
          <w:szCs w:val="24"/>
          <w:lang w:val="es-ES_tradnl" w:eastAsia="es-ES_tradnl" w:bidi="es-ES"/>
        </w:rPr>
        <w:t>El acuerdo de voluntades que constituye el consorcio o unión temporal se reconoce doctrinalmente como contrato consorcial o de «</w:t>
      </w:r>
      <w:proofErr w:type="spellStart"/>
      <w:proofErr w:type="gramStart"/>
      <w:r w:rsidRPr="007559A2">
        <w:rPr>
          <w:rFonts w:ascii="Arial" w:eastAsia="Calibri" w:hAnsi="Arial" w:cs="Arial"/>
          <w:bCs/>
          <w:i/>
          <w:iCs/>
          <w:color w:val="000000"/>
          <w:szCs w:val="24"/>
          <w:lang w:val="es-ES_tradnl" w:eastAsia="es-ES_tradnl" w:bidi="es-ES"/>
        </w:rPr>
        <w:t>joint</w:t>
      </w:r>
      <w:proofErr w:type="spellEnd"/>
      <w:r w:rsidRPr="007559A2">
        <w:rPr>
          <w:rFonts w:ascii="Arial" w:eastAsia="Calibri" w:hAnsi="Arial" w:cs="Arial"/>
          <w:bCs/>
          <w:i/>
          <w:iCs/>
          <w:color w:val="000000"/>
          <w:szCs w:val="24"/>
          <w:lang w:val="es-ES_tradnl" w:eastAsia="es-ES_tradnl" w:bidi="es-ES"/>
        </w:rPr>
        <w:t xml:space="preserve"> venture</w:t>
      </w:r>
      <w:proofErr w:type="gramEnd"/>
      <w:r w:rsidRPr="007559A2">
        <w:rPr>
          <w:rFonts w:ascii="Arial" w:eastAsia="Calibri" w:hAnsi="Arial" w:cs="Arial"/>
          <w:color w:val="000000"/>
          <w:szCs w:val="24"/>
          <w:lang w:val="es-ES_tradnl" w:eastAsia="es-ES_tradnl" w:bidi="es-ES"/>
        </w:rPr>
        <w:t>»</w:t>
      </w:r>
      <w:r w:rsidRPr="007559A2">
        <w:rPr>
          <w:rFonts w:ascii="Arial" w:eastAsia="Calibri" w:hAnsi="Arial" w:cs="Arial"/>
          <w:bCs/>
          <w:color w:val="000000"/>
          <w:szCs w:val="24"/>
          <w:lang w:val="es-ES_tradnl" w:eastAsia="es-ES_tradnl" w:bidi="es-ES"/>
        </w:rPr>
        <w:t>, que se reconoce como un contrato principal, oneroso, conmutativo, bilateral o plurilateral</w:t>
      </w:r>
      <w:r w:rsidRPr="007559A2">
        <w:rPr>
          <w:rFonts w:ascii="Arial" w:eastAsia="Calibri" w:hAnsi="Arial" w:cs="Arial"/>
          <w:bCs/>
          <w:color w:val="000000"/>
          <w:szCs w:val="24"/>
          <w:vertAlign w:val="superscript"/>
          <w:lang w:val="es-ES_tradnl" w:eastAsia="es-ES_tradnl" w:bidi="es-ES"/>
        </w:rPr>
        <w:footnoteReference w:id="7"/>
      </w:r>
      <w:r w:rsidRPr="007559A2">
        <w:rPr>
          <w:rFonts w:ascii="Arial" w:eastAsia="Calibri" w:hAnsi="Arial" w:cs="Arial"/>
          <w:bCs/>
          <w:color w:val="000000"/>
          <w:szCs w:val="24"/>
          <w:lang w:val="es-ES_tradnl" w:eastAsia="es-ES_tradnl" w:bidi="es-ES"/>
        </w:rPr>
        <w:t>. El ente debidamente constituido, entonces, será un sujeto contractual con capacidad para contratar, para ejecutar las obligaciones y recibir los derechos que emanan del contrato y para interrelacionarse con la entidad estatal contratante en todo lo relacionado con el objeto del contrato y su desarrollo. Inclusive, los consorcios y uniones temporales, por conducto de su representante, tienen capacidad y están legitimados para comparecer al proceso, con el fin de hacer valer sus derechos o responder por el incumplimiento de sus obligaciones, en lo relacionado con el procedimiento de selección y el contrato estatal</w:t>
      </w:r>
      <w:r w:rsidRPr="007559A2">
        <w:rPr>
          <w:rFonts w:ascii="Arial" w:eastAsia="Calibri" w:hAnsi="Arial" w:cs="Arial"/>
          <w:bCs/>
          <w:color w:val="000000"/>
          <w:szCs w:val="24"/>
          <w:vertAlign w:val="superscript"/>
          <w:lang w:val="es-ES_tradnl" w:eastAsia="es-ES_tradnl" w:bidi="es-ES"/>
        </w:rPr>
        <w:footnoteReference w:id="8"/>
      </w:r>
      <w:r w:rsidRPr="007559A2">
        <w:rPr>
          <w:rFonts w:ascii="Arial" w:eastAsia="Calibri" w:hAnsi="Arial" w:cs="Arial"/>
          <w:bCs/>
          <w:color w:val="000000"/>
          <w:szCs w:val="24"/>
          <w:lang w:val="es-ES_tradnl" w:eastAsia="es-ES_tradnl" w:bidi="es-ES"/>
        </w:rPr>
        <w:t>. Así lo ha reconocido la jurisprudencia del Consejo de Estado</w:t>
      </w:r>
      <w:r w:rsidRPr="007559A2">
        <w:rPr>
          <w:rFonts w:ascii="Arial" w:eastAsia="Calibri" w:hAnsi="Arial" w:cs="Arial"/>
          <w:bCs/>
          <w:color w:val="000000"/>
          <w:szCs w:val="24"/>
          <w:vertAlign w:val="superscript"/>
          <w:lang w:val="es-ES_tradnl" w:eastAsia="es-ES_tradnl" w:bidi="es-ES"/>
        </w:rPr>
        <w:footnoteReference w:id="9"/>
      </w:r>
      <w:r w:rsidRPr="007559A2">
        <w:rPr>
          <w:rFonts w:ascii="Arial" w:eastAsia="Calibri" w:hAnsi="Arial" w:cs="Arial"/>
          <w:bCs/>
          <w:color w:val="000000"/>
          <w:szCs w:val="24"/>
          <w:lang w:val="es-ES_tradnl" w:eastAsia="es-ES_tradnl" w:bidi="es-ES"/>
        </w:rPr>
        <w:t>:</w:t>
      </w:r>
    </w:p>
    <w:p w14:paraId="62C15C41" w14:textId="77777777" w:rsidR="007559A2" w:rsidRPr="007559A2" w:rsidRDefault="007559A2" w:rsidP="007559A2">
      <w:pPr>
        <w:tabs>
          <w:tab w:val="left" w:pos="0"/>
        </w:tabs>
        <w:spacing w:before="120" w:after="0" w:line="240" w:lineRule="auto"/>
        <w:ind w:left="708" w:right="709"/>
        <w:jc w:val="both"/>
        <w:rPr>
          <w:rFonts w:ascii="Arial" w:eastAsia="Calibri" w:hAnsi="Arial" w:cs="Arial"/>
          <w:bCs/>
          <w:i/>
          <w:iCs/>
          <w:color w:val="000000"/>
          <w:sz w:val="21"/>
          <w:szCs w:val="21"/>
          <w:lang w:val="es-ES_tradnl" w:eastAsia="es-ES_tradnl" w:bidi="es-ES"/>
        </w:rPr>
      </w:pPr>
      <w:r w:rsidRPr="007559A2">
        <w:rPr>
          <w:rFonts w:ascii="Arial" w:eastAsia="Calibri" w:hAnsi="Arial" w:cs="Arial"/>
          <w:bCs/>
          <w:i/>
          <w:iCs/>
          <w:color w:val="000000"/>
          <w:sz w:val="21"/>
          <w:szCs w:val="21"/>
          <w:lang w:val="es-ES_tradnl" w:eastAsia="es-ES_tradnl" w:bidi="es-ES"/>
        </w:rPr>
        <w:t>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 también se encuentran facultados para concurrir a los procesos judiciales que pudieren tener origen en controversias surgidas del mencionado procedimiento administrativo de selección de contratistas o de la celebración y ejecución del contrato estatal respectivo –</w:t>
      </w:r>
      <w:proofErr w:type="spellStart"/>
      <w:r w:rsidRPr="007559A2">
        <w:rPr>
          <w:rFonts w:ascii="Arial" w:eastAsia="Calibri" w:hAnsi="Arial" w:cs="Arial"/>
          <w:bCs/>
          <w:i/>
          <w:iCs/>
          <w:color w:val="000000"/>
          <w:sz w:val="21"/>
          <w:szCs w:val="21"/>
          <w:lang w:val="es-ES_tradnl" w:eastAsia="es-ES_tradnl" w:bidi="es-ES"/>
        </w:rPr>
        <w:t>legitimatio</w:t>
      </w:r>
      <w:proofErr w:type="spellEnd"/>
      <w:r w:rsidRPr="007559A2">
        <w:rPr>
          <w:rFonts w:ascii="Arial" w:eastAsia="Calibri" w:hAnsi="Arial" w:cs="Arial"/>
          <w:bCs/>
          <w:i/>
          <w:iCs/>
          <w:color w:val="000000"/>
          <w:sz w:val="21"/>
          <w:szCs w:val="21"/>
          <w:lang w:val="es-ES_tradnl" w:eastAsia="es-ES_tradnl" w:bidi="es-ES"/>
        </w:rPr>
        <w:t xml:space="preserve"> ad </w:t>
      </w:r>
      <w:proofErr w:type="spellStart"/>
      <w:r w:rsidRPr="007559A2">
        <w:rPr>
          <w:rFonts w:ascii="Arial" w:eastAsia="Calibri" w:hAnsi="Arial" w:cs="Arial"/>
          <w:bCs/>
          <w:i/>
          <w:iCs/>
          <w:color w:val="000000"/>
          <w:sz w:val="21"/>
          <w:szCs w:val="21"/>
          <w:lang w:val="es-ES_tradnl" w:eastAsia="es-ES_tradnl" w:bidi="es-ES"/>
        </w:rPr>
        <w:t>processum</w:t>
      </w:r>
      <w:proofErr w:type="spellEnd"/>
      <w:r w:rsidRPr="007559A2">
        <w:rPr>
          <w:rFonts w:ascii="Arial" w:eastAsia="Calibri" w:hAnsi="Arial" w:cs="Arial"/>
          <w:bCs/>
          <w:i/>
          <w:iCs/>
          <w:color w:val="000000"/>
          <w:sz w:val="21"/>
          <w:szCs w:val="21"/>
          <w:lang w:val="es-ES_tradnl" w:eastAsia="es-ES_tradnl" w:bidi="es-ES"/>
        </w:rPr>
        <w:t>-, por intermedio de su representante.</w:t>
      </w:r>
    </w:p>
    <w:p w14:paraId="2EFD1031" w14:textId="77777777" w:rsidR="007559A2" w:rsidRPr="007559A2" w:rsidRDefault="007559A2" w:rsidP="007559A2">
      <w:pPr>
        <w:tabs>
          <w:tab w:val="left" w:pos="0"/>
        </w:tabs>
        <w:spacing w:before="120" w:after="0" w:line="276" w:lineRule="auto"/>
        <w:ind w:firstLine="709"/>
        <w:jc w:val="both"/>
        <w:rPr>
          <w:rFonts w:ascii="Arial" w:eastAsia="Calibri" w:hAnsi="Arial" w:cs="Arial"/>
          <w:bCs/>
          <w:color w:val="000000"/>
          <w:szCs w:val="24"/>
          <w:lang w:val="es-ES_tradnl" w:eastAsia="es-ES_tradnl" w:bidi="es-ES"/>
        </w:rPr>
      </w:pPr>
      <w:r w:rsidRPr="007559A2">
        <w:rPr>
          <w:rFonts w:ascii="Arial" w:eastAsia="Calibri" w:hAnsi="Arial" w:cs="Arial"/>
          <w:bCs/>
          <w:color w:val="000000"/>
          <w:szCs w:val="24"/>
          <w:lang w:val="es-ES_tradnl" w:eastAsia="es-ES_tradnl" w:bidi="es-ES"/>
        </w:rPr>
        <w:lastRenderedPageBreak/>
        <w:t>En esa misma línea, la Sala de Casación Laboral de la Corte Suprema de Justicia, en la Sentencia SL 676 del 10 de enero de 2021, radicado 57.957, reconoció la capacidad procesal de los consorcios y uniones temporales en el marco de procesos laborales, como se precisará en el numeral siguiente. A juicio de la Corte, el solo hecho de no contar con personalidad jurídica no es una razón suficiente para concluir que no se pueda configurar una relación jurídico procesal en una contienda litigiosa y, en esa medida, ser sujeto procesal. En atención al principio de primacía de la realidad sobre las formas, parte esencial del ordenamiento jurídico laboral, el alto tribunal concluyó que los consorcios y uniones temporales son sujetos de obligaciones laborales y, en consecuencia, pueden ser parte en procesos judiciales que cursen ante los jueces del trabajo por medio de su representante legal</w:t>
      </w:r>
      <w:r w:rsidRPr="007559A2">
        <w:rPr>
          <w:rFonts w:ascii="Arial" w:eastAsia="Calibri" w:hAnsi="Arial" w:cs="Arial"/>
          <w:bCs/>
          <w:color w:val="000000"/>
          <w:szCs w:val="24"/>
          <w:vertAlign w:val="superscript"/>
          <w:lang w:val="es-ES_tradnl" w:eastAsia="es-ES_tradnl" w:bidi="es-ES"/>
        </w:rPr>
        <w:footnoteReference w:id="10"/>
      </w:r>
      <w:r w:rsidRPr="007559A2">
        <w:rPr>
          <w:rFonts w:ascii="Arial" w:eastAsia="Calibri" w:hAnsi="Arial" w:cs="Arial"/>
          <w:bCs/>
          <w:color w:val="000000"/>
          <w:szCs w:val="24"/>
          <w:lang w:val="es-ES_tradnl" w:eastAsia="es-ES_tradnl" w:bidi="es-ES"/>
        </w:rPr>
        <w:t>.</w:t>
      </w:r>
    </w:p>
    <w:p w14:paraId="3D62F4D4" w14:textId="77777777" w:rsidR="007559A2" w:rsidRPr="007559A2" w:rsidRDefault="007559A2" w:rsidP="007559A2">
      <w:pPr>
        <w:tabs>
          <w:tab w:val="left" w:pos="0"/>
        </w:tabs>
        <w:spacing w:before="120" w:after="0" w:line="276" w:lineRule="auto"/>
        <w:ind w:firstLine="709"/>
        <w:jc w:val="both"/>
        <w:rPr>
          <w:rFonts w:ascii="Arial" w:eastAsia="Calibri" w:hAnsi="Arial" w:cs="Arial"/>
          <w:bCs/>
          <w:color w:val="000000"/>
          <w:szCs w:val="24"/>
          <w:lang w:val="es-ES_tradnl" w:eastAsia="es-ES_tradnl" w:bidi="es-ES"/>
        </w:rPr>
      </w:pPr>
      <w:r w:rsidRPr="007559A2">
        <w:rPr>
          <w:rFonts w:ascii="Arial" w:eastAsia="Calibri" w:hAnsi="Arial" w:cs="Arial"/>
          <w:bCs/>
          <w:color w:val="000000"/>
          <w:szCs w:val="24"/>
          <w:lang w:val="es-ES_tradnl" w:eastAsia="es-ES_tradnl" w:bidi="es-ES"/>
        </w:rPr>
        <w:t>En conclusión, los consorcios y uniones temporales no son personas jurídicas, pero son entes creados por el acuerdo de voluntades de sus miembros, los cuales están facultados, en virtud de la ley y del contrato consorcial, para celebrar y ejecutar contratos con entidades estatales y para ser parte en procesos administrativos y judiciales derivados de la celebración y la ejecución de aquellos, e incluso para ser parte en procesos laborales.</w:t>
      </w:r>
    </w:p>
    <w:p w14:paraId="1857385E" w14:textId="77777777" w:rsidR="007559A2" w:rsidRPr="007559A2" w:rsidRDefault="007559A2" w:rsidP="007559A2">
      <w:pPr>
        <w:tabs>
          <w:tab w:val="left" w:pos="0"/>
        </w:tabs>
        <w:spacing w:after="0" w:line="276" w:lineRule="auto"/>
        <w:ind w:firstLine="709"/>
        <w:jc w:val="both"/>
        <w:rPr>
          <w:rFonts w:ascii="Arial" w:eastAsia="Calibri" w:hAnsi="Arial" w:cs="Arial"/>
          <w:color w:val="000000"/>
          <w:szCs w:val="24"/>
          <w:lang w:val="es-ES_tradnl" w:eastAsia="en-GB"/>
        </w:rPr>
      </w:pPr>
    </w:p>
    <w:p w14:paraId="651A2F56" w14:textId="77777777" w:rsidR="007559A2" w:rsidRPr="007559A2" w:rsidRDefault="007559A2" w:rsidP="007559A2">
      <w:pPr>
        <w:tabs>
          <w:tab w:val="left" w:pos="0"/>
        </w:tabs>
        <w:spacing w:after="0" w:line="276" w:lineRule="auto"/>
        <w:jc w:val="both"/>
        <w:rPr>
          <w:rFonts w:ascii="Arial" w:eastAsia="Calibri" w:hAnsi="Arial" w:cs="Arial"/>
          <w:b/>
          <w:bCs/>
          <w:color w:val="000000"/>
          <w:szCs w:val="24"/>
          <w:lang w:val="es-ES_tradnl" w:eastAsia="en-GB"/>
        </w:rPr>
      </w:pPr>
      <w:r w:rsidRPr="007559A2">
        <w:rPr>
          <w:rFonts w:ascii="Arial" w:eastAsia="Calibri" w:hAnsi="Arial" w:cs="Arial"/>
          <w:b/>
          <w:bCs/>
          <w:color w:val="000000"/>
          <w:szCs w:val="24"/>
          <w:lang w:val="es-ES_tradnl" w:eastAsia="en-GB"/>
        </w:rPr>
        <w:t xml:space="preserve">2.2. </w:t>
      </w:r>
      <w:r w:rsidRPr="007559A2">
        <w:rPr>
          <w:rFonts w:ascii="Arial" w:eastAsia="Calibri" w:hAnsi="Arial" w:cs="Arial"/>
          <w:b/>
          <w:bCs/>
          <w:color w:val="000000"/>
          <w:szCs w:val="24"/>
          <w:lang w:val="es-ES_tradnl" w:eastAsia="en-GB" w:bidi="es-ES"/>
        </w:rPr>
        <w:t>La Seguridad Social Integral en las diferentes etapas de los procesos de contratación pública</w:t>
      </w:r>
    </w:p>
    <w:p w14:paraId="3896D122" w14:textId="77777777" w:rsidR="007559A2" w:rsidRPr="007559A2" w:rsidRDefault="007559A2" w:rsidP="007559A2">
      <w:pPr>
        <w:tabs>
          <w:tab w:val="left" w:pos="0"/>
        </w:tabs>
        <w:spacing w:after="0" w:line="276" w:lineRule="auto"/>
        <w:jc w:val="both"/>
        <w:rPr>
          <w:rFonts w:ascii="Arial" w:eastAsia="Calibri" w:hAnsi="Arial" w:cs="Arial"/>
          <w:b/>
          <w:bCs/>
          <w:color w:val="000000"/>
          <w:szCs w:val="24"/>
          <w:lang w:val="es-ES_tradnl" w:eastAsia="en-GB" w:bidi="es-ES"/>
        </w:rPr>
      </w:pPr>
    </w:p>
    <w:p w14:paraId="0CE1C57E" w14:textId="77777777" w:rsidR="007559A2" w:rsidRPr="007559A2" w:rsidRDefault="007559A2" w:rsidP="007559A2">
      <w:pPr>
        <w:tabs>
          <w:tab w:val="left" w:pos="0"/>
        </w:tabs>
        <w:spacing w:after="120" w:line="276" w:lineRule="auto"/>
        <w:jc w:val="both"/>
        <w:rPr>
          <w:rFonts w:ascii="Arial" w:eastAsia="Calibri" w:hAnsi="Arial" w:cs="Arial"/>
          <w:color w:val="000000"/>
          <w:szCs w:val="24"/>
          <w:lang w:val="es-ES_tradnl" w:eastAsia="en-GB" w:bidi="es-ES"/>
        </w:rPr>
      </w:pPr>
      <w:r w:rsidRPr="007559A2">
        <w:rPr>
          <w:rFonts w:ascii="Arial" w:eastAsia="Calibri" w:hAnsi="Arial" w:cs="Arial"/>
          <w:color w:val="000000"/>
          <w:szCs w:val="24"/>
          <w:lang w:val="es-ES_tradnl" w:eastAsia="en-GB" w:bidi="es-ES"/>
        </w:rPr>
        <w:t>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p>
    <w:p w14:paraId="4C6238D5" w14:textId="77777777" w:rsidR="007559A2" w:rsidRPr="007559A2" w:rsidRDefault="007559A2" w:rsidP="007559A2">
      <w:pPr>
        <w:tabs>
          <w:tab w:val="left" w:pos="0"/>
        </w:tabs>
        <w:spacing w:after="120" w:line="276" w:lineRule="auto"/>
        <w:jc w:val="both"/>
        <w:rPr>
          <w:rFonts w:ascii="Arial" w:eastAsia="Calibri" w:hAnsi="Arial" w:cs="Arial"/>
          <w:color w:val="000000"/>
          <w:szCs w:val="24"/>
          <w:lang w:val="es-ES_tradnl" w:eastAsia="en-GB" w:bidi="es-ES"/>
        </w:rPr>
      </w:pPr>
      <w:r w:rsidRPr="007559A2">
        <w:rPr>
          <w:rFonts w:ascii="Arial" w:eastAsia="Calibri" w:hAnsi="Arial" w:cs="Arial"/>
          <w:color w:val="000000"/>
          <w:szCs w:val="24"/>
          <w:lang w:val="es-ES_tradnl" w:eastAsia="en-GB" w:bidi="es-ES"/>
        </w:rPr>
        <w:tab/>
        <w:t xml:space="preserve">En materia de contratación estatal, el texto original del artículo 41 de la Ley 80 de 1993 dispuso que los requisitos para perfeccionar el contrato son: i) el acuerdo sobre el objeto y la contraprestación, y </w:t>
      </w:r>
      <w:proofErr w:type="spellStart"/>
      <w:r w:rsidRPr="007559A2">
        <w:rPr>
          <w:rFonts w:ascii="Arial" w:eastAsia="Calibri" w:hAnsi="Arial" w:cs="Arial"/>
          <w:color w:val="000000"/>
          <w:szCs w:val="24"/>
          <w:lang w:val="es-ES_tradnl" w:eastAsia="en-GB" w:bidi="es-ES"/>
        </w:rPr>
        <w:t>ii</w:t>
      </w:r>
      <w:proofErr w:type="spellEnd"/>
      <w:r w:rsidRPr="007559A2">
        <w:rPr>
          <w:rFonts w:ascii="Arial" w:eastAsia="Calibri" w:hAnsi="Arial" w:cs="Arial"/>
          <w:color w:val="000000"/>
          <w:szCs w:val="24"/>
          <w:lang w:val="es-ES_tradnl" w:eastAsia="en-GB" w:bidi="es-ES"/>
        </w:rPr>
        <w:t xml:space="preserve">) que conste por escrito. Por su parte, para iniciar la ejecución se requiere: i) la constitución y aprobación de la garantía y </w:t>
      </w:r>
      <w:proofErr w:type="spellStart"/>
      <w:r w:rsidRPr="007559A2">
        <w:rPr>
          <w:rFonts w:ascii="Arial" w:eastAsia="Calibri" w:hAnsi="Arial" w:cs="Arial"/>
          <w:color w:val="000000"/>
          <w:szCs w:val="24"/>
          <w:lang w:val="es-ES_tradnl" w:eastAsia="en-GB" w:bidi="es-ES"/>
        </w:rPr>
        <w:t>ii</w:t>
      </w:r>
      <w:proofErr w:type="spellEnd"/>
      <w:r w:rsidRPr="007559A2">
        <w:rPr>
          <w:rFonts w:ascii="Arial" w:eastAsia="Calibri" w:hAnsi="Arial" w:cs="Arial"/>
          <w:color w:val="000000"/>
          <w:szCs w:val="24"/>
          <w:lang w:val="es-ES_tradnl" w:eastAsia="en-GB" w:bidi="es-ES"/>
        </w:rPr>
        <w:t>) la existencia del registro presupuestal, salvo que se tratara de la contratación con recursos de vigencias fiscales futuras, de conformidad con lo previsto en la Ley Orgánica del Presupuesto, condiciones que solo es posible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 Integral.</w:t>
      </w:r>
    </w:p>
    <w:p w14:paraId="6F2B16D9" w14:textId="77777777" w:rsidR="007559A2" w:rsidRPr="007559A2" w:rsidRDefault="007559A2" w:rsidP="007559A2">
      <w:pPr>
        <w:tabs>
          <w:tab w:val="left" w:pos="0"/>
        </w:tabs>
        <w:spacing w:after="120" w:line="276" w:lineRule="auto"/>
        <w:jc w:val="both"/>
        <w:rPr>
          <w:rFonts w:ascii="Arial" w:eastAsia="Calibri" w:hAnsi="Arial" w:cs="Arial"/>
          <w:color w:val="000000"/>
          <w:szCs w:val="24"/>
          <w:lang w:val="es-ES_tradnl" w:eastAsia="en-GB" w:bidi="es-ES"/>
        </w:rPr>
      </w:pPr>
      <w:r w:rsidRPr="007559A2">
        <w:rPr>
          <w:rFonts w:ascii="Arial" w:eastAsia="Calibri" w:hAnsi="Arial" w:cs="Arial"/>
          <w:color w:val="000000"/>
          <w:szCs w:val="24"/>
          <w:lang w:val="es-ES_tradnl" w:eastAsia="en-GB" w:bidi="es-ES"/>
        </w:rPr>
        <w:lastRenderedPageBreak/>
        <w:tab/>
        <w:t xml:space="preserve">Por su parte, el artículo 50 de la Ley 789 de 2002 dispuso como obligación de quien quiere </w:t>
      </w:r>
      <w:r w:rsidRPr="007559A2">
        <w:rPr>
          <w:rFonts w:ascii="Arial" w:eastAsia="Calibri" w:hAnsi="Arial" w:cs="Arial"/>
          <w:i/>
          <w:iCs/>
          <w:color w:val="000000"/>
          <w:szCs w:val="24"/>
          <w:lang w:val="es-ES_tradnl" w:eastAsia="en-GB" w:bidi="es-ES"/>
        </w:rPr>
        <w:t>celebrar, renovar o liquidar</w:t>
      </w:r>
      <w:r w:rsidRPr="007559A2">
        <w:rPr>
          <w:rFonts w:ascii="Arial" w:eastAsia="Calibri" w:hAnsi="Arial" w:cs="Arial"/>
          <w:color w:val="000000"/>
          <w:szCs w:val="24"/>
          <w:lang w:val="es-ES_tradnl" w:eastAsia="en-GB" w:bidi="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w:t>
      </w:r>
      <w:r w:rsidRPr="007559A2">
        <w:rPr>
          <w:rFonts w:ascii="Arial" w:eastAsia="Calibri" w:hAnsi="Arial" w:cs="Arial"/>
          <w:i/>
          <w:iCs/>
          <w:color w:val="000000"/>
          <w:szCs w:val="24"/>
          <w:lang w:val="es-ES_tradnl" w:eastAsia="en-GB" w:bidi="es-ES"/>
        </w:rPr>
        <w:t>liquidar</w:t>
      </w:r>
      <w:r w:rsidRPr="007559A2">
        <w:rPr>
          <w:rFonts w:ascii="Arial" w:eastAsia="Calibri" w:hAnsi="Arial" w:cs="Arial"/>
          <w:color w:val="000000"/>
          <w:szCs w:val="24"/>
          <w:lang w:val="es-ES_tradnl" w:eastAsia="en-GB" w:bidi="es-ES"/>
        </w:rPr>
        <w:t xml:space="preserve"> los contratos, para verificar y dejar constancia del cumplimiento de las obligaciones del contratista frente a los aportes mencionados durante toda su vigencia, estableciendo una correcta relación entre el monto cancelado y las sumas que debió cotizar</w:t>
      </w:r>
      <w:r w:rsidRPr="007559A2">
        <w:rPr>
          <w:rFonts w:ascii="Arial" w:eastAsia="Calibri" w:hAnsi="Arial" w:cs="Arial"/>
          <w:color w:val="000000"/>
          <w:szCs w:val="24"/>
          <w:vertAlign w:val="superscript"/>
          <w:lang w:val="es-ES_tradnl" w:eastAsia="en-GB" w:bidi="es-ES"/>
        </w:rPr>
        <w:footnoteReference w:id="11"/>
      </w:r>
      <w:r w:rsidRPr="007559A2">
        <w:rPr>
          <w:rFonts w:ascii="Arial" w:eastAsia="Calibri" w:hAnsi="Arial" w:cs="Arial"/>
          <w:color w:val="000000"/>
          <w:szCs w:val="24"/>
          <w:lang w:val="es-ES_tradnl" w:eastAsia="en-GB" w:bidi="es-ES"/>
        </w:rPr>
        <w:t xml:space="preserve">. </w:t>
      </w:r>
    </w:p>
    <w:p w14:paraId="63186A02" w14:textId="77777777" w:rsidR="007559A2" w:rsidRPr="007559A2" w:rsidRDefault="007559A2" w:rsidP="007559A2">
      <w:pPr>
        <w:tabs>
          <w:tab w:val="left" w:pos="0"/>
        </w:tabs>
        <w:spacing w:after="120" w:line="276" w:lineRule="auto"/>
        <w:jc w:val="both"/>
        <w:rPr>
          <w:rFonts w:ascii="Arial" w:eastAsia="Calibri" w:hAnsi="Arial" w:cs="Arial"/>
          <w:color w:val="000000"/>
          <w:szCs w:val="24"/>
          <w:lang w:val="es-ES_tradnl" w:eastAsia="en-GB" w:bidi="es-ES"/>
        </w:rPr>
      </w:pPr>
      <w:r w:rsidRPr="007559A2">
        <w:rPr>
          <w:rFonts w:ascii="Arial" w:eastAsia="Calibri" w:hAnsi="Arial" w:cs="Arial"/>
          <w:color w:val="000000"/>
          <w:szCs w:val="24"/>
          <w:lang w:val="es-ES_tradnl" w:eastAsia="en-GB" w:bidi="es-ES"/>
        </w:rPr>
        <w:tab/>
        <w:t xml:space="preserve">Además, aclara que las personas jurídicas que quieran celebrar contratos con las entidades estatales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w:t>
      </w:r>
      <w:r w:rsidRPr="007559A2">
        <w:rPr>
          <w:rFonts w:ascii="Arial" w:eastAsia="Calibri" w:hAnsi="Arial" w:cs="Arial"/>
          <w:i/>
          <w:iCs/>
          <w:color w:val="000000"/>
          <w:szCs w:val="24"/>
          <w:lang w:val="es-ES_tradnl" w:eastAsia="en-GB" w:bidi="es-ES"/>
        </w:rPr>
        <w:t>para presentar la oferta</w:t>
      </w:r>
      <w:r w:rsidRPr="007559A2">
        <w:rPr>
          <w:rFonts w:ascii="Arial" w:eastAsia="Calibri" w:hAnsi="Arial" w:cs="Arial"/>
          <w:color w:val="000000"/>
          <w:szCs w:val="24"/>
          <w:lang w:val="es-ES_tradnl" w:eastAsia="en-GB" w:bidi="es-ES"/>
        </w:rPr>
        <w:t xml:space="preserve"> las personas jurídicas deben acreditar el requisito señalado anteriormente.</w:t>
      </w:r>
    </w:p>
    <w:p w14:paraId="3AA7AD36" w14:textId="77777777" w:rsidR="007559A2" w:rsidRPr="007559A2" w:rsidRDefault="007559A2" w:rsidP="007559A2">
      <w:pPr>
        <w:tabs>
          <w:tab w:val="left" w:pos="0"/>
        </w:tabs>
        <w:spacing w:after="0" w:line="276" w:lineRule="auto"/>
        <w:jc w:val="both"/>
        <w:rPr>
          <w:rFonts w:ascii="Arial" w:eastAsia="Calibri" w:hAnsi="Arial" w:cs="Arial"/>
          <w:color w:val="000000"/>
          <w:szCs w:val="24"/>
          <w:lang w:val="es-ES_tradnl" w:eastAsia="en-GB" w:bidi="es-ES"/>
        </w:rPr>
      </w:pPr>
      <w:r w:rsidRPr="007559A2">
        <w:rPr>
          <w:rFonts w:ascii="Arial" w:eastAsia="Calibri" w:hAnsi="Arial" w:cs="Arial"/>
          <w:color w:val="000000"/>
          <w:szCs w:val="24"/>
          <w:lang w:val="es-ES_tradnl" w:eastAsia="en-GB" w:bidi="es-ES"/>
        </w:rPr>
        <w:tab/>
        <w:t xml:space="preserve">Esta norma fue analizada por la Sección Tercera del Consejo de Estado, la cual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w:t>
      </w:r>
      <w:r w:rsidRPr="007559A2">
        <w:rPr>
          <w:rFonts w:ascii="Arial" w:eastAsia="Calibri" w:hAnsi="Arial" w:cs="Arial"/>
          <w:color w:val="000000"/>
          <w:szCs w:val="24"/>
          <w:lang w:val="es-ES_tradnl" w:eastAsia="en-GB" w:bidi="es-ES"/>
        </w:rPr>
        <w:lastRenderedPageBreak/>
        <w:t>que tanto los oferentes como los contratistas hayan realizado los aportes al Sistema de Seguridad Social Integral</w:t>
      </w:r>
      <w:r w:rsidRPr="007559A2">
        <w:rPr>
          <w:rFonts w:ascii="Arial" w:eastAsia="Calibri" w:hAnsi="Arial" w:cs="Arial"/>
          <w:color w:val="000000"/>
          <w:szCs w:val="24"/>
          <w:vertAlign w:val="superscript"/>
          <w:lang w:val="es-ES_tradnl" w:eastAsia="en-GB" w:bidi="es-ES"/>
        </w:rPr>
        <w:footnoteReference w:id="12"/>
      </w:r>
      <w:r w:rsidRPr="007559A2">
        <w:rPr>
          <w:rFonts w:ascii="Arial" w:eastAsia="Calibri" w:hAnsi="Arial" w:cs="Arial"/>
          <w:color w:val="000000"/>
          <w:szCs w:val="24"/>
          <w:lang w:val="es-ES_tradnl" w:eastAsia="en-GB" w:bidi="es-ES"/>
        </w:rPr>
        <w:t xml:space="preserve">. Por lo tanto, la jurisprudencia reiteró la necesidad de que las entidades estatales, </w:t>
      </w:r>
      <w:r w:rsidRPr="007559A2">
        <w:rPr>
          <w:rFonts w:ascii="Arial" w:eastAsia="Calibri" w:hAnsi="Arial" w:cs="Arial"/>
          <w:i/>
          <w:iCs/>
          <w:color w:val="000000"/>
          <w:szCs w:val="24"/>
          <w:lang w:val="es-ES_tradnl" w:eastAsia="en-GB" w:bidi="es-ES"/>
        </w:rPr>
        <w:t>durante la ejecución de un contrato</w:t>
      </w:r>
      <w:r w:rsidRPr="007559A2">
        <w:rPr>
          <w:rFonts w:ascii="Arial" w:eastAsia="Calibri" w:hAnsi="Arial" w:cs="Arial"/>
          <w:color w:val="000000"/>
          <w:szCs w:val="24"/>
          <w:lang w:val="es-ES_tradnl" w:eastAsia="en-GB" w:bidi="es-ES"/>
        </w:rPr>
        <w:t>, verifiquen el cumplimiento de las obligaciones del sistema de seguridad social por parte de los oferentes. De esta manera, el artículo 23 de la Ley 1150 de 2007 que modificó el inciso segundo del artículo 41 de la Ley 80 de 1993, incluye la obligación, para los proponentes y contratistas, de estar a paz y salvo con los aportes parafiscales al Sistema de Seguridad Social Integral, al señalar:</w:t>
      </w:r>
    </w:p>
    <w:p w14:paraId="4DACCC54" w14:textId="77777777" w:rsidR="007559A2" w:rsidRPr="007559A2" w:rsidRDefault="007559A2" w:rsidP="007559A2">
      <w:pPr>
        <w:tabs>
          <w:tab w:val="left" w:pos="0"/>
        </w:tabs>
        <w:spacing w:after="0" w:line="276" w:lineRule="auto"/>
        <w:jc w:val="both"/>
        <w:rPr>
          <w:rFonts w:ascii="Arial" w:eastAsia="Calibri" w:hAnsi="Arial" w:cs="Arial"/>
          <w:color w:val="000000"/>
          <w:szCs w:val="24"/>
          <w:lang w:val="es-ES_tradnl" w:eastAsia="en-GB" w:bidi="es-ES"/>
        </w:rPr>
      </w:pPr>
    </w:p>
    <w:p w14:paraId="792798F0" w14:textId="77777777" w:rsidR="007559A2" w:rsidRPr="007559A2" w:rsidRDefault="007559A2" w:rsidP="007559A2">
      <w:pPr>
        <w:tabs>
          <w:tab w:val="left" w:pos="0"/>
        </w:tabs>
        <w:spacing w:after="0" w:line="240" w:lineRule="auto"/>
        <w:ind w:left="708" w:right="709"/>
        <w:jc w:val="both"/>
        <w:rPr>
          <w:rFonts w:ascii="Arial" w:eastAsia="Calibri" w:hAnsi="Arial" w:cs="Arial"/>
          <w:color w:val="000000"/>
          <w:sz w:val="21"/>
          <w:szCs w:val="21"/>
          <w:lang w:val="es-ES_tradnl" w:eastAsia="en-GB" w:bidi="es-ES"/>
        </w:rPr>
      </w:pPr>
      <w:r w:rsidRPr="007559A2">
        <w:rPr>
          <w:rFonts w:ascii="Arial" w:eastAsia="Calibri" w:hAnsi="Arial" w:cs="Arial"/>
          <w:color w:val="000000"/>
          <w:sz w:val="21"/>
          <w:szCs w:val="21"/>
          <w:lang w:val="es-ES_tradnl" w:eastAsia="en-GB" w:bidi="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7F233B00" w14:textId="77777777" w:rsidR="007559A2" w:rsidRPr="007559A2" w:rsidRDefault="007559A2" w:rsidP="007559A2">
      <w:pPr>
        <w:tabs>
          <w:tab w:val="left" w:pos="0"/>
        </w:tabs>
        <w:spacing w:after="0" w:line="240" w:lineRule="auto"/>
        <w:ind w:left="708" w:right="709"/>
        <w:jc w:val="both"/>
        <w:rPr>
          <w:rFonts w:ascii="Arial" w:eastAsia="Calibri" w:hAnsi="Arial" w:cs="Arial"/>
          <w:color w:val="000000"/>
          <w:sz w:val="21"/>
          <w:szCs w:val="21"/>
          <w:lang w:val="es-ES_tradnl" w:eastAsia="en-GB" w:bidi="es-ES"/>
        </w:rPr>
      </w:pPr>
    </w:p>
    <w:p w14:paraId="059B6D1C" w14:textId="77777777" w:rsidR="007559A2" w:rsidRPr="007559A2" w:rsidRDefault="007559A2" w:rsidP="007559A2">
      <w:pPr>
        <w:tabs>
          <w:tab w:val="left" w:pos="0"/>
        </w:tabs>
        <w:spacing w:after="0" w:line="240" w:lineRule="auto"/>
        <w:ind w:left="708" w:right="709"/>
        <w:jc w:val="both"/>
        <w:rPr>
          <w:rFonts w:ascii="Arial" w:eastAsia="Calibri" w:hAnsi="Arial" w:cs="Arial"/>
          <w:i/>
          <w:iCs/>
          <w:color w:val="000000"/>
          <w:sz w:val="21"/>
          <w:szCs w:val="21"/>
          <w:lang w:val="es-ES_tradnl" w:eastAsia="en-GB" w:bidi="es-ES"/>
        </w:rPr>
      </w:pPr>
      <w:r w:rsidRPr="007559A2">
        <w:rPr>
          <w:rFonts w:ascii="Arial" w:eastAsia="Calibri" w:hAnsi="Arial" w:cs="Arial"/>
          <w:i/>
          <w:iCs/>
          <w:color w:val="000000"/>
          <w:sz w:val="21"/>
          <w:szCs w:val="21"/>
          <w:lang w:val="es-ES_tradnl" w:eastAsia="en-GB" w:bidi="es-ES"/>
        </w:rPr>
        <w:t>Parágrafo 1. El requisito establecido en la parte final del inciso segundo de este artículo deberá acreditarse para la realización de cada pago derivado del contrato estatal.</w:t>
      </w:r>
    </w:p>
    <w:p w14:paraId="36B57342" w14:textId="77777777" w:rsidR="007559A2" w:rsidRPr="007559A2" w:rsidRDefault="007559A2" w:rsidP="007559A2">
      <w:pPr>
        <w:tabs>
          <w:tab w:val="left" w:pos="0"/>
        </w:tabs>
        <w:spacing w:after="0" w:line="240" w:lineRule="auto"/>
        <w:ind w:left="708" w:right="709"/>
        <w:jc w:val="both"/>
        <w:rPr>
          <w:rFonts w:ascii="Arial" w:eastAsia="Calibri" w:hAnsi="Arial" w:cs="Arial"/>
          <w:color w:val="000000"/>
          <w:sz w:val="21"/>
          <w:szCs w:val="21"/>
          <w:lang w:val="es-ES_tradnl" w:eastAsia="en-GB" w:bidi="es-ES"/>
        </w:rPr>
      </w:pPr>
    </w:p>
    <w:p w14:paraId="6A138BA2" w14:textId="77777777" w:rsidR="007559A2" w:rsidRPr="007559A2" w:rsidRDefault="007559A2" w:rsidP="007559A2">
      <w:pPr>
        <w:tabs>
          <w:tab w:val="left" w:pos="0"/>
        </w:tabs>
        <w:spacing w:after="0" w:line="240" w:lineRule="auto"/>
        <w:ind w:left="708" w:right="709"/>
        <w:jc w:val="both"/>
        <w:rPr>
          <w:rFonts w:ascii="Arial" w:eastAsia="Calibri" w:hAnsi="Arial" w:cs="Arial"/>
          <w:color w:val="000000"/>
          <w:szCs w:val="24"/>
          <w:lang w:val="es-ES_tradnl" w:eastAsia="en-GB" w:bidi="es-ES"/>
        </w:rPr>
      </w:pPr>
      <w:r w:rsidRPr="007559A2">
        <w:rPr>
          <w:rFonts w:ascii="Arial" w:eastAsia="Calibri" w:hAnsi="Arial" w:cs="Arial"/>
          <w:color w:val="000000"/>
          <w:sz w:val="21"/>
          <w:szCs w:val="21"/>
          <w:lang w:val="es-ES_tradnl" w:eastAsia="en-GB" w:bidi="es-ES"/>
        </w:rPr>
        <w:t>El servidor público que sin justa causa no verifique el pago de los aportes a que se refiere el presente artículo, incurrirá en causal de mala conducta, que será sancionada con arreglo al régimen disciplinario vigente.</w:t>
      </w:r>
    </w:p>
    <w:p w14:paraId="0AE0ABD5" w14:textId="77777777" w:rsidR="007559A2" w:rsidRPr="007559A2" w:rsidRDefault="007559A2" w:rsidP="007559A2">
      <w:pPr>
        <w:tabs>
          <w:tab w:val="left" w:pos="0"/>
        </w:tabs>
        <w:spacing w:after="0" w:line="276" w:lineRule="auto"/>
        <w:jc w:val="both"/>
        <w:rPr>
          <w:rFonts w:ascii="Arial" w:eastAsia="Calibri" w:hAnsi="Arial" w:cs="Arial"/>
          <w:i/>
          <w:iCs/>
          <w:color w:val="000000"/>
          <w:szCs w:val="24"/>
          <w:lang w:val="es-ES_tradnl" w:eastAsia="en-GB" w:bidi="es-ES"/>
        </w:rPr>
      </w:pPr>
    </w:p>
    <w:p w14:paraId="682CC605" w14:textId="77777777" w:rsidR="007559A2" w:rsidRPr="007559A2" w:rsidRDefault="007559A2" w:rsidP="007559A2">
      <w:pPr>
        <w:tabs>
          <w:tab w:val="left" w:pos="0"/>
        </w:tabs>
        <w:spacing w:after="120" w:line="276" w:lineRule="auto"/>
        <w:jc w:val="both"/>
        <w:rPr>
          <w:rFonts w:ascii="Arial" w:eastAsia="Calibri" w:hAnsi="Arial" w:cs="Arial"/>
          <w:color w:val="000000"/>
          <w:szCs w:val="24"/>
          <w:lang w:val="es-ES_tradnl" w:eastAsia="en-GB" w:bidi="es-ES"/>
        </w:rPr>
      </w:pPr>
      <w:r w:rsidRPr="007559A2">
        <w:rPr>
          <w:rFonts w:ascii="Arial" w:eastAsia="Calibri" w:hAnsi="Arial" w:cs="Arial"/>
          <w:color w:val="000000"/>
          <w:szCs w:val="24"/>
          <w:lang w:val="es-ES_tradnl" w:eastAsia="en-GB" w:bidi="es-ES"/>
        </w:rPr>
        <w:tab/>
        <w:t xml:space="preserve">Del artículo 23 de la Ley 1150 de 2007 se concluye </w:t>
      </w:r>
      <w:proofErr w:type="gramStart"/>
      <w:r w:rsidRPr="007559A2">
        <w:rPr>
          <w:rFonts w:ascii="Arial" w:eastAsia="Calibri" w:hAnsi="Arial" w:cs="Arial"/>
          <w:color w:val="000000"/>
          <w:szCs w:val="24"/>
          <w:lang w:val="es-ES_tradnl" w:eastAsia="en-GB" w:bidi="es-ES"/>
        </w:rPr>
        <w:t>que</w:t>
      </w:r>
      <w:proofErr w:type="gramEnd"/>
      <w:r w:rsidRPr="007559A2">
        <w:rPr>
          <w:rFonts w:ascii="Arial" w:eastAsia="Calibri" w:hAnsi="Arial" w:cs="Arial"/>
          <w:color w:val="000000"/>
          <w:szCs w:val="24"/>
          <w:lang w:val="es-ES_tradnl" w:eastAsia="en-GB" w:bidi="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18B59E23" w14:textId="77777777" w:rsidR="007559A2" w:rsidRPr="007559A2" w:rsidRDefault="007559A2" w:rsidP="007559A2">
      <w:pPr>
        <w:tabs>
          <w:tab w:val="left" w:pos="0"/>
        </w:tabs>
        <w:spacing w:after="120" w:line="276" w:lineRule="auto"/>
        <w:jc w:val="both"/>
        <w:rPr>
          <w:rFonts w:ascii="Arial" w:eastAsia="Calibri" w:hAnsi="Arial" w:cs="Arial"/>
          <w:color w:val="000000"/>
          <w:szCs w:val="24"/>
          <w:lang w:val="es-ES_tradnl" w:eastAsia="en-GB" w:bidi="es-ES"/>
        </w:rPr>
      </w:pPr>
      <w:r w:rsidRPr="007559A2">
        <w:rPr>
          <w:rFonts w:ascii="Arial" w:eastAsia="Calibri" w:hAnsi="Arial" w:cs="Arial"/>
          <w:color w:val="000000"/>
          <w:szCs w:val="24"/>
          <w:lang w:val="es-ES_tradnl" w:eastAsia="en-GB" w:bidi="es-ES"/>
        </w:rPr>
        <w:tab/>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7559A2" w:rsidDel="006B64E9">
        <w:rPr>
          <w:rFonts w:ascii="Arial" w:eastAsia="Calibri" w:hAnsi="Arial" w:cs="Arial"/>
          <w:color w:val="000000"/>
          <w:szCs w:val="24"/>
          <w:lang w:val="es-ES_tradnl" w:eastAsia="en-GB" w:bidi="es-ES"/>
        </w:rPr>
        <w:t xml:space="preserve"> </w:t>
      </w:r>
      <w:r w:rsidRPr="007559A2">
        <w:rPr>
          <w:rFonts w:ascii="Arial" w:eastAsia="Calibri" w:hAnsi="Arial" w:cs="Arial"/>
          <w:color w:val="000000"/>
          <w:szCs w:val="24"/>
          <w:lang w:val="es-ES_tradnl" w:eastAsia="en-GB" w:bidi="es-ES"/>
        </w:rPr>
        <w:t xml:space="preserve">que la acreditación de dicho requisito se realiza en diferentes momentos del proceso contractual, tal como se detalla a continuación. </w:t>
      </w:r>
    </w:p>
    <w:p w14:paraId="0A8062E9" w14:textId="77777777" w:rsidR="007559A2" w:rsidRPr="007559A2" w:rsidRDefault="007559A2" w:rsidP="007559A2">
      <w:pPr>
        <w:tabs>
          <w:tab w:val="left" w:pos="0"/>
        </w:tabs>
        <w:spacing w:after="120" w:line="276" w:lineRule="auto"/>
        <w:jc w:val="both"/>
        <w:rPr>
          <w:rFonts w:ascii="Arial" w:eastAsia="Calibri" w:hAnsi="Arial" w:cs="Arial"/>
          <w:color w:val="000000"/>
          <w:szCs w:val="24"/>
          <w:lang w:val="es-ES_tradnl" w:eastAsia="en-GB" w:bidi="es-ES"/>
        </w:rPr>
      </w:pPr>
      <w:r w:rsidRPr="007559A2">
        <w:rPr>
          <w:rFonts w:ascii="Arial" w:eastAsia="Calibri" w:hAnsi="Arial" w:cs="Arial"/>
          <w:color w:val="000000"/>
          <w:szCs w:val="24"/>
          <w:lang w:val="es-ES_tradnl" w:eastAsia="en-GB" w:bidi="es-ES"/>
        </w:rPr>
        <w:lastRenderedPageBreak/>
        <w:tab/>
        <w:t xml:space="preserve">1. </w:t>
      </w:r>
      <w:r w:rsidRPr="007559A2">
        <w:rPr>
          <w:rFonts w:ascii="Arial" w:eastAsia="Calibri" w:hAnsi="Arial" w:cs="Arial"/>
          <w:i/>
          <w:iCs/>
          <w:color w:val="000000"/>
          <w:szCs w:val="24"/>
          <w:lang w:val="es-ES_tradnl" w:eastAsia="en-GB" w:bidi="es-ES"/>
        </w:rPr>
        <w:t>Para presentar la oferta</w:t>
      </w:r>
      <w:r w:rsidRPr="007559A2">
        <w:rPr>
          <w:rFonts w:ascii="Arial" w:eastAsia="Calibri" w:hAnsi="Arial" w:cs="Arial"/>
          <w:color w:val="000000"/>
          <w:szCs w:val="24"/>
          <w:lang w:val="es-ES_tradnl" w:eastAsia="en-GB" w:bidi="es-ES"/>
        </w:rPr>
        <w:t xml:space="preserve"> los proponentes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w:t>
      </w:r>
      <w:r w:rsidRPr="007559A2">
        <w:rPr>
          <w:rFonts w:ascii="Arial" w:eastAsia="Calibri" w:hAnsi="Arial" w:cs="Arial"/>
          <w:color w:val="000000"/>
          <w:szCs w:val="24"/>
          <w:vertAlign w:val="superscript"/>
          <w:lang w:val="es-ES_tradnl" w:eastAsia="en-GB" w:bidi="es-ES"/>
        </w:rPr>
        <w:footnoteReference w:id="13"/>
      </w:r>
      <w:r w:rsidRPr="007559A2">
        <w:rPr>
          <w:rFonts w:ascii="Arial" w:eastAsia="Calibri" w:hAnsi="Arial" w:cs="Arial"/>
          <w:color w:val="000000"/>
          <w:szCs w:val="24"/>
          <w:lang w:val="es-ES_tradnl" w:eastAsia="en-GB" w:bidi="es-ES"/>
        </w:rPr>
        <w:t xml:space="preserve">. Si bien este certificado no es un requisito para perfeccionar ni para ejecutarlo, sí lo es para admitir la oferta en el procedimiento de selección. Cabe señalar que la acreditación en los términos indicado solo procede frente a las </w:t>
      </w:r>
      <w:r w:rsidRPr="007559A2">
        <w:rPr>
          <w:rFonts w:ascii="Arial" w:eastAsia="Calibri" w:hAnsi="Arial" w:cs="Arial"/>
          <w:i/>
          <w:iCs/>
          <w:color w:val="000000"/>
          <w:szCs w:val="24"/>
          <w:lang w:val="es-ES_tradnl" w:eastAsia="en-GB" w:bidi="es-ES"/>
        </w:rPr>
        <w:t xml:space="preserve">personas jurídicas </w:t>
      </w:r>
      <w:r w:rsidRPr="007559A2">
        <w:rPr>
          <w:rFonts w:ascii="Arial" w:eastAsia="Calibri" w:hAnsi="Arial" w:cs="Arial"/>
          <w:color w:val="000000"/>
          <w:szCs w:val="24"/>
          <w:lang w:val="es-ES_tradnl" w:eastAsia="en-GB" w:bidi="es-ES"/>
        </w:rPr>
        <w:t>–Ley 789 de 2002, art. 50, inciso 3°–.</w:t>
      </w:r>
    </w:p>
    <w:p w14:paraId="7A5F2EFA" w14:textId="77777777" w:rsidR="007559A2" w:rsidRPr="007559A2" w:rsidRDefault="007559A2" w:rsidP="007559A2">
      <w:pPr>
        <w:tabs>
          <w:tab w:val="left" w:pos="0"/>
        </w:tabs>
        <w:spacing w:after="120" w:line="276" w:lineRule="auto"/>
        <w:jc w:val="both"/>
        <w:rPr>
          <w:rFonts w:ascii="Arial" w:eastAsia="Calibri" w:hAnsi="Arial" w:cs="Arial"/>
          <w:color w:val="000000"/>
          <w:szCs w:val="24"/>
          <w:lang w:val="es-ES_tradnl" w:eastAsia="en-GB" w:bidi="es-ES"/>
        </w:rPr>
      </w:pPr>
      <w:r w:rsidRPr="007559A2">
        <w:rPr>
          <w:rFonts w:ascii="Arial" w:eastAsia="Calibri" w:hAnsi="Arial" w:cs="Arial"/>
          <w:color w:val="000000"/>
          <w:szCs w:val="24"/>
          <w:lang w:val="es-ES_tradnl" w:eastAsia="en-GB" w:bidi="es-ES"/>
        </w:rPr>
        <w:tab/>
        <w:t xml:space="preserve">2. En el momento del </w:t>
      </w:r>
      <w:r w:rsidRPr="007559A2">
        <w:rPr>
          <w:rFonts w:ascii="Arial" w:eastAsia="Calibri" w:hAnsi="Arial" w:cs="Arial"/>
          <w:i/>
          <w:iCs/>
          <w:color w:val="000000"/>
          <w:szCs w:val="24"/>
          <w:lang w:val="es-ES_tradnl" w:eastAsia="en-GB" w:bidi="es-ES"/>
        </w:rPr>
        <w:t>perfeccionamiento del contrato estatal</w:t>
      </w:r>
      <w:r w:rsidRPr="007559A2">
        <w:rPr>
          <w:rFonts w:ascii="Arial" w:eastAsia="Calibri" w:hAnsi="Arial" w:cs="Arial"/>
          <w:color w:val="000000"/>
          <w:szCs w:val="24"/>
          <w:lang w:val="es-ES_tradnl" w:eastAsia="en-GB" w:bidi="es-ES"/>
        </w:rPr>
        <w:t>, esta obligación legal no se constituye en un elemento de existencia del contrato estatal, puesto que el artículo 41 define que los requisitos de perfeccionamiento son el objeto, precio y solemnidad por escrito. Sin embargo, este mismo artículo establece que una vez se celebre el contrato, para dar inicio a su ejecución se debe haber cumplido este requisito.</w:t>
      </w:r>
    </w:p>
    <w:p w14:paraId="309A1EB6" w14:textId="77777777" w:rsidR="007559A2" w:rsidRPr="007559A2" w:rsidRDefault="007559A2" w:rsidP="007559A2">
      <w:pPr>
        <w:tabs>
          <w:tab w:val="left" w:pos="0"/>
        </w:tabs>
        <w:spacing w:after="120" w:line="276" w:lineRule="auto"/>
        <w:jc w:val="both"/>
        <w:rPr>
          <w:rFonts w:ascii="Arial" w:eastAsia="Calibri" w:hAnsi="Arial" w:cs="Arial"/>
          <w:color w:val="000000"/>
          <w:szCs w:val="24"/>
          <w:lang w:val="es-ES_tradnl" w:eastAsia="en-GB" w:bidi="es-ES"/>
        </w:rPr>
      </w:pPr>
      <w:r w:rsidRPr="007559A2">
        <w:rPr>
          <w:rFonts w:ascii="Arial" w:eastAsia="Calibri" w:hAnsi="Arial" w:cs="Arial"/>
          <w:color w:val="000000"/>
          <w:szCs w:val="24"/>
          <w:lang w:val="es-ES_tradnl" w:eastAsia="en-GB" w:bidi="es-ES"/>
        </w:rPr>
        <w:tab/>
        <w:t xml:space="preserve">3. El pago de los aportes de seguridad social es un </w:t>
      </w:r>
      <w:r w:rsidRPr="007559A2">
        <w:rPr>
          <w:rFonts w:ascii="Arial" w:eastAsia="Calibri" w:hAnsi="Arial" w:cs="Arial"/>
          <w:i/>
          <w:iCs/>
          <w:color w:val="000000"/>
          <w:szCs w:val="24"/>
          <w:lang w:val="es-ES_tradnl" w:eastAsia="en-GB" w:bidi="es-ES"/>
        </w:rPr>
        <w:t>requisito de ejecución</w:t>
      </w:r>
      <w:r w:rsidRPr="007559A2">
        <w:rPr>
          <w:rFonts w:ascii="Arial" w:eastAsia="Calibri" w:hAnsi="Arial" w:cs="Arial"/>
          <w:color w:val="000000"/>
          <w:szCs w:val="24"/>
          <w:lang w:val="es-ES_tradnl" w:eastAsia="en-GB" w:bidi="es-ES"/>
        </w:rPr>
        <w:t xml:space="preserve"> del contrato, es decir, es un elemento </w:t>
      </w:r>
      <w:r w:rsidRPr="007559A2">
        <w:rPr>
          <w:rFonts w:ascii="Arial" w:eastAsia="Calibri" w:hAnsi="Arial" w:cs="Arial"/>
          <w:i/>
          <w:color w:val="000000"/>
          <w:szCs w:val="24"/>
          <w:lang w:val="es-ES_tradnl" w:eastAsia="en-GB" w:bidi="es-ES"/>
        </w:rPr>
        <w:t>sine qua non</w:t>
      </w:r>
      <w:r w:rsidRPr="007559A2">
        <w:rPr>
          <w:rFonts w:ascii="Arial" w:eastAsia="Calibri" w:hAnsi="Arial" w:cs="Arial"/>
          <w:color w:val="000000"/>
          <w:szCs w:val="24"/>
          <w:lang w:val="es-ES_tradnl" w:eastAsia="en-GB" w:bidi="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2399098E" w14:textId="77777777" w:rsidR="007559A2" w:rsidRPr="007559A2" w:rsidRDefault="007559A2" w:rsidP="007559A2">
      <w:pPr>
        <w:tabs>
          <w:tab w:val="left" w:pos="0"/>
        </w:tabs>
        <w:spacing w:after="120" w:line="276" w:lineRule="auto"/>
        <w:jc w:val="both"/>
        <w:rPr>
          <w:rFonts w:ascii="Arial" w:eastAsia="Calibri" w:hAnsi="Arial" w:cs="Arial"/>
          <w:color w:val="000000"/>
          <w:szCs w:val="24"/>
          <w:lang w:val="es-ES_tradnl" w:eastAsia="en-GB" w:bidi="es-ES"/>
        </w:rPr>
      </w:pPr>
      <w:r w:rsidRPr="007559A2">
        <w:rPr>
          <w:rFonts w:ascii="Arial" w:eastAsia="Calibri" w:hAnsi="Arial" w:cs="Arial"/>
          <w:color w:val="000000"/>
          <w:szCs w:val="24"/>
          <w:lang w:val="es-ES_tradnl" w:eastAsia="en-GB" w:bidi="es-ES"/>
        </w:rPr>
        <w:tab/>
        <w:t xml:space="preserve">4. </w:t>
      </w:r>
      <w:r w:rsidRPr="007559A2">
        <w:rPr>
          <w:rFonts w:ascii="Arial" w:eastAsia="Calibri" w:hAnsi="Arial" w:cs="Arial"/>
          <w:i/>
          <w:iCs/>
          <w:color w:val="000000"/>
          <w:szCs w:val="24"/>
          <w:lang w:val="es-ES_tradnl" w:eastAsia="en-GB" w:bidi="es-ES"/>
        </w:rPr>
        <w:t>Durante la ejecución del contrato</w:t>
      </w:r>
      <w:r w:rsidRPr="007559A2">
        <w:rPr>
          <w:rFonts w:ascii="Arial" w:eastAsia="Calibri" w:hAnsi="Arial" w:cs="Arial"/>
          <w:color w:val="000000"/>
          <w:szCs w:val="24"/>
          <w:lang w:val="es-ES_tradnl" w:eastAsia="en-GB" w:bidi="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41105378" w14:textId="77777777" w:rsidR="007559A2" w:rsidRPr="007559A2" w:rsidRDefault="007559A2" w:rsidP="007559A2">
      <w:pPr>
        <w:tabs>
          <w:tab w:val="left" w:pos="0"/>
        </w:tabs>
        <w:spacing w:after="120" w:line="276" w:lineRule="auto"/>
        <w:jc w:val="both"/>
        <w:rPr>
          <w:rFonts w:ascii="Arial" w:eastAsia="Calibri" w:hAnsi="Arial" w:cs="Arial"/>
          <w:color w:val="000000"/>
          <w:szCs w:val="24"/>
          <w:lang w:val="es-ES_tradnl" w:eastAsia="en-GB" w:bidi="es-ES"/>
        </w:rPr>
      </w:pPr>
      <w:r w:rsidRPr="007559A2">
        <w:rPr>
          <w:rFonts w:ascii="Arial" w:eastAsia="Calibri" w:hAnsi="Arial" w:cs="Arial"/>
          <w:color w:val="000000"/>
          <w:szCs w:val="24"/>
          <w:lang w:val="es-ES_tradnl" w:eastAsia="en-GB" w:bidi="es-ES"/>
        </w:rPr>
        <w:lastRenderedPageBreak/>
        <w:tab/>
        <w:t xml:space="preserve">5. Finalmente, en virtud del artículo 50 de la Ley 789 de 2002, la entidad verificará, tanto para las personas naturales como para las jurídicas, la realización de los aportes al Sistema de Seguridad Social Integral, al </w:t>
      </w:r>
      <w:r w:rsidRPr="007559A2">
        <w:rPr>
          <w:rFonts w:ascii="Arial" w:eastAsia="Calibri" w:hAnsi="Arial" w:cs="Arial"/>
          <w:i/>
          <w:iCs/>
          <w:color w:val="000000"/>
          <w:szCs w:val="24"/>
          <w:lang w:val="es-ES_tradnl" w:eastAsia="en-GB" w:bidi="es-ES"/>
        </w:rPr>
        <w:t>momento de su liquidación</w:t>
      </w:r>
      <w:r w:rsidRPr="007559A2">
        <w:rPr>
          <w:rFonts w:ascii="Arial" w:eastAsia="Calibri" w:hAnsi="Arial" w:cs="Arial"/>
          <w:color w:val="000000"/>
          <w:szCs w:val="24"/>
          <w:lang w:val="es-ES_tradnl" w:eastAsia="en-GB" w:bidi="es-ES"/>
        </w:rPr>
        <w:t>, y dejarán constancia del cumplimiento de las obligaciones del contratista frente a los aportes mencionados durante toda su vigencia, estableciendo una correcta relación entre el monto cancelado y las sumas que debieron cotizar.</w:t>
      </w:r>
    </w:p>
    <w:p w14:paraId="2A5EF5FE" w14:textId="77777777" w:rsidR="007559A2" w:rsidRPr="007559A2" w:rsidRDefault="007559A2" w:rsidP="007559A2">
      <w:pPr>
        <w:tabs>
          <w:tab w:val="left" w:pos="0"/>
        </w:tabs>
        <w:spacing w:after="0" w:line="276" w:lineRule="auto"/>
        <w:jc w:val="both"/>
        <w:rPr>
          <w:rFonts w:ascii="Arial" w:eastAsia="Calibri" w:hAnsi="Arial" w:cs="Arial"/>
          <w:color w:val="000000"/>
          <w:szCs w:val="24"/>
          <w:lang w:val="es-ES_tradnl" w:eastAsia="en-GB" w:bidi="es-ES"/>
        </w:rPr>
      </w:pPr>
      <w:r w:rsidRPr="007559A2">
        <w:rPr>
          <w:rFonts w:ascii="Arial" w:eastAsia="Calibri" w:hAnsi="Arial" w:cs="Arial"/>
          <w:color w:val="000000"/>
          <w:szCs w:val="24"/>
          <w:lang w:val="es-ES_tradnl" w:eastAsia="en-GB" w:bidi="es-ES"/>
        </w:rPr>
        <w:tab/>
        <w:t>A partir de las reglas mencionadas, se evidencia que estar al día en el pago de las obligaciones relacionadas con el Sistema de Seguridad Social Integral</w:t>
      </w:r>
      <w:r w:rsidRPr="007559A2" w:rsidDel="00822685">
        <w:rPr>
          <w:rFonts w:ascii="Arial" w:eastAsia="Calibri" w:hAnsi="Arial" w:cs="Arial"/>
          <w:color w:val="000000"/>
          <w:szCs w:val="24"/>
          <w:lang w:val="es-ES_tradnl" w:eastAsia="en-GB" w:bidi="es-ES"/>
        </w:rPr>
        <w:t xml:space="preserve"> </w:t>
      </w:r>
      <w:r w:rsidRPr="007559A2">
        <w:rPr>
          <w:rFonts w:ascii="Arial" w:eastAsia="Calibri" w:hAnsi="Arial" w:cs="Arial"/>
          <w:color w:val="000000"/>
          <w:szCs w:val="24"/>
          <w:lang w:val="es-ES_tradnl" w:eastAsia="en-GB" w:bidi="es-ES"/>
        </w:rPr>
        <w:t xml:space="preserve">es un requisito cuya verificación debe realizarse en distintos momentos del proceso contractual, incluyendo la etapa precontractual. Por tanto, </w:t>
      </w:r>
      <w:bookmarkStart w:id="0" w:name="_Hlk80881612"/>
      <w:r w:rsidRPr="007559A2">
        <w:rPr>
          <w:rFonts w:ascii="Arial" w:eastAsia="Calibri" w:hAnsi="Arial" w:cs="Arial"/>
          <w:color w:val="000000"/>
          <w:szCs w:val="24"/>
          <w:lang w:val="es-ES_tradnl" w:eastAsia="en-GB" w:bidi="es-ES"/>
        </w:rPr>
        <w:t xml:space="preserve">la Agencia infiere que </w:t>
      </w:r>
      <w:bookmarkStart w:id="1" w:name="_Hlk78209422"/>
      <w:r w:rsidRPr="007559A2">
        <w:rPr>
          <w:rFonts w:ascii="Arial" w:eastAsia="Calibri" w:hAnsi="Arial" w:cs="Arial"/>
          <w:color w:val="000000"/>
          <w:szCs w:val="24"/>
          <w:lang w:val="es-ES_tradnl" w:eastAsia="en-GB" w:bidi="es-ES"/>
        </w:rPr>
        <w:t xml:space="preserve">la finalidad de las normas de la Ley 100 de 1993, en desarrollo de las políticas públicas del Estado colombiano, es establecer un marco jurídico integral de seguridad social dentro del territorio nacional, cuyo cumplimiento también es obligatorio para </w:t>
      </w:r>
      <w:bookmarkEnd w:id="1"/>
      <w:r w:rsidRPr="007559A2">
        <w:rPr>
          <w:rFonts w:ascii="Arial" w:eastAsia="Calibri" w:hAnsi="Arial" w:cs="Arial"/>
          <w:color w:val="000000"/>
          <w:szCs w:val="24"/>
          <w:lang w:val="es-ES_tradnl" w:eastAsia="en-GB" w:bidi="es-ES"/>
        </w:rPr>
        <w:t>los consorcios y uniones temporales.</w:t>
      </w:r>
      <w:bookmarkEnd w:id="0"/>
      <w:r w:rsidRPr="007559A2">
        <w:rPr>
          <w:rFonts w:ascii="Arial" w:eastAsia="Calibri" w:hAnsi="Arial" w:cs="Arial"/>
          <w:color w:val="000000"/>
          <w:szCs w:val="24"/>
          <w:lang w:val="es-ES_tradnl" w:eastAsia="en-GB" w:bidi="es-ES"/>
        </w:rPr>
        <w:t xml:space="preserve"> En este sentido, pese a que la acreditación de estar al día en el cumplimiento con las obligaciones de la seguridad social, en principio le corresponde a cada uno de los integrantes que conforman el consorcio o unión temporal, ello es claro en la etapa precontractual, para el perfeccionamiento y el inicio de la ejecución del contrato; sin embargo, se suscita la duda de lo que sucede durante la ejecución, particularmente, si los consorcios y uniones temporales pueden fungir como empleadores, por lo que a continuación se analizarán las variables que pueden presentarse frente a la posibilidad de que los consorcios y uniones temporales acrediten directamente el cumplimiento de las obligaciones con el Sistema de Seguridad Social Integral.</w:t>
      </w:r>
    </w:p>
    <w:p w14:paraId="180FCB1F" w14:textId="77777777" w:rsidR="007559A2" w:rsidRPr="007559A2" w:rsidRDefault="007559A2" w:rsidP="007559A2">
      <w:pPr>
        <w:spacing w:after="0" w:line="276" w:lineRule="auto"/>
        <w:jc w:val="both"/>
        <w:rPr>
          <w:rFonts w:ascii="Arial" w:eastAsia="Calibri" w:hAnsi="Arial" w:cs="Arial"/>
          <w:color w:val="000000"/>
          <w:lang w:val="es-ES_tradnl" w:eastAsia="en-GB"/>
        </w:rPr>
      </w:pPr>
    </w:p>
    <w:p w14:paraId="30F0206E" w14:textId="77777777" w:rsidR="007559A2" w:rsidRPr="007559A2" w:rsidRDefault="007559A2" w:rsidP="007559A2">
      <w:pPr>
        <w:spacing w:after="0" w:line="276" w:lineRule="auto"/>
        <w:jc w:val="both"/>
        <w:rPr>
          <w:rFonts w:ascii="Arial" w:eastAsia="Times New Roman" w:hAnsi="Arial" w:cs="Arial"/>
          <w:b/>
          <w:color w:val="000000"/>
          <w:szCs w:val="24"/>
          <w:lang w:eastAsia="es-ES_tradnl"/>
        </w:rPr>
      </w:pPr>
      <w:r w:rsidRPr="007559A2">
        <w:rPr>
          <w:rFonts w:ascii="Arial" w:eastAsia="Times New Roman" w:hAnsi="Arial" w:cs="Arial"/>
          <w:b/>
          <w:color w:val="000000"/>
          <w:szCs w:val="24"/>
          <w:lang w:eastAsia="es-ES_tradnl"/>
        </w:rPr>
        <w:t xml:space="preserve">2.3. </w:t>
      </w:r>
      <w:r w:rsidRPr="007559A2">
        <w:rPr>
          <w:rFonts w:ascii="Arial" w:eastAsia="Times New Roman" w:hAnsi="Arial" w:cs="Arial"/>
          <w:b/>
          <w:bCs/>
          <w:color w:val="000000"/>
          <w:szCs w:val="24"/>
          <w:lang w:eastAsia="es-ES_tradnl" w:bidi="es-ES"/>
        </w:rPr>
        <w:t xml:space="preserve">La obligación de aportar al Sistema de Seguridad Social Integral, </w:t>
      </w:r>
      <w:r w:rsidRPr="007559A2">
        <w:rPr>
          <w:rFonts w:ascii="Arial" w:eastAsia="Times New Roman" w:hAnsi="Arial" w:cs="Arial"/>
          <w:b/>
          <w:bCs/>
          <w:i/>
          <w:iCs/>
          <w:color w:val="000000"/>
          <w:szCs w:val="24"/>
          <w:lang w:eastAsia="es-ES_tradnl" w:bidi="es-ES"/>
        </w:rPr>
        <w:t>durante la ejecución del contrato</w:t>
      </w:r>
      <w:r w:rsidRPr="007559A2">
        <w:rPr>
          <w:rFonts w:ascii="Arial" w:eastAsia="Times New Roman" w:hAnsi="Arial" w:cs="Arial"/>
          <w:b/>
          <w:bCs/>
          <w:color w:val="000000"/>
          <w:szCs w:val="24"/>
          <w:lang w:eastAsia="es-ES_tradnl" w:bidi="es-ES"/>
        </w:rPr>
        <w:t xml:space="preserve">, por parte de los consorcios y uniones temporales </w:t>
      </w:r>
    </w:p>
    <w:p w14:paraId="0718F056" w14:textId="77777777" w:rsidR="007559A2" w:rsidRPr="007559A2" w:rsidRDefault="007559A2" w:rsidP="007559A2">
      <w:pPr>
        <w:spacing w:after="200" w:line="276" w:lineRule="auto"/>
        <w:contextualSpacing/>
        <w:jc w:val="both"/>
        <w:rPr>
          <w:rFonts w:ascii="Arial" w:eastAsia="Times New Roman" w:hAnsi="Arial" w:cs="Arial"/>
          <w:b/>
          <w:bCs/>
          <w:color w:val="000000"/>
          <w:szCs w:val="24"/>
          <w:lang w:eastAsia="es-ES_tradnl" w:bidi="es-ES"/>
        </w:rPr>
      </w:pPr>
    </w:p>
    <w:p w14:paraId="62C8B495" w14:textId="77777777" w:rsidR="007559A2" w:rsidRPr="007559A2" w:rsidRDefault="007559A2" w:rsidP="007559A2">
      <w:pPr>
        <w:spacing w:after="200" w:line="276" w:lineRule="auto"/>
        <w:contextualSpacing/>
        <w:jc w:val="both"/>
        <w:rPr>
          <w:rFonts w:ascii="Arial" w:eastAsia="Times New Roman" w:hAnsi="Arial" w:cs="Arial"/>
          <w:bCs/>
          <w:color w:val="000000"/>
          <w:szCs w:val="24"/>
          <w:lang w:eastAsia="es-ES_tradnl" w:bidi="es-ES"/>
        </w:rPr>
      </w:pPr>
      <w:r w:rsidRPr="007559A2">
        <w:rPr>
          <w:rFonts w:ascii="Arial" w:eastAsia="Times New Roman" w:hAnsi="Arial" w:cs="Arial"/>
          <w:bCs/>
          <w:color w:val="000000"/>
          <w:szCs w:val="24"/>
          <w:lang w:eastAsia="es-ES_tradnl" w:bidi="es-ES"/>
        </w:rPr>
        <w:t xml:space="preserve">Sin perjuicio del contenido de las cláusulas que se hayan pactado en cada contrato, frente al cumplimiento de las obligaciones con el Sistema de Seguridad Social Integral, los consorcios y uniones temporales pueden asumir la obligación de certificar aportes al Sistema en función de dos supuestos: i) cuando la relación laboral en virtud de la cual se debe hacer el aporte es entre el trabajador y el consorcio o unión temporal directamente; y </w:t>
      </w:r>
      <w:proofErr w:type="spellStart"/>
      <w:r w:rsidRPr="007559A2">
        <w:rPr>
          <w:rFonts w:ascii="Arial" w:eastAsia="Times New Roman" w:hAnsi="Arial" w:cs="Arial"/>
          <w:bCs/>
          <w:color w:val="000000"/>
          <w:szCs w:val="24"/>
          <w:lang w:eastAsia="es-ES_tradnl" w:bidi="es-ES"/>
        </w:rPr>
        <w:t>ii</w:t>
      </w:r>
      <w:proofErr w:type="spellEnd"/>
      <w:r w:rsidRPr="007559A2">
        <w:rPr>
          <w:rFonts w:ascii="Arial" w:eastAsia="Times New Roman" w:hAnsi="Arial" w:cs="Arial"/>
          <w:bCs/>
          <w:color w:val="000000"/>
          <w:szCs w:val="24"/>
          <w:lang w:eastAsia="es-ES_tradnl" w:bidi="es-ES"/>
        </w:rPr>
        <w:t>) cuando el representante legal del consorcio o unión temporal es designado para ello, a pesar de que la relación laboral es entre el trabajador y las personas que conforman la estructura plural. A continuación se explica el fundamento normativo de cada uno de estos supuestos.</w:t>
      </w:r>
    </w:p>
    <w:p w14:paraId="48C4B1D0" w14:textId="77777777" w:rsidR="007559A2" w:rsidRPr="007559A2" w:rsidRDefault="007559A2" w:rsidP="007559A2">
      <w:pPr>
        <w:spacing w:after="200" w:line="276" w:lineRule="auto"/>
        <w:contextualSpacing/>
        <w:jc w:val="both"/>
        <w:rPr>
          <w:rFonts w:ascii="Arial" w:eastAsia="Times New Roman" w:hAnsi="Arial" w:cs="Arial"/>
          <w:bCs/>
          <w:color w:val="000000"/>
          <w:szCs w:val="24"/>
          <w:lang w:eastAsia="es-ES_tradnl" w:bidi="es-ES"/>
        </w:rPr>
      </w:pPr>
    </w:p>
    <w:p w14:paraId="3CE651CD" w14:textId="77777777" w:rsidR="007559A2" w:rsidRPr="007559A2" w:rsidRDefault="007559A2" w:rsidP="007559A2">
      <w:pPr>
        <w:spacing w:after="200" w:line="276" w:lineRule="auto"/>
        <w:contextualSpacing/>
        <w:jc w:val="both"/>
        <w:rPr>
          <w:rFonts w:ascii="Arial" w:eastAsia="Times New Roman" w:hAnsi="Arial" w:cs="Arial"/>
          <w:b/>
          <w:bCs/>
          <w:color w:val="000000"/>
          <w:szCs w:val="24"/>
          <w:lang w:eastAsia="es-ES_tradnl" w:bidi="es-ES"/>
        </w:rPr>
      </w:pPr>
      <w:r w:rsidRPr="007559A2">
        <w:rPr>
          <w:rFonts w:ascii="Arial" w:eastAsia="Times New Roman" w:hAnsi="Arial" w:cs="Arial"/>
          <w:b/>
          <w:bCs/>
          <w:color w:val="000000"/>
          <w:szCs w:val="24"/>
          <w:lang w:eastAsia="es-ES_tradnl" w:bidi="es-ES"/>
        </w:rPr>
        <w:t>2.3.1. Obligación de certificar aportes al Sistema de Seguridad Social Integral cuando la relación laboral surge entre el trabajador y el consorcio y/o unión temporal</w:t>
      </w:r>
    </w:p>
    <w:p w14:paraId="6ADD0C1F" w14:textId="77777777" w:rsidR="007559A2" w:rsidRPr="007559A2" w:rsidRDefault="007559A2" w:rsidP="007559A2">
      <w:pPr>
        <w:spacing w:after="200" w:line="276" w:lineRule="auto"/>
        <w:contextualSpacing/>
        <w:jc w:val="both"/>
        <w:rPr>
          <w:rFonts w:ascii="Arial" w:eastAsia="Times New Roman" w:hAnsi="Arial" w:cs="Arial"/>
          <w:bCs/>
          <w:color w:val="000000"/>
          <w:szCs w:val="24"/>
          <w:lang w:eastAsia="es-ES_tradnl" w:bidi="es-ES"/>
        </w:rPr>
      </w:pPr>
    </w:p>
    <w:p w14:paraId="3D26FB9F" w14:textId="77777777" w:rsidR="007559A2" w:rsidRPr="007559A2" w:rsidRDefault="007559A2" w:rsidP="007559A2">
      <w:pPr>
        <w:spacing w:after="120" w:line="276" w:lineRule="auto"/>
        <w:jc w:val="both"/>
        <w:rPr>
          <w:rFonts w:ascii="Arial" w:eastAsia="Times New Roman" w:hAnsi="Arial" w:cs="Arial"/>
          <w:bCs/>
          <w:color w:val="000000"/>
          <w:szCs w:val="24"/>
          <w:lang w:eastAsia="es-ES_tradnl" w:bidi="es-ES"/>
        </w:rPr>
      </w:pPr>
      <w:r w:rsidRPr="007559A2">
        <w:rPr>
          <w:rFonts w:ascii="Arial" w:eastAsia="Times New Roman" w:hAnsi="Arial" w:cs="Arial"/>
          <w:bCs/>
          <w:color w:val="000000"/>
          <w:szCs w:val="24"/>
          <w:lang w:eastAsia="es-ES_tradnl" w:bidi="es-ES"/>
        </w:rPr>
        <w:t xml:space="preserve">Durante la etapa preliminar del contrato </w:t>
      </w:r>
      <w:r w:rsidRPr="007559A2">
        <w:rPr>
          <w:rFonts w:ascii="Arial" w:eastAsia="Calibri" w:hAnsi="Arial" w:cs="Arial"/>
          <w:b/>
          <w:bCs/>
          <w:color w:val="000000" w:themeColor="text1"/>
          <w:lang w:val="es-ES"/>
        </w:rPr>
        <w:t>–</w:t>
      </w:r>
      <w:r w:rsidRPr="007559A2">
        <w:rPr>
          <w:rFonts w:ascii="Arial" w:eastAsia="Times New Roman" w:hAnsi="Arial" w:cs="Arial"/>
          <w:bCs/>
          <w:color w:val="000000"/>
          <w:szCs w:val="24"/>
          <w:lang w:eastAsia="es-ES_tradnl" w:bidi="es-ES"/>
        </w:rPr>
        <w:t>generalmente en el transcurso de la presentación de la oferta y el inicio de la ejecución del contrato</w:t>
      </w:r>
      <w:r w:rsidRPr="007559A2">
        <w:rPr>
          <w:rFonts w:ascii="Arial" w:eastAsia="Calibri" w:hAnsi="Arial" w:cs="Arial"/>
          <w:b/>
          <w:bCs/>
          <w:color w:val="000000" w:themeColor="text1"/>
          <w:lang w:val="es-ES"/>
        </w:rPr>
        <w:t>–</w:t>
      </w:r>
      <w:r w:rsidRPr="007559A2">
        <w:rPr>
          <w:rFonts w:ascii="Arial" w:eastAsia="Times New Roman" w:hAnsi="Arial" w:cs="Arial"/>
          <w:bCs/>
          <w:color w:val="000000"/>
          <w:szCs w:val="24"/>
          <w:lang w:eastAsia="es-ES_tradnl" w:bidi="es-ES"/>
        </w:rPr>
        <w:t xml:space="preserve"> si el consorcio y/o unión temporal no cuenta con personal propio, sino con el que labora para las distintas personas naturales o jurídicas que lo </w:t>
      </w:r>
      <w:r w:rsidRPr="007559A2">
        <w:rPr>
          <w:rFonts w:ascii="Arial" w:eastAsia="Times New Roman" w:hAnsi="Arial" w:cs="Arial"/>
          <w:bCs/>
          <w:color w:val="000000"/>
          <w:szCs w:val="24"/>
          <w:lang w:eastAsia="es-ES_tradnl" w:bidi="es-ES"/>
        </w:rPr>
        <w:lastRenderedPageBreak/>
        <w:t xml:space="preserve">conforman, en principio la obligación de generar y acreditar aportes recae en estas últimas, de acuerdo con lo previsto en el las normas estudiadas en el numeral anterior. </w:t>
      </w:r>
    </w:p>
    <w:p w14:paraId="1B8FCE11" w14:textId="77777777" w:rsidR="007559A2" w:rsidRPr="007559A2" w:rsidRDefault="007559A2" w:rsidP="007559A2">
      <w:pPr>
        <w:spacing w:after="120" w:line="276" w:lineRule="auto"/>
        <w:ind w:firstLine="708"/>
        <w:jc w:val="both"/>
        <w:rPr>
          <w:rFonts w:ascii="Arial" w:eastAsia="Times New Roman" w:hAnsi="Arial" w:cs="Arial"/>
          <w:bCs/>
          <w:color w:val="000000"/>
          <w:szCs w:val="24"/>
          <w:lang w:eastAsia="es-ES_tradnl" w:bidi="es-ES"/>
        </w:rPr>
      </w:pPr>
      <w:r w:rsidRPr="007559A2">
        <w:rPr>
          <w:rFonts w:ascii="Arial" w:eastAsia="Times New Roman" w:hAnsi="Arial" w:cs="Arial"/>
          <w:bCs/>
          <w:color w:val="000000"/>
          <w:szCs w:val="24"/>
          <w:lang w:eastAsia="es-ES_tradnl" w:bidi="es-ES"/>
        </w:rPr>
        <w:t>No obstante, de manera posterior, en caso de que el consorcio o unión temporal contrate directamente personal para la ejecución de sus obligaciones contractuales, surgirá un vínculo jurídico laboral inmediato entre estas dos partes que obliga al consorcio o unión temporal a realizar los aportes al Sistemas de Seguridad Social Integral y a certificarlos. En este caso será el representante legal de estas figuras asociativas el que deberá certificar el cumplimiento de la obligación.</w:t>
      </w:r>
    </w:p>
    <w:p w14:paraId="76E12AB4" w14:textId="77777777" w:rsidR="007559A2" w:rsidRPr="007559A2" w:rsidRDefault="007559A2" w:rsidP="007559A2">
      <w:pPr>
        <w:spacing w:after="120" w:line="276" w:lineRule="auto"/>
        <w:ind w:firstLine="708"/>
        <w:jc w:val="both"/>
        <w:rPr>
          <w:rFonts w:ascii="Arial" w:eastAsia="Times New Roman" w:hAnsi="Arial" w:cs="Arial"/>
          <w:bCs/>
          <w:color w:val="000000"/>
          <w:szCs w:val="24"/>
          <w:lang w:eastAsia="es-ES_tradnl" w:bidi="es-ES"/>
        </w:rPr>
      </w:pPr>
      <w:r w:rsidRPr="007559A2">
        <w:rPr>
          <w:rFonts w:ascii="Arial" w:eastAsia="Times New Roman" w:hAnsi="Arial" w:cs="Arial"/>
          <w:bCs/>
          <w:color w:val="000000"/>
          <w:szCs w:val="24"/>
          <w:lang w:eastAsia="es-ES_tradnl" w:bidi="es-ES"/>
        </w:rPr>
        <w:t>A pesar de que la constitución de consorcios y uniones temporales</w:t>
      </w:r>
      <w:r w:rsidRPr="007559A2" w:rsidDel="00B14BDF">
        <w:rPr>
          <w:rFonts w:ascii="Arial" w:eastAsia="Times New Roman" w:hAnsi="Arial" w:cs="Arial"/>
          <w:bCs/>
          <w:color w:val="000000"/>
          <w:szCs w:val="24"/>
          <w:lang w:eastAsia="es-ES_tradnl" w:bidi="es-ES"/>
        </w:rPr>
        <w:t xml:space="preserve"> </w:t>
      </w:r>
      <w:r w:rsidRPr="007559A2">
        <w:rPr>
          <w:rFonts w:ascii="Arial" w:eastAsia="Times New Roman" w:hAnsi="Arial" w:cs="Arial"/>
          <w:bCs/>
          <w:color w:val="000000"/>
          <w:szCs w:val="24"/>
          <w:lang w:eastAsia="es-ES_tradnl" w:bidi="es-ES"/>
        </w:rPr>
        <w:t xml:space="preserve">no implica el nacimiento de una persona jurídica diferente a la de sus integrantes </w:t>
      </w:r>
      <w:r w:rsidRPr="007559A2">
        <w:rPr>
          <w:rFonts w:ascii="Arial" w:eastAsia="Calibri" w:hAnsi="Arial" w:cs="Arial"/>
          <w:b/>
          <w:bCs/>
          <w:color w:val="000000" w:themeColor="text1"/>
          <w:lang w:val="es-ES"/>
        </w:rPr>
        <w:t>–</w:t>
      </w:r>
      <w:r w:rsidRPr="007559A2">
        <w:rPr>
          <w:rFonts w:ascii="Arial" w:eastAsia="Times New Roman" w:hAnsi="Arial" w:cs="Arial"/>
          <w:bCs/>
          <w:color w:val="000000"/>
          <w:szCs w:val="24"/>
          <w:lang w:eastAsia="es-ES_tradnl" w:bidi="es-ES"/>
        </w:rPr>
        <w:t>si las hay</w:t>
      </w:r>
      <w:r w:rsidRPr="007559A2">
        <w:rPr>
          <w:rFonts w:ascii="Arial" w:eastAsia="Calibri" w:hAnsi="Arial" w:cs="Arial"/>
          <w:b/>
          <w:bCs/>
          <w:color w:val="000000" w:themeColor="text1"/>
          <w:lang w:val="es-ES"/>
        </w:rPr>
        <w:t>–</w:t>
      </w:r>
      <w:r w:rsidRPr="007559A2">
        <w:rPr>
          <w:rFonts w:ascii="Arial" w:eastAsia="Times New Roman" w:hAnsi="Arial" w:cs="Arial"/>
          <w:bCs/>
          <w:color w:val="000000"/>
          <w:szCs w:val="24"/>
          <w:lang w:eastAsia="es-ES_tradnl" w:bidi="es-ES"/>
        </w:rPr>
        <w:t xml:space="preserve">, se conforma una unidad de empresa conforme el artículo 194 del Código Sustantivo del Trabajo (CST). Bajo esta disposición, en la medida en que exista una unidad de explotación económica (con unidad de dirección, propósitos y bienes organizados) se reconoce la posibilidad de tener trabajadores a su servicio y, consecuentemente, el deber de aportar al Sistema de Seguridad Social Integral. </w:t>
      </w:r>
    </w:p>
    <w:p w14:paraId="37303500" w14:textId="77777777" w:rsidR="007559A2" w:rsidRPr="007559A2" w:rsidRDefault="007559A2" w:rsidP="007559A2">
      <w:pPr>
        <w:spacing w:after="120" w:line="276" w:lineRule="auto"/>
        <w:ind w:firstLine="708"/>
        <w:jc w:val="both"/>
        <w:rPr>
          <w:rFonts w:ascii="Arial" w:eastAsia="Times New Roman" w:hAnsi="Arial" w:cs="Arial"/>
          <w:bCs/>
          <w:color w:val="000000"/>
          <w:szCs w:val="24"/>
          <w:lang w:eastAsia="es-ES_tradnl" w:bidi="es-ES"/>
        </w:rPr>
      </w:pPr>
      <w:r w:rsidRPr="007559A2">
        <w:rPr>
          <w:rFonts w:ascii="Arial" w:eastAsia="Times New Roman" w:hAnsi="Arial" w:cs="Arial"/>
          <w:bCs/>
          <w:color w:val="000000"/>
          <w:szCs w:val="24"/>
          <w:lang w:eastAsia="es-ES_tradnl" w:bidi="es-ES"/>
        </w:rPr>
        <w:t xml:space="preserve">Los consorcios y uniones temporales implican la asociación o colaboración entre sus integrantes para lograr con mayor eficacia un fin común de contenido patrimonial y lucrativo: la obtención del derecho a ser adjudicatarios de un contrato estatal y, posteriormente, lograr la correcta ejecución de este. En ese orden, las personas naturales o jurídicas que conforman un consorcio o unión temporal comparten recursos de toda índole y organizan sus activos para la ejecución del contrato. </w:t>
      </w:r>
    </w:p>
    <w:p w14:paraId="4F6E1358" w14:textId="77777777" w:rsidR="007559A2" w:rsidRPr="007559A2" w:rsidRDefault="007559A2" w:rsidP="007559A2">
      <w:pPr>
        <w:spacing w:after="120" w:line="276" w:lineRule="auto"/>
        <w:ind w:firstLine="708"/>
        <w:jc w:val="both"/>
        <w:rPr>
          <w:rFonts w:ascii="Arial" w:eastAsia="Times New Roman" w:hAnsi="Arial" w:cs="Arial"/>
          <w:bCs/>
          <w:szCs w:val="24"/>
          <w:lang w:eastAsia="es-ES_tradnl" w:bidi="es-ES"/>
        </w:rPr>
      </w:pPr>
      <w:r w:rsidRPr="007559A2">
        <w:rPr>
          <w:rFonts w:ascii="Arial" w:eastAsia="Times New Roman" w:hAnsi="Arial" w:cs="Arial"/>
          <w:bCs/>
          <w:color w:val="000000"/>
          <w:szCs w:val="24"/>
          <w:lang w:eastAsia="es-ES_tradnl" w:bidi="es-ES"/>
        </w:rPr>
        <w:t xml:space="preserve">En consideración de estas y otras circunstancias antes descritas, la jurisprudencia reciente de las altas cortes ha reconocido que los consorcios y uniones temporales no solo tienen capacidad jurídica para obligarse frente a contratos estatales, sino también capacidad procesal para comparecer ante autoridades judiciales, en los términos explicados en el numeral 2.1 de este concepto y, más recientemente, para emplear trabajadores de manera directa. Siendo así, nada obsta para </w:t>
      </w:r>
      <w:r w:rsidRPr="007559A2">
        <w:rPr>
          <w:rFonts w:ascii="Arial" w:eastAsia="Times New Roman" w:hAnsi="Arial" w:cs="Arial"/>
          <w:bCs/>
          <w:szCs w:val="24"/>
          <w:lang w:eastAsia="es-ES_tradnl" w:bidi="es-ES"/>
        </w:rPr>
        <w:t xml:space="preserve">que también, en la medida en que ejerzan subordinación, dirección y control frente a sus empleados, se les considere sujetos de obligaciones en materia de Seguridad Social Integral. </w:t>
      </w:r>
    </w:p>
    <w:p w14:paraId="4CE908B6" w14:textId="77777777" w:rsidR="007559A2" w:rsidRPr="007559A2" w:rsidRDefault="007559A2" w:rsidP="007559A2">
      <w:pPr>
        <w:spacing w:after="120" w:line="276" w:lineRule="auto"/>
        <w:ind w:firstLine="708"/>
        <w:jc w:val="both"/>
        <w:rPr>
          <w:rFonts w:ascii="Arial" w:eastAsia="Times New Roman" w:hAnsi="Arial" w:cs="Arial"/>
          <w:bCs/>
          <w:szCs w:val="24"/>
          <w:lang w:eastAsia="es-ES_tradnl" w:bidi="es-ES"/>
        </w:rPr>
      </w:pPr>
      <w:r w:rsidRPr="007559A2">
        <w:rPr>
          <w:rFonts w:ascii="Arial" w:eastAsia="Times New Roman" w:hAnsi="Arial" w:cs="Arial"/>
          <w:bCs/>
          <w:szCs w:val="24"/>
          <w:lang w:eastAsia="es-ES_tradnl" w:bidi="es-ES"/>
        </w:rPr>
        <w:t>Así lo reconoció la Sala de Casación Laboral de la Corte Suprema de Justicia, juez natural en la materia, en la sentencia SL 676 del 10 de enero de 2021 –Rad. 57.957</w:t>
      </w:r>
      <w:r w:rsidRPr="007559A2">
        <w:rPr>
          <w:rFonts w:ascii="Arial" w:eastAsia="Calibri" w:hAnsi="Arial" w:cs="Arial"/>
          <w:bCs/>
          <w:szCs w:val="24"/>
          <w:vertAlign w:val="superscript"/>
          <w:lang w:val="es-ES_tradnl" w:eastAsia="es-ES_tradnl" w:bidi="es-ES"/>
        </w:rPr>
        <w:footnoteReference w:id="14"/>
      </w:r>
      <w:r w:rsidRPr="007559A2">
        <w:rPr>
          <w:rFonts w:ascii="Arial" w:eastAsia="Times New Roman" w:hAnsi="Arial" w:cs="Arial"/>
          <w:bCs/>
          <w:szCs w:val="24"/>
          <w:lang w:eastAsia="es-ES_tradnl" w:bidi="es-ES"/>
        </w:rPr>
        <w:t xml:space="preserve">– en la cual se aclaró que, más allá de las formalidades, los consorcios y uniones temporales fungen como  empleadores y pueden ser sujetos de obligaciones laborales. La Corte resaltó que el artículo 7 de la Ley 80 de 1993 no condicionó ni limitó el amplio margen de actuaciones que tienen los consorcios y/o uniones temporales en el marco de la celebración y ejecución del contrato estatal, </w:t>
      </w:r>
      <w:r w:rsidRPr="007559A2">
        <w:rPr>
          <w:rFonts w:ascii="Arial" w:eastAsia="Times New Roman" w:hAnsi="Arial" w:cs="Arial"/>
          <w:bCs/>
          <w:szCs w:val="24"/>
          <w:lang w:eastAsia="es-ES_tradnl" w:bidi="es-ES"/>
        </w:rPr>
        <w:lastRenderedPageBreak/>
        <w:t xml:space="preserve">de manera que bien podrían vincular trabajadores al servicio del proyecto y ser titulares de las obligaciones laborales que de ahí se deriven. </w:t>
      </w:r>
    </w:p>
    <w:p w14:paraId="22FFFD9E" w14:textId="77777777" w:rsidR="007559A2" w:rsidRPr="007559A2" w:rsidRDefault="007559A2" w:rsidP="007559A2">
      <w:pPr>
        <w:spacing w:after="120" w:line="276" w:lineRule="auto"/>
        <w:ind w:firstLine="708"/>
        <w:jc w:val="both"/>
        <w:rPr>
          <w:rFonts w:ascii="Arial" w:eastAsia="Times New Roman" w:hAnsi="Arial" w:cs="Arial"/>
          <w:bCs/>
          <w:szCs w:val="24"/>
          <w:lang w:eastAsia="es-ES_tradnl" w:bidi="es-ES"/>
        </w:rPr>
      </w:pPr>
      <w:r w:rsidRPr="007559A2">
        <w:rPr>
          <w:rFonts w:ascii="Arial" w:eastAsia="Times New Roman" w:hAnsi="Arial" w:cs="Arial"/>
          <w:bCs/>
          <w:szCs w:val="24"/>
          <w:lang w:eastAsia="es-ES_tradnl" w:bidi="es-ES"/>
        </w:rPr>
        <w:t>Siendo así, la Corte estimó que son estos entes quienes deben responder por estas obligaciones, con el propósito de evitar «</w:t>
      </w:r>
      <w:r w:rsidRPr="007559A2">
        <w:rPr>
          <w:rFonts w:ascii="Arial" w:eastAsia="Times New Roman" w:hAnsi="Arial" w:cs="Arial"/>
          <w:bCs/>
          <w:i/>
          <w:iCs/>
          <w:szCs w:val="24"/>
          <w:lang w:eastAsia="es-ES_tradnl" w:bidi="es-ES"/>
        </w:rPr>
        <w:t>distorsiones o discordancias entre lo que formalmente se suscriba y lo que sucede en la realidad</w:t>
      </w:r>
      <w:r w:rsidRPr="007559A2">
        <w:rPr>
          <w:rFonts w:ascii="Arial" w:eastAsia="Times New Roman" w:hAnsi="Arial" w:cs="Arial"/>
          <w:bCs/>
          <w:szCs w:val="24"/>
          <w:lang w:eastAsia="es-ES_tradnl" w:bidi="es-ES"/>
        </w:rPr>
        <w:t>». De cara al reconocimiento del «</w:t>
      </w:r>
      <w:r w:rsidRPr="007559A2">
        <w:rPr>
          <w:rFonts w:ascii="Arial" w:eastAsia="Times New Roman" w:hAnsi="Arial" w:cs="Arial"/>
          <w:bCs/>
          <w:i/>
          <w:iCs/>
          <w:szCs w:val="24"/>
          <w:lang w:eastAsia="es-ES_tradnl" w:bidi="es-ES"/>
        </w:rPr>
        <w:t>valor constitucional y supralegal del trabajo, su importancia en el proceso de producción, formación y transformación de la riqueza, y su función esencial en la conservación de la sociedad</w:t>
      </w:r>
      <w:r w:rsidRPr="007559A2">
        <w:rPr>
          <w:rFonts w:ascii="Arial" w:eastAsia="Times New Roman" w:hAnsi="Arial" w:cs="Arial"/>
          <w:bCs/>
          <w:szCs w:val="24"/>
          <w:lang w:eastAsia="es-ES_tradnl" w:bidi="es-ES"/>
        </w:rPr>
        <w:t xml:space="preserve">», la relación laboral debe entenderse entre el trabajador y quien realmente ejerce la dirección y el control de la asociación empresarial. </w:t>
      </w:r>
    </w:p>
    <w:p w14:paraId="51B16586" w14:textId="77777777" w:rsidR="007559A2" w:rsidRPr="007559A2" w:rsidRDefault="007559A2" w:rsidP="007559A2">
      <w:pPr>
        <w:spacing w:after="120" w:line="276" w:lineRule="auto"/>
        <w:ind w:firstLine="708"/>
        <w:jc w:val="both"/>
        <w:rPr>
          <w:rFonts w:ascii="Arial" w:eastAsia="Times New Roman" w:hAnsi="Arial" w:cs="Arial"/>
          <w:bCs/>
          <w:szCs w:val="24"/>
          <w:lang w:eastAsia="es-ES_tradnl" w:bidi="es-ES"/>
        </w:rPr>
      </w:pPr>
      <w:r w:rsidRPr="007559A2">
        <w:rPr>
          <w:rFonts w:ascii="Arial" w:eastAsia="Times New Roman" w:hAnsi="Arial" w:cs="Arial"/>
          <w:bCs/>
          <w:szCs w:val="24"/>
          <w:lang w:eastAsia="es-ES_tradnl" w:bidi="es-ES"/>
        </w:rPr>
        <w:t>Un cambio jurisprudencial en este sentido, a juicio del alto tribunal, implica el reconocimiento de las transformaciones que aclama la nueva realidad jurídica, social, tecnológica y productiva derivada del ejercicio de nuevos sujetos y organizaciones empresariales, que en la práctica actúan como verdaderos empleadores. En armonía con lo anterior, en la sentencia referenciada de la Corte Suprema de Justicia se señaló:</w:t>
      </w:r>
    </w:p>
    <w:p w14:paraId="1D909854" w14:textId="77777777" w:rsidR="007559A2" w:rsidRPr="007559A2" w:rsidRDefault="007559A2" w:rsidP="007559A2">
      <w:pPr>
        <w:spacing w:after="0" w:line="240" w:lineRule="auto"/>
        <w:ind w:left="709" w:right="709"/>
        <w:jc w:val="both"/>
        <w:rPr>
          <w:rFonts w:ascii="Arial" w:eastAsia="Times New Roman" w:hAnsi="Arial" w:cs="Arial"/>
          <w:bCs/>
          <w:sz w:val="21"/>
          <w:szCs w:val="21"/>
          <w:lang w:eastAsia="es-ES_tradnl" w:bidi="es-ES"/>
        </w:rPr>
      </w:pPr>
      <w:r w:rsidRPr="007559A2">
        <w:rPr>
          <w:rFonts w:ascii="Arial" w:eastAsia="Times New Roman" w:hAnsi="Arial" w:cs="Arial"/>
          <w:bCs/>
          <w:sz w:val="21"/>
          <w:szCs w:val="21"/>
          <w:lang w:eastAsia="es-ES_tradnl" w:bidi="es-ES"/>
        </w:rPr>
        <w:t xml:space="preserve">En esa dirección, la Sala considera que si la ley le reconoce atributos específicos a las uniones temporales y consorcios para celebrar contratos estatales y tal capacidad contractual trasciende a la de ser parte y comparecer al proceso en tanto titulares de derechos y obligaciones, no tendría sentido alguno afirmar que son ajenos a los derechos y obligaciones que se deriven de las </w:t>
      </w:r>
      <w:r w:rsidRPr="007559A2">
        <w:rPr>
          <w:rFonts w:ascii="Arial" w:eastAsia="Times New Roman" w:hAnsi="Arial" w:cs="Arial"/>
          <w:bCs/>
          <w:i/>
          <w:iCs/>
          <w:sz w:val="21"/>
          <w:szCs w:val="21"/>
          <w:lang w:eastAsia="es-ES_tradnl" w:bidi="es-ES"/>
        </w:rPr>
        <w:t>relaciones laborales</w:t>
      </w:r>
      <w:r w:rsidRPr="007559A2">
        <w:rPr>
          <w:rFonts w:ascii="Arial" w:eastAsia="Times New Roman" w:hAnsi="Arial" w:cs="Arial"/>
          <w:bCs/>
          <w:sz w:val="21"/>
          <w:szCs w:val="21"/>
          <w:lang w:eastAsia="es-ES_tradnl" w:bidi="es-ES"/>
        </w:rPr>
        <w:t xml:space="preserve"> en las que tales entes se ven involucrados para cumplir los compromisos contractuales de los proyectos públicos que emprendan; en otros términos, no hay razón alguna que permita indicar que carecen de la facultad para ser titulares y hacer efectivos tales derechos y obligaciones en un proceso judicial.</w:t>
      </w:r>
    </w:p>
    <w:p w14:paraId="4F308F67" w14:textId="77777777" w:rsidR="007559A2" w:rsidRPr="007559A2" w:rsidRDefault="007559A2" w:rsidP="007559A2">
      <w:pPr>
        <w:spacing w:after="0" w:line="240" w:lineRule="auto"/>
        <w:ind w:left="709" w:right="709" w:firstLine="708"/>
        <w:jc w:val="both"/>
        <w:rPr>
          <w:rFonts w:ascii="Arial" w:eastAsia="Times New Roman" w:hAnsi="Arial" w:cs="Arial"/>
          <w:bCs/>
          <w:sz w:val="21"/>
          <w:szCs w:val="21"/>
          <w:lang w:eastAsia="es-ES_tradnl" w:bidi="es-ES"/>
        </w:rPr>
      </w:pPr>
    </w:p>
    <w:p w14:paraId="14FA47CD" w14:textId="77777777" w:rsidR="007559A2" w:rsidRPr="007559A2" w:rsidRDefault="007559A2" w:rsidP="007559A2">
      <w:pPr>
        <w:spacing w:after="0" w:line="240" w:lineRule="auto"/>
        <w:ind w:left="708" w:right="709"/>
        <w:jc w:val="both"/>
        <w:rPr>
          <w:rFonts w:ascii="Arial" w:eastAsia="Times New Roman" w:hAnsi="Arial" w:cs="Arial"/>
          <w:bCs/>
          <w:sz w:val="21"/>
          <w:szCs w:val="21"/>
          <w:lang w:eastAsia="es-ES_tradnl" w:bidi="es-ES"/>
        </w:rPr>
      </w:pPr>
      <w:r w:rsidRPr="007559A2">
        <w:rPr>
          <w:rFonts w:ascii="Arial" w:eastAsia="Times New Roman" w:hAnsi="Arial" w:cs="Arial"/>
          <w:bCs/>
          <w:sz w:val="21"/>
          <w:szCs w:val="21"/>
          <w:lang w:eastAsia="es-ES_tradnl" w:bidi="es-ES"/>
        </w:rPr>
        <w:t xml:space="preserve">En este punto debe destacarse el criterio conforme al cual las responsabilidades que en materia laboral se deriven de la ejecución de la obra están a cargo de las personas que las integran y no de las uniones temporales o consorcios (CSJ SL, 11 feb. 2009, rad. 24426). Sin embargo, </w:t>
      </w:r>
      <w:r w:rsidRPr="007559A2">
        <w:rPr>
          <w:rFonts w:ascii="Arial" w:eastAsia="Times New Roman" w:hAnsi="Arial" w:cs="Arial"/>
          <w:bCs/>
          <w:i/>
          <w:iCs/>
          <w:sz w:val="21"/>
          <w:szCs w:val="21"/>
          <w:lang w:eastAsia="es-ES_tradnl" w:bidi="es-ES"/>
        </w:rPr>
        <w:t>la Corte debe modificar tal doctrina con sustento en las siguientes razones</w:t>
      </w:r>
      <w:r w:rsidRPr="007559A2">
        <w:rPr>
          <w:rFonts w:ascii="Arial" w:eastAsia="Times New Roman" w:hAnsi="Arial" w:cs="Arial"/>
          <w:bCs/>
          <w:sz w:val="21"/>
          <w:szCs w:val="21"/>
          <w:lang w:eastAsia="es-ES_tradnl" w:bidi="es-ES"/>
        </w:rPr>
        <w:t>:</w:t>
      </w:r>
    </w:p>
    <w:p w14:paraId="60A12DBB" w14:textId="77777777" w:rsidR="007559A2" w:rsidRPr="007559A2" w:rsidRDefault="007559A2" w:rsidP="007559A2">
      <w:pPr>
        <w:spacing w:after="0" w:line="240" w:lineRule="auto"/>
        <w:ind w:left="709" w:right="709" w:firstLine="708"/>
        <w:jc w:val="both"/>
        <w:rPr>
          <w:rFonts w:ascii="Arial" w:eastAsia="Times New Roman" w:hAnsi="Arial" w:cs="Arial"/>
          <w:bCs/>
          <w:sz w:val="21"/>
          <w:szCs w:val="21"/>
          <w:lang w:eastAsia="es-ES_tradnl" w:bidi="es-ES"/>
        </w:rPr>
      </w:pPr>
    </w:p>
    <w:p w14:paraId="226449DC" w14:textId="77777777" w:rsidR="007559A2" w:rsidRPr="007559A2" w:rsidRDefault="007559A2" w:rsidP="007559A2">
      <w:pPr>
        <w:spacing w:after="0" w:line="240" w:lineRule="auto"/>
        <w:ind w:left="708" w:right="709"/>
        <w:jc w:val="both"/>
        <w:rPr>
          <w:rFonts w:ascii="Arial" w:eastAsia="Times New Roman" w:hAnsi="Arial" w:cs="Arial"/>
          <w:bCs/>
          <w:sz w:val="21"/>
          <w:szCs w:val="21"/>
          <w:lang w:eastAsia="es-ES_tradnl" w:bidi="es-ES"/>
        </w:rPr>
      </w:pPr>
      <w:r w:rsidRPr="007559A2">
        <w:rPr>
          <w:rFonts w:ascii="Arial" w:eastAsia="Times New Roman" w:hAnsi="Arial" w:cs="Arial"/>
          <w:bCs/>
          <w:sz w:val="21"/>
          <w:szCs w:val="21"/>
          <w:lang w:eastAsia="es-ES_tradnl" w:bidi="es-ES"/>
        </w:rPr>
        <w:t xml:space="preserve">Además de lo ya expuesto, es oportuno señalar que el parágrafo del artículo 7.° de la Ley 80 de 1993 faculta de manera expresa a los consorcios y uniones temporales para «designar la persona que, para todos los efectos, representará al consorcio o unión temporal» (resalta la Sala). Nótese que </w:t>
      </w:r>
      <w:r w:rsidRPr="007559A2">
        <w:rPr>
          <w:rFonts w:ascii="Arial" w:eastAsia="Times New Roman" w:hAnsi="Arial" w:cs="Arial"/>
          <w:bCs/>
          <w:i/>
          <w:iCs/>
          <w:sz w:val="21"/>
          <w:szCs w:val="21"/>
          <w:lang w:eastAsia="es-ES_tradnl" w:bidi="es-ES"/>
        </w:rPr>
        <w:t>la ley no impuso barreras o limitaciones a las facultades de los representantes de las uniones temporales o los consorcios al respecto, de modo que en ejercicio de sus atribuciones legales bien pueden vincular a trabajadores al servicio del proyecto empresarial y bajo esa lógica ser titulares de los derechos y obligaciones que se deriven de dichas relaciones laborales</w:t>
      </w:r>
      <w:r w:rsidRPr="007559A2">
        <w:rPr>
          <w:rFonts w:ascii="Arial" w:eastAsia="Times New Roman" w:hAnsi="Arial" w:cs="Arial"/>
          <w:bCs/>
          <w:sz w:val="21"/>
          <w:szCs w:val="21"/>
          <w:lang w:eastAsia="es-ES_tradnl" w:bidi="es-ES"/>
        </w:rPr>
        <w:t xml:space="preserve">. </w:t>
      </w:r>
    </w:p>
    <w:p w14:paraId="7C72381D" w14:textId="77777777" w:rsidR="007559A2" w:rsidRPr="007559A2" w:rsidRDefault="007559A2" w:rsidP="007559A2">
      <w:pPr>
        <w:spacing w:after="0" w:line="240" w:lineRule="auto"/>
        <w:ind w:right="709" w:firstLine="708"/>
        <w:jc w:val="both"/>
        <w:rPr>
          <w:rFonts w:ascii="Arial" w:eastAsia="Times New Roman" w:hAnsi="Arial" w:cs="Arial"/>
          <w:bCs/>
          <w:sz w:val="21"/>
          <w:szCs w:val="21"/>
          <w:lang w:eastAsia="es-ES_tradnl" w:bidi="es-ES"/>
        </w:rPr>
      </w:pPr>
      <w:r w:rsidRPr="007559A2">
        <w:rPr>
          <w:rFonts w:ascii="Arial" w:eastAsia="Times New Roman" w:hAnsi="Arial" w:cs="Arial"/>
          <w:bCs/>
          <w:sz w:val="21"/>
          <w:szCs w:val="21"/>
          <w:lang w:eastAsia="es-ES_tradnl" w:bidi="es-ES"/>
        </w:rPr>
        <w:t>[…]</w:t>
      </w:r>
    </w:p>
    <w:p w14:paraId="44DF9D68" w14:textId="77777777" w:rsidR="007559A2" w:rsidRPr="007559A2" w:rsidRDefault="007559A2" w:rsidP="007559A2">
      <w:pPr>
        <w:spacing w:after="0" w:line="240" w:lineRule="auto"/>
        <w:ind w:right="709" w:firstLine="708"/>
        <w:jc w:val="both"/>
        <w:rPr>
          <w:rFonts w:ascii="Arial" w:eastAsia="Times New Roman" w:hAnsi="Arial" w:cs="Arial"/>
          <w:bCs/>
          <w:sz w:val="21"/>
          <w:szCs w:val="21"/>
          <w:lang w:eastAsia="es-ES_tradnl" w:bidi="es-ES"/>
        </w:rPr>
      </w:pPr>
    </w:p>
    <w:p w14:paraId="51A675C6" w14:textId="77777777" w:rsidR="007559A2" w:rsidRPr="007559A2" w:rsidRDefault="007559A2" w:rsidP="007559A2">
      <w:pPr>
        <w:spacing w:after="0" w:line="240" w:lineRule="auto"/>
        <w:ind w:left="708" w:right="709"/>
        <w:jc w:val="both"/>
        <w:rPr>
          <w:rFonts w:ascii="Arial" w:eastAsia="Times New Roman" w:hAnsi="Arial" w:cs="Arial"/>
          <w:bCs/>
          <w:sz w:val="21"/>
          <w:szCs w:val="21"/>
          <w:lang w:eastAsia="es-ES_tradnl" w:bidi="es-ES"/>
        </w:rPr>
      </w:pPr>
      <w:r w:rsidRPr="007559A2">
        <w:rPr>
          <w:rFonts w:ascii="Arial" w:eastAsia="Times New Roman" w:hAnsi="Arial" w:cs="Arial"/>
          <w:bCs/>
          <w:sz w:val="21"/>
          <w:szCs w:val="21"/>
          <w:lang w:eastAsia="es-ES_tradnl" w:bidi="es-ES"/>
        </w:rPr>
        <w:t xml:space="preserve">Por otra parte, centrar la responsabilidad en las uniones transitorias o consorcios evita distorsiones o discordancias entre lo que formalmente se suscriba y lo que sucede en la realidad. Nótese que el contratante de los servicios laborales subordinados puede </w:t>
      </w:r>
      <w:r w:rsidRPr="007559A2">
        <w:rPr>
          <w:rFonts w:ascii="Arial" w:eastAsia="Times New Roman" w:hAnsi="Arial" w:cs="Arial"/>
          <w:bCs/>
          <w:sz w:val="21"/>
          <w:szCs w:val="21"/>
          <w:lang w:eastAsia="es-ES_tradnl" w:bidi="es-ES"/>
        </w:rPr>
        <w:lastRenderedPageBreak/>
        <w:t>ser uno de los miembros de la unión temporal, pero en la realidad la dirección y control del trabajador la ejerza la asociación empresarial. En tal caso, aún si el vínculo contractual no se establece formalmente con el representante legal de la asociación temporal, la relación laboral debe entenderse con esta y no de manera individualizada con uno de sus miembros, dado que ello desconocería que la subordinación la ejerce la organización creada para el proyecto.</w:t>
      </w:r>
    </w:p>
    <w:p w14:paraId="7A010258" w14:textId="77777777" w:rsidR="007559A2" w:rsidRPr="007559A2" w:rsidRDefault="007559A2" w:rsidP="007559A2">
      <w:pPr>
        <w:spacing w:after="0" w:line="240" w:lineRule="auto"/>
        <w:ind w:left="709" w:right="709" w:firstLine="708"/>
        <w:jc w:val="both"/>
        <w:rPr>
          <w:rFonts w:ascii="Arial" w:eastAsia="Times New Roman" w:hAnsi="Arial" w:cs="Arial"/>
          <w:bCs/>
          <w:sz w:val="21"/>
          <w:szCs w:val="21"/>
          <w:lang w:eastAsia="es-ES_tradnl" w:bidi="es-ES"/>
        </w:rPr>
      </w:pPr>
    </w:p>
    <w:p w14:paraId="13C3ECDF" w14:textId="77777777" w:rsidR="007559A2" w:rsidRPr="007559A2" w:rsidRDefault="007559A2" w:rsidP="007559A2">
      <w:pPr>
        <w:spacing w:after="0" w:line="240" w:lineRule="auto"/>
        <w:ind w:left="708" w:right="709"/>
        <w:jc w:val="both"/>
        <w:rPr>
          <w:rFonts w:ascii="Arial" w:eastAsia="Times New Roman" w:hAnsi="Arial" w:cs="Arial"/>
          <w:bCs/>
          <w:sz w:val="21"/>
          <w:szCs w:val="21"/>
          <w:lang w:eastAsia="es-ES_tradnl" w:bidi="es-ES"/>
        </w:rPr>
      </w:pPr>
      <w:r w:rsidRPr="007559A2">
        <w:rPr>
          <w:rFonts w:ascii="Arial" w:eastAsia="Times New Roman" w:hAnsi="Arial" w:cs="Arial"/>
          <w:bCs/>
          <w:sz w:val="21"/>
          <w:szCs w:val="21"/>
          <w:lang w:eastAsia="es-ES_tradnl" w:bidi="es-ES"/>
        </w:rPr>
        <w:t xml:space="preserve">Asimismo, </w:t>
      </w:r>
      <w:r w:rsidRPr="007559A2">
        <w:rPr>
          <w:rFonts w:ascii="Arial" w:eastAsia="Times New Roman" w:hAnsi="Arial" w:cs="Arial"/>
          <w:bCs/>
          <w:i/>
          <w:iCs/>
          <w:sz w:val="21"/>
          <w:szCs w:val="21"/>
          <w:lang w:eastAsia="es-ES_tradnl" w:bidi="es-ES"/>
        </w:rPr>
        <w:t xml:space="preserve">el reconocimiento como empleador a las uniones temporales o consorcios </w:t>
      </w:r>
      <w:r w:rsidRPr="007559A2">
        <w:rPr>
          <w:rFonts w:ascii="Arial" w:eastAsia="Times New Roman" w:hAnsi="Arial" w:cs="Arial"/>
          <w:bCs/>
          <w:sz w:val="21"/>
          <w:szCs w:val="21"/>
          <w:lang w:eastAsia="es-ES_tradnl" w:bidi="es-ES"/>
        </w:rPr>
        <w:t>también permite a las organizaciones sindicales entablar procedimientos de negociación colectiva con los interlocutores que de verdad direccionan y controlan los procesos productivos. […]</w:t>
      </w:r>
    </w:p>
    <w:p w14:paraId="5E62E713" w14:textId="77777777" w:rsidR="007559A2" w:rsidRPr="007559A2" w:rsidRDefault="007559A2" w:rsidP="007559A2">
      <w:pPr>
        <w:spacing w:after="0" w:line="240" w:lineRule="auto"/>
        <w:ind w:left="709" w:right="709" w:firstLine="708"/>
        <w:jc w:val="both"/>
        <w:rPr>
          <w:rFonts w:ascii="Arial" w:eastAsia="Times New Roman" w:hAnsi="Arial" w:cs="Arial"/>
          <w:bCs/>
          <w:sz w:val="21"/>
          <w:szCs w:val="21"/>
          <w:lang w:eastAsia="es-ES_tradnl" w:bidi="es-ES"/>
        </w:rPr>
      </w:pPr>
    </w:p>
    <w:p w14:paraId="1347A95C" w14:textId="77777777" w:rsidR="007559A2" w:rsidRPr="007559A2" w:rsidRDefault="007559A2" w:rsidP="007559A2">
      <w:pPr>
        <w:spacing w:after="0" w:line="240" w:lineRule="auto"/>
        <w:ind w:left="708" w:right="709"/>
        <w:jc w:val="both"/>
        <w:rPr>
          <w:rFonts w:ascii="Arial" w:eastAsia="Times New Roman" w:hAnsi="Arial" w:cs="Arial"/>
          <w:bCs/>
          <w:sz w:val="21"/>
          <w:szCs w:val="21"/>
          <w:lang w:eastAsia="es-ES_tradnl" w:bidi="es-ES"/>
        </w:rPr>
      </w:pPr>
      <w:r w:rsidRPr="007559A2">
        <w:rPr>
          <w:rFonts w:ascii="Arial" w:eastAsia="Times New Roman" w:hAnsi="Arial" w:cs="Arial"/>
          <w:bCs/>
          <w:sz w:val="21"/>
          <w:szCs w:val="21"/>
          <w:lang w:eastAsia="es-ES_tradnl" w:bidi="es-ES"/>
        </w:rPr>
        <w:t xml:space="preserve">Por último, </w:t>
      </w:r>
      <w:r w:rsidRPr="007559A2">
        <w:rPr>
          <w:rFonts w:ascii="Arial" w:eastAsia="Times New Roman" w:hAnsi="Arial" w:cs="Arial"/>
          <w:bCs/>
          <w:i/>
          <w:iCs/>
          <w:sz w:val="21"/>
          <w:szCs w:val="21"/>
          <w:lang w:eastAsia="es-ES_tradnl" w:bidi="es-ES"/>
        </w:rPr>
        <w:t>la Sala considera oportuno señalar que el empleador no debe ser el integrante del consorcio que celebre el contrato de trabajo. Lo anterior por cuanto radicar en un solo miembro la responsabilidad por los derechos laborales de una persona que prestó su trabajo a una organización empresarial anularía la posibilidad jurídica que aquel tiene de demandar solidariamente al consorcio o a la unión temporal y a todos sus integrantes, según lo faculta el artículo 7.º de la Ley 80 de 1993</w:t>
      </w:r>
      <w:r w:rsidRPr="007559A2">
        <w:rPr>
          <w:rFonts w:ascii="Arial" w:eastAsia="Times New Roman" w:hAnsi="Arial" w:cs="Arial"/>
          <w:bCs/>
          <w:sz w:val="21"/>
          <w:szCs w:val="21"/>
          <w:lang w:eastAsia="es-ES_tradnl" w:bidi="es-ES"/>
        </w:rPr>
        <w:t>. Además, ello quebraría la unidad contractual que se establece entre la unión transitoria y la entidad pública contratante, a efectos que opere la responsabilidad solidaria contemplada en el artículo 34 del Código Sustantivo del Trabajo. (Cursivas fuera del original).</w:t>
      </w:r>
    </w:p>
    <w:p w14:paraId="3F38DFA6" w14:textId="77777777" w:rsidR="007559A2" w:rsidRPr="007559A2" w:rsidRDefault="007559A2" w:rsidP="007559A2">
      <w:pPr>
        <w:spacing w:after="120" w:line="276" w:lineRule="auto"/>
        <w:ind w:firstLine="708"/>
        <w:jc w:val="both"/>
        <w:rPr>
          <w:rFonts w:ascii="Arial" w:eastAsia="Times New Roman" w:hAnsi="Arial" w:cs="Arial"/>
          <w:bCs/>
          <w:szCs w:val="24"/>
          <w:lang w:eastAsia="es-ES_tradnl" w:bidi="es-ES"/>
        </w:rPr>
      </w:pPr>
    </w:p>
    <w:p w14:paraId="03E8CA1C" w14:textId="77777777" w:rsidR="007559A2" w:rsidRPr="007559A2" w:rsidRDefault="007559A2" w:rsidP="007559A2">
      <w:pPr>
        <w:spacing w:after="200" w:line="276" w:lineRule="auto"/>
        <w:ind w:firstLine="708"/>
        <w:contextualSpacing/>
        <w:jc w:val="both"/>
        <w:rPr>
          <w:rFonts w:ascii="Arial" w:eastAsia="Times New Roman" w:hAnsi="Arial" w:cs="Arial"/>
          <w:bCs/>
          <w:color w:val="000000"/>
          <w:szCs w:val="24"/>
          <w:lang w:eastAsia="es-ES_tradnl" w:bidi="es-ES"/>
        </w:rPr>
      </w:pPr>
      <w:r w:rsidRPr="007559A2">
        <w:rPr>
          <w:rFonts w:ascii="Arial" w:eastAsia="Times New Roman" w:hAnsi="Arial" w:cs="Arial"/>
          <w:bCs/>
          <w:szCs w:val="24"/>
          <w:lang w:eastAsia="es-ES_tradnl" w:bidi="es-ES"/>
        </w:rPr>
        <w:t xml:space="preserve">En ese orden, los consorcios y uniones temporales, en su capacidad jurídica para crear, modificar o extinguir relaciones jurídicas </w:t>
      </w:r>
      <w:r w:rsidRPr="007559A2">
        <w:rPr>
          <w:rFonts w:ascii="Arial" w:eastAsia="Times New Roman" w:hAnsi="Arial" w:cs="Arial"/>
          <w:bCs/>
          <w:color w:val="000000"/>
          <w:szCs w:val="24"/>
          <w:lang w:eastAsia="es-ES_tradnl" w:bidi="es-ES"/>
        </w:rPr>
        <w:t>de forma voluntaria y autónoma, en el marco de la ejecución de un contrato estatal, pueden contratar trabajadores y asumir el pago de sus aportes al Sistema de Seguridad Social Integral, teniendo el deber de certificar dichos aportes por medio de su representante legal.</w:t>
      </w:r>
    </w:p>
    <w:p w14:paraId="149E4FBE" w14:textId="77777777" w:rsidR="007559A2" w:rsidRPr="007559A2" w:rsidRDefault="007559A2" w:rsidP="007559A2">
      <w:pPr>
        <w:spacing w:after="200" w:line="276" w:lineRule="auto"/>
        <w:contextualSpacing/>
        <w:jc w:val="both"/>
        <w:rPr>
          <w:rFonts w:ascii="Arial" w:eastAsia="Times New Roman" w:hAnsi="Arial" w:cs="Arial"/>
          <w:bCs/>
          <w:color w:val="000000"/>
          <w:szCs w:val="24"/>
          <w:lang w:eastAsia="es-ES_tradnl" w:bidi="es-ES"/>
        </w:rPr>
      </w:pPr>
    </w:p>
    <w:p w14:paraId="1865EF03" w14:textId="77777777" w:rsidR="007559A2" w:rsidRPr="007559A2" w:rsidRDefault="007559A2" w:rsidP="007559A2">
      <w:pPr>
        <w:spacing w:after="200" w:line="276" w:lineRule="auto"/>
        <w:contextualSpacing/>
        <w:jc w:val="both"/>
        <w:rPr>
          <w:rFonts w:ascii="Arial" w:eastAsia="Times New Roman" w:hAnsi="Arial" w:cs="Arial"/>
          <w:b/>
          <w:bCs/>
          <w:color w:val="000000"/>
          <w:szCs w:val="24"/>
          <w:lang w:eastAsia="es-ES_tradnl" w:bidi="es-ES"/>
        </w:rPr>
      </w:pPr>
      <w:r w:rsidRPr="007559A2">
        <w:rPr>
          <w:rFonts w:ascii="Arial" w:eastAsia="Times New Roman" w:hAnsi="Arial" w:cs="Arial"/>
          <w:b/>
          <w:bCs/>
          <w:color w:val="000000"/>
          <w:szCs w:val="24"/>
          <w:lang w:eastAsia="es-ES_tradnl" w:bidi="es-ES"/>
        </w:rPr>
        <w:t>2.3.2. Facultad de certificar aportes al Sistema de Seguridad Social Integral cuando la relación laboral surge entre el trabajador y las personas naturales o jurídicas que conforman el consorcio y/o unión temporal</w:t>
      </w:r>
    </w:p>
    <w:p w14:paraId="198F0867" w14:textId="77777777" w:rsidR="007559A2" w:rsidRPr="007559A2" w:rsidRDefault="007559A2" w:rsidP="007559A2">
      <w:pPr>
        <w:spacing w:after="200" w:line="276" w:lineRule="auto"/>
        <w:contextualSpacing/>
        <w:jc w:val="both"/>
        <w:rPr>
          <w:rFonts w:ascii="Arial" w:eastAsia="Times New Roman" w:hAnsi="Arial" w:cs="Arial"/>
          <w:bCs/>
          <w:color w:val="000000"/>
          <w:szCs w:val="24"/>
          <w:lang w:eastAsia="es-ES_tradnl" w:bidi="es-ES"/>
        </w:rPr>
      </w:pPr>
    </w:p>
    <w:p w14:paraId="1F4227BE" w14:textId="77777777" w:rsidR="007559A2" w:rsidRPr="007559A2" w:rsidRDefault="007559A2" w:rsidP="007559A2">
      <w:pPr>
        <w:spacing w:after="120" w:line="276" w:lineRule="auto"/>
        <w:jc w:val="both"/>
        <w:rPr>
          <w:rFonts w:ascii="Arial" w:eastAsia="Times New Roman" w:hAnsi="Arial" w:cs="Arial"/>
          <w:bCs/>
          <w:color w:val="000000"/>
          <w:szCs w:val="24"/>
          <w:lang w:eastAsia="es-ES_tradnl" w:bidi="es-ES"/>
        </w:rPr>
      </w:pPr>
      <w:r w:rsidRPr="007559A2">
        <w:rPr>
          <w:rFonts w:ascii="Arial" w:eastAsia="Times New Roman" w:hAnsi="Arial" w:cs="Arial"/>
          <w:bCs/>
          <w:color w:val="000000"/>
          <w:szCs w:val="24"/>
          <w:lang w:eastAsia="es-ES_tradnl" w:bidi="es-ES"/>
        </w:rPr>
        <w:t xml:space="preserve">Cuando el contrato laboral originario nace entre el trabajador y la persona jurídica o natural que conforma un consorcio o unión temporal, la obligación de realizar aportes al Sistema de Seguridad Social Integral surge, en principio, en cabeza de este último sujeto por ser una de las partes del respectivo contrato de trabajo. </w:t>
      </w:r>
    </w:p>
    <w:p w14:paraId="47FB7313" w14:textId="77777777" w:rsidR="007559A2" w:rsidRPr="007559A2" w:rsidRDefault="007559A2" w:rsidP="007559A2">
      <w:pPr>
        <w:spacing w:after="120" w:line="276" w:lineRule="auto"/>
        <w:ind w:firstLine="708"/>
        <w:jc w:val="both"/>
        <w:rPr>
          <w:rFonts w:ascii="Arial" w:eastAsia="Times New Roman" w:hAnsi="Arial" w:cs="Arial"/>
          <w:bCs/>
          <w:color w:val="000000"/>
          <w:szCs w:val="24"/>
          <w:lang w:eastAsia="es-ES_tradnl" w:bidi="es-ES"/>
        </w:rPr>
      </w:pPr>
      <w:r w:rsidRPr="007559A2">
        <w:rPr>
          <w:rFonts w:ascii="Arial" w:eastAsia="Times New Roman" w:hAnsi="Arial" w:cs="Arial"/>
          <w:bCs/>
          <w:color w:val="000000"/>
          <w:szCs w:val="24"/>
          <w:lang w:eastAsia="es-ES_tradnl" w:bidi="es-ES"/>
        </w:rPr>
        <w:t>Sin embargo, si bien es cierto que esta obligación no surge entre el trabajador y el consorcio y/o la unión temporal, estos últimos pueden estar habilitados por medio de un acuerdo privado entre las personas naturales y/o jurídicas que lo conforman para hacerse cargo de los aportes a la Seguridad Social Integral y sus certificaciones.</w:t>
      </w:r>
      <w:r w:rsidRPr="007559A2">
        <w:rPr>
          <w:rFonts w:ascii="Arial" w:eastAsia="Times New Roman" w:hAnsi="Arial" w:cs="Arial"/>
          <w:bCs/>
          <w:color w:val="000000"/>
          <w:szCs w:val="24"/>
          <w:lang w:eastAsia="es-ES_tradnl"/>
        </w:rPr>
        <w:t xml:space="preserve"> </w:t>
      </w:r>
    </w:p>
    <w:p w14:paraId="147A6B95" w14:textId="77777777" w:rsidR="007559A2" w:rsidRPr="007559A2" w:rsidRDefault="007559A2" w:rsidP="007559A2">
      <w:pPr>
        <w:spacing w:after="200" w:line="276" w:lineRule="auto"/>
        <w:ind w:firstLine="708"/>
        <w:contextualSpacing/>
        <w:jc w:val="both"/>
        <w:rPr>
          <w:rFonts w:ascii="Arial" w:eastAsia="Times New Roman" w:hAnsi="Arial" w:cs="Arial"/>
          <w:bCs/>
          <w:color w:val="000000"/>
          <w:szCs w:val="24"/>
          <w:lang w:eastAsia="es-ES_tradnl" w:bidi="es-ES"/>
        </w:rPr>
      </w:pPr>
      <w:r w:rsidRPr="007559A2">
        <w:rPr>
          <w:rFonts w:ascii="Arial" w:eastAsia="Times New Roman" w:hAnsi="Arial" w:cs="Arial"/>
          <w:bCs/>
          <w:color w:val="000000"/>
          <w:szCs w:val="24"/>
          <w:lang w:eastAsia="es-ES_tradnl" w:bidi="es-ES"/>
        </w:rPr>
        <w:lastRenderedPageBreak/>
        <w:t>Para ello, las partes tendrían que designar al representante legal en el marco del acuerdo privado en mención y otorgarle la facultad de cumplir y/o hacer seguimiento a las obligaciones del proyecto, entre ellas, los aportes a Seguridad Social Integral de cada una de las personas naturales o jurídicas de cara a la correcta ejecución del contrato. De esta manera, el representante legal podría no solo revisar las certificaciones de aporte al Sistema de Seguridad Social Integral, sino también realizar los aportes y expedir la certificación a lugar ante la entidad contratante, en ejercicio de un acto de representación propuesto por las personas naturales y/o jurídicas que conforman el consorcio o unión temporal.</w:t>
      </w:r>
    </w:p>
    <w:p w14:paraId="11C2F137" w14:textId="77777777" w:rsidR="004F5E62" w:rsidRPr="007559A2" w:rsidRDefault="004F5E62" w:rsidP="004F5E62">
      <w:pPr>
        <w:widowControl w:val="0"/>
        <w:autoSpaceDE w:val="0"/>
        <w:autoSpaceDN w:val="0"/>
        <w:spacing w:after="0" w:line="276" w:lineRule="auto"/>
        <w:jc w:val="both"/>
        <w:rPr>
          <w:rFonts w:ascii="Arial" w:eastAsia="Arial" w:hAnsi="Arial" w:cs="Arial"/>
        </w:rPr>
      </w:pPr>
    </w:p>
    <w:p w14:paraId="5DECE757" w14:textId="77777777" w:rsidR="005316BF" w:rsidRPr="005316BF" w:rsidRDefault="005316BF" w:rsidP="005316BF">
      <w:pPr>
        <w:widowControl w:val="0"/>
        <w:autoSpaceDE w:val="0"/>
        <w:autoSpaceDN w:val="0"/>
        <w:spacing w:after="0" w:line="276" w:lineRule="auto"/>
        <w:ind w:right="533"/>
        <w:jc w:val="both"/>
        <w:rPr>
          <w:rFonts w:ascii="Arial" w:eastAsia="Arial" w:hAnsi="Arial" w:cs="Arial"/>
          <w:b/>
          <w:szCs w:val="24"/>
          <w:lang w:val="es-ES" w:eastAsia="es-ES_tradnl"/>
        </w:rPr>
      </w:pPr>
      <w:r w:rsidRPr="005316BF">
        <w:rPr>
          <w:rFonts w:ascii="Arial" w:eastAsia="Arial" w:hAnsi="Arial" w:cs="Arial"/>
          <w:b/>
          <w:szCs w:val="24"/>
          <w:lang w:val="es-ES" w:eastAsia="es-ES_tradnl"/>
        </w:rPr>
        <w:t>3. Respuesta</w:t>
      </w:r>
    </w:p>
    <w:p w14:paraId="6473ED77" w14:textId="77777777" w:rsidR="005316BF" w:rsidRPr="005316BF" w:rsidRDefault="005316BF" w:rsidP="005316BF">
      <w:pPr>
        <w:widowControl w:val="0"/>
        <w:autoSpaceDE w:val="0"/>
        <w:autoSpaceDN w:val="0"/>
        <w:spacing w:after="0" w:line="276" w:lineRule="auto"/>
        <w:ind w:right="533"/>
        <w:jc w:val="both"/>
        <w:rPr>
          <w:rFonts w:ascii="Arial" w:eastAsia="Arial" w:hAnsi="Arial" w:cs="Arial"/>
          <w:lang w:val="es-ES"/>
        </w:rPr>
      </w:pPr>
    </w:p>
    <w:p w14:paraId="32FEA435" w14:textId="77777777" w:rsidR="00947ABB" w:rsidRPr="007559A2" w:rsidRDefault="00947ABB" w:rsidP="007559A2">
      <w:pPr>
        <w:spacing w:after="0" w:line="240" w:lineRule="auto"/>
        <w:ind w:left="708" w:right="709"/>
        <w:jc w:val="both"/>
        <w:rPr>
          <w:rFonts w:ascii="Arial" w:eastAsia="Times New Roman" w:hAnsi="Arial" w:cs="Arial"/>
          <w:sz w:val="21"/>
          <w:szCs w:val="21"/>
          <w:lang w:val="es-ES" w:eastAsia="es-MX" w:bidi="es-ES"/>
        </w:rPr>
      </w:pPr>
      <w:r w:rsidRPr="007559A2">
        <w:rPr>
          <w:rFonts w:ascii="Arial" w:eastAsia="Times New Roman" w:hAnsi="Arial" w:cs="Arial"/>
          <w:sz w:val="21"/>
          <w:szCs w:val="21"/>
          <w:lang w:val="es-ES" w:eastAsia="es-MX" w:bidi="es-ES"/>
        </w:rPr>
        <w:t>«En el cumplimiento de las obligaciones de acuerdo con el artículo 41 de la Ley 80 de 1993, el artículo 50 de la Ley 789 de 2002, el artículo 9 de la Ley 828 de 2003 y el artículo 23 de la Ley 1150 de 2007, se da por CUMPLIDO con el Certificado y Pago de Aportes Parafiscales y Seguridad Social de la Unión Temporal o se requiere a cada uno de los integrantes que lo conforman».</w:t>
      </w:r>
    </w:p>
    <w:p w14:paraId="0538012E" w14:textId="77777777" w:rsidR="005316BF" w:rsidRPr="005316BF" w:rsidRDefault="005316BF" w:rsidP="005316BF">
      <w:pPr>
        <w:autoSpaceDE w:val="0"/>
        <w:autoSpaceDN w:val="0"/>
        <w:adjustRightInd w:val="0"/>
        <w:spacing w:after="0" w:line="240" w:lineRule="auto"/>
        <w:jc w:val="both"/>
        <w:rPr>
          <w:rFonts w:ascii="Arial" w:eastAsia="Calibri" w:hAnsi="Arial" w:cs="Arial"/>
          <w:color w:val="000000"/>
          <w:sz w:val="21"/>
          <w:szCs w:val="21"/>
        </w:rPr>
      </w:pPr>
    </w:p>
    <w:p w14:paraId="669CBAAB" w14:textId="77777777" w:rsidR="007559A2" w:rsidRPr="007559A2" w:rsidRDefault="007559A2" w:rsidP="007559A2">
      <w:pPr>
        <w:spacing w:after="120" w:line="276" w:lineRule="auto"/>
        <w:jc w:val="both"/>
        <w:rPr>
          <w:rFonts w:ascii="Arial" w:eastAsia="Calibri" w:hAnsi="Arial" w:cs="Arial"/>
          <w:lang w:val="es-ES"/>
        </w:rPr>
      </w:pPr>
      <w:r w:rsidRPr="007559A2">
        <w:rPr>
          <w:rFonts w:ascii="Arial" w:eastAsia="Calibri" w:hAnsi="Arial" w:cs="Arial"/>
          <w:color w:val="000000"/>
          <w:szCs w:val="24"/>
          <w:lang w:val="es-ES_tradnl" w:eastAsia="en-GB" w:bidi="es-ES"/>
        </w:rPr>
        <w:t>De acuerdo con las consideraciones de este concepto, pese a que la acreditación de estar al día en el cumplimiento con las obligaciones de la seguridad social, en principio le corresponde a cada uno de los integrantes que conforman el consorcio o unión temporal, ello es claro en la etapa precontractual, para el perfeccionamiento y el inicio de la ejecución del contrato; sin embargo, se suscita la duda de lo que sucede durante la ejecución del contrato estatal, particularmente, si los consorcios y uniones temporales pueden fungir como empleadores.</w:t>
      </w:r>
    </w:p>
    <w:p w14:paraId="25B221C4" w14:textId="7318D57C" w:rsidR="007559A2" w:rsidRPr="007559A2" w:rsidRDefault="007559A2" w:rsidP="007559A2">
      <w:pPr>
        <w:spacing w:after="120" w:line="276" w:lineRule="auto"/>
        <w:ind w:firstLine="708"/>
        <w:jc w:val="both"/>
        <w:rPr>
          <w:rFonts w:ascii="Arial" w:eastAsia="Calibri" w:hAnsi="Arial" w:cs="Arial"/>
          <w:lang w:val="es-ES"/>
        </w:rPr>
      </w:pPr>
      <w:r w:rsidRPr="007559A2">
        <w:rPr>
          <w:rFonts w:ascii="Arial" w:eastAsia="Calibri" w:hAnsi="Arial" w:cs="Arial"/>
          <w:color w:val="000000"/>
          <w:szCs w:val="24"/>
          <w:lang w:val="es-ES_tradnl" w:eastAsia="en-GB" w:bidi="es-ES"/>
        </w:rPr>
        <w:t>En este sentido, como se señaló en las consideraciones, s</w:t>
      </w:r>
      <w:r w:rsidRPr="007559A2">
        <w:rPr>
          <w:rFonts w:ascii="Arial" w:eastAsia="Times New Roman" w:hAnsi="Arial" w:cs="Arial"/>
          <w:bCs/>
          <w:color w:val="000000"/>
          <w:szCs w:val="24"/>
          <w:lang w:eastAsia="es-ES_tradnl" w:bidi="es-ES"/>
        </w:rPr>
        <w:t>in perjuicio del contenido de las cláusulas que se hayan pactado en cada contrato, frente a la acreditación del cumplimiento de las obligaciones con el Sistema de Seguridad Social Integral, los consorcios y uniones temporales pueden asumir la obligación de certificar aportes al Sistema en función de dos supuestos</w:t>
      </w:r>
      <w:r w:rsidRPr="007559A2">
        <w:rPr>
          <w:rFonts w:ascii="Arial" w:eastAsia="Times New Roman" w:hAnsi="Arial" w:cs="Arial"/>
          <w:lang w:val="es-ES" w:eastAsia="es-MX" w:bidi="es-ES"/>
        </w:rPr>
        <w:t>:</w:t>
      </w:r>
      <w:r w:rsidRPr="007559A2">
        <w:rPr>
          <w:rFonts w:ascii="Arial" w:eastAsia="Calibri" w:hAnsi="Arial" w:cs="Arial"/>
          <w:lang w:val="es-ES"/>
        </w:rPr>
        <w:t xml:space="preserve"> i) cuando la relación laboral en virtud de la cual se debe hacer el aporte es entre el trabajador y el consorcio o unión temporal directamente; y </w:t>
      </w:r>
      <w:proofErr w:type="spellStart"/>
      <w:r w:rsidRPr="007559A2">
        <w:rPr>
          <w:rFonts w:ascii="Arial" w:eastAsia="Calibri" w:hAnsi="Arial" w:cs="Arial"/>
          <w:lang w:val="es-ES"/>
        </w:rPr>
        <w:t>ii</w:t>
      </w:r>
      <w:proofErr w:type="spellEnd"/>
      <w:r w:rsidRPr="007559A2">
        <w:rPr>
          <w:rFonts w:ascii="Arial" w:eastAsia="Calibri" w:hAnsi="Arial" w:cs="Arial"/>
          <w:lang w:val="es-ES"/>
        </w:rPr>
        <w:t xml:space="preserve">) cuando el representante legal del consorcio o unión temporal es designado para ello, a pesar de que la relación laboral es entre el trabajador y las personas que conforman la figura. </w:t>
      </w:r>
    </w:p>
    <w:p w14:paraId="3DC62868" w14:textId="77777777" w:rsidR="007559A2" w:rsidRPr="007559A2" w:rsidRDefault="007559A2" w:rsidP="007559A2">
      <w:pPr>
        <w:spacing w:after="120" w:line="276" w:lineRule="auto"/>
        <w:ind w:firstLine="708"/>
        <w:jc w:val="both"/>
        <w:rPr>
          <w:rFonts w:ascii="Arial" w:eastAsia="Calibri" w:hAnsi="Arial" w:cs="Arial"/>
          <w:lang w:val="es-ES"/>
        </w:rPr>
      </w:pPr>
      <w:r w:rsidRPr="007559A2">
        <w:rPr>
          <w:rFonts w:ascii="Arial" w:eastAsia="Calibri" w:hAnsi="Arial" w:cs="Arial"/>
          <w:lang w:val="es-ES"/>
        </w:rPr>
        <w:t xml:space="preserve">En el primer caso, debido a que los consorcios y uniones temporales, para algunos efectos, tienen capacidad jurídica para crear, modificar o extinguir relaciones jurídicas de forma voluntaria y autónoma, pueden contratar trabajadores y asumir el pago de sus aportes al Sistema de Seguridad Social Integral, teniendo el deber de certificar dichos aportes por medio de su representante legal, </w:t>
      </w:r>
      <w:r w:rsidRPr="007559A2">
        <w:rPr>
          <w:rFonts w:ascii="Arial" w:eastAsia="Times New Roman" w:hAnsi="Arial" w:cs="Arial"/>
          <w:lang w:val="es-ES" w:eastAsia="es-MX" w:bidi="es-ES"/>
        </w:rPr>
        <w:t>de acuerdo con la jurisprudencia de la Corte Suprema de Justicia, expuesta en las consideraciones.</w:t>
      </w:r>
    </w:p>
    <w:p w14:paraId="7608ED34" w14:textId="77777777" w:rsidR="007559A2" w:rsidRPr="007559A2" w:rsidRDefault="007559A2" w:rsidP="007559A2">
      <w:pPr>
        <w:spacing w:after="0" w:line="276" w:lineRule="auto"/>
        <w:ind w:firstLine="708"/>
        <w:jc w:val="both"/>
        <w:rPr>
          <w:rFonts w:ascii="Arial" w:eastAsia="Calibri" w:hAnsi="Arial" w:cs="Arial"/>
          <w:lang w:val="es-ES"/>
        </w:rPr>
      </w:pPr>
      <w:r w:rsidRPr="007559A2">
        <w:rPr>
          <w:rFonts w:ascii="Arial" w:eastAsia="Calibri" w:hAnsi="Arial" w:cs="Arial"/>
          <w:lang w:val="es-ES"/>
        </w:rPr>
        <w:t xml:space="preserve">En el segundo caso, esto es, cuando la relación laboral es entre el trabajador y las personas que conforman la figura, serían cada una de estas personas las que tendrían el deber </w:t>
      </w:r>
      <w:r w:rsidRPr="007559A2">
        <w:rPr>
          <w:rFonts w:ascii="Arial" w:eastAsia="Calibri" w:hAnsi="Arial" w:cs="Arial"/>
          <w:lang w:val="es-ES"/>
        </w:rPr>
        <w:lastRenderedPageBreak/>
        <w:t>de realizar los aportes y certificarlos. No obstante, estos últimos podrían habilitar al representante legal del consorcio o unión temporal para hacerse cargo de los aportes a Seguridad Social Integral y sus certificaciones. De esta manera, el representante legal del consorcio o unión temporal podría verificar las certificaciones de aporte al Sistema de Seguridad Social Integral, lo que permitiría impulsar el cumplimiento de las obligaciones en el marco de la ejecución del contrato estatal y presentar la certificación ante la entidad contratante.</w:t>
      </w:r>
    </w:p>
    <w:p w14:paraId="4D592B49" w14:textId="77777777" w:rsidR="005F1063" w:rsidRPr="007559A2" w:rsidRDefault="005F1063" w:rsidP="005F1063">
      <w:pPr>
        <w:widowControl w:val="0"/>
        <w:autoSpaceDE w:val="0"/>
        <w:autoSpaceDN w:val="0"/>
        <w:spacing w:after="0" w:line="276" w:lineRule="auto"/>
        <w:jc w:val="both"/>
        <w:rPr>
          <w:rFonts w:ascii="Arial" w:eastAsia="Arial" w:hAnsi="Arial" w:cs="Arial"/>
          <w:lang w:val="es-ES"/>
        </w:rPr>
      </w:pPr>
    </w:p>
    <w:p w14:paraId="5091FAE1" w14:textId="77777777" w:rsidR="005316BF" w:rsidRPr="005316BF" w:rsidRDefault="005316BF" w:rsidP="005316BF">
      <w:pPr>
        <w:spacing w:after="0" w:line="276" w:lineRule="auto"/>
        <w:jc w:val="both"/>
        <w:rPr>
          <w:rFonts w:ascii="Arial" w:eastAsia="Calibri" w:hAnsi="Arial" w:cs="Arial"/>
        </w:rPr>
      </w:pPr>
      <w:r w:rsidRPr="005316BF">
        <w:rPr>
          <w:rFonts w:ascii="Arial" w:eastAsia="Calibri" w:hAnsi="Arial" w:cs="Arial"/>
        </w:rPr>
        <w:t>Este concepto tiene el alcance previsto en el artículo 28 del Código de Procedimiento Administrativo y de lo Contencioso Administrativo.</w:t>
      </w:r>
    </w:p>
    <w:p w14:paraId="0B527A49" w14:textId="77777777" w:rsidR="005316BF" w:rsidRPr="005316BF" w:rsidRDefault="005316BF" w:rsidP="005316BF">
      <w:pPr>
        <w:spacing w:after="0" w:line="240" w:lineRule="auto"/>
        <w:jc w:val="both"/>
        <w:rPr>
          <w:rFonts w:ascii="Arial" w:eastAsia="Calibri" w:hAnsi="Arial" w:cs="Arial"/>
        </w:rPr>
      </w:pPr>
      <w:r w:rsidRPr="005316BF">
        <w:rPr>
          <w:rFonts w:ascii="Calibri" w:eastAsia="Calibri" w:hAnsi="Calibri" w:cs="Times New Roman"/>
          <w:noProof/>
          <w:lang w:val="en-US"/>
        </w:rPr>
        <mc:AlternateContent>
          <mc:Choice Requires="wps">
            <w:drawing>
              <wp:anchor distT="0" distB="0" distL="114300" distR="114300" simplePos="0" relativeHeight="251659264" behindDoc="0" locked="0" layoutInCell="1" allowOverlap="1" wp14:anchorId="6FB71ECA" wp14:editId="5F25152E">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1E5E7B1"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7629EF40" w14:textId="77777777" w:rsidR="005316BF" w:rsidRPr="005316BF" w:rsidRDefault="005316BF" w:rsidP="005316BF">
      <w:pPr>
        <w:spacing w:after="0" w:line="240" w:lineRule="auto"/>
        <w:rPr>
          <w:rFonts w:ascii="Arial" w:eastAsia="Times New Roman" w:hAnsi="Arial" w:cs="Arial"/>
          <w:lang w:eastAsia="es-CO"/>
        </w:rPr>
      </w:pPr>
      <w:r w:rsidRPr="005316BF">
        <w:rPr>
          <w:rFonts w:ascii="Arial" w:eastAsia="Times New Roman" w:hAnsi="Arial" w:cs="Arial"/>
          <w:lang w:eastAsia="es-CO"/>
        </w:rPr>
        <w:t>Atentamente,</w:t>
      </w:r>
    </w:p>
    <w:p w14:paraId="41CC54F3" w14:textId="77777777" w:rsidR="005316BF" w:rsidRPr="005316BF" w:rsidRDefault="005316BF" w:rsidP="005316BF">
      <w:pPr>
        <w:spacing w:after="0" w:line="240" w:lineRule="auto"/>
        <w:rPr>
          <w:rFonts w:ascii="Arial" w:eastAsia="Times New Roman" w:hAnsi="Arial" w:cs="Arial"/>
          <w:lang w:eastAsia="es-CO"/>
        </w:rPr>
      </w:pPr>
    </w:p>
    <w:p w14:paraId="208538D4" w14:textId="7951EA67" w:rsidR="005F1063" w:rsidRPr="005F1063" w:rsidRDefault="0032514E" w:rsidP="005F1063">
      <w:pPr>
        <w:spacing w:after="0" w:line="240" w:lineRule="auto"/>
        <w:jc w:val="center"/>
        <w:rPr>
          <w:rFonts w:ascii="Arial" w:eastAsia="Times New Roman" w:hAnsi="Arial" w:cs="Arial"/>
          <w:sz w:val="18"/>
          <w:szCs w:val="20"/>
          <w:lang w:val="es-ES_tradnl" w:eastAsia="es-CO"/>
        </w:rPr>
      </w:pPr>
      <w:r>
        <w:rPr>
          <w:rFonts w:ascii="Arial" w:hAnsi="Arial" w:cs="Arial"/>
          <w:noProof/>
          <w:color w:val="000000" w:themeColor="text1"/>
          <w:lang w:val="es-ES_tradnl"/>
        </w:rPr>
        <w:drawing>
          <wp:inline distT="0" distB="0" distL="0" distR="0" wp14:anchorId="569A59DE" wp14:editId="7A767B94">
            <wp:extent cx="2993390" cy="1164590"/>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p w14:paraId="31E1EE3D" w14:textId="77777777" w:rsidR="005F1063" w:rsidRPr="005F1063" w:rsidRDefault="005F1063" w:rsidP="005F1063">
      <w:pPr>
        <w:spacing w:after="0" w:line="240" w:lineRule="auto"/>
        <w:jc w:val="center"/>
        <w:rPr>
          <w:rFonts w:ascii="Arial" w:eastAsia="Times New Roman" w:hAnsi="Arial" w:cs="Arial"/>
          <w:sz w:val="18"/>
          <w:szCs w:val="20"/>
          <w:lang w:val="es-ES_tradnl" w:eastAsia="es-CO"/>
        </w:rPr>
      </w:pP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F1063" w:rsidRPr="005F1063" w14:paraId="1AC0350F" w14:textId="77777777" w:rsidTr="007432B9">
        <w:trPr>
          <w:trHeight w:val="315"/>
        </w:trPr>
        <w:tc>
          <w:tcPr>
            <w:tcW w:w="812" w:type="dxa"/>
            <w:vAlign w:val="center"/>
            <w:hideMark/>
          </w:tcPr>
          <w:p w14:paraId="437D701A" w14:textId="77777777" w:rsidR="005F1063" w:rsidRPr="005F1063" w:rsidRDefault="005F1063" w:rsidP="005F1063">
            <w:pPr>
              <w:rPr>
                <w:rFonts w:ascii="Arial" w:eastAsia="Times New Roman" w:hAnsi="Arial" w:cs="Arial"/>
                <w:sz w:val="16"/>
                <w:szCs w:val="16"/>
                <w:lang w:val="es-ES_tradnl" w:eastAsia="es-ES"/>
              </w:rPr>
            </w:pPr>
            <w:r w:rsidRPr="005F1063">
              <w:rPr>
                <w:rFonts w:ascii="Arial" w:eastAsia="Times New Roman"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3E427C66" w14:textId="77777777" w:rsidR="005F1063" w:rsidRPr="005F1063" w:rsidRDefault="005F1063" w:rsidP="005F1063">
            <w:pPr>
              <w:rPr>
                <w:rFonts w:ascii="Arial" w:eastAsia="Times New Roman" w:hAnsi="Arial" w:cs="Arial"/>
                <w:sz w:val="16"/>
                <w:szCs w:val="16"/>
                <w:lang w:val="es-ES_tradnl" w:eastAsia="es-ES"/>
              </w:rPr>
            </w:pPr>
            <w:r w:rsidRPr="005F1063">
              <w:rPr>
                <w:rFonts w:ascii="Arial" w:eastAsia="Times New Roman" w:hAnsi="Arial" w:cs="Arial"/>
                <w:sz w:val="16"/>
                <w:szCs w:val="16"/>
                <w:lang w:val="es-ES_tradnl" w:eastAsia="es-ES"/>
              </w:rPr>
              <w:t>José Luis Sánchez Cardona</w:t>
            </w:r>
          </w:p>
          <w:p w14:paraId="17AB1E90" w14:textId="77777777" w:rsidR="005F1063" w:rsidRPr="005F1063" w:rsidRDefault="005F1063" w:rsidP="005F1063">
            <w:pPr>
              <w:rPr>
                <w:rFonts w:ascii="Arial" w:eastAsia="Times New Roman" w:hAnsi="Arial" w:cs="Arial"/>
                <w:sz w:val="16"/>
                <w:szCs w:val="16"/>
                <w:lang w:val="es-ES_tradnl" w:eastAsia="es-ES"/>
              </w:rPr>
            </w:pPr>
            <w:r w:rsidRPr="005F1063">
              <w:rPr>
                <w:rFonts w:ascii="Arial" w:eastAsia="Times New Roman" w:hAnsi="Arial" w:cs="Arial"/>
                <w:sz w:val="16"/>
                <w:szCs w:val="16"/>
                <w:lang w:val="es-ES_tradnl" w:eastAsia="es-ES"/>
              </w:rPr>
              <w:t>Contratista de la Subdirección de Gestión Contractual</w:t>
            </w:r>
          </w:p>
        </w:tc>
      </w:tr>
      <w:tr w:rsidR="005F1063" w:rsidRPr="005F1063" w14:paraId="5AD79167" w14:textId="77777777" w:rsidTr="007432B9">
        <w:trPr>
          <w:trHeight w:val="330"/>
        </w:trPr>
        <w:tc>
          <w:tcPr>
            <w:tcW w:w="812" w:type="dxa"/>
            <w:vAlign w:val="center"/>
            <w:hideMark/>
          </w:tcPr>
          <w:p w14:paraId="5AC04382" w14:textId="77777777" w:rsidR="005F1063" w:rsidRPr="005F1063" w:rsidRDefault="005F1063" w:rsidP="005F1063">
            <w:pPr>
              <w:rPr>
                <w:rFonts w:ascii="Arial" w:eastAsia="Times New Roman" w:hAnsi="Arial" w:cs="Arial"/>
                <w:sz w:val="16"/>
                <w:szCs w:val="16"/>
                <w:lang w:val="es-ES_tradnl" w:eastAsia="es-ES"/>
              </w:rPr>
            </w:pPr>
            <w:r w:rsidRPr="005F1063">
              <w:rPr>
                <w:rFonts w:ascii="Arial" w:eastAsia="Times New Roman"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1CEAC1DF" w14:textId="77777777" w:rsidR="005F1063" w:rsidRPr="005F1063" w:rsidRDefault="005F1063" w:rsidP="005F1063">
            <w:pPr>
              <w:rPr>
                <w:rFonts w:ascii="Arial" w:eastAsia="Times New Roman" w:hAnsi="Arial" w:cs="Arial"/>
                <w:sz w:val="16"/>
                <w:szCs w:val="16"/>
                <w:lang w:val="es-ES_tradnl" w:eastAsia="es-ES"/>
              </w:rPr>
            </w:pPr>
            <w:r w:rsidRPr="005F1063">
              <w:rPr>
                <w:rFonts w:ascii="Arial" w:eastAsia="Times New Roman" w:hAnsi="Arial" w:cs="Arial"/>
                <w:sz w:val="16"/>
                <w:szCs w:val="16"/>
                <w:lang w:val="es-ES_tradnl" w:eastAsia="es-ES"/>
              </w:rPr>
              <w:t>Sebastián Ramírez Grisales</w:t>
            </w:r>
          </w:p>
          <w:p w14:paraId="751C5436" w14:textId="77777777" w:rsidR="005F1063" w:rsidRPr="005F1063" w:rsidRDefault="005F1063" w:rsidP="005F1063">
            <w:pPr>
              <w:rPr>
                <w:rFonts w:ascii="Arial" w:eastAsia="Times New Roman" w:hAnsi="Arial" w:cs="Arial"/>
                <w:sz w:val="16"/>
                <w:szCs w:val="16"/>
                <w:lang w:val="es-ES_tradnl" w:eastAsia="es-ES"/>
              </w:rPr>
            </w:pPr>
            <w:r w:rsidRPr="005F1063">
              <w:rPr>
                <w:rFonts w:ascii="Arial" w:eastAsia="Times New Roman" w:hAnsi="Arial" w:cs="Arial"/>
                <w:sz w:val="16"/>
                <w:szCs w:val="16"/>
                <w:lang w:val="es-ES_tradnl" w:eastAsia="es-ES"/>
              </w:rPr>
              <w:t>Contratista de la Subdirección de Gestión Contractual</w:t>
            </w:r>
          </w:p>
        </w:tc>
      </w:tr>
      <w:tr w:rsidR="005F1063" w:rsidRPr="005F1063" w14:paraId="03F712DB" w14:textId="77777777" w:rsidTr="007432B9">
        <w:trPr>
          <w:trHeight w:val="300"/>
        </w:trPr>
        <w:tc>
          <w:tcPr>
            <w:tcW w:w="812" w:type="dxa"/>
            <w:vAlign w:val="center"/>
            <w:hideMark/>
          </w:tcPr>
          <w:p w14:paraId="1AF20AF1" w14:textId="77777777" w:rsidR="005F1063" w:rsidRPr="005F1063" w:rsidRDefault="005F1063" w:rsidP="005F1063">
            <w:pPr>
              <w:rPr>
                <w:rFonts w:ascii="Arial" w:eastAsia="Times New Roman" w:hAnsi="Arial" w:cs="Arial"/>
                <w:sz w:val="16"/>
                <w:szCs w:val="16"/>
                <w:lang w:val="es-ES_tradnl" w:eastAsia="es-ES"/>
              </w:rPr>
            </w:pPr>
            <w:r w:rsidRPr="005F1063">
              <w:rPr>
                <w:rFonts w:ascii="Arial" w:eastAsia="Times New Roman"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529A6FF4" w14:textId="77777777" w:rsidR="005F1063" w:rsidRPr="005F1063" w:rsidRDefault="005F1063" w:rsidP="005F1063">
            <w:pPr>
              <w:rPr>
                <w:rFonts w:ascii="Arial" w:eastAsia="Times New Roman" w:hAnsi="Arial" w:cs="Arial"/>
                <w:sz w:val="16"/>
                <w:szCs w:val="16"/>
                <w:lang w:val="es-ES_tradnl" w:eastAsia="es-ES"/>
              </w:rPr>
            </w:pPr>
            <w:r w:rsidRPr="005F1063">
              <w:rPr>
                <w:rFonts w:ascii="Arial" w:eastAsia="Times New Roman" w:hAnsi="Arial" w:cs="Arial"/>
                <w:sz w:val="16"/>
                <w:szCs w:val="16"/>
                <w:lang w:val="es-ES_tradnl" w:eastAsia="es-ES"/>
              </w:rPr>
              <w:t>Juan David Marín López</w:t>
            </w:r>
          </w:p>
          <w:p w14:paraId="09C5CA85" w14:textId="77777777" w:rsidR="005F1063" w:rsidRPr="005F1063" w:rsidRDefault="005F1063" w:rsidP="005F1063">
            <w:pPr>
              <w:rPr>
                <w:rFonts w:ascii="Arial" w:eastAsia="Times New Roman" w:hAnsi="Arial" w:cs="Arial"/>
                <w:sz w:val="16"/>
                <w:szCs w:val="16"/>
                <w:lang w:val="es-ES_tradnl" w:eastAsia="es-ES"/>
              </w:rPr>
            </w:pPr>
            <w:r w:rsidRPr="005F1063">
              <w:rPr>
                <w:rFonts w:ascii="Arial" w:eastAsia="Times New Roman" w:hAnsi="Arial" w:cs="Arial"/>
                <w:sz w:val="16"/>
                <w:szCs w:val="16"/>
                <w:lang w:val="es-ES_tradnl" w:eastAsia="es-ES"/>
              </w:rPr>
              <w:t>Subdirector de Gestión Contractual (E)</w:t>
            </w:r>
          </w:p>
        </w:tc>
      </w:tr>
    </w:tbl>
    <w:p w14:paraId="2CCFAF84" w14:textId="77777777" w:rsidR="005316BF" w:rsidRPr="005316BF" w:rsidRDefault="005316BF" w:rsidP="005316BF">
      <w:pPr>
        <w:spacing w:after="0" w:line="276" w:lineRule="auto"/>
        <w:jc w:val="both"/>
        <w:rPr>
          <w:rFonts w:ascii="Arial" w:eastAsia="Times New Roman" w:hAnsi="Arial" w:cs="Arial"/>
          <w:sz w:val="24"/>
          <w:szCs w:val="24"/>
          <w:lang w:eastAsia="es-CO"/>
        </w:rPr>
      </w:pPr>
    </w:p>
    <w:p w14:paraId="368D3013" w14:textId="77777777" w:rsidR="005316BF" w:rsidRPr="005316BF" w:rsidRDefault="005316BF" w:rsidP="005316BF">
      <w:pPr>
        <w:spacing w:after="0" w:line="276" w:lineRule="auto"/>
        <w:jc w:val="both"/>
        <w:rPr>
          <w:rFonts w:ascii="Arial" w:eastAsia="Times New Roman" w:hAnsi="Arial" w:cs="Arial"/>
          <w:sz w:val="24"/>
          <w:szCs w:val="24"/>
          <w:lang w:eastAsia="es-CO"/>
        </w:rPr>
      </w:pPr>
    </w:p>
    <w:p w14:paraId="0AE81B78" w14:textId="77777777" w:rsidR="000123C0" w:rsidRPr="005316BF" w:rsidRDefault="000123C0" w:rsidP="005316BF"/>
    <w:sectPr w:rsidR="000123C0" w:rsidRPr="005316BF" w:rsidSect="0039439C">
      <w:headerReference w:type="default" r:id="rId12"/>
      <w:footerReference w:type="default" r:id="rId13"/>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30F8D" w14:textId="77777777" w:rsidR="00AF0F08" w:rsidRDefault="00AF0F08" w:rsidP="004A1847">
      <w:pPr>
        <w:spacing w:after="0" w:line="240" w:lineRule="auto"/>
      </w:pPr>
      <w:r>
        <w:separator/>
      </w:r>
    </w:p>
  </w:endnote>
  <w:endnote w:type="continuationSeparator" w:id="0">
    <w:p w14:paraId="052192FE" w14:textId="77777777" w:rsidR="00AF0F08" w:rsidRDefault="00AF0F0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Arial Nova">
    <w:panose1 w:val="020B0504020202020204"/>
    <w:charset w:val="00"/>
    <w:family w:val="swiss"/>
    <w:pitch w:val="variable"/>
    <w:sig w:usb0="0000028F" w:usb1="00000002" w:usb2="00000000" w:usb3="00000000" w:csb0="000001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5316BF" w:rsidRDefault="005316BF"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5316BF" w:rsidRPr="00080DA3" w14:paraId="0534DA7F" w14:textId="77777777" w:rsidTr="005316BF">
      <w:trPr>
        <w:trHeight w:val="198"/>
        <w:jc w:val="center"/>
      </w:trPr>
      <w:tc>
        <w:tcPr>
          <w:tcW w:w="838" w:type="dxa"/>
          <w:tcBorders>
            <w:top w:val="dotted" w:sz="4" w:space="0" w:color="6D6D6D"/>
            <w:left w:val="dotted" w:sz="4" w:space="0" w:color="6D6D6D"/>
            <w:bottom w:val="dotted" w:sz="4" w:space="0" w:color="6D6D6D"/>
          </w:tcBorders>
          <w:shd w:val="clear" w:color="auto" w:fill="auto"/>
        </w:tcPr>
        <w:p w14:paraId="4B28DD0E" w14:textId="403BB573" w:rsidR="005316BF" w:rsidRPr="00080DA3" w:rsidRDefault="005316BF"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bottom w:val="dotted" w:sz="4" w:space="0" w:color="6D6D6D"/>
            <w:right w:val="dotted" w:sz="4" w:space="0" w:color="6D6D6D"/>
          </w:tcBorders>
          <w:shd w:val="clear" w:color="auto" w:fill="auto"/>
        </w:tcPr>
        <w:p w14:paraId="79B52F09" w14:textId="4C0A48C5" w:rsidR="005316BF" w:rsidRPr="00080DA3" w:rsidRDefault="005316BF" w:rsidP="00A0753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left w:val="dotted" w:sz="4" w:space="0" w:color="6D6D6D"/>
            <w:bottom w:val="dotted" w:sz="4" w:space="0" w:color="6D6D6D"/>
          </w:tcBorders>
          <w:shd w:val="clear" w:color="auto" w:fill="auto"/>
        </w:tcPr>
        <w:p w14:paraId="36DA5B04" w14:textId="372D5633" w:rsidR="005316BF" w:rsidRPr="00080DA3" w:rsidRDefault="005316BF"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bottom w:val="dotted" w:sz="4" w:space="0" w:color="6D6D6D"/>
            <w:right w:val="dotted" w:sz="4" w:space="0" w:color="6D6D6D"/>
          </w:tcBorders>
          <w:shd w:val="clear" w:color="auto" w:fill="auto"/>
          <w:vAlign w:val="center"/>
        </w:tcPr>
        <w:p w14:paraId="71E26DE9" w14:textId="227155A8" w:rsidR="005316BF" w:rsidRPr="004B6B0E" w:rsidRDefault="005316BF"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left w:val="dotted" w:sz="4" w:space="0" w:color="6D6D6D"/>
            <w:bottom w:val="dotted" w:sz="4" w:space="0" w:color="6D6D6D"/>
          </w:tcBorders>
          <w:shd w:val="clear" w:color="auto" w:fill="auto"/>
        </w:tcPr>
        <w:p w14:paraId="169F6C19" w14:textId="77777777" w:rsidR="005316BF" w:rsidRPr="00080DA3" w:rsidRDefault="005316BF"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bottom w:val="dotted" w:sz="4" w:space="0" w:color="6D6D6D"/>
            <w:right w:val="dotted" w:sz="4" w:space="0" w:color="6D6D6D"/>
          </w:tcBorders>
          <w:shd w:val="clear" w:color="auto" w:fill="auto"/>
        </w:tcPr>
        <w:p w14:paraId="7D02B6A6" w14:textId="7F61B498" w:rsidR="005316BF" w:rsidRPr="00080DA3" w:rsidRDefault="005316BF" w:rsidP="00A07532">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left w:val="dotted" w:sz="4" w:space="0" w:color="6D6D6D"/>
            <w:bottom w:val="dotted" w:sz="4" w:space="0" w:color="6D6D6D"/>
            <w:right w:val="dotted" w:sz="4" w:space="0" w:color="6D6D6D"/>
          </w:tcBorders>
          <w:shd w:val="clear" w:color="auto" w:fill="auto"/>
        </w:tcPr>
        <w:p w14:paraId="6C25E7A7" w14:textId="4628FA23" w:rsidR="005316BF" w:rsidRPr="00080DA3" w:rsidRDefault="005316BF"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5340E2">
            <w:rPr>
              <w:rFonts w:ascii="Geomanist Light" w:hAnsi="Geomanist Light"/>
              <w:b/>
              <w:bCs/>
              <w:noProof/>
              <w:sz w:val="18"/>
              <w:szCs w:val="18"/>
            </w:rPr>
            <w:t>13</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5340E2">
            <w:rPr>
              <w:rFonts w:ascii="Geomanist Light" w:hAnsi="Geomanist Light"/>
              <w:b/>
              <w:bCs/>
              <w:noProof/>
              <w:sz w:val="18"/>
              <w:szCs w:val="18"/>
            </w:rPr>
            <w:t>13</w:t>
          </w:r>
          <w:r w:rsidRPr="00080DA3">
            <w:rPr>
              <w:rFonts w:ascii="Geomanist Light" w:hAnsi="Geomanist Light"/>
              <w:b/>
              <w:bCs/>
              <w:sz w:val="18"/>
              <w:szCs w:val="18"/>
            </w:rPr>
            <w:fldChar w:fldCharType="end"/>
          </w:r>
        </w:p>
      </w:tc>
    </w:tr>
  </w:tbl>
  <w:p w14:paraId="744661F5" w14:textId="77777777" w:rsidR="005316BF" w:rsidRDefault="005316BF"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D281D" w14:textId="77777777" w:rsidR="00AF0F08" w:rsidRDefault="00AF0F08" w:rsidP="004A1847">
      <w:pPr>
        <w:spacing w:after="0" w:line="240" w:lineRule="auto"/>
      </w:pPr>
      <w:r>
        <w:separator/>
      </w:r>
    </w:p>
  </w:footnote>
  <w:footnote w:type="continuationSeparator" w:id="0">
    <w:p w14:paraId="41C5A66B" w14:textId="77777777" w:rsidR="00AF0F08" w:rsidRDefault="00AF0F08" w:rsidP="004A1847">
      <w:pPr>
        <w:spacing w:after="0" w:line="240" w:lineRule="auto"/>
      </w:pPr>
      <w:r>
        <w:continuationSeparator/>
      </w:r>
    </w:p>
  </w:footnote>
  <w:footnote w:id="1">
    <w:p w14:paraId="65CF4DAB" w14:textId="77777777" w:rsidR="00187658" w:rsidRDefault="00187658" w:rsidP="00187658">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377DF824" w14:textId="77777777" w:rsidR="007559A2" w:rsidRPr="00CD23E3" w:rsidRDefault="007559A2" w:rsidP="007559A2">
      <w:pPr>
        <w:spacing w:after="0" w:line="240" w:lineRule="auto"/>
        <w:ind w:firstLine="708"/>
        <w:rPr>
          <w:rFonts w:ascii="Arial" w:hAnsi="Arial" w:cs="Arial"/>
          <w:sz w:val="19"/>
          <w:szCs w:val="19"/>
        </w:rPr>
      </w:pPr>
      <w:r w:rsidRPr="00CD23E3">
        <w:rPr>
          <w:rStyle w:val="Refdenotaalpie"/>
          <w:rFonts w:ascii="Arial" w:hAnsi="Arial" w:cs="Arial"/>
          <w:sz w:val="19"/>
          <w:szCs w:val="19"/>
        </w:rPr>
        <w:footnoteRef/>
      </w:r>
      <w:r w:rsidRPr="00CD23E3">
        <w:rPr>
          <w:rFonts w:ascii="Arial" w:hAnsi="Arial" w:cs="Arial"/>
          <w:sz w:val="19"/>
          <w:szCs w:val="19"/>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w:t>
      </w:r>
      <w:r w:rsidRPr="00CD23E3">
        <w:rPr>
          <w:rFonts w:ascii="Arial" w:hAnsi="Arial" w:cs="Arial"/>
          <w:sz w:val="19"/>
          <w:szCs w:val="19"/>
        </w:rPr>
        <w:t>. » (Corte Constitucional, sentencia C-414 de 1994, M.P. Antonio Barrera</w:t>
      </w:r>
      <w:r w:rsidRPr="00CD23E3">
        <w:rPr>
          <w:rFonts w:ascii="Arial" w:hAnsi="Arial" w:cs="Arial"/>
          <w:spacing w:val="-20"/>
          <w:sz w:val="19"/>
          <w:szCs w:val="19"/>
        </w:rPr>
        <w:t xml:space="preserve"> </w:t>
      </w:r>
      <w:r w:rsidRPr="00CD23E3">
        <w:rPr>
          <w:rFonts w:ascii="Arial" w:hAnsi="Arial" w:cs="Arial"/>
          <w:sz w:val="19"/>
          <w:szCs w:val="19"/>
        </w:rPr>
        <w:t>Carbonell).</w:t>
      </w:r>
    </w:p>
    <w:p w14:paraId="76A53BB7" w14:textId="77777777" w:rsidR="007559A2" w:rsidRPr="00CD23E3" w:rsidRDefault="007559A2" w:rsidP="007559A2">
      <w:pPr>
        <w:pStyle w:val="Textonotapie"/>
        <w:rPr>
          <w:rFonts w:ascii="Arial" w:hAnsi="Arial" w:cs="Arial"/>
          <w:sz w:val="19"/>
          <w:szCs w:val="19"/>
          <w:lang w:val="es-CO"/>
        </w:rPr>
      </w:pPr>
    </w:p>
  </w:footnote>
  <w:footnote w:id="3">
    <w:p w14:paraId="3BF0D5FD" w14:textId="77777777" w:rsidR="007559A2" w:rsidRPr="00CD23E3" w:rsidRDefault="007559A2" w:rsidP="007559A2">
      <w:pPr>
        <w:spacing w:after="0" w:line="240" w:lineRule="auto"/>
        <w:ind w:firstLine="708"/>
        <w:rPr>
          <w:rFonts w:ascii="Arial" w:hAnsi="Arial" w:cs="Arial"/>
          <w:sz w:val="19"/>
          <w:szCs w:val="19"/>
        </w:rPr>
      </w:pPr>
      <w:r w:rsidRPr="00CD23E3">
        <w:rPr>
          <w:rStyle w:val="Refdenotaalpie"/>
          <w:rFonts w:ascii="Arial" w:hAnsi="Arial" w:cs="Arial"/>
          <w:sz w:val="19"/>
          <w:szCs w:val="19"/>
        </w:rPr>
        <w:footnoteRef/>
      </w:r>
      <w:r w:rsidRPr="00CD23E3">
        <w:rPr>
          <w:rFonts w:ascii="Arial" w:hAnsi="Arial" w:cs="Arial"/>
          <w:sz w:val="19"/>
          <w:szCs w:val="19"/>
        </w:rPr>
        <w:t xml:space="preserve"> EXPOSITO VÉLEZ, Juan Carlos. Forma y contenido del contrato estatal. Universidad Externado de Colombia, Bogotá, 2013, 1ra Ed., p.112.</w:t>
      </w:r>
    </w:p>
  </w:footnote>
  <w:footnote w:id="4">
    <w:p w14:paraId="214E2427" w14:textId="77777777" w:rsidR="007559A2" w:rsidRDefault="007559A2" w:rsidP="007559A2">
      <w:pPr>
        <w:pStyle w:val="Textonotapie"/>
        <w:ind w:firstLine="708"/>
        <w:rPr>
          <w:rFonts w:ascii="Arial" w:hAnsi="Arial" w:cs="Arial"/>
          <w:sz w:val="19"/>
          <w:szCs w:val="19"/>
        </w:rPr>
      </w:pPr>
      <w:r w:rsidRPr="00CD23E3">
        <w:rPr>
          <w:rStyle w:val="Refdenotaalpie"/>
          <w:rFonts w:ascii="Arial" w:hAnsi="Arial" w:cs="Arial"/>
          <w:sz w:val="19"/>
          <w:szCs w:val="19"/>
        </w:rPr>
        <w:footnoteRef/>
      </w:r>
      <w:r w:rsidRPr="00CD23E3">
        <w:rPr>
          <w:rFonts w:ascii="Arial" w:hAnsi="Arial" w:cs="Arial"/>
          <w:sz w:val="19"/>
          <w:szCs w:val="19"/>
        </w:rPr>
        <w:t xml:space="preserve">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r>
        <w:rPr>
          <w:rFonts w:ascii="Arial" w:hAnsi="Arial" w:cs="Arial"/>
          <w:sz w:val="19"/>
          <w:szCs w:val="19"/>
        </w:rPr>
        <w:t>.</w:t>
      </w:r>
      <w:r w:rsidRPr="00CD23E3">
        <w:rPr>
          <w:rFonts w:ascii="Arial" w:hAnsi="Arial" w:cs="Arial"/>
          <w:sz w:val="19"/>
          <w:szCs w:val="19"/>
        </w:rPr>
        <w:t xml:space="preserve"> (Corte Constitucional, sentencia C-414 de 1994, M.P. Antonio Barrera</w:t>
      </w:r>
      <w:r w:rsidRPr="00CD23E3">
        <w:rPr>
          <w:rFonts w:ascii="Arial" w:hAnsi="Arial" w:cs="Arial"/>
          <w:spacing w:val="-2"/>
          <w:sz w:val="19"/>
          <w:szCs w:val="19"/>
        </w:rPr>
        <w:t xml:space="preserve"> </w:t>
      </w:r>
      <w:r w:rsidRPr="00CD23E3">
        <w:rPr>
          <w:rFonts w:ascii="Arial" w:hAnsi="Arial" w:cs="Arial"/>
          <w:sz w:val="19"/>
          <w:szCs w:val="19"/>
        </w:rPr>
        <w:t>Carbonell).</w:t>
      </w:r>
    </w:p>
    <w:p w14:paraId="4DCDAC75" w14:textId="77777777" w:rsidR="007559A2" w:rsidRPr="00CD23E3" w:rsidRDefault="007559A2" w:rsidP="007559A2">
      <w:pPr>
        <w:pStyle w:val="Textonotapie"/>
        <w:ind w:firstLine="708"/>
        <w:rPr>
          <w:rFonts w:ascii="Arial" w:hAnsi="Arial" w:cs="Arial"/>
          <w:sz w:val="19"/>
          <w:szCs w:val="19"/>
          <w:lang w:val="es-CO"/>
        </w:rPr>
      </w:pPr>
    </w:p>
  </w:footnote>
  <w:footnote w:id="5">
    <w:p w14:paraId="665DD87F" w14:textId="77777777" w:rsidR="007559A2" w:rsidRPr="00CD23E3" w:rsidRDefault="007559A2" w:rsidP="007559A2">
      <w:pPr>
        <w:spacing w:after="0" w:line="240" w:lineRule="auto"/>
        <w:ind w:firstLine="708"/>
        <w:rPr>
          <w:rFonts w:ascii="Arial" w:hAnsi="Arial" w:cs="Arial"/>
          <w:sz w:val="19"/>
          <w:szCs w:val="19"/>
        </w:rPr>
      </w:pPr>
      <w:r w:rsidRPr="00CD23E3">
        <w:rPr>
          <w:rStyle w:val="Refdenotaalpie"/>
          <w:rFonts w:ascii="Arial" w:hAnsi="Arial" w:cs="Arial"/>
          <w:sz w:val="19"/>
          <w:szCs w:val="19"/>
        </w:rPr>
        <w:footnoteRef/>
      </w:r>
      <w:r w:rsidRPr="00CD23E3">
        <w:rPr>
          <w:rFonts w:ascii="Arial" w:hAnsi="Arial" w:cs="Arial"/>
          <w:sz w:val="19"/>
          <w:szCs w:val="19"/>
        </w:rPr>
        <w:t xml:space="preserve"> Sentencia del 5 de septiembre de 2001. M.P. Clara Inés Vargas Hernández. </w:t>
      </w:r>
    </w:p>
  </w:footnote>
  <w:footnote w:id="6">
    <w:p w14:paraId="394771BB" w14:textId="77777777" w:rsidR="007559A2" w:rsidRDefault="007559A2" w:rsidP="007559A2">
      <w:pPr>
        <w:pStyle w:val="Textonotapie"/>
        <w:ind w:firstLine="708"/>
        <w:rPr>
          <w:rFonts w:ascii="Arial" w:hAnsi="Arial" w:cs="Arial"/>
          <w:sz w:val="19"/>
          <w:szCs w:val="19"/>
        </w:rPr>
      </w:pPr>
      <w:r w:rsidRPr="00CD23E3">
        <w:rPr>
          <w:rStyle w:val="Refdenotaalpie"/>
          <w:rFonts w:ascii="Arial" w:hAnsi="Arial" w:cs="Arial"/>
          <w:sz w:val="19"/>
          <w:szCs w:val="19"/>
        </w:rPr>
        <w:footnoteRef/>
      </w:r>
      <w:r w:rsidRPr="00CD23E3">
        <w:rPr>
          <w:rFonts w:ascii="Arial" w:hAnsi="Arial" w:cs="Arial"/>
          <w:sz w:val="19"/>
          <w:szCs w:val="19"/>
        </w:rPr>
        <w:t xml:space="preserve"> Sin perjuicio de lo también dispuesto en el artículo 832 y siguientes del Código de Comercio.</w:t>
      </w:r>
    </w:p>
    <w:p w14:paraId="04E2D480" w14:textId="77777777" w:rsidR="007559A2" w:rsidRPr="00CD23E3" w:rsidRDefault="007559A2" w:rsidP="007559A2">
      <w:pPr>
        <w:pStyle w:val="Textonotapie"/>
        <w:ind w:firstLine="708"/>
        <w:rPr>
          <w:rFonts w:ascii="Arial" w:hAnsi="Arial" w:cs="Arial"/>
          <w:sz w:val="19"/>
          <w:szCs w:val="19"/>
        </w:rPr>
      </w:pPr>
    </w:p>
  </w:footnote>
  <w:footnote w:id="7">
    <w:p w14:paraId="0CFEE382" w14:textId="77777777" w:rsidR="007559A2" w:rsidRPr="00CD23E3" w:rsidRDefault="007559A2" w:rsidP="007559A2">
      <w:pPr>
        <w:spacing w:after="0" w:line="240" w:lineRule="auto"/>
        <w:ind w:firstLine="708"/>
        <w:rPr>
          <w:rFonts w:ascii="Arial" w:hAnsi="Arial" w:cs="Arial"/>
          <w:sz w:val="19"/>
          <w:szCs w:val="19"/>
        </w:rPr>
      </w:pPr>
      <w:r w:rsidRPr="00CD23E3">
        <w:rPr>
          <w:rStyle w:val="Refdenotaalpie"/>
          <w:rFonts w:ascii="Arial" w:hAnsi="Arial" w:cs="Arial"/>
          <w:sz w:val="19"/>
          <w:szCs w:val="19"/>
        </w:rPr>
        <w:footnoteRef/>
      </w:r>
      <w:r w:rsidRPr="00CD23E3">
        <w:rPr>
          <w:rFonts w:ascii="Arial" w:hAnsi="Arial" w:cs="Arial"/>
          <w:sz w:val="19"/>
          <w:szCs w:val="19"/>
        </w:rPr>
        <w:t xml:space="preserve"> LAFONT PIANETTA, Pedro. Manual de contratos, Tomo I, Ediciones Librería del Profesional, 1 Ed, 2001, p.508.</w:t>
      </w:r>
    </w:p>
  </w:footnote>
  <w:footnote w:id="8">
    <w:p w14:paraId="296A9DC3" w14:textId="77777777" w:rsidR="007559A2" w:rsidRDefault="007559A2" w:rsidP="007559A2">
      <w:pPr>
        <w:pStyle w:val="Textonotapie"/>
        <w:ind w:firstLine="708"/>
        <w:rPr>
          <w:rFonts w:ascii="Arial" w:hAnsi="Arial" w:cs="Arial"/>
          <w:sz w:val="19"/>
          <w:szCs w:val="19"/>
        </w:rPr>
      </w:pPr>
      <w:r w:rsidRPr="00CD23E3">
        <w:rPr>
          <w:rStyle w:val="Refdenotaalpie"/>
          <w:rFonts w:ascii="Arial" w:hAnsi="Arial" w:cs="Arial"/>
          <w:sz w:val="19"/>
          <w:szCs w:val="19"/>
        </w:rPr>
        <w:footnoteRef/>
      </w:r>
      <w:r w:rsidRPr="00CD23E3">
        <w:rPr>
          <w:rFonts w:ascii="Arial" w:hAnsi="Arial" w:cs="Arial"/>
          <w:sz w:val="19"/>
          <w:szCs w:val="19"/>
        </w:rPr>
        <w:t xml:space="preserve"> La Corte Constitucional ha reconocido a los consorcios y uniones temporales como titulares de derechos fundamentales, tales como el debido proceso, de forma que están legitimados para ejercer la acción de tutela. En otras palabras, gozan de capacidad jurídica para comparecer en procesos judiciales ya sea como demandantes o como demandados. Sentencia T-150/16 del 31 de marzo de 2016. M.P. Gabriel Eduardo Mendoza Martelo.</w:t>
      </w:r>
    </w:p>
    <w:p w14:paraId="7A3309C5" w14:textId="77777777" w:rsidR="007559A2" w:rsidRPr="00CD23E3" w:rsidRDefault="007559A2" w:rsidP="007559A2">
      <w:pPr>
        <w:pStyle w:val="Textonotapie"/>
        <w:ind w:firstLine="708"/>
        <w:rPr>
          <w:rFonts w:ascii="Arial" w:hAnsi="Arial" w:cs="Arial"/>
          <w:sz w:val="19"/>
          <w:szCs w:val="19"/>
        </w:rPr>
      </w:pPr>
    </w:p>
  </w:footnote>
  <w:footnote w:id="9">
    <w:p w14:paraId="130AB2CB" w14:textId="77777777" w:rsidR="007559A2" w:rsidRDefault="007559A2" w:rsidP="007559A2">
      <w:pPr>
        <w:spacing w:after="0" w:line="240" w:lineRule="auto"/>
        <w:ind w:firstLine="708"/>
        <w:rPr>
          <w:rFonts w:ascii="Arial" w:hAnsi="Arial" w:cs="Arial"/>
          <w:sz w:val="19"/>
          <w:szCs w:val="19"/>
        </w:rPr>
      </w:pPr>
      <w:r w:rsidRPr="00CD23E3">
        <w:rPr>
          <w:rStyle w:val="Refdenotaalpie"/>
          <w:rFonts w:ascii="Arial" w:hAnsi="Arial" w:cs="Arial"/>
          <w:sz w:val="19"/>
          <w:szCs w:val="19"/>
        </w:rPr>
        <w:footnoteRef/>
      </w:r>
      <w:r w:rsidRPr="00CD23E3">
        <w:rPr>
          <w:rFonts w:ascii="Arial" w:hAnsi="Arial" w:cs="Arial"/>
          <w:sz w:val="19"/>
          <w:szCs w:val="19"/>
        </w:rPr>
        <w:t xml:space="preserve"> Consejo de Estado, Sala Plena Sección 3ª, sentencia de unificación de 25 de septiembre de 2013, M.P. Mauricio Fajardo Gómez, rad. 19.933.</w:t>
      </w:r>
    </w:p>
    <w:p w14:paraId="1C79E2B3" w14:textId="77777777" w:rsidR="007559A2" w:rsidRPr="00CD23E3" w:rsidRDefault="007559A2" w:rsidP="007559A2">
      <w:pPr>
        <w:spacing w:after="0" w:line="240" w:lineRule="auto"/>
        <w:ind w:firstLine="708"/>
        <w:rPr>
          <w:rFonts w:ascii="Arial" w:hAnsi="Arial" w:cs="Arial"/>
          <w:sz w:val="19"/>
          <w:szCs w:val="19"/>
        </w:rPr>
      </w:pPr>
    </w:p>
  </w:footnote>
  <w:footnote w:id="10">
    <w:p w14:paraId="0AFAB569" w14:textId="77777777" w:rsidR="007559A2" w:rsidRPr="00CD23E3" w:rsidRDefault="007559A2" w:rsidP="007559A2">
      <w:pPr>
        <w:pStyle w:val="Textonotapie"/>
        <w:ind w:firstLine="708"/>
        <w:rPr>
          <w:rFonts w:ascii="Arial" w:hAnsi="Arial" w:cs="Arial"/>
          <w:sz w:val="19"/>
          <w:szCs w:val="19"/>
          <w:lang w:val="es-ES"/>
        </w:rPr>
      </w:pPr>
      <w:r w:rsidRPr="00CD23E3">
        <w:rPr>
          <w:rStyle w:val="Refdenotaalpie"/>
          <w:rFonts w:ascii="Arial" w:hAnsi="Arial" w:cs="Arial"/>
          <w:sz w:val="19"/>
          <w:szCs w:val="19"/>
        </w:rPr>
        <w:footnoteRef/>
      </w:r>
      <w:r w:rsidRPr="00CD23E3">
        <w:rPr>
          <w:rFonts w:ascii="Arial" w:hAnsi="Arial" w:cs="Arial"/>
          <w:sz w:val="19"/>
          <w:szCs w:val="19"/>
        </w:rPr>
        <w:t xml:space="preserve"> </w:t>
      </w:r>
      <w:r w:rsidRPr="00CD23E3">
        <w:rPr>
          <w:rFonts w:ascii="Arial" w:hAnsi="Arial" w:cs="Arial"/>
          <w:sz w:val="19"/>
          <w:szCs w:val="19"/>
          <w:lang w:val="es-ES"/>
        </w:rPr>
        <w:t xml:space="preserve">Corte Suprema de Justicia. Sala de Casación Laboral. </w:t>
      </w:r>
      <w:r>
        <w:rPr>
          <w:rFonts w:ascii="Arial" w:hAnsi="Arial" w:cs="Arial"/>
          <w:sz w:val="19"/>
          <w:szCs w:val="19"/>
          <w:lang w:val="es-ES"/>
        </w:rPr>
        <w:t xml:space="preserve">Sentencia del 10 de febrero de 2021. SL 676-2021, radicado: 57.957. </w:t>
      </w:r>
      <w:r w:rsidRPr="00CD23E3">
        <w:rPr>
          <w:rFonts w:ascii="Arial" w:hAnsi="Arial" w:cs="Arial"/>
          <w:sz w:val="19"/>
          <w:szCs w:val="19"/>
          <w:lang w:val="es-ES"/>
        </w:rPr>
        <w:t xml:space="preserve">MP: Ivan Mauricio Lenis Gómez. </w:t>
      </w:r>
    </w:p>
  </w:footnote>
  <w:footnote w:id="11">
    <w:p w14:paraId="4F0E4274" w14:textId="77777777" w:rsidR="007559A2" w:rsidRPr="00CD23E3" w:rsidRDefault="007559A2" w:rsidP="007559A2">
      <w:pPr>
        <w:widowControl w:val="0"/>
        <w:autoSpaceDE w:val="0"/>
        <w:autoSpaceDN w:val="0"/>
        <w:spacing w:after="0" w:line="240" w:lineRule="auto"/>
        <w:ind w:firstLine="708"/>
        <w:rPr>
          <w:rFonts w:ascii="Arial" w:eastAsia="Arial" w:hAnsi="Arial" w:cs="Arial"/>
          <w:sz w:val="19"/>
          <w:szCs w:val="19"/>
          <w:lang w:val="es-ES"/>
        </w:rPr>
      </w:pPr>
      <w:r w:rsidRPr="00CD23E3">
        <w:rPr>
          <w:rStyle w:val="Refdenotaalpie"/>
          <w:rFonts w:ascii="Arial" w:hAnsi="Arial" w:cs="Arial"/>
          <w:sz w:val="19"/>
          <w:szCs w:val="19"/>
        </w:rPr>
        <w:footnoteRef/>
      </w:r>
      <w:r w:rsidRPr="00CD23E3">
        <w:rPr>
          <w:rFonts w:ascii="Arial" w:hAnsi="Arial" w:cs="Arial"/>
          <w:sz w:val="19"/>
          <w:szCs w:val="19"/>
        </w:rPr>
        <w:t xml:space="preserve"> </w:t>
      </w:r>
      <w:r w:rsidRPr="00CD23E3">
        <w:rPr>
          <w:rFonts w:ascii="Arial" w:eastAsia="Arial" w:hAnsi="Arial" w:cs="Arial"/>
          <w:sz w:val="19"/>
          <w:szCs w:val="19"/>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sus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obligaciones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con</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los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sistemas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de</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salud,</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riesgos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profesionales,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pensiones</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y</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aportes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a</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las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Cajas de Compensación Familiar, Instituto Colombiano de Bienestar Familiar y Servicio Nacional de Aprendizaje,</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cuando</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a</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ello</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haya</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lugar.</w:t>
      </w:r>
      <w:r w:rsidRPr="00CD23E3">
        <w:rPr>
          <w:rFonts w:ascii="Arial" w:eastAsia="Arial" w:hAnsi="Arial" w:cs="Arial"/>
          <w:spacing w:val="-11"/>
          <w:sz w:val="19"/>
          <w:szCs w:val="19"/>
          <w:lang w:val="es-ES"/>
        </w:rPr>
        <w:t xml:space="preserve"> </w:t>
      </w:r>
      <w:r w:rsidRPr="00CD23E3">
        <w:rPr>
          <w:rFonts w:ascii="Arial" w:eastAsia="Arial" w:hAnsi="Arial" w:cs="Arial"/>
          <w:sz w:val="19"/>
          <w:szCs w:val="19"/>
          <w:lang w:val="es-ES"/>
        </w:rPr>
        <w:t>Las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Entidades</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públicas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en</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el</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momento</w:t>
      </w:r>
      <w:r w:rsidRPr="00CD23E3">
        <w:rPr>
          <w:rFonts w:ascii="Arial" w:eastAsia="Arial" w:hAnsi="Arial" w:cs="Arial"/>
          <w:spacing w:val="-11"/>
          <w:sz w:val="19"/>
          <w:szCs w:val="19"/>
          <w:lang w:val="es-ES"/>
        </w:rPr>
        <w:t xml:space="preserve"> </w:t>
      </w:r>
      <w:r w:rsidRPr="00CD23E3">
        <w:rPr>
          <w:rFonts w:ascii="Arial" w:eastAsia="Arial" w:hAnsi="Arial" w:cs="Arial"/>
          <w:sz w:val="19"/>
          <w:szCs w:val="19"/>
          <w:lang w:val="es-ES"/>
        </w:rPr>
        <w:t>de</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liquidar</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los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cotizadas».</w:t>
      </w:r>
    </w:p>
    <w:p w14:paraId="711836A7" w14:textId="77777777" w:rsidR="007559A2" w:rsidRPr="00CD23E3" w:rsidRDefault="007559A2" w:rsidP="007559A2">
      <w:pPr>
        <w:widowControl w:val="0"/>
        <w:autoSpaceDE w:val="0"/>
        <w:autoSpaceDN w:val="0"/>
        <w:spacing w:after="0" w:line="240" w:lineRule="auto"/>
        <w:ind w:firstLine="708"/>
        <w:rPr>
          <w:rFonts w:ascii="Arial" w:eastAsia="Arial" w:hAnsi="Arial" w:cs="Arial"/>
          <w:sz w:val="19"/>
          <w:szCs w:val="19"/>
          <w:lang w:val="es-ES"/>
        </w:rPr>
      </w:pPr>
      <w:r w:rsidRPr="00CD23E3">
        <w:rPr>
          <w:rFonts w:ascii="Arial" w:eastAsia="Arial" w:hAnsi="Arial" w:cs="Arial"/>
          <w:sz w:val="19"/>
          <w:szCs w:val="19"/>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48F58EB1" w14:textId="77777777" w:rsidR="007559A2" w:rsidRPr="00CD23E3" w:rsidRDefault="007559A2" w:rsidP="007559A2">
      <w:pPr>
        <w:widowControl w:val="0"/>
        <w:autoSpaceDE w:val="0"/>
        <w:autoSpaceDN w:val="0"/>
        <w:spacing w:after="0" w:line="240" w:lineRule="auto"/>
        <w:ind w:firstLine="708"/>
        <w:rPr>
          <w:rFonts w:ascii="Arial" w:eastAsia="Arial" w:hAnsi="Arial" w:cs="Arial"/>
          <w:sz w:val="19"/>
          <w:szCs w:val="19"/>
          <w:lang w:val="es-ES"/>
        </w:rPr>
      </w:pPr>
      <w:r w:rsidRPr="00CD23E3">
        <w:rPr>
          <w:rFonts w:ascii="Arial" w:eastAsia="Arial" w:hAnsi="Arial" w:cs="Arial"/>
          <w:sz w:val="19"/>
          <w:szCs w:val="19"/>
          <w:lang w:val="es-ES"/>
        </w:rPr>
        <w:t>«Cuando</w:t>
      </w:r>
      <w:r w:rsidRPr="00CD23E3">
        <w:rPr>
          <w:rFonts w:ascii="Arial" w:eastAsia="Arial" w:hAnsi="Arial" w:cs="Arial"/>
          <w:spacing w:val="-8"/>
          <w:sz w:val="19"/>
          <w:szCs w:val="19"/>
          <w:lang w:val="es-ES"/>
        </w:rPr>
        <w:t xml:space="preserve"> </w:t>
      </w:r>
      <w:r w:rsidRPr="00CD23E3">
        <w:rPr>
          <w:rFonts w:ascii="Arial" w:eastAsia="Arial" w:hAnsi="Arial" w:cs="Arial"/>
          <w:sz w:val="19"/>
          <w:szCs w:val="19"/>
          <w:lang w:val="es-ES"/>
        </w:rPr>
        <w:t>la</w:t>
      </w:r>
      <w:r w:rsidRPr="00CD23E3">
        <w:rPr>
          <w:rFonts w:ascii="Arial" w:eastAsia="Arial" w:hAnsi="Arial" w:cs="Arial"/>
          <w:spacing w:val="-8"/>
          <w:sz w:val="19"/>
          <w:szCs w:val="19"/>
          <w:lang w:val="es-ES"/>
        </w:rPr>
        <w:t xml:space="preserve"> </w:t>
      </w:r>
      <w:r w:rsidRPr="00CD23E3">
        <w:rPr>
          <w:rFonts w:ascii="Arial" w:eastAsia="Arial" w:hAnsi="Arial" w:cs="Arial"/>
          <w:sz w:val="19"/>
          <w:szCs w:val="19"/>
          <w:lang w:val="es-ES"/>
        </w:rPr>
        <w:t>contratación</w:t>
      </w:r>
      <w:r w:rsidRPr="00CD23E3">
        <w:rPr>
          <w:rFonts w:ascii="Arial" w:eastAsia="Arial" w:hAnsi="Arial" w:cs="Arial"/>
          <w:spacing w:val="-8"/>
          <w:sz w:val="19"/>
          <w:szCs w:val="19"/>
          <w:lang w:val="es-ES"/>
        </w:rPr>
        <w:t xml:space="preserve"> </w:t>
      </w:r>
      <w:r w:rsidRPr="00CD23E3">
        <w:rPr>
          <w:rFonts w:ascii="Arial" w:eastAsia="Arial" w:hAnsi="Arial" w:cs="Arial"/>
          <w:sz w:val="19"/>
          <w:szCs w:val="19"/>
          <w:lang w:val="es-ES"/>
        </w:rPr>
        <w:t>se</w:t>
      </w:r>
      <w:r w:rsidRPr="00CD23E3">
        <w:rPr>
          <w:rFonts w:ascii="Arial" w:eastAsia="Arial" w:hAnsi="Arial" w:cs="Arial"/>
          <w:spacing w:val="-8"/>
          <w:sz w:val="19"/>
          <w:szCs w:val="19"/>
          <w:lang w:val="es-ES"/>
        </w:rPr>
        <w:t xml:space="preserve"> </w:t>
      </w:r>
      <w:r w:rsidRPr="00CD23E3">
        <w:rPr>
          <w:rFonts w:ascii="Arial" w:eastAsia="Arial" w:hAnsi="Arial" w:cs="Arial"/>
          <w:sz w:val="19"/>
          <w:szCs w:val="19"/>
          <w:lang w:val="es-ES"/>
        </w:rPr>
        <w:t>realice</w:t>
      </w:r>
      <w:r w:rsidRPr="00CD23E3">
        <w:rPr>
          <w:rFonts w:ascii="Arial" w:eastAsia="Arial" w:hAnsi="Arial" w:cs="Arial"/>
          <w:spacing w:val="-8"/>
          <w:sz w:val="19"/>
          <w:szCs w:val="19"/>
          <w:lang w:val="es-ES"/>
        </w:rPr>
        <w:t xml:space="preserve"> </w:t>
      </w:r>
      <w:r w:rsidRPr="00CD23E3">
        <w:rPr>
          <w:rFonts w:ascii="Arial" w:eastAsia="Arial" w:hAnsi="Arial" w:cs="Arial"/>
          <w:sz w:val="19"/>
          <w:szCs w:val="19"/>
          <w:lang w:val="es-ES"/>
        </w:rPr>
        <w:t>con</w:t>
      </w:r>
      <w:r w:rsidRPr="00CD23E3">
        <w:rPr>
          <w:rFonts w:ascii="Arial" w:eastAsia="Arial" w:hAnsi="Arial" w:cs="Arial"/>
          <w:spacing w:val="-8"/>
          <w:sz w:val="19"/>
          <w:szCs w:val="19"/>
          <w:lang w:val="es-ES"/>
        </w:rPr>
        <w:t xml:space="preserve"> </w:t>
      </w:r>
      <w:r w:rsidRPr="00CD23E3">
        <w:rPr>
          <w:rFonts w:ascii="Arial" w:eastAsia="Arial" w:hAnsi="Arial" w:cs="Arial"/>
          <w:sz w:val="19"/>
          <w:szCs w:val="19"/>
          <w:lang w:val="es-ES"/>
        </w:rPr>
        <w:t>personas</w:t>
      </w:r>
      <w:r w:rsidRPr="00CD23E3">
        <w:rPr>
          <w:rFonts w:ascii="Arial" w:eastAsia="Arial" w:hAnsi="Arial" w:cs="Arial"/>
          <w:spacing w:val="-8"/>
          <w:sz w:val="19"/>
          <w:szCs w:val="19"/>
          <w:lang w:val="es-ES"/>
        </w:rPr>
        <w:t xml:space="preserve"> </w:t>
      </w:r>
      <w:r w:rsidRPr="00CD23E3">
        <w:rPr>
          <w:rFonts w:ascii="Arial" w:eastAsia="Arial" w:hAnsi="Arial" w:cs="Arial"/>
          <w:sz w:val="19"/>
          <w:szCs w:val="19"/>
          <w:lang w:val="es-ES"/>
        </w:rPr>
        <w:t>jurídicas,</w:t>
      </w:r>
      <w:r w:rsidRPr="00CD23E3">
        <w:rPr>
          <w:rFonts w:ascii="Arial" w:eastAsia="Arial" w:hAnsi="Arial" w:cs="Arial"/>
          <w:spacing w:val="-8"/>
          <w:sz w:val="19"/>
          <w:szCs w:val="19"/>
          <w:lang w:val="es-ES"/>
        </w:rPr>
        <w:t xml:space="preserve"> </w:t>
      </w:r>
      <w:r w:rsidRPr="00CD23E3">
        <w:rPr>
          <w:rFonts w:ascii="Arial" w:eastAsia="Arial" w:hAnsi="Arial" w:cs="Arial"/>
          <w:sz w:val="19"/>
          <w:szCs w:val="19"/>
          <w:lang w:val="es-ES"/>
        </w:rPr>
        <w:t>se</w:t>
      </w:r>
      <w:r w:rsidRPr="00CD23E3">
        <w:rPr>
          <w:rFonts w:ascii="Arial" w:eastAsia="Arial" w:hAnsi="Arial" w:cs="Arial"/>
          <w:spacing w:val="-8"/>
          <w:sz w:val="19"/>
          <w:szCs w:val="19"/>
          <w:lang w:val="es-ES"/>
        </w:rPr>
        <w:t xml:space="preserve"> </w:t>
      </w:r>
      <w:r w:rsidRPr="00CD23E3">
        <w:rPr>
          <w:rFonts w:ascii="Arial" w:eastAsia="Arial" w:hAnsi="Arial" w:cs="Arial"/>
          <w:sz w:val="19"/>
          <w:szCs w:val="19"/>
          <w:lang w:val="es-ES"/>
        </w:rPr>
        <w:t>deberá</w:t>
      </w:r>
      <w:r w:rsidRPr="00CD23E3">
        <w:rPr>
          <w:rFonts w:ascii="Arial" w:eastAsia="Arial" w:hAnsi="Arial" w:cs="Arial"/>
          <w:spacing w:val="-8"/>
          <w:sz w:val="19"/>
          <w:szCs w:val="19"/>
          <w:lang w:val="es-ES"/>
        </w:rPr>
        <w:t xml:space="preserve"> </w:t>
      </w:r>
      <w:r w:rsidRPr="00CD23E3">
        <w:rPr>
          <w:rFonts w:ascii="Arial" w:eastAsia="Arial" w:hAnsi="Arial" w:cs="Arial"/>
          <w:sz w:val="19"/>
          <w:szCs w:val="19"/>
          <w:lang w:val="es-ES"/>
        </w:rPr>
        <w:t>acreditar</w:t>
      </w:r>
      <w:r w:rsidRPr="00CD23E3">
        <w:rPr>
          <w:rFonts w:ascii="Arial" w:eastAsia="Arial" w:hAnsi="Arial" w:cs="Arial"/>
          <w:spacing w:val="-7"/>
          <w:sz w:val="19"/>
          <w:szCs w:val="19"/>
          <w:lang w:val="es-ES"/>
        </w:rPr>
        <w:t xml:space="preserve"> </w:t>
      </w:r>
      <w:r w:rsidRPr="00CD23E3">
        <w:rPr>
          <w:rFonts w:ascii="Arial" w:eastAsia="Arial" w:hAnsi="Arial" w:cs="Arial"/>
          <w:sz w:val="19"/>
          <w:szCs w:val="19"/>
          <w:lang w:val="es-ES"/>
        </w:rPr>
        <w:t>el</w:t>
      </w:r>
      <w:r w:rsidRPr="00CD23E3">
        <w:rPr>
          <w:rFonts w:ascii="Arial" w:eastAsia="Arial" w:hAnsi="Arial" w:cs="Arial"/>
          <w:spacing w:val="-8"/>
          <w:sz w:val="19"/>
          <w:szCs w:val="19"/>
          <w:lang w:val="es-ES"/>
        </w:rPr>
        <w:t xml:space="preserve"> </w:t>
      </w:r>
      <w:r w:rsidRPr="00CD23E3">
        <w:rPr>
          <w:rFonts w:ascii="Arial" w:eastAsia="Arial" w:hAnsi="Arial" w:cs="Arial"/>
          <w:sz w:val="19"/>
          <w:szCs w:val="19"/>
          <w:lang w:val="es-ES"/>
        </w:rPr>
        <w:t>pago</w:t>
      </w:r>
      <w:r w:rsidRPr="00CD23E3">
        <w:rPr>
          <w:rFonts w:ascii="Arial" w:eastAsia="Arial" w:hAnsi="Arial" w:cs="Arial"/>
          <w:spacing w:val="-8"/>
          <w:sz w:val="19"/>
          <w:szCs w:val="19"/>
          <w:lang w:val="es-ES"/>
        </w:rPr>
        <w:t xml:space="preserve"> </w:t>
      </w:r>
      <w:r w:rsidRPr="00CD23E3">
        <w:rPr>
          <w:rFonts w:ascii="Arial" w:eastAsia="Arial" w:hAnsi="Arial" w:cs="Arial"/>
          <w:sz w:val="19"/>
          <w:szCs w:val="19"/>
          <w:lang w:val="es-ES"/>
        </w:rPr>
        <w:t>de</w:t>
      </w:r>
      <w:r w:rsidRPr="00CD23E3">
        <w:rPr>
          <w:rFonts w:ascii="Arial" w:eastAsia="Arial" w:hAnsi="Arial" w:cs="Arial"/>
          <w:spacing w:val="-8"/>
          <w:sz w:val="19"/>
          <w:szCs w:val="19"/>
          <w:lang w:val="es-ES"/>
        </w:rPr>
        <w:t xml:space="preserve"> </w:t>
      </w:r>
      <w:r w:rsidRPr="00CD23E3">
        <w:rPr>
          <w:rFonts w:ascii="Arial" w:eastAsia="Arial" w:hAnsi="Arial" w:cs="Arial"/>
          <w:sz w:val="19"/>
          <w:szCs w:val="19"/>
          <w:lang w:val="es-ES"/>
        </w:rPr>
        <w:t>los aportes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de</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sus</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empleados,</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a</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los</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sistemas</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mencionados</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mediante</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certificación</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expedida</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por</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el</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CD23E3">
        <w:rPr>
          <w:rFonts w:ascii="Arial" w:eastAsia="Arial" w:hAnsi="Arial" w:cs="Arial"/>
          <w:spacing w:val="-20"/>
          <w:sz w:val="19"/>
          <w:szCs w:val="19"/>
          <w:lang w:val="es-ES"/>
        </w:rPr>
        <w:t xml:space="preserve"> </w:t>
      </w:r>
      <w:r w:rsidRPr="00CD23E3">
        <w:rPr>
          <w:rFonts w:ascii="Arial" w:eastAsia="Arial" w:hAnsi="Arial" w:cs="Arial"/>
          <w:sz w:val="19"/>
          <w:szCs w:val="19"/>
          <w:lang w:val="es-ES"/>
        </w:rPr>
        <w:t>constitución.»</w:t>
      </w:r>
    </w:p>
    <w:p w14:paraId="0F6FF70B" w14:textId="77777777" w:rsidR="007559A2" w:rsidRDefault="007559A2" w:rsidP="007559A2">
      <w:pPr>
        <w:pStyle w:val="Textonotapie"/>
        <w:ind w:firstLine="708"/>
        <w:rPr>
          <w:rFonts w:ascii="Arial" w:eastAsia="Arial" w:hAnsi="Arial" w:cs="Arial"/>
          <w:sz w:val="19"/>
          <w:szCs w:val="19"/>
          <w:lang w:val="es-ES"/>
        </w:rPr>
      </w:pPr>
      <w:r w:rsidRPr="00CD23E3">
        <w:rPr>
          <w:rFonts w:ascii="Arial" w:eastAsia="Arial" w:hAnsi="Arial" w:cs="Arial"/>
          <w:sz w:val="19"/>
          <w:szCs w:val="19"/>
          <w:lang w:val="es-ES"/>
        </w:rPr>
        <w:t>«Para</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la</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presentación</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de</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ofertas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por</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parte</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de</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personas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jurídicas</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será</w:t>
      </w:r>
      <w:r w:rsidRPr="00CD23E3">
        <w:rPr>
          <w:rFonts w:ascii="Arial" w:eastAsia="Arial" w:hAnsi="Arial" w:cs="Arial"/>
          <w:spacing w:val="-10"/>
          <w:sz w:val="19"/>
          <w:szCs w:val="19"/>
          <w:lang w:val="es-ES"/>
        </w:rPr>
        <w:t xml:space="preserve"> </w:t>
      </w:r>
      <w:r w:rsidRPr="00CD23E3">
        <w:rPr>
          <w:rFonts w:ascii="Arial" w:eastAsia="Arial" w:hAnsi="Arial" w:cs="Arial"/>
          <w:sz w:val="19"/>
          <w:szCs w:val="19"/>
          <w:lang w:val="es-ES"/>
        </w:rPr>
        <w:t>indispensable</w:t>
      </w:r>
      <w:r w:rsidRPr="00CD23E3">
        <w:rPr>
          <w:rFonts w:ascii="Arial" w:eastAsia="Arial" w:hAnsi="Arial" w:cs="Arial"/>
          <w:spacing w:val="-9"/>
          <w:sz w:val="19"/>
          <w:szCs w:val="19"/>
          <w:lang w:val="es-ES"/>
        </w:rPr>
        <w:t xml:space="preserve"> </w:t>
      </w:r>
      <w:r w:rsidRPr="00CD23E3">
        <w:rPr>
          <w:rFonts w:ascii="Arial" w:eastAsia="Arial" w:hAnsi="Arial" w:cs="Arial"/>
          <w:sz w:val="19"/>
          <w:szCs w:val="19"/>
          <w:lang w:val="es-ES"/>
        </w:rPr>
        <w:t>acreditar el requisito señalado anteriormente. El funcionario que no deje constancia de la verificación del cumplimiento de este requisito incurrirá en causal de mala</w:t>
      </w:r>
      <w:r w:rsidRPr="00CD23E3">
        <w:rPr>
          <w:rFonts w:ascii="Arial" w:eastAsia="Arial" w:hAnsi="Arial" w:cs="Arial"/>
          <w:spacing w:val="-12"/>
          <w:sz w:val="19"/>
          <w:szCs w:val="19"/>
          <w:lang w:val="es-ES"/>
        </w:rPr>
        <w:t xml:space="preserve"> </w:t>
      </w:r>
      <w:r w:rsidRPr="00CD23E3">
        <w:rPr>
          <w:rFonts w:ascii="Arial" w:eastAsia="Arial" w:hAnsi="Arial" w:cs="Arial"/>
          <w:sz w:val="19"/>
          <w:szCs w:val="19"/>
          <w:lang w:val="es-ES"/>
        </w:rPr>
        <w:t>conducta»</w:t>
      </w:r>
    </w:p>
    <w:p w14:paraId="55651332" w14:textId="77777777" w:rsidR="007559A2" w:rsidRPr="00192E70" w:rsidRDefault="007559A2" w:rsidP="007559A2">
      <w:pPr>
        <w:pStyle w:val="Textonotapie"/>
        <w:ind w:firstLine="708"/>
        <w:rPr>
          <w:rFonts w:ascii="Arial" w:eastAsia="Arial" w:hAnsi="Arial" w:cs="Arial"/>
          <w:sz w:val="19"/>
          <w:szCs w:val="19"/>
          <w:lang w:val="es-ES"/>
        </w:rPr>
      </w:pPr>
    </w:p>
  </w:footnote>
  <w:footnote w:id="12">
    <w:p w14:paraId="219E59D4" w14:textId="77777777" w:rsidR="007559A2" w:rsidRPr="00CD23E3" w:rsidRDefault="007559A2" w:rsidP="007559A2">
      <w:pPr>
        <w:pStyle w:val="Textonotapie"/>
        <w:ind w:firstLine="708"/>
        <w:rPr>
          <w:rFonts w:ascii="Arial" w:eastAsia="Arial" w:hAnsi="Arial" w:cs="Arial"/>
          <w:sz w:val="19"/>
          <w:szCs w:val="19"/>
          <w:lang w:val="es-ES"/>
        </w:rPr>
      </w:pPr>
      <w:r w:rsidRPr="00CD23E3">
        <w:rPr>
          <w:rStyle w:val="Refdenotaalpie"/>
          <w:rFonts w:ascii="Arial" w:hAnsi="Arial" w:cs="Arial"/>
          <w:sz w:val="19"/>
          <w:szCs w:val="19"/>
        </w:rPr>
        <w:footnoteRef/>
      </w:r>
      <w:r w:rsidRPr="00CD23E3">
        <w:rPr>
          <w:rFonts w:ascii="Arial" w:hAnsi="Arial" w:cs="Arial"/>
          <w:sz w:val="19"/>
          <w:szCs w:val="19"/>
        </w:rPr>
        <w:t xml:space="preserve"> </w:t>
      </w:r>
      <w:r w:rsidRPr="00CD23E3">
        <w:rPr>
          <w:rFonts w:ascii="Arial" w:eastAsia="Arial" w:hAnsi="Arial" w:cs="Arial"/>
          <w:sz w:val="19"/>
          <w:szCs w:val="19"/>
          <w:lang w:val="es-ES"/>
        </w:rPr>
        <w:t xml:space="preserve">Consejo de Estado. Sección Tercera. Subsección C. Sentencia del 8 de junio de 2011. </w:t>
      </w:r>
      <w:r w:rsidRPr="00CD23E3">
        <w:rPr>
          <w:rFonts w:ascii="Arial" w:eastAsia="Arial" w:hAnsi="Arial" w:cs="Arial"/>
          <w:sz w:val="19"/>
          <w:szCs w:val="19"/>
          <w:lang w:val="es-ES"/>
        </w:rPr>
        <w:t>Exp. 20001-23-31-000-2005-00409-01(AP), C.P. Enrique Gil Botero.</w:t>
      </w:r>
    </w:p>
    <w:p w14:paraId="52E8ECBC" w14:textId="77777777" w:rsidR="007559A2" w:rsidRPr="00CD23E3" w:rsidRDefault="007559A2" w:rsidP="007559A2">
      <w:pPr>
        <w:pStyle w:val="Textonotapie"/>
        <w:ind w:firstLine="708"/>
        <w:rPr>
          <w:rFonts w:ascii="Arial" w:hAnsi="Arial" w:cs="Arial"/>
          <w:sz w:val="19"/>
          <w:szCs w:val="19"/>
          <w:lang w:val="es-CO"/>
        </w:rPr>
      </w:pPr>
    </w:p>
  </w:footnote>
  <w:footnote w:id="13">
    <w:p w14:paraId="4CCED684" w14:textId="77777777" w:rsidR="007559A2" w:rsidRPr="00192E70" w:rsidRDefault="007559A2" w:rsidP="007559A2">
      <w:pPr>
        <w:pStyle w:val="Textonotapie"/>
        <w:ind w:firstLine="708"/>
        <w:rPr>
          <w:rFonts w:ascii="Arial" w:hAnsi="Arial" w:cs="Arial"/>
          <w:sz w:val="19"/>
          <w:szCs w:val="19"/>
        </w:rPr>
      </w:pPr>
      <w:r w:rsidRPr="00CD23E3">
        <w:rPr>
          <w:rStyle w:val="Refdenotaalpie"/>
          <w:rFonts w:ascii="Arial" w:hAnsi="Arial" w:cs="Arial"/>
          <w:sz w:val="19"/>
          <w:szCs w:val="19"/>
        </w:rPr>
        <w:footnoteRef/>
      </w:r>
      <w:r w:rsidRPr="00CD23E3">
        <w:rPr>
          <w:rFonts w:ascii="Arial" w:hAnsi="Arial" w:cs="Arial"/>
          <w:sz w:val="19"/>
          <w:szCs w:val="19"/>
        </w:rPr>
        <w:t xml:space="preserve"> Respecto a la revisoría fiscal de las sociedades extranjeras con sucursal en Colombia, el artículo 472.6 del Código de Comercio dispone que </w:t>
      </w:r>
      <w:r w:rsidRPr="00CD23E3">
        <w:rPr>
          <w:rFonts w:ascii="Arial" w:hAnsi="Arial" w:cs="Arial"/>
          <w:sz w:val="19"/>
          <w:szCs w:val="19"/>
          <w:lang w:val="es-CO"/>
        </w:rPr>
        <w:t xml:space="preserve">la resolución o acto en que la sociedad acuerda establecer negocios permanentes en Colombia expresará «La designación del revisor fiscal, quien será persona natural con residencia permanente en Colombia». </w:t>
      </w:r>
      <w:r w:rsidRPr="00CD23E3">
        <w:rPr>
          <w:rFonts w:ascii="Arial" w:hAnsi="Arial" w:cs="Arial"/>
          <w:sz w:val="19"/>
          <w:szCs w:val="19"/>
          <w:lang w:val="es-CO"/>
        </w:rPr>
        <w:br/>
        <w:t xml:space="preserve">Por lo demás, el artículo el artículo 489 </w:t>
      </w:r>
      <w:r w:rsidRPr="00CD23E3">
        <w:rPr>
          <w:rFonts w:ascii="Arial" w:hAnsi="Arial" w:cs="Arial"/>
          <w:i/>
          <w:iCs/>
          <w:sz w:val="19"/>
          <w:szCs w:val="19"/>
          <w:lang w:val="es-CO"/>
        </w:rPr>
        <w:t>ibidem</w:t>
      </w:r>
      <w:r w:rsidRPr="00CD23E3">
        <w:rPr>
          <w:rFonts w:ascii="Arial" w:hAnsi="Arial" w:cs="Arial"/>
          <w:sz w:val="19"/>
          <w:szCs w:val="19"/>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w:t>
      </w:r>
      <w:r w:rsidRPr="00CD23E3">
        <w:rPr>
          <w:rFonts w:ascii="Arial" w:hAnsi="Arial" w:cs="Arial"/>
          <w:sz w:val="19"/>
          <w:szCs w:val="19"/>
          <w:lang w:val="es-CO"/>
        </w:rPr>
        <w:t>«</w:t>
      </w:r>
      <w:r w:rsidRPr="00CD23E3">
        <w:rPr>
          <w:rFonts w:ascii="Arial" w:hAnsi="Arial" w:cs="Arial"/>
          <w:color w:val="000000"/>
          <w:sz w:val="19"/>
          <w:szCs w:val="19"/>
        </w:rPr>
        <w:t xml:space="preserve"> </w:t>
      </w:r>
      <w:r w:rsidRPr="00CD23E3">
        <w:rPr>
          <w:rFonts w:ascii="Arial" w:hAnsi="Arial" w:cs="Arial"/>
          <w:sz w:val="19"/>
          <w:szCs w:val="19"/>
          <w:lang w:val="es-CO"/>
        </w:rPr>
        <w:t>Estos revisores deberán, además, informar a la correspondiente Superintendencia cualquier irregularidad de las que puedan ser causales de suspensión o de revocación del permiso de funcionamiento de tales sociedades».</w:t>
      </w:r>
    </w:p>
  </w:footnote>
  <w:footnote w:id="14">
    <w:p w14:paraId="36086736" w14:textId="77777777" w:rsidR="007559A2" w:rsidRPr="00B53489" w:rsidRDefault="007559A2" w:rsidP="007559A2">
      <w:pPr>
        <w:pStyle w:val="Textonotapie"/>
        <w:ind w:firstLine="708"/>
        <w:rPr>
          <w:rFonts w:ascii="Arial" w:hAnsi="Arial" w:cs="Arial"/>
          <w:sz w:val="19"/>
          <w:szCs w:val="19"/>
          <w:lang w:val="es-ES"/>
        </w:rPr>
      </w:pPr>
      <w:r w:rsidRPr="00B53489">
        <w:rPr>
          <w:rStyle w:val="Refdenotaalpie"/>
          <w:rFonts w:ascii="Arial" w:hAnsi="Arial" w:cs="Arial"/>
          <w:sz w:val="19"/>
          <w:szCs w:val="19"/>
        </w:rPr>
        <w:footnoteRef/>
      </w:r>
      <w:r w:rsidRPr="00B53489">
        <w:rPr>
          <w:rFonts w:ascii="Arial" w:hAnsi="Arial" w:cs="Arial"/>
          <w:sz w:val="19"/>
          <w:szCs w:val="19"/>
        </w:rPr>
        <w:t xml:space="preserve"> </w:t>
      </w:r>
      <w:r w:rsidRPr="00B53489">
        <w:rPr>
          <w:rFonts w:ascii="Arial" w:hAnsi="Arial" w:cs="Arial"/>
          <w:sz w:val="19"/>
          <w:szCs w:val="19"/>
          <w:lang w:val="es-ES"/>
        </w:rPr>
        <w:t xml:space="preserve">Corte Suprema de Justicia. Sala de Casación Laboral. </w:t>
      </w:r>
      <w:r>
        <w:rPr>
          <w:rFonts w:ascii="Arial" w:hAnsi="Arial" w:cs="Arial"/>
          <w:sz w:val="19"/>
          <w:szCs w:val="19"/>
          <w:lang w:val="es-ES"/>
        </w:rPr>
        <w:t xml:space="preserve">Sentencia del 10 de febrero de 2021. SL 676-2021, radicado: 57.957. </w:t>
      </w:r>
      <w:r w:rsidRPr="00B53489">
        <w:rPr>
          <w:rFonts w:ascii="Arial" w:hAnsi="Arial" w:cs="Arial"/>
          <w:sz w:val="19"/>
          <w:szCs w:val="19"/>
          <w:lang w:val="es-ES"/>
        </w:rPr>
        <w:t xml:space="preserve">MP: Ivan Mauricio Lenis Gómez.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21550930" w:rsidR="005316BF" w:rsidRPr="003F58A1" w:rsidRDefault="005316BF" w:rsidP="008614E5">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7728" behindDoc="1" locked="0" layoutInCell="1" hidden="0" allowOverlap="1" wp14:anchorId="30C7B261" wp14:editId="22B1ADD7">
          <wp:simplePos x="0" y="0"/>
          <wp:positionH relativeFrom="margin">
            <wp:align>right</wp:align>
          </wp:positionH>
          <wp:positionV relativeFrom="paragraph">
            <wp:posOffset>6985</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5316BF" w:rsidRPr="00367110" w14:paraId="28C3C57E" w14:textId="77777777" w:rsidTr="005316BF">
      <w:tc>
        <w:tcPr>
          <w:tcW w:w="6756" w:type="dxa"/>
        </w:tcPr>
        <w:p w14:paraId="1B33C88C" w14:textId="24816195" w:rsidR="005316BF" w:rsidRPr="006478E3" w:rsidRDefault="005316BF" w:rsidP="00906B3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2CA171C3" w14:textId="29EA00BF" w:rsidR="005316BF" w:rsidRPr="0057618A" w:rsidRDefault="005316BF" w:rsidP="00906B3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48960395" w14:textId="67436FFD" w:rsidR="005316BF" w:rsidRPr="00367110" w:rsidRDefault="005316BF" w:rsidP="00906B3C">
          <w:pPr>
            <w:jc w:val="right"/>
            <w:rPr>
              <w:rFonts w:eastAsia="Arial Nova" w:cs="Arial Nova"/>
              <w:lang w:eastAsia="es-CO"/>
            </w:rPr>
          </w:pPr>
        </w:p>
      </w:tc>
      <w:tc>
        <w:tcPr>
          <w:tcW w:w="1324" w:type="dxa"/>
        </w:tcPr>
        <w:p w14:paraId="3E143861" w14:textId="77777777" w:rsidR="005316BF" w:rsidRPr="00367110" w:rsidRDefault="005316BF" w:rsidP="00906B3C">
          <w:pPr>
            <w:jc w:val="right"/>
            <w:rPr>
              <w:rFonts w:eastAsia="Arial Nova" w:cs="Arial Nova"/>
              <w:lang w:eastAsia="es-CO"/>
            </w:rPr>
          </w:pPr>
        </w:p>
      </w:tc>
    </w:tr>
  </w:tbl>
  <w:p w14:paraId="1D9AD711" w14:textId="29BD2D08" w:rsidR="005316BF" w:rsidRPr="005316BF" w:rsidRDefault="005316BF" w:rsidP="00906B3C">
    <w:pPr>
      <w:pStyle w:val="Encabezado"/>
      <w:tabs>
        <w:tab w:val="clear" w:pos="4419"/>
        <w:tab w:val="clear" w:pos="8838"/>
      </w:tabs>
      <w:ind w:left="3545" w:firstLine="709"/>
      <w:rPr>
        <w:b/>
        <w:bCs/>
        <w:color w:val="DBDBDB"/>
        <w:sz w:val="18"/>
        <w:szCs w:val="18"/>
      </w:rPr>
    </w:pPr>
    <w:r w:rsidRPr="00367110">
      <w:rPr>
        <w:rFonts w:eastAsia="Arial Nova" w:cs="Arial Nova"/>
        <w:noProof/>
        <w:color w:val="000000"/>
        <w:lang w:val="en-US"/>
      </w:rPr>
      <w:drawing>
        <wp:anchor distT="0" distB="0" distL="114300" distR="114300" simplePos="0" relativeHeight="251668992" behindDoc="1" locked="0" layoutInCell="1" allowOverlap="1" wp14:anchorId="0E3A0652" wp14:editId="2766B874">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23C0"/>
    <w:rsid w:val="00014CD4"/>
    <w:rsid w:val="00062F54"/>
    <w:rsid w:val="00083334"/>
    <w:rsid w:val="000956CF"/>
    <w:rsid w:val="000A683E"/>
    <w:rsid w:val="0011595A"/>
    <w:rsid w:val="00117F0E"/>
    <w:rsid w:val="001220C5"/>
    <w:rsid w:val="001267F7"/>
    <w:rsid w:val="00127233"/>
    <w:rsid w:val="00164D81"/>
    <w:rsid w:val="00165C07"/>
    <w:rsid w:val="00187658"/>
    <w:rsid w:val="001A1011"/>
    <w:rsid w:val="002653C1"/>
    <w:rsid w:val="002854EB"/>
    <w:rsid w:val="002951A0"/>
    <w:rsid w:val="002A64FD"/>
    <w:rsid w:val="002B282F"/>
    <w:rsid w:val="00310B9B"/>
    <w:rsid w:val="0032514E"/>
    <w:rsid w:val="003324AC"/>
    <w:rsid w:val="0036461C"/>
    <w:rsid w:val="00367884"/>
    <w:rsid w:val="0039439C"/>
    <w:rsid w:val="003B69E7"/>
    <w:rsid w:val="003C013B"/>
    <w:rsid w:val="003C3F35"/>
    <w:rsid w:val="003D0F4D"/>
    <w:rsid w:val="003F58A1"/>
    <w:rsid w:val="00410DD6"/>
    <w:rsid w:val="004134C9"/>
    <w:rsid w:val="00431EFF"/>
    <w:rsid w:val="00462A59"/>
    <w:rsid w:val="004A1847"/>
    <w:rsid w:val="004A1A31"/>
    <w:rsid w:val="004B6B0E"/>
    <w:rsid w:val="004C0635"/>
    <w:rsid w:val="004D25B3"/>
    <w:rsid w:val="004F5E62"/>
    <w:rsid w:val="00511405"/>
    <w:rsid w:val="00526E9D"/>
    <w:rsid w:val="005316BF"/>
    <w:rsid w:val="005340E2"/>
    <w:rsid w:val="00547A74"/>
    <w:rsid w:val="005566E8"/>
    <w:rsid w:val="005746AB"/>
    <w:rsid w:val="005D65C8"/>
    <w:rsid w:val="005F1063"/>
    <w:rsid w:val="006219F8"/>
    <w:rsid w:val="00681FDB"/>
    <w:rsid w:val="006A7DAD"/>
    <w:rsid w:val="006D49F9"/>
    <w:rsid w:val="006D70BA"/>
    <w:rsid w:val="006F4F00"/>
    <w:rsid w:val="007559A2"/>
    <w:rsid w:val="0077144B"/>
    <w:rsid w:val="007F2B7C"/>
    <w:rsid w:val="008134DB"/>
    <w:rsid w:val="00820F5B"/>
    <w:rsid w:val="00833452"/>
    <w:rsid w:val="008614E5"/>
    <w:rsid w:val="008678EB"/>
    <w:rsid w:val="00881C10"/>
    <w:rsid w:val="008959EE"/>
    <w:rsid w:val="008D5C70"/>
    <w:rsid w:val="009025AF"/>
    <w:rsid w:val="00904F23"/>
    <w:rsid w:val="00906B3C"/>
    <w:rsid w:val="00947ABB"/>
    <w:rsid w:val="00957616"/>
    <w:rsid w:val="009F33F2"/>
    <w:rsid w:val="00A07532"/>
    <w:rsid w:val="00A1085C"/>
    <w:rsid w:val="00A1791A"/>
    <w:rsid w:val="00A309E2"/>
    <w:rsid w:val="00A8066E"/>
    <w:rsid w:val="00AA4B8A"/>
    <w:rsid w:val="00AA6BF7"/>
    <w:rsid w:val="00AE0A95"/>
    <w:rsid w:val="00AF0F08"/>
    <w:rsid w:val="00B06D09"/>
    <w:rsid w:val="00B771A9"/>
    <w:rsid w:val="00B809BB"/>
    <w:rsid w:val="00B8248A"/>
    <w:rsid w:val="00C30461"/>
    <w:rsid w:val="00C7475A"/>
    <w:rsid w:val="00C754BE"/>
    <w:rsid w:val="00CC1B26"/>
    <w:rsid w:val="00CC4E37"/>
    <w:rsid w:val="00CD284F"/>
    <w:rsid w:val="00CF23AA"/>
    <w:rsid w:val="00D01921"/>
    <w:rsid w:val="00D752B7"/>
    <w:rsid w:val="00DA1854"/>
    <w:rsid w:val="00DA240B"/>
    <w:rsid w:val="00DB7DBF"/>
    <w:rsid w:val="00DD3BF4"/>
    <w:rsid w:val="00E20894"/>
    <w:rsid w:val="00E26B7C"/>
    <w:rsid w:val="00E47CAF"/>
    <w:rsid w:val="00EB66DA"/>
    <w:rsid w:val="00F2749B"/>
    <w:rsid w:val="00F40AF1"/>
    <w:rsid w:val="00F54CD3"/>
    <w:rsid w:val="00F605F2"/>
    <w:rsid w:val="00F61D9A"/>
    <w:rsid w:val="00F76AFC"/>
    <w:rsid w:val="00FA5516"/>
    <w:rsid w:val="00FC2AF6"/>
    <w:rsid w:val="00FD125D"/>
    <w:rsid w:val="00FD6F73"/>
    <w:rsid w:val="00FE3D6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1"/>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paragraph" w:styleId="Ttulo2">
    <w:name w:val="heading 2"/>
    <w:basedOn w:val="Normal"/>
    <w:next w:val="Normal"/>
    <w:link w:val="Ttulo2Car"/>
    <w:uiPriority w:val="9"/>
    <w:semiHidden/>
    <w:unhideWhenUsed/>
    <w:qFormat/>
    <w:rsid w:val="005316BF"/>
    <w:pPr>
      <w:keepNext/>
      <w:keepLines/>
      <w:spacing w:before="40" w:after="0"/>
      <w:outlineLvl w:val="1"/>
    </w:pPr>
    <w:rPr>
      <w:rFonts w:ascii="Cambria" w:eastAsia="MS Gothic" w:hAnsi="Cambria" w:cs="Times New Roman"/>
      <w:color w:val="365F91"/>
      <w:sz w:val="26"/>
      <w:szCs w:val="26"/>
      <w:lang w:eastAsia="es-ES_tradnl"/>
    </w:rPr>
  </w:style>
  <w:style w:type="paragraph" w:styleId="Ttulo3">
    <w:name w:val="heading 3"/>
    <w:basedOn w:val="Normal"/>
    <w:next w:val="Normal"/>
    <w:link w:val="Ttulo3Car"/>
    <w:uiPriority w:val="9"/>
    <w:semiHidden/>
    <w:unhideWhenUsed/>
    <w:qFormat/>
    <w:rsid w:val="00FC2AF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1"/>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F40A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F40AF1"/>
    <w:pPr>
      <w:spacing w:line="240" w:lineRule="exact"/>
    </w:pPr>
    <w:rPr>
      <w:vertAlign w:val="superscript"/>
    </w:rPr>
  </w:style>
  <w:style w:type="character" w:styleId="Hipervnculo">
    <w:name w:val="Hyperlink"/>
    <w:basedOn w:val="Fuentedeprrafopredeter"/>
    <w:uiPriority w:val="99"/>
    <w:unhideWhenUsed/>
    <w:rsid w:val="00F40AF1"/>
    <w:rPr>
      <w:color w:val="0563C1" w:themeColor="hyperlink"/>
      <w:u w:val="single"/>
    </w:rPr>
  </w:style>
  <w:style w:type="paragraph" w:styleId="Textoindependiente">
    <w:name w:val="Body Text"/>
    <w:basedOn w:val="Normal"/>
    <w:link w:val="TextoindependienteCar"/>
    <w:uiPriority w:val="99"/>
    <w:unhideWhenUsed/>
    <w:rsid w:val="00F40AF1"/>
    <w:pPr>
      <w:spacing w:after="120"/>
    </w:pPr>
  </w:style>
  <w:style w:type="character" w:customStyle="1" w:styleId="TextoindependienteCar">
    <w:name w:val="Texto independiente Car"/>
    <w:basedOn w:val="Fuentedeprrafopredeter"/>
    <w:link w:val="Textoindependiente"/>
    <w:uiPriority w:val="99"/>
    <w:rsid w:val="00F40AF1"/>
  </w:style>
  <w:style w:type="table" w:customStyle="1" w:styleId="Tablaconcuadrcula12">
    <w:name w:val="Tabla con cuadrícula12"/>
    <w:basedOn w:val="Tablanormal"/>
    <w:next w:val="Tablaconcuadrcula"/>
    <w:uiPriority w:val="59"/>
    <w:rsid w:val="00012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1">
    <w:name w:val="Título 21"/>
    <w:basedOn w:val="Normal"/>
    <w:next w:val="Normal"/>
    <w:uiPriority w:val="9"/>
    <w:semiHidden/>
    <w:unhideWhenUsed/>
    <w:qFormat/>
    <w:rsid w:val="005316BF"/>
    <w:pPr>
      <w:keepNext/>
      <w:keepLines/>
      <w:spacing w:before="40" w:after="0" w:line="240" w:lineRule="auto"/>
      <w:outlineLvl w:val="1"/>
    </w:pPr>
    <w:rPr>
      <w:rFonts w:ascii="Cambria" w:eastAsia="MS Gothic" w:hAnsi="Cambria" w:cs="Times New Roman"/>
      <w:color w:val="365F91"/>
      <w:sz w:val="26"/>
      <w:szCs w:val="26"/>
      <w:lang w:eastAsia="es-ES_tradnl"/>
    </w:rPr>
  </w:style>
  <w:style w:type="numbering" w:customStyle="1" w:styleId="Sinlista1">
    <w:name w:val="Sin lista1"/>
    <w:next w:val="Sinlista"/>
    <w:uiPriority w:val="99"/>
    <w:semiHidden/>
    <w:unhideWhenUsed/>
    <w:rsid w:val="005316BF"/>
  </w:style>
  <w:style w:type="paragraph" w:customStyle="1" w:styleId="Textodeglobo1">
    <w:name w:val="Texto de globo1"/>
    <w:basedOn w:val="Normal"/>
    <w:next w:val="Textodeglobo"/>
    <w:link w:val="TextodegloboCar"/>
    <w:uiPriority w:val="99"/>
    <w:semiHidden/>
    <w:unhideWhenUsed/>
    <w:rsid w:val="005316BF"/>
    <w:pPr>
      <w:spacing w:after="0" w:line="240" w:lineRule="auto"/>
    </w:pPr>
    <w:rPr>
      <w:rFonts w:ascii="Tahoma" w:hAnsi="Tahoma" w:cs="Tahoma"/>
      <w:sz w:val="16"/>
      <w:szCs w:val="16"/>
      <w:lang w:val="es-MX"/>
    </w:rPr>
  </w:style>
  <w:style w:type="character" w:customStyle="1" w:styleId="TextodegloboCar">
    <w:name w:val="Texto de globo Car"/>
    <w:basedOn w:val="Fuentedeprrafopredeter"/>
    <w:link w:val="Textodeglobo1"/>
    <w:uiPriority w:val="99"/>
    <w:semiHidden/>
    <w:rsid w:val="005316BF"/>
    <w:rPr>
      <w:rFonts w:ascii="Tahoma" w:hAnsi="Tahoma" w:cs="Tahoma"/>
      <w:sz w:val="16"/>
      <w:szCs w:val="16"/>
      <w:lang w:val="es-MX"/>
    </w:rPr>
  </w:style>
  <w:style w:type="table" w:customStyle="1" w:styleId="Tablaconcuadrcula2">
    <w:name w:val="Tabla con cuadrícula2"/>
    <w:basedOn w:val="Tablanormal"/>
    <w:next w:val="Tablaconcuadrcula"/>
    <w:uiPriority w:val="59"/>
    <w:rsid w:val="00531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5316BF"/>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Sinespaciado">
    <w:name w:val="No Spacing"/>
    <w:aliases w:val="No Indent"/>
    <w:uiPriority w:val="1"/>
    <w:qFormat/>
    <w:rsid w:val="005316BF"/>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316BF"/>
    <w:rPr>
      <w:rFonts w:ascii="Geomanist Light" w:hAnsi="Geomanist Light"/>
      <w:lang w:val="es-ES"/>
    </w:rPr>
  </w:style>
  <w:style w:type="paragraph" w:customStyle="1" w:styleId="Capitulo1">
    <w:name w:val="Capitulo 1"/>
    <w:basedOn w:val="Normal"/>
    <w:qFormat/>
    <w:rsid w:val="005316BF"/>
    <w:pPr>
      <w:keepNext/>
      <w:spacing w:before="120" w:after="200" w:line="276" w:lineRule="auto"/>
      <w:ind w:left="720" w:hanging="360"/>
      <w:outlineLvl w:val="1"/>
    </w:pPr>
    <w:rPr>
      <w:rFonts w:ascii="Arial" w:eastAsia="Times New Roman" w:hAnsi="Arial" w:cs="Arial"/>
      <w:b/>
      <w:color w:val="000000"/>
      <w:sz w:val="20"/>
      <w:szCs w:val="20"/>
      <w:lang w:eastAsia="es-CO"/>
    </w:rPr>
  </w:style>
  <w:style w:type="table" w:customStyle="1" w:styleId="Tablaconcuadrcula11">
    <w:name w:val="Tabla con cuadrícula11"/>
    <w:basedOn w:val="Tablanormal"/>
    <w:next w:val="Tablaconcuadrcula"/>
    <w:uiPriority w:val="59"/>
    <w:rsid w:val="005316B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5316BF"/>
    <w:rPr>
      <w:color w:val="605E5C"/>
      <w:shd w:val="clear" w:color="auto" w:fill="E1DFDD"/>
    </w:rPr>
  </w:style>
  <w:style w:type="character" w:customStyle="1" w:styleId="Mencinsinresolver2">
    <w:name w:val="Mención sin resolver2"/>
    <w:basedOn w:val="Fuentedeprrafopredeter"/>
    <w:uiPriority w:val="99"/>
    <w:semiHidden/>
    <w:unhideWhenUsed/>
    <w:rsid w:val="005316BF"/>
    <w:rPr>
      <w:color w:val="605E5C"/>
      <w:shd w:val="clear" w:color="auto" w:fill="E1DFDD"/>
    </w:rPr>
  </w:style>
  <w:style w:type="character" w:customStyle="1" w:styleId="Mencinsinresolver3">
    <w:name w:val="Mención sin resolver3"/>
    <w:basedOn w:val="Fuentedeprrafopredeter"/>
    <w:uiPriority w:val="99"/>
    <w:rsid w:val="005316BF"/>
    <w:rPr>
      <w:color w:val="605E5C"/>
      <w:shd w:val="clear" w:color="auto" w:fill="E1DFDD"/>
    </w:rPr>
  </w:style>
  <w:style w:type="paragraph" w:customStyle="1" w:styleId="paragraph">
    <w:name w:val="paragraph"/>
    <w:basedOn w:val="Normal"/>
    <w:rsid w:val="005316B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run">
    <w:name w:val="textrun"/>
    <w:basedOn w:val="Fuentedeprrafopredeter"/>
    <w:rsid w:val="005316BF"/>
  </w:style>
  <w:style w:type="character" w:customStyle="1" w:styleId="eop">
    <w:name w:val="eop"/>
    <w:basedOn w:val="Fuentedeprrafopredeter"/>
    <w:rsid w:val="005316BF"/>
  </w:style>
  <w:style w:type="character" w:customStyle="1" w:styleId="spellingerror">
    <w:name w:val="spellingerror"/>
    <w:basedOn w:val="Fuentedeprrafopredeter"/>
    <w:rsid w:val="005316BF"/>
  </w:style>
  <w:style w:type="character" w:styleId="Nmerodepgina">
    <w:name w:val="page number"/>
    <w:basedOn w:val="Fuentedeprrafopredeter"/>
    <w:uiPriority w:val="99"/>
    <w:semiHidden/>
    <w:unhideWhenUsed/>
    <w:rsid w:val="005316BF"/>
  </w:style>
  <w:style w:type="paragraph" w:customStyle="1" w:styleId="Sangradetextonormal1">
    <w:name w:val="Sangría de texto normal1"/>
    <w:basedOn w:val="Normal"/>
    <w:next w:val="Sangradetextonormal"/>
    <w:link w:val="SangradetextonormalCar"/>
    <w:uiPriority w:val="99"/>
    <w:semiHidden/>
    <w:unhideWhenUsed/>
    <w:rsid w:val="005316BF"/>
    <w:pPr>
      <w:spacing w:after="120" w:line="240" w:lineRule="auto"/>
      <w:ind w:left="283"/>
    </w:pPr>
    <w:rPr>
      <w:sz w:val="24"/>
      <w:lang w:val="es-MX"/>
    </w:rPr>
  </w:style>
  <w:style w:type="character" w:customStyle="1" w:styleId="SangradetextonormalCar">
    <w:name w:val="Sangría de texto normal Car"/>
    <w:basedOn w:val="Fuentedeprrafopredeter"/>
    <w:link w:val="Sangradetextonormal1"/>
    <w:uiPriority w:val="99"/>
    <w:semiHidden/>
    <w:rsid w:val="005316BF"/>
    <w:rPr>
      <w:sz w:val="24"/>
      <w:lang w:val="es-MX"/>
    </w:rPr>
  </w:style>
  <w:style w:type="character" w:styleId="Textoennegrita">
    <w:name w:val="Strong"/>
    <w:basedOn w:val="Fuentedeprrafopredeter"/>
    <w:uiPriority w:val="22"/>
    <w:qFormat/>
    <w:rsid w:val="005316BF"/>
    <w:rPr>
      <w:b/>
      <w:bCs/>
    </w:rPr>
  </w:style>
  <w:style w:type="character" w:styleId="nfasis">
    <w:name w:val="Emphasis"/>
    <w:basedOn w:val="Fuentedeprrafopredeter"/>
    <w:uiPriority w:val="20"/>
    <w:qFormat/>
    <w:rsid w:val="005316BF"/>
    <w:rPr>
      <w:i/>
      <w:iCs/>
    </w:rPr>
  </w:style>
  <w:style w:type="character" w:customStyle="1" w:styleId="NormalWebCar">
    <w:name w:val="Normal (Web) Car"/>
    <w:link w:val="NormalWeb"/>
    <w:uiPriority w:val="99"/>
    <w:rsid w:val="005316BF"/>
    <w:rPr>
      <w:rFonts w:ascii="Times New Roman" w:eastAsia="Times New Roman" w:hAnsi="Times New Roman" w:cs="Times New Roman"/>
      <w:sz w:val="24"/>
      <w:szCs w:val="24"/>
      <w:lang w:eastAsia="es-CO"/>
    </w:rPr>
  </w:style>
  <w:style w:type="character" w:customStyle="1" w:styleId="baj">
    <w:name w:val="b_aj"/>
    <w:basedOn w:val="Fuentedeprrafopredeter"/>
    <w:rsid w:val="005316BF"/>
  </w:style>
  <w:style w:type="character" w:customStyle="1" w:styleId="Ttulo2Car">
    <w:name w:val="Título 2 Car"/>
    <w:basedOn w:val="Fuentedeprrafopredeter"/>
    <w:link w:val="Ttulo2"/>
    <w:uiPriority w:val="9"/>
    <w:semiHidden/>
    <w:rsid w:val="005316BF"/>
    <w:rPr>
      <w:rFonts w:ascii="Cambria" w:eastAsia="MS Gothic" w:hAnsi="Cambria" w:cs="Times New Roman"/>
      <w:color w:val="365F91"/>
      <w:sz w:val="26"/>
      <w:szCs w:val="26"/>
      <w:lang w:eastAsia="es-ES_tradnl"/>
    </w:rPr>
  </w:style>
  <w:style w:type="paragraph" w:customStyle="1" w:styleId="Sangra2detindependiente2">
    <w:name w:val="Sangría 2 de t. independiente2"/>
    <w:basedOn w:val="Normal"/>
    <w:uiPriority w:val="99"/>
    <w:rsid w:val="005316BF"/>
    <w:pPr>
      <w:overflowPunct w:val="0"/>
      <w:autoSpaceDE w:val="0"/>
      <w:autoSpaceDN w:val="0"/>
      <w:adjustRightInd w:val="0"/>
      <w:spacing w:after="0" w:line="240" w:lineRule="auto"/>
      <w:ind w:left="1418"/>
      <w:jc w:val="both"/>
      <w:textAlignment w:val="baseline"/>
    </w:pPr>
    <w:rPr>
      <w:rFonts w:ascii="Arial" w:eastAsia="Times New Roman" w:hAnsi="Arial" w:cs="Times New Roman"/>
      <w:sz w:val="24"/>
      <w:szCs w:val="20"/>
      <w:lang w:val="es-ES" w:eastAsia="es-ES"/>
    </w:rPr>
  </w:style>
  <w:style w:type="paragraph" w:customStyle="1" w:styleId="bodytext21">
    <w:name w:val="bodytext21"/>
    <w:basedOn w:val="Normal"/>
    <w:rsid w:val="005316BF"/>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txt">
    <w:name w:val="txt"/>
    <w:basedOn w:val="Normal"/>
    <w:rsid w:val="005316BF"/>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Textonotaalfinal">
    <w:name w:val="endnote text"/>
    <w:basedOn w:val="Normal"/>
    <w:link w:val="TextonotaalfinalCar"/>
    <w:uiPriority w:val="99"/>
    <w:semiHidden/>
    <w:unhideWhenUsed/>
    <w:rsid w:val="005316BF"/>
    <w:pPr>
      <w:spacing w:after="0" w:line="240" w:lineRule="auto"/>
    </w:pPr>
    <w:rPr>
      <w:rFonts w:ascii="Times New Roman" w:eastAsia="Times New Roman" w:hAnsi="Times New Roman" w:cs="Times New Roman"/>
      <w:sz w:val="20"/>
      <w:szCs w:val="20"/>
      <w:lang w:eastAsia="es-ES_tradnl"/>
    </w:rPr>
  </w:style>
  <w:style w:type="character" w:customStyle="1" w:styleId="TextonotaalfinalCar">
    <w:name w:val="Texto nota al final Car"/>
    <w:basedOn w:val="Fuentedeprrafopredeter"/>
    <w:link w:val="Textonotaalfinal"/>
    <w:uiPriority w:val="99"/>
    <w:semiHidden/>
    <w:rsid w:val="005316BF"/>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5316BF"/>
    <w:rPr>
      <w:vertAlign w:val="superscript"/>
    </w:rPr>
  </w:style>
  <w:style w:type="character" w:customStyle="1" w:styleId="Mencinsinresolver4">
    <w:name w:val="Mención sin resolver4"/>
    <w:basedOn w:val="Fuentedeprrafopredeter"/>
    <w:uiPriority w:val="99"/>
    <w:semiHidden/>
    <w:unhideWhenUsed/>
    <w:rsid w:val="005316BF"/>
    <w:rPr>
      <w:color w:val="605E5C"/>
      <w:shd w:val="clear" w:color="auto" w:fill="E1DFDD"/>
    </w:rPr>
  </w:style>
  <w:style w:type="character" w:customStyle="1" w:styleId="superscript">
    <w:name w:val="superscript"/>
    <w:basedOn w:val="Fuentedeprrafopredeter"/>
    <w:rsid w:val="005316BF"/>
  </w:style>
  <w:style w:type="paragraph" w:styleId="Textoindependiente2">
    <w:name w:val="Body Text 2"/>
    <w:basedOn w:val="Normal"/>
    <w:link w:val="Textoindependiente2Car"/>
    <w:uiPriority w:val="99"/>
    <w:semiHidden/>
    <w:unhideWhenUsed/>
    <w:rsid w:val="005316BF"/>
    <w:pPr>
      <w:spacing w:after="120" w:line="480" w:lineRule="auto"/>
    </w:pPr>
    <w:rPr>
      <w:rFonts w:ascii="Times New Roman" w:eastAsia="Times New Roman" w:hAnsi="Times New Roman" w:cs="Times New Roman"/>
      <w:sz w:val="24"/>
      <w:szCs w:val="24"/>
      <w:lang w:eastAsia="es-ES_tradnl"/>
    </w:rPr>
  </w:style>
  <w:style w:type="character" w:customStyle="1" w:styleId="Textoindependiente2Car">
    <w:name w:val="Texto independiente 2 Car"/>
    <w:basedOn w:val="Fuentedeprrafopredeter"/>
    <w:link w:val="Textoindependiente2"/>
    <w:uiPriority w:val="99"/>
    <w:semiHidden/>
    <w:rsid w:val="005316BF"/>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5316BF"/>
  </w:style>
  <w:style w:type="paragraph" w:customStyle="1" w:styleId="bodytext2">
    <w:name w:val="bodytext2"/>
    <w:basedOn w:val="Normal"/>
    <w:rsid w:val="005316BF"/>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iaj">
    <w:name w:val="i_aj"/>
    <w:basedOn w:val="Fuentedeprrafopredeter"/>
    <w:rsid w:val="005316BF"/>
  </w:style>
  <w:style w:type="table" w:customStyle="1" w:styleId="Tablaconcuadrcula111">
    <w:name w:val="Tabla con cuadrícula111"/>
    <w:basedOn w:val="Tablanormal"/>
    <w:next w:val="Tablaconcuadrcula"/>
    <w:uiPriority w:val="39"/>
    <w:rsid w:val="00531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316BF"/>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1"/>
    <w:uiPriority w:val="99"/>
    <w:semiHidden/>
    <w:unhideWhenUsed/>
    <w:rsid w:val="005316BF"/>
    <w:pPr>
      <w:spacing w:after="0" w:line="240" w:lineRule="auto"/>
    </w:pPr>
    <w:rPr>
      <w:rFonts w:ascii="Segoe UI" w:hAnsi="Segoe UI" w:cs="Segoe UI"/>
      <w:sz w:val="18"/>
      <w:szCs w:val="18"/>
    </w:rPr>
  </w:style>
  <w:style w:type="character" w:customStyle="1" w:styleId="TextodegloboCar1">
    <w:name w:val="Texto de globo Car1"/>
    <w:basedOn w:val="Fuentedeprrafopredeter"/>
    <w:link w:val="Textodeglobo"/>
    <w:uiPriority w:val="99"/>
    <w:semiHidden/>
    <w:rsid w:val="005316BF"/>
    <w:rPr>
      <w:rFonts w:ascii="Segoe UI" w:hAnsi="Segoe UI" w:cs="Segoe UI"/>
      <w:sz w:val="18"/>
      <w:szCs w:val="18"/>
    </w:rPr>
  </w:style>
  <w:style w:type="paragraph" w:styleId="Sangradetextonormal">
    <w:name w:val="Body Text Indent"/>
    <w:basedOn w:val="Normal"/>
    <w:link w:val="SangradetextonormalCar1"/>
    <w:uiPriority w:val="99"/>
    <w:semiHidden/>
    <w:unhideWhenUsed/>
    <w:rsid w:val="005316BF"/>
    <w:pPr>
      <w:spacing w:after="120"/>
      <w:ind w:left="283"/>
    </w:pPr>
  </w:style>
  <w:style w:type="character" w:customStyle="1" w:styleId="SangradetextonormalCar1">
    <w:name w:val="Sangría de texto normal Car1"/>
    <w:basedOn w:val="Fuentedeprrafopredeter"/>
    <w:link w:val="Sangradetextonormal"/>
    <w:uiPriority w:val="99"/>
    <w:semiHidden/>
    <w:rsid w:val="005316BF"/>
  </w:style>
  <w:style w:type="character" w:customStyle="1" w:styleId="Ttulo2Car1">
    <w:name w:val="Título 2 Car1"/>
    <w:basedOn w:val="Fuentedeprrafopredeter"/>
    <w:uiPriority w:val="9"/>
    <w:semiHidden/>
    <w:rsid w:val="005316BF"/>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semiHidden/>
    <w:rsid w:val="00FC2AF6"/>
    <w:rPr>
      <w:rFonts w:asciiTheme="majorHAnsi" w:eastAsiaTheme="majorEastAsia" w:hAnsiTheme="majorHAnsi" w:cstheme="majorBidi"/>
      <w:color w:val="1F3763" w:themeColor="accent1" w:themeShade="7F"/>
      <w:sz w:val="24"/>
      <w:szCs w:val="24"/>
    </w:rPr>
  </w:style>
  <w:style w:type="table" w:customStyle="1" w:styleId="Tablaconcuadrcula3">
    <w:name w:val="Tabla con cuadrícula3"/>
    <w:basedOn w:val="Tablanormal"/>
    <w:next w:val="Tablaconcuadrcula"/>
    <w:uiPriority w:val="59"/>
    <w:rsid w:val="005F10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815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DFC0BF0-FCE8-4889-97D3-B60468558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26E8D985-F7DD-4506-BF53-B9C4A2670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6660</Words>
  <Characters>36630</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CLAUDIA DE LA OSSA BOBADILLA</cp:lastModifiedBy>
  <cp:revision>2</cp:revision>
  <dcterms:created xsi:type="dcterms:W3CDTF">2022-11-16T09:17:00Z</dcterms:created>
  <dcterms:modified xsi:type="dcterms:W3CDTF">2022-11-16T09:17:00Z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