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71B015" w14:textId="77777777" w:rsidR="001F218E" w:rsidRDefault="001F218E" w:rsidP="0044798F">
      <w:pPr>
        <w:spacing w:after="0" w:line="240" w:lineRule="auto"/>
        <w:jc w:val="both"/>
        <w:rPr>
          <w:rFonts w:ascii="Verdana" w:eastAsia="Calibri" w:hAnsi="Verdana" w:cs="Arial"/>
          <w:b/>
          <w:bCs/>
          <w:lang w:val="es-MX" w:eastAsia="es-ES_tradnl"/>
        </w:rPr>
      </w:pPr>
      <w:bookmarkStart w:id="0" w:name="_Hlk143780582"/>
      <w:r w:rsidRPr="00380FFB">
        <w:rPr>
          <w:rFonts w:ascii="Verdana" w:eastAsia="Calibri" w:hAnsi="Verdana" w:cs="Arial"/>
          <w:b/>
          <w:bCs/>
          <w:lang w:val="es-MX" w:eastAsia="es-ES_tradnl"/>
        </w:rPr>
        <w:t xml:space="preserve">LEY DE GARANTÍAS ELECTORALES ‒ Finalidad </w:t>
      </w:r>
    </w:p>
    <w:p w14:paraId="537D13F5" w14:textId="77777777" w:rsidR="001F218E" w:rsidRPr="00380FFB" w:rsidRDefault="001F218E" w:rsidP="0044798F">
      <w:pPr>
        <w:spacing w:after="0" w:line="240" w:lineRule="auto"/>
        <w:jc w:val="both"/>
        <w:rPr>
          <w:rFonts w:ascii="Verdana" w:eastAsia="Calibri" w:hAnsi="Verdana" w:cs="Arial"/>
          <w:b/>
          <w:bCs/>
          <w:lang w:val="es-MX" w:eastAsia="es-ES_tradnl"/>
        </w:rPr>
      </w:pPr>
    </w:p>
    <w:p w14:paraId="00738170" w14:textId="3FB2C1C5" w:rsidR="001F218E" w:rsidRDefault="001F218E" w:rsidP="0044798F">
      <w:pPr>
        <w:spacing w:after="0"/>
        <w:jc w:val="both"/>
        <w:rPr>
          <w:rFonts w:ascii="Verdana" w:eastAsia="Calibri" w:hAnsi="Verdana" w:cs="Arial"/>
          <w:sz w:val="20"/>
          <w:szCs w:val="20"/>
          <w:lang w:val="es-MX" w:eastAsia="es-ES_tradnl"/>
        </w:rPr>
      </w:pPr>
      <w:r>
        <w:rPr>
          <w:rFonts w:ascii="Verdana" w:eastAsia="Calibri" w:hAnsi="Verdana" w:cs="Arial"/>
          <w:sz w:val="20"/>
          <w:szCs w:val="20"/>
          <w:lang w:val="es-MX" w:eastAsia="es-ES_tradnl"/>
        </w:rPr>
        <w:t>L</w:t>
      </w:r>
      <w:r w:rsidRPr="00EC0195">
        <w:rPr>
          <w:rFonts w:ascii="Verdana" w:eastAsia="Calibri" w:hAnsi="Verdana" w:cs="Arial"/>
          <w:sz w:val="20"/>
          <w:szCs w:val="20"/>
          <w:lang w:val="es-MX" w:eastAsia="es-ES_tradnl"/>
        </w:rPr>
        <w:t>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p>
    <w:p w14:paraId="6A395A96" w14:textId="77777777" w:rsidR="001F218E" w:rsidRPr="00A7472C" w:rsidRDefault="001F218E" w:rsidP="0044798F">
      <w:pPr>
        <w:spacing w:after="0" w:line="240" w:lineRule="auto"/>
        <w:jc w:val="both"/>
        <w:rPr>
          <w:rFonts w:ascii="Verdana" w:eastAsia="Calibri" w:hAnsi="Verdana" w:cs="Arial"/>
          <w:sz w:val="20"/>
          <w:szCs w:val="20"/>
          <w:lang w:val="es-MX" w:eastAsia="es-ES_tradnl"/>
        </w:rPr>
      </w:pPr>
    </w:p>
    <w:p w14:paraId="35550F79" w14:textId="77777777" w:rsidR="001F218E" w:rsidRDefault="001F218E" w:rsidP="0044798F">
      <w:pPr>
        <w:spacing w:after="0" w:line="240" w:lineRule="auto"/>
        <w:jc w:val="both"/>
        <w:rPr>
          <w:rFonts w:ascii="Verdana" w:eastAsia="Calibri" w:hAnsi="Verdana" w:cs="Arial"/>
          <w:b/>
          <w:bCs/>
          <w:lang w:val="es-MX" w:eastAsia="es-ES_tradnl"/>
        </w:rPr>
      </w:pPr>
      <w:r w:rsidRPr="00380FFB">
        <w:rPr>
          <w:rFonts w:ascii="Verdana" w:eastAsia="Calibri" w:hAnsi="Verdana" w:cs="Arial"/>
          <w:b/>
          <w:bCs/>
          <w:lang w:val="es-MX" w:eastAsia="es-ES_tradnl"/>
        </w:rPr>
        <w:t xml:space="preserve">LEY DE GARANTÍAS ELECTORALES ‒ Tipos de restricciones ‒ Ámbito temporal </w:t>
      </w:r>
    </w:p>
    <w:p w14:paraId="1B3F783D" w14:textId="77777777" w:rsidR="001F218E" w:rsidRPr="00380FFB" w:rsidRDefault="001F218E" w:rsidP="0044798F">
      <w:pPr>
        <w:spacing w:after="0" w:line="240" w:lineRule="auto"/>
        <w:jc w:val="both"/>
        <w:rPr>
          <w:rFonts w:ascii="Verdana" w:eastAsia="Calibri" w:hAnsi="Verdana" w:cs="Arial"/>
          <w:b/>
          <w:bCs/>
          <w:lang w:val="es-MX" w:eastAsia="es-ES_tradnl"/>
        </w:rPr>
      </w:pPr>
    </w:p>
    <w:p w14:paraId="6CF4897C" w14:textId="77777777" w:rsidR="001F218E" w:rsidRDefault="001F218E" w:rsidP="0044798F">
      <w:pPr>
        <w:spacing w:after="0"/>
        <w:jc w:val="both"/>
        <w:rPr>
          <w:rFonts w:ascii="Verdana" w:eastAsia="Arial" w:hAnsi="Verdana" w:cs="Arial"/>
          <w:sz w:val="20"/>
          <w:szCs w:val="20"/>
          <w:lang w:val="es-ES" w:eastAsia="es-ES" w:bidi="es-ES"/>
        </w:rPr>
      </w:pPr>
      <w:r w:rsidRPr="00A14964">
        <w:rPr>
          <w:rFonts w:ascii="Verdana" w:eastAsia="Arial" w:hAnsi="Verdana" w:cs="Arial"/>
          <w:sz w:val="20"/>
          <w:szCs w:val="20"/>
          <w:lang w:val="es-ES" w:eastAsia="es-ES" w:bidi="es-ES"/>
        </w:rPr>
        <w:t xml:space="preserve">La Ley 996 de 2005 establece dos (2) tipos de restricciones en materia de contratación, las cuales coinciden parcialmente. </w:t>
      </w:r>
      <w:r w:rsidRPr="00A14964">
        <w:rPr>
          <w:rFonts w:ascii="Verdana" w:eastAsia="Arial" w:hAnsi="Verdana" w:cs="Arial"/>
          <w:i/>
          <w:sz w:val="20"/>
          <w:szCs w:val="20"/>
          <w:lang w:val="es-ES" w:eastAsia="es-ES" w:bidi="es-ES"/>
        </w:rPr>
        <w:t>En primer lugar</w:t>
      </w:r>
      <w:r w:rsidRPr="00A14964">
        <w:rPr>
          <w:rFonts w:ascii="Verdana" w:eastAsia="Arial" w:hAnsi="Verdana" w:cs="Arial"/>
          <w:sz w:val="20"/>
          <w:szCs w:val="20"/>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A14964">
        <w:rPr>
          <w:rFonts w:ascii="Verdana" w:eastAsia="Arial" w:hAnsi="Verdana" w:cs="Arial"/>
          <w:i/>
          <w:sz w:val="20"/>
          <w:szCs w:val="20"/>
          <w:lang w:val="es-ES" w:eastAsia="es-ES" w:bidi="es-ES"/>
        </w:rPr>
        <w:t>En segundo lugar</w:t>
      </w:r>
      <w:r w:rsidRPr="00A14964">
        <w:rPr>
          <w:rFonts w:ascii="Verdana" w:eastAsia="Arial" w:hAnsi="Verdana" w:cs="Arial"/>
          <w:sz w:val="20"/>
          <w:szCs w:val="20"/>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7C4B4544" w14:textId="77777777" w:rsidR="001F218E" w:rsidRPr="00A14964" w:rsidRDefault="001F218E" w:rsidP="0044798F">
      <w:pPr>
        <w:spacing w:after="0" w:line="240" w:lineRule="auto"/>
        <w:jc w:val="both"/>
        <w:rPr>
          <w:rFonts w:ascii="Verdana" w:eastAsia="Calibri" w:hAnsi="Verdana" w:cs="Arial"/>
          <w:b/>
          <w:bCs/>
          <w:sz w:val="20"/>
          <w:szCs w:val="20"/>
          <w:lang w:val="es-MX" w:eastAsia="es-ES_tradnl"/>
        </w:rPr>
      </w:pPr>
    </w:p>
    <w:p w14:paraId="6EAD3F35" w14:textId="77777777" w:rsidR="001F218E" w:rsidRDefault="001F218E" w:rsidP="0044798F">
      <w:pPr>
        <w:spacing w:after="0" w:line="240" w:lineRule="auto"/>
        <w:jc w:val="both"/>
        <w:rPr>
          <w:rFonts w:ascii="Verdana" w:eastAsia="Calibri" w:hAnsi="Verdana" w:cs="Arial"/>
          <w:b/>
          <w:bCs/>
          <w:lang w:val="es-MX" w:eastAsia="es-ES_tradnl"/>
        </w:rPr>
      </w:pPr>
      <w:r w:rsidRPr="00380FFB">
        <w:rPr>
          <w:rFonts w:ascii="Verdana" w:eastAsia="Calibri" w:hAnsi="Verdana" w:cs="Arial"/>
          <w:b/>
          <w:bCs/>
          <w:lang w:val="es-MX" w:eastAsia="es-ES_tradnl"/>
        </w:rPr>
        <w:t xml:space="preserve"> LEY DE GARANTÍAS ELECTORALES ‒ Prohibición por elección de cargos populares </w:t>
      </w:r>
    </w:p>
    <w:p w14:paraId="075EB7B0" w14:textId="77777777" w:rsidR="001F218E" w:rsidRPr="00380FFB" w:rsidRDefault="001F218E" w:rsidP="0044798F">
      <w:pPr>
        <w:spacing w:after="0" w:line="240" w:lineRule="auto"/>
        <w:jc w:val="both"/>
        <w:rPr>
          <w:rFonts w:ascii="Verdana" w:eastAsia="Calibri" w:hAnsi="Verdana" w:cs="Arial"/>
          <w:b/>
          <w:bCs/>
          <w:lang w:val="es-MX" w:eastAsia="es-ES_tradnl"/>
        </w:rPr>
      </w:pPr>
    </w:p>
    <w:p w14:paraId="57B98FE9" w14:textId="77777777" w:rsidR="001F218E" w:rsidRDefault="001F218E" w:rsidP="0044798F">
      <w:pPr>
        <w:spacing w:after="0"/>
        <w:jc w:val="both"/>
        <w:rPr>
          <w:rFonts w:ascii="Verdana" w:eastAsia="Times New Roman" w:hAnsi="Verdana" w:cs="Arial"/>
          <w:sz w:val="20"/>
          <w:szCs w:val="20"/>
          <w:lang w:val="es-MX" w:eastAsia="es-CO"/>
        </w:rPr>
      </w:pPr>
      <w:r>
        <w:rPr>
          <w:rFonts w:ascii="Verdana" w:eastAsia="Times New Roman" w:hAnsi="Verdana" w:cs="Arial"/>
          <w:sz w:val="20"/>
          <w:szCs w:val="20"/>
          <w:lang w:val="es-MX" w:eastAsia="es-CO"/>
        </w:rPr>
        <w:t>E</w:t>
      </w:r>
      <w:r w:rsidRPr="00A14964">
        <w:rPr>
          <w:rFonts w:ascii="Verdana" w:eastAsia="Times New Roman" w:hAnsi="Verdana" w:cs="Arial"/>
          <w:sz w:val="20"/>
          <w:szCs w:val="20"/>
          <w:lang w:val="es-MX" w:eastAsia="es-CO"/>
        </w:rPr>
        <w:t xml:space="preserve">l parágrafo del artículo 38 de la Ley 996 de 2005 prohíbe a los Alcaldes, Gobernadores, Secretarios, Gerentes y Directores de las entidades del orden municipal, departamental o distrital celebrar </w:t>
      </w:r>
      <w:r w:rsidRPr="00A14964">
        <w:rPr>
          <w:rFonts w:ascii="Verdana" w:eastAsia="Times New Roman" w:hAnsi="Verdana" w:cs="Arial"/>
          <w:i/>
          <w:iCs/>
          <w:sz w:val="20"/>
          <w:szCs w:val="20"/>
          <w:lang w:val="es-MX" w:eastAsia="es-CO"/>
        </w:rPr>
        <w:t>convenios interadministrativos</w:t>
      </w:r>
      <w:r w:rsidRPr="00A14964">
        <w:rPr>
          <w:rFonts w:ascii="Verdana" w:eastAsia="Times New Roman" w:hAnsi="Verdana" w:cs="Arial"/>
          <w:sz w:val="20"/>
          <w:szCs w:val="20"/>
          <w:lang w:val="es-MX" w:eastAsia="es-CO"/>
        </w:rPr>
        <w:t xml:space="preserve"> para la ejecución de recursos públicos. En este sentido, si una o ambas partes de la relación contractual es una entidad de aquellas descritas en el parágrafo </w:t>
      </w:r>
      <w:r w:rsidRPr="00A14964">
        <w:rPr>
          <w:rFonts w:ascii="Verdana" w:eastAsia="Times New Roman" w:hAnsi="Verdana" w:cs="Arial"/>
          <w:i/>
          <w:sz w:val="20"/>
          <w:szCs w:val="20"/>
          <w:lang w:val="es-MX" w:eastAsia="es-CO"/>
        </w:rPr>
        <w:t>ibidem</w:t>
      </w:r>
      <w:r w:rsidRPr="00A14964">
        <w:rPr>
          <w:rFonts w:ascii="Verdana" w:eastAsia="Times New Roman" w:hAnsi="Verdana" w:cs="Arial"/>
          <w:sz w:val="20"/>
          <w:szCs w:val="20"/>
          <w:lang w:val="es-MX" w:eastAsia="es-CO"/>
        </w:rPr>
        <w:t xml:space="preserve">, no podrá celebrar tales </w:t>
      </w:r>
      <w:r w:rsidRPr="00A14964">
        <w:rPr>
          <w:rFonts w:ascii="Verdana" w:eastAsia="Times New Roman" w:hAnsi="Verdana" w:cs="Arial"/>
          <w:i/>
          <w:iCs/>
          <w:sz w:val="20"/>
          <w:szCs w:val="20"/>
          <w:lang w:val="es-MX" w:eastAsia="es-CO"/>
        </w:rPr>
        <w:t>convenios</w:t>
      </w:r>
      <w:r w:rsidRPr="00A14964">
        <w:rPr>
          <w:rFonts w:ascii="Verdana" w:eastAsia="Times New Roman" w:hAnsi="Verdana" w:cs="Arial"/>
          <w:sz w:val="20"/>
          <w:szCs w:val="20"/>
          <w:lang w:val="es-MX" w:eastAsia="es-CO"/>
        </w:rPr>
        <w:t xml:space="preserve"> durante la aplicación de la Ley de Garantías Electorales, toda vez que la citada disposición hace referencia a dicha tipología contractual sin que el legislador hubiere contemplado un efecto extensivo a otra tipología</w:t>
      </w:r>
      <w:r>
        <w:rPr>
          <w:rFonts w:ascii="Verdana" w:eastAsia="Times New Roman" w:hAnsi="Verdana" w:cs="Arial"/>
          <w:sz w:val="20"/>
          <w:szCs w:val="20"/>
          <w:lang w:val="es-MX" w:eastAsia="es-CO"/>
        </w:rPr>
        <w:t>.</w:t>
      </w:r>
    </w:p>
    <w:p w14:paraId="04D2C799" w14:textId="77777777" w:rsidR="001F218E" w:rsidRPr="00A14964" w:rsidRDefault="001F218E" w:rsidP="0044798F">
      <w:pPr>
        <w:spacing w:after="0" w:line="240" w:lineRule="auto"/>
        <w:jc w:val="both"/>
        <w:rPr>
          <w:rFonts w:ascii="Verdana" w:eastAsia="Calibri" w:hAnsi="Verdana" w:cs="Arial"/>
          <w:b/>
          <w:bCs/>
          <w:sz w:val="20"/>
          <w:szCs w:val="20"/>
          <w:lang w:val="es-MX" w:eastAsia="es-ES_tradnl"/>
        </w:rPr>
      </w:pPr>
    </w:p>
    <w:p w14:paraId="253FE5EA" w14:textId="77777777" w:rsidR="001F218E" w:rsidRPr="00380FFB" w:rsidRDefault="001F218E" w:rsidP="0044798F">
      <w:pPr>
        <w:spacing w:after="0" w:line="240" w:lineRule="auto"/>
        <w:jc w:val="both"/>
        <w:rPr>
          <w:rFonts w:ascii="Verdana" w:eastAsia="Calibri" w:hAnsi="Verdana" w:cs="Arial"/>
          <w:b/>
          <w:bCs/>
          <w:lang w:val="es-ES" w:eastAsia="es-ES"/>
        </w:rPr>
      </w:pPr>
      <w:r w:rsidRPr="00380FFB">
        <w:rPr>
          <w:rFonts w:ascii="Verdana" w:eastAsia="Calibri" w:hAnsi="Verdana" w:cs="Arial"/>
          <w:b/>
          <w:bCs/>
          <w:lang w:val="es-MX" w:eastAsia="es-ES_tradnl"/>
        </w:rPr>
        <w:t>ELECCIONES ATÍPICAS</w:t>
      </w:r>
      <w:r w:rsidRPr="00380FFB">
        <w:rPr>
          <w:rFonts w:ascii="Verdana" w:eastAsia="Calibri" w:hAnsi="Verdana" w:cs="Arial"/>
          <w:b/>
          <w:bCs/>
          <w:lang w:val="es-ES" w:eastAsia="es-ES"/>
        </w:rPr>
        <w:t xml:space="preserve"> – Aplicación ley de garantías</w:t>
      </w:r>
    </w:p>
    <w:p w14:paraId="1F6417BA" w14:textId="77777777" w:rsidR="001F218E" w:rsidRDefault="001F218E" w:rsidP="0044798F">
      <w:pPr>
        <w:spacing w:after="0" w:line="240" w:lineRule="auto"/>
        <w:rPr>
          <w:rFonts w:ascii="Verdana" w:eastAsia="Geomanist Light" w:hAnsi="Verdana" w:cs="Arial"/>
          <w:color w:val="000000" w:themeColor="text1"/>
        </w:rPr>
      </w:pPr>
    </w:p>
    <w:p w14:paraId="5DEF0C9E" w14:textId="77777777" w:rsidR="001F218E" w:rsidRPr="00A14964" w:rsidRDefault="001F218E" w:rsidP="0044798F">
      <w:pPr>
        <w:spacing w:after="0" w:line="240" w:lineRule="auto"/>
        <w:jc w:val="both"/>
        <w:rPr>
          <w:rFonts w:ascii="Verdana" w:eastAsia="Geomanist Light" w:hAnsi="Verdana" w:cs="Arial"/>
          <w:color w:val="000000" w:themeColor="text1"/>
          <w:sz w:val="20"/>
          <w:szCs w:val="20"/>
        </w:rPr>
      </w:pPr>
      <w:r>
        <w:rPr>
          <w:rFonts w:ascii="Verdana" w:eastAsia="Calibri" w:hAnsi="Verdana" w:cs="Arial"/>
          <w:sz w:val="20"/>
          <w:szCs w:val="20"/>
          <w:lang w:eastAsia="es-ES" w:bidi="es-ES"/>
        </w:rPr>
        <w:t>P</w:t>
      </w:r>
      <w:r w:rsidRPr="00A14964">
        <w:rPr>
          <w:rFonts w:ascii="Verdana" w:eastAsia="Calibri" w:hAnsi="Verdana" w:cs="Arial"/>
          <w:sz w:val="20"/>
          <w:szCs w:val="20"/>
          <w:lang w:eastAsia="es-ES" w:bidi="es-ES"/>
        </w:rPr>
        <w:t xml:space="preserve">ara las elecciones atípicas de alcaldía resulta aplicable las restricciones señaladas en el parágrafo del artículo 38 de la Ley 996 de 2005, lo que significa que, en materia de </w:t>
      </w:r>
      <w:r w:rsidRPr="00A14964">
        <w:rPr>
          <w:rFonts w:ascii="Verdana" w:eastAsia="Calibri" w:hAnsi="Verdana" w:cs="Arial"/>
          <w:sz w:val="20"/>
          <w:szCs w:val="20"/>
          <w:lang w:eastAsia="es-ES" w:bidi="es-ES"/>
        </w:rPr>
        <w:lastRenderedPageBreak/>
        <w:t>contratación estatal, los Alcaldes, los Gobernadores, Alcaldes Municipales y/o Distritales, Secretarios, Gerentes y directores de Entidades Descentralizadas del orden Municipal, Departamental o Distrital, no podrán celebrar convenios interadministrativos para la ejecución de recursos públicos, dentro del periodo en que se convocó a las elecciones atípicas y su votación.</w:t>
      </w:r>
    </w:p>
    <w:p w14:paraId="36C3DF44" w14:textId="476B6320" w:rsidR="001F218E" w:rsidRDefault="001F218E" w:rsidP="0044798F">
      <w:pPr>
        <w:spacing w:after="0" w:line="240" w:lineRule="auto"/>
        <w:jc w:val="both"/>
        <w:rPr>
          <w:rFonts w:ascii="Verdana" w:eastAsia="Geomanist Light" w:hAnsi="Verdana" w:cs="Arial"/>
          <w:color w:val="000000" w:themeColor="text1"/>
          <w:sz w:val="20"/>
          <w:szCs w:val="20"/>
        </w:rPr>
      </w:pPr>
    </w:p>
    <w:p w14:paraId="09B33BEC" w14:textId="1765DBD2" w:rsidR="004D1E55" w:rsidRDefault="004D1E55">
      <w:pPr>
        <w:rPr>
          <w:rFonts w:ascii="Verdana" w:hAnsi="Verdana"/>
        </w:rPr>
      </w:pPr>
      <w:r>
        <w:rPr>
          <w:rFonts w:ascii="Verdana" w:hAnsi="Verdana"/>
        </w:rPr>
        <w:br w:type="page"/>
      </w:r>
    </w:p>
    <w:p w14:paraId="39AEC7F4" w14:textId="77777777" w:rsidR="0044798F" w:rsidRDefault="0044798F" w:rsidP="00F00796">
      <w:pPr>
        <w:spacing w:after="0"/>
        <w:rPr>
          <w:rFonts w:ascii="Verdana" w:hAnsi="Verdana"/>
        </w:rPr>
      </w:pPr>
    </w:p>
    <w:p w14:paraId="543F9A9E" w14:textId="77777777" w:rsidR="0044798F" w:rsidRDefault="0044798F" w:rsidP="00F00796">
      <w:pPr>
        <w:spacing w:after="0"/>
        <w:rPr>
          <w:rFonts w:ascii="Verdana" w:hAnsi="Verdana"/>
        </w:rPr>
      </w:pPr>
    </w:p>
    <w:p w14:paraId="676E879E" w14:textId="5E1962C7" w:rsidR="00F00796" w:rsidRPr="00277150" w:rsidRDefault="00E2397D" w:rsidP="00F00796">
      <w:pPr>
        <w:spacing w:after="0"/>
        <w:rPr>
          <w:rFonts w:ascii="Verdana" w:hAnsi="Verdana"/>
        </w:rPr>
      </w:pPr>
      <w:r w:rsidRPr="00277150">
        <w:rPr>
          <w:rFonts w:ascii="Verdana" w:hAnsi="Verdana"/>
        </w:rPr>
        <w:t xml:space="preserve">Bogotá D.C., </w:t>
      </w:r>
      <w:r w:rsidR="00CD1796">
        <w:rPr>
          <w:rFonts w:ascii="Verdana" w:hAnsi="Verdana"/>
        </w:rPr>
        <w:t>26 de junio de 2025</w:t>
      </w:r>
    </w:p>
    <w:p w14:paraId="16559F47" w14:textId="0139AC1E" w:rsidR="00F00796" w:rsidRPr="00277150" w:rsidRDefault="00F00796" w:rsidP="00F00796">
      <w:pPr>
        <w:spacing w:after="0"/>
        <w:rPr>
          <w:rFonts w:ascii="Verdana" w:hAnsi="Verdana"/>
        </w:rPr>
      </w:pPr>
    </w:p>
    <w:p w14:paraId="302F8E2A" w14:textId="0DE4B0CD" w:rsidR="00BD4BCA" w:rsidRPr="00277150" w:rsidRDefault="00BD4BCA" w:rsidP="00F00796">
      <w:pPr>
        <w:spacing w:after="0"/>
        <w:rPr>
          <w:rFonts w:ascii="Verdana" w:hAnsi="Verdana"/>
        </w:rPr>
      </w:pPr>
    </w:p>
    <w:p w14:paraId="4C5A60BE" w14:textId="3B310176" w:rsidR="00F00796" w:rsidRPr="00277150" w:rsidRDefault="00F00796" w:rsidP="00F00796">
      <w:pPr>
        <w:spacing w:after="0" w:line="240" w:lineRule="auto"/>
        <w:rPr>
          <w:rFonts w:ascii="Verdana" w:eastAsia="Calibri" w:hAnsi="Verdana" w:cs="Times New Roman"/>
          <w:lang w:val="es-MX"/>
        </w:rPr>
      </w:pPr>
      <w:bookmarkStart w:id="1" w:name="_Hlk201674464"/>
      <w:r w:rsidRPr="00277150">
        <w:rPr>
          <w:rFonts w:ascii="Verdana" w:eastAsia="Calibri" w:hAnsi="Verdana" w:cs="Times New Roman"/>
          <w:lang w:val="es-MX"/>
        </w:rPr>
        <w:t>Señor</w:t>
      </w:r>
    </w:p>
    <w:p w14:paraId="3C58F162" w14:textId="5B1C05A4" w:rsidR="004D1E55" w:rsidRDefault="004D1E55" w:rsidP="00F00796">
      <w:pPr>
        <w:spacing w:after="0" w:line="240" w:lineRule="auto"/>
        <w:rPr>
          <w:rFonts w:ascii="Verdana" w:eastAsia="Calibri" w:hAnsi="Verdana" w:cs="Times New Roman"/>
          <w:b/>
        </w:rPr>
      </w:pPr>
      <w:r w:rsidRPr="004D1E55">
        <w:rPr>
          <w:rFonts w:ascii="Verdana" w:eastAsia="Calibri" w:hAnsi="Verdana" w:cs="Times New Roman"/>
          <w:b/>
        </w:rPr>
        <w:t>Carlos Mauricio Tascón Ospina</w:t>
      </w:r>
    </w:p>
    <w:p w14:paraId="2217CB48" w14:textId="0D95A240" w:rsidR="00F00796" w:rsidRDefault="004D1E55" w:rsidP="00F00796">
      <w:pPr>
        <w:spacing w:after="0" w:line="256" w:lineRule="auto"/>
        <w:rPr>
          <w:rFonts w:ascii="Verdana" w:eastAsia="Calibri" w:hAnsi="Verdana" w:cs="Times New Roman"/>
          <w:u w:val="single"/>
        </w:rPr>
      </w:pPr>
      <w:hyperlink r:id="rId11" w:history="1">
        <w:r w:rsidRPr="0010092A">
          <w:rPr>
            <w:rStyle w:val="Hipervnculo"/>
            <w:rFonts w:ascii="Verdana" w:eastAsia="Calibri" w:hAnsi="Verdana" w:cs="Times New Roman"/>
          </w:rPr>
          <w:t>juridico@bugalagrande-valle.gov.co</w:t>
        </w:r>
      </w:hyperlink>
    </w:p>
    <w:p w14:paraId="130831A1" w14:textId="51D7AC5C" w:rsidR="004D1E55" w:rsidRPr="00963AD4" w:rsidRDefault="00963AD4" w:rsidP="00F00796">
      <w:pPr>
        <w:spacing w:after="0" w:line="256" w:lineRule="auto"/>
        <w:rPr>
          <w:rFonts w:ascii="Verdana" w:eastAsia="Calibri" w:hAnsi="Verdana" w:cs="Times New Roman"/>
        </w:rPr>
      </w:pPr>
      <w:r w:rsidRPr="00963AD4">
        <w:rPr>
          <w:rFonts w:ascii="Verdana" w:eastAsia="Calibri" w:hAnsi="Verdana" w:cs="Times New Roman"/>
        </w:rPr>
        <w:t>Bugalagrande, Valle del Cauca</w:t>
      </w:r>
    </w:p>
    <w:p w14:paraId="05DE5F67" w14:textId="77777777" w:rsidR="00F00796" w:rsidRDefault="00F00796" w:rsidP="00F00796">
      <w:pPr>
        <w:spacing w:after="0" w:line="256" w:lineRule="auto"/>
        <w:rPr>
          <w:rFonts w:ascii="Verdana" w:eastAsia="Calibri" w:hAnsi="Verdana" w:cs="Times New Roman"/>
        </w:rPr>
      </w:pPr>
    </w:p>
    <w:p w14:paraId="6AAE5DFB" w14:textId="77777777" w:rsidR="009D5983" w:rsidRDefault="009D5983" w:rsidP="00F00796">
      <w:pPr>
        <w:spacing w:after="0" w:line="256" w:lineRule="auto"/>
        <w:rPr>
          <w:rFonts w:ascii="Verdana" w:eastAsia="Calibri" w:hAnsi="Verdana" w:cs="Times New Roman"/>
        </w:rPr>
      </w:pPr>
    </w:p>
    <w:p w14:paraId="56C50393" w14:textId="41AC7E0D" w:rsidR="009D5983" w:rsidRPr="00A12CB6" w:rsidRDefault="009D5983" w:rsidP="009D5983">
      <w:pPr>
        <w:spacing w:after="0" w:line="256" w:lineRule="auto"/>
        <w:jc w:val="right"/>
        <w:rPr>
          <w:rFonts w:ascii="Verdana" w:eastAsia="Calibri" w:hAnsi="Verdana" w:cs="Times New Roman"/>
        </w:rPr>
      </w:pPr>
      <w:r w:rsidRPr="009D5983">
        <w:rPr>
          <w:rFonts w:ascii="Verdana" w:eastAsia="Calibri" w:hAnsi="Verdana" w:cs="Times New Roman"/>
          <w:noProof/>
        </w:rPr>
        <w:drawing>
          <wp:inline distT="0" distB="0" distL="0" distR="0" wp14:anchorId="116C854D" wp14:editId="0B42A6E1">
            <wp:extent cx="2743438" cy="701101"/>
            <wp:effectExtent l="0" t="0" r="0" b="3810"/>
            <wp:docPr id="1728194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1948" name=""/>
                    <pic:cNvPicPr/>
                  </pic:nvPicPr>
                  <pic:blipFill>
                    <a:blip r:embed="rId12"/>
                    <a:stretch>
                      <a:fillRect/>
                    </a:stretch>
                  </pic:blipFill>
                  <pic:spPr>
                    <a:xfrm>
                      <a:off x="0" y="0"/>
                      <a:ext cx="2743438" cy="701101"/>
                    </a:xfrm>
                    <a:prstGeom prst="rect">
                      <a:avLst/>
                    </a:prstGeom>
                  </pic:spPr>
                </pic:pic>
              </a:graphicData>
            </a:graphic>
          </wp:inline>
        </w:drawing>
      </w:r>
    </w:p>
    <w:p w14:paraId="3EFEA884" w14:textId="066AA786" w:rsidR="00F00796" w:rsidRPr="00A12CB6" w:rsidRDefault="00F00796" w:rsidP="00F00796">
      <w:pPr>
        <w:spacing w:after="0" w:line="256" w:lineRule="auto"/>
        <w:rPr>
          <w:rFonts w:ascii="Verdana" w:eastAsia="Calibri" w:hAnsi="Verdana" w:cs="Times New Roman"/>
          <w:b/>
          <w:bCs/>
          <w:lang w:val="es-ES"/>
        </w:rPr>
      </w:pPr>
      <w:r w:rsidRPr="00A12CB6">
        <w:rPr>
          <w:rFonts w:ascii="Verdana" w:eastAsia="Calibri" w:hAnsi="Verdana" w:cs="Times New Roman"/>
          <w:b/>
          <w:bCs/>
          <w:lang w:val="es-ES"/>
        </w:rPr>
        <w:t xml:space="preserve">                  </w:t>
      </w:r>
      <w:r w:rsidR="00E2397D">
        <w:rPr>
          <w:rFonts w:ascii="Verdana" w:eastAsia="Calibri" w:hAnsi="Verdana" w:cs="Times New Roman"/>
          <w:b/>
          <w:bCs/>
          <w:lang w:val="es-ES"/>
        </w:rPr>
        <w:t xml:space="preserve">                  Concepto C–</w:t>
      </w:r>
      <w:r w:rsidR="004D1E55">
        <w:rPr>
          <w:rFonts w:ascii="Verdana" w:eastAsia="Calibri" w:hAnsi="Verdana" w:cs="Times New Roman"/>
          <w:b/>
          <w:bCs/>
          <w:lang w:val="es-ES"/>
        </w:rPr>
        <w:t>616</w:t>
      </w:r>
      <w:r w:rsidR="00E2397D">
        <w:rPr>
          <w:rFonts w:ascii="Verdana" w:eastAsia="Calibri" w:hAnsi="Verdana" w:cs="Times New Roman"/>
          <w:b/>
          <w:bCs/>
          <w:lang w:val="es-ES"/>
        </w:rPr>
        <w:t xml:space="preserve"> </w:t>
      </w:r>
      <w:r w:rsidRPr="00A12CB6">
        <w:rPr>
          <w:rFonts w:ascii="Verdana" w:eastAsia="Calibri" w:hAnsi="Verdana" w:cs="Times New Roman"/>
          <w:b/>
          <w:bCs/>
          <w:lang w:val="es-ES"/>
        </w:rPr>
        <w:t>de 2025</w:t>
      </w:r>
    </w:p>
    <w:p w14:paraId="4A93AF56" w14:textId="77777777" w:rsidR="00F00796" w:rsidRPr="00A12CB6" w:rsidRDefault="00F00796" w:rsidP="00F00796">
      <w:pPr>
        <w:spacing w:after="0" w:line="256" w:lineRule="auto"/>
        <w:rPr>
          <w:rFonts w:ascii="Verdana" w:eastAsia="Calibri" w:hAnsi="Verdana" w:cs="Times New Roman"/>
          <w:lang w:val="es-ES_tradnl"/>
        </w:rPr>
      </w:pPr>
    </w:p>
    <w:tbl>
      <w:tblPr>
        <w:tblStyle w:val="Tablaconcuadrcula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F00796" w:rsidRPr="00A12CB6" w14:paraId="7D90DBE1" w14:textId="77777777" w:rsidTr="00505795">
        <w:trPr>
          <w:trHeight w:val="645"/>
        </w:trPr>
        <w:tc>
          <w:tcPr>
            <w:tcW w:w="2685" w:type="dxa"/>
            <w:hideMark/>
          </w:tcPr>
          <w:p w14:paraId="1EBA58DA" w14:textId="77777777" w:rsidR="00F00796" w:rsidRPr="00A12CB6" w:rsidRDefault="00F00796" w:rsidP="00505795">
            <w:pPr>
              <w:spacing w:line="256" w:lineRule="auto"/>
              <w:rPr>
                <w:rFonts w:ascii="Verdana" w:hAnsi="Verdana"/>
                <w:b/>
                <w:bCs/>
                <w:lang w:val="es-ES_tradnl"/>
              </w:rPr>
            </w:pPr>
            <w:r w:rsidRPr="00A12CB6">
              <w:rPr>
                <w:rFonts w:ascii="Verdana" w:hAnsi="Verdana"/>
                <w:b/>
                <w:bCs/>
                <w:lang w:val="es-ES_tradnl"/>
              </w:rPr>
              <w:t xml:space="preserve">Temas:                   </w:t>
            </w:r>
          </w:p>
        </w:tc>
        <w:tc>
          <w:tcPr>
            <w:tcW w:w="6241" w:type="dxa"/>
            <w:hideMark/>
          </w:tcPr>
          <w:p w14:paraId="6DEF582B" w14:textId="5ADDBD53" w:rsidR="00F00796" w:rsidRPr="00AA1328" w:rsidRDefault="00605537" w:rsidP="00B80CC6">
            <w:pPr>
              <w:spacing w:line="276" w:lineRule="auto"/>
              <w:jc w:val="both"/>
              <w:rPr>
                <w:rFonts w:ascii="Verdana" w:hAnsi="Verdana" w:cs="Arial"/>
                <w:lang w:val="es-ES" w:eastAsia="es-ES"/>
              </w:rPr>
            </w:pPr>
            <w:r w:rsidRPr="00605537">
              <w:rPr>
                <w:rFonts w:ascii="Verdana" w:hAnsi="Verdana" w:cs="Arial"/>
                <w:lang w:eastAsia="es-ES_tradnl"/>
              </w:rPr>
              <w:t>LEY DE GARANTÍAS ELECTORALES ‒ Finalidad / LEY DE GARANTÍAS ELECTORALES ‒ Tipos de restricciones ‒ Ámbito temporal – celebración- límite / LEY DE GARANTÍAS ELECTORALES – Contratos y convenios interadministrativos – Criterio orgánico / CONTRATOS Y CONVENIOS INTERADMINISTRATIVOS – Definición – Criterio orgánico / CONTRATOS Y CONVENIOS INTERADMINISTRATIVOS – Definición – Criterio orgánico / LEY DE GARANTÍAS ELECTORALES – Prohibición artículo 33 – Contratación directa – Alcance / LEY DE GARANTÍAS ELECTORALES – Excepciones / LEY DE GARANTÍAS ELECTORALES – Prohibición del artículo 33 – Destinatarios</w:t>
            </w:r>
          </w:p>
        </w:tc>
        <w:tc>
          <w:tcPr>
            <w:tcW w:w="6237" w:type="dxa"/>
          </w:tcPr>
          <w:p w14:paraId="12165393" w14:textId="77777777" w:rsidR="00F00796" w:rsidRPr="00A12CB6" w:rsidRDefault="00F00796" w:rsidP="00505795">
            <w:pPr>
              <w:spacing w:line="256" w:lineRule="auto"/>
              <w:rPr>
                <w:rFonts w:ascii="Verdana" w:hAnsi="Verdana"/>
              </w:rPr>
            </w:pPr>
          </w:p>
        </w:tc>
      </w:tr>
      <w:tr w:rsidR="00F00796" w:rsidRPr="00A12CB6" w14:paraId="48C15E19" w14:textId="77777777" w:rsidTr="00505795">
        <w:tc>
          <w:tcPr>
            <w:tcW w:w="2685" w:type="dxa"/>
          </w:tcPr>
          <w:p w14:paraId="395050C2" w14:textId="77777777" w:rsidR="00F00796" w:rsidRDefault="00F00796" w:rsidP="00505795">
            <w:pPr>
              <w:spacing w:line="256" w:lineRule="auto"/>
              <w:rPr>
                <w:rFonts w:ascii="Verdana" w:hAnsi="Verdana"/>
                <w:lang w:val="es-ES_tradnl"/>
              </w:rPr>
            </w:pPr>
          </w:p>
          <w:p w14:paraId="5936EC6E" w14:textId="77777777" w:rsidR="00F00796" w:rsidRPr="00A12CB6" w:rsidRDefault="00F00796" w:rsidP="00505795">
            <w:pPr>
              <w:spacing w:line="256" w:lineRule="auto"/>
              <w:rPr>
                <w:rFonts w:ascii="Verdana" w:hAnsi="Verdana"/>
                <w:lang w:val="es-ES_tradnl"/>
              </w:rPr>
            </w:pPr>
          </w:p>
          <w:p w14:paraId="2B191C84" w14:textId="77777777" w:rsidR="00F00796" w:rsidRPr="00A12CB6" w:rsidRDefault="00F00796" w:rsidP="00505795">
            <w:pPr>
              <w:spacing w:line="256" w:lineRule="auto"/>
              <w:rPr>
                <w:rFonts w:ascii="Verdana" w:hAnsi="Verdana"/>
                <w:b/>
                <w:bCs/>
                <w:lang w:val="es-ES_tradnl"/>
              </w:rPr>
            </w:pPr>
            <w:r w:rsidRPr="00A12CB6">
              <w:rPr>
                <w:rFonts w:ascii="Verdana" w:hAnsi="Verdana"/>
                <w:b/>
                <w:bCs/>
                <w:lang w:val="es-ES_tradnl"/>
              </w:rPr>
              <w:t xml:space="preserve">Radicación:               </w:t>
            </w:r>
          </w:p>
        </w:tc>
        <w:tc>
          <w:tcPr>
            <w:tcW w:w="6241" w:type="dxa"/>
          </w:tcPr>
          <w:p w14:paraId="7D67C4A6" w14:textId="77777777" w:rsidR="00F00796" w:rsidRDefault="00F00796" w:rsidP="00505795">
            <w:pPr>
              <w:spacing w:line="257" w:lineRule="auto"/>
              <w:rPr>
                <w:rFonts w:ascii="Verdana" w:hAnsi="Verdana"/>
                <w:lang w:val="es-ES_tradnl"/>
              </w:rPr>
            </w:pPr>
          </w:p>
          <w:p w14:paraId="10F00633" w14:textId="77777777" w:rsidR="00F00796" w:rsidRPr="00A12CB6" w:rsidRDefault="00F00796" w:rsidP="00505795">
            <w:pPr>
              <w:spacing w:line="257" w:lineRule="auto"/>
              <w:rPr>
                <w:rFonts w:ascii="Verdana" w:hAnsi="Verdana"/>
                <w:lang w:val="es-ES_tradnl"/>
              </w:rPr>
            </w:pPr>
          </w:p>
          <w:p w14:paraId="632A8999" w14:textId="6B898674" w:rsidR="00F00796" w:rsidRPr="00630891" w:rsidRDefault="00F00796" w:rsidP="00505795">
            <w:pPr>
              <w:spacing w:line="257" w:lineRule="auto"/>
              <w:jc w:val="both"/>
              <w:rPr>
                <w:rFonts w:ascii="Verdana" w:hAnsi="Verdana"/>
              </w:rPr>
            </w:pPr>
            <w:r w:rsidRPr="00A12CB6">
              <w:rPr>
                <w:rFonts w:ascii="Verdana" w:hAnsi="Verdana"/>
                <w:lang w:val="es-ES_tradnl"/>
              </w:rPr>
              <w:t xml:space="preserve">Respuesta a consulta con radicado No. </w:t>
            </w:r>
            <w:r w:rsidR="004D1E55" w:rsidRPr="004D1E55">
              <w:rPr>
                <w:rFonts w:ascii="Verdana" w:hAnsi="Verdana"/>
              </w:rPr>
              <w:t>P20250519004790</w:t>
            </w:r>
            <w:r w:rsidR="004D1E55">
              <w:rPr>
                <w:rFonts w:ascii="Verdana" w:hAnsi="Verdana"/>
              </w:rPr>
              <w:t>.</w:t>
            </w:r>
          </w:p>
          <w:p w14:paraId="71ED9FD3" w14:textId="77777777" w:rsidR="00F00796" w:rsidRPr="00630891" w:rsidRDefault="00F00796" w:rsidP="00505795">
            <w:pPr>
              <w:spacing w:line="257" w:lineRule="auto"/>
              <w:jc w:val="both"/>
              <w:rPr>
                <w:rFonts w:ascii="Verdana" w:hAnsi="Verdana"/>
              </w:rPr>
            </w:pPr>
          </w:p>
          <w:p w14:paraId="44195B69" w14:textId="77777777" w:rsidR="00F00796" w:rsidRPr="00A12CB6" w:rsidRDefault="00F00796" w:rsidP="00505795">
            <w:pPr>
              <w:spacing w:line="257" w:lineRule="auto"/>
              <w:jc w:val="both"/>
              <w:rPr>
                <w:rFonts w:ascii="Verdana" w:hAnsi="Verdana"/>
              </w:rPr>
            </w:pPr>
          </w:p>
        </w:tc>
        <w:tc>
          <w:tcPr>
            <w:tcW w:w="6237" w:type="dxa"/>
          </w:tcPr>
          <w:p w14:paraId="1BD4AB6E" w14:textId="77777777" w:rsidR="00F00796" w:rsidRPr="00A12CB6" w:rsidRDefault="00F00796" w:rsidP="00505795">
            <w:pPr>
              <w:spacing w:line="256" w:lineRule="auto"/>
              <w:rPr>
                <w:rFonts w:ascii="Verdana" w:hAnsi="Verdana"/>
                <w:lang w:val="es-ES_tradnl"/>
              </w:rPr>
            </w:pPr>
          </w:p>
        </w:tc>
      </w:tr>
    </w:tbl>
    <w:p w14:paraId="3D43B555" w14:textId="78CB2998" w:rsidR="00F00796" w:rsidRPr="00A12CB6" w:rsidRDefault="00E2397D" w:rsidP="00F00796">
      <w:pPr>
        <w:spacing w:after="0" w:line="256" w:lineRule="auto"/>
        <w:rPr>
          <w:rFonts w:ascii="Verdana" w:eastAsia="Calibri" w:hAnsi="Verdana" w:cs="Times New Roman"/>
          <w:lang w:val="es-ES"/>
        </w:rPr>
      </w:pPr>
      <w:r>
        <w:rPr>
          <w:rFonts w:ascii="Verdana" w:eastAsia="Calibri" w:hAnsi="Verdana" w:cs="Times New Roman"/>
          <w:lang w:val="es-ES"/>
        </w:rPr>
        <w:t>Estimad</w:t>
      </w:r>
      <w:r w:rsidR="004D1E55">
        <w:rPr>
          <w:rFonts w:ascii="Verdana" w:eastAsia="Calibri" w:hAnsi="Verdana" w:cs="Times New Roman"/>
          <w:lang w:val="es-ES"/>
        </w:rPr>
        <w:t>o señor Tascón</w:t>
      </w:r>
      <w:r w:rsidR="00F00796" w:rsidRPr="003469FD">
        <w:rPr>
          <w:rFonts w:ascii="Verdana" w:eastAsia="Calibri" w:hAnsi="Verdana" w:cs="Times New Roman"/>
          <w:lang w:val="es-ES"/>
        </w:rPr>
        <w:t>:</w:t>
      </w:r>
      <w:r w:rsidR="00F00796" w:rsidRPr="00A12CB6">
        <w:rPr>
          <w:rFonts w:ascii="Verdana" w:eastAsia="Calibri" w:hAnsi="Verdana" w:cs="Times New Roman"/>
          <w:lang w:val="es-ES"/>
        </w:rPr>
        <w:t xml:space="preserve"> </w:t>
      </w:r>
    </w:p>
    <w:p w14:paraId="699045F5" w14:textId="77777777" w:rsidR="00F00796" w:rsidRPr="00A12CB6" w:rsidRDefault="00F00796" w:rsidP="00F00796">
      <w:pPr>
        <w:spacing w:after="0" w:line="256" w:lineRule="auto"/>
        <w:rPr>
          <w:rFonts w:ascii="Verdana" w:eastAsia="Calibri" w:hAnsi="Verdana" w:cs="Times New Roman"/>
          <w:lang w:val="es-ES"/>
        </w:rPr>
      </w:pPr>
    </w:p>
    <w:p w14:paraId="5ED8BE2A" w14:textId="124B1DC7" w:rsidR="00F00796" w:rsidRDefault="00F00796" w:rsidP="00F00796">
      <w:pPr>
        <w:spacing w:after="0" w:line="276" w:lineRule="auto"/>
        <w:jc w:val="both"/>
        <w:rPr>
          <w:rFonts w:ascii="Verdana" w:eastAsia="Calibri" w:hAnsi="Verdana" w:cs="Times New Roman"/>
        </w:rPr>
      </w:pPr>
      <w:r w:rsidRPr="00A12061">
        <w:rPr>
          <w:rFonts w:ascii="Verdana" w:eastAsia="Calibri" w:hAnsi="Verdana" w:cs="Times New Roman"/>
          <w:lang w:val="es-ES"/>
        </w:rPr>
        <w:t xml:space="preserve">En ejercicio de la competencia otorgada por los artículos 3, numeral 5º, y 11, numeral 8º, del Decreto Ley 4170 de 2011, la Agencia Nacional de Contratación </w:t>
      </w:r>
      <w:r w:rsidRPr="00A12061">
        <w:rPr>
          <w:rFonts w:ascii="Verdana" w:eastAsia="Calibri" w:hAnsi="Verdana" w:cs="Times New Roman"/>
          <w:lang w:val="es-ES"/>
        </w:rPr>
        <w:lastRenderedPageBreak/>
        <w:t>Pública – Colombia Compra Eficiente– responde la solicit</w:t>
      </w:r>
      <w:r w:rsidR="00E2397D">
        <w:rPr>
          <w:rFonts w:ascii="Verdana" w:eastAsia="Calibri" w:hAnsi="Verdana" w:cs="Times New Roman"/>
          <w:lang w:val="es-ES"/>
        </w:rPr>
        <w:t xml:space="preserve">ud de consulta presentada el </w:t>
      </w:r>
      <w:r w:rsidR="004D1E55">
        <w:rPr>
          <w:rFonts w:ascii="Verdana" w:eastAsia="Calibri" w:hAnsi="Verdana" w:cs="Times New Roman"/>
          <w:lang w:val="es-ES"/>
        </w:rPr>
        <w:t>1</w:t>
      </w:r>
      <w:r w:rsidR="00963AD4">
        <w:rPr>
          <w:rFonts w:ascii="Verdana" w:eastAsia="Calibri" w:hAnsi="Verdana" w:cs="Times New Roman"/>
          <w:lang w:val="es-ES"/>
        </w:rPr>
        <w:t>9</w:t>
      </w:r>
      <w:r>
        <w:rPr>
          <w:rFonts w:ascii="Verdana" w:eastAsia="Calibri" w:hAnsi="Verdana" w:cs="Times New Roman"/>
          <w:lang w:val="es-ES"/>
        </w:rPr>
        <w:t xml:space="preserve"> de </w:t>
      </w:r>
      <w:r w:rsidR="004D1E55">
        <w:rPr>
          <w:rFonts w:ascii="Verdana" w:eastAsia="Calibri" w:hAnsi="Verdana" w:cs="Times New Roman"/>
          <w:lang w:val="es-ES"/>
        </w:rPr>
        <w:t>mayo</w:t>
      </w:r>
      <w:r>
        <w:rPr>
          <w:rFonts w:ascii="Verdana" w:eastAsia="Calibri" w:hAnsi="Verdana" w:cs="Times New Roman"/>
          <w:lang w:val="es-ES"/>
        </w:rPr>
        <w:t xml:space="preserve"> de 2025</w:t>
      </w:r>
      <w:r w:rsidRPr="00A12061">
        <w:rPr>
          <w:rFonts w:ascii="Verdana" w:eastAsia="Calibri" w:hAnsi="Verdana" w:cs="Times New Roman"/>
          <w:lang w:val="es-ES"/>
        </w:rPr>
        <w:t>, en la cual manifiesta lo siguiente:</w:t>
      </w:r>
      <w:r w:rsidRPr="000D6D0E">
        <w:rPr>
          <w:rFonts w:ascii="Verdana" w:eastAsia="Calibri" w:hAnsi="Verdana" w:cs="Times New Roman"/>
        </w:rPr>
        <w:t xml:space="preserve"> </w:t>
      </w:r>
    </w:p>
    <w:p w14:paraId="138A766F" w14:textId="5B0C5C0D" w:rsidR="00E2397D" w:rsidRPr="00E2397D" w:rsidRDefault="00E2397D" w:rsidP="00E2397D">
      <w:pPr>
        <w:spacing w:after="0" w:line="240" w:lineRule="auto"/>
        <w:ind w:right="709"/>
        <w:jc w:val="both"/>
        <w:rPr>
          <w:rFonts w:ascii="Verdana" w:eastAsia="Calibri" w:hAnsi="Verdana" w:cs="Times New Roman"/>
          <w:i/>
          <w:iCs/>
          <w:sz w:val="20"/>
        </w:rPr>
      </w:pPr>
    </w:p>
    <w:p w14:paraId="6A8C7FBF" w14:textId="74A6F66B" w:rsidR="00F00796" w:rsidRDefault="004D1E55" w:rsidP="004D1E55">
      <w:pPr>
        <w:spacing w:after="0" w:line="240" w:lineRule="auto"/>
        <w:ind w:left="709" w:right="709"/>
        <w:jc w:val="both"/>
        <w:rPr>
          <w:rFonts w:ascii="Verdana" w:eastAsia="Calibri" w:hAnsi="Verdana" w:cs="Times New Roman"/>
          <w:i/>
          <w:iCs/>
          <w:sz w:val="20"/>
        </w:rPr>
      </w:pPr>
      <w:r>
        <w:rPr>
          <w:rFonts w:ascii="Verdana" w:eastAsia="Calibri" w:hAnsi="Verdana" w:cs="Times New Roman"/>
          <w:i/>
          <w:iCs/>
          <w:sz w:val="20"/>
        </w:rPr>
        <w:t>“</w:t>
      </w:r>
      <w:r w:rsidRPr="004D1E55">
        <w:rPr>
          <w:rFonts w:ascii="Verdana" w:eastAsia="Calibri" w:hAnsi="Verdana" w:cs="Times New Roman"/>
          <w:i/>
          <w:iCs/>
          <w:sz w:val="20"/>
        </w:rPr>
        <w:t>Por medio de la presente me permito formular consulta en los siguientes términos: 1. La ley 996 de 2005, por medio de la cual se reglamenta la elección de presidente de la República, de conformidad con el artículo 152 literal f) de la Constitución Política de Colombia, y de acuerdo con lo establecido en el Acto Legislativo 02 de 2004, y se dictan otras disposiciones, determina:</w:t>
      </w:r>
    </w:p>
    <w:p w14:paraId="7125ED82" w14:textId="77777777" w:rsidR="004D1E55" w:rsidRDefault="004D1E55" w:rsidP="004D1E55">
      <w:pPr>
        <w:spacing w:after="0" w:line="240" w:lineRule="auto"/>
        <w:ind w:left="709" w:right="709"/>
        <w:jc w:val="both"/>
        <w:rPr>
          <w:rFonts w:ascii="Verdana" w:eastAsia="Calibri" w:hAnsi="Verdana" w:cs="Times New Roman"/>
          <w:i/>
          <w:iCs/>
          <w:sz w:val="20"/>
        </w:rPr>
      </w:pPr>
    </w:p>
    <w:p w14:paraId="6DAD8297" w14:textId="6815C737" w:rsidR="004D1E55" w:rsidRDefault="004D1E55" w:rsidP="004D1E55">
      <w:pPr>
        <w:spacing w:after="0" w:line="240" w:lineRule="auto"/>
        <w:ind w:left="709" w:right="709"/>
        <w:jc w:val="both"/>
        <w:rPr>
          <w:rFonts w:ascii="Verdana" w:eastAsia="Calibri" w:hAnsi="Verdana" w:cs="Times New Roman"/>
          <w:i/>
          <w:iCs/>
          <w:sz w:val="20"/>
        </w:rPr>
      </w:pPr>
      <w:r>
        <w:rPr>
          <w:rFonts w:ascii="Verdana" w:eastAsia="Calibri" w:hAnsi="Verdana" w:cs="Times New Roman"/>
          <w:i/>
          <w:iCs/>
          <w:sz w:val="20"/>
        </w:rPr>
        <w:t xml:space="preserve">[…] </w:t>
      </w:r>
    </w:p>
    <w:p w14:paraId="5D06D8A3" w14:textId="77777777" w:rsidR="004D1E55" w:rsidRDefault="004D1E55" w:rsidP="004D1E55">
      <w:pPr>
        <w:spacing w:after="0" w:line="240" w:lineRule="auto"/>
        <w:ind w:left="709" w:right="709"/>
        <w:jc w:val="both"/>
        <w:rPr>
          <w:rFonts w:ascii="Verdana" w:eastAsia="Calibri" w:hAnsi="Verdana" w:cs="Times New Roman"/>
          <w:i/>
          <w:iCs/>
          <w:sz w:val="20"/>
        </w:rPr>
      </w:pPr>
    </w:p>
    <w:p w14:paraId="09C63CF6" w14:textId="77777777" w:rsidR="004D1E55" w:rsidRDefault="004D1E55" w:rsidP="004D1E55">
      <w:pPr>
        <w:spacing w:after="0" w:line="240" w:lineRule="auto"/>
        <w:ind w:left="709" w:right="709"/>
        <w:jc w:val="both"/>
        <w:rPr>
          <w:rFonts w:ascii="Verdana" w:eastAsia="Calibri" w:hAnsi="Verdana" w:cs="Times New Roman"/>
          <w:i/>
          <w:iCs/>
          <w:sz w:val="20"/>
        </w:rPr>
      </w:pPr>
      <w:r w:rsidRPr="004D1E55">
        <w:rPr>
          <w:rFonts w:ascii="Verdana" w:eastAsia="Calibri" w:hAnsi="Verdana" w:cs="Times New Roman"/>
          <w:i/>
          <w:iCs/>
          <w:sz w:val="20"/>
        </w:rPr>
        <w:t>Según esta norma y el calendario electoral las elecciones de congreso son el 8 de marzo de 2026, esta restricción inicia el 8 de noviembre de 2025. 2. El Municipio en el periodo enero a mayo de 2026 deben celebrar los siguientes contratos:</w:t>
      </w:r>
    </w:p>
    <w:p w14:paraId="1AC15C5F" w14:textId="67BAF141" w:rsidR="004D1E55" w:rsidRDefault="004D1E55" w:rsidP="004D1E55">
      <w:pPr>
        <w:spacing w:after="0" w:line="240" w:lineRule="auto"/>
        <w:ind w:left="709" w:right="709"/>
        <w:jc w:val="both"/>
        <w:rPr>
          <w:rFonts w:ascii="Verdana" w:eastAsia="Calibri" w:hAnsi="Verdana" w:cs="Times New Roman"/>
          <w:i/>
          <w:iCs/>
          <w:sz w:val="20"/>
        </w:rPr>
      </w:pPr>
      <w:r w:rsidRPr="004D1E55">
        <w:rPr>
          <w:rFonts w:ascii="Verdana" w:eastAsia="Calibri" w:hAnsi="Verdana" w:cs="Times New Roman"/>
          <w:i/>
          <w:iCs/>
          <w:sz w:val="20"/>
        </w:rPr>
        <w:t xml:space="preserve"> a) Contrato para la ejecución del PLAN DE INTERVENCIONES COLECTIVAS (PIC) DEL MUNICIPIO DE BUGALAGRANDE-VALLE con el HOSPITAL SAN BERNABE ESE DE BUGALAGRANDE.</w:t>
      </w:r>
    </w:p>
    <w:p w14:paraId="026B4176" w14:textId="77777777" w:rsidR="004D1E55" w:rsidRDefault="004D1E55" w:rsidP="004D1E55">
      <w:pPr>
        <w:spacing w:after="0" w:line="240" w:lineRule="auto"/>
        <w:ind w:left="709" w:right="709"/>
        <w:jc w:val="both"/>
        <w:rPr>
          <w:rFonts w:ascii="Verdana" w:eastAsia="Calibri" w:hAnsi="Verdana" w:cs="Times New Roman"/>
          <w:i/>
          <w:iCs/>
          <w:sz w:val="20"/>
        </w:rPr>
      </w:pPr>
      <w:r w:rsidRPr="004D1E55">
        <w:rPr>
          <w:rFonts w:ascii="Verdana" w:eastAsia="Calibri" w:hAnsi="Verdana" w:cs="Times New Roman"/>
          <w:i/>
          <w:iCs/>
          <w:sz w:val="20"/>
        </w:rPr>
        <w:t xml:space="preserve">b) Contrato para TRANSFERENCIA DE LOS DE RECURSOS ECONÓMICOS DEL ORDEN MUNICIPAL A TRAVÉS DEL FONDO DE SOLIDARIDAD Y REDISTRIBUCIÓN DE INGRESOS-FSRI, TENDIENTES AL OTORGAMIENTO DE SUBSIDIOS A LA DEMANDA DEL SERVICIO PÚBLICO DOMICILIARIO DE ASEO, ACUEDUCTO Y ALCANATRILLADO PARA USUARIOS DE LOS ESTRATOS 1, 2 Y 3 DEL MUNICIPIO DE BUGALAGRANDE PARA LA VIGENCIA 2026, con los prestadores del SERVICIO PÚBLICO DOMICILIARIO DE ASEO, ACUEDUCTO Y ALCANATRILLADO en el Municipio. </w:t>
      </w:r>
    </w:p>
    <w:p w14:paraId="3B8D54E7" w14:textId="5EB93676" w:rsidR="004D1E55" w:rsidRDefault="004D1E55" w:rsidP="004D1E55">
      <w:pPr>
        <w:spacing w:after="0" w:line="240" w:lineRule="auto"/>
        <w:ind w:left="709" w:right="709"/>
        <w:jc w:val="both"/>
        <w:rPr>
          <w:rFonts w:ascii="Verdana" w:eastAsia="Calibri" w:hAnsi="Verdana" w:cs="Times New Roman"/>
          <w:i/>
          <w:iCs/>
          <w:sz w:val="20"/>
        </w:rPr>
      </w:pPr>
      <w:r w:rsidRPr="004D1E55">
        <w:rPr>
          <w:rFonts w:ascii="Verdana" w:eastAsia="Calibri" w:hAnsi="Verdana" w:cs="Times New Roman"/>
          <w:i/>
          <w:iCs/>
          <w:sz w:val="20"/>
        </w:rPr>
        <w:t xml:space="preserve">c) Contrato para TRANSFERIR LA SOBRETASA BOMBERIL AL CUERPO DE BOMBEROS VOLUNTARIOS DEL MUNICIPIO DE BUGALAGRANDE PARA LA VIGENCIA 2026. </w:t>
      </w:r>
    </w:p>
    <w:p w14:paraId="4CA84C2A" w14:textId="77777777" w:rsidR="004D1E55" w:rsidRDefault="004D1E55" w:rsidP="004D1E55">
      <w:pPr>
        <w:spacing w:after="0" w:line="240" w:lineRule="auto"/>
        <w:ind w:left="709" w:right="709"/>
        <w:jc w:val="both"/>
        <w:rPr>
          <w:rFonts w:ascii="Verdana" w:eastAsia="Calibri" w:hAnsi="Verdana" w:cs="Times New Roman"/>
          <w:i/>
          <w:iCs/>
          <w:sz w:val="20"/>
        </w:rPr>
      </w:pPr>
    </w:p>
    <w:p w14:paraId="3FFE2DA1" w14:textId="0C71A915" w:rsidR="004D1E55" w:rsidRDefault="004D1E55" w:rsidP="004D1E55">
      <w:pPr>
        <w:spacing w:after="0" w:line="240" w:lineRule="auto"/>
        <w:ind w:left="709" w:right="709"/>
        <w:jc w:val="both"/>
        <w:rPr>
          <w:rFonts w:ascii="Verdana" w:eastAsia="Calibri" w:hAnsi="Verdana" w:cs="Times New Roman"/>
          <w:i/>
          <w:iCs/>
          <w:sz w:val="20"/>
        </w:rPr>
      </w:pPr>
      <w:r w:rsidRPr="004D1E55">
        <w:rPr>
          <w:rFonts w:ascii="Verdana" w:eastAsia="Calibri" w:hAnsi="Verdana" w:cs="Times New Roman"/>
          <w:i/>
          <w:iCs/>
          <w:sz w:val="20"/>
        </w:rPr>
        <w:t>Los contratos citados están exceptuados de la aplicación de la Ley de Garantías.</w:t>
      </w:r>
      <w:r>
        <w:rPr>
          <w:rFonts w:ascii="Verdana" w:eastAsia="Calibri" w:hAnsi="Verdana" w:cs="Times New Roman"/>
          <w:i/>
          <w:iCs/>
          <w:sz w:val="20"/>
        </w:rPr>
        <w:t xml:space="preserve">” [sic] </w:t>
      </w:r>
    </w:p>
    <w:p w14:paraId="6DCBCFBF" w14:textId="77777777" w:rsidR="004D1E55" w:rsidRDefault="004D1E55" w:rsidP="00F00796">
      <w:pPr>
        <w:spacing w:after="0" w:line="240" w:lineRule="auto"/>
        <w:ind w:right="709"/>
        <w:jc w:val="both"/>
        <w:rPr>
          <w:rFonts w:ascii="Verdana" w:eastAsia="Calibri" w:hAnsi="Verdana" w:cs="Times New Roman"/>
          <w:i/>
          <w:iCs/>
          <w:sz w:val="20"/>
        </w:rPr>
      </w:pPr>
    </w:p>
    <w:p w14:paraId="4292952D" w14:textId="77777777" w:rsidR="004D1E55" w:rsidRPr="0038606D" w:rsidRDefault="004D1E55" w:rsidP="00F00796">
      <w:pPr>
        <w:spacing w:after="0" w:line="240" w:lineRule="auto"/>
        <w:ind w:right="709"/>
        <w:jc w:val="both"/>
        <w:rPr>
          <w:rFonts w:ascii="Verdana" w:eastAsia="Calibri" w:hAnsi="Verdana" w:cs="Times New Roman"/>
          <w:i/>
          <w:iCs/>
          <w:sz w:val="20"/>
        </w:rPr>
      </w:pPr>
    </w:p>
    <w:p w14:paraId="2B0DB3E5" w14:textId="77777777" w:rsidR="00F00796" w:rsidRPr="00A12CB6" w:rsidRDefault="00F00796" w:rsidP="00F00796">
      <w:pPr>
        <w:spacing w:after="120" w:line="276" w:lineRule="auto"/>
        <w:ind w:firstLine="709"/>
        <w:jc w:val="both"/>
        <w:rPr>
          <w:rFonts w:ascii="Verdana" w:eastAsia="Calibri" w:hAnsi="Verdana" w:cs="Times New Roman"/>
          <w:lang w:val="es-ES"/>
        </w:rPr>
      </w:pPr>
      <w:r w:rsidRPr="00A12CB6">
        <w:rPr>
          <w:rFonts w:ascii="Verdana" w:eastAsia="Calibri" w:hAnsi="Verdana" w:cs="Times New Roman"/>
          <w:lang w:val="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w:t>
      </w:r>
      <w:r w:rsidRPr="00A12CB6">
        <w:rPr>
          <w:rFonts w:ascii="Verdana" w:eastAsia="Calibri" w:hAnsi="Verdana" w:cs="Times New Roman"/>
          <w:lang w:val="es-ES"/>
        </w:rPr>
        <w:lastRenderedPageBreak/>
        <w:t>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47BB29DD" w14:textId="54E0EF52" w:rsidR="00F00796" w:rsidRPr="00A12CB6" w:rsidRDefault="00F00796" w:rsidP="00F00796">
      <w:pPr>
        <w:spacing w:after="0" w:line="276" w:lineRule="auto"/>
        <w:ind w:firstLine="708"/>
        <w:jc w:val="both"/>
        <w:rPr>
          <w:rFonts w:ascii="Verdana" w:eastAsia="Calibri" w:hAnsi="Verdana" w:cs="Times New Roman"/>
          <w:lang w:val="es-ES"/>
        </w:rPr>
      </w:pPr>
      <w:r w:rsidRPr="00A12CB6">
        <w:rPr>
          <w:rFonts w:ascii="Verdana" w:eastAsia="Calibri" w:hAnsi="Verdana" w:cs="Times New Roman"/>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w:t>
      </w:r>
      <w:r>
        <w:rPr>
          <w:rFonts w:ascii="Verdana" w:eastAsia="Calibri" w:hAnsi="Verdana" w:cs="Times New Roman"/>
          <w:lang w:val="es-ES"/>
        </w:rPr>
        <w:t xml:space="preserve">s generales relacionadas con </w:t>
      </w:r>
      <w:r w:rsidR="003A40E2">
        <w:rPr>
          <w:rFonts w:ascii="Verdana" w:eastAsia="Calibri" w:hAnsi="Verdana" w:cs="Times New Roman"/>
          <w:lang w:val="es-ES"/>
        </w:rPr>
        <w:t xml:space="preserve">los problemas jurídicos </w:t>
      </w:r>
      <w:r>
        <w:rPr>
          <w:rFonts w:ascii="Verdana" w:eastAsia="Calibri" w:hAnsi="Verdana" w:cs="Times New Roman"/>
          <w:lang w:val="es-ES"/>
        </w:rPr>
        <w:t xml:space="preserve">de su consulta. </w:t>
      </w:r>
    </w:p>
    <w:p w14:paraId="7241DCAC" w14:textId="77777777" w:rsidR="00F00796" w:rsidRPr="00A12CB6" w:rsidRDefault="00F00796" w:rsidP="00F00796">
      <w:pPr>
        <w:spacing w:after="0" w:line="256" w:lineRule="auto"/>
        <w:rPr>
          <w:rFonts w:ascii="Verdana" w:eastAsia="Calibri" w:hAnsi="Verdana" w:cs="Times New Roman"/>
          <w:lang w:val="es-ES"/>
        </w:rPr>
      </w:pPr>
    </w:p>
    <w:p w14:paraId="63BBA712" w14:textId="77777777" w:rsidR="00F00796" w:rsidRPr="00A12CB6" w:rsidRDefault="00F00796" w:rsidP="00F00796">
      <w:pPr>
        <w:numPr>
          <w:ilvl w:val="0"/>
          <w:numId w:val="19"/>
        </w:numPr>
        <w:spacing w:after="0" w:line="256" w:lineRule="auto"/>
        <w:contextualSpacing/>
        <w:rPr>
          <w:rFonts w:ascii="Verdana" w:eastAsia="Calibri" w:hAnsi="Verdana" w:cs="Times New Roman"/>
          <w:b/>
          <w:bCs/>
          <w:lang w:val="es-ES"/>
        </w:rPr>
      </w:pPr>
      <w:r w:rsidRPr="00A12CB6">
        <w:rPr>
          <w:rFonts w:ascii="Verdana" w:eastAsia="Calibri" w:hAnsi="Verdana" w:cs="Times New Roman"/>
          <w:b/>
          <w:bCs/>
          <w:lang w:val="es-ES"/>
        </w:rPr>
        <w:t>Problema planteado:</w:t>
      </w:r>
    </w:p>
    <w:p w14:paraId="31054FA8" w14:textId="77777777" w:rsidR="00F00796" w:rsidRPr="00A12CB6" w:rsidRDefault="00F00796" w:rsidP="00F00796">
      <w:pPr>
        <w:spacing w:after="0" w:line="256" w:lineRule="auto"/>
        <w:rPr>
          <w:rFonts w:ascii="Verdana" w:eastAsia="Calibri" w:hAnsi="Verdana" w:cs="Times New Roman"/>
        </w:rPr>
      </w:pPr>
    </w:p>
    <w:p w14:paraId="47C08EC6" w14:textId="3D1F7FC6" w:rsidR="00277150" w:rsidRDefault="00F00796" w:rsidP="00D86C54">
      <w:pPr>
        <w:spacing w:after="0" w:line="276" w:lineRule="auto"/>
        <w:jc w:val="both"/>
        <w:rPr>
          <w:rFonts w:ascii="Verdana" w:eastAsia="Calibri" w:hAnsi="Verdana" w:cs="Times New Roman"/>
          <w:i/>
          <w:iCs/>
          <w:lang w:val="es-ES"/>
        </w:rPr>
      </w:pPr>
      <w:r w:rsidRPr="134495F9">
        <w:rPr>
          <w:rFonts w:ascii="Verdana" w:eastAsia="Calibri" w:hAnsi="Verdana" w:cs="Times New Roman"/>
        </w:rPr>
        <w:t xml:space="preserve">De acuerdo con el contenido de sus solicitudes, esta Agencia procede a resolver </w:t>
      </w:r>
      <w:r w:rsidR="004D1E55">
        <w:rPr>
          <w:rFonts w:ascii="Verdana" w:eastAsia="Calibri" w:hAnsi="Verdana" w:cs="Times New Roman"/>
        </w:rPr>
        <w:t>el siguiente problema jurídico</w:t>
      </w:r>
      <w:r w:rsidRPr="134495F9">
        <w:rPr>
          <w:rFonts w:ascii="Verdana" w:eastAsia="Calibri" w:hAnsi="Verdana" w:cs="Times New Roman"/>
        </w:rPr>
        <w:t>:</w:t>
      </w:r>
      <w:r w:rsidR="00277150">
        <w:rPr>
          <w:rFonts w:ascii="Verdana" w:eastAsia="Calibri" w:hAnsi="Verdana" w:cs="Times New Roman"/>
          <w:iCs/>
          <w:lang w:val="es-ES"/>
        </w:rPr>
        <w:t xml:space="preserve"> </w:t>
      </w:r>
      <w:r w:rsidR="00605537" w:rsidRPr="00605537">
        <w:rPr>
          <w:rFonts w:ascii="Verdana" w:eastAsia="Calibri" w:hAnsi="Verdana" w:cs="Times New Roman"/>
          <w:iCs/>
        </w:rPr>
        <w:t>¿Qué restricciones de la Ley de Garantías Electorales proceden respecto de la celebración o la ejecución de los contratos estatales?</w:t>
      </w:r>
    </w:p>
    <w:p w14:paraId="73663A76" w14:textId="77777777" w:rsidR="00D86C54" w:rsidRPr="00277150" w:rsidRDefault="00D86C54" w:rsidP="00D86C54">
      <w:pPr>
        <w:spacing w:after="0" w:line="276" w:lineRule="auto"/>
        <w:jc w:val="both"/>
        <w:rPr>
          <w:rFonts w:ascii="Verdana" w:eastAsia="Calibri" w:hAnsi="Verdana" w:cs="Times New Roman"/>
          <w:i/>
          <w:iCs/>
          <w:lang w:val="es-ES"/>
        </w:rPr>
      </w:pPr>
    </w:p>
    <w:p w14:paraId="3C139A31" w14:textId="77777777" w:rsidR="00F00796" w:rsidRDefault="00F00796" w:rsidP="00F00796">
      <w:pPr>
        <w:numPr>
          <w:ilvl w:val="0"/>
          <w:numId w:val="19"/>
        </w:numPr>
        <w:spacing w:after="0" w:line="256" w:lineRule="auto"/>
        <w:contextualSpacing/>
        <w:rPr>
          <w:rFonts w:ascii="Verdana" w:eastAsia="Calibri" w:hAnsi="Verdana" w:cs="Times New Roman"/>
          <w:b/>
          <w:bCs/>
          <w:lang w:val="es-ES"/>
        </w:rPr>
      </w:pPr>
      <w:r w:rsidRPr="00A12CB6">
        <w:rPr>
          <w:rFonts w:ascii="Verdana" w:eastAsia="Calibri" w:hAnsi="Verdana" w:cs="Times New Roman"/>
          <w:b/>
          <w:bCs/>
          <w:lang w:val="es-ES"/>
        </w:rPr>
        <w:t>Respuesta:</w:t>
      </w:r>
    </w:p>
    <w:p w14:paraId="7A36237D" w14:textId="19DD4731" w:rsidR="00F00796" w:rsidRPr="00A12CB6" w:rsidRDefault="00F00796" w:rsidP="00F00796">
      <w:pPr>
        <w:spacing w:after="0" w:line="276" w:lineRule="auto"/>
        <w:rPr>
          <w:rFonts w:ascii="Verdana" w:eastAsia="Calibri" w:hAnsi="Verdana" w:cs="Times New Roman"/>
          <w:b/>
          <w:bCs/>
          <w:lang w:val="es-ES"/>
        </w:rPr>
      </w:pPr>
    </w:p>
    <w:tbl>
      <w:tblPr>
        <w:tblStyle w:val="Tablaconcuadrcula"/>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F00796" w:rsidRPr="001205D1" w14:paraId="726944FD" w14:textId="77777777" w:rsidTr="00505795">
        <w:trPr>
          <w:trHeight w:val="345"/>
          <w:jc w:val="center"/>
        </w:trPr>
        <w:tc>
          <w:tcPr>
            <w:tcW w:w="8784" w:type="dxa"/>
            <w:tcBorders>
              <w:bottom w:val="single" w:sz="4" w:space="0" w:color="auto"/>
            </w:tcBorders>
          </w:tcPr>
          <w:p w14:paraId="05801F5E" w14:textId="208F3B69" w:rsidR="00EB3BB3" w:rsidRDefault="00971062" w:rsidP="00EB3BB3">
            <w:pPr>
              <w:spacing w:line="276" w:lineRule="auto"/>
              <w:jc w:val="both"/>
              <w:rPr>
                <w:rFonts w:ascii="Verdana" w:eastAsia="Calibri" w:hAnsi="Verdana" w:cs="Times New Roman"/>
              </w:rPr>
            </w:pPr>
            <w:r w:rsidRPr="00971062">
              <w:rPr>
                <w:rFonts w:ascii="Verdana" w:eastAsia="Calibri" w:hAnsi="Verdana" w:cs="Times New Roman"/>
              </w:rPr>
              <w:t>En cuanto al problema jurídico, objeto de consulta, se precisa que es pertinente señalar que las restricciones consagradas en la citada Ley se dirigen a dos (2) tipos de campañas electorales claramente diferenciadas: las presidenciales y las demás que se adelanten para la elección de los demás cargos de elección popular, tanto a nivel nacional como territorial.</w:t>
            </w:r>
          </w:p>
          <w:p w14:paraId="4E8F98AA" w14:textId="77777777" w:rsidR="00971062" w:rsidRDefault="00971062" w:rsidP="00554BD4">
            <w:pPr>
              <w:spacing w:after="120" w:line="276" w:lineRule="auto"/>
              <w:jc w:val="both"/>
              <w:rPr>
                <w:rFonts w:ascii="Verdana" w:hAnsi="Verdana" w:cs="Arial"/>
                <w:lang w:eastAsia="es-ES"/>
              </w:rPr>
            </w:pPr>
          </w:p>
          <w:p w14:paraId="6E654E21" w14:textId="68921D6C" w:rsidR="00971062" w:rsidRDefault="00971062" w:rsidP="00554BD4">
            <w:pPr>
              <w:spacing w:after="120" w:line="276" w:lineRule="auto"/>
              <w:jc w:val="both"/>
              <w:rPr>
                <w:rFonts w:ascii="Verdana" w:hAnsi="Verdana" w:cs="Arial"/>
                <w:lang w:eastAsia="es-ES"/>
              </w:rPr>
            </w:pPr>
            <w:r>
              <w:rPr>
                <w:rFonts w:ascii="Verdana" w:hAnsi="Verdana" w:cs="Arial"/>
                <w:lang w:eastAsia="es-ES"/>
              </w:rPr>
              <w:t xml:space="preserve">    </w:t>
            </w:r>
            <w:r w:rsidRPr="00971062">
              <w:rPr>
                <w:rFonts w:ascii="Verdana" w:hAnsi="Verdana" w:cs="Arial"/>
                <w:lang w:eastAsia="es-ES"/>
              </w:rPr>
              <w:t xml:space="preserve">Por un lado, el </w:t>
            </w:r>
            <w:r w:rsidRPr="00410C36">
              <w:rPr>
                <w:rFonts w:ascii="Verdana" w:hAnsi="Verdana" w:cs="Arial"/>
                <w:i/>
                <w:iCs/>
                <w:lang w:eastAsia="es-ES"/>
              </w:rPr>
              <w:t>artículo 33 de la Ley 996 de 2005</w:t>
            </w:r>
            <w:r w:rsidRPr="00971062">
              <w:rPr>
                <w:rFonts w:ascii="Verdana" w:hAnsi="Verdana" w:cs="Arial"/>
                <w:lang w:eastAsia="es-ES"/>
              </w:rPr>
              <w:t xml:space="preserve">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31A94FBE" w14:textId="77777777" w:rsidR="00410C36" w:rsidRDefault="00410C36" w:rsidP="00554BD4">
            <w:pPr>
              <w:spacing w:after="120" w:line="276" w:lineRule="auto"/>
              <w:jc w:val="both"/>
              <w:rPr>
                <w:rFonts w:ascii="Verdana" w:hAnsi="Verdana" w:cs="Arial"/>
                <w:lang w:eastAsia="es-ES"/>
              </w:rPr>
            </w:pPr>
            <w:r w:rsidRPr="00410C36">
              <w:rPr>
                <w:rFonts w:ascii="Verdana" w:hAnsi="Verdana" w:cs="Arial"/>
                <w:lang w:eastAsia="es-ES"/>
              </w:rPr>
              <w:lastRenderedPageBreak/>
              <w:t xml:space="preserve">Por otro lado, el </w:t>
            </w:r>
            <w:r w:rsidRPr="00410C36">
              <w:rPr>
                <w:rFonts w:ascii="Verdana" w:hAnsi="Verdana" w:cs="Arial"/>
                <w:i/>
                <w:iCs/>
                <w:lang w:eastAsia="es-ES"/>
              </w:rPr>
              <w:t xml:space="preserve">parágrafo del artículo 38 de la Ley 996 de 2005 </w:t>
            </w:r>
            <w:r w:rsidRPr="00410C36">
              <w:rPr>
                <w:rFonts w:ascii="Verdana" w:hAnsi="Verdana" w:cs="Arial"/>
                <w:lang w:eastAsia="es-ES"/>
              </w:rPr>
              <w:t>prevé una restricción, aplicable respecto de cualquier tipo de contienda electoral, que prohíbe a los gobernadores, alcaldes municipales o distritales, secretarios, gerentes y directores de entidades descentralizadas del orden municipal, departamental o distrital “[…] celebrar convenios</w:t>
            </w:r>
            <w:r w:rsidRPr="00410C36">
              <w:t xml:space="preserve"> </w:t>
            </w:r>
            <w:r w:rsidRPr="00410C36">
              <w:rPr>
                <w:rFonts w:ascii="Verdana" w:hAnsi="Verdana" w:cs="Arial"/>
                <w:lang w:eastAsia="es-ES"/>
              </w:rPr>
              <w:t xml:space="preserve">interadministrativos para la ejecución de recursos públicos, ni participar, promover y destinar recursos públicos de las entidades a su cargo, como tampoco de las que participen como miembros de sus juntas directivas, en o para reuniones de carácter proselitista”. </w:t>
            </w:r>
          </w:p>
          <w:p w14:paraId="5668195D" w14:textId="1D9B9517" w:rsidR="00F45C0D" w:rsidRDefault="00410C36" w:rsidP="00554BD4">
            <w:pPr>
              <w:spacing w:after="120" w:line="276" w:lineRule="auto"/>
              <w:jc w:val="both"/>
              <w:rPr>
                <w:rFonts w:ascii="Verdana" w:hAnsi="Verdana" w:cs="Arial"/>
                <w:lang w:eastAsia="es-ES"/>
              </w:rPr>
            </w:pPr>
            <w:r>
              <w:rPr>
                <w:rFonts w:ascii="Verdana" w:hAnsi="Verdana" w:cs="Arial"/>
                <w:lang w:eastAsia="es-ES"/>
              </w:rPr>
              <w:t xml:space="preserve">    </w:t>
            </w:r>
            <w:r w:rsidRPr="00410C36">
              <w:rPr>
                <w:rFonts w:ascii="Verdana" w:hAnsi="Verdana" w:cs="Arial"/>
                <w:lang w:eastAsia="es-ES"/>
              </w:rPr>
              <w:t xml:space="preserve">Para entender el momento de aplicación de estas restricciones, es preciso señalar que el vocablo “celebrar” es definido por el Diccionario Panhispánico del Español Jurídico como: “1. </w:t>
            </w:r>
            <w:r w:rsidRPr="00410C36">
              <w:rPr>
                <w:rFonts w:ascii="Verdana" w:hAnsi="Verdana" w:cs="Arial"/>
                <w:i/>
                <w:iCs/>
                <w:lang w:eastAsia="es-ES"/>
              </w:rPr>
              <w:t>Gral.</w:t>
            </w:r>
            <w:r w:rsidRPr="00410C36">
              <w:rPr>
                <w:rFonts w:ascii="Verdana" w:hAnsi="Verdana" w:cs="Arial"/>
                <w:lang w:eastAsia="es-ES"/>
              </w:rPr>
              <w:t xml:space="preserve"> Otorgar o firmar un contrato. 2. </w:t>
            </w:r>
            <w:proofErr w:type="spellStart"/>
            <w:r w:rsidRPr="00410C36">
              <w:rPr>
                <w:rFonts w:ascii="Verdana" w:hAnsi="Verdana" w:cs="Arial"/>
                <w:i/>
                <w:iCs/>
                <w:lang w:eastAsia="es-ES"/>
              </w:rPr>
              <w:t>Proc</w:t>
            </w:r>
            <w:proofErr w:type="spellEnd"/>
            <w:r w:rsidRPr="00410C36">
              <w:rPr>
                <w:rFonts w:ascii="Verdana" w:hAnsi="Verdana" w:cs="Arial"/>
                <w:lang w:eastAsia="es-ES"/>
              </w:rPr>
              <w:t>. Realizar los actos procesales propios de un juicio o vista”. Dentro de las dos definiciones, la que se acerca a la expresión “celebrar” en el contexto de la Ley de Garantías Electorales es la primera, esto es, la firma y perfeccionamiento del contrato.</w:t>
            </w:r>
          </w:p>
          <w:p w14:paraId="48E33AE8" w14:textId="5A3F3E63" w:rsidR="00F45C0D" w:rsidRDefault="00F45C0D" w:rsidP="00554BD4">
            <w:pPr>
              <w:spacing w:after="120" w:line="276" w:lineRule="auto"/>
              <w:jc w:val="both"/>
              <w:rPr>
                <w:rFonts w:ascii="Verdana" w:hAnsi="Verdana" w:cs="Arial"/>
                <w:lang w:eastAsia="es-ES"/>
              </w:rPr>
            </w:pPr>
            <w:r>
              <w:rPr>
                <w:rFonts w:ascii="Verdana" w:hAnsi="Verdana" w:cs="Arial"/>
                <w:lang w:eastAsia="es-ES"/>
              </w:rPr>
              <w:t xml:space="preserve">    </w:t>
            </w:r>
            <w:r w:rsidRPr="00F45C0D">
              <w:rPr>
                <w:rFonts w:ascii="Verdana" w:hAnsi="Verdana" w:cs="Arial"/>
                <w:lang w:eastAsia="es-ES"/>
              </w:rPr>
              <w:t xml:space="preserve">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la existencia de los contratos estatales, es decir, la producción de efectos jurídicos en los términos del artículo 1501 </w:t>
            </w:r>
            <w:proofErr w:type="spellStart"/>
            <w:r w:rsidRPr="006A1E0C">
              <w:rPr>
                <w:rFonts w:ascii="Verdana" w:hAnsi="Verdana" w:cs="Arial"/>
                <w:i/>
                <w:iCs/>
                <w:lang w:eastAsia="es-ES"/>
              </w:rPr>
              <w:t>ibídem</w:t>
            </w:r>
            <w:proofErr w:type="spellEnd"/>
            <w:r w:rsidRPr="00F45C0D">
              <w:rPr>
                <w:rFonts w:ascii="Verdana" w:hAnsi="Verdana" w:cs="Arial"/>
                <w:lang w:eastAsia="es-ES"/>
              </w:rPr>
              <w:t>, depende de la regulación del inciso primero de los artículos 39 y 41 de la Ley 80 de 1993.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w:t>
            </w:r>
          </w:p>
          <w:p w14:paraId="750335AB" w14:textId="77777777" w:rsidR="00410C36" w:rsidRDefault="00410C36" w:rsidP="00554BD4">
            <w:pPr>
              <w:spacing w:after="120" w:line="276" w:lineRule="auto"/>
              <w:jc w:val="both"/>
              <w:rPr>
                <w:rFonts w:ascii="Verdana" w:hAnsi="Verdana" w:cs="Arial"/>
                <w:lang w:eastAsia="es-ES"/>
              </w:rPr>
            </w:pPr>
          </w:p>
          <w:p w14:paraId="619063B4" w14:textId="77777777" w:rsidR="00E80C38" w:rsidRDefault="00E80C38" w:rsidP="00554BD4">
            <w:pPr>
              <w:spacing w:after="120" w:line="276" w:lineRule="auto"/>
              <w:jc w:val="both"/>
              <w:rPr>
                <w:rFonts w:ascii="Verdana" w:hAnsi="Verdana" w:cs="Arial"/>
                <w:lang w:eastAsia="es-ES"/>
              </w:rPr>
            </w:pPr>
            <w:r>
              <w:rPr>
                <w:rFonts w:ascii="Verdana" w:hAnsi="Verdana" w:cs="Arial"/>
                <w:lang w:eastAsia="es-ES"/>
              </w:rPr>
              <w:t xml:space="preserve">   </w:t>
            </w:r>
            <w:r w:rsidRPr="00E80C38">
              <w:rPr>
                <w:rFonts w:ascii="Verdana" w:hAnsi="Verdana" w:cs="Arial"/>
                <w:lang w:eastAsia="es-ES"/>
              </w:rPr>
              <w:t xml:space="preserve">De este modo, esta Agencia precisa que el concepto “celebrar” para efectos de las restricciones en la contratación dispuesta por la Ley de Garantías Electorales se refiere a los requisitos de perfeccionamiento del contrato estatal. Por tanto, no se refiere a los requisitos de ejecución, es decir, aquellas condiciones para iniciar un contrato, como es la aprobación de las garantías o </w:t>
            </w:r>
            <w:r w:rsidRPr="00E80C38">
              <w:rPr>
                <w:rFonts w:ascii="Verdana" w:hAnsi="Verdana" w:cs="Arial"/>
                <w:lang w:eastAsia="es-ES"/>
              </w:rPr>
              <w:lastRenderedPageBreak/>
              <w:t xml:space="preserve">el registro presupuestal, o en algunos casos, la firma del acta de inicio, si así se determinó. </w:t>
            </w:r>
          </w:p>
          <w:p w14:paraId="1482A10E" w14:textId="2883E9F7" w:rsidR="000C538B" w:rsidRPr="00E80C38" w:rsidRDefault="00E80C38" w:rsidP="00E80C38">
            <w:pPr>
              <w:spacing w:after="120" w:line="276" w:lineRule="auto"/>
              <w:jc w:val="both"/>
              <w:rPr>
                <w:rFonts w:ascii="Verdana" w:hAnsi="Verdana" w:cs="Arial"/>
                <w:lang w:eastAsia="es-ES"/>
              </w:rPr>
            </w:pPr>
            <w:r>
              <w:rPr>
                <w:rFonts w:ascii="Verdana" w:hAnsi="Verdana" w:cs="Arial"/>
                <w:lang w:eastAsia="es-ES"/>
              </w:rPr>
              <w:t xml:space="preserve">   </w:t>
            </w:r>
            <w:r w:rsidRPr="00E80C38">
              <w:rPr>
                <w:rFonts w:ascii="Verdana" w:hAnsi="Verdana" w:cs="Arial"/>
                <w:lang w:eastAsia="es-ES"/>
              </w:rPr>
              <w:t>Así mismo, como en otras oportunidades lo ha manifestado esta Agencia, las prórrogas, modificaciones o adiciones de los contratos suscritos antes de la entrada en vigencia de las prohibiciones anotadas, así como la</w:t>
            </w:r>
            <w:r>
              <w:rPr>
                <w:rFonts w:ascii="Verdana" w:hAnsi="Verdana" w:cs="Arial"/>
                <w:lang w:eastAsia="es-ES"/>
              </w:rPr>
              <w:t xml:space="preserve"> </w:t>
            </w:r>
            <w:r w:rsidRPr="00E80C38">
              <w:rPr>
                <w:rFonts w:ascii="Verdana" w:hAnsi="Verdana" w:cs="Arial"/>
                <w:lang w:eastAsia="es-ES"/>
              </w:rPr>
              <w:t>cesión de los mismos, pueden tener lugar en el período de aplicación de la Ley de Garantías, sin que ello haga nugatoria la restricción de la contratación directa y siempre que cumplan los principios de planeación, transparencia y responsabilidad</w:t>
            </w:r>
            <w:r>
              <w:rPr>
                <w:rFonts w:ascii="Verdana" w:hAnsi="Verdana" w:cs="Arial"/>
                <w:lang w:eastAsia="es-ES"/>
              </w:rPr>
              <w:t>.</w:t>
            </w:r>
            <w:r w:rsidR="004D1E55" w:rsidRPr="004D1E55">
              <w:rPr>
                <w:rFonts w:ascii="Verdana" w:eastAsia="Calibri" w:hAnsi="Verdana" w:cs="Arial"/>
                <w:lang w:eastAsia="es-ES" w:bidi="es-ES"/>
              </w:rPr>
              <w:t> </w:t>
            </w:r>
          </w:p>
        </w:tc>
      </w:tr>
    </w:tbl>
    <w:p w14:paraId="63F44EFF" w14:textId="14996177" w:rsidR="009325CC" w:rsidRPr="00A12CB6" w:rsidRDefault="009325CC" w:rsidP="00F00796">
      <w:pPr>
        <w:spacing w:after="0" w:line="276" w:lineRule="auto"/>
        <w:jc w:val="both"/>
        <w:rPr>
          <w:rFonts w:ascii="Verdana" w:eastAsia="Calibri" w:hAnsi="Verdana" w:cs="Arial"/>
          <w:bCs/>
          <w:color w:val="000000" w:themeColor="text1"/>
        </w:rPr>
      </w:pPr>
    </w:p>
    <w:p w14:paraId="517763AE" w14:textId="77777777" w:rsidR="00F00796" w:rsidRPr="0093558D" w:rsidRDefault="00F00796" w:rsidP="00F00796">
      <w:pPr>
        <w:numPr>
          <w:ilvl w:val="0"/>
          <w:numId w:val="19"/>
        </w:numPr>
        <w:tabs>
          <w:tab w:val="left" w:pos="2268"/>
        </w:tabs>
        <w:spacing w:after="0" w:line="256" w:lineRule="auto"/>
        <w:rPr>
          <w:rFonts w:ascii="Verdana" w:eastAsia="Calibri" w:hAnsi="Verdana" w:cs="Times New Roman"/>
          <w:b/>
          <w:bCs/>
          <w:lang w:val="es-ES"/>
        </w:rPr>
      </w:pPr>
      <w:r w:rsidRPr="134495F9">
        <w:rPr>
          <w:rFonts w:ascii="Verdana" w:eastAsia="Calibri" w:hAnsi="Verdana" w:cs="Times New Roman"/>
          <w:b/>
          <w:bCs/>
          <w:lang w:val="es-ES"/>
        </w:rPr>
        <w:t>Razones de la respuesta:</w:t>
      </w:r>
    </w:p>
    <w:p w14:paraId="6C37EEEA" w14:textId="77777777" w:rsidR="00F00796" w:rsidRPr="00A12CB6" w:rsidRDefault="00F00796" w:rsidP="00F00796">
      <w:pPr>
        <w:spacing w:after="0" w:line="256" w:lineRule="auto"/>
        <w:rPr>
          <w:rFonts w:ascii="Verdana" w:eastAsia="Calibri" w:hAnsi="Verdana" w:cs="Times New Roman"/>
          <w:b/>
          <w:bCs/>
          <w:lang w:val="es-ES"/>
        </w:rPr>
      </w:pPr>
    </w:p>
    <w:p w14:paraId="38D565A5" w14:textId="77777777" w:rsidR="00F00796" w:rsidRPr="00A12CB6" w:rsidRDefault="00F00796" w:rsidP="00F00796">
      <w:pPr>
        <w:spacing w:after="0" w:line="276" w:lineRule="auto"/>
        <w:jc w:val="both"/>
        <w:rPr>
          <w:rFonts w:ascii="Verdana" w:eastAsia="Calibri" w:hAnsi="Verdana" w:cs="Arial"/>
          <w:lang w:val="es-ES"/>
        </w:rPr>
      </w:pPr>
      <w:r w:rsidRPr="00A12CB6">
        <w:rPr>
          <w:rFonts w:ascii="Verdana" w:eastAsia="Calibri" w:hAnsi="Verdana" w:cs="Arial"/>
          <w:lang w:val="es-ES"/>
        </w:rPr>
        <w:t xml:space="preserve">Lo anterior se sustenta en las siguientes consideraciones: </w:t>
      </w:r>
    </w:p>
    <w:p w14:paraId="2F576F09" w14:textId="77777777" w:rsidR="00E2397D" w:rsidRPr="00E2397D" w:rsidRDefault="00E2397D" w:rsidP="00E2397D">
      <w:pPr>
        <w:spacing w:after="0" w:line="276" w:lineRule="auto"/>
        <w:jc w:val="both"/>
        <w:rPr>
          <w:rFonts w:ascii="Verdana" w:eastAsia="Calibri" w:hAnsi="Verdana" w:cs="Arial"/>
          <w:color w:val="000000" w:themeColor="text1"/>
        </w:rPr>
      </w:pPr>
    </w:p>
    <w:p w14:paraId="484B8BCE" w14:textId="77777777" w:rsidR="00E2397D" w:rsidRPr="00E2397D" w:rsidRDefault="00E2397D" w:rsidP="00E2397D">
      <w:pPr>
        <w:tabs>
          <w:tab w:val="left" w:pos="426"/>
        </w:tabs>
        <w:spacing w:after="120" w:line="276" w:lineRule="auto"/>
        <w:jc w:val="both"/>
        <w:rPr>
          <w:rFonts w:ascii="Verdana" w:eastAsia="Times New Roman" w:hAnsi="Verdana" w:cs="Arial"/>
          <w:lang w:eastAsia="es-CO"/>
        </w:rPr>
      </w:pPr>
      <w:r w:rsidRPr="00E2397D">
        <w:rPr>
          <w:rFonts w:ascii="Verdana" w:eastAsia="Calibri" w:hAnsi="Verdana" w:cs="Arial"/>
        </w:rPr>
        <w:t>i. El ordenamiento jurídico colombiano contempla previsiones claras para evitar la obtención de beneficios personales en asuntos propios de la administración pública</w:t>
      </w:r>
      <w:r w:rsidRPr="00E2397D">
        <w:rPr>
          <w:rFonts w:ascii="Verdana" w:eastAsia="Calibri" w:hAnsi="Verdana" w:cs="Arial"/>
          <w:i/>
        </w:rPr>
        <w:t xml:space="preserve">. </w:t>
      </w:r>
      <w:r w:rsidRPr="00E2397D">
        <w:rPr>
          <w:rFonts w:ascii="Verdana" w:eastAsia="Calibri" w:hAnsi="Verdana" w:cs="Arial"/>
        </w:rPr>
        <w:t>Por ejemplo, el artículo 127 de la Constitución Política establece una prohibición contractual a los servidores públicos y, en cuanto a aspectos políticos, consagra restricciones a ciertos empleados del Estado, incluso en época no electoral</w:t>
      </w:r>
      <w:r w:rsidRPr="00E2397D">
        <w:rPr>
          <w:vertAlign w:val="superscript"/>
        </w:rPr>
        <w:footnoteReference w:id="2"/>
      </w:r>
      <w:r w:rsidRPr="00E2397D">
        <w:rPr>
          <w:rFonts w:ascii="Verdana" w:eastAsia="Calibri" w:hAnsi="Verdana" w:cs="Arial"/>
        </w:rPr>
        <w:t xml:space="preserve">. </w:t>
      </w:r>
    </w:p>
    <w:p w14:paraId="32EEF48D" w14:textId="7B98F1FB" w:rsidR="00E2397D" w:rsidRPr="006B14B5" w:rsidRDefault="00E2397D" w:rsidP="006B14B5">
      <w:pPr>
        <w:tabs>
          <w:tab w:val="left" w:pos="426"/>
        </w:tabs>
        <w:spacing w:after="120" w:line="276" w:lineRule="auto"/>
        <w:ind w:firstLine="709"/>
        <w:jc w:val="both"/>
        <w:rPr>
          <w:rFonts w:ascii="Verdana" w:eastAsia="Calibri" w:hAnsi="Verdana" w:cs="Arial"/>
          <w:lang w:val="es-ES_tradnl"/>
        </w:rPr>
      </w:pPr>
      <w:r w:rsidRPr="00E2397D">
        <w:rPr>
          <w:rFonts w:ascii="Verdana" w:eastAsia="Times New Roman" w:hAnsi="Verdana" w:cs="Arial"/>
          <w:lang w:eastAsia="es-CO"/>
        </w:rPr>
        <w:t>En el mismo sentido</w:t>
      </w:r>
      <w:r w:rsidRPr="00E2397D">
        <w:rPr>
          <w:rFonts w:ascii="Verdana" w:eastAsia="Times New Roman" w:hAnsi="Verdana" w:cs="Arial"/>
          <w:lang w:val="es-MX" w:eastAsia="es-CO"/>
        </w:rPr>
        <w:t xml:space="preserve">, </w:t>
      </w:r>
      <w:bookmarkStart w:id="2" w:name="_Hlk99576829"/>
      <w:r w:rsidRPr="00E2397D">
        <w:rPr>
          <w:rFonts w:ascii="Verdana" w:eastAsia="Times New Roman" w:hAnsi="Verdana" w:cs="Arial"/>
          <w:lang w:val="es-MX"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E2397D">
        <w:rPr>
          <w:rFonts w:ascii="Verdana" w:eastAsia="Times New Roman" w:hAnsi="Verdana" w:cs="Arial"/>
          <w:vertAlign w:val="superscript"/>
          <w:lang w:val="es-MX" w:eastAsia="es-CO"/>
        </w:rPr>
        <w:footnoteReference w:id="3"/>
      </w:r>
      <w:r w:rsidRPr="00E2397D">
        <w:rPr>
          <w:rFonts w:ascii="Verdana" w:eastAsia="Times New Roman" w:hAnsi="Verdana" w:cs="Arial"/>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Pr="00E2397D">
        <w:rPr>
          <w:rFonts w:ascii="Verdana" w:eastAsia="Calibri" w:hAnsi="Verdana" w:cs="Arial"/>
          <w:lang w:val="es-ES_tradnl"/>
        </w:rPr>
        <w:t xml:space="preserve"> </w:t>
      </w:r>
      <w:bookmarkEnd w:id="2"/>
      <w:r w:rsidRPr="00E2397D">
        <w:rPr>
          <w:rFonts w:ascii="Verdana" w:eastAsia="Times New Roman" w:hAnsi="Verdana" w:cs="Arial"/>
          <w:lang w:val="es-MX" w:eastAsia="es-CO"/>
        </w:rPr>
        <w:t xml:space="preserve">En armonía </w:t>
      </w:r>
      <w:r w:rsidRPr="00E2397D">
        <w:rPr>
          <w:rFonts w:ascii="Verdana" w:eastAsia="Times New Roman" w:hAnsi="Verdana" w:cs="Arial"/>
          <w:lang w:val="es-MX" w:eastAsia="es-CO"/>
        </w:rPr>
        <w:lastRenderedPageBreak/>
        <w:t>con lo anterior, la Corte Constitucional ha abordado la definición de la Ley de Garantías Electorales. De esta manera, explica que tiene como propósito:</w:t>
      </w:r>
    </w:p>
    <w:p w14:paraId="1428898F" w14:textId="77777777" w:rsidR="00E2397D" w:rsidRPr="00E2397D" w:rsidRDefault="00E2397D" w:rsidP="00E2397D">
      <w:pPr>
        <w:spacing w:after="0" w:line="276" w:lineRule="auto"/>
        <w:ind w:right="709"/>
        <w:contextualSpacing/>
        <w:jc w:val="both"/>
        <w:rPr>
          <w:rFonts w:ascii="Verdana" w:eastAsia="Times New Roman" w:hAnsi="Verdana" w:cs="Arial"/>
          <w:lang w:val="es-ES" w:eastAsia="es-CO"/>
        </w:rPr>
      </w:pPr>
    </w:p>
    <w:p w14:paraId="7231FF99" w14:textId="77777777" w:rsidR="00E2397D" w:rsidRPr="00E2397D" w:rsidRDefault="00E2397D" w:rsidP="00E2397D">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ES" w:eastAsia="es-CO"/>
        </w:rPr>
        <w:t xml:space="preserve">“[…] </w:t>
      </w:r>
      <w:r w:rsidRPr="00E2397D">
        <w:rPr>
          <w:rFonts w:ascii="Verdana" w:eastAsia="Times New Roman" w:hAnsi="Verdana" w:cs="Arial"/>
          <w:sz w:val="20"/>
          <w:szCs w:val="20"/>
          <w:lang w:val="es-MX" w:eastAsia="es-CO"/>
        </w:rPr>
        <w:t>la definición de reglas claras que permitan acceder a los canales de expresión democrática de manera efectiva e igualitaria. El objetivo de una ley de garantías es definir esas reglas.</w:t>
      </w:r>
    </w:p>
    <w:p w14:paraId="1EDEECDF" w14:textId="6C2D1C3A" w:rsidR="00E2397D" w:rsidRPr="00E2397D" w:rsidRDefault="00EB3BB3" w:rsidP="00EB3BB3">
      <w:pPr>
        <w:spacing w:after="0" w:line="240" w:lineRule="auto"/>
        <w:ind w:left="709" w:right="709"/>
        <w:contextualSpacing/>
        <w:jc w:val="both"/>
        <w:rPr>
          <w:rFonts w:ascii="Verdana" w:eastAsia="Times New Roman" w:hAnsi="Verdana" w:cs="Arial"/>
          <w:sz w:val="20"/>
          <w:szCs w:val="20"/>
          <w:lang w:val="es-MX" w:eastAsia="es-CO"/>
        </w:rPr>
      </w:pPr>
      <w:r>
        <w:rPr>
          <w:rFonts w:ascii="Verdana" w:eastAsia="Times New Roman" w:hAnsi="Verdana" w:cs="Arial"/>
          <w:sz w:val="20"/>
          <w:szCs w:val="20"/>
          <w:lang w:val="es-MX" w:eastAsia="es-CO"/>
        </w:rPr>
        <w:t xml:space="preserve">[…] </w:t>
      </w:r>
    </w:p>
    <w:p w14:paraId="6931E79A" w14:textId="77777777" w:rsidR="00E2397D" w:rsidRPr="00E2397D" w:rsidRDefault="00E2397D" w:rsidP="00E2397D">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E2397D">
        <w:rPr>
          <w:rFonts w:ascii="Verdana" w:eastAsia="Calibri" w:hAnsi="Verdana" w:cs="Arial"/>
          <w:sz w:val="20"/>
          <w:szCs w:val="20"/>
          <w:vertAlign w:val="superscript"/>
          <w:lang w:val="es-MX"/>
        </w:rPr>
        <w:footnoteReference w:id="4"/>
      </w:r>
    </w:p>
    <w:p w14:paraId="3A8EDF74" w14:textId="77777777" w:rsidR="00E2397D" w:rsidRPr="00E2397D" w:rsidRDefault="00E2397D" w:rsidP="00E2397D">
      <w:pPr>
        <w:spacing w:after="0" w:line="276" w:lineRule="auto"/>
        <w:ind w:firstLine="709"/>
        <w:jc w:val="both"/>
        <w:rPr>
          <w:rFonts w:ascii="Verdana" w:eastAsia="Times New Roman" w:hAnsi="Verdana" w:cs="Arial"/>
          <w:lang w:val="es-MX" w:eastAsia="es-CO"/>
        </w:rPr>
      </w:pPr>
      <w:bookmarkStart w:id="3" w:name="_Hlk78818186"/>
    </w:p>
    <w:p w14:paraId="161F3D2F" w14:textId="72DA8A61" w:rsidR="00E2397D" w:rsidRPr="00E2397D" w:rsidRDefault="00E2397D" w:rsidP="00E2397D">
      <w:pPr>
        <w:spacing w:after="0" w:line="276" w:lineRule="auto"/>
        <w:ind w:firstLine="709"/>
        <w:jc w:val="both"/>
        <w:rPr>
          <w:rFonts w:ascii="Verdana" w:eastAsia="Times New Roman" w:hAnsi="Verdana" w:cs="Arial"/>
          <w:lang w:val="es-MX" w:eastAsia="es-CO"/>
        </w:rPr>
      </w:pPr>
      <w:r w:rsidRPr="00E2397D">
        <w:rPr>
          <w:rFonts w:ascii="Verdana" w:eastAsia="Times New Roman" w:hAnsi="Verdana" w:cs="Arial"/>
          <w:lang w:val="es-MX" w:eastAsia="es-CO"/>
        </w:rPr>
        <w:t>En este contexto, la Ley de Garantías Electorales establece el marco jurídico para el desarrollo de las elecciones, procurando condiciones de igualdad y transparencia para los aspirantes. Paralelamente,</w:t>
      </w:r>
      <w:r w:rsidR="006B14B5">
        <w:rPr>
          <w:rFonts w:ascii="Verdana" w:eastAsia="Times New Roman" w:hAnsi="Verdana" w:cs="Arial"/>
          <w:lang w:val="es-MX" w:eastAsia="es-CO"/>
        </w:rPr>
        <w:t xml:space="preserve"> se incluyen restricciones en las actuaciones</w:t>
      </w:r>
      <w:r w:rsidRPr="00E2397D">
        <w:rPr>
          <w:rFonts w:ascii="Verdana" w:eastAsia="Times New Roman" w:hAnsi="Verdana" w:cs="Arial"/>
          <w:lang w:val="es-MX" w:eastAsia="es-CO"/>
        </w:rPr>
        <w:t xml:space="preserve"> de los servidores públicos, evitando interferencias en la contienda electoral, así como la posible desviación de recursos públicos en aspiraciones electorales. </w:t>
      </w:r>
      <w:bookmarkEnd w:id="3"/>
      <w:r w:rsidRPr="00E2397D">
        <w:rPr>
          <w:rFonts w:ascii="Verdana" w:eastAsia="Times New Roman" w:hAnsi="Verdana" w:cs="Arial"/>
          <w:lang w:val="es-MX" w:eastAsia="es-CO"/>
        </w:rPr>
        <w:t>Por ello, varias de las disposiciones de la Ley 996 de 2005, al contener normas prohibitivas, no admiten una interpretación amplia, sino que deben interpretarse restrictivamente. En efecto, la Sala de Consulta y Servicio Civil del Consejo de Estado, precisó lo siguiente:</w:t>
      </w:r>
    </w:p>
    <w:p w14:paraId="477AF7F6" w14:textId="77777777" w:rsidR="00E2397D" w:rsidRPr="008841E9" w:rsidRDefault="00E2397D" w:rsidP="00E2397D">
      <w:pPr>
        <w:spacing w:after="0" w:line="276" w:lineRule="auto"/>
        <w:ind w:firstLine="709"/>
        <w:jc w:val="both"/>
        <w:rPr>
          <w:rFonts w:ascii="Verdana" w:eastAsia="Times New Roman" w:hAnsi="Verdana" w:cs="Arial"/>
          <w:lang w:val="es-ES" w:eastAsia="es-CO"/>
        </w:rPr>
      </w:pPr>
    </w:p>
    <w:p w14:paraId="53876192" w14:textId="77777777" w:rsidR="00E2397D" w:rsidRPr="00E2397D" w:rsidRDefault="00E2397D" w:rsidP="00E2397D">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E2397D">
        <w:rPr>
          <w:rFonts w:ascii="Verdana" w:eastAsia="Times New Roman" w:hAnsi="Verdana" w:cs="Arial"/>
          <w:sz w:val="20"/>
          <w:szCs w:val="20"/>
          <w:lang w:val="es-MX" w:eastAsia="es-CO"/>
        </w:rPr>
        <w:t>legis</w:t>
      </w:r>
      <w:proofErr w:type="spellEnd"/>
      <w:r w:rsidRPr="00E2397D">
        <w:rPr>
          <w:rFonts w:ascii="Verdana" w:eastAsia="Times New Roman" w:hAnsi="Verdana" w:cs="Arial"/>
          <w:sz w:val="20"/>
          <w:szCs w:val="20"/>
          <w:lang w:val="es-MX"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0BB709A4" w14:textId="77777777" w:rsidR="00E2397D" w:rsidRPr="00E2397D" w:rsidRDefault="00E2397D" w:rsidP="00E2397D">
      <w:pPr>
        <w:spacing w:after="0" w:line="240" w:lineRule="auto"/>
        <w:ind w:right="709"/>
        <w:contextualSpacing/>
        <w:jc w:val="both"/>
        <w:rPr>
          <w:rFonts w:ascii="Verdana" w:eastAsia="Times New Roman" w:hAnsi="Verdana" w:cs="Arial"/>
          <w:lang w:val="es-MX" w:eastAsia="es-CO"/>
        </w:rPr>
      </w:pPr>
    </w:p>
    <w:p w14:paraId="07F985C3" w14:textId="77777777" w:rsidR="00E2397D" w:rsidRPr="00E2397D" w:rsidRDefault="00E2397D" w:rsidP="00E2397D">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lastRenderedPageBreak/>
        <w:t>La jurisprudencia de la Corte Constitucional</w:t>
      </w:r>
      <w:r w:rsidRPr="00E2397D">
        <w:rPr>
          <w:rFonts w:ascii="Verdana" w:eastAsia="Times New Roman" w:hAnsi="Verdana" w:cs="Arial"/>
          <w:sz w:val="20"/>
          <w:szCs w:val="20"/>
          <w:vertAlign w:val="superscript"/>
          <w:lang w:val="es-MX" w:eastAsia="es-CO"/>
        </w:rPr>
        <w:footnoteReference w:id="5"/>
      </w:r>
      <w:r w:rsidRPr="00E2397D">
        <w:rPr>
          <w:rFonts w:ascii="Verdana" w:eastAsia="Times New Roman" w:hAnsi="Verdana" w:cs="Arial"/>
          <w:sz w:val="20"/>
          <w:szCs w:val="20"/>
          <w:lang w:val="es-MX" w:eastAsia="es-CO"/>
        </w:rPr>
        <w:t> y del Consejo de Estado</w:t>
      </w:r>
      <w:r w:rsidRPr="00E2397D">
        <w:rPr>
          <w:rFonts w:ascii="Verdana" w:eastAsia="Times New Roman" w:hAnsi="Verdana" w:cs="Arial"/>
          <w:sz w:val="20"/>
          <w:szCs w:val="20"/>
          <w:vertAlign w:val="superscript"/>
          <w:lang w:val="es-MX" w:eastAsia="es-CO"/>
        </w:rPr>
        <w:footnoteReference w:id="6"/>
      </w:r>
      <w:r w:rsidRPr="00E2397D">
        <w:rPr>
          <w:rFonts w:ascii="Verdana" w:eastAsia="Times New Roman" w:hAnsi="Verdana" w:cs="Arial"/>
          <w:sz w:val="20"/>
          <w:szCs w:val="20"/>
          <w:lang w:val="es-MX"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E2397D">
        <w:rPr>
          <w:rFonts w:ascii="Verdana" w:eastAsia="Times New Roman" w:hAnsi="Verdana" w:cs="Arial"/>
          <w:sz w:val="20"/>
          <w:szCs w:val="20"/>
          <w:vertAlign w:val="superscript"/>
          <w:lang w:val="es-MX" w:eastAsia="es-CO"/>
        </w:rPr>
        <w:footnoteReference w:id="7"/>
      </w:r>
      <w:r w:rsidRPr="00E2397D">
        <w:rPr>
          <w:rFonts w:ascii="Verdana" w:eastAsia="Times New Roman" w:hAnsi="Verdana" w:cs="Arial"/>
          <w:sz w:val="20"/>
          <w:szCs w:val="20"/>
          <w:lang w:val="es-MX" w:eastAsia="es-CO"/>
        </w:rPr>
        <w:t>.</w:t>
      </w:r>
    </w:p>
    <w:p w14:paraId="0A8D51A0" w14:textId="77777777" w:rsidR="00E2397D" w:rsidRPr="00E2397D" w:rsidRDefault="00E2397D" w:rsidP="00E2397D">
      <w:pPr>
        <w:spacing w:after="0" w:line="276" w:lineRule="auto"/>
        <w:jc w:val="both"/>
        <w:rPr>
          <w:rFonts w:ascii="Verdana" w:eastAsia="Calibri" w:hAnsi="Verdana" w:cs="Arial"/>
          <w:bCs/>
          <w:lang w:val="es-ES_tradnl"/>
        </w:rPr>
      </w:pPr>
    </w:p>
    <w:p w14:paraId="6A811B0C" w14:textId="5A3016F4" w:rsidR="00E2397D" w:rsidRDefault="00E2397D" w:rsidP="001A0B04">
      <w:pPr>
        <w:spacing w:after="0" w:line="276" w:lineRule="auto"/>
        <w:ind w:firstLine="709"/>
        <w:jc w:val="both"/>
        <w:rPr>
          <w:rFonts w:ascii="Verdana" w:eastAsia="Arial" w:hAnsi="Verdana" w:cs="Arial"/>
          <w:lang w:val="es-ES" w:eastAsia="es-ES" w:bidi="es-ES"/>
        </w:rPr>
      </w:pPr>
      <w:r w:rsidRPr="00E2397D">
        <w:rPr>
          <w:rFonts w:ascii="Verdana" w:eastAsia="Times New Roman" w:hAnsi="Verdana" w:cs="Arial"/>
          <w:lang w:val="es-MX" w:eastAsia="es-CO"/>
        </w:rPr>
        <w:t>De</w:t>
      </w:r>
      <w:r w:rsidRPr="00E2397D">
        <w:rPr>
          <w:rFonts w:ascii="Verdana" w:eastAsia="Arial" w:hAnsi="Verdana" w:cs="Arial"/>
          <w:lang w:val="es-ES" w:eastAsia="es-ES" w:bidi="es-ES"/>
        </w:rPr>
        <w:t xml:space="preserve"> conformidad con lo anterior, </w:t>
      </w:r>
      <w:bookmarkStart w:id="4" w:name="_Hlk77236098"/>
      <w:bookmarkStart w:id="5" w:name="_Hlk100679383"/>
      <w:r w:rsidRPr="00E2397D">
        <w:rPr>
          <w:rFonts w:ascii="Verdana" w:eastAsia="Arial" w:hAnsi="Verdana" w:cs="Arial"/>
          <w:lang w:val="es-ES" w:eastAsia="es-ES" w:bidi="es-ES"/>
        </w:rPr>
        <w:t xml:space="preserve">la Ley de Garantías Electorales fijó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w:t>
      </w:r>
    </w:p>
    <w:p w14:paraId="01ED8781" w14:textId="77777777" w:rsidR="001A0B04" w:rsidRPr="00E2397D" w:rsidRDefault="001A0B04" w:rsidP="001A0B04">
      <w:pPr>
        <w:spacing w:after="0" w:line="276" w:lineRule="auto"/>
        <w:ind w:firstLine="709"/>
        <w:jc w:val="both"/>
        <w:rPr>
          <w:rFonts w:ascii="Verdana" w:eastAsia="Arial" w:hAnsi="Verdana" w:cs="Arial"/>
          <w:lang w:val="es-ES" w:eastAsia="es-ES" w:bidi="es-ES"/>
        </w:rPr>
      </w:pPr>
    </w:p>
    <w:p w14:paraId="75F796D7" w14:textId="77777777" w:rsidR="00E2397D" w:rsidRPr="00E2397D" w:rsidRDefault="00E2397D" w:rsidP="00E2397D">
      <w:pPr>
        <w:spacing w:after="120" w:line="276" w:lineRule="auto"/>
        <w:jc w:val="both"/>
        <w:rPr>
          <w:rFonts w:ascii="Verdana" w:eastAsia="Arial" w:hAnsi="Verdana" w:cs="Arial"/>
          <w:lang w:val="es-ES" w:eastAsia="es-ES" w:bidi="es-ES"/>
        </w:rPr>
      </w:pPr>
      <w:proofErr w:type="spellStart"/>
      <w:r w:rsidRPr="00E2397D">
        <w:rPr>
          <w:rFonts w:ascii="Verdana" w:eastAsia="Arial" w:hAnsi="Verdana" w:cs="Arial"/>
          <w:lang w:val="es-ES" w:eastAsia="es-ES" w:bidi="es-ES"/>
        </w:rPr>
        <w:t>ii</w:t>
      </w:r>
      <w:proofErr w:type="spellEnd"/>
      <w:r w:rsidRPr="00E2397D">
        <w:rPr>
          <w:rFonts w:ascii="Verdana" w:eastAsia="Arial" w:hAnsi="Verdana" w:cs="Arial"/>
          <w:lang w:val="es-ES" w:eastAsia="es-ES" w:bidi="es-ES"/>
        </w:rPr>
        <w:t>. Precisado el propósito de la Ley, es pertinente señalar que las restricciones consagradas en la citada Ley se dirigen a dos (2) tipos de campañas electorales claramente diferenciadas: las presidenciales y las demás que se adelanten para la elección de los demás cargos de elección popular, tanto a nivel nacional como territorial.</w:t>
      </w:r>
      <w:bookmarkEnd w:id="4"/>
    </w:p>
    <w:p w14:paraId="36629D22" w14:textId="77777777" w:rsidR="00E2397D" w:rsidRPr="00E2397D" w:rsidRDefault="00E2397D" w:rsidP="00E2397D">
      <w:pPr>
        <w:spacing w:after="120" w:line="276" w:lineRule="auto"/>
        <w:ind w:firstLine="708"/>
        <w:jc w:val="both"/>
        <w:rPr>
          <w:rFonts w:ascii="Verdana" w:eastAsia="Calibri" w:hAnsi="Verdana" w:cs="Arial"/>
        </w:rPr>
      </w:pPr>
      <w:r w:rsidRPr="00E2397D">
        <w:rPr>
          <w:rFonts w:ascii="Verdana" w:eastAsia="Calibri" w:hAnsi="Verdana" w:cs="Arial"/>
        </w:rPr>
        <w:t xml:space="preserve">Por un lado, el </w:t>
      </w:r>
      <w:r w:rsidRPr="00E2397D">
        <w:rPr>
          <w:rFonts w:ascii="Verdana" w:eastAsia="Calibri" w:hAnsi="Verdana" w:cs="Arial"/>
          <w:i/>
          <w:iCs/>
        </w:rPr>
        <w:t>artículo 33 de la Ley 996 de 2005</w:t>
      </w:r>
      <w:r w:rsidRPr="00E2397D">
        <w:rPr>
          <w:rFonts w:ascii="Verdana" w:eastAsia="Calibri" w:hAnsi="Verdana" w:cs="Arial"/>
        </w:rPr>
        <w:t xml:space="preserve">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w:t>
      </w:r>
      <w:r w:rsidRPr="00E2397D">
        <w:rPr>
          <w:rFonts w:ascii="Verdana" w:eastAsia="Calibri" w:hAnsi="Verdana" w:cs="Arial"/>
        </w:rPr>
        <w:lastRenderedPageBreak/>
        <w:t>acciones terroristas, desastres naturales o casos de fuerza mayor, y los que deban realizar las entidades sanitarias y hospitalarias”</w:t>
      </w:r>
      <w:r w:rsidRPr="00E2397D">
        <w:rPr>
          <w:rFonts w:ascii="Verdana" w:eastAsia="Calibri" w:hAnsi="Verdana" w:cs="Arial"/>
          <w:vertAlign w:val="superscript"/>
        </w:rPr>
        <w:footnoteReference w:id="8"/>
      </w:r>
      <w:r w:rsidRPr="00E2397D">
        <w:rPr>
          <w:rFonts w:ascii="Verdana" w:eastAsia="Calibri" w:hAnsi="Verdana" w:cs="Arial"/>
        </w:rPr>
        <w:t>.</w:t>
      </w:r>
    </w:p>
    <w:p w14:paraId="0032F1E7" w14:textId="77777777" w:rsidR="00E2397D" w:rsidRDefault="00E2397D" w:rsidP="00E2397D">
      <w:pPr>
        <w:widowControl w:val="0"/>
        <w:autoSpaceDE w:val="0"/>
        <w:autoSpaceDN w:val="0"/>
        <w:spacing w:after="120" w:line="276" w:lineRule="auto"/>
        <w:ind w:right="113" w:firstLine="709"/>
        <w:jc w:val="both"/>
        <w:rPr>
          <w:rFonts w:ascii="Verdana" w:eastAsia="Arial" w:hAnsi="Verdana" w:cs="Arial"/>
          <w:lang w:val="es-ES" w:eastAsia="es-ES" w:bidi="es-ES"/>
        </w:rPr>
      </w:pPr>
      <w:r w:rsidRPr="00E2397D">
        <w:rPr>
          <w:rFonts w:ascii="Verdana" w:eastAsia="Calibri" w:hAnsi="Verdana" w:cs="Arial"/>
        </w:rPr>
        <w:t xml:space="preserve">Por otro lado, </w:t>
      </w:r>
      <w:r w:rsidRPr="00E2397D">
        <w:rPr>
          <w:rFonts w:ascii="Verdana" w:eastAsia="Calibri" w:hAnsi="Verdana" w:cs="Arial"/>
          <w:i/>
          <w:iCs/>
        </w:rPr>
        <w:t>el parágrafo del artículo 38 de la Ley 996 de 2005</w:t>
      </w:r>
      <w:r w:rsidRPr="00E2397D">
        <w:rPr>
          <w:rFonts w:ascii="Verdana" w:eastAsia="Calibri" w:hAnsi="Verdana" w:cs="Arial"/>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E2397D">
        <w:rPr>
          <w:rFonts w:ascii="Verdana" w:eastAsia="Calibri" w:hAnsi="Verdana" w:cs="Arial"/>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E2397D">
        <w:rPr>
          <w:rFonts w:ascii="Verdana" w:eastAsia="Calibri" w:hAnsi="Verdana" w:cs="Arial"/>
        </w:rPr>
        <w:t>”</w:t>
      </w:r>
      <w:bookmarkEnd w:id="5"/>
      <w:r w:rsidRPr="00E2397D">
        <w:rPr>
          <w:rFonts w:ascii="Verdana" w:eastAsia="Calibri" w:hAnsi="Verdana" w:cs="Arial"/>
          <w:vertAlign w:val="superscript"/>
        </w:rPr>
        <w:footnoteReference w:id="9"/>
      </w:r>
      <w:r w:rsidRPr="00E2397D">
        <w:rPr>
          <w:rFonts w:ascii="Verdana" w:eastAsia="Calibri" w:hAnsi="Verdana" w:cs="Arial"/>
          <w:lang w:val="es-MX"/>
        </w:rPr>
        <w:t>.</w:t>
      </w:r>
      <w:r w:rsidRPr="00E2397D">
        <w:rPr>
          <w:rFonts w:ascii="Verdana" w:eastAsia="Arial" w:hAnsi="Verdana" w:cs="Arial"/>
          <w:lang w:val="es-ES" w:eastAsia="es-ES" w:bidi="es-ES"/>
        </w:rPr>
        <w:t xml:space="preserve"> </w:t>
      </w:r>
    </w:p>
    <w:p w14:paraId="051417AB" w14:textId="2DB8DC4D" w:rsidR="003A0145" w:rsidRDefault="003A0145" w:rsidP="00E2397D">
      <w:pPr>
        <w:widowControl w:val="0"/>
        <w:autoSpaceDE w:val="0"/>
        <w:autoSpaceDN w:val="0"/>
        <w:spacing w:after="120" w:line="276" w:lineRule="auto"/>
        <w:ind w:right="113" w:firstLine="709"/>
        <w:jc w:val="both"/>
        <w:rPr>
          <w:rFonts w:ascii="Verdana" w:eastAsia="Arial" w:hAnsi="Verdana" w:cs="Arial"/>
          <w:lang w:val="es-ES" w:eastAsia="es-ES" w:bidi="es-ES"/>
        </w:rPr>
      </w:pPr>
      <w:r w:rsidRPr="003A0145">
        <w:rPr>
          <w:rFonts w:ascii="Verdana" w:eastAsia="Arial" w:hAnsi="Verdana" w:cs="Arial"/>
          <w:lang w:eastAsia="es-ES" w:bidi="es-ES"/>
        </w:rPr>
        <w:t>Para entender el momento de aplicación de estas restricciones, es preciso señalar que el vocablo “celebrar” es definido por el Diccionario Panhispánico del Español Jurídico como: “1</w:t>
      </w:r>
      <w:r w:rsidRPr="003A0145">
        <w:rPr>
          <w:rFonts w:ascii="Verdana" w:eastAsia="Arial" w:hAnsi="Verdana" w:cs="Arial"/>
          <w:i/>
          <w:iCs/>
          <w:lang w:eastAsia="es-ES" w:bidi="es-ES"/>
        </w:rPr>
        <w:t>. Gral</w:t>
      </w:r>
      <w:r w:rsidRPr="003A0145">
        <w:rPr>
          <w:rFonts w:ascii="Verdana" w:eastAsia="Arial" w:hAnsi="Verdana" w:cs="Arial"/>
          <w:lang w:eastAsia="es-ES" w:bidi="es-ES"/>
        </w:rPr>
        <w:t xml:space="preserve">. Otorgar o firmar un contrato. 2. </w:t>
      </w:r>
      <w:proofErr w:type="spellStart"/>
      <w:r w:rsidRPr="00545822">
        <w:rPr>
          <w:rFonts w:ascii="Verdana" w:eastAsia="Arial" w:hAnsi="Verdana" w:cs="Arial"/>
          <w:i/>
          <w:iCs/>
          <w:lang w:eastAsia="es-ES" w:bidi="es-ES"/>
        </w:rPr>
        <w:t>Proc</w:t>
      </w:r>
      <w:proofErr w:type="spellEnd"/>
      <w:r w:rsidRPr="003A0145">
        <w:rPr>
          <w:rFonts w:ascii="Verdana" w:eastAsia="Arial" w:hAnsi="Verdana" w:cs="Arial"/>
          <w:lang w:eastAsia="es-ES" w:bidi="es-ES"/>
        </w:rPr>
        <w:t>. Realizar los actos procesales propios de un juicio o vista”. Dentro de las dos definiciones, la que se acerca a la expresión “celebrar” en el contexto de la Ley de Garantías Electorales es la primera, esto es, al perfeccionamiento del contrato.</w:t>
      </w:r>
    </w:p>
    <w:p w14:paraId="22F4F753" w14:textId="24BD2FD0" w:rsidR="003A0145" w:rsidRDefault="001366C9" w:rsidP="00E2397D">
      <w:pPr>
        <w:widowControl w:val="0"/>
        <w:autoSpaceDE w:val="0"/>
        <w:autoSpaceDN w:val="0"/>
        <w:spacing w:after="120" w:line="276" w:lineRule="auto"/>
        <w:ind w:right="113" w:firstLine="709"/>
        <w:jc w:val="both"/>
        <w:rPr>
          <w:rFonts w:ascii="Verdana" w:eastAsia="Arial" w:hAnsi="Verdana" w:cs="Arial"/>
          <w:lang w:val="es-ES" w:eastAsia="es-ES" w:bidi="es-ES"/>
        </w:rPr>
      </w:pPr>
      <w:r w:rsidRPr="001366C9">
        <w:rPr>
          <w:rFonts w:ascii="Verdana" w:eastAsia="Arial" w:hAnsi="Verdana" w:cs="Arial"/>
          <w:lang w:eastAsia="es-ES" w:bidi="es-ES"/>
        </w:rPr>
        <w:t xml:space="preserve">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la existencia de los contratos estatales, es decir, la producción de efectos jurídicos en los términos del artículo 1501 </w:t>
      </w:r>
      <w:proofErr w:type="spellStart"/>
      <w:r w:rsidRPr="000D71F8">
        <w:rPr>
          <w:rFonts w:ascii="Verdana" w:eastAsia="Arial" w:hAnsi="Verdana" w:cs="Arial"/>
          <w:i/>
          <w:iCs/>
          <w:lang w:eastAsia="es-ES" w:bidi="es-ES"/>
        </w:rPr>
        <w:t>ibídem</w:t>
      </w:r>
      <w:proofErr w:type="spellEnd"/>
      <w:r w:rsidRPr="001366C9">
        <w:rPr>
          <w:rFonts w:ascii="Verdana" w:eastAsia="Arial" w:hAnsi="Verdana" w:cs="Arial"/>
          <w:lang w:eastAsia="es-ES" w:bidi="es-ES"/>
        </w:rPr>
        <w:t xml:space="preserve">, depende de la regulación del inciso primero de los artículos 39 y 41 de la Ley 80 de 1993. Por un lado, “Los contratos que celebren las entidades estatales constarán por escrito y no requerirán ser elevados a escritura pública, con excepción de aquellos que </w:t>
      </w:r>
      <w:r w:rsidRPr="001366C9">
        <w:rPr>
          <w:rFonts w:ascii="Verdana" w:eastAsia="Arial" w:hAnsi="Verdana" w:cs="Arial"/>
          <w:lang w:eastAsia="es-ES" w:bidi="es-ES"/>
        </w:rPr>
        <w:lastRenderedPageBreak/>
        <w:t>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w:t>
      </w:r>
    </w:p>
    <w:p w14:paraId="483FE916" w14:textId="38DA5635" w:rsidR="003A0145" w:rsidRDefault="008014B6" w:rsidP="00E2397D">
      <w:pPr>
        <w:widowControl w:val="0"/>
        <w:autoSpaceDE w:val="0"/>
        <w:autoSpaceDN w:val="0"/>
        <w:spacing w:after="120" w:line="276" w:lineRule="auto"/>
        <w:ind w:right="113" w:firstLine="709"/>
        <w:jc w:val="both"/>
        <w:rPr>
          <w:rFonts w:ascii="Verdana" w:eastAsia="Arial" w:hAnsi="Verdana" w:cs="Arial"/>
          <w:lang w:eastAsia="es-ES" w:bidi="es-ES"/>
        </w:rPr>
      </w:pPr>
      <w:r w:rsidRPr="008014B6">
        <w:rPr>
          <w:rFonts w:ascii="Verdana" w:eastAsia="Arial" w:hAnsi="Verdana" w:cs="Arial"/>
          <w:lang w:eastAsia="es-ES" w:bidi="es-ES"/>
        </w:rPr>
        <w:t>De este modo, esta Agencia precisa que el concepto “celebrar” para efectos de las restricciones en la contratación dispuesta por la Ley de Garantías Electorales se refiere a los requisitos de perfeccionamiento del contrato estatal. Por tanto, no se refiere a los requisitos de ejecución, es decir, aquellas condiciones para iniciar un contrato, como es la aprobación de las garantías o el registro presupuestal, o en algunos casos, la firma del acta de inicio, si así se determinó.</w:t>
      </w:r>
    </w:p>
    <w:p w14:paraId="352E160C" w14:textId="686B1FFA" w:rsidR="008014B6" w:rsidRPr="00E2397D" w:rsidRDefault="008014B6" w:rsidP="00E2397D">
      <w:pPr>
        <w:widowControl w:val="0"/>
        <w:autoSpaceDE w:val="0"/>
        <w:autoSpaceDN w:val="0"/>
        <w:spacing w:after="120" w:line="276" w:lineRule="auto"/>
        <w:ind w:right="113" w:firstLine="709"/>
        <w:jc w:val="both"/>
        <w:rPr>
          <w:rFonts w:ascii="Verdana" w:eastAsia="Arial" w:hAnsi="Verdana" w:cs="Arial"/>
          <w:lang w:val="es-ES" w:eastAsia="es-ES" w:bidi="es-ES"/>
        </w:rPr>
      </w:pPr>
      <w:r w:rsidRPr="008014B6">
        <w:rPr>
          <w:rFonts w:ascii="Verdana" w:eastAsia="Arial" w:hAnsi="Verdana" w:cs="Arial"/>
          <w:lang w:eastAsia="es-ES" w:bidi="es-ES"/>
        </w:rPr>
        <w:t>Así mismo, como en otras oportunidades lo ha manifestado esta Agencia, las prórrogas, modificaciones o adiciones de los contratos suscritos antes de la entrada en vigencia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r w:rsidRPr="00E2397D">
        <w:rPr>
          <w:rFonts w:ascii="Verdana" w:eastAsia="Calibri" w:hAnsi="Verdana" w:cs="Arial"/>
          <w:vertAlign w:val="superscript"/>
        </w:rPr>
        <w:footnoteReference w:id="10"/>
      </w:r>
      <w:r w:rsidRPr="00E2397D">
        <w:rPr>
          <w:rFonts w:ascii="Verdana" w:eastAsia="Calibri" w:hAnsi="Verdana" w:cs="Arial"/>
          <w:lang w:val="es-MX"/>
        </w:rPr>
        <w:t>.</w:t>
      </w:r>
    </w:p>
    <w:p w14:paraId="3D76E882" w14:textId="59A82506" w:rsidR="00E2397D" w:rsidRPr="00E2397D" w:rsidRDefault="00E2397D" w:rsidP="00E2397D">
      <w:pPr>
        <w:widowControl w:val="0"/>
        <w:autoSpaceDE w:val="0"/>
        <w:autoSpaceDN w:val="0"/>
        <w:spacing w:after="0" w:line="276" w:lineRule="auto"/>
        <w:ind w:right="113" w:firstLine="708"/>
        <w:contextualSpacing/>
        <w:jc w:val="both"/>
        <w:rPr>
          <w:rFonts w:ascii="Verdana" w:eastAsia="Arial" w:hAnsi="Verdana" w:cs="Arial"/>
          <w:lang w:val="es-ES" w:eastAsia="es-ES" w:bidi="es-ES"/>
        </w:rPr>
      </w:pPr>
      <w:r w:rsidRPr="00E2397D">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consid</w:t>
      </w:r>
      <w:r w:rsidR="00310E5C">
        <w:rPr>
          <w:rFonts w:ascii="Verdana" w:eastAsia="Arial" w:hAnsi="Verdana" w:cs="Arial"/>
          <w:lang w:val="es-ES" w:eastAsia="es-ES" w:bidi="es-ES"/>
        </w:rPr>
        <w:t>era</w:t>
      </w:r>
      <w:r w:rsidRPr="00E2397D">
        <w:rPr>
          <w:rFonts w:ascii="Verdana" w:eastAsia="Arial" w:hAnsi="Verdana" w:cs="Arial"/>
          <w:lang w:val="es-ES" w:eastAsia="es-ES" w:bidi="es-ES"/>
        </w:rPr>
        <w:t>:</w:t>
      </w:r>
    </w:p>
    <w:p w14:paraId="15C2A8E9" w14:textId="77777777" w:rsidR="00E2397D" w:rsidRPr="00E2397D" w:rsidRDefault="00E2397D" w:rsidP="00E2397D">
      <w:pPr>
        <w:widowControl w:val="0"/>
        <w:autoSpaceDE w:val="0"/>
        <w:autoSpaceDN w:val="0"/>
        <w:spacing w:after="0" w:line="240" w:lineRule="auto"/>
        <w:ind w:left="805" w:right="812"/>
        <w:contextualSpacing/>
        <w:jc w:val="both"/>
        <w:rPr>
          <w:rFonts w:ascii="Verdana" w:eastAsia="Arial" w:hAnsi="Verdana" w:cs="Arial"/>
          <w:lang w:val="es-ES" w:eastAsia="es-ES" w:bidi="es-ES"/>
        </w:rPr>
      </w:pPr>
    </w:p>
    <w:p w14:paraId="67D6A0CC" w14:textId="77777777" w:rsidR="00E2397D" w:rsidRPr="00E2397D" w:rsidRDefault="00E2397D" w:rsidP="00E2397D">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00E2397D">
        <w:rPr>
          <w:rFonts w:ascii="Verdana" w:eastAsia="Arial" w:hAnsi="Verdana" w:cs="Arial"/>
          <w:sz w:val="20"/>
          <w:szCs w:val="20"/>
          <w:lang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8" w:name="_Hlk76109421"/>
      <w:r w:rsidRPr="00E2397D">
        <w:rPr>
          <w:rFonts w:ascii="Verdana" w:eastAsia="Arial" w:hAnsi="Verdana" w:cs="Arial"/>
          <w:sz w:val="20"/>
          <w:szCs w:val="20"/>
          <w:lang w:eastAsia="es-ES" w:bidi="es-ES"/>
        </w:rPr>
        <w:t>se integran parcialmente</w:t>
      </w:r>
      <w:bookmarkEnd w:id="8"/>
      <w:r w:rsidRPr="00E2397D">
        <w:rPr>
          <w:rFonts w:ascii="Verdana" w:eastAsia="Arial" w:hAnsi="Verdana" w:cs="Arial"/>
          <w:sz w:val="20"/>
          <w:szCs w:val="20"/>
          <w:lang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Presidente de la República, a las autoridades territoriales allí mencionadas sólo se aplican las restricciones </w:t>
      </w:r>
      <w:r w:rsidRPr="00E2397D">
        <w:rPr>
          <w:rFonts w:ascii="Verdana" w:eastAsia="Arial" w:hAnsi="Verdana" w:cs="Arial"/>
          <w:sz w:val="20"/>
          <w:szCs w:val="20"/>
          <w:lang w:eastAsia="es-ES" w:bidi="es-ES"/>
        </w:rPr>
        <w:lastRenderedPageBreak/>
        <w:t>contenidas en el parágrafo del artículo 38”.</w:t>
      </w:r>
      <w:r w:rsidRPr="00E2397D">
        <w:rPr>
          <w:rFonts w:ascii="Verdana" w:eastAsia="Arial" w:hAnsi="Verdana" w:cs="Arial"/>
          <w:sz w:val="20"/>
          <w:szCs w:val="20"/>
          <w:vertAlign w:val="superscript"/>
          <w:lang w:eastAsia="es-ES" w:bidi="es-ES"/>
        </w:rPr>
        <w:footnoteReference w:id="11"/>
      </w:r>
    </w:p>
    <w:p w14:paraId="2FE3AE1E" w14:textId="77777777" w:rsidR="00E2397D" w:rsidRPr="00E2397D" w:rsidRDefault="00E2397D" w:rsidP="00E2397D">
      <w:pPr>
        <w:widowControl w:val="0"/>
        <w:autoSpaceDE w:val="0"/>
        <w:autoSpaceDN w:val="0"/>
        <w:spacing w:after="0" w:line="276" w:lineRule="auto"/>
        <w:contextualSpacing/>
        <w:rPr>
          <w:rFonts w:ascii="Verdana" w:eastAsia="Arial" w:hAnsi="Verdana" w:cs="Arial"/>
          <w:lang w:val="es-ES" w:eastAsia="es-ES" w:bidi="es-ES"/>
        </w:rPr>
      </w:pPr>
    </w:p>
    <w:p w14:paraId="4C9B7FFA" w14:textId="34776F46" w:rsidR="00E2397D" w:rsidRPr="00E2397D" w:rsidRDefault="00E2397D" w:rsidP="00E2397D">
      <w:pPr>
        <w:spacing w:after="120" w:line="276" w:lineRule="auto"/>
        <w:ind w:firstLine="709"/>
        <w:jc w:val="both"/>
        <w:rPr>
          <w:rFonts w:ascii="Verdana" w:eastAsia="Arial" w:hAnsi="Verdana" w:cs="Arial"/>
          <w:lang w:val="es-ES" w:eastAsia="es-ES" w:bidi="es-ES"/>
        </w:rPr>
      </w:pPr>
      <w:r w:rsidRPr="00E2397D">
        <w:rPr>
          <w:rFonts w:ascii="Verdana" w:eastAsia="Arial" w:hAnsi="Verdana" w:cs="Arial"/>
          <w:lang w:val="es-ES" w:eastAsia="es-ES" w:bidi="es-ES"/>
        </w:rPr>
        <w:t xml:space="preserve">De conformidad con lo anterior, </w:t>
      </w:r>
      <w:bookmarkStart w:id="9" w:name="_Hlk77236420"/>
      <w:bookmarkStart w:id="10" w:name="_Hlk78818435"/>
      <w:bookmarkStart w:id="11" w:name="_Hlk75780333"/>
      <w:r w:rsidRPr="00E2397D">
        <w:rPr>
          <w:rFonts w:ascii="Verdana" w:eastAsia="Arial" w:hAnsi="Verdana" w:cs="Arial"/>
          <w:lang w:val="es-ES" w:eastAsia="es-ES" w:bidi="es-ES"/>
        </w:rPr>
        <w:t xml:space="preserve">la Ley 996 de 2005 establece dos (2) tipos de restricciones en materia de contratación, las cuales coinciden parcialmente. </w:t>
      </w:r>
      <w:r w:rsidRPr="00E2397D">
        <w:rPr>
          <w:rFonts w:ascii="Verdana" w:eastAsia="Arial" w:hAnsi="Verdana" w:cs="Arial"/>
          <w:i/>
          <w:lang w:val="es-ES" w:eastAsia="es-ES" w:bidi="es-ES"/>
        </w:rPr>
        <w:t>En primer lugar</w:t>
      </w:r>
      <w:r w:rsidRPr="00E2397D">
        <w:rPr>
          <w:rFonts w:ascii="Verdana" w:eastAsia="Arial" w:hAnsi="Verdana" w:cs="Arial"/>
          <w:lang w:val="es-ES" w:eastAsia="es-ES" w:bidi="es-ES"/>
        </w:rPr>
        <w:t xml:space="preserve">, la del artículo 33 que </w:t>
      </w:r>
      <w:r w:rsidR="00325755">
        <w:rPr>
          <w:rFonts w:ascii="Verdana" w:eastAsia="Arial" w:hAnsi="Verdana" w:cs="Arial"/>
          <w:lang w:val="es-ES" w:eastAsia="es-ES" w:bidi="es-ES"/>
        </w:rPr>
        <w:t xml:space="preserve">aplica </w:t>
      </w:r>
      <w:r w:rsidRPr="00E2397D">
        <w:rPr>
          <w:rFonts w:ascii="Verdana" w:eastAsia="Arial" w:hAnsi="Verdana" w:cs="Arial"/>
          <w:lang w:val="es-ES" w:eastAsia="es-ES" w:bidi="es-ES"/>
        </w:rPr>
        <w:t xml:space="preserve">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E2397D">
        <w:rPr>
          <w:rFonts w:ascii="Verdana" w:eastAsia="Arial" w:hAnsi="Verdana" w:cs="Arial"/>
          <w:i/>
          <w:lang w:val="es-ES" w:eastAsia="es-ES" w:bidi="es-ES"/>
        </w:rPr>
        <w:t>En segundo lugar</w:t>
      </w:r>
      <w:r w:rsidRPr="00E2397D">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9"/>
    </w:p>
    <w:bookmarkEnd w:id="10"/>
    <w:p w14:paraId="048973D0" w14:textId="1DB1D6E3" w:rsidR="00E2397D" w:rsidRPr="00E2397D" w:rsidRDefault="00E2397D" w:rsidP="00E2397D">
      <w:pPr>
        <w:spacing w:after="120" w:line="276" w:lineRule="auto"/>
        <w:ind w:firstLine="709"/>
        <w:jc w:val="both"/>
        <w:rPr>
          <w:rFonts w:ascii="Verdana" w:eastAsia="Arial" w:hAnsi="Verdana" w:cs="Arial"/>
          <w:lang w:val="es-ES" w:eastAsia="es-ES" w:bidi="es-ES"/>
        </w:rPr>
      </w:pPr>
      <w:r w:rsidRPr="00E2397D">
        <w:rPr>
          <w:rFonts w:ascii="Verdana" w:eastAsia="Arial" w:hAnsi="Verdana" w:cs="Arial"/>
          <w:lang w:val="es-ES" w:eastAsia="es-ES" w:bidi="es-ES"/>
        </w:rPr>
        <w:t>Ambas restricciones no son excluyentes, lo que permite concluir que</w:t>
      </w:r>
      <w:r w:rsidR="00310E5C">
        <w:rPr>
          <w:rFonts w:ascii="Verdana" w:eastAsia="Arial" w:hAnsi="Verdana" w:cs="Arial"/>
          <w:lang w:val="es-ES" w:eastAsia="es-ES" w:bidi="es-ES"/>
        </w:rPr>
        <w:t>,</w:t>
      </w:r>
      <w:r w:rsidRPr="00E2397D">
        <w:rPr>
          <w:rFonts w:ascii="Verdana" w:eastAsia="Arial" w:hAnsi="Verdana" w:cs="Arial"/>
          <w:lang w:val="es-ES" w:eastAsia="es-ES" w:bidi="es-ES"/>
        </w:rPr>
        <w:t xml:space="preserve"> en el período preelectoral para elección de Presidente de la República, a todos los entes del Estado, incluidos los territoriales, aplican las restricciones del artículo 33 con sus excepciones, así como las del parágrafo del artículo 38. En cambio, tratándose de elecciones en general, excluyendo las correspondientes al Presidente de la República, las autoridades allí mencionadas sólo deben aplicar las restricciones contenidas en el parágrafo del artículo 38.</w:t>
      </w:r>
    </w:p>
    <w:bookmarkEnd w:id="11"/>
    <w:p w14:paraId="56F760A8" w14:textId="77777777" w:rsidR="00325755" w:rsidRDefault="00E2397D" w:rsidP="00325755">
      <w:pPr>
        <w:spacing w:after="0" w:line="276" w:lineRule="auto"/>
        <w:ind w:firstLine="709"/>
        <w:jc w:val="both"/>
        <w:rPr>
          <w:rFonts w:ascii="Verdana" w:eastAsia="Arial" w:hAnsi="Verdana" w:cs="Arial"/>
          <w:lang w:val="es-ES" w:eastAsia="es-ES" w:bidi="es-ES"/>
        </w:rPr>
      </w:pPr>
      <w:r w:rsidRPr="00E2397D">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Presidente o el Vicepresidente desde que éstos –estando en ejercicio de su cargo– manifiesten el interés de ser candidato presidencial, lo cual debe ocurrir seis (6)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Esto </w:t>
      </w:r>
      <w:r w:rsidRPr="00E2397D">
        <w:rPr>
          <w:rFonts w:ascii="Verdana" w:eastAsia="Arial" w:hAnsi="Verdana" w:cs="Arial"/>
          <w:lang w:val="es-ES" w:eastAsia="es-ES" w:bidi="es-ES"/>
        </w:rPr>
        <w:lastRenderedPageBreak/>
        <w:t xml:space="preserve">excepto para el Vicepresidente que no haya ejercido la presidencia o que la haya ejercido por un tiempo inferior a tres (3) meses durante el respectivo cuatrienio, en forma continua o discontinua, conforme al artículo 197 de la Constitución Política. </w:t>
      </w:r>
    </w:p>
    <w:p w14:paraId="7E73EE43" w14:textId="77777777" w:rsidR="002A1CEF" w:rsidRDefault="002A1CEF" w:rsidP="00325755">
      <w:pPr>
        <w:spacing w:after="0" w:line="276" w:lineRule="auto"/>
        <w:ind w:firstLine="709"/>
        <w:jc w:val="both"/>
        <w:rPr>
          <w:rFonts w:ascii="Verdana" w:eastAsia="Arial" w:hAnsi="Verdana" w:cs="Arial"/>
          <w:lang w:val="es-ES" w:eastAsia="es-ES" w:bidi="es-ES"/>
        </w:rPr>
      </w:pPr>
    </w:p>
    <w:p w14:paraId="1D91E0B3" w14:textId="77777777" w:rsidR="002A1CEF" w:rsidRDefault="002A1CEF" w:rsidP="002A1CEF">
      <w:pPr>
        <w:spacing w:after="0" w:line="276" w:lineRule="auto"/>
        <w:jc w:val="both"/>
        <w:rPr>
          <w:rFonts w:ascii="Verdana" w:eastAsia="Arial" w:hAnsi="Verdana" w:cs="Arial"/>
          <w:lang w:eastAsia="es-ES" w:bidi="es-ES"/>
        </w:rPr>
      </w:pPr>
      <w:proofErr w:type="spellStart"/>
      <w:r w:rsidRPr="002A1CEF">
        <w:rPr>
          <w:rFonts w:ascii="Verdana" w:eastAsia="Arial" w:hAnsi="Verdana" w:cs="Arial"/>
          <w:lang w:eastAsia="es-ES" w:bidi="es-ES"/>
        </w:rPr>
        <w:t>iii</w:t>
      </w:r>
      <w:proofErr w:type="spellEnd"/>
      <w:r w:rsidRPr="002A1CEF">
        <w:rPr>
          <w:rFonts w:ascii="Verdana" w:eastAsia="Arial" w:hAnsi="Verdana" w:cs="Arial"/>
          <w:lang w:eastAsia="es-ES" w:bidi="es-ES"/>
        </w:rPr>
        <w:t xml:space="preserve">. Ahora bien, para responder al problema jurídico planteado resulta necesario precisar el alcance de la prohibición establecida en el parágrafo del artículo 38 de la Ley 996 de 2005. La citada norma dispone: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[Énfasis fuera del texto original] </w:t>
      </w:r>
    </w:p>
    <w:p w14:paraId="60799256" w14:textId="77777777" w:rsidR="002A1CEF" w:rsidRDefault="002A1CEF" w:rsidP="002A1CEF">
      <w:pPr>
        <w:spacing w:after="0" w:line="276" w:lineRule="auto"/>
        <w:jc w:val="both"/>
        <w:rPr>
          <w:rFonts w:ascii="Verdana" w:eastAsia="Arial" w:hAnsi="Verdana" w:cs="Arial"/>
          <w:lang w:eastAsia="es-ES" w:bidi="es-ES"/>
        </w:rPr>
      </w:pPr>
    </w:p>
    <w:p w14:paraId="4E50D67C" w14:textId="0065E7C8" w:rsidR="002A1CEF" w:rsidRDefault="002A1CEF" w:rsidP="002A1CEF">
      <w:pPr>
        <w:spacing w:after="0" w:line="276" w:lineRule="auto"/>
        <w:ind w:firstLine="360"/>
        <w:jc w:val="both"/>
        <w:rPr>
          <w:rFonts w:ascii="Verdana" w:eastAsia="Arial" w:hAnsi="Verdana" w:cs="Arial"/>
          <w:lang w:eastAsia="es-ES" w:bidi="es-ES"/>
        </w:rPr>
      </w:pPr>
      <w:r w:rsidRPr="002A1CEF">
        <w:rPr>
          <w:rFonts w:ascii="Verdana" w:eastAsia="Arial" w:hAnsi="Verdana" w:cs="Arial"/>
          <w:lang w:eastAsia="es-ES" w:bidi="es-ES"/>
        </w:rPr>
        <w:t>Sobre este aspecto, es importante señalar que esta Subdirección, en los conceptos emitidos sobre la aplicación de la Ley de Garantías Electorales, ha defendido y mantenido la postura acerca de que la prohibición señalada en el parágrafo del artículo 38 cobija tanto a los convenios como a los contratos interadministrativos. Esta tesis se fundamenta en que si bien actualmente el Estatuto General de Contratación de la Administración Pública – en adelante EGCAP – se refiere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w:t>
      </w:r>
    </w:p>
    <w:p w14:paraId="176F5C31" w14:textId="77777777" w:rsidR="0090165B" w:rsidRDefault="0090165B" w:rsidP="002A1CEF">
      <w:pPr>
        <w:spacing w:after="0" w:line="276" w:lineRule="auto"/>
        <w:ind w:firstLine="360"/>
        <w:jc w:val="both"/>
        <w:rPr>
          <w:rFonts w:ascii="Verdana" w:eastAsia="Arial" w:hAnsi="Verdana" w:cs="Arial"/>
          <w:lang w:eastAsia="es-ES" w:bidi="es-ES"/>
        </w:rPr>
      </w:pPr>
    </w:p>
    <w:p w14:paraId="2B48BCE2" w14:textId="62289D3A" w:rsidR="0090165B" w:rsidRDefault="0090165B" w:rsidP="002A1CEF">
      <w:pPr>
        <w:spacing w:after="0" w:line="276" w:lineRule="auto"/>
        <w:ind w:firstLine="360"/>
        <w:jc w:val="both"/>
        <w:rPr>
          <w:rFonts w:ascii="Verdana" w:eastAsia="Arial" w:hAnsi="Verdana" w:cs="Arial"/>
          <w:lang w:val="es-ES" w:eastAsia="es-ES" w:bidi="es-ES"/>
        </w:rPr>
      </w:pPr>
      <w:r w:rsidRPr="0090165B">
        <w:rPr>
          <w:rFonts w:ascii="Verdana" w:eastAsia="Arial" w:hAnsi="Verdana" w:cs="Arial"/>
          <w:lang w:eastAsia="es-ES" w:bidi="es-ES"/>
        </w:rPr>
        <w:t>Por este motivo, se argumenta en dichos conceptos que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 estatales. Además, se señala que el legislador y el ordenamiento jurídico, en general, en distintas ocasiones utiliza de forma indistinta los conceptos de contrato o convenio para referirse a la misma institución jurídica</w:t>
      </w:r>
      <w:r w:rsidRPr="00E2397D">
        <w:rPr>
          <w:rFonts w:ascii="Verdana" w:eastAsia="Arial" w:hAnsi="Verdana" w:cs="Arial"/>
          <w:sz w:val="20"/>
          <w:szCs w:val="20"/>
          <w:vertAlign w:val="superscript"/>
          <w:lang w:eastAsia="es-ES" w:bidi="es-ES"/>
        </w:rPr>
        <w:footnoteReference w:id="12"/>
      </w:r>
      <w:r w:rsidRPr="0090165B">
        <w:rPr>
          <w:rFonts w:ascii="Verdana" w:eastAsia="Arial" w:hAnsi="Verdana" w:cs="Arial"/>
          <w:lang w:eastAsia="es-ES" w:bidi="es-ES"/>
        </w:rPr>
        <w:t xml:space="preserve">. Incluso, la Corte Constitucional fundamenta la posibilidad de celebrar convenios interadministrativos de forma directa, con </w:t>
      </w:r>
      <w:r w:rsidRPr="0090165B">
        <w:rPr>
          <w:rFonts w:ascii="Verdana" w:eastAsia="Arial" w:hAnsi="Verdana" w:cs="Arial"/>
          <w:lang w:eastAsia="es-ES" w:bidi="es-ES"/>
        </w:rPr>
        <w:lastRenderedPageBreak/>
        <w:t>fundamento en la causal establecida en la Ley 1150 de 2007 respecto a los contratos interadministrativos</w:t>
      </w:r>
      <w:r w:rsidRPr="00E2397D">
        <w:rPr>
          <w:rFonts w:ascii="Verdana" w:eastAsia="Arial" w:hAnsi="Verdana" w:cs="Arial"/>
          <w:sz w:val="20"/>
          <w:szCs w:val="20"/>
          <w:vertAlign w:val="superscript"/>
          <w:lang w:eastAsia="es-ES" w:bidi="es-ES"/>
        </w:rPr>
        <w:footnoteReference w:id="13"/>
      </w:r>
      <w:r w:rsidRPr="0090165B">
        <w:rPr>
          <w:rFonts w:ascii="Verdana" w:eastAsia="Arial" w:hAnsi="Verdana" w:cs="Arial"/>
          <w:lang w:eastAsia="es-ES" w:bidi="es-ES"/>
        </w:rPr>
        <w:t>.</w:t>
      </w:r>
    </w:p>
    <w:p w14:paraId="282CABCF" w14:textId="63F206AF" w:rsidR="00E2397D" w:rsidRDefault="00E2397D" w:rsidP="00E2397D">
      <w:pPr>
        <w:spacing w:after="120" w:line="276" w:lineRule="auto"/>
        <w:ind w:firstLine="708"/>
        <w:jc w:val="both"/>
        <w:rPr>
          <w:rFonts w:ascii="Verdana" w:eastAsia="Arial" w:hAnsi="Verdana" w:cs="Arial"/>
          <w:lang w:val="es-ES" w:eastAsia="es-ES" w:bidi="es-ES"/>
        </w:rPr>
      </w:pPr>
      <w:r w:rsidRPr="00E2397D">
        <w:rPr>
          <w:rFonts w:ascii="Verdana" w:eastAsia="Arial" w:hAnsi="Verdana" w:cs="Arial"/>
          <w:lang w:val="es-ES" w:eastAsia="es-ES" w:bidi="es-ES"/>
        </w:rPr>
        <w:t xml:space="preserve"> </w:t>
      </w:r>
    </w:p>
    <w:p w14:paraId="1B4D2416" w14:textId="77777777" w:rsidR="00D37044" w:rsidRDefault="0090165B" w:rsidP="00E2397D">
      <w:pPr>
        <w:spacing w:after="120" w:line="276" w:lineRule="auto"/>
        <w:ind w:firstLine="708"/>
        <w:jc w:val="both"/>
        <w:rPr>
          <w:rFonts w:ascii="Verdana" w:eastAsia="Arial" w:hAnsi="Verdana" w:cs="Arial"/>
          <w:lang w:eastAsia="es-ES" w:bidi="es-ES"/>
        </w:rPr>
      </w:pPr>
      <w:r w:rsidRPr="0090165B">
        <w:rPr>
          <w:rFonts w:ascii="Verdana" w:eastAsia="Arial" w:hAnsi="Verdana" w:cs="Arial"/>
          <w:lang w:eastAsia="es-ES" w:bidi="es-ES"/>
        </w:rPr>
        <w:t xml:space="preserve">De este modo, en la Circular Externa Única de Colombia Compra Eficiente, pese a reconocer que se han realizado algunas distinciones jurisprudenciales en torno a los contratos y convenios interadministrativos, relacionados con el alcance de las obligaciones que los caracterizan, se señaló que no existe una definición legal que diferencie los conceptos de convenio o de contrato. En este sentido, la Circular, refiriéndose al parágrafo del artículo 38 de la Ley 996 de 2005, expresa lo siguiente en el numeral 16.2: </w:t>
      </w:r>
    </w:p>
    <w:p w14:paraId="2D8BAEB8" w14:textId="77777777" w:rsidR="00D37044" w:rsidRDefault="00D37044" w:rsidP="00D37044">
      <w:pPr>
        <w:spacing w:after="120" w:line="276" w:lineRule="auto"/>
        <w:ind w:left="708" w:firstLine="708"/>
        <w:jc w:val="both"/>
        <w:rPr>
          <w:rFonts w:ascii="Verdana" w:eastAsia="Arial" w:hAnsi="Verdana" w:cs="Arial"/>
          <w:sz w:val="21"/>
          <w:szCs w:val="21"/>
          <w:lang w:eastAsia="es-ES" w:bidi="es-ES"/>
        </w:rPr>
      </w:pPr>
    </w:p>
    <w:p w14:paraId="0818C533" w14:textId="4A796104" w:rsidR="00D37044" w:rsidRPr="00A94B0C" w:rsidRDefault="00D37044" w:rsidP="00D37044">
      <w:pPr>
        <w:spacing w:after="120" w:line="276" w:lineRule="auto"/>
        <w:ind w:left="708" w:firstLine="708"/>
        <w:jc w:val="both"/>
        <w:rPr>
          <w:rFonts w:ascii="Verdana" w:eastAsia="Arial" w:hAnsi="Verdana" w:cs="Arial"/>
          <w:sz w:val="20"/>
          <w:szCs w:val="20"/>
          <w:lang w:eastAsia="es-ES" w:bidi="es-ES"/>
        </w:rPr>
      </w:pPr>
      <w:r w:rsidRPr="00A94B0C">
        <w:rPr>
          <w:rFonts w:ascii="Verdana" w:eastAsia="Arial" w:hAnsi="Verdana" w:cs="Arial"/>
          <w:sz w:val="20"/>
          <w:szCs w:val="20"/>
          <w:lang w:eastAsia="es-ES" w:bidi="es-ES"/>
        </w:rPr>
        <w:t xml:space="preserve">“Esta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No obstante, por vía jurisprudencial se ha establecido que en los contratos interadministrativos existe una contraprestación directa a favor de la entidad que ha entregado el bien o prestado el servicio a la Entidad contratante, habilitado para ello por su objeto legal como entidad ejecutora, como quiera que las obligaciones asignadas legalmente a aquella entidad pública están directamente relacionadas con el objeto contractual. Por su parte, en los convenios interadministrativos las entidades se asocian con el fin de cooperar en el cumplimiento de funciones administrativas o de prestar conjuntamente servicios que se hallen a su cargo, sin que exista una contraprestación para ninguna de las entidades ni la prestación de un servicio a cargo de alguna de ellas y en favor de la otra parte del convenio. En el contexto de la Ley de Garantías, las restricciones además de propender por la igualdad de los candidatos están encaminadas a evitar que por medio de la contratación se altere la voluntad popular, lo cual se puede lograr a través de contratos o convenios. En este sentido, la prohibición que establece el parágrafo del artículo 38 de la Ley de Garantías consiste en evitar que los recursos del Estado se </w:t>
      </w:r>
      <w:r w:rsidRPr="00A94B0C">
        <w:rPr>
          <w:rFonts w:ascii="Verdana" w:eastAsia="Arial" w:hAnsi="Verdana" w:cs="Arial"/>
          <w:sz w:val="20"/>
          <w:szCs w:val="20"/>
          <w:lang w:eastAsia="es-ES" w:bidi="es-ES"/>
        </w:rPr>
        <w:lastRenderedPageBreak/>
        <w:t>ejecuten para lograr apoyos indebidos mediante la suscripción de contratos y/o convenios, que para efectos de la Ley de Garantías tienen la misma connotación y propósito”.</w:t>
      </w:r>
    </w:p>
    <w:p w14:paraId="0F870938" w14:textId="77777777" w:rsidR="00D37044" w:rsidRDefault="00D37044" w:rsidP="00D37044">
      <w:pPr>
        <w:spacing w:after="120" w:line="276" w:lineRule="auto"/>
        <w:ind w:firstLine="708"/>
        <w:jc w:val="both"/>
        <w:rPr>
          <w:rFonts w:ascii="Verdana" w:eastAsia="Arial" w:hAnsi="Verdana" w:cs="Arial"/>
          <w:lang w:eastAsia="es-ES" w:bidi="es-ES"/>
        </w:rPr>
      </w:pPr>
      <w:r w:rsidRPr="00D37044">
        <w:rPr>
          <w:rFonts w:ascii="Verdana" w:eastAsia="Arial" w:hAnsi="Verdana" w:cs="Arial"/>
          <w:lang w:eastAsia="es-ES" w:bidi="es-ES"/>
        </w:rPr>
        <w:t xml:space="preserve">Con base en lo expuesto, debido a que no existe una definición legal que diferencie los conceptos de contrato y convenio, esta Agencia ha partido de su asimilación para la aplicación de la Ley de Garantías Electorales, por lo que la interpretación que se ha efectuado del parágrafo del artículo 38 de la Ley 996 de 2005 es que prohíbe a los alcaldes, gobernadores, secretarios, gerentes y directores de las entidades del orden municipal, departamental o distrital celebrar convenios y contratos interadministrativos para la ejecución de recursos públicos. </w:t>
      </w:r>
    </w:p>
    <w:p w14:paraId="17647187" w14:textId="6176346F" w:rsidR="00D37044" w:rsidRDefault="00D37044" w:rsidP="00D37044">
      <w:pPr>
        <w:spacing w:after="120" w:line="276" w:lineRule="auto"/>
        <w:ind w:firstLine="708"/>
        <w:jc w:val="both"/>
        <w:rPr>
          <w:rFonts w:ascii="Verdana" w:eastAsia="Arial" w:hAnsi="Verdana" w:cs="Arial"/>
          <w:lang w:eastAsia="es-ES" w:bidi="es-ES"/>
        </w:rPr>
      </w:pPr>
      <w:r w:rsidRPr="00D37044">
        <w:rPr>
          <w:rFonts w:ascii="Verdana" w:eastAsia="Arial" w:hAnsi="Verdana" w:cs="Arial"/>
          <w:lang w:eastAsia="es-ES" w:bidi="es-ES"/>
        </w:rPr>
        <w:t>No obstante, conviene señalar que, mediante auto de 4 de octubre del 2024, el Consejo de Estado, Sección Tercera, decretó medida de suspensión provisional parcial del numeral 16.2 de la Circular Externa Única de 2022 expedida por la Agencia Nacional de Contratación Pública -Colombia Compra Eficiente-, concretamente, respecto de los siguientes apartes normativos</w:t>
      </w:r>
      <w:r w:rsidR="00791487" w:rsidRPr="00E2397D">
        <w:rPr>
          <w:rFonts w:ascii="Verdana" w:eastAsia="Arial" w:hAnsi="Verdana" w:cs="Arial"/>
          <w:sz w:val="20"/>
          <w:szCs w:val="20"/>
          <w:vertAlign w:val="superscript"/>
          <w:lang w:eastAsia="es-ES" w:bidi="es-ES"/>
        </w:rPr>
        <w:footnoteReference w:id="14"/>
      </w:r>
      <w:r w:rsidR="00791487">
        <w:rPr>
          <w:rFonts w:ascii="Verdana" w:eastAsia="Arial" w:hAnsi="Verdana" w:cs="Arial"/>
          <w:lang w:eastAsia="es-ES" w:bidi="es-ES"/>
        </w:rPr>
        <w:t>:</w:t>
      </w:r>
    </w:p>
    <w:p w14:paraId="48F13448" w14:textId="7DFDDE0F" w:rsidR="00BD46D0" w:rsidRPr="00BD46D0" w:rsidRDefault="00BD46D0" w:rsidP="00D37044">
      <w:pPr>
        <w:spacing w:after="120" w:line="276" w:lineRule="auto"/>
        <w:ind w:firstLine="708"/>
        <w:jc w:val="both"/>
        <w:rPr>
          <w:rFonts w:ascii="Verdana" w:eastAsia="Arial" w:hAnsi="Verdana" w:cs="Arial"/>
          <w:sz w:val="21"/>
          <w:szCs w:val="21"/>
          <w:lang w:eastAsia="es-ES" w:bidi="es-ES"/>
        </w:rPr>
      </w:pPr>
      <w:r w:rsidRPr="00BD46D0">
        <w:rPr>
          <w:rFonts w:ascii="Verdana" w:eastAsia="Arial" w:hAnsi="Verdana" w:cs="Arial"/>
          <w:sz w:val="21"/>
          <w:szCs w:val="21"/>
          <w:lang w:eastAsia="es-ES" w:bidi="es-ES"/>
        </w:rPr>
        <w:t xml:space="preserve">i) el inciso segundo 2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w:t>
      </w:r>
      <w:proofErr w:type="spellStart"/>
      <w:r w:rsidRPr="00BD46D0">
        <w:rPr>
          <w:rFonts w:ascii="Verdana" w:eastAsia="Arial" w:hAnsi="Verdana" w:cs="Arial"/>
          <w:sz w:val="21"/>
          <w:szCs w:val="21"/>
          <w:lang w:eastAsia="es-ES" w:bidi="es-ES"/>
        </w:rPr>
        <w:t>ii</w:t>
      </w:r>
      <w:proofErr w:type="spellEnd"/>
      <w:r w:rsidRPr="00BD46D0">
        <w:rPr>
          <w:rFonts w:ascii="Verdana" w:eastAsia="Arial" w:hAnsi="Verdana" w:cs="Arial"/>
          <w:sz w:val="21"/>
          <w:szCs w:val="21"/>
          <w:lang w:eastAsia="es-ES" w:bidi="es-ES"/>
        </w:rPr>
        <w:t>) la expresión y el siguiente párrafo contenidos en el inciso cuarto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p w14:paraId="1212718F" w14:textId="77777777" w:rsidR="00BD46D0" w:rsidRDefault="00BD46D0" w:rsidP="00BD46D0">
      <w:pPr>
        <w:spacing w:after="120" w:line="276" w:lineRule="auto"/>
        <w:ind w:firstLine="708"/>
        <w:jc w:val="both"/>
        <w:rPr>
          <w:rFonts w:ascii="Verdana" w:eastAsia="Arial" w:hAnsi="Verdana" w:cs="Arial"/>
          <w:lang w:eastAsia="es-ES" w:bidi="es-ES"/>
        </w:rPr>
      </w:pPr>
      <w:r w:rsidRPr="00BD46D0">
        <w:rPr>
          <w:rFonts w:ascii="Verdana" w:eastAsia="Arial" w:hAnsi="Verdana" w:cs="Arial"/>
          <w:lang w:eastAsia="es-ES" w:bidi="es-ES"/>
        </w:rPr>
        <w:t xml:space="preserve">De conformidad con los argumentos de dicha providencia, se parte de la distinción entre los conceptos de “convenio” y “contrato” interadministrativos, para diferenciarlos en su naturaleza, contenido y alcance, lo cual ha servido de fundamento para que tanto la Sección Tercera como también la Sala de Consulta y Servicio Civil de esa Corporación hayan realzado la distinción entre uno y otro negocio jurídico. En este sentido, en relación con el parágrafo del artículo 38 de </w:t>
      </w:r>
      <w:r w:rsidRPr="00BD46D0">
        <w:rPr>
          <w:rFonts w:ascii="Verdana" w:eastAsia="Arial" w:hAnsi="Verdana" w:cs="Arial"/>
          <w:lang w:eastAsia="es-ES" w:bidi="es-ES"/>
        </w:rPr>
        <w:lastRenderedPageBreak/>
        <w:t>la Ley 996 de 2005 concluyó que “</w:t>
      </w:r>
      <w:r w:rsidRPr="00BD46D0">
        <w:rPr>
          <w:rFonts w:ascii="Verdana" w:eastAsia="Arial" w:hAnsi="Verdana" w:cs="Arial"/>
          <w:i/>
          <w:iCs/>
          <w:lang w:eastAsia="es-ES" w:bidi="es-ES"/>
        </w:rPr>
        <w:t>si el legislador no diferenció al establecer la</w:t>
      </w:r>
      <w:r>
        <w:rPr>
          <w:rFonts w:ascii="Verdana" w:eastAsia="Arial" w:hAnsi="Verdana" w:cs="Arial"/>
          <w:i/>
          <w:iCs/>
          <w:lang w:eastAsia="es-ES" w:bidi="es-ES"/>
        </w:rPr>
        <w:t xml:space="preserve"> </w:t>
      </w:r>
      <w:r w:rsidRPr="00BD46D0">
        <w:rPr>
          <w:rFonts w:ascii="Verdana" w:eastAsia="Arial" w:hAnsi="Verdana" w:cs="Arial"/>
          <w:i/>
          <w:iCs/>
          <w:lang w:eastAsia="es-ES" w:bidi="es-ES"/>
        </w:rPr>
        <w:t xml:space="preserve">prohibición o la restricción, mal haría el reglamento en aplicar un efecto expansivo o extensivo para incluir una categoría no cobijada con la limitación, (…)”. </w:t>
      </w:r>
      <w:r w:rsidRPr="00BD46D0">
        <w:rPr>
          <w:rFonts w:ascii="Verdana" w:eastAsia="Arial" w:hAnsi="Verdana" w:cs="Arial"/>
          <w:lang w:eastAsia="es-ES" w:bidi="es-ES"/>
        </w:rPr>
        <w:t>Por tal motivo, para efectos de decretar la medida de suspensión provisional de los apartes señalados del numeral 16.2 de la Circular Externa Única, argumentó que “</w:t>
      </w:r>
      <w:r w:rsidRPr="00BD46D0">
        <w:rPr>
          <w:rFonts w:ascii="Verdana" w:eastAsia="Arial" w:hAnsi="Verdana" w:cs="Arial"/>
          <w:i/>
          <w:iCs/>
          <w:lang w:eastAsia="es-ES" w:bidi="es-ES"/>
        </w:rPr>
        <w:t>con independencia del propósito loable o plausible de la disposición ya que, procura que no se usen los recursos estatales para incidir o afectar la contienda electoral, no cabe duda de que la entidad demandada incorporó en la prohibición una categoría que no quedó comprendida expresa e inequívocamente en la ley</w:t>
      </w:r>
      <w:r w:rsidRPr="00BD46D0">
        <w:rPr>
          <w:rFonts w:ascii="Verdana" w:eastAsia="Arial" w:hAnsi="Verdana" w:cs="Arial"/>
          <w:lang w:eastAsia="es-ES" w:bidi="es-ES"/>
        </w:rPr>
        <w:t xml:space="preserve">”. </w:t>
      </w:r>
    </w:p>
    <w:p w14:paraId="1C44F658" w14:textId="2E0BB458" w:rsidR="00BD46D0" w:rsidRDefault="00BD46D0" w:rsidP="00BD46D0">
      <w:pPr>
        <w:spacing w:after="120" w:line="276" w:lineRule="auto"/>
        <w:ind w:firstLine="708"/>
        <w:jc w:val="both"/>
        <w:rPr>
          <w:rFonts w:ascii="Verdana" w:eastAsia="Arial" w:hAnsi="Verdana" w:cs="Arial"/>
          <w:lang w:eastAsia="es-ES" w:bidi="es-ES"/>
        </w:rPr>
      </w:pPr>
      <w:r w:rsidRPr="00BD46D0">
        <w:rPr>
          <w:rFonts w:ascii="Verdana" w:eastAsia="Arial" w:hAnsi="Verdana" w:cs="Arial"/>
          <w:lang w:eastAsia="es-ES" w:bidi="es-ES"/>
        </w:rPr>
        <w:t>Bajo este contexto, esta Agencia debe manifestar que, si bien respeta y acata las decisiones proferidas por el Consejo de Estado, como es el caso del auto de suspensión provisional parcial del numeral 16.2 de la Circular Externa Única, no comparte los argumentos expuestos por dicha Corporación. Esto, en la medida que, a juicio de esta Entidad, señalar que la Ley de Garantías Electorales no aplica para el caso de los contratos interadministrativos deja sin efecto el propósito buscado por la norma, que no es otro que evitar cualquier tipo de arbitrariedad, de ventaja injustificada, de uso irregular de los recursos del Estado en las campañas políticas, o que los recursos del Estado se ejecuten para lograr apoyos indebidos mediante la suscripción de contratos y/o convenios, que para efectos de la Ley de Garantías tienen la misma connotación y propósitos.</w:t>
      </w:r>
    </w:p>
    <w:p w14:paraId="029BB018" w14:textId="77777777" w:rsidR="00E84431" w:rsidRDefault="00E84431" w:rsidP="00BD46D0">
      <w:pPr>
        <w:spacing w:after="120" w:line="276" w:lineRule="auto"/>
        <w:ind w:firstLine="708"/>
        <w:jc w:val="both"/>
        <w:rPr>
          <w:rFonts w:ascii="Verdana" w:eastAsia="Arial" w:hAnsi="Verdana" w:cs="Arial"/>
          <w:lang w:eastAsia="es-ES" w:bidi="es-ES"/>
        </w:rPr>
      </w:pPr>
      <w:r w:rsidRPr="00E84431">
        <w:rPr>
          <w:rFonts w:ascii="Verdana" w:eastAsia="Arial" w:hAnsi="Verdana" w:cs="Arial"/>
          <w:lang w:eastAsia="es-ES" w:bidi="es-ES"/>
        </w:rPr>
        <w:t xml:space="preserve">Conforme a lo anterior, si bien la Agencia es respetuosa de las providencias proferidas por las autoridades judiciales, es necesario expresar el desacuerdo con el decreto de medida cautelar de suspensión provisional y la oposición a que se declare la nulidad del numeral 16.2 de la Circular Externa Única. Al señalar que los contratos interadministrativos deberían estar sujetos a las restricciones consagradas en el parágrafo del artículo 38, la Agencia busca proteger la transparencia, igualdad e integridad del proceso electoral. Así las cosas, a la fecha, se espera la decisión final respecto a la declaratoria de nulidad del numeral 16.2 de la Circular Externa Única que adopte el Consejo de Estado. </w:t>
      </w:r>
    </w:p>
    <w:p w14:paraId="744B8265" w14:textId="77777777" w:rsidR="001F242D" w:rsidRDefault="00E84431" w:rsidP="00BD46D0">
      <w:pPr>
        <w:spacing w:after="120" w:line="276" w:lineRule="auto"/>
        <w:ind w:firstLine="708"/>
        <w:jc w:val="both"/>
        <w:rPr>
          <w:rFonts w:ascii="Verdana" w:eastAsia="Arial" w:hAnsi="Verdana" w:cs="Arial"/>
          <w:lang w:eastAsia="es-ES" w:bidi="es-ES"/>
        </w:rPr>
      </w:pPr>
      <w:r w:rsidRPr="00E84431">
        <w:rPr>
          <w:rFonts w:ascii="Verdana" w:eastAsia="Arial" w:hAnsi="Verdana" w:cs="Arial"/>
          <w:lang w:eastAsia="es-ES" w:bidi="es-ES"/>
        </w:rPr>
        <w:t xml:space="preserve">De esta manera, se observa entonces que el parágrafo del artículo 38 de la Ley 996 de 2005 prohíbe a los Alcaldes, Gobernadores, Secretarios, Gerentes y Directores de las entidades del orden municipal, departamental o distrital celebrar convenios </w:t>
      </w:r>
      <w:r w:rsidRPr="00C53DF6">
        <w:rPr>
          <w:rFonts w:ascii="Verdana" w:eastAsia="Arial" w:hAnsi="Verdana" w:cs="Arial"/>
          <w:i/>
          <w:iCs/>
          <w:lang w:eastAsia="es-ES" w:bidi="es-ES"/>
        </w:rPr>
        <w:t>interadministrativos</w:t>
      </w:r>
      <w:r w:rsidRPr="00E84431">
        <w:rPr>
          <w:rFonts w:ascii="Verdana" w:eastAsia="Arial" w:hAnsi="Verdana" w:cs="Arial"/>
          <w:lang w:eastAsia="es-ES" w:bidi="es-ES"/>
        </w:rPr>
        <w:t xml:space="preserve"> para la ejecución de recursos públicos. En este sentido, si una o ambas partes de la relación contractual es una entidad de aquellas descritas en el parágrafo </w:t>
      </w:r>
      <w:r w:rsidRPr="00890EB2">
        <w:rPr>
          <w:rFonts w:ascii="Verdana" w:eastAsia="Arial" w:hAnsi="Verdana" w:cs="Arial"/>
          <w:i/>
          <w:iCs/>
          <w:lang w:eastAsia="es-ES" w:bidi="es-ES"/>
        </w:rPr>
        <w:t>ibidem</w:t>
      </w:r>
      <w:r w:rsidRPr="00E84431">
        <w:rPr>
          <w:rFonts w:ascii="Verdana" w:eastAsia="Arial" w:hAnsi="Verdana" w:cs="Arial"/>
          <w:lang w:eastAsia="es-ES" w:bidi="es-ES"/>
        </w:rPr>
        <w:t xml:space="preserve">, no podrá celebrar tales </w:t>
      </w:r>
      <w:r w:rsidRPr="00890EB2">
        <w:rPr>
          <w:rFonts w:ascii="Verdana" w:eastAsia="Arial" w:hAnsi="Verdana" w:cs="Arial"/>
          <w:i/>
          <w:iCs/>
          <w:lang w:eastAsia="es-ES" w:bidi="es-ES"/>
        </w:rPr>
        <w:t>convenios</w:t>
      </w:r>
      <w:r w:rsidR="001F242D">
        <w:rPr>
          <w:rFonts w:ascii="Verdana" w:eastAsia="Arial" w:hAnsi="Verdana" w:cs="Arial"/>
          <w:i/>
          <w:iCs/>
          <w:lang w:eastAsia="es-ES" w:bidi="es-ES"/>
        </w:rPr>
        <w:t xml:space="preserve"> </w:t>
      </w:r>
      <w:r w:rsidR="001F242D" w:rsidRPr="001F242D">
        <w:rPr>
          <w:rFonts w:ascii="Verdana" w:eastAsia="Arial" w:hAnsi="Verdana" w:cs="Arial"/>
          <w:lang w:eastAsia="es-ES" w:bidi="es-ES"/>
        </w:rPr>
        <w:lastRenderedPageBreak/>
        <w:t xml:space="preserve">durante la aplicación de la Ley de Garantías Electorales, toda vez que la citada disposición hace referencia a dicha tipología contractual sin que el legislador hubiere contemplado un efecto extensivo a otra tipología. Ahora bien, como se expuso anteriormente, para esta Agencia tal restricción también cobijaría a los contratos interadministrativos. </w:t>
      </w:r>
    </w:p>
    <w:p w14:paraId="0C4F0435" w14:textId="62F1D4C2" w:rsidR="00E84431" w:rsidRDefault="001F242D" w:rsidP="00BD46D0">
      <w:pPr>
        <w:spacing w:after="120" w:line="276" w:lineRule="auto"/>
        <w:ind w:firstLine="708"/>
        <w:jc w:val="both"/>
        <w:rPr>
          <w:rFonts w:ascii="Verdana" w:eastAsia="Arial" w:hAnsi="Verdana" w:cs="Arial"/>
          <w:lang w:eastAsia="es-ES" w:bidi="es-ES"/>
        </w:rPr>
      </w:pPr>
      <w:r w:rsidRPr="001F242D">
        <w:rPr>
          <w:rFonts w:ascii="Verdana" w:eastAsia="Arial" w:hAnsi="Verdana" w:cs="Arial"/>
          <w:lang w:eastAsia="es-ES" w:bidi="es-ES"/>
        </w:rPr>
        <w:t>En todo caso, es importante resaltar que la Sala de Consulta y Servicio Civil del Consejo de Estado se ha pronunciado en el sentido de que no se les aplica la restricción contemplada en el artículo 38 de la Ley de Garantías a los convenios interadministrativos que deben celebrarse en virtud de un fallo judicial. Esto en la medida que la obligatoriedad y la fuerza vinculante de las sentencias ejecutoriadas proferidas por los funcionarios investidos del poder judicial emanan de la autonomía conferida a estos por la Constitución y del derecho que tienen los ciudadanos al acceso y oportuna administración de justicia</w:t>
      </w:r>
      <w:r w:rsidRPr="00E2397D">
        <w:rPr>
          <w:rFonts w:ascii="Verdana" w:eastAsia="Arial" w:hAnsi="Verdana" w:cs="Arial"/>
          <w:sz w:val="20"/>
          <w:szCs w:val="20"/>
          <w:vertAlign w:val="superscript"/>
          <w:lang w:eastAsia="es-ES" w:bidi="es-ES"/>
        </w:rPr>
        <w:footnoteReference w:id="15"/>
      </w:r>
      <w:r w:rsidRPr="001F242D">
        <w:rPr>
          <w:rFonts w:ascii="Verdana" w:eastAsia="Arial" w:hAnsi="Verdana" w:cs="Arial"/>
          <w:lang w:eastAsia="es-ES" w:bidi="es-ES"/>
        </w:rPr>
        <w:t>.</w:t>
      </w:r>
    </w:p>
    <w:p w14:paraId="5DDEEFF1" w14:textId="77777777" w:rsidR="00A35927" w:rsidRDefault="00A35927" w:rsidP="00A35927">
      <w:pPr>
        <w:spacing w:after="120" w:line="276" w:lineRule="auto"/>
        <w:jc w:val="both"/>
        <w:rPr>
          <w:rFonts w:ascii="Verdana" w:eastAsia="Arial" w:hAnsi="Verdana" w:cs="Arial"/>
          <w:lang w:eastAsia="es-ES" w:bidi="es-ES"/>
        </w:rPr>
      </w:pPr>
      <w:r w:rsidRPr="00A35927">
        <w:rPr>
          <w:rFonts w:ascii="Verdana" w:eastAsia="Arial" w:hAnsi="Verdana" w:cs="Arial"/>
          <w:lang w:eastAsia="es-ES" w:bidi="es-ES"/>
        </w:rPr>
        <w:t xml:space="preserve">iv) El ámbito material de la prohibición contenida en el artículo 33 de la ley 996 de 2005 está delimitado por la expresión “queda prohibida la contratación directa”. A propósito de esta restricción de la Ley de Garantías Electorales, la Sala de Consulta y Servicio Civil del Consejo de Estado ha considerado que: </w:t>
      </w:r>
    </w:p>
    <w:p w14:paraId="70E1D9D3" w14:textId="4808542C" w:rsidR="00A34C1E" w:rsidRPr="00A94B0C" w:rsidRDefault="00A35927" w:rsidP="00A34C1E">
      <w:pPr>
        <w:spacing w:after="120" w:line="276" w:lineRule="auto"/>
        <w:ind w:left="708"/>
        <w:jc w:val="both"/>
        <w:rPr>
          <w:rFonts w:ascii="Verdana" w:eastAsia="Arial" w:hAnsi="Verdana" w:cs="Arial"/>
          <w:sz w:val="20"/>
          <w:szCs w:val="20"/>
          <w:lang w:eastAsia="es-ES" w:bidi="es-ES"/>
        </w:rPr>
      </w:pPr>
      <w:r w:rsidRPr="00A94B0C">
        <w:rPr>
          <w:rFonts w:ascii="Verdana" w:eastAsia="Arial" w:hAnsi="Verdana" w:cs="Arial"/>
          <w:sz w:val="20"/>
          <w:szCs w:val="20"/>
          <w:lang w:eastAsia="es-ES" w:bidi="es-ES"/>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00A34C1E" w:rsidRPr="00A94B0C">
        <w:rPr>
          <w:rFonts w:ascii="Verdana" w:eastAsia="Arial" w:hAnsi="Verdana" w:cs="Arial"/>
          <w:sz w:val="20"/>
          <w:szCs w:val="20"/>
          <w:vertAlign w:val="superscript"/>
          <w:lang w:eastAsia="es-ES" w:bidi="es-ES"/>
        </w:rPr>
        <w:footnoteReference w:id="16"/>
      </w:r>
      <w:r w:rsidRPr="00A94B0C">
        <w:rPr>
          <w:rFonts w:ascii="Verdana" w:eastAsia="Arial" w:hAnsi="Verdana" w:cs="Arial"/>
          <w:sz w:val="20"/>
          <w:szCs w:val="20"/>
          <w:lang w:eastAsia="es-ES" w:bidi="es-ES"/>
        </w:rPr>
        <w:t xml:space="preserve">. </w:t>
      </w:r>
    </w:p>
    <w:p w14:paraId="255F6D57" w14:textId="6FF82E37" w:rsidR="00A35927" w:rsidRPr="00A94B0C" w:rsidRDefault="00A35927" w:rsidP="00A34C1E">
      <w:pPr>
        <w:spacing w:after="120" w:line="276" w:lineRule="auto"/>
        <w:ind w:left="708"/>
        <w:jc w:val="both"/>
        <w:rPr>
          <w:rFonts w:ascii="Verdana" w:eastAsia="Arial" w:hAnsi="Verdana" w:cs="Arial"/>
          <w:sz w:val="20"/>
          <w:szCs w:val="20"/>
          <w:lang w:eastAsia="es-ES" w:bidi="es-ES"/>
        </w:rPr>
      </w:pPr>
      <w:r w:rsidRPr="00A94B0C">
        <w:rPr>
          <w:rFonts w:ascii="Verdana" w:eastAsia="Arial" w:hAnsi="Verdana" w:cs="Arial"/>
          <w:sz w:val="20"/>
          <w:szCs w:val="20"/>
          <w:lang w:eastAsia="es-ES" w:bidi="es-ES"/>
        </w:rPr>
        <w:t>Esta Sala ha entendido que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w:t>
      </w:r>
      <w:r w:rsidR="008B6537" w:rsidRPr="00A94B0C">
        <w:rPr>
          <w:rFonts w:ascii="Verdana" w:eastAsia="Arial" w:hAnsi="Verdana" w:cs="Arial"/>
          <w:sz w:val="20"/>
          <w:szCs w:val="20"/>
          <w:lang w:eastAsia="es-ES" w:bidi="es-ES"/>
        </w:rPr>
        <w:t xml:space="preserve"> </w:t>
      </w:r>
      <w:r w:rsidR="008B6537" w:rsidRPr="00A94B0C">
        <w:rPr>
          <w:rFonts w:ascii="Verdana" w:eastAsia="Arial" w:hAnsi="Verdana" w:cs="Arial"/>
          <w:sz w:val="20"/>
          <w:szCs w:val="20"/>
          <w:lang w:eastAsia="es-ES" w:bidi="es-ES"/>
        </w:rPr>
        <w:t>pública o concurso</w:t>
      </w:r>
      <w:r w:rsidR="008B6537" w:rsidRPr="00A94B0C">
        <w:rPr>
          <w:rFonts w:ascii="Verdana" w:eastAsia="Arial" w:hAnsi="Verdana" w:cs="Arial"/>
          <w:sz w:val="20"/>
          <w:szCs w:val="20"/>
          <w:vertAlign w:val="superscript"/>
          <w:lang w:eastAsia="es-ES" w:bidi="es-ES"/>
        </w:rPr>
        <w:footnoteReference w:id="17"/>
      </w:r>
      <w:r w:rsidR="008B6537" w:rsidRPr="00A94B0C">
        <w:rPr>
          <w:rFonts w:ascii="Verdana" w:eastAsia="Arial" w:hAnsi="Verdana" w:cs="Arial"/>
          <w:sz w:val="20"/>
          <w:szCs w:val="20"/>
          <w:lang w:eastAsia="es-ES" w:bidi="es-ES"/>
        </w:rPr>
        <w:t xml:space="preserve">. Por tanto, no son materia de la prohibición las demás modalidades de selección previstas en la ley 1150 de 2007, siendo estas, la licitación pública, el concurso de méritos y la selección abreviada, </w:t>
      </w:r>
      <w:r w:rsidR="008B6537" w:rsidRPr="00A94B0C">
        <w:rPr>
          <w:rFonts w:ascii="Verdana" w:eastAsia="Arial" w:hAnsi="Verdana" w:cs="Arial"/>
          <w:sz w:val="20"/>
          <w:szCs w:val="20"/>
          <w:lang w:eastAsia="es-ES" w:bidi="es-ES"/>
        </w:rPr>
        <w:lastRenderedPageBreak/>
        <w:t>razón por la cual en ese periodo preelectoral de que trata la disposición pueden las entidades públicas seguir contratando bajo estos sistemas. [...]</w:t>
      </w:r>
      <w:r w:rsidR="008B6537" w:rsidRPr="00A94B0C">
        <w:rPr>
          <w:rFonts w:ascii="Verdana" w:eastAsia="Arial" w:hAnsi="Verdana" w:cs="Arial"/>
          <w:sz w:val="20"/>
          <w:szCs w:val="20"/>
          <w:vertAlign w:val="superscript"/>
          <w:lang w:eastAsia="es-ES" w:bidi="es-ES"/>
        </w:rPr>
        <w:footnoteReference w:id="18"/>
      </w:r>
      <w:r w:rsidR="008B6537" w:rsidRPr="00A94B0C">
        <w:rPr>
          <w:rFonts w:ascii="Verdana" w:eastAsia="Arial" w:hAnsi="Verdana" w:cs="Arial"/>
          <w:sz w:val="20"/>
          <w:szCs w:val="20"/>
          <w:lang w:eastAsia="es-ES" w:bidi="es-ES"/>
        </w:rPr>
        <w:t>.</w:t>
      </w:r>
    </w:p>
    <w:p w14:paraId="52B809F1" w14:textId="4A3999EF" w:rsidR="00393504" w:rsidRPr="00393504" w:rsidRDefault="00393504" w:rsidP="00393504">
      <w:pPr>
        <w:spacing w:after="120" w:line="276" w:lineRule="auto"/>
        <w:ind w:firstLine="708"/>
        <w:jc w:val="both"/>
        <w:rPr>
          <w:rFonts w:ascii="Verdana" w:eastAsia="Arial" w:hAnsi="Verdana" w:cs="Arial"/>
          <w:lang w:eastAsia="es-ES" w:bidi="es-ES"/>
        </w:rPr>
      </w:pPr>
      <w:r w:rsidRPr="00393504">
        <w:rPr>
          <w:rFonts w:ascii="Verdana" w:eastAsia="Arial" w:hAnsi="Verdana" w:cs="Arial"/>
          <w:lang w:eastAsia="es-ES" w:bidi="es-ES"/>
        </w:rPr>
        <w:t>De acuerdo con el citado concepto, la prohibición del artículo 33 de la Ley de Garantías Electorales se refiere a “cualquier sistema que no implique convocatoria pública y posibilidad de pluralidad de oferentes”, por lo que excluye las demás modalidades de contratación previstas en la Ley 1150 de 2007, es decir, la licitación pública, la selección abreviada, el concurso de méritos y la mínima cuantía u otros previstos en normas especiales. Esta posición es congruente con la expedición de la Ley 1150 de 2007 que, entre otras reformas, introdujo la selección abreviada, rediseñó el concurso de méritos</w:t>
      </w:r>
      <w:r w:rsidRPr="001860ED">
        <w:rPr>
          <w:rFonts w:ascii="Verdana" w:eastAsia="Arial" w:hAnsi="Verdana" w:cs="Arial"/>
          <w:sz w:val="21"/>
          <w:szCs w:val="21"/>
          <w:vertAlign w:val="superscript"/>
          <w:lang w:eastAsia="es-ES" w:bidi="es-ES"/>
        </w:rPr>
        <w:footnoteReference w:id="19"/>
      </w:r>
      <w:r>
        <w:rPr>
          <w:rFonts w:ascii="Verdana" w:eastAsia="Arial" w:hAnsi="Verdana" w:cs="Arial"/>
          <w:sz w:val="21"/>
          <w:szCs w:val="21"/>
          <w:lang w:eastAsia="es-ES" w:bidi="es-ES"/>
        </w:rPr>
        <w:t xml:space="preserve"> </w:t>
      </w:r>
      <w:r w:rsidRPr="00393504">
        <w:rPr>
          <w:rFonts w:ascii="Verdana" w:eastAsia="Arial" w:hAnsi="Verdana" w:cs="Arial"/>
          <w:lang w:eastAsia="es-ES" w:bidi="es-ES"/>
        </w:rPr>
        <w:t>y sistematizó las causales de contratación directa</w:t>
      </w:r>
      <w:r w:rsidRPr="001860ED">
        <w:rPr>
          <w:rFonts w:ascii="Verdana" w:eastAsia="Arial" w:hAnsi="Verdana" w:cs="Arial"/>
          <w:sz w:val="21"/>
          <w:szCs w:val="21"/>
          <w:vertAlign w:val="superscript"/>
          <w:lang w:eastAsia="es-ES" w:bidi="es-ES"/>
        </w:rPr>
        <w:footnoteReference w:id="20"/>
      </w:r>
      <w:r w:rsidRPr="00393504">
        <w:rPr>
          <w:rFonts w:ascii="Verdana" w:eastAsia="Arial" w:hAnsi="Verdana" w:cs="Arial"/>
          <w:lang w:eastAsia="es-ES" w:bidi="es-ES"/>
        </w:rPr>
        <w:t xml:space="preserve">, además lo es con la posterior creación de la modalidad de mínima cuantía establecida actualmente en el numeral 5 del artículo 2 de la Ley 1150 de 2007, de acuerdo con las modificaciones realizadas por leyes posteriores. </w:t>
      </w:r>
    </w:p>
    <w:p w14:paraId="293A6196" w14:textId="77777777" w:rsidR="009438AA" w:rsidRDefault="00393504" w:rsidP="00393504">
      <w:pPr>
        <w:spacing w:after="120" w:line="276" w:lineRule="auto"/>
        <w:ind w:firstLine="708"/>
        <w:jc w:val="both"/>
        <w:rPr>
          <w:rFonts w:ascii="Verdana" w:eastAsia="Arial" w:hAnsi="Verdana" w:cs="Arial"/>
          <w:lang w:eastAsia="es-ES" w:bidi="es-ES"/>
        </w:rPr>
      </w:pPr>
      <w:r w:rsidRPr="00393504">
        <w:rPr>
          <w:rFonts w:ascii="Verdana" w:eastAsia="Arial" w:hAnsi="Verdana" w:cs="Arial"/>
          <w:lang w:eastAsia="es-ES" w:bidi="es-ES"/>
        </w:rPr>
        <w:t>De esta forma, con fundamento en la evolución de la normativa sobre la contratación pública, se ha depurado la noción de «contratación directa»,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1860ED">
        <w:rPr>
          <w:rFonts w:ascii="Verdana" w:eastAsia="Arial" w:hAnsi="Verdana" w:cs="Arial"/>
          <w:sz w:val="21"/>
          <w:szCs w:val="21"/>
          <w:vertAlign w:val="superscript"/>
          <w:lang w:eastAsia="es-ES" w:bidi="es-ES"/>
        </w:rPr>
        <w:footnoteReference w:id="21"/>
      </w:r>
      <w:r w:rsidRPr="00393504">
        <w:rPr>
          <w:rFonts w:ascii="Verdana" w:eastAsia="Arial" w:hAnsi="Verdana" w:cs="Arial"/>
          <w:lang w:eastAsia="es-ES" w:bidi="es-ES"/>
        </w:rPr>
        <w:t>, han establecido sistemas de</w:t>
      </w:r>
      <w:r w:rsidR="009438AA">
        <w:rPr>
          <w:rFonts w:ascii="Verdana" w:eastAsia="Arial" w:hAnsi="Verdana" w:cs="Arial"/>
          <w:lang w:eastAsia="es-ES" w:bidi="es-ES"/>
        </w:rPr>
        <w:t xml:space="preserve"> </w:t>
      </w:r>
      <w:r w:rsidR="009438AA" w:rsidRPr="009438AA">
        <w:rPr>
          <w:rFonts w:ascii="Verdana" w:eastAsia="Arial" w:hAnsi="Verdana" w:cs="Arial"/>
          <w:lang w:eastAsia="es-ES" w:bidi="es-ES"/>
        </w:rPr>
        <w:t xml:space="preserve">contratación que implican convocatoria pública y participación de varios oferentes». </w:t>
      </w:r>
    </w:p>
    <w:p w14:paraId="2D51AF63" w14:textId="77777777" w:rsidR="000B6918" w:rsidRDefault="009438AA" w:rsidP="00393504">
      <w:pPr>
        <w:spacing w:after="120" w:line="276" w:lineRule="auto"/>
        <w:ind w:firstLine="708"/>
        <w:jc w:val="both"/>
        <w:rPr>
          <w:rFonts w:ascii="Verdana" w:eastAsia="Arial" w:hAnsi="Verdana" w:cs="Arial"/>
          <w:lang w:eastAsia="es-ES" w:bidi="es-ES"/>
        </w:rPr>
      </w:pPr>
      <w:r w:rsidRPr="009438AA">
        <w:rPr>
          <w:rFonts w:ascii="Verdana" w:eastAsia="Arial" w:hAnsi="Verdana" w:cs="Arial"/>
          <w:lang w:eastAsia="es-ES" w:bidi="es-ES"/>
        </w:rPr>
        <w:t xml:space="preserve">En efecto, vale la pena mencionar que, 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w:t>
      </w:r>
      <w:r w:rsidRPr="009438AA">
        <w:rPr>
          <w:rFonts w:ascii="Verdana" w:eastAsia="Arial" w:hAnsi="Verdana" w:cs="Arial"/>
          <w:lang w:eastAsia="es-ES" w:bidi="es-ES"/>
        </w:rPr>
        <w:lastRenderedPageBreak/>
        <w:t>inscribirse en forma previa se haga de manera pública, y que se permita la participación de una pluralidad de oferentes</w:t>
      </w:r>
      <w:r w:rsidRPr="001860ED">
        <w:rPr>
          <w:rFonts w:ascii="Verdana" w:eastAsia="Arial" w:hAnsi="Verdana" w:cs="Arial"/>
          <w:sz w:val="21"/>
          <w:szCs w:val="21"/>
          <w:vertAlign w:val="superscript"/>
          <w:lang w:eastAsia="es-ES" w:bidi="es-ES"/>
        </w:rPr>
        <w:footnoteReference w:id="22"/>
      </w:r>
      <w:r>
        <w:rPr>
          <w:rFonts w:ascii="Verdana" w:eastAsia="Arial" w:hAnsi="Verdana" w:cs="Arial"/>
          <w:lang w:eastAsia="es-ES" w:bidi="es-ES"/>
        </w:rPr>
        <w:t>.</w:t>
      </w:r>
      <w:r w:rsidRPr="009438AA">
        <w:rPr>
          <w:rFonts w:ascii="Verdana" w:eastAsia="Arial" w:hAnsi="Verdana" w:cs="Arial"/>
          <w:lang w:eastAsia="es-ES" w:bidi="es-ES"/>
        </w:rPr>
        <w:t xml:space="preserve"> </w:t>
      </w:r>
    </w:p>
    <w:p w14:paraId="04CEA768" w14:textId="77777777" w:rsidR="000B6918" w:rsidRDefault="009438AA" w:rsidP="00393504">
      <w:pPr>
        <w:spacing w:after="120" w:line="276" w:lineRule="auto"/>
        <w:ind w:firstLine="708"/>
        <w:jc w:val="both"/>
        <w:rPr>
          <w:rFonts w:ascii="Verdana" w:eastAsia="Arial" w:hAnsi="Verdana" w:cs="Arial"/>
          <w:lang w:eastAsia="es-ES" w:bidi="es-ES"/>
        </w:rPr>
      </w:pPr>
      <w:r w:rsidRPr="009438AA">
        <w:rPr>
          <w:rFonts w:ascii="Verdana" w:eastAsia="Arial" w:hAnsi="Verdana" w:cs="Arial"/>
          <w:lang w:eastAsia="es-ES" w:bidi="es-ES"/>
        </w:rPr>
        <w:t xml:space="preserve">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 </w:t>
      </w:r>
    </w:p>
    <w:p w14:paraId="49B079DB" w14:textId="31C2449A" w:rsidR="00393504" w:rsidRDefault="009438AA" w:rsidP="00393504">
      <w:pPr>
        <w:spacing w:after="120" w:line="276" w:lineRule="auto"/>
        <w:ind w:firstLine="708"/>
        <w:jc w:val="both"/>
        <w:rPr>
          <w:rFonts w:ascii="Verdana" w:eastAsia="Arial" w:hAnsi="Verdana" w:cs="Arial"/>
          <w:lang w:eastAsia="es-ES" w:bidi="es-ES"/>
        </w:rPr>
      </w:pPr>
      <w:r w:rsidRPr="009438AA">
        <w:rPr>
          <w:rFonts w:ascii="Verdana" w:eastAsia="Arial" w:hAnsi="Verdana" w:cs="Arial"/>
          <w:lang w:eastAsia="es-ES" w:bidi="es-ES"/>
        </w:rPr>
        <w:t>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1860ED">
        <w:rPr>
          <w:rFonts w:ascii="Verdana" w:eastAsia="Arial" w:hAnsi="Verdana" w:cs="Arial"/>
          <w:sz w:val="21"/>
          <w:szCs w:val="21"/>
          <w:vertAlign w:val="superscript"/>
          <w:lang w:eastAsia="es-ES" w:bidi="es-ES"/>
        </w:rPr>
        <w:footnoteReference w:id="23"/>
      </w:r>
      <w:r w:rsidRPr="009438AA">
        <w:rPr>
          <w:rFonts w:ascii="Verdana" w:eastAsia="Arial" w:hAnsi="Verdana" w:cs="Arial"/>
          <w:lang w:eastAsia="es-ES" w:bidi="es-ES"/>
        </w:rPr>
        <w:t>.</w:t>
      </w:r>
    </w:p>
    <w:p w14:paraId="43618777" w14:textId="77777777" w:rsidR="00FE1ADE" w:rsidRDefault="007210B4" w:rsidP="00393504">
      <w:pPr>
        <w:spacing w:after="120" w:line="276" w:lineRule="auto"/>
        <w:ind w:firstLine="708"/>
        <w:jc w:val="both"/>
        <w:rPr>
          <w:rFonts w:ascii="Verdana" w:eastAsia="Arial" w:hAnsi="Verdana" w:cs="Arial"/>
          <w:lang w:eastAsia="es-ES" w:bidi="es-ES"/>
        </w:rPr>
      </w:pPr>
      <w:r w:rsidRPr="007210B4">
        <w:rPr>
          <w:rFonts w:ascii="Verdana" w:eastAsia="Arial" w:hAnsi="Verdana" w:cs="Arial"/>
          <w:lang w:eastAsia="es-ES" w:bidi="es-ES"/>
        </w:rPr>
        <w:t>De lo anterior se desprende que la restricción aplica, sin perjuicio de las excepciones establecidas en la misma ley, para celebrar cualquier contrato de forma directa, esto es, sin que exista un proceso abierto y competitivo. Por tanto, no son materia de la prohibición las demás modalidades de selección previstas en la Ley 1150 de 2007, es decir, la licitación pública, el concurso de méritos, la selección abreviada y la mínima cuantía, razón por la cual en ese período</w:t>
      </w:r>
      <w:r w:rsidR="0069328F">
        <w:rPr>
          <w:rFonts w:ascii="Verdana" w:eastAsia="Arial" w:hAnsi="Verdana" w:cs="Arial"/>
          <w:lang w:eastAsia="es-ES" w:bidi="es-ES"/>
        </w:rPr>
        <w:t xml:space="preserve"> </w:t>
      </w:r>
      <w:r w:rsidR="0069328F" w:rsidRPr="0069328F">
        <w:rPr>
          <w:rFonts w:ascii="Verdana" w:eastAsia="Arial" w:hAnsi="Verdana" w:cs="Arial"/>
          <w:lang w:eastAsia="es-ES" w:bidi="es-ES"/>
        </w:rPr>
        <w:t xml:space="preserve">preelectoral de que trata la disposición las entidades públicas pueden seguir contratando bajo estos sistemas. </w:t>
      </w:r>
    </w:p>
    <w:p w14:paraId="25392D08" w14:textId="233F2F27" w:rsidR="00FE1ADE" w:rsidRDefault="0069328F" w:rsidP="00393504">
      <w:pPr>
        <w:spacing w:after="120" w:line="276" w:lineRule="auto"/>
        <w:ind w:firstLine="708"/>
        <w:jc w:val="both"/>
        <w:rPr>
          <w:rFonts w:ascii="Verdana" w:eastAsia="Arial" w:hAnsi="Verdana" w:cs="Arial"/>
          <w:lang w:eastAsia="es-ES" w:bidi="es-ES"/>
        </w:rPr>
      </w:pPr>
      <w:r w:rsidRPr="0069328F">
        <w:rPr>
          <w:rFonts w:ascii="Verdana" w:eastAsia="Arial" w:hAnsi="Verdana" w:cs="Arial"/>
          <w:lang w:eastAsia="es-ES" w:bidi="es-ES"/>
        </w:rPr>
        <w:t>Como en otras oportunidades lo ha manifestado esta Agencia, las prórrogas, modificaciones o adiciones de los contratos suscritos antes de la entrada en vigencia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r w:rsidRPr="001860ED">
        <w:rPr>
          <w:rFonts w:ascii="Verdana" w:eastAsia="Arial" w:hAnsi="Verdana" w:cs="Arial"/>
          <w:sz w:val="21"/>
          <w:szCs w:val="21"/>
          <w:vertAlign w:val="superscript"/>
          <w:lang w:eastAsia="es-ES" w:bidi="es-ES"/>
        </w:rPr>
        <w:footnoteReference w:id="24"/>
      </w:r>
      <w:r w:rsidRPr="0069328F">
        <w:rPr>
          <w:rFonts w:ascii="Verdana" w:eastAsia="Arial" w:hAnsi="Verdana" w:cs="Arial"/>
          <w:lang w:eastAsia="es-ES" w:bidi="es-ES"/>
        </w:rPr>
        <w:t xml:space="preserve">. </w:t>
      </w:r>
      <w:r w:rsidRPr="0069328F">
        <w:rPr>
          <w:rFonts w:ascii="Verdana" w:eastAsia="Arial" w:hAnsi="Verdana" w:cs="Arial"/>
          <w:lang w:eastAsia="es-ES" w:bidi="es-ES"/>
        </w:rPr>
        <w:lastRenderedPageBreak/>
        <w:t xml:space="preserve">Además, también es posible que contratos celebrados previamente se continúen ejecutando con normalidad. </w:t>
      </w:r>
    </w:p>
    <w:p w14:paraId="15513641" w14:textId="77777777" w:rsidR="00BE0896" w:rsidRDefault="0069328F" w:rsidP="00393504">
      <w:pPr>
        <w:spacing w:after="120" w:line="276" w:lineRule="auto"/>
        <w:ind w:firstLine="708"/>
        <w:jc w:val="both"/>
        <w:rPr>
          <w:rFonts w:ascii="Verdana" w:eastAsia="Arial" w:hAnsi="Verdana" w:cs="Arial"/>
          <w:lang w:eastAsia="es-ES" w:bidi="es-ES"/>
        </w:rPr>
      </w:pPr>
      <w:r w:rsidRPr="0069328F">
        <w:rPr>
          <w:rFonts w:ascii="Verdana" w:eastAsia="Arial" w:hAnsi="Verdana" w:cs="Arial"/>
          <w:lang w:eastAsia="es-ES" w:bidi="es-ES"/>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expresamente en el inciso final del citado artículo 33 de la Ley 996 de 2005 en lo referente a i) la defensa y seguridad del Estado; </w:t>
      </w:r>
      <w:proofErr w:type="spellStart"/>
      <w:r w:rsidRPr="0069328F">
        <w:rPr>
          <w:rFonts w:ascii="Verdana" w:eastAsia="Arial" w:hAnsi="Verdana" w:cs="Arial"/>
          <w:lang w:eastAsia="es-ES" w:bidi="es-ES"/>
        </w:rPr>
        <w:t>ii</w:t>
      </w:r>
      <w:proofErr w:type="spellEnd"/>
      <w:r w:rsidRPr="0069328F">
        <w:rPr>
          <w:rFonts w:ascii="Verdana" w:eastAsia="Arial" w:hAnsi="Verdana" w:cs="Arial"/>
          <w:lang w:eastAsia="es-ES" w:bidi="es-ES"/>
        </w:rPr>
        <w:t xml:space="preserve">) los contratos de crédito público; </w:t>
      </w:r>
      <w:proofErr w:type="spellStart"/>
      <w:r w:rsidRPr="0069328F">
        <w:rPr>
          <w:rFonts w:ascii="Verdana" w:eastAsia="Arial" w:hAnsi="Verdana" w:cs="Arial"/>
          <w:lang w:eastAsia="es-ES" w:bidi="es-ES"/>
        </w:rPr>
        <w:t>iii</w:t>
      </w:r>
      <w:proofErr w:type="spellEnd"/>
      <w:r w:rsidRPr="0069328F">
        <w:rPr>
          <w:rFonts w:ascii="Verdana" w:eastAsia="Arial" w:hAnsi="Verdana" w:cs="Arial"/>
          <w:lang w:eastAsia="es-ES" w:bidi="es-ES"/>
        </w:rPr>
        <w:t xml:space="preserve">)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 </w:t>
      </w:r>
    </w:p>
    <w:p w14:paraId="2D8996DC" w14:textId="7DDF6282" w:rsidR="00BE0896" w:rsidRDefault="00BE0896" w:rsidP="00D37044">
      <w:pPr>
        <w:spacing w:after="120" w:line="276" w:lineRule="auto"/>
        <w:ind w:firstLine="708"/>
        <w:jc w:val="both"/>
        <w:rPr>
          <w:rFonts w:ascii="Verdana" w:eastAsia="Arial" w:hAnsi="Verdana" w:cs="Arial"/>
          <w:lang w:eastAsia="es-ES" w:bidi="es-ES"/>
        </w:rPr>
      </w:pPr>
      <w:r w:rsidRPr="00BE0896">
        <w:rPr>
          <w:rFonts w:ascii="Verdana" w:eastAsia="Arial" w:hAnsi="Verdana" w:cs="Arial"/>
          <w:lang w:eastAsia="es-ES" w:bidi="es-ES"/>
        </w:rPr>
        <w:t>En esta labor es importante tener en cuenta, como lo anotó la Corte Constitucional, en Sentencia C-1153 de noviembre 11 de 2005 que “si bien la limitación garantiza la igualdad de condiciones, también es necesario que tal limitación que pretende la igualdad no termine yendo en detrimento de intereses públicos, cuya garantía está en cabeza del ejecutivo, como son los inmersos en las excepciones para la prohibición de contratación”</w:t>
      </w:r>
      <w:r w:rsidRPr="00BE0896">
        <w:rPr>
          <w:rFonts w:ascii="Verdana" w:eastAsia="Arial" w:hAnsi="Verdana" w:cs="Arial"/>
          <w:sz w:val="21"/>
          <w:szCs w:val="21"/>
          <w:vertAlign w:val="superscript"/>
          <w:lang w:eastAsia="es-ES" w:bidi="es-ES"/>
        </w:rPr>
        <w:t xml:space="preserve"> </w:t>
      </w:r>
      <w:r w:rsidRPr="001860ED">
        <w:rPr>
          <w:rFonts w:ascii="Verdana" w:eastAsia="Arial" w:hAnsi="Verdana" w:cs="Arial"/>
          <w:sz w:val="21"/>
          <w:szCs w:val="21"/>
          <w:vertAlign w:val="superscript"/>
          <w:lang w:eastAsia="es-ES" w:bidi="es-ES"/>
        </w:rPr>
        <w:footnoteReference w:id="25"/>
      </w:r>
      <w:r w:rsidRPr="009438AA">
        <w:rPr>
          <w:rFonts w:ascii="Verdana" w:eastAsia="Arial" w:hAnsi="Verdana" w:cs="Arial"/>
          <w:lang w:eastAsia="es-ES" w:bidi="es-ES"/>
        </w:rPr>
        <w:t>.</w:t>
      </w:r>
      <w:r w:rsidRPr="00BE0896">
        <w:rPr>
          <w:rFonts w:ascii="Verdana" w:eastAsia="Arial" w:hAnsi="Verdana" w:cs="Arial"/>
          <w:lang w:eastAsia="es-ES" w:bidi="es-ES"/>
        </w:rPr>
        <w:t xml:space="preserve"> De ahí que la Corte haya señalado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p>
    <w:p w14:paraId="3D2F48ED" w14:textId="77777777" w:rsidR="00247C46" w:rsidRDefault="00247C46" w:rsidP="00D37044">
      <w:pPr>
        <w:spacing w:after="120" w:line="276" w:lineRule="auto"/>
        <w:ind w:firstLine="708"/>
        <w:jc w:val="both"/>
        <w:rPr>
          <w:rFonts w:ascii="Verdana" w:eastAsia="Arial" w:hAnsi="Verdana" w:cs="Arial"/>
          <w:lang w:eastAsia="es-ES" w:bidi="es-ES"/>
        </w:rPr>
      </w:pPr>
      <w:r w:rsidRPr="00247C46">
        <w:rPr>
          <w:rFonts w:ascii="Verdana" w:eastAsia="Arial" w:hAnsi="Verdana" w:cs="Arial"/>
          <w:lang w:eastAsia="es-ES" w:bidi="es-ES"/>
        </w:rPr>
        <w:t xml:space="preserve">En relación con los destinatarios de la restricción analizada, el artículo 33 de la Ley 996 de 2005 los señala expresamente, en el sentido de que son “todos los entes del Estado”, expresión que contempla a los diferentes organismos o entidades autorizadas por la ley para suscribir contratos. En efecto, tal como lo ha sostenido el Consejo de Estado, el vocablo “todos” utilizado por el legislador comprende a la totalidad de los entes del Estado, sin distinción del régimen </w:t>
      </w:r>
      <w:r w:rsidRPr="00247C46">
        <w:rPr>
          <w:rFonts w:ascii="Verdana" w:eastAsia="Arial" w:hAnsi="Verdana" w:cs="Arial"/>
          <w:lang w:eastAsia="es-ES" w:bidi="es-ES"/>
        </w:rPr>
        <w:lastRenderedPageBreak/>
        <w:t xml:space="preserve">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La Sala de Consulta y Servicio Civil del Consejo de Estado, en Concepto 1727 de fecha 20 de febrero de 2006, consideró que: </w:t>
      </w:r>
    </w:p>
    <w:p w14:paraId="5048E2DB" w14:textId="0708F5C0" w:rsidR="00247C46" w:rsidRPr="00A94B0C" w:rsidRDefault="00247C46" w:rsidP="00247C46">
      <w:pPr>
        <w:spacing w:after="120" w:line="276" w:lineRule="auto"/>
        <w:ind w:left="708"/>
        <w:jc w:val="both"/>
        <w:rPr>
          <w:rFonts w:ascii="Verdana" w:eastAsia="Arial" w:hAnsi="Verdana" w:cs="Arial"/>
          <w:sz w:val="20"/>
          <w:szCs w:val="20"/>
          <w:lang w:eastAsia="es-ES" w:bidi="es-ES"/>
        </w:rPr>
      </w:pPr>
      <w:r w:rsidRPr="00A94B0C">
        <w:rPr>
          <w:rFonts w:ascii="Verdana" w:eastAsia="Arial" w:hAnsi="Verdana" w:cs="Arial"/>
          <w:sz w:val="20"/>
          <w:szCs w:val="20"/>
          <w:lang w:eastAsia="es-ES" w:bidi="es-ES"/>
        </w:rPr>
        <w:t>El artículo 33 de la ley 996 de 2005, 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003A7610" w:rsidRPr="00A94B0C">
        <w:rPr>
          <w:rFonts w:ascii="Verdana" w:eastAsia="Arial" w:hAnsi="Verdana" w:cs="Arial"/>
          <w:sz w:val="20"/>
          <w:szCs w:val="20"/>
          <w:vertAlign w:val="superscript"/>
          <w:lang w:eastAsia="es-ES" w:bidi="es-ES"/>
        </w:rPr>
        <w:footnoteReference w:id="26"/>
      </w:r>
      <w:r w:rsidR="003A7610" w:rsidRPr="00A94B0C">
        <w:rPr>
          <w:rFonts w:ascii="Verdana" w:eastAsia="Arial" w:hAnsi="Verdana" w:cs="Arial"/>
          <w:sz w:val="20"/>
          <w:szCs w:val="20"/>
          <w:lang w:eastAsia="es-ES" w:bidi="es-ES"/>
        </w:rPr>
        <w:t>.</w:t>
      </w:r>
      <w:r w:rsidRPr="00A94B0C">
        <w:rPr>
          <w:rFonts w:ascii="Verdana" w:eastAsia="Arial" w:hAnsi="Verdana" w:cs="Arial"/>
          <w:sz w:val="20"/>
          <w:szCs w:val="20"/>
          <w:lang w:eastAsia="es-ES" w:bidi="es-ES"/>
        </w:rPr>
        <w:t xml:space="preserve"> </w:t>
      </w:r>
    </w:p>
    <w:p w14:paraId="7CD2827F" w14:textId="51001AB8" w:rsidR="00247C46" w:rsidRDefault="00247C46" w:rsidP="00D37044">
      <w:pPr>
        <w:spacing w:after="120" w:line="276" w:lineRule="auto"/>
        <w:ind w:firstLine="708"/>
        <w:jc w:val="both"/>
        <w:rPr>
          <w:rFonts w:ascii="Verdana" w:eastAsia="Arial" w:hAnsi="Verdana" w:cs="Arial"/>
          <w:lang w:eastAsia="es-ES" w:bidi="es-ES"/>
        </w:rPr>
      </w:pPr>
      <w:r w:rsidRPr="00247C46">
        <w:rPr>
          <w:rFonts w:ascii="Verdana" w:eastAsia="Arial" w:hAnsi="Verdana" w:cs="Arial"/>
          <w:lang w:eastAsia="es-ES" w:bidi="es-ES"/>
        </w:rPr>
        <w:t>De igual forma, en Concepto con radicado 1738 del 6 de abril de 2006, esa misma Corporación manifestó que “Las restricciones de la Ley de Garantías</w:t>
      </w:r>
      <w:r w:rsidR="00A91418">
        <w:rPr>
          <w:rFonts w:ascii="Verdana" w:eastAsia="Arial" w:hAnsi="Verdana" w:cs="Arial"/>
          <w:lang w:eastAsia="es-ES" w:bidi="es-ES"/>
        </w:rPr>
        <w:t xml:space="preserve"> </w:t>
      </w:r>
      <w:r w:rsidR="00A91418" w:rsidRPr="00A91418">
        <w:rPr>
          <w:rFonts w:ascii="Verdana" w:eastAsia="Arial" w:hAnsi="Verdana" w:cs="Arial"/>
          <w:lang w:eastAsia="es-ES" w:bidi="es-ES"/>
        </w:rPr>
        <w:t>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r w:rsidR="00A91418" w:rsidRPr="00A91418">
        <w:rPr>
          <w:rFonts w:ascii="Verdana" w:eastAsia="Arial" w:hAnsi="Verdana" w:cs="Arial"/>
          <w:sz w:val="21"/>
          <w:szCs w:val="21"/>
          <w:vertAlign w:val="superscript"/>
          <w:lang w:eastAsia="es-ES" w:bidi="es-ES"/>
        </w:rPr>
        <w:t xml:space="preserve"> </w:t>
      </w:r>
      <w:r w:rsidR="00A91418" w:rsidRPr="001860ED">
        <w:rPr>
          <w:rFonts w:ascii="Verdana" w:eastAsia="Arial" w:hAnsi="Verdana" w:cs="Arial"/>
          <w:sz w:val="21"/>
          <w:szCs w:val="21"/>
          <w:vertAlign w:val="superscript"/>
          <w:lang w:eastAsia="es-ES" w:bidi="es-ES"/>
        </w:rPr>
        <w:footnoteReference w:id="27"/>
      </w:r>
      <w:r w:rsidR="00A91418" w:rsidRPr="00A91418">
        <w:rPr>
          <w:rFonts w:ascii="Verdana" w:eastAsia="Arial" w:hAnsi="Verdana" w:cs="Arial"/>
          <w:lang w:eastAsia="es-ES" w:bidi="es-ES"/>
        </w:rPr>
        <w:t>. Además, la Sala de Consulta y Servicio Civil del Consejo de Estado realizó la siguiente distinción, retomando el pronunciamiento de la misma sala del 20 de febrero de 2006, citado anteriormente:</w:t>
      </w:r>
    </w:p>
    <w:p w14:paraId="5ED48F33" w14:textId="77777777" w:rsidR="00A94B0C" w:rsidRPr="00A94B0C" w:rsidRDefault="00F56E8F" w:rsidP="00F56E8F">
      <w:pPr>
        <w:spacing w:after="120" w:line="276" w:lineRule="auto"/>
        <w:ind w:left="708"/>
        <w:jc w:val="both"/>
        <w:rPr>
          <w:rFonts w:ascii="Verdana" w:eastAsia="Arial" w:hAnsi="Verdana" w:cs="Arial"/>
          <w:sz w:val="20"/>
          <w:szCs w:val="20"/>
          <w:lang w:eastAsia="es-ES" w:bidi="es-ES"/>
        </w:rPr>
      </w:pPr>
      <w:r w:rsidRPr="00A94B0C">
        <w:rPr>
          <w:rFonts w:ascii="Verdana" w:eastAsia="Arial" w:hAnsi="Verdana" w:cs="Arial"/>
          <w:sz w:val="20"/>
          <w:szCs w:val="20"/>
          <w:lang w:eastAsia="es-ES" w:bidi="es-ES"/>
        </w:rPr>
        <w:t xml:space="preserve">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w:t>
      </w:r>
      <w:r w:rsidRPr="00A94B0C">
        <w:rPr>
          <w:rFonts w:ascii="Verdana" w:eastAsia="Arial" w:hAnsi="Verdana" w:cs="Arial"/>
          <w:sz w:val="20"/>
          <w:szCs w:val="20"/>
          <w:lang w:eastAsia="es-ES" w:bidi="es-ES"/>
        </w:rPr>
        <w:lastRenderedPageBreak/>
        <w:t xml:space="preserve">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 </w:t>
      </w:r>
    </w:p>
    <w:p w14:paraId="26CEC519" w14:textId="59098F8A" w:rsidR="00F56E8F" w:rsidRDefault="00F56E8F" w:rsidP="00F56E8F">
      <w:pPr>
        <w:spacing w:after="120" w:line="276" w:lineRule="auto"/>
        <w:ind w:left="708"/>
        <w:jc w:val="both"/>
        <w:rPr>
          <w:rFonts w:ascii="Verdana" w:eastAsia="Arial" w:hAnsi="Verdana" w:cs="Arial"/>
          <w:sz w:val="20"/>
          <w:szCs w:val="20"/>
          <w:lang w:eastAsia="es-ES" w:bidi="es-ES"/>
        </w:rPr>
      </w:pPr>
      <w:r w:rsidRPr="00A94B0C">
        <w:rPr>
          <w:rFonts w:ascii="Verdana" w:eastAsia="Arial" w:hAnsi="Verdana" w:cs="Arial"/>
          <w:sz w:val="20"/>
          <w:szCs w:val="20"/>
          <w:lang w:eastAsia="es-ES" w:bidi="es-ES"/>
        </w:rPr>
        <w:t>Aplicando este razonamiento a los establecimientos de crédito, a las sociedades de servicios financieros y a las entidades aseguradoras, encontramos que no pueden adquirir los suministros de bienes y servicios necesarios para la realización de su actividad por contratación directa sino por el mecanismo de la licitación pública, pero es obvio que si una de éstas entidades va a prestar un servicio financiero o de seguros a un particular, lo puede hacer, pues éstos se ofrecen a toda la comunidad en condiciones de igualdad. Si se supusiera que está prohibida su contratación directa, significaría la parálisis de tal actividad de interés público, lo que de ninguna manera es lo querido por la ley 996 de 2005</w:t>
      </w:r>
      <w:r w:rsidRPr="00A94B0C">
        <w:rPr>
          <w:rFonts w:ascii="Verdana" w:eastAsia="Arial" w:hAnsi="Verdana" w:cs="Arial"/>
          <w:sz w:val="20"/>
          <w:szCs w:val="20"/>
          <w:vertAlign w:val="superscript"/>
          <w:lang w:eastAsia="es-ES" w:bidi="es-ES"/>
        </w:rPr>
        <w:footnoteReference w:id="28"/>
      </w:r>
      <w:r w:rsidRPr="00A94B0C">
        <w:rPr>
          <w:rFonts w:ascii="Verdana" w:eastAsia="Arial" w:hAnsi="Verdana" w:cs="Arial"/>
          <w:sz w:val="20"/>
          <w:szCs w:val="20"/>
          <w:lang w:eastAsia="es-ES" w:bidi="es-ES"/>
        </w:rPr>
        <w:t>.</w:t>
      </w:r>
    </w:p>
    <w:p w14:paraId="347BD575" w14:textId="77777777" w:rsidR="00921980" w:rsidRDefault="00921980" w:rsidP="00921980">
      <w:pPr>
        <w:spacing w:after="120" w:line="276" w:lineRule="auto"/>
        <w:jc w:val="both"/>
        <w:rPr>
          <w:rFonts w:ascii="Verdana" w:eastAsia="Arial" w:hAnsi="Verdana" w:cs="Arial"/>
          <w:sz w:val="20"/>
          <w:szCs w:val="20"/>
          <w:lang w:eastAsia="es-ES" w:bidi="es-ES"/>
        </w:rPr>
      </w:pPr>
    </w:p>
    <w:p w14:paraId="5009EC85" w14:textId="056BD57A" w:rsidR="00921980" w:rsidRDefault="00921980" w:rsidP="00921980">
      <w:pPr>
        <w:spacing w:after="120" w:line="276" w:lineRule="auto"/>
        <w:ind w:firstLine="708"/>
        <w:jc w:val="both"/>
        <w:rPr>
          <w:rFonts w:ascii="Verdana" w:eastAsia="Arial" w:hAnsi="Verdana" w:cs="Arial"/>
          <w:lang w:eastAsia="es-ES" w:bidi="es-ES"/>
        </w:rPr>
      </w:pPr>
      <w:r w:rsidRPr="00921980">
        <w:rPr>
          <w:rFonts w:ascii="Verdana" w:eastAsia="Arial" w:hAnsi="Verdana" w:cs="Arial"/>
          <w:lang w:eastAsia="es-ES" w:bidi="es-ES"/>
        </w:rPr>
        <w:t>De acuerdo con estos pronunciamientos de la Sala de Consulta y Servicio Civil del Consejo de Estado, la prohibición de la contratación directa también aplica frente a las entidades exceptuadas de la aplicación del EGCAP y que se rigen en materia contractual por el derecho privado. Sin embargo, señaló que algunas de estas entidades, como sucede con las empresas de servicios públicos domiciliarios, los establecimientos de crédito, las sociedades de servicios financieros y las entidades aseguradoras no pueden adquirir los suministros de bienes y servicios necesarios para la realización de su actividad por contratación directa, sino por mecanismos competitivos que impliquen convocatoria pública y la posibilidad de la existencia de pluralidad de oferentes, pero indicó que en estos casos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r w:rsidRPr="00921980">
        <w:rPr>
          <w:rFonts w:ascii="Verdana" w:eastAsia="Arial" w:hAnsi="Verdana" w:cs="Arial"/>
          <w:sz w:val="20"/>
          <w:szCs w:val="20"/>
          <w:vertAlign w:val="superscript"/>
          <w:lang w:eastAsia="es-ES" w:bidi="es-ES"/>
        </w:rPr>
        <w:t xml:space="preserve"> </w:t>
      </w:r>
      <w:r w:rsidRPr="00A94B0C">
        <w:rPr>
          <w:rFonts w:ascii="Verdana" w:eastAsia="Arial" w:hAnsi="Verdana" w:cs="Arial"/>
          <w:sz w:val="20"/>
          <w:szCs w:val="20"/>
          <w:vertAlign w:val="superscript"/>
          <w:lang w:eastAsia="es-ES" w:bidi="es-ES"/>
        </w:rPr>
        <w:footnoteReference w:id="29"/>
      </w:r>
      <w:r w:rsidRPr="00921980">
        <w:rPr>
          <w:rFonts w:ascii="Verdana" w:eastAsia="Arial" w:hAnsi="Verdana" w:cs="Arial"/>
          <w:lang w:eastAsia="es-ES" w:bidi="es-ES"/>
        </w:rPr>
        <w:t xml:space="preserve">. </w:t>
      </w:r>
    </w:p>
    <w:p w14:paraId="424CC34A" w14:textId="3CC780C2" w:rsidR="009624D1" w:rsidRDefault="009624D1" w:rsidP="009624D1">
      <w:pPr>
        <w:spacing w:after="120" w:line="276" w:lineRule="auto"/>
        <w:ind w:firstLine="708"/>
        <w:jc w:val="both"/>
        <w:rPr>
          <w:rFonts w:ascii="Verdana" w:eastAsia="Arial" w:hAnsi="Verdana" w:cs="Arial"/>
          <w:lang w:eastAsia="es-ES" w:bidi="es-ES"/>
        </w:rPr>
      </w:pPr>
      <w:r w:rsidRPr="009624D1">
        <w:rPr>
          <w:rFonts w:ascii="Verdana" w:eastAsia="Arial" w:hAnsi="Verdana" w:cs="Arial"/>
          <w:lang w:eastAsia="es-ES" w:bidi="es-ES"/>
        </w:rPr>
        <w:t xml:space="preserve">Sin perjuicio de estos pronunciamientos de la Sala de Consulta y Servicio Civil, como la ha señalado esa misma Corporación, la restricción prevista en la Ley 996 de 2005 cobija a cualquier entidad pública independiente del régimen jurídico, que pueda mediante la contratación directa romper el equilibrio entre los candidatos en desarrollo de las elecciones presidenciales. Tampoco existe un </w:t>
      </w:r>
      <w:r w:rsidRPr="009624D1">
        <w:rPr>
          <w:rFonts w:ascii="Verdana" w:eastAsia="Arial" w:hAnsi="Verdana" w:cs="Arial"/>
          <w:lang w:eastAsia="es-ES" w:bidi="es-ES"/>
        </w:rPr>
        <w:lastRenderedPageBreak/>
        <w:t>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puede presentarse tanto en la contratación regulada por la Ley 80 de 1993 como en la regida por normas especiales.</w:t>
      </w:r>
    </w:p>
    <w:p w14:paraId="28BEBAE4" w14:textId="77777777" w:rsidR="00AB1841" w:rsidRDefault="009624D1" w:rsidP="00D37044">
      <w:pPr>
        <w:spacing w:after="120" w:line="276" w:lineRule="auto"/>
        <w:ind w:firstLine="708"/>
        <w:jc w:val="both"/>
        <w:rPr>
          <w:rFonts w:ascii="Verdana" w:eastAsia="Arial" w:hAnsi="Verdana" w:cs="Arial"/>
          <w:lang w:eastAsia="es-ES" w:bidi="es-ES"/>
        </w:rPr>
      </w:pPr>
      <w:r w:rsidRPr="009624D1">
        <w:rPr>
          <w:rFonts w:ascii="Verdana" w:eastAsia="Arial" w:hAnsi="Verdana" w:cs="Arial"/>
          <w:lang w:eastAsia="es-ES" w:bidi="es-ES"/>
        </w:rPr>
        <w:t>En tal sentido, atendiendo al desarrollo realizado de la prohibición establecida en el artículo 33 de la Ley de Garantías Electorales y señalados algunos pronunciamientos relevantes en la materia, le compete a cada entidad estatal que considera celebrar un contrato específico, definir si este se enmarca en la prohibición establecida en el artículo 33 que restringe la contratación directa en el periodo preelectoral a las elecciones presidenciales. Lo anterior, adicionalmente, teniendo en cuenta las excepciones a la prohibición establecidas en el inciso segundo del mismo artículo 33. Además, se reitera que la restricción aplica frente a la contratación directa, entendida como cualquier sistema de selección o procedimiento de contratación utilizado por las entidades estatales</w:t>
      </w:r>
      <w:r w:rsidR="00AB1841">
        <w:rPr>
          <w:rFonts w:ascii="Verdana" w:eastAsia="Arial" w:hAnsi="Verdana" w:cs="Arial"/>
          <w:lang w:eastAsia="es-ES" w:bidi="es-ES"/>
        </w:rPr>
        <w:t xml:space="preserve"> </w:t>
      </w:r>
      <w:r w:rsidR="00AB1841" w:rsidRPr="00AB1841">
        <w:rPr>
          <w:rFonts w:ascii="Verdana" w:eastAsia="Arial" w:hAnsi="Verdana" w:cs="Arial"/>
          <w:lang w:eastAsia="es-ES" w:bidi="es-ES"/>
        </w:rPr>
        <w:t xml:space="preserve">que no incluya la convocatoria pública en alguna de sus etapas, ni permita la participación de una pluralidad de oferentes; por lo que las entidades que se rigen por el derecho privado podrán celebrar contratos de acuerdo con los procedimientos contractuales desarrollados en sus manuales de contratación, bajo el entendido que estos permitan la participación de una pluralidad de oferentes. </w:t>
      </w:r>
    </w:p>
    <w:p w14:paraId="73D145C0" w14:textId="04A8F9CA" w:rsidR="00AB1841" w:rsidRDefault="00AB1841" w:rsidP="00AB1841">
      <w:pPr>
        <w:spacing w:after="120" w:line="276" w:lineRule="auto"/>
        <w:ind w:firstLine="708"/>
        <w:jc w:val="both"/>
        <w:rPr>
          <w:rFonts w:ascii="Verdana" w:eastAsia="Arial" w:hAnsi="Verdana" w:cs="Arial"/>
          <w:lang w:eastAsia="es-ES" w:bidi="es-ES"/>
        </w:rPr>
      </w:pPr>
      <w:r w:rsidRPr="00AB1841">
        <w:rPr>
          <w:rFonts w:ascii="Verdana" w:eastAsia="Arial" w:hAnsi="Verdana" w:cs="Arial"/>
          <w:lang w:eastAsia="es-ES" w:bidi="es-ES"/>
        </w:rPr>
        <w:t>Finalmente, se reitera, como en otras oportunidades lo ha manifestado esta Agencia, que las prórrogas, modificaciones o adiciones de los contratos suscritos antes de la entrada en vigencia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r w:rsidRPr="00A94B0C">
        <w:rPr>
          <w:rFonts w:ascii="Verdana" w:eastAsia="Arial" w:hAnsi="Verdana" w:cs="Arial"/>
          <w:sz w:val="20"/>
          <w:szCs w:val="20"/>
          <w:vertAlign w:val="superscript"/>
          <w:lang w:eastAsia="es-ES" w:bidi="es-ES"/>
        </w:rPr>
        <w:footnoteReference w:id="30"/>
      </w:r>
      <w:r>
        <w:rPr>
          <w:rFonts w:ascii="Verdana" w:eastAsia="Arial" w:hAnsi="Verdana" w:cs="Arial"/>
          <w:lang w:eastAsia="es-ES" w:bidi="es-ES"/>
        </w:rPr>
        <w:t>.</w:t>
      </w:r>
      <w:r w:rsidRPr="00AB1841">
        <w:rPr>
          <w:rFonts w:ascii="Verdana" w:eastAsia="Arial" w:hAnsi="Verdana" w:cs="Arial"/>
          <w:lang w:eastAsia="es-ES" w:bidi="es-ES"/>
        </w:rPr>
        <w:t xml:space="preserve">Además, también es posible que contratos celebrados previamente se continúen ejecutando con normalidad. </w:t>
      </w:r>
    </w:p>
    <w:p w14:paraId="3774B8DB" w14:textId="68D2A358" w:rsidR="009624D1" w:rsidRDefault="00AB1841" w:rsidP="00AB1841">
      <w:pPr>
        <w:spacing w:after="120" w:line="276" w:lineRule="auto"/>
        <w:ind w:firstLine="708"/>
        <w:jc w:val="both"/>
        <w:rPr>
          <w:rFonts w:ascii="Verdana" w:eastAsia="Arial" w:hAnsi="Verdana" w:cs="Arial"/>
          <w:lang w:eastAsia="es-ES" w:bidi="es-ES"/>
        </w:rPr>
      </w:pPr>
      <w:r w:rsidRPr="00AB1841">
        <w:rPr>
          <w:rFonts w:ascii="Verdana" w:eastAsia="Arial" w:hAnsi="Verdana" w:cs="Arial"/>
          <w:lang w:eastAsia="es-ES" w:bidi="es-ES"/>
        </w:rPr>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w:t>
      </w:r>
      <w:r w:rsidRPr="00AB1841">
        <w:rPr>
          <w:rFonts w:ascii="Verdana" w:eastAsia="Arial" w:hAnsi="Verdana" w:cs="Arial"/>
          <w:lang w:eastAsia="es-ES" w:bidi="es-ES"/>
        </w:rPr>
        <w:lastRenderedPageBreak/>
        <w:t>y Contratación Pública adopten la decisión que corresponda, lo cual es acorde con el principio de juridicidad. Así, cada Entidad establecerá la forma de adelantar su gestión contractual, sin que sea atribución de la Agencia Nacional de Contratación Pública - Colombia Compra Eficiente validarla.</w:t>
      </w:r>
    </w:p>
    <w:p w14:paraId="22954382" w14:textId="23B70AD4" w:rsidR="00E2397D" w:rsidRPr="00431BD2" w:rsidRDefault="00E2397D" w:rsidP="00431BD2">
      <w:pPr>
        <w:pStyle w:val="Prrafodelista"/>
        <w:numPr>
          <w:ilvl w:val="0"/>
          <w:numId w:val="19"/>
        </w:numPr>
        <w:spacing w:after="120" w:line="276" w:lineRule="auto"/>
        <w:jc w:val="both"/>
        <w:rPr>
          <w:rFonts w:ascii="Verdana" w:eastAsia="Century Gothic" w:hAnsi="Verdana" w:cs="Century Gothic"/>
          <w:b/>
          <w:bCs/>
        </w:rPr>
      </w:pPr>
      <w:r w:rsidRPr="00431BD2">
        <w:rPr>
          <w:rFonts w:ascii="Verdana" w:eastAsia="Century Gothic" w:hAnsi="Verdana" w:cs="Century Gothic"/>
          <w:b/>
          <w:bCs/>
        </w:rPr>
        <w:t xml:space="preserve">Referencias normativas </w:t>
      </w:r>
    </w:p>
    <w:p w14:paraId="534B9536" w14:textId="77777777" w:rsidR="00E2397D" w:rsidRPr="00E2397D" w:rsidRDefault="00E2397D" w:rsidP="00E2397D">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2397D" w:rsidRPr="00E2397D" w14:paraId="781227E0" w14:textId="77777777" w:rsidTr="00505795">
        <w:trPr>
          <w:trHeight w:val="856"/>
          <w:jc w:val="center"/>
        </w:trPr>
        <w:tc>
          <w:tcPr>
            <w:tcW w:w="8647" w:type="dxa"/>
          </w:tcPr>
          <w:p w14:paraId="15A8214B" w14:textId="26649672" w:rsidR="00E2397D" w:rsidRPr="00E2397D" w:rsidRDefault="00E2397D" w:rsidP="006B4CA3">
            <w:pPr>
              <w:widowControl w:val="0"/>
              <w:numPr>
                <w:ilvl w:val="0"/>
                <w:numId w:val="20"/>
              </w:numPr>
              <w:autoSpaceDE w:val="0"/>
              <w:autoSpaceDN w:val="0"/>
              <w:spacing w:before="120" w:after="120" w:line="276" w:lineRule="auto"/>
              <w:ind w:left="714" w:hanging="357"/>
              <w:jc w:val="both"/>
              <w:rPr>
                <w:rFonts w:ascii="Verdana" w:eastAsia="Arial MT" w:hAnsi="Verdana" w:cs="Arial"/>
                <w:lang w:val="es-ES" w:eastAsia="es-ES" w:bidi="es-ES"/>
              </w:rPr>
            </w:pPr>
            <w:r w:rsidRPr="00E2397D">
              <w:rPr>
                <w:rFonts w:ascii="Verdana" w:eastAsia="Arial MT" w:hAnsi="Verdana" w:cs="Arial"/>
                <w:lang w:eastAsia="es-ES" w:bidi="es-ES"/>
              </w:rPr>
              <w:t>Constitución Política: Artículo 127.</w:t>
            </w:r>
          </w:p>
          <w:p w14:paraId="690F3DCF" w14:textId="77777777" w:rsidR="006B4CA3" w:rsidRPr="006B4CA3" w:rsidRDefault="006B4CA3" w:rsidP="006B4CA3">
            <w:pPr>
              <w:widowControl w:val="0"/>
              <w:numPr>
                <w:ilvl w:val="0"/>
                <w:numId w:val="20"/>
              </w:numPr>
              <w:autoSpaceDE w:val="0"/>
              <w:autoSpaceDN w:val="0"/>
              <w:spacing w:after="120" w:line="276" w:lineRule="auto"/>
              <w:ind w:left="714" w:hanging="357"/>
              <w:jc w:val="both"/>
              <w:rPr>
                <w:rFonts w:ascii="Verdana" w:eastAsia="Arial MT" w:hAnsi="Verdana" w:cs="Arial"/>
                <w:lang w:val="es-ES" w:eastAsia="es-ES" w:bidi="es-ES"/>
              </w:rPr>
            </w:pPr>
            <w:r w:rsidRPr="006B4CA3">
              <w:rPr>
                <w:rFonts w:ascii="Verdana" w:eastAsia="Arial MT" w:hAnsi="Verdana" w:cs="Arial"/>
                <w:lang w:val="es-ES" w:eastAsia="es-ES" w:bidi="es-ES"/>
              </w:rPr>
              <w:t xml:space="preserve">Ley 80 de 1993, artículos 39, 41, 44, 46, 49 y 60. </w:t>
            </w:r>
          </w:p>
          <w:p w14:paraId="08C32D35" w14:textId="77777777" w:rsidR="006B4CA3" w:rsidRPr="006B4CA3" w:rsidRDefault="006B4CA3" w:rsidP="006B4CA3">
            <w:pPr>
              <w:widowControl w:val="0"/>
              <w:numPr>
                <w:ilvl w:val="0"/>
                <w:numId w:val="20"/>
              </w:numPr>
              <w:autoSpaceDE w:val="0"/>
              <w:autoSpaceDN w:val="0"/>
              <w:spacing w:after="120" w:line="276" w:lineRule="auto"/>
              <w:ind w:left="714" w:hanging="357"/>
              <w:jc w:val="both"/>
              <w:rPr>
                <w:rFonts w:ascii="Verdana" w:eastAsia="Arial MT" w:hAnsi="Verdana" w:cs="Arial"/>
                <w:lang w:val="es-ES" w:eastAsia="es-ES" w:bidi="es-ES"/>
              </w:rPr>
            </w:pPr>
            <w:r w:rsidRPr="006B4CA3">
              <w:rPr>
                <w:rFonts w:ascii="Verdana" w:eastAsia="Arial MT" w:hAnsi="Verdana" w:cs="Arial"/>
                <w:lang w:val="es-ES" w:eastAsia="es-ES" w:bidi="es-ES"/>
              </w:rPr>
              <w:t xml:space="preserve">Ley 1150 de 2007, artículo 11. </w:t>
            </w:r>
          </w:p>
          <w:p w14:paraId="42A9F929" w14:textId="77777777" w:rsidR="006B4CA3" w:rsidRPr="006B4CA3" w:rsidRDefault="006B4CA3" w:rsidP="006B4CA3">
            <w:pPr>
              <w:widowControl w:val="0"/>
              <w:numPr>
                <w:ilvl w:val="0"/>
                <w:numId w:val="20"/>
              </w:numPr>
              <w:autoSpaceDE w:val="0"/>
              <w:autoSpaceDN w:val="0"/>
              <w:spacing w:after="120" w:line="276" w:lineRule="auto"/>
              <w:ind w:left="714" w:hanging="357"/>
              <w:jc w:val="both"/>
              <w:rPr>
                <w:rFonts w:ascii="Verdana" w:eastAsia="Arial MT" w:hAnsi="Verdana" w:cs="Arial"/>
                <w:lang w:val="es-ES" w:eastAsia="es-ES" w:bidi="es-ES"/>
              </w:rPr>
            </w:pPr>
            <w:r w:rsidRPr="006B4CA3">
              <w:rPr>
                <w:rFonts w:ascii="Verdana" w:eastAsia="Arial MT" w:hAnsi="Verdana" w:cs="Arial"/>
                <w:lang w:eastAsia="es-ES" w:bidi="es-ES"/>
              </w:rPr>
              <w:t>Ley 1437 de 2011, artículos 10, 141 y 164.</w:t>
            </w:r>
          </w:p>
          <w:p w14:paraId="0DC8687F" w14:textId="026221B5" w:rsidR="006B4CA3" w:rsidRPr="006B4CA3" w:rsidRDefault="006B4CA3" w:rsidP="006B4CA3">
            <w:pPr>
              <w:widowControl w:val="0"/>
              <w:numPr>
                <w:ilvl w:val="0"/>
                <w:numId w:val="20"/>
              </w:numPr>
              <w:autoSpaceDE w:val="0"/>
              <w:autoSpaceDN w:val="0"/>
              <w:spacing w:after="120" w:line="276" w:lineRule="auto"/>
              <w:ind w:left="714" w:hanging="357"/>
              <w:jc w:val="both"/>
              <w:rPr>
                <w:rFonts w:ascii="Verdana" w:eastAsia="Arial MT" w:hAnsi="Verdana" w:cs="Arial"/>
                <w:lang w:val="es-ES" w:eastAsia="es-ES" w:bidi="es-ES"/>
              </w:rPr>
            </w:pPr>
            <w:r w:rsidRPr="006B4CA3">
              <w:rPr>
                <w:rFonts w:ascii="Verdana" w:eastAsia="Arial MT" w:hAnsi="Verdana" w:cs="Arial"/>
                <w:lang w:val="es-ES" w:eastAsia="es-ES" w:bidi="es-ES"/>
              </w:rPr>
              <w:t>Código Civil. Artículo 1740, 1741</w:t>
            </w:r>
            <w:r>
              <w:rPr>
                <w:rFonts w:ascii="Verdana" w:eastAsia="Arial MT" w:hAnsi="Verdana" w:cs="Arial"/>
                <w:lang w:val="es-ES" w:eastAsia="es-ES" w:bidi="es-ES"/>
              </w:rPr>
              <w:t>.</w:t>
            </w:r>
          </w:p>
          <w:p w14:paraId="6D720701" w14:textId="636140D3" w:rsidR="006B4CA3" w:rsidRPr="006B4CA3" w:rsidRDefault="006B4CA3" w:rsidP="006B4CA3">
            <w:pPr>
              <w:widowControl w:val="0"/>
              <w:numPr>
                <w:ilvl w:val="0"/>
                <w:numId w:val="20"/>
              </w:numPr>
              <w:autoSpaceDE w:val="0"/>
              <w:autoSpaceDN w:val="0"/>
              <w:spacing w:after="120" w:line="276" w:lineRule="auto"/>
              <w:ind w:left="714" w:hanging="357"/>
              <w:jc w:val="both"/>
              <w:rPr>
                <w:rFonts w:ascii="Verdana" w:eastAsia="Arial MT" w:hAnsi="Verdana" w:cs="Arial"/>
                <w:lang w:val="es-ES" w:eastAsia="es-ES" w:bidi="es-ES"/>
              </w:rPr>
            </w:pPr>
            <w:r w:rsidRPr="006B4CA3">
              <w:rPr>
                <w:rFonts w:ascii="Verdana" w:eastAsia="Arial MT" w:hAnsi="Verdana" w:cs="Arial"/>
                <w:lang w:val="es-ES" w:eastAsia="es-ES" w:bidi="es-ES"/>
              </w:rPr>
              <w:t>Código de Comercio. Artículo 899</w:t>
            </w:r>
            <w:r>
              <w:rPr>
                <w:rFonts w:ascii="Verdana" w:eastAsia="Arial MT" w:hAnsi="Verdana" w:cs="Arial"/>
                <w:lang w:val="es-ES" w:eastAsia="es-ES" w:bidi="es-ES"/>
              </w:rPr>
              <w:t xml:space="preserve">. </w:t>
            </w:r>
          </w:p>
          <w:p w14:paraId="6E120A91" w14:textId="5542598B" w:rsidR="00E2397D" w:rsidRPr="00E2397D" w:rsidRDefault="00E2397D" w:rsidP="006B4CA3">
            <w:pPr>
              <w:widowControl w:val="0"/>
              <w:numPr>
                <w:ilvl w:val="0"/>
                <w:numId w:val="20"/>
              </w:numPr>
              <w:autoSpaceDE w:val="0"/>
              <w:autoSpaceDN w:val="0"/>
              <w:spacing w:after="120" w:line="276" w:lineRule="auto"/>
              <w:ind w:left="714" w:hanging="357"/>
              <w:jc w:val="both"/>
              <w:rPr>
                <w:rFonts w:ascii="Verdana" w:eastAsia="Arial MT" w:hAnsi="Verdana" w:cs="Arial"/>
                <w:lang w:val="es-ES" w:eastAsia="es-ES" w:bidi="es-ES"/>
              </w:rPr>
            </w:pPr>
            <w:r w:rsidRPr="00E2397D">
              <w:rPr>
                <w:rFonts w:ascii="Verdana" w:eastAsia="Arial MT" w:hAnsi="Verdana" w:cs="Arial"/>
                <w:bCs/>
                <w:lang w:val="es-ES" w:eastAsia="es-ES" w:bidi="es-ES"/>
              </w:rPr>
              <w:t>Ley 996 de 2005: artículos 33 y 38 parágrafo.</w:t>
            </w:r>
          </w:p>
          <w:p w14:paraId="20BE64F3" w14:textId="77777777" w:rsidR="008853C1" w:rsidRPr="00431BD2" w:rsidRDefault="00E2397D" w:rsidP="003A40E2">
            <w:pPr>
              <w:widowControl w:val="0"/>
              <w:numPr>
                <w:ilvl w:val="0"/>
                <w:numId w:val="20"/>
              </w:numPr>
              <w:autoSpaceDE w:val="0"/>
              <w:autoSpaceDN w:val="0"/>
              <w:spacing w:after="120" w:line="276" w:lineRule="auto"/>
              <w:ind w:left="714" w:hanging="357"/>
              <w:jc w:val="both"/>
              <w:rPr>
                <w:rFonts w:ascii="Verdana" w:eastAsia="Calibri" w:hAnsi="Verdana" w:cs="Arial"/>
                <w:lang w:val="es-ES"/>
              </w:rPr>
            </w:pPr>
            <w:r w:rsidRPr="00E2397D">
              <w:rPr>
                <w:rFonts w:ascii="Verdana" w:eastAsia="Arial MT" w:hAnsi="Verdana" w:cs="Arial"/>
                <w:lang w:eastAsia="es-ES" w:bidi="es-ES"/>
              </w:rPr>
              <w:t>Ley 136 de 1994: Artículo 98.</w:t>
            </w:r>
          </w:p>
          <w:p w14:paraId="0181507F" w14:textId="1C3E542B" w:rsidR="00431BD2" w:rsidRDefault="00431BD2" w:rsidP="00431BD2">
            <w:pPr>
              <w:widowControl w:val="0"/>
              <w:autoSpaceDE w:val="0"/>
              <w:autoSpaceDN w:val="0"/>
              <w:spacing w:after="120" w:line="276" w:lineRule="auto"/>
              <w:ind w:left="357"/>
              <w:jc w:val="both"/>
              <w:rPr>
                <w:rFonts w:ascii="Verdana" w:eastAsia="Calibri" w:hAnsi="Verdana" w:cs="Arial"/>
              </w:rPr>
            </w:pPr>
            <w:r w:rsidRPr="00431BD2">
              <w:rPr>
                <w:rFonts w:ascii="Verdana" w:eastAsia="Calibri" w:hAnsi="Verdana" w:cs="Arial"/>
              </w:rPr>
              <w:t xml:space="preserve">• </w:t>
            </w:r>
            <w:r>
              <w:rPr>
                <w:rFonts w:ascii="Verdana" w:eastAsia="Calibri" w:hAnsi="Verdana" w:cs="Arial"/>
              </w:rPr>
              <w:t xml:space="preserve"> </w:t>
            </w:r>
            <w:r w:rsidRPr="00431BD2">
              <w:rPr>
                <w:rFonts w:ascii="Verdana" w:eastAsia="Calibri" w:hAnsi="Verdana" w:cs="Arial"/>
              </w:rPr>
              <w:t xml:space="preserve">Colombia Compra Eficiente. Circular Externa Única. Numeral 16.5. Disponible en línea: </w:t>
            </w:r>
            <w:hyperlink r:id="rId13" w:history="1">
              <w:r w:rsidRPr="00E87CB4">
                <w:rPr>
                  <w:rStyle w:val="Hipervnculo"/>
                  <w:rFonts w:ascii="Verdana" w:eastAsia="Calibri" w:hAnsi="Verdana" w:cs="Arial"/>
                </w:rPr>
                <w:t>https://www.colombiacompra.gov.co/normativay-relatoria/circular-unica-externa</w:t>
              </w:r>
            </w:hyperlink>
            <w:r>
              <w:rPr>
                <w:rFonts w:ascii="Verdana" w:eastAsia="Calibri" w:hAnsi="Verdana" w:cs="Arial"/>
              </w:rPr>
              <w:t xml:space="preserve">  </w:t>
            </w:r>
            <w:r w:rsidRPr="00431BD2">
              <w:rPr>
                <w:rFonts w:ascii="Verdana" w:eastAsia="Calibri" w:hAnsi="Verdana" w:cs="Arial"/>
              </w:rPr>
              <w:t xml:space="preserve"> </w:t>
            </w:r>
          </w:p>
          <w:p w14:paraId="3BA5B6B3" w14:textId="77777777" w:rsidR="000A18ED" w:rsidRDefault="00431BD2" w:rsidP="000A18ED">
            <w:pPr>
              <w:widowControl w:val="0"/>
              <w:autoSpaceDE w:val="0"/>
              <w:autoSpaceDN w:val="0"/>
              <w:spacing w:after="120" w:line="276" w:lineRule="auto"/>
              <w:ind w:left="357"/>
              <w:jc w:val="both"/>
              <w:rPr>
                <w:rFonts w:ascii="Verdana" w:eastAsia="Calibri" w:hAnsi="Verdana" w:cs="Arial"/>
              </w:rPr>
            </w:pPr>
            <w:r w:rsidRPr="00431BD2">
              <w:rPr>
                <w:rFonts w:ascii="Verdana" w:eastAsia="Calibri" w:hAnsi="Verdana" w:cs="Arial"/>
              </w:rPr>
              <w:t xml:space="preserve">• </w:t>
            </w:r>
            <w:r>
              <w:rPr>
                <w:rFonts w:ascii="Verdana" w:eastAsia="Calibri" w:hAnsi="Verdana" w:cs="Arial"/>
              </w:rPr>
              <w:t xml:space="preserve"> </w:t>
            </w:r>
            <w:r w:rsidRPr="00431BD2">
              <w:rPr>
                <w:rFonts w:ascii="Verdana" w:eastAsia="Calibri" w:hAnsi="Verdana" w:cs="Arial"/>
              </w:rPr>
              <w:t xml:space="preserve">Consejo de Estado. Sala de Consulta y Servicio Civil. Concepto de 20 </w:t>
            </w:r>
            <w:r w:rsidR="000A18ED">
              <w:rPr>
                <w:rFonts w:ascii="Verdana" w:eastAsia="Calibri" w:hAnsi="Verdana" w:cs="Arial"/>
              </w:rPr>
              <w:t xml:space="preserve">    </w:t>
            </w:r>
            <w:r w:rsidRPr="00431BD2">
              <w:rPr>
                <w:rFonts w:ascii="Verdana" w:eastAsia="Calibri" w:hAnsi="Verdana" w:cs="Arial"/>
              </w:rPr>
              <w:t>de febrero de 2006. Radicado. 1727. C.P. Enrique José Arboleda Perdomo.</w:t>
            </w:r>
          </w:p>
          <w:p w14:paraId="4683423F" w14:textId="2B8B85A4" w:rsidR="000A18ED" w:rsidRPr="000A18ED" w:rsidRDefault="00431BD2" w:rsidP="000A18ED">
            <w:pPr>
              <w:pStyle w:val="Prrafodelista"/>
              <w:widowControl w:val="0"/>
              <w:numPr>
                <w:ilvl w:val="0"/>
                <w:numId w:val="20"/>
              </w:numPr>
              <w:autoSpaceDE w:val="0"/>
              <w:autoSpaceDN w:val="0"/>
              <w:spacing w:after="120" w:line="276" w:lineRule="auto"/>
              <w:jc w:val="both"/>
              <w:rPr>
                <w:rFonts w:ascii="Verdana" w:eastAsia="Calibri" w:hAnsi="Verdana" w:cs="Arial"/>
              </w:rPr>
            </w:pPr>
            <w:r w:rsidRPr="000A18ED">
              <w:rPr>
                <w:rFonts w:ascii="Verdana" w:eastAsia="Calibri" w:hAnsi="Verdana" w:cs="Arial"/>
              </w:rPr>
              <w:t xml:space="preserve">Consejo de Estado. Sala de Consulta y Servicio Civil. Concepto de 6 de abril de 2006. Radicado. 1738. C.P. Enrique José Arboleda Perdomo. </w:t>
            </w:r>
          </w:p>
          <w:p w14:paraId="7E8E4944" w14:textId="1314D419" w:rsidR="000A18ED" w:rsidRPr="000A18ED" w:rsidRDefault="00431BD2" w:rsidP="000A18ED">
            <w:pPr>
              <w:pStyle w:val="Prrafodelista"/>
              <w:widowControl w:val="0"/>
              <w:numPr>
                <w:ilvl w:val="0"/>
                <w:numId w:val="20"/>
              </w:numPr>
              <w:autoSpaceDE w:val="0"/>
              <w:autoSpaceDN w:val="0"/>
              <w:spacing w:after="120" w:line="276" w:lineRule="auto"/>
              <w:jc w:val="both"/>
              <w:rPr>
                <w:rFonts w:ascii="Verdana" w:eastAsia="Calibri" w:hAnsi="Verdana" w:cs="Arial"/>
              </w:rPr>
            </w:pPr>
            <w:r w:rsidRPr="00431BD2">
              <w:rPr>
                <w:rFonts w:ascii="Verdana" w:eastAsia="Calibri" w:hAnsi="Verdana" w:cs="Arial"/>
              </w:rPr>
              <w:t xml:space="preserve">Consejo de Estado. Sala de Consulta y Servicio Civil. Concepto de 6 de abril de 2006. Radicado 1738. Consejero Ponente: Enrique José Arboleda Perdomo. </w:t>
            </w:r>
          </w:p>
          <w:p w14:paraId="77B14055" w14:textId="16238BFE" w:rsidR="000A18ED" w:rsidRPr="000A18ED" w:rsidRDefault="00431BD2" w:rsidP="000A18ED">
            <w:pPr>
              <w:pStyle w:val="Prrafodelista"/>
              <w:widowControl w:val="0"/>
              <w:numPr>
                <w:ilvl w:val="0"/>
                <w:numId w:val="20"/>
              </w:numPr>
              <w:autoSpaceDE w:val="0"/>
              <w:autoSpaceDN w:val="0"/>
              <w:spacing w:after="120" w:line="276" w:lineRule="auto"/>
              <w:jc w:val="both"/>
              <w:rPr>
                <w:rFonts w:ascii="Verdana" w:eastAsia="Calibri" w:hAnsi="Verdana" w:cs="Arial"/>
              </w:rPr>
            </w:pPr>
            <w:r w:rsidRPr="00431BD2">
              <w:rPr>
                <w:rFonts w:ascii="Verdana" w:eastAsia="Calibri" w:hAnsi="Verdana" w:cs="Arial"/>
              </w:rPr>
              <w:t xml:space="preserve">Consejo de Estado, Sala de Consulta y Servicio Civil de fecha 24 de julio de 2013, Radicado 2166, C. P. Álvaro </w:t>
            </w:r>
            <w:proofErr w:type="spellStart"/>
            <w:r w:rsidRPr="00431BD2">
              <w:rPr>
                <w:rFonts w:ascii="Verdana" w:eastAsia="Calibri" w:hAnsi="Verdana" w:cs="Arial"/>
              </w:rPr>
              <w:t>Namén</w:t>
            </w:r>
            <w:proofErr w:type="spellEnd"/>
            <w:r w:rsidRPr="00431BD2">
              <w:rPr>
                <w:rFonts w:ascii="Verdana" w:eastAsia="Calibri" w:hAnsi="Verdana" w:cs="Arial"/>
              </w:rPr>
              <w:t xml:space="preserve"> Vargas. </w:t>
            </w:r>
          </w:p>
          <w:p w14:paraId="6C81A6CD" w14:textId="77777777" w:rsidR="000A18ED" w:rsidRDefault="00431BD2" w:rsidP="00431BD2">
            <w:pPr>
              <w:pStyle w:val="Prrafodelista"/>
              <w:widowControl w:val="0"/>
              <w:numPr>
                <w:ilvl w:val="0"/>
                <w:numId w:val="20"/>
              </w:numPr>
              <w:autoSpaceDE w:val="0"/>
              <w:autoSpaceDN w:val="0"/>
              <w:spacing w:after="120" w:line="276" w:lineRule="auto"/>
              <w:jc w:val="both"/>
              <w:rPr>
                <w:rFonts w:ascii="Verdana" w:eastAsia="Calibri" w:hAnsi="Verdana" w:cs="Arial"/>
              </w:rPr>
            </w:pPr>
            <w:r w:rsidRPr="00431BD2">
              <w:rPr>
                <w:rFonts w:ascii="Verdana" w:eastAsia="Calibri" w:hAnsi="Verdana" w:cs="Arial"/>
              </w:rPr>
              <w:t xml:space="preserve">Consejo de Estado. Sala de Consulta y Servicio Civil. Concepto del 2 de septiembre de 2013. Radicado: 2168. Consejero Ponente: Álvaro </w:t>
            </w:r>
            <w:proofErr w:type="spellStart"/>
            <w:r w:rsidRPr="00431BD2">
              <w:rPr>
                <w:rFonts w:ascii="Verdana" w:eastAsia="Calibri" w:hAnsi="Verdana" w:cs="Arial"/>
              </w:rPr>
              <w:t>Namén</w:t>
            </w:r>
            <w:proofErr w:type="spellEnd"/>
            <w:r w:rsidRPr="00431BD2">
              <w:rPr>
                <w:rFonts w:ascii="Verdana" w:eastAsia="Calibri" w:hAnsi="Verdana" w:cs="Arial"/>
              </w:rPr>
              <w:t xml:space="preserve"> Vargas. </w:t>
            </w:r>
          </w:p>
          <w:p w14:paraId="18CDC4B2" w14:textId="77777777" w:rsidR="000A18ED" w:rsidRDefault="00431BD2" w:rsidP="00431BD2">
            <w:pPr>
              <w:pStyle w:val="Prrafodelista"/>
              <w:widowControl w:val="0"/>
              <w:numPr>
                <w:ilvl w:val="0"/>
                <w:numId w:val="20"/>
              </w:numPr>
              <w:autoSpaceDE w:val="0"/>
              <w:autoSpaceDN w:val="0"/>
              <w:spacing w:after="120" w:line="276" w:lineRule="auto"/>
              <w:jc w:val="both"/>
              <w:rPr>
                <w:rFonts w:ascii="Verdana" w:eastAsia="Calibri" w:hAnsi="Verdana" w:cs="Arial"/>
              </w:rPr>
            </w:pPr>
            <w:r w:rsidRPr="00431BD2">
              <w:rPr>
                <w:rFonts w:ascii="Verdana" w:eastAsia="Calibri" w:hAnsi="Verdana" w:cs="Arial"/>
              </w:rPr>
              <w:t xml:space="preserve">Consejo de Estado. Sala de Consulta y Servicio Civil. Concepto del 08 de mayo de 2018. Radicado. 2.382. C.P. Álvaro </w:t>
            </w:r>
            <w:proofErr w:type="spellStart"/>
            <w:r w:rsidRPr="00431BD2">
              <w:rPr>
                <w:rFonts w:ascii="Verdana" w:eastAsia="Calibri" w:hAnsi="Verdana" w:cs="Arial"/>
              </w:rPr>
              <w:t>Namén</w:t>
            </w:r>
            <w:proofErr w:type="spellEnd"/>
            <w:r w:rsidRPr="00431BD2">
              <w:rPr>
                <w:rFonts w:ascii="Verdana" w:eastAsia="Calibri" w:hAnsi="Verdana" w:cs="Arial"/>
              </w:rPr>
              <w:t xml:space="preserve"> Vargas. </w:t>
            </w:r>
          </w:p>
          <w:p w14:paraId="0DC19211" w14:textId="77777777" w:rsidR="000A18ED" w:rsidRPr="000A18ED" w:rsidRDefault="00431BD2" w:rsidP="00431BD2">
            <w:pPr>
              <w:pStyle w:val="Prrafodelista"/>
              <w:widowControl w:val="0"/>
              <w:numPr>
                <w:ilvl w:val="0"/>
                <w:numId w:val="20"/>
              </w:numPr>
              <w:autoSpaceDE w:val="0"/>
              <w:autoSpaceDN w:val="0"/>
              <w:spacing w:after="120" w:line="276" w:lineRule="auto"/>
              <w:jc w:val="both"/>
              <w:rPr>
                <w:rFonts w:ascii="Verdana" w:eastAsia="Calibri" w:hAnsi="Verdana" w:cs="Arial"/>
              </w:rPr>
            </w:pPr>
            <w:r w:rsidRPr="00431BD2">
              <w:rPr>
                <w:rFonts w:ascii="Verdana" w:eastAsia="Calibri" w:hAnsi="Verdana" w:cs="Arial"/>
              </w:rPr>
              <w:t xml:space="preserve">Consejo de Estado, Sala de lo Contencioso Administrativo, Sección </w:t>
            </w:r>
            <w:r w:rsidRPr="00431BD2">
              <w:rPr>
                <w:rFonts w:ascii="Verdana" w:eastAsia="Calibri" w:hAnsi="Verdana" w:cs="Arial"/>
              </w:rPr>
              <w:lastRenderedPageBreak/>
              <w:t>Tercera. Auto del 4 de octubre de 2024. Radicado. 70.313. MP: Fredy Ibarra Martínez.</w:t>
            </w:r>
            <w:r w:rsidR="000A18ED" w:rsidRPr="000A18ED">
              <w:rPr>
                <w:rFonts w:asciiTheme="minorHAnsi" w:hAnsiTheme="minorHAnsi"/>
                <w:lang w:val="es-CO"/>
              </w:rPr>
              <w:t xml:space="preserve"> </w:t>
            </w:r>
          </w:p>
          <w:p w14:paraId="1065B677" w14:textId="77777777" w:rsidR="000A18ED" w:rsidRPr="000A18ED" w:rsidRDefault="000A18ED" w:rsidP="00431BD2">
            <w:pPr>
              <w:pStyle w:val="Prrafodelista"/>
              <w:widowControl w:val="0"/>
              <w:numPr>
                <w:ilvl w:val="0"/>
                <w:numId w:val="20"/>
              </w:numPr>
              <w:autoSpaceDE w:val="0"/>
              <w:autoSpaceDN w:val="0"/>
              <w:spacing w:after="120" w:line="276" w:lineRule="auto"/>
              <w:jc w:val="both"/>
              <w:rPr>
                <w:rFonts w:ascii="Verdana" w:eastAsia="Calibri" w:hAnsi="Verdana" w:cs="Arial"/>
              </w:rPr>
            </w:pPr>
            <w:r w:rsidRPr="000A18ED">
              <w:rPr>
                <w:rFonts w:ascii="Verdana" w:eastAsia="Calibri" w:hAnsi="Verdana" w:cs="Arial"/>
                <w:lang w:val="es-CO"/>
              </w:rPr>
              <w:t xml:space="preserve">Corte Constitucional. Sentencia C -1153 de 2005. M.P. Marco Gerardo Monroy Cabra. </w:t>
            </w:r>
          </w:p>
          <w:p w14:paraId="7D566FF6" w14:textId="1EF1CC92" w:rsidR="00431BD2" w:rsidRPr="000A18ED" w:rsidRDefault="000A18ED" w:rsidP="000A18ED">
            <w:pPr>
              <w:widowControl w:val="0"/>
              <w:autoSpaceDE w:val="0"/>
              <w:autoSpaceDN w:val="0"/>
              <w:spacing w:after="120" w:line="276" w:lineRule="auto"/>
              <w:ind w:left="360"/>
              <w:jc w:val="both"/>
              <w:rPr>
                <w:rFonts w:ascii="Verdana" w:eastAsia="Calibri" w:hAnsi="Verdana" w:cs="Arial"/>
              </w:rPr>
            </w:pPr>
            <w:r w:rsidRPr="000A18ED">
              <w:rPr>
                <w:rFonts w:ascii="Verdana" w:eastAsia="Calibri" w:hAnsi="Verdana" w:cs="Arial"/>
              </w:rPr>
              <w:t xml:space="preserve">• </w:t>
            </w:r>
            <w:r>
              <w:rPr>
                <w:rFonts w:ascii="Verdana" w:eastAsia="Calibri" w:hAnsi="Verdana" w:cs="Arial"/>
              </w:rPr>
              <w:t xml:space="preserve"> </w:t>
            </w:r>
            <w:r w:rsidRPr="000A18ED">
              <w:rPr>
                <w:rFonts w:ascii="Verdana" w:eastAsia="Calibri" w:hAnsi="Verdana" w:cs="Arial"/>
              </w:rPr>
              <w:t>Corte Constitucional. Sentencia C-671 de 2015. M.P. Alberto Rojas Ríos</w:t>
            </w:r>
          </w:p>
        </w:tc>
      </w:tr>
    </w:tbl>
    <w:p w14:paraId="6B90B1C9" w14:textId="77777777" w:rsidR="00E2397D" w:rsidRPr="00E2397D" w:rsidRDefault="00E2397D" w:rsidP="00E2397D">
      <w:pPr>
        <w:widowControl w:val="0"/>
        <w:autoSpaceDE w:val="0"/>
        <w:autoSpaceDN w:val="0"/>
        <w:spacing w:after="0" w:line="276" w:lineRule="auto"/>
        <w:jc w:val="both"/>
        <w:rPr>
          <w:rFonts w:ascii="Verdana" w:hAnsi="Verdana" w:cs="Arial"/>
        </w:rPr>
      </w:pPr>
    </w:p>
    <w:p w14:paraId="29015E23" w14:textId="38E78C12" w:rsidR="00E2397D" w:rsidRPr="00E2397D" w:rsidRDefault="000A18ED" w:rsidP="00E2397D">
      <w:pPr>
        <w:tabs>
          <w:tab w:val="left" w:pos="142"/>
          <w:tab w:val="left" w:pos="284"/>
        </w:tabs>
        <w:spacing w:after="0" w:line="276" w:lineRule="auto"/>
        <w:jc w:val="both"/>
        <w:rPr>
          <w:rFonts w:ascii="Verdana" w:eastAsia="Century Gothic" w:hAnsi="Verdana" w:cs="Century Gothic"/>
          <w:b/>
          <w:bCs/>
        </w:rPr>
      </w:pPr>
      <w:r>
        <w:rPr>
          <w:rFonts w:ascii="Verdana" w:eastAsia="Century Gothic" w:hAnsi="Verdana" w:cs="Century Gothic"/>
          <w:b/>
          <w:bCs/>
        </w:rPr>
        <w:t xml:space="preserve">V. </w:t>
      </w:r>
      <w:r w:rsidR="00E2397D" w:rsidRPr="00E2397D">
        <w:rPr>
          <w:rFonts w:ascii="Verdana" w:eastAsia="Century Gothic" w:hAnsi="Verdana" w:cs="Century Gothic"/>
          <w:b/>
          <w:bCs/>
        </w:rPr>
        <w:t>Doctrina de la Agencia Nacional de Contratación Pública:</w:t>
      </w:r>
    </w:p>
    <w:p w14:paraId="348530C5" w14:textId="77777777" w:rsidR="00E2397D" w:rsidRPr="00E2397D" w:rsidRDefault="00E2397D" w:rsidP="00E2397D">
      <w:pPr>
        <w:widowControl w:val="0"/>
        <w:autoSpaceDE w:val="0"/>
        <w:autoSpaceDN w:val="0"/>
        <w:spacing w:after="0" w:line="276" w:lineRule="auto"/>
        <w:jc w:val="both"/>
        <w:rPr>
          <w:rFonts w:ascii="Verdana" w:hAnsi="Verdana" w:cs="Arial"/>
        </w:rPr>
      </w:pPr>
    </w:p>
    <w:p w14:paraId="74ACB70D" w14:textId="70B7454E" w:rsidR="00E2397D" w:rsidRPr="00E2397D" w:rsidRDefault="00E2397D" w:rsidP="003A40E2">
      <w:pPr>
        <w:widowControl w:val="0"/>
        <w:autoSpaceDE w:val="0"/>
        <w:autoSpaceDN w:val="0"/>
        <w:spacing w:after="0" w:line="276" w:lineRule="auto"/>
        <w:jc w:val="both"/>
        <w:rPr>
          <w:rFonts w:ascii="Verdana" w:eastAsia="Calibri" w:hAnsi="Verdana" w:cs="Arial"/>
          <w:color w:val="000000" w:themeColor="text1"/>
          <w:lang w:val="es-ES_tradnl" w:eastAsia="es-ES_tradnl"/>
        </w:rPr>
      </w:pPr>
      <w:r w:rsidRPr="00E2397D">
        <w:rPr>
          <w:rFonts w:ascii="Verdana" w:hAnsi="Verdana" w:cs="Arial"/>
          <w:shd w:val="clear" w:color="auto" w:fill="FFFFFF"/>
          <w:lang w:val="es-ES"/>
        </w:rPr>
        <w:t xml:space="preserve">Sobre la finalidad y propósito de la Ley de Garantías Electorales, la ANCP- CCE se ha pronunciado en los Conceptos 4201913000004536 de 17 de julio de 2019, 4201912000005556 del 12 de septiembre de 2019, 4201913000005175 del 13 de septiembre de 2019, 4201913000006452 del 07 de octubre de 2019, 4201913000005082 del 17 de octubre de 2019, 4201913000006306 del 21 de octubre de 2019, 4201912000006552 del 07 de noviembre de 2019, 4201913000006604 del 17 de diciembre de 2019,  C-227 del 24 de mayo de 2021 y 396 del 13 de agosto de 2021, C-439 del 27 de agosto de 2021, C-456 del 3 de septiembre, C-481 del 9 de septiembre de 2021, C- 528 del 27 de septiembre de 2021, C-550 del 5 de octubre de 2021 y C-523 del 10 de octubre de 2021, C-606 del 28 de octubre de 2021 y C-614 del 2 de noviembre de 2021, C-636 del 16 de noviembre de 2021, 681 del 7 de diciembre de 2021, C-686 del 21 de diciembre de 2021, C-697 del 3 de enero de 2022, entre otros. </w:t>
      </w:r>
      <w:r w:rsidR="0062005D">
        <w:rPr>
          <w:rFonts w:ascii="Verdana" w:hAnsi="Verdana" w:cs="Arial"/>
          <w:shd w:val="clear" w:color="auto" w:fill="FFFFFF"/>
        </w:rPr>
        <w:t>E</w:t>
      </w:r>
      <w:proofErr w:type="spellStart"/>
      <w:r w:rsidRPr="00E2397D">
        <w:rPr>
          <w:rFonts w:ascii="Verdana" w:hAnsi="Verdana" w:cs="Arial"/>
          <w:shd w:val="clear" w:color="auto" w:fill="FFFFFF"/>
          <w:lang w:val="es-ES"/>
        </w:rPr>
        <w:t>stos</w:t>
      </w:r>
      <w:proofErr w:type="spellEnd"/>
      <w:r w:rsidRPr="00E2397D">
        <w:rPr>
          <w:rFonts w:ascii="Verdana" w:hAnsi="Verdana" w:cs="Arial"/>
          <w:shd w:val="clear" w:color="auto" w:fill="FFFFFF"/>
          <w:lang w:val="es-ES"/>
        </w:rPr>
        <w:t xml:space="preserve"> y otros </w:t>
      </w:r>
      <w:r w:rsidRPr="00E2397D">
        <w:rPr>
          <w:rFonts w:ascii="Verdana" w:hAnsi="Verdana"/>
        </w:rPr>
        <w:t>conceptos se encuentran disponibles para consulta en el Sistema de relatoría de la Agencia, al cual se puede acceder a través del siguiente enlace:</w:t>
      </w:r>
      <w:r w:rsidRPr="00E2397D">
        <w:rPr>
          <w:rFonts w:ascii="Verdana" w:hAnsi="Verdana" w:cs="Arial"/>
          <w:shd w:val="clear" w:color="auto" w:fill="FFFFFF"/>
        </w:rPr>
        <w:t xml:space="preserve"> </w:t>
      </w:r>
      <w:hyperlink r:id="rId14" w:history="1">
        <w:r w:rsidRPr="00E2397D">
          <w:rPr>
            <w:rFonts w:ascii="Verdana" w:hAnsi="Verdana" w:cs="Arial"/>
            <w:color w:val="0563C1" w:themeColor="hyperlink"/>
            <w:u w:val="single"/>
            <w:shd w:val="clear" w:color="auto" w:fill="FFFFFF"/>
          </w:rPr>
          <w:t>https://relatoria.colombiacompra.gov.co/busqueda/conceptos</w:t>
        </w:r>
      </w:hyperlink>
      <w:r w:rsidRPr="00E2397D">
        <w:rPr>
          <w:rFonts w:ascii="Verdana" w:hAnsi="Verdana" w:cs="Arial"/>
          <w:shd w:val="clear" w:color="auto" w:fill="FFFFFF"/>
        </w:rPr>
        <w:t>.</w:t>
      </w:r>
      <w:r w:rsidRPr="00E2397D">
        <w:rPr>
          <w:rFonts w:ascii="Verdana" w:hAnsi="Verdana" w:cs="Arial"/>
          <w:color w:val="FF0000"/>
          <w:shd w:val="clear" w:color="auto" w:fill="FFFFFF"/>
        </w:rPr>
        <w:t xml:space="preserve"> </w:t>
      </w:r>
      <w:r w:rsidRPr="00E2397D">
        <w:rPr>
          <w:rFonts w:ascii="Verdana" w:hAnsi="Verdana" w:cs="Arial"/>
          <w:color w:val="000000" w:themeColor="text1"/>
          <w:shd w:val="clear" w:color="auto" w:fill="FFFFFF"/>
        </w:rPr>
        <w:t>  </w:t>
      </w:r>
    </w:p>
    <w:p w14:paraId="3109EDD5" w14:textId="3045CB81" w:rsidR="00F00796" w:rsidRDefault="00F00796" w:rsidP="00F00796">
      <w:pPr>
        <w:spacing w:after="0"/>
        <w:jc w:val="both"/>
        <w:rPr>
          <w:rFonts w:ascii="Verdana" w:hAnsi="Verdana"/>
        </w:rPr>
      </w:pPr>
    </w:p>
    <w:p w14:paraId="64F5C2F1" w14:textId="77777777" w:rsidR="00F00796" w:rsidRPr="0044528D" w:rsidRDefault="00F00796" w:rsidP="00F00796">
      <w:pPr>
        <w:spacing w:after="0"/>
        <w:jc w:val="both"/>
        <w:rPr>
          <w:rFonts w:ascii="Verdana" w:hAnsi="Verdana"/>
        </w:rPr>
      </w:pPr>
      <w:r w:rsidRPr="0044528D">
        <w:rPr>
          <w:rFonts w:ascii="Verdana" w:hAnsi="Verdana"/>
        </w:rPr>
        <w:t xml:space="preserve">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43448B17" w14:textId="77777777" w:rsidR="00F00796" w:rsidRPr="0044528D" w:rsidRDefault="00F00796" w:rsidP="00F00796">
      <w:pPr>
        <w:spacing w:after="0" w:line="240" w:lineRule="auto"/>
        <w:jc w:val="both"/>
        <w:rPr>
          <w:rFonts w:ascii="Verdana" w:hAnsi="Verdana"/>
        </w:rPr>
      </w:pPr>
    </w:p>
    <w:p w14:paraId="3798CEA4" w14:textId="77777777" w:rsidR="00F00796" w:rsidRPr="0044528D" w:rsidRDefault="00F00796" w:rsidP="00F00796">
      <w:pPr>
        <w:pStyle w:val="Prrafodelista"/>
        <w:numPr>
          <w:ilvl w:val="0"/>
          <w:numId w:val="15"/>
        </w:numPr>
        <w:spacing w:after="0" w:line="240" w:lineRule="auto"/>
        <w:jc w:val="both"/>
        <w:rPr>
          <w:rFonts w:ascii="Verdana" w:hAnsi="Verdana"/>
        </w:rPr>
      </w:pPr>
      <w:r w:rsidRPr="0044528D">
        <w:rPr>
          <w:rFonts w:ascii="Verdana" w:hAnsi="Verdana"/>
        </w:rPr>
        <w:t>Línea nacional gratuita o servicio a la ciudadanía: 01800 0520808</w:t>
      </w:r>
    </w:p>
    <w:p w14:paraId="7C3C48E2" w14:textId="77777777" w:rsidR="00F00796" w:rsidRPr="0044528D" w:rsidRDefault="00F00796" w:rsidP="00F00796">
      <w:pPr>
        <w:pStyle w:val="Prrafodelista"/>
        <w:numPr>
          <w:ilvl w:val="0"/>
          <w:numId w:val="15"/>
        </w:numPr>
        <w:spacing w:after="0" w:line="240" w:lineRule="auto"/>
        <w:jc w:val="both"/>
        <w:rPr>
          <w:rFonts w:ascii="Verdana" w:hAnsi="Verdana"/>
        </w:rPr>
      </w:pPr>
      <w:r w:rsidRPr="0044528D">
        <w:rPr>
          <w:rFonts w:ascii="Verdana" w:hAnsi="Verdana"/>
        </w:rPr>
        <w:t>Línea en Bogotá (Mesa de servicio): +57 601 7456788</w:t>
      </w:r>
    </w:p>
    <w:p w14:paraId="2FC5081A" w14:textId="77777777" w:rsidR="00F00796" w:rsidRPr="0044528D" w:rsidRDefault="00F00796" w:rsidP="00F00796">
      <w:pPr>
        <w:pStyle w:val="Prrafodelista"/>
        <w:numPr>
          <w:ilvl w:val="0"/>
          <w:numId w:val="15"/>
        </w:numPr>
        <w:spacing w:after="0" w:line="240" w:lineRule="auto"/>
        <w:jc w:val="both"/>
        <w:rPr>
          <w:rFonts w:ascii="Verdana" w:hAnsi="Verdana"/>
        </w:rPr>
      </w:pPr>
      <w:r w:rsidRPr="0044528D">
        <w:rPr>
          <w:rFonts w:ascii="Verdana" w:hAnsi="Verdana"/>
        </w:rPr>
        <w:t>Línea de servicio y atención al ciudadano: +57 601 7956600</w:t>
      </w:r>
    </w:p>
    <w:p w14:paraId="34D4ACFB" w14:textId="77777777" w:rsidR="00F00796" w:rsidRPr="0044528D" w:rsidRDefault="00F00796" w:rsidP="00F00796">
      <w:pPr>
        <w:pStyle w:val="Prrafodelista"/>
        <w:numPr>
          <w:ilvl w:val="0"/>
          <w:numId w:val="15"/>
        </w:numPr>
        <w:spacing w:after="0" w:line="240" w:lineRule="auto"/>
        <w:jc w:val="both"/>
        <w:rPr>
          <w:rFonts w:ascii="Verdana" w:hAnsi="Verdana"/>
        </w:rPr>
      </w:pPr>
      <w:r w:rsidRPr="0044528D">
        <w:rPr>
          <w:rFonts w:ascii="Verdana" w:hAnsi="Verdana"/>
        </w:rPr>
        <w:t xml:space="preserve">Página web: </w:t>
      </w:r>
      <w:hyperlink r:id="rId15" w:history="1">
        <w:r w:rsidRPr="0044528D">
          <w:rPr>
            <w:rStyle w:val="Hipervnculo"/>
            <w:rFonts w:ascii="Verdana" w:hAnsi="Verdana"/>
          </w:rPr>
          <w:t>www.colombiacompra.gov.co</w:t>
        </w:r>
      </w:hyperlink>
    </w:p>
    <w:p w14:paraId="5DFCE35C" w14:textId="77777777" w:rsidR="00F00796" w:rsidRPr="0044528D" w:rsidRDefault="00F00796" w:rsidP="00F00796">
      <w:pPr>
        <w:pStyle w:val="Prrafodelista"/>
        <w:spacing w:after="0" w:line="240" w:lineRule="auto"/>
        <w:ind w:left="785"/>
        <w:jc w:val="both"/>
        <w:rPr>
          <w:rFonts w:ascii="Verdana" w:hAnsi="Verdana"/>
        </w:rPr>
      </w:pPr>
    </w:p>
    <w:p w14:paraId="49AB39E1" w14:textId="77777777" w:rsidR="00F00796" w:rsidRPr="0044528D" w:rsidRDefault="00F00796" w:rsidP="00F00796">
      <w:pPr>
        <w:spacing w:after="0" w:line="240" w:lineRule="auto"/>
        <w:jc w:val="both"/>
        <w:rPr>
          <w:rFonts w:ascii="Verdana" w:hAnsi="Verdana"/>
        </w:rPr>
      </w:pPr>
      <w:r w:rsidRPr="0044528D">
        <w:rPr>
          <w:rFonts w:ascii="Verdana" w:hAnsi="Verdana"/>
        </w:rPr>
        <w:t xml:space="preserve">Por último, lo invitamos a seguirnos en las redes sociales en las cuales se difunde información institucional: </w:t>
      </w:r>
    </w:p>
    <w:p w14:paraId="48D85770" w14:textId="77777777" w:rsidR="00F00796" w:rsidRPr="0044528D" w:rsidRDefault="00F00796" w:rsidP="00F00796">
      <w:pPr>
        <w:spacing w:after="0" w:line="240" w:lineRule="auto"/>
        <w:jc w:val="both"/>
        <w:rPr>
          <w:rFonts w:ascii="Verdana" w:hAnsi="Verdana"/>
        </w:rPr>
      </w:pPr>
    </w:p>
    <w:p w14:paraId="2E9F3057" w14:textId="77777777" w:rsidR="00F00796" w:rsidRPr="0044528D" w:rsidRDefault="00F00796" w:rsidP="00F00796">
      <w:pPr>
        <w:spacing w:after="0" w:line="240" w:lineRule="auto"/>
        <w:jc w:val="both"/>
        <w:rPr>
          <w:rFonts w:ascii="Verdana" w:hAnsi="Verdana"/>
        </w:rPr>
      </w:pPr>
      <w:r w:rsidRPr="0044528D">
        <w:rPr>
          <w:rFonts w:ascii="Verdana" w:hAnsi="Verdana"/>
        </w:rPr>
        <w:lastRenderedPageBreak/>
        <w:t xml:space="preserve">Twitter: </w:t>
      </w:r>
      <w:r w:rsidRPr="0044528D">
        <w:rPr>
          <w:rStyle w:val="Hipervnculo"/>
          <w:rFonts w:ascii="Verdana" w:hAnsi="Verdana"/>
        </w:rPr>
        <w:t>@colombiacompra</w:t>
      </w:r>
      <w:r w:rsidRPr="0044528D">
        <w:rPr>
          <w:rFonts w:ascii="Verdana" w:hAnsi="Verdana"/>
        </w:rPr>
        <w:t xml:space="preserve"> </w:t>
      </w:r>
    </w:p>
    <w:p w14:paraId="2C0E4C7A" w14:textId="77777777" w:rsidR="00F00796" w:rsidRPr="0044528D" w:rsidRDefault="00F00796" w:rsidP="00F00796">
      <w:pPr>
        <w:spacing w:after="0" w:line="240" w:lineRule="auto"/>
        <w:jc w:val="both"/>
        <w:rPr>
          <w:rFonts w:ascii="Verdana" w:hAnsi="Verdana"/>
        </w:rPr>
      </w:pPr>
      <w:r w:rsidRPr="0044528D">
        <w:rPr>
          <w:rFonts w:ascii="Verdana" w:hAnsi="Verdana"/>
        </w:rPr>
        <w:t xml:space="preserve">Facebook: </w:t>
      </w:r>
      <w:proofErr w:type="spellStart"/>
      <w:r w:rsidRPr="0044528D">
        <w:rPr>
          <w:rStyle w:val="Hipervnculo"/>
          <w:rFonts w:ascii="Verdana" w:hAnsi="Verdana"/>
        </w:rPr>
        <w:t>ColombiaCompraEficiente</w:t>
      </w:r>
      <w:proofErr w:type="spellEnd"/>
    </w:p>
    <w:p w14:paraId="3B98BA1D" w14:textId="77777777" w:rsidR="00F00796" w:rsidRPr="0044528D" w:rsidRDefault="00F00796" w:rsidP="00F00796">
      <w:pPr>
        <w:spacing w:after="0" w:line="240" w:lineRule="auto"/>
        <w:jc w:val="both"/>
        <w:rPr>
          <w:rFonts w:ascii="Verdana" w:hAnsi="Verdana"/>
        </w:rPr>
      </w:pPr>
      <w:r w:rsidRPr="0044528D">
        <w:rPr>
          <w:rFonts w:ascii="Verdana" w:hAnsi="Verdana"/>
        </w:rPr>
        <w:t xml:space="preserve">LinkedIn: </w:t>
      </w:r>
      <w:r w:rsidRPr="0044528D">
        <w:rPr>
          <w:rStyle w:val="Hipervnculo"/>
          <w:rFonts w:ascii="Verdana" w:hAnsi="Verdana"/>
        </w:rPr>
        <w:t>Agencia Nacional de Contratación Pública - Colombia Compra Eficiente</w:t>
      </w:r>
      <w:r w:rsidRPr="0044528D">
        <w:rPr>
          <w:rFonts w:ascii="Verdana" w:hAnsi="Verdana"/>
        </w:rPr>
        <w:t xml:space="preserve"> Instagram: </w:t>
      </w:r>
      <w:r w:rsidRPr="0044528D">
        <w:rPr>
          <w:rStyle w:val="Hipervnculo"/>
          <w:rFonts w:ascii="Verdana" w:hAnsi="Verdana"/>
        </w:rPr>
        <w:t>@colombiacompraeficiente_cce</w:t>
      </w:r>
    </w:p>
    <w:p w14:paraId="6D28C38C" w14:textId="77777777" w:rsidR="00F00796" w:rsidRPr="0044528D" w:rsidRDefault="00F00796" w:rsidP="00F00796">
      <w:pPr>
        <w:spacing w:after="0" w:line="240" w:lineRule="auto"/>
        <w:jc w:val="both"/>
        <w:rPr>
          <w:rFonts w:ascii="Verdana" w:hAnsi="Verdana"/>
        </w:rPr>
      </w:pPr>
    </w:p>
    <w:p w14:paraId="4FE2C9F8" w14:textId="77777777" w:rsidR="00F00796" w:rsidRPr="00185EE9" w:rsidRDefault="00F00796" w:rsidP="00F00796">
      <w:pPr>
        <w:spacing w:after="0" w:line="256" w:lineRule="auto"/>
        <w:jc w:val="both"/>
        <w:rPr>
          <w:rFonts w:ascii="Verdana" w:eastAsia="Calibri" w:hAnsi="Verdana" w:cs="Times New Roman"/>
          <w:bCs/>
          <w:lang w:val="es-ES_tradnl"/>
        </w:rPr>
      </w:pPr>
      <w:r w:rsidRPr="00185EE9">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4A6B0F87" w14:textId="77777777" w:rsidR="00F00796" w:rsidRPr="00185EE9" w:rsidRDefault="00F00796" w:rsidP="00F00796">
      <w:pPr>
        <w:spacing w:after="0" w:line="256" w:lineRule="auto"/>
        <w:jc w:val="both"/>
        <w:rPr>
          <w:rFonts w:ascii="Verdana" w:eastAsia="Calibri" w:hAnsi="Verdana" w:cs="Times New Roman"/>
        </w:rPr>
      </w:pPr>
    </w:p>
    <w:p w14:paraId="3D79CE53" w14:textId="657AC82E" w:rsidR="00615F46" w:rsidRDefault="00F00796" w:rsidP="00B93E58">
      <w:pPr>
        <w:spacing w:after="0" w:line="256" w:lineRule="auto"/>
        <w:jc w:val="both"/>
        <w:rPr>
          <w:rFonts w:ascii="Verdana" w:eastAsia="Calibri" w:hAnsi="Verdana" w:cs="Times New Roman"/>
        </w:rPr>
      </w:pPr>
      <w:r w:rsidRPr="00185EE9">
        <w:rPr>
          <w:rFonts w:ascii="Verdana" w:eastAsia="Calibri" w:hAnsi="Verdana" w:cs="Times New Roman"/>
        </w:rPr>
        <w:t>Atentamente,</w:t>
      </w:r>
      <w:bookmarkEnd w:id="0"/>
    </w:p>
    <w:p w14:paraId="325E6EF1" w14:textId="77777777" w:rsidR="00B93E58" w:rsidRPr="00B93E58" w:rsidRDefault="00B93E58" w:rsidP="00B93E58">
      <w:pPr>
        <w:spacing w:after="0" w:line="256" w:lineRule="auto"/>
        <w:jc w:val="both"/>
        <w:rPr>
          <w:rFonts w:ascii="Verdana" w:hAnsi="Verdana"/>
          <w:lang w:val="es-MX"/>
        </w:rPr>
      </w:pPr>
    </w:p>
    <w:p w14:paraId="12332D2D" w14:textId="71E03BFE" w:rsidR="004D1E55" w:rsidRDefault="009D5983" w:rsidP="004D1E55">
      <w:pPr>
        <w:spacing w:after="0" w:line="276" w:lineRule="auto"/>
        <w:jc w:val="center"/>
        <w:rPr>
          <w:rFonts w:ascii="Verdana" w:hAnsi="Verdana"/>
          <w:lang w:val="es-ES_tradnl"/>
        </w:rPr>
      </w:pPr>
      <w:r w:rsidRPr="002C3AD6">
        <w:rPr>
          <w:rFonts w:ascii="Century Gothic" w:hAnsi="Century Gothic"/>
          <w:noProof/>
        </w:rPr>
        <w:drawing>
          <wp:inline distT="0" distB="0" distL="0" distR="0" wp14:anchorId="426A646D" wp14:editId="069B8BD5">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772426" cy="1400370"/>
                    </a:xfrm>
                    <a:prstGeom prst="rect">
                      <a:avLst/>
                    </a:prstGeom>
                  </pic:spPr>
                </pic:pic>
              </a:graphicData>
            </a:graphic>
          </wp:inline>
        </w:drawing>
      </w:r>
    </w:p>
    <w:p w14:paraId="5058DD41" w14:textId="77777777" w:rsidR="004D1E55" w:rsidRDefault="004D1E55" w:rsidP="004D1E55">
      <w:pPr>
        <w:spacing w:after="0" w:line="276" w:lineRule="auto"/>
        <w:jc w:val="center"/>
        <w:rPr>
          <w:rFonts w:ascii="Verdana" w:hAnsi="Verdana"/>
          <w:lang w:val="es-ES_tradnl"/>
        </w:rPr>
      </w:pPr>
    </w:p>
    <w:p w14:paraId="7C2CF282" w14:textId="77777777" w:rsidR="004D1E55" w:rsidRPr="00D53651" w:rsidRDefault="004D1E55" w:rsidP="004D1E55">
      <w:pPr>
        <w:spacing w:after="0" w:line="276" w:lineRule="auto"/>
        <w:jc w:val="center"/>
        <w:rPr>
          <w:rFonts w:ascii="Verdana" w:hAnsi="Verdana"/>
          <w:lang w:val="es-ES_tradnl"/>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D1E55" w:rsidRPr="00D53651" w14:paraId="63776338" w14:textId="77777777" w:rsidTr="003E1B14">
        <w:trPr>
          <w:trHeight w:val="315"/>
        </w:trPr>
        <w:tc>
          <w:tcPr>
            <w:tcW w:w="893" w:type="dxa"/>
            <w:vAlign w:val="center"/>
            <w:hideMark/>
          </w:tcPr>
          <w:p w14:paraId="636054A5" w14:textId="77777777" w:rsidR="004D1E55" w:rsidRPr="00D53651" w:rsidRDefault="004D1E55" w:rsidP="003E1B14">
            <w:pPr>
              <w:spacing w:line="276" w:lineRule="auto"/>
              <w:jc w:val="both"/>
              <w:rPr>
                <w:rFonts w:ascii="Verdana" w:hAnsi="Verdana"/>
                <w:sz w:val="16"/>
                <w:szCs w:val="16"/>
              </w:rPr>
            </w:pPr>
            <w:r w:rsidRPr="00D53651">
              <w:rPr>
                <w:rFonts w:ascii="Verdana" w:hAnsi="Verdana"/>
                <w:sz w:val="16"/>
                <w:szCs w:val="16"/>
              </w:rPr>
              <w:t>Elaboró:</w:t>
            </w:r>
          </w:p>
        </w:tc>
        <w:tc>
          <w:tcPr>
            <w:tcW w:w="5628" w:type="dxa"/>
            <w:tcBorders>
              <w:top w:val="nil"/>
              <w:left w:val="nil"/>
              <w:bottom w:val="dotted" w:sz="4" w:space="0" w:color="7F7F7F"/>
              <w:right w:val="nil"/>
            </w:tcBorders>
            <w:vAlign w:val="center"/>
            <w:hideMark/>
          </w:tcPr>
          <w:p w14:paraId="019C1BAE" w14:textId="6C7865BA" w:rsidR="004D1E55" w:rsidRPr="00D53651" w:rsidRDefault="00CC50EF" w:rsidP="003E1B14">
            <w:pPr>
              <w:spacing w:line="276" w:lineRule="auto"/>
              <w:jc w:val="both"/>
              <w:rPr>
                <w:rFonts w:ascii="Verdana" w:hAnsi="Verdana"/>
                <w:sz w:val="16"/>
                <w:szCs w:val="16"/>
              </w:rPr>
            </w:pPr>
            <w:r>
              <w:rPr>
                <w:rFonts w:ascii="Verdana" w:hAnsi="Verdana"/>
                <w:sz w:val="16"/>
                <w:szCs w:val="16"/>
              </w:rPr>
              <w:t xml:space="preserve">Diana </w:t>
            </w:r>
            <w:r w:rsidR="004D1E55" w:rsidRPr="00D53651">
              <w:rPr>
                <w:rFonts w:ascii="Verdana" w:hAnsi="Verdana"/>
                <w:sz w:val="16"/>
                <w:szCs w:val="16"/>
              </w:rPr>
              <w:t xml:space="preserve">Carolina Blanco Rodriguez </w:t>
            </w:r>
          </w:p>
          <w:p w14:paraId="5CDE9E9A" w14:textId="77777777" w:rsidR="004D1E55" w:rsidRPr="00D53651" w:rsidRDefault="004D1E55" w:rsidP="003E1B14">
            <w:pPr>
              <w:spacing w:line="276" w:lineRule="auto"/>
              <w:jc w:val="both"/>
              <w:rPr>
                <w:rFonts w:ascii="Verdana" w:hAnsi="Verdana"/>
                <w:sz w:val="16"/>
                <w:szCs w:val="16"/>
              </w:rPr>
            </w:pPr>
            <w:r w:rsidRPr="00D53651">
              <w:rPr>
                <w:rFonts w:ascii="Verdana" w:hAnsi="Verdana"/>
                <w:sz w:val="16"/>
                <w:szCs w:val="16"/>
              </w:rPr>
              <w:t>Contratista de la Subdirección de Gestión Contractual</w:t>
            </w:r>
          </w:p>
        </w:tc>
      </w:tr>
      <w:tr w:rsidR="004D1E55" w:rsidRPr="00D53651" w14:paraId="5B1ED1D5" w14:textId="77777777" w:rsidTr="003E1B14">
        <w:trPr>
          <w:trHeight w:val="330"/>
        </w:trPr>
        <w:tc>
          <w:tcPr>
            <w:tcW w:w="893" w:type="dxa"/>
            <w:vAlign w:val="center"/>
            <w:hideMark/>
          </w:tcPr>
          <w:p w14:paraId="76264883" w14:textId="77777777" w:rsidR="004D1E55" w:rsidRPr="00D53651" w:rsidRDefault="004D1E55" w:rsidP="003E1B14">
            <w:pPr>
              <w:spacing w:line="276" w:lineRule="auto"/>
              <w:jc w:val="both"/>
              <w:rPr>
                <w:rFonts w:ascii="Verdana" w:hAnsi="Verdana"/>
                <w:sz w:val="16"/>
                <w:szCs w:val="16"/>
              </w:rPr>
            </w:pPr>
            <w:r w:rsidRPr="00D53651">
              <w:rPr>
                <w:rFonts w:ascii="Verdana" w:hAnsi="Verdana"/>
                <w:sz w:val="16"/>
                <w:szCs w:val="16"/>
              </w:rPr>
              <w:t>Revisó:</w:t>
            </w:r>
          </w:p>
        </w:tc>
        <w:tc>
          <w:tcPr>
            <w:tcW w:w="5628" w:type="dxa"/>
            <w:tcBorders>
              <w:top w:val="dotted" w:sz="4" w:space="0" w:color="7F7F7F"/>
              <w:left w:val="nil"/>
              <w:bottom w:val="dotted" w:sz="4" w:space="0" w:color="7F7F7F"/>
              <w:right w:val="nil"/>
            </w:tcBorders>
            <w:vAlign w:val="center"/>
            <w:hideMark/>
          </w:tcPr>
          <w:p w14:paraId="35B8BC62" w14:textId="77777777" w:rsidR="004D1E55" w:rsidRPr="00D53651" w:rsidRDefault="004D1E55" w:rsidP="003E1B14">
            <w:pPr>
              <w:spacing w:line="276" w:lineRule="auto"/>
              <w:jc w:val="both"/>
              <w:rPr>
                <w:rFonts w:ascii="Verdana" w:hAnsi="Verdana"/>
                <w:sz w:val="16"/>
                <w:szCs w:val="16"/>
              </w:rPr>
            </w:pPr>
            <w:r w:rsidRPr="00D53651">
              <w:rPr>
                <w:rFonts w:ascii="Verdana" w:hAnsi="Verdana"/>
                <w:sz w:val="16"/>
                <w:szCs w:val="16"/>
              </w:rPr>
              <w:t xml:space="preserve">Diana Saavedra </w:t>
            </w:r>
          </w:p>
          <w:p w14:paraId="0B1FB992" w14:textId="77777777" w:rsidR="004D1E55" w:rsidRPr="00D53651" w:rsidRDefault="004D1E55" w:rsidP="003E1B14">
            <w:pPr>
              <w:spacing w:line="276" w:lineRule="auto"/>
              <w:jc w:val="both"/>
              <w:rPr>
                <w:rFonts w:ascii="Verdana" w:hAnsi="Verdana"/>
                <w:sz w:val="16"/>
                <w:szCs w:val="16"/>
              </w:rPr>
            </w:pPr>
            <w:r w:rsidRPr="00D53651">
              <w:rPr>
                <w:rFonts w:ascii="Verdana" w:hAnsi="Verdana"/>
                <w:sz w:val="16"/>
                <w:szCs w:val="16"/>
              </w:rPr>
              <w:t>Contratista de la Subdirección de Gestión Contractual </w:t>
            </w:r>
          </w:p>
        </w:tc>
      </w:tr>
      <w:tr w:rsidR="004D1E55" w:rsidRPr="00D53651" w14:paraId="19C8516D" w14:textId="77777777" w:rsidTr="003E1B14">
        <w:trPr>
          <w:trHeight w:val="300"/>
        </w:trPr>
        <w:tc>
          <w:tcPr>
            <w:tcW w:w="893" w:type="dxa"/>
            <w:vAlign w:val="center"/>
            <w:hideMark/>
          </w:tcPr>
          <w:p w14:paraId="4864B045" w14:textId="77777777" w:rsidR="004D1E55" w:rsidRPr="00D53651" w:rsidRDefault="004D1E55" w:rsidP="003E1B14">
            <w:pPr>
              <w:spacing w:line="276" w:lineRule="auto"/>
              <w:jc w:val="both"/>
              <w:rPr>
                <w:rFonts w:ascii="Verdana" w:hAnsi="Verdana"/>
                <w:sz w:val="16"/>
                <w:szCs w:val="16"/>
              </w:rPr>
            </w:pPr>
            <w:r w:rsidRPr="00D53651">
              <w:rPr>
                <w:rFonts w:ascii="Verdana" w:hAnsi="Verdana"/>
                <w:sz w:val="16"/>
                <w:szCs w:val="16"/>
              </w:rPr>
              <w:t>Aprobó:</w:t>
            </w:r>
          </w:p>
        </w:tc>
        <w:tc>
          <w:tcPr>
            <w:tcW w:w="5628" w:type="dxa"/>
            <w:tcBorders>
              <w:top w:val="dotted" w:sz="4" w:space="0" w:color="7F7F7F"/>
              <w:left w:val="nil"/>
              <w:bottom w:val="dotted" w:sz="4" w:space="0" w:color="7F7F7F"/>
              <w:right w:val="nil"/>
            </w:tcBorders>
            <w:vAlign w:val="center"/>
            <w:hideMark/>
          </w:tcPr>
          <w:p w14:paraId="59CB2360" w14:textId="77777777" w:rsidR="004D1E55" w:rsidRPr="00D53651" w:rsidRDefault="004D1E55" w:rsidP="003E1B14">
            <w:pPr>
              <w:spacing w:line="276" w:lineRule="auto"/>
              <w:jc w:val="both"/>
              <w:rPr>
                <w:rFonts w:ascii="Verdana" w:hAnsi="Verdana"/>
                <w:sz w:val="16"/>
                <w:szCs w:val="16"/>
                <w:lang w:val="pt-BR"/>
              </w:rPr>
            </w:pPr>
            <w:r w:rsidRPr="00D53651">
              <w:rPr>
                <w:rFonts w:ascii="Verdana" w:hAnsi="Verdana"/>
                <w:sz w:val="16"/>
                <w:szCs w:val="16"/>
                <w:lang w:val="pt-BR"/>
              </w:rPr>
              <w:t xml:space="preserve">Carolina Quintero </w:t>
            </w:r>
            <w:proofErr w:type="spellStart"/>
            <w:r w:rsidRPr="00D53651">
              <w:rPr>
                <w:rFonts w:ascii="Verdana" w:hAnsi="Verdana"/>
                <w:sz w:val="16"/>
                <w:szCs w:val="16"/>
                <w:lang w:val="pt-BR"/>
              </w:rPr>
              <w:t>Gacharná</w:t>
            </w:r>
            <w:proofErr w:type="spellEnd"/>
          </w:p>
          <w:p w14:paraId="611911AF" w14:textId="77777777" w:rsidR="004D1E55" w:rsidRPr="00D53651" w:rsidRDefault="004D1E55" w:rsidP="003E1B14">
            <w:pPr>
              <w:spacing w:line="276" w:lineRule="auto"/>
              <w:jc w:val="both"/>
              <w:rPr>
                <w:rFonts w:ascii="Verdana" w:hAnsi="Verdana"/>
                <w:sz w:val="16"/>
                <w:szCs w:val="16"/>
                <w:lang w:val="pt-BR"/>
              </w:rPr>
            </w:pPr>
            <w:r w:rsidRPr="00D53651">
              <w:rPr>
                <w:rFonts w:ascii="Verdana" w:hAnsi="Verdana"/>
                <w:sz w:val="16"/>
                <w:szCs w:val="16"/>
              </w:rPr>
              <w:t>Subdirectora</w:t>
            </w:r>
            <w:r w:rsidRPr="00D53651">
              <w:rPr>
                <w:rFonts w:ascii="Verdana" w:hAnsi="Verdana"/>
                <w:sz w:val="16"/>
                <w:szCs w:val="16"/>
                <w:lang w:val="pt-BR"/>
              </w:rPr>
              <w:t xml:space="preserve"> de Gestión Contratual ANCP – CCE</w:t>
            </w:r>
          </w:p>
        </w:tc>
      </w:tr>
      <w:bookmarkEnd w:id="1"/>
    </w:tbl>
    <w:p w14:paraId="175862FB" w14:textId="5C92D6A1" w:rsidR="0044798F" w:rsidRPr="004D1E55" w:rsidRDefault="0044798F" w:rsidP="00B93E58">
      <w:pPr>
        <w:spacing w:after="0" w:line="276" w:lineRule="auto"/>
        <w:jc w:val="center"/>
        <w:rPr>
          <w:noProof/>
        </w:rPr>
      </w:pPr>
    </w:p>
    <w:sectPr w:rsidR="0044798F" w:rsidRPr="004D1E55"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089531" w14:textId="77777777" w:rsidR="00DC1E6B" w:rsidRDefault="00DC1E6B" w:rsidP="004A1847">
      <w:pPr>
        <w:spacing w:after="0" w:line="240" w:lineRule="auto"/>
      </w:pPr>
      <w:r>
        <w:separator/>
      </w:r>
    </w:p>
  </w:endnote>
  <w:endnote w:type="continuationSeparator" w:id="0">
    <w:p w14:paraId="3A7EACB8" w14:textId="77777777" w:rsidR="00DC1E6B" w:rsidRDefault="00DC1E6B" w:rsidP="004A1847">
      <w:pPr>
        <w:spacing w:after="0" w:line="240" w:lineRule="auto"/>
      </w:pPr>
      <w:r>
        <w:continuationSeparator/>
      </w:r>
    </w:p>
  </w:endnote>
  <w:endnote w:type="continuationNotice" w:id="1">
    <w:p w14:paraId="41129EF1" w14:textId="77777777" w:rsidR="00DC1E6B" w:rsidRDefault="00DC1E6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505795" w:rsidRDefault="00505795">
    <w:pPr>
      <w:pStyle w:val="Piedepgina"/>
    </w:pPr>
  </w:p>
  <w:p w14:paraId="594D6D9F" w14:textId="6E17AAA5" w:rsidR="00505795" w:rsidRPr="00174B77" w:rsidRDefault="00505795"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B93E58" w:rsidRPr="00B93E58">
      <w:rPr>
        <w:rFonts w:ascii="Verdana" w:eastAsiaTheme="minorEastAsia" w:hAnsi="Verdana"/>
        <w:b/>
        <w:bCs/>
        <w:noProof/>
        <w:sz w:val="16"/>
        <w:szCs w:val="16"/>
      </w:rPr>
      <w:t>34</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505795" w:rsidRDefault="00505795"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505795" w:rsidRPr="00E41027" w:rsidRDefault="00505795"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505795" w:rsidRDefault="00505795"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A94B49" w14:textId="77777777" w:rsidR="00DC1E6B" w:rsidRDefault="00DC1E6B" w:rsidP="004A1847">
      <w:pPr>
        <w:spacing w:after="0" w:line="240" w:lineRule="auto"/>
      </w:pPr>
      <w:r>
        <w:separator/>
      </w:r>
    </w:p>
  </w:footnote>
  <w:footnote w:type="continuationSeparator" w:id="0">
    <w:p w14:paraId="572E49CB" w14:textId="77777777" w:rsidR="00DC1E6B" w:rsidRDefault="00DC1E6B" w:rsidP="004A1847">
      <w:pPr>
        <w:spacing w:after="0" w:line="240" w:lineRule="auto"/>
      </w:pPr>
      <w:r>
        <w:continuationSeparator/>
      </w:r>
    </w:p>
  </w:footnote>
  <w:footnote w:type="continuationNotice" w:id="1">
    <w:p w14:paraId="7C97CB30" w14:textId="77777777" w:rsidR="00DC1E6B" w:rsidRDefault="00DC1E6B">
      <w:pPr>
        <w:spacing w:after="0" w:line="240" w:lineRule="auto"/>
      </w:pPr>
    </w:p>
  </w:footnote>
  <w:footnote w:id="2">
    <w:p w14:paraId="20F7647C" w14:textId="77777777" w:rsidR="00505795" w:rsidRPr="00310E5C" w:rsidRDefault="00505795" w:rsidP="003A40E2">
      <w:pPr>
        <w:pStyle w:val="Textonotapie"/>
        <w:ind w:firstLine="709"/>
        <w:jc w:val="both"/>
        <w:rPr>
          <w:rFonts w:ascii="Verdana" w:hAnsi="Verdana" w:cs="Arial"/>
          <w:sz w:val="16"/>
          <w:szCs w:val="16"/>
        </w:rPr>
      </w:pPr>
      <w:r w:rsidRPr="00FA6811">
        <w:rPr>
          <w:rStyle w:val="Refdenotaalpie"/>
          <w:rFonts w:ascii="Verdana" w:hAnsi="Verdana" w:cs="Arial"/>
          <w:sz w:val="16"/>
          <w:szCs w:val="16"/>
        </w:rPr>
        <w:footnoteRef/>
      </w:r>
      <w:r w:rsidRPr="00FA6811">
        <w:rPr>
          <w:rFonts w:ascii="Verdana" w:hAnsi="Verdana" w:cs="Arial"/>
          <w:sz w:val="16"/>
          <w:szCs w:val="16"/>
        </w:rPr>
        <w:t xml:space="preserve"> El artículo 127 de l</w:t>
      </w:r>
      <w:r w:rsidRPr="00310E5C">
        <w:rPr>
          <w:rFonts w:ascii="Verdana" w:hAnsi="Verdana" w:cs="Arial"/>
          <w:sz w:val="16"/>
          <w:szCs w:val="16"/>
        </w:rPr>
        <w:t xml:space="preserve">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426F969A" w14:textId="57848C36" w:rsidR="00505795" w:rsidRPr="00310E5C" w:rsidRDefault="00505795" w:rsidP="00B93E58">
      <w:pPr>
        <w:pStyle w:val="Textonotapie"/>
        <w:ind w:firstLine="709"/>
        <w:jc w:val="both"/>
        <w:rPr>
          <w:rFonts w:ascii="Verdana" w:hAnsi="Verdana" w:cs="Arial"/>
          <w:sz w:val="16"/>
          <w:szCs w:val="16"/>
        </w:rPr>
      </w:pPr>
      <w:r w:rsidRPr="00310E5C">
        <w:rPr>
          <w:rFonts w:ascii="Verdana" w:hAnsi="Verdana" w:cs="Arial"/>
          <w:sz w:val="16"/>
          <w:szCs w:val="16"/>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3">
    <w:p w14:paraId="4DF17992" w14:textId="77777777" w:rsidR="00505795" w:rsidRPr="00310E5C" w:rsidRDefault="00505795" w:rsidP="003A40E2">
      <w:pPr>
        <w:pStyle w:val="Textonotapie"/>
        <w:ind w:firstLine="709"/>
        <w:jc w:val="both"/>
        <w:rPr>
          <w:rFonts w:ascii="Verdana" w:hAnsi="Verdana" w:cs="Arial"/>
          <w:sz w:val="16"/>
          <w:szCs w:val="16"/>
        </w:rPr>
      </w:pPr>
      <w:r w:rsidRPr="00310E5C">
        <w:rPr>
          <w:rStyle w:val="Refdenotaalpie"/>
          <w:rFonts w:ascii="Verdana" w:hAnsi="Verdana" w:cs="Arial"/>
          <w:sz w:val="16"/>
          <w:szCs w:val="16"/>
        </w:rPr>
        <w:footnoteRef/>
      </w:r>
      <w:r w:rsidRPr="00310E5C">
        <w:rPr>
          <w:rFonts w:ascii="Verdana" w:hAnsi="Verdana" w:cs="Arial"/>
          <w:sz w:val="16"/>
          <w:szCs w:val="16"/>
        </w:rPr>
        <w:t xml:space="preserve"> Gaceta del Congreso de la República No. 71 del 2005.</w:t>
      </w:r>
    </w:p>
  </w:footnote>
  <w:footnote w:id="4">
    <w:p w14:paraId="43D1B7E5" w14:textId="77777777" w:rsidR="00505795" w:rsidRPr="00310E5C" w:rsidRDefault="00505795" w:rsidP="003A40E2">
      <w:pPr>
        <w:pStyle w:val="Textonotapie"/>
        <w:ind w:firstLine="709"/>
        <w:jc w:val="both"/>
        <w:rPr>
          <w:rFonts w:ascii="Verdana" w:hAnsi="Verdana" w:cs="Arial"/>
          <w:sz w:val="16"/>
          <w:szCs w:val="16"/>
          <w:lang w:val="pt-BR"/>
        </w:rPr>
      </w:pPr>
      <w:r w:rsidRPr="00310E5C">
        <w:rPr>
          <w:rStyle w:val="Refdenotaalpie"/>
          <w:rFonts w:ascii="Verdana" w:hAnsi="Verdana" w:cs="Arial"/>
          <w:sz w:val="16"/>
          <w:szCs w:val="16"/>
        </w:rPr>
        <w:footnoteRef/>
      </w:r>
      <w:r w:rsidRPr="00310E5C">
        <w:rPr>
          <w:rFonts w:ascii="Verdana" w:hAnsi="Verdana" w:cs="Arial"/>
          <w:sz w:val="16"/>
          <w:szCs w:val="16"/>
          <w:lang w:val="pt-BR"/>
        </w:rPr>
        <w:t xml:space="preserve"> Corte Constitucional, Sentencia C- 1153 de 2005, M.P. Marco Gerardo </w:t>
      </w:r>
      <w:proofErr w:type="spellStart"/>
      <w:r w:rsidRPr="00310E5C">
        <w:rPr>
          <w:rFonts w:ascii="Verdana" w:hAnsi="Verdana" w:cs="Arial"/>
          <w:sz w:val="16"/>
          <w:szCs w:val="16"/>
          <w:lang w:val="pt-BR"/>
        </w:rPr>
        <w:t>Monroy</w:t>
      </w:r>
      <w:proofErr w:type="spellEnd"/>
      <w:r w:rsidRPr="00310E5C">
        <w:rPr>
          <w:rFonts w:ascii="Verdana" w:hAnsi="Verdana" w:cs="Arial"/>
          <w:sz w:val="16"/>
          <w:szCs w:val="16"/>
          <w:lang w:val="pt-BR"/>
        </w:rPr>
        <w:t xml:space="preserve"> Cabra.</w:t>
      </w:r>
    </w:p>
  </w:footnote>
  <w:footnote w:id="5">
    <w:p w14:paraId="199E03D6" w14:textId="23CDE6D8" w:rsidR="00505795" w:rsidRPr="00310E5C" w:rsidRDefault="00505795" w:rsidP="00B93E58">
      <w:pPr>
        <w:pStyle w:val="Textonotapie"/>
        <w:ind w:firstLine="709"/>
        <w:jc w:val="both"/>
        <w:rPr>
          <w:rFonts w:ascii="Verdana" w:hAnsi="Verdana" w:cs="Arial"/>
          <w:sz w:val="16"/>
          <w:szCs w:val="16"/>
          <w:lang w:val="pt-BR"/>
        </w:rPr>
      </w:pPr>
      <w:r w:rsidRPr="00310E5C">
        <w:rPr>
          <w:rStyle w:val="Refdenotaalpie"/>
          <w:rFonts w:ascii="Verdana" w:hAnsi="Verdana" w:cs="Arial"/>
          <w:sz w:val="16"/>
          <w:szCs w:val="16"/>
        </w:rPr>
        <w:footnoteRef/>
      </w:r>
      <w:r w:rsidRPr="00310E5C">
        <w:rPr>
          <w:rFonts w:ascii="Verdana" w:hAnsi="Verdana" w:cs="Arial"/>
          <w:sz w:val="16"/>
          <w:szCs w:val="16"/>
          <w:lang w:val="pt-BR"/>
        </w:rPr>
        <w:t xml:space="preserve"> Corte Constitucional. Sentencias: C-233 de 4 de abril de 2002, expediente: D-3704; C-551 de 9 de </w:t>
      </w:r>
      <w:proofErr w:type="spellStart"/>
      <w:r w:rsidRPr="00310E5C">
        <w:rPr>
          <w:rFonts w:ascii="Verdana" w:hAnsi="Verdana" w:cs="Arial"/>
          <w:sz w:val="16"/>
          <w:szCs w:val="16"/>
          <w:lang w:val="pt-BR"/>
        </w:rPr>
        <w:t>julio</w:t>
      </w:r>
      <w:proofErr w:type="spellEnd"/>
      <w:r w:rsidRPr="00310E5C">
        <w:rPr>
          <w:rFonts w:ascii="Verdana" w:hAnsi="Verdana" w:cs="Arial"/>
          <w:sz w:val="16"/>
          <w:szCs w:val="16"/>
          <w:lang w:val="pt-BR"/>
        </w:rPr>
        <w:t xml:space="preserve"> de 2003, expediente: CRF-001 de 9 de </w:t>
      </w:r>
      <w:proofErr w:type="spellStart"/>
      <w:r w:rsidRPr="00310E5C">
        <w:rPr>
          <w:rFonts w:ascii="Verdana" w:hAnsi="Verdana" w:cs="Arial"/>
          <w:sz w:val="16"/>
          <w:szCs w:val="16"/>
          <w:lang w:val="pt-BR"/>
        </w:rPr>
        <w:t>julio</w:t>
      </w:r>
      <w:proofErr w:type="spellEnd"/>
      <w:r w:rsidRPr="00310E5C">
        <w:rPr>
          <w:rFonts w:ascii="Verdana" w:hAnsi="Verdana" w:cs="Arial"/>
          <w:sz w:val="16"/>
          <w:szCs w:val="16"/>
          <w:lang w:val="pt-BR"/>
        </w:rPr>
        <w:t xml:space="preserve"> de 2003; C-652 de 5 de agosto de 2003, expediente: D-4330; C-353 de 20 de </w:t>
      </w:r>
      <w:proofErr w:type="spellStart"/>
      <w:r w:rsidRPr="00310E5C">
        <w:rPr>
          <w:rFonts w:ascii="Verdana" w:hAnsi="Verdana" w:cs="Arial"/>
          <w:sz w:val="16"/>
          <w:szCs w:val="16"/>
          <w:lang w:val="pt-BR"/>
        </w:rPr>
        <w:t>mayo</w:t>
      </w:r>
      <w:proofErr w:type="spellEnd"/>
      <w:r w:rsidRPr="00310E5C">
        <w:rPr>
          <w:rFonts w:ascii="Verdana" w:hAnsi="Verdana" w:cs="Arial"/>
          <w:sz w:val="16"/>
          <w:szCs w:val="16"/>
          <w:lang w:val="pt-BR"/>
        </w:rPr>
        <w:t xml:space="preserve"> de 2009, expediente: D-7518, C-541 de 30 de </w:t>
      </w:r>
      <w:proofErr w:type="spellStart"/>
      <w:r w:rsidRPr="00310E5C">
        <w:rPr>
          <w:rFonts w:ascii="Verdana" w:hAnsi="Verdana" w:cs="Arial"/>
          <w:sz w:val="16"/>
          <w:szCs w:val="16"/>
          <w:lang w:val="pt-BR"/>
        </w:rPr>
        <w:t>junio</w:t>
      </w:r>
      <w:proofErr w:type="spellEnd"/>
      <w:r w:rsidRPr="00310E5C">
        <w:rPr>
          <w:rFonts w:ascii="Verdana" w:hAnsi="Verdana" w:cs="Arial"/>
          <w:sz w:val="16"/>
          <w:szCs w:val="16"/>
          <w:lang w:val="pt-BR"/>
        </w:rPr>
        <w:t xml:space="preserve"> de 2010, expediente: DD7966; entre </w:t>
      </w:r>
      <w:proofErr w:type="spellStart"/>
      <w:r w:rsidRPr="00310E5C">
        <w:rPr>
          <w:rFonts w:ascii="Verdana" w:hAnsi="Verdana" w:cs="Arial"/>
          <w:sz w:val="16"/>
          <w:szCs w:val="16"/>
          <w:lang w:val="pt-BR"/>
        </w:rPr>
        <w:t>otras</w:t>
      </w:r>
      <w:proofErr w:type="spellEnd"/>
      <w:r w:rsidRPr="00310E5C">
        <w:rPr>
          <w:rFonts w:ascii="Verdana" w:hAnsi="Verdana" w:cs="Arial"/>
          <w:sz w:val="16"/>
          <w:szCs w:val="16"/>
          <w:lang w:val="pt-BR"/>
        </w:rPr>
        <w:t>.</w:t>
      </w:r>
    </w:p>
  </w:footnote>
  <w:footnote w:id="6">
    <w:p w14:paraId="5E05F8B0" w14:textId="77777777" w:rsidR="00505795" w:rsidRPr="00310E5C" w:rsidRDefault="00505795" w:rsidP="003A40E2">
      <w:pPr>
        <w:pStyle w:val="Textonotapie"/>
        <w:ind w:firstLine="709"/>
        <w:jc w:val="both"/>
        <w:rPr>
          <w:rFonts w:ascii="Verdana" w:hAnsi="Verdana" w:cs="Arial"/>
          <w:sz w:val="16"/>
          <w:szCs w:val="16"/>
          <w:lang w:val="es-CO"/>
        </w:rPr>
      </w:pPr>
      <w:r w:rsidRPr="00310E5C">
        <w:rPr>
          <w:rStyle w:val="Refdenotaalpie"/>
          <w:rFonts w:ascii="Verdana" w:hAnsi="Verdana" w:cs="Arial"/>
          <w:sz w:val="16"/>
          <w:szCs w:val="16"/>
        </w:rPr>
        <w:footnoteRef/>
      </w:r>
      <w:r w:rsidRPr="00310E5C">
        <w:rPr>
          <w:rFonts w:ascii="Verdana" w:hAnsi="Verdana" w:cs="Arial"/>
          <w:sz w:val="16"/>
          <w:szCs w:val="16"/>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7">
    <w:p w14:paraId="1250FB4C" w14:textId="77777777" w:rsidR="00505795" w:rsidRPr="00310E5C" w:rsidRDefault="00505795" w:rsidP="003A40E2">
      <w:pPr>
        <w:pStyle w:val="Textonotapie"/>
        <w:ind w:firstLine="709"/>
        <w:jc w:val="both"/>
        <w:rPr>
          <w:rFonts w:ascii="Verdana" w:hAnsi="Verdana" w:cs="Arial"/>
          <w:sz w:val="16"/>
          <w:szCs w:val="16"/>
        </w:rPr>
      </w:pPr>
      <w:r w:rsidRPr="00310E5C">
        <w:rPr>
          <w:rStyle w:val="Refdenotaalpie"/>
          <w:rFonts w:ascii="Verdana" w:hAnsi="Verdana" w:cs="Arial"/>
          <w:sz w:val="16"/>
          <w:szCs w:val="16"/>
        </w:rPr>
        <w:footnoteRef/>
      </w:r>
      <w:r w:rsidRPr="00310E5C">
        <w:rPr>
          <w:rFonts w:ascii="Verdana" w:hAnsi="Verdana" w:cs="Arial"/>
          <w:sz w:val="16"/>
          <w:szCs w:val="16"/>
        </w:rPr>
        <w:t xml:space="preserve"> Consejo de Estado, Sala de Consulta y Servicio Civil de fecha 24 de julio de 2013, radicado 2166, C. P. Álvaro </w:t>
      </w:r>
      <w:proofErr w:type="spellStart"/>
      <w:r w:rsidRPr="00310E5C">
        <w:rPr>
          <w:rFonts w:ascii="Verdana" w:hAnsi="Verdana" w:cs="Arial"/>
          <w:sz w:val="16"/>
          <w:szCs w:val="16"/>
        </w:rPr>
        <w:t>Namén</w:t>
      </w:r>
      <w:proofErr w:type="spellEnd"/>
      <w:r w:rsidRPr="00310E5C">
        <w:rPr>
          <w:rFonts w:ascii="Verdana" w:hAnsi="Verdana" w:cs="Arial"/>
          <w:sz w:val="16"/>
          <w:szCs w:val="16"/>
        </w:rPr>
        <w:t xml:space="preserve"> Vargas.  </w:t>
      </w:r>
    </w:p>
  </w:footnote>
  <w:footnote w:id="8">
    <w:p w14:paraId="47C555BF" w14:textId="77777777" w:rsidR="00505795" w:rsidRPr="00310E5C" w:rsidRDefault="00505795" w:rsidP="003A40E2">
      <w:pPr>
        <w:spacing w:after="0" w:line="240" w:lineRule="auto"/>
        <w:ind w:firstLine="709"/>
        <w:jc w:val="both"/>
        <w:rPr>
          <w:rFonts w:ascii="Verdana" w:eastAsia="Times New Roman" w:hAnsi="Verdana" w:cs="Arial"/>
          <w:sz w:val="16"/>
          <w:szCs w:val="16"/>
        </w:rPr>
      </w:pPr>
      <w:r w:rsidRPr="00310E5C">
        <w:rPr>
          <w:rStyle w:val="Refdenotaalpie"/>
          <w:rFonts w:ascii="Verdana" w:hAnsi="Verdana" w:cs="Arial"/>
          <w:sz w:val="16"/>
          <w:szCs w:val="16"/>
        </w:rPr>
        <w:footnoteRef/>
      </w:r>
      <w:r w:rsidRPr="00310E5C">
        <w:rPr>
          <w:rFonts w:ascii="Verdana" w:hAnsi="Verdana" w:cs="Arial"/>
          <w:sz w:val="16"/>
          <w:szCs w:val="16"/>
        </w:rPr>
        <w:t xml:space="preserve"> </w:t>
      </w:r>
      <w:bookmarkStart w:id="6" w:name="33"/>
      <w:r w:rsidRPr="00310E5C">
        <w:rPr>
          <w:rFonts w:ascii="Verdana" w:eastAsia="Calibri" w:hAnsi="Verdana" w:cs="Arial"/>
          <w:color w:val="000000"/>
          <w:sz w:val="16"/>
          <w:szCs w:val="16"/>
        </w:rPr>
        <w:t>“</w:t>
      </w:r>
      <w:r w:rsidRPr="00310E5C">
        <w:rPr>
          <w:rFonts w:ascii="Verdana" w:eastAsia="Times New Roman" w:hAnsi="Verdana" w:cs="Arial"/>
          <w:sz w:val="16"/>
          <w:szCs w:val="16"/>
        </w:rPr>
        <w:t>Artículo 33. Restricciones a la contratación pública.</w:t>
      </w:r>
      <w:bookmarkEnd w:id="6"/>
      <w:r w:rsidRPr="00310E5C">
        <w:rPr>
          <w:rFonts w:ascii="Verdana" w:eastAsia="Times New Roman" w:hAnsi="Verdana" w:cs="Arial"/>
          <w:sz w:val="16"/>
          <w:szCs w:val="16"/>
        </w:rPr>
        <w:t> Durante los cuatro (4) meses anteriores a la elección presidencial y hasta la realización de la elección en la segunda vuelta, si fuere el caso, queda prohibida la contratación directa por parte de todos los entes del Estado.</w:t>
      </w:r>
    </w:p>
    <w:p w14:paraId="787750A2" w14:textId="77777777" w:rsidR="00505795" w:rsidRPr="00310E5C" w:rsidRDefault="00505795" w:rsidP="003A40E2">
      <w:pPr>
        <w:spacing w:after="0" w:line="240" w:lineRule="auto"/>
        <w:ind w:firstLine="709"/>
        <w:jc w:val="both"/>
        <w:rPr>
          <w:rFonts w:ascii="Verdana" w:eastAsia="Times New Roman" w:hAnsi="Verdana" w:cs="Arial"/>
          <w:sz w:val="16"/>
          <w:szCs w:val="16"/>
        </w:rPr>
      </w:pPr>
      <w:r w:rsidRPr="00310E5C">
        <w:rPr>
          <w:rFonts w:ascii="Verdana" w:eastAsia="Times New Roman" w:hAnsi="Verdana"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310E5C">
        <w:rPr>
          <w:rFonts w:ascii="Verdana" w:eastAsia="Calibri" w:hAnsi="Verdana" w:cs="Arial"/>
          <w:color w:val="000000"/>
          <w:sz w:val="16"/>
          <w:szCs w:val="16"/>
        </w:rPr>
        <w:t>”</w:t>
      </w:r>
      <w:r w:rsidRPr="00310E5C">
        <w:rPr>
          <w:rFonts w:ascii="Verdana" w:eastAsia="Times New Roman" w:hAnsi="Verdana" w:cs="Arial"/>
          <w:sz w:val="16"/>
          <w:szCs w:val="16"/>
        </w:rPr>
        <w:t>.</w:t>
      </w:r>
    </w:p>
    <w:p w14:paraId="145D454D" w14:textId="77777777" w:rsidR="00505795" w:rsidRPr="00310E5C" w:rsidRDefault="00505795" w:rsidP="003A40E2">
      <w:pPr>
        <w:spacing w:after="0" w:line="240" w:lineRule="auto"/>
        <w:ind w:firstLine="709"/>
        <w:jc w:val="both"/>
        <w:rPr>
          <w:rFonts w:ascii="Verdana" w:eastAsia="Times New Roman" w:hAnsi="Verdana" w:cs="Arial"/>
          <w:sz w:val="16"/>
          <w:szCs w:val="16"/>
        </w:rPr>
      </w:pPr>
    </w:p>
  </w:footnote>
  <w:footnote w:id="9">
    <w:p w14:paraId="5938448F" w14:textId="77777777" w:rsidR="00505795" w:rsidRPr="00310E5C" w:rsidRDefault="00505795" w:rsidP="003A40E2">
      <w:pPr>
        <w:pStyle w:val="NormalWeb"/>
        <w:spacing w:before="0" w:beforeAutospacing="0" w:after="0" w:afterAutospacing="0"/>
        <w:ind w:firstLine="709"/>
        <w:jc w:val="both"/>
        <w:rPr>
          <w:rFonts w:ascii="Verdana" w:hAnsi="Verdana" w:cs="Arial"/>
          <w:sz w:val="16"/>
          <w:szCs w:val="16"/>
          <w:lang w:val="es-MX"/>
        </w:rPr>
      </w:pPr>
      <w:r w:rsidRPr="00310E5C">
        <w:rPr>
          <w:rStyle w:val="Refdenotaalpie"/>
          <w:rFonts w:ascii="Verdana" w:hAnsi="Verdana" w:cs="Arial"/>
          <w:sz w:val="16"/>
          <w:szCs w:val="16"/>
        </w:rPr>
        <w:footnoteRef/>
      </w:r>
      <w:r w:rsidRPr="00310E5C">
        <w:rPr>
          <w:rFonts w:ascii="Verdana" w:hAnsi="Verdana" w:cs="Arial"/>
          <w:sz w:val="16"/>
          <w:szCs w:val="16"/>
        </w:rPr>
        <w:t xml:space="preserve"> </w:t>
      </w:r>
      <w:bookmarkStart w:id="7" w:name="38"/>
      <w:r w:rsidRPr="00310E5C">
        <w:rPr>
          <w:rFonts w:ascii="Verdana" w:eastAsia="Calibri" w:hAnsi="Verdana" w:cs="Arial"/>
          <w:color w:val="000000"/>
          <w:sz w:val="16"/>
          <w:szCs w:val="16"/>
        </w:rPr>
        <w:t>“</w:t>
      </w:r>
      <w:r w:rsidRPr="00310E5C">
        <w:rPr>
          <w:rFonts w:ascii="Verdana" w:hAnsi="Verdana" w:cs="Arial"/>
          <w:sz w:val="16"/>
          <w:szCs w:val="16"/>
          <w:lang w:val="es-MX"/>
        </w:rPr>
        <w:t>Artículo 38. Prohibiciones para los servidores públicos. A los empleados del Estado les está prohibido:</w:t>
      </w:r>
      <w:bookmarkEnd w:id="7"/>
      <w:r w:rsidRPr="00310E5C">
        <w:rPr>
          <w:rFonts w:ascii="Verdana" w:hAnsi="Verdana" w:cs="Arial"/>
          <w:sz w:val="16"/>
          <w:szCs w:val="16"/>
          <w:lang w:val="es-MX"/>
        </w:rPr>
        <w:t xml:space="preserve"> […]</w:t>
      </w:r>
    </w:p>
    <w:p w14:paraId="5F737299" w14:textId="10B1A22E" w:rsidR="00505795" w:rsidRPr="00310E5C" w:rsidRDefault="00505795" w:rsidP="003A40E2">
      <w:pPr>
        <w:pStyle w:val="NormalWeb"/>
        <w:spacing w:before="0" w:beforeAutospacing="0" w:after="0" w:afterAutospacing="0"/>
        <w:ind w:firstLine="709"/>
        <w:jc w:val="both"/>
        <w:rPr>
          <w:rFonts w:ascii="Verdana" w:hAnsi="Verdana" w:cs="Arial"/>
          <w:sz w:val="16"/>
          <w:szCs w:val="16"/>
          <w:lang w:val="es-MX"/>
        </w:rPr>
      </w:pPr>
      <w:r w:rsidRPr="00310E5C">
        <w:rPr>
          <w:rStyle w:val="baj"/>
          <w:rFonts w:ascii="Verdana" w:hAnsi="Verdana" w:cs="Arial"/>
          <w:sz w:val="16"/>
          <w:szCs w:val="16"/>
          <w:lang w:val="es-MX"/>
        </w:rPr>
        <w:t>Parágrafo.</w:t>
      </w:r>
      <w:r w:rsidRPr="00310E5C">
        <w:rPr>
          <w:rFonts w:ascii="Verdana" w:hAnsi="Verdana"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310E5C">
        <w:rPr>
          <w:rFonts w:ascii="Verdana" w:eastAsia="Calibri" w:hAnsi="Verdana" w:cs="Arial"/>
          <w:color w:val="000000"/>
          <w:sz w:val="16"/>
          <w:szCs w:val="16"/>
        </w:rPr>
        <w:t>”</w:t>
      </w:r>
      <w:r w:rsidR="006B4CA3">
        <w:rPr>
          <w:rFonts w:ascii="Verdana" w:hAnsi="Verdana" w:cs="Arial"/>
          <w:sz w:val="16"/>
          <w:szCs w:val="16"/>
          <w:lang w:val="es-MX"/>
        </w:rPr>
        <w:t>.</w:t>
      </w:r>
    </w:p>
  </w:footnote>
  <w:footnote w:id="10">
    <w:p w14:paraId="70B6BB98" w14:textId="249338F2" w:rsidR="008014B6" w:rsidRPr="00310E5C" w:rsidRDefault="008014B6" w:rsidP="008014B6">
      <w:pPr>
        <w:pStyle w:val="NormalWeb"/>
        <w:spacing w:before="0" w:beforeAutospacing="0" w:after="0" w:afterAutospacing="0"/>
        <w:ind w:firstLine="709"/>
        <w:jc w:val="both"/>
        <w:rPr>
          <w:rFonts w:ascii="Verdana" w:hAnsi="Verdana" w:cs="Arial"/>
          <w:sz w:val="16"/>
          <w:szCs w:val="16"/>
          <w:lang w:val="es-MX"/>
        </w:rPr>
      </w:pPr>
      <w:r w:rsidRPr="00310E5C">
        <w:rPr>
          <w:rStyle w:val="Refdenotaalpie"/>
          <w:rFonts w:ascii="Verdana" w:hAnsi="Verdana" w:cs="Arial"/>
          <w:sz w:val="16"/>
          <w:szCs w:val="16"/>
        </w:rPr>
        <w:footnoteRef/>
      </w:r>
      <w:r w:rsidRPr="00310E5C">
        <w:rPr>
          <w:rFonts w:ascii="Verdana" w:hAnsi="Verdana" w:cs="Arial"/>
          <w:sz w:val="16"/>
          <w:szCs w:val="16"/>
        </w:rPr>
        <w:t xml:space="preserve"> </w:t>
      </w:r>
      <w:r w:rsidRPr="008014B6">
        <w:rPr>
          <w:rFonts w:ascii="Verdana" w:hAnsi="Verdana" w:cs="Arial"/>
          <w:sz w:val="16"/>
          <w:szCs w:val="16"/>
        </w:rPr>
        <w:t>Colombia Compra Eficiente. Circular Externa Única. Numeral 16.5.</w:t>
      </w:r>
    </w:p>
    <w:p w14:paraId="2D47A723" w14:textId="2B4B01D9" w:rsidR="008014B6" w:rsidRPr="00310E5C" w:rsidRDefault="008014B6" w:rsidP="008014B6">
      <w:pPr>
        <w:pStyle w:val="NormalWeb"/>
        <w:spacing w:before="0" w:beforeAutospacing="0" w:after="0" w:afterAutospacing="0"/>
        <w:ind w:firstLine="709"/>
        <w:jc w:val="both"/>
        <w:rPr>
          <w:rFonts w:ascii="Verdana" w:hAnsi="Verdana" w:cs="Arial"/>
          <w:sz w:val="16"/>
          <w:szCs w:val="16"/>
          <w:lang w:val="es-MX"/>
        </w:rPr>
      </w:pPr>
    </w:p>
  </w:footnote>
  <w:footnote w:id="11">
    <w:p w14:paraId="6B004114" w14:textId="77777777" w:rsidR="00505795" w:rsidRPr="00310E5C" w:rsidRDefault="00505795" w:rsidP="003A40E2">
      <w:pPr>
        <w:spacing w:after="0" w:line="240" w:lineRule="auto"/>
        <w:ind w:left="100" w:right="244" w:firstLine="709"/>
        <w:jc w:val="both"/>
        <w:rPr>
          <w:rFonts w:ascii="Verdana" w:hAnsi="Verdana" w:cs="Arial"/>
          <w:sz w:val="16"/>
          <w:szCs w:val="16"/>
          <w:lang w:val="es-ES"/>
        </w:rPr>
      </w:pPr>
      <w:r w:rsidRPr="00310E5C">
        <w:rPr>
          <w:rStyle w:val="Refdenotaalpie"/>
          <w:rFonts w:ascii="Verdana" w:hAnsi="Verdana" w:cs="Arial"/>
          <w:sz w:val="16"/>
          <w:szCs w:val="16"/>
        </w:rPr>
        <w:footnoteRef/>
      </w:r>
      <w:r w:rsidRPr="00310E5C">
        <w:rPr>
          <w:rFonts w:ascii="Verdana" w:hAnsi="Verdana" w:cs="Arial"/>
          <w:sz w:val="16"/>
          <w:szCs w:val="16"/>
        </w:rPr>
        <w:t xml:space="preserve"> Consejo de Estado. Sala de Consulta y Servicio Civil. Concepto del 17 de febrero de 2015. C.P. William Zambrano Cetina. Radicación No. 11001-03-06-000-2015-00164-00(2269).</w:t>
      </w:r>
    </w:p>
  </w:footnote>
  <w:footnote w:id="12">
    <w:p w14:paraId="5D120ECA" w14:textId="16585EF1" w:rsidR="0090165B" w:rsidRPr="00310E5C" w:rsidRDefault="0090165B" w:rsidP="0090165B">
      <w:pPr>
        <w:spacing w:after="0" w:line="240" w:lineRule="auto"/>
        <w:ind w:left="100" w:right="244" w:firstLine="709"/>
        <w:jc w:val="both"/>
        <w:rPr>
          <w:rFonts w:ascii="Verdana" w:hAnsi="Verdana" w:cs="Arial"/>
          <w:sz w:val="16"/>
          <w:szCs w:val="16"/>
          <w:lang w:val="es-ES"/>
        </w:rPr>
      </w:pPr>
      <w:r w:rsidRPr="00310E5C">
        <w:rPr>
          <w:rStyle w:val="Refdenotaalpie"/>
          <w:rFonts w:ascii="Verdana" w:hAnsi="Verdana" w:cs="Arial"/>
          <w:sz w:val="16"/>
          <w:szCs w:val="16"/>
        </w:rPr>
        <w:footnoteRef/>
      </w:r>
      <w:r w:rsidRPr="00310E5C">
        <w:rPr>
          <w:rFonts w:ascii="Verdana" w:hAnsi="Verdana" w:cs="Arial"/>
          <w:sz w:val="16"/>
          <w:szCs w:val="16"/>
        </w:rPr>
        <w:t xml:space="preserve"> </w:t>
      </w:r>
      <w:r w:rsidRPr="0090165B">
        <w:rPr>
          <w:rFonts w:ascii="Verdana" w:hAnsi="Verdana" w:cs="Arial"/>
          <w:sz w:val="16"/>
          <w:szCs w:val="16"/>
        </w:rPr>
        <w:t>1 Es lo que sucede, por ejemplo, con el Decreto 092 de 2017, que en su desarrollo hace referencia tanto a los “contratos” como a los “convenios”.</w:t>
      </w:r>
    </w:p>
  </w:footnote>
  <w:footnote w:id="13">
    <w:p w14:paraId="4B24B64D" w14:textId="3DBDD6D4" w:rsidR="0090165B" w:rsidRPr="00310E5C" w:rsidRDefault="0090165B" w:rsidP="0090165B">
      <w:pPr>
        <w:spacing w:after="0" w:line="240" w:lineRule="auto"/>
        <w:ind w:left="100" w:right="244" w:firstLine="709"/>
        <w:jc w:val="both"/>
        <w:rPr>
          <w:rFonts w:ascii="Verdana" w:hAnsi="Verdana" w:cs="Arial"/>
          <w:sz w:val="16"/>
          <w:szCs w:val="16"/>
          <w:lang w:val="es-ES"/>
        </w:rPr>
      </w:pPr>
      <w:r w:rsidRPr="00310E5C">
        <w:rPr>
          <w:rStyle w:val="Refdenotaalpie"/>
          <w:rFonts w:ascii="Verdana" w:hAnsi="Verdana" w:cs="Arial"/>
          <w:sz w:val="16"/>
          <w:szCs w:val="16"/>
        </w:rPr>
        <w:footnoteRef/>
      </w:r>
      <w:r w:rsidRPr="0090165B">
        <w:rPr>
          <w:rFonts w:ascii="Verdana" w:hAnsi="Verdana" w:cs="Arial"/>
          <w:sz w:val="16"/>
          <w:szCs w:val="16"/>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w:t>
      </w:r>
      <w:r>
        <w:rPr>
          <w:rFonts w:ascii="Verdana" w:hAnsi="Verdana" w:cs="Arial"/>
          <w:sz w:val="16"/>
          <w:szCs w:val="16"/>
        </w:rPr>
        <w:t xml:space="preserve"> </w:t>
      </w:r>
      <w:r w:rsidRPr="0090165B">
        <w:rPr>
          <w:rFonts w:ascii="Verdana" w:hAnsi="Verdana" w:cs="Arial"/>
          <w:sz w:val="16"/>
          <w:szCs w:val="16"/>
        </w:rPr>
        <w:t>únicamente será proponente aquélla. En tal sentido, la causal de contratación directa es aplicable a los convenios y a los contratos interadministrativos”. (Corte Constitucional. Sentencia C-671 de 2015. M.P. Alberto Rojas Ríos).</w:t>
      </w:r>
    </w:p>
  </w:footnote>
  <w:footnote w:id="14">
    <w:p w14:paraId="3BA26E82" w14:textId="25AF22AF" w:rsidR="00791487" w:rsidRPr="00310E5C" w:rsidRDefault="00791487" w:rsidP="00791487">
      <w:pPr>
        <w:spacing w:after="0" w:line="240" w:lineRule="auto"/>
        <w:ind w:left="100" w:right="244" w:firstLine="709"/>
        <w:jc w:val="both"/>
        <w:rPr>
          <w:rFonts w:ascii="Verdana" w:hAnsi="Verdana" w:cs="Arial"/>
          <w:sz w:val="16"/>
          <w:szCs w:val="16"/>
          <w:lang w:val="es-ES"/>
        </w:rPr>
      </w:pPr>
      <w:r w:rsidRPr="00310E5C">
        <w:rPr>
          <w:rStyle w:val="Refdenotaalpie"/>
          <w:rFonts w:ascii="Verdana" w:hAnsi="Verdana" w:cs="Arial"/>
          <w:sz w:val="16"/>
          <w:szCs w:val="16"/>
        </w:rPr>
        <w:footnoteRef/>
      </w:r>
      <w:r w:rsidRPr="0090165B">
        <w:rPr>
          <w:rFonts w:ascii="Verdana" w:hAnsi="Verdana" w:cs="Arial"/>
          <w:sz w:val="16"/>
          <w:szCs w:val="16"/>
        </w:rPr>
        <w:t xml:space="preserve"> </w:t>
      </w:r>
      <w:r w:rsidRPr="00791487">
        <w:rPr>
          <w:rFonts w:ascii="Verdana" w:hAnsi="Verdana" w:cs="Arial"/>
          <w:sz w:val="16"/>
          <w:szCs w:val="16"/>
        </w:rPr>
        <w:t>Consejo de Estado, Sala de lo Contencioso Administrativo, Sección Tercera. Auto del 4 de octubre de 2024. Radicado No. 70.313. MP: Fredy Ibarra Martínez</w:t>
      </w:r>
    </w:p>
  </w:footnote>
  <w:footnote w:id="15">
    <w:p w14:paraId="727BFFF9" w14:textId="5F95E098" w:rsidR="001F242D" w:rsidRPr="00310E5C" w:rsidRDefault="001F242D" w:rsidP="001F242D">
      <w:pPr>
        <w:spacing w:after="0" w:line="240" w:lineRule="auto"/>
        <w:ind w:left="100" w:right="244" w:firstLine="709"/>
        <w:jc w:val="both"/>
        <w:rPr>
          <w:rFonts w:ascii="Verdana" w:hAnsi="Verdana" w:cs="Arial"/>
          <w:sz w:val="16"/>
          <w:szCs w:val="16"/>
          <w:lang w:val="es-ES"/>
        </w:rPr>
      </w:pPr>
      <w:r w:rsidRPr="00310E5C">
        <w:rPr>
          <w:rStyle w:val="Refdenotaalpie"/>
          <w:rFonts w:ascii="Verdana" w:hAnsi="Verdana" w:cs="Arial"/>
          <w:sz w:val="16"/>
          <w:szCs w:val="16"/>
        </w:rPr>
        <w:footnoteRef/>
      </w:r>
      <w:r w:rsidRPr="0090165B">
        <w:rPr>
          <w:rFonts w:ascii="Verdana" w:hAnsi="Verdana" w:cs="Arial"/>
          <w:sz w:val="16"/>
          <w:szCs w:val="16"/>
        </w:rPr>
        <w:t xml:space="preserve"> </w:t>
      </w:r>
      <w:r w:rsidRPr="001F242D">
        <w:rPr>
          <w:rFonts w:ascii="Verdana" w:hAnsi="Verdana" w:cs="Arial"/>
          <w:sz w:val="16"/>
          <w:szCs w:val="16"/>
        </w:rPr>
        <w:t>Consejo de Estado. Sala de Consulta y Servicio Civil. Concepto del 15 de noviembre de 2007. Expediente número 1863. Consejero Ponente: Luis Fernando Álvarez Jaramillo.</w:t>
      </w:r>
    </w:p>
  </w:footnote>
  <w:footnote w:id="16">
    <w:p w14:paraId="0291F30E" w14:textId="69FC3F6F" w:rsidR="00A34C1E" w:rsidRPr="00310E5C" w:rsidRDefault="00A34C1E" w:rsidP="00A34C1E">
      <w:pPr>
        <w:spacing w:after="0" w:line="240" w:lineRule="auto"/>
        <w:ind w:left="100" w:right="244" w:firstLine="709"/>
        <w:jc w:val="both"/>
        <w:rPr>
          <w:rFonts w:ascii="Verdana" w:hAnsi="Verdana" w:cs="Arial"/>
          <w:sz w:val="16"/>
          <w:szCs w:val="16"/>
          <w:lang w:val="es-ES"/>
        </w:rPr>
      </w:pPr>
      <w:r w:rsidRPr="00310E5C">
        <w:rPr>
          <w:rStyle w:val="Refdenotaalpie"/>
          <w:rFonts w:ascii="Verdana" w:hAnsi="Verdana" w:cs="Arial"/>
          <w:sz w:val="16"/>
          <w:szCs w:val="16"/>
        </w:rPr>
        <w:footnoteRef/>
      </w:r>
      <w:r w:rsidRPr="0090165B">
        <w:rPr>
          <w:rFonts w:ascii="Verdana" w:hAnsi="Verdana" w:cs="Arial"/>
          <w:sz w:val="16"/>
          <w:szCs w:val="16"/>
        </w:rPr>
        <w:t xml:space="preserve"> </w:t>
      </w:r>
      <w:r w:rsidRPr="00A34C1E">
        <w:rPr>
          <w:rFonts w:ascii="Verdana" w:hAnsi="Verdana" w:cs="Arial"/>
          <w:sz w:val="16"/>
          <w:szCs w:val="16"/>
        </w:rPr>
        <w:t>“[25] Cfr. Consejo de Estado. Sección Tercera. Sentencia de 3 de diciembre de 2007. Radicados: 24.715, 25.206, 25.409, 24.524, 27.834, 25.410, 26.105, 28.244, 31.447 -acumulados-“.</w:t>
      </w:r>
    </w:p>
  </w:footnote>
  <w:footnote w:id="17">
    <w:p w14:paraId="52187FB8" w14:textId="59749652" w:rsidR="008B6537" w:rsidRPr="00310E5C" w:rsidRDefault="008B6537" w:rsidP="008B6537">
      <w:pPr>
        <w:spacing w:after="0" w:line="240" w:lineRule="auto"/>
        <w:ind w:left="100" w:right="244" w:firstLine="709"/>
        <w:jc w:val="both"/>
        <w:rPr>
          <w:rFonts w:ascii="Verdana" w:hAnsi="Verdana" w:cs="Arial"/>
          <w:sz w:val="16"/>
          <w:szCs w:val="16"/>
          <w:lang w:val="es-ES"/>
        </w:rPr>
      </w:pPr>
      <w:r w:rsidRPr="00310E5C">
        <w:rPr>
          <w:rStyle w:val="Refdenotaalpie"/>
          <w:rFonts w:ascii="Verdana" w:hAnsi="Verdana" w:cs="Arial"/>
          <w:sz w:val="16"/>
          <w:szCs w:val="16"/>
        </w:rPr>
        <w:footnoteRef/>
      </w:r>
      <w:r w:rsidRPr="0090165B">
        <w:rPr>
          <w:rFonts w:ascii="Verdana" w:hAnsi="Verdana" w:cs="Arial"/>
          <w:sz w:val="16"/>
          <w:szCs w:val="16"/>
        </w:rPr>
        <w:t xml:space="preserve"> </w:t>
      </w:r>
      <w:r w:rsidR="00F463A0" w:rsidRPr="00F463A0">
        <w:rPr>
          <w:rFonts w:ascii="Verdana" w:hAnsi="Verdana" w:cs="Arial"/>
          <w:sz w:val="16"/>
          <w:szCs w:val="16"/>
        </w:rPr>
        <w:t>“[26] Al respecto ver el concepto 1712 de 2 de febrero de 2006. Consejo de Estado Sala de Consulta y Servicio Civil”.</w:t>
      </w:r>
    </w:p>
  </w:footnote>
  <w:footnote w:id="18">
    <w:p w14:paraId="6E7CFFE9" w14:textId="2F1A5D08" w:rsidR="008B6537" w:rsidRPr="00310E5C" w:rsidRDefault="008B6537" w:rsidP="008B6537">
      <w:pPr>
        <w:spacing w:after="0" w:line="240" w:lineRule="auto"/>
        <w:ind w:left="100" w:right="244" w:firstLine="709"/>
        <w:jc w:val="both"/>
        <w:rPr>
          <w:rFonts w:ascii="Verdana" w:hAnsi="Verdana" w:cs="Arial"/>
          <w:sz w:val="16"/>
          <w:szCs w:val="16"/>
          <w:lang w:val="es-ES"/>
        </w:rPr>
      </w:pPr>
      <w:r w:rsidRPr="00310E5C">
        <w:rPr>
          <w:rStyle w:val="Refdenotaalpie"/>
          <w:rFonts w:ascii="Verdana" w:hAnsi="Verdana" w:cs="Arial"/>
          <w:sz w:val="16"/>
          <w:szCs w:val="16"/>
        </w:rPr>
        <w:footnoteRef/>
      </w:r>
      <w:r w:rsidRPr="0090165B">
        <w:rPr>
          <w:rFonts w:ascii="Verdana" w:hAnsi="Verdana" w:cs="Arial"/>
          <w:sz w:val="16"/>
          <w:szCs w:val="16"/>
        </w:rPr>
        <w:t xml:space="preserve"> </w:t>
      </w:r>
      <w:r w:rsidR="00F463A0" w:rsidRPr="00F463A0">
        <w:rPr>
          <w:rFonts w:ascii="Verdana" w:hAnsi="Verdana" w:cs="Arial"/>
          <w:sz w:val="16"/>
          <w:szCs w:val="16"/>
        </w:rPr>
        <w:t xml:space="preserve">Consejo de Estado. Sala de Consulta y Servicio Civil. Concepto del 2 de septiembre de 2013. Radicación número: 11001-03-06-000-2013-00412-00 (2168). Consejero Ponente: Álvaro </w:t>
      </w:r>
      <w:proofErr w:type="spellStart"/>
      <w:r w:rsidR="00F463A0" w:rsidRPr="00F463A0">
        <w:rPr>
          <w:rFonts w:ascii="Verdana" w:hAnsi="Verdana" w:cs="Arial"/>
          <w:sz w:val="16"/>
          <w:szCs w:val="16"/>
        </w:rPr>
        <w:t>Namén</w:t>
      </w:r>
      <w:proofErr w:type="spellEnd"/>
      <w:r w:rsidR="00F463A0" w:rsidRPr="00F463A0">
        <w:rPr>
          <w:rFonts w:ascii="Verdana" w:hAnsi="Verdana" w:cs="Arial"/>
          <w:sz w:val="16"/>
          <w:szCs w:val="16"/>
        </w:rPr>
        <w:t xml:space="preserve"> Vargas.</w:t>
      </w:r>
    </w:p>
  </w:footnote>
  <w:footnote w:id="19">
    <w:p w14:paraId="53560B5E" w14:textId="1877B37E" w:rsidR="00393504" w:rsidRPr="00310E5C" w:rsidRDefault="00393504" w:rsidP="00393504">
      <w:pPr>
        <w:spacing w:after="0" w:line="240" w:lineRule="auto"/>
        <w:ind w:left="100" w:right="244" w:firstLine="709"/>
        <w:jc w:val="both"/>
        <w:rPr>
          <w:rFonts w:ascii="Verdana" w:hAnsi="Verdana" w:cs="Arial"/>
          <w:sz w:val="16"/>
          <w:szCs w:val="16"/>
          <w:lang w:val="es-ES"/>
        </w:rPr>
      </w:pPr>
      <w:r w:rsidRPr="00310E5C">
        <w:rPr>
          <w:rStyle w:val="Refdenotaalpie"/>
          <w:rFonts w:ascii="Verdana" w:hAnsi="Verdana" w:cs="Arial"/>
          <w:sz w:val="16"/>
          <w:szCs w:val="16"/>
        </w:rPr>
        <w:footnoteRef/>
      </w:r>
      <w:r w:rsidRPr="0090165B">
        <w:rPr>
          <w:rFonts w:ascii="Verdana" w:hAnsi="Verdana" w:cs="Arial"/>
          <w:sz w:val="16"/>
          <w:szCs w:val="16"/>
        </w:rPr>
        <w:t xml:space="preserve"> </w:t>
      </w:r>
      <w:r w:rsidRPr="00393504">
        <w:rPr>
          <w:rFonts w:ascii="Verdana" w:hAnsi="Verdana" w:cs="Arial"/>
          <w:sz w:val="16"/>
          <w:szCs w:val="16"/>
        </w:rPr>
        <w:t>Artículo 2</w:t>
      </w:r>
      <w:r>
        <w:rPr>
          <w:rFonts w:ascii="Verdana" w:hAnsi="Verdana" w:cs="Arial"/>
          <w:sz w:val="16"/>
          <w:szCs w:val="16"/>
        </w:rPr>
        <w:t>.</w:t>
      </w:r>
    </w:p>
  </w:footnote>
  <w:footnote w:id="20">
    <w:p w14:paraId="34A7E0DF" w14:textId="3F92F2CD" w:rsidR="00393504" w:rsidRPr="00310E5C" w:rsidRDefault="00393504" w:rsidP="00393504">
      <w:pPr>
        <w:spacing w:after="0" w:line="240" w:lineRule="auto"/>
        <w:ind w:left="100" w:right="244" w:firstLine="709"/>
        <w:jc w:val="both"/>
        <w:rPr>
          <w:rFonts w:ascii="Verdana" w:hAnsi="Verdana" w:cs="Arial"/>
          <w:sz w:val="16"/>
          <w:szCs w:val="16"/>
          <w:lang w:val="es-ES"/>
        </w:rPr>
      </w:pPr>
      <w:r w:rsidRPr="00310E5C">
        <w:rPr>
          <w:rStyle w:val="Refdenotaalpie"/>
          <w:rFonts w:ascii="Verdana" w:hAnsi="Verdana" w:cs="Arial"/>
          <w:sz w:val="16"/>
          <w:szCs w:val="16"/>
        </w:rPr>
        <w:footnoteRef/>
      </w:r>
      <w:r w:rsidRPr="0090165B">
        <w:rPr>
          <w:rFonts w:ascii="Verdana" w:hAnsi="Verdana" w:cs="Arial"/>
          <w:sz w:val="16"/>
          <w:szCs w:val="16"/>
        </w:rPr>
        <w:t xml:space="preserve"> </w:t>
      </w:r>
      <w:r w:rsidRPr="00393504">
        <w:rPr>
          <w:rFonts w:ascii="Verdana" w:hAnsi="Verdana" w:cs="Arial"/>
          <w:i/>
          <w:iCs/>
          <w:sz w:val="16"/>
          <w:szCs w:val="16"/>
        </w:rPr>
        <w:t>Ídem</w:t>
      </w:r>
      <w:r w:rsidRPr="00393504">
        <w:rPr>
          <w:rFonts w:ascii="Verdana" w:hAnsi="Verdana" w:cs="Arial"/>
          <w:i/>
          <w:iCs/>
          <w:sz w:val="16"/>
          <w:szCs w:val="16"/>
        </w:rPr>
        <w:t>.</w:t>
      </w:r>
    </w:p>
  </w:footnote>
  <w:footnote w:id="21">
    <w:p w14:paraId="08AA4D6C" w14:textId="31FB3B89" w:rsidR="00393504" w:rsidRPr="00310E5C" w:rsidRDefault="00393504" w:rsidP="00393504">
      <w:pPr>
        <w:spacing w:after="0" w:line="240" w:lineRule="auto"/>
        <w:ind w:left="100" w:right="244" w:firstLine="709"/>
        <w:jc w:val="both"/>
        <w:rPr>
          <w:rFonts w:ascii="Verdana" w:hAnsi="Verdana" w:cs="Arial"/>
          <w:sz w:val="16"/>
          <w:szCs w:val="16"/>
          <w:lang w:val="es-ES"/>
        </w:rPr>
      </w:pPr>
      <w:r w:rsidRPr="00310E5C">
        <w:rPr>
          <w:rStyle w:val="Refdenotaalpie"/>
          <w:rFonts w:ascii="Verdana" w:hAnsi="Verdana" w:cs="Arial"/>
          <w:sz w:val="16"/>
          <w:szCs w:val="16"/>
        </w:rPr>
        <w:footnoteRef/>
      </w:r>
      <w:r w:rsidRPr="0090165B">
        <w:rPr>
          <w:rFonts w:ascii="Verdana" w:hAnsi="Verdana" w:cs="Arial"/>
          <w:sz w:val="16"/>
          <w:szCs w:val="16"/>
        </w:rPr>
        <w:t xml:space="preserve"> </w:t>
      </w:r>
      <w:r w:rsidR="00AA351F" w:rsidRPr="00AA351F">
        <w:rPr>
          <w:rFonts w:ascii="Verdana" w:hAnsi="Verdana" w:cs="Arial"/>
          <w:sz w:val="16"/>
          <w:szCs w:val="16"/>
        </w:rPr>
        <w:t>“[…] A este respecto, cabe recordar que el artículo 860 del Código de Comercio regula la licitación en el derecho privado”</w:t>
      </w:r>
    </w:p>
  </w:footnote>
  <w:footnote w:id="22">
    <w:p w14:paraId="040696D2" w14:textId="77777777" w:rsidR="009438AA" w:rsidRPr="00310E5C" w:rsidRDefault="009438AA" w:rsidP="009438AA">
      <w:pPr>
        <w:spacing w:after="0" w:line="240" w:lineRule="auto"/>
        <w:ind w:left="100" w:right="244" w:firstLine="709"/>
        <w:jc w:val="both"/>
        <w:rPr>
          <w:rFonts w:ascii="Verdana" w:hAnsi="Verdana" w:cs="Arial"/>
          <w:sz w:val="16"/>
          <w:szCs w:val="16"/>
          <w:lang w:val="es-ES"/>
        </w:rPr>
      </w:pPr>
      <w:r w:rsidRPr="00310E5C">
        <w:rPr>
          <w:rStyle w:val="Refdenotaalpie"/>
          <w:rFonts w:ascii="Verdana" w:hAnsi="Verdana" w:cs="Arial"/>
          <w:sz w:val="16"/>
          <w:szCs w:val="16"/>
        </w:rPr>
        <w:footnoteRef/>
      </w:r>
      <w:r w:rsidRPr="0090165B">
        <w:rPr>
          <w:rFonts w:ascii="Verdana" w:hAnsi="Verdana" w:cs="Arial"/>
          <w:sz w:val="16"/>
          <w:szCs w:val="16"/>
        </w:rPr>
        <w:t xml:space="preserve"> </w:t>
      </w:r>
      <w:r w:rsidRPr="00AA351F">
        <w:rPr>
          <w:rFonts w:ascii="Verdana" w:hAnsi="Verdana" w:cs="Arial"/>
          <w:sz w:val="16"/>
          <w:szCs w:val="16"/>
        </w:rPr>
        <w:t>“[…] A este respecto, cabe recordar que el artículo 860 del Código de Comercio regula la licitación en el derecho privado”</w:t>
      </w:r>
    </w:p>
  </w:footnote>
  <w:footnote w:id="23">
    <w:p w14:paraId="64C31E2A" w14:textId="77777777" w:rsidR="009438AA" w:rsidRPr="00310E5C" w:rsidRDefault="009438AA" w:rsidP="009438AA">
      <w:pPr>
        <w:spacing w:after="0" w:line="240" w:lineRule="auto"/>
        <w:ind w:left="100" w:right="244" w:firstLine="709"/>
        <w:jc w:val="both"/>
        <w:rPr>
          <w:rFonts w:ascii="Verdana" w:hAnsi="Verdana" w:cs="Arial"/>
          <w:sz w:val="16"/>
          <w:szCs w:val="16"/>
          <w:lang w:val="es-ES"/>
        </w:rPr>
      </w:pPr>
      <w:r w:rsidRPr="00310E5C">
        <w:rPr>
          <w:rStyle w:val="Refdenotaalpie"/>
          <w:rFonts w:ascii="Verdana" w:hAnsi="Verdana" w:cs="Arial"/>
          <w:sz w:val="16"/>
          <w:szCs w:val="16"/>
        </w:rPr>
        <w:footnoteRef/>
      </w:r>
      <w:r w:rsidRPr="0090165B">
        <w:rPr>
          <w:rFonts w:ascii="Verdana" w:hAnsi="Verdana" w:cs="Arial"/>
          <w:sz w:val="16"/>
          <w:szCs w:val="16"/>
        </w:rPr>
        <w:t xml:space="preserve"> </w:t>
      </w:r>
      <w:r w:rsidRPr="00AA351F">
        <w:rPr>
          <w:rFonts w:ascii="Verdana" w:hAnsi="Verdana" w:cs="Arial"/>
          <w:sz w:val="16"/>
          <w:szCs w:val="16"/>
        </w:rPr>
        <w:t>“[…] A este respecto, cabe recordar que el artículo 860 del Código de Comercio regula la licitación en el derecho privado”</w:t>
      </w:r>
    </w:p>
  </w:footnote>
  <w:footnote w:id="24">
    <w:p w14:paraId="5E977085" w14:textId="4BCA679D" w:rsidR="0069328F" w:rsidRPr="00310E5C" w:rsidRDefault="0069328F" w:rsidP="0069328F">
      <w:pPr>
        <w:spacing w:after="0" w:line="240" w:lineRule="auto"/>
        <w:ind w:left="100" w:right="244" w:firstLine="709"/>
        <w:jc w:val="both"/>
        <w:rPr>
          <w:rFonts w:ascii="Verdana" w:hAnsi="Verdana" w:cs="Arial"/>
          <w:sz w:val="16"/>
          <w:szCs w:val="16"/>
          <w:lang w:val="es-ES"/>
        </w:rPr>
      </w:pPr>
      <w:r w:rsidRPr="00310E5C">
        <w:rPr>
          <w:rStyle w:val="Refdenotaalpie"/>
          <w:rFonts w:ascii="Verdana" w:hAnsi="Verdana" w:cs="Arial"/>
          <w:sz w:val="16"/>
          <w:szCs w:val="16"/>
        </w:rPr>
        <w:footnoteRef/>
      </w:r>
      <w:r w:rsidRPr="0090165B">
        <w:rPr>
          <w:rFonts w:ascii="Verdana" w:hAnsi="Verdana" w:cs="Arial"/>
          <w:sz w:val="16"/>
          <w:szCs w:val="16"/>
        </w:rPr>
        <w:t xml:space="preserve"> </w:t>
      </w:r>
      <w:r w:rsidRPr="0069328F">
        <w:rPr>
          <w:rFonts w:ascii="Verdana" w:hAnsi="Verdana" w:cs="Arial"/>
          <w:sz w:val="16"/>
          <w:szCs w:val="16"/>
        </w:rPr>
        <w:t>Colombia Compra Eficiente. Circular Externa Única. Numeral 16.5. En este sentido, la Agencia ha expresado: “[…] las prórrogas, modificaciones o adiciones, y la cesión de los contratos suscritos antes del período de la campaña electoral, pueden realizarse en cualquier tiempo antes o después del comienzo de la aplicación de la Ley de Garantías, siempre y cuando el contrato se encuentre vigente y se observen las demás disposiciones conforme a las cuales deben realizarse dichas actuaciones”.</w:t>
      </w:r>
    </w:p>
  </w:footnote>
  <w:footnote w:id="25">
    <w:p w14:paraId="08173881" w14:textId="61EAE433" w:rsidR="00BE0896" w:rsidRPr="00310E5C" w:rsidRDefault="00BE0896" w:rsidP="00BE0896">
      <w:pPr>
        <w:spacing w:after="0" w:line="240" w:lineRule="auto"/>
        <w:ind w:left="100" w:right="244" w:firstLine="709"/>
        <w:jc w:val="both"/>
        <w:rPr>
          <w:rFonts w:ascii="Verdana" w:hAnsi="Verdana" w:cs="Arial"/>
          <w:sz w:val="16"/>
          <w:szCs w:val="16"/>
          <w:lang w:val="es-ES"/>
        </w:rPr>
      </w:pPr>
      <w:r w:rsidRPr="00310E5C">
        <w:rPr>
          <w:rStyle w:val="Refdenotaalpie"/>
          <w:rFonts w:ascii="Verdana" w:hAnsi="Verdana" w:cs="Arial"/>
          <w:sz w:val="16"/>
          <w:szCs w:val="16"/>
        </w:rPr>
        <w:footnoteRef/>
      </w:r>
      <w:r w:rsidRPr="0090165B">
        <w:rPr>
          <w:rFonts w:ascii="Verdana" w:hAnsi="Verdana" w:cs="Arial"/>
          <w:sz w:val="16"/>
          <w:szCs w:val="16"/>
        </w:rPr>
        <w:t xml:space="preserve"> </w:t>
      </w:r>
      <w:r w:rsidRPr="00AA351F">
        <w:rPr>
          <w:rFonts w:ascii="Verdana" w:hAnsi="Verdana" w:cs="Arial"/>
          <w:sz w:val="16"/>
          <w:szCs w:val="16"/>
        </w:rPr>
        <w:t xml:space="preserve">“[…] </w:t>
      </w:r>
      <w:r w:rsidR="007A77D8" w:rsidRPr="007A77D8">
        <w:rPr>
          <w:rFonts w:ascii="Verdana" w:hAnsi="Verdana" w:cs="Arial"/>
          <w:sz w:val="16"/>
          <w:szCs w:val="16"/>
        </w:rPr>
        <w:t xml:space="preserve">La Corte Constitucional mediante Sentencia C-1153-05 de 11 de noviembre de 2005, Magistrado Ponente Marco Gerardo Monroy Cabra, efectuó el Control constitucional al Proyecto de Ley Estatutaria </w:t>
      </w:r>
      <w:proofErr w:type="spellStart"/>
      <w:r w:rsidR="007A77D8" w:rsidRPr="007A77D8">
        <w:rPr>
          <w:rFonts w:ascii="Verdana" w:hAnsi="Verdana" w:cs="Arial"/>
          <w:sz w:val="16"/>
          <w:szCs w:val="16"/>
        </w:rPr>
        <w:t>N°</w:t>
      </w:r>
      <w:proofErr w:type="spellEnd"/>
      <w:r w:rsidR="007A77D8" w:rsidRPr="007A77D8">
        <w:rPr>
          <w:rFonts w:ascii="Verdana" w:hAnsi="Verdana" w:cs="Arial"/>
          <w:sz w:val="16"/>
          <w:szCs w:val="16"/>
        </w:rPr>
        <w:t xml:space="preserve"> 216/05 Senado, </w:t>
      </w:r>
      <w:proofErr w:type="spellStart"/>
      <w:r w:rsidR="007A77D8" w:rsidRPr="007A77D8">
        <w:rPr>
          <w:rFonts w:ascii="Verdana" w:hAnsi="Verdana" w:cs="Arial"/>
          <w:sz w:val="16"/>
          <w:szCs w:val="16"/>
        </w:rPr>
        <w:t>N°</w:t>
      </w:r>
      <w:proofErr w:type="spellEnd"/>
      <w:r w:rsidR="007A77D8" w:rsidRPr="007A77D8">
        <w:rPr>
          <w:rFonts w:ascii="Verdana" w:hAnsi="Verdana" w:cs="Arial"/>
          <w:sz w:val="16"/>
          <w:szCs w:val="16"/>
        </w:rPr>
        <w:t xml:space="preserve"> 235-Cámara que dio lugar a la Ley de Garantías Electorales.</w:t>
      </w:r>
    </w:p>
  </w:footnote>
  <w:footnote w:id="26">
    <w:p w14:paraId="5F9C3779" w14:textId="05094AE4" w:rsidR="003A7610" w:rsidRPr="00310E5C" w:rsidRDefault="003A7610" w:rsidP="003A7610">
      <w:pPr>
        <w:spacing w:after="0" w:line="240" w:lineRule="auto"/>
        <w:ind w:left="100" w:right="244" w:firstLine="709"/>
        <w:jc w:val="both"/>
        <w:rPr>
          <w:rFonts w:ascii="Verdana" w:hAnsi="Verdana" w:cs="Arial"/>
          <w:sz w:val="16"/>
          <w:szCs w:val="16"/>
          <w:lang w:val="es-ES"/>
        </w:rPr>
      </w:pPr>
      <w:r w:rsidRPr="00310E5C">
        <w:rPr>
          <w:rStyle w:val="Refdenotaalpie"/>
          <w:rFonts w:ascii="Verdana" w:hAnsi="Verdana" w:cs="Arial"/>
          <w:sz w:val="16"/>
          <w:szCs w:val="16"/>
        </w:rPr>
        <w:footnoteRef/>
      </w:r>
      <w:r w:rsidRPr="0090165B">
        <w:rPr>
          <w:rFonts w:ascii="Verdana" w:hAnsi="Verdana" w:cs="Arial"/>
          <w:sz w:val="16"/>
          <w:szCs w:val="16"/>
        </w:rPr>
        <w:t xml:space="preserve"> </w:t>
      </w:r>
      <w:r w:rsidR="00942F32" w:rsidRPr="00942F32">
        <w:rPr>
          <w:rFonts w:ascii="Verdana" w:hAnsi="Verdana" w:cs="Arial"/>
          <w:sz w:val="16"/>
          <w:szCs w:val="16"/>
        </w:rPr>
        <w:t>Consejo de Estado. Sala de Consulta y Servicio Civil. Concepto de 20 de febrero de 2006. Radicación Número: 11001-03-06-000-2006-00026-00 (1727).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7">
    <w:p w14:paraId="55DB16A2" w14:textId="5EAFCDA7" w:rsidR="00A91418" w:rsidRPr="00310E5C" w:rsidRDefault="00A91418" w:rsidP="00A91418">
      <w:pPr>
        <w:spacing w:after="0" w:line="240" w:lineRule="auto"/>
        <w:ind w:left="100" w:right="244" w:firstLine="709"/>
        <w:jc w:val="both"/>
        <w:rPr>
          <w:rFonts w:ascii="Verdana" w:hAnsi="Verdana" w:cs="Arial"/>
          <w:sz w:val="16"/>
          <w:szCs w:val="16"/>
          <w:lang w:val="es-ES"/>
        </w:rPr>
      </w:pPr>
      <w:r w:rsidRPr="00310E5C">
        <w:rPr>
          <w:rStyle w:val="Refdenotaalpie"/>
          <w:rFonts w:ascii="Verdana" w:hAnsi="Verdana" w:cs="Arial"/>
          <w:sz w:val="16"/>
          <w:szCs w:val="16"/>
        </w:rPr>
        <w:footnoteRef/>
      </w:r>
      <w:r w:rsidRPr="0090165B">
        <w:rPr>
          <w:rFonts w:ascii="Verdana" w:hAnsi="Verdana" w:cs="Arial"/>
          <w:sz w:val="16"/>
          <w:szCs w:val="16"/>
        </w:rPr>
        <w:t xml:space="preserve"> </w:t>
      </w:r>
      <w:r w:rsidR="00F56E8F" w:rsidRPr="00F56E8F">
        <w:rPr>
          <w:rFonts w:ascii="Verdana" w:hAnsi="Verdana" w:cs="Arial"/>
          <w:sz w:val="16"/>
          <w:szCs w:val="16"/>
        </w:rPr>
        <w:t>Consejo de Estado. Sala de Consulta y Servicio Civil. Concepto de 6 de abril de 2006. Radicación Número: 11001-03-06-000-2006-00038-00 (1738). Consejero Ponente: Enrique José Arboleda Perdomo: “Si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p>
  </w:footnote>
  <w:footnote w:id="28">
    <w:p w14:paraId="041C84DF" w14:textId="55825CC7" w:rsidR="00F56E8F" w:rsidRPr="00310E5C" w:rsidRDefault="00F56E8F" w:rsidP="00F56E8F">
      <w:pPr>
        <w:spacing w:after="0" w:line="240" w:lineRule="auto"/>
        <w:ind w:left="100" w:right="244" w:firstLine="709"/>
        <w:jc w:val="both"/>
        <w:rPr>
          <w:rFonts w:ascii="Verdana" w:hAnsi="Verdana" w:cs="Arial"/>
          <w:sz w:val="16"/>
          <w:szCs w:val="16"/>
          <w:lang w:val="es-ES"/>
        </w:rPr>
      </w:pPr>
      <w:r w:rsidRPr="00310E5C">
        <w:rPr>
          <w:rStyle w:val="Refdenotaalpie"/>
          <w:rFonts w:ascii="Verdana" w:hAnsi="Verdana" w:cs="Arial"/>
          <w:sz w:val="16"/>
          <w:szCs w:val="16"/>
        </w:rPr>
        <w:footnoteRef/>
      </w:r>
      <w:r w:rsidRPr="0090165B">
        <w:rPr>
          <w:rFonts w:ascii="Verdana" w:hAnsi="Verdana" w:cs="Arial"/>
          <w:sz w:val="16"/>
          <w:szCs w:val="16"/>
        </w:rPr>
        <w:t xml:space="preserve"> </w:t>
      </w:r>
      <w:r w:rsidR="00414E1C" w:rsidRPr="00414E1C">
        <w:rPr>
          <w:rFonts w:ascii="Verdana" w:hAnsi="Verdana" w:cs="Arial"/>
          <w:sz w:val="16"/>
          <w:szCs w:val="16"/>
        </w:rPr>
        <w:t>Consejo de Estado. Sala de Consulta y Servicio Civil. Concepto de 6 de abril de 2006. Radicación Número: 11001-03-06-000-2006-00038-00(1738). Consejero Ponente: Enrique José Arboleda Perdomo.</w:t>
      </w:r>
    </w:p>
  </w:footnote>
  <w:footnote w:id="29">
    <w:p w14:paraId="1FC28B6F" w14:textId="0905152F" w:rsidR="00921980" w:rsidRPr="00310E5C" w:rsidRDefault="00921980" w:rsidP="00921980">
      <w:pPr>
        <w:spacing w:after="0" w:line="240" w:lineRule="auto"/>
        <w:ind w:left="100" w:right="244" w:firstLine="709"/>
        <w:jc w:val="both"/>
        <w:rPr>
          <w:rFonts w:ascii="Verdana" w:hAnsi="Verdana" w:cs="Arial"/>
          <w:sz w:val="16"/>
          <w:szCs w:val="16"/>
          <w:lang w:val="es-ES"/>
        </w:rPr>
      </w:pPr>
      <w:r w:rsidRPr="00310E5C">
        <w:rPr>
          <w:rStyle w:val="Refdenotaalpie"/>
          <w:rFonts w:ascii="Verdana" w:hAnsi="Verdana" w:cs="Arial"/>
          <w:sz w:val="16"/>
          <w:szCs w:val="16"/>
        </w:rPr>
        <w:footnoteRef/>
      </w:r>
      <w:r w:rsidRPr="0090165B">
        <w:rPr>
          <w:rFonts w:ascii="Verdana" w:hAnsi="Verdana" w:cs="Arial"/>
          <w:sz w:val="16"/>
          <w:szCs w:val="16"/>
        </w:rPr>
        <w:t xml:space="preserve"> </w:t>
      </w:r>
      <w:r w:rsidRPr="00921980">
        <w:rPr>
          <w:rFonts w:ascii="Verdana" w:hAnsi="Verdana" w:cs="Arial"/>
          <w:sz w:val="16"/>
          <w:szCs w:val="16"/>
        </w:rPr>
        <w:t>Consejo de Estado. Sala de Consulta y Servicio Civil, ídem.</w:t>
      </w:r>
    </w:p>
  </w:footnote>
  <w:footnote w:id="30">
    <w:p w14:paraId="7F874D2F" w14:textId="4B262F3D" w:rsidR="00AB1841" w:rsidRPr="00310E5C" w:rsidRDefault="00AB1841" w:rsidP="00AB1841">
      <w:pPr>
        <w:spacing w:after="0" w:line="240" w:lineRule="auto"/>
        <w:ind w:left="100" w:right="244" w:firstLine="709"/>
        <w:jc w:val="both"/>
        <w:rPr>
          <w:rFonts w:ascii="Verdana" w:hAnsi="Verdana" w:cs="Arial"/>
          <w:sz w:val="16"/>
          <w:szCs w:val="16"/>
          <w:lang w:val="es-ES"/>
        </w:rPr>
      </w:pPr>
      <w:r w:rsidRPr="00310E5C">
        <w:rPr>
          <w:rStyle w:val="Refdenotaalpie"/>
          <w:rFonts w:ascii="Verdana" w:hAnsi="Verdana" w:cs="Arial"/>
          <w:sz w:val="16"/>
          <w:szCs w:val="16"/>
        </w:rPr>
        <w:footnoteRef/>
      </w:r>
      <w:r w:rsidRPr="0090165B">
        <w:rPr>
          <w:rFonts w:ascii="Verdana" w:hAnsi="Verdana" w:cs="Arial"/>
          <w:sz w:val="16"/>
          <w:szCs w:val="16"/>
        </w:rPr>
        <w:t xml:space="preserve"> </w:t>
      </w:r>
      <w:r w:rsidRPr="00AB1841">
        <w:rPr>
          <w:rFonts w:ascii="Verdana" w:hAnsi="Verdana" w:cs="Arial"/>
          <w:sz w:val="16"/>
          <w:szCs w:val="16"/>
        </w:rPr>
        <w:t>Colombia Compra Eficiente. Circular Externa Única. Numeral 15.5.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505795" w:rsidRDefault="00505795">
    <w:pPr>
      <w:pStyle w:val="Encabezado"/>
    </w:pPr>
    <w:r>
      <w:rPr>
        <w:rFonts w:ascii="Geomanist Bold" w:hAnsi="Geomanist Bold"/>
        <w:b/>
        <w:bCs/>
        <w:noProof/>
        <w:color w:val="002060"/>
        <w:sz w:val="24"/>
        <w:szCs w:val="24"/>
        <w:lang w:val="en-US"/>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505795" w:rsidRDefault="00505795">
    <w:pPr>
      <w:pStyle w:val="Encabezado"/>
    </w:pPr>
  </w:p>
  <w:p w14:paraId="3079FC11" w14:textId="77777777" w:rsidR="00505795" w:rsidRDefault="00505795" w:rsidP="004A305D">
    <w:pPr>
      <w:spacing w:after="0"/>
      <w:rPr>
        <w:rFonts w:ascii="Verdana" w:hAnsi="Verdana"/>
        <w:b/>
        <w:bCs/>
      </w:rPr>
    </w:pPr>
  </w:p>
  <w:p w14:paraId="5E18350A" w14:textId="705F7B76" w:rsidR="00505795" w:rsidRPr="004A305D" w:rsidRDefault="00505795" w:rsidP="00B01B1A">
    <w:pPr>
      <w:spacing w:after="0" w:line="120" w:lineRule="auto"/>
      <w:rPr>
        <w:rFonts w:ascii="Century Gothic" w:eastAsia="Geo" w:hAnsi="Century Gothic" w:cs="Geo"/>
        <w:sz w:val="16"/>
        <w:szCs w:val="16"/>
        <w:lang w:eastAsia="es-CO"/>
      </w:rPr>
    </w:pPr>
  </w:p>
  <w:p w14:paraId="1FD1C243" w14:textId="6D74A3CF" w:rsidR="00505795" w:rsidRDefault="00505795"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06" type="#_x0000_t75" style="width:11.4pt;height:11.4pt;visibility:visible;mso-wrap-style:square" o:bullet="t">
        <v:imagedata r:id="rId1" o:title=""/>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520020"/>
    <w:multiLevelType w:val="hybridMultilevel"/>
    <w:tmpl w:val="D6F4F64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5" w15:restartNumberingAfterBreak="0">
    <w:nsid w:val="151B5B4E"/>
    <w:multiLevelType w:val="hybridMultilevel"/>
    <w:tmpl w:val="C3923F82"/>
    <w:lvl w:ilvl="0" w:tplc="ECBA392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15:restartNumberingAfterBreak="0">
    <w:nsid w:val="1CAC2B7C"/>
    <w:multiLevelType w:val="hybridMultilevel"/>
    <w:tmpl w:val="6E08C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036501"/>
    <w:multiLevelType w:val="hybridMultilevel"/>
    <w:tmpl w:val="0C9E4C5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CDBF6B6"/>
    <w:multiLevelType w:val="hybridMultilevel"/>
    <w:tmpl w:val="E00CB3D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7" w15:restartNumberingAfterBreak="0">
    <w:nsid w:val="39EF4B51"/>
    <w:multiLevelType w:val="hybridMultilevel"/>
    <w:tmpl w:val="8B70B36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3A4771A8"/>
    <w:multiLevelType w:val="hybridMultilevel"/>
    <w:tmpl w:val="0E1245A2"/>
    <w:lvl w:ilvl="0" w:tplc="89122320">
      <w:start w:val="1"/>
      <w:numFmt w:val="lowerRoman"/>
      <w:lvlText w:val="%1."/>
      <w:lvlJc w:val="left"/>
      <w:pPr>
        <w:ind w:left="1080" w:hanging="720"/>
      </w:pPr>
      <w:rPr>
        <w:rFonts w:eastAsia="Calibri"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D655E8"/>
    <w:multiLevelType w:val="hybridMultilevel"/>
    <w:tmpl w:val="0C9E4C5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495A4E35"/>
    <w:multiLevelType w:val="hybridMultilevel"/>
    <w:tmpl w:val="2F461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1E463C4"/>
    <w:multiLevelType w:val="hybridMultilevel"/>
    <w:tmpl w:val="2F4A9DAC"/>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Courier New" w:hint="default"/>
      </w:rPr>
    </w:lvl>
    <w:lvl w:ilvl="8" w:tplc="080A0005">
      <w:start w:val="1"/>
      <w:numFmt w:val="bullet"/>
      <w:lvlText w:val=""/>
      <w:lvlJc w:val="left"/>
      <w:pPr>
        <w:ind w:left="6120" w:hanging="360"/>
      </w:pPr>
      <w:rPr>
        <w:rFonts w:ascii="Wingdings" w:hAnsi="Wingdings" w:hint="default"/>
      </w:rPr>
    </w:lvl>
  </w:abstractNum>
  <w:abstractNum w:abstractNumId="22" w15:restartNumberingAfterBreak="0">
    <w:nsid w:val="5AE07B1E"/>
    <w:multiLevelType w:val="multilevel"/>
    <w:tmpl w:val="6F14CB5E"/>
    <w:lvl w:ilvl="0">
      <w:start w:val="1"/>
      <w:numFmt w:val="decimal"/>
      <w:lvlText w:val="%1."/>
      <w:lvlJc w:val="left"/>
      <w:pPr>
        <w:ind w:left="360" w:hanging="360"/>
      </w:pPr>
      <w:rPr>
        <w:rFonts w:hint="default"/>
        <w:b/>
        <w:bCs/>
      </w:rPr>
    </w:lvl>
    <w:lvl w:ilvl="1">
      <w:start w:val="1"/>
      <w:numFmt w:val="decimal"/>
      <w:isLgl/>
      <w:lvlText w:val="%1.%2"/>
      <w:lvlJc w:val="left"/>
      <w:pPr>
        <w:ind w:left="372" w:hanging="37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3"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C5E69C5"/>
    <w:multiLevelType w:val="hybridMultilevel"/>
    <w:tmpl w:val="D1EA8408"/>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16cid:durableId="1577668375">
    <w:abstractNumId w:val="13"/>
  </w:num>
  <w:num w:numId="2" w16cid:durableId="1452087678">
    <w:abstractNumId w:val="3"/>
  </w:num>
  <w:num w:numId="3" w16cid:durableId="1600328616">
    <w:abstractNumId w:val="11"/>
  </w:num>
  <w:num w:numId="4" w16cid:durableId="15327217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6504395">
    <w:abstractNumId w:val="3"/>
  </w:num>
  <w:num w:numId="6" w16cid:durableId="672144935">
    <w:abstractNumId w:val="26"/>
  </w:num>
  <w:num w:numId="7" w16cid:durableId="542910905">
    <w:abstractNumId w:val="12"/>
  </w:num>
  <w:num w:numId="8" w16cid:durableId="693271301">
    <w:abstractNumId w:val="25"/>
  </w:num>
  <w:num w:numId="9" w16cid:durableId="1741559956">
    <w:abstractNumId w:val="14"/>
  </w:num>
  <w:num w:numId="10" w16cid:durableId="437527260">
    <w:abstractNumId w:val="24"/>
  </w:num>
  <w:num w:numId="11" w16cid:durableId="827594929">
    <w:abstractNumId w:val="15"/>
  </w:num>
  <w:num w:numId="12" w16cid:durableId="1148018003">
    <w:abstractNumId w:val="1"/>
  </w:num>
  <w:num w:numId="13" w16cid:durableId="747385034">
    <w:abstractNumId w:val="8"/>
  </w:num>
  <w:num w:numId="14" w16cid:durableId="147408369">
    <w:abstractNumId w:val="27"/>
  </w:num>
  <w:num w:numId="15" w16cid:durableId="2052920088">
    <w:abstractNumId w:val="23"/>
  </w:num>
  <w:num w:numId="16" w16cid:durableId="1992176430">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38899684">
    <w:abstractNumId w:val="4"/>
  </w:num>
  <w:num w:numId="18" w16cid:durableId="1886600675">
    <w:abstractNumId w:val="22"/>
  </w:num>
  <w:num w:numId="19" w16cid:durableId="1169901770">
    <w:abstractNumId w:val="10"/>
  </w:num>
  <w:num w:numId="20" w16cid:durableId="200673662">
    <w:abstractNumId w:val="16"/>
  </w:num>
  <w:num w:numId="21" w16cid:durableId="790588832">
    <w:abstractNumId w:val="28"/>
  </w:num>
  <w:num w:numId="22" w16cid:durableId="2030792491">
    <w:abstractNumId w:val="19"/>
  </w:num>
  <w:num w:numId="23" w16cid:durableId="168718835">
    <w:abstractNumId w:val="7"/>
  </w:num>
  <w:num w:numId="24" w16cid:durableId="585840674">
    <w:abstractNumId w:val="17"/>
  </w:num>
  <w:num w:numId="25" w16cid:durableId="203518212">
    <w:abstractNumId w:val="2"/>
  </w:num>
  <w:num w:numId="26" w16cid:durableId="625935432">
    <w:abstractNumId w:val="5"/>
  </w:num>
  <w:num w:numId="27" w16cid:durableId="1530794593">
    <w:abstractNumId w:val="20"/>
  </w:num>
  <w:num w:numId="28" w16cid:durableId="226192536">
    <w:abstractNumId w:val="6"/>
  </w:num>
  <w:num w:numId="29" w16cid:durableId="1750348805">
    <w:abstractNumId w:val="9"/>
  </w:num>
  <w:num w:numId="30" w16cid:durableId="255288685">
    <w:abstractNumId w:val="0"/>
  </w:num>
  <w:num w:numId="31" w16cid:durableId="303970704">
    <w:abstractNumId w:val="18"/>
  </w:num>
  <w:num w:numId="32" w16cid:durableId="1606838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39A2"/>
    <w:rsid w:val="000062F3"/>
    <w:rsid w:val="0000797D"/>
    <w:rsid w:val="0001328B"/>
    <w:rsid w:val="000224F2"/>
    <w:rsid w:val="00023C3E"/>
    <w:rsid w:val="0002653B"/>
    <w:rsid w:val="00034682"/>
    <w:rsid w:val="00035E21"/>
    <w:rsid w:val="00042856"/>
    <w:rsid w:val="0004434A"/>
    <w:rsid w:val="0005281E"/>
    <w:rsid w:val="00055421"/>
    <w:rsid w:val="0005682C"/>
    <w:rsid w:val="00056D71"/>
    <w:rsid w:val="00061B2A"/>
    <w:rsid w:val="00062BAF"/>
    <w:rsid w:val="000630B9"/>
    <w:rsid w:val="000643B2"/>
    <w:rsid w:val="00065E80"/>
    <w:rsid w:val="00066BB4"/>
    <w:rsid w:val="0007022C"/>
    <w:rsid w:val="00071DE6"/>
    <w:rsid w:val="000754B0"/>
    <w:rsid w:val="00077439"/>
    <w:rsid w:val="000774B8"/>
    <w:rsid w:val="00082362"/>
    <w:rsid w:val="0008328D"/>
    <w:rsid w:val="00084D78"/>
    <w:rsid w:val="0009387A"/>
    <w:rsid w:val="0009387B"/>
    <w:rsid w:val="000963C6"/>
    <w:rsid w:val="000974AC"/>
    <w:rsid w:val="0009762F"/>
    <w:rsid w:val="000A18ED"/>
    <w:rsid w:val="000A31B9"/>
    <w:rsid w:val="000A3330"/>
    <w:rsid w:val="000A36D8"/>
    <w:rsid w:val="000A3D63"/>
    <w:rsid w:val="000A683A"/>
    <w:rsid w:val="000A683E"/>
    <w:rsid w:val="000B19B9"/>
    <w:rsid w:val="000B3001"/>
    <w:rsid w:val="000B6918"/>
    <w:rsid w:val="000C2889"/>
    <w:rsid w:val="000C3673"/>
    <w:rsid w:val="000C538B"/>
    <w:rsid w:val="000D0152"/>
    <w:rsid w:val="000D0334"/>
    <w:rsid w:val="000D0B4D"/>
    <w:rsid w:val="000D3B29"/>
    <w:rsid w:val="000D71F8"/>
    <w:rsid w:val="000E06F4"/>
    <w:rsid w:val="000E1AC7"/>
    <w:rsid w:val="000E4CE4"/>
    <w:rsid w:val="000F2A7A"/>
    <w:rsid w:val="000F6486"/>
    <w:rsid w:val="000F669F"/>
    <w:rsid w:val="001063B3"/>
    <w:rsid w:val="00107ACA"/>
    <w:rsid w:val="001114A9"/>
    <w:rsid w:val="00111979"/>
    <w:rsid w:val="00116537"/>
    <w:rsid w:val="00120766"/>
    <w:rsid w:val="00122FA6"/>
    <w:rsid w:val="001240BD"/>
    <w:rsid w:val="00125105"/>
    <w:rsid w:val="001268F7"/>
    <w:rsid w:val="00127233"/>
    <w:rsid w:val="001366C9"/>
    <w:rsid w:val="001372FC"/>
    <w:rsid w:val="00143E81"/>
    <w:rsid w:val="00143FD9"/>
    <w:rsid w:val="00145047"/>
    <w:rsid w:val="00146C57"/>
    <w:rsid w:val="00150ADA"/>
    <w:rsid w:val="001569A8"/>
    <w:rsid w:val="0016332F"/>
    <w:rsid w:val="0016642E"/>
    <w:rsid w:val="001717E9"/>
    <w:rsid w:val="0017238A"/>
    <w:rsid w:val="001800BA"/>
    <w:rsid w:val="00180A30"/>
    <w:rsid w:val="00185EE9"/>
    <w:rsid w:val="001860ED"/>
    <w:rsid w:val="00187F79"/>
    <w:rsid w:val="00196F32"/>
    <w:rsid w:val="00197274"/>
    <w:rsid w:val="001A0B04"/>
    <w:rsid w:val="001A237A"/>
    <w:rsid w:val="001A26CF"/>
    <w:rsid w:val="001A2919"/>
    <w:rsid w:val="001B2CFE"/>
    <w:rsid w:val="001C222E"/>
    <w:rsid w:val="001C22F9"/>
    <w:rsid w:val="001D1C29"/>
    <w:rsid w:val="001D2CCC"/>
    <w:rsid w:val="001E3C06"/>
    <w:rsid w:val="001E4177"/>
    <w:rsid w:val="001F0A0F"/>
    <w:rsid w:val="001F218E"/>
    <w:rsid w:val="001F242D"/>
    <w:rsid w:val="001F4EFD"/>
    <w:rsid w:val="001F5E13"/>
    <w:rsid w:val="001F6D11"/>
    <w:rsid w:val="001F7DC6"/>
    <w:rsid w:val="00202886"/>
    <w:rsid w:val="00205784"/>
    <w:rsid w:val="00210946"/>
    <w:rsid w:val="00213510"/>
    <w:rsid w:val="0021372A"/>
    <w:rsid w:val="00215CEF"/>
    <w:rsid w:val="00217A08"/>
    <w:rsid w:val="00220B77"/>
    <w:rsid w:val="00221D27"/>
    <w:rsid w:val="00237233"/>
    <w:rsid w:val="002421BB"/>
    <w:rsid w:val="00245707"/>
    <w:rsid w:val="00246A81"/>
    <w:rsid w:val="00247C46"/>
    <w:rsid w:val="00251A5F"/>
    <w:rsid w:val="00252B30"/>
    <w:rsid w:val="0025796E"/>
    <w:rsid w:val="002603E5"/>
    <w:rsid w:val="002638B2"/>
    <w:rsid w:val="002660F2"/>
    <w:rsid w:val="002664BB"/>
    <w:rsid w:val="00266D24"/>
    <w:rsid w:val="002707A2"/>
    <w:rsid w:val="00277150"/>
    <w:rsid w:val="002826F0"/>
    <w:rsid w:val="002835A6"/>
    <w:rsid w:val="002844ED"/>
    <w:rsid w:val="00286FAD"/>
    <w:rsid w:val="002951A0"/>
    <w:rsid w:val="002962BC"/>
    <w:rsid w:val="002A093D"/>
    <w:rsid w:val="002A0DD0"/>
    <w:rsid w:val="002A1CEF"/>
    <w:rsid w:val="002A1D2F"/>
    <w:rsid w:val="002A49AC"/>
    <w:rsid w:val="002A64FD"/>
    <w:rsid w:val="002A6BBF"/>
    <w:rsid w:val="002B1E57"/>
    <w:rsid w:val="002B1F7F"/>
    <w:rsid w:val="002B290B"/>
    <w:rsid w:val="002B61F2"/>
    <w:rsid w:val="002B7233"/>
    <w:rsid w:val="002B7AD9"/>
    <w:rsid w:val="002C110E"/>
    <w:rsid w:val="002C379A"/>
    <w:rsid w:val="002C765E"/>
    <w:rsid w:val="002C7A84"/>
    <w:rsid w:val="002D13A1"/>
    <w:rsid w:val="002D3F0D"/>
    <w:rsid w:val="002E1D98"/>
    <w:rsid w:val="002E2C3F"/>
    <w:rsid w:val="002E4FD9"/>
    <w:rsid w:val="002E6F15"/>
    <w:rsid w:val="002F13FD"/>
    <w:rsid w:val="002F53FB"/>
    <w:rsid w:val="00303544"/>
    <w:rsid w:val="00303985"/>
    <w:rsid w:val="003039C1"/>
    <w:rsid w:val="00310DBE"/>
    <w:rsid w:val="00310E5C"/>
    <w:rsid w:val="003119D8"/>
    <w:rsid w:val="0031430F"/>
    <w:rsid w:val="00320BBD"/>
    <w:rsid w:val="003226F7"/>
    <w:rsid w:val="00322A85"/>
    <w:rsid w:val="00324168"/>
    <w:rsid w:val="00325755"/>
    <w:rsid w:val="0033032A"/>
    <w:rsid w:val="00330C97"/>
    <w:rsid w:val="00334C6A"/>
    <w:rsid w:val="00336C05"/>
    <w:rsid w:val="003409C8"/>
    <w:rsid w:val="00342675"/>
    <w:rsid w:val="00343512"/>
    <w:rsid w:val="003448F4"/>
    <w:rsid w:val="00345330"/>
    <w:rsid w:val="00350480"/>
    <w:rsid w:val="003522B9"/>
    <w:rsid w:val="003528DF"/>
    <w:rsid w:val="00352C12"/>
    <w:rsid w:val="00354BCA"/>
    <w:rsid w:val="00354FEA"/>
    <w:rsid w:val="00362DEE"/>
    <w:rsid w:val="0036594E"/>
    <w:rsid w:val="003665EE"/>
    <w:rsid w:val="0037010E"/>
    <w:rsid w:val="003734F4"/>
    <w:rsid w:val="00374F5E"/>
    <w:rsid w:val="0037527B"/>
    <w:rsid w:val="00377E3E"/>
    <w:rsid w:val="003815B3"/>
    <w:rsid w:val="003815E8"/>
    <w:rsid w:val="00386D13"/>
    <w:rsid w:val="00391392"/>
    <w:rsid w:val="00392A49"/>
    <w:rsid w:val="00393504"/>
    <w:rsid w:val="00393812"/>
    <w:rsid w:val="003A0145"/>
    <w:rsid w:val="003A26D1"/>
    <w:rsid w:val="003A3B30"/>
    <w:rsid w:val="003A40E2"/>
    <w:rsid w:val="003A477B"/>
    <w:rsid w:val="003A7610"/>
    <w:rsid w:val="003A779E"/>
    <w:rsid w:val="003B005A"/>
    <w:rsid w:val="003B0636"/>
    <w:rsid w:val="003B6385"/>
    <w:rsid w:val="003B78C4"/>
    <w:rsid w:val="003C3FA5"/>
    <w:rsid w:val="003D0F4D"/>
    <w:rsid w:val="003D1B5E"/>
    <w:rsid w:val="003D5B0D"/>
    <w:rsid w:val="003E0499"/>
    <w:rsid w:val="003E40F2"/>
    <w:rsid w:val="003E7EAA"/>
    <w:rsid w:val="003F3941"/>
    <w:rsid w:val="00400676"/>
    <w:rsid w:val="004008A9"/>
    <w:rsid w:val="0040480E"/>
    <w:rsid w:val="00406575"/>
    <w:rsid w:val="004069AB"/>
    <w:rsid w:val="00410906"/>
    <w:rsid w:val="00410C36"/>
    <w:rsid w:val="00414E1C"/>
    <w:rsid w:val="0041655A"/>
    <w:rsid w:val="00426FD7"/>
    <w:rsid w:val="0042722E"/>
    <w:rsid w:val="00427DA0"/>
    <w:rsid w:val="00431BD2"/>
    <w:rsid w:val="00440391"/>
    <w:rsid w:val="004405A4"/>
    <w:rsid w:val="004426AD"/>
    <w:rsid w:val="00442C7F"/>
    <w:rsid w:val="0044528D"/>
    <w:rsid w:val="0044798F"/>
    <w:rsid w:val="00450920"/>
    <w:rsid w:val="004530EA"/>
    <w:rsid w:val="00454D48"/>
    <w:rsid w:val="004554F9"/>
    <w:rsid w:val="0046004D"/>
    <w:rsid w:val="00461A6A"/>
    <w:rsid w:val="004633DE"/>
    <w:rsid w:val="00465E71"/>
    <w:rsid w:val="00466040"/>
    <w:rsid w:val="00471654"/>
    <w:rsid w:val="004734BD"/>
    <w:rsid w:val="00475854"/>
    <w:rsid w:val="00480BAF"/>
    <w:rsid w:val="00482608"/>
    <w:rsid w:val="00483749"/>
    <w:rsid w:val="00484809"/>
    <w:rsid w:val="00484BB1"/>
    <w:rsid w:val="00495DCA"/>
    <w:rsid w:val="004A0980"/>
    <w:rsid w:val="004A0B8B"/>
    <w:rsid w:val="004A1847"/>
    <w:rsid w:val="004A305D"/>
    <w:rsid w:val="004A3312"/>
    <w:rsid w:val="004A66E3"/>
    <w:rsid w:val="004B01B2"/>
    <w:rsid w:val="004B740F"/>
    <w:rsid w:val="004C28C6"/>
    <w:rsid w:val="004C4B37"/>
    <w:rsid w:val="004D026D"/>
    <w:rsid w:val="004D1E55"/>
    <w:rsid w:val="004D23A7"/>
    <w:rsid w:val="004E221E"/>
    <w:rsid w:val="004E2892"/>
    <w:rsid w:val="004E4C0B"/>
    <w:rsid w:val="004E505B"/>
    <w:rsid w:val="004E7CE7"/>
    <w:rsid w:val="004F21C4"/>
    <w:rsid w:val="004F3012"/>
    <w:rsid w:val="004F3B9E"/>
    <w:rsid w:val="004F5559"/>
    <w:rsid w:val="004F685F"/>
    <w:rsid w:val="004F7EC9"/>
    <w:rsid w:val="00504CBE"/>
    <w:rsid w:val="00505795"/>
    <w:rsid w:val="00514598"/>
    <w:rsid w:val="005163B5"/>
    <w:rsid w:val="0052543A"/>
    <w:rsid w:val="00525FDB"/>
    <w:rsid w:val="0052785C"/>
    <w:rsid w:val="00533E1B"/>
    <w:rsid w:val="00540C2D"/>
    <w:rsid w:val="0054335F"/>
    <w:rsid w:val="00545822"/>
    <w:rsid w:val="00552502"/>
    <w:rsid w:val="00554BD4"/>
    <w:rsid w:val="005566E8"/>
    <w:rsid w:val="00560CB5"/>
    <w:rsid w:val="00564F8B"/>
    <w:rsid w:val="00573A01"/>
    <w:rsid w:val="00574122"/>
    <w:rsid w:val="00574867"/>
    <w:rsid w:val="00577D09"/>
    <w:rsid w:val="0058087F"/>
    <w:rsid w:val="00591460"/>
    <w:rsid w:val="00592628"/>
    <w:rsid w:val="00597C75"/>
    <w:rsid w:val="005A0868"/>
    <w:rsid w:val="005A0CFB"/>
    <w:rsid w:val="005A282F"/>
    <w:rsid w:val="005A2AC9"/>
    <w:rsid w:val="005A6C21"/>
    <w:rsid w:val="005B2CCE"/>
    <w:rsid w:val="005B58C1"/>
    <w:rsid w:val="005B6033"/>
    <w:rsid w:val="005C3777"/>
    <w:rsid w:val="005C5CDC"/>
    <w:rsid w:val="005D17C8"/>
    <w:rsid w:val="005D2B2B"/>
    <w:rsid w:val="005D476C"/>
    <w:rsid w:val="005D5F91"/>
    <w:rsid w:val="005D7B25"/>
    <w:rsid w:val="005E6B74"/>
    <w:rsid w:val="005F3CE0"/>
    <w:rsid w:val="005F7C43"/>
    <w:rsid w:val="00601DFC"/>
    <w:rsid w:val="00605537"/>
    <w:rsid w:val="00605A00"/>
    <w:rsid w:val="00610812"/>
    <w:rsid w:val="00612CE7"/>
    <w:rsid w:val="00615F46"/>
    <w:rsid w:val="0062005D"/>
    <w:rsid w:val="006219F8"/>
    <w:rsid w:val="0063165E"/>
    <w:rsid w:val="00632C08"/>
    <w:rsid w:val="00650FF7"/>
    <w:rsid w:val="00656421"/>
    <w:rsid w:val="00660F6A"/>
    <w:rsid w:val="00663B19"/>
    <w:rsid w:val="00665032"/>
    <w:rsid w:val="00665D70"/>
    <w:rsid w:val="00671DAC"/>
    <w:rsid w:val="006747C7"/>
    <w:rsid w:val="006827AC"/>
    <w:rsid w:val="006859A3"/>
    <w:rsid w:val="006900D9"/>
    <w:rsid w:val="006920AE"/>
    <w:rsid w:val="0069328F"/>
    <w:rsid w:val="00697B17"/>
    <w:rsid w:val="006A0008"/>
    <w:rsid w:val="006A10DF"/>
    <w:rsid w:val="006A1E0C"/>
    <w:rsid w:val="006A3147"/>
    <w:rsid w:val="006B14B5"/>
    <w:rsid w:val="006B25DE"/>
    <w:rsid w:val="006B4CA3"/>
    <w:rsid w:val="006C0240"/>
    <w:rsid w:val="006C238E"/>
    <w:rsid w:val="006C5595"/>
    <w:rsid w:val="006D12F8"/>
    <w:rsid w:val="006D4E33"/>
    <w:rsid w:val="006E41C6"/>
    <w:rsid w:val="006F0D40"/>
    <w:rsid w:val="006F2501"/>
    <w:rsid w:val="00700975"/>
    <w:rsid w:val="00704D9B"/>
    <w:rsid w:val="00705E5F"/>
    <w:rsid w:val="00706C16"/>
    <w:rsid w:val="00711C85"/>
    <w:rsid w:val="0071458F"/>
    <w:rsid w:val="0071627C"/>
    <w:rsid w:val="007210B4"/>
    <w:rsid w:val="00723A7F"/>
    <w:rsid w:val="00723F2B"/>
    <w:rsid w:val="007312C3"/>
    <w:rsid w:val="00737C53"/>
    <w:rsid w:val="00737DFA"/>
    <w:rsid w:val="007534CA"/>
    <w:rsid w:val="00756841"/>
    <w:rsid w:val="0076066F"/>
    <w:rsid w:val="00762AA9"/>
    <w:rsid w:val="007649AB"/>
    <w:rsid w:val="007670E3"/>
    <w:rsid w:val="00771D0C"/>
    <w:rsid w:val="00771FD2"/>
    <w:rsid w:val="0078274D"/>
    <w:rsid w:val="007833AC"/>
    <w:rsid w:val="00784D58"/>
    <w:rsid w:val="00786FBF"/>
    <w:rsid w:val="00790AB7"/>
    <w:rsid w:val="007913EA"/>
    <w:rsid w:val="00791487"/>
    <w:rsid w:val="00791769"/>
    <w:rsid w:val="00796340"/>
    <w:rsid w:val="007A23EA"/>
    <w:rsid w:val="007A5189"/>
    <w:rsid w:val="007A77D8"/>
    <w:rsid w:val="007B0D88"/>
    <w:rsid w:val="007B268C"/>
    <w:rsid w:val="007B7171"/>
    <w:rsid w:val="007B7D02"/>
    <w:rsid w:val="007C0C0F"/>
    <w:rsid w:val="007C2E67"/>
    <w:rsid w:val="007C3DC2"/>
    <w:rsid w:val="007C4E2B"/>
    <w:rsid w:val="007D0457"/>
    <w:rsid w:val="007D124A"/>
    <w:rsid w:val="007D43C9"/>
    <w:rsid w:val="007E5497"/>
    <w:rsid w:val="007E635B"/>
    <w:rsid w:val="007F28CA"/>
    <w:rsid w:val="007F52A4"/>
    <w:rsid w:val="007F60FB"/>
    <w:rsid w:val="007F7B94"/>
    <w:rsid w:val="00800789"/>
    <w:rsid w:val="008014B6"/>
    <w:rsid w:val="00804981"/>
    <w:rsid w:val="00806F5F"/>
    <w:rsid w:val="00811270"/>
    <w:rsid w:val="00811E4F"/>
    <w:rsid w:val="008163D7"/>
    <w:rsid w:val="00820278"/>
    <w:rsid w:val="00834554"/>
    <w:rsid w:val="00834B31"/>
    <w:rsid w:val="00840ADC"/>
    <w:rsid w:val="00840E97"/>
    <w:rsid w:val="00841A23"/>
    <w:rsid w:val="00843902"/>
    <w:rsid w:val="00843928"/>
    <w:rsid w:val="00843BF7"/>
    <w:rsid w:val="008449B3"/>
    <w:rsid w:val="00846276"/>
    <w:rsid w:val="00850E23"/>
    <w:rsid w:val="00851137"/>
    <w:rsid w:val="00853978"/>
    <w:rsid w:val="0085432F"/>
    <w:rsid w:val="00856C43"/>
    <w:rsid w:val="00864209"/>
    <w:rsid w:val="0087325B"/>
    <w:rsid w:val="00877EBA"/>
    <w:rsid w:val="0088002A"/>
    <w:rsid w:val="00881ABA"/>
    <w:rsid w:val="008841E9"/>
    <w:rsid w:val="008843B6"/>
    <w:rsid w:val="008853C1"/>
    <w:rsid w:val="00886C89"/>
    <w:rsid w:val="00887569"/>
    <w:rsid w:val="00890EB2"/>
    <w:rsid w:val="00891928"/>
    <w:rsid w:val="00894B8B"/>
    <w:rsid w:val="008961BA"/>
    <w:rsid w:val="008A00A4"/>
    <w:rsid w:val="008A446D"/>
    <w:rsid w:val="008A7A64"/>
    <w:rsid w:val="008A7F08"/>
    <w:rsid w:val="008B2F0E"/>
    <w:rsid w:val="008B5A2E"/>
    <w:rsid w:val="008B6537"/>
    <w:rsid w:val="008D180B"/>
    <w:rsid w:val="008D1BDB"/>
    <w:rsid w:val="008D6CDA"/>
    <w:rsid w:val="008D7227"/>
    <w:rsid w:val="008E1F92"/>
    <w:rsid w:val="008E7333"/>
    <w:rsid w:val="008E7B09"/>
    <w:rsid w:val="008F0EA7"/>
    <w:rsid w:val="008F1CA9"/>
    <w:rsid w:val="008F7BB9"/>
    <w:rsid w:val="0090165B"/>
    <w:rsid w:val="00904692"/>
    <w:rsid w:val="00910097"/>
    <w:rsid w:val="00911C7C"/>
    <w:rsid w:val="0091561E"/>
    <w:rsid w:val="00920849"/>
    <w:rsid w:val="00921980"/>
    <w:rsid w:val="00922F57"/>
    <w:rsid w:val="00923EEF"/>
    <w:rsid w:val="009325CC"/>
    <w:rsid w:val="0093558D"/>
    <w:rsid w:val="009411F5"/>
    <w:rsid w:val="009419F9"/>
    <w:rsid w:val="00942F32"/>
    <w:rsid w:val="009438AA"/>
    <w:rsid w:val="00945B9F"/>
    <w:rsid w:val="00950BE2"/>
    <w:rsid w:val="00953AA4"/>
    <w:rsid w:val="00955305"/>
    <w:rsid w:val="0095685E"/>
    <w:rsid w:val="009572D9"/>
    <w:rsid w:val="009600D2"/>
    <w:rsid w:val="00961409"/>
    <w:rsid w:val="00961B09"/>
    <w:rsid w:val="00962300"/>
    <w:rsid w:val="009624D1"/>
    <w:rsid w:val="00963AD4"/>
    <w:rsid w:val="00965334"/>
    <w:rsid w:val="0097093E"/>
    <w:rsid w:val="00971062"/>
    <w:rsid w:val="009725F1"/>
    <w:rsid w:val="00976025"/>
    <w:rsid w:val="00976F04"/>
    <w:rsid w:val="009800BE"/>
    <w:rsid w:val="00982E41"/>
    <w:rsid w:val="00983B79"/>
    <w:rsid w:val="00983EEA"/>
    <w:rsid w:val="00984649"/>
    <w:rsid w:val="009858BE"/>
    <w:rsid w:val="009A0DFA"/>
    <w:rsid w:val="009A3C2C"/>
    <w:rsid w:val="009A4A40"/>
    <w:rsid w:val="009B2D26"/>
    <w:rsid w:val="009B3595"/>
    <w:rsid w:val="009B5228"/>
    <w:rsid w:val="009B6C8C"/>
    <w:rsid w:val="009B780F"/>
    <w:rsid w:val="009C2DD0"/>
    <w:rsid w:val="009C3AC7"/>
    <w:rsid w:val="009C71FA"/>
    <w:rsid w:val="009C72E7"/>
    <w:rsid w:val="009D0555"/>
    <w:rsid w:val="009D1086"/>
    <w:rsid w:val="009D3058"/>
    <w:rsid w:val="009D3A11"/>
    <w:rsid w:val="009D44C4"/>
    <w:rsid w:val="009D5983"/>
    <w:rsid w:val="009D6427"/>
    <w:rsid w:val="009D67FD"/>
    <w:rsid w:val="009E4636"/>
    <w:rsid w:val="009E5A30"/>
    <w:rsid w:val="009E7C05"/>
    <w:rsid w:val="009F3831"/>
    <w:rsid w:val="009F3832"/>
    <w:rsid w:val="009F3A13"/>
    <w:rsid w:val="009F4AB2"/>
    <w:rsid w:val="009F73F7"/>
    <w:rsid w:val="00A02465"/>
    <w:rsid w:val="00A03415"/>
    <w:rsid w:val="00A04A81"/>
    <w:rsid w:val="00A122D3"/>
    <w:rsid w:val="00A14D3D"/>
    <w:rsid w:val="00A17F13"/>
    <w:rsid w:val="00A20739"/>
    <w:rsid w:val="00A211D0"/>
    <w:rsid w:val="00A23361"/>
    <w:rsid w:val="00A24433"/>
    <w:rsid w:val="00A2443A"/>
    <w:rsid w:val="00A25580"/>
    <w:rsid w:val="00A332DD"/>
    <w:rsid w:val="00A339A9"/>
    <w:rsid w:val="00A33C78"/>
    <w:rsid w:val="00A34B38"/>
    <w:rsid w:val="00A34C1E"/>
    <w:rsid w:val="00A34D87"/>
    <w:rsid w:val="00A35538"/>
    <w:rsid w:val="00A35927"/>
    <w:rsid w:val="00A3685A"/>
    <w:rsid w:val="00A3783B"/>
    <w:rsid w:val="00A37BC4"/>
    <w:rsid w:val="00A42050"/>
    <w:rsid w:val="00A43292"/>
    <w:rsid w:val="00A445C0"/>
    <w:rsid w:val="00A52D82"/>
    <w:rsid w:val="00A56959"/>
    <w:rsid w:val="00A56FCA"/>
    <w:rsid w:val="00A6004A"/>
    <w:rsid w:val="00A613C2"/>
    <w:rsid w:val="00A7332E"/>
    <w:rsid w:val="00A745FA"/>
    <w:rsid w:val="00A74DE6"/>
    <w:rsid w:val="00A75866"/>
    <w:rsid w:val="00A8086A"/>
    <w:rsid w:val="00A80F32"/>
    <w:rsid w:val="00A828F1"/>
    <w:rsid w:val="00A830AD"/>
    <w:rsid w:val="00A86E16"/>
    <w:rsid w:val="00A87F7D"/>
    <w:rsid w:val="00A91418"/>
    <w:rsid w:val="00A9244C"/>
    <w:rsid w:val="00A94B0C"/>
    <w:rsid w:val="00A94D14"/>
    <w:rsid w:val="00A95106"/>
    <w:rsid w:val="00A95A1A"/>
    <w:rsid w:val="00AA1328"/>
    <w:rsid w:val="00AA23BB"/>
    <w:rsid w:val="00AA351F"/>
    <w:rsid w:val="00AB0ADB"/>
    <w:rsid w:val="00AB1841"/>
    <w:rsid w:val="00AB3FD1"/>
    <w:rsid w:val="00AC0DF9"/>
    <w:rsid w:val="00AC0EAB"/>
    <w:rsid w:val="00AC4701"/>
    <w:rsid w:val="00AC49A2"/>
    <w:rsid w:val="00AD73E2"/>
    <w:rsid w:val="00AE2631"/>
    <w:rsid w:val="00AE3D6C"/>
    <w:rsid w:val="00AF1BEC"/>
    <w:rsid w:val="00AF54CA"/>
    <w:rsid w:val="00B009B8"/>
    <w:rsid w:val="00B01B1A"/>
    <w:rsid w:val="00B0268A"/>
    <w:rsid w:val="00B0410F"/>
    <w:rsid w:val="00B07DDD"/>
    <w:rsid w:val="00B14E03"/>
    <w:rsid w:val="00B26B98"/>
    <w:rsid w:val="00B35201"/>
    <w:rsid w:val="00B35ADC"/>
    <w:rsid w:val="00B37C24"/>
    <w:rsid w:val="00B40FBC"/>
    <w:rsid w:val="00B427E2"/>
    <w:rsid w:val="00B46F27"/>
    <w:rsid w:val="00B47FD7"/>
    <w:rsid w:val="00B51F75"/>
    <w:rsid w:val="00B52169"/>
    <w:rsid w:val="00B53E27"/>
    <w:rsid w:val="00B558AF"/>
    <w:rsid w:val="00B615BA"/>
    <w:rsid w:val="00B62D8B"/>
    <w:rsid w:val="00B72CD3"/>
    <w:rsid w:val="00B72FFF"/>
    <w:rsid w:val="00B76CEB"/>
    <w:rsid w:val="00B80CC6"/>
    <w:rsid w:val="00B8257D"/>
    <w:rsid w:val="00B82B8B"/>
    <w:rsid w:val="00B86FE2"/>
    <w:rsid w:val="00B91186"/>
    <w:rsid w:val="00B93423"/>
    <w:rsid w:val="00B93E58"/>
    <w:rsid w:val="00B948E8"/>
    <w:rsid w:val="00BA0A22"/>
    <w:rsid w:val="00BA2EF4"/>
    <w:rsid w:val="00BA6BE0"/>
    <w:rsid w:val="00BB22DA"/>
    <w:rsid w:val="00BB2C9D"/>
    <w:rsid w:val="00BC0036"/>
    <w:rsid w:val="00BC05A6"/>
    <w:rsid w:val="00BC3D36"/>
    <w:rsid w:val="00BC4B34"/>
    <w:rsid w:val="00BC7498"/>
    <w:rsid w:val="00BD424C"/>
    <w:rsid w:val="00BD46D0"/>
    <w:rsid w:val="00BD4BCA"/>
    <w:rsid w:val="00BD7F72"/>
    <w:rsid w:val="00BE03BC"/>
    <w:rsid w:val="00BE0896"/>
    <w:rsid w:val="00BE0A18"/>
    <w:rsid w:val="00BF0D99"/>
    <w:rsid w:val="00BF1201"/>
    <w:rsid w:val="00BF1D4A"/>
    <w:rsid w:val="00BF230F"/>
    <w:rsid w:val="00C002E3"/>
    <w:rsid w:val="00C012CC"/>
    <w:rsid w:val="00C04FB3"/>
    <w:rsid w:val="00C06C4F"/>
    <w:rsid w:val="00C147D0"/>
    <w:rsid w:val="00C159C1"/>
    <w:rsid w:val="00C16346"/>
    <w:rsid w:val="00C166F4"/>
    <w:rsid w:val="00C21B15"/>
    <w:rsid w:val="00C21B8C"/>
    <w:rsid w:val="00C32523"/>
    <w:rsid w:val="00C3281B"/>
    <w:rsid w:val="00C330EB"/>
    <w:rsid w:val="00C34712"/>
    <w:rsid w:val="00C371C9"/>
    <w:rsid w:val="00C40E9F"/>
    <w:rsid w:val="00C41481"/>
    <w:rsid w:val="00C42469"/>
    <w:rsid w:val="00C46D91"/>
    <w:rsid w:val="00C47A07"/>
    <w:rsid w:val="00C47B74"/>
    <w:rsid w:val="00C50855"/>
    <w:rsid w:val="00C53DF6"/>
    <w:rsid w:val="00C57281"/>
    <w:rsid w:val="00C57E63"/>
    <w:rsid w:val="00C65D65"/>
    <w:rsid w:val="00C66D80"/>
    <w:rsid w:val="00C67703"/>
    <w:rsid w:val="00C7173F"/>
    <w:rsid w:val="00C730B6"/>
    <w:rsid w:val="00C7352F"/>
    <w:rsid w:val="00C7482D"/>
    <w:rsid w:val="00C754BE"/>
    <w:rsid w:val="00C76466"/>
    <w:rsid w:val="00C76B1C"/>
    <w:rsid w:val="00C82239"/>
    <w:rsid w:val="00C90209"/>
    <w:rsid w:val="00C915DD"/>
    <w:rsid w:val="00C91B94"/>
    <w:rsid w:val="00C92665"/>
    <w:rsid w:val="00CA4272"/>
    <w:rsid w:val="00CA6A9D"/>
    <w:rsid w:val="00CA7F6B"/>
    <w:rsid w:val="00CB6357"/>
    <w:rsid w:val="00CC0FA3"/>
    <w:rsid w:val="00CC1B26"/>
    <w:rsid w:val="00CC49F7"/>
    <w:rsid w:val="00CC50EF"/>
    <w:rsid w:val="00CC54DB"/>
    <w:rsid w:val="00CC7787"/>
    <w:rsid w:val="00CD087D"/>
    <w:rsid w:val="00CD1796"/>
    <w:rsid w:val="00CD41CB"/>
    <w:rsid w:val="00CD5EE0"/>
    <w:rsid w:val="00CE02A2"/>
    <w:rsid w:val="00CE3273"/>
    <w:rsid w:val="00CE509A"/>
    <w:rsid w:val="00CE5414"/>
    <w:rsid w:val="00CF241F"/>
    <w:rsid w:val="00CF7826"/>
    <w:rsid w:val="00D0157A"/>
    <w:rsid w:val="00D036D8"/>
    <w:rsid w:val="00D038ED"/>
    <w:rsid w:val="00D06D26"/>
    <w:rsid w:val="00D07A67"/>
    <w:rsid w:val="00D10B75"/>
    <w:rsid w:val="00D13351"/>
    <w:rsid w:val="00D15E25"/>
    <w:rsid w:val="00D20368"/>
    <w:rsid w:val="00D22361"/>
    <w:rsid w:val="00D22598"/>
    <w:rsid w:val="00D26924"/>
    <w:rsid w:val="00D35468"/>
    <w:rsid w:val="00D37044"/>
    <w:rsid w:val="00D413F6"/>
    <w:rsid w:val="00D4231B"/>
    <w:rsid w:val="00D423A2"/>
    <w:rsid w:val="00D45E4A"/>
    <w:rsid w:val="00D520D8"/>
    <w:rsid w:val="00D52961"/>
    <w:rsid w:val="00D55048"/>
    <w:rsid w:val="00D56C6D"/>
    <w:rsid w:val="00D57FA4"/>
    <w:rsid w:val="00D62DE7"/>
    <w:rsid w:val="00D63AC2"/>
    <w:rsid w:val="00D665B4"/>
    <w:rsid w:val="00D7080D"/>
    <w:rsid w:val="00D7383B"/>
    <w:rsid w:val="00D7609E"/>
    <w:rsid w:val="00D81A63"/>
    <w:rsid w:val="00D81D25"/>
    <w:rsid w:val="00D85C60"/>
    <w:rsid w:val="00D86C54"/>
    <w:rsid w:val="00D91F8B"/>
    <w:rsid w:val="00D94C40"/>
    <w:rsid w:val="00DA231B"/>
    <w:rsid w:val="00DA23A0"/>
    <w:rsid w:val="00DA7F66"/>
    <w:rsid w:val="00DB186F"/>
    <w:rsid w:val="00DB77B8"/>
    <w:rsid w:val="00DC1E6B"/>
    <w:rsid w:val="00DC39FC"/>
    <w:rsid w:val="00DC4385"/>
    <w:rsid w:val="00DC484F"/>
    <w:rsid w:val="00DC4C27"/>
    <w:rsid w:val="00DC51BC"/>
    <w:rsid w:val="00DC78A7"/>
    <w:rsid w:val="00DC793F"/>
    <w:rsid w:val="00DE3BDD"/>
    <w:rsid w:val="00DE4629"/>
    <w:rsid w:val="00DE58C9"/>
    <w:rsid w:val="00DE6EAA"/>
    <w:rsid w:val="00DF11FD"/>
    <w:rsid w:val="00DF5254"/>
    <w:rsid w:val="00E052F2"/>
    <w:rsid w:val="00E12426"/>
    <w:rsid w:val="00E14EB2"/>
    <w:rsid w:val="00E16408"/>
    <w:rsid w:val="00E20894"/>
    <w:rsid w:val="00E2397D"/>
    <w:rsid w:val="00E23B70"/>
    <w:rsid w:val="00E245AB"/>
    <w:rsid w:val="00E26239"/>
    <w:rsid w:val="00E2764C"/>
    <w:rsid w:val="00E27F2E"/>
    <w:rsid w:val="00E35539"/>
    <w:rsid w:val="00E413EA"/>
    <w:rsid w:val="00E47F28"/>
    <w:rsid w:val="00E50AFE"/>
    <w:rsid w:val="00E52E49"/>
    <w:rsid w:val="00E577AC"/>
    <w:rsid w:val="00E578B6"/>
    <w:rsid w:val="00E61547"/>
    <w:rsid w:val="00E61702"/>
    <w:rsid w:val="00E75B66"/>
    <w:rsid w:val="00E75C92"/>
    <w:rsid w:val="00E761BC"/>
    <w:rsid w:val="00E76808"/>
    <w:rsid w:val="00E770CD"/>
    <w:rsid w:val="00E771DC"/>
    <w:rsid w:val="00E77478"/>
    <w:rsid w:val="00E77E1B"/>
    <w:rsid w:val="00E8013F"/>
    <w:rsid w:val="00E80C38"/>
    <w:rsid w:val="00E84431"/>
    <w:rsid w:val="00E847D2"/>
    <w:rsid w:val="00E85AA8"/>
    <w:rsid w:val="00E870E5"/>
    <w:rsid w:val="00E8772A"/>
    <w:rsid w:val="00E90F6B"/>
    <w:rsid w:val="00E91079"/>
    <w:rsid w:val="00E92C27"/>
    <w:rsid w:val="00E92E10"/>
    <w:rsid w:val="00EA0E3D"/>
    <w:rsid w:val="00EA14C6"/>
    <w:rsid w:val="00EA1CD8"/>
    <w:rsid w:val="00EA29F8"/>
    <w:rsid w:val="00EA393B"/>
    <w:rsid w:val="00EA39A5"/>
    <w:rsid w:val="00EA65CD"/>
    <w:rsid w:val="00EB2C4B"/>
    <w:rsid w:val="00EB3BB3"/>
    <w:rsid w:val="00EB7E00"/>
    <w:rsid w:val="00EC1A2C"/>
    <w:rsid w:val="00EC1FE1"/>
    <w:rsid w:val="00EC38A7"/>
    <w:rsid w:val="00ED042A"/>
    <w:rsid w:val="00ED0D4A"/>
    <w:rsid w:val="00EE1AA8"/>
    <w:rsid w:val="00EE6DCD"/>
    <w:rsid w:val="00EF26C3"/>
    <w:rsid w:val="00EF419E"/>
    <w:rsid w:val="00EF489F"/>
    <w:rsid w:val="00F00796"/>
    <w:rsid w:val="00F11213"/>
    <w:rsid w:val="00F11BAA"/>
    <w:rsid w:val="00F177C1"/>
    <w:rsid w:val="00F17EB6"/>
    <w:rsid w:val="00F238F2"/>
    <w:rsid w:val="00F248A2"/>
    <w:rsid w:val="00F260AA"/>
    <w:rsid w:val="00F27B26"/>
    <w:rsid w:val="00F30B1C"/>
    <w:rsid w:val="00F31EDC"/>
    <w:rsid w:val="00F34D02"/>
    <w:rsid w:val="00F34E84"/>
    <w:rsid w:val="00F40BAD"/>
    <w:rsid w:val="00F45C0D"/>
    <w:rsid w:val="00F462B3"/>
    <w:rsid w:val="00F463A0"/>
    <w:rsid w:val="00F50DC9"/>
    <w:rsid w:val="00F5184B"/>
    <w:rsid w:val="00F5491E"/>
    <w:rsid w:val="00F55081"/>
    <w:rsid w:val="00F55168"/>
    <w:rsid w:val="00F5664F"/>
    <w:rsid w:val="00F56E8F"/>
    <w:rsid w:val="00F61ABB"/>
    <w:rsid w:val="00F626C4"/>
    <w:rsid w:val="00F64D9E"/>
    <w:rsid w:val="00F664EC"/>
    <w:rsid w:val="00F666C4"/>
    <w:rsid w:val="00F7684C"/>
    <w:rsid w:val="00F76AFC"/>
    <w:rsid w:val="00F80CBE"/>
    <w:rsid w:val="00F85198"/>
    <w:rsid w:val="00F85237"/>
    <w:rsid w:val="00F939CB"/>
    <w:rsid w:val="00F9479C"/>
    <w:rsid w:val="00F965EE"/>
    <w:rsid w:val="00F97949"/>
    <w:rsid w:val="00FA1110"/>
    <w:rsid w:val="00FA1361"/>
    <w:rsid w:val="00FA34EC"/>
    <w:rsid w:val="00FA358D"/>
    <w:rsid w:val="00FA47C0"/>
    <w:rsid w:val="00FB4425"/>
    <w:rsid w:val="00FB4F08"/>
    <w:rsid w:val="00FB5615"/>
    <w:rsid w:val="00FB5DD1"/>
    <w:rsid w:val="00FB5F87"/>
    <w:rsid w:val="00FC07B5"/>
    <w:rsid w:val="00FC2B5D"/>
    <w:rsid w:val="00FD00BB"/>
    <w:rsid w:val="00FD00E9"/>
    <w:rsid w:val="00FD03E3"/>
    <w:rsid w:val="00FD108E"/>
    <w:rsid w:val="00FD653F"/>
    <w:rsid w:val="00FE122A"/>
    <w:rsid w:val="00FE1ADE"/>
    <w:rsid w:val="00FE20E6"/>
    <w:rsid w:val="00FE3927"/>
    <w:rsid w:val="00FF1187"/>
    <w:rsid w:val="00FF1449"/>
    <w:rsid w:val="00FF74EA"/>
    <w:rsid w:val="0FB71FC4"/>
    <w:rsid w:val="2832C13D"/>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5E21"/>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08328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08328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8328D"/>
    <w:rPr>
      <w:rFonts w:ascii="Geomanist Light" w:hAnsi="Geomanist Light"/>
      <w:lang w:val="es-ES"/>
    </w:rPr>
  </w:style>
  <w:style w:type="character" w:styleId="Textoennegrita">
    <w:name w:val="Strong"/>
    <w:basedOn w:val="Fuentedeprrafopredeter"/>
    <w:uiPriority w:val="22"/>
    <w:qFormat/>
    <w:rsid w:val="0008328D"/>
    <w:rPr>
      <w:b/>
      <w:bCs/>
    </w:rPr>
  </w:style>
  <w:style w:type="paragraph" w:customStyle="1" w:styleId="fn1">
    <w:name w:val="fn1"/>
    <w:basedOn w:val="Normal"/>
    <w:next w:val="Textonotapie"/>
    <w:uiPriority w:val="99"/>
    <w:unhideWhenUsed/>
    <w:qFormat/>
    <w:rsid w:val="004F3012"/>
    <w:pPr>
      <w:spacing w:after="0" w:line="240" w:lineRule="auto"/>
    </w:pPr>
    <w:rPr>
      <w:sz w:val="20"/>
      <w:szCs w:val="20"/>
      <w:lang w:val="es-MX"/>
    </w:rPr>
  </w:style>
  <w:style w:type="paragraph" w:styleId="Textoindependiente">
    <w:name w:val="Body Text"/>
    <w:basedOn w:val="Normal"/>
    <w:link w:val="TextoindependienteCar"/>
    <w:uiPriority w:val="1"/>
    <w:qFormat/>
    <w:rsid w:val="00FF74EA"/>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99"/>
    <w:rsid w:val="00FF74EA"/>
    <w:rPr>
      <w:rFonts w:ascii="Arial" w:eastAsia="Arial" w:hAnsi="Arial" w:cs="Arial"/>
      <w:lang w:val="es-ES"/>
    </w:rPr>
  </w:style>
  <w:style w:type="character" w:customStyle="1" w:styleId="NormalWebCar">
    <w:name w:val="Normal (Web) Car"/>
    <w:link w:val="NormalWeb"/>
    <w:uiPriority w:val="99"/>
    <w:locked/>
    <w:rsid w:val="00FF74EA"/>
    <w:rPr>
      <w:rFonts w:ascii="Times New Roman" w:eastAsia="Times New Roman" w:hAnsi="Times New Roman" w:cs="Times New Roman"/>
      <w:sz w:val="24"/>
      <w:szCs w:val="24"/>
      <w:lang w:eastAsia="es-CO"/>
    </w:rPr>
  </w:style>
  <w:style w:type="character" w:styleId="nfasis">
    <w:name w:val="Emphasis"/>
    <w:basedOn w:val="Fuentedeprrafopredeter"/>
    <w:uiPriority w:val="20"/>
    <w:qFormat/>
    <w:rsid w:val="00A24433"/>
    <w:rPr>
      <w:i/>
      <w:iCs/>
    </w:rPr>
  </w:style>
  <w:style w:type="character" w:styleId="Refdecomentario">
    <w:name w:val="annotation reference"/>
    <w:basedOn w:val="Fuentedeprrafopredeter"/>
    <w:uiPriority w:val="99"/>
    <w:semiHidden/>
    <w:unhideWhenUsed/>
    <w:rsid w:val="0052785C"/>
    <w:rPr>
      <w:sz w:val="16"/>
      <w:szCs w:val="16"/>
    </w:rPr>
  </w:style>
  <w:style w:type="paragraph" w:styleId="Textocomentario">
    <w:name w:val="annotation text"/>
    <w:basedOn w:val="Normal"/>
    <w:link w:val="TextocomentarioCar"/>
    <w:uiPriority w:val="99"/>
    <w:unhideWhenUsed/>
    <w:rsid w:val="0052785C"/>
    <w:pPr>
      <w:spacing w:line="240" w:lineRule="auto"/>
    </w:pPr>
    <w:rPr>
      <w:sz w:val="20"/>
      <w:szCs w:val="20"/>
    </w:rPr>
  </w:style>
  <w:style w:type="character" w:customStyle="1" w:styleId="TextocomentarioCar">
    <w:name w:val="Texto comentario Car"/>
    <w:basedOn w:val="Fuentedeprrafopredeter"/>
    <w:link w:val="Textocomentario"/>
    <w:uiPriority w:val="99"/>
    <w:rsid w:val="0052785C"/>
    <w:rPr>
      <w:sz w:val="20"/>
      <w:szCs w:val="20"/>
    </w:rPr>
  </w:style>
  <w:style w:type="paragraph" w:styleId="Asuntodelcomentario">
    <w:name w:val="annotation subject"/>
    <w:basedOn w:val="Textocomentario"/>
    <w:next w:val="Textocomentario"/>
    <w:link w:val="AsuntodelcomentarioCar"/>
    <w:uiPriority w:val="99"/>
    <w:semiHidden/>
    <w:unhideWhenUsed/>
    <w:rsid w:val="0052785C"/>
    <w:rPr>
      <w:b/>
      <w:bCs/>
    </w:rPr>
  </w:style>
  <w:style w:type="character" w:customStyle="1" w:styleId="AsuntodelcomentarioCar">
    <w:name w:val="Asunto del comentario Car"/>
    <w:basedOn w:val="TextocomentarioCar"/>
    <w:link w:val="Asuntodelcomentario"/>
    <w:uiPriority w:val="99"/>
    <w:semiHidden/>
    <w:rsid w:val="0052785C"/>
    <w:rPr>
      <w:b/>
      <w:bCs/>
      <w:sz w:val="20"/>
      <w:szCs w:val="20"/>
    </w:rPr>
  </w:style>
  <w:style w:type="paragraph" w:styleId="Textodeglobo">
    <w:name w:val="Balloon Text"/>
    <w:basedOn w:val="Normal"/>
    <w:link w:val="TextodegloboCar"/>
    <w:uiPriority w:val="99"/>
    <w:semiHidden/>
    <w:unhideWhenUsed/>
    <w:rsid w:val="0012076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20766"/>
    <w:rPr>
      <w:rFonts w:ascii="Segoe UI" w:hAnsi="Segoe UI" w:cs="Segoe UI"/>
      <w:sz w:val="18"/>
      <w:szCs w:val="18"/>
    </w:rPr>
  </w:style>
  <w:style w:type="paragraph" w:styleId="Subttulo">
    <w:name w:val="Subtitle"/>
    <w:basedOn w:val="Normal"/>
    <w:next w:val="Normal"/>
    <w:link w:val="SubttuloCar"/>
    <w:uiPriority w:val="11"/>
    <w:qFormat/>
    <w:rsid w:val="00AC0DF9"/>
    <w:pPr>
      <w:numPr>
        <w:ilvl w:val="1"/>
      </w:numPr>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AC0DF9"/>
    <w:rPr>
      <w:rFonts w:eastAsiaTheme="minorEastAsia"/>
      <w:color w:val="5A5A5A" w:themeColor="text1" w:themeTint="A5"/>
      <w:spacing w:val="15"/>
    </w:rPr>
  </w:style>
  <w:style w:type="character" w:customStyle="1" w:styleId="baj">
    <w:name w:val="b_aj"/>
    <w:basedOn w:val="Fuentedeprrafopredeter"/>
    <w:rsid w:val="00E2397D"/>
  </w:style>
  <w:style w:type="paragraph" w:customStyle="1" w:styleId="Textoindependiente1">
    <w:name w:val="Texto independiente1"/>
    <w:basedOn w:val="Normal"/>
    <w:next w:val="Textoindependiente"/>
    <w:uiPriority w:val="99"/>
    <w:unhideWhenUsed/>
    <w:rsid w:val="006B14B5"/>
    <w:pPr>
      <w:spacing w:after="120"/>
    </w:pPr>
    <w:rPr>
      <w:kern w:val="2"/>
      <w:sz w:val="24"/>
      <w:szCs w:val="24"/>
      <w14:ligatures w14:val="standardContextual"/>
    </w:rPr>
  </w:style>
  <w:style w:type="paragraph" w:customStyle="1" w:styleId="Textoindependiente2">
    <w:name w:val="Texto independiente2"/>
    <w:basedOn w:val="Normal"/>
    <w:next w:val="Textoindependiente"/>
    <w:uiPriority w:val="99"/>
    <w:semiHidden/>
    <w:unhideWhenUsed/>
    <w:rsid w:val="006B14B5"/>
    <w:pPr>
      <w:spacing w:after="120"/>
    </w:pPr>
  </w:style>
  <w:style w:type="character" w:styleId="Mencinsinresolver">
    <w:name w:val="Unresolved Mention"/>
    <w:basedOn w:val="Fuentedeprrafopredeter"/>
    <w:uiPriority w:val="99"/>
    <w:semiHidden/>
    <w:unhideWhenUsed/>
    <w:rsid w:val="004D1E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460877566">
      <w:bodyDiv w:val="1"/>
      <w:marLeft w:val="0"/>
      <w:marRight w:val="0"/>
      <w:marTop w:val="0"/>
      <w:marBottom w:val="0"/>
      <w:divBdr>
        <w:top w:val="none" w:sz="0" w:space="0" w:color="auto"/>
        <w:left w:val="none" w:sz="0" w:space="0" w:color="auto"/>
        <w:bottom w:val="none" w:sz="0" w:space="0" w:color="auto"/>
        <w:right w:val="none" w:sz="0" w:space="0" w:color="auto"/>
      </w:divBdr>
    </w:div>
    <w:div w:id="502475250">
      <w:bodyDiv w:val="1"/>
      <w:marLeft w:val="0"/>
      <w:marRight w:val="0"/>
      <w:marTop w:val="0"/>
      <w:marBottom w:val="0"/>
      <w:divBdr>
        <w:top w:val="none" w:sz="0" w:space="0" w:color="auto"/>
        <w:left w:val="none" w:sz="0" w:space="0" w:color="auto"/>
        <w:bottom w:val="none" w:sz="0" w:space="0" w:color="auto"/>
        <w:right w:val="none" w:sz="0" w:space="0" w:color="auto"/>
      </w:divBdr>
    </w:div>
    <w:div w:id="513416965">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48189111">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3744084">
      <w:bodyDiv w:val="1"/>
      <w:marLeft w:val="0"/>
      <w:marRight w:val="0"/>
      <w:marTop w:val="0"/>
      <w:marBottom w:val="0"/>
      <w:divBdr>
        <w:top w:val="none" w:sz="0" w:space="0" w:color="auto"/>
        <w:left w:val="none" w:sz="0" w:space="0" w:color="auto"/>
        <w:bottom w:val="none" w:sz="0" w:space="0" w:color="auto"/>
        <w:right w:val="none" w:sz="0" w:space="0" w:color="auto"/>
      </w:divBdr>
      <w:divsChild>
        <w:div w:id="1665283950">
          <w:marLeft w:val="0"/>
          <w:marRight w:val="0"/>
          <w:marTop w:val="0"/>
          <w:marBottom w:val="160"/>
          <w:divBdr>
            <w:top w:val="none" w:sz="0" w:space="0" w:color="auto"/>
            <w:left w:val="none" w:sz="0" w:space="0" w:color="auto"/>
            <w:bottom w:val="none" w:sz="0" w:space="0" w:color="auto"/>
            <w:right w:val="none" w:sz="0" w:space="0" w:color="auto"/>
          </w:divBdr>
        </w:div>
        <w:div w:id="133375842">
          <w:marLeft w:val="0"/>
          <w:marRight w:val="0"/>
          <w:marTop w:val="0"/>
          <w:marBottom w:val="160"/>
          <w:divBdr>
            <w:top w:val="none" w:sz="0" w:space="0" w:color="auto"/>
            <w:left w:val="none" w:sz="0" w:space="0" w:color="auto"/>
            <w:bottom w:val="none" w:sz="0" w:space="0" w:color="auto"/>
            <w:right w:val="none" w:sz="0" w:space="0" w:color="auto"/>
          </w:divBdr>
        </w:div>
        <w:div w:id="1806265997">
          <w:marLeft w:val="0"/>
          <w:marRight w:val="0"/>
          <w:marTop w:val="0"/>
          <w:marBottom w:val="160"/>
          <w:divBdr>
            <w:top w:val="none" w:sz="0" w:space="0" w:color="auto"/>
            <w:left w:val="none" w:sz="0" w:space="0" w:color="auto"/>
            <w:bottom w:val="none" w:sz="0" w:space="0" w:color="auto"/>
            <w:right w:val="none" w:sz="0" w:space="0" w:color="auto"/>
          </w:divBdr>
        </w:div>
      </w:divsChild>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910313656">
      <w:bodyDiv w:val="1"/>
      <w:marLeft w:val="0"/>
      <w:marRight w:val="0"/>
      <w:marTop w:val="0"/>
      <w:marBottom w:val="0"/>
      <w:divBdr>
        <w:top w:val="none" w:sz="0" w:space="0" w:color="auto"/>
        <w:left w:val="none" w:sz="0" w:space="0" w:color="auto"/>
        <w:bottom w:val="none" w:sz="0" w:space="0" w:color="auto"/>
        <w:right w:val="none" w:sz="0" w:space="0" w:color="auto"/>
      </w:divBdr>
    </w:div>
    <w:div w:id="930629713">
      <w:bodyDiv w:val="1"/>
      <w:marLeft w:val="0"/>
      <w:marRight w:val="0"/>
      <w:marTop w:val="0"/>
      <w:marBottom w:val="0"/>
      <w:divBdr>
        <w:top w:val="none" w:sz="0" w:space="0" w:color="auto"/>
        <w:left w:val="none" w:sz="0" w:space="0" w:color="auto"/>
        <w:bottom w:val="none" w:sz="0" w:space="0" w:color="auto"/>
        <w:right w:val="none" w:sz="0" w:space="0" w:color="auto"/>
      </w:divBdr>
      <w:divsChild>
        <w:div w:id="1038821504">
          <w:marLeft w:val="0"/>
          <w:marRight w:val="0"/>
          <w:marTop w:val="0"/>
          <w:marBottom w:val="0"/>
          <w:divBdr>
            <w:top w:val="none" w:sz="0" w:space="0" w:color="auto"/>
            <w:left w:val="none" w:sz="0" w:space="0" w:color="auto"/>
            <w:bottom w:val="none" w:sz="0" w:space="0" w:color="auto"/>
            <w:right w:val="none" w:sz="0" w:space="0" w:color="auto"/>
          </w:divBdr>
        </w:div>
      </w:divsChild>
    </w:div>
    <w:div w:id="939751492">
      <w:bodyDiv w:val="1"/>
      <w:marLeft w:val="0"/>
      <w:marRight w:val="0"/>
      <w:marTop w:val="0"/>
      <w:marBottom w:val="0"/>
      <w:divBdr>
        <w:top w:val="none" w:sz="0" w:space="0" w:color="auto"/>
        <w:left w:val="none" w:sz="0" w:space="0" w:color="auto"/>
        <w:bottom w:val="none" w:sz="0" w:space="0" w:color="auto"/>
        <w:right w:val="none" w:sz="0" w:space="0" w:color="auto"/>
      </w:divBdr>
    </w:div>
    <w:div w:id="1002976885">
      <w:bodyDiv w:val="1"/>
      <w:marLeft w:val="0"/>
      <w:marRight w:val="0"/>
      <w:marTop w:val="0"/>
      <w:marBottom w:val="0"/>
      <w:divBdr>
        <w:top w:val="none" w:sz="0" w:space="0" w:color="auto"/>
        <w:left w:val="none" w:sz="0" w:space="0" w:color="auto"/>
        <w:bottom w:val="none" w:sz="0" w:space="0" w:color="auto"/>
        <w:right w:val="none" w:sz="0" w:space="0" w:color="auto"/>
      </w:divBdr>
    </w:div>
    <w:div w:id="1025399029">
      <w:bodyDiv w:val="1"/>
      <w:marLeft w:val="0"/>
      <w:marRight w:val="0"/>
      <w:marTop w:val="0"/>
      <w:marBottom w:val="0"/>
      <w:divBdr>
        <w:top w:val="none" w:sz="0" w:space="0" w:color="auto"/>
        <w:left w:val="none" w:sz="0" w:space="0" w:color="auto"/>
        <w:bottom w:val="none" w:sz="0" w:space="0" w:color="auto"/>
        <w:right w:val="none" w:sz="0" w:space="0" w:color="auto"/>
      </w:divBdr>
    </w:div>
    <w:div w:id="1078407130">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36013034">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381632463">
      <w:bodyDiv w:val="1"/>
      <w:marLeft w:val="0"/>
      <w:marRight w:val="0"/>
      <w:marTop w:val="0"/>
      <w:marBottom w:val="0"/>
      <w:divBdr>
        <w:top w:val="none" w:sz="0" w:space="0" w:color="auto"/>
        <w:left w:val="none" w:sz="0" w:space="0" w:color="auto"/>
        <w:bottom w:val="none" w:sz="0" w:space="0" w:color="auto"/>
        <w:right w:val="none" w:sz="0" w:space="0" w:color="auto"/>
      </w:divBdr>
    </w:div>
    <w:div w:id="1388527428">
      <w:bodyDiv w:val="1"/>
      <w:marLeft w:val="0"/>
      <w:marRight w:val="0"/>
      <w:marTop w:val="0"/>
      <w:marBottom w:val="0"/>
      <w:divBdr>
        <w:top w:val="none" w:sz="0" w:space="0" w:color="auto"/>
        <w:left w:val="none" w:sz="0" w:space="0" w:color="auto"/>
        <w:bottom w:val="none" w:sz="0" w:space="0" w:color="auto"/>
        <w:right w:val="none" w:sz="0" w:space="0" w:color="auto"/>
      </w:divBdr>
      <w:divsChild>
        <w:div w:id="1126967197">
          <w:marLeft w:val="0"/>
          <w:marRight w:val="0"/>
          <w:marTop w:val="0"/>
          <w:marBottom w:val="160"/>
          <w:divBdr>
            <w:top w:val="none" w:sz="0" w:space="0" w:color="auto"/>
            <w:left w:val="none" w:sz="0" w:space="0" w:color="auto"/>
            <w:bottom w:val="none" w:sz="0" w:space="0" w:color="auto"/>
            <w:right w:val="none" w:sz="0" w:space="0" w:color="auto"/>
          </w:divBdr>
        </w:div>
        <w:div w:id="1450123274">
          <w:marLeft w:val="0"/>
          <w:marRight w:val="0"/>
          <w:marTop w:val="0"/>
          <w:marBottom w:val="160"/>
          <w:divBdr>
            <w:top w:val="none" w:sz="0" w:space="0" w:color="auto"/>
            <w:left w:val="none" w:sz="0" w:space="0" w:color="auto"/>
            <w:bottom w:val="none" w:sz="0" w:space="0" w:color="auto"/>
            <w:right w:val="none" w:sz="0" w:space="0" w:color="auto"/>
          </w:divBdr>
        </w:div>
        <w:div w:id="522205550">
          <w:marLeft w:val="0"/>
          <w:marRight w:val="0"/>
          <w:marTop w:val="0"/>
          <w:marBottom w:val="160"/>
          <w:divBdr>
            <w:top w:val="none" w:sz="0" w:space="0" w:color="auto"/>
            <w:left w:val="none" w:sz="0" w:space="0" w:color="auto"/>
            <w:bottom w:val="none" w:sz="0" w:space="0" w:color="auto"/>
            <w:right w:val="none" w:sz="0" w:space="0" w:color="auto"/>
          </w:divBdr>
        </w:div>
      </w:divsChild>
    </w:div>
    <w:div w:id="1390762709">
      <w:bodyDiv w:val="1"/>
      <w:marLeft w:val="0"/>
      <w:marRight w:val="0"/>
      <w:marTop w:val="0"/>
      <w:marBottom w:val="0"/>
      <w:divBdr>
        <w:top w:val="none" w:sz="0" w:space="0" w:color="auto"/>
        <w:left w:val="none" w:sz="0" w:space="0" w:color="auto"/>
        <w:bottom w:val="none" w:sz="0" w:space="0" w:color="auto"/>
        <w:right w:val="none" w:sz="0" w:space="0" w:color="auto"/>
      </w:divBdr>
    </w:div>
    <w:div w:id="1471678187">
      <w:bodyDiv w:val="1"/>
      <w:marLeft w:val="0"/>
      <w:marRight w:val="0"/>
      <w:marTop w:val="0"/>
      <w:marBottom w:val="0"/>
      <w:divBdr>
        <w:top w:val="none" w:sz="0" w:space="0" w:color="auto"/>
        <w:left w:val="none" w:sz="0" w:space="0" w:color="auto"/>
        <w:bottom w:val="none" w:sz="0" w:space="0" w:color="auto"/>
        <w:right w:val="none" w:sz="0" w:space="0" w:color="auto"/>
      </w:divBdr>
      <w:divsChild>
        <w:div w:id="331952033">
          <w:marLeft w:val="0"/>
          <w:marRight w:val="0"/>
          <w:marTop w:val="0"/>
          <w:marBottom w:val="0"/>
          <w:divBdr>
            <w:top w:val="none" w:sz="0" w:space="0" w:color="auto"/>
            <w:left w:val="none" w:sz="0" w:space="0" w:color="auto"/>
            <w:bottom w:val="none" w:sz="0" w:space="0" w:color="auto"/>
            <w:right w:val="none" w:sz="0" w:space="0" w:color="auto"/>
          </w:divBdr>
        </w:div>
        <w:div w:id="1549146269">
          <w:marLeft w:val="0"/>
          <w:marRight w:val="0"/>
          <w:marTop w:val="0"/>
          <w:marBottom w:val="0"/>
          <w:divBdr>
            <w:top w:val="none" w:sz="0" w:space="0" w:color="auto"/>
            <w:left w:val="none" w:sz="0" w:space="0" w:color="auto"/>
            <w:bottom w:val="none" w:sz="0" w:space="0" w:color="auto"/>
            <w:right w:val="none" w:sz="0" w:space="0" w:color="auto"/>
          </w:divBdr>
        </w:div>
      </w:divsChild>
    </w:div>
    <w:div w:id="1661929042">
      <w:bodyDiv w:val="1"/>
      <w:marLeft w:val="0"/>
      <w:marRight w:val="0"/>
      <w:marTop w:val="0"/>
      <w:marBottom w:val="0"/>
      <w:divBdr>
        <w:top w:val="none" w:sz="0" w:space="0" w:color="auto"/>
        <w:left w:val="none" w:sz="0" w:space="0" w:color="auto"/>
        <w:bottom w:val="none" w:sz="0" w:space="0" w:color="auto"/>
        <w:right w:val="none" w:sz="0" w:space="0" w:color="auto"/>
      </w:divBdr>
      <w:divsChild>
        <w:div w:id="1221401708">
          <w:marLeft w:val="0"/>
          <w:marRight w:val="0"/>
          <w:marTop w:val="0"/>
          <w:marBottom w:val="160"/>
          <w:divBdr>
            <w:top w:val="none" w:sz="0" w:space="0" w:color="auto"/>
            <w:left w:val="none" w:sz="0" w:space="0" w:color="auto"/>
            <w:bottom w:val="none" w:sz="0" w:space="0" w:color="auto"/>
            <w:right w:val="none" w:sz="0" w:space="0" w:color="auto"/>
          </w:divBdr>
        </w:div>
        <w:div w:id="1959291753">
          <w:marLeft w:val="0"/>
          <w:marRight w:val="0"/>
          <w:marTop w:val="0"/>
          <w:marBottom w:val="160"/>
          <w:divBdr>
            <w:top w:val="none" w:sz="0" w:space="0" w:color="auto"/>
            <w:left w:val="none" w:sz="0" w:space="0" w:color="auto"/>
            <w:bottom w:val="none" w:sz="0" w:space="0" w:color="auto"/>
            <w:right w:val="none" w:sz="0" w:space="0" w:color="auto"/>
          </w:divBdr>
        </w:div>
        <w:div w:id="1179394306">
          <w:marLeft w:val="0"/>
          <w:marRight w:val="0"/>
          <w:marTop w:val="0"/>
          <w:marBottom w:val="160"/>
          <w:divBdr>
            <w:top w:val="none" w:sz="0" w:space="0" w:color="auto"/>
            <w:left w:val="none" w:sz="0" w:space="0" w:color="auto"/>
            <w:bottom w:val="none" w:sz="0" w:space="0" w:color="auto"/>
            <w:right w:val="none" w:sz="0" w:space="0" w:color="auto"/>
          </w:divBdr>
        </w:div>
      </w:divsChild>
    </w:div>
    <w:div w:id="1786272649">
      <w:bodyDiv w:val="1"/>
      <w:marLeft w:val="0"/>
      <w:marRight w:val="0"/>
      <w:marTop w:val="0"/>
      <w:marBottom w:val="0"/>
      <w:divBdr>
        <w:top w:val="none" w:sz="0" w:space="0" w:color="auto"/>
        <w:left w:val="none" w:sz="0" w:space="0" w:color="auto"/>
        <w:bottom w:val="none" w:sz="0" w:space="0" w:color="auto"/>
        <w:right w:val="none" w:sz="0" w:space="0" w:color="auto"/>
      </w:divBdr>
    </w:div>
    <w:div w:id="1910965180">
      <w:bodyDiv w:val="1"/>
      <w:marLeft w:val="0"/>
      <w:marRight w:val="0"/>
      <w:marTop w:val="0"/>
      <w:marBottom w:val="0"/>
      <w:divBdr>
        <w:top w:val="none" w:sz="0" w:space="0" w:color="auto"/>
        <w:left w:val="none" w:sz="0" w:space="0" w:color="auto"/>
        <w:bottom w:val="none" w:sz="0" w:space="0" w:color="auto"/>
        <w:right w:val="none" w:sz="0" w:space="0" w:color="auto"/>
      </w:divBdr>
    </w:div>
    <w:div w:id="1981112007">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normativay-relatoria/circular-unica-externa"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uridico@bugalagrande-valle.gov.co" TargetMode="External"/><Relationship Id="rId5" Type="http://schemas.openxmlformats.org/officeDocument/2006/relationships/numbering" Target="numbering.xml"/><Relationship Id="rId15" Type="http://schemas.openxmlformats.org/officeDocument/2006/relationships/hyperlink" Target="http://www.colombiacompra.gov.co"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13505DD-BD8A-4C72-9BF3-E233AAE1D4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3.xml><?xml version="1.0" encoding="utf-8"?>
<ds:datastoreItem xmlns:ds="http://schemas.openxmlformats.org/officeDocument/2006/customXml" ds:itemID="{D71E0147-BC63-43F8-9733-FB15106D8C4E}">
  <ds:schemaRefs>
    <ds:schemaRef ds:uri="http://schemas.openxmlformats.org/officeDocument/2006/bibliography"/>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26</Pages>
  <Words>8697</Words>
  <Characters>47835</Characters>
  <Application>Microsoft Office Word</Application>
  <DocSecurity>0</DocSecurity>
  <Lines>398</Lines>
  <Paragraphs>112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Diana Carolina Blanco Rodriguez</cp:lastModifiedBy>
  <cp:revision>51</cp:revision>
  <cp:lastPrinted>2025-02-25T15:45:00Z</cp:lastPrinted>
  <dcterms:created xsi:type="dcterms:W3CDTF">2025-06-24T21:24:00Z</dcterms:created>
  <dcterms:modified xsi:type="dcterms:W3CDTF">2025-08-15T03:53:00Z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