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DD072" w14:textId="77777777" w:rsidR="005B4987" w:rsidRPr="003A18A7" w:rsidRDefault="005B4987" w:rsidP="005B4987">
      <w:pPr>
        <w:jc w:val="right"/>
        <w:rPr>
          <w:rFonts w:ascii="Arial" w:eastAsia="Arial" w:hAnsi="Arial" w:cs="Arial"/>
          <w:b/>
          <w:sz w:val="16"/>
          <w:szCs w:val="16"/>
        </w:rPr>
      </w:pPr>
      <w:bookmarkStart w:id="0" w:name="_gjdgxs" w:colFirst="0" w:colLast="0"/>
      <w:bookmarkEnd w:id="0"/>
      <w:r w:rsidRPr="003A18A7">
        <w:rPr>
          <w:rFonts w:ascii="Arial" w:eastAsia="Arial" w:hAnsi="Arial" w:cs="Arial"/>
          <w:b/>
          <w:sz w:val="16"/>
          <w:szCs w:val="16"/>
        </w:rPr>
        <w:tab/>
        <w:t>CCE-DES-FM-17</w:t>
      </w:r>
    </w:p>
    <w:p w14:paraId="496CE0EA" w14:textId="77777777" w:rsidR="005B4987" w:rsidRPr="003A18A7" w:rsidRDefault="005B4987" w:rsidP="005B4987">
      <w:pPr>
        <w:jc w:val="both"/>
        <w:rPr>
          <w:rFonts w:ascii="Arial" w:eastAsia="Arial" w:hAnsi="Arial" w:cs="Arial"/>
          <w:sz w:val="20"/>
          <w:szCs w:val="20"/>
        </w:rPr>
      </w:pPr>
    </w:p>
    <w:p w14:paraId="3759EA9F" w14:textId="77777777" w:rsidR="00724ABE" w:rsidRPr="003A18A7" w:rsidRDefault="00724ABE" w:rsidP="00724ABE">
      <w:pPr>
        <w:jc w:val="both"/>
        <w:rPr>
          <w:rFonts w:ascii="Arial" w:eastAsia="Arial" w:hAnsi="Arial" w:cs="Arial"/>
          <w:b/>
          <w:sz w:val="20"/>
          <w:szCs w:val="20"/>
        </w:rPr>
      </w:pPr>
      <w:r w:rsidRPr="003A18A7">
        <w:rPr>
          <w:rFonts w:ascii="Arial" w:eastAsia="Arial" w:hAnsi="Arial" w:cs="Arial"/>
          <w:b/>
          <w:sz w:val="22"/>
          <w:szCs w:val="22"/>
        </w:rPr>
        <w:t>DOCUMENTOS TIPO – Factor de Calidad</w:t>
      </w:r>
    </w:p>
    <w:p w14:paraId="0F8AAFD4" w14:textId="77777777" w:rsidR="00724ABE" w:rsidRPr="003A18A7" w:rsidRDefault="00724ABE" w:rsidP="00724ABE">
      <w:pPr>
        <w:jc w:val="both"/>
        <w:rPr>
          <w:rFonts w:ascii="Arial" w:eastAsia="Arial" w:hAnsi="Arial" w:cs="Arial"/>
          <w:b/>
          <w:sz w:val="20"/>
          <w:szCs w:val="20"/>
        </w:rPr>
      </w:pPr>
    </w:p>
    <w:p w14:paraId="5688183A" w14:textId="77777777" w:rsidR="00724ABE" w:rsidRPr="003A18A7" w:rsidRDefault="00724ABE" w:rsidP="00724ABE">
      <w:pPr>
        <w:jc w:val="both"/>
        <w:rPr>
          <w:rFonts w:ascii="Arial" w:eastAsia="Arial" w:hAnsi="Arial" w:cs="Arial"/>
          <w:sz w:val="20"/>
          <w:szCs w:val="20"/>
        </w:rPr>
      </w:pPr>
      <w:r w:rsidRPr="003A18A7">
        <w:rPr>
          <w:rFonts w:ascii="Arial" w:eastAsia="Arial" w:hAnsi="Arial" w:cs="Arial"/>
          <w:sz w:val="20"/>
          <w:szCs w:val="20"/>
        </w:rPr>
        <w:t>El «factor de calidad», la versión 2 de los Documentos Tipo para procesos de licitación de obra pública de infraestructura de transporte –Resolución No. 045 de 2020–, conserva los tres factores existentes en la versión 1–Resolución No. 1798 de 2019–, e incluye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3E165C76" w14:textId="77777777" w:rsidR="00724ABE" w:rsidRPr="003A18A7" w:rsidRDefault="00724ABE" w:rsidP="00724ABE">
      <w:pPr>
        <w:spacing w:before="120"/>
        <w:jc w:val="both"/>
        <w:rPr>
          <w:rFonts w:ascii="Arial" w:eastAsia="Arial" w:hAnsi="Arial" w:cs="Arial"/>
          <w:sz w:val="20"/>
          <w:szCs w:val="20"/>
        </w:rPr>
      </w:pPr>
      <w:r w:rsidRPr="003A18A7">
        <w:rPr>
          <w:rFonts w:ascii="Arial" w:eastAsia="Arial" w:hAnsi="Arial" w:cs="Arial"/>
          <w:sz w:val="20"/>
          <w:szCs w:val="20"/>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7AE5EA37" w14:textId="77777777" w:rsidR="00724ABE" w:rsidRPr="003A18A7" w:rsidRDefault="00724ABE" w:rsidP="00724ABE">
      <w:pPr>
        <w:jc w:val="both"/>
        <w:rPr>
          <w:rFonts w:ascii="Arial" w:eastAsia="Arial" w:hAnsi="Arial" w:cs="Arial"/>
          <w:sz w:val="20"/>
          <w:szCs w:val="20"/>
        </w:rPr>
      </w:pPr>
    </w:p>
    <w:p w14:paraId="61572788" w14:textId="77777777" w:rsidR="00724ABE" w:rsidRPr="003A18A7" w:rsidRDefault="00724ABE" w:rsidP="00724ABE">
      <w:pPr>
        <w:jc w:val="both"/>
        <w:rPr>
          <w:rFonts w:ascii="Arial" w:eastAsia="Arial" w:hAnsi="Arial" w:cs="Arial"/>
          <w:b/>
          <w:sz w:val="20"/>
          <w:szCs w:val="20"/>
        </w:rPr>
      </w:pPr>
      <w:r w:rsidRPr="003A18A7">
        <w:rPr>
          <w:rFonts w:ascii="Arial" w:eastAsia="Arial" w:hAnsi="Arial" w:cs="Arial"/>
          <w:b/>
          <w:sz w:val="22"/>
          <w:szCs w:val="22"/>
        </w:rPr>
        <w:t>DOCUMENTOS TIPO – Factor de Calidad – Puntuación</w:t>
      </w:r>
    </w:p>
    <w:p w14:paraId="67946771" w14:textId="77777777" w:rsidR="00724ABE" w:rsidRPr="003A18A7" w:rsidRDefault="00724ABE" w:rsidP="00724ABE">
      <w:pPr>
        <w:jc w:val="both"/>
        <w:rPr>
          <w:rFonts w:ascii="Arial" w:eastAsia="Arial" w:hAnsi="Arial" w:cs="Arial"/>
          <w:b/>
          <w:sz w:val="20"/>
          <w:szCs w:val="20"/>
        </w:rPr>
      </w:pPr>
    </w:p>
    <w:p w14:paraId="43514E7D" w14:textId="77777777" w:rsidR="00724ABE" w:rsidRPr="003A18A7" w:rsidRDefault="00724ABE" w:rsidP="00724ABE">
      <w:pPr>
        <w:jc w:val="both"/>
        <w:rPr>
          <w:rFonts w:ascii="Arial" w:eastAsia="Arial" w:hAnsi="Arial" w:cs="Arial"/>
          <w:sz w:val="20"/>
          <w:szCs w:val="20"/>
        </w:rPr>
      </w:pPr>
      <w:r w:rsidRPr="003A18A7">
        <w:rPr>
          <w:rFonts w:ascii="Arial" w:eastAsia="Arial" w:hAnsi="Arial" w:cs="Arial"/>
          <w:sz w:val="20"/>
          <w:szCs w:val="20"/>
        </w:rPr>
        <w:t>[…] esta versión de los Documentos Tipo conserva el puntaje establecido para el factor de calidad en la Versión 1, de modo que no se alteró el total de los 19 puntos que puede otorgar la entidad por este criterio de evaluación. 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sobrepase los 19 puntos.</w:t>
      </w:r>
    </w:p>
    <w:p w14:paraId="213CF597" w14:textId="77777777" w:rsidR="00724ABE" w:rsidRPr="003A18A7" w:rsidRDefault="00724ABE" w:rsidP="00724ABE">
      <w:pPr>
        <w:jc w:val="both"/>
        <w:rPr>
          <w:rFonts w:ascii="Arial" w:eastAsia="Arial" w:hAnsi="Arial" w:cs="Arial"/>
          <w:sz w:val="20"/>
          <w:szCs w:val="20"/>
        </w:rPr>
      </w:pPr>
    </w:p>
    <w:p w14:paraId="3AA67613" w14:textId="77777777" w:rsidR="00724ABE" w:rsidRPr="003A18A7" w:rsidRDefault="00724ABE" w:rsidP="00724ABE">
      <w:pPr>
        <w:jc w:val="both"/>
        <w:rPr>
          <w:rFonts w:ascii="Arial" w:eastAsia="Arial" w:hAnsi="Arial" w:cs="Arial"/>
          <w:b/>
          <w:sz w:val="20"/>
          <w:szCs w:val="20"/>
        </w:rPr>
      </w:pPr>
      <w:r w:rsidRPr="003A18A7">
        <w:rPr>
          <w:rFonts w:ascii="Arial" w:eastAsia="Arial" w:hAnsi="Arial" w:cs="Arial"/>
          <w:b/>
          <w:sz w:val="22"/>
          <w:szCs w:val="22"/>
        </w:rPr>
        <w:t>DOCUMENTOS TIPO – Factor de Calidad – Cuadrillas de trabajo adicional</w:t>
      </w:r>
    </w:p>
    <w:p w14:paraId="1F0C970A" w14:textId="77777777" w:rsidR="00724ABE" w:rsidRPr="003A18A7" w:rsidRDefault="00724ABE" w:rsidP="00724ABE">
      <w:pPr>
        <w:jc w:val="both"/>
        <w:rPr>
          <w:rFonts w:ascii="Arial" w:eastAsia="Arial" w:hAnsi="Arial" w:cs="Arial"/>
          <w:b/>
          <w:sz w:val="20"/>
          <w:szCs w:val="20"/>
        </w:rPr>
      </w:pPr>
    </w:p>
    <w:p w14:paraId="410B0FD5" w14:textId="77777777" w:rsidR="00724ABE" w:rsidRPr="003A18A7" w:rsidRDefault="00724ABE" w:rsidP="00724ABE">
      <w:pPr>
        <w:jc w:val="both"/>
        <w:rPr>
          <w:rFonts w:ascii="Arial" w:eastAsia="Arial" w:hAnsi="Arial" w:cs="Arial"/>
          <w:sz w:val="20"/>
          <w:szCs w:val="20"/>
        </w:rPr>
      </w:pPr>
      <w:r w:rsidRPr="003A18A7">
        <w:rPr>
          <w:rFonts w:ascii="Arial" w:eastAsia="Arial" w:hAnsi="Arial" w:cs="Arial"/>
          <w:sz w:val="20"/>
          <w:szCs w:val="20"/>
        </w:rPr>
        <w:t xml:space="preserve">El «Factor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606B36DE" w14:textId="77777777" w:rsidR="00724ABE" w:rsidRPr="003A18A7" w:rsidRDefault="00724ABE" w:rsidP="00724ABE">
      <w:pPr>
        <w:spacing w:before="120"/>
        <w:jc w:val="both"/>
        <w:rPr>
          <w:rFonts w:ascii="Arial" w:eastAsia="Arial" w:hAnsi="Arial" w:cs="Arial"/>
          <w:sz w:val="20"/>
          <w:szCs w:val="20"/>
        </w:rPr>
      </w:pPr>
      <w:r w:rsidRPr="003A18A7">
        <w:rPr>
          <w:rFonts w:ascii="Arial" w:eastAsia="Arial" w:hAnsi="Arial" w:cs="Arial"/>
          <w:sz w:val="20"/>
          <w:szCs w:val="20"/>
        </w:rPr>
        <w:t>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0C24D059" w14:textId="77777777" w:rsidR="00724ABE" w:rsidRPr="003A18A7" w:rsidRDefault="00724ABE" w:rsidP="00724ABE">
      <w:pPr>
        <w:jc w:val="both"/>
        <w:rPr>
          <w:rFonts w:ascii="Arial" w:eastAsia="Arial" w:hAnsi="Arial" w:cs="Arial"/>
          <w:sz w:val="20"/>
          <w:szCs w:val="20"/>
        </w:rPr>
      </w:pPr>
    </w:p>
    <w:p w14:paraId="7B5996CF" w14:textId="77777777" w:rsidR="00724ABE" w:rsidRPr="003A18A7" w:rsidRDefault="00724ABE" w:rsidP="00724ABE">
      <w:pPr>
        <w:jc w:val="both"/>
        <w:rPr>
          <w:rFonts w:ascii="Arial" w:eastAsia="Arial" w:hAnsi="Arial" w:cs="Arial"/>
          <w:b/>
          <w:sz w:val="20"/>
          <w:szCs w:val="20"/>
        </w:rPr>
      </w:pPr>
      <w:r w:rsidRPr="003A18A7">
        <w:rPr>
          <w:rFonts w:ascii="Arial" w:eastAsia="Arial" w:hAnsi="Arial" w:cs="Arial"/>
          <w:b/>
          <w:sz w:val="22"/>
          <w:szCs w:val="22"/>
        </w:rPr>
        <w:t>DOCUMENTOS TIPO – Factor de Calidad – Mantenimiento adicional</w:t>
      </w:r>
    </w:p>
    <w:p w14:paraId="36FB710C" w14:textId="77777777" w:rsidR="00724ABE" w:rsidRPr="003A18A7" w:rsidRDefault="00724ABE" w:rsidP="00724ABE">
      <w:pPr>
        <w:jc w:val="both"/>
        <w:rPr>
          <w:rFonts w:ascii="Arial" w:eastAsia="Arial" w:hAnsi="Arial" w:cs="Arial"/>
          <w:b/>
          <w:sz w:val="20"/>
          <w:szCs w:val="20"/>
        </w:rPr>
      </w:pPr>
    </w:p>
    <w:p w14:paraId="672C97EC" w14:textId="77777777" w:rsidR="00724ABE" w:rsidRPr="003A18A7" w:rsidRDefault="00724ABE" w:rsidP="00724ABE">
      <w:pPr>
        <w:jc w:val="both"/>
        <w:rPr>
          <w:rFonts w:ascii="Arial" w:eastAsia="Arial" w:hAnsi="Arial" w:cs="Arial"/>
          <w:sz w:val="20"/>
          <w:szCs w:val="20"/>
        </w:rPr>
      </w:pPr>
      <w:r w:rsidRPr="003A18A7">
        <w:rPr>
          <w:rFonts w:ascii="Arial" w:eastAsia="Arial" w:hAnsi="Arial" w:cs="Arial"/>
          <w:sz w:val="20"/>
          <w:szCs w:val="20"/>
        </w:rPr>
        <w:t xml:space="preserve">Por su parte, el «Factor de Calidad ― Mantenimiento adicional» tiene como objeto mejorar la calidad de la obra, ya que se garantiza un mantenimiento rutinario, situación que otorga beneficios a las </w:t>
      </w:r>
      <w:r w:rsidRPr="003A18A7">
        <w:rPr>
          <w:rFonts w:ascii="Arial" w:eastAsia="Arial" w:hAnsi="Arial" w:cs="Arial"/>
          <w:sz w:val="20"/>
          <w:szCs w:val="20"/>
        </w:rPr>
        <w:lastRenderedPageBreak/>
        <w:t xml:space="preserve">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w:t>
      </w:r>
    </w:p>
    <w:p w14:paraId="34CD2C46" w14:textId="77777777" w:rsidR="00724ABE" w:rsidRPr="003A18A7" w:rsidRDefault="00724ABE" w:rsidP="00724ABE">
      <w:pPr>
        <w:spacing w:before="120"/>
        <w:jc w:val="both"/>
        <w:rPr>
          <w:rFonts w:ascii="Arial" w:eastAsia="Arial" w:hAnsi="Arial" w:cs="Arial"/>
          <w:sz w:val="20"/>
          <w:szCs w:val="20"/>
        </w:rPr>
      </w:pPr>
      <w:r w:rsidRPr="003A18A7">
        <w:rPr>
          <w:rFonts w:ascii="Arial" w:eastAsia="Arial" w:hAnsi="Arial" w:cs="Arial"/>
          <w:sz w:val="20"/>
          <w:szCs w:val="20"/>
        </w:rPr>
        <w:t>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w:t>
      </w:r>
    </w:p>
    <w:p w14:paraId="3E2856B7" w14:textId="77777777" w:rsidR="00724ABE" w:rsidRPr="003A18A7" w:rsidRDefault="00724ABE" w:rsidP="00724ABE">
      <w:pPr>
        <w:jc w:val="both"/>
        <w:rPr>
          <w:rFonts w:ascii="Arial" w:eastAsia="Arial" w:hAnsi="Arial" w:cs="Arial"/>
          <w:sz w:val="20"/>
          <w:szCs w:val="20"/>
        </w:rPr>
      </w:pPr>
    </w:p>
    <w:p w14:paraId="2C9389CA" w14:textId="1B7B596D" w:rsidR="00724ABE" w:rsidRPr="003A18A7" w:rsidRDefault="00724ABE" w:rsidP="00724ABE">
      <w:pPr>
        <w:jc w:val="both"/>
        <w:rPr>
          <w:rFonts w:ascii="Arial" w:eastAsia="Arial" w:hAnsi="Arial" w:cs="Arial"/>
          <w:b/>
          <w:sz w:val="20"/>
          <w:szCs w:val="20"/>
        </w:rPr>
      </w:pPr>
      <w:r w:rsidRPr="003A18A7">
        <w:rPr>
          <w:rFonts w:ascii="Arial" w:eastAsia="Arial" w:hAnsi="Arial" w:cs="Arial"/>
          <w:b/>
          <w:sz w:val="22"/>
          <w:szCs w:val="22"/>
        </w:rPr>
        <w:t>DOCUMENTOS TIPO – Factor de Calidad – Límites – Resolución</w:t>
      </w:r>
      <w:r w:rsidR="003A18A7" w:rsidRPr="003A18A7">
        <w:rPr>
          <w:rFonts w:ascii="Arial" w:eastAsia="Arial" w:hAnsi="Arial" w:cs="Arial"/>
          <w:b/>
          <w:sz w:val="22"/>
          <w:szCs w:val="22"/>
        </w:rPr>
        <w:t xml:space="preserve"> No.</w:t>
      </w:r>
      <w:r w:rsidRPr="003A18A7">
        <w:rPr>
          <w:rFonts w:ascii="Arial" w:eastAsia="Arial" w:hAnsi="Arial" w:cs="Arial"/>
          <w:b/>
          <w:sz w:val="22"/>
          <w:szCs w:val="22"/>
        </w:rPr>
        <w:t xml:space="preserve"> 116 de 2020</w:t>
      </w:r>
    </w:p>
    <w:p w14:paraId="3319E605" w14:textId="77777777" w:rsidR="00724ABE" w:rsidRPr="003A18A7" w:rsidRDefault="00724ABE" w:rsidP="00724ABE">
      <w:pPr>
        <w:jc w:val="both"/>
        <w:rPr>
          <w:rFonts w:ascii="Arial" w:eastAsia="Arial" w:hAnsi="Arial" w:cs="Arial"/>
          <w:b/>
          <w:sz w:val="20"/>
          <w:szCs w:val="20"/>
        </w:rPr>
      </w:pPr>
    </w:p>
    <w:p w14:paraId="039A2D47" w14:textId="77777777" w:rsidR="00724ABE" w:rsidRPr="003A18A7" w:rsidRDefault="00724ABE" w:rsidP="00724ABE">
      <w:pPr>
        <w:jc w:val="both"/>
        <w:rPr>
          <w:rFonts w:ascii="Arial" w:eastAsia="Arial" w:hAnsi="Arial" w:cs="Arial"/>
          <w:sz w:val="20"/>
          <w:szCs w:val="20"/>
        </w:rPr>
      </w:pPr>
      <w:r w:rsidRPr="003A18A7">
        <w:rPr>
          <w:rFonts w:ascii="Arial" w:eastAsia="Arial" w:hAnsi="Arial" w:cs="Arial"/>
          <w:sz w:val="20"/>
          <w:szCs w:val="20"/>
        </w:rPr>
        <w:t xml:space="preserve">[…] los numerales 4.2.4, 4.2.5. y 4.2.6. del Documento Base de los Documentos Tipo para licitaciones públicas de infraestructura de trasporte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4CC7C001" w14:textId="77777777" w:rsidR="00724ABE" w:rsidRPr="003A18A7" w:rsidRDefault="00724ABE" w:rsidP="00724ABE">
      <w:pPr>
        <w:spacing w:before="120"/>
        <w:jc w:val="both"/>
        <w:rPr>
          <w:rFonts w:ascii="Arial" w:eastAsia="Arial" w:hAnsi="Arial" w:cs="Arial"/>
          <w:sz w:val="20"/>
          <w:szCs w:val="20"/>
        </w:rPr>
      </w:pPr>
      <w:r w:rsidRPr="003A18A7">
        <w:rPr>
          <w:rFonts w:ascii="Arial" w:eastAsia="Arial" w:hAnsi="Arial" w:cs="Arial"/>
          <w:sz w:val="20"/>
          <w:szCs w:val="20"/>
        </w:rPr>
        <w:t>En términos generales, en la referida resolución se dispuso: i) que el ofrecimiento del proponente sobre la «garantía suplementaria o adicional» y el «mantenimiento adicional», no podrá superar el «[…] valor porcentual máximo entre el siguiente rango: entre el 30% y el 50% del plazo establecido por la entidad para la garantía de estabilidad y calidad de la obra […]», valor porcentual que fija libremente la autoridad contratante dentro del referido rango; y ii) que, en relación con las «cuadrillas de trabajo» adicionales, las entidades deben elegir si establecen un estimado de frentes de trabajo o si no lo establecen, pues, en el primer evento, «[e]l proponente podrá ofrecer hasta máximo 2 cuadrillas por cada frente de trabajo», mientras que en el segundo, «[…] ofrecerá 1 cuadrilla adicional por cada 50 obreros que sean requeridos para el proyecto de infraestructura de transporte». […]</w:t>
      </w:r>
    </w:p>
    <w:p w14:paraId="261DBD95" w14:textId="77777777" w:rsidR="00724ABE" w:rsidRPr="003A18A7" w:rsidRDefault="00724ABE" w:rsidP="00724ABE">
      <w:pPr>
        <w:jc w:val="both"/>
        <w:rPr>
          <w:rFonts w:ascii="Arial" w:eastAsia="Arial" w:hAnsi="Arial" w:cs="Arial"/>
          <w:sz w:val="20"/>
          <w:szCs w:val="20"/>
        </w:rPr>
      </w:pPr>
    </w:p>
    <w:p w14:paraId="5DFEC116" w14:textId="1471A056" w:rsidR="00724ABE" w:rsidRPr="003A18A7" w:rsidRDefault="00724ABE" w:rsidP="00724ABE">
      <w:pPr>
        <w:jc w:val="both"/>
        <w:rPr>
          <w:rFonts w:ascii="Arial" w:eastAsia="Arial" w:hAnsi="Arial" w:cs="Arial"/>
          <w:b/>
          <w:sz w:val="20"/>
          <w:szCs w:val="20"/>
        </w:rPr>
      </w:pPr>
      <w:r w:rsidRPr="003A18A7">
        <w:rPr>
          <w:rFonts w:ascii="Arial" w:eastAsia="Arial" w:hAnsi="Arial" w:cs="Arial"/>
          <w:b/>
          <w:sz w:val="22"/>
          <w:szCs w:val="22"/>
        </w:rPr>
        <w:t>DOCUMENTOS TIPO – Factor de Calidad – Límites – Antes de la Resolución</w:t>
      </w:r>
      <w:r w:rsidR="003A18A7" w:rsidRPr="003A18A7">
        <w:rPr>
          <w:rFonts w:ascii="Arial" w:eastAsia="Arial" w:hAnsi="Arial" w:cs="Arial"/>
          <w:b/>
          <w:sz w:val="22"/>
          <w:szCs w:val="22"/>
        </w:rPr>
        <w:t xml:space="preserve"> No.</w:t>
      </w:r>
      <w:r w:rsidRPr="003A18A7">
        <w:rPr>
          <w:rFonts w:ascii="Arial" w:eastAsia="Arial" w:hAnsi="Arial" w:cs="Arial"/>
          <w:b/>
          <w:sz w:val="22"/>
          <w:szCs w:val="22"/>
        </w:rPr>
        <w:t xml:space="preserve"> 116 de 2020</w:t>
      </w:r>
    </w:p>
    <w:p w14:paraId="11425F88" w14:textId="77777777" w:rsidR="00724ABE" w:rsidRPr="003A18A7" w:rsidRDefault="00724ABE" w:rsidP="00724ABE">
      <w:pPr>
        <w:jc w:val="both"/>
        <w:rPr>
          <w:rFonts w:ascii="Arial" w:eastAsia="Arial" w:hAnsi="Arial" w:cs="Arial"/>
          <w:b/>
          <w:sz w:val="20"/>
          <w:szCs w:val="20"/>
        </w:rPr>
      </w:pPr>
    </w:p>
    <w:p w14:paraId="3A57A585" w14:textId="2BD5767C" w:rsidR="00724ABE" w:rsidRPr="003A18A7" w:rsidRDefault="00724ABE" w:rsidP="00724ABE">
      <w:pPr>
        <w:jc w:val="both"/>
        <w:rPr>
          <w:rFonts w:ascii="Arial" w:eastAsia="Arial" w:hAnsi="Arial" w:cs="Arial"/>
          <w:sz w:val="20"/>
          <w:szCs w:val="20"/>
        </w:rPr>
      </w:pPr>
      <w:r w:rsidRPr="003A18A7">
        <w:rPr>
          <w:rFonts w:ascii="Arial" w:eastAsia="Arial" w:hAnsi="Arial" w:cs="Arial"/>
          <w:sz w:val="20"/>
          <w:szCs w:val="20"/>
        </w:rPr>
        <w:t>Es del caso precisar que el Documento Tipo, antes de la Resolución</w:t>
      </w:r>
      <w:r w:rsidR="003A18A7" w:rsidRPr="003A18A7">
        <w:rPr>
          <w:rFonts w:ascii="Arial" w:eastAsia="Arial" w:hAnsi="Arial" w:cs="Arial"/>
          <w:sz w:val="20"/>
          <w:szCs w:val="20"/>
        </w:rPr>
        <w:t xml:space="preserve"> No.</w:t>
      </w:r>
      <w:r w:rsidRPr="003A18A7">
        <w:rPr>
          <w:rFonts w:ascii="Arial" w:eastAsia="Arial" w:hAnsi="Arial" w:cs="Arial"/>
          <w:sz w:val="20"/>
          <w:szCs w:val="20"/>
        </w:rPr>
        <w:t xml:space="preserve"> 116 de 2020, no limitaba al oferente frente al número de cuadrillas de trabajo adicional que se comprometía a otorgar al proyecto, ni tampoco respecto al número de meses de mantenimiento rutinario adicional. Estos ofrecimientos dependían únicamente de las capacidades propias de cada oferente; ya que se realizaban dependiendo de su infraestructura y capacidad financiera y la labor de análisis de las condiciones bajo las cuales presentaría su propuesta, además que cumplir estos ofrecimientos constituía una obligación contractual –lo sigue haciendo–, con todas las consecuencias que ello apareja, de manera que los proponentes ofertaban lo que podían cumplir.</w:t>
      </w:r>
    </w:p>
    <w:p w14:paraId="4F75B33C" w14:textId="50264B1D" w:rsidR="00724ABE" w:rsidRPr="003A18A7" w:rsidRDefault="00724ABE" w:rsidP="00724ABE">
      <w:pPr>
        <w:spacing w:before="120"/>
        <w:jc w:val="both"/>
        <w:rPr>
          <w:rFonts w:ascii="Arial" w:eastAsia="Arial" w:hAnsi="Arial" w:cs="Arial"/>
          <w:sz w:val="20"/>
          <w:szCs w:val="20"/>
        </w:rPr>
      </w:pPr>
      <w:r w:rsidRPr="003A18A7">
        <w:rPr>
          <w:rFonts w:ascii="Arial" w:eastAsia="Arial" w:hAnsi="Arial" w:cs="Arial"/>
          <w:sz w:val="20"/>
          <w:szCs w:val="20"/>
        </w:rPr>
        <w:t>En ese sentido, antes de la expedición de la Resolución</w:t>
      </w:r>
      <w:r w:rsidR="003A18A7" w:rsidRPr="003A18A7">
        <w:rPr>
          <w:rFonts w:ascii="Arial" w:eastAsia="Arial" w:hAnsi="Arial" w:cs="Arial"/>
          <w:sz w:val="20"/>
          <w:szCs w:val="20"/>
        </w:rPr>
        <w:t xml:space="preserve"> No.</w:t>
      </w:r>
      <w:r w:rsidRPr="003A18A7">
        <w:rPr>
          <w:rFonts w:ascii="Arial" w:eastAsia="Arial" w:hAnsi="Arial" w:cs="Arial"/>
          <w:sz w:val="20"/>
          <w:szCs w:val="20"/>
        </w:rPr>
        <w:t xml:space="preserve"> 116 del 21 de julio de 2020, las entidades estatales que aplican la versión 2 del Documento Tipo para procesos de licitación pública o selección abreviada de menor cuantía no se encontraban facultadas para fijar topes o un número máximo de cuadrillas que den lugar al otorgamiento del puntaje, ya que, como se sostenía antes de la vigencia de la referida resolución, esto dependía únicamente de los proponentes. Dicha postura se justificaba, además, en que las entidades no tienen la facultad de modificar los formatos «7E – Cuadrillas de trabajo adicional» y «7F – Mantenimiento adicional», en la medida que estos son Documentos Tipo afectados por el principio de inalterabilidad, por lo que solo pueden modificar los apartados entre corchetes y resaltados en gris.</w:t>
      </w:r>
    </w:p>
    <w:p w14:paraId="1FDD751A" w14:textId="482F8F45" w:rsidR="005E537C" w:rsidRPr="003A18A7" w:rsidRDefault="005E537C" w:rsidP="005E537C">
      <w:pPr>
        <w:jc w:val="both"/>
        <w:rPr>
          <w:rFonts w:ascii="Arial" w:eastAsia="Arial" w:hAnsi="Arial" w:cs="Arial"/>
          <w:sz w:val="22"/>
          <w:szCs w:val="22"/>
        </w:rPr>
      </w:pPr>
    </w:p>
    <w:p w14:paraId="63982CD2" w14:textId="5FFC5D90" w:rsidR="00724ABE" w:rsidRPr="003A18A7" w:rsidRDefault="00724ABE" w:rsidP="005E537C">
      <w:pPr>
        <w:jc w:val="both"/>
        <w:rPr>
          <w:rFonts w:ascii="Arial" w:eastAsia="Arial" w:hAnsi="Arial" w:cs="Arial"/>
          <w:sz w:val="22"/>
          <w:szCs w:val="22"/>
        </w:rPr>
      </w:pPr>
    </w:p>
    <w:p w14:paraId="6F9E3F04" w14:textId="24E47743" w:rsidR="00724ABE" w:rsidRPr="003A18A7" w:rsidRDefault="00724ABE" w:rsidP="005E537C">
      <w:pPr>
        <w:jc w:val="both"/>
        <w:rPr>
          <w:rFonts w:ascii="Arial" w:eastAsia="Arial" w:hAnsi="Arial" w:cs="Arial"/>
          <w:sz w:val="22"/>
          <w:szCs w:val="22"/>
        </w:rPr>
      </w:pPr>
    </w:p>
    <w:p w14:paraId="6BC01416" w14:textId="77777777" w:rsidR="00724ABE" w:rsidRPr="003A18A7" w:rsidRDefault="00724ABE" w:rsidP="005E537C">
      <w:pPr>
        <w:jc w:val="both"/>
        <w:rPr>
          <w:rFonts w:ascii="Arial" w:eastAsia="Arial" w:hAnsi="Arial" w:cs="Arial"/>
          <w:sz w:val="22"/>
          <w:szCs w:val="22"/>
        </w:rPr>
      </w:pPr>
    </w:p>
    <w:p w14:paraId="31BBF15B" w14:textId="32EA0FF9" w:rsidR="00724ABE" w:rsidRPr="003A18A7" w:rsidRDefault="00724ABE" w:rsidP="005E537C">
      <w:pPr>
        <w:jc w:val="both"/>
        <w:rPr>
          <w:rFonts w:ascii="Arial" w:eastAsia="Arial" w:hAnsi="Arial" w:cs="Arial"/>
          <w:b/>
          <w:sz w:val="22"/>
          <w:szCs w:val="22"/>
        </w:rPr>
      </w:pPr>
      <w:r w:rsidRPr="003A18A7">
        <w:rPr>
          <w:rFonts w:ascii="Arial" w:eastAsia="Arial" w:hAnsi="Arial" w:cs="Arial"/>
          <w:b/>
          <w:sz w:val="22"/>
          <w:szCs w:val="22"/>
        </w:rPr>
        <w:lastRenderedPageBreak/>
        <w:t xml:space="preserve">DOCUMENTOS TIPO – Factor de Calidad – Límites – Ofertas por encima de límites </w:t>
      </w:r>
    </w:p>
    <w:p w14:paraId="5873A52A" w14:textId="679410B3" w:rsidR="00724ABE" w:rsidRPr="003A18A7" w:rsidRDefault="00724ABE" w:rsidP="005E537C">
      <w:pPr>
        <w:jc w:val="both"/>
        <w:rPr>
          <w:rFonts w:ascii="Arial" w:eastAsia="Arial" w:hAnsi="Arial" w:cs="Arial"/>
          <w:b/>
          <w:sz w:val="22"/>
          <w:szCs w:val="22"/>
        </w:rPr>
      </w:pPr>
    </w:p>
    <w:p w14:paraId="36519811" w14:textId="64648C91" w:rsidR="00724ABE" w:rsidRPr="003A18A7" w:rsidRDefault="00724ABE" w:rsidP="00724ABE">
      <w:pPr>
        <w:jc w:val="both"/>
        <w:rPr>
          <w:rFonts w:ascii="Arial" w:eastAsia="Arial" w:hAnsi="Arial" w:cs="Arial"/>
          <w:sz w:val="20"/>
          <w:szCs w:val="20"/>
        </w:rPr>
      </w:pPr>
      <w:r w:rsidRPr="003A18A7">
        <w:rPr>
          <w:rFonts w:ascii="Arial" w:eastAsia="Arial" w:hAnsi="Arial" w:cs="Arial"/>
          <w:sz w:val="20"/>
          <w:szCs w:val="20"/>
        </w:rPr>
        <w:t>[E]n procesos de licitación de obra pública de infraestructura de transporte adelantados con documentos tipo –Versión 2–, así como en los de selección abreviada de menor cuantía, en los que se presenten ofertas de garantía suplementaría, cuadrillas de trabajo adicional o mantenimiento rutinario adicional por encima de los topes fijados por la entidad conforme a las reglas introducidas la Resolución No. 116 de 2020, las entidades deberán abstenerse de otorgar los puntos contemplados para dichos factores de calidad, comoquiera que tales ofrecimientos se apartan de las reglas establecidas en el pliego de condiciones, razón por la que el puntaje que les corresponde es de 0.</w:t>
      </w:r>
    </w:p>
    <w:p w14:paraId="6DC1026C" w14:textId="77777777" w:rsidR="005B4987" w:rsidRPr="003A18A7" w:rsidRDefault="005B4987" w:rsidP="005B4987">
      <w:pPr>
        <w:rPr>
          <w:rFonts w:ascii="Arial" w:eastAsia="Arial" w:hAnsi="Arial" w:cs="Arial"/>
          <w:sz w:val="22"/>
          <w:szCs w:val="22"/>
        </w:rPr>
      </w:pPr>
    </w:p>
    <w:p w14:paraId="5F9EB693" w14:textId="77777777" w:rsidR="00DD137F" w:rsidRPr="003A18A7" w:rsidRDefault="00DD137F" w:rsidP="00DD137F">
      <w:pPr>
        <w:autoSpaceDE w:val="0"/>
        <w:autoSpaceDN w:val="0"/>
        <w:adjustRightInd w:val="0"/>
        <w:rPr>
          <w:rFonts w:ascii="Arial" w:hAnsi="Arial" w:cs="Arial"/>
          <w:lang w:val="es-CO"/>
        </w:rPr>
      </w:pPr>
    </w:p>
    <w:p w14:paraId="01ADDF34" w14:textId="77777777" w:rsidR="00A5429F" w:rsidRPr="00A5429F" w:rsidRDefault="00A5429F" w:rsidP="00A5429F">
      <w:pPr>
        <w:autoSpaceDE w:val="0"/>
        <w:autoSpaceDN w:val="0"/>
        <w:adjustRightInd w:val="0"/>
        <w:rPr>
          <w:rFonts w:ascii="Arial" w:hAnsi="Arial" w:cs="Arial"/>
          <w:color w:val="000000"/>
          <w:lang w:val="es-CO"/>
        </w:rPr>
      </w:pPr>
    </w:p>
    <w:p w14:paraId="065890A8" w14:textId="77777777" w:rsidR="00A5429F" w:rsidRPr="00A5429F" w:rsidRDefault="00A5429F" w:rsidP="00A5429F">
      <w:pPr>
        <w:autoSpaceDE w:val="0"/>
        <w:autoSpaceDN w:val="0"/>
        <w:adjustRightInd w:val="0"/>
        <w:rPr>
          <w:rFonts w:ascii="Arial" w:hAnsi="Arial" w:cs="Arial"/>
          <w:color w:val="000000"/>
          <w:sz w:val="22"/>
          <w:szCs w:val="22"/>
          <w:lang w:val="es-CO"/>
        </w:rPr>
      </w:pPr>
      <w:r w:rsidRPr="00A5429F">
        <w:rPr>
          <w:rFonts w:ascii="Arial" w:hAnsi="Arial" w:cs="Arial"/>
          <w:color w:val="000000"/>
          <w:lang w:val="es-CO"/>
        </w:rPr>
        <w:t xml:space="preserve"> </w:t>
      </w:r>
      <w:r w:rsidRPr="00A5429F">
        <w:rPr>
          <w:rFonts w:ascii="Arial" w:hAnsi="Arial" w:cs="Arial"/>
          <w:color w:val="000000"/>
          <w:sz w:val="22"/>
          <w:szCs w:val="22"/>
          <w:lang w:val="es-CO"/>
        </w:rPr>
        <w:t xml:space="preserve">Bogotá D.C., </w:t>
      </w:r>
      <w:r w:rsidRPr="00A5429F">
        <w:rPr>
          <w:rFonts w:ascii="Arial" w:hAnsi="Arial" w:cs="Arial"/>
          <w:b/>
          <w:bCs/>
          <w:color w:val="000000"/>
          <w:sz w:val="22"/>
          <w:szCs w:val="22"/>
          <w:lang w:val="es-CO"/>
        </w:rPr>
        <w:t xml:space="preserve">17/09/2020 Hora 10:20:55s </w:t>
      </w:r>
    </w:p>
    <w:p w14:paraId="6A52E106" w14:textId="0EB22A72" w:rsidR="005B4987" w:rsidRPr="003A18A7" w:rsidRDefault="00A5429F" w:rsidP="00A5429F">
      <w:pPr>
        <w:jc w:val="right"/>
        <w:rPr>
          <w:rFonts w:ascii="Arial" w:eastAsia="Arial" w:hAnsi="Arial" w:cs="Arial"/>
          <w:sz w:val="22"/>
          <w:szCs w:val="22"/>
        </w:rPr>
      </w:pPr>
      <w:r w:rsidRPr="00A5429F">
        <w:rPr>
          <w:rFonts w:ascii="Arial" w:hAnsi="Arial" w:cs="Arial"/>
          <w:b/>
          <w:bCs/>
          <w:color w:val="000000"/>
          <w:sz w:val="22"/>
          <w:szCs w:val="22"/>
          <w:lang w:val="es-CO"/>
        </w:rPr>
        <w:t>N° Radicado: 2202013000008914</w:t>
      </w:r>
    </w:p>
    <w:p w14:paraId="07764F8E" w14:textId="6907EC77" w:rsidR="005B4987" w:rsidRPr="003A18A7" w:rsidRDefault="005B4987" w:rsidP="005B4987">
      <w:pPr>
        <w:rPr>
          <w:rFonts w:ascii="Arial" w:eastAsia="Arial" w:hAnsi="Arial" w:cs="Arial"/>
          <w:sz w:val="22"/>
          <w:szCs w:val="22"/>
        </w:rPr>
      </w:pPr>
      <w:r w:rsidRPr="003A18A7">
        <w:rPr>
          <w:rFonts w:ascii="Arial" w:eastAsia="Arial" w:hAnsi="Arial" w:cs="Arial"/>
          <w:sz w:val="22"/>
          <w:szCs w:val="22"/>
        </w:rPr>
        <w:t>Señor</w:t>
      </w:r>
    </w:p>
    <w:p w14:paraId="60D6BA80" w14:textId="405B5E5F" w:rsidR="005B4987" w:rsidRPr="003A18A7" w:rsidRDefault="005C021E" w:rsidP="005B4987">
      <w:pPr>
        <w:rPr>
          <w:rFonts w:ascii="Arial" w:eastAsia="Arial" w:hAnsi="Arial" w:cs="Arial"/>
          <w:b/>
          <w:sz w:val="22"/>
          <w:szCs w:val="22"/>
        </w:rPr>
      </w:pPr>
      <w:r w:rsidRPr="003A18A7">
        <w:rPr>
          <w:rFonts w:ascii="Arial" w:eastAsia="Arial" w:hAnsi="Arial" w:cs="Arial"/>
          <w:b/>
          <w:sz w:val="22"/>
          <w:szCs w:val="22"/>
        </w:rPr>
        <w:t>Uliaonf Forero Gamboa</w:t>
      </w:r>
    </w:p>
    <w:p w14:paraId="28BD9805" w14:textId="515F5476" w:rsidR="005B4987" w:rsidRPr="003A18A7" w:rsidRDefault="005C021E" w:rsidP="005B4987">
      <w:pPr>
        <w:rPr>
          <w:rFonts w:ascii="Arial" w:eastAsia="Arial" w:hAnsi="Arial" w:cs="Arial"/>
          <w:sz w:val="22"/>
          <w:szCs w:val="22"/>
        </w:rPr>
      </w:pPr>
      <w:r w:rsidRPr="003A18A7">
        <w:rPr>
          <w:rFonts w:ascii="Arial" w:eastAsia="Arial" w:hAnsi="Arial" w:cs="Arial"/>
          <w:sz w:val="22"/>
          <w:szCs w:val="22"/>
        </w:rPr>
        <w:t>Bucaramanga, Santander</w:t>
      </w:r>
    </w:p>
    <w:p w14:paraId="0C7DB14A" w14:textId="77777777" w:rsidR="005B4987" w:rsidRPr="003A18A7" w:rsidRDefault="005B4987" w:rsidP="005B4987">
      <w:pPr>
        <w:rPr>
          <w:rFonts w:ascii="Arial" w:eastAsia="Arial" w:hAnsi="Arial" w:cs="Arial"/>
          <w:sz w:val="22"/>
          <w:szCs w:val="22"/>
        </w:rPr>
      </w:pPr>
    </w:p>
    <w:p w14:paraId="7D1E3C48" w14:textId="77777777" w:rsidR="005B4987" w:rsidRPr="003A18A7" w:rsidRDefault="005B4987" w:rsidP="005B4987">
      <w:pPr>
        <w:rPr>
          <w:rFonts w:ascii="Arial" w:eastAsia="Arial" w:hAnsi="Arial" w:cs="Arial"/>
          <w:sz w:val="22"/>
          <w:szCs w:val="22"/>
        </w:rPr>
      </w:pPr>
    </w:p>
    <w:p w14:paraId="0BFBA174" w14:textId="1CF9E6ED" w:rsidR="005B4987" w:rsidRPr="003A18A7" w:rsidRDefault="005B4987" w:rsidP="005B4987">
      <w:pPr>
        <w:ind w:firstLine="2694"/>
        <w:rPr>
          <w:rFonts w:ascii="Arial" w:eastAsia="Arial" w:hAnsi="Arial" w:cs="Arial"/>
          <w:b/>
          <w:sz w:val="22"/>
          <w:szCs w:val="22"/>
        </w:rPr>
      </w:pPr>
      <w:r w:rsidRPr="003A18A7">
        <w:rPr>
          <w:rFonts w:ascii="Arial" w:eastAsia="Arial" w:hAnsi="Arial" w:cs="Arial"/>
          <w:b/>
          <w:sz w:val="22"/>
          <w:szCs w:val="22"/>
        </w:rPr>
        <w:t xml:space="preserve">Concepto C – </w:t>
      </w:r>
      <w:r w:rsidR="00724ABE" w:rsidRPr="003A18A7">
        <w:rPr>
          <w:rFonts w:ascii="Arial" w:eastAsia="Arial" w:hAnsi="Arial" w:cs="Arial"/>
          <w:b/>
          <w:sz w:val="22"/>
          <w:szCs w:val="22"/>
        </w:rPr>
        <w:t>617</w:t>
      </w:r>
      <w:r w:rsidRPr="003A18A7">
        <w:rPr>
          <w:rFonts w:ascii="Arial" w:eastAsia="Arial" w:hAnsi="Arial" w:cs="Arial"/>
          <w:b/>
          <w:sz w:val="22"/>
          <w:szCs w:val="22"/>
        </w:rPr>
        <w:t xml:space="preserve"> de 2020</w:t>
      </w:r>
    </w:p>
    <w:p w14:paraId="4F6D8607" w14:textId="77777777" w:rsidR="005B4987" w:rsidRPr="003A18A7" w:rsidRDefault="005B4987" w:rsidP="005B4987">
      <w:pPr>
        <w:rPr>
          <w:rFonts w:ascii="Arial" w:eastAsia="Arial" w:hAnsi="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C021E" w:rsidRPr="003A18A7" w14:paraId="27F93DB3" w14:textId="77777777" w:rsidTr="00653A7F">
        <w:tc>
          <w:tcPr>
            <w:tcW w:w="2689" w:type="dxa"/>
          </w:tcPr>
          <w:p w14:paraId="37BB9ECC" w14:textId="77777777" w:rsidR="005B4987" w:rsidRPr="003A18A7" w:rsidRDefault="005B4987" w:rsidP="00653A7F">
            <w:pPr>
              <w:rPr>
                <w:rFonts w:ascii="Arial" w:eastAsia="Arial" w:hAnsi="Arial" w:cs="Arial"/>
                <w:sz w:val="22"/>
                <w:szCs w:val="22"/>
              </w:rPr>
            </w:pPr>
            <w:r w:rsidRPr="003A18A7">
              <w:rPr>
                <w:rFonts w:ascii="Arial" w:eastAsia="Arial" w:hAnsi="Arial" w:cs="Arial"/>
                <w:b/>
                <w:sz w:val="22"/>
                <w:szCs w:val="22"/>
              </w:rPr>
              <w:t>Temas:</w:t>
            </w:r>
            <w:r w:rsidRPr="003A18A7">
              <w:rPr>
                <w:rFonts w:ascii="Arial" w:eastAsia="Arial" w:hAnsi="Arial" w:cs="Arial"/>
                <w:sz w:val="22"/>
                <w:szCs w:val="22"/>
              </w:rPr>
              <w:t xml:space="preserve">           </w:t>
            </w:r>
          </w:p>
          <w:p w14:paraId="33C7D34C" w14:textId="77777777" w:rsidR="005B4987" w:rsidRPr="003A18A7" w:rsidRDefault="005B4987" w:rsidP="00653A7F">
            <w:pPr>
              <w:rPr>
                <w:rFonts w:ascii="Arial" w:eastAsia="Arial" w:hAnsi="Arial" w:cs="Arial"/>
                <w:sz w:val="22"/>
                <w:szCs w:val="22"/>
              </w:rPr>
            </w:pPr>
            <w:r w:rsidRPr="003A18A7">
              <w:rPr>
                <w:rFonts w:ascii="Arial" w:eastAsia="Arial" w:hAnsi="Arial" w:cs="Arial"/>
                <w:sz w:val="22"/>
                <w:szCs w:val="22"/>
              </w:rPr>
              <w:t xml:space="preserve">                           </w:t>
            </w:r>
          </w:p>
        </w:tc>
        <w:tc>
          <w:tcPr>
            <w:tcW w:w="6237" w:type="dxa"/>
          </w:tcPr>
          <w:p w14:paraId="1401E6A0" w14:textId="3E349A61" w:rsidR="005B4987" w:rsidRPr="003A18A7" w:rsidRDefault="00724ABE" w:rsidP="00653A7F">
            <w:pPr>
              <w:rPr>
                <w:rFonts w:ascii="Arial" w:eastAsia="Arial" w:hAnsi="Arial" w:cs="Arial"/>
                <w:sz w:val="22"/>
                <w:szCs w:val="22"/>
              </w:rPr>
            </w:pPr>
            <w:r w:rsidRPr="003A18A7">
              <w:rPr>
                <w:rFonts w:ascii="Arial" w:eastAsia="Arial" w:hAnsi="Arial" w:cs="Arial"/>
                <w:sz w:val="22"/>
                <w:szCs w:val="22"/>
              </w:rPr>
              <w:t>DOCUMENTOS TIPO – Factor de Calidad / DOCUMENTOS TIPO – Factor de Calidad – Puntuación / DOCUMENTOS TIPO – Factor de Calidad – Cuadrillas de trabajo adicional / DOCUMENTOS TIPO – Factor de Calidad – Mantenimiento adicional / DOCUMENTOS TIPO – Factor de Calidad – Límites – Resolución 116 de 2020 / DOCUMENTOS TIPO – Factor de Calidad – Límites – Antes de la Resolución 116 de 2020 /</w:t>
            </w:r>
            <w:r w:rsidRPr="003A18A7">
              <w:t xml:space="preserve"> </w:t>
            </w:r>
            <w:r w:rsidRPr="003A18A7">
              <w:rPr>
                <w:rFonts w:ascii="Arial" w:eastAsia="Arial" w:hAnsi="Arial" w:cs="Arial"/>
                <w:sz w:val="22"/>
                <w:szCs w:val="22"/>
              </w:rPr>
              <w:t xml:space="preserve">DOCUMENTOS TIPO – Factor de Calidad – Límites – Ofertas por encima de límites </w:t>
            </w:r>
            <w:r w:rsidR="005E537C" w:rsidRPr="003A18A7">
              <w:rPr>
                <w:rFonts w:ascii="Arial" w:eastAsia="Arial" w:hAnsi="Arial" w:cs="Arial"/>
                <w:sz w:val="22"/>
                <w:szCs w:val="22"/>
              </w:rPr>
              <w:t xml:space="preserve">  </w:t>
            </w:r>
          </w:p>
        </w:tc>
      </w:tr>
      <w:tr w:rsidR="003A18A7" w:rsidRPr="003A18A7" w14:paraId="08E27B4A" w14:textId="77777777" w:rsidTr="00724ABE">
        <w:trPr>
          <w:trHeight w:val="68"/>
        </w:trPr>
        <w:tc>
          <w:tcPr>
            <w:tcW w:w="2689" w:type="dxa"/>
          </w:tcPr>
          <w:p w14:paraId="1FC0D100" w14:textId="77777777" w:rsidR="005B4987" w:rsidRPr="003A18A7" w:rsidRDefault="005B4987" w:rsidP="00653A7F">
            <w:pPr>
              <w:spacing w:before="120"/>
              <w:rPr>
                <w:rFonts w:ascii="Arial" w:eastAsia="Arial" w:hAnsi="Arial" w:cs="Arial"/>
                <w:b/>
                <w:sz w:val="22"/>
                <w:szCs w:val="22"/>
              </w:rPr>
            </w:pPr>
            <w:r w:rsidRPr="003A18A7">
              <w:rPr>
                <w:rFonts w:ascii="Arial" w:eastAsia="Arial" w:hAnsi="Arial" w:cs="Arial"/>
                <w:b/>
                <w:sz w:val="22"/>
                <w:szCs w:val="22"/>
              </w:rPr>
              <w:t>Radicación:</w:t>
            </w:r>
            <w:r w:rsidRPr="003A18A7">
              <w:rPr>
                <w:rFonts w:ascii="Arial" w:eastAsia="Arial" w:hAnsi="Arial" w:cs="Arial"/>
                <w:sz w:val="22"/>
                <w:szCs w:val="22"/>
              </w:rPr>
              <w:t xml:space="preserve">                              </w:t>
            </w:r>
          </w:p>
        </w:tc>
        <w:tc>
          <w:tcPr>
            <w:tcW w:w="6237" w:type="dxa"/>
          </w:tcPr>
          <w:p w14:paraId="431E9FBA" w14:textId="7236DE55" w:rsidR="005B4987" w:rsidRPr="003A18A7" w:rsidRDefault="005B4987" w:rsidP="00653A7F">
            <w:pPr>
              <w:spacing w:before="120"/>
              <w:rPr>
                <w:rFonts w:ascii="Arial" w:eastAsia="Arial" w:hAnsi="Arial" w:cs="Arial"/>
                <w:sz w:val="22"/>
                <w:szCs w:val="22"/>
              </w:rPr>
            </w:pPr>
            <w:r w:rsidRPr="003A18A7">
              <w:rPr>
                <w:rFonts w:ascii="Arial" w:eastAsia="Arial" w:hAnsi="Arial" w:cs="Arial"/>
                <w:sz w:val="22"/>
                <w:szCs w:val="22"/>
              </w:rPr>
              <w:t xml:space="preserve">Respuesta a consulta </w:t>
            </w:r>
            <w:r w:rsidR="005C021E" w:rsidRPr="003A18A7">
              <w:rPr>
                <w:rFonts w:ascii="Arial" w:eastAsia="Arial" w:hAnsi="Arial" w:cs="Arial"/>
                <w:sz w:val="22"/>
                <w:szCs w:val="22"/>
              </w:rPr>
              <w:t>4202012000007826</w:t>
            </w:r>
          </w:p>
        </w:tc>
      </w:tr>
    </w:tbl>
    <w:p w14:paraId="73A07BC1" w14:textId="0A13A686" w:rsidR="005B4987" w:rsidRPr="003A18A7" w:rsidRDefault="005B4987" w:rsidP="005B4987">
      <w:pPr>
        <w:rPr>
          <w:rFonts w:ascii="Arial" w:eastAsia="Arial" w:hAnsi="Arial" w:cs="Arial"/>
          <w:sz w:val="22"/>
          <w:szCs w:val="22"/>
        </w:rPr>
      </w:pPr>
    </w:p>
    <w:p w14:paraId="2EE80B98" w14:textId="77777777" w:rsidR="00903F11" w:rsidRPr="003A18A7" w:rsidRDefault="00903F11" w:rsidP="005B4987">
      <w:pPr>
        <w:rPr>
          <w:rFonts w:ascii="Arial" w:eastAsia="Arial" w:hAnsi="Arial" w:cs="Arial"/>
          <w:sz w:val="22"/>
          <w:szCs w:val="22"/>
        </w:rPr>
      </w:pPr>
    </w:p>
    <w:p w14:paraId="6EB88BF4" w14:textId="4DF62ED3" w:rsidR="005B4987" w:rsidRPr="003A18A7" w:rsidRDefault="005B4987" w:rsidP="005B4987">
      <w:pPr>
        <w:rPr>
          <w:rFonts w:ascii="Arial" w:eastAsia="Arial" w:hAnsi="Arial" w:cs="Arial"/>
          <w:sz w:val="22"/>
          <w:szCs w:val="22"/>
        </w:rPr>
      </w:pPr>
      <w:r w:rsidRPr="003A18A7">
        <w:rPr>
          <w:rFonts w:ascii="Arial" w:eastAsia="Arial" w:hAnsi="Arial" w:cs="Arial"/>
          <w:sz w:val="22"/>
          <w:szCs w:val="22"/>
        </w:rPr>
        <w:t>Estimad</w:t>
      </w:r>
      <w:r w:rsidR="00903F11" w:rsidRPr="003A18A7">
        <w:rPr>
          <w:rFonts w:ascii="Arial" w:eastAsia="Arial" w:hAnsi="Arial" w:cs="Arial"/>
          <w:sz w:val="22"/>
          <w:szCs w:val="22"/>
        </w:rPr>
        <w:t>o</w:t>
      </w:r>
      <w:r w:rsidRPr="003A18A7">
        <w:rPr>
          <w:rFonts w:ascii="Arial" w:eastAsia="Arial" w:hAnsi="Arial" w:cs="Arial"/>
          <w:sz w:val="22"/>
          <w:szCs w:val="22"/>
        </w:rPr>
        <w:t xml:space="preserve"> señor </w:t>
      </w:r>
      <w:r w:rsidR="005C021E" w:rsidRPr="003A18A7">
        <w:rPr>
          <w:rFonts w:ascii="Arial" w:eastAsia="Arial" w:hAnsi="Arial" w:cs="Arial"/>
          <w:sz w:val="22"/>
          <w:szCs w:val="22"/>
        </w:rPr>
        <w:t>Forero</w:t>
      </w:r>
      <w:r w:rsidRPr="003A18A7">
        <w:rPr>
          <w:rFonts w:ascii="Arial" w:eastAsia="Arial" w:hAnsi="Arial" w:cs="Arial"/>
          <w:sz w:val="22"/>
          <w:szCs w:val="22"/>
        </w:rPr>
        <w:t>,</w:t>
      </w:r>
    </w:p>
    <w:p w14:paraId="38DDFEC3" w14:textId="77777777" w:rsidR="005B4987" w:rsidRPr="003A18A7" w:rsidRDefault="005B4987" w:rsidP="005B4987">
      <w:pPr>
        <w:rPr>
          <w:rFonts w:ascii="Arial" w:eastAsia="Arial" w:hAnsi="Arial" w:cs="Arial"/>
          <w:sz w:val="22"/>
          <w:szCs w:val="22"/>
        </w:rPr>
      </w:pPr>
    </w:p>
    <w:p w14:paraId="378340B4" w14:textId="65710BB9" w:rsidR="005B4987" w:rsidRPr="003A18A7" w:rsidRDefault="005B4987" w:rsidP="005B4987">
      <w:pPr>
        <w:spacing w:line="276" w:lineRule="auto"/>
        <w:jc w:val="both"/>
        <w:rPr>
          <w:rFonts w:ascii="Arial" w:eastAsia="Arial" w:hAnsi="Arial" w:cs="Arial"/>
          <w:sz w:val="22"/>
          <w:szCs w:val="22"/>
        </w:rPr>
      </w:pPr>
      <w:r w:rsidRPr="003A18A7">
        <w:rPr>
          <w:rFonts w:ascii="Arial" w:eastAsia="Arial" w:hAnsi="Arial" w:cs="Arial"/>
          <w:sz w:val="22"/>
          <w:szCs w:val="22"/>
        </w:rPr>
        <w:t xml:space="preserve">La Agencia Nacional de Contratación Pública -Colombia Compra Eficiente- responde su consulta del </w:t>
      </w:r>
      <w:r w:rsidR="005C021E" w:rsidRPr="003A18A7">
        <w:rPr>
          <w:rFonts w:ascii="Arial" w:eastAsia="Arial" w:hAnsi="Arial" w:cs="Arial"/>
          <w:sz w:val="22"/>
          <w:szCs w:val="22"/>
        </w:rPr>
        <w:t>7</w:t>
      </w:r>
      <w:r w:rsidRPr="003A18A7">
        <w:rPr>
          <w:rFonts w:ascii="Arial" w:eastAsia="Arial" w:hAnsi="Arial" w:cs="Arial"/>
          <w:sz w:val="22"/>
          <w:szCs w:val="22"/>
        </w:rPr>
        <w:t xml:space="preserve"> de </w:t>
      </w:r>
      <w:r w:rsidR="005C021E" w:rsidRPr="003A18A7">
        <w:rPr>
          <w:rFonts w:ascii="Arial" w:eastAsia="Arial" w:hAnsi="Arial" w:cs="Arial"/>
          <w:sz w:val="22"/>
          <w:szCs w:val="22"/>
        </w:rPr>
        <w:t>septiembre</w:t>
      </w:r>
      <w:r w:rsidRPr="003A18A7">
        <w:rPr>
          <w:rFonts w:ascii="Arial" w:eastAsia="Arial" w:hAnsi="Arial" w:cs="Arial"/>
          <w:sz w:val="22"/>
          <w:szCs w:val="22"/>
        </w:rPr>
        <w:t xml:space="preserve"> de 2020, en ejercicio de la competencia otorgada por el numeral 8 del artículo 11 y el numeral 5 del artículo 3 del Decreto Ley 4170 de 2011. </w:t>
      </w:r>
    </w:p>
    <w:p w14:paraId="506D02E8" w14:textId="77777777" w:rsidR="00BA3898" w:rsidRPr="003A18A7" w:rsidRDefault="00BA3898" w:rsidP="005B4987">
      <w:pPr>
        <w:spacing w:line="276" w:lineRule="auto"/>
        <w:jc w:val="both"/>
        <w:rPr>
          <w:rFonts w:ascii="Arial" w:eastAsia="Arial" w:hAnsi="Arial" w:cs="Arial"/>
          <w:b/>
          <w:sz w:val="22"/>
          <w:szCs w:val="22"/>
        </w:rPr>
      </w:pPr>
    </w:p>
    <w:p w14:paraId="1C3B467B" w14:textId="3CD19C7C" w:rsidR="005B4987" w:rsidRPr="003A18A7" w:rsidRDefault="005B4987" w:rsidP="005B4987">
      <w:pPr>
        <w:spacing w:line="276" w:lineRule="auto"/>
        <w:jc w:val="both"/>
        <w:rPr>
          <w:rFonts w:ascii="Arial" w:eastAsia="Arial" w:hAnsi="Arial" w:cs="Arial"/>
          <w:b/>
          <w:sz w:val="22"/>
          <w:szCs w:val="22"/>
        </w:rPr>
      </w:pPr>
      <w:r w:rsidRPr="003A18A7">
        <w:rPr>
          <w:rFonts w:ascii="Arial" w:eastAsia="Arial" w:hAnsi="Arial" w:cs="Arial"/>
          <w:b/>
          <w:sz w:val="22"/>
          <w:szCs w:val="22"/>
        </w:rPr>
        <w:t>1. Problemas planteados</w:t>
      </w:r>
    </w:p>
    <w:p w14:paraId="290BA61D" w14:textId="77777777" w:rsidR="005B4987" w:rsidRPr="003A18A7" w:rsidRDefault="005B4987" w:rsidP="005B4987">
      <w:pPr>
        <w:spacing w:line="276" w:lineRule="auto"/>
        <w:jc w:val="both"/>
        <w:rPr>
          <w:rFonts w:ascii="Arial" w:eastAsia="Arial" w:hAnsi="Arial" w:cs="Arial"/>
          <w:sz w:val="22"/>
          <w:szCs w:val="22"/>
        </w:rPr>
      </w:pPr>
    </w:p>
    <w:p w14:paraId="3E3C55D3" w14:textId="2EAD882B" w:rsidR="00903F11" w:rsidRPr="003A18A7" w:rsidRDefault="001A0074" w:rsidP="005C021E">
      <w:pPr>
        <w:pStyle w:val="Default"/>
        <w:jc w:val="both"/>
        <w:rPr>
          <w:rFonts w:eastAsia="Arial"/>
          <w:color w:val="auto"/>
          <w:sz w:val="22"/>
          <w:szCs w:val="22"/>
        </w:rPr>
      </w:pPr>
      <w:r w:rsidRPr="003A18A7">
        <w:rPr>
          <w:rFonts w:eastAsia="Arial"/>
          <w:color w:val="auto"/>
          <w:sz w:val="22"/>
          <w:szCs w:val="22"/>
        </w:rPr>
        <w:t>E</w:t>
      </w:r>
      <w:r w:rsidR="00903F11" w:rsidRPr="003A18A7">
        <w:rPr>
          <w:rFonts w:eastAsia="Arial"/>
          <w:color w:val="auto"/>
          <w:sz w:val="22"/>
          <w:szCs w:val="22"/>
        </w:rPr>
        <w:t xml:space="preserve">n relación con </w:t>
      </w:r>
      <w:bookmarkStart w:id="1" w:name="_Hlk47614354"/>
      <w:r w:rsidR="005C021E" w:rsidRPr="003A18A7">
        <w:rPr>
          <w:rFonts w:eastAsia="Arial"/>
          <w:color w:val="auto"/>
          <w:sz w:val="22"/>
          <w:szCs w:val="22"/>
        </w:rPr>
        <w:t>la modificación al</w:t>
      </w:r>
      <w:r w:rsidR="00903F11" w:rsidRPr="003A18A7">
        <w:rPr>
          <w:rFonts w:eastAsia="Arial"/>
          <w:color w:val="auto"/>
          <w:sz w:val="22"/>
          <w:szCs w:val="22"/>
        </w:rPr>
        <w:t xml:space="preserve"> factor de calidad </w:t>
      </w:r>
      <w:r w:rsidR="005C021E" w:rsidRPr="003A18A7">
        <w:rPr>
          <w:rFonts w:eastAsia="Arial"/>
          <w:color w:val="auto"/>
          <w:sz w:val="22"/>
          <w:szCs w:val="22"/>
        </w:rPr>
        <w:t xml:space="preserve">de los Documentos Tipo de infraestructura de transporte introducida por la Resolución 116 de 2020, se formulan las </w:t>
      </w:r>
      <w:proofErr w:type="gramStart"/>
      <w:r w:rsidR="005C021E" w:rsidRPr="003A18A7">
        <w:rPr>
          <w:rFonts w:eastAsia="Arial"/>
          <w:color w:val="auto"/>
          <w:sz w:val="22"/>
          <w:szCs w:val="22"/>
        </w:rPr>
        <w:t>siguiente preguntas</w:t>
      </w:r>
      <w:proofErr w:type="gramEnd"/>
      <w:r w:rsidR="00903F11" w:rsidRPr="003A18A7">
        <w:rPr>
          <w:rFonts w:eastAsia="Arial"/>
          <w:color w:val="auto"/>
          <w:sz w:val="22"/>
          <w:szCs w:val="22"/>
        </w:rPr>
        <w:t xml:space="preserve"> </w:t>
      </w:r>
      <w:bookmarkEnd w:id="1"/>
      <w:r w:rsidR="005B4987" w:rsidRPr="003A18A7">
        <w:rPr>
          <w:rFonts w:eastAsia="Arial"/>
          <w:color w:val="auto"/>
          <w:sz w:val="22"/>
          <w:szCs w:val="22"/>
        </w:rPr>
        <w:t>«</w:t>
      </w:r>
      <w:r w:rsidR="00395E66" w:rsidRPr="003A18A7">
        <w:rPr>
          <w:rFonts w:eastAsia="Arial"/>
          <w:color w:val="auto"/>
          <w:sz w:val="22"/>
          <w:szCs w:val="22"/>
        </w:rPr>
        <w:t xml:space="preserve">[…] </w:t>
      </w:r>
      <w:r w:rsidR="005C021E" w:rsidRPr="003A18A7">
        <w:rPr>
          <w:color w:val="auto"/>
          <w:sz w:val="22"/>
          <w:szCs w:val="22"/>
        </w:rPr>
        <w:t xml:space="preserve"> Si un oferente ofrece más de lo estipulado en la resolución, por ejemplo, la entidad estima dos frentes de trabajo para el factor de cuadrillas adicionales, es decir, el máximo número de cuadrillas adicionales a ofrecer es de cuatro (4). Qúe sucede si un proponente ofrece cinco (5) cuadrillas? </w:t>
      </w:r>
      <w:proofErr w:type="gramStart"/>
      <w:r w:rsidR="005C021E" w:rsidRPr="003A18A7">
        <w:rPr>
          <w:color w:val="auto"/>
          <w:sz w:val="22"/>
          <w:szCs w:val="22"/>
        </w:rPr>
        <w:t xml:space="preserve">La Entidad puede decir que está ofertando </w:t>
      </w:r>
      <w:r w:rsidR="005C021E" w:rsidRPr="003A18A7">
        <w:rPr>
          <w:color w:val="auto"/>
          <w:sz w:val="22"/>
          <w:szCs w:val="22"/>
        </w:rPr>
        <w:lastRenderedPageBreak/>
        <w:t>inclusive más de lo requerido, por lo tanto, le deben asignar el máximo puntaje?</w:t>
      </w:r>
      <w:proofErr w:type="gramEnd"/>
      <w:r w:rsidR="005C021E" w:rsidRPr="003A18A7">
        <w:rPr>
          <w:color w:val="auto"/>
          <w:sz w:val="22"/>
          <w:szCs w:val="22"/>
        </w:rPr>
        <w:t xml:space="preserve"> o por el contrario, no se le debe asignar puntaje por este factor? Elevo esta consulta para los tres factores de calidad mencionados [garantia adicional, cuadrillas de trabajo y mantenimiento </w:t>
      </w:r>
      <w:proofErr w:type="gramStart"/>
      <w:r w:rsidR="005C021E" w:rsidRPr="003A18A7">
        <w:rPr>
          <w:color w:val="auto"/>
          <w:sz w:val="22"/>
          <w:szCs w:val="22"/>
        </w:rPr>
        <w:t>adicional ]</w:t>
      </w:r>
      <w:proofErr w:type="gramEnd"/>
      <w:r w:rsidR="005C021E" w:rsidRPr="003A18A7">
        <w:rPr>
          <w:color w:val="auto"/>
          <w:sz w:val="22"/>
          <w:szCs w:val="22"/>
        </w:rPr>
        <w:t xml:space="preserve"> [….]</w:t>
      </w:r>
      <w:r w:rsidR="005B4987" w:rsidRPr="003A18A7">
        <w:rPr>
          <w:rFonts w:eastAsia="Arial"/>
          <w:color w:val="auto"/>
          <w:sz w:val="22"/>
          <w:szCs w:val="22"/>
        </w:rPr>
        <w:t>»</w:t>
      </w:r>
      <w:r w:rsidR="00903F11" w:rsidRPr="003A18A7">
        <w:rPr>
          <w:rFonts w:eastAsia="Arial"/>
          <w:color w:val="auto"/>
          <w:sz w:val="22"/>
          <w:szCs w:val="22"/>
        </w:rPr>
        <w:t>.</w:t>
      </w:r>
    </w:p>
    <w:p w14:paraId="2B853408" w14:textId="77777777" w:rsidR="005B4987" w:rsidRPr="003A18A7" w:rsidRDefault="005B4987" w:rsidP="005B4987">
      <w:pPr>
        <w:spacing w:line="276" w:lineRule="auto"/>
        <w:jc w:val="both"/>
        <w:rPr>
          <w:rFonts w:ascii="Arial" w:eastAsia="Arial" w:hAnsi="Arial" w:cs="Arial"/>
          <w:b/>
          <w:sz w:val="22"/>
          <w:szCs w:val="22"/>
        </w:rPr>
      </w:pPr>
    </w:p>
    <w:p w14:paraId="3029DFD0" w14:textId="77777777" w:rsidR="005B4987" w:rsidRPr="003A18A7" w:rsidRDefault="005B4987" w:rsidP="005B4987">
      <w:pPr>
        <w:spacing w:line="276" w:lineRule="auto"/>
        <w:jc w:val="both"/>
        <w:rPr>
          <w:rFonts w:ascii="Arial" w:eastAsia="Arial" w:hAnsi="Arial" w:cs="Arial"/>
          <w:b/>
          <w:sz w:val="22"/>
          <w:szCs w:val="22"/>
        </w:rPr>
      </w:pPr>
      <w:r w:rsidRPr="003A18A7">
        <w:rPr>
          <w:rFonts w:ascii="Arial" w:eastAsia="Arial" w:hAnsi="Arial" w:cs="Arial"/>
          <w:b/>
          <w:sz w:val="22"/>
          <w:szCs w:val="22"/>
        </w:rPr>
        <w:t>2. Consideraciones</w:t>
      </w:r>
    </w:p>
    <w:p w14:paraId="5D074C98" w14:textId="77777777" w:rsidR="00EB2CE5" w:rsidRPr="003A18A7" w:rsidRDefault="00EB2CE5" w:rsidP="00EB2CE5">
      <w:pPr>
        <w:spacing w:line="276" w:lineRule="auto"/>
        <w:jc w:val="both"/>
        <w:rPr>
          <w:rFonts w:ascii="Arial" w:hAnsi="Arial" w:cs="Arial"/>
          <w:sz w:val="22"/>
          <w:szCs w:val="22"/>
        </w:rPr>
      </w:pPr>
    </w:p>
    <w:p w14:paraId="03225982" w14:textId="03FED6F5" w:rsidR="005B4987" w:rsidRPr="003A18A7" w:rsidRDefault="00BA6527" w:rsidP="00EB2CE5">
      <w:pPr>
        <w:spacing w:after="120" w:line="276" w:lineRule="auto"/>
        <w:jc w:val="both"/>
        <w:rPr>
          <w:rFonts w:ascii="Arial" w:eastAsia="Arial" w:hAnsi="Arial" w:cs="Arial"/>
          <w:sz w:val="22"/>
          <w:szCs w:val="22"/>
        </w:rPr>
      </w:pPr>
      <w:r w:rsidRPr="003A18A7">
        <w:rPr>
          <w:rFonts w:ascii="Arial" w:hAnsi="Arial" w:cs="Arial"/>
          <w:sz w:val="22"/>
          <w:szCs w:val="22"/>
        </w:rPr>
        <w:t xml:space="preserve">La Agencia </w:t>
      </w:r>
      <w:r w:rsidRPr="003A18A7">
        <w:rPr>
          <w:rFonts w:ascii="Arial" w:hAnsi="Arial" w:cs="Arial"/>
          <w:bCs/>
          <w:sz w:val="22"/>
          <w:szCs w:val="22"/>
        </w:rPr>
        <w:t xml:space="preserve">Nacional de Contratación Pública – Colombia Compra Eficiente ha tenido la oportunidad de pronunciarse sobre el factor de calidad en procesos de selección con documentos tipo en </w:t>
      </w:r>
      <w:r w:rsidR="005B4987" w:rsidRPr="003A18A7">
        <w:rPr>
          <w:rFonts w:ascii="Arial" w:eastAsia="Arial" w:hAnsi="Arial" w:cs="Arial"/>
          <w:sz w:val="22"/>
          <w:szCs w:val="22"/>
        </w:rPr>
        <w:t>los conceptos C-294 del 18 de mayo de 2020; C-276 y C-277 del 26 de mayo de 2020; C–380 y C–381 del 1 de junio de 2020; C-404 del 12 de junio de 2020</w:t>
      </w:r>
      <w:r w:rsidRPr="003A18A7">
        <w:rPr>
          <w:rFonts w:ascii="Arial" w:eastAsia="Arial" w:hAnsi="Arial" w:cs="Arial"/>
          <w:sz w:val="22"/>
          <w:szCs w:val="22"/>
        </w:rPr>
        <w:t xml:space="preserve">, C-352 del 30 de junio de 2020, </w:t>
      </w:r>
      <w:r w:rsidR="005B4987" w:rsidRPr="003A18A7">
        <w:rPr>
          <w:rFonts w:ascii="Arial" w:eastAsia="Arial" w:hAnsi="Arial" w:cs="Arial"/>
          <w:sz w:val="22"/>
          <w:szCs w:val="22"/>
        </w:rPr>
        <w:t>C-430 del 7 de julio de 2020</w:t>
      </w:r>
      <w:r w:rsidR="005C021E" w:rsidRPr="003A18A7">
        <w:rPr>
          <w:rFonts w:ascii="Arial" w:eastAsia="Arial" w:hAnsi="Arial" w:cs="Arial"/>
          <w:sz w:val="22"/>
          <w:szCs w:val="22"/>
        </w:rPr>
        <w:t xml:space="preserve">, </w:t>
      </w:r>
      <w:r w:rsidRPr="003A18A7">
        <w:rPr>
          <w:rFonts w:ascii="Arial" w:eastAsia="Arial" w:hAnsi="Arial" w:cs="Arial"/>
          <w:sz w:val="22"/>
          <w:szCs w:val="22"/>
        </w:rPr>
        <w:t>C-481 del 27 de julio de 2020</w:t>
      </w:r>
      <w:r w:rsidR="00724ABE" w:rsidRPr="003A18A7">
        <w:rPr>
          <w:rFonts w:ascii="Arial" w:eastAsia="Arial" w:hAnsi="Arial" w:cs="Arial"/>
          <w:sz w:val="22"/>
          <w:szCs w:val="22"/>
        </w:rPr>
        <w:t>, C-540 del 19 de agosto de 2020 y</w:t>
      </w:r>
      <w:r w:rsidR="005C021E" w:rsidRPr="003A18A7">
        <w:rPr>
          <w:rFonts w:ascii="Arial" w:eastAsia="Arial" w:hAnsi="Arial" w:cs="Arial"/>
          <w:sz w:val="22"/>
          <w:szCs w:val="22"/>
        </w:rPr>
        <w:t xml:space="preserve"> C-520 del 25 de agosto de 2020.</w:t>
      </w:r>
      <w:r w:rsidRPr="003A18A7">
        <w:rPr>
          <w:rFonts w:ascii="Arial" w:eastAsia="Arial" w:hAnsi="Arial" w:cs="Arial"/>
          <w:sz w:val="22"/>
          <w:szCs w:val="22"/>
        </w:rPr>
        <w:t xml:space="preserve"> </w:t>
      </w:r>
      <w:r w:rsidR="005C021E" w:rsidRPr="003A18A7">
        <w:rPr>
          <w:rFonts w:ascii="Arial" w:eastAsia="Arial" w:hAnsi="Arial" w:cs="Arial"/>
          <w:sz w:val="22"/>
          <w:szCs w:val="22"/>
        </w:rPr>
        <w:t>Algunas consideraciones expuestas en estos conceptos se reiteran a continuación.</w:t>
      </w:r>
    </w:p>
    <w:p w14:paraId="6E7B3BB7" w14:textId="02D593C1" w:rsidR="005B4987" w:rsidRPr="003A18A7" w:rsidRDefault="00770D31" w:rsidP="009C764E">
      <w:pPr>
        <w:tabs>
          <w:tab w:val="left" w:pos="426"/>
        </w:tabs>
        <w:spacing w:after="120" w:line="276" w:lineRule="auto"/>
        <w:jc w:val="both"/>
        <w:rPr>
          <w:rFonts w:ascii="Arial" w:eastAsia="Arial" w:hAnsi="Arial" w:cs="Arial"/>
          <w:sz w:val="22"/>
          <w:szCs w:val="22"/>
        </w:rPr>
      </w:pPr>
      <w:r w:rsidRPr="003A18A7">
        <w:rPr>
          <w:rFonts w:ascii="Arial" w:eastAsia="Arial" w:hAnsi="Arial" w:cs="Arial"/>
          <w:sz w:val="22"/>
          <w:szCs w:val="22"/>
        </w:rPr>
        <w:tab/>
      </w:r>
      <w:r w:rsidR="009C764E" w:rsidRPr="003A18A7">
        <w:rPr>
          <w:rFonts w:ascii="Arial" w:eastAsia="Arial" w:hAnsi="Arial" w:cs="Arial"/>
          <w:sz w:val="22"/>
          <w:szCs w:val="22"/>
        </w:rPr>
        <w:tab/>
      </w:r>
      <w:r w:rsidR="005B4987" w:rsidRPr="003A18A7">
        <w:rPr>
          <w:rFonts w:ascii="Arial" w:eastAsia="Arial" w:hAnsi="Arial" w:cs="Arial"/>
          <w:sz w:val="22"/>
          <w:szCs w:val="22"/>
        </w:rPr>
        <w:t xml:space="preserve">Antes de </w:t>
      </w:r>
      <w:r w:rsidRPr="003A18A7">
        <w:rPr>
          <w:rFonts w:ascii="Arial" w:eastAsia="Arial" w:hAnsi="Arial" w:cs="Arial"/>
          <w:sz w:val="22"/>
          <w:szCs w:val="22"/>
        </w:rPr>
        <w:t>proceder al estudio de los interrogantes planteados,</w:t>
      </w:r>
      <w:r w:rsidR="005B4987" w:rsidRPr="003A18A7">
        <w:rPr>
          <w:rFonts w:ascii="Arial" w:eastAsia="Arial" w:hAnsi="Arial" w:cs="Arial"/>
          <w:sz w:val="22"/>
          <w:szCs w:val="22"/>
        </w:rPr>
        <w:t xml:space="preserve"> </w:t>
      </w:r>
      <w:r w:rsidRPr="003A18A7">
        <w:rPr>
          <w:rFonts w:ascii="Arial" w:eastAsia="Arial" w:hAnsi="Arial" w:cs="Arial"/>
          <w:sz w:val="22"/>
          <w:szCs w:val="22"/>
        </w:rPr>
        <w:t xml:space="preserve">es </w:t>
      </w:r>
      <w:r w:rsidR="005B4987" w:rsidRPr="003A18A7">
        <w:rPr>
          <w:rFonts w:ascii="Arial" w:eastAsia="Arial" w:hAnsi="Arial" w:cs="Arial"/>
          <w:sz w:val="22"/>
          <w:szCs w:val="22"/>
        </w:rPr>
        <w:t xml:space="preserve">necesario resaltar que los numerales 4.2.4, 4.2.5. y 4.2.6. del </w:t>
      </w:r>
      <w:r w:rsidR="005C021E" w:rsidRPr="003A18A7">
        <w:rPr>
          <w:rFonts w:ascii="Arial" w:eastAsia="Arial" w:hAnsi="Arial" w:cs="Arial"/>
          <w:sz w:val="22"/>
          <w:szCs w:val="22"/>
        </w:rPr>
        <w:t>D</w:t>
      </w:r>
      <w:r w:rsidR="006B7931" w:rsidRPr="003A18A7">
        <w:rPr>
          <w:rFonts w:ascii="Arial" w:eastAsia="Arial" w:hAnsi="Arial" w:cs="Arial"/>
          <w:sz w:val="22"/>
          <w:szCs w:val="22"/>
        </w:rPr>
        <w:t xml:space="preserve">ocumento </w:t>
      </w:r>
      <w:r w:rsidR="005C021E" w:rsidRPr="003A18A7">
        <w:rPr>
          <w:rFonts w:ascii="Arial" w:eastAsia="Arial" w:hAnsi="Arial" w:cs="Arial"/>
          <w:sz w:val="22"/>
          <w:szCs w:val="22"/>
        </w:rPr>
        <w:t>B</w:t>
      </w:r>
      <w:r w:rsidR="006B7931" w:rsidRPr="003A18A7">
        <w:rPr>
          <w:rFonts w:ascii="Arial" w:eastAsia="Arial" w:hAnsi="Arial" w:cs="Arial"/>
          <w:sz w:val="22"/>
          <w:szCs w:val="22"/>
        </w:rPr>
        <w:t xml:space="preserve">ase </w:t>
      </w:r>
      <w:r w:rsidR="005B4987" w:rsidRPr="003A18A7">
        <w:rPr>
          <w:rFonts w:ascii="Arial" w:eastAsia="Arial" w:hAnsi="Arial" w:cs="Arial"/>
          <w:sz w:val="22"/>
          <w:szCs w:val="22"/>
        </w:rPr>
        <w:t xml:space="preserve">para licitaciones públicas de infraestructura de trasporte –versión 2–, </w:t>
      </w:r>
      <w:r w:rsidR="00EB2CE5" w:rsidRPr="003A18A7">
        <w:rPr>
          <w:rFonts w:ascii="Arial" w:eastAsia="Arial" w:hAnsi="Arial" w:cs="Arial"/>
          <w:sz w:val="22"/>
          <w:szCs w:val="22"/>
        </w:rPr>
        <w:t xml:space="preserve">relativos a los factores de calidad de garantía suplementaria, cuadrillas de trabajo adicional y mantenimiento adicional, </w:t>
      </w:r>
      <w:r w:rsidR="005B4987" w:rsidRPr="003A18A7">
        <w:rPr>
          <w:rFonts w:ascii="Arial" w:eastAsia="Arial" w:hAnsi="Arial" w:cs="Arial"/>
          <w:sz w:val="22"/>
          <w:szCs w:val="22"/>
        </w:rPr>
        <w:t xml:space="preserve">así como también los mismos numerales </w:t>
      </w:r>
      <w:r w:rsidR="001E14D4" w:rsidRPr="003A18A7">
        <w:rPr>
          <w:rFonts w:ascii="Arial" w:eastAsia="Arial" w:hAnsi="Arial" w:cs="Arial"/>
          <w:sz w:val="22"/>
          <w:szCs w:val="22"/>
        </w:rPr>
        <w:t>del pliego tipo</w:t>
      </w:r>
      <w:r w:rsidR="005B4987" w:rsidRPr="003A18A7">
        <w:rPr>
          <w:rFonts w:ascii="Arial" w:eastAsia="Arial" w:hAnsi="Arial" w:cs="Arial"/>
          <w:sz w:val="22"/>
          <w:szCs w:val="22"/>
        </w:rPr>
        <w:t xml:space="preserve">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63D1DC89" w14:textId="1C2696D9" w:rsidR="002416B5" w:rsidRPr="003A18A7" w:rsidRDefault="002416B5" w:rsidP="002416B5">
      <w:pPr>
        <w:tabs>
          <w:tab w:val="left" w:pos="709"/>
        </w:tabs>
        <w:spacing w:before="120" w:line="276" w:lineRule="auto"/>
        <w:jc w:val="both"/>
        <w:rPr>
          <w:rFonts w:ascii="Arial" w:eastAsia="Arial" w:hAnsi="Arial" w:cs="Arial"/>
          <w:sz w:val="22"/>
          <w:szCs w:val="22"/>
        </w:rPr>
      </w:pPr>
      <w:r w:rsidRPr="003A18A7">
        <w:rPr>
          <w:rFonts w:ascii="Arial" w:eastAsia="Arial" w:hAnsi="Arial" w:cs="Arial"/>
          <w:sz w:val="22"/>
          <w:szCs w:val="22"/>
        </w:rPr>
        <w:tab/>
        <w:t xml:space="preserve">En relación con el </w:t>
      </w:r>
      <w:r w:rsidR="001D1DBF" w:rsidRPr="003A18A7">
        <w:rPr>
          <w:rFonts w:ascii="Arial" w:eastAsia="Arial" w:hAnsi="Arial" w:cs="Arial"/>
          <w:sz w:val="22"/>
          <w:szCs w:val="22"/>
        </w:rPr>
        <w:t>«</w:t>
      </w:r>
      <w:r w:rsidRPr="003A18A7">
        <w:rPr>
          <w:rFonts w:ascii="Arial" w:eastAsia="Arial" w:hAnsi="Arial" w:cs="Arial"/>
          <w:sz w:val="22"/>
          <w:szCs w:val="22"/>
        </w:rPr>
        <w:t>factor de calidad</w:t>
      </w:r>
      <w:r w:rsidR="001D1DBF" w:rsidRPr="003A18A7">
        <w:rPr>
          <w:rFonts w:ascii="Arial" w:eastAsia="Arial" w:hAnsi="Arial" w:cs="Arial"/>
          <w:sz w:val="22"/>
          <w:szCs w:val="22"/>
        </w:rPr>
        <w:t>»</w:t>
      </w:r>
      <w:r w:rsidRPr="003A18A7">
        <w:rPr>
          <w:rFonts w:ascii="Arial" w:eastAsia="Arial" w:hAnsi="Arial" w:cs="Arial"/>
          <w:sz w:val="22"/>
          <w:szCs w:val="22"/>
        </w:rPr>
        <w:t xml:space="preserve">, la versión 2 de los </w:t>
      </w:r>
      <w:r w:rsidR="001E14D4" w:rsidRPr="003A18A7">
        <w:rPr>
          <w:rFonts w:ascii="Arial" w:eastAsia="Arial" w:hAnsi="Arial" w:cs="Arial"/>
          <w:sz w:val="22"/>
          <w:szCs w:val="22"/>
        </w:rPr>
        <w:t xml:space="preserve">documentos tipo </w:t>
      </w:r>
      <w:r w:rsidRPr="003A18A7">
        <w:rPr>
          <w:rFonts w:ascii="Arial" w:eastAsia="Arial" w:hAnsi="Arial" w:cs="Arial"/>
          <w:sz w:val="22"/>
          <w:szCs w:val="22"/>
        </w:rPr>
        <w:t>para procesos de licitación de obra pública de infraestructura de transporte –Resolución No. 045 de 2020–, conserva los tres factores existentes en la versión 1</w:t>
      </w:r>
      <w:r w:rsidR="001D1DBF" w:rsidRPr="003A18A7">
        <w:rPr>
          <w:rFonts w:ascii="Arial" w:eastAsia="Arial" w:hAnsi="Arial" w:cs="Arial"/>
          <w:sz w:val="22"/>
          <w:szCs w:val="22"/>
        </w:rPr>
        <w:t xml:space="preserve"> </w:t>
      </w:r>
      <w:r w:rsidRPr="003A18A7">
        <w:rPr>
          <w:rFonts w:ascii="Arial" w:eastAsia="Arial" w:hAnsi="Arial" w:cs="Arial"/>
          <w:sz w:val="22"/>
          <w:szCs w:val="22"/>
        </w:rPr>
        <w:t xml:space="preserve">–Resolución No. 1798 de 2019–, e incluyen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w:t>
      </w:r>
      <w:r w:rsidR="001E14D4" w:rsidRPr="003A18A7">
        <w:rPr>
          <w:rFonts w:ascii="Arial" w:eastAsia="Arial" w:hAnsi="Arial" w:cs="Arial"/>
          <w:sz w:val="22"/>
          <w:szCs w:val="22"/>
        </w:rPr>
        <w:t xml:space="preserve">documento tipo </w:t>
      </w:r>
      <w:r w:rsidRPr="003A18A7">
        <w:rPr>
          <w:rFonts w:ascii="Arial" w:eastAsia="Arial" w:hAnsi="Arial" w:cs="Arial"/>
          <w:sz w:val="22"/>
          <w:szCs w:val="22"/>
        </w:rPr>
        <w:t>para procesos de selección abreviada de menor cuantía –Resolución No. 044 de 2020–.</w:t>
      </w:r>
    </w:p>
    <w:p w14:paraId="0506630B" w14:textId="77777777" w:rsidR="002416B5" w:rsidRPr="003A18A7" w:rsidRDefault="002416B5" w:rsidP="002416B5">
      <w:pPr>
        <w:spacing w:before="120" w:line="276" w:lineRule="auto"/>
        <w:ind w:firstLine="709"/>
        <w:jc w:val="both"/>
        <w:rPr>
          <w:rFonts w:ascii="Arial" w:eastAsia="Arial" w:hAnsi="Arial" w:cs="Arial"/>
          <w:sz w:val="22"/>
          <w:szCs w:val="22"/>
        </w:rPr>
      </w:pPr>
      <w:r w:rsidRPr="003A18A7">
        <w:rPr>
          <w:rFonts w:ascii="Arial" w:eastAsia="Arial" w:hAnsi="Arial" w:cs="Arial"/>
          <w:sz w:val="22"/>
          <w:szCs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6112465B" w14:textId="3393B68A" w:rsidR="002416B5" w:rsidRPr="003A18A7" w:rsidRDefault="002416B5" w:rsidP="00EF02E8">
      <w:pPr>
        <w:spacing w:before="120" w:line="276" w:lineRule="auto"/>
        <w:ind w:firstLine="709"/>
        <w:jc w:val="both"/>
        <w:rPr>
          <w:rFonts w:ascii="Arial" w:eastAsia="Arial" w:hAnsi="Arial" w:cs="Arial"/>
          <w:sz w:val="22"/>
          <w:szCs w:val="22"/>
        </w:rPr>
      </w:pPr>
      <w:r w:rsidRPr="003A18A7">
        <w:rPr>
          <w:rFonts w:ascii="Arial" w:eastAsia="Arial" w:hAnsi="Arial" w:cs="Arial"/>
          <w:sz w:val="22"/>
          <w:szCs w:val="22"/>
        </w:rPr>
        <w:t xml:space="preserve">Adicionalmente, esta versión de los </w:t>
      </w:r>
      <w:r w:rsidR="001E14D4" w:rsidRPr="003A18A7">
        <w:rPr>
          <w:rFonts w:ascii="Arial" w:eastAsia="Arial" w:hAnsi="Arial" w:cs="Arial"/>
          <w:sz w:val="22"/>
          <w:szCs w:val="22"/>
        </w:rPr>
        <w:t>documentos tipo</w:t>
      </w:r>
      <w:r w:rsidRPr="003A18A7">
        <w:rPr>
          <w:rFonts w:ascii="Arial" w:eastAsia="Arial" w:hAnsi="Arial" w:cs="Arial"/>
          <w:sz w:val="22"/>
          <w:szCs w:val="22"/>
        </w:rPr>
        <w:t xml:space="preserve"> conserva el puntaje establecido para el factor de calidad en la </w:t>
      </w:r>
      <w:r w:rsidR="001E14D4" w:rsidRPr="003A18A7">
        <w:rPr>
          <w:rFonts w:ascii="Arial" w:eastAsia="Arial" w:hAnsi="Arial" w:cs="Arial"/>
          <w:sz w:val="22"/>
          <w:szCs w:val="22"/>
        </w:rPr>
        <w:t>v</w:t>
      </w:r>
      <w:r w:rsidRPr="003A18A7">
        <w:rPr>
          <w:rFonts w:ascii="Arial" w:eastAsia="Arial" w:hAnsi="Arial" w:cs="Arial"/>
          <w:sz w:val="22"/>
          <w:szCs w:val="22"/>
        </w:rPr>
        <w:t xml:space="preserve">ersión 1, de modo que no se alteró el total de los 19 puntos </w:t>
      </w:r>
      <w:r w:rsidRPr="003A18A7">
        <w:rPr>
          <w:rFonts w:ascii="Arial" w:eastAsia="Arial" w:hAnsi="Arial" w:cs="Arial"/>
          <w:sz w:val="22"/>
          <w:szCs w:val="22"/>
        </w:rPr>
        <w:lastRenderedPageBreak/>
        <w:t xml:space="preserve">que puede otorgar la entidad por este criterio de evaluación. 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 pase los 19 puntos.  </w:t>
      </w:r>
    </w:p>
    <w:p w14:paraId="3DEFEEAF" w14:textId="77777777" w:rsidR="00EF02E8" w:rsidRPr="003A18A7" w:rsidRDefault="00EF02E8" w:rsidP="00EF02E8">
      <w:pPr>
        <w:spacing w:line="276" w:lineRule="auto"/>
        <w:jc w:val="both"/>
        <w:rPr>
          <w:rFonts w:ascii="Arial" w:hAnsi="Arial" w:cs="Arial"/>
          <w:b/>
          <w:bCs/>
          <w:sz w:val="22"/>
        </w:rPr>
      </w:pPr>
    </w:p>
    <w:p w14:paraId="17315305" w14:textId="15476646" w:rsidR="00EF02E8" w:rsidRPr="003A18A7" w:rsidRDefault="009E1A27" w:rsidP="00EF02E8">
      <w:pPr>
        <w:spacing w:line="276" w:lineRule="auto"/>
        <w:jc w:val="both"/>
        <w:rPr>
          <w:rFonts w:ascii="Arial" w:hAnsi="Arial" w:cs="Arial"/>
          <w:b/>
          <w:bCs/>
          <w:sz w:val="22"/>
        </w:rPr>
      </w:pPr>
      <w:r>
        <w:rPr>
          <w:rFonts w:ascii="Arial" w:hAnsi="Arial" w:cs="Arial"/>
          <w:b/>
          <w:bCs/>
          <w:sz w:val="22"/>
        </w:rPr>
        <w:t>2.1.</w:t>
      </w:r>
      <w:r w:rsidR="00EF02E8" w:rsidRPr="003A18A7">
        <w:rPr>
          <w:rFonts w:ascii="Arial" w:hAnsi="Arial" w:cs="Arial"/>
          <w:b/>
          <w:bCs/>
          <w:sz w:val="22"/>
        </w:rPr>
        <w:t xml:space="preserve"> Garantía suplementaria</w:t>
      </w:r>
    </w:p>
    <w:p w14:paraId="66AA6DD0" w14:textId="77777777" w:rsidR="00EF02E8" w:rsidRPr="003A18A7" w:rsidRDefault="00EF02E8" w:rsidP="00EF02E8">
      <w:pPr>
        <w:spacing w:line="276" w:lineRule="auto"/>
        <w:jc w:val="both"/>
        <w:rPr>
          <w:rFonts w:ascii="Arial" w:hAnsi="Arial" w:cs="Arial"/>
          <w:sz w:val="22"/>
        </w:rPr>
      </w:pPr>
    </w:p>
    <w:p w14:paraId="4169F0CC" w14:textId="04D2381F" w:rsidR="00EF02E8" w:rsidRPr="003A18A7" w:rsidRDefault="00EF02E8" w:rsidP="00EF02E8">
      <w:pPr>
        <w:spacing w:line="276" w:lineRule="auto"/>
        <w:jc w:val="both"/>
        <w:rPr>
          <w:rFonts w:ascii="Arial" w:hAnsi="Arial" w:cs="Arial"/>
          <w:sz w:val="22"/>
        </w:rPr>
      </w:pPr>
      <w:r w:rsidRPr="003A18A7">
        <w:rPr>
          <w:rFonts w:ascii="Arial" w:hAnsi="Arial" w:cs="Arial"/>
          <w:sz w:val="22"/>
        </w:rPr>
        <w:t>La «Garantía Suplementaria o Adicional» 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r w:rsidR="00E20D2E">
        <w:rPr>
          <w:rFonts w:ascii="Arial" w:hAnsi="Arial" w:cs="Arial"/>
          <w:sz w:val="22"/>
        </w:rPr>
        <w:t>.</w:t>
      </w:r>
    </w:p>
    <w:p w14:paraId="18478BC4" w14:textId="77777777" w:rsidR="00EF02E8" w:rsidRPr="003A18A7" w:rsidRDefault="00EF02E8" w:rsidP="00EF02E8">
      <w:pPr>
        <w:spacing w:before="120" w:line="276" w:lineRule="auto"/>
        <w:ind w:firstLine="709"/>
        <w:jc w:val="both"/>
        <w:rPr>
          <w:rFonts w:ascii="Arial" w:hAnsi="Arial" w:cs="Arial"/>
          <w:sz w:val="22"/>
        </w:rPr>
      </w:pPr>
      <w:r w:rsidRPr="003A18A7">
        <w:rPr>
          <w:rFonts w:ascii="Arial" w:hAnsi="Arial" w:cs="Arial"/>
          <w:sz w:val="22"/>
        </w:rPr>
        <w:t>La Ley 1480 de 2011, en el artículo 13, señala que los productores y proveedores podrán otorgar garantías suplementarias a la legal, cuando amplíen o mejoren la cobertura de esta, de forma gratuita u onerosa. Asimismo, señala que también podrán otorgar este tipo de garantías terceros especializados que cuenten con la infraestructura y recursos adecuados para cumplir con la garantía</w:t>
      </w:r>
      <w:r w:rsidRPr="003A18A7">
        <w:rPr>
          <w:rStyle w:val="Refdenotaalpie"/>
          <w:rFonts w:ascii="Arial" w:hAnsi="Arial" w:cs="Arial"/>
          <w:sz w:val="22"/>
        </w:rPr>
        <w:footnoteReference w:id="1"/>
      </w:r>
      <w:r w:rsidRPr="003A18A7">
        <w:rPr>
          <w:rFonts w:ascii="Arial" w:hAnsi="Arial" w:cs="Arial"/>
          <w:sz w:val="22"/>
        </w:rPr>
        <w:t>. De este modo, la normativa también ha definido a las garantías suplementarias como aquellas que ofrecen los productores o proveedores de un bien o servicio, por el término adicional al previsto en la garantía legal.</w:t>
      </w:r>
    </w:p>
    <w:p w14:paraId="0BC9A6E3" w14:textId="77777777" w:rsidR="00EF02E8" w:rsidRPr="003A18A7" w:rsidRDefault="00EF02E8" w:rsidP="00EF02E8">
      <w:pPr>
        <w:spacing w:before="120" w:line="276" w:lineRule="auto"/>
        <w:ind w:firstLine="709"/>
        <w:jc w:val="both"/>
        <w:rPr>
          <w:rFonts w:ascii="Arial" w:hAnsi="Arial" w:cs="Arial"/>
          <w:sz w:val="22"/>
        </w:rPr>
      </w:pPr>
      <w:r w:rsidRPr="003A18A7">
        <w:rPr>
          <w:rFonts w:ascii="Arial" w:hAnsi="Arial" w:cs="Arial"/>
          <w:sz w:val="22"/>
        </w:rPr>
        <w:t xml:space="preserve">De esta manera, para el otorgamiento del puntaje por concepto de la «Garantía suplementaria o adicional» no es necesario que la sea otorgada por una aseguradora, sino que bastará la garantía comercial que ofrezca el propio contratista, ya sea el proveedor o el fabricante del bien o servicio. </w:t>
      </w:r>
    </w:p>
    <w:p w14:paraId="52140D48" w14:textId="77777777" w:rsidR="00EF02E8" w:rsidRPr="003A18A7" w:rsidRDefault="00EF02E8" w:rsidP="00EF02E8">
      <w:pPr>
        <w:spacing w:before="120" w:line="276" w:lineRule="auto"/>
        <w:ind w:firstLine="709"/>
        <w:jc w:val="both"/>
        <w:rPr>
          <w:rFonts w:ascii="Arial" w:hAnsi="Arial" w:cs="Arial"/>
          <w:sz w:val="22"/>
        </w:rPr>
      </w:pPr>
      <w:r w:rsidRPr="003A18A7">
        <w:rPr>
          <w:rFonts w:ascii="Arial" w:hAnsi="Arial" w:cs="Arial"/>
          <w:sz w:val="22"/>
        </w:rPr>
        <w:t>Por otro lado, en los Documentos Tipo se reconoce que la «garantía adicional o suplementaria» está asociada a la estabilidad y calidad de la obra. Y el proponente ofertará la vigencia de la garantía adicional a partir del vencimiento del plazo del Amparo de Estabilidad y Calidad de la Obra. En virtud del Decreto 1082 de 2015 este amparo cubre a la Entidad Estatal de los perjuicios ocasionados por cualquier tipo de daño o deterioro, imputable al contratista, sufrido por la obra entregada a satisfacción</w:t>
      </w:r>
      <w:r w:rsidRPr="003A18A7">
        <w:rPr>
          <w:rStyle w:val="Refdenotaalpie"/>
          <w:rFonts w:ascii="Arial" w:hAnsi="Arial" w:cs="Arial"/>
          <w:sz w:val="22"/>
        </w:rPr>
        <w:footnoteReference w:id="2"/>
      </w:r>
      <w:r w:rsidRPr="003A18A7">
        <w:rPr>
          <w:rFonts w:ascii="Arial" w:hAnsi="Arial" w:cs="Arial"/>
          <w:sz w:val="22"/>
        </w:rPr>
        <w:t>.</w:t>
      </w:r>
    </w:p>
    <w:p w14:paraId="664E738C" w14:textId="77777777" w:rsidR="00EF02E8" w:rsidRPr="003A18A7" w:rsidRDefault="00EF02E8" w:rsidP="00EF02E8">
      <w:pPr>
        <w:spacing w:before="120" w:line="276" w:lineRule="auto"/>
        <w:ind w:firstLine="709"/>
        <w:jc w:val="both"/>
        <w:rPr>
          <w:rFonts w:ascii="Arial" w:hAnsi="Arial" w:cs="Arial"/>
          <w:sz w:val="22"/>
        </w:rPr>
      </w:pPr>
      <w:r w:rsidRPr="003A18A7">
        <w:rPr>
          <w:rFonts w:ascii="Arial" w:hAnsi="Arial" w:cs="Arial"/>
          <w:sz w:val="22"/>
        </w:rPr>
        <w:lastRenderedPageBreak/>
        <w:t>En este sentido, la «Garantía adicional o suplementaria», por ser un amparo asociado a la estabilidad y calidad de la obra, cubrirá a la entidad estatal contratante de los perjuicios que se le ocasionen como consecuencia de cualquier daño o deterioro, imputables al contratista, sufridos por la obra entregada. Este amparo adicional empieza después del plazo previsto para la garantía de estabilidad y calidad de la obra, que en todo caso no puede ser inferior a cinco (5) años</w:t>
      </w:r>
      <w:r w:rsidRPr="003A18A7">
        <w:rPr>
          <w:rStyle w:val="Refdenotaalpie"/>
          <w:rFonts w:ascii="Arial" w:hAnsi="Arial" w:cs="Arial"/>
          <w:sz w:val="22"/>
        </w:rPr>
        <w:footnoteReference w:id="3"/>
      </w:r>
      <w:r w:rsidRPr="003A18A7">
        <w:rPr>
          <w:rFonts w:ascii="Arial" w:hAnsi="Arial" w:cs="Arial"/>
          <w:sz w:val="22"/>
        </w:rPr>
        <w:t xml:space="preserve"> contados a partir de la fecha en la cual la Entidad Estatal recibe a satisfacción la obra. </w:t>
      </w:r>
    </w:p>
    <w:p w14:paraId="6AB3AD61" w14:textId="38A47F13" w:rsidR="00EF02E8" w:rsidRPr="003A18A7" w:rsidRDefault="00EF02E8" w:rsidP="00EF02E8">
      <w:pPr>
        <w:spacing w:before="120" w:line="276" w:lineRule="auto"/>
        <w:ind w:firstLine="709"/>
        <w:jc w:val="both"/>
        <w:rPr>
          <w:rFonts w:ascii="Arial" w:hAnsi="Arial" w:cs="Arial"/>
          <w:sz w:val="22"/>
        </w:rPr>
      </w:pPr>
      <w:r w:rsidRPr="003A18A7">
        <w:rPr>
          <w:rFonts w:ascii="Arial" w:hAnsi="Arial" w:cs="Arial"/>
          <w:sz w:val="22"/>
        </w:rPr>
        <w:t xml:space="preserve">Asimismo, se establece que la entidad otorgará el puntaje que determine para este factor de acuerdo con el número de meses que el proponente ofrezca como vigencia de la garantía adicional. En efecto, este criterio de asignación de puntaje tiene por objeto que las entidades estatales cuenten con una cobertura adicional a la prevista para la estabilidad y calidad de la obra por un término adicional, situación que incide en la idoneidad y mejora de condiciones de la obra. </w:t>
      </w:r>
    </w:p>
    <w:p w14:paraId="7DBDEF85" w14:textId="77777777" w:rsidR="00F833E1" w:rsidRDefault="00F833E1" w:rsidP="00F833E1">
      <w:pPr>
        <w:spacing w:line="276" w:lineRule="auto"/>
        <w:jc w:val="both"/>
        <w:rPr>
          <w:rFonts w:ascii="Arial" w:eastAsia="Arial" w:hAnsi="Arial" w:cs="Arial"/>
          <w:b/>
          <w:bCs/>
          <w:sz w:val="22"/>
          <w:szCs w:val="22"/>
        </w:rPr>
      </w:pPr>
    </w:p>
    <w:p w14:paraId="6E989E30" w14:textId="6F2B516A" w:rsidR="00EF02E8" w:rsidRPr="003A18A7" w:rsidRDefault="009E1A27" w:rsidP="00CD0D12">
      <w:pPr>
        <w:spacing w:line="276" w:lineRule="auto"/>
        <w:jc w:val="both"/>
        <w:rPr>
          <w:rFonts w:ascii="Arial" w:eastAsia="Arial" w:hAnsi="Arial" w:cs="Arial"/>
          <w:b/>
          <w:bCs/>
          <w:sz w:val="22"/>
          <w:szCs w:val="22"/>
        </w:rPr>
      </w:pPr>
      <w:r>
        <w:rPr>
          <w:rFonts w:ascii="Arial" w:eastAsia="Arial" w:hAnsi="Arial" w:cs="Arial"/>
          <w:b/>
          <w:bCs/>
          <w:sz w:val="22"/>
          <w:szCs w:val="22"/>
        </w:rPr>
        <w:t>2.2.</w:t>
      </w:r>
      <w:r w:rsidR="00EF02E8" w:rsidRPr="003A18A7">
        <w:rPr>
          <w:rFonts w:ascii="Arial" w:eastAsia="Arial" w:hAnsi="Arial" w:cs="Arial"/>
          <w:b/>
          <w:bCs/>
          <w:sz w:val="22"/>
          <w:szCs w:val="22"/>
        </w:rPr>
        <w:t xml:space="preserve"> Cuadrillas de trabajo adicional</w:t>
      </w:r>
    </w:p>
    <w:p w14:paraId="225FF03E" w14:textId="77777777" w:rsidR="00F833E1" w:rsidRDefault="00F833E1" w:rsidP="00F833E1">
      <w:pPr>
        <w:spacing w:line="276" w:lineRule="auto"/>
        <w:jc w:val="both"/>
        <w:rPr>
          <w:rFonts w:ascii="Arial" w:eastAsia="Arial" w:hAnsi="Arial" w:cs="Arial"/>
          <w:sz w:val="22"/>
          <w:szCs w:val="22"/>
        </w:rPr>
      </w:pPr>
    </w:p>
    <w:p w14:paraId="4AE97F1D" w14:textId="67CF9A50" w:rsidR="00EF02E8" w:rsidRPr="003A18A7" w:rsidRDefault="00EF02E8" w:rsidP="00CD0D12">
      <w:pPr>
        <w:spacing w:line="276" w:lineRule="auto"/>
        <w:jc w:val="both"/>
        <w:rPr>
          <w:rFonts w:ascii="Arial" w:eastAsia="Arial" w:hAnsi="Arial" w:cs="Arial"/>
          <w:sz w:val="22"/>
          <w:szCs w:val="22"/>
        </w:rPr>
      </w:pPr>
      <w:r w:rsidRPr="003A18A7">
        <w:rPr>
          <w:rFonts w:ascii="Arial" w:eastAsia="Arial" w:hAnsi="Arial" w:cs="Arial"/>
          <w:sz w:val="22"/>
          <w:szCs w:val="22"/>
        </w:rPr>
        <w:t xml:space="preserve">El </w:t>
      </w:r>
      <w:r w:rsidRPr="003A18A7">
        <w:rPr>
          <w:rFonts w:ascii="Arial" w:eastAsia="Arial" w:hAnsi="Arial" w:cs="Arial"/>
          <w:sz w:val="20"/>
          <w:szCs w:val="20"/>
        </w:rPr>
        <w:t>«</w:t>
      </w:r>
      <w:r w:rsidRPr="003A18A7">
        <w:rPr>
          <w:rFonts w:ascii="Arial" w:eastAsia="Arial" w:hAnsi="Arial" w:cs="Arial"/>
          <w:sz w:val="22"/>
          <w:szCs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7ABE699A" w14:textId="77777777" w:rsidR="00EF02E8" w:rsidRPr="003A18A7" w:rsidRDefault="00EF02E8" w:rsidP="00EF02E8">
      <w:pPr>
        <w:spacing w:before="120" w:line="276" w:lineRule="auto"/>
        <w:ind w:firstLine="709"/>
        <w:jc w:val="both"/>
        <w:rPr>
          <w:rFonts w:ascii="Arial" w:eastAsia="Arial" w:hAnsi="Arial" w:cs="Arial"/>
          <w:sz w:val="22"/>
          <w:szCs w:val="22"/>
        </w:rPr>
      </w:pPr>
      <w:r w:rsidRPr="003A18A7">
        <w:rPr>
          <w:rFonts w:ascii="Arial" w:eastAsia="Arial" w:hAnsi="Arial" w:cs="Arial"/>
          <w:sz w:val="22"/>
          <w:szCs w:val="22"/>
        </w:rPr>
        <w:t xml:space="preserve">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w:t>
      </w:r>
      <w:r w:rsidRPr="003A18A7">
        <w:rPr>
          <w:rFonts w:ascii="Arial" w:eastAsia="Arial" w:hAnsi="Arial" w:cs="Arial"/>
          <w:sz w:val="22"/>
          <w:szCs w:val="22"/>
        </w:rPr>
        <w:lastRenderedPageBreak/>
        <w:t>cosas, en una disminución de los plazos y en la atención oportuna de las contingencias que surjan durante la ejecución del contrato.</w:t>
      </w:r>
    </w:p>
    <w:p w14:paraId="3A08CFB6" w14:textId="77777777" w:rsidR="00EF02E8" w:rsidRPr="003A18A7" w:rsidRDefault="00EF02E8" w:rsidP="00EF02E8">
      <w:pPr>
        <w:spacing w:line="276" w:lineRule="auto"/>
        <w:jc w:val="both"/>
        <w:rPr>
          <w:rFonts w:ascii="Arial" w:eastAsia="Arial" w:hAnsi="Arial" w:cs="Arial"/>
          <w:b/>
          <w:bCs/>
          <w:sz w:val="22"/>
          <w:szCs w:val="22"/>
        </w:rPr>
      </w:pPr>
    </w:p>
    <w:p w14:paraId="05C28D82" w14:textId="6BDF3303" w:rsidR="00EF02E8" w:rsidRPr="003A18A7" w:rsidRDefault="009E1A27" w:rsidP="00EF02E8">
      <w:pPr>
        <w:spacing w:line="276" w:lineRule="auto"/>
        <w:jc w:val="both"/>
        <w:rPr>
          <w:rFonts w:ascii="Arial" w:eastAsia="Arial" w:hAnsi="Arial" w:cs="Arial"/>
          <w:b/>
          <w:bCs/>
          <w:sz w:val="22"/>
          <w:szCs w:val="22"/>
        </w:rPr>
      </w:pPr>
      <w:r>
        <w:rPr>
          <w:rFonts w:ascii="Arial" w:eastAsia="Arial" w:hAnsi="Arial" w:cs="Arial"/>
          <w:b/>
          <w:bCs/>
          <w:sz w:val="22"/>
          <w:szCs w:val="22"/>
        </w:rPr>
        <w:t>2.3.</w:t>
      </w:r>
      <w:r w:rsidR="00EF02E8" w:rsidRPr="003A18A7">
        <w:rPr>
          <w:rFonts w:ascii="Arial" w:eastAsia="Arial" w:hAnsi="Arial" w:cs="Arial"/>
          <w:b/>
          <w:bCs/>
          <w:sz w:val="22"/>
          <w:szCs w:val="22"/>
        </w:rPr>
        <w:t xml:space="preserve"> Mantenimiento adicional</w:t>
      </w:r>
    </w:p>
    <w:p w14:paraId="6C8C2C4A" w14:textId="77777777" w:rsidR="00EF02E8" w:rsidRPr="003A18A7" w:rsidRDefault="00EF02E8" w:rsidP="00EF02E8">
      <w:pPr>
        <w:spacing w:line="276" w:lineRule="auto"/>
        <w:jc w:val="both"/>
        <w:rPr>
          <w:rFonts w:ascii="Arial" w:eastAsia="Arial" w:hAnsi="Arial" w:cs="Arial"/>
          <w:sz w:val="22"/>
          <w:szCs w:val="22"/>
        </w:rPr>
      </w:pPr>
    </w:p>
    <w:p w14:paraId="75E632A0" w14:textId="7338FE99" w:rsidR="00EF02E8" w:rsidRPr="003A18A7" w:rsidRDefault="00EF02E8" w:rsidP="00EF02E8">
      <w:pPr>
        <w:spacing w:line="276" w:lineRule="auto"/>
        <w:jc w:val="both"/>
        <w:rPr>
          <w:rFonts w:ascii="Arial" w:eastAsia="Arial" w:hAnsi="Arial" w:cs="Arial"/>
          <w:sz w:val="22"/>
          <w:szCs w:val="22"/>
        </w:rPr>
      </w:pPr>
      <w:r w:rsidRPr="003A18A7">
        <w:rPr>
          <w:rFonts w:ascii="Arial" w:eastAsia="Arial" w:hAnsi="Arial" w:cs="Arial"/>
          <w:sz w:val="22"/>
          <w:szCs w:val="22"/>
        </w:rPr>
        <w:t xml:space="preserve">Por su parte, 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w:t>
      </w:r>
    </w:p>
    <w:p w14:paraId="1B3123BB" w14:textId="77777777" w:rsidR="00EF02E8" w:rsidRPr="003A18A7" w:rsidRDefault="00EF02E8" w:rsidP="00EF02E8">
      <w:pPr>
        <w:spacing w:before="120" w:line="276" w:lineRule="auto"/>
        <w:ind w:firstLine="709"/>
        <w:jc w:val="both"/>
        <w:rPr>
          <w:rFonts w:ascii="Arial" w:eastAsia="Arial" w:hAnsi="Arial" w:cs="Arial"/>
          <w:sz w:val="22"/>
          <w:szCs w:val="22"/>
        </w:rPr>
      </w:pPr>
      <w:r w:rsidRPr="003A18A7">
        <w:rPr>
          <w:rFonts w:ascii="Arial" w:eastAsia="Arial" w:hAnsi="Arial" w:cs="Arial"/>
          <w:sz w:val="22"/>
          <w:szCs w:val="22"/>
        </w:rPr>
        <w:t xml:space="preserve">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47347D4C" w14:textId="77777777" w:rsidR="00EF02E8" w:rsidRPr="003A18A7" w:rsidRDefault="00EF02E8" w:rsidP="00EF02E8">
      <w:pPr>
        <w:spacing w:before="120" w:line="276" w:lineRule="auto"/>
        <w:ind w:firstLine="709"/>
        <w:jc w:val="both"/>
        <w:rPr>
          <w:rFonts w:ascii="Arial" w:eastAsia="Arial" w:hAnsi="Arial" w:cs="Arial"/>
          <w:sz w:val="22"/>
          <w:szCs w:val="22"/>
        </w:rPr>
      </w:pPr>
      <w:r w:rsidRPr="003A18A7">
        <w:rPr>
          <w:rFonts w:ascii="Arial" w:eastAsia="Arial" w:hAnsi="Arial" w:cs="Arial"/>
          <w:sz w:val="22"/>
          <w:szCs w:val="22"/>
        </w:rPr>
        <w:t>Conforme a lo anterior, el puntaje otorgado por los factores de calidad depende del ofrecimiento que realice cada proponente en sus ofertas, de acuerdo con sus capacidades y competitividad. En este sentido, el mayor puntaje lo recibirá aquel oferente que ofrezca mayor número de cuadrillas de trabajo adicional y el que se comprometa a realizar durante un plazo mayor labores de mantenimiento rutinario después de la terminación de las obras objeto del proceso de contratación.</w:t>
      </w:r>
    </w:p>
    <w:p w14:paraId="61FF8865" w14:textId="77777777" w:rsidR="003A18A7" w:rsidRPr="003A18A7" w:rsidRDefault="003A18A7" w:rsidP="003A18A7">
      <w:pPr>
        <w:tabs>
          <w:tab w:val="left" w:pos="709"/>
        </w:tabs>
        <w:spacing w:line="276" w:lineRule="auto"/>
        <w:jc w:val="both"/>
        <w:rPr>
          <w:rFonts w:ascii="Arial" w:eastAsia="Arial" w:hAnsi="Arial" w:cs="Arial"/>
          <w:b/>
          <w:bCs/>
          <w:sz w:val="22"/>
          <w:szCs w:val="22"/>
        </w:rPr>
      </w:pPr>
    </w:p>
    <w:p w14:paraId="6782C61E" w14:textId="6CB4DC52" w:rsidR="00286003" w:rsidRPr="003A18A7" w:rsidRDefault="009E1A27" w:rsidP="003A18A7">
      <w:pPr>
        <w:tabs>
          <w:tab w:val="left" w:pos="709"/>
        </w:tabs>
        <w:spacing w:line="276" w:lineRule="auto"/>
        <w:jc w:val="both"/>
        <w:rPr>
          <w:rFonts w:ascii="Arial" w:eastAsia="Arial" w:hAnsi="Arial" w:cs="Arial"/>
          <w:b/>
          <w:bCs/>
          <w:sz w:val="22"/>
          <w:szCs w:val="22"/>
        </w:rPr>
      </w:pPr>
      <w:r>
        <w:rPr>
          <w:rFonts w:ascii="Arial" w:eastAsia="Arial" w:hAnsi="Arial" w:cs="Arial"/>
          <w:b/>
          <w:bCs/>
          <w:sz w:val="22"/>
          <w:szCs w:val="22"/>
        </w:rPr>
        <w:t>2.4.</w:t>
      </w:r>
      <w:r w:rsidR="00286003" w:rsidRPr="003A18A7">
        <w:rPr>
          <w:rFonts w:ascii="Arial" w:eastAsia="Arial" w:hAnsi="Arial" w:cs="Arial"/>
          <w:b/>
          <w:bCs/>
          <w:sz w:val="22"/>
          <w:szCs w:val="22"/>
        </w:rPr>
        <w:t xml:space="preserve"> Resolución</w:t>
      </w:r>
      <w:r w:rsidR="003A18A7" w:rsidRPr="003A18A7">
        <w:rPr>
          <w:rFonts w:ascii="Arial" w:eastAsia="Arial" w:hAnsi="Arial" w:cs="Arial"/>
          <w:b/>
          <w:bCs/>
          <w:sz w:val="22"/>
          <w:szCs w:val="22"/>
        </w:rPr>
        <w:t xml:space="preserve"> No.</w:t>
      </w:r>
      <w:r w:rsidR="00286003" w:rsidRPr="003A18A7">
        <w:rPr>
          <w:rFonts w:ascii="Arial" w:eastAsia="Arial" w:hAnsi="Arial" w:cs="Arial"/>
          <w:b/>
          <w:bCs/>
          <w:sz w:val="22"/>
          <w:szCs w:val="22"/>
        </w:rPr>
        <w:t xml:space="preserve"> 116 de 2020</w:t>
      </w:r>
      <w:r w:rsidR="00EF02E8" w:rsidRPr="003A18A7">
        <w:rPr>
          <w:rFonts w:ascii="Arial" w:eastAsia="Arial" w:hAnsi="Arial" w:cs="Arial"/>
          <w:b/>
          <w:bCs/>
          <w:sz w:val="22"/>
          <w:szCs w:val="22"/>
        </w:rPr>
        <w:tab/>
      </w:r>
    </w:p>
    <w:p w14:paraId="627E3B2E" w14:textId="77777777" w:rsidR="009E1A27" w:rsidRDefault="009E1A27" w:rsidP="009E1A27">
      <w:pPr>
        <w:tabs>
          <w:tab w:val="left" w:pos="709"/>
        </w:tabs>
        <w:spacing w:line="276" w:lineRule="auto"/>
        <w:jc w:val="both"/>
        <w:rPr>
          <w:rFonts w:ascii="Arial" w:eastAsia="Arial" w:hAnsi="Arial" w:cs="Arial"/>
          <w:sz w:val="22"/>
          <w:szCs w:val="22"/>
        </w:rPr>
      </w:pPr>
    </w:p>
    <w:p w14:paraId="43B7A793" w14:textId="242CB73C" w:rsidR="00EF02E8" w:rsidRPr="003A18A7" w:rsidRDefault="00EF02E8" w:rsidP="00CD0D12">
      <w:pPr>
        <w:tabs>
          <w:tab w:val="left" w:pos="709"/>
        </w:tabs>
        <w:spacing w:line="276" w:lineRule="auto"/>
        <w:jc w:val="both"/>
        <w:rPr>
          <w:rFonts w:ascii="Arial" w:eastAsia="Arial" w:hAnsi="Arial" w:cs="Arial"/>
          <w:sz w:val="22"/>
          <w:szCs w:val="22"/>
        </w:rPr>
      </w:pPr>
      <w:r w:rsidRPr="003A18A7">
        <w:rPr>
          <w:rFonts w:ascii="Arial" w:eastAsia="Arial" w:hAnsi="Arial" w:cs="Arial"/>
          <w:sz w:val="22"/>
          <w:szCs w:val="22"/>
        </w:rPr>
        <w:t xml:space="preserve">Es del caso resaltar que los numerales 4.2.4, 4.2.5. y 4.2.6. del Documento Base de los Documentos Tipo para licitaciones públicas de infraestructura de trasporte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77A47982" w14:textId="77777777" w:rsidR="00EF02E8" w:rsidRPr="003A18A7" w:rsidRDefault="00EF02E8" w:rsidP="00EF02E8">
      <w:pPr>
        <w:tabs>
          <w:tab w:val="left" w:pos="709"/>
        </w:tabs>
        <w:spacing w:before="120" w:line="276" w:lineRule="auto"/>
        <w:jc w:val="both"/>
        <w:rPr>
          <w:rFonts w:ascii="ArialMT" w:hAnsi="ArialMT"/>
          <w:sz w:val="22"/>
          <w:szCs w:val="22"/>
        </w:rPr>
      </w:pPr>
      <w:r w:rsidRPr="003A18A7">
        <w:rPr>
          <w:rFonts w:ascii="Arial" w:eastAsia="Arial" w:hAnsi="Arial" w:cs="Arial"/>
          <w:sz w:val="22"/>
          <w:szCs w:val="22"/>
        </w:rPr>
        <w:tab/>
        <w:t>En términos generales, en la referida resolución se dispuso: i) que e</w:t>
      </w:r>
      <w:r w:rsidRPr="003A18A7">
        <w:rPr>
          <w:rFonts w:ascii="Arial" w:eastAsia="Arial" w:hAnsi="Arial" w:cs="Arial"/>
          <w:sz w:val="22"/>
          <w:szCs w:val="22"/>
          <w:lang w:val="es-CO"/>
        </w:rPr>
        <w:t xml:space="preserve">l ofrecimiento del proponente sobre la «garantía suplementaria o adicional» y el «mantenimiento adicional», no podrá superar </w:t>
      </w:r>
      <w:r w:rsidRPr="003A18A7">
        <w:rPr>
          <w:rFonts w:ascii="Arial" w:eastAsia="Arial" w:hAnsi="Arial" w:cs="Arial"/>
          <w:sz w:val="22"/>
          <w:szCs w:val="22"/>
        </w:rPr>
        <w:t>el «[…] valor porcentual máximo entre el siguiente rango: entre el 30% y el 50% del plazo establecido por la entidad para la garantía de estabilidad y calidad de la obra […]»</w:t>
      </w:r>
      <w:r w:rsidRPr="003A18A7">
        <w:rPr>
          <w:rStyle w:val="Refdenotaalpie"/>
          <w:rFonts w:ascii="Arial" w:eastAsia="Arial" w:hAnsi="Arial" w:cs="Arial"/>
          <w:sz w:val="22"/>
          <w:szCs w:val="22"/>
        </w:rPr>
        <w:footnoteReference w:id="4"/>
      </w:r>
      <w:r w:rsidRPr="003A18A7">
        <w:rPr>
          <w:rFonts w:ascii="Arial" w:eastAsia="Arial" w:hAnsi="Arial" w:cs="Arial"/>
          <w:sz w:val="22"/>
          <w:szCs w:val="22"/>
        </w:rPr>
        <w:t xml:space="preserve">, valor porcentual que fija libremente la autoridad contratante dentro del referido rango; y ii) que, </w:t>
      </w:r>
      <w:r w:rsidRPr="003A18A7">
        <w:rPr>
          <w:rFonts w:ascii="Arial" w:eastAsia="Arial" w:hAnsi="Arial" w:cs="Arial"/>
          <w:sz w:val="22"/>
          <w:szCs w:val="22"/>
          <w:lang w:val="es-CO"/>
        </w:rPr>
        <w:t xml:space="preserve">en relación con </w:t>
      </w:r>
      <w:r w:rsidRPr="003A18A7">
        <w:rPr>
          <w:rFonts w:ascii="Arial" w:eastAsia="Arial" w:hAnsi="Arial" w:cs="Arial"/>
          <w:sz w:val="22"/>
          <w:szCs w:val="22"/>
        </w:rPr>
        <w:t>las «cuadrillas de trabajo» adicionales</w:t>
      </w:r>
      <w:r w:rsidRPr="003A18A7">
        <w:rPr>
          <w:rFonts w:ascii="Arial" w:eastAsia="Arial" w:hAnsi="Arial" w:cs="Arial"/>
          <w:sz w:val="22"/>
          <w:szCs w:val="22"/>
          <w:lang w:val="es-CO"/>
        </w:rPr>
        <w:t>, l</w:t>
      </w:r>
      <w:r w:rsidRPr="003A18A7">
        <w:rPr>
          <w:rFonts w:ascii="Arial" w:eastAsia="Arial" w:hAnsi="Arial" w:cs="Arial"/>
          <w:sz w:val="22"/>
          <w:szCs w:val="22"/>
        </w:rPr>
        <w:t xml:space="preserve">as </w:t>
      </w:r>
      <w:r w:rsidRPr="003A18A7">
        <w:rPr>
          <w:rFonts w:ascii="Arial" w:eastAsia="Arial" w:hAnsi="Arial" w:cs="Arial"/>
          <w:sz w:val="22"/>
          <w:szCs w:val="22"/>
        </w:rPr>
        <w:lastRenderedPageBreak/>
        <w:t>entidades deben elegir si establecen un estimado de frentes de trabajo o si no lo establecen, pues, en el primer evento, «</w:t>
      </w:r>
      <w:r w:rsidRPr="003A18A7">
        <w:rPr>
          <w:rFonts w:ascii="ArialMT" w:hAnsi="ArialMT"/>
          <w:sz w:val="22"/>
          <w:szCs w:val="22"/>
        </w:rPr>
        <w:t>[e]l proponente podrá ofrecer hasta máximo 2 cuadrillas por cada frente de trabajo»</w:t>
      </w:r>
      <w:r w:rsidRPr="003A18A7">
        <w:rPr>
          <w:rStyle w:val="Refdenotaalpie"/>
          <w:rFonts w:ascii="ArialMT" w:hAnsi="ArialMT"/>
          <w:sz w:val="22"/>
          <w:szCs w:val="22"/>
        </w:rPr>
        <w:footnoteReference w:id="5"/>
      </w:r>
      <w:r w:rsidRPr="003A18A7">
        <w:rPr>
          <w:rFonts w:ascii="ArialMT" w:hAnsi="ArialMT"/>
          <w:sz w:val="22"/>
          <w:szCs w:val="22"/>
        </w:rPr>
        <w:t>, mientras que en el segundo, «[…] ofrecerá 1 cuadrilla adicional por cada 50 obreros que sean requeridos para el proyecto de infraestructura de transporte»</w:t>
      </w:r>
      <w:r w:rsidRPr="003A18A7">
        <w:rPr>
          <w:rStyle w:val="Refdenotaalpie"/>
          <w:rFonts w:ascii="ArialMT" w:hAnsi="ArialMT"/>
          <w:sz w:val="22"/>
          <w:szCs w:val="22"/>
        </w:rPr>
        <w:footnoteReference w:id="6"/>
      </w:r>
      <w:r w:rsidRPr="003A18A7">
        <w:rPr>
          <w:rFonts w:ascii="ArialMT" w:hAnsi="ArialMT"/>
          <w:sz w:val="22"/>
          <w:szCs w:val="22"/>
        </w:rPr>
        <w:t>. En efecto, el artículo 1 de la Resolución 116 del 21 de julio de 2020, dispuso:</w:t>
      </w:r>
    </w:p>
    <w:p w14:paraId="7BD65886" w14:textId="77777777" w:rsidR="00EF02E8" w:rsidRPr="003A18A7" w:rsidRDefault="00EF02E8" w:rsidP="00EF02E8">
      <w:pPr>
        <w:tabs>
          <w:tab w:val="left" w:pos="709"/>
        </w:tabs>
        <w:spacing w:line="276" w:lineRule="auto"/>
        <w:jc w:val="both"/>
        <w:rPr>
          <w:rFonts w:ascii="ArialMT" w:hAnsi="ArialMT"/>
          <w:sz w:val="22"/>
          <w:szCs w:val="22"/>
        </w:rPr>
      </w:pPr>
    </w:p>
    <w:p w14:paraId="690F06E3" w14:textId="77777777" w:rsidR="00EF02E8" w:rsidRPr="003A18A7" w:rsidRDefault="00EF02E8" w:rsidP="00EF02E8">
      <w:pPr>
        <w:tabs>
          <w:tab w:val="left" w:pos="709"/>
        </w:tabs>
        <w:ind w:left="709" w:right="758"/>
        <w:jc w:val="both"/>
        <w:rPr>
          <w:rFonts w:ascii="Arial" w:eastAsia="Arial" w:hAnsi="Arial" w:cs="Arial"/>
          <w:sz w:val="21"/>
          <w:szCs w:val="21"/>
          <w:lang w:val="es-CO"/>
        </w:rPr>
      </w:pPr>
      <w:r w:rsidRPr="003A18A7">
        <w:rPr>
          <w:rFonts w:ascii="Arial" w:eastAsia="Arial" w:hAnsi="Arial" w:cs="Arial"/>
          <w:sz w:val="21"/>
          <w:szCs w:val="21"/>
          <w:lang w:val="es-CO"/>
        </w:rPr>
        <w:t>Artículo 1. Modificación de los numerales 4.2.4, 4.2.5 y 4.2.6 del documento base. Modifíquense los numerales 4.2.4, 4.2.5 y 4.2.6 de los documentos tipo de licitación de obra pública de infraestructura de transporte – versión 2 y de selección abreviada de menor cuantía de infraestructura de transporte, los cuales quedarán así:</w:t>
      </w:r>
    </w:p>
    <w:p w14:paraId="00881633" w14:textId="77777777" w:rsidR="00EF02E8" w:rsidRPr="003A18A7" w:rsidRDefault="00EF02E8" w:rsidP="00EF02E8">
      <w:pPr>
        <w:tabs>
          <w:tab w:val="left" w:pos="709"/>
        </w:tabs>
        <w:spacing w:before="120"/>
        <w:ind w:left="709" w:right="758"/>
        <w:jc w:val="both"/>
        <w:rPr>
          <w:rFonts w:ascii="Arial" w:eastAsia="Arial" w:hAnsi="Arial" w:cs="Arial"/>
          <w:sz w:val="21"/>
          <w:szCs w:val="21"/>
          <w:lang w:val="es-CO"/>
        </w:rPr>
      </w:pPr>
      <w:r w:rsidRPr="003A18A7">
        <w:rPr>
          <w:rFonts w:ascii="Arial" w:eastAsia="Arial" w:hAnsi="Arial" w:cs="Arial"/>
          <w:sz w:val="21"/>
          <w:szCs w:val="21"/>
          <w:lang w:val="es-CO"/>
        </w:rPr>
        <w:t>4.2.4 GARANTÍA SUPLEMENTARIA O ADICIONAL</w:t>
      </w:r>
    </w:p>
    <w:p w14:paraId="7FC84CEF" w14:textId="77777777" w:rsidR="00EF02E8" w:rsidRPr="003A18A7" w:rsidRDefault="00EF02E8" w:rsidP="00EF02E8">
      <w:pPr>
        <w:tabs>
          <w:tab w:val="left" w:pos="709"/>
        </w:tabs>
        <w:spacing w:before="120"/>
        <w:ind w:left="709" w:right="758"/>
        <w:jc w:val="both"/>
        <w:rPr>
          <w:rFonts w:ascii="Arial" w:eastAsia="Arial" w:hAnsi="Arial" w:cs="Arial"/>
          <w:sz w:val="21"/>
          <w:szCs w:val="21"/>
          <w:lang w:val="es-CO"/>
        </w:rPr>
      </w:pPr>
      <w:r w:rsidRPr="003A18A7">
        <w:rPr>
          <w:rFonts w:ascii="Arial" w:eastAsia="Arial" w:hAnsi="Arial" w:cs="Arial"/>
          <w:sz w:val="21"/>
          <w:szCs w:val="21"/>
          <w:lang w:val="es-CO"/>
        </w:rPr>
        <w:t>[…]</w:t>
      </w:r>
    </w:p>
    <w:p w14:paraId="423C65AF" w14:textId="77777777" w:rsidR="00EF02E8" w:rsidRPr="003A18A7" w:rsidRDefault="00EF02E8" w:rsidP="00EF02E8">
      <w:pPr>
        <w:tabs>
          <w:tab w:val="left" w:pos="709"/>
        </w:tabs>
        <w:spacing w:before="120"/>
        <w:ind w:left="709" w:right="758"/>
        <w:jc w:val="both"/>
        <w:rPr>
          <w:rFonts w:ascii="Arial" w:eastAsia="Arial" w:hAnsi="Arial" w:cs="Arial"/>
          <w:sz w:val="21"/>
          <w:szCs w:val="21"/>
          <w:lang w:val="es-CO"/>
        </w:rPr>
      </w:pPr>
      <w:r w:rsidRPr="003A18A7">
        <w:rPr>
          <w:rFonts w:ascii="Arial" w:eastAsia="Arial" w:hAnsi="Arial" w:cs="Arial"/>
          <w:sz w:val="21"/>
          <w:szCs w:val="21"/>
          <w:lang w:val="es-CO"/>
        </w:rPr>
        <w:t>En caso de que el proponente se comprometa a ofertar este Factor de Calidad debe tener en cuenta las siguientes consideraciones:</w:t>
      </w:r>
    </w:p>
    <w:p w14:paraId="2215CF81" w14:textId="77777777" w:rsidR="00EF02E8" w:rsidRPr="003A18A7" w:rsidRDefault="00EF02E8" w:rsidP="00EF02E8">
      <w:pPr>
        <w:tabs>
          <w:tab w:val="left" w:pos="709"/>
        </w:tabs>
        <w:spacing w:before="120"/>
        <w:ind w:left="709" w:right="758"/>
        <w:jc w:val="both"/>
        <w:rPr>
          <w:rFonts w:ascii="Arial" w:eastAsia="Arial" w:hAnsi="Arial" w:cs="Arial"/>
          <w:sz w:val="21"/>
          <w:szCs w:val="21"/>
          <w:lang w:val="es-CO"/>
        </w:rPr>
      </w:pPr>
      <w:r w:rsidRPr="003A18A7">
        <w:rPr>
          <w:rFonts w:ascii="Arial" w:eastAsia="Arial" w:hAnsi="Arial" w:cs="Arial"/>
          <w:sz w:val="21"/>
          <w:szCs w:val="21"/>
          <w:lang w:val="es-CO"/>
        </w:rPr>
        <w:t>[…]</w:t>
      </w:r>
    </w:p>
    <w:p w14:paraId="39C6550A" w14:textId="77777777" w:rsidR="00EF02E8" w:rsidRPr="003A18A7" w:rsidRDefault="00EF02E8" w:rsidP="00EF02E8">
      <w:pPr>
        <w:tabs>
          <w:tab w:val="left" w:pos="709"/>
        </w:tabs>
        <w:spacing w:before="120"/>
        <w:ind w:left="709" w:right="758"/>
        <w:jc w:val="both"/>
        <w:rPr>
          <w:rFonts w:ascii="Arial" w:eastAsia="Arial" w:hAnsi="Arial" w:cs="Arial"/>
          <w:sz w:val="21"/>
          <w:szCs w:val="21"/>
          <w:lang w:val="es-CO"/>
        </w:rPr>
      </w:pPr>
      <w:r w:rsidRPr="003A18A7">
        <w:rPr>
          <w:rFonts w:ascii="Arial" w:eastAsia="Arial" w:hAnsi="Arial" w:cs="Arial"/>
          <w:sz w:val="21"/>
          <w:szCs w:val="21"/>
          <w:lang w:val="es-CO"/>
        </w:rPr>
        <w:t>IV. El ofrecimiento realizado por el proponente no podrá superar el [la entidad deberá determinar el valor porcentual máximo entre el siguiente rango: 30% y 50%] del plazo establecido por la entidad para la garantía de estabilidad y calidad de la obra de acuerdo con las disposiciones del artículo 2.2.1.2.3.1.14. del Decreto 1082 de 2015. [Es decir, si fue establecido un plazo de estabilidad y calidad de la obra de 5 años, y fue fijado un valor máximo del 50%, el proponente podrá ofertar hasta máximo 30 meses de garantía suplementaria o adicional.]</w:t>
      </w:r>
    </w:p>
    <w:p w14:paraId="08B93DEC" w14:textId="77777777" w:rsidR="00EF02E8" w:rsidRPr="003A18A7" w:rsidRDefault="00EF02E8" w:rsidP="00EF02E8">
      <w:pPr>
        <w:tabs>
          <w:tab w:val="left" w:pos="709"/>
        </w:tabs>
        <w:spacing w:before="120"/>
        <w:ind w:left="709" w:right="758"/>
        <w:jc w:val="both"/>
        <w:rPr>
          <w:rFonts w:ascii="Arial" w:eastAsia="Arial" w:hAnsi="Arial" w:cs="Arial"/>
          <w:sz w:val="21"/>
          <w:szCs w:val="21"/>
          <w:lang w:val="es-CO"/>
        </w:rPr>
      </w:pPr>
      <w:r w:rsidRPr="003A18A7">
        <w:rPr>
          <w:rFonts w:ascii="Arial" w:eastAsia="Arial" w:hAnsi="Arial" w:cs="Arial"/>
          <w:sz w:val="21"/>
          <w:szCs w:val="21"/>
          <w:lang w:val="es-CO"/>
        </w:rPr>
        <w:t>V. El plazo máximo a ofertar por concepto de garantía suplementaria o adicional es: [la entidad deberá indicar el valor en meses máximo que será posible ofertar por parte del Proponente.]</w:t>
      </w:r>
    </w:p>
    <w:p w14:paraId="45893FAE" w14:textId="77777777" w:rsidR="00EF02E8" w:rsidRPr="003A18A7" w:rsidRDefault="00EF02E8" w:rsidP="00EF02E8">
      <w:pPr>
        <w:tabs>
          <w:tab w:val="left" w:pos="709"/>
        </w:tabs>
        <w:spacing w:before="120"/>
        <w:ind w:left="709" w:right="760"/>
        <w:jc w:val="both"/>
        <w:rPr>
          <w:rFonts w:ascii="Arial" w:eastAsia="Arial" w:hAnsi="Arial" w:cs="Arial"/>
          <w:sz w:val="21"/>
          <w:szCs w:val="21"/>
          <w:lang w:val="es-CO"/>
        </w:rPr>
      </w:pPr>
    </w:p>
    <w:p w14:paraId="3D5CD1D9" w14:textId="08787759" w:rsidR="00EF02E8" w:rsidRPr="003A18A7" w:rsidRDefault="00EF02E8" w:rsidP="00EF02E8">
      <w:pPr>
        <w:spacing w:line="276" w:lineRule="auto"/>
        <w:ind w:firstLine="720"/>
        <w:jc w:val="both"/>
        <w:rPr>
          <w:rFonts w:ascii="Arial" w:eastAsia="Arial" w:hAnsi="Arial" w:cs="Arial"/>
          <w:sz w:val="22"/>
          <w:szCs w:val="22"/>
          <w:lang w:val="es-CO"/>
        </w:rPr>
      </w:pPr>
      <w:r w:rsidRPr="003A18A7">
        <w:rPr>
          <w:rFonts w:ascii="Arial" w:eastAsia="Arial" w:hAnsi="Arial" w:cs="Arial"/>
          <w:sz w:val="22"/>
          <w:szCs w:val="22"/>
          <w:lang w:val="es-CO"/>
        </w:rPr>
        <w:t xml:space="preserve">Igualmente, en relación con el numeral 4.2.5. del Documento Base, relacionado con las «cuadrillas adicionales de trabajo», el artículo 1 de la Resolución </w:t>
      </w:r>
      <w:r w:rsidR="003A18A7" w:rsidRPr="003A18A7">
        <w:rPr>
          <w:rFonts w:ascii="Arial" w:eastAsia="Arial" w:hAnsi="Arial" w:cs="Arial"/>
          <w:sz w:val="22"/>
          <w:szCs w:val="22"/>
          <w:lang w:val="es-CO"/>
        </w:rPr>
        <w:t xml:space="preserve">No. </w:t>
      </w:r>
      <w:r w:rsidRPr="003A18A7">
        <w:rPr>
          <w:rFonts w:ascii="Arial" w:eastAsia="Arial" w:hAnsi="Arial" w:cs="Arial"/>
          <w:sz w:val="22"/>
          <w:szCs w:val="22"/>
          <w:lang w:val="es-CO"/>
        </w:rPr>
        <w:t>116 de 2020, establece lo siguiente:</w:t>
      </w:r>
    </w:p>
    <w:p w14:paraId="2CEB514B" w14:textId="77777777" w:rsidR="00EF02E8" w:rsidRPr="003A18A7" w:rsidRDefault="00EF02E8" w:rsidP="00EF02E8">
      <w:pPr>
        <w:spacing w:before="120" w:line="276" w:lineRule="auto"/>
        <w:ind w:firstLine="720"/>
        <w:jc w:val="both"/>
        <w:rPr>
          <w:rFonts w:ascii="Arial" w:eastAsia="Arial" w:hAnsi="Arial" w:cs="Arial"/>
          <w:sz w:val="22"/>
          <w:szCs w:val="22"/>
        </w:rPr>
      </w:pPr>
    </w:p>
    <w:p w14:paraId="5A9A6D75" w14:textId="77777777" w:rsidR="00EF02E8" w:rsidRPr="003A18A7" w:rsidRDefault="00EF02E8" w:rsidP="00EF02E8">
      <w:pPr>
        <w:ind w:left="709" w:right="760"/>
        <w:jc w:val="both"/>
        <w:rPr>
          <w:rFonts w:ascii="Arial" w:eastAsia="Arial" w:hAnsi="Arial" w:cs="Arial"/>
          <w:sz w:val="21"/>
          <w:szCs w:val="21"/>
        </w:rPr>
      </w:pPr>
      <w:r w:rsidRPr="003A18A7">
        <w:rPr>
          <w:rFonts w:ascii="Arial" w:eastAsia="Arial" w:hAnsi="Arial" w:cs="Arial"/>
          <w:sz w:val="21"/>
          <w:szCs w:val="21"/>
        </w:rPr>
        <w:t>4.2.5 CUADRILLAS DE TRABAJO</w:t>
      </w:r>
    </w:p>
    <w:p w14:paraId="7165F8B8" w14:textId="77777777" w:rsidR="00EF02E8" w:rsidRPr="003A18A7" w:rsidRDefault="00EF02E8" w:rsidP="00EF02E8">
      <w:pPr>
        <w:spacing w:before="120"/>
        <w:ind w:left="709" w:right="760"/>
        <w:jc w:val="both"/>
        <w:rPr>
          <w:rFonts w:ascii="Arial" w:eastAsia="Arial" w:hAnsi="Arial" w:cs="Arial"/>
          <w:sz w:val="21"/>
          <w:szCs w:val="21"/>
        </w:rPr>
      </w:pPr>
      <w:r w:rsidRPr="003A18A7">
        <w:rPr>
          <w:rFonts w:ascii="Arial" w:eastAsia="Arial" w:hAnsi="Arial" w:cs="Arial"/>
          <w:sz w:val="21"/>
          <w:szCs w:val="21"/>
        </w:rPr>
        <w:t>[…]</w:t>
      </w:r>
    </w:p>
    <w:p w14:paraId="7003952A"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En caso de que el proponente se comprometa a ofertar este Factor de Calidad debe tener en cuenta las siguientes consideraciones:</w:t>
      </w:r>
    </w:p>
    <w:p w14:paraId="547E62DE"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I. [La entidad podrá escoger una única opción entre alguna de las siguientes, según sea el caso particular de su proceso de contratación:</w:t>
      </w:r>
    </w:p>
    <w:p w14:paraId="0FA3CD2C"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lastRenderedPageBreak/>
        <w:t>a. Opción I (Detalle de frentes de trabajo): [En el caso que la entidad en su etapa previa de planeación haya estimado un valor mínimo de frentes de trabajo] El proponente podrá ofrecer hasta máximo 2 cuadrillas por cada frente de trabajo, y la ponderación se hará en función de la sumatoria de las cuadrillas para la totalidad de los frentes de obra.</w:t>
      </w:r>
    </w:p>
    <w:p w14:paraId="1A02C164"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Para los fines del presente proceso de contratación, los frentes estimados de trabajo son: [la entidad deberá indicar los frentes de obra estimados como parte de su etapa previa para ser considerados por el proponente en su ofrecimiento].</w:t>
      </w:r>
    </w:p>
    <w:p w14:paraId="76C1D9D7"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b. Opción II (Sin estimado de frentes de trabajo): [En el caso que la entidad en su etapa previa de planeación, o como producto de la misma no haya considerado como necesario estimar frentes de trabajo y decida optar por este factor de calidad, podrá aplicar el siguiente criterio:]</w:t>
      </w:r>
    </w:p>
    <w:p w14:paraId="05CEF602"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El proponente ofrecerá 1 cuadrilla adicional por cada 50 obreros que sean requeridos para el proyecto de infraestructura de transporte. [P.ej. en el caso que para un proyecto sean estimados un total de 100 obreros para poder ejecutar el objeto contractual, se podrán ofrecer hasta máximo 2 cuadrillas]</w:t>
      </w:r>
    </w:p>
    <w:p w14:paraId="6FC06997"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 xml:space="preserve">La ponderación se hará en función de la sumatoria de las cuadrillas adicionales ofrecidas </w:t>
      </w:r>
    </w:p>
    <w:p w14:paraId="439FAEE8"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Para los fines de este aspecto, se tiene un valor aproximado de [la entidad deberá brindar un valor indicativo al proponente de la cantidad de obreros estimados] obreros como un valor estimativo para ser considerado por el proponente.</w:t>
      </w:r>
    </w:p>
    <w:p w14:paraId="6005C73B" w14:textId="77777777" w:rsidR="00EF02E8" w:rsidRPr="003A18A7" w:rsidRDefault="00EF02E8" w:rsidP="00EF02E8">
      <w:pPr>
        <w:spacing w:before="120" w:line="276" w:lineRule="auto"/>
        <w:ind w:firstLine="720"/>
        <w:jc w:val="both"/>
        <w:rPr>
          <w:rFonts w:ascii="Arial" w:eastAsia="Arial" w:hAnsi="Arial" w:cs="Arial"/>
          <w:sz w:val="22"/>
          <w:szCs w:val="22"/>
        </w:rPr>
      </w:pPr>
    </w:p>
    <w:p w14:paraId="58B9112D" w14:textId="3293625B" w:rsidR="00EF02E8" w:rsidRPr="003A18A7" w:rsidRDefault="00EF02E8" w:rsidP="00EF02E8">
      <w:pPr>
        <w:spacing w:line="276" w:lineRule="auto"/>
        <w:ind w:firstLine="720"/>
        <w:jc w:val="both"/>
        <w:rPr>
          <w:rFonts w:ascii="Arial" w:eastAsia="Arial" w:hAnsi="Arial" w:cs="Arial"/>
          <w:sz w:val="22"/>
          <w:szCs w:val="22"/>
          <w:lang w:val="es-CO"/>
        </w:rPr>
      </w:pPr>
      <w:r w:rsidRPr="003A18A7">
        <w:rPr>
          <w:rFonts w:ascii="Arial" w:eastAsia="Arial" w:hAnsi="Arial" w:cs="Arial"/>
          <w:sz w:val="22"/>
          <w:szCs w:val="22"/>
          <w:lang w:val="es-CO"/>
        </w:rPr>
        <w:t>Asimismo, frente al numeral 4.2.6. del Documento Base, que trata sobre el «mantenimiento adicional» el artículo 1 de la Resolución</w:t>
      </w:r>
      <w:r w:rsidR="003A18A7" w:rsidRPr="003A18A7">
        <w:rPr>
          <w:rFonts w:ascii="Arial" w:eastAsia="Arial" w:hAnsi="Arial" w:cs="Arial"/>
          <w:sz w:val="22"/>
          <w:szCs w:val="22"/>
          <w:lang w:val="es-CO"/>
        </w:rPr>
        <w:t xml:space="preserve"> No.</w:t>
      </w:r>
      <w:r w:rsidRPr="003A18A7">
        <w:rPr>
          <w:rFonts w:ascii="Arial" w:eastAsia="Arial" w:hAnsi="Arial" w:cs="Arial"/>
          <w:sz w:val="22"/>
          <w:szCs w:val="22"/>
          <w:lang w:val="es-CO"/>
        </w:rPr>
        <w:t xml:space="preserve"> 116 de 2020, establece lo siguiente:</w:t>
      </w:r>
    </w:p>
    <w:p w14:paraId="4ED4D705" w14:textId="77777777" w:rsidR="00EF02E8" w:rsidRPr="003A18A7" w:rsidRDefault="00EF02E8" w:rsidP="00EF02E8">
      <w:pPr>
        <w:spacing w:before="120" w:line="276" w:lineRule="auto"/>
        <w:ind w:firstLine="720"/>
        <w:jc w:val="both"/>
        <w:rPr>
          <w:rFonts w:ascii="Arial" w:eastAsia="Arial" w:hAnsi="Arial" w:cs="Arial"/>
          <w:sz w:val="22"/>
          <w:szCs w:val="22"/>
          <w:lang w:val="es-CO"/>
        </w:rPr>
      </w:pPr>
    </w:p>
    <w:p w14:paraId="5649B554" w14:textId="77777777" w:rsidR="00EF02E8" w:rsidRPr="003A18A7" w:rsidRDefault="00EF02E8" w:rsidP="00EF02E8">
      <w:pPr>
        <w:ind w:left="709" w:right="760"/>
        <w:jc w:val="both"/>
        <w:rPr>
          <w:rFonts w:ascii="Arial" w:eastAsia="Arial" w:hAnsi="Arial" w:cs="Arial"/>
          <w:sz w:val="21"/>
          <w:szCs w:val="21"/>
        </w:rPr>
      </w:pPr>
      <w:r w:rsidRPr="003A18A7">
        <w:rPr>
          <w:rFonts w:ascii="Arial" w:eastAsia="Arial" w:hAnsi="Arial" w:cs="Arial"/>
          <w:sz w:val="21"/>
          <w:szCs w:val="21"/>
        </w:rPr>
        <w:t xml:space="preserve">4.2.6 MANTENIMIENTO ADICIONAL </w:t>
      </w:r>
    </w:p>
    <w:p w14:paraId="64BE418A" w14:textId="77777777" w:rsidR="00EF02E8" w:rsidRPr="003A18A7" w:rsidRDefault="00EF02E8" w:rsidP="00EF02E8">
      <w:pPr>
        <w:spacing w:before="120"/>
        <w:ind w:left="709" w:right="760"/>
        <w:jc w:val="both"/>
        <w:rPr>
          <w:rFonts w:ascii="Arial" w:eastAsia="Arial" w:hAnsi="Arial" w:cs="Arial"/>
          <w:sz w:val="21"/>
          <w:szCs w:val="21"/>
        </w:rPr>
      </w:pPr>
      <w:r w:rsidRPr="003A18A7">
        <w:rPr>
          <w:rFonts w:ascii="Arial" w:eastAsia="Arial" w:hAnsi="Arial" w:cs="Arial"/>
          <w:sz w:val="21"/>
          <w:szCs w:val="21"/>
        </w:rPr>
        <w:t>[…]</w:t>
      </w:r>
    </w:p>
    <w:p w14:paraId="71E525CB"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En caso de que el proponente se comprometa a ofertar este Factor de Calidad debe tener en cuenta las siguientes consideraciones:</w:t>
      </w:r>
    </w:p>
    <w:p w14:paraId="7EE7D4B4"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I.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el cual no podrá ser superior al tope establecido por la entidad.</w:t>
      </w:r>
    </w:p>
    <w:p w14:paraId="1ED7F641"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t>II. El ofrecimiento realizado por el proponente no podrá superar el [la entidad deberá determinar el valor porcentual máximo entre el siguiente rango: 30% y 50%] del plazo establecido por la entidad para la garantía de estabilidad y calidad de la obra de acuerdo con las disposiciones del artículo 2.2.1.2.3.1.14. del Decreto 1082 de 2015. [Es decir, si fue establecido un plazo de estabilidad y calidad de la obra de 5 años, y fue fijado un valor máximo del 50%, el proponente podrá ofertar hasta máximo 30 meses de mantenimiento adicional.]</w:t>
      </w:r>
    </w:p>
    <w:p w14:paraId="5E0ECEA3" w14:textId="77777777" w:rsidR="00EF02E8" w:rsidRPr="003A18A7" w:rsidRDefault="00EF02E8" w:rsidP="00EF02E8">
      <w:pPr>
        <w:spacing w:before="120"/>
        <w:ind w:left="709" w:right="760"/>
        <w:jc w:val="both"/>
        <w:rPr>
          <w:rFonts w:ascii="Arial" w:eastAsia="Arial" w:hAnsi="Arial" w:cs="Arial"/>
          <w:sz w:val="21"/>
          <w:szCs w:val="21"/>
          <w:lang w:val="es-CO"/>
        </w:rPr>
      </w:pPr>
      <w:r w:rsidRPr="003A18A7">
        <w:rPr>
          <w:rFonts w:ascii="Arial" w:eastAsia="Arial" w:hAnsi="Arial" w:cs="Arial"/>
          <w:sz w:val="21"/>
          <w:szCs w:val="21"/>
          <w:lang w:val="es-CO"/>
        </w:rPr>
        <w:lastRenderedPageBreak/>
        <w:t>III. El plazo máximo que podrá ser ofrecido por el proponente por concepto de Mantenimiento Adicional es de: [la entidad deberá establecer el valor máximo en meses a ofertar de acuerdo con el numeral II por concepto de Mantenimiento Adicional]</w:t>
      </w:r>
    </w:p>
    <w:p w14:paraId="791A37CD" w14:textId="77777777" w:rsidR="00EF02E8" w:rsidRPr="003A18A7" w:rsidRDefault="00EF02E8" w:rsidP="00EF02E8">
      <w:pPr>
        <w:ind w:firstLine="720"/>
        <w:jc w:val="both"/>
        <w:rPr>
          <w:rFonts w:ascii="Arial" w:eastAsia="Arial" w:hAnsi="Arial" w:cs="Arial"/>
          <w:sz w:val="22"/>
          <w:szCs w:val="22"/>
          <w:lang w:val="es-CO"/>
        </w:rPr>
      </w:pPr>
    </w:p>
    <w:p w14:paraId="7DDBA596" w14:textId="58A05AC6" w:rsidR="00EF02E8" w:rsidRPr="003A18A7" w:rsidRDefault="00EF02E8" w:rsidP="00EF02E8">
      <w:pPr>
        <w:spacing w:before="120" w:line="276" w:lineRule="auto"/>
        <w:ind w:firstLine="720"/>
        <w:jc w:val="both"/>
        <w:rPr>
          <w:rFonts w:ascii="Arial" w:eastAsia="Arial" w:hAnsi="Arial" w:cs="Arial"/>
          <w:sz w:val="22"/>
          <w:szCs w:val="22"/>
        </w:rPr>
      </w:pPr>
      <w:r w:rsidRPr="003A18A7">
        <w:rPr>
          <w:rFonts w:ascii="Arial" w:eastAsia="Arial" w:hAnsi="Arial" w:cs="Arial"/>
          <w:sz w:val="22"/>
          <w:szCs w:val="22"/>
        </w:rPr>
        <w:t>Como se observa, las entidades, a partir de la Resolución</w:t>
      </w:r>
      <w:r w:rsidR="003A18A7" w:rsidRPr="003A18A7">
        <w:rPr>
          <w:rFonts w:ascii="Arial" w:eastAsia="Arial" w:hAnsi="Arial" w:cs="Arial"/>
          <w:sz w:val="22"/>
          <w:szCs w:val="22"/>
        </w:rPr>
        <w:t xml:space="preserve"> No.</w:t>
      </w:r>
      <w:r w:rsidRPr="003A18A7">
        <w:rPr>
          <w:rFonts w:ascii="Arial" w:eastAsia="Arial" w:hAnsi="Arial" w:cs="Arial"/>
          <w:sz w:val="22"/>
          <w:szCs w:val="22"/>
        </w:rPr>
        <w:t xml:space="preserve"> 116 de 2020, pueden fijar discrecionalmente un número de meses que den lugar a otorgar el puntaje por mantenimiento adicional o definir cuántas cuadrillas de trabajo adicional se necesitan, o los perfiles de los integrantes de la cuadrilla, y no dependerá exclusivamente del proponente ofertar el tiempo de mantenimiento adicional y el número de cuadrillas de trabajo adicional que está en capacidad de ofrecer, lo cual reduce el riesgo de direccionamiento, fomenta la competencia e incrementa las condiciones de calidad para la entidad. </w:t>
      </w:r>
    </w:p>
    <w:p w14:paraId="6E6C5DE8" w14:textId="4E2F19A3" w:rsidR="00EF02E8" w:rsidRPr="003A18A7" w:rsidRDefault="00EF02E8" w:rsidP="00EF02E8">
      <w:pPr>
        <w:tabs>
          <w:tab w:val="left" w:pos="709"/>
        </w:tabs>
        <w:spacing w:before="120" w:line="276" w:lineRule="auto"/>
        <w:jc w:val="both"/>
        <w:rPr>
          <w:rFonts w:ascii="Arial" w:eastAsia="Arial" w:hAnsi="Arial" w:cs="Arial"/>
          <w:sz w:val="22"/>
          <w:szCs w:val="22"/>
        </w:rPr>
      </w:pPr>
      <w:r w:rsidRPr="003A18A7">
        <w:rPr>
          <w:rFonts w:ascii="Arial" w:eastAsia="Arial" w:hAnsi="Arial" w:cs="Arial"/>
          <w:sz w:val="22"/>
          <w:szCs w:val="22"/>
        </w:rPr>
        <w:tab/>
        <w:t xml:space="preserve">Es del caso mencionar que para otorgar el puntaje basta con diligenciar los formatos </w:t>
      </w:r>
      <w:r w:rsidR="00286003" w:rsidRPr="003A18A7">
        <w:rPr>
          <w:rFonts w:ascii="Arial" w:eastAsia="Arial" w:hAnsi="Arial" w:cs="Arial"/>
          <w:sz w:val="22"/>
          <w:szCs w:val="22"/>
        </w:rPr>
        <w:t xml:space="preserve">«Formato 7D – Garantía suplementaria o adicional», </w:t>
      </w:r>
      <w:r w:rsidRPr="003A18A7">
        <w:rPr>
          <w:rFonts w:ascii="Arial" w:eastAsia="Arial" w:hAnsi="Arial" w:cs="Arial"/>
          <w:sz w:val="22"/>
          <w:szCs w:val="22"/>
        </w:rPr>
        <w:t>«7E – Cuadrillas de trabajo adicional» y el «7F – Mantenimiento adicional», dependiendo de los criterios de evaluación seleccionados por la entidad. En efecto, al diligenciarlos el proponente debe indicar bajo la gravedad de juramento cuál es el compromiso que asume, ya sea el número de cuadrillas de trabajo adicional o el tiempo durante el cual realizará el mantenimiento rutinario, claro está, dentro de los límites señalados en los párrafos anteriores.</w:t>
      </w:r>
    </w:p>
    <w:p w14:paraId="4E5B7535" w14:textId="01786663" w:rsidR="00EF02E8" w:rsidRPr="003A18A7" w:rsidRDefault="00EF02E8" w:rsidP="00EF02E8">
      <w:pPr>
        <w:tabs>
          <w:tab w:val="left" w:pos="709"/>
        </w:tabs>
        <w:spacing w:before="120" w:line="276" w:lineRule="auto"/>
        <w:jc w:val="both"/>
        <w:rPr>
          <w:rFonts w:ascii="Arial" w:eastAsia="Arial" w:hAnsi="Arial" w:cs="Arial"/>
          <w:sz w:val="22"/>
          <w:szCs w:val="22"/>
        </w:rPr>
      </w:pPr>
      <w:r w:rsidRPr="003A18A7">
        <w:rPr>
          <w:rFonts w:ascii="Arial" w:eastAsia="Arial" w:hAnsi="Arial" w:cs="Arial"/>
          <w:sz w:val="22"/>
          <w:szCs w:val="22"/>
        </w:rPr>
        <w:tab/>
        <w:t xml:space="preserve"> Es del caso precisar que el Documento Tipo, antes de la Resolución</w:t>
      </w:r>
      <w:r w:rsidR="003A18A7" w:rsidRPr="003A18A7">
        <w:rPr>
          <w:rFonts w:ascii="Arial" w:eastAsia="Arial" w:hAnsi="Arial" w:cs="Arial"/>
          <w:sz w:val="22"/>
          <w:szCs w:val="22"/>
        </w:rPr>
        <w:t xml:space="preserve"> No.</w:t>
      </w:r>
      <w:r w:rsidRPr="003A18A7">
        <w:rPr>
          <w:rFonts w:ascii="Arial" w:eastAsia="Arial" w:hAnsi="Arial" w:cs="Arial"/>
          <w:sz w:val="22"/>
          <w:szCs w:val="22"/>
        </w:rPr>
        <w:t xml:space="preserve"> 116 de 2020, no limitaba al oferente frente al número</w:t>
      </w:r>
      <w:r w:rsidR="00286003" w:rsidRPr="003A18A7">
        <w:rPr>
          <w:rFonts w:ascii="Arial" w:eastAsia="Arial" w:hAnsi="Arial" w:cs="Arial"/>
          <w:sz w:val="22"/>
          <w:szCs w:val="22"/>
        </w:rPr>
        <w:t xml:space="preserve"> de meses de garantía adicional, ni</w:t>
      </w:r>
      <w:r w:rsidRPr="003A18A7">
        <w:rPr>
          <w:rFonts w:ascii="Arial" w:eastAsia="Arial" w:hAnsi="Arial" w:cs="Arial"/>
          <w:sz w:val="22"/>
          <w:szCs w:val="22"/>
        </w:rPr>
        <w:t xml:space="preserve"> de cuadrillas de trabajo adicional que se comprometía a otorgar al proyecto, ni tampoco respecto al número de meses de mantenimiento rutinario adicional. Estos ofrecimientos dependían únicamente de las capacidades propias de cada oferente; ya que se realizaban dependiendo de su infraestructura y capacidad financiera y la labor de análisis de las condiciones bajo las cuales presentaría su propuesta, además </w:t>
      </w:r>
      <w:r w:rsidR="00740832">
        <w:rPr>
          <w:rFonts w:ascii="Arial" w:eastAsia="Arial" w:hAnsi="Arial" w:cs="Arial"/>
          <w:sz w:val="22"/>
          <w:szCs w:val="22"/>
        </w:rPr>
        <w:t xml:space="preserve">de </w:t>
      </w:r>
      <w:r w:rsidRPr="003A18A7">
        <w:rPr>
          <w:rFonts w:ascii="Arial" w:eastAsia="Arial" w:hAnsi="Arial" w:cs="Arial"/>
          <w:sz w:val="22"/>
          <w:szCs w:val="22"/>
        </w:rPr>
        <w:t>que cumplir estos ofrecimientos constituía una obligación contractual –lo sigue haciendo–, con todas las consecuencias que ello apareja, de manera que los proponentes ofertaban lo que podían cumplir.</w:t>
      </w:r>
    </w:p>
    <w:p w14:paraId="25AC49B2" w14:textId="717514B8" w:rsidR="00EF02E8" w:rsidRPr="003A18A7" w:rsidRDefault="00EF02E8" w:rsidP="00EF02E8">
      <w:pPr>
        <w:tabs>
          <w:tab w:val="left" w:pos="709"/>
        </w:tabs>
        <w:spacing w:before="120" w:line="276" w:lineRule="auto"/>
        <w:jc w:val="both"/>
        <w:rPr>
          <w:rFonts w:ascii="Arial" w:eastAsia="Arial" w:hAnsi="Arial" w:cs="Arial"/>
          <w:sz w:val="22"/>
          <w:szCs w:val="22"/>
        </w:rPr>
      </w:pPr>
      <w:r w:rsidRPr="003A18A7">
        <w:rPr>
          <w:rFonts w:ascii="Arial" w:eastAsia="Arial" w:hAnsi="Arial" w:cs="Arial"/>
          <w:sz w:val="22"/>
          <w:szCs w:val="22"/>
        </w:rPr>
        <w:tab/>
        <w:t>En ese sentido, antes de la expedición de la Resolución</w:t>
      </w:r>
      <w:r w:rsidR="003A18A7" w:rsidRPr="003A18A7">
        <w:rPr>
          <w:rFonts w:ascii="Arial" w:eastAsia="Arial" w:hAnsi="Arial" w:cs="Arial"/>
          <w:sz w:val="22"/>
          <w:szCs w:val="22"/>
        </w:rPr>
        <w:t xml:space="preserve"> No.</w:t>
      </w:r>
      <w:r w:rsidRPr="003A18A7">
        <w:rPr>
          <w:rFonts w:ascii="Arial" w:eastAsia="Arial" w:hAnsi="Arial" w:cs="Arial"/>
          <w:sz w:val="22"/>
          <w:szCs w:val="22"/>
        </w:rPr>
        <w:t xml:space="preserve"> 116 del 21 de julio de 2020, las entidades estatales que aplican la versión 2 del Documento Tipo para procesos de licitación pública o selección abreviada de menor cuantía no se encontraban facultadas para fijar topes o un número máximo de cuadrillas que den lugar al otorgamiento del puntaje, ya que, como se sostenía antes de la vigencia de la referida resolución, esto dependía únicamente de los proponentes. Dicha postura se justificaba, además, en que las entidades no tienen la facultad de modificar los formatos </w:t>
      </w:r>
      <w:r w:rsidR="00286003" w:rsidRPr="003A18A7">
        <w:rPr>
          <w:rFonts w:ascii="Arial" w:eastAsia="Arial" w:hAnsi="Arial" w:cs="Arial"/>
          <w:sz w:val="22"/>
          <w:szCs w:val="22"/>
        </w:rPr>
        <w:t xml:space="preserve">«Formato 7D – Garantía suplementaria o adicional», </w:t>
      </w:r>
      <w:r w:rsidRPr="003A18A7">
        <w:rPr>
          <w:rFonts w:ascii="Arial" w:eastAsia="Arial" w:hAnsi="Arial" w:cs="Arial"/>
          <w:sz w:val="22"/>
          <w:szCs w:val="22"/>
        </w:rPr>
        <w:t>«7E – Cuadrillas de trabajo adicional» y «7F – Mantenimiento adicional», en la medida que estos son Documentos Tipo afectados por el principio de inalterabilidad, por lo que solo pueden modificar los apartados entre corchetes y resaltados en gris</w:t>
      </w:r>
      <w:r w:rsidRPr="003A18A7">
        <w:rPr>
          <w:rFonts w:ascii="Arial" w:eastAsia="Arial" w:hAnsi="Arial" w:cs="Arial"/>
          <w:sz w:val="22"/>
          <w:szCs w:val="22"/>
          <w:vertAlign w:val="superscript"/>
        </w:rPr>
        <w:footnoteReference w:id="7"/>
      </w:r>
      <w:r w:rsidRPr="003A18A7">
        <w:rPr>
          <w:rFonts w:ascii="Arial" w:eastAsia="Arial" w:hAnsi="Arial" w:cs="Arial"/>
          <w:sz w:val="22"/>
          <w:szCs w:val="22"/>
        </w:rPr>
        <w:t xml:space="preserve">. </w:t>
      </w:r>
    </w:p>
    <w:p w14:paraId="1FBFD00A" w14:textId="33C34B57" w:rsidR="00286003" w:rsidRPr="003A18A7" w:rsidRDefault="00286003"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lastRenderedPageBreak/>
        <w:tab/>
        <w:t>Ahora bien, usted consulta</w:t>
      </w:r>
      <w:r w:rsidR="00AE3F7F">
        <w:rPr>
          <w:rFonts w:ascii="Arial" w:eastAsia="Arial" w:hAnsi="Arial" w:cs="Arial"/>
          <w:sz w:val="22"/>
          <w:szCs w:val="22"/>
        </w:rPr>
        <w:t>:</w:t>
      </w:r>
      <w:r w:rsidRPr="003A18A7">
        <w:rPr>
          <w:rFonts w:ascii="Arial" w:eastAsia="Arial" w:hAnsi="Arial" w:cs="Arial"/>
          <w:sz w:val="22"/>
          <w:szCs w:val="22"/>
        </w:rPr>
        <w:t xml:space="preserve"> ¿Qué consecuencias tiene el hecho de que un oferente oferte más meses de </w:t>
      </w:r>
      <w:r w:rsidR="00707E40" w:rsidRPr="003A18A7">
        <w:rPr>
          <w:rFonts w:ascii="Arial" w:eastAsia="Arial" w:hAnsi="Arial" w:cs="Arial"/>
          <w:sz w:val="22"/>
          <w:szCs w:val="22"/>
        </w:rPr>
        <w:t xml:space="preserve">garantía suplementaría, </w:t>
      </w:r>
      <w:r w:rsidRPr="003A18A7">
        <w:rPr>
          <w:rFonts w:ascii="Arial" w:eastAsia="Arial" w:hAnsi="Arial" w:cs="Arial"/>
          <w:sz w:val="22"/>
          <w:szCs w:val="22"/>
        </w:rPr>
        <w:t>más cuadrillas de trabajo adicional</w:t>
      </w:r>
      <w:r w:rsidR="00707E40" w:rsidRPr="003A18A7">
        <w:rPr>
          <w:rFonts w:ascii="Arial" w:eastAsia="Arial" w:hAnsi="Arial" w:cs="Arial"/>
          <w:sz w:val="22"/>
          <w:szCs w:val="22"/>
        </w:rPr>
        <w:t xml:space="preserve"> o más meses de mantenimiento adicional</w:t>
      </w:r>
      <w:r w:rsidRPr="003A18A7">
        <w:rPr>
          <w:rFonts w:ascii="Arial" w:eastAsia="Arial" w:hAnsi="Arial" w:cs="Arial"/>
          <w:sz w:val="22"/>
          <w:szCs w:val="22"/>
        </w:rPr>
        <w:t xml:space="preserve"> de l</w:t>
      </w:r>
      <w:r w:rsidR="00707E40" w:rsidRPr="003A18A7">
        <w:rPr>
          <w:rFonts w:ascii="Arial" w:eastAsia="Arial" w:hAnsi="Arial" w:cs="Arial"/>
          <w:sz w:val="22"/>
          <w:szCs w:val="22"/>
        </w:rPr>
        <w:t>o</w:t>
      </w:r>
      <w:r w:rsidRPr="003A18A7">
        <w:rPr>
          <w:rFonts w:ascii="Arial" w:eastAsia="Arial" w:hAnsi="Arial" w:cs="Arial"/>
          <w:sz w:val="22"/>
          <w:szCs w:val="22"/>
        </w:rPr>
        <w:t>s establecid</w:t>
      </w:r>
      <w:r w:rsidR="00707E40" w:rsidRPr="003A18A7">
        <w:rPr>
          <w:rFonts w:ascii="Arial" w:eastAsia="Arial" w:hAnsi="Arial" w:cs="Arial"/>
          <w:sz w:val="22"/>
          <w:szCs w:val="22"/>
        </w:rPr>
        <w:t>os</w:t>
      </w:r>
      <w:r w:rsidRPr="003A18A7">
        <w:rPr>
          <w:rFonts w:ascii="Arial" w:eastAsia="Arial" w:hAnsi="Arial" w:cs="Arial"/>
          <w:sz w:val="22"/>
          <w:szCs w:val="22"/>
        </w:rPr>
        <w:t xml:space="preserve"> como </w:t>
      </w:r>
      <w:r w:rsidR="00707E40" w:rsidRPr="003A18A7">
        <w:rPr>
          <w:rFonts w:ascii="Arial" w:eastAsia="Arial" w:hAnsi="Arial" w:cs="Arial"/>
          <w:sz w:val="22"/>
          <w:szCs w:val="22"/>
        </w:rPr>
        <w:t>topes en el respectivo pliego de condiciones</w:t>
      </w:r>
      <w:r w:rsidRPr="003A18A7">
        <w:rPr>
          <w:rFonts w:ascii="Arial" w:eastAsia="Arial" w:hAnsi="Arial" w:cs="Arial"/>
          <w:sz w:val="22"/>
          <w:szCs w:val="22"/>
        </w:rPr>
        <w:t>?</w:t>
      </w:r>
    </w:p>
    <w:p w14:paraId="23376C17" w14:textId="701DAFCB" w:rsidR="006940A5" w:rsidRPr="003A18A7" w:rsidRDefault="00707E40"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tab/>
        <w:t>Al respecto es necesario poner de presente que lo establecido en los numerales 4.2.4, 4.2.5 y 4.2.6 de documentos base de licitación y selección abreviada menor cuantía para obra pública de infraestructura de transporte, en virtud de su inclusión en los respectivos pliegos de condiciones, constituyen reglas para la presentación de ofertas en lo referente a estos factores de calidad, las cuales deben ser respetadas por los oferentes al momento de presentar sus ofertas, reglas que además, de conformidad con el parágrafo 7 de la Ley 1150 de 2007, modificado por las Leyes 1882 de 2018 y 2022 de 2020, son de obligatoria observancia por parte de las entidades estatales regidas por el Estatuto General de Contratación de la Administración Pública</w:t>
      </w:r>
      <w:r w:rsidR="006940A5" w:rsidRPr="003A18A7">
        <w:rPr>
          <w:rFonts w:ascii="Arial" w:eastAsia="Arial" w:hAnsi="Arial" w:cs="Arial"/>
          <w:sz w:val="22"/>
          <w:szCs w:val="22"/>
        </w:rPr>
        <w:t>, además de encontrarse afectadas por el referido principio de inalterabilidad.</w:t>
      </w:r>
    </w:p>
    <w:p w14:paraId="19A0462B" w14:textId="3DEDE94B" w:rsidR="00CE1A8F" w:rsidRPr="003A18A7" w:rsidRDefault="00CE1A8F"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tab/>
        <w:t xml:space="preserve">En materia de licitación </w:t>
      </w:r>
      <w:r w:rsidR="00A83BDC" w:rsidRPr="003A18A7">
        <w:rPr>
          <w:rFonts w:ascii="Arial" w:eastAsia="Arial" w:hAnsi="Arial" w:cs="Arial"/>
          <w:sz w:val="22"/>
          <w:szCs w:val="22"/>
        </w:rPr>
        <w:t>pública</w:t>
      </w:r>
      <w:r w:rsidRPr="003A18A7">
        <w:rPr>
          <w:rFonts w:ascii="Arial" w:eastAsia="Arial" w:hAnsi="Arial" w:cs="Arial"/>
          <w:sz w:val="22"/>
          <w:szCs w:val="22"/>
        </w:rPr>
        <w:t>, el respeto y la sujeción a lo establecido por el pliego de condiciones se impone además en virtud de lo establecido en el numeral 6 del artículo 30 de la Ley 80 de 1993</w:t>
      </w:r>
      <w:r w:rsidRPr="003A18A7">
        <w:rPr>
          <w:rStyle w:val="Refdenotaalpie"/>
          <w:rFonts w:ascii="Arial" w:eastAsia="Arial" w:hAnsi="Arial" w:cs="Arial"/>
          <w:sz w:val="22"/>
          <w:szCs w:val="22"/>
        </w:rPr>
        <w:footnoteReference w:id="8"/>
      </w:r>
      <w:r w:rsidRPr="003A18A7">
        <w:rPr>
          <w:rFonts w:ascii="Arial" w:eastAsia="Arial" w:hAnsi="Arial" w:cs="Arial"/>
          <w:sz w:val="22"/>
          <w:szCs w:val="22"/>
        </w:rPr>
        <w:t>, norma en virtud de la cual «</w:t>
      </w:r>
      <w:r w:rsidRPr="003A18A7">
        <w:rPr>
          <w:rFonts w:ascii="Arial" w:hAnsi="Arial" w:cs="Arial"/>
          <w:sz w:val="22"/>
          <w:szCs w:val="22"/>
        </w:rPr>
        <w:t>la propuesta debe ceñirse a todos y cada uno de los puntos contenidos en el pliego de condiciones, impidiendo que el proponente pueda modificar o apartarse de las reglas fijadas para la selección del contratista»</w:t>
      </w:r>
      <w:r w:rsidR="00A83BDC" w:rsidRPr="003A18A7">
        <w:rPr>
          <w:rStyle w:val="Refdenotaalpie"/>
          <w:rFonts w:ascii="Arial" w:hAnsi="Arial" w:cs="Arial"/>
          <w:sz w:val="22"/>
          <w:szCs w:val="22"/>
        </w:rPr>
        <w:footnoteReference w:id="9"/>
      </w:r>
      <w:r w:rsidRPr="003A18A7">
        <w:rPr>
          <w:rFonts w:ascii="Arial" w:hAnsi="Arial" w:cs="Arial"/>
          <w:sz w:val="22"/>
          <w:szCs w:val="22"/>
        </w:rPr>
        <w:t>.</w:t>
      </w:r>
    </w:p>
    <w:p w14:paraId="169929B5" w14:textId="6B1BC779" w:rsidR="005F1E00" w:rsidRPr="003A18A7" w:rsidRDefault="006940A5"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tab/>
        <w:t xml:space="preserve">Conforme a esto, al formular ofertas </w:t>
      </w:r>
      <w:r w:rsidR="00645A71">
        <w:rPr>
          <w:rFonts w:ascii="Arial" w:eastAsia="Arial" w:hAnsi="Arial" w:cs="Arial"/>
          <w:sz w:val="22"/>
          <w:szCs w:val="22"/>
        </w:rPr>
        <w:t>incluyendo</w:t>
      </w:r>
      <w:r w:rsidRPr="003A18A7">
        <w:rPr>
          <w:rFonts w:ascii="Arial" w:eastAsia="Arial" w:hAnsi="Arial" w:cs="Arial"/>
          <w:sz w:val="22"/>
          <w:szCs w:val="22"/>
        </w:rPr>
        <w:t xml:space="preserve"> los factores de calidad de garantía suplementaria, cuadrillas de trabajo adicional o mantenimiento rutinario adicional</w:t>
      </w:r>
      <w:r w:rsidR="00645A71">
        <w:rPr>
          <w:rFonts w:ascii="Arial" w:eastAsia="Arial" w:hAnsi="Arial" w:cs="Arial"/>
          <w:sz w:val="22"/>
          <w:szCs w:val="22"/>
        </w:rPr>
        <w:t>,</w:t>
      </w:r>
      <w:r w:rsidRPr="003A18A7">
        <w:rPr>
          <w:rFonts w:ascii="Arial" w:eastAsia="Arial" w:hAnsi="Arial" w:cs="Arial"/>
          <w:sz w:val="22"/>
          <w:szCs w:val="22"/>
        </w:rPr>
        <w:t xml:space="preserve"> los oferentes están llamados a respetar los topes establecidos por la entidad contratante en la configuración del pliego de condiciones,</w:t>
      </w:r>
      <w:r w:rsidR="005F1E00" w:rsidRPr="003A18A7">
        <w:rPr>
          <w:rFonts w:ascii="Arial" w:eastAsia="Arial" w:hAnsi="Arial" w:cs="Arial"/>
          <w:sz w:val="22"/>
          <w:szCs w:val="22"/>
        </w:rPr>
        <w:t xml:space="preserve"> condiciones que además están destinadas a determinar el contenido del contrato. En ese orden, situaciones como la indagada por el peticionario en la que se oferta por encima de los referidos topes, al encontrarse por fuera de lo reglado por el Documento Base, no tienen cabida dentro del proceso de selección, y mucho menos dentro del contrato que surge del mismo.</w:t>
      </w:r>
    </w:p>
    <w:p w14:paraId="63CB5EA4" w14:textId="6FEFE67F" w:rsidR="00CC2801" w:rsidRPr="003A18A7" w:rsidRDefault="005F1E00"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tab/>
        <w:t>En</w:t>
      </w:r>
      <w:r w:rsidR="00CC2801" w:rsidRPr="003A18A7">
        <w:rPr>
          <w:rFonts w:ascii="Arial" w:eastAsia="Arial" w:hAnsi="Arial" w:cs="Arial"/>
          <w:sz w:val="22"/>
          <w:szCs w:val="22"/>
        </w:rPr>
        <w:t xml:space="preserve"> ese</w:t>
      </w:r>
      <w:r w:rsidRPr="003A18A7">
        <w:rPr>
          <w:rFonts w:ascii="Arial" w:eastAsia="Arial" w:hAnsi="Arial" w:cs="Arial"/>
          <w:sz w:val="22"/>
          <w:szCs w:val="22"/>
        </w:rPr>
        <w:t xml:space="preserve"> sentido, ante situaciones como esta podría aseverar</w:t>
      </w:r>
      <w:r w:rsidR="00CC2801" w:rsidRPr="003A18A7">
        <w:rPr>
          <w:rFonts w:ascii="Arial" w:eastAsia="Arial" w:hAnsi="Arial" w:cs="Arial"/>
          <w:sz w:val="22"/>
          <w:szCs w:val="22"/>
        </w:rPr>
        <w:t>se</w:t>
      </w:r>
      <w:r w:rsidRPr="003A18A7">
        <w:rPr>
          <w:rFonts w:ascii="Arial" w:eastAsia="Arial" w:hAnsi="Arial" w:cs="Arial"/>
          <w:sz w:val="22"/>
          <w:szCs w:val="22"/>
        </w:rPr>
        <w:t xml:space="preserve"> que las entidades cuentan con las siguientes posibilidades: i) requerir al proponente para que modifique la </w:t>
      </w:r>
      <w:r w:rsidRPr="003A18A7">
        <w:rPr>
          <w:rFonts w:ascii="Arial" w:eastAsia="Arial" w:hAnsi="Arial" w:cs="Arial"/>
          <w:sz w:val="22"/>
          <w:szCs w:val="22"/>
        </w:rPr>
        <w:lastRenderedPageBreak/>
        <w:t xml:space="preserve">oferta acogiéndose al respectivo tope; ii) otorgar el puntaje entendiendo que la oferta se hace por el máximo de meses o cuadrillas estipulado en el pliego; o iii) no otorgar el </w:t>
      </w:r>
      <w:r w:rsidR="00CC2801" w:rsidRPr="003A18A7">
        <w:rPr>
          <w:rFonts w:ascii="Arial" w:eastAsia="Arial" w:hAnsi="Arial" w:cs="Arial"/>
          <w:sz w:val="22"/>
          <w:szCs w:val="22"/>
        </w:rPr>
        <w:t>puntaje correspondiente al factor de calidad respecto del que se presento la oferta excesiva.</w:t>
      </w:r>
    </w:p>
    <w:p w14:paraId="616A9331" w14:textId="521D2E43" w:rsidR="00CC2801" w:rsidRPr="003A18A7" w:rsidRDefault="00CC2801"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tab/>
        <w:t>Estima esta entidad que la primera posibilidad debe ser descartada, en la medida en que, siendo la garantía suplementaria, las cuadrillas de trabajo adicional y el mantenimiento rutinario adicional factores objeto de puntuación, los mismos se encuentran por fuera del ámbito de aplicación de la regla de subsanabilidad establecida el parágrafo 1 del articulo 5 de la Ley 1150 de 2007, modificado por la Ley 1882 de 2018</w:t>
      </w:r>
      <w:r w:rsidRPr="003A18A7">
        <w:rPr>
          <w:rStyle w:val="Refdenotaalpie"/>
          <w:rFonts w:ascii="Arial" w:eastAsia="Arial" w:hAnsi="Arial" w:cs="Arial"/>
          <w:sz w:val="22"/>
          <w:szCs w:val="22"/>
        </w:rPr>
        <w:footnoteReference w:id="10"/>
      </w:r>
      <w:r w:rsidRPr="003A18A7">
        <w:rPr>
          <w:rFonts w:ascii="Arial" w:eastAsia="Arial" w:hAnsi="Arial" w:cs="Arial"/>
          <w:sz w:val="22"/>
          <w:szCs w:val="22"/>
        </w:rPr>
        <w:t>.</w:t>
      </w:r>
      <w:r w:rsidR="00A83BDC" w:rsidRPr="003A18A7">
        <w:rPr>
          <w:rFonts w:ascii="Arial" w:eastAsia="Arial" w:hAnsi="Arial" w:cs="Arial"/>
          <w:sz w:val="22"/>
          <w:szCs w:val="22"/>
        </w:rPr>
        <w:t xml:space="preserve"> </w:t>
      </w:r>
    </w:p>
    <w:p w14:paraId="4484A51E" w14:textId="546D978E" w:rsidR="00A83BDC" w:rsidRPr="003A18A7" w:rsidRDefault="00A83BDC"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tab/>
        <w:t xml:space="preserve">La segunda posibilidad, tendiente a otorgar puntaje a la oferta presentada por encima de los límites fijados por la entidad, bajo el presupuesto </w:t>
      </w:r>
      <w:r w:rsidR="0080011E">
        <w:rPr>
          <w:rFonts w:ascii="Arial" w:eastAsia="Arial" w:hAnsi="Arial" w:cs="Arial"/>
          <w:sz w:val="22"/>
          <w:szCs w:val="22"/>
        </w:rPr>
        <w:t xml:space="preserve">de </w:t>
      </w:r>
      <w:r w:rsidRPr="003A18A7">
        <w:rPr>
          <w:rFonts w:ascii="Arial" w:eastAsia="Arial" w:hAnsi="Arial" w:cs="Arial"/>
          <w:sz w:val="22"/>
          <w:szCs w:val="22"/>
        </w:rPr>
        <w:t>que est</w:t>
      </w:r>
      <w:r w:rsidR="0080011E">
        <w:rPr>
          <w:rFonts w:ascii="Arial" w:eastAsia="Arial" w:hAnsi="Arial" w:cs="Arial"/>
          <w:sz w:val="22"/>
          <w:szCs w:val="22"/>
        </w:rPr>
        <w:t>a</w:t>
      </w:r>
      <w:r w:rsidRPr="003A18A7">
        <w:rPr>
          <w:rFonts w:ascii="Arial" w:eastAsia="Arial" w:hAnsi="Arial" w:cs="Arial"/>
          <w:sz w:val="22"/>
          <w:szCs w:val="22"/>
        </w:rPr>
        <w:t xml:space="preserve"> se entiende presentada por el máximo ofrecimiento permitido, estima esta Agencia, también deber ser descartada, en la medida </w:t>
      </w:r>
      <w:r w:rsidR="0080011E">
        <w:rPr>
          <w:rFonts w:ascii="Arial" w:eastAsia="Arial" w:hAnsi="Arial" w:cs="Arial"/>
          <w:sz w:val="22"/>
          <w:szCs w:val="22"/>
        </w:rPr>
        <w:t xml:space="preserve">en </w:t>
      </w:r>
      <w:r w:rsidRPr="003A18A7">
        <w:rPr>
          <w:rFonts w:ascii="Arial" w:eastAsia="Arial" w:hAnsi="Arial" w:cs="Arial"/>
          <w:sz w:val="22"/>
          <w:szCs w:val="22"/>
        </w:rPr>
        <w:t>que las entidades estatales</w:t>
      </w:r>
      <w:r w:rsidR="0080011E">
        <w:rPr>
          <w:rFonts w:ascii="Arial" w:eastAsia="Arial" w:hAnsi="Arial" w:cs="Arial"/>
          <w:sz w:val="22"/>
          <w:szCs w:val="22"/>
        </w:rPr>
        <w:t>,</w:t>
      </w:r>
      <w:r w:rsidRPr="003A18A7">
        <w:rPr>
          <w:rFonts w:ascii="Arial" w:eastAsia="Arial" w:hAnsi="Arial" w:cs="Arial"/>
          <w:sz w:val="22"/>
          <w:szCs w:val="22"/>
        </w:rPr>
        <w:t xml:space="preserve"> al adelantar procesos de selección en aplicación del EGCAP, no se encuentran facultadas para surtir tal suerte de adecuación</w:t>
      </w:r>
      <w:r w:rsidR="00DC5717" w:rsidRPr="003A18A7">
        <w:rPr>
          <w:rFonts w:ascii="Arial" w:eastAsia="Arial" w:hAnsi="Arial" w:cs="Arial"/>
          <w:sz w:val="22"/>
          <w:szCs w:val="22"/>
        </w:rPr>
        <w:t xml:space="preserve"> o interpretación</w:t>
      </w:r>
      <w:r w:rsidRPr="003A18A7">
        <w:rPr>
          <w:rFonts w:ascii="Arial" w:eastAsia="Arial" w:hAnsi="Arial" w:cs="Arial"/>
          <w:sz w:val="22"/>
          <w:szCs w:val="22"/>
        </w:rPr>
        <w:t xml:space="preserve"> de las ofertas</w:t>
      </w:r>
      <w:r w:rsidR="00DC5717" w:rsidRPr="003A18A7">
        <w:rPr>
          <w:rFonts w:ascii="Arial" w:eastAsia="Arial" w:hAnsi="Arial" w:cs="Arial"/>
          <w:sz w:val="22"/>
          <w:szCs w:val="22"/>
        </w:rPr>
        <w:t xml:space="preserve"> cuando ellas se han desviado de lo reglado por el pliego de condiciones, máxime cuando ello desconoce la principal finalidad de los referidos topes</w:t>
      </w:r>
      <w:r w:rsidR="003C34DC">
        <w:rPr>
          <w:rFonts w:ascii="Arial" w:eastAsia="Arial" w:hAnsi="Arial" w:cs="Arial"/>
          <w:sz w:val="22"/>
          <w:szCs w:val="22"/>
        </w:rPr>
        <w:t>,</w:t>
      </w:r>
      <w:r w:rsidR="00DC5717" w:rsidRPr="003A18A7">
        <w:rPr>
          <w:rFonts w:ascii="Arial" w:eastAsia="Arial" w:hAnsi="Arial" w:cs="Arial"/>
          <w:sz w:val="22"/>
          <w:szCs w:val="22"/>
        </w:rPr>
        <w:t xml:space="preserve"> la cual es mantener las ofertas dentro de unos l</w:t>
      </w:r>
      <w:r w:rsidR="003C34DC">
        <w:rPr>
          <w:rFonts w:ascii="Arial" w:eastAsia="Arial" w:hAnsi="Arial" w:cs="Arial"/>
          <w:sz w:val="22"/>
          <w:szCs w:val="22"/>
        </w:rPr>
        <w:t>í</w:t>
      </w:r>
      <w:r w:rsidR="00DC5717" w:rsidRPr="003A18A7">
        <w:rPr>
          <w:rFonts w:ascii="Arial" w:eastAsia="Arial" w:hAnsi="Arial" w:cs="Arial"/>
          <w:sz w:val="22"/>
          <w:szCs w:val="22"/>
        </w:rPr>
        <w:t>mites razonablemente establecidos por las entidades.</w:t>
      </w:r>
    </w:p>
    <w:p w14:paraId="513C25DA" w14:textId="0B5C0C9D" w:rsidR="00DC5717" w:rsidRPr="003A18A7" w:rsidRDefault="00DC5717" w:rsidP="00EF02E8">
      <w:pPr>
        <w:tabs>
          <w:tab w:val="left" w:pos="709"/>
          <w:tab w:val="left" w:pos="7938"/>
        </w:tabs>
        <w:spacing w:before="120" w:line="276" w:lineRule="auto"/>
        <w:jc w:val="both"/>
        <w:rPr>
          <w:rFonts w:ascii="Arial" w:eastAsia="Arial" w:hAnsi="Arial" w:cs="Arial"/>
          <w:sz w:val="22"/>
          <w:szCs w:val="22"/>
        </w:rPr>
      </w:pPr>
      <w:r w:rsidRPr="003A18A7">
        <w:rPr>
          <w:rFonts w:ascii="Arial" w:eastAsia="Arial" w:hAnsi="Arial" w:cs="Arial"/>
          <w:sz w:val="22"/>
          <w:szCs w:val="22"/>
        </w:rPr>
        <w:tab/>
        <w:t>Conforme a esto, la Agencia Nacional de Contratación Pública – Colombia Compra Eficiente estima que la tercera posibilidad es la que resulta más plausible, por lo que se considera que ante situaciones en las que un oferente realice un ofrecimiento de garantía suplementaría, cuadrillas de trabajo adicional o mantenimiento adicional rebasando los l</w:t>
      </w:r>
      <w:r w:rsidR="00DC06CE">
        <w:rPr>
          <w:rFonts w:ascii="Arial" w:eastAsia="Arial" w:hAnsi="Arial" w:cs="Arial"/>
          <w:sz w:val="22"/>
          <w:szCs w:val="22"/>
        </w:rPr>
        <w:t>í</w:t>
      </w:r>
      <w:r w:rsidRPr="003A18A7">
        <w:rPr>
          <w:rFonts w:ascii="Arial" w:eastAsia="Arial" w:hAnsi="Arial" w:cs="Arial"/>
          <w:sz w:val="22"/>
          <w:szCs w:val="22"/>
        </w:rPr>
        <w:t xml:space="preserve">mites fijados por la entidad conforme a las reglas introducidas por la Resolución No. 116 de 2020, esta debe abstenerse de otorgar el puntaje que se haya estipulado para el referido factor de calidad, en el entendido de que tal aspecto de la oferta se ha formulado desconociendo las reglas establecidas en el pliego de condiciones. </w:t>
      </w:r>
    </w:p>
    <w:p w14:paraId="0E3B4946" w14:textId="77777777" w:rsidR="00724ABE" w:rsidRPr="003A18A7" w:rsidRDefault="00724ABE" w:rsidP="005B4987">
      <w:pPr>
        <w:spacing w:line="276" w:lineRule="auto"/>
        <w:jc w:val="both"/>
        <w:rPr>
          <w:rFonts w:ascii="Arial" w:eastAsia="Arial" w:hAnsi="Arial" w:cs="Arial"/>
          <w:b/>
          <w:sz w:val="22"/>
          <w:szCs w:val="22"/>
        </w:rPr>
      </w:pPr>
    </w:p>
    <w:p w14:paraId="38ED0C5C" w14:textId="3A0C8AF2" w:rsidR="005B4987" w:rsidRPr="003A18A7" w:rsidRDefault="005B4987" w:rsidP="005B4987">
      <w:pPr>
        <w:spacing w:line="276" w:lineRule="auto"/>
        <w:jc w:val="both"/>
        <w:rPr>
          <w:rFonts w:ascii="Arial" w:eastAsia="Arial" w:hAnsi="Arial" w:cs="Arial"/>
          <w:b/>
          <w:sz w:val="22"/>
          <w:szCs w:val="22"/>
        </w:rPr>
      </w:pPr>
      <w:r w:rsidRPr="003A18A7">
        <w:rPr>
          <w:rFonts w:ascii="Arial" w:eastAsia="Arial" w:hAnsi="Arial" w:cs="Arial"/>
          <w:b/>
          <w:sz w:val="22"/>
          <w:szCs w:val="22"/>
        </w:rPr>
        <w:t>3. Respuestas</w:t>
      </w:r>
    </w:p>
    <w:p w14:paraId="78FFE70E" w14:textId="77777777" w:rsidR="005B4987" w:rsidRPr="003A18A7" w:rsidRDefault="005B4987" w:rsidP="005B4987">
      <w:pPr>
        <w:spacing w:line="276" w:lineRule="auto"/>
        <w:jc w:val="both"/>
        <w:rPr>
          <w:rFonts w:ascii="Arial" w:eastAsia="Arial" w:hAnsi="Arial" w:cs="Arial"/>
          <w:b/>
          <w:sz w:val="22"/>
          <w:szCs w:val="22"/>
        </w:rPr>
      </w:pPr>
    </w:p>
    <w:p w14:paraId="33C0F233" w14:textId="58009D36" w:rsidR="00395E66" w:rsidRPr="003A18A7" w:rsidRDefault="00DC5717" w:rsidP="00DC5717">
      <w:pPr>
        <w:ind w:left="709" w:right="709"/>
        <w:jc w:val="both"/>
        <w:rPr>
          <w:rFonts w:ascii="Arial" w:eastAsia="Arial" w:hAnsi="Arial" w:cs="Arial"/>
          <w:sz w:val="21"/>
          <w:szCs w:val="21"/>
        </w:rPr>
      </w:pPr>
      <w:r w:rsidRPr="003A18A7">
        <w:rPr>
          <w:rFonts w:ascii="Arial" w:eastAsia="Arial" w:hAnsi="Arial" w:cs="Arial"/>
          <w:sz w:val="21"/>
          <w:szCs w:val="21"/>
        </w:rPr>
        <w:t xml:space="preserve">«[…] </w:t>
      </w:r>
      <w:r w:rsidRPr="003A18A7">
        <w:rPr>
          <w:rFonts w:ascii="Arial" w:hAnsi="Arial" w:cs="Arial"/>
          <w:sz w:val="21"/>
          <w:szCs w:val="21"/>
        </w:rPr>
        <w:t xml:space="preserve"> Si un oferente ofrece más de lo estipulado en la resolución, por ejemplo, la entidad estima dos frentes de trabajo para el factor de cuadrillas adicionales, es decir, el máximo número de cuadrillas adicionales a ofrecer es de cuatro (4). </w:t>
      </w:r>
      <w:r w:rsidRPr="003A18A7">
        <w:rPr>
          <w:rFonts w:ascii="Arial" w:hAnsi="Arial" w:cs="Arial"/>
          <w:sz w:val="21"/>
          <w:szCs w:val="21"/>
        </w:rPr>
        <w:lastRenderedPageBreak/>
        <w:t xml:space="preserve">Qúe sucede si un proponente ofrece cinco (5) cuadrillas? </w:t>
      </w:r>
      <w:proofErr w:type="gramStart"/>
      <w:r w:rsidRPr="003A18A7">
        <w:rPr>
          <w:rFonts w:ascii="Arial" w:hAnsi="Arial" w:cs="Arial"/>
          <w:sz w:val="21"/>
          <w:szCs w:val="21"/>
        </w:rPr>
        <w:t>La Entidad puede decir que está ofertando inclusive más de lo requerido, por lo tanto, le deben asignar el máximo puntaje?</w:t>
      </w:r>
      <w:proofErr w:type="gramEnd"/>
      <w:r w:rsidRPr="003A18A7">
        <w:rPr>
          <w:rFonts w:ascii="Arial" w:hAnsi="Arial" w:cs="Arial"/>
          <w:sz w:val="21"/>
          <w:szCs w:val="21"/>
        </w:rPr>
        <w:t xml:space="preserve"> o por el contrario, no se le debe asignar puntaje por este factor? Elevo esta consulta para los tres factores de calidad mencionados [garantia adicional, cuadrillas de trabajo y mantenimiento </w:t>
      </w:r>
      <w:proofErr w:type="gramStart"/>
      <w:r w:rsidRPr="003A18A7">
        <w:rPr>
          <w:rFonts w:ascii="Arial" w:hAnsi="Arial" w:cs="Arial"/>
          <w:sz w:val="21"/>
          <w:szCs w:val="21"/>
        </w:rPr>
        <w:t>adicional ]</w:t>
      </w:r>
      <w:proofErr w:type="gramEnd"/>
      <w:r w:rsidRPr="003A18A7">
        <w:rPr>
          <w:rFonts w:ascii="Arial" w:hAnsi="Arial" w:cs="Arial"/>
          <w:sz w:val="21"/>
          <w:szCs w:val="21"/>
        </w:rPr>
        <w:t xml:space="preserve"> [….]</w:t>
      </w:r>
      <w:r w:rsidRPr="003A18A7">
        <w:rPr>
          <w:rFonts w:ascii="Arial" w:eastAsia="Arial" w:hAnsi="Arial" w:cs="Arial"/>
          <w:sz w:val="21"/>
          <w:szCs w:val="21"/>
        </w:rPr>
        <w:t>».</w:t>
      </w:r>
    </w:p>
    <w:p w14:paraId="2A9C0DA4" w14:textId="77777777" w:rsidR="00DC5717" w:rsidRPr="003A18A7" w:rsidRDefault="00DC5717" w:rsidP="00395E66">
      <w:pPr>
        <w:spacing w:line="276" w:lineRule="auto"/>
        <w:ind w:left="709" w:right="709"/>
        <w:jc w:val="both"/>
        <w:rPr>
          <w:rFonts w:ascii="Arial" w:eastAsia="Arial" w:hAnsi="Arial" w:cs="Arial"/>
          <w:sz w:val="21"/>
          <w:szCs w:val="21"/>
        </w:rPr>
      </w:pPr>
    </w:p>
    <w:p w14:paraId="4D6839AE" w14:textId="655C9755" w:rsidR="00DC5717" w:rsidRPr="003A18A7" w:rsidRDefault="00DC5717" w:rsidP="00724ABE">
      <w:pPr>
        <w:spacing w:line="276" w:lineRule="auto"/>
        <w:jc w:val="both"/>
        <w:rPr>
          <w:rFonts w:ascii="Arial" w:eastAsia="Arial" w:hAnsi="Arial" w:cs="Arial"/>
          <w:sz w:val="22"/>
          <w:szCs w:val="22"/>
        </w:rPr>
      </w:pPr>
      <w:r w:rsidRPr="003A18A7">
        <w:rPr>
          <w:rFonts w:ascii="Arial" w:eastAsia="Arial" w:hAnsi="Arial" w:cs="Arial"/>
          <w:sz w:val="22"/>
          <w:szCs w:val="22"/>
        </w:rPr>
        <w:t xml:space="preserve">Conforme a lo expuesto, en </w:t>
      </w:r>
      <w:r w:rsidR="00724ABE" w:rsidRPr="003A18A7">
        <w:rPr>
          <w:rFonts w:ascii="Arial" w:eastAsia="Arial" w:hAnsi="Arial" w:cs="Arial"/>
          <w:sz w:val="22"/>
          <w:szCs w:val="22"/>
        </w:rPr>
        <w:t>procesos de licitación de obra pública de infraestructura de transporte adelantados con documentos tipo –Versión 2–, así como en los de selección abreviada de menor cuantía, en los que se presenten ofertas de garantía suplementar</w:t>
      </w:r>
      <w:r w:rsidR="00DC06CE">
        <w:rPr>
          <w:rFonts w:ascii="Arial" w:eastAsia="Arial" w:hAnsi="Arial" w:cs="Arial"/>
          <w:sz w:val="22"/>
          <w:szCs w:val="22"/>
        </w:rPr>
        <w:t>i</w:t>
      </w:r>
      <w:r w:rsidR="00724ABE" w:rsidRPr="003A18A7">
        <w:rPr>
          <w:rFonts w:ascii="Arial" w:eastAsia="Arial" w:hAnsi="Arial" w:cs="Arial"/>
          <w:sz w:val="22"/>
          <w:szCs w:val="22"/>
        </w:rPr>
        <w:t xml:space="preserve">a, cuadrillas de trabajo adicional o mantenimiento rutinario adicional por encima de los topes fijados por la entidad conforme a las reglas introducidas la Resolución No. 116 de 2020, las entidades deberán abstenerse de otorgar los puntos contemplados para dichos factores de calidad, comoquiera que tales ofrecimientos se apartan de las reglas establecidas en el pliego de condiciones, razón por la que el puntaje que les corresponde es de 0. </w:t>
      </w:r>
    </w:p>
    <w:p w14:paraId="2BEC600C" w14:textId="77777777" w:rsidR="00724ABE" w:rsidRPr="003A18A7" w:rsidRDefault="00724ABE" w:rsidP="005B4987">
      <w:pPr>
        <w:spacing w:line="276" w:lineRule="auto"/>
        <w:jc w:val="both"/>
        <w:rPr>
          <w:rFonts w:ascii="Arial" w:eastAsia="Arial" w:hAnsi="Arial" w:cs="Arial"/>
          <w:sz w:val="22"/>
          <w:szCs w:val="22"/>
        </w:rPr>
      </w:pPr>
      <w:bookmarkStart w:id="2" w:name="_3znysh7" w:colFirst="0" w:colLast="0"/>
      <w:bookmarkEnd w:id="2"/>
    </w:p>
    <w:p w14:paraId="361B0ECA" w14:textId="67AE7C88" w:rsidR="005B4987" w:rsidRPr="003A18A7" w:rsidRDefault="005B4987" w:rsidP="005B4987">
      <w:pPr>
        <w:spacing w:line="276" w:lineRule="auto"/>
        <w:jc w:val="both"/>
        <w:rPr>
          <w:rFonts w:ascii="Arial" w:eastAsia="Arial" w:hAnsi="Arial" w:cs="Arial"/>
          <w:sz w:val="22"/>
          <w:szCs w:val="22"/>
        </w:rPr>
      </w:pPr>
      <w:r w:rsidRPr="003A18A7">
        <w:rPr>
          <w:rFonts w:ascii="Arial" w:eastAsia="Arial" w:hAnsi="Arial" w:cs="Arial"/>
          <w:sz w:val="22"/>
          <w:szCs w:val="22"/>
        </w:rPr>
        <w:t>Este concepto tiene el alcance previsto en el artículo 28 del Código de Procedimiento Administrativo y de lo Contencioso Administrativo.</w:t>
      </w:r>
    </w:p>
    <w:p w14:paraId="18019241" w14:textId="318DFCAE" w:rsidR="00653A7F" w:rsidRPr="003A18A7" w:rsidRDefault="00653A7F" w:rsidP="005B4987">
      <w:pPr>
        <w:spacing w:line="276" w:lineRule="auto"/>
        <w:rPr>
          <w:rFonts w:ascii="Arial" w:eastAsia="Arial" w:hAnsi="Arial" w:cs="Arial"/>
          <w:sz w:val="22"/>
          <w:szCs w:val="22"/>
        </w:rPr>
      </w:pPr>
    </w:p>
    <w:p w14:paraId="48A54244" w14:textId="77777777" w:rsidR="00724ABE" w:rsidRPr="003A18A7" w:rsidRDefault="00724ABE" w:rsidP="00724ABE">
      <w:pPr>
        <w:spacing w:line="276" w:lineRule="auto"/>
        <w:jc w:val="both"/>
        <w:rPr>
          <w:rFonts w:ascii="Arial" w:hAnsi="Arial" w:cs="Arial"/>
          <w:szCs w:val="20"/>
        </w:rPr>
      </w:pPr>
      <w:bookmarkStart w:id="3" w:name="_Hlk50370367"/>
      <w:r w:rsidRPr="003A18A7">
        <w:rPr>
          <w:rFonts w:ascii="Arial" w:eastAsia="Times New Roman" w:hAnsi="Arial" w:cs="Arial"/>
          <w:lang w:eastAsia="es-CO"/>
        </w:rPr>
        <w:t>Atentamente,</w:t>
      </w:r>
    </w:p>
    <w:bookmarkEnd w:id="3"/>
    <w:p w14:paraId="060ECD81" w14:textId="3D21D72F" w:rsidR="00724ABE" w:rsidRPr="003A18A7" w:rsidRDefault="006872BE" w:rsidP="006872BE">
      <w:pPr>
        <w:jc w:val="center"/>
        <w:rPr>
          <w:rFonts w:ascii="Arial" w:eastAsia="Times New Roman" w:hAnsi="Arial" w:cs="Arial"/>
          <w:lang w:eastAsia="es-CO"/>
        </w:rPr>
      </w:pPr>
      <w:r>
        <w:rPr>
          <w:noProof/>
          <w:lang w:eastAsia="es-CO"/>
        </w:rPr>
        <w:drawing>
          <wp:inline distT="0" distB="0" distL="0" distR="0" wp14:anchorId="79A88B0B" wp14:editId="51EB28CB">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71700" cy="923925"/>
                    </a:xfrm>
                    <a:prstGeom prst="rect">
                      <a:avLst/>
                    </a:prstGeom>
                  </pic:spPr>
                </pic:pic>
              </a:graphicData>
            </a:graphic>
          </wp:inline>
        </w:drawing>
      </w:r>
    </w:p>
    <w:p w14:paraId="583B1FE8" w14:textId="77777777" w:rsidR="00724ABE" w:rsidRPr="003A18A7" w:rsidRDefault="00724ABE" w:rsidP="00724ABE">
      <w:pPr>
        <w:spacing w:after="18"/>
        <w:jc w:val="center"/>
        <w:rPr>
          <w:rFonts w:ascii="Arial" w:eastAsia="Times New Roman" w:hAnsi="Arial" w:cs="Arial"/>
          <w:lang w:eastAsia="es-CO"/>
        </w:rPr>
      </w:pPr>
    </w:p>
    <w:tbl>
      <w:tblPr>
        <w:tblStyle w:val="Tablaconcuadrcula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3A18A7" w:rsidRPr="003A18A7" w14:paraId="19D13415" w14:textId="77777777" w:rsidTr="00B45CB8">
        <w:trPr>
          <w:trHeight w:val="286"/>
        </w:trPr>
        <w:tc>
          <w:tcPr>
            <w:tcW w:w="817" w:type="dxa"/>
            <w:vAlign w:val="center"/>
            <w:hideMark/>
          </w:tcPr>
          <w:p w14:paraId="6F43EDA2" w14:textId="7777777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Elaboró:</w:t>
            </w:r>
          </w:p>
        </w:tc>
        <w:tc>
          <w:tcPr>
            <w:tcW w:w="4003" w:type="dxa"/>
            <w:tcBorders>
              <w:top w:val="nil"/>
              <w:left w:val="nil"/>
              <w:bottom w:val="dotted" w:sz="4" w:space="0" w:color="7F7F7F"/>
              <w:right w:val="nil"/>
            </w:tcBorders>
            <w:vAlign w:val="center"/>
            <w:hideMark/>
          </w:tcPr>
          <w:p w14:paraId="1C0049CD" w14:textId="7777777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Alejandro Sarmiento Cantillo</w:t>
            </w:r>
          </w:p>
          <w:p w14:paraId="521C1151" w14:textId="5F0A606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Contratista</w:t>
            </w:r>
            <w:r w:rsidR="00CD0D12">
              <w:rPr>
                <w:rFonts w:ascii="Arial" w:eastAsia="Times New Roman" w:hAnsi="Arial" w:cs="Arial"/>
                <w:sz w:val="14"/>
                <w:szCs w:val="14"/>
                <w:lang w:val="es-MX" w:eastAsia="es-ES"/>
              </w:rPr>
              <w:t xml:space="preserve"> –</w:t>
            </w:r>
            <w:r w:rsidRPr="003A18A7">
              <w:rPr>
                <w:rFonts w:ascii="Arial" w:eastAsia="Times New Roman" w:hAnsi="Arial" w:cs="Arial"/>
                <w:sz w:val="14"/>
                <w:szCs w:val="14"/>
                <w:lang w:val="es-MX" w:eastAsia="es-ES"/>
              </w:rPr>
              <w:t xml:space="preserve"> Subdirección de Gestión Contractual</w:t>
            </w:r>
          </w:p>
        </w:tc>
      </w:tr>
      <w:tr w:rsidR="003A18A7" w:rsidRPr="003A18A7" w14:paraId="0AE7618E" w14:textId="77777777" w:rsidTr="00B45CB8">
        <w:trPr>
          <w:trHeight w:val="299"/>
        </w:trPr>
        <w:tc>
          <w:tcPr>
            <w:tcW w:w="817" w:type="dxa"/>
            <w:vAlign w:val="center"/>
            <w:hideMark/>
          </w:tcPr>
          <w:p w14:paraId="09C7D370" w14:textId="7777777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Revisó:</w:t>
            </w:r>
          </w:p>
        </w:tc>
        <w:tc>
          <w:tcPr>
            <w:tcW w:w="4003" w:type="dxa"/>
            <w:tcBorders>
              <w:top w:val="dotted" w:sz="4" w:space="0" w:color="7F7F7F"/>
              <w:left w:val="nil"/>
              <w:bottom w:val="dotted" w:sz="4" w:space="0" w:color="7F7F7F"/>
              <w:right w:val="nil"/>
            </w:tcBorders>
            <w:vAlign w:val="center"/>
            <w:hideMark/>
          </w:tcPr>
          <w:p w14:paraId="52071FF1" w14:textId="2C268FD7" w:rsidR="00724ABE" w:rsidRPr="003A18A7" w:rsidRDefault="004B084C" w:rsidP="00B45CB8">
            <w:pPr>
              <w:rPr>
                <w:rFonts w:ascii="Arial" w:eastAsia="Times New Roman" w:hAnsi="Arial" w:cs="Arial"/>
                <w:sz w:val="14"/>
                <w:szCs w:val="14"/>
                <w:lang w:val="es-MX" w:eastAsia="es-ES"/>
              </w:rPr>
            </w:pPr>
            <w:r w:rsidRPr="004B084C">
              <w:rPr>
                <w:rFonts w:ascii="Arial" w:eastAsia="Times New Roman" w:hAnsi="Arial" w:cs="Arial"/>
                <w:sz w:val="14"/>
                <w:szCs w:val="14"/>
                <w:lang w:val="es-MX" w:eastAsia="es-ES"/>
              </w:rPr>
              <w:t>Cristian Andr</w:t>
            </w:r>
            <w:r w:rsidRPr="00CD0D12">
              <w:rPr>
                <w:rFonts w:ascii="Arial" w:eastAsia="Times New Roman" w:hAnsi="Arial" w:cs="Arial"/>
                <w:sz w:val="14"/>
                <w:szCs w:val="14"/>
                <w:lang w:eastAsia="es-ES"/>
              </w:rPr>
              <w:t>é</w:t>
            </w:r>
            <w:r w:rsidRPr="004B084C">
              <w:rPr>
                <w:rFonts w:ascii="Arial" w:eastAsia="Times New Roman" w:hAnsi="Arial" w:cs="Arial"/>
                <w:sz w:val="14"/>
                <w:szCs w:val="14"/>
                <w:lang w:val="es-MX" w:eastAsia="es-ES"/>
              </w:rPr>
              <w:t>s D</w:t>
            </w:r>
            <w:r w:rsidRPr="00F833E1">
              <w:rPr>
                <w:rFonts w:ascii="Arial" w:eastAsia="Times New Roman" w:hAnsi="Arial" w:cs="Arial"/>
                <w:sz w:val="14"/>
                <w:szCs w:val="14"/>
                <w:lang w:val="es-MX" w:eastAsia="es-ES"/>
              </w:rPr>
              <w:t>íaz D</w:t>
            </w:r>
            <w:r w:rsidRPr="0087290C">
              <w:rPr>
                <w:rFonts w:ascii="Arial" w:eastAsia="Times New Roman" w:hAnsi="Arial" w:cs="Arial"/>
                <w:sz w:val="14"/>
                <w:szCs w:val="14"/>
                <w:lang w:val="es-MX" w:eastAsia="es-ES"/>
              </w:rPr>
              <w:t>íez</w:t>
            </w:r>
          </w:p>
          <w:p w14:paraId="7661397D" w14:textId="7777777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Contratista – Subdirección de Gestión Contractual</w:t>
            </w:r>
          </w:p>
        </w:tc>
      </w:tr>
      <w:tr w:rsidR="003A18A7" w:rsidRPr="003A18A7" w14:paraId="1205F11D" w14:textId="77777777" w:rsidTr="00B45CB8">
        <w:trPr>
          <w:trHeight w:val="272"/>
        </w:trPr>
        <w:tc>
          <w:tcPr>
            <w:tcW w:w="817" w:type="dxa"/>
            <w:vAlign w:val="center"/>
            <w:hideMark/>
          </w:tcPr>
          <w:p w14:paraId="699642D9" w14:textId="7777777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Aprobó:</w:t>
            </w:r>
          </w:p>
        </w:tc>
        <w:tc>
          <w:tcPr>
            <w:tcW w:w="4003" w:type="dxa"/>
            <w:tcBorders>
              <w:top w:val="dotted" w:sz="4" w:space="0" w:color="7F7F7F"/>
              <w:left w:val="nil"/>
              <w:bottom w:val="dotted" w:sz="4" w:space="0" w:color="7F7F7F"/>
              <w:right w:val="nil"/>
            </w:tcBorders>
            <w:vAlign w:val="center"/>
            <w:hideMark/>
          </w:tcPr>
          <w:p w14:paraId="448F7CDD" w14:textId="7777777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Andrés Ricardo Macipe González</w:t>
            </w:r>
          </w:p>
          <w:p w14:paraId="4FB5F1B1" w14:textId="77777777" w:rsidR="00724ABE" w:rsidRPr="003A18A7" w:rsidRDefault="00724ABE" w:rsidP="00B45CB8">
            <w:pPr>
              <w:rPr>
                <w:rFonts w:ascii="Arial" w:eastAsia="Times New Roman" w:hAnsi="Arial" w:cs="Arial"/>
                <w:sz w:val="14"/>
                <w:szCs w:val="14"/>
                <w:lang w:val="es-MX" w:eastAsia="es-ES"/>
              </w:rPr>
            </w:pPr>
            <w:r w:rsidRPr="003A18A7">
              <w:rPr>
                <w:rFonts w:ascii="Arial" w:eastAsia="Times New Roman" w:hAnsi="Arial" w:cs="Arial"/>
                <w:sz w:val="14"/>
                <w:szCs w:val="14"/>
                <w:lang w:val="es-MX" w:eastAsia="es-ES"/>
              </w:rPr>
              <w:t>Subdirector de Gestión Contractual (E)</w:t>
            </w:r>
          </w:p>
        </w:tc>
      </w:tr>
    </w:tbl>
    <w:p w14:paraId="08FFA8E6" w14:textId="77777777" w:rsidR="00724ABE" w:rsidRPr="003A18A7" w:rsidRDefault="00724ABE" w:rsidP="00724ABE">
      <w:pPr>
        <w:rPr>
          <w:rFonts w:ascii="Arial" w:eastAsia="Times New Roman" w:hAnsi="Arial" w:cs="Arial"/>
          <w:lang w:eastAsia="es-ES"/>
        </w:rPr>
      </w:pPr>
    </w:p>
    <w:p w14:paraId="52FF3E58" w14:textId="77777777" w:rsidR="00724ABE" w:rsidRPr="003A18A7" w:rsidRDefault="00724ABE" w:rsidP="00724ABE">
      <w:pPr>
        <w:rPr>
          <w:rFonts w:ascii="Arial" w:eastAsia="Times New Roman" w:hAnsi="Arial" w:cs="Arial"/>
          <w:lang w:eastAsia="es-ES"/>
        </w:rPr>
      </w:pPr>
    </w:p>
    <w:p w14:paraId="2507980D" w14:textId="77777777" w:rsidR="00724ABE" w:rsidRPr="003A18A7" w:rsidRDefault="00724ABE" w:rsidP="00724ABE">
      <w:pPr>
        <w:rPr>
          <w:rFonts w:ascii="Arial" w:eastAsia="Times New Roman" w:hAnsi="Arial" w:cs="Arial"/>
          <w:lang w:eastAsia="es-ES"/>
        </w:rPr>
      </w:pPr>
    </w:p>
    <w:p w14:paraId="2F60FBA6" w14:textId="77777777" w:rsidR="00724ABE" w:rsidRPr="003A18A7" w:rsidRDefault="00724ABE" w:rsidP="00724ABE">
      <w:pPr>
        <w:rPr>
          <w:rFonts w:ascii="Arial" w:eastAsia="Times New Roman" w:hAnsi="Arial" w:cs="Arial"/>
          <w:lang w:eastAsia="es-ES"/>
        </w:rPr>
      </w:pPr>
    </w:p>
    <w:p w14:paraId="36A2C960" w14:textId="77777777" w:rsidR="00724ABE" w:rsidRPr="003A18A7" w:rsidRDefault="00724ABE" w:rsidP="00724ABE">
      <w:pPr>
        <w:rPr>
          <w:rFonts w:ascii="Arial" w:eastAsia="Times New Roman" w:hAnsi="Arial" w:cs="Arial"/>
          <w:lang w:eastAsia="es-ES"/>
        </w:rPr>
      </w:pPr>
    </w:p>
    <w:p w14:paraId="1717135D" w14:textId="77777777" w:rsidR="005C021E" w:rsidRPr="003A18A7" w:rsidRDefault="005C021E"/>
    <w:sectPr w:rsidR="005C021E" w:rsidRPr="003A18A7">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67F2CD" w14:textId="77777777" w:rsidR="00D17CFB" w:rsidRDefault="00D17CFB">
      <w:r>
        <w:separator/>
      </w:r>
    </w:p>
  </w:endnote>
  <w:endnote w:type="continuationSeparator" w:id="0">
    <w:p w14:paraId="2635BFE9" w14:textId="77777777" w:rsidR="00D17CFB" w:rsidRDefault="00D1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9268578"/>
      <w:docPartObj>
        <w:docPartGallery w:val="Page Numbers (Bottom of Page)"/>
        <w:docPartUnique/>
      </w:docPartObj>
    </w:sdtPr>
    <w:sdtEndPr/>
    <w:sdtContent>
      <w:sdt>
        <w:sdtPr>
          <w:id w:val="-1769616900"/>
          <w:docPartObj>
            <w:docPartGallery w:val="Page Numbers (Top of Page)"/>
            <w:docPartUnique/>
          </w:docPartObj>
        </w:sdtPr>
        <w:sdtEndPr/>
        <w:sdtContent>
          <w:p w14:paraId="13984BCB" w14:textId="2A7BDDA7" w:rsidR="006940A5" w:rsidRDefault="006940A5">
            <w:pPr>
              <w:pStyle w:val="Piedepgina"/>
              <w:jc w:val="right"/>
            </w:pPr>
            <w:r w:rsidRPr="0074709A">
              <w:rPr>
                <w:rFonts w:ascii="Arial" w:hAnsi="Arial" w:cs="Arial"/>
                <w:sz w:val="16"/>
                <w:szCs w:val="16"/>
                <w:lang w:val="es-ES"/>
              </w:rPr>
              <w:t xml:space="preserve">Página </w:t>
            </w:r>
            <w:r w:rsidRPr="0074709A">
              <w:rPr>
                <w:rFonts w:ascii="Arial" w:hAnsi="Arial" w:cs="Arial"/>
                <w:b/>
                <w:bCs/>
                <w:sz w:val="16"/>
                <w:szCs w:val="16"/>
              </w:rPr>
              <w:fldChar w:fldCharType="begin"/>
            </w:r>
            <w:r w:rsidRPr="0074709A">
              <w:rPr>
                <w:rFonts w:ascii="Arial" w:hAnsi="Arial" w:cs="Arial"/>
                <w:b/>
                <w:bCs/>
                <w:sz w:val="16"/>
                <w:szCs w:val="16"/>
              </w:rPr>
              <w:instrText>PAGE</w:instrText>
            </w:r>
            <w:r w:rsidRPr="0074709A">
              <w:rPr>
                <w:rFonts w:ascii="Arial" w:hAnsi="Arial" w:cs="Arial"/>
                <w:b/>
                <w:bCs/>
                <w:sz w:val="16"/>
                <w:szCs w:val="16"/>
              </w:rPr>
              <w:fldChar w:fldCharType="separate"/>
            </w:r>
            <w:r w:rsidRPr="0074709A">
              <w:rPr>
                <w:rFonts w:ascii="Arial" w:hAnsi="Arial" w:cs="Arial"/>
                <w:b/>
                <w:bCs/>
                <w:sz w:val="16"/>
                <w:szCs w:val="16"/>
                <w:lang w:val="es-ES"/>
              </w:rPr>
              <w:t>2</w:t>
            </w:r>
            <w:r w:rsidRPr="0074709A">
              <w:rPr>
                <w:rFonts w:ascii="Arial" w:hAnsi="Arial" w:cs="Arial"/>
                <w:b/>
                <w:bCs/>
                <w:sz w:val="16"/>
                <w:szCs w:val="16"/>
              </w:rPr>
              <w:fldChar w:fldCharType="end"/>
            </w:r>
            <w:r w:rsidRPr="0074709A">
              <w:rPr>
                <w:rFonts w:ascii="Arial" w:hAnsi="Arial" w:cs="Arial"/>
                <w:sz w:val="16"/>
                <w:szCs w:val="16"/>
                <w:lang w:val="es-ES"/>
              </w:rPr>
              <w:t xml:space="preserve"> de </w:t>
            </w:r>
            <w:r w:rsidRPr="0074709A">
              <w:rPr>
                <w:rFonts w:ascii="Arial" w:hAnsi="Arial" w:cs="Arial"/>
                <w:b/>
                <w:bCs/>
                <w:sz w:val="16"/>
                <w:szCs w:val="16"/>
              </w:rPr>
              <w:fldChar w:fldCharType="begin"/>
            </w:r>
            <w:r w:rsidRPr="0074709A">
              <w:rPr>
                <w:rFonts w:ascii="Arial" w:hAnsi="Arial" w:cs="Arial"/>
                <w:b/>
                <w:bCs/>
                <w:sz w:val="16"/>
                <w:szCs w:val="16"/>
              </w:rPr>
              <w:instrText>NUMPAGES</w:instrText>
            </w:r>
            <w:r w:rsidRPr="0074709A">
              <w:rPr>
                <w:rFonts w:ascii="Arial" w:hAnsi="Arial" w:cs="Arial"/>
                <w:b/>
                <w:bCs/>
                <w:sz w:val="16"/>
                <w:szCs w:val="16"/>
              </w:rPr>
              <w:fldChar w:fldCharType="separate"/>
            </w:r>
            <w:r w:rsidRPr="0074709A">
              <w:rPr>
                <w:rFonts w:ascii="Arial" w:hAnsi="Arial" w:cs="Arial"/>
                <w:b/>
                <w:bCs/>
                <w:sz w:val="16"/>
                <w:szCs w:val="16"/>
                <w:lang w:val="es-ES"/>
              </w:rPr>
              <w:t>2</w:t>
            </w:r>
            <w:r w:rsidRPr="0074709A">
              <w:rPr>
                <w:rFonts w:ascii="Arial" w:hAnsi="Arial" w:cs="Arial"/>
                <w:b/>
                <w:bCs/>
                <w:sz w:val="16"/>
                <w:szCs w:val="16"/>
              </w:rPr>
              <w:fldChar w:fldCharType="end"/>
            </w:r>
          </w:p>
        </w:sdtContent>
      </w:sdt>
    </w:sdtContent>
  </w:sdt>
  <w:p w14:paraId="53E503E4" w14:textId="29C8B36E" w:rsidR="006940A5" w:rsidRDefault="006940A5" w:rsidP="00F63EA1">
    <w:pPr>
      <w:pBdr>
        <w:top w:val="nil"/>
        <w:left w:val="nil"/>
        <w:bottom w:val="nil"/>
        <w:right w:val="nil"/>
        <w:between w:val="nil"/>
      </w:pBdr>
      <w:tabs>
        <w:tab w:val="center" w:pos="4419"/>
        <w:tab w:val="right" w:pos="88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3AECD" w14:textId="77777777" w:rsidR="00D17CFB" w:rsidRDefault="00D17CFB">
      <w:r>
        <w:separator/>
      </w:r>
    </w:p>
  </w:footnote>
  <w:footnote w:type="continuationSeparator" w:id="0">
    <w:p w14:paraId="30DD3FAD" w14:textId="77777777" w:rsidR="00D17CFB" w:rsidRDefault="00D17CFB">
      <w:r>
        <w:continuationSeparator/>
      </w:r>
    </w:p>
  </w:footnote>
  <w:footnote w:id="1">
    <w:p w14:paraId="0A0F552F" w14:textId="77777777" w:rsidR="006940A5" w:rsidRPr="00A83BDC" w:rsidRDefault="006940A5" w:rsidP="00EF02E8">
      <w:pPr>
        <w:pStyle w:val="Textonotapie"/>
        <w:ind w:firstLine="708"/>
        <w:jc w:val="both"/>
        <w:rPr>
          <w:rFonts w:ascii="Arial" w:hAnsi="Arial" w:cs="Arial"/>
          <w:sz w:val="19"/>
          <w:szCs w:val="19"/>
        </w:rPr>
      </w:pPr>
      <w:r w:rsidRPr="00A83BDC">
        <w:rPr>
          <w:rStyle w:val="Refdenotaalpie"/>
          <w:rFonts w:ascii="Arial" w:hAnsi="Arial" w:cs="Arial"/>
          <w:sz w:val="19"/>
          <w:szCs w:val="19"/>
        </w:rPr>
        <w:footnoteRef/>
      </w:r>
      <w:r w:rsidRPr="00A83BDC">
        <w:rPr>
          <w:rFonts w:ascii="Arial" w:hAnsi="Arial" w:cs="Arial"/>
          <w:sz w:val="19"/>
          <w:szCs w:val="19"/>
        </w:rPr>
        <w:t>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0943919E" w14:textId="77777777" w:rsidR="006940A5" w:rsidRPr="00A83BDC" w:rsidRDefault="006940A5" w:rsidP="00EF02E8">
      <w:pPr>
        <w:pStyle w:val="Textonotapie"/>
        <w:ind w:firstLine="708"/>
        <w:rPr>
          <w:rFonts w:ascii="Arial" w:hAnsi="Arial" w:cs="Arial"/>
          <w:sz w:val="19"/>
          <w:szCs w:val="19"/>
          <w:lang w:val="es-CO"/>
        </w:rPr>
      </w:pPr>
    </w:p>
  </w:footnote>
  <w:footnote w:id="2">
    <w:p w14:paraId="00360DF4" w14:textId="77777777" w:rsidR="006940A5" w:rsidRPr="00A83BDC" w:rsidRDefault="006940A5" w:rsidP="00EF02E8">
      <w:pPr>
        <w:pStyle w:val="Textonotapie"/>
        <w:ind w:firstLine="708"/>
        <w:jc w:val="both"/>
        <w:rPr>
          <w:rFonts w:ascii="Arial" w:hAnsi="Arial" w:cs="Arial"/>
          <w:sz w:val="19"/>
          <w:szCs w:val="19"/>
          <w:shd w:val="clear" w:color="auto" w:fill="FFFFFF"/>
        </w:rPr>
      </w:pPr>
      <w:r w:rsidRPr="00A83BDC">
        <w:rPr>
          <w:rStyle w:val="Refdenotaalpie"/>
          <w:rFonts w:ascii="Arial" w:hAnsi="Arial" w:cs="Arial"/>
          <w:sz w:val="19"/>
          <w:szCs w:val="19"/>
        </w:rPr>
        <w:footnoteRef/>
      </w:r>
      <w:r w:rsidRPr="00A83BDC">
        <w:rPr>
          <w:rFonts w:ascii="Arial" w:hAnsi="Arial" w:cs="Arial"/>
          <w:sz w:val="19"/>
          <w:szCs w:val="19"/>
        </w:rPr>
        <w:t xml:space="preserve"> Decreto 1082 de 2015: «Artículo 2.2.1.2.3.1.7. Garantía de cumplimiento</w:t>
      </w:r>
      <w:r w:rsidRPr="00A83BDC">
        <w:rPr>
          <w:rStyle w:val="nfasis"/>
          <w:rFonts w:ascii="Arial" w:hAnsi="Arial" w:cs="Arial"/>
          <w:sz w:val="19"/>
          <w:szCs w:val="19"/>
          <w:shd w:val="clear" w:color="auto" w:fill="FFFFFF"/>
        </w:rPr>
        <w:t xml:space="preserve">. </w:t>
      </w:r>
      <w:r w:rsidRPr="00A83BDC">
        <w:rPr>
          <w:rFonts w:ascii="Arial" w:hAnsi="Arial" w:cs="Arial"/>
          <w:sz w:val="19"/>
          <w:szCs w:val="19"/>
          <w:shd w:val="clear" w:color="auto" w:fill="FFFFFF"/>
        </w:rPr>
        <w:t>La garantía de cumplimiento del contrato debe cubrir:</w:t>
      </w:r>
    </w:p>
    <w:p w14:paraId="34C1FBEB" w14:textId="77777777" w:rsidR="006940A5" w:rsidRPr="00A83BDC" w:rsidRDefault="006940A5" w:rsidP="00EF02E8">
      <w:pPr>
        <w:pStyle w:val="Textonotapie"/>
        <w:ind w:firstLine="708"/>
        <w:jc w:val="both"/>
        <w:rPr>
          <w:rFonts w:ascii="Arial" w:hAnsi="Arial" w:cs="Arial"/>
          <w:color w:val="333333"/>
          <w:sz w:val="19"/>
          <w:szCs w:val="19"/>
          <w:shd w:val="clear" w:color="auto" w:fill="FFFFFF"/>
        </w:rPr>
      </w:pPr>
      <w:r w:rsidRPr="00A83BDC">
        <w:rPr>
          <w:rFonts w:ascii="Arial" w:hAnsi="Arial" w:cs="Arial"/>
          <w:color w:val="333333"/>
          <w:sz w:val="19"/>
          <w:szCs w:val="19"/>
          <w:shd w:val="clear" w:color="auto" w:fill="FFFFFF"/>
        </w:rPr>
        <w:t>[…]</w:t>
      </w:r>
    </w:p>
    <w:p w14:paraId="10EA3BA5" w14:textId="77777777" w:rsidR="006940A5" w:rsidRPr="00A83BDC" w:rsidRDefault="006940A5" w:rsidP="00EF02E8">
      <w:pPr>
        <w:pStyle w:val="Textonotapie"/>
        <w:ind w:firstLine="708"/>
        <w:jc w:val="both"/>
        <w:rPr>
          <w:rFonts w:ascii="Arial" w:hAnsi="Arial" w:cs="Arial"/>
          <w:sz w:val="19"/>
          <w:szCs w:val="19"/>
          <w:lang w:val="es-CO"/>
        </w:rPr>
      </w:pPr>
      <w:proofErr w:type="gramStart"/>
      <w:r w:rsidRPr="00A83BDC">
        <w:rPr>
          <w:rFonts w:ascii="Arial" w:hAnsi="Arial" w:cs="Arial"/>
          <w:color w:val="333333"/>
          <w:sz w:val="19"/>
          <w:szCs w:val="19"/>
          <w:shd w:val="clear" w:color="auto" w:fill="FFFFFF"/>
        </w:rPr>
        <w:t>»</w:t>
      </w:r>
      <w:r w:rsidRPr="00A83BDC">
        <w:rPr>
          <w:rFonts w:ascii="Arial" w:hAnsi="Arial" w:cs="Arial"/>
          <w:sz w:val="19"/>
          <w:szCs w:val="19"/>
          <w:shd w:val="clear" w:color="auto" w:fill="FFFFFF"/>
        </w:rPr>
        <w:t>Estabilidad</w:t>
      </w:r>
      <w:proofErr w:type="gramEnd"/>
      <w:r w:rsidRPr="00A83BDC">
        <w:rPr>
          <w:rFonts w:ascii="Arial" w:hAnsi="Arial" w:cs="Arial"/>
          <w:sz w:val="19"/>
          <w:szCs w:val="19"/>
          <w:shd w:val="clear" w:color="auto" w:fill="FFFFFF"/>
        </w:rPr>
        <w:t xml:space="preserve"> y calidad de la obra. Este amparo cubre a la Entidad Estatal de los perjuicios ocasionados por cualquier tipo de daño o deterioro, imputable al contratista, sufrido por la obra entregada a satisfacción».</w:t>
      </w:r>
    </w:p>
  </w:footnote>
  <w:footnote w:id="3">
    <w:p w14:paraId="04FEDF91" w14:textId="77777777" w:rsidR="006940A5" w:rsidRPr="00A83BDC" w:rsidRDefault="006940A5" w:rsidP="00EF02E8">
      <w:pPr>
        <w:pStyle w:val="Textonotapie"/>
        <w:rPr>
          <w:rFonts w:ascii="Arial" w:hAnsi="Arial" w:cs="Arial"/>
          <w:sz w:val="19"/>
          <w:szCs w:val="19"/>
        </w:rPr>
      </w:pPr>
    </w:p>
    <w:p w14:paraId="40D3811D" w14:textId="77777777" w:rsidR="006940A5" w:rsidRPr="00A83BDC" w:rsidRDefault="006940A5" w:rsidP="00EF02E8">
      <w:pPr>
        <w:pStyle w:val="Textonotapie"/>
        <w:ind w:firstLine="708"/>
        <w:jc w:val="both"/>
        <w:rPr>
          <w:rFonts w:ascii="Arial" w:hAnsi="Arial" w:cs="Arial"/>
          <w:sz w:val="19"/>
          <w:szCs w:val="19"/>
          <w:shd w:val="clear" w:color="auto" w:fill="FFFFFF"/>
        </w:rPr>
      </w:pPr>
      <w:r w:rsidRPr="00A83BDC">
        <w:rPr>
          <w:rStyle w:val="Refdenotaalpie"/>
          <w:rFonts w:ascii="Arial" w:hAnsi="Arial" w:cs="Arial"/>
          <w:sz w:val="19"/>
          <w:szCs w:val="19"/>
        </w:rPr>
        <w:footnoteRef/>
      </w:r>
      <w:r w:rsidRPr="00A83BDC">
        <w:rPr>
          <w:rFonts w:ascii="Arial" w:hAnsi="Arial" w:cs="Arial"/>
          <w:sz w:val="19"/>
          <w:szCs w:val="19"/>
        </w:rPr>
        <w:t xml:space="preserve"> </w:t>
      </w:r>
      <w:r w:rsidRPr="00A83BDC">
        <w:rPr>
          <w:rFonts w:ascii="Arial" w:hAnsi="Arial" w:cs="Arial"/>
          <w:sz w:val="19"/>
          <w:szCs w:val="19"/>
          <w:shd w:val="clear" w:color="auto" w:fill="FFFFFF"/>
        </w:rPr>
        <w:t>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0D0CFB4C" w14:textId="77777777" w:rsidR="006940A5" w:rsidRPr="00A83BDC" w:rsidRDefault="006940A5" w:rsidP="00EF02E8">
      <w:pPr>
        <w:pStyle w:val="Textonotapie"/>
        <w:ind w:firstLine="708"/>
        <w:jc w:val="both"/>
        <w:rPr>
          <w:rFonts w:ascii="Arial" w:hAnsi="Arial" w:cs="Arial"/>
          <w:sz w:val="19"/>
          <w:szCs w:val="19"/>
          <w:shd w:val="clear" w:color="auto" w:fill="FFFFFF"/>
        </w:rPr>
      </w:pPr>
      <w:r w:rsidRPr="00A83BDC">
        <w:rPr>
          <w:rFonts w:ascii="Arial" w:hAnsi="Arial" w:cs="Arial"/>
          <w:sz w:val="19"/>
          <w:szCs w:val="19"/>
          <w:shd w:val="clear" w:color="auto" w:fill="FFFFFF"/>
        </w:rPr>
        <w:t>«La Entidad Estatal puede aceptar que esta garantía tenga una vigencia inferior a cinco (5) años previa justificación técnica de un experto en la materia objeto del contrato».</w:t>
      </w:r>
    </w:p>
    <w:p w14:paraId="46114A35" w14:textId="77777777" w:rsidR="006940A5" w:rsidRPr="00A83BDC" w:rsidRDefault="006940A5" w:rsidP="00EF02E8">
      <w:pPr>
        <w:pStyle w:val="Textonotapie"/>
        <w:ind w:firstLine="708"/>
        <w:jc w:val="both"/>
        <w:rPr>
          <w:rFonts w:ascii="Arial" w:hAnsi="Arial" w:cs="Arial"/>
          <w:color w:val="333333"/>
          <w:sz w:val="19"/>
          <w:szCs w:val="19"/>
          <w:shd w:val="clear" w:color="auto" w:fill="FFFFFF"/>
        </w:rPr>
      </w:pPr>
    </w:p>
  </w:footnote>
  <w:footnote w:id="4">
    <w:p w14:paraId="44FFA72E" w14:textId="77777777" w:rsidR="006940A5" w:rsidRPr="00A83BDC" w:rsidRDefault="006940A5" w:rsidP="00EF02E8">
      <w:pPr>
        <w:pStyle w:val="Textonotapie"/>
        <w:ind w:firstLine="708"/>
        <w:jc w:val="both"/>
        <w:rPr>
          <w:rFonts w:ascii="Arial" w:hAnsi="Arial" w:cs="Arial"/>
          <w:sz w:val="19"/>
          <w:szCs w:val="19"/>
        </w:rPr>
      </w:pPr>
    </w:p>
    <w:p w14:paraId="1EBD655B" w14:textId="77777777" w:rsidR="006940A5" w:rsidRPr="00A83BDC" w:rsidRDefault="006940A5" w:rsidP="00EF02E8">
      <w:pPr>
        <w:pStyle w:val="Textonotapie"/>
        <w:ind w:firstLine="708"/>
        <w:jc w:val="both"/>
        <w:rPr>
          <w:rFonts w:ascii="Arial" w:hAnsi="Arial" w:cs="Arial"/>
          <w:sz w:val="19"/>
          <w:szCs w:val="19"/>
          <w:lang w:val="es-ES"/>
        </w:rPr>
      </w:pPr>
      <w:r w:rsidRPr="00A83BDC">
        <w:rPr>
          <w:rStyle w:val="Refdenotaalpie"/>
          <w:rFonts w:ascii="Arial" w:hAnsi="Arial" w:cs="Arial"/>
          <w:sz w:val="19"/>
          <w:szCs w:val="19"/>
        </w:rPr>
        <w:footnoteRef/>
      </w:r>
      <w:r w:rsidRPr="00A83BDC">
        <w:rPr>
          <w:rFonts w:ascii="Arial" w:hAnsi="Arial" w:cs="Arial"/>
          <w:sz w:val="19"/>
          <w:szCs w:val="19"/>
        </w:rPr>
        <w:t xml:space="preserve"> Ibid.</w:t>
      </w:r>
    </w:p>
  </w:footnote>
  <w:footnote w:id="5">
    <w:p w14:paraId="62E61F23" w14:textId="06CC65DD" w:rsidR="006940A5" w:rsidRPr="00A83BDC" w:rsidRDefault="006940A5" w:rsidP="00EF02E8">
      <w:pPr>
        <w:pStyle w:val="Textonotapie"/>
        <w:ind w:firstLine="708"/>
        <w:jc w:val="both"/>
        <w:rPr>
          <w:rFonts w:ascii="Arial" w:hAnsi="Arial" w:cs="Arial"/>
          <w:sz w:val="19"/>
          <w:szCs w:val="19"/>
          <w:lang w:val="es-ES"/>
        </w:rPr>
      </w:pPr>
      <w:r w:rsidRPr="00A83BDC">
        <w:rPr>
          <w:rStyle w:val="Refdenotaalpie"/>
          <w:rFonts w:ascii="Arial" w:hAnsi="Arial" w:cs="Arial"/>
          <w:sz w:val="19"/>
          <w:szCs w:val="19"/>
        </w:rPr>
        <w:footnoteRef/>
      </w:r>
      <w:r w:rsidRPr="00A83BDC">
        <w:rPr>
          <w:rFonts w:ascii="Arial" w:hAnsi="Arial" w:cs="Arial"/>
          <w:sz w:val="19"/>
          <w:szCs w:val="19"/>
        </w:rPr>
        <w:t xml:space="preserve"> </w:t>
      </w:r>
      <w:r w:rsidRPr="00A83BDC">
        <w:rPr>
          <w:rFonts w:ascii="Arial" w:hAnsi="Arial" w:cs="Arial"/>
          <w:sz w:val="19"/>
          <w:szCs w:val="19"/>
          <w:lang w:val="es-ES"/>
        </w:rPr>
        <w:t>Resolución</w:t>
      </w:r>
      <w:r w:rsidR="003A18A7">
        <w:rPr>
          <w:rFonts w:ascii="Arial" w:hAnsi="Arial" w:cs="Arial"/>
          <w:sz w:val="19"/>
          <w:szCs w:val="19"/>
          <w:lang w:val="es-ES"/>
        </w:rPr>
        <w:t xml:space="preserve"> No.</w:t>
      </w:r>
      <w:r w:rsidRPr="00A83BDC">
        <w:rPr>
          <w:rFonts w:ascii="Arial" w:hAnsi="Arial" w:cs="Arial"/>
          <w:sz w:val="19"/>
          <w:szCs w:val="19"/>
          <w:lang w:val="es-ES"/>
        </w:rPr>
        <w:t xml:space="preserve"> 116 de 2020. </w:t>
      </w:r>
    </w:p>
    <w:p w14:paraId="31455BB4" w14:textId="77777777" w:rsidR="006940A5" w:rsidRPr="00A83BDC" w:rsidRDefault="006940A5" w:rsidP="00EF02E8">
      <w:pPr>
        <w:pStyle w:val="Textonotapie"/>
        <w:ind w:firstLine="708"/>
        <w:jc w:val="both"/>
        <w:rPr>
          <w:rFonts w:ascii="Arial" w:hAnsi="Arial" w:cs="Arial"/>
          <w:sz w:val="19"/>
          <w:szCs w:val="19"/>
          <w:lang w:val="es-ES"/>
        </w:rPr>
      </w:pPr>
    </w:p>
  </w:footnote>
  <w:footnote w:id="6">
    <w:p w14:paraId="4CDBE800" w14:textId="77777777" w:rsidR="006940A5" w:rsidRPr="00A83BDC" w:rsidRDefault="006940A5" w:rsidP="00EF02E8">
      <w:pPr>
        <w:pStyle w:val="Textonotapie"/>
        <w:ind w:firstLine="708"/>
        <w:jc w:val="both"/>
        <w:rPr>
          <w:rFonts w:ascii="Arial" w:hAnsi="Arial" w:cs="Arial"/>
          <w:sz w:val="19"/>
          <w:szCs w:val="19"/>
          <w:lang w:val="es-ES"/>
        </w:rPr>
      </w:pPr>
      <w:r w:rsidRPr="00A83BDC">
        <w:rPr>
          <w:rStyle w:val="Refdenotaalpie"/>
          <w:rFonts w:ascii="Arial" w:hAnsi="Arial" w:cs="Arial"/>
          <w:sz w:val="19"/>
          <w:szCs w:val="19"/>
        </w:rPr>
        <w:footnoteRef/>
      </w:r>
      <w:r w:rsidRPr="00A83BDC">
        <w:rPr>
          <w:rFonts w:ascii="Arial" w:hAnsi="Arial" w:cs="Arial"/>
          <w:sz w:val="19"/>
          <w:szCs w:val="19"/>
        </w:rPr>
        <w:t xml:space="preserve"> </w:t>
      </w:r>
      <w:r w:rsidRPr="00A83BDC">
        <w:rPr>
          <w:rFonts w:ascii="Arial" w:hAnsi="Arial" w:cs="Arial"/>
          <w:sz w:val="19"/>
          <w:szCs w:val="19"/>
          <w:lang w:val="es-ES"/>
        </w:rPr>
        <w:t>Ibid.</w:t>
      </w:r>
    </w:p>
  </w:footnote>
  <w:footnote w:id="7">
    <w:p w14:paraId="57CBDE5D" w14:textId="77777777" w:rsidR="006940A5" w:rsidRPr="00A83BDC" w:rsidRDefault="006940A5" w:rsidP="00EF02E8">
      <w:pPr>
        <w:pBdr>
          <w:top w:val="nil"/>
          <w:left w:val="nil"/>
          <w:bottom w:val="nil"/>
          <w:right w:val="nil"/>
          <w:between w:val="nil"/>
        </w:pBdr>
        <w:ind w:firstLine="708"/>
        <w:jc w:val="both"/>
        <w:rPr>
          <w:rFonts w:ascii="Arial" w:eastAsia="Arial" w:hAnsi="Arial" w:cs="Arial"/>
          <w:color w:val="000000"/>
          <w:sz w:val="19"/>
          <w:szCs w:val="19"/>
        </w:rPr>
      </w:pPr>
      <w:r w:rsidRPr="00A83BDC">
        <w:rPr>
          <w:rFonts w:ascii="Arial" w:hAnsi="Arial" w:cs="Arial"/>
          <w:sz w:val="19"/>
          <w:szCs w:val="19"/>
          <w:vertAlign w:val="superscript"/>
        </w:rPr>
        <w:footnoteRef/>
      </w:r>
      <w:r w:rsidRPr="00A83BDC">
        <w:rPr>
          <w:rFonts w:ascii="Arial" w:eastAsia="Arial" w:hAnsi="Arial" w:cs="Arial"/>
          <w:color w:val="000000"/>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431E8547" w14:textId="77777777" w:rsidR="006940A5" w:rsidRPr="00A83BDC" w:rsidRDefault="006940A5" w:rsidP="00EF02E8">
      <w:pPr>
        <w:pBdr>
          <w:top w:val="nil"/>
          <w:left w:val="nil"/>
          <w:bottom w:val="nil"/>
          <w:right w:val="nil"/>
          <w:between w:val="nil"/>
        </w:pBdr>
        <w:ind w:firstLine="708"/>
        <w:jc w:val="both"/>
        <w:rPr>
          <w:rFonts w:ascii="Arial" w:eastAsia="Arial" w:hAnsi="Arial" w:cs="Arial"/>
          <w:color w:val="000000"/>
          <w:sz w:val="19"/>
          <w:szCs w:val="19"/>
        </w:rPr>
      </w:pPr>
    </w:p>
  </w:footnote>
  <w:footnote w:id="8">
    <w:p w14:paraId="180689EE" w14:textId="36573881" w:rsidR="00CE1A8F" w:rsidRPr="00A83BDC" w:rsidRDefault="00CE1A8F" w:rsidP="00A83BDC">
      <w:pPr>
        <w:pStyle w:val="Textonotapie"/>
        <w:ind w:firstLine="708"/>
        <w:rPr>
          <w:rFonts w:ascii="Arial" w:hAnsi="Arial" w:cs="Arial"/>
          <w:sz w:val="19"/>
          <w:szCs w:val="19"/>
          <w:lang w:val="es-CO"/>
        </w:rPr>
      </w:pPr>
      <w:r w:rsidRPr="00A83BDC">
        <w:rPr>
          <w:rStyle w:val="Refdenotaalpie"/>
          <w:rFonts w:ascii="Arial" w:hAnsi="Arial" w:cs="Arial"/>
          <w:sz w:val="19"/>
          <w:szCs w:val="19"/>
        </w:rPr>
        <w:footnoteRef/>
      </w:r>
      <w:r w:rsidRPr="00A83BDC">
        <w:rPr>
          <w:rFonts w:ascii="Arial" w:hAnsi="Arial" w:cs="Arial"/>
          <w:sz w:val="19"/>
          <w:szCs w:val="19"/>
        </w:rPr>
        <w:t xml:space="preserve"> </w:t>
      </w:r>
      <w:r w:rsidRPr="00A83BDC">
        <w:rPr>
          <w:rFonts w:ascii="Arial" w:hAnsi="Arial" w:cs="Arial"/>
          <w:sz w:val="19"/>
          <w:szCs w:val="19"/>
          <w:lang w:val="es-CO"/>
        </w:rPr>
        <w:t>Ley 30 de 1993</w:t>
      </w:r>
      <w:r w:rsidR="00A83BDC" w:rsidRPr="00A83BDC">
        <w:rPr>
          <w:rFonts w:ascii="Arial" w:hAnsi="Arial" w:cs="Arial"/>
          <w:sz w:val="19"/>
          <w:szCs w:val="19"/>
          <w:lang w:val="es-CO"/>
        </w:rPr>
        <w:t xml:space="preserve"> «Artículo 30. […]</w:t>
      </w:r>
    </w:p>
    <w:p w14:paraId="3342098B" w14:textId="2F082894" w:rsidR="00A83BDC" w:rsidRPr="00A83BDC" w:rsidRDefault="00A83BDC" w:rsidP="00A83BDC">
      <w:pPr>
        <w:tabs>
          <w:tab w:val="left" w:pos="709"/>
          <w:tab w:val="left" w:pos="7938"/>
        </w:tabs>
        <w:spacing w:before="120"/>
        <w:jc w:val="both"/>
        <w:rPr>
          <w:rFonts w:ascii="Arial" w:hAnsi="Arial" w:cs="Arial"/>
          <w:color w:val="000000"/>
          <w:sz w:val="19"/>
          <w:szCs w:val="19"/>
        </w:rPr>
      </w:pPr>
      <w:r w:rsidRPr="00A83BDC">
        <w:rPr>
          <w:rFonts w:ascii="Arial" w:hAnsi="Arial" w:cs="Arial"/>
          <w:color w:val="000000"/>
          <w:sz w:val="19"/>
          <w:szCs w:val="19"/>
        </w:rPr>
        <w:tab/>
        <w:t>»6o. Las propuestas deben referirse y sujetarse a todos y cada uno de los puntos contenidos en el pliego de condiciones o términos de referencia. Los proponentes pueden presentar alternativas y excepciones técnicas o económicas siempre y cuando ellas no signifiquen condicionamientos para la adjudicación». </w:t>
      </w:r>
    </w:p>
    <w:p w14:paraId="67097B26" w14:textId="77777777" w:rsidR="00A83BDC" w:rsidRPr="00A83BDC" w:rsidRDefault="00A83BDC" w:rsidP="00A83BDC">
      <w:pPr>
        <w:tabs>
          <w:tab w:val="left" w:pos="709"/>
          <w:tab w:val="left" w:pos="7938"/>
        </w:tabs>
        <w:spacing w:before="120"/>
        <w:jc w:val="both"/>
        <w:rPr>
          <w:rFonts w:ascii="Arial" w:hAnsi="Arial" w:cs="Arial"/>
          <w:sz w:val="19"/>
          <w:szCs w:val="19"/>
          <w:lang w:val="es-CO"/>
        </w:rPr>
      </w:pPr>
    </w:p>
  </w:footnote>
  <w:footnote w:id="9">
    <w:p w14:paraId="23C5310A" w14:textId="150B8B34" w:rsidR="00A83BDC" w:rsidRPr="00A83BDC" w:rsidRDefault="00A83BDC" w:rsidP="00A83BDC">
      <w:pPr>
        <w:pStyle w:val="Textonotapie"/>
        <w:ind w:firstLine="708"/>
        <w:rPr>
          <w:rFonts w:ascii="Arial" w:hAnsi="Arial" w:cs="Arial"/>
          <w:sz w:val="19"/>
          <w:szCs w:val="19"/>
          <w:lang w:val="es-CO"/>
        </w:rPr>
      </w:pPr>
      <w:r w:rsidRPr="00A83BDC">
        <w:rPr>
          <w:rStyle w:val="Refdenotaalpie"/>
          <w:rFonts w:ascii="Arial" w:hAnsi="Arial" w:cs="Arial"/>
          <w:sz w:val="19"/>
          <w:szCs w:val="19"/>
        </w:rPr>
        <w:footnoteRef/>
      </w:r>
      <w:r w:rsidRPr="00A83BDC">
        <w:rPr>
          <w:rFonts w:ascii="Arial" w:hAnsi="Arial" w:cs="Arial"/>
          <w:sz w:val="19"/>
          <w:szCs w:val="19"/>
        </w:rPr>
        <w:t xml:space="preserve"> Agencia Nacional de Contratación Pública. Concepto de 26 de noviembre de 2019. Radicado de entrada No. 4201912000007197. Radicado de Salida No. 2201913000008759.</w:t>
      </w:r>
    </w:p>
  </w:footnote>
  <w:footnote w:id="10">
    <w:p w14:paraId="6DF5FE3C" w14:textId="59FF031E" w:rsidR="00CC2801" w:rsidRPr="00A83BDC" w:rsidRDefault="00CC2801" w:rsidP="00CC2801">
      <w:pPr>
        <w:pStyle w:val="NormalWeb"/>
        <w:spacing w:before="0" w:beforeAutospacing="0" w:after="0" w:afterAutospacing="0"/>
        <w:ind w:firstLine="708"/>
        <w:jc w:val="both"/>
        <w:rPr>
          <w:rFonts w:ascii="Arial" w:hAnsi="Arial" w:cs="Arial"/>
          <w:color w:val="000000"/>
          <w:sz w:val="19"/>
          <w:szCs w:val="19"/>
        </w:rPr>
      </w:pPr>
      <w:r w:rsidRPr="00A83BDC">
        <w:rPr>
          <w:rStyle w:val="Refdenotaalpie"/>
          <w:rFonts w:ascii="Arial" w:hAnsi="Arial" w:cs="Arial"/>
          <w:sz w:val="19"/>
          <w:szCs w:val="19"/>
        </w:rPr>
        <w:footnoteRef/>
      </w:r>
      <w:r w:rsidRPr="00A83BDC">
        <w:rPr>
          <w:rFonts w:ascii="Arial" w:hAnsi="Arial" w:cs="Arial"/>
          <w:sz w:val="19"/>
          <w:szCs w:val="19"/>
        </w:rPr>
        <w:t xml:space="preserve"> Ley 1882 de 2018 «</w:t>
      </w:r>
      <w:r w:rsidRPr="00A83BDC">
        <w:rPr>
          <w:rStyle w:val="Textoennegrita"/>
          <w:rFonts w:ascii="Arial" w:hAnsi="Arial" w:cs="Arial"/>
          <w:b w:val="0"/>
          <w:bCs w:val="0"/>
          <w:color w:val="000000"/>
          <w:sz w:val="19"/>
          <w:szCs w:val="19"/>
        </w:rPr>
        <w:t>Artículo 5°</w:t>
      </w:r>
      <w:r w:rsidRPr="00A83BDC">
        <w:rPr>
          <w:rFonts w:ascii="Arial" w:hAnsi="Arial" w:cs="Arial"/>
          <w:b/>
          <w:bCs/>
          <w:color w:val="000000"/>
          <w:sz w:val="19"/>
          <w:szCs w:val="19"/>
        </w:rPr>
        <w:t>. </w:t>
      </w:r>
      <w:r w:rsidRPr="00A83BDC">
        <w:rPr>
          <w:rStyle w:val="nfasis"/>
          <w:rFonts w:ascii="Arial" w:hAnsi="Arial" w:cs="Arial"/>
          <w:i w:val="0"/>
          <w:iCs w:val="0"/>
          <w:color w:val="000000"/>
          <w:sz w:val="19"/>
          <w:szCs w:val="19"/>
        </w:rPr>
        <w:t>De la selección objetiva</w:t>
      </w:r>
      <w:r w:rsidRPr="00A83BDC">
        <w:rPr>
          <w:rStyle w:val="nfasis"/>
          <w:rFonts w:ascii="Arial" w:hAnsi="Arial" w:cs="Arial"/>
          <w:b/>
          <w:bCs/>
          <w:color w:val="000000"/>
          <w:sz w:val="19"/>
          <w:szCs w:val="19"/>
        </w:rPr>
        <w:t> </w:t>
      </w:r>
      <w:r w:rsidRPr="00A83BDC">
        <w:rPr>
          <w:rFonts w:ascii="Arial" w:hAnsi="Arial" w:cs="Arial"/>
          <w:color w:val="000000"/>
          <w:sz w:val="19"/>
          <w:szCs w:val="19"/>
        </w:rPr>
        <w:t>[...] </w:t>
      </w:r>
    </w:p>
    <w:p w14:paraId="1127298D" w14:textId="1658714B" w:rsidR="00CC2801" w:rsidRPr="00A83BDC" w:rsidRDefault="00CC2801" w:rsidP="00CC2801">
      <w:pPr>
        <w:pStyle w:val="NormalWeb"/>
        <w:spacing w:before="0" w:beforeAutospacing="0" w:after="0" w:afterAutospacing="0"/>
        <w:ind w:firstLine="708"/>
        <w:jc w:val="both"/>
        <w:rPr>
          <w:rFonts w:ascii="Arial" w:hAnsi="Arial" w:cs="Arial"/>
          <w:color w:val="000000"/>
          <w:sz w:val="19"/>
          <w:szCs w:val="19"/>
        </w:rPr>
      </w:pPr>
      <w:proofErr w:type="gramStart"/>
      <w:r w:rsidRPr="00A83BDC">
        <w:rPr>
          <w:rStyle w:val="Textoennegrita"/>
          <w:rFonts w:ascii="Arial" w:hAnsi="Arial" w:cs="Arial"/>
          <w:b w:val="0"/>
          <w:bCs w:val="0"/>
          <w:color w:val="000000"/>
          <w:sz w:val="19"/>
          <w:szCs w:val="19"/>
        </w:rPr>
        <w:t>»Parágrafo</w:t>
      </w:r>
      <w:proofErr w:type="gramEnd"/>
      <w:r w:rsidRPr="00A83BDC">
        <w:rPr>
          <w:rStyle w:val="Textoennegrita"/>
          <w:rFonts w:ascii="Arial" w:hAnsi="Arial" w:cs="Arial"/>
          <w:b w:val="0"/>
          <w:bCs w:val="0"/>
          <w:color w:val="000000"/>
          <w:sz w:val="19"/>
          <w:szCs w:val="19"/>
        </w:rPr>
        <w:t xml:space="preserve"> 1°.</w:t>
      </w:r>
      <w:r w:rsidRPr="00A83BDC">
        <w:rPr>
          <w:rStyle w:val="Textoennegrita"/>
          <w:rFonts w:ascii="Arial" w:hAnsi="Arial" w:cs="Arial"/>
          <w:color w:val="000000"/>
          <w:sz w:val="19"/>
          <w:szCs w:val="19"/>
        </w:rPr>
        <w:t> </w:t>
      </w:r>
      <w:r w:rsidRPr="00A83BDC">
        <w:rPr>
          <w:rFonts w:ascii="Arial" w:hAnsi="Arial" w:cs="Arial"/>
          <w:color w:val="000000"/>
          <w:sz w:val="19"/>
          <w:szCs w:val="19"/>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2671D37A" w14:textId="53FCDEE9" w:rsidR="00CC2801" w:rsidRPr="00A83BDC" w:rsidRDefault="00CC2801" w:rsidP="00CC2801">
      <w:pPr>
        <w:pStyle w:val="NormalWeb"/>
        <w:spacing w:before="0" w:beforeAutospacing="0" w:after="0" w:afterAutospacing="0"/>
        <w:ind w:firstLine="708"/>
        <w:jc w:val="both"/>
        <w:rPr>
          <w:rFonts w:ascii="Arial" w:hAnsi="Arial" w:cs="Arial"/>
          <w:color w:val="000000"/>
          <w:sz w:val="19"/>
          <w:szCs w:val="19"/>
        </w:rPr>
      </w:pPr>
      <w:proofErr w:type="gramStart"/>
      <w:r w:rsidRPr="00A83BDC">
        <w:rPr>
          <w:rFonts w:ascii="Arial" w:hAnsi="Arial" w:cs="Arial"/>
          <w:color w:val="000000"/>
          <w:sz w:val="19"/>
          <w:szCs w:val="19"/>
        </w:rPr>
        <w:t>»Durante</w:t>
      </w:r>
      <w:proofErr w:type="gramEnd"/>
      <w:r w:rsidRPr="00A83BDC">
        <w:rPr>
          <w:rFonts w:ascii="Arial" w:hAnsi="Arial" w:cs="Arial"/>
          <w:color w:val="000000"/>
          <w:sz w:val="19"/>
          <w:szCs w:val="19"/>
        </w:rPr>
        <w:t xml:space="preserve"> el término otorgado para subsanar las ofertas, los proponentes no podrán acreditar circunstancias ocurridas con posterioridad al cierre del proceso».</w:t>
      </w:r>
    </w:p>
    <w:p w14:paraId="09E15C7A" w14:textId="77CAAD35" w:rsidR="00CC2801" w:rsidRPr="00A83BDC" w:rsidRDefault="00CC2801">
      <w:pPr>
        <w:pStyle w:val="Textonotapie"/>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5EA4B" w14:textId="77777777" w:rsidR="006940A5" w:rsidRDefault="006940A5">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35D1D96" wp14:editId="3644E1FA">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B11"/>
    <w:rsid w:val="000B5AAA"/>
    <w:rsid w:val="000C608B"/>
    <w:rsid w:val="000C6E3D"/>
    <w:rsid w:val="000D4BBB"/>
    <w:rsid w:val="000D511F"/>
    <w:rsid w:val="000D62A1"/>
    <w:rsid w:val="001019AC"/>
    <w:rsid w:val="00110FEB"/>
    <w:rsid w:val="00132A87"/>
    <w:rsid w:val="00146459"/>
    <w:rsid w:val="0015198C"/>
    <w:rsid w:val="0015246D"/>
    <w:rsid w:val="00152993"/>
    <w:rsid w:val="00160BF4"/>
    <w:rsid w:val="001619EC"/>
    <w:rsid w:val="00175164"/>
    <w:rsid w:val="0017518C"/>
    <w:rsid w:val="00176EE3"/>
    <w:rsid w:val="00194529"/>
    <w:rsid w:val="001A0074"/>
    <w:rsid w:val="001A67E5"/>
    <w:rsid w:val="001C1406"/>
    <w:rsid w:val="001C2774"/>
    <w:rsid w:val="001D1DBF"/>
    <w:rsid w:val="001D6278"/>
    <w:rsid w:val="001E14D4"/>
    <w:rsid w:val="001E3F2E"/>
    <w:rsid w:val="002062A5"/>
    <w:rsid w:val="00207B08"/>
    <w:rsid w:val="00222083"/>
    <w:rsid w:val="002416B5"/>
    <w:rsid w:val="002468DD"/>
    <w:rsid w:val="00254D51"/>
    <w:rsid w:val="002663D4"/>
    <w:rsid w:val="00286003"/>
    <w:rsid w:val="002A6D21"/>
    <w:rsid w:val="002B5E9D"/>
    <w:rsid w:val="002F4AF8"/>
    <w:rsid w:val="00302DE6"/>
    <w:rsid w:val="003102D0"/>
    <w:rsid w:val="00327CC5"/>
    <w:rsid w:val="00333F62"/>
    <w:rsid w:val="00342AFD"/>
    <w:rsid w:val="00395E66"/>
    <w:rsid w:val="003A18A7"/>
    <w:rsid w:val="003A4352"/>
    <w:rsid w:val="003A4E3A"/>
    <w:rsid w:val="003A706F"/>
    <w:rsid w:val="003C34DC"/>
    <w:rsid w:val="003C3C05"/>
    <w:rsid w:val="003D3ED0"/>
    <w:rsid w:val="003F434A"/>
    <w:rsid w:val="004463BB"/>
    <w:rsid w:val="00457B9B"/>
    <w:rsid w:val="00472F0E"/>
    <w:rsid w:val="00493C96"/>
    <w:rsid w:val="004A7DBB"/>
    <w:rsid w:val="004B084C"/>
    <w:rsid w:val="004B19AD"/>
    <w:rsid w:val="004B45AA"/>
    <w:rsid w:val="004B4D8B"/>
    <w:rsid w:val="004B5D61"/>
    <w:rsid w:val="004D2294"/>
    <w:rsid w:val="004E3ADE"/>
    <w:rsid w:val="004E6266"/>
    <w:rsid w:val="004F315D"/>
    <w:rsid w:val="004F354E"/>
    <w:rsid w:val="00502478"/>
    <w:rsid w:val="00505236"/>
    <w:rsid w:val="00510ABC"/>
    <w:rsid w:val="00517AE0"/>
    <w:rsid w:val="00536F6F"/>
    <w:rsid w:val="005440A4"/>
    <w:rsid w:val="00574F1E"/>
    <w:rsid w:val="005760F6"/>
    <w:rsid w:val="005B4987"/>
    <w:rsid w:val="005C021E"/>
    <w:rsid w:val="005D1728"/>
    <w:rsid w:val="005D59D8"/>
    <w:rsid w:val="005E44F2"/>
    <w:rsid w:val="005E537C"/>
    <w:rsid w:val="005F1E00"/>
    <w:rsid w:val="005F6B6C"/>
    <w:rsid w:val="00645A71"/>
    <w:rsid w:val="00653A7F"/>
    <w:rsid w:val="00662659"/>
    <w:rsid w:val="00667FCE"/>
    <w:rsid w:val="00671190"/>
    <w:rsid w:val="0067793F"/>
    <w:rsid w:val="006872BE"/>
    <w:rsid w:val="006940A5"/>
    <w:rsid w:val="00694D9E"/>
    <w:rsid w:val="00696653"/>
    <w:rsid w:val="006A522C"/>
    <w:rsid w:val="006B1CE8"/>
    <w:rsid w:val="006B7931"/>
    <w:rsid w:val="006D3FAE"/>
    <w:rsid w:val="00701FE1"/>
    <w:rsid w:val="00707592"/>
    <w:rsid w:val="00707E40"/>
    <w:rsid w:val="00716899"/>
    <w:rsid w:val="00724ABE"/>
    <w:rsid w:val="00727287"/>
    <w:rsid w:val="00736250"/>
    <w:rsid w:val="00740832"/>
    <w:rsid w:val="00742F9D"/>
    <w:rsid w:val="0074709A"/>
    <w:rsid w:val="00763A38"/>
    <w:rsid w:val="00770D31"/>
    <w:rsid w:val="00777437"/>
    <w:rsid w:val="007C51DF"/>
    <w:rsid w:val="007D1758"/>
    <w:rsid w:val="007D574D"/>
    <w:rsid w:val="007E7FD0"/>
    <w:rsid w:val="0080011E"/>
    <w:rsid w:val="00811588"/>
    <w:rsid w:val="008142FB"/>
    <w:rsid w:val="00817F5E"/>
    <w:rsid w:val="00822338"/>
    <w:rsid w:val="0083194A"/>
    <w:rsid w:val="0087290C"/>
    <w:rsid w:val="0087407F"/>
    <w:rsid w:val="008957E9"/>
    <w:rsid w:val="008E1594"/>
    <w:rsid w:val="009020AB"/>
    <w:rsid w:val="00903F11"/>
    <w:rsid w:val="009069F8"/>
    <w:rsid w:val="00936F44"/>
    <w:rsid w:val="00941EB3"/>
    <w:rsid w:val="00947CA3"/>
    <w:rsid w:val="0096361D"/>
    <w:rsid w:val="0097179E"/>
    <w:rsid w:val="009831B2"/>
    <w:rsid w:val="009A1026"/>
    <w:rsid w:val="009B4AE0"/>
    <w:rsid w:val="009C764E"/>
    <w:rsid w:val="009D166E"/>
    <w:rsid w:val="009E1A27"/>
    <w:rsid w:val="00A11C03"/>
    <w:rsid w:val="00A25119"/>
    <w:rsid w:val="00A508F5"/>
    <w:rsid w:val="00A5429F"/>
    <w:rsid w:val="00A7562E"/>
    <w:rsid w:val="00A83BDC"/>
    <w:rsid w:val="00A927C1"/>
    <w:rsid w:val="00AA1ABC"/>
    <w:rsid w:val="00AA46C7"/>
    <w:rsid w:val="00AD5095"/>
    <w:rsid w:val="00AE3F7F"/>
    <w:rsid w:val="00AF1112"/>
    <w:rsid w:val="00B201C2"/>
    <w:rsid w:val="00B21E3B"/>
    <w:rsid w:val="00B45742"/>
    <w:rsid w:val="00B53957"/>
    <w:rsid w:val="00B6688C"/>
    <w:rsid w:val="00B72B24"/>
    <w:rsid w:val="00B8413C"/>
    <w:rsid w:val="00B9777C"/>
    <w:rsid w:val="00BA3898"/>
    <w:rsid w:val="00BA6527"/>
    <w:rsid w:val="00BB6A4D"/>
    <w:rsid w:val="00C12911"/>
    <w:rsid w:val="00C720EB"/>
    <w:rsid w:val="00C82087"/>
    <w:rsid w:val="00C9405F"/>
    <w:rsid w:val="00CA3504"/>
    <w:rsid w:val="00CB5844"/>
    <w:rsid w:val="00CC2801"/>
    <w:rsid w:val="00CD0D12"/>
    <w:rsid w:val="00CE1A8F"/>
    <w:rsid w:val="00CE608B"/>
    <w:rsid w:val="00D031CF"/>
    <w:rsid w:val="00D06E2E"/>
    <w:rsid w:val="00D17CFB"/>
    <w:rsid w:val="00DB062F"/>
    <w:rsid w:val="00DB135A"/>
    <w:rsid w:val="00DC06CE"/>
    <w:rsid w:val="00DC1A89"/>
    <w:rsid w:val="00DC3C3C"/>
    <w:rsid w:val="00DC5717"/>
    <w:rsid w:val="00DD137F"/>
    <w:rsid w:val="00DD7DA9"/>
    <w:rsid w:val="00DE5E77"/>
    <w:rsid w:val="00E20D2E"/>
    <w:rsid w:val="00E416AE"/>
    <w:rsid w:val="00E453FE"/>
    <w:rsid w:val="00E5394F"/>
    <w:rsid w:val="00E53CD0"/>
    <w:rsid w:val="00E86699"/>
    <w:rsid w:val="00EA23FB"/>
    <w:rsid w:val="00EA625A"/>
    <w:rsid w:val="00EB2CE5"/>
    <w:rsid w:val="00EB4EAE"/>
    <w:rsid w:val="00EF02E8"/>
    <w:rsid w:val="00F01F31"/>
    <w:rsid w:val="00F14BF1"/>
    <w:rsid w:val="00F4732B"/>
    <w:rsid w:val="00F50B11"/>
    <w:rsid w:val="00F50E2B"/>
    <w:rsid w:val="00F616AB"/>
    <w:rsid w:val="00F61A58"/>
    <w:rsid w:val="00F63EA1"/>
    <w:rsid w:val="00F64463"/>
    <w:rsid w:val="00F7403F"/>
    <w:rsid w:val="00F74D3B"/>
    <w:rsid w:val="00F81831"/>
    <w:rsid w:val="00F833E1"/>
    <w:rsid w:val="00F84A1F"/>
    <w:rsid w:val="00F9134E"/>
    <w:rsid w:val="00FA45E7"/>
    <w:rsid w:val="00FA5AC5"/>
    <w:rsid w:val="00FE37C2"/>
    <w:rsid w:val="00FE4B4A"/>
    <w:rsid w:val="07E4782F"/>
    <w:rsid w:val="2249F405"/>
    <w:rsid w:val="3D56F10C"/>
    <w:rsid w:val="6261DF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BDE0"/>
  <w15:docId w15:val="{575847EF-7CC0-4346-B0A0-5DD11A27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jc w:val="both"/>
    </w:pPr>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97179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7179E"/>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C3C3C"/>
    <w:rPr>
      <w:sz w:val="16"/>
      <w:szCs w:val="16"/>
    </w:rPr>
  </w:style>
  <w:style w:type="paragraph" w:styleId="Textocomentario">
    <w:name w:val="annotation text"/>
    <w:basedOn w:val="Normal"/>
    <w:link w:val="TextocomentarioCar"/>
    <w:uiPriority w:val="99"/>
    <w:semiHidden/>
    <w:unhideWhenUsed/>
    <w:rsid w:val="00DC3C3C"/>
    <w:rPr>
      <w:sz w:val="20"/>
      <w:szCs w:val="20"/>
    </w:rPr>
  </w:style>
  <w:style w:type="character" w:customStyle="1" w:styleId="TextocomentarioCar">
    <w:name w:val="Texto comentario Car"/>
    <w:basedOn w:val="Fuentedeprrafopredeter"/>
    <w:link w:val="Textocomentario"/>
    <w:uiPriority w:val="99"/>
    <w:semiHidden/>
    <w:rsid w:val="00DC3C3C"/>
    <w:rPr>
      <w:sz w:val="20"/>
      <w:szCs w:val="20"/>
    </w:rPr>
  </w:style>
  <w:style w:type="paragraph" w:styleId="Asuntodelcomentario">
    <w:name w:val="annotation subject"/>
    <w:basedOn w:val="Textocomentario"/>
    <w:next w:val="Textocomentario"/>
    <w:link w:val="AsuntodelcomentarioCar"/>
    <w:uiPriority w:val="99"/>
    <w:semiHidden/>
    <w:unhideWhenUsed/>
    <w:rsid w:val="00DC3C3C"/>
    <w:rPr>
      <w:b/>
      <w:bCs/>
    </w:rPr>
  </w:style>
  <w:style w:type="character" w:customStyle="1" w:styleId="AsuntodelcomentarioCar">
    <w:name w:val="Asunto del comentario Car"/>
    <w:basedOn w:val="TextocomentarioCar"/>
    <w:link w:val="Asuntodelcomentario"/>
    <w:uiPriority w:val="99"/>
    <w:semiHidden/>
    <w:rsid w:val="00DC3C3C"/>
    <w:rPr>
      <w:b/>
      <w:bCs/>
      <w:sz w:val="20"/>
      <w:szCs w:val="20"/>
    </w:rPr>
  </w:style>
  <w:style w:type="paragraph" w:styleId="NormalWeb">
    <w:name w:val="Normal (Web)"/>
    <w:basedOn w:val="Normal"/>
    <w:uiPriority w:val="99"/>
    <w:semiHidden/>
    <w:unhideWhenUsed/>
    <w:rsid w:val="00FA45E7"/>
    <w:pPr>
      <w:spacing w:before="100" w:beforeAutospacing="1" w:after="100" w:afterAutospacing="1"/>
    </w:pPr>
    <w:rPr>
      <w:rFonts w:ascii="Times New Roman" w:eastAsia="Times New Roman" w:hAnsi="Times New Roman" w:cs="Times New Roman"/>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FA45E7"/>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FA45E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FA45E7"/>
    <w:rPr>
      <w:vertAlign w:val="superscript"/>
    </w:rPr>
  </w:style>
  <w:style w:type="paragraph" w:styleId="Encabezado">
    <w:name w:val="header"/>
    <w:basedOn w:val="Normal"/>
    <w:link w:val="EncabezadoCar"/>
    <w:uiPriority w:val="99"/>
    <w:unhideWhenUsed/>
    <w:rsid w:val="00E86699"/>
    <w:pPr>
      <w:tabs>
        <w:tab w:val="center" w:pos="4419"/>
        <w:tab w:val="right" w:pos="8838"/>
      </w:tabs>
    </w:pPr>
  </w:style>
  <w:style w:type="character" w:customStyle="1" w:styleId="EncabezadoCar">
    <w:name w:val="Encabezado Car"/>
    <w:basedOn w:val="Fuentedeprrafopredeter"/>
    <w:link w:val="Encabezado"/>
    <w:uiPriority w:val="99"/>
    <w:rsid w:val="00E86699"/>
  </w:style>
  <w:style w:type="paragraph" w:styleId="Piedepgina">
    <w:name w:val="footer"/>
    <w:basedOn w:val="Normal"/>
    <w:link w:val="PiedepginaCar"/>
    <w:uiPriority w:val="99"/>
    <w:unhideWhenUsed/>
    <w:rsid w:val="00E86699"/>
    <w:pPr>
      <w:tabs>
        <w:tab w:val="center" w:pos="4419"/>
        <w:tab w:val="right" w:pos="8838"/>
      </w:tabs>
    </w:pPr>
  </w:style>
  <w:style w:type="character" w:customStyle="1" w:styleId="PiedepginaCar">
    <w:name w:val="Pie de página Car"/>
    <w:basedOn w:val="Fuentedeprrafopredeter"/>
    <w:link w:val="Piedepgina"/>
    <w:uiPriority w:val="99"/>
    <w:rsid w:val="00E86699"/>
  </w:style>
  <w:style w:type="paragraph" w:customStyle="1" w:styleId="Default">
    <w:name w:val="Default"/>
    <w:rsid w:val="00903F11"/>
    <w:pPr>
      <w:autoSpaceDE w:val="0"/>
      <w:autoSpaceDN w:val="0"/>
      <w:adjustRightInd w:val="0"/>
    </w:pPr>
    <w:rPr>
      <w:rFonts w:ascii="Arial" w:hAnsi="Arial" w:cs="Arial"/>
      <w:color w:val="000000"/>
      <w:lang w:val="es-CO"/>
    </w:rPr>
  </w:style>
  <w:style w:type="paragraph" w:styleId="Prrafodelista">
    <w:name w:val="List Paragraph"/>
    <w:basedOn w:val="Normal"/>
    <w:uiPriority w:val="34"/>
    <w:qFormat/>
    <w:rsid w:val="009C764E"/>
    <w:pPr>
      <w:ind w:left="720"/>
      <w:contextualSpacing/>
    </w:pPr>
  </w:style>
  <w:style w:type="character" w:customStyle="1" w:styleId="normaltextrun">
    <w:name w:val="normaltextrun"/>
    <w:basedOn w:val="Fuentedeprrafopredeter"/>
    <w:rsid w:val="001D1DBF"/>
  </w:style>
  <w:style w:type="character" w:styleId="nfasis">
    <w:name w:val="Emphasis"/>
    <w:basedOn w:val="Fuentedeprrafopredeter"/>
    <w:uiPriority w:val="20"/>
    <w:qFormat/>
    <w:rsid w:val="00EF02E8"/>
    <w:rPr>
      <w:i/>
      <w:iCs/>
    </w:rPr>
  </w:style>
  <w:style w:type="character" w:styleId="Textoennegrita">
    <w:name w:val="Strong"/>
    <w:basedOn w:val="Fuentedeprrafopredeter"/>
    <w:uiPriority w:val="22"/>
    <w:qFormat/>
    <w:rsid w:val="006940A5"/>
    <w:rPr>
      <w:b/>
      <w:bCs/>
    </w:rPr>
  </w:style>
  <w:style w:type="table" w:customStyle="1" w:styleId="Tablaconcuadrcula1">
    <w:name w:val="Tabla con cuadrícula1"/>
    <w:basedOn w:val="Tablanormal"/>
    <w:next w:val="Tablaconcuadrcula"/>
    <w:uiPriority w:val="59"/>
    <w:rsid w:val="00724ABE"/>
    <w:rPr>
      <w:rFonts w:cs="Times New Roman"/>
      <w:sz w:val="22"/>
      <w:szCs w:val="22"/>
      <w:lang w:val="es-CO"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24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48202">
      <w:bodyDiv w:val="1"/>
      <w:marLeft w:val="0"/>
      <w:marRight w:val="0"/>
      <w:marTop w:val="0"/>
      <w:marBottom w:val="0"/>
      <w:divBdr>
        <w:top w:val="none" w:sz="0" w:space="0" w:color="auto"/>
        <w:left w:val="none" w:sz="0" w:space="0" w:color="auto"/>
        <w:bottom w:val="none" w:sz="0" w:space="0" w:color="auto"/>
        <w:right w:val="none" w:sz="0" w:space="0" w:color="auto"/>
      </w:divBdr>
    </w:div>
    <w:div w:id="325984475">
      <w:bodyDiv w:val="1"/>
      <w:marLeft w:val="0"/>
      <w:marRight w:val="0"/>
      <w:marTop w:val="0"/>
      <w:marBottom w:val="0"/>
      <w:divBdr>
        <w:top w:val="none" w:sz="0" w:space="0" w:color="auto"/>
        <w:left w:val="none" w:sz="0" w:space="0" w:color="auto"/>
        <w:bottom w:val="none" w:sz="0" w:space="0" w:color="auto"/>
        <w:right w:val="none" w:sz="0" w:space="0" w:color="auto"/>
      </w:divBdr>
    </w:div>
    <w:div w:id="485710376">
      <w:bodyDiv w:val="1"/>
      <w:marLeft w:val="0"/>
      <w:marRight w:val="0"/>
      <w:marTop w:val="0"/>
      <w:marBottom w:val="0"/>
      <w:divBdr>
        <w:top w:val="none" w:sz="0" w:space="0" w:color="auto"/>
        <w:left w:val="none" w:sz="0" w:space="0" w:color="auto"/>
        <w:bottom w:val="none" w:sz="0" w:space="0" w:color="auto"/>
        <w:right w:val="none" w:sz="0" w:space="0" w:color="auto"/>
      </w:divBdr>
      <w:divsChild>
        <w:div w:id="1360816273">
          <w:marLeft w:val="0"/>
          <w:marRight w:val="0"/>
          <w:marTop w:val="0"/>
          <w:marBottom w:val="0"/>
          <w:divBdr>
            <w:top w:val="none" w:sz="0" w:space="0" w:color="auto"/>
            <w:left w:val="none" w:sz="0" w:space="0" w:color="auto"/>
            <w:bottom w:val="none" w:sz="0" w:space="0" w:color="auto"/>
            <w:right w:val="none" w:sz="0" w:space="0" w:color="auto"/>
          </w:divBdr>
          <w:divsChild>
            <w:div w:id="1907955659">
              <w:marLeft w:val="0"/>
              <w:marRight w:val="0"/>
              <w:marTop w:val="0"/>
              <w:marBottom w:val="0"/>
              <w:divBdr>
                <w:top w:val="none" w:sz="0" w:space="0" w:color="auto"/>
                <w:left w:val="none" w:sz="0" w:space="0" w:color="auto"/>
                <w:bottom w:val="none" w:sz="0" w:space="0" w:color="auto"/>
                <w:right w:val="none" w:sz="0" w:space="0" w:color="auto"/>
              </w:divBdr>
              <w:divsChild>
                <w:div w:id="433521093">
                  <w:marLeft w:val="0"/>
                  <w:marRight w:val="0"/>
                  <w:marTop w:val="0"/>
                  <w:marBottom w:val="0"/>
                  <w:divBdr>
                    <w:top w:val="none" w:sz="0" w:space="0" w:color="auto"/>
                    <w:left w:val="none" w:sz="0" w:space="0" w:color="auto"/>
                    <w:bottom w:val="none" w:sz="0" w:space="0" w:color="auto"/>
                    <w:right w:val="none" w:sz="0" w:space="0" w:color="auto"/>
                  </w:divBdr>
                  <w:divsChild>
                    <w:div w:id="1291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78042">
      <w:bodyDiv w:val="1"/>
      <w:marLeft w:val="0"/>
      <w:marRight w:val="0"/>
      <w:marTop w:val="0"/>
      <w:marBottom w:val="0"/>
      <w:divBdr>
        <w:top w:val="none" w:sz="0" w:space="0" w:color="auto"/>
        <w:left w:val="none" w:sz="0" w:space="0" w:color="auto"/>
        <w:bottom w:val="none" w:sz="0" w:space="0" w:color="auto"/>
        <w:right w:val="none" w:sz="0" w:space="0" w:color="auto"/>
      </w:divBdr>
    </w:div>
    <w:div w:id="673801482">
      <w:bodyDiv w:val="1"/>
      <w:marLeft w:val="0"/>
      <w:marRight w:val="0"/>
      <w:marTop w:val="0"/>
      <w:marBottom w:val="0"/>
      <w:divBdr>
        <w:top w:val="none" w:sz="0" w:space="0" w:color="auto"/>
        <w:left w:val="none" w:sz="0" w:space="0" w:color="auto"/>
        <w:bottom w:val="none" w:sz="0" w:space="0" w:color="auto"/>
        <w:right w:val="none" w:sz="0" w:space="0" w:color="auto"/>
      </w:divBdr>
      <w:divsChild>
        <w:div w:id="1178426943">
          <w:marLeft w:val="0"/>
          <w:marRight w:val="0"/>
          <w:marTop w:val="0"/>
          <w:marBottom w:val="0"/>
          <w:divBdr>
            <w:top w:val="none" w:sz="0" w:space="0" w:color="auto"/>
            <w:left w:val="none" w:sz="0" w:space="0" w:color="auto"/>
            <w:bottom w:val="none" w:sz="0" w:space="0" w:color="auto"/>
            <w:right w:val="none" w:sz="0" w:space="0" w:color="auto"/>
          </w:divBdr>
          <w:divsChild>
            <w:div w:id="416295464">
              <w:marLeft w:val="0"/>
              <w:marRight w:val="0"/>
              <w:marTop w:val="0"/>
              <w:marBottom w:val="0"/>
              <w:divBdr>
                <w:top w:val="none" w:sz="0" w:space="0" w:color="auto"/>
                <w:left w:val="none" w:sz="0" w:space="0" w:color="auto"/>
                <w:bottom w:val="none" w:sz="0" w:space="0" w:color="auto"/>
                <w:right w:val="none" w:sz="0" w:space="0" w:color="auto"/>
              </w:divBdr>
              <w:divsChild>
                <w:div w:id="11135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230147">
      <w:bodyDiv w:val="1"/>
      <w:marLeft w:val="0"/>
      <w:marRight w:val="0"/>
      <w:marTop w:val="0"/>
      <w:marBottom w:val="0"/>
      <w:divBdr>
        <w:top w:val="none" w:sz="0" w:space="0" w:color="auto"/>
        <w:left w:val="none" w:sz="0" w:space="0" w:color="auto"/>
        <w:bottom w:val="none" w:sz="0" w:space="0" w:color="auto"/>
        <w:right w:val="none" w:sz="0" w:space="0" w:color="auto"/>
      </w:divBdr>
    </w:div>
    <w:div w:id="871916497">
      <w:bodyDiv w:val="1"/>
      <w:marLeft w:val="0"/>
      <w:marRight w:val="0"/>
      <w:marTop w:val="0"/>
      <w:marBottom w:val="0"/>
      <w:divBdr>
        <w:top w:val="none" w:sz="0" w:space="0" w:color="auto"/>
        <w:left w:val="none" w:sz="0" w:space="0" w:color="auto"/>
        <w:bottom w:val="none" w:sz="0" w:space="0" w:color="auto"/>
        <w:right w:val="none" w:sz="0" w:space="0" w:color="auto"/>
      </w:divBdr>
      <w:divsChild>
        <w:div w:id="464543301">
          <w:marLeft w:val="0"/>
          <w:marRight w:val="0"/>
          <w:marTop w:val="0"/>
          <w:marBottom w:val="0"/>
          <w:divBdr>
            <w:top w:val="none" w:sz="0" w:space="0" w:color="auto"/>
            <w:left w:val="none" w:sz="0" w:space="0" w:color="auto"/>
            <w:bottom w:val="none" w:sz="0" w:space="0" w:color="auto"/>
            <w:right w:val="none" w:sz="0" w:space="0" w:color="auto"/>
          </w:divBdr>
          <w:divsChild>
            <w:div w:id="755518870">
              <w:marLeft w:val="0"/>
              <w:marRight w:val="0"/>
              <w:marTop w:val="0"/>
              <w:marBottom w:val="0"/>
              <w:divBdr>
                <w:top w:val="none" w:sz="0" w:space="0" w:color="auto"/>
                <w:left w:val="none" w:sz="0" w:space="0" w:color="auto"/>
                <w:bottom w:val="none" w:sz="0" w:space="0" w:color="auto"/>
                <w:right w:val="none" w:sz="0" w:space="0" w:color="auto"/>
              </w:divBdr>
              <w:divsChild>
                <w:div w:id="943414900">
                  <w:marLeft w:val="0"/>
                  <w:marRight w:val="0"/>
                  <w:marTop w:val="0"/>
                  <w:marBottom w:val="0"/>
                  <w:divBdr>
                    <w:top w:val="none" w:sz="0" w:space="0" w:color="auto"/>
                    <w:left w:val="none" w:sz="0" w:space="0" w:color="auto"/>
                    <w:bottom w:val="none" w:sz="0" w:space="0" w:color="auto"/>
                    <w:right w:val="none" w:sz="0" w:space="0" w:color="auto"/>
                  </w:divBdr>
                  <w:divsChild>
                    <w:div w:id="12737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10259">
      <w:bodyDiv w:val="1"/>
      <w:marLeft w:val="0"/>
      <w:marRight w:val="0"/>
      <w:marTop w:val="0"/>
      <w:marBottom w:val="0"/>
      <w:divBdr>
        <w:top w:val="none" w:sz="0" w:space="0" w:color="auto"/>
        <w:left w:val="none" w:sz="0" w:space="0" w:color="auto"/>
        <w:bottom w:val="none" w:sz="0" w:space="0" w:color="auto"/>
        <w:right w:val="none" w:sz="0" w:space="0" w:color="auto"/>
      </w:divBdr>
      <w:divsChild>
        <w:div w:id="144978515">
          <w:marLeft w:val="0"/>
          <w:marRight w:val="0"/>
          <w:marTop w:val="0"/>
          <w:marBottom w:val="0"/>
          <w:divBdr>
            <w:top w:val="none" w:sz="0" w:space="0" w:color="auto"/>
            <w:left w:val="none" w:sz="0" w:space="0" w:color="auto"/>
            <w:bottom w:val="none" w:sz="0" w:space="0" w:color="auto"/>
            <w:right w:val="none" w:sz="0" w:space="0" w:color="auto"/>
          </w:divBdr>
          <w:divsChild>
            <w:div w:id="287781848">
              <w:marLeft w:val="0"/>
              <w:marRight w:val="0"/>
              <w:marTop w:val="0"/>
              <w:marBottom w:val="0"/>
              <w:divBdr>
                <w:top w:val="none" w:sz="0" w:space="0" w:color="auto"/>
                <w:left w:val="none" w:sz="0" w:space="0" w:color="auto"/>
                <w:bottom w:val="none" w:sz="0" w:space="0" w:color="auto"/>
                <w:right w:val="none" w:sz="0" w:space="0" w:color="auto"/>
              </w:divBdr>
              <w:divsChild>
                <w:div w:id="532428674">
                  <w:marLeft w:val="0"/>
                  <w:marRight w:val="0"/>
                  <w:marTop w:val="0"/>
                  <w:marBottom w:val="0"/>
                  <w:divBdr>
                    <w:top w:val="none" w:sz="0" w:space="0" w:color="auto"/>
                    <w:left w:val="none" w:sz="0" w:space="0" w:color="auto"/>
                    <w:bottom w:val="none" w:sz="0" w:space="0" w:color="auto"/>
                    <w:right w:val="none" w:sz="0" w:space="0" w:color="auto"/>
                  </w:divBdr>
                  <w:divsChild>
                    <w:div w:id="2505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046606">
      <w:bodyDiv w:val="1"/>
      <w:marLeft w:val="0"/>
      <w:marRight w:val="0"/>
      <w:marTop w:val="0"/>
      <w:marBottom w:val="0"/>
      <w:divBdr>
        <w:top w:val="none" w:sz="0" w:space="0" w:color="auto"/>
        <w:left w:val="none" w:sz="0" w:space="0" w:color="auto"/>
        <w:bottom w:val="none" w:sz="0" w:space="0" w:color="auto"/>
        <w:right w:val="none" w:sz="0" w:space="0" w:color="auto"/>
      </w:divBdr>
    </w:div>
    <w:div w:id="977488119">
      <w:bodyDiv w:val="1"/>
      <w:marLeft w:val="0"/>
      <w:marRight w:val="0"/>
      <w:marTop w:val="0"/>
      <w:marBottom w:val="0"/>
      <w:divBdr>
        <w:top w:val="none" w:sz="0" w:space="0" w:color="auto"/>
        <w:left w:val="none" w:sz="0" w:space="0" w:color="auto"/>
        <w:bottom w:val="none" w:sz="0" w:space="0" w:color="auto"/>
        <w:right w:val="none" w:sz="0" w:space="0" w:color="auto"/>
      </w:divBdr>
      <w:divsChild>
        <w:div w:id="216205130">
          <w:marLeft w:val="0"/>
          <w:marRight w:val="0"/>
          <w:marTop w:val="0"/>
          <w:marBottom w:val="0"/>
          <w:divBdr>
            <w:top w:val="none" w:sz="0" w:space="0" w:color="auto"/>
            <w:left w:val="none" w:sz="0" w:space="0" w:color="auto"/>
            <w:bottom w:val="none" w:sz="0" w:space="0" w:color="auto"/>
            <w:right w:val="none" w:sz="0" w:space="0" w:color="auto"/>
          </w:divBdr>
          <w:divsChild>
            <w:div w:id="1389768287">
              <w:marLeft w:val="0"/>
              <w:marRight w:val="0"/>
              <w:marTop w:val="0"/>
              <w:marBottom w:val="0"/>
              <w:divBdr>
                <w:top w:val="none" w:sz="0" w:space="0" w:color="auto"/>
                <w:left w:val="none" w:sz="0" w:space="0" w:color="auto"/>
                <w:bottom w:val="none" w:sz="0" w:space="0" w:color="auto"/>
                <w:right w:val="none" w:sz="0" w:space="0" w:color="auto"/>
              </w:divBdr>
              <w:divsChild>
                <w:div w:id="1849254013">
                  <w:marLeft w:val="0"/>
                  <w:marRight w:val="0"/>
                  <w:marTop w:val="0"/>
                  <w:marBottom w:val="0"/>
                  <w:divBdr>
                    <w:top w:val="none" w:sz="0" w:space="0" w:color="auto"/>
                    <w:left w:val="none" w:sz="0" w:space="0" w:color="auto"/>
                    <w:bottom w:val="none" w:sz="0" w:space="0" w:color="auto"/>
                    <w:right w:val="none" w:sz="0" w:space="0" w:color="auto"/>
                  </w:divBdr>
                  <w:divsChild>
                    <w:div w:id="52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556743">
      <w:bodyDiv w:val="1"/>
      <w:marLeft w:val="0"/>
      <w:marRight w:val="0"/>
      <w:marTop w:val="0"/>
      <w:marBottom w:val="0"/>
      <w:divBdr>
        <w:top w:val="none" w:sz="0" w:space="0" w:color="auto"/>
        <w:left w:val="none" w:sz="0" w:space="0" w:color="auto"/>
        <w:bottom w:val="none" w:sz="0" w:space="0" w:color="auto"/>
        <w:right w:val="none" w:sz="0" w:space="0" w:color="auto"/>
      </w:divBdr>
    </w:div>
    <w:div w:id="1060251746">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sChild>
            <w:div w:id="1404335937">
              <w:marLeft w:val="0"/>
              <w:marRight w:val="0"/>
              <w:marTop w:val="0"/>
              <w:marBottom w:val="0"/>
              <w:divBdr>
                <w:top w:val="none" w:sz="0" w:space="0" w:color="auto"/>
                <w:left w:val="none" w:sz="0" w:space="0" w:color="auto"/>
                <w:bottom w:val="none" w:sz="0" w:space="0" w:color="auto"/>
                <w:right w:val="none" w:sz="0" w:space="0" w:color="auto"/>
              </w:divBdr>
              <w:divsChild>
                <w:div w:id="750086544">
                  <w:marLeft w:val="0"/>
                  <w:marRight w:val="0"/>
                  <w:marTop w:val="0"/>
                  <w:marBottom w:val="0"/>
                  <w:divBdr>
                    <w:top w:val="none" w:sz="0" w:space="0" w:color="auto"/>
                    <w:left w:val="none" w:sz="0" w:space="0" w:color="auto"/>
                    <w:bottom w:val="none" w:sz="0" w:space="0" w:color="auto"/>
                    <w:right w:val="none" w:sz="0" w:space="0" w:color="auto"/>
                  </w:divBdr>
                  <w:divsChild>
                    <w:div w:id="16924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sChild>
        <w:div w:id="2091392924">
          <w:marLeft w:val="0"/>
          <w:marRight w:val="0"/>
          <w:marTop w:val="0"/>
          <w:marBottom w:val="0"/>
          <w:divBdr>
            <w:top w:val="none" w:sz="0" w:space="0" w:color="auto"/>
            <w:left w:val="none" w:sz="0" w:space="0" w:color="auto"/>
            <w:bottom w:val="none" w:sz="0" w:space="0" w:color="auto"/>
            <w:right w:val="none" w:sz="0" w:space="0" w:color="auto"/>
          </w:divBdr>
          <w:divsChild>
            <w:div w:id="1597245787">
              <w:marLeft w:val="0"/>
              <w:marRight w:val="0"/>
              <w:marTop w:val="0"/>
              <w:marBottom w:val="0"/>
              <w:divBdr>
                <w:top w:val="none" w:sz="0" w:space="0" w:color="auto"/>
                <w:left w:val="none" w:sz="0" w:space="0" w:color="auto"/>
                <w:bottom w:val="none" w:sz="0" w:space="0" w:color="auto"/>
                <w:right w:val="none" w:sz="0" w:space="0" w:color="auto"/>
              </w:divBdr>
              <w:divsChild>
                <w:div w:id="822157724">
                  <w:marLeft w:val="0"/>
                  <w:marRight w:val="0"/>
                  <w:marTop w:val="0"/>
                  <w:marBottom w:val="0"/>
                  <w:divBdr>
                    <w:top w:val="none" w:sz="0" w:space="0" w:color="auto"/>
                    <w:left w:val="none" w:sz="0" w:space="0" w:color="auto"/>
                    <w:bottom w:val="none" w:sz="0" w:space="0" w:color="auto"/>
                    <w:right w:val="none" w:sz="0" w:space="0" w:color="auto"/>
                  </w:divBdr>
                  <w:divsChild>
                    <w:div w:id="21363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741881">
      <w:bodyDiv w:val="1"/>
      <w:marLeft w:val="0"/>
      <w:marRight w:val="0"/>
      <w:marTop w:val="0"/>
      <w:marBottom w:val="0"/>
      <w:divBdr>
        <w:top w:val="none" w:sz="0" w:space="0" w:color="auto"/>
        <w:left w:val="none" w:sz="0" w:space="0" w:color="auto"/>
        <w:bottom w:val="none" w:sz="0" w:space="0" w:color="auto"/>
        <w:right w:val="none" w:sz="0" w:space="0" w:color="auto"/>
      </w:divBdr>
    </w:div>
    <w:div w:id="1945724349">
      <w:bodyDiv w:val="1"/>
      <w:marLeft w:val="0"/>
      <w:marRight w:val="0"/>
      <w:marTop w:val="0"/>
      <w:marBottom w:val="0"/>
      <w:divBdr>
        <w:top w:val="none" w:sz="0" w:space="0" w:color="auto"/>
        <w:left w:val="none" w:sz="0" w:space="0" w:color="auto"/>
        <w:bottom w:val="none" w:sz="0" w:space="0" w:color="auto"/>
        <w:right w:val="none" w:sz="0" w:space="0" w:color="auto"/>
      </w:divBdr>
      <w:divsChild>
        <w:div w:id="2051882862">
          <w:marLeft w:val="0"/>
          <w:marRight w:val="0"/>
          <w:marTop w:val="0"/>
          <w:marBottom w:val="0"/>
          <w:divBdr>
            <w:top w:val="none" w:sz="0" w:space="0" w:color="auto"/>
            <w:left w:val="none" w:sz="0" w:space="0" w:color="auto"/>
            <w:bottom w:val="none" w:sz="0" w:space="0" w:color="auto"/>
            <w:right w:val="none" w:sz="0" w:space="0" w:color="auto"/>
          </w:divBdr>
          <w:divsChild>
            <w:div w:id="1347515213">
              <w:marLeft w:val="0"/>
              <w:marRight w:val="0"/>
              <w:marTop w:val="0"/>
              <w:marBottom w:val="0"/>
              <w:divBdr>
                <w:top w:val="none" w:sz="0" w:space="0" w:color="auto"/>
                <w:left w:val="none" w:sz="0" w:space="0" w:color="auto"/>
                <w:bottom w:val="none" w:sz="0" w:space="0" w:color="auto"/>
                <w:right w:val="none" w:sz="0" w:space="0" w:color="auto"/>
              </w:divBdr>
              <w:divsChild>
                <w:div w:id="18639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8E683-388A-4216-9AFC-9A58BC5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37C6F1-161B-4D71-BD8E-66B5EE4615C3}">
  <ds:schemaRefs>
    <ds:schemaRef ds:uri="http://schemas.microsoft.com/sharepoint/v3/contenttype/forms"/>
  </ds:schemaRefs>
</ds:datastoreItem>
</file>

<file path=customXml/itemProps3.xml><?xml version="1.0" encoding="utf-8"?>
<ds:datastoreItem xmlns:ds="http://schemas.openxmlformats.org/officeDocument/2006/customXml" ds:itemID="{C71100CE-85C7-4C22-AB9E-3203EBE5FC3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0C97FB6-FB3C-9842-BD3E-45759BC7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5392</Words>
  <Characters>29656</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Cindy Natalia Sierra Benítez</cp:lastModifiedBy>
  <cp:revision>3</cp:revision>
  <dcterms:created xsi:type="dcterms:W3CDTF">2020-09-17T15:24:00Z</dcterms:created>
  <dcterms:modified xsi:type="dcterms:W3CDTF">2020-10-08T19:49:00Z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