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9C69F6" w14:textId="77777777" w:rsidR="003841C0" w:rsidRPr="00AF1555" w:rsidRDefault="003841C0" w:rsidP="003841C0">
      <w:pPr>
        <w:tabs>
          <w:tab w:val="left" w:pos="709"/>
        </w:tabs>
        <w:spacing w:after="0" w:line="240" w:lineRule="auto"/>
        <w:jc w:val="both"/>
        <w:rPr>
          <w:rFonts w:ascii="Verdana" w:eastAsia="Calibri" w:hAnsi="Verdana" w:cs="Arial"/>
          <w:bCs/>
          <w:sz w:val="20"/>
          <w:szCs w:val="20"/>
          <w:lang w:val="es-ES_tradnl" w:eastAsia="es-ES_tradnl"/>
        </w:rPr>
      </w:pPr>
    </w:p>
    <w:p w14:paraId="2E9A0A4A" w14:textId="77777777" w:rsidR="003841C0" w:rsidRPr="00AF1555" w:rsidRDefault="003841C0" w:rsidP="003841C0">
      <w:pPr>
        <w:spacing w:after="0" w:line="240" w:lineRule="auto"/>
        <w:jc w:val="both"/>
        <w:rPr>
          <w:rFonts w:ascii="Verdana" w:eastAsia="Calibri" w:hAnsi="Verdana" w:cs="Arial"/>
          <w:b/>
          <w:color w:val="000000" w:themeColor="text1"/>
          <w:lang w:val="es-ES"/>
        </w:rPr>
      </w:pPr>
      <w:r>
        <w:rPr>
          <w:rFonts w:ascii="Verdana" w:eastAsia="Calibri" w:hAnsi="Verdana" w:cs="Arial"/>
          <w:b/>
          <w:color w:val="000000" w:themeColor="text1"/>
          <w:lang w:val="es-ES"/>
        </w:rPr>
        <w:t>EGCAP</w:t>
      </w:r>
      <w:r w:rsidRPr="00E95799">
        <w:rPr>
          <w:rFonts w:ascii="Verdana" w:eastAsia="Calibri" w:hAnsi="Verdana" w:cs="Arial"/>
          <w:b/>
          <w:color w:val="000000" w:themeColor="text1"/>
          <w:lang w:val="es-ES"/>
        </w:rPr>
        <w:t xml:space="preserve"> – </w:t>
      </w:r>
      <w:r>
        <w:rPr>
          <w:rFonts w:ascii="Verdana" w:eastAsia="Calibri" w:hAnsi="Verdana" w:cs="Arial"/>
          <w:b/>
          <w:color w:val="000000" w:themeColor="text1"/>
          <w:lang w:val="es-ES"/>
        </w:rPr>
        <w:t>Ámbito de aplicación</w:t>
      </w:r>
      <w:r w:rsidRPr="00E95799">
        <w:rPr>
          <w:rFonts w:ascii="Verdana" w:eastAsia="Calibri" w:hAnsi="Verdana" w:cs="Arial"/>
          <w:b/>
          <w:color w:val="000000" w:themeColor="text1"/>
          <w:lang w:val="es-ES"/>
        </w:rPr>
        <w:t xml:space="preserve"> – </w:t>
      </w:r>
      <w:r>
        <w:rPr>
          <w:rFonts w:ascii="Verdana" w:eastAsia="Calibri" w:hAnsi="Verdana" w:cs="Arial"/>
          <w:b/>
          <w:color w:val="000000" w:themeColor="text1"/>
          <w:lang w:val="es-ES"/>
        </w:rPr>
        <w:t>Entidades estatales</w:t>
      </w:r>
      <w:r w:rsidRPr="00AF1555">
        <w:rPr>
          <w:rFonts w:ascii="Verdana" w:eastAsia="Calibri" w:hAnsi="Verdana" w:cs="Arial"/>
          <w:b/>
          <w:color w:val="000000" w:themeColor="text1"/>
          <w:lang w:val="es-ES"/>
        </w:rPr>
        <w:t xml:space="preserve"> </w:t>
      </w:r>
    </w:p>
    <w:p w14:paraId="66897F63" w14:textId="77777777" w:rsidR="003841C0" w:rsidRPr="00AF1555" w:rsidRDefault="003841C0" w:rsidP="003841C0">
      <w:pPr>
        <w:spacing w:after="0" w:line="240" w:lineRule="auto"/>
        <w:jc w:val="both"/>
        <w:rPr>
          <w:rFonts w:ascii="Verdana" w:eastAsia="Calibri" w:hAnsi="Verdana" w:cs="Arial"/>
          <w:bCs/>
          <w:color w:val="000000" w:themeColor="text1"/>
          <w:sz w:val="20"/>
          <w:szCs w:val="20"/>
          <w:lang w:val="es-ES"/>
        </w:rPr>
      </w:pPr>
    </w:p>
    <w:p w14:paraId="43E8F63F" w14:textId="77777777" w:rsidR="003841C0" w:rsidRDefault="003841C0" w:rsidP="003841C0">
      <w:pPr>
        <w:spacing w:after="0" w:line="240" w:lineRule="auto"/>
        <w:jc w:val="both"/>
        <w:rPr>
          <w:rFonts w:ascii="Verdana" w:eastAsia="Calibri" w:hAnsi="Verdana" w:cs="Arial"/>
          <w:bCs/>
          <w:color w:val="000000" w:themeColor="text1"/>
          <w:sz w:val="20"/>
          <w:szCs w:val="20"/>
          <w:lang w:val="es-ES" w:eastAsia="es-ES_tradnl"/>
        </w:rPr>
      </w:pPr>
      <w:r w:rsidRPr="0006328C">
        <w:rPr>
          <w:rFonts w:ascii="Verdana" w:eastAsia="Calibri" w:hAnsi="Verdana" w:cs="Arial"/>
          <w:bCs/>
          <w:color w:val="000000" w:themeColor="text1"/>
          <w:sz w:val="20"/>
          <w:szCs w:val="20"/>
          <w:lang w:val="es-ES" w:eastAsia="es-ES_tradnl"/>
        </w:rPr>
        <w:t xml:space="preserve">De acuerdo con el inciso final del artículo 150 superior, corresponde al Congreso de la República expedir el Estatuto General de Contratación de la Administración Pública y, en especial, de la Administración Nacional. Esta competencia fue ejercida con la expedición de la Ley 80 de 1993, la cual rige para las </w:t>
      </w:r>
      <w:r w:rsidRPr="0006328C">
        <w:rPr>
          <w:rFonts w:ascii="Verdana" w:eastAsia="Calibri" w:hAnsi="Verdana" w:cs="Arial"/>
          <w:bCs/>
          <w:i/>
          <w:iCs/>
          <w:color w:val="000000" w:themeColor="text1"/>
          <w:sz w:val="20"/>
          <w:szCs w:val="20"/>
          <w:lang w:val="es-ES" w:eastAsia="es-ES_tradnl"/>
        </w:rPr>
        <w:t>entidades estatales</w:t>
      </w:r>
      <w:r w:rsidRPr="0006328C">
        <w:rPr>
          <w:rFonts w:ascii="Verdana" w:eastAsia="Calibri" w:hAnsi="Verdana" w:cs="Arial"/>
          <w:bCs/>
          <w:color w:val="000000" w:themeColor="text1"/>
          <w:sz w:val="20"/>
          <w:szCs w:val="20"/>
          <w:lang w:val="es-ES" w:eastAsia="es-ES_tradnl"/>
        </w:rPr>
        <w:t xml:space="preserve">, esto es, aquellas previstas en los literales a) y b) del numeral 1 del artículo 2 </w:t>
      </w:r>
      <w:r w:rsidRPr="0006328C">
        <w:rPr>
          <w:rFonts w:ascii="Verdana" w:eastAsia="Calibri" w:hAnsi="Verdana" w:cs="Arial"/>
          <w:bCs/>
          <w:i/>
          <w:iCs/>
          <w:color w:val="000000" w:themeColor="text1"/>
          <w:sz w:val="20"/>
          <w:szCs w:val="20"/>
          <w:lang w:val="es-ES" w:eastAsia="es-ES_tradnl"/>
        </w:rPr>
        <w:t>ibidem</w:t>
      </w:r>
      <w:r w:rsidRPr="0006328C">
        <w:rPr>
          <w:rFonts w:ascii="Verdana" w:eastAsia="Calibri" w:hAnsi="Verdana" w:cs="Arial"/>
          <w:bCs/>
          <w:color w:val="000000" w:themeColor="text1"/>
          <w:sz w:val="20"/>
          <w:szCs w:val="20"/>
          <w:lang w:val="es-ES" w:eastAsia="es-ES_tradnl"/>
        </w:rPr>
        <w:t xml:space="preserve">. La norma citada define la competencia contractual en los siguientes términos: </w:t>
      </w:r>
    </w:p>
    <w:p w14:paraId="5B3B9D56" w14:textId="77777777" w:rsidR="003841C0" w:rsidRPr="0006328C" w:rsidRDefault="003841C0" w:rsidP="003841C0">
      <w:pPr>
        <w:spacing w:after="0" w:line="240" w:lineRule="auto"/>
        <w:jc w:val="both"/>
        <w:rPr>
          <w:rFonts w:ascii="Verdana" w:eastAsia="Calibri" w:hAnsi="Verdana" w:cs="Arial"/>
          <w:bCs/>
          <w:color w:val="000000" w:themeColor="text1"/>
          <w:sz w:val="20"/>
          <w:szCs w:val="20"/>
          <w:lang w:val="es-ES" w:eastAsia="es-ES_tradnl"/>
        </w:rPr>
      </w:pPr>
    </w:p>
    <w:p w14:paraId="190FCCE7" w14:textId="77777777" w:rsidR="003841C0" w:rsidRDefault="003841C0" w:rsidP="003841C0">
      <w:pPr>
        <w:spacing w:after="0" w:line="240" w:lineRule="auto"/>
        <w:jc w:val="both"/>
        <w:rPr>
          <w:rFonts w:ascii="Verdana" w:eastAsia="Calibri" w:hAnsi="Verdana" w:cs="Arial"/>
          <w:bCs/>
          <w:color w:val="000000" w:themeColor="text1"/>
          <w:sz w:val="20"/>
          <w:szCs w:val="20"/>
          <w:lang w:val="es-ES" w:eastAsia="es-ES_tradnl"/>
        </w:rPr>
      </w:pPr>
      <w:r w:rsidRPr="0006328C">
        <w:rPr>
          <w:rFonts w:ascii="Verdana" w:eastAsia="Calibri" w:hAnsi="Verdana" w:cs="Arial"/>
          <w:bCs/>
          <w:color w:val="000000" w:themeColor="text1"/>
          <w:sz w:val="20"/>
          <w:szCs w:val="20"/>
          <w:lang w:val="es-ES" w:eastAsia="es-ES_tradnl"/>
        </w:rPr>
        <w:t xml:space="preserve">El literal a) aplica a las entidades con personería jurídica. Alude a la Nación, las regiones, los departamentos, las provincias, el distrito capital y los distritos especiales, las áreas metropolitanas, las asociaciones de municipios, los territorios indígenas y los municipios; los establecimientos públicos, las empresas industriales y comerciales del Estado, las sociedades de economía mixta en las que el Estado tenga participación superior al cincuenta por ciento (50%), así como las entidades descentralizadas indirectas y las demás personas jurídicas en las que exista dicha participación pública mayoritaria, cualquiera sea la denominación que ellas adopten, en todos los órdenes y niveles. </w:t>
      </w:r>
    </w:p>
    <w:p w14:paraId="0E347989" w14:textId="77777777" w:rsidR="003841C0" w:rsidRPr="0006328C" w:rsidRDefault="003841C0" w:rsidP="003841C0">
      <w:pPr>
        <w:spacing w:after="0" w:line="240" w:lineRule="auto"/>
        <w:jc w:val="both"/>
        <w:rPr>
          <w:rFonts w:ascii="Verdana" w:eastAsia="Calibri" w:hAnsi="Verdana" w:cs="Arial"/>
          <w:bCs/>
          <w:color w:val="000000" w:themeColor="text1"/>
          <w:sz w:val="20"/>
          <w:szCs w:val="20"/>
          <w:lang w:val="es-ES" w:eastAsia="es-ES_tradnl"/>
        </w:rPr>
      </w:pPr>
      <w:r w:rsidRPr="0006328C">
        <w:rPr>
          <w:rFonts w:ascii="Verdana" w:eastAsia="Calibri" w:hAnsi="Verdana" w:cs="Arial"/>
          <w:bCs/>
          <w:color w:val="000000" w:themeColor="text1"/>
          <w:sz w:val="20"/>
          <w:szCs w:val="20"/>
          <w:lang w:val="es-ES" w:eastAsia="es-ES_tradnl"/>
        </w:rPr>
        <w:t xml:space="preserve"> </w:t>
      </w:r>
    </w:p>
    <w:p w14:paraId="0E27386A" w14:textId="77777777" w:rsidR="003841C0" w:rsidRPr="00EB0B5F" w:rsidRDefault="003841C0" w:rsidP="003841C0">
      <w:pPr>
        <w:spacing w:after="0" w:line="240" w:lineRule="auto"/>
        <w:jc w:val="both"/>
        <w:rPr>
          <w:rFonts w:ascii="Verdana" w:eastAsia="Calibri" w:hAnsi="Verdana" w:cs="Arial"/>
          <w:iCs/>
          <w:color w:val="000000" w:themeColor="text1"/>
          <w:sz w:val="20"/>
          <w:szCs w:val="20"/>
          <w:lang w:eastAsia="es-ES_tradnl"/>
        </w:rPr>
      </w:pPr>
      <w:r w:rsidRPr="0006328C">
        <w:rPr>
          <w:rFonts w:ascii="Verdana" w:eastAsia="Calibri" w:hAnsi="Verdana" w:cs="Arial"/>
          <w:bCs/>
          <w:color w:val="000000" w:themeColor="text1"/>
          <w:sz w:val="20"/>
          <w:szCs w:val="20"/>
          <w:lang w:val="es-ES" w:eastAsia="es-ES_tradnl"/>
        </w:rPr>
        <w:t>En contraste, el literal b) rige para las autoridades que carecen de personería, pero a las que el ordenamiento les otorga “capacidad” para celebrar contratos. Estas entidades son el Senado de la República, la Cámara de Representantes, el Consejo Superior de la Judicatura, la Fiscalía General de la Nación, la Contraloría General de la República, las contralorías departamentales, distritales y municipales, la Procuraduría General de la Nación, la Registraduría Nacional del Estado Civil, los ministerios, los departamentos administrativos, las superintendencias, las unidades administrativas especiales y, en general, los organismos o dependencias del Estado a los que la ley otorgue capacidad para celebrar contratos. De acuerdo con el artículo 352 superior, este último apartado debe armonizarse con el artículo 110 del Decreto 111 de 1996, modificado por el artículo 124 de la Ley 1957 de 2019</w:t>
      </w:r>
      <w:r w:rsidRPr="00AF1555">
        <w:rPr>
          <w:rFonts w:ascii="Verdana" w:eastAsia="Calibri" w:hAnsi="Verdana" w:cs="Arial"/>
          <w:color w:val="000000" w:themeColor="text1"/>
          <w:sz w:val="20"/>
          <w:szCs w:val="20"/>
          <w:lang w:val="es-ES_tradnl"/>
        </w:rPr>
        <w:t>.</w:t>
      </w:r>
    </w:p>
    <w:p w14:paraId="11AC0477" w14:textId="77777777" w:rsidR="003841C0" w:rsidRPr="00AF1555" w:rsidRDefault="003841C0" w:rsidP="003841C0">
      <w:pPr>
        <w:spacing w:after="0" w:line="240" w:lineRule="auto"/>
        <w:rPr>
          <w:rFonts w:ascii="Verdana" w:eastAsia="Geomanist Light" w:hAnsi="Verdana" w:cs="Arial"/>
          <w:color w:val="000000" w:themeColor="text1"/>
          <w:sz w:val="20"/>
          <w:szCs w:val="20"/>
          <w:lang w:val="es-ES_tradnl"/>
        </w:rPr>
      </w:pPr>
    </w:p>
    <w:p w14:paraId="0F34076D" w14:textId="77777777" w:rsidR="003841C0" w:rsidRPr="00AF1555" w:rsidRDefault="003841C0" w:rsidP="003841C0">
      <w:pPr>
        <w:spacing w:after="0" w:line="240" w:lineRule="auto"/>
        <w:jc w:val="both"/>
        <w:rPr>
          <w:rFonts w:ascii="Verdana" w:eastAsia="Calibri" w:hAnsi="Verdana" w:cs="Arial"/>
          <w:b/>
          <w:lang w:val="es-ES"/>
        </w:rPr>
      </w:pPr>
      <w:r>
        <w:rPr>
          <w:rFonts w:ascii="Verdana" w:eastAsia="Calibri" w:hAnsi="Verdana" w:cs="Arial"/>
          <w:b/>
          <w:lang w:val="es-ES"/>
        </w:rPr>
        <w:t>ENTIDADES EXCEPTUADAS</w:t>
      </w:r>
      <w:r w:rsidRPr="00E95799">
        <w:rPr>
          <w:rFonts w:ascii="Verdana" w:eastAsia="Calibri" w:hAnsi="Verdana" w:cs="Arial"/>
          <w:b/>
          <w:lang w:val="es-ES"/>
        </w:rPr>
        <w:t xml:space="preserve"> – </w:t>
      </w:r>
      <w:r>
        <w:rPr>
          <w:rFonts w:ascii="Verdana" w:eastAsia="Calibri" w:hAnsi="Verdana" w:cs="Arial"/>
          <w:b/>
          <w:lang w:val="es-ES"/>
        </w:rPr>
        <w:t>Aplicación de normas de derecho público</w:t>
      </w:r>
    </w:p>
    <w:p w14:paraId="5A0D8AEE" w14:textId="77777777" w:rsidR="003841C0" w:rsidRPr="00AF1555" w:rsidRDefault="003841C0" w:rsidP="003841C0">
      <w:pPr>
        <w:spacing w:after="0" w:line="240" w:lineRule="auto"/>
        <w:jc w:val="both"/>
        <w:rPr>
          <w:rFonts w:ascii="Verdana" w:eastAsia="Calibri" w:hAnsi="Verdana" w:cs="Arial"/>
          <w:b/>
          <w:sz w:val="20"/>
          <w:szCs w:val="20"/>
          <w:lang w:val="es-ES"/>
        </w:rPr>
      </w:pPr>
    </w:p>
    <w:p w14:paraId="5497BE5A" w14:textId="77777777" w:rsidR="003841C0" w:rsidRPr="00EB0B5F" w:rsidRDefault="003841C0" w:rsidP="003841C0">
      <w:pPr>
        <w:spacing w:after="0" w:line="240" w:lineRule="auto"/>
        <w:jc w:val="both"/>
        <w:rPr>
          <w:rFonts w:ascii="Verdana" w:eastAsia="Calibri" w:hAnsi="Verdana" w:cs="Arial"/>
          <w:bCs/>
          <w:sz w:val="20"/>
          <w:szCs w:val="20"/>
        </w:rPr>
      </w:pPr>
      <w:r>
        <w:rPr>
          <w:rFonts w:ascii="Verdana" w:eastAsia="Calibri" w:hAnsi="Verdana" w:cs="Arial"/>
          <w:bCs/>
          <w:sz w:val="20"/>
          <w:szCs w:val="20"/>
        </w:rPr>
        <w:t xml:space="preserve">[…] </w:t>
      </w:r>
      <w:r w:rsidRPr="00FB2E1F">
        <w:rPr>
          <w:rFonts w:ascii="Verdana" w:eastAsia="Calibri" w:hAnsi="Verdana" w:cs="Arial"/>
          <w:bCs/>
          <w:sz w:val="20"/>
          <w:szCs w:val="20"/>
        </w:rPr>
        <w:t xml:space="preserve">aunque tenga una influencia limitada, las </w:t>
      </w:r>
      <w:r w:rsidRPr="00FB2E1F">
        <w:rPr>
          <w:rFonts w:ascii="Verdana" w:eastAsia="Calibri" w:hAnsi="Verdana" w:cs="Arial"/>
          <w:bCs/>
          <w:i/>
          <w:iCs/>
          <w:sz w:val="20"/>
          <w:szCs w:val="20"/>
        </w:rPr>
        <w:t>entidades del régimen exceptuado</w:t>
      </w:r>
      <w:r w:rsidRPr="00FB2E1F">
        <w:rPr>
          <w:rFonts w:ascii="Verdana" w:eastAsia="Calibri" w:hAnsi="Verdana" w:cs="Arial"/>
          <w:bCs/>
          <w:sz w:val="20"/>
          <w:szCs w:val="20"/>
        </w:rPr>
        <w:t xml:space="preserve"> no se deslingan por completo de las normas de derecho público. Esto en la medida que el inciso primero del artículo 13 de la Ley 1150 de 2007 prescribe lo siguiente: “Las entidades estatales que por disposición legal cuenten con un régimen contractual excepcional al del Estatuto General de Contratación de la Administración Pública, aplicarán en desarrollo de su actividad contractual, acorde con su régimen legal especial, los principios de la función administrativa y de la gestión fiscal de que tratan los artículos 209 y 267 de la Constitución Política, respectivamente según sea el caso y estarán sometidas al régimen de inhabilidades e incompatibilidades previsto legalmente para la contratación estatal”</w:t>
      </w:r>
      <w:r w:rsidRPr="00AF1555">
        <w:rPr>
          <w:rFonts w:ascii="Verdana" w:eastAsia="Calibri" w:hAnsi="Verdana" w:cs="Arial"/>
          <w:color w:val="000000"/>
          <w:sz w:val="20"/>
          <w:szCs w:val="20"/>
          <w:lang w:val="es-ES_tradnl"/>
        </w:rPr>
        <w:t>.</w:t>
      </w:r>
    </w:p>
    <w:p w14:paraId="5C6E6021" w14:textId="77777777" w:rsidR="003841C0" w:rsidRPr="00AF1555" w:rsidRDefault="003841C0" w:rsidP="003841C0">
      <w:pPr>
        <w:spacing w:after="0" w:line="240" w:lineRule="auto"/>
        <w:jc w:val="both"/>
        <w:rPr>
          <w:rFonts w:ascii="Verdana" w:eastAsia="Geomanist Light" w:hAnsi="Verdana" w:cs="Arial"/>
          <w:color w:val="000000" w:themeColor="text1"/>
          <w:sz w:val="20"/>
          <w:szCs w:val="20"/>
          <w:lang w:val="es-ES_tradnl"/>
        </w:rPr>
      </w:pPr>
    </w:p>
    <w:p w14:paraId="116ABF3D" w14:textId="77777777" w:rsidR="003841C0" w:rsidRPr="00AF1555" w:rsidRDefault="003841C0" w:rsidP="003841C0">
      <w:pPr>
        <w:tabs>
          <w:tab w:val="left" w:pos="426"/>
        </w:tabs>
        <w:spacing w:after="0" w:line="240" w:lineRule="auto"/>
        <w:jc w:val="both"/>
        <w:rPr>
          <w:rFonts w:ascii="Verdana" w:hAnsi="Verdana" w:cs="Arial"/>
          <w:b/>
          <w:lang w:eastAsia="es-CO"/>
        </w:rPr>
      </w:pPr>
      <w:r>
        <w:rPr>
          <w:rFonts w:ascii="Verdana" w:hAnsi="Verdana" w:cs="Arial"/>
          <w:b/>
          <w:lang w:eastAsia="es-CO"/>
        </w:rPr>
        <w:t>CONTRATO ESTATAL</w:t>
      </w:r>
      <w:r w:rsidRPr="00607390">
        <w:rPr>
          <w:rFonts w:ascii="Verdana" w:hAnsi="Verdana" w:cs="Arial"/>
          <w:b/>
          <w:lang w:eastAsia="es-CO"/>
        </w:rPr>
        <w:t xml:space="preserve"> – </w:t>
      </w:r>
      <w:r>
        <w:rPr>
          <w:rFonts w:ascii="Verdana" w:hAnsi="Verdana" w:cs="Arial"/>
          <w:b/>
          <w:lang w:eastAsia="es-CO"/>
        </w:rPr>
        <w:t>Criterio orgánico</w:t>
      </w:r>
      <w:r w:rsidRPr="00AF1555">
        <w:rPr>
          <w:rFonts w:ascii="Verdana" w:hAnsi="Verdana" w:cs="Arial"/>
          <w:b/>
          <w:lang w:eastAsia="es-CO"/>
        </w:rPr>
        <w:t xml:space="preserve">  </w:t>
      </w:r>
    </w:p>
    <w:p w14:paraId="47373431" w14:textId="77777777" w:rsidR="003841C0" w:rsidRPr="00AF1555" w:rsidRDefault="003841C0" w:rsidP="003841C0">
      <w:pPr>
        <w:tabs>
          <w:tab w:val="left" w:pos="426"/>
        </w:tabs>
        <w:spacing w:after="0" w:line="240" w:lineRule="auto"/>
        <w:jc w:val="both"/>
        <w:rPr>
          <w:rFonts w:ascii="Verdana" w:hAnsi="Verdana" w:cs="Arial"/>
          <w:b/>
          <w:sz w:val="20"/>
          <w:szCs w:val="20"/>
          <w:lang w:eastAsia="es-CO"/>
        </w:rPr>
      </w:pPr>
    </w:p>
    <w:p w14:paraId="2BDA1C03" w14:textId="77777777" w:rsidR="003841C0" w:rsidRDefault="003841C0" w:rsidP="003841C0">
      <w:pPr>
        <w:spacing w:after="0" w:line="240" w:lineRule="auto"/>
        <w:jc w:val="both"/>
        <w:rPr>
          <w:rFonts w:ascii="Verdana" w:hAnsi="Verdana" w:cs="Arial"/>
          <w:bCs/>
          <w:sz w:val="20"/>
          <w:szCs w:val="20"/>
          <w:lang w:val="es-ES" w:eastAsia="es-CO"/>
        </w:rPr>
      </w:pPr>
      <w:r w:rsidRPr="0006328C">
        <w:rPr>
          <w:rFonts w:ascii="Verdana" w:hAnsi="Verdana" w:cs="Arial"/>
          <w:bCs/>
          <w:sz w:val="20"/>
          <w:szCs w:val="20"/>
          <w:lang w:eastAsia="es-CO"/>
        </w:rPr>
        <w:lastRenderedPageBreak/>
        <w:t xml:space="preserve">Sea que se trate de un negocio jurídico sometido o excluido de la Ley 80 de 1993, lo importante es que el contrato estatal se identifica por el criterio orgánico o subjetivo, lo que excluye a los sujetos de derecho privado. Por ello, el Consejo de Estado explica que el “[…] </w:t>
      </w:r>
      <w:r w:rsidRPr="005A338A">
        <w:rPr>
          <w:rFonts w:ascii="Verdana" w:hAnsi="Verdana" w:cs="Arial"/>
          <w:bCs/>
          <w:i/>
          <w:iCs/>
          <w:sz w:val="20"/>
          <w:szCs w:val="20"/>
          <w:lang w:val="es-ES" w:eastAsia="es-CO"/>
        </w:rPr>
        <w:t>elemento esencial para calificar de estatal un contrato, es que haya sido celebrado por una entidad estatal, es decir, una entidad pública con capacidad legal para celebrarlo</w:t>
      </w:r>
      <w:r w:rsidRPr="0006328C">
        <w:rPr>
          <w:rFonts w:ascii="Verdana" w:hAnsi="Verdana" w:cs="Arial"/>
          <w:bCs/>
          <w:sz w:val="20"/>
          <w:szCs w:val="20"/>
          <w:lang w:val="es-ES" w:eastAsia="es-CO"/>
        </w:rPr>
        <w:t>. Dicho de otro modo,</w:t>
      </w:r>
      <w:r w:rsidRPr="0006328C">
        <w:rPr>
          <w:rFonts w:ascii="Verdana" w:hAnsi="Verdana" w:cs="Arial"/>
          <w:bCs/>
          <w:i/>
          <w:iCs/>
          <w:sz w:val="20"/>
          <w:szCs w:val="20"/>
          <w:lang w:val="es-ES" w:eastAsia="es-CO"/>
        </w:rPr>
        <w:t xml:space="preserve"> </w:t>
      </w:r>
      <w:r w:rsidRPr="005A338A">
        <w:rPr>
          <w:rFonts w:ascii="Verdana" w:hAnsi="Verdana" w:cs="Arial"/>
          <w:bCs/>
          <w:sz w:val="20"/>
          <w:szCs w:val="20"/>
          <w:lang w:val="es-ES" w:eastAsia="es-CO"/>
        </w:rPr>
        <w:t>no existen contratos estatales celebrados entre particulares, ni siquiera cuando éstos han sido habilitados legalmente para el ejercicio de funciones públicas</w:t>
      </w:r>
      <w:r w:rsidRPr="0006328C">
        <w:rPr>
          <w:rFonts w:ascii="Verdana" w:hAnsi="Verdana" w:cs="Arial"/>
          <w:bCs/>
          <w:sz w:val="20"/>
          <w:szCs w:val="20"/>
          <w:lang w:val="es-ES" w:eastAsia="es-CO"/>
        </w:rPr>
        <w:t>” (Énfasis fuera de texto).</w:t>
      </w:r>
    </w:p>
    <w:p w14:paraId="69715B41" w14:textId="77777777" w:rsidR="003841C0" w:rsidRDefault="003841C0" w:rsidP="003841C0">
      <w:pPr>
        <w:spacing w:after="0" w:line="240" w:lineRule="auto"/>
        <w:jc w:val="both"/>
        <w:rPr>
          <w:rFonts w:ascii="Verdana" w:eastAsia="Geomanist Light" w:hAnsi="Verdana" w:cs="Arial"/>
          <w:color w:val="000000" w:themeColor="text1"/>
          <w:sz w:val="20"/>
          <w:szCs w:val="20"/>
          <w:lang w:val="es-ES_tradnl"/>
        </w:rPr>
      </w:pPr>
    </w:p>
    <w:p w14:paraId="3CC6C759" w14:textId="77777777" w:rsidR="003841C0" w:rsidRPr="009E7903" w:rsidRDefault="003841C0" w:rsidP="003841C0">
      <w:pPr>
        <w:spacing w:after="0" w:line="240" w:lineRule="auto"/>
        <w:jc w:val="both"/>
        <w:rPr>
          <w:rFonts w:ascii="Verdana" w:eastAsia="Geomanist Light" w:hAnsi="Verdana" w:cs="Arial"/>
          <w:b/>
          <w:bCs/>
          <w:color w:val="000000" w:themeColor="text1"/>
          <w:lang w:val="es-ES_tradnl"/>
        </w:rPr>
      </w:pPr>
      <w:r w:rsidRPr="009E7903">
        <w:rPr>
          <w:rFonts w:ascii="Verdana" w:eastAsia="Geomanist Light" w:hAnsi="Verdana" w:cs="Arial"/>
          <w:b/>
          <w:bCs/>
          <w:color w:val="000000" w:themeColor="text1"/>
          <w:lang w:val="es-ES_tradnl"/>
        </w:rPr>
        <w:t xml:space="preserve">LICORES DESTILADOS – Monopolio rentístico – Fundamento normativo </w:t>
      </w:r>
    </w:p>
    <w:p w14:paraId="30DA690A" w14:textId="77777777" w:rsidR="003841C0" w:rsidRPr="000E68CE" w:rsidRDefault="003841C0" w:rsidP="003841C0">
      <w:pPr>
        <w:spacing w:after="0" w:line="240" w:lineRule="auto"/>
        <w:jc w:val="both"/>
        <w:rPr>
          <w:rFonts w:ascii="Verdana" w:eastAsia="Calibri" w:hAnsi="Verdana" w:cs="Arial"/>
          <w:bCs/>
          <w:sz w:val="20"/>
          <w:szCs w:val="20"/>
          <w:lang w:val="es-ES_tradnl" w:eastAsia="es-ES_tradnl"/>
        </w:rPr>
      </w:pPr>
    </w:p>
    <w:p w14:paraId="45FC77F4" w14:textId="77777777" w:rsidR="003841C0" w:rsidRDefault="003841C0" w:rsidP="003841C0">
      <w:pPr>
        <w:spacing w:after="0" w:line="240" w:lineRule="auto"/>
        <w:jc w:val="both"/>
        <w:rPr>
          <w:rFonts w:ascii="Verdana" w:eastAsia="Calibri" w:hAnsi="Verdana" w:cs="Arial"/>
          <w:bCs/>
          <w:sz w:val="20"/>
          <w:szCs w:val="20"/>
          <w:lang w:val="es-ES" w:eastAsia="es-ES_tradnl"/>
        </w:rPr>
      </w:pPr>
      <w:r w:rsidRPr="009E7903">
        <w:rPr>
          <w:rFonts w:ascii="Verdana" w:eastAsia="Calibri" w:hAnsi="Verdana" w:cs="Arial"/>
          <w:bCs/>
          <w:sz w:val="20"/>
          <w:szCs w:val="20"/>
          <w:lang w:val="es-ES" w:eastAsia="es-ES_tradnl"/>
        </w:rPr>
        <w:t xml:space="preserve">El artículo 336 superior dispone que “Ningún monopolio podrá establecerse sino como arbitrio rentístico, con una finalidad de interés público o social y en virtud de la ley” –inciso 1–, y agrega lo siguiente: “La organización, administración, control y explotación de los monopolios rentísticos estarán sometidos a un régimen propio, fijado por la ley de iniciativa gubernamental” –inciso 3–. De esta manera, la Constitución Política de 1991 ordena que “Las rentas obtenidas en el ejercicio del monopolio de licores, estarán destinadas preferentemente a los servicios de salud y educación” –inciso 5–. </w:t>
      </w:r>
    </w:p>
    <w:p w14:paraId="0192A4E2" w14:textId="77777777" w:rsidR="003841C0" w:rsidRPr="009E7903" w:rsidRDefault="003841C0" w:rsidP="003841C0">
      <w:pPr>
        <w:spacing w:after="0" w:line="240" w:lineRule="auto"/>
        <w:jc w:val="both"/>
        <w:rPr>
          <w:rFonts w:ascii="Verdana" w:eastAsia="Calibri" w:hAnsi="Verdana" w:cs="Arial"/>
          <w:bCs/>
          <w:sz w:val="20"/>
          <w:szCs w:val="20"/>
          <w:lang w:val="es-ES" w:eastAsia="es-ES_tradnl"/>
        </w:rPr>
      </w:pPr>
    </w:p>
    <w:p w14:paraId="71CC3263" w14:textId="77777777" w:rsidR="003841C0" w:rsidRPr="00ED440C" w:rsidRDefault="003841C0" w:rsidP="003841C0">
      <w:pPr>
        <w:spacing w:after="0" w:line="240" w:lineRule="auto"/>
        <w:jc w:val="both"/>
        <w:rPr>
          <w:rFonts w:ascii="Verdana" w:eastAsia="Calibri" w:hAnsi="Verdana" w:cs="Arial"/>
          <w:bCs/>
          <w:sz w:val="20"/>
          <w:szCs w:val="20"/>
          <w:lang w:val="es-MX" w:eastAsia="es-ES_tradnl"/>
        </w:rPr>
      </w:pPr>
      <w:r w:rsidRPr="009E7903">
        <w:rPr>
          <w:rFonts w:ascii="Verdana" w:eastAsia="Calibri" w:hAnsi="Verdana" w:cs="Arial"/>
          <w:bCs/>
          <w:sz w:val="20"/>
          <w:szCs w:val="20"/>
          <w:lang w:val="es-ES" w:eastAsia="es-ES_tradnl"/>
        </w:rPr>
        <w:t>Dentro de este marco, la Ley 1816 de 2016 establece el monopolio rentístico de licores destilados, el cual se define como “[…] la facultad exclusiva del Estado para explotar directamente o a través de terceros la producción e introducción de licores destilados y para organizar, regular, fiscalizar y vigilar la producción e introducción de licores destilados en los términos de la presente ley” –artículo 2, inciso 1–. Esta norma debe interpretarse en concordancia con el artículo 7 de la mencionada ley, el cual –de acuerdo con la modificación del artículo 12 de la Ley 2158 de 2021– consagra dos (2) formas para su explotación.</w:t>
      </w:r>
    </w:p>
    <w:p w14:paraId="41B5FA53" w14:textId="77777777" w:rsidR="003841C0" w:rsidRDefault="003841C0" w:rsidP="003841C0">
      <w:pPr>
        <w:spacing w:after="0" w:line="240" w:lineRule="auto"/>
        <w:jc w:val="both"/>
        <w:rPr>
          <w:rFonts w:ascii="Verdana" w:eastAsia="Geomanist Light" w:hAnsi="Verdana" w:cs="Arial"/>
          <w:color w:val="000000" w:themeColor="text1"/>
          <w:sz w:val="20"/>
          <w:szCs w:val="20"/>
          <w:lang w:val="es-ES_tradnl"/>
        </w:rPr>
      </w:pPr>
    </w:p>
    <w:p w14:paraId="7D5118D7" w14:textId="77777777" w:rsidR="003841C0" w:rsidRPr="009E7903" w:rsidRDefault="003841C0" w:rsidP="003841C0">
      <w:pPr>
        <w:spacing w:after="0" w:line="240" w:lineRule="auto"/>
        <w:jc w:val="both"/>
        <w:rPr>
          <w:rFonts w:ascii="Verdana" w:eastAsia="Geomanist Light" w:hAnsi="Verdana" w:cs="Arial"/>
          <w:b/>
          <w:bCs/>
          <w:color w:val="000000" w:themeColor="text1"/>
          <w:lang w:val="es-ES_tradnl"/>
        </w:rPr>
      </w:pPr>
      <w:r w:rsidRPr="009E7903">
        <w:rPr>
          <w:rFonts w:ascii="Verdana" w:eastAsia="Geomanist Light" w:hAnsi="Verdana" w:cs="Arial"/>
          <w:b/>
          <w:bCs/>
          <w:color w:val="000000" w:themeColor="text1"/>
          <w:lang w:val="es-ES_tradnl"/>
        </w:rPr>
        <w:t xml:space="preserve">LICORES DESTILADOS – </w:t>
      </w:r>
      <w:r>
        <w:rPr>
          <w:rFonts w:ascii="Verdana" w:eastAsia="Geomanist Light" w:hAnsi="Verdana" w:cs="Arial"/>
          <w:b/>
          <w:bCs/>
          <w:color w:val="000000" w:themeColor="text1"/>
          <w:lang w:val="es-ES_tradnl"/>
        </w:rPr>
        <w:t>Departamentos – Explotación directa</w:t>
      </w:r>
      <w:r w:rsidRPr="009E7903">
        <w:rPr>
          <w:rFonts w:ascii="Verdana" w:eastAsia="Geomanist Light" w:hAnsi="Verdana" w:cs="Arial"/>
          <w:b/>
          <w:bCs/>
          <w:color w:val="000000" w:themeColor="text1"/>
          <w:lang w:val="es-ES_tradnl"/>
        </w:rPr>
        <w:t xml:space="preserve"> – </w:t>
      </w:r>
      <w:r>
        <w:rPr>
          <w:rFonts w:ascii="Verdana" w:eastAsia="Geomanist Light" w:hAnsi="Verdana" w:cs="Arial"/>
          <w:b/>
          <w:bCs/>
          <w:color w:val="000000" w:themeColor="text1"/>
          <w:lang w:val="es-ES_tradnl"/>
        </w:rPr>
        <w:t>Régimen contractual aplicable – Procedimientos de selección – Contratación directa – Interpretación restrictiva</w:t>
      </w:r>
      <w:r w:rsidRPr="009E7903">
        <w:rPr>
          <w:rFonts w:ascii="Verdana" w:eastAsia="Geomanist Light" w:hAnsi="Verdana" w:cs="Arial"/>
          <w:b/>
          <w:bCs/>
          <w:color w:val="000000" w:themeColor="text1"/>
          <w:lang w:val="es-ES_tradnl"/>
        </w:rPr>
        <w:t xml:space="preserve"> </w:t>
      </w:r>
    </w:p>
    <w:p w14:paraId="2B32F661" w14:textId="77777777" w:rsidR="003841C0" w:rsidRPr="000E68CE" w:rsidRDefault="003841C0" w:rsidP="003841C0">
      <w:pPr>
        <w:spacing w:after="0" w:line="240" w:lineRule="auto"/>
        <w:jc w:val="both"/>
        <w:rPr>
          <w:rFonts w:ascii="Verdana" w:eastAsia="Calibri" w:hAnsi="Verdana" w:cs="Arial"/>
          <w:bCs/>
          <w:sz w:val="20"/>
          <w:szCs w:val="20"/>
          <w:lang w:val="es-ES_tradnl" w:eastAsia="es-ES_tradnl"/>
        </w:rPr>
      </w:pPr>
    </w:p>
    <w:p w14:paraId="5D22ADE5" w14:textId="77777777" w:rsidR="003841C0" w:rsidRDefault="003841C0" w:rsidP="003841C0">
      <w:pPr>
        <w:spacing w:after="0" w:line="240" w:lineRule="auto"/>
        <w:jc w:val="both"/>
        <w:rPr>
          <w:rFonts w:ascii="Verdana" w:eastAsia="Calibri" w:hAnsi="Verdana" w:cs="Arial"/>
          <w:bCs/>
          <w:sz w:val="20"/>
          <w:szCs w:val="20"/>
          <w:lang w:val="es-ES" w:eastAsia="es-ES_tradnl"/>
        </w:rPr>
      </w:pPr>
      <w:r>
        <w:rPr>
          <w:rFonts w:ascii="Verdana" w:eastAsia="Calibri" w:hAnsi="Verdana" w:cs="Arial"/>
          <w:bCs/>
          <w:sz w:val="20"/>
          <w:szCs w:val="20"/>
          <w:lang w:val="es-ES" w:eastAsia="es-ES_tradnl"/>
        </w:rPr>
        <w:t>C</w:t>
      </w:r>
      <w:r w:rsidRPr="009E7903">
        <w:rPr>
          <w:rFonts w:ascii="Verdana" w:eastAsia="Calibri" w:hAnsi="Verdana" w:cs="Arial"/>
          <w:bCs/>
          <w:sz w:val="20"/>
          <w:szCs w:val="20"/>
          <w:lang w:val="es-ES" w:eastAsia="es-ES_tradnl"/>
        </w:rPr>
        <w:t>uando el departamento ejerce el monopolio de la producción de licores destilados directamente mediante contratación de terceros, el artículo 7 de la Ley 1816 de 2016 no consagra una excepción explícita al Estatuto General de Contratación Pública. Esto significa que la gestión contractual para la operación del monopolio analizado se realiza a través del EGCAP, aspecto que impacta en el régimen de los procedimientos de selección.</w:t>
      </w:r>
    </w:p>
    <w:p w14:paraId="16760F0C" w14:textId="77777777" w:rsidR="003841C0" w:rsidRPr="009E7903" w:rsidRDefault="003841C0" w:rsidP="003841C0">
      <w:pPr>
        <w:spacing w:after="0" w:line="240" w:lineRule="auto"/>
        <w:jc w:val="both"/>
        <w:rPr>
          <w:rFonts w:ascii="Verdana" w:eastAsia="Calibri" w:hAnsi="Verdana" w:cs="Arial"/>
          <w:bCs/>
          <w:sz w:val="20"/>
          <w:szCs w:val="20"/>
          <w:lang w:eastAsia="es-ES_tradnl"/>
        </w:rPr>
      </w:pPr>
    </w:p>
    <w:p w14:paraId="4A2C0591" w14:textId="77777777" w:rsidR="003841C0" w:rsidRDefault="003841C0" w:rsidP="003841C0">
      <w:pPr>
        <w:spacing w:after="0" w:line="240" w:lineRule="auto"/>
        <w:jc w:val="both"/>
        <w:rPr>
          <w:rFonts w:ascii="Verdana" w:eastAsia="Calibri" w:hAnsi="Verdana" w:cs="Arial"/>
          <w:bCs/>
          <w:sz w:val="20"/>
          <w:szCs w:val="20"/>
          <w:lang w:val="es-MX" w:eastAsia="es-ES_tradnl"/>
        </w:rPr>
      </w:pPr>
      <w:r w:rsidRPr="009E7903">
        <w:rPr>
          <w:rFonts w:ascii="Verdana" w:eastAsia="Calibri" w:hAnsi="Verdana" w:cs="Arial"/>
          <w:bCs/>
          <w:sz w:val="20"/>
          <w:szCs w:val="20"/>
          <w:lang w:val="es-ES" w:eastAsia="es-ES_tradnl"/>
        </w:rPr>
        <w:t xml:space="preserve">En efecto, para las </w:t>
      </w:r>
      <w:r w:rsidRPr="009E7903">
        <w:rPr>
          <w:rFonts w:ascii="Verdana" w:eastAsia="Calibri" w:hAnsi="Verdana" w:cs="Arial"/>
          <w:bCs/>
          <w:i/>
          <w:iCs/>
          <w:sz w:val="20"/>
          <w:szCs w:val="20"/>
          <w:lang w:eastAsia="es-ES_tradnl"/>
        </w:rPr>
        <w:t>entidades sometidas a la Ley 80 de 1993</w:t>
      </w:r>
      <w:r w:rsidRPr="009E7903">
        <w:rPr>
          <w:rFonts w:ascii="Verdana" w:eastAsia="Calibri" w:hAnsi="Verdana" w:cs="Arial"/>
          <w:bCs/>
          <w:sz w:val="20"/>
          <w:szCs w:val="20"/>
          <w:lang w:val="es-ES" w:eastAsia="es-ES_tradnl"/>
        </w:rPr>
        <w:t xml:space="preserve">, entre ellas, los departamentos conforme al literal a) del artículo 2.1, los procesos de selección se rigen por el artículo 2 de la Ley 1150 de 2007. El </w:t>
      </w:r>
      <w:r w:rsidRPr="009E7903">
        <w:rPr>
          <w:rFonts w:ascii="Verdana" w:eastAsia="Calibri" w:hAnsi="Verdana" w:cs="Arial"/>
          <w:bCs/>
          <w:sz w:val="20"/>
          <w:szCs w:val="20"/>
          <w:lang w:val="es-MX" w:eastAsia="es-ES_tradnl"/>
        </w:rPr>
        <w:t xml:space="preserve">numeral uno, inciso primero, dispone que “La escogencia del contratista se efectuará por </w:t>
      </w:r>
      <w:r w:rsidRPr="009E7903">
        <w:rPr>
          <w:rFonts w:ascii="Verdana" w:eastAsia="Calibri" w:hAnsi="Verdana" w:cs="Arial"/>
          <w:bCs/>
          <w:i/>
          <w:iCs/>
          <w:sz w:val="20"/>
          <w:szCs w:val="20"/>
          <w:lang w:val="es-MX" w:eastAsia="es-ES_tradnl"/>
        </w:rPr>
        <w:t>regla general</w:t>
      </w:r>
      <w:r w:rsidRPr="009E7903">
        <w:rPr>
          <w:rFonts w:ascii="Verdana" w:eastAsia="Calibri" w:hAnsi="Verdana" w:cs="Arial"/>
          <w:bCs/>
          <w:sz w:val="20"/>
          <w:szCs w:val="20"/>
          <w:lang w:val="es-MX" w:eastAsia="es-ES_tradnl"/>
        </w:rPr>
        <w:t xml:space="preserve"> a través de licitación pública, con las </w:t>
      </w:r>
      <w:r w:rsidRPr="009E7903">
        <w:rPr>
          <w:rFonts w:ascii="Verdana" w:eastAsia="Calibri" w:hAnsi="Verdana" w:cs="Arial"/>
          <w:bCs/>
          <w:i/>
          <w:iCs/>
          <w:sz w:val="20"/>
          <w:szCs w:val="20"/>
          <w:lang w:val="es-MX" w:eastAsia="es-ES_tradnl"/>
        </w:rPr>
        <w:t>excepciones</w:t>
      </w:r>
      <w:r w:rsidRPr="009E7903">
        <w:rPr>
          <w:rFonts w:ascii="Verdana" w:eastAsia="Calibri" w:hAnsi="Verdana" w:cs="Arial"/>
          <w:bCs/>
          <w:sz w:val="20"/>
          <w:szCs w:val="20"/>
          <w:lang w:val="es-MX" w:eastAsia="es-ES_tradnl"/>
        </w:rPr>
        <w:t xml:space="preserve"> que se señalan en los numerales 2, 3 y 4 del presente artículo” (Énfasis fuera de texto), norma que sustituye el derogado numeral 1 del artículo 24 de la Ley 80 de 1993 sobre el principio de transparencia. En este contexto, salvo norma especial que ordene la celebración del negocio jurídico por selección abreviada, </w:t>
      </w:r>
      <w:r w:rsidRPr="009E7903">
        <w:rPr>
          <w:rFonts w:ascii="Verdana" w:eastAsia="Calibri" w:hAnsi="Verdana" w:cs="Arial"/>
          <w:bCs/>
          <w:sz w:val="20"/>
          <w:szCs w:val="20"/>
          <w:lang w:val="es-MX" w:eastAsia="es-ES_tradnl"/>
        </w:rPr>
        <w:lastRenderedPageBreak/>
        <w:t>concurso de méritos, mínima cuantía o contratación directa, debe aplicarse la regla general de licitación pública.</w:t>
      </w:r>
    </w:p>
    <w:p w14:paraId="15DE6D16" w14:textId="77777777" w:rsidR="003841C0" w:rsidRPr="009E7903" w:rsidRDefault="003841C0" w:rsidP="003841C0">
      <w:pPr>
        <w:spacing w:after="0" w:line="240" w:lineRule="auto"/>
        <w:jc w:val="both"/>
        <w:rPr>
          <w:rFonts w:ascii="Verdana" w:eastAsia="Calibri" w:hAnsi="Verdana" w:cs="Arial"/>
          <w:bCs/>
          <w:sz w:val="20"/>
          <w:szCs w:val="20"/>
          <w:lang w:val="es-MX" w:eastAsia="es-ES_tradnl"/>
        </w:rPr>
      </w:pPr>
    </w:p>
    <w:p w14:paraId="110B9D91" w14:textId="77777777" w:rsidR="003841C0" w:rsidRPr="009E7903" w:rsidRDefault="003841C0" w:rsidP="003841C0">
      <w:pPr>
        <w:spacing w:after="0" w:line="240" w:lineRule="auto"/>
        <w:jc w:val="both"/>
        <w:rPr>
          <w:rFonts w:ascii="Verdana" w:eastAsia="Calibri" w:hAnsi="Verdana" w:cs="Arial"/>
          <w:bCs/>
          <w:sz w:val="20"/>
          <w:szCs w:val="20"/>
          <w:lang w:eastAsia="es-ES_tradnl"/>
        </w:rPr>
      </w:pPr>
      <w:r w:rsidRPr="009E7903">
        <w:rPr>
          <w:rFonts w:ascii="Verdana" w:eastAsia="Calibri" w:hAnsi="Verdana" w:cs="Arial"/>
          <w:bCs/>
          <w:sz w:val="20"/>
          <w:szCs w:val="20"/>
          <w:lang w:eastAsia="es-ES_tradnl"/>
        </w:rPr>
        <w:t>Así las cosas, la contratación directa es una excepción al principio de libre concurrencia y competencia, que se aplica en los procesos de contratación, para que cualquier persona interesada en satisfacer la necesidad de una entidad pueda presentar una oferta. Por ello, es de aplicación restrictiva, esto es, solo procede por las causales señaladas taxativamente en el numeral 4 del artículo 2 de la Ley 1150 de 2007. En tal sentido, su aplicación no puede efectuarse por fuera del contenido normativo citado, ni operar más allá de lo que la misma norma dispone, dentro del contexto del ordenamiento jurídico de la contratación estatal.</w:t>
      </w:r>
    </w:p>
    <w:p w14:paraId="7F4CEEC3" w14:textId="77777777" w:rsidR="003841C0" w:rsidRPr="003841C0" w:rsidRDefault="003841C0" w:rsidP="00B9011B">
      <w:pPr>
        <w:spacing w:after="0"/>
        <w:rPr>
          <w:rFonts w:ascii="Verdana" w:eastAsia="Geomanist Light" w:hAnsi="Verdana" w:cs="Arial"/>
          <w:color w:val="000000" w:themeColor="text1"/>
        </w:rPr>
      </w:pPr>
    </w:p>
    <w:p w14:paraId="0D6CCC7E" w14:textId="77777777" w:rsidR="003841C0" w:rsidRDefault="003841C0" w:rsidP="00B9011B">
      <w:pPr>
        <w:spacing w:after="0"/>
        <w:rPr>
          <w:rFonts w:ascii="Verdana" w:eastAsia="Geomanist Light" w:hAnsi="Verdana" w:cs="Arial"/>
          <w:color w:val="000000" w:themeColor="text1"/>
          <w:lang w:val="es-MX"/>
        </w:rPr>
      </w:pPr>
    </w:p>
    <w:p w14:paraId="35D85FE2" w14:textId="77777777" w:rsidR="003841C0" w:rsidRDefault="003841C0" w:rsidP="00B9011B">
      <w:pPr>
        <w:spacing w:after="0"/>
        <w:rPr>
          <w:rFonts w:ascii="Verdana" w:eastAsia="Geomanist Light" w:hAnsi="Verdana" w:cs="Arial"/>
          <w:color w:val="000000" w:themeColor="text1"/>
          <w:lang w:val="es-MX"/>
        </w:rPr>
      </w:pPr>
    </w:p>
    <w:p w14:paraId="6892440E" w14:textId="77777777" w:rsidR="003841C0" w:rsidRDefault="003841C0" w:rsidP="00B9011B">
      <w:pPr>
        <w:spacing w:after="0"/>
        <w:rPr>
          <w:rFonts w:ascii="Verdana" w:eastAsia="Geomanist Light" w:hAnsi="Verdana" w:cs="Arial"/>
          <w:color w:val="000000" w:themeColor="text1"/>
          <w:lang w:val="es-MX"/>
        </w:rPr>
      </w:pPr>
    </w:p>
    <w:p w14:paraId="7EEE11B8" w14:textId="77777777" w:rsidR="003841C0" w:rsidRDefault="003841C0" w:rsidP="00B9011B">
      <w:pPr>
        <w:spacing w:after="0"/>
        <w:rPr>
          <w:rFonts w:ascii="Verdana" w:eastAsia="Geomanist Light" w:hAnsi="Verdana" w:cs="Arial"/>
          <w:color w:val="000000" w:themeColor="text1"/>
          <w:lang w:val="es-MX"/>
        </w:rPr>
      </w:pPr>
    </w:p>
    <w:p w14:paraId="15BAE4B4" w14:textId="77777777" w:rsidR="003841C0" w:rsidRDefault="003841C0" w:rsidP="00B9011B">
      <w:pPr>
        <w:spacing w:after="0"/>
        <w:rPr>
          <w:rFonts w:ascii="Verdana" w:eastAsia="Geomanist Light" w:hAnsi="Verdana" w:cs="Arial"/>
          <w:color w:val="000000" w:themeColor="text1"/>
          <w:lang w:val="es-MX"/>
        </w:rPr>
      </w:pPr>
    </w:p>
    <w:p w14:paraId="02CEAF36" w14:textId="77777777" w:rsidR="003841C0" w:rsidRDefault="003841C0" w:rsidP="00B9011B">
      <w:pPr>
        <w:spacing w:after="0"/>
        <w:rPr>
          <w:rFonts w:ascii="Verdana" w:eastAsia="Geomanist Light" w:hAnsi="Verdana" w:cs="Arial"/>
          <w:color w:val="000000" w:themeColor="text1"/>
          <w:lang w:val="es-MX"/>
        </w:rPr>
      </w:pPr>
    </w:p>
    <w:p w14:paraId="64B06B17" w14:textId="77777777" w:rsidR="003841C0" w:rsidRDefault="003841C0" w:rsidP="00B9011B">
      <w:pPr>
        <w:spacing w:after="0"/>
        <w:rPr>
          <w:rFonts w:ascii="Verdana" w:eastAsia="Geomanist Light" w:hAnsi="Verdana" w:cs="Arial"/>
          <w:color w:val="000000" w:themeColor="text1"/>
          <w:lang w:val="es-MX"/>
        </w:rPr>
      </w:pPr>
    </w:p>
    <w:p w14:paraId="7ED922AD" w14:textId="77777777" w:rsidR="003841C0" w:rsidRDefault="003841C0" w:rsidP="00B9011B">
      <w:pPr>
        <w:spacing w:after="0"/>
        <w:rPr>
          <w:rFonts w:ascii="Verdana" w:eastAsia="Geomanist Light" w:hAnsi="Verdana" w:cs="Arial"/>
          <w:color w:val="000000" w:themeColor="text1"/>
          <w:lang w:val="es-MX"/>
        </w:rPr>
      </w:pPr>
    </w:p>
    <w:p w14:paraId="035596B7" w14:textId="77777777" w:rsidR="003841C0" w:rsidRDefault="003841C0" w:rsidP="00B9011B">
      <w:pPr>
        <w:spacing w:after="0"/>
        <w:rPr>
          <w:rFonts w:ascii="Verdana" w:eastAsia="Geomanist Light" w:hAnsi="Verdana" w:cs="Arial"/>
          <w:color w:val="000000" w:themeColor="text1"/>
          <w:lang w:val="es-MX"/>
        </w:rPr>
      </w:pPr>
    </w:p>
    <w:p w14:paraId="26638543" w14:textId="77777777" w:rsidR="003841C0" w:rsidRDefault="003841C0" w:rsidP="00B9011B">
      <w:pPr>
        <w:spacing w:after="0"/>
        <w:rPr>
          <w:rFonts w:ascii="Verdana" w:eastAsia="Geomanist Light" w:hAnsi="Verdana" w:cs="Arial"/>
          <w:color w:val="000000" w:themeColor="text1"/>
          <w:lang w:val="es-MX"/>
        </w:rPr>
      </w:pPr>
    </w:p>
    <w:p w14:paraId="2EB3CCDA" w14:textId="77777777" w:rsidR="003841C0" w:rsidRDefault="003841C0" w:rsidP="00B9011B">
      <w:pPr>
        <w:spacing w:after="0"/>
        <w:rPr>
          <w:rFonts w:ascii="Verdana" w:eastAsia="Geomanist Light" w:hAnsi="Verdana" w:cs="Arial"/>
          <w:color w:val="000000" w:themeColor="text1"/>
          <w:lang w:val="es-MX"/>
        </w:rPr>
      </w:pPr>
    </w:p>
    <w:p w14:paraId="581433D7" w14:textId="77777777" w:rsidR="003841C0" w:rsidRDefault="003841C0" w:rsidP="00B9011B">
      <w:pPr>
        <w:spacing w:after="0"/>
        <w:rPr>
          <w:rFonts w:ascii="Verdana" w:eastAsia="Geomanist Light" w:hAnsi="Verdana" w:cs="Arial"/>
          <w:color w:val="000000" w:themeColor="text1"/>
          <w:lang w:val="es-MX"/>
        </w:rPr>
      </w:pPr>
    </w:p>
    <w:p w14:paraId="48DB961F" w14:textId="77777777" w:rsidR="003841C0" w:rsidRDefault="003841C0" w:rsidP="00B9011B">
      <w:pPr>
        <w:spacing w:after="0"/>
        <w:rPr>
          <w:rFonts w:ascii="Verdana" w:eastAsia="Geomanist Light" w:hAnsi="Verdana" w:cs="Arial"/>
          <w:color w:val="000000" w:themeColor="text1"/>
          <w:lang w:val="es-MX"/>
        </w:rPr>
      </w:pPr>
    </w:p>
    <w:p w14:paraId="45DF9AF2" w14:textId="77777777" w:rsidR="003841C0" w:rsidRDefault="003841C0" w:rsidP="00B9011B">
      <w:pPr>
        <w:spacing w:after="0"/>
        <w:rPr>
          <w:rFonts w:ascii="Verdana" w:eastAsia="Geomanist Light" w:hAnsi="Verdana" w:cs="Arial"/>
          <w:color w:val="000000" w:themeColor="text1"/>
          <w:lang w:val="es-MX"/>
        </w:rPr>
      </w:pPr>
    </w:p>
    <w:p w14:paraId="1BCB0539" w14:textId="77777777" w:rsidR="003841C0" w:rsidRDefault="003841C0" w:rsidP="00B9011B">
      <w:pPr>
        <w:spacing w:after="0"/>
        <w:rPr>
          <w:rFonts w:ascii="Verdana" w:eastAsia="Geomanist Light" w:hAnsi="Verdana" w:cs="Arial"/>
          <w:color w:val="000000" w:themeColor="text1"/>
          <w:lang w:val="es-MX"/>
        </w:rPr>
      </w:pPr>
    </w:p>
    <w:p w14:paraId="08DDD256" w14:textId="77777777" w:rsidR="003841C0" w:rsidRDefault="003841C0" w:rsidP="00B9011B">
      <w:pPr>
        <w:spacing w:after="0"/>
        <w:rPr>
          <w:rFonts w:ascii="Verdana" w:eastAsia="Geomanist Light" w:hAnsi="Verdana" w:cs="Arial"/>
          <w:color w:val="000000" w:themeColor="text1"/>
          <w:lang w:val="es-MX"/>
        </w:rPr>
      </w:pPr>
    </w:p>
    <w:p w14:paraId="28B4FB77" w14:textId="77777777" w:rsidR="003841C0" w:rsidRDefault="003841C0" w:rsidP="00B9011B">
      <w:pPr>
        <w:spacing w:after="0"/>
        <w:rPr>
          <w:rFonts w:ascii="Verdana" w:eastAsia="Geomanist Light" w:hAnsi="Verdana" w:cs="Arial"/>
          <w:color w:val="000000" w:themeColor="text1"/>
          <w:lang w:val="es-MX"/>
        </w:rPr>
      </w:pPr>
    </w:p>
    <w:p w14:paraId="58894D63" w14:textId="77777777" w:rsidR="003841C0" w:rsidRDefault="003841C0" w:rsidP="00B9011B">
      <w:pPr>
        <w:spacing w:after="0"/>
        <w:rPr>
          <w:rFonts w:ascii="Verdana" w:eastAsia="Geomanist Light" w:hAnsi="Verdana" w:cs="Arial"/>
          <w:color w:val="000000" w:themeColor="text1"/>
          <w:lang w:val="es-MX"/>
        </w:rPr>
      </w:pPr>
    </w:p>
    <w:p w14:paraId="660B6ACC" w14:textId="77777777" w:rsidR="003841C0" w:rsidRDefault="003841C0" w:rsidP="00B9011B">
      <w:pPr>
        <w:spacing w:after="0"/>
        <w:rPr>
          <w:rFonts w:ascii="Verdana" w:eastAsia="Geomanist Light" w:hAnsi="Verdana" w:cs="Arial"/>
          <w:color w:val="000000" w:themeColor="text1"/>
          <w:lang w:val="es-MX"/>
        </w:rPr>
      </w:pPr>
    </w:p>
    <w:p w14:paraId="1186AD1F" w14:textId="77777777" w:rsidR="003841C0" w:rsidRDefault="003841C0" w:rsidP="00B9011B">
      <w:pPr>
        <w:spacing w:after="0"/>
        <w:rPr>
          <w:rFonts w:ascii="Verdana" w:eastAsia="Geomanist Light" w:hAnsi="Verdana" w:cs="Arial"/>
          <w:color w:val="000000" w:themeColor="text1"/>
          <w:lang w:val="es-MX"/>
        </w:rPr>
      </w:pPr>
    </w:p>
    <w:p w14:paraId="466D37CC" w14:textId="77777777" w:rsidR="003841C0" w:rsidRDefault="003841C0" w:rsidP="00B9011B">
      <w:pPr>
        <w:spacing w:after="0"/>
        <w:rPr>
          <w:rFonts w:ascii="Verdana" w:eastAsia="Geomanist Light" w:hAnsi="Verdana" w:cs="Arial"/>
          <w:color w:val="000000" w:themeColor="text1"/>
          <w:lang w:val="es-MX"/>
        </w:rPr>
      </w:pPr>
    </w:p>
    <w:p w14:paraId="64453227" w14:textId="77777777" w:rsidR="003841C0" w:rsidRDefault="003841C0" w:rsidP="00B9011B">
      <w:pPr>
        <w:spacing w:after="0"/>
        <w:rPr>
          <w:rFonts w:ascii="Verdana" w:eastAsia="Geomanist Light" w:hAnsi="Verdana" w:cs="Arial"/>
          <w:color w:val="000000" w:themeColor="text1"/>
          <w:lang w:val="es-MX"/>
        </w:rPr>
      </w:pPr>
    </w:p>
    <w:p w14:paraId="56C9BBA7" w14:textId="77777777" w:rsidR="003841C0" w:rsidRDefault="003841C0" w:rsidP="00B9011B">
      <w:pPr>
        <w:spacing w:after="0"/>
        <w:rPr>
          <w:rFonts w:ascii="Verdana" w:eastAsia="Geomanist Light" w:hAnsi="Verdana" w:cs="Arial"/>
          <w:color w:val="000000" w:themeColor="text1"/>
          <w:lang w:val="es-MX"/>
        </w:rPr>
      </w:pPr>
    </w:p>
    <w:p w14:paraId="33D9CEC1" w14:textId="77777777" w:rsidR="003841C0" w:rsidRDefault="003841C0" w:rsidP="00B9011B">
      <w:pPr>
        <w:spacing w:after="0"/>
        <w:rPr>
          <w:rFonts w:ascii="Verdana" w:eastAsia="Geomanist Light" w:hAnsi="Verdana" w:cs="Arial"/>
          <w:color w:val="000000" w:themeColor="text1"/>
          <w:lang w:val="es-MX"/>
        </w:rPr>
      </w:pPr>
    </w:p>
    <w:p w14:paraId="62ABE630" w14:textId="77777777" w:rsidR="003841C0" w:rsidRDefault="003841C0" w:rsidP="00B9011B">
      <w:pPr>
        <w:spacing w:after="0"/>
        <w:rPr>
          <w:rFonts w:ascii="Verdana" w:eastAsia="Geomanist Light" w:hAnsi="Verdana" w:cs="Arial"/>
          <w:color w:val="000000" w:themeColor="text1"/>
          <w:lang w:val="es-MX"/>
        </w:rPr>
      </w:pPr>
    </w:p>
    <w:p w14:paraId="6B16D8CD" w14:textId="77777777" w:rsidR="003841C0" w:rsidRDefault="003841C0" w:rsidP="00B9011B">
      <w:pPr>
        <w:spacing w:after="0"/>
        <w:rPr>
          <w:rFonts w:ascii="Verdana" w:eastAsia="Geomanist Light" w:hAnsi="Verdana" w:cs="Arial"/>
          <w:color w:val="000000" w:themeColor="text1"/>
          <w:lang w:val="es-MX"/>
        </w:rPr>
      </w:pPr>
    </w:p>
    <w:p w14:paraId="103EFFED" w14:textId="77777777" w:rsidR="003841C0" w:rsidRDefault="003841C0" w:rsidP="00B9011B">
      <w:pPr>
        <w:spacing w:after="0"/>
        <w:rPr>
          <w:rFonts w:ascii="Verdana" w:eastAsia="Geomanist Light" w:hAnsi="Verdana" w:cs="Arial"/>
          <w:color w:val="000000" w:themeColor="text1"/>
          <w:lang w:val="es-MX"/>
        </w:rPr>
      </w:pPr>
    </w:p>
    <w:p w14:paraId="2BC8C5B3" w14:textId="77777777" w:rsidR="003841C0" w:rsidRDefault="003841C0" w:rsidP="00B9011B">
      <w:pPr>
        <w:spacing w:after="0"/>
        <w:rPr>
          <w:rFonts w:ascii="Verdana" w:eastAsia="Geomanist Light" w:hAnsi="Verdana" w:cs="Arial"/>
          <w:color w:val="000000" w:themeColor="text1"/>
          <w:lang w:val="es-MX"/>
        </w:rPr>
      </w:pPr>
    </w:p>
    <w:p w14:paraId="70DFE311" w14:textId="77777777" w:rsidR="003841C0" w:rsidRDefault="003841C0" w:rsidP="00B9011B">
      <w:pPr>
        <w:spacing w:after="0"/>
        <w:rPr>
          <w:rFonts w:ascii="Verdana" w:eastAsia="Geomanist Light" w:hAnsi="Verdana" w:cs="Arial"/>
          <w:color w:val="000000" w:themeColor="text1"/>
          <w:lang w:val="es-MX"/>
        </w:rPr>
      </w:pPr>
    </w:p>
    <w:p w14:paraId="30A9F779" w14:textId="21EDAB7B" w:rsidR="00B9011B" w:rsidRPr="00277E26" w:rsidRDefault="00B9011B" w:rsidP="00B9011B">
      <w:pPr>
        <w:spacing w:after="0"/>
        <w:rPr>
          <w:rFonts w:ascii="Verdana" w:eastAsia="Geomanist Light" w:hAnsi="Verdana" w:cs="Arial"/>
          <w:color w:val="201F1E"/>
          <w:lang w:val="es-MX"/>
        </w:rPr>
      </w:pPr>
      <w:r w:rsidRPr="00277E26">
        <w:rPr>
          <w:rFonts w:ascii="Verdana" w:eastAsia="Geomanist Light" w:hAnsi="Verdana" w:cs="Arial"/>
          <w:color w:val="000000" w:themeColor="text1"/>
          <w:lang w:val="es-MX"/>
        </w:rPr>
        <w:lastRenderedPageBreak/>
        <w:t>Bogotá D.C., </w:t>
      </w:r>
      <w:r w:rsidR="00A04A94">
        <w:rPr>
          <w:rFonts w:ascii="Verdana" w:hAnsi="Verdana" w:cs="Verdana"/>
          <w:color w:val="181817"/>
          <w:lang w:val="es-MX"/>
        </w:rPr>
        <w:t>04 de Junio de 2025</w:t>
      </w:r>
    </w:p>
    <w:p w14:paraId="0387B8E6" w14:textId="77777777" w:rsidR="00B9011B" w:rsidRDefault="00B9011B" w:rsidP="00B9011B">
      <w:pPr>
        <w:spacing w:after="0"/>
        <w:jc w:val="both"/>
        <w:rPr>
          <w:rFonts w:ascii="Verdana" w:eastAsia="Calibri" w:hAnsi="Verdana" w:cs="Arial"/>
          <w:color w:val="000000"/>
          <w:lang w:val="es-ES"/>
        </w:rPr>
      </w:pPr>
    </w:p>
    <w:p w14:paraId="68B63F46" w14:textId="6663CD4E" w:rsidR="00A04A94" w:rsidRPr="00277E26" w:rsidRDefault="00A04A94" w:rsidP="00A04A94">
      <w:pPr>
        <w:spacing w:after="0"/>
        <w:jc w:val="right"/>
        <w:rPr>
          <w:rFonts w:ascii="Verdana" w:eastAsia="Calibri" w:hAnsi="Verdana" w:cs="Arial"/>
          <w:color w:val="000000"/>
          <w:lang w:val="es-ES"/>
        </w:rPr>
      </w:pPr>
      <w:r w:rsidRPr="00A04A94">
        <w:rPr>
          <w:rFonts w:ascii="Verdana" w:eastAsia="Calibri" w:hAnsi="Verdana" w:cs="Arial"/>
          <w:noProof/>
          <w:color w:val="000000"/>
          <w:lang w:val="es-ES"/>
        </w:rPr>
        <w:drawing>
          <wp:inline distT="0" distB="0" distL="0" distR="0" wp14:anchorId="1DC813D0" wp14:editId="1FACCA50">
            <wp:extent cx="2400300" cy="622300"/>
            <wp:effectExtent l="0" t="0" r="0" b="0"/>
            <wp:docPr id="151340170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3401702" name=""/>
                    <pic:cNvPicPr/>
                  </pic:nvPicPr>
                  <pic:blipFill>
                    <a:blip r:embed="rId10"/>
                    <a:stretch>
                      <a:fillRect/>
                    </a:stretch>
                  </pic:blipFill>
                  <pic:spPr>
                    <a:xfrm>
                      <a:off x="0" y="0"/>
                      <a:ext cx="2400300" cy="622300"/>
                    </a:xfrm>
                    <a:prstGeom prst="rect">
                      <a:avLst/>
                    </a:prstGeom>
                  </pic:spPr>
                </pic:pic>
              </a:graphicData>
            </a:graphic>
          </wp:inline>
        </w:drawing>
      </w:r>
    </w:p>
    <w:p w14:paraId="08CCFE2A" w14:textId="77777777" w:rsidR="00B9011B" w:rsidRPr="00277E26" w:rsidRDefault="00B9011B" w:rsidP="00B9011B">
      <w:pPr>
        <w:spacing w:after="0"/>
        <w:jc w:val="both"/>
        <w:rPr>
          <w:rFonts w:ascii="Verdana" w:eastAsia="Calibri" w:hAnsi="Verdana" w:cs="Arial"/>
          <w:color w:val="000000"/>
          <w:lang w:val="es-ES"/>
        </w:rPr>
      </w:pPr>
    </w:p>
    <w:p w14:paraId="3B3F43FC" w14:textId="77777777" w:rsidR="00B9011B" w:rsidRPr="00277E26" w:rsidRDefault="00B9011B" w:rsidP="00B9011B">
      <w:pPr>
        <w:spacing w:after="0"/>
        <w:jc w:val="both"/>
        <w:rPr>
          <w:rFonts w:ascii="Verdana" w:eastAsia="Calibri" w:hAnsi="Verdana" w:cs="Arial"/>
          <w:lang w:val="es-ES" w:eastAsia="es-ES"/>
        </w:rPr>
      </w:pPr>
      <w:r w:rsidRPr="00277E26">
        <w:rPr>
          <w:rFonts w:ascii="Verdana" w:eastAsia="Calibri" w:hAnsi="Verdana" w:cs="Arial"/>
          <w:lang w:val="es-ES" w:eastAsia="es-ES"/>
        </w:rPr>
        <w:t>Señor</w:t>
      </w:r>
    </w:p>
    <w:p w14:paraId="051FF344" w14:textId="77777777" w:rsidR="00B9011B" w:rsidRPr="00B7050E" w:rsidRDefault="00B9011B" w:rsidP="00B9011B">
      <w:pPr>
        <w:spacing w:after="0"/>
        <w:rPr>
          <w:rFonts w:ascii="Verdana" w:eastAsia="Calibri" w:hAnsi="Verdana" w:cs="Arial"/>
          <w:b/>
          <w:lang w:eastAsia="es-ES_tradnl"/>
        </w:rPr>
      </w:pPr>
      <w:r w:rsidRPr="00241155">
        <w:rPr>
          <w:rFonts w:ascii="Verdana" w:eastAsia="Calibri" w:hAnsi="Verdana" w:cs="Arial"/>
          <w:b/>
          <w:lang w:eastAsia="es-ES_tradnl"/>
        </w:rPr>
        <w:t xml:space="preserve">Miller </w:t>
      </w:r>
      <w:proofErr w:type="spellStart"/>
      <w:r w:rsidRPr="00241155">
        <w:rPr>
          <w:rFonts w:ascii="Verdana" w:eastAsia="Calibri" w:hAnsi="Verdana" w:cs="Arial"/>
          <w:b/>
          <w:lang w:eastAsia="es-ES_tradnl"/>
        </w:rPr>
        <w:t>Miller</w:t>
      </w:r>
      <w:proofErr w:type="spellEnd"/>
      <w:r w:rsidRPr="00241155">
        <w:rPr>
          <w:rFonts w:ascii="Verdana" w:eastAsia="Calibri" w:hAnsi="Verdana" w:cs="Arial"/>
          <w:b/>
          <w:lang w:eastAsia="es-ES_tradnl"/>
        </w:rPr>
        <w:t xml:space="preserve"> Mejía Rada</w:t>
      </w:r>
    </w:p>
    <w:p w14:paraId="35C42D94" w14:textId="77777777" w:rsidR="00B9011B" w:rsidRPr="00681939" w:rsidRDefault="00B9011B" w:rsidP="00B9011B">
      <w:pPr>
        <w:spacing w:after="0"/>
        <w:rPr>
          <w:rFonts w:ascii="Verdana" w:hAnsi="Verdana"/>
        </w:rPr>
      </w:pPr>
      <w:hyperlink r:id="rId11" w:history="1">
        <w:r w:rsidRPr="00485723">
          <w:rPr>
            <w:rStyle w:val="Hipervnculo"/>
            <w:rFonts w:ascii="Verdana" w:hAnsi="Verdana"/>
          </w:rPr>
          <w:t>millermejia.asesor@gmail.com</w:t>
        </w:r>
      </w:hyperlink>
      <w:r>
        <w:rPr>
          <w:rFonts w:ascii="Verdana" w:hAnsi="Verdana"/>
        </w:rPr>
        <w:t xml:space="preserve"> </w:t>
      </w:r>
      <w:r w:rsidRPr="00681939">
        <w:rPr>
          <w:rFonts w:ascii="Verdana" w:hAnsi="Verdana"/>
        </w:rPr>
        <w:t xml:space="preserve">  </w:t>
      </w:r>
    </w:p>
    <w:p w14:paraId="4215513F" w14:textId="77777777" w:rsidR="00B9011B" w:rsidRPr="00277E26" w:rsidRDefault="00B9011B" w:rsidP="00B9011B">
      <w:pPr>
        <w:spacing w:after="0"/>
        <w:rPr>
          <w:rFonts w:ascii="Verdana" w:eastAsia="Calibri" w:hAnsi="Verdana" w:cs="Arial"/>
          <w:lang w:val="es-ES" w:eastAsia="es-ES"/>
        </w:rPr>
      </w:pPr>
      <w:r>
        <w:rPr>
          <w:rFonts w:ascii="Verdana" w:eastAsia="Calibri" w:hAnsi="Verdana" w:cs="Arial"/>
          <w:lang w:val="es-ES" w:eastAsia="es-ES"/>
        </w:rPr>
        <w:t xml:space="preserve">Florencia, Caquetá </w:t>
      </w:r>
      <w:r w:rsidRPr="00277E26">
        <w:rPr>
          <w:rFonts w:ascii="Verdana" w:eastAsia="Calibri" w:hAnsi="Verdana" w:cs="Arial"/>
          <w:lang w:val="es-ES" w:eastAsia="es-ES"/>
        </w:rPr>
        <w:t xml:space="preserve"> </w:t>
      </w:r>
    </w:p>
    <w:p w14:paraId="46DAA67E" w14:textId="77777777" w:rsidR="00B9011B" w:rsidRPr="00277E26" w:rsidRDefault="00B9011B" w:rsidP="00B9011B">
      <w:pPr>
        <w:spacing w:after="0"/>
        <w:rPr>
          <w:rFonts w:ascii="Verdana" w:eastAsia="Calibri" w:hAnsi="Verdana" w:cs="Arial"/>
          <w:b/>
          <w:bCs/>
          <w:color w:val="000000"/>
          <w:lang w:val="es-ES_tradnl" w:eastAsia="es-ES_tradnl"/>
        </w:rPr>
      </w:pPr>
    </w:p>
    <w:p w14:paraId="4D3209FD" w14:textId="77777777" w:rsidR="00B9011B" w:rsidRPr="00277E26" w:rsidRDefault="00B9011B" w:rsidP="00B9011B">
      <w:pPr>
        <w:spacing w:after="0"/>
        <w:rPr>
          <w:rFonts w:ascii="Verdana" w:eastAsia="Calibri" w:hAnsi="Verdana" w:cs="Arial"/>
          <w:b/>
          <w:bCs/>
          <w:color w:val="000000"/>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B9011B" w:rsidRPr="00277E26" w14:paraId="488EA4AE" w14:textId="77777777" w:rsidTr="00521D9A">
        <w:trPr>
          <w:trHeight w:val="884"/>
        </w:trPr>
        <w:tc>
          <w:tcPr>
            <w:tcW w:w="2689" w:type="dxa"/>
          </w:tcPr>
          <w:p w14:paraId="13B5FD10" w14:textId="77777777" w:rsidR="00B9011B" w:rsidRPr="00277E26" w:rsidRDefault="00B9011B" w:rsidP="00B9011B">
            <w:pPr>
              <w:jc w:val="both"/>
              <w:rPr>
                <w:rFonts w:ascii="Verdana" w:eastAsia="Calibri" w:hAnsi="Verdana" w:cs="Arial"/>
                <w:b/>
                <w:bCs/>
                <w:color w:val="7030A0"/>
                <w:lang w:val="es-ES_tradnl" w:eastAsia="es-ES_tradnl"/>
              </w:rPr>
            </w:pPr>
          </w:p>
        </w:tc>
        <w:tc>
          <w:tcPr>
            <w:tcW w:w="6100" w:type="dxa"/>
          </w:tcPr>
          <w:p w14:paraId="47BA1399" w14:textId="141A2B08" w:rsidR="00B9011B" w:rsidRPr="00277E26" w:rsidRDefault="00B9011B" w:rsidP="00B9011B">
            <w:pPr>
              <w:jc w:val="both"/>
              <w:rPr>
                <w:rFonts w:ascii="Verdana" w:eastAsia="Calibri" w:hAnsi="Verdana" w:cs="Arial"/>
                <w:b/>
                <w:bCs/>
                <w:color w:val="7030A0"/>
                <w:lang w:val="es-ES" w:eastAsia="es-ES"/>
              </w:rPr>
            </w:pPr>
            <w:r w:rsidRPr="00277E26">
              <w:rPr>
                <w:rFonts w:ascii="Verdana" w:eastAsia="Calibri" w:hAnsi="Verdana" w:cs="Arial"/>
                <w:b/>
                <w:bCs/>
                <w:lang w:val="es-ES" w:eastAsia="es-ES"/>
              </w:rPr>
              <w:t xml:space="preserve">Concepto C – </w:t>
            </w:r>
            <w:r w:rsidR="00DD1691">
              <w:rPr>
                <w:rFonts w:ascii="Verdana" w:eastAsia="Calibri" w:hAnsi="Verdana" w:cs="Arial"/>
                <w:b/>
                <w:bCs/>
                <w:lang w:val="es-ES" w:eastAsia="es-ES"/>
              </w:rPr>
              <w:t>617</w:t>
            </w:r>
            <w:r w:rsidRPr="00277E26">
              <w:rPr>
                <w:rFonts w:ascii="Verdana" w:eastAsia="Calibri" w:hAnsi="Verdana" w:cs="Arial"/>
                <w:b/>
                <w:bCs/>
                <w:lang w:val="es-ES" w:eastAsia="es-ES"/>
              </w:rPr>
              <w:t xml:space="preserve"> de 202</w:t>
            </w:r>
            <w:r>
              <w:rPr>
                <w:rFonts w:ascii="Verdana" w:eastAsia="Calibri" w:hAnsi="Verdana" w:cs="Arial"/>
                <w:b/>
                <w:bCs/>
                <w:lang w:val="es-ES" w:eastAsia="es-ES"/>
              </w:rPr>
              <w:t>5</w:t>
            </w:r>
          </w:p>
        </w:tc>
      </w:tr>
      <w:tr w:rsidR="00B9011B" w:rsidRPr="00277E26" w14:paraId="0AD0CAE7" w14:textId="77777777" w:rsidTr="00521D9A">
        <w:trPr>
          <w:trHeight w:val="884"/>
        </w:trPr>
        <w:tc>
          <w:tcPr>
            <w:tcW w:w="2689" w:type="dxa"/>
          </w:tcPr>
          <w:p w14:paraId="235087B8" w14:textId="77777777" w:rsidR="00B9011B" w:rsidRPr="00277E26" w:rsidRDefault="00B9011B" w:rsidP="00B9011B">
            <w:pPr>
              <w:jc w:val="both"/>
              <w:rPr>
                <w:rFonts w:ascii="Verdana" w:eastAsia="Calibri" w:hAnsi="Verdana" w:cs="Arial"/>
                <w:color w:val="000000"/>
                <w:lang w:val="es-ES_tradnl" w:eastAsia="es-ES_tradnl"/>
              </w:rPr>
            </w:pPr>
            <w:r w:rsidRPr="00277E26">
              <w:rPr>
                <w:rFonts w:ascii="Verdana" w:eastAsia="Calibri" w:hAnsi="Verdana" w:cs="Arial"/>
                <w:b/>
                <w:color w:val="000000"/>
                <w:lang w:val="es-ES_tradnl" w:eastAsia="es-ES_tradnl"/>
              </w:rPr>
              <w:t>Temas:</w:t>
            </w:r>
            <w:r w:rsidRPr="00277E26">
              <w:rPr>
                <w:rFonts w:ascii="Verdana" w:eastAsia="Calibri" w:hAnsi="Verdana" w:cs="Arial"/>
                <w:color w:val="000000"/>
                <w:lang w:val="es-ES_tradnl" w:eastAsia="es-ES_tradnl"/>
              </w:rPr>
              <w:t xml:space="preserve">                   </w:t>
            </w:r>
          </w:p>
        </w:tc>
        <w:tc>
          <w:tcPr>
            <w:tcW w:w="6100" w:type="dxa"/>
          </w:tcPr>
          <w:p w14:paraId="637375E2" w14:textId="77777777" w:rsidR="00B9011B" w:rsidRPr="00DF21B7" w:rsidRDefault="00B9011B" w:rsidP="00B9011B">
            <w:pPr>
              <w:spacing w:line="276" w:lineRule="auto"/>
              <w:jc w:val="both"/>
              <w:rPr>
                <w:rFonts w:ascii="Verdana" w:eastAsia="Calibri" w:hAnsi="Verdana" w:cs="Arial"/>
                <w:lang w:val="es-ES" w:eastAsia="es-ES"/>
              </w:rPr>
            </w:pPr>
            <w:r w:rsidRPr="00831C54">
              <w:rPr>
                <w:rFonts w:ascii="Verdana" w:eastAsia="Calibri" w:hAnsi="Verdana" w:cs="Arial"/>
                <w:lang w:val="es-ES" w:eastAsia="es-ES"/>
              </w:rPr>
              <w:t>EGCAP – Ámbito de aplicación – Entidades estatales</w:t>
            </w:r>
            <w:r>
              <w:rPr>
                <w:rFonts w:ascii="Verdana" w:eastAsia="Calibri" w:hAnsi="Verdana" w:cs="Arial"/>
                <w:lang w:val="es-ES" w:eastAsia="es-ES"/>
              </w:rPr>
              <w:t xml:space="preserve"> / </w:t>
            </w:r>
            <w:r w:rsidRPr="00831C54">
              <w:rPr>
                <w:rFonts w:ascii="Verdana" w:eastAsia="Calibri" w:hAnsi="Verdana" w:cs="Arial"/>
                <w:lang w:val="es-ES" w:eastAsia="es-ES"/>
              </w:rPr>
              <w:t>ENTIDADES EXCEPTUADAS – Aplicación de normas de derecho público</w:t>
            </w:r>
            <w:r>
              <w:rPr>
                <w:rFonts w:ascii="Verdana" w:eastAsia="Calibri" w:hAnsi="Verdana" w:cs="Arial"/>
                <w:lang w:val="es-ES" w:eastAsia="es-ES"/>
              </w:rPr>
              <w:t xml:space="preserve"> / </w:t>
            </w:r>
            <w:r w:rsidRPr="00831C54">
              <w:rPr>
                <w:rFonts w:ascii="Verdana" w:eastAsia="Calibri" w:hAnsi="Verdana" w:cs="Arial"/>
                <w:lang w:val="es-ES" w:eastAsia="es-ES"/>
              </w:rPr>
              <w:t>CONTRATO ESTATAL – Criterio orgánico</w:t>
            </w:r>
            <w:r>
              <w:rPr>
                <w:rFonts w:ascii="Verdana" w:eastAsia="Calibri" w:hAnsi="Verdana" w:cs="Arial"/>
                <w:lang w:val="es-ES" w:eastAsia="es-ES"/>
              </w:rPr>
              <w:t xml:space="preserve"> / </w:t>
            </w:r>
            <w:r w:rsidRPr="00831C54">
              <w:rPr>
                <w:rFonts w:ascii="Verdana" w:eastAsia="Calibri" w:hAnsi="Verdana" w:cs="Arial"/>
                <w:lang w:val="es-ES" w:eastAsia="es-ES"/>
              </w:rPr>
              <w:t>LICORES DESTILADOS – Monopolio rentístico – Fundamento normativo</w:t>
            </w:r>
            <w:r>
              <w:rPr>
                <w:rFonts w:ascii="Verdana" w:eastAsia="Calibri" w:hAnsi="Verdana" w:cs="Arial"/>
                <w:lang w:val="es-ES" w:eastAsia="es-ES"/>
              </w:rPr>
              <w:t xml:space="preserve"> / </w:t>
            </w:r>
            <w:r w:rsidRPr="00831C54">
              <w:rPr>
                <w:rFonts w:ascii="Verdana" w:eastAsia="Calibri" w:hAnsi="Verdana" w:cs="Arial"/>
                <w:lang w:val="es-ES" w:eastAsia="es-ES"/>
              </w:rPr>
              <w:t>LICORES DESTILADOS – Departamentos – Explotación directa – Régimen contractual aplicable – Procedimientos de selección – Contratación directa – Interpretación restrictiva</w:t>
            </w:r>
          </w:p>
          <w:p w14:paraId="5F7E4959" w14:textId="77777777" w:rsidR="00B9011B" w:rsidRPr="00277E26" w:rsidRDefault="00B9011B" w:rsidP="00B9011B">
            <w:pPr>
              <w:spacing w:line="276" w:lineRule="auto"/>
              <w:jc w:val="both"/>
              <w:rPr>
                <w:rFonts w:ascii="Verdana" w:eastAsia="Calibri" w:hAnsi="Verdana" w:cs="Arial"/>
                <w:lang w:val="es-ES" w:eastAsia="es-ES"/>
              </w:rPr>
            </w:pPr>
            <w:r w:rsidRPr="00277E26">
              <w:rPr>
                <w:rFonts w:ascii="Verdana" w:eastAsia="Calibri" w:hAnsi="Verdana" w:cs="Arial"/>
                <w:lang w:val="es-ES" w:eastAsia="es-ES"/>
              </w:rPr>
              <w:t xml:space="preserve">  </w:t>
            </w:r>
          </w:p>
        </w:tc>
      </w:tr>
      <w:tr w:rsidR="00B9011B" w:rsidRPr="00277E26" w14:paraId="39820043" w14:textId="77777777" w:rsidTr="00521D9A">
        <w:tc>
          <w:tcPr>
            <w:tcW w:w="2689" w:type="dxa"/>
          </w:tcPr>
          <w:p w14:paraId="0704C528" w14:textId="77777777" w:rsidR="00B9011B" w:rsidRPr="00277E26" w:rsidRDefault="00B9011B" w:rsidP="00B9011B">
            <w:pPr>
              <w:jc w:val="both"/>
              <w:rPr>
                <w:rFonts w:ascii="Verdana" w:eastAsia="Calibri" w:hAnsi="Verdana" w:cs="Arial"/>
                <w:b/>
                <w:lang w:val="es-ES_tradnl" w:eastAsia="es-ES_tradnl"/>
              </w:rPr>
            </w:pPr>
            <w:r w:rsidRPr="00277E26">
              <w:rPr>
                <w:rFonts w:ascii="Verdana" w:eastAsia="Calibri" w:hAnsi="Verdana" w:cs="Arial"/>
                <w:b/>
                <w:lang w:val="es-ES_tradnl" w:eastAsia="es-ES_tradnl"/>
              </w:rPr>
              <w:t>Radicación:</w:t>
            </w:r>
            <w:r w:rsidRPr="00277E26">
              <w:rPr>
                <w:rFonts w:ascii="Verdana" w:eastAsia="Calibri" w:hAnsi="Verdana" w:cs="Arial"/>
                <w:lang w:val="es-ES_tradnl" w:eastAsia="es-ES_tradnl"/>
              </w:rPr>
              <w:t xml:space="preserve">               </w:t>
            </w:r>
          </w:p>
        </w:tc>
        <w:tc>
          <w:tcPr>
            <w:tcW w:w="6100" w:type="dxa"/>
          </w:tcPr>
          <w:p w14:paraId="5D0C3CB6" w14:textId="77777777" w:rsidR="00B9011B" w:rsidRPr="00277E26" w:rsidRDefault="00B9011B" w:rsidP="00B9011B">
            <w:pPr>
              <w:jc w:val="both"/>
              <w:rPr>
                <w:rFonts w:ascii="Verdana" w:eastAsia="Calibri" w:hAnsi="Verdana" w:cs="Arial"/>
                <w:lang w:eastAsia="es-ES_tradnl"/>
              </w:rPr>
            </w:pPr>
            <w:r w:rsidRPr="00277E26">
              <w:rPr>
                <w:rFonts w:ascii="Verdana" w:eastAsia="Calibri" w:hAnsi="Verdana" w:cs="Arial"/>
                <w:lang w:val="es-ES_tradnl" w:eastAsia="es-ES_tradnl"/>
              </w:rPr>
              <w:t xml:space="preserve">Respuesta a la consulta con radicado No. </w:t>
            </w:r>
            <w:r w:rsidRPr="00241155">
              <w:rPr>
                <w:rFonts w:ascii="Verdana" w:eastAsia="Calibri" w:hAnsi="Verdana" w:cs="Arial"/>
                <w:lang w:val="es-ES_tradnl" w:eastAsia="es-ES_tradnl"/>
              </w:rPr>
              <w:t>P20250519004789</w:t>
            </w:r>
            <w:r w:rsidRPr="00534CFC">
              <w:rPr>
                <w:rFonts w:ascii="Verdana" w:eastAsia="Calibri" w:hAnsi="Verdana" w:cs="Arial"/>
                <w:lang w:val="es-ES_tradnl" w:eastAsia="es-ES_tradnl"/>
              </w:rPr>
              <w:t xml:space="preserve"> </w:t>
            </w:r>
            <w:r w:rsidRPr="00277E26">
              <w:rPr>
                <w:rFonts w:ascii="Verdana" w:eastAsia="Calibri" w:hAnsi="Verdana" w:cs="Arial"/>
                <w:lang w:val="es-ES_tradnl" w:eastAsia="es-ES_tradnl"/>
              </w:rPr>
              <w:t xml:space="preserve">                                    </w:t>
            </w:r>
          </w:p>
        </w:tc>
      </w:tr>
    </w:tbl>
    <w:p w14:paraId="4B50E4A1" w14:textId="77777777" w:rsidR="00B9011B" w:rsidRPr="00277E26" w:rsidRDefault="00B9011B" w:rsidP="00B9011B">
      <w:pPr>
        <w:spacing w:after="0"/>
        <w:jc w:val="both"/>
        <w:rPr>
          <w:rFonts w:ascii="Verdana" w:eastAsia="Calibri" w:hAnsi="Verdana" w:cs="Arial"/>
          <w:color w:val="000000"/>
          <w:lang w:val="es-ES_tradnl" w:eastAsia="es-ES_tradnl"/>
        </w:rPr>
      </w:pPr>
    </w:p>
    <w:p w14:paraId="795FC99B" w14:textId="77777777" w:rsidR="00B9011B" w:rsidRPr="00277E26" w:rsidRDefault="00B9011B" w:rsidP="00B9011B">
      <w:pPr>
        <w:spacing w:after="0"/>
        <w:jc w:val="both"/>
        <w:rPr>
          <w:rFonts w:ascii="Verdana" w:eastAsia="Calibri" w:hAnsi="Verdana" w:cs="Arial"/>
          <w:color w:val="000000"/>
          <w:lang w:val="es-ES_tradnl" w:eastAsia="es-ES_tradnl"/>
        </w:rPr>
      </w:pPr>
    </w:p>
    <w:p w14:paraId="6AC62655" w14:textId="77777777" w:rsidR="00B9011B" w:rsidRPr="00277E26" w:rsidRDefault="00B9011B" w:rsidP="00B9011B">
      <w:pPr>
        <w:spacing w:after="0" w:line="276" w:lineRule="auto"/>
        <w:jc w:val="both"/>
        <w:rPr>
          <w:rFonts w:ascii="Verdana" w:eastAsia="Calibri" w:hAnsi="Verdana" w:cs="Arial"/>
          <w:lang w:val="es-ES" w:eastAsia="es-ES"/>
        </w:rPr>
      </w:pPr>
      <w:r w:rsidRPr="00277E26">
        <w:rPr>
          <w:rFonts w:ascii="Verdana" w:eastAsia="Calibri" w:hAnsi="Verdana" w:cs="Arial"/>
          <w:lang w:val="es-ES" w:eastAsia="es-ES"/>
        </w:rPr>
        <w:t>Estimad</w:t>
      </w:r>
      <w:r>
        <w:rPr>
          <w:rFonts w:ascii="Verdana" w:eastAsia="Calibri" w:hAnsi="Verdana" w:cs="Arial"/>
          <w:lang w:val="es-ES" w:eastAsia="es-ES"/>
        </w:rPr>
        <w:t>o</w:t>
      </w:r>
      <w:r w:rsidRPr="00277E26">
        <w:rPr>
          <w:rFonts w:ascii="Verdana" w:eastAsia="Calibri" w:hAnsi="Verdana" w:cs="Arial"/>
          <w:lang w:val="es-ES" w:eastAsia="es-ES"/>
        </w:rPr>
        <w:t xml:space="preserve"> señor </w:t>
      </w:r>
      <w:r w:rsidRPr="00681939">
        <w:rPr>
          <w:rFonts w:ascii="Verdana" w:eastAsia="Calibri" w:hAnsi="Verdana" w:cs="Arial"/>
          <w:lang w:val="es-ES" w:eastAsia="es-ES"/>
        </w:rPr>
        <w:t>Mejía Rada</w:t>
      </w:r>
      <w:r w:rsidRPr="00277E26">
        <w:rPr>
          <w:rFonts w:ascii="Verdana" w:eastAsia="Calibri" w:hAnsi="Verdana" w:cs="Arial"/>
          <w:lang w:val="es-ES" w:eastAsia="es-ES"/>
        </w:rPr>
        <w:t xml:space="preserve">: </w:t>
      </w:r>
    </w:p>
    <w:p w14:paraId="4EB981CA" w14:textId="77777777" w:rsidR="00B9011B" w:rsidRPr="00277E26" w:rsidRDefault="00B9011B" w:rsidP="00B9011B">
      <w:pPr>
        <w:tabs>
          <w:tab w:val="left" w:pos="3768"/>
        </w:tabs>
        <w:spacing w:after="0" w:line="276" w:lineRule="auto"/>
        <w:jc w:val="both"/>
        <w:rPr>
          <w:rFonts w:ascii="Verdana" w:eastAsia="Calibri" w:hAnsi="Verdana" w:cs="Arial"/>
          <w:color w:val="000000" w:themeColor="text1"/>
          <w:lang w:val="es-ES" w:eastAsia="es-ES"/>
        </w:rPr>
      </w:pPr>
      <w:r w:rsidRPr="00277E26">
        <w:rPr>
          <w:rFonts w:ascii="Verdana" w:eastAsia="Calibri" w:hAnsi="Verdana" w:cs="Arial"/>
          <w:color w:val="000000" w:themeColor="text1"/>
          <w:lang w:val="es-ES" w:eastAsia="es-ES"/>
        </w:rPr>
        <w:tab/>
      </w:r>
    </w:p>
    <w:p w14:paraId="3DB5066A" w14:textId="77777777" w:rsidR="00B9011B" w:rsidRPr="00277E26" w:rsidRDefault="00B9011B" w:rsidP="00B9011B">
      <w:pPr>
        <w:spacing w:after="0" w:line="276" w:lineRule="auto"/>
        <w:jc w:val="both"/>
        <w:rPr>
          <w:rFonts w:ascii="Verdana" w:eastAsia="Calibri" w:hAnsi="Verdana" w:cs="Arial"/>
          <w:color w:val="7030A0"/>
          <w:lang w:val="es-ES" w:eastAsia="es-ES"/>
        </w:rPr>
      </w:pPr>
      <w:r w:rsidRPr="00277E26">
        <w:rPr>
          <w:rFonts w:ascii="Verdana" w:eastAsia="Calibri" w:hAnsi="Verdana" w:cs="Arial"/>
          <w:color w:val="000000" w:themeColor="text1"/>
          <w:lang w:val="es-ES" w:eastAsia="es-ES"/>
        </w:rPr>
        <w:t>En ejercicio de la competencia otorgada por los artículos 3, numeral 5º, y 11, numeral 8º, del Decreto Ley 4170 de 2011,</w:t>
      </w:r>
      <w:r w:rsidRPr="00277E26">
        <w:rPr>
          <w:rFonts w:ascii="Verdana" w:eastAsia="Arial MT" w:hAnsi="Verdana" w:cs="Arial MT"/>
          <w:lang w:val="es-ES" w:eastAsia="es-ES"/>
        </w:rPr>
        <w:t xml:space="preserve"> </w:t>
      </w:r>
      <w:r w:rsidRPr="00277E26">
        <w:rPr>
          <w:rFonts w:ascii="Verdana" w:hAnsi="Verdana" w:cs="Arial"/>
        </w:rPr>
        <w:t xml:space="preserve">así como lo establecido en el artículo 4 de la Resolución 1707 de 2018 expedida por esta Entidad, </w:t>
      </w:r>
      <w:r w:rsidRPr="00277E26">
        <w:rPr>
          <w:rFonts w:ascii="Verdana" w:eastAsia="Calibri" w:hAnsi="Verdana" w:cs="Arial"/>
          <w:color w:val="000000" w:themeColor="text1"/>
          <w:lang w:val="es-ES" w:eastAsia="es-ES"/>
        </w:rPr>
        <w:t xml:space="preserve">la Agencia Nacional de Contratación Pública – Colombia Compra Eficiente responde su solicitud de consulta de </w:t>
      </w:r>
      <w:r w:rsidRPr="00277E26">
        <w:rPr>
          <w:rFonts w:ascii="Verdana" w:eastAsia="Calibri" w:hAnsi="Verdana" w:cs="Arial"/>
          <w:lang w:val="es-ES" w:eastAsia="es-ES"/>
        </w:rPr>
        <w:t xml:space="preserve">fecha </w:t>
      </w:r>
      <w:r>
        <w:rPr>
          <w:rFonts w:ascii="Verdana" w:eastAsia="Calibri" w:hAnsi="Verdana" w:cs="Arial"/>
          <w:lang w:val="es-ES" w:eastAsia="es-ES"/>
        </w:rPr>
        <w:t>19 de mayo de 2025</w:t>
      </w:r>
      <w:r w:rsidRPr="00277E26">
        <w:rPr>
          <w:rFonts w:ascii="Verdana" w:eastAsia="Calibri" w:hAnsi="Verdana" w:cs="Arial"/>
          <w:lang w:val="es-ES" w:eastAsia="es-ES"/>
        </w:rPr>
        <w:t xml:space="preserve">, </w:t>
      </w:r>
      <w:r>
        <w:rPr>
          <w:rFonts w:ascii="Verdana" w:eastAsia="Calibri" w:hAnsi="Verdana" w:cs="Arial"/>
          <w:lang w:val="es-ES" w:eastAsia="es-ES"/>
        </w:rPr>
        <w:t xml:space="preserve">en la que planea las siguientes inquietudes: </w:t>
      </w:r>
      <w:r w:rsidRPr="00277E26">
        <w:rPr>
          <w:rFonts w:ascii="Verdana" w:eastAsia="Calibri" w:hAnsi="Verdana" w:cs="Arial"/>
          <w:lang w:val="es-ES" w:eastAsia="es-ES"/>
        </w:rPr>
        <w:t xml:space="preserve"> </w:t>
      </w:r>
    </w:p>
    <w:p w14:paraId="64C3D6CA" w14:textId="77777777" w:rsidR="00B9011B" w:rsidRPr="00277E26" w:rsidRDefault="00B9011B" w:rsidP="00B9011B">
      <w:pPr>
        <w:pStyle w:val="Prrafodelista"/>
        <w:tabs>
          <w:tab w:val="left" w:pos="142"/>
          <w:tab w:val="left" w:pos="284"/>
        </w:tabs>
        <w:spacing w:after="0" w:line="276" w:lineRule="auto"/>
        <w:ind w:left="0"/>
        <w:jc w:val="both"/>
        <w:rPr>
          <w:rFonts w:ascii="Verdana" w:eastAsia="Century Gothic" w:hAnsi="Verdana" w:cs="Century Gothic"/>
          <w:b/>
          <w:bCs/>
        </w:rPr>
      </w:pPr>
    </w:p>
    <w:p w14:paraId="4813EBC2" w14:textId="77777777" w:rsidR="00B9011B" w:rsidRPr="00750113" w:rsidRDefault="00B9011B" w:rsidP="00B9011B">
      <w:pPr>
        <w:spacing w:after="120"/>
        <w:ind w:left="709" w:right="709"/>
        <w:jc w:val="both"/>
        <w:rPr>
          <w:rFonts w:ascii="Verdana" w:eastAsia="Century Gothic" w:hAnsi="Verdana" w:cs="Century Gothic"/>
          <w:sz w:val="21"/>
          <w:szCs w:val="21"/>
          <w:lang w:val="es-ES"/>
        </w:rPr>
      </w:pPr>
      <w:bookmarkStart w:id="0" w:name="_Hlk95313578"/>
      <w:r w:rsidRPr="006040CE">
        <w:rPr>
          <w:rFonts w:ascii="Verdana" w:eastAsia="Century Gothic" w:hAnsi="Verdana" w:cs="Century Gothic"/>
          <w:sz w:val="21"/>
          <w:szCs w:val="21"/>
          <w:lang w:val="es-ES"/>
        </w:rPr>
        <w:lastRenderedPageBreak/>
        <w:t>“</w:t>
      </w:r>
      <w:bookmarkEnd w:id="0"/>
      <w:r w:rsidRPr="00750113">
        <w:rPr>
          <w:rFonts w:ascii="Verdana" w:eastAsia="Century Gothic" w:hAnsi="Verdana" w:cs="Century Gothic"/>
          <w:sz w:val="21"/>
          <w:szCs w:val="21"/>
          <w:lang w:val="es-ES"/>
        </w:rPr>
        <w:t>1.</w:t>
      </w:r>
      <w:r>
        <w:rPr>
          <w:rFonts w:ascii="Verdana" w:eastAsia="Century Gothic" w:hAnsi="Verdana" w:cs="Century Gothic"/>
          <w:sz w:val="21"/>
          <w:szCs w:val="21"/>
          <w:lang w:val="es-ES"/>
        </w:rPr>
        <w:t xml:space="preserve"> </w:t>
      </w:r>
      <w:r w:rsidRPr="00750113">
        <w:rPr>
          <w:rFonts w:ascii="Verdana" w:eastAsia="Century Gothic" w:hAnsi="Verdana" w:cs="Century Gothic"/>
          <w:sz w:val="21"/>
          <w:szCs w:val="21"/>
          <w:lang w:val="es-ES"/>
        </w:rPr>
        <w:t>¿Si un departamento ejerce el monopolio de producción de licores destilados directamente mediante contratación de terceros, en los términos del artículo 7 de la Ley 1816 de 2016, el contrato de maquila se celebra precedido de qué modalidad de contratación? ¿Licitación pública? ¿Contratación directa cuando se trate de una entidad pública como industria licorera?</w:t>
      </w:r>
    </w:p>
    <w:p w14:paraId="3F484C4A" w14:textId="77777777" w:rsidR="00B9011B" w:rsidRPr="00750113" w:rsidRDefault="00B9011B" w:rsidP="00B9011B">
      <w:pPr>
        <w:spacing w:after="120"/>
        <w:ind w:left="709" w:right="709"/>
        <w:jc w:val="both"/>
        <w:rPr>
          <w:rFonts w:ascii="Verdana" w:eastAsia="Century Gothic" w:hAnsi="Verdana" w:cs="Century Gothic"/>
          <w:sz w:val="21"/>
          <w:szCs w:val="21"/>
          <w:lang w:val="es-ES"/>
        </w:rPr>
      </w:pPr>
      <w:r w:rsidRPr="00750113">
        <w:rPr>
          <w:rFonts w:ascii="Verdana" w:eastAsia="Century Gothic" w:hAnsi="Verdana" w:cs="Century Gothic"/>
          <w:sz w:val="21"/>
          <w:szCs w:val="21"/>
          <w:lang w:val="es-ES"/>
        </w:rPr>
        <w:t xml:space="preserve">2. ¿Qué modalidad de contratación se debe adelantar para un contrato de distribución y comercialización cuando se trate de una empresa o persona privada? </w:t>
      </w:r>
    </w:p>
    <w:p w14:paraId="53A3926A" w14:textId="77777777" w:rsidR="00B9011B" w:rsidRPr="00F961F8" w:rsidRDefault="00B9011B" w:rsidP="00B9011B">
      <w:pPr>
        <w:spacing w:after="0"/>
        <w:ind w:left="709" w:right="709"/>
        <w:jc w:val="both"/>
        <w:rPr>
          <w:rFonts w:ascii="Verdana" w:eastAsia="Century Gothic" w:hAnsi="Verdana" w:cs="Century Gothic"/>
          <w:sz w:val="21"/>
          <w:szCs w:val="21"/>
          <w:lang w:val="es-ES"/>
        </w:rPr>
      </w:pPr>
      <w:r w:rsidRPr="00750113">
        <w:rPr>
          <w:rFonts w:ascii="Verdana" w:eastAsia="Century Gothic" w:hAnsi="Verdana" w:cs="Century Gothic"/>
          <w:sz w:val="21"/>
          <w:szCs w:val="21"/>
          <w:lang w:val="es-ES"/>
        </w:rPr>
        <w:t>3. ¿Qué modalidad de contratación se debe utilizar para contratar la distribución y comercialización cuando la persona a contratar es una entidad pública, como una industria licorera?</w:t>
      </w:r>
      <w:r w:rsidRPr="006040CE">
        <w:rPr>
          <w:rFonts w:ascii="Verdana" w:eastAsia="Century Gothic" w:hAnsi="Verdana" w:cs="Century Gothic"/>
          <w:sz w:val="21"/>
          <w:szCs w:val="21"/>
          <w:lang w:val="es-ES"/>
        </w:rPr>
        <w:t>”.</w:t>
      </w:r>
      <w:r>
        <w:rPr>
          <w:rFonts w:ascii="Verdana" w:eastAsia="Century Gothic" w:hAnsi="Verdana" w:cs="Century Gothic"/>
          <w:sz w:val="20"/>
          <w:szCs w:val="20"/>
          <w:lang w:val="es-ES"/>
        </w:rPr>
        <w:t xml:space="preserve"> </w:t>
      </w:r>
    </w:p>
    <w:p w14:paraId="4534DD0D" w14:textId="77777777" w:rsidR="00B9011B" w:rsidRPr="00277E26" w:rsidRDefault="00B9011B" w:rsidP="00B9011B">
      <w:pPr>
        <w:spacing w:after="0" w:line="276" w:lineRule="auto"/>
        <w:jc w:val="both"/>
        <w:rPr>
          <w:rFonts w:ascii="Verdana" w:eastAsia="Calibri" w:hAnsi="Verdana" w:cs="Arial"/>
          <w:color w:val="000000"/>
          <w:lang w:val="es-ES" w:eastAsia="es-ES"/>
        </w:rPr>
      </w:pPr>
    </w:p>
    <w:p w14:paraId="18110ED2" w14:textId="77777777" w:rsidR="00B9011B" w:rsidRPr="00277E26" w:rsidRDefault="00B9011B" w:rsidP="00B9011B">
      <w:pPr>
        <w:spacing w:after="120" w:line="276" w:lineRule="auto"/>
        <w:ind w:firstLine="709"/>
        <w:jc w:val="both"/>
        <w:rPr>
          <w:rFonts w:ascii="Verdana" w:eastAsia="Calibri" w:hAnsi="Verdana" w:cs="Arial"/>
          <w:color w:val="000000"/>
          <w:lang w:val="es-ES" w:eastAsia="es-ES"/>
        </w:rPr>
      </w:pPr>
      <w:r w:rsidRPr="00277E26">
        <w:rPr>
          <w:rFonts w:ascii="Verdana" w:eastAsia="Calibri" w:hAnsi="Verdana" w:cs="Arial"/>
          <w:color w:val="000000"/>
          <w:lang w:val="es-ES" w:eastAsia="es-ES"/>
        </w:rPr>
        <w:t xml:space="preserve">De manera preliminar, resulta necesario acotar que esta entidad sólo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277E26">
        <w:rPr>
          <w:rFonts w:ascii="Verdana" w:eastAsia="Calibri" w:hAnsi="Verdana" w:cs="Arial"/>
          <w:color w:val="000000"/>
          <w:lang w:val="es-ES_tradnl" w:eastAsia="es-ES_tradnl"/>
        </w:rPr>
        <w:tab/>
      </w:r>
    </w:p>
    <w:p w14:paraId="6172529F" w14:textId="77777777" w:rsidR="00B9011B" w:rsidRPr="00277E26" w:rsidRDefault="00B9011B" w:rsidP="00B9011B">
      <w:pPr>
        <w:spacing w:after="0" w:line="276" w:lineRule="auto"/>
        <w:ind w:firstLine="709"/>
        <w:jc w:val="both"/>
        <w:rPr>
          <w:rFonts w:ascii="Verdana" w:eastAsia="Calibri" w:hAnsi="Verdana" w:cs="Arial"/>
          <w:color w:val="000000"/>
          <w:lang w:val="es-ES" w:eastAsia="es-ES"/>
        </w:rPr>
      </w:pPr>
      <w:r w:rsidRPr="00277E26">
        <w:rPr>
          <w:rFonts w:ascii="Verdana" w:eastAsia="Calibri" w:hAnsi="Verdana" w:cs="Arial"/>
          <w:color w:val="000000"/>
          <w:lang w:val="es-ES" w:eastAsia="es-ES"/>
        </w:rPr>
        <w:t>Conforme lo expuesto, en aras de satisfacer el derecho fundamental de petición se resolverá su consulta dentro de los límites de la referida competencia consultiva, esto es, haciendo abstracción de las circunstancias particulares y concretas que la hayan motivado, pero haciendo unas consideraciones sobre las normas generales relacionadas con el</w:t>
      </w:r>
      <w:r w:rsidRPr="00277E26">
        <w:rPr>
          <w:rFonts w:ascii="Verdana" w:eastAsia="Calibri" w:hAnsi="Verdana" w:cs="Arial"/>
          <w:color w:val="7030A0"/>
          <w:lang w:val="es-ES" w:eastAsia="es-ES"/>
        </w:rPr>
        <w:t xml:space="preserve"> </w:t>
      </w:r>
      <w:r w:rsidRPr="00277E26">
        <w:rPr>
          <w:rFonts w:ascii="Verdana" w:eastAsia="Calibri" w:hAnsi="Verdana" w:cs="Arial"/>
          <w:color w:val="000000"/>
          <w:lang w:val="es-ES" w:eastAsia="es-ES"/>
        </w:rPr>
        <w:t>problema</w:t>
      </w:r>
      <w:r w:rsidRPr="00277E26">
        <w:rPr>
          <w:rFonts w:ascii="Verdana" w:eastAsia="Calibri" w:hAnsi="Verdana" w:cs="Arial"/>
          <w:color w:val="7030A0"/>
          <w:lang w:val="es-ES" w:eastAsia="es-ES"/>
        </w:rPr>
        <w:t xml:space="preserve"> </w:t>
      </w:r>
      <w:r w:rsidRPr="00277E26">
        <w:rPr>
          <w:rFonts w:ascii="Verdana" w:eastAsia="Calibri" w:hAnsi="Verdana" w:cs="Arial"/>
          <w:color w:val="000000"/>
          <w:lang w:val="es-ES" w:eastAsia="es-ES"/>
        </w:rPr>
        <w:t>jurídico</w:t>
      </w:r>
      <w:r w:rsidRPr="00277E26">
        <w:rPr>
          <w:rFonts w:ascii="Verdana" w:eastAsia="Calibri" w:hAnsi="Verdana" w:cs="Arial"/>
          <w:color w:val="7030A0"/>
          <w:lang w:val="es-ES" w:eastAsia="es-ES"/>
        </w:rPr>
        <w:t xml:space="preserve"> </w:t>
      </w:r>
      <w:r w:rsidRPr="00277E26">
        <w:rPr>
          <w:rFonts w:ascii="Verdana" w:eastAsia="Calibri" w:hAnsi="Verdana" w:cs="Arial"/>
          <w:color w:val="000000"/>
          <w:lang w:val="es-ES" w:eastAsia="es-ES"/>
        </w:rPr>
        <w:t xml:space="preserve">de su consulta. </w:t>
      </w:r>
    </w:p>
    <w:p w14:paraId="79D890C6" w14:textId="77777777" w:rsidR="00B9011B" w:rsidRPr="00277E26" w:rsidRDefault="00B9011B" w:rsidP="00B9011B">
      <w:pPr>
        <w:spacing w:after="0" w:line="276" w:lineRule="auto"/>
        <w:ind w:firstLine="709"/>
        <w:jc w:val="both"/>
        <w:rPr>
          <w:rFonts w:ascii="Verdana" w:eastAsia="Calibri" w:hAnsi="Verdana" w:cs="Arial"/>
          <w:color w:val="000000"/>
          <w:lang w:val="es-ES" w:eastAsia="es-ES"/>
        </w:rPr>
      </w:pPr>
    </w:p>
    <w:p w14:paraId="0436F52B" w14:textId="77777777" w:rsidR="00B9011B" w:rsidRPr="00277E26" w:rsidRDefault="00B9011B" w:rsidP="00B9011B">
      <w:pPr>
        <w:pStyle w:val="Prrafodelista"/>
        <w:numPr>
          <w:ilvl w:val="0"/>
          <w:numId w:val="16"/>
        </w:numPr>
        <w:tabs>
          <w:tab w:val="left" w:pos="142"/>
          <w:tab w:val="left" w:pos="284"/>
        </w:tabs>
        <w:spacing w:after="0" w:line="276" w:lineRule="auto"/>
        <w:ind w:left="0" w:firstLine="0"/>
        <w:jc w:val="both"/>
        <w:rPr>
          <w:rFonts w:ascii="Verdana" w:eastAsia="Century Gothic" w:hAnsi="Verdana" w:cs="Century Gothic"/>
          <w:b/>
          <w:bCs/>
        </w:rPr>
      </w:pPr>
      <w:r w:rsidRPr="00277E26">
        <w:rPr>
          <w:rFonts w:ascii="Verdana" w:eastAsia="Century Gothic" w:hAnsi="Verdana" w:cs="Century Gothic"/>
          <w:b/>
          <w:bCs/>
        </w:rPr>
        <w:t>Problema planteado:</w:t>
      </w:r>
    </w:p>
    <w:p w14:paraId="4B68220D" w14:textId="77777777" w:rsidR="00B9011B" w:rsidRPr="00277E26" w:rsidRDefault="00B9011B" w:rsidP="00B9011B">
      <w:pPr>
        <w:tabs>
          <w:tab w:val="left" w:pos="426"/>
        </w:tabs>
        <w:spacing w:after="0" w:line="276" w:lineRule="auto"/>
        <w:jc w:val="both"/>
        <w:rPr>
          <w:rFonts w:ascii="Verdana" w:eastAsia="Century Gothic" w:hAnsi="Verdana" w:cs="Century Gothic"/>
          <w:lang w:val="es-ES"/>
        </w:rPr>
      </w:pPr>
    </w:p>
    <w:p w14:paraId="74EF25BC" w14:textId="77777777" w:rsidR="00B9011B" w:rsidRPr="00277E26" w:rsidRDefault="00B9011B" w:rsidP="00B9011B">
      <w:pPr>
        <w:spacing w:after="0" w:line="276" w:lineRule="auto"/>
        <w:jc w:val="both"/>
        <w:rPr>
          <w:rFonts w:ascii="Verdana" w:eastAsia="Century Gothic" w:hAnsi="Verdana" w:cs="Century Gothic"/>
        </w:rPr>
      </w:pPr>
      <w:r w:rsidRPr="00277E26">
        <w:rPr>
          <w:rFonts w:ascii="Verdana" w:eastAsia="Century Gothic" w:hAnsi="Verdana" w:cs="Century Gothic"/>
        </w:rPr>
        <w:t xml:space="preserve">De acuerdo con el contenido de su solicitud, esta Agencia resolverá el siguiente problema jurídico: </w:t>
      </w:r>
      <w:r>
        <w:rPr>
          <w:rFonts w:ascii="Verdana" w:eastAsia="Century Gothic" w:hAnsi="Verdana" w:cs="Century Gothic"/>
        </w:rPr>
        <w:t xml:space="preserve">¿cuál es el régimen de los procedimientos de selección aplicables cuando el departamento ejerce </w:t>
      </w:r>
      <w:r w:rsidRPr="00750113">
        <w:rPr>
          <w:rFonts w:ascii="Verdana" w:eastAsia="Century Gothic" w:hAnsi="Verdana" w:cs="Century Gothic"/>
        </w:rPr>
        <w:t xml:space="preserve">directamente el monopolio de producción de licores destilados </w:t>
      </w:r>
      <w:r>
        <w:rPr>
          <w:rFonts w:ascii="Verdana" w:eastAsia="Century Gothic" w:hAnsi="Verdana" w:cs="Century Gothic"/>
        </w:rPr>
        <w:t>conforme al artículo 7 de la Ley 1816 de 2016</w:t>
      </w:r>
      <w:r w:rsidRPr="00277E26">
        <w:rPr>
          <w:rFonts w:ascii="Verdana" w:eastAsia="Century Gothic" w:hAnsi="Verdana" w:cs="Century Gothic"/>
        </w:rPr>
        <w:t xml:space="preserve">? </w:t>
      </w:r>
      <w:r w:rsidRPr="00277E26">
        <w:rPr>
          <w:rFonts w:ascii="Verdana" w:eastAsia="Century Gothic" w:hAnsi="Verdana" w:cs="Century Gothic"/>
          <w:color w:val="7030A0"/>
        </w:rPr>
        <w:t xml:space="preserve"> </w:t>
      </w:r>
    </w:p>
    <w:p w14:paraId="15879569" w14:textId="77777777" w:rsidR="00B9011B" w:rsidRPr="00277E26" w:rsidRDefault="00B9011B" w:rsidP="00B9011B">
      <w:pPr>
        <w:spacing w:after="0" w:line="276" w:lineRule="auto"/>
        <w:jc w:val="both"/>
        <w:rPr>
          <w:rFonts w:ascii="Verdana" w:eastAsia="Calibri" w:hAnsi="Verdana" w:cs="Arial"/>
          <w:color w:val="7030A0"/>
        </w:rPr>
      </w:pPr>
    </w:p>
    <w:p w14:paraId="0D7B9738" w14:textId="77777777" w:rsidR="00B9011B" w:rsidRPr="00277E26" w:rsidRDefault="00B9011B" w:rsidP="00B9011B">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277E26">
        <w:rPr>
          <w:rFonts w:ascii="Verdana" w:eastAsia="Century Gothic" w:hAnsi="Verdana" w:cs="Century Gothic"/>
          <w:b/>
          <w:bCs/>
        </w:rPr>
        <w:t>Respuesta:</w:t>
      </w:r>
    </w:p>
    <w:p w14:paraId="5964EA0D" w14:textId="77777777" w:rsidR="00B9011B" w:rsidRPr="00277E26" w:rsidRDefault="00B9011B" w:rsidP="00B9011B">
      <w:pPr>
        <w:tabs>
          <w:tab w:val="left" w:pos="142"/>
          <w:tab w:val="left" w:pos="284"/>
        </w:tabs>
        <w:spacing w:after="0" w:line="276" w:lineRule="auto"/>
        <w:jc w:val="both"/>
        <w:rPr>
          <w:rFonts w:ascii="Verdana" w:eastAsia="Century Gothic" w:hAnsi="Verdana" w:cs="Century Gothic"/>
          <w:b/>
          <w:bCs/>
          <w:lang w:val="es-ES"/>
        </w:rPr>
      </w:pPr>
    </w:p>
    <w:tbl>
      <w:tblPr>
        <w:tblStyle w:val="Tablaconcuadrcula"/>
        <w:tblW w:w="0" w:type="auto"/>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B9011B" w:rsidRPr="00593A5F" w14:paraId="08254551" w14:textId="77777777" w:rsidTr="00521D9A">
        <w:trPr>
          <w:jc w:val="center"/>
        </w:trPr>
        <w:tc>
          <w:tcPr>
            <w:tcW w:w="8828" w:type="dxa"/>
            <w:shd w:val="clear" w:color="auto" w:fill="auto"/>
          </w:tcPr>
          <w:p w14:paraId="0F73E318" w14:textId="77777777" w:rsidR="00B9011B" w:rsidRPr="00175811" w:rsidRDefault="00B9011B" w:rsidP="00521D9A">
            <w:pPr>
              <w:spacing w:after="120" w:line="276" w:lineRule="auto"/>
              <w:jc w:val="both"/>
              <w:rPr>
                <w:rFonts w:ascii="Verdana" w:hAnsi="Verdana" w:cs="Arial"/>
              </w:rPr>
            </w:pPr>
            <w:bookmarkStart w:id="1" w:name="_Hlk171694685"/>
            <w:r>
              <w:rPr>
                <w:rFonts w:ascii="Verdana" w:hAnsi="Verdana" w:cs="Arial"/>
                <w:lang w:val="es-ES"/>
              </w:rPr>
              <w:t xml:space="preserve">Conforme a la interpretación de las normas generales del sistema de compras públicas, </w:t>
            </w:r>
            <w:r w:rsidRPr="00BB0CCC">
              <w:rPr>
                <w:rFonts w:ascii="Verdana" w:hAnsi="Verdana" w:cs="Arial"/>
                <w:lang w:val="es-ES"/>
              </w:rPr>
              <w:t>cuando el departamento ejerce el monopolio de la producción de licores destilados directamente mediante contratación de terceros, el artículo 7 de la Ley 1816 de 2016 no consagra una excepción explícita al Estatuto General de Contratación Pública. Esto significa que la gestión contractual para la operación del monopolio analizado se realiza a través del EGCAP, aspecto que impacta en el régimen de los procedimientos de selección.</w:t>
            </w:r>
          </w:p>
          <w:p w14:paraId="6BDBD88C" w14:textId="77777777" w:rsidR="00B9011B" w:rsidRDefault="00B9011B" w:rsidP="00521D9A">
            <w:pPr>
              <w:spacing w:after="120" w:line="276" w:lineRule="auto"/>
              <w:ind w:firstLine="737"/>
              <w:jc w:val="both"/>
              <w:rPr>
                <w:rFonts w:ascii="Verdana" w:hAnsi="Verdana" w:cs="Arial"/>
                <w:bCs/>
                <w:lang w:val="es-MX"/>
              </w:rPr>
            </w:pPr>
            <w:r>
              <w:rPr>
                <w:rFonts w:ascii="Verdana" w:hAnsi="Verdana" w:cs="Arial"/>
                <w:lang w:val="es-ES"/>
              </w:rPr>
              <w:t>En efecto, p</w:t>
            </w:r>
            <w:r w:rsidRPr="003C1E50">
              <w:rPr>
                <w:rFonts w:ascii="Verdana" w:hAnsi="Verdana" w:cs="Arial"/>
                <w:lang w:val="es-ES"/>
              </w:rPr>
              <w:t>ara las</w:t>
            </w:r>
            <w:r>
              <w:rPr>
                <w:rFonts w:ascii="Verdana" w:hAnsi="Verdana" w:cs="Arial"/>
                <w:lang w:val="es-ES"/>
              </w:rPr>
              <w:t xml:space="preserve"> </w:t>
            </w:r>
            <w:r w:rsidRPr="003C1E50">
              <w:rPr>
                <w:rFonts w:ascii="Verdana" w:hAnsi="Verdana" w:cs="Arial"/>
                <w:bCs/>
                <w:i/>
                <w:iCs/>
              </w:rPr>
              <w:t>entidades sometidas a la Ley 80 de 1993</w:t>
            </w:r>
            <w:r w:rsidRPr="003C1E50">
              <w:rPr>
                <w:rFonts w:ascii="Verdana" w:hAnsi="Verdana" w:cs="Arial"/>
                <w:lang w:val="es-ES"/>
              </w:rPr>
              <w:t xml:space="preserve">, </w:t>
            </w:r>
            <w:r>
              <w:rPr>
                <w:rFonts w:ascii="Verdana" w:hAnsi="Verdana" w:cs="Arial"/>
                <w:lang w:val="es-ES"/>
              </w:rPr>
              <w:t>entre ellas</w:t>
            </w:r>
            <w:r w:rsidRPr="003C1E50">
              <w:rPr>
                <w:rFonts w:ascii="Verdana" w:hAnsi="Verdana" w:cs="Arial"/>
                <w:lang w:val="es-ES"/>
              </w:rPr>
              <w:t>,</w:t>
            </w:r>
            <w:r>
              <w:rPr>
                <w:rFonts w:ascii="Verdana" w:hAnsi="Verdana" w:cs="Arial"/>
                <w:lang w:val="es-ES"/>
              </w:rPr>
              <w:t xml:space="preserve"> los departamentos conforme al literal a) del artículo 2.1,</w:t>
            </w:r>
            <w:r w:rsidRPr="003C1E50">
              <w:rPr>
                <w:rFonts w:ascii="Verdana" w:hAnsi="Verdana" w:cs="Arial"/>
                <w:lang w:val="es-ES"/>
              </w:rPr>
              <w:t xml:space="preserve"> los procesos de selección se rigen por el artículo 2 de la Ley 1150 de 2007. El </w:t>
            </w:r>
            <w:r w:rsidRPr="003C1E50">
              <w:rPr>
                <w:rFonts w:ascii="Verdana" w:hAnsi="Verdana" w:cs="Arial"/>
                <w:bCs/>
                <w:lang w:val="es-MX"/>
              </w:rPr>
              <w:t xml:space="preserve">numeral uno, inciso primero, dispone que “La escogencia del contratista se efectuará por </w:t>
            </w:r>
            <w:r w:rsidRPr="003C1E50">
              <w:rPr>
                <w:rFonts w:ascii="Verdana" w:hAnsi="Verdana" w:cs="Arial"/>
                <w:bCs/>
                <w:i/>
                <w:iCs/>
                <w:lang w:val="es-MX"/>
              </w:rPr>
              <w:t>regla general</w:t>
            </w:r>
            <w:r w:rsidRPr="003C1E50">
              <w:rPr>
                <w:rFonts w:ascii="Verdana" w:hAnsi="Verdana" w:cs="Arial"/>
                <w:bCs/>
                <w:lang w:val="es-MX"/>
              </w:rPr>
              <w:t xml:space="preserve"> a través de licitación pública, con las </w:t>
            </w:r>
            <w:r w:rsidRPr="003C1E50">
              <w:rPr>
                <w:rFonts w:ascii="Verdana" w:hAnsi="Verdana" w:cs="Arial"/>
                <w:bCs/>
                <w:i/>
                <w:iCs/>
                <w:lang w:val="es-MX"/>
              </w:rPr>
              <w:t>excepciones</w:t>
            </w:r>
            <w:r w:rsidRPr="003C1E50">
              <w:rPr>
                <w:rFonts w:ascii="Verdana" w:hAnsi="Verdana" w:cs="Arial"/>
                <w:bCs/>
                <w:lang w:val="es-MX"/>
              </w:rPr>
              <w:t xml:space="preserve"> que se señalan en los numerales 2, 3 y 4 del presente artículo” (Énfasis fuera de texto), norma que sustituye el derogado numeral 1 del artículo 24 de la Ley 80 de 1993 sobre el principio de transparencia. En este contexto, salvo norma especial que ordene la celebración del negocio jurídico por selección abreviada, concurso de méritos, mínima cuantía o contratación directa, debe aplicarse la regla general de licitación pública</w:t>
            </w:r>
            <w:r>
              <w:rPr>
                <w:rFonts w:ascii="Verdana" w:hAnsi="Verdana" w:cs="Arial"/>
                <w:bCs/>
                <w:lang w:val="es-MX"/>
              </w:rPr>
              <w:t>.</w:t>
            </w:r>
          </w:p>
          <w:p w14:paraId="6C0F61FA" w14:textId="77777777" w:rsidR="00B9011B" w:rsidRPr="00175811" w:rsidRDefault="00B9011B" w:rsidP="00521D9A">
            <w:pPr>
              <w:spacing w:after="120" w:line="276" w:lineRule="auto"/>
              <w:ind w:firstLine="737"/>
              <w:jc w:val="both"/>
              <w:rPr>
                <w:rFonts w:ascii="Verdana" w:hAnsi="Verdana" w:cs="Arial"/>
              </w:rPr>
            </w:pPr>
            <w:r w:rsidRPr="00C8694C">
              <w:rPr>
                <w:rFonts w:ascii="Verdana" w:hAnsi="Verdana" w:cs="Arial"/>
              </w:rPr>
              <w:t>Así las cosas, la contratación directa es una excepción al principio de libre concurrencia y competencia, que se aplica en los procesos de contratación, para que cualquier persona interesada en satisfacer la necesidad de una entidad pueda presentar una oferta. Por ello, es de aplicación restrictiva, esto es, solo procede por las causales señaladas taxativamente en el numeral 4 del artículo 2 de la Ley 1150 de 2007. En tal sentido, su aplicación no puede efectuarse por fuera del contenido normativo citado, ni operar más allá de lo que la misma norma dispone, dentro del contexto del ordenamiento jurídico de la contratación estatal.</w:t>
            </w:r>
          </w:p>
          <w:p w14:paraId="252E9C0C" w14:textId="77777777" w:rsidR="00B9011B" w:rsidRPr="008C13F5" w:rsidRDefault="00B9011B" w:rsidP="00521D9A">
            <w:pPr>
              <w:spacing w:line="276" w:lineRule="auto"/>
              <w:ind w:firstLine="709"/>
              <w:jc w:val="both"/>
              <w:rPr>
                <w:rFonts w:ascii="Verdana" w:eastAsia="Century Gothic" w:hAnsi="Verdana" w:cs="Century Gothic"/>
                <w:lang w:val="es-ES"/>
              </w:rPr>
            </w:pPr>
            <w:r w:rsidRPr="00721606">
              <w:rPr>
                <w:rFonts w:ascii="Verdana" w:eastAsia="Century Gothic" w:hAnsi="Verdana" w:cs="Century Gothic"/>
                <w:lang w:val="es-ES"/>
              </w:rPr>
              <w:t xml:space="preserve">Al margen de la explicación precedente debe advertirse que el análisis requerido para resolver problemas específicos en torno a la gestión contractual de las entidades públicas debe ser realizado por quienes tengan interés en ello, de acuerdo con lo explicado la aclaración preliminar del presente oficio. Por lo anterior, previo concepto de sus asesores, la solución de situaciones particulares corresponde a los interesados adoptar la decisión correspondiente </w:t>
            </w:r>
            <w:r w:rsidRPr="00721606">
              <w:rPr>
                <w:rFonts w:ascii="Verdana" w:eastAsia="Century Gothic" w:hAnsi="Verdana" w:cs="Century Gothic"/>
                <w:lang w:val="es-ES"/>
              </w:rPr>
              <w:lastRenderedPageBreak/>
              <w:t>y, en caso de conflicto, a las autoridades judiciales, fiscales y disciplinarias. Así, cada entidad definirá la forma de adelantar su gestión contractual, sin que sea atribución de Colombia Compra Eficiente validar sus actuaciones</w:t>
            </w:r>
            <w:r w:rsidRPr="00B376E3">
              <w:rPr>
                <w:rFonts w:ascii="Verdana" w:eastAsia="Century Gothic" w:hAnsi="Verdana" w:cs="Century Gothic"/>
                <w:lang w:val="es-ES"/>
              </w:rPr>
              <w:t>.</w:t>
            </w:r>
          </w:p>
        </w:tc>
      </w:tr>
    </w:tbl>
    <w:p w14:paraId="18E0D672" w14:textId="77777777" w:rsidR="00B9011B" w:rsidRPr="00277E26" w:rsidRDefault="00B9011B" w:rsidP="00B9011B">
      <w:pPr>
        <w:tabs>
          <w:tab w:val="left" w:pos="142"/>
          <w:tab w:val="left" w:pos="284"/>
        </w:tabs>
        <w:spacing w:after="0" w:line="276" w:lineRule="auto"/>
        <w:jc w:val="both"/>
        <w:rPr>
          <w:rFonts w:ascii="Verdana" w:eastAsia="Century Gothic" w:hAnsi="Verdana" w:cs="Century Gothic"/>
          <w:b/>
          <w:bCs/>
          <w:lang w:val="es-ES"/>
        </w:rPr>
      </w:pPr>
    </w:p>
    <w:bookmarkEnd w:id="1"/>
    <w:p w14:paraId="048F98BA" w14:textId="77777777" w:rsidR="00B9011B" w:rsidRPr="00277E26" w:rsidRDefault="00B9011B" w:rsidP="00B9011B">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277E26">
        <w:rPr>
          <w:rFonts w:ascii="Verdana" w:eastAsia="Century Gothic" w:hAnsi="Verdana" w:cs="Century Gothic"/>
          <w:b/>
          <w:bCs/>
        </w:rPr>
        <w:t>Razones de la respuesta:</w:t>
      </w:r>
    </w:p>
    <w:p w14:paraId="13E2CBB9" w14:textId="77777777" w:rsidR="00B9011B" w:rsidRPr="00277E26" w:rsidRDefault="00B9011B" w:rsidP="00B9011B">
      <w:pPr>
        <w:spacing w:after="0" w:line="276" w:lineRule="auto"/>
        <w:jc w:val="both"/>
        <w:rPr>
          <w:rFonts w:ascii="Verdana" w:eastAsia="Calibri" w:hAnsi="Verdana" w:cs="Arial"/>
          <w:color w:val="7030A0"/>
          <w:lang w:val="es-ES"/>
        </w:rPr>
      </w:pPr>
    </w:p>
    <w:p w14:paraId="7EAE3BDD" w14:textId="77777777" w:rsidR="00B9011B" w:rsidRPr="00277E26" w:rsidRDefault="00B9011B" w:rsidP="00B9011B">
      <w:pPr>
        <w:spacing w:after="0" w:line="276" w:lineRule="auto"/>
        <w:jc w:val="both"/>
        <w:rPr>
          <w:rFonts w:ascii="Verdana" w:eastAsia="Calibri" w:hAnsi="Verdana" w:cs="Arial"/>
          <w:lang w:val="es-ES"/>
        </w:rPr>
      </w:pPr>
      <w:r w:rsidRPr="00277E26">
        <w:rPr>
          <w:rFonts w:ascii="Verdana" w:eastAsia="Calibri" w:hAnsi="Verdana" w:cs="Arial"/>
          <w:lang w:val="es-ES"/>
        </w:rPr>
        <w:t>Lo anterior se sustenta en las siguientes consideraciones:</w:t>
      </w:r>
    </w:p>
    <w:p w14:paraId="7D3B8E4F" w14:textId="77777777" w:rsidR="00B9011B" w:rsidRDefault="00B9011B" w:rsidP="00B9011B">
      <w:pPr>
        <w:spacing w:after="0" w:line="276" w:lineRule="auto"/>
        <w:jc w:val="both"/>
        <w:rPr>
          <w:rFonts w:ascii="Verdana" w:eastAsia="Calibri" w:hAnsi="Verdana" w:cs="Arial"/>
          <w:lang w:val="es-ES"/>
        </w:rPr>
      </w:pPr>
    </w:p>
    <w:p w14:paraId="70CF64A8" w14:textId="77777777" w:rsidR="00B9011B" w:rsidRPr="003C1E50" w:rsidRDefault="00B9011B" w:rsidP="00B9011B">
      <w:pPr>
        <w:spacing w:after="120" w:line="276" w:lineRule="auto"/>
        <w:jc w:val="both"/>
        <w:rPr>
          <w:rFonts w:ascii="Verdana" w:hAnsi="Verdana" w:cs="Arial"/>
          <w:lang w:val="es-ES"/>
        </w:rPr>
      </w:pPr>
      <w:r w:rsidRPr="003C1E50">
        <w:rPr>
          <w:rFonts w:ascii="Verdana" w:hAnsi="Verdana" w:cs="Arial"/>
          <w:lang w:val="es-ES"/>
        </w:rPr>
        <w:t xml:space="preserve">i. De acuerdo con el inciso final del artículo 150 superior, corresponde al Congreso de la República expedir el Estatuto General de Contratación de la Administración Pública y, en especial, de la Administración Nacional. Esta competencia fue ejercida con la expedición de la Ley 80 de 1993, la cual rige para las </w:t>
      </w:r>
      <w:r w:rsidRPr="003C1E50">
        <w:rPr>
          <w:rFonts w:ascii="Verdana" w:hAnsi="Verdana" w:cs="Arial"/>
          <w:i/>
          <w:iCs/>
          <w:lang w:val="es-ES"/>
        </w:rPr>
        <w:t>entidades estatales</w:t>
      </w:r>
      <w:r w:rsidRPr="003C1E50">
        <w:rPr>
          <w:rFonts w:ascii="Verdana" w:hAnsi="Verdana" w:cs="Arial"/>
          <w:lang w:val="es-ES"/>
        </w:rPr>
        <w:t xml:space="preserve">, esto es, aquellas previstas en los literales a) y b) del numeral 1 del artículo 2 </w:t>
      </w:r>
      <w:r w:rsidRPr="003C1E50">
        <w:rPr>
          <w:rFonts w:ascii="Verdana" w:hAnsi="Verdana" w:cs="Arial"/>
          <w:i/>
          <w:iCs/>
          <w:lang w:val="es-ES"/>
        </w:rPr>
        <w:t>ibidem</w:t>
      </w:r>
      <w:r w:rsidRPr="003C1E50">
        <w:rPr>
          <w:rFonts w:ascii="Verdana" w:hAnsi="Verdana" w:cs="Arial"/>
          <w:lang w:val="es-ES"/>
        </w:rPr>
        <w:t xml:space="preserve">. La norma citada define la competencia contractual en los siguientes términos: </w:t>
      </w:r>
    </w:p>
    <w:p w14:paraId="5F5579E4" w14:textId="77777777" w:rsidR="00B9011B" w:rsidRPr="003C1E50" w:rsidRDefault="00B9011B" w:rsidP="00B9011B">
      <w:pPr>
        <w:spacing w:after="120" w:line="276" w:lineRule="auto"/>
        <w:ind w:firstLine="708"/>
        <w:jc w:val="both"/>
        <w:rPr>
          <w:rFonts w:ascii="Verdana" w:hAnsi="Verdana" w:cs="Arial"/>
          <w:lang w:val="es-ES"/>
        </w:rPr>
      </w:pPr>
      <w:r w:rsidRPr="003C1E50">
        <w:rPr>
          <w:rFonts w:ascii="Verdana" w:hAnsi="Verdana" w:cs="Arial"/>
          <w:lang w:val="es-ES"/>
        </w:rPr>
        <w:t xml:space="preserve">El literal a) aplica a las entidades con personería jurídica. Alude a la Nación, las regiones, los departamentos, las provincias, el distrito capital y los distritos especiales, las áreas metropolitanas, las asociaciones de municipios, los territorios indígenas y los municipios; los establecimientos públicos, las empresas industriales y comerciales del Estado, las sociedades de economía mixta en las que el Estado tenga participación superior al cincuenta por ciento (50%), así como las entidades descentralizadas indirectas y las demás personas jurídicas en las que exista dicha participación pública mayoritaria, cualquiera sea la denominación que ellas adopten, en todos los órdenes y niveles.  </w:t>
      </w:r>
    </w:p>
    <w:p w14:paraId="6D31F937" w14:textId="77777777" w:rsidR="00B9011B" w:rsidRPr="003C1E50" w:rsidRDefault="00B9011B" w:rsidP="00B9011B">
      <w:pPr>
        <w:spacing w:after="0" w:line="276" w:lineRule="auto"/>
        <w:ind w:firstLine="708"/>
        <w:jc w:val="both"/>
        <w:rPr>
          <w:rFonts w:ascii="Verdana" w:hAnsi="Verdana" w:cs="Arial"/>
          <w:lang w:val="es-ES"/>
        </w:rPr>
      </w:pPr>
      <w:r w:rsidRPr="003C1E50">
        <w:rPr>
          <w:rFonts w:ascii="Verdana" w:hAnsi="Verdana" w:cs="Arial"/>
          <w:lang w:val="es-ES"/>
        </w:rPr>
        <w:t xml:space="preserve">En contraste, el literal b) rige para las autoridades que carecen de personería, pero a las que el ordenamiento les otorga “capacidad” para celebrar contratos. Estas entidades son el Senado de la República, la Cámara de Representantes, el Consejo Superior de la Judicatura, la Fiscalía General de la Nación, la Contraloría General de la República, las contralorías departamentales, distritales y municipales, la Procuraduría General de la Nación, la Registraduría Nacional del Estado Civil, los ministerios, los departamentos administrativos, las superintendencias, las unidades administrativas especiales y, en general, los organismos o dependencias del Estado a los que la ley otorgue capacidad para celebrar contratos. De acuerdo con el artículo 352 superior, este último apartado </w:t>
      </w:r>
      <w:r w:rsidRPr="003C1E50">
        <w:rPr>
          <w:rFonts w:ascii="Verdana" w:hAnsi="Verdana" w:cs="Arial"/>
          <w:lang w:val="es-ES"/>
        </w:rPr>
        <w:lastRenderedPageBreak/>
        <w:t>debe armonizarse con el artículo 110 del Decreto 111 de 1996, modificado por el artículo 124 de la Ley 1957 de 2019</w:t>
      </w:r>
      <w:r w:rsidRPr="003C1E50">
        <w:rPr>
          <w:rStyle w:val="Refdenotaalpie"/>
          <w:rFonts w:ascii="Verdana" w:hAnsi="Verdana" w:cs="Arial"/>
          <w:lang w:val="es-ES"/>
        </w:rPr>
        <w:footnoteReference w:id="1"/>
      </w:r>
      <w:r w:rsidRPr="003C1E50">
        <w:rPr>
          <w:rFonts w:ascii="Verdana" w:hAnsi="Verdana" w:cs="Arial"/>
          <w:lang w:val="es-ES"/>
        </w:rPr>
        <w:t xml:space="preserve">. </w:t>
      </w:r>
    </w:p>
    <w:p w14:paraId="3132A792" w14:textId="77777777" w:rsidR="00B9011B" w:rsidRPr="003C1E50" w:rsidRDefault="00B9011B" w:rsidP="00B9011B">
      <w:pPr>
        <w:spacing w:after="0" w:line="276" w:lineRule="auto"/>
        <w:jc w:val="both"/>
        <w:rPr>
          <w:rFonts w:ascii="Verdana" w:hAnsi="Verdana" w:cs="Arial"/>
          <w:bCs/>
          <w:lang w:val="es-MX"/>
        </w:rPr>
      </w:pPr>
    </w:p>
    <w:p w14:paraId="7F5357CA" w14:textId="77777777" w:rsidR="00B9011B" w:rsidRPr="003C1E50" w:rsidRDefault="00B9011B" w:rsidP="00B9011B">
      <w:pPr>
        <w:spacing w:after="120" w:line="276" w:lineRule="auto"/>
        <w:jc w:val="both"/>
        <w:rPr>
          <w:rFonts w:ascii="Verdana" w:hAnsi="Verdana" w:cs="Arial"/>
          <w:bCs/>
        </w:rPr>
      </w:pPr>
      <w:r w:rsidRPr="003C1E50">
        <w:rPr>
          <w:rFonts w:ascii="Verdana" w:hAnsi="Verdana" w:cs="Arial"/>
          <w:bCs/>
          <w:lang w:val="es-MX"/>
        </w:rPr>
        <w:t xml:space="preserve">ii. </w:t>
      </w:r>
      <w:r w:rsidRPr="003C1E50">
        <w:rPr>
          <w:rFonts w:ascii="Verdana" w:hAnsi="Verdana" w:cs="Arial"/>
          <w:bCs/>
        </w:rPr>
        <w:t xml:space="preserve">La contratación estatal se apoya en las normas de derecho civil y comercial, ya que la figura del contrato es transversal a todo el ordenamiento jurídico. Respecto a las </w:t>
      </w:r>
      <w:r w:rsidRPr="003C1E50">
        <w:rPr>
          <w:rFonts w:ascii="Verdana" w:hAnsi="Verdana" w:cs="Arial"/>
          <w:bCs/>
          <w:i/>
          <w:iCs/>
        </w:rPr>
        <w:t>entidades sometidas a la Ley 80 de 1993</w:t>
      </w:r>
      <w:r w:rsidRPr="003C1E50">
        <w:rPr>
          <w:rFonts w:ascii="Verdana" w:hAnsi="Verdana" w:cs="Arial"/>
          <w:bCs/>
        </w:rPr>
        <w:t>, el inciso primero del artículo 13 dispone que “Los contratos que celebren las entidades a que se refiere el artículo 2o. del presente estatuto se regirán por las disposiciones comerciales y civiles pertinentes, salvo en las materias particularmente reguladas en esta ley”. Dicha idea también se reitera en el EGCAP considerando que “Son contratos estatales todos los actos jurídicos generadores de obligaciones que celebren las entidades a que se refiere el presente estatuto, previstos en el derecho privado o en disposiciones especiales, o derivados del ejercicio de la autonomía de la voluntad” –art. 32, inciso primero– y que “Las estipulaciones de los contratos serán las que de acuerdo con las normas civiles, comerciales y las previstas en esta ley, correspondan a su esencia y naturaleza” –art. 40, inciso primero–.</w:t>
      </w:r>
    </w:p>
    <w:p w14:paraId="3B5BD2B9" w14:textId="77777777" w:rsidR="00B9011B" w:rsidRPr="003C1E50" w:rsidRDefault="00B9011B" w:rsidP="00B9011B">
      <w:pPr>
        <w:spacing w:after="120" w:line="276" w:lineRule="auto"/>
        <w:ind w:firstLine="708"/>
        <w:jc w:val="both"/>
        <w:rPr>
          <w:rFonts w:ascii="Verdana" w:hAnsi="Verdana" w:cs="Arial"/>
          <w:bCs/>
        </w:rPr>
      </w:pPr>
      <w:r w:rsidRPr="003C1E50">
        <w:rPr>
          <w:rFonts w:ascii="Verdana" w:hAnsi="Verdana" w:cs="Arial"/>
          <w:bCs/>
        </w:rPr>
        <w:t xml:space="preserve">No obstante, aunque tenga una influencia limitada, las </w:t>
      </w:r>
      <w:r w:rsidRPr="003C1E50">
        <w:rPr>
          <w:rFonts w:ascii="Verdana" w:hAnsi="Verdana" w:cs="Arial"/>
          <w:bCs/>
          <w:i/>
          <w:iCs/>
        </w:rPr>
        <w:t>entidades del régimen exceptuado</w:t>
      </w:r>
      <w:r w:rsidRPr="003C1E50">
        <w:rPr>
          <w:rFonts w:ascii="Verdana" w:hAnsi="Verdana" w:cs="Arial"/>
          <w:bCs/>
        </w:rPr>
        <w:t xml:space="preserve"> no se deslingan por completo de las normas de derecho público. Esto en la medida que el inciso primero del artículo 13 de la Ley 1150 de 2007 prescribe lo siguiente: “Las entidades estatales que por disposición legal cuenten con un régimen contractual excepcional al del Estatuto General de Contratación de la Administración Pública, aplicarán en desarrollo de su actividad contractual, acorde con su régimen legal especial, los principios de la función administrativa y de la gestión fiscal de que tratan los artículos 209 y 267 de la Constitución Política, respectivamente según sea el caso y estarán sometidas al régimen de inhabilidades e incompatibilidades previsto legalmente para la contratación estatal”.</w:t>
      </w:r>
    </w:p>
    <w:p w14:paraId="4CAFE417" w14:textId="77777777" w:rsidR="00B9011B" w:rsidRPr="003C1E50" w:rsidRDefault="00B9011B" w:rsidP="00B9011B">
      <w:pPr>
        <w:spacing w:after="0" w:line="276" w:lineRule="auto"/>
        <w:ind w:firstLine="708"/>
        <w:jc w:val="both"/>
        <w:rPr>
          <w:rFonts w:ascii="Verdana" w:hAnsi="Verdana" w:cs="Arial"/>
          <w:bCs/>
        </w:rPr>
      </w:pPr>
      <w:r w:rsidRPr="003C1E50">
        <w:rPr>
          <w:rFonts w:ascii="Verdana" w:hAnsi="Verdana" w:cs="Arial"/>
          <w:bCs/>
        </w:rPr>
        <w:lastRenderedPageBreak/>
        <w:t xml:space="preserve">La existencia de entidades exceptuadas del EGCAP se ha justificado por alguna de las siguientes tres (3) circunstancias: </w:t>
      </w:r>
      <w:r>
        <w:rPr>
          <w:rFonts w:ascii="Verdana" w:hAnsi="Verdana" w:cs="Arial"/>
          <w:bCs/>
        </w:rPr>
        <w:t>a</w:t>
      </w:r>
      <w:r w:rsidRPr="003C1E50">
        <w:rPr>
          <w:rFonts w:ascii="Verdana" w:hAnsi="Verdana" w:cs="Arial"/>
          <w:bCs/>
        </w:rPr>
        <w:t xml:space="preserve">) facilitar la competencia económica –como ocurre actualmente respecto al régimen de los servicios públicos domiciliarios–, </w:t>
      </w:r>
      <w:r>
        <w:rPr>
          <w:rFonts w:ascii="Verdana" w:hAnsi="Verdana" w:cs="Arial"/>
          <w:bCs/>
        </w:rPr>
        <w:t>b</w:t>
      </w:r>
      <w:r w:rsidRPr="003C1E50">
        <w:rPr>
          <w:rFonts w:ascii="Verdana" w:hAnsi="Verdana" w:cs="Arial"/>
          <w:bCs/>
        </w:rPr>
        <w:t xml:space="preserve">) flexibilizar el ejercicio de la función administrativa –como en los contratos del Banco de la República o los de ciencia y tecnología– o </w:t>
      </w:r>
      <w:r>
        <w:rPr>
          <w:rFonts w:ascii="Verdana" w:hAnsi="Verdana" w:cs="Arial"/>
          <w:bCs/>
        </w:rPr>
        <w:t>c</w:t>
      </w:r>
      <w:r w:rsidRPr="003C1E50">
        <w:rPr>
          <w:rFonts w:ascii="Verdana" w:hAnsi="Verdana" w:cs="Arial"/>
          <w:bCs/>
        </w:rPr>
        <w:t>) establecer un régimen especial sin excluir por completo la aplicación de la Ley 80 de 1993 –como ocurre en la operaciones del crédito público–</w:t>
      </w:r>
      <w:r w:rsidRPr="003C1E50">
        <w:rPr>
          <w:rFonts w:ascii="Verdana" w:hAnsi="Verdana" w:cs="Arial"/>
          <w:bCs/>
          <w:vertAlign w:val="superscript"/>
        </w:rPr>
        <w:footnoteReference w:id="2"/>
      </w:r>
      <w:r w:rsidRPr="003C1E50">
        <w:rPr>
          <w:rFonts w:ascii="Verdana" w:hAnsi="Verdana" w:cs="Arial"/>
          <w:bCs/>
        </w:rPr>
        <w:t xml:space="preserve">.  Para estos efectos, la doctrina ha identificado 171 entidades y contratos que manejan un régimen excepcional, los cuales se clasifican de acuerdo </w:t>
      </w:r>
      <w:r>
        <w:rPr>
          <w:rFonts w:ascii="Verdana" w:hAnsi="Verdana" w:cs="Arial"/>
          <w:bCs/>
        </w:rPr>
        <w:t>a</w:t>
      </w:r>
      <w:r w:rsidRPr="003C1E50">
        <w:rPr>
          <w:rFonts w:ascii="Verdana" w:hAnsi="Verdana" w:cs="Arial"/>
          <w:bCs/>
        </w:rPr>
        <w:t xml:space="preserve">) al sector económico, </w:t>
      </w:r>
      <w:r>
        <w:rPr>
          <w:rFonts w:ascii="Verdana" w:hAnsi="Verdana" w:cs="Arial"/>
          <w:bCs/>
        </w:rPr>
        <w:t>b</w:t>
      </w:r>
      <w:r w:rsidRPr="003C1E50">
        <w:rPr>
          <w:rFonts w:ascii="Verdana" w:hAnsi="Verdana" w:cs="Arial"/>
          <w:bCs/>
        </w:rPr>
        <w:t xml:space="preserve">) la asignación de un esquema legal especial, </w:t>
      </w:r>
      <w:r>
        <w:rPr>
          <w:rFonts w:ascii="Verdana" w:hAnsi="Verdana" w:cs="Arial"/>
          <w:bCs/>
        </w:rPr>
        <w:t>c</w:t>
      </w:r>
      <w:r w:rsidRPr="003C1E50">
        <w:rPr>
          <w:rFonts w:ascii="Verdana" w:hAnsi="Verdana" w:cs="Arial"/>
          <w:bCs/>
        </w:rPr>
        <w:t xml:space="preserve">) el objeto del contrato celebrado y </w:t>
      </w:r>
      <w:r>
        <w:rPr>
          <w:rFonts w:ascii="Verdana" w:hAnsi="Verdana" w:cs="Arial"/>
          <w:bCs/>
        </w:rPr>
        <w:t>d</w:t>
      </w:r>
      <w:r w:rsidRPr="003C1E50">
        <w:rPr>
          <w:rFonts w:ascii="Verdana" w:hAnsi="Verdana" w:cs="Arial"/>
          <w:bCs/>
        </w:rPr>
        <w:t>) la existencia de fondos que administran recursos públicos</w:t>
      </w:r>
      <w:r w:rsidRPr="003C1E50">
        <w:rPr>
          <w:rFonts w:ascii="Verdana" w:hAnsi="Verdana" w:cs="Arial"/>
          <w:bCs/>
          <w:vertAlign w:val="superscript"/>
        </w:rPr>
        <w:footnoteReference w:id="3"/>
      </w:r>
      <w:r w:rsidRPr="003C1E50">
        <w:rPr>
          <w:rFonts w:ascii="Verdana" w:hAnsi="Verdana" w:cs="Arial"/>
          <w:bCs/>
        </w:rPr>
        <w:t>.</w:t>
      </w:r>
    </w:p>
    <w:p w14:paraId="12CE1AE1" w14:textId="77777777" w:rsidR="00B9011B" w:rsidRPr="003C1E50" w:rsidRDefault="00B9011B" w:rsidP="00B9011B">
      <w:pPr>
        <w:spacing w:after="0" w:line="276" w:lineRule="auto"/>
        <w:ind w:firstLine="708"/>
        <w:jc w:val="both"/>
        <w:rPr>
          <w:rFonts w:ascii="Verdana" w:hAnsi="Verdana" w:cs="Arial"/>
          <w:bCs/>
        </w:rPr>
      </w:pPr>
    </w:p>
    <w:p w14:paraId="07E9D906" w14:textId="77777777" w:rsidR="00B9011B" w:rsidRPr="003C1E50" w:rsidRDefault="00B9011B" w:rsidP="00B9011B">
      <w:pPr>
        <w:spacing w:after="120" w:line="276" w:lineRule="auto"/>
        <w:jc w:val="both"/>
        <w:rPr>
          <w:rFonts w:ascii="Verdana" w:eastAsia="Arial" w:hAnsi="Verdana" w:cs="Arial"/>
          <w:color w:val="000000"/>
          <w:lang w:val="es-ES"/>
        </w:rPr>
      </w:pPr>
      <w:proofErr w:type="spellStart"/>
      <w:r w:rsidRPr="003C1E50">
        <w:rPr>
          <w:rFonts w:ascii="Verdana" w:hAnsi="Verdana" w:cs="Arial"/>
          <w:bCs/>
        </w:rPr>
        <w:t>iii</w:t>
      </w:r>
      <w:proofErr w:type="spellEnd"/>
      <w:r w:rsidRPr="003C1E50">
        <w:rPr>
          <w:rFonts w:ascii="Verdana" w:hAnsi="Verdana" w:cs="Arial"/>
          <w:bCs/>
        </w:rPr>
        <w:t xml:space="preserve">. Sea que se trate de un negocio jurídico sometido o excluido de la Ley 80 de 1993, lo importante es que el contrato estatal se identifica por el criterio orgánico o subjetivo, lo que excluye a los sujetos de derecho privado. Por ello, el Consejo de Estado explica que el “[…] </w:t>
      </w:r>
      <w:r w:rsidRPr="003C1E50">
        <w:rPr>
          <w:rFonts w:ascii="Verdana" w:eastAsia="Arial" w:hAnsi="Verdana" w:cs="Arial"/>
          <w:i/>
          <w:iCs/>
          <w:color w:val="000000"/>
          <w:lang w:val="es-ES"/>
        </w:rPr>
        <w:t>elemento esencial para calificar de estatal un contrato, es que haya sido celebrado por una entidad estatal, es decir, una entidad pública con capacidad legal para celebrarlo</w:t>
      </w:r>
      <w:r w:rsidRPr="003C1E50">
        <w:rPr>
          <w:rFonts w:ascii="Verdana" w:eastAsia="Arial" w:hAnsi="Verdana" w:cs="Arial"/>
          <w:color w:val="000000"/>
          <w:lang w:val="es-ES"/>
        </w:rPr>
        <w:t>. Dicho de otro modo,</w:t>
      </w:r>
      <w:r w:rsidRPr="003C1E50">
        <w:rPr>
          <w:rFonts w:ascii="Verdana" w:eastAsia="Arial" w:hAnsi="Verdana" w:cs="Arial"/>
          <w:i/>
          <w:iCs/>
          <w:color w:val="000000"/>
          <w:lang w:val="es-ES"/>
        </w:rPr>
        <w:t xml:space="preserve"> </w:t>
      </w:r>
      <w:r w:rsidRPr="003C1E50">
        <w:rPr>
          <w:rFonts w:ascii="Verdana" w:eastAsia="Arial" w:hAnsi="Verdana" w:cs="Arial"/>
          <w:color w:val="000000"/>
          <w:lang w:val="es-ES"/>
        </w:rPr>
        <w:t>no existen contratos estatales celebrados entre particulares, ni siquiera cuando éstos han sido habilitados legalmente para el ejercicio de funciones</w:t>
      </w:r>
      <w:r w:rsidRPr="003C1E50">
        <w:rPr>
          <w:rFonts w:ascii="Verdana" w:eastAsia="Arial" w:hAnsi="Verdana" w:cs="Arial"/>
          <w:color w:val="000000"/>
          <w:spacing w:val="-4"/>
          <w:lang w:val="es-ES"/>
        </w:rPr>
        <w:t xml:space="preserve"> </w:t>
      </w:r>
      <w:r w:rsidRPr="003C1E50">
        <w:rPr>
          <w:rFonts w:ascii="Verdana" w:eastAsia="Arial" w:hAnsi="Verdana" w:cs="Arial"/>
          <w:color w:val="000000"/>
          <w:lang w:val="es-ES"/>
        </w:rPr>
        <w:t>públicas”</w:t>
      </w:r>
      <w:r w:rsidRPr="003C1E50">
        <w:rPr>
          <w:rFonts w:ascii="Verdana" w:eastAsia="Arial" w:hAnsi="Verdana" w:cs="Arial"/>
          <w:color w:val="000000"/>
          <w:vertAlign w:val="superscript"/>
          <w:lang w:val="es-ES"/>
        </w:rPr>
        <w:footnoteReference w:id="4"/>
      </w:r>
      <w:r w:rsidRPr="003C1E50">
        <w:rPr>
          <w:rFonts w:ascii="Verdana" w:eastAsia="Arial" w:hAnsi="Verdana" w:cs="Arial"/>
          <w:color w:val="000000"/>
          <w:lang w:val="es-ES"/>
        </w:rPr>
        <w:t xml:space="preserve"> (Énfasis fuera de texto).</w:t>
      </w:r>
    </w:p>
    <w:p w14:paraId="31375FE5" w14:textId="77777777" w:rsidR="00B9011B" w:rsidRDefault="00B9011B" w:rsidP="00B9011B">
      <w:pPr>
        <w:spacing w:after="0" w:line="276" w:lineRule="auto"/>
        <w:jc w:val="both"/>
        <w:rPr>
          <w:rFonts w:ascii="Verdana" w:eastAsia="Arial" w:hAnsi="Verdana" w:cs="Arial"/>
          <w:color w:val="000000"/>
          <w:lang w:val="es-ES"/>
        </w:rPr>
      </w:pPr>
      <w:r w:rsidRPr="003C1E50">
        <w:rPr>
          <w:rFonts w:ascii="Verdana" w:eastAsia="Arial" w:hAnsi="Verdana" w:cs="Arial"/>
          <w:color w:val="000000"/>
          <w:lang w:val="es-ES"/>
        </w:rPr>
        <w:tab/>
        <w:t>De esta manera, el contrato estatal es el acto jurídico creador de obligaciones a cuya celebración concurra una de las entidades estatales, independientemente de que se trate de contratos previstos o tipificados en el derecho privado, en disposiciones especiales o que resulten del ejercicio de la autonomía de la voluntad, como sucede con los que se clasifican como atípicos e innominados</w:t>
      </w:r>
      <w:r w:rsidRPr="003C1E50">
        <w:rPr>
          <w:rFonts w:ascii="Verdana" w:eastAsia="Arial" w:hAnsi="Verdana" w:cs="Arial"/>
          <w:color w:val="000000"/>
          <w:vertAlign w:val="superscript"/>
          <w:lang w:val="es-ES"/>
        </w:rPr>
        <w:footnoteReference w:id="5"/>
      </w:r>
      <w:r w:rsidRPr="003C1E50">
        <w:rPr>
          <w:rFonts w:ascii="Verdana" w:eastAsia="Arial" w:hAnsi="Verdana" w:cs="Arial"/>
          <w:color w:val="000000"/>
          <w:lang w:val="es-ES"/>
        </w:rPr>
        <w:t xml:space="preserve">. Conforme con lo anterior, el contrato estatal es un acuerdo de </w:t>
      </w:r>
      <w:r w:rsidRPr="003C1E50">
        <w:rPr>
          <w:rFonts w:ascii="Verdana" w:eastAsia="Arial" w:hAnsi="Verdana" w:cs="Arial"/>
          <w:color w:val="000000"/>
          <w:lang w:val="es-ES"/>
        </w:rPr>
        <w:lastRenderedPageBreak/>
        <w:t>voluntades efectuado por las entidades públicas que genera, extingue o modifica obligaciones para quienes lo suscriben, cuya celebración no se encuentra limitada, de forma exclusiva, a las entidades referidas en la Ley 80 de 1993, sino que, puede ser suscrito por entidades públicas con regímenes especiales de contratación, caso en el cual se tratará de un contrato estatal de régimen exceptuado</w:t>
      </w:r>
      <w:r w:rsidRPr="003C1E50">
        <w:rPr>
          <w:rStyle w:val="Refdenotaalpie"/>
          <w:rFonts w:ascii="Verdana" w:eastAsia="Arial" w:hAnsi="Verdana" w:cs="Arial"/>
          <w:color w:val="000000"/>
          <w:lang w:val="es-ES"/>
        </w:rPr>
        <w:footnoteReference w:id="6"/>
      </w:r>
      <w:r w:rsidRPr="003C1E50">
        <w:rPr>
          <w:rFonts w:ascii="Verdana" w:eastAsia="Arial" w:hAnsi="Verdana" w:cs="Arial"/>
          <w:color w:val="000000"/>
          <w:lang w:val="es-ES"/>
        </w:rPr>
        <w:t xml:space="preserve">. </w:t>
      </w:r>
    </w:p>
    <w:p w14:paraId="3466AE2E" w14:textId="77777777" w:rsidR="00B9011B" w:rsidRDefault="00B9011B" w:rsidP="00B9011B">
      <w:pPr>
        <w:spacing w:after="0" w:line="276" w:lineRule="auto"/>
        <w:jc w:val="both"/>
        <w:rPr>
          <w:rFonts w:ascii="Verdana" w:eastAsia="Arial" w:hAnsi="Verdana" w:cs="Arial"/>
          <w:color w:val="000000"/>
          <w:lang w:val="es-ES"/>
        </w:rPr>
      </w:pPr>
    </w:p>
    <w:p w14:paraId="6234FA51" w14:textId="77777777" w:rsidR="00B9011B" w:rsidRDefault="00B9011B" w:rsidP="00B9011B">
      <w:pPr>
        <w:spacing w:after="120" w:line="276" w:lineRule="auto"/>
        <w:jc w:val="both"/>
        <w:rPr>
          <w:rFonts w:ascii="Verdana" w:eastAsia="Arial" w:hAnsi="Verdana" w:cs="Arial"/>
          <w:color w:val="000000"/>
          <w:lang w:val="es-ES"/>
        </w:rPr>
      </w:pPr>
      <w:proofErr w:type="spellStart"/>
      <w:r>
        <w:rPr>
          <w:rFonts w:ascii="Verdana" w:eastAsia="Arial" w:hAnsi="Verdana" w:cs="Arial"/>
          <w:color w:val="000000"/>
          <w:lang w:val="es-ES"/>
        </w:rPr>
        <w:t>iv</w:t>
      </w:r>
      <w:proofErr w:type="spellEnd"/>
      <w:r>
        <w:rPr>
          <w:rFonts w:ascii="Verdana" w:eastAsia="Arial" w:hAnsi="Verdana" w:cs="Arial"/>
          <w:color w:val="000000"/>
          <w:lang w:val="es-ES"/>
        </w:rPr>
        <w:t>. El artículo 336 superior dispone que “</w:t>
      </w:r>
      <w:r w:rsidRPr="003B3C64">
        <w:rPr>
          <w:rFonts w:ascii="Verdana" w:eastAsia="Arial" w:hAnsi="Verdana" w:cs="Arial"/>
          <w:color w:val="000000"/>
          <w:lang w:val="es-ES"/>
        </w:rPr>
        <w:t>Ningún monopolio podrá establecerse sino como arbitrio rentístico, con una finalidad de interés público o social y en virtud de la ley</w:t>
      </w:r>
      <w:r>
        <w:rPr>
          <w:rFonts w:ascii="Verdana" w:eastAsia="Arial" w:hAnsi="Verdana" w:cs="Arial"/>
          <w:color w:val="000000"/>
          <w:lang w:val="es-ES"/>
        </w:rPr>
        <w:t>” –inciso 1–, y agrega lo siguiente: “</w:t>
      </w:r>
      <w:r w:rsidRPr="003B3C64">
        <w:rPr>
          <w:rFonts w:ascii="Verdana" w:eastAsia="Arial" w:hAnsi="Verdana" w:cs="Arial"/>
          <w:color w:val="000000"/>
          <w:lang w:val="es-ES"/>
        </w:rPr>
        <w:t>La organización, administración, control y explotación de los monopolios rentísticos estarán sometidos a un régimen propio, fijado por la ley de iniciativa gubernamental</w:t>
      </w:r>
      <w:r>
        <w:rPr>
          <w:rFonts w:ascii="Verdana" w:eastAsia="Arial" w:hAnsi="Verdana" w:cs="Arial"/>
          <w:color w:val="000000"/>
          <w:lang w:val="es-ES"/>
        </w:rPr>
        <w:t>” –inciso 3–</w:t>
      </w:r>
      <w:r w:rsidRPr="003B3C64">
        <w:rPr>
          <w:rFonts w:ascii="Verdana" w:eastAsia="Arial" w:hAnsi="Verdana" w:cs="Arial"/>
          <w:color w:val="000000"/>
          <w:lang w:val="es-ES"/>
        </w:rPr>
        <w:t>.</w:t>
      </w:r>
      <w:r>
        <w:rPr>
          <w:rFonts w:ascii="Verdana" w:eastAsia="Arial" w:hAnsi="Verdana" w:cs="Arial"/>
          <w:color w:val="000000"/>
          <w:lang w:val="es-ES"/>
        </w:rPr>
        <w:t xml:space="preserve"> De esta manera, la Constitución Política de 1991 ordena que “</w:t>
      </w:r>
      <w:r w:rsidRPr="003B3C64">
        <w:rPr>
          <w:rFonts w:ascii="Verdana" w:eastAsia="Arial" w:hAnsi="Verdana" w:cs="Arial"/>
          <w:color w:val="000000"/>
          <w:lang w:val="es-ES"/>
        </w:rPr>
        <w:t>Las rentas obtenidas en el ejercicio del monopolio de licores, estarán destinadas preferentemente a los servicios de salud y educación</w:t>
      </w:r>
      <w:r>
        <w:rPr>
          <w:rFonts w:ascii="Verdana" w:eastAsia="Arial" w:hAnsi="Verdana" w:cs="Arial"/>
          <w:color w:val="000000"/>
          <w:lang w:val="es-ES"/>
        </w:rPr>
        <w:t>” –inciso 5–</w:t>
      </w:r>
      <w:r w:rsidRPr="003B3C64">
        <w:rPr>
          <w:rFonts w:ascii="Verdana" w:eastAsia="Arial" w:hAnsi="Verdana" w:cs="Arial"/>
          <w:color w:val="000000"/>
          <w:lang w:val="es-ES"/>
        </w:rPr>
        <w:t>.</w:t>
      </w:r>
      <w:r>
        <w:rPr>
          <w:rFonts w:ascii="Verdana" w:eastAsia="Arial" w:hAnsi="Verdana" w:cs="Arial"/>
          <w:color w:val="000000"/>
          <w:lang w:val="es-ES"/>
        </w:rPr>
        <w:t xml:space="preserve"> </w:t>
      </w:r>
    </w:p>
    <w:p w14:paraId="2573ECF0" w14:textId="77777777" w:rsidR="00B9011B" w:rsidRDefault="00B9011B" w:rsidP="00B9011B">
      <w:pPr>
        <w:spacing w:after="120" w:line="276" w:lineRule="auto"/>
        <w:ind w:firstLine="708"/>
        <w:jc w:val="both"/>
        <w:rPr>
          <w:rFonts w:ascii="Verdana" w:eastAsia="Arial" w:hAnsi="Verdana" w:cs="Arial"/>
          <w:color w:val="000000"/>
          <w:lang w:val="es-ES"/>
        </w:rPr>
      </w:pPr>
      <w:r>
        <w:rPr>
          <w:rFonts w:ascii="Verdana" w:eastAsia="Arial" w:hAnsi="Verdana" w:cs="Arial"/>
          <w:color w:val="000000"/>
          <w:lang w:val="es-ES"/>
        </w:rPr>
        <w:t xml:space="preserve">Dentro de este marco, la Ley 1816 de 2016 establece el monopolio rentístico de licores destilados, el cual se define como “[…] </w:t>
      </w:r>
      <w:r w:rsidRPr="003B3C64">
        <w:rPr>
          <w:rFonts w:ascii="Verdana" w:eastAsia="Arial" w:hAnsi="Verdana" w:cs="Arial"/>
          <w:color w:val="000000"/>
          <w:lang w:val="es-ES"/>
        </w:rPr>
        <w:t>la facultad exclusiva del Estado para explotar directamente o a través de terceros la producción e introducción de licores destilados y para organizar, regular, fiscalizar y vigilar la producción e introducción de licores destilados en los términos de la presente ley</w:t>
      </w:r>
      <w:r>
        <w:rPr>
          <w:rFonts w:ascii="Verdana" w:eastAsia="Arial" w:hAnsi="Verdana" w:cs="Arial"/>
          <w:color w:val="000000"/>
          <w:lang w:val="es-ES"/>
        </w:rPr>
        <w:t xml:space="preserve">” –artículo 2, inciso 1–. Esta norma debe interpretarse en concordancia con el artículo 7 de la mencionada ley, el cual –de acuerdo con la modificación del artículo 12 de la Ley 2158 de 2021– consagra dos (2) formas para su explotación. </w:t>
      </w:r>
    </w:p>
    <w:p w14:paraId="6B558229" w14:textId="77777777" w:rsidR="00B9011B" w:rsidRDefault="00B9011B" w:rsidP="00B9011B">
      <w:pPr>
        <w:spacing w:after="120" w:line="276" w:lineRule="auto"/>
        <w:ind w:firstLine="708"/>
        <w:jc w:val="both"/>
        <w:rPr>
          <w:rFonts w:ascii="Verdana" w:eastAsia="Arial" w:hAnsi="Verdana" w:cs="Arial"/>
          <w:color w:val="000000"/>
          <w:lang w:val="es-ES"/>
        </w:rPr>
      </w:pPr>
      <w:r>
        <w:rPr>
          <w:rFonts w:ascii="Verdana" w:eastAsia="Arial" w:hAnsi="Verdana" w:cs="Arial"/>
          <w:color w:val="000000"/>
          <w:lang w:val="es-ES"/>
        </w:rPr>
        <w:t>Por un lado, indica que “</w:t>
      </w:r>
      <w:r w:rsidRPr="005616E1">
        <w:rPr>
          <w:rFonts w:ascii="Verdana" w:eastAsia="Arial" w:hAnsi="Verdana" w:cs="Arial"/>
          <w:color w:val="000000"/>
          <w:lang w:val="es-ES"/>
        </w:rPr>
        <w:t xml:space="preserve">Los departamentos ejercerán el monopolio de producción de licores destilados directamente, que incluye la contratación de terceros para la producción de licores destilados y alcohol potable con destino a la fabricación de licores sobre los cuales el departamento contratante ostente la </w:t>
      </w:r>
      <w:r w:rsidRPr="005616E1">
        <w:rPr>
          <w:rFonts w:ascii="Verdana" w:eastAsia="Arial" w:hAnsi="Verdana" w:cs="Arial"/>
          <w:color w:val="000000"/>
          <w:lang w:val="es-ES"/>
        </w:rPr>
        <w:lastRenderedPageBreak/>
        <w:t>titularidad de la propiedad industria</w:t>
      </w:r>
      <w:r>
        <w:rPr>
          <w:rFonts w:ascii="Verdana" w:eastAsia="Arial" w:hAnsi="Verdana" w:cs="Arial"/>
          <w:color w:val="000000"/>
          <w:lang w:val="es-ES"/>
        </w:rPr>
        <w:t>l” –inciso 1–</w:t>
      </w:r>
      <w:r w:rsidRPr="005616E1">
        <w:rPr>
          <w:rFonts w:ascii="Verdana" w:eastAsia="Arial" w:hAnsi="Verdana" w:cs="Arial"/>
          <w:color w:val="000000"/>
          <w:lang w:val="es-ES"/>
        </w:rPr>
        <w:t>.</w:t>
      </w:r>
      <w:r>
        <w:rPr>
          <w:rFonts w:ascii="Verdana" w:eastAsia="Arial" w:hAnsi="Verdana" w:cs="Arial"/>
          <w:color w:val="000000"/>
          <w:lang w:val="es-ES"/>
        </w:rPr>
        <w:t xml:space="preserve"> Sin embargo, el departamento tiene la opción de “[…] </w:t>
      </w:r>
      <w:r w:rsidRPr="005616E1">
        <w:rPr>
          <w:rFonts w:ascii="Verdana" w:eastAsia="Arial" w:hAnsi="Verdana" w:cs="Arial"/>
          <w:color w:val="000000"/>
          <w:lang w:val="es-ES"/>
        </w:rPr>
        <w:t>permitir temporalmente que, la producción sea realizada por terceros mediante la suscripción de contratos adjudicados mediante licitación pública, en los términos del artículo 8° de la presente ley</w:t>
      </w:r>
      <w:r>
        <w:rPr>
          <w:rFonts w:ascii="Verdana" w:eastAsia="Arial" w:hAnsi="Verdana" w:cs="Arial"/>
          <w:color w:val="000000"/>
          <w:lang w:val="es-ES"/>
        </w:rPr>
        <w:t>” –inciso 2–.</w:t>
      </w:r>
    </w:p>
    <w:p w14:paraId="4A6F49F7" w14:textId="77777777" w:rsidR="00B9011B" w:rsidRDefault="00B9011B" w:rsidP="00B9011B">
      <w:pPr>
        <w:spacing w:after="0" w:line="276" w:lineRule="auto"/>
        <w:jc w:val="both"/>
        <w:rPr>
          <w:rFonts w:ascii="Verdana" w:eastAsia="Arial" w:hAnsi="Verdana" w:cs="Arial"/>
          <w:color w:val="000000"/>
          <w:lang w:val="es-ES"/>
        </w:rPr>
      </w:pPr>
      <w:r>
        <w:rPr>
          <w:rFonts w:ascii="Verdana" w:eastAsia="Arial" w:hAnsi="Verdana" w:cs="Arial"/>
          <w:color w:val="000000"/>
          <w:lang w:val="es-ES"/>
        </w:rPr>
        <w:tab/>
        <w:t xml:space="preserve">En el primer supuesto, es decir, cuando el </w:t>
      </w:r>
      <w:r w:rsidRPr="005616E1">
        <w:rPr>
          <w:rFonts w:ascii="Verdana" w:eastAsia="Arial" w:hAnsi="Verdana" w:cs="Arial"/>
          <w:color w:val="000000"/>
          <w:lang w:val="es-ES"/>
        </w:rPr>
        <w:t xml:space="preserve">departamento ejerce el monopolio de </w:t>
      </w:r>
      <w:r>
        <w:rPr>
          <w:rFonts w:ascii="Verdana" w:eastAsia="Arial" w:hAnsi="Verdana" w:cs="Arial"/>
          <w:color w:val="000000"/>
          <w:lang w:val="es-ES"/>
        </w:rPr>
        <w:t xml:space="preserve">la </w:t>
      </w:r>
      <w:r w:rsidRPr="005616E1">
        <w:rPr>
          <w:rFonts w:ascii="Verdana" w:eastAsia="Arial" w:hAnsi="Verdana" w:cs="Arial"/>
          <w:color w:val="000000"/>
          <w:lang w:val="es-ES"/>
        </w:rPr>
        <w:t>producción de licores destilados directamente mediante contratación de terceros</w:t>
      </w:r>
      <w:r>
        <w:rPr>
          <w:rFonts w:ascii="Verdana" w:eastAsia="Arial" w:hAnsi="Verdana" w:cs="Arial"/>
          <w:color w:val="000000"/>
          <w:lang w:val="es-ES"/>
        </w:rPr>
        <w:t>, el artículo 7 de la Ley 1816 de 2016 no consagra una excepción explícita al Estatuto General de Contratación Pública. De hecho, el artículo 14.2 de la Ley 80 de 1993 dispone que en los</w:t>
      </w:r>
      <w:r w:rsidRPr="008A33A2">
        <w:rPr>
          <w:rFonts w:ascii="Verdana" w:eastAsia="Arial" w:hAnsi="Verdana" w:cs="Arial"/>
          <w:color w:val="000000"/>
          <w:lang w:val="es-ES"/>
        </w:rPr>
        <w:t xml:space="preserve"> contratos que tengan por objeto el ejercicio de una actividad que constituya monopolio estatal</w:t>
      </w:r>
      <w:r>
        <w:rPr>
          <w:rFonts w:ascii="Verdana" w:eastAsia="Arial" w:hAnsi="Verdana" w:cs="Arial"/>
          <w:color w:val="000000"/>
          <w:lang w:val="es-ES"/>
        </w:rPr>
        <w:t xml:space="preserve"> rigen las potestades exorbitantes. Incluso, tratándose de entidades descentralizadas funcionalmente como las empresas industriales y comerciales del Estado o las sociedades de economía mixta, el artículo 14 de la Ley 1150 de 2007 las somete a las reglas generales del sistema de compras pública, siempre que no</w:t>
      </w:r>
      <w:r w:rsidRPr="008A33A2">
        <w:rPr>
          <w:rFonts w:ascii="Verdana" w:eastAsia="Arial" w:hAnsi="Verdana" w:cs="Arial"/>
          <w:color w:val="000000"/>
          <w:lang w:val="es-ES"/>
        </w:rPr>
        <w:t xml:space="preserve"> desarrollen actividades comerciales en competencia con el sector privado y/o público, nacional o internacional o en mercados regulados</w:t>
      </w:r>
      <w:r>
        <w:rPr>
          <w:rFonts w:ascii="Verdana" w:eastAsia="Arial" w:hAnsi="Verdana" w:cs="Arial"/>
          <w:color w:val="000000"/>
          <w:lang w:val="es-ES"/>
        </w:rPr>
        <w:t>. Esto significa que la gestión contractual para la operación del monopolio analizado se realiza a través del EGCAP, aspecto que impacta en el régimen de los procedimientos de selección.</w:t>
      </w:r>
    </w:p>
    <w:p w14:paraId="2A75784D" w14:textId="77777777" w:rsidR="00B9011B" w:rsidRDefault="00B9011B" w:rsidP="00B9011B">
      <w:pPr>
        <w:spacing w:after="0" w:line="276" w:lineRule="auto"/>
        <w:jc w:val="both"/>
        <w:rPr>
          <w:rFonts w:ascii="Verdana" w:eastAsia="Arial" w:hAnsi="Verdana" w:cs="Arial"/>
          <w:color w:val="000000"/>
          <w:lang w:val="es-ES"/>
        </w:rPr>
      </w:pPr>
    </w:p>
    <w:p w14:paraId="7794E734" w14:textId="77777777" w:rsidR="00B9011B" w:rsidRDefault="00B9011B" w:rsidP="00B9011B">
      <w:pPr>
        <w:spacing w:after="120" w:line="276" w:lineRule="auto"/>
        <w:jc w:val="both"/>
        <w:rPr>
          <w:rFonts w:ascii="Verdana" w:hAnsi="Verdana" w:cs="Arial"/>
          <w:bCs/>
          <w:lang w:val="es-MX"/>
        </w:rPr>
      </w:pPr>
      <w:r>
        <w:rPr>
          <w:rFonts w:ascii="Verdana" w:eastAsia="Arial" w:hAnsi="Verdana" w:cs="Arial"/>
          <w:color w:val="000000"/>
          <w:lang w:val="es-ES"/>
        </w:rPr>
        <w:t xml:space="preserve">v. </w:t>
      </w:r>
      <w:r>
        <w:rPr>
          <w:rFonts w:ascii="Verdana" w:hAnsi="Verdana" w:cs="Arial"/>
          <w:lang w:val="es-ES"/>
        </w:rPr>
        <w:t>En efecto, p</w:t>
      </w:r>
      <w:r w:rsidRPr="003C1E50">
        <w:rPr>
          <w:rFonts w:ascii="Verdana" w:hAnsi="Verdana" w:cs="Arial"/>
          <w:lang w:val="es-ES"/>
        </w:rPr>
        <w:t>ara las</w:t>
      </w:r>
      <w:r>
        <w:rPr>
          <w:rFonts w:ascii="Verdana" w:hAnsi="Verdana" w:cs="Arial"/>
          <w:lang w:val="es-ES"/>
        </w:rPr>
        <w:t xml:space="preserve"> </w:t>
      </w:r>
      <w:r w:rsidRPr="003C1E50">
        <w:rPr>
          <w:rFonts w:ascii="Verdana" w:hAnsi="Verdana" w:cs="Arial"/>
          <w:bCs/>
          <w:i/>
          <w:iCs/>
        </w:rPr>
        <w:t>entidades sometidas a la Ley 80 de 1993</w:t>
      </w:r>
      <w:r w:rsidRPr="003C1E50">
        <w:rPr>
          <w:rFonts w:ascii="Verdana" w:hAnsi="Verdana" w:cs="Arial"/>
          <w:lang w:val="es-ES"/>
        </w:rPr>
        <w:t xml:space="preserve">, </w:t>
      </w:r>
      <w:r>
        <w:rPr>
          <w:rFonts w:ascii="Verdana" w:hAnsi="Verdana" w:cs="Arial"/>
          <w:lang w:val="es-ES"/>
        </w:rPr>
        <w:t>entre ellas</w:t>
      </w:r>
      <w:r w:rsidRPr="003C1E50">
        <w:rPr>
          <w:rFonts w:ascii="Verdana" w:hAnsi="Verdana" w:cs="Arial"/>
          <w:lang w:val="es-ES"/>
        </w:rPr>
        <w:t>,</w:t>
      </w:r>
      <w:r>
        <w:rPr>
          <w:rFonts w:ascii="Verdana" w:hAnsi="Verdana" w:cs="Arial"/>
          <w:lang w:val="es-ES"/>
        </w:rPr>
        <w:t xml:space="preserve"> los departamentos conforme al literal a) del artículo 2.1,</w:t>
      </w:r>
      <w:r w:rsidRPr="003C1E50">
        <w:rPr>
          <w:rFonts w:ascii="Verdana" w:hAnsi="Verdana" w:cs="Arial"/>
          <w:lang w:val="es-ES"/>
        </w:rPr>
        <w:t xml:space="preserve"> los procesos de selección se rigen por el artículo 2 de la Ley 1150 de 2007. El </w:t>
      </w:r>
      <w:r w:rsidRPr="003C1E50">
        <w:rPr>
          <w:rFonts w:ascii="Verdana" w:hAnsi="Verdana" w:cs="Arial"/>
          <w:bCs/>
          <w:lang w:val="es-MX"/>
        </w:rPr>
        <w:t xml:space="preserve">numeral uno, inciso primero, dispone que “La escogencia del contratista se efectuará por </w:t>
      </w:r>
      <w:r w:rsidRPr="003C1E50">
        <w:rPr>
          <w:rFonts w:ascii="Verdana" w:hAnsi="Verdana" w:cs="Arial"/>
          <w:bCs/>
          <w:i/>
          <w:iCs/>
          <w:lang w:val="es-MX"/>
        </w:rPr>
        <w:t>regla general</w:t>
      </w:r>
      <w:r w:rsidRPr="003C1E50">
        <w:rPr>
          <w:rFonts w:ascii="Verdana" w:hAnsi="Verdana" w:cs="Arial"/>
          <w:bCs/>
          <w:lang w:val="es-MX"/>
        </w:rPr>
        <w:t xml:space="preserve"> a través de licitación pública, con las </w:t>
      </w:r>
      <w:r w:rsidRPr="003C1E50">
        <w:rPr>
          <w:rFonts w:ascii="Verdana" w:hAnsi="Verdana" w:cs="Arial"/>
          <w:bCs/>
          <w:i/>
          <w:iCs/>
          <w:lang w:val="es-MX"/>
        </w:rPr>
        <w:t>excepciones</w:t>
      </w:r>
      <w:r w:rsidRPr="003C1E50">
        <w:rPr>
          <w:rFonts w:ascii="Verdana" w:hAnsi="Verdana" w:cs="Arial"/>
          <w:bCs/>
          <w:lang w:val="es-MX"/>
        </w:rPr>
        <w:t xml:space="preserve"> que se señalan en los numerales 2, 3 y 4 del presente artículo” (Énfasis fuera de texto), norma que sustituye el derogado numeral 1 del artículo 24 de la Ley 80 de 1993 sobre el principio de transparencia</w:t>
      </w:r>
      <w:r w:rsidRPr="003C1E50">
        <w:rPr>
          <w:rFonts w:ascii="Verdana" w:hAnsi="Verdana" w:cs="Arial"/>
          <w:bCs/>
          <w:vertAlign w:val="superscript"/>
          <w:lang w:val="es-MX"/>
        </w:rPr>
        <w:footnoteReference w:id="7"/>
      </w:r>
      <w:r w:rsidRPr="003C1E50">
        <w:rPr>
          <w:rFonts w:ascii="Verdana" w:hAnsi="Verdana" w:cs="Arial"/>
          <w:bCs/>
          <w:lang w:val="es-MX"/>
        </w:rPr>
        <w:t>. En este contexto, salvo norma especial que ordene la celebración del negocio jurídico por selección abreviada, concurso de méritos, mínima cuantía o contratación directa, debe aplicarse la regla general de licitación pública</w:t>
      </w:r>
      <w:r w:rsidRPr="003C1E50">
        <w:rPr>
          <w:rFonts w:ascii="Verdana" w:hAnsi="Verdana" w:cs="Arial"/>
          <w:bCs/>
          <w:vertAlign w:val="superscript"/>
          <w:lang w:val="es-MX"/>
        </w:rPr>
        <w:footnoteReference w:id="8"/>
      </w:r>
      <w:r w:rsidRPr="003C1E50">
        <w:rPr>
          <w:rFonts w:ascii="Verdana" w:hAnsi="Verdana" w:cs="Arial"/>
          <w:bCs/>
          <w:lang w:val="es-MX"/>
        </w:rPr>
        <w:t>.</w:t>
      </w:r>
    </w:p>
    <w:p w14:paraId="2676AFCD" w14:textId="77777777" w:rsidR="00B9011B" w:rsidRPr="00C8694C" w:rsidRDefault="00B9011B" w:rsidP="00B9011B">
      <w:pPr>
        <w:spacing w:after="120" w:line="276" w:lineRule="auto"/>
        <w:ind w:firstLine="709"/>
        <w:jc w:val="both"/>
        <w:rPr>
          <w:rFonts w:ascii="Verdana" w:hAnsi="Verdana" w:cs="Arial"/>
          <w:bCs/>
          <w:lang w:val="es-MX"/>
        </w:rPr>
      </w:pPr>
      <w:r w:rsidRPr="00C8694C">
        <w:rPr>
          <w:rFonts w:ascii="Verdana" w:hAnsi="Verdana" w:cs="Arial"/>
        </w:rPr>
        <w:lastRenderedPageBreak/>
        <w:t>La exposición de motivos de la Ley 1150 de 2007 señala las razones por las cuales se establecieron estos procedimientos, pues “[…] las experiencias exitosas a nivel internacional demuestran que el criterio de distinción que debe gobernar un esquema contractual eficiente es el de modular las modalidades de selección en razón a las características del objeto”</w:t>
      </w:r>
      <w:r w:rsidRPr="00C8694C">
        <w:rPr>
          <w:rFonts w:ascii="Verdana" w:hAnsi="Verdana" w:cs="Arial"/>
          <w:vertAlign w:val="superscript"/>
        </w:rPr>
        <w:footnoteReference w:id="9"/>
      </w:r>
      <w:r w:rsidRPr="00C8694C">
        <w:rPr>
          <w:rFonts w:ascii="Verdana" w:hAnsi="Verdana" w:cs="Arial"/>
        </w:rPr>
        <w:t xml:space="preserve">. Así, las modalidades pueden dividirse en i) competitivas y </w:t>
      </w:r>
      <w:proofErr w:type="spellStart"/>
      <w:r w:rsidRPr="00C8694C">
        <w:rPr>
          <w:rFonts w:ascii="Verdana" w:hAnsi="Verdana" w:cs="Arial"/>
        </w:rPr>
        <w:t>ii</w:t>
      </w:r>
      <w:proofErr w:type="spellEnd"/>
      <w:r w:rsidRPr="00C8694C">
        <w:rPr>
          <w:rFonts w:ascii="Verdana" w:hAnsi="Verdana" w:cs="Arial"/>
        </w:rPr>
        <w:t>) no competitivas. Sobre el particular, la guía de competencia en las compras públicas de la Agencia Nacional de Contratación Pública – Colombia Compra Eficiente señala que “[…] la competencia, entendida como rivalidad efectiva entre empresas de un mismo mercado, incentiva la reducción de precios, el aumento de la calidad, la lucha contra la corrupción y la innovación por parte del sector privado”</w:t>
      </w:r>
      <w:r w:rsidRPr="00C8694C">
        <w:rPr>
          <w:rFonts w:ascii="Verdana" w:hAnsi="Verdana" w:cs="Arial"/>
          <w:vertAlign w:val="superscript"/>
        </w:rPr>
        <w:footnoteReference w:id="10"/>
      </w:r>
      <w:r w:rsidRPr="00C8694C">
        <w:rPr>
          <w:rFonts w:ascii="Verdana" w:hAnsi="Verdana" w:cs="Arial"/>
        </w:rPr>
        <w:t xml:space="preserve">. </w:t>
      </w:r>
    </w:p>
    <w:p w14:paraId="32431354" w14:textId="77777777" w:rsidR="00B9011B" w:rsidRPr="00C8694C" w:rsidRDefault="00B9011B" w:rsidP="00B9011B">
      <w:pPr>
        <w:spacing w:after="120" w:line="276" w:lineRule="auto"/>
        <w:ind w:firstLine="709"/>
        <w:jc w:val="both"/>
        <w:rPr>
          <w:rFonts w:ascii="Verdana" w:hAnsi="Verdana" w:cs="Arial"/>
        </w:rPr>
      </w:pPr>
      <w:r w:rsidRPr="00C8694C">
        <w:rPr>
          <w:rFonts w:ascii="Verdana" w:hAnsi="Verdana" w:cs="Arial"/>
        </w:rPr>
        <w:t>Por ejemplo, procesos como la licitación pública y el concurso de méritos son modalidades de selección abiertas a competencia, pues en ellas tiene lugar la participación de varios proponentes en una fase pública de presentación de ofertas. Esto permite que todas las personas interesadas concurran al proceso en igualdad de condiciones y compitan en el mismo. En contraste, la modalidad de selección de contratación directa es una modalidad no competitiva, es decir, no está abierta al público para que los proponentes presenten sus ofertas. En esta modalidad la entidad estatal determina, de forma directa y no pública, la persona que puede participar y que será seleccionada.</w:t>
      </w:r>
    </w:p>
    <w:p w14:paraId="52495EC6" w14:textId="77777777" w:rsidR="00B9011B" w:rsidRPr="00C8694C" w:rsidRDefault="00B9011B" w:rsidP="00B9011B">
      <w:pPr>
        <w:spacing w:after="120" w:line="276" w:lineRule="auto"/>
        <w:ind w:firstLine="708"/>
        <w:jc w:val="both"/>
        <w:rPr>
          <w:rFonts w:ascii="Verdana" w:hAnsi="Verdana" w:cs="Arial"/>
        </w:rPr>
      </w:pPr>
      <w:r w:rsidRPr="00C8694C">
        <w:rPr>
          <w:rFonts w:ascii="Verdana" w:hAnsi="Verdana" w:cs="Arial"/>
        </w:rPr>
        <w:t>Lo expuesto se complementa con lo explicado por la Corte Constitucional en Sentencia C-713 de 2009, la cual estudió la constitucionalidad de los artículos 2 ‒parcial‒ y 5 ‒parcial‒ de la Ley 1150 de 2007. En esa decisi</w:t>
      </w:r>
      <w:r w:rsidRPr="00C8694C">
        <w:rPr>
          <w:rFonts w:ascii="Verdana" w:hAnsi="Verdana" w:cs="Century Gothic"/>
        </w:rPr>
        <w:t>ó</w:t>
      </w:r>
      <w:r w:rsidRPr="00C8694C">
        <w:rPr>
          <w:rFonts w:ascii="Verdana" w:hAnsi="Verdana" w:cs="Arial"/>
        </w:rPr>
        <w:t xml:space="preserve">n judicial se </w:t>
      </w:r>
      <w:r w:rsidRPr="00C8694C">
        <w:rPr>
          <w:rFonts w:ascii="Verdana" w:hAnsi="Verdana" w:cs="Arial"/>
        </w:rPr>
        <w:lastRenderedPageBreak/>
        <w:t>desarrollaron los principios de libre concurrencia y selecci</w:t>
      </w:r>
      <w:r w:rsidRPr="00C8694C">
        <w:rPr>
          <w:rFonts w:ascii="Verdana" w:hAnsi="Verdana" w:cs="Century Gothic"/>
        </w:rPr>
        <w:t>ó</w:t>
      </w:r>
      <w:r w:rsidRPr="00C8694C">
        <w:rPr>
          <w:rFonts w:ascii="Verdana" w:hAnsi="Verdana" w:cs="Arial"/>
        </w:rPr>
        <w:t>n objetiva en la contrataci</w:t>
      </w:r>
      <w:r w:rsidRPr="00C8694C">
        <w:rPr>
          <w:rFonts w:ascii="Verdana" w:hAnsi="Verdana" w:cs="Century Gothic"/>
        </w:rPr>
        <w:t>ó</w:t>
      </w:r>
      <w:r w:rsidRPr="00C8694C">
        <w:rPr>
          <w:rFonts w:ascii="Verdana" w:hAnsi="Verdana" w:cs="Arial"/>
        </w:rPr>
        <w:t>n p</w:t>
      </w:r>
      <w:r w:rsidRPr="00C8694C">
        <w:rPr>
          <w:rFonts w:ascii="Verdana" w:hAnsi="Verdana" w:cs="Century Gothic"/>
        </w:rPr>
        <w:t>ú</w:t>
      </w:r>
      <w:r w:rsidRPr="00C8694C">
        <w:rPr>
          <w:rFonts w:ascii="Verdana" w:hAnsi="Verdana" w:cs="Arial"/>
        </w:rPr>
        <w:t>blica, como expresiones del derecho a la igualdad de oportunidades para quienes tengan inter</w:t>
      </w:r>
      <w:r w:rsidRPr="00C8694C">
        <w:rPr>
          <w:rFonts w:ascii="Verdana" w:hAnsi="Verdana" w:cs="Century Gothic"/>
        </w:rPr>
        <w:t>é</w:t>
      </w:r>
      <w:r w:rsidRPr="00C8694C">
        <w:rPr>
          <w:rFonts w:ascii="Verdana" w:hAnsi="Verdana" w:cs="Arial"/>
        </w:rPr>
        <w:t>s en participar en la contrataci</w:t>
      </w:r>
      <w:r w:rsidRPr="00C8694C">
        <w:rPr>
          <w:rFonts w:ascii="Verdana" w:hAnsi="Verdana" w:cs="Century Gothic"/>
        </w:rPr>
        <w:t>ó</w:t>
      </w:r>
      <w:r w:rsidRPr="00C8694C">
        <w:rPr>
          <w:rFonts w:ascii="Verdana" w:hAnsi="Verdana" w:cs="Arial"/>
        </w:rPr>
        <w:t>n estatal. La materializaci</w:t>
      </w:r>
      <w:r w:rsidRPr="00C8694C">
        <w:rPr>
          <w:rFonts w:ascii="Verdana" w:hAnsi="Verdana" w:cs="Century Gothic"/>
        </w:rPr>
        <w:t>ó</w:t>
      </w:r>
      <w:r w:rsidRPr="00C8694C">
        <w:rPr>
          <w:rFonts w:ascii="Verdana" w:hAnsi="Verdana" w:cs="Arial"/>
        </w:rPr>
        <w:t>n de esos principios pretende que no exista discriminaci</w:t>
      </w:r>
      <w:r w:rsidRPr="00C8694C">
        <w:rPr>
          <w:rFonts w:ascii="Verdana" w:hAnsi="Verdana" w:cs="Century Gothic"/>
        </w:rPr>
        <w:t>ó</w:t>
      </w:r>
      <w:r w:rsidRPr="00C8694C">
        <w:rPr>
          <w:rFonts w:ascii="Verdana" w:hAnsi="Verdana" w:cs="Arial"/>
        </w:rPr>
        <w:t>n y que las entidades no impongan limitaciones a través de reglas que impidan la concurrencia para obtener mejores condiciones de contratación. Sin embargo, se admiten excepciones que busquen condiciones del contratista que sean favorables a los intereses del Estado y aseguren la transparencia del procedimiento como las inhabilidades e incompatibilidades</w:t>
      </w:r>
      <w:r w:rsidRPr="00C8694C">
        <w:rPr>
          <w:rFonts w:ascii="Verdana" w:hAnsi="Verdana" w:cs="Arial"/>
          <w:vertAlign w:val="superscript"/>
        </w:rPr>
        <w:footnoteReference w:id="11"/>
      </w:r>
      <w:r w:rsidRPr="00C8694C">
        <w:rPr>
          <w:rFonts w:ascii="Verdana" w:hAnsi="Verdana" w:cs="Arial"/>
        </w:rPr>
        <w:t>.</w:t>
      </w:r>
    </w:p>
    <w:p w14:paraId="63C5A2ED" w14:textId="77777777" w:rsidR="00B9011B" w:rsidRPr="00C8694C" w:rsidRDefault="00B9011B" w:rsidP="00B9011B">
      <w:pPr>
        <w:spacing w:after="0" w:line="276" w:lineRule="auto"/>
        <w:ind w:firstLine="708"/>
        <w:jc w:val="both"/>
        <w:rPr>
          <w:rFonts w:ascii="Verdana" w:hAnsi="Verdana" w:cs="Arial"/>
        </w:rPr>
      </w:pPr>
      <w:r w:rsidRPr="00C8694C">
        <w:rPr>
          <w:rFonts w:ascii="Verdana" w:hAnsi="Verdana" w:cs="Arial"/>
        </w:rPr>
        <w:t xml:space="preserve">Así las cosas, la contratación directa es una excepción al principio de libre concurrencia y competencia, que se aplica en los procesos de contratación, para que cualquier persona interesada en satisfacer la necesidad de una entidad pueda presentar una oferta. Por ello, es de aplicación restrictiva, esto es, solo procede por las causales señaladas taxativamente en el numeral 4 del artículo 2 de la Ley 1150 de 2007. En tal sentido, su aplicación no puede efectuarse por fuera del contenido normativo citado, ni operar más allá de lo que la misma norma dispone, dentro del contexto del ordenamiento jurídico de la contratación estatal. </w:t>
      </w:r>
    </w:p>
    <w:p w14:paraId="30084580" w14:textId="77777777" w:rsidR="00B9011B" w:rsidRDefault="00B9011B" w:rsidP="00B9011B">
      <w:pPr>
        <w:spacing w:after="0" w:line="276" w:lineRule="auto"/>
        <w:jc w:val="both"/>
        <w:rPr>
          <w:rFonts w:ascii="Verdana" w:eastAsia="Calibri" w:hAnsi="Verdana" w:cs="Arial"/>
          <w:lang w:val="es-ES"/>
        </w:rPr>
      </w:pPr>
    </w:p>
    <w:p w14:paraId="485F0C74" w14:textId="77777777" w:rsidR="00B9011B" w:rsidRPr="007E5F2D" w:rsidRDefault="00B9011B" w:rsidP="00B9011B">
      <w:pPr>
        <w:spacing w:after="120" w:line="276" w:lineRule="auto"/>
        <w:jc w:val="both"/>
        <w:rPr>
          <w:rFonts w:ascii="Verdana" w:hAnsi="Verdana"/>
        </w:rPr>
      </w:pPr>
      <w:r>
        <w:rPr>
          <w:rFonts w:ascii="Verdana" w:hAnsi="Verdana"/>
        </w:rPr>
        <w:t xml:space="preserve">vi. </w:t>
      </w:r>
      <w:r w:rsidRPr="007E5F2D">
        <w:rPr>
          <w:rFonts w:ascii="Verdana" w:hAnsi="Verdana"/>
        </w:rPr>
        <w:t>Al margen de la explicación precedente debe advertirse que el análisis requerido para resolver problemas específicos en torno a la gestión contractual debe ser realizado por quienes tengan interés en ello, de acuerdo con lo explicado la aclaración preliminar del presente oficio. De esta manera, las afirmaciones aquí realizadas no pueden ser interpretadas como juicios de valor sobre circunstancias concretas relacionadas con los hechos que motivan la consulta. Por lo anterior, previo concepto de sus asesores, la solución de situaciones particulares corresponde a los interesados adoptar la decisión correspondiente y, en caso de conflicto, a las autoridades judiciales, fiscales y disciplinarias.</w:t>
      </w:r>
    </w:p>
    <w:p w14:paraId="016D8687" w14:textId="77777777" w:rsidR="00B9011B" w:rsidRDefault="00B9011B" w:rsidP="00B9011B">
      <w:pPr>
        <w:spacing w:after="0" w:line="276" w:lineRule="auto"/>
        <w:jc w:val="both"/>
        <w:rPr>
          <w:rFonts w:ascii="Verdana" w:hAnsi="Verdana"/>
        </w:rPr>
      </w:pPr>
      <w:r w:rsidRPr="007E5F2D">
        <w:rPr>
          <w:rFonts w:ascii="Verdana" w:hAnsi="Verdana"/>
        </w:rPr>
        <w:tab/>
        <w:t xml:space="preserve">Dentro de este marco, la entidad contratante definirá en cada caso concreto lo relacionado con el tema objeto de consulta. Al tratarse de un análisis que debe realizarse en el procedimiento contractual específico, la Agencia no puede definir un criterio universal y absoluto por vía consultiva, sino que brinda elementos de carácter general para que los partícipes del sistema de compras y contratación pública adopten la decisión que corresponda, lo cual es acorde con </w:t>
      </w:r>
      <w:r w:rsidRPr="007E5F2D">
        <w:rPr>
          <w:rFonts w:ascii="Verdana" w:hAnsi="Verdana"/>
        </w:rPr>
        <w:lastRenderedPageBreak/>
        <w:t>el principio de juridicidad. De esta manera, cada entidad definirá la forma de adelantar su gestión contractual, sin que sea atribución de Colombia Compra Eficiente validar sus actuaciones.</w:t>
      </w:r>
    </w:p>
    <w:p w14:paraId="61CE87FD" w14:textId="77777777" w:rsidR="00B9011B" w:rsidRPr="00A62F2B" w:rsidRDefault="00B9011B" w:rsidP="00B9011B">
      <w:pPr>
        <w:spacing w:after="0" w:line="276" w:lineRule="auto"/>
        <w:jc w:val="both"/>
      </w:pPr>
    </w:p>
    <w:p w14:paraId="4B43CF6D" w14:textId="77777777" w:rsidR="00B9011B" w:rsidRPr="00593A5F" w:rsidRDefault="00B9011B" w:rsidP="00B9011B">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Referencias normativas:</w:t>
      </w:r>
    </w:p>
    <w:p w14:paraId="037957BA" w14:textId="77777777" w:rsidR="00B9011B" w:rsidRPr="00593A5F" w:rsidRDefault="00B9011B" w:rsidP="00B9011B">
      <w:pPr>
        <w:widowControl w:val="0"/>
        <w:autoSpaceDE w:val="0"/>
        <w:autoSpaceDN w:val="0"/>
        <w:spacing w:after="0" w:line="276" w:lineRule="auto"/>
        <w:jc w:val="both"/>
        <w:rPr>
          <w:rFonts w:ascii="Verdana" w:hAnsi="Verdana" w:cs="Arial"/>
        </w:rPr>
      </w:pPr>
    </w:p>
    <w:tbl>
      <w:tblPr>
        <w:tblStyle w:val="Tablaconcuadrcula"/>
        <w:tblW w:w="8647"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B9011B" w:rsidRPr="002407CE" w14:paraId="46414F18" w14:textId="77777777" w:rsidTr="00521D9A">
        <w:trPr>
          <w:trHeight w:val="870"/>
          <w:jc w:val="center"/>
        </w:trPr>
        <w:tc>
          <w:tcPr>
            <w:tcW w:w="8647" w:type="dxa"/>
          </w:tcPr>
          <w:p w14:paraId="612726DA" w14:textId="77777777" w:rsidR="00B9011B" w:rsidRDefault="00B9011B" w:rsidP="00B9011B">
            <w:pPr>
              <w:pStyle w:val="Prrafodelista"/>
              <w:widowControl w:val="0"/>
              <w:numPr>
                <w:ilvl w:val="0"/>
                <w:numId w:val="17"/>
              </w:numPr>
              <w:autoSpaceDE w:val="0"/>
              <w:autoSpaceDN w:val="0"/>
              <w:spacing w:after="120" w:line="276" w:lineRule="auto"/>
              <w:ind w:left="714" w:hanging="357"/>
              <w:contextualSpacing w:val="0"/>
              <w:jc w:val="both"/>
              <w:rPr>
                <w:rFonts w:ascii="Verdana" w:hAnsi="Verdana" w:cs="Arial"/>
              </w:rPr>
            </w:pPr>
            <w:r>
              <w:rPr>
                <w:rFonts w:ascii="Verdana" w:hAnsi="Verdana" w:cs="Arial"/>
              </w:rPr>
              <w:t>Constitución Política de 1991, artículos 150, 209, 267, 336 y 352.</w:t>
            </w:r>
          </w:p>
          <w:p w14:paraId="360A6073" w14:textId="77777777" w:rsidR="00B9011B" w:rsidRDefault="00B9011B" w:rsidP="00B9011B">
            <w:pPr>
              <w:pStyle w:val="Prrafodelista"/>
              <w:widowControl w:val="0"/>
              <w:numPr>
                <w:ilvl w:val="0"/>
                <w:numId w:val="17"/>
              </w:numPr>
              <w:autoSpaceDE w:val="0"/>
              <w:autoSpaceDN w:val="0"/>
              <w:spacing w:after="120" w:line="276" w:lineRule="auto"/>
              <w:ind w:left="714" w:hanging="357"/>
              <w:contextualSpacing w:val="0"/>
              <w:jc w:val="both"/>
              <w:rPr>
                <w:rFonts w:ascii="Verdana" w:hAnsi="Verdana" w:cs="Arial"/>
              </w:rPr>
            </w:pPr>
            <w:r>
              <w:rPr>
                <w:rFonts w:ascii="Verdana" w:hAnsi="Verdana" w:cs="Arial"/>
              </w:rPr>
              <w:t>Ley 80 de 1993, artículos 2, 13, 14, 32 y 40.</w:t>
            </w:r>
          </w:p>
          <w:p w14:paraId="4722DACB" w14:textId="77777777" w:rsidR="00B9011B" w:rsidRDefault="00B9011B" w:rsidP="00B9011B">
            <w:pPr>
              <w:pStyle w:val="Prrafodelista"/>
              <w:widowControl w:val="0"/>
              <w:numPr>
                <w:ilvl w:val="0"/>
                <w:numId w:val="17"/>
              </w:numPr>
              <w:autoSpaceDE w:val="0"/>
              <w:autoSpaceDN w:val="0"/>
              <w:spacing w:after="120" w:line="276" w:lineRule="auto"/>
              <w:ind w:left="714" w:hanging="357"/>
              <w:contextualSpacing w:val="0"/>
              <w:jc w:val="both"/>
              <w:rPr>
                <w:rFonts w:ascii="Verdana" w:hAnsi="Verdana" w:cs="Arial"/>
              </w:rPr>
            </w:pPr>
            <w:r>
              <w:rPr>
                <w:rFonts w:ascii="Verdana" w:hAnsi="Verdana" w:cs="Arial"/>
              </w:rPr>
              <w:t>Ley 1816 de 2016, artículos 2 y 7.</w:t>
            </w:r>
          </w:p>
          <w:p w14:paraId="1F306E5F" w14:textId="77777777" w:rsidR="00B9011B" w:rsidRDefault="00B9011B" w:rsidP="00B9011B">
            <w:pPr>
              <w:pStyle w:val="Prrafodelista"/>
              <w:widowControl w:val="0"/>
              <w:numPr>
                <w:ilvl w:val="0"/>
                <w:numId w:val="17"/>
              </w:numPr>
              <w:autoSpaceDE w:val="0"/>
              <w:autoSpaceDN w:val="0"/>
              <w:spacing w:after="120" w:line="276" w:lineRule="auto"/>
              <w:ind w:left="714" w:hanging="357"/>
              <w:contextualSpacing w:val="0"/>
              <w:jc w:val="both"/>
              <w:rPr>
                <w:rFonts w:ascii="Verdana" w:hAnsi="Verdana" w:cs="Arial"/>
              </w:rPr>
            </w:pPr>
            <w:r>
              <w:rPr>
                <w:rFonts w:ascii="Verdana" w:hAnsi="Verdana" w:cs="Arial"/>
              </w:rPr>
              <w:t>Ley 1150 de 2017, artículos 2, 13 y 14.</w:t>
            </w:r>
          </w:p>
          <w:p w14:paraId="2006F713" w14:textId="77777777" w:rsidR="00B9011B" w:rsidRPr="00B2401B" w:rsidRDefault="00B9011B" w:rsidP="00B9011B">
            <w:pPr>
              <w:pStyle w:val="Prrafodelista"/>
              <w:widowControl w:val="0"/>
              <w:numPr>
                <w:ilvl w:val="0"/>
                <w:numId w:val="17"/>
              </w:numPr>
              <w:autoSpaceDE w:val="0"/>
              <w:autoSpaceDN w:val="0"/>
              <w:spacing w:line="276" w:lineRule="auto"/>
              <w:ind w:left="714" w:hanging="357"/>
              <w:contextualSpacing w:val="0"/>
              <w:jc w:val="both"/>
              <w:rPr>
                <w:rFonts w:ascii="Verdana" w:hAnsi="Verdana" w:cs="Arial"/>
              </w:rPr>
            </w:pPr>
            <w:r>
              <w:rPr>
                <w:rFonts w:ascii="Verdana" w:hAnsi="Verdana" w:cs="Arial"/>
              </w:rPr>
              <w:t>Decreto 111 de 1996, artículo 110.</w:t>
            </w:r>
          </w:p>
        </w:tc>
      </w:tr>
    </w:tbl>
    <w:p w14:paraId="52843897" w14:textId="77777777" w:rsidR="00B9011B" w:rsidRPr="00277E26" w:rsidRDefault="00B9011B" w:rsidP="00B9011B">
      <w:pPr>
        <w:widowControl w:val="0"/>
        <w:autoSpaceDE w:val="0"/>
        <w:autoSpaceDN w:val="0"/>
        <w:spacing w:after="0" w:line="276" w:lineRule="auto"/>
        <w:jc w:val="both"/>
        <w:rPr>
          <w:rFonts w:ascii="Verdana" w:hAnsi="Verdana" w:cs="Arial"/>
        </w:rPr>
      </w:pPr>
    </w:p>
    <w:p w14:paraId="357BCFC6" w14:textId="77777777" w:rsidR="00B9011B" w:rsidRPr="00277E26" w:rsidRDefault="00B9011B" w:rsidP="00B9011B">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277E26">
        <w:rPr>
          <w:rFonts w:ascii="Verdana" w:eastAsia="Century Gothic" w:hAnsi="Verdana" w:cs="Century Gothic"/>
          <w:b/>
          <w:bCs/>
        </w:rPr>
        <w:t>Doctrina de la Agencia Nacional de Contratación Pública:</w:t>
      </w:r>
    </w:p>
    <w:p w14:paraId="69DEAD61" w14:textId="77777777" w:rsidR="00B9011B" w:rsidRPr="00277E26" w:rsidRDefault="00B9011B" w:rsidP="00B9011B">
      <w:pPr>
        <w:widowControl w:val="0"/>
        <w:autoSpaceDE w:val="0"/>
        <w:autoSpaceDN w:val="0"/>
        <w:spacing w:after="0" w:line="276" w:lineRule="auto"/>
        <w:jc w:val="both"/>
        <w:rPr>
          <w:rFonts w:ascii="Verdana" w:hAnsi="Verdana" w:cs="Arial"/>
        </w:rPr>
      </w:pPr>
    </w:p>
    <w:p w14:paraId="1EAE42E6" w14:textId="77777777" w:rsidR="00B9011B" w:rsidRPr="00277E26" w:rsidRDefault="00B9011B" w:rsidP="00B9011B">
      <w:pPr>
        <w:widowControl w:val="0"/>
        <w:autoSpaceDE w:val="0"/>
        <w:autoSpaceDN w:val="0"/>
        <w:spacing w:after="0" w:line="276" w:lineRule="auto"/>
        <w:jc w:val="both"/>
        <w:rPr>
          <w:rStyle w:val="normaltextrun"/>
          <w:rFonts w:ascii="Verdana" w:hAnsi="Verdana" w:cs="Arial"/>
          <w:color w:val="FF0000"/>
          <w:shd w:val="clear" w:color="auto" w:fill="FFFFFF"/>
          <w:lang w:val="es-ES"/>
        </w:rPr>
      </w:pPr>
      <w:r>
        <w:rPr>
          <w:rStyle w:val="normaltextrun"/>
          <w:rFonts w:ascii="Verdana" w:hAnsi="Verdana" w:cs="Arial"/>
          <w:shd w:val="clear" w:color="auto" w:fill="FFFFFF"/>
          <w:lang w:val="es-ES"/>
        </w:rPr>
        <w:t>Los conceptos de esta Subdirección</w:t>
      </w:r>
      <w:r w:rsidRPr="00277E26">
        <w:rPr>
          <w:rFonts w:ascii="Verdana" w:hAnsi="Verdana"/>
        </w:rPr>
        <w:t xml:space="preserve"> se encuentran disponibles para consulta en el Sistema de relatoría de la Agencia, al cual puede accederse a través del siguiente enlace:</w:t>
      </w:r>
      <w:r w:rsidRPr="00277E26">
        <w:rPr>
          <w:rStyle w:val="normaltextrun"/>
          <w:rFonts w:ascii="Verdana" w:hAnsi="Verdana" w:cs="Arial"/>
          <w:shd w:val="clear" w:color="auto" w:fill="FFFFFF"/>
          <w:lang w:val="es-ES"/>
        </w:rPr>
        <w:t xml:space="preserve"> </w:t>
      </w:r>
      <w:hyperlink r:id="rId12" w:history="1">
        <w:r w:rsidRPr="00277E26">
          <w:rPr>
            <w:rStyle w:val="Hipervnculo"/>
            <w:rFonts w:ascii="Verdana" w:hAnsi="Verdana" w:cs="Arial"/>
            <w:shd w:val="clear" w:color="auto" w:fill="FFFFFF"/>
            <w:lang w:val="es-ES"/>
          </w:rPr>
          <w:t>https://relatoria.colombiacompra.gov.co/busqueda/conceptos</w:t>
        </w:r>
      </w:hyperlink>
      <w:r w:rsidRPr="00277E26">
        <w:rPr>
          <w:rStyle w:val="normaltextrun"/>
          <w:rFonts w:ascii="Verdana" w:hAnsi="Verdana" w:cs="Arial"/>
          <w:shd w:val="clear" w:color="auto" w:fill="FFFFFF"/>
          <w:lang w:val="es-ES"/>
        </w:rPr>
        <w:t>.</w:t>
      </w:r>
      <w:r w:rsidRPr="00277E26">
        <w:rPr>
          <w:rStyle w:val="normaltextrun"/>
          <w:rFonts w:ascii="Verdana" w:hAnsi="Verdana" w:cs="Arial"/>
          <w:color w:val="FF0000"/>
          <w:shd w:val="clear" w:color="auto" w:fill="FFFFFF"/>
          <w:lang w:val="es-ES"/>
        </w:rPr>
        <w:t xml:space="preserve"> </w:t>
      </w:r>
    </w:p>
    <w:p w14:paraId="1E49312C" w14:textId="77777777" w:rsidR="00B9011B" w:rsidRPr="00ED440C" w:rsidRDefault="00B9011B" w:rsidP="00B9011B">
      <w:pPr>
        <w:widowControl w:val="0"/>
        <w:autoSpaceDE w:val="0"/>
        <w:autoSpaceDN w:val="0"/>
        <w:spacing w:after="0" w:line="276" w:lineRule="auto"/>
        <w:jc w:val="both"/>
        <w:rPr>
          <w:rStyle w:val="normaltextrun"/>
          <w:rFonts w:ascii="Verdana" w:hAnsi="Verdana" w:cs="Arial"/>
          <w:color w:val="FF0000"/>
          <w:shd w:val="clear" w:color="auto" w:fill="FFFFFF"/>
          <w:lang w:val="es-ES"/>
        </w:rPr>
      </w:pPr>
    </w:p>
    <w:p w14:paraId="78F020A0" w14:textId="77777777" w:rsidR="00B9011B" w:rsidRPr="00ED440C" w:rsidRDefault="00B9011B" w:rsidP="00B9011B">
      <w:pPr>
        <w:shd w:val="clear" w:color="auto" w:fill="FFFFFF"/>
        <w:spacing w:after="0" w:line="276" w:lineRule="auto"/>
        <w:jc w:val="both"/>
        <w:rPr>
          <w:rFonts w:ascii="Verdana" w:hAnsi="Verdana"/>
          <w:color w:val="467886"/>
          <w:u w:val="single"/>
        </w:rPr>
      </w:pPr>
      <w:r w:rsidRPr="00ED440C">
        <w:rPr>
          <w:rFonts w:ascii="Verdana" w:hAnsi="Verdana"/>
          <w:color w:val="000000"/>
        </w:rPr>
        <w:t>Te informamos que ya se encuentra disponible la </w:t>
      </w:r>
      <w:r w:rsidRPr="00ED440C">
        <w:rPr>
          <w:rFonts w:ascii="Verdana" w:hAnsi="Verdana"/>
          <w:b/>
          <w:bCs/>
          <w:color w:val="000000"/>
        </w:rPr>
        <w:t>Cartilla para incentivar y fortalecer el acceso a las compras y contratación pública de los pueblos y comunidades étnicas en Colombia.</w:t>
      </w:r>
      <w:r w:rsidRPr="00ED440C">
        <w:rPr>
          <w:rFonts w:ascii="Verdana" w:hAnsi="Verdana"/>
          <w:color w:val="000000"/>
        </w:rPr>
        <w:t> Esta cartilla es una apuesta de la Agencia Nacional de Contratación Pública – Colombia Compra Eficiente, para incentivar la participación de los pueblos y comunidades étnicas en las compras y contratación pública, mediante el desarrollo de los principios de igualdad, equidad e inclusión social. Puede consultar la versión actualizada en el siguiente enlace: </w:t>
      </w:r>
      <w:hyperlink r:id="rId13" w:tooltip="Original URL:&#10;https://www.colombiacompra.gov.co/manuales-guias-y-pliegos-tipo/manuales-y-guias/cartilla-para-incentivar-y-fortalecer-el-acceso-las&#10;&#10;Click to follow link." w:history="1">
        <w:r w:rsidRPr="00ED440C">
          <w:rPr>
            <w:rFonts w:ascii="Verdana" w:hAnsi="Verdana"/>
            <w:color w:val="467886"/>
            <w:u w:val="single"/>
          </w:rPr>
          <w:t>Cartilla para incentivar y fortalecer el acceso a las compras y contratación pública de los pueblos y comunidades étnicas en Colombia | Colombia Compra Eficiente | Agencia Nacional de Contratación Pública</w:t>
        </w:r>
      </w:hyperlink>
    </w:p>
    <w:p w14:paraId="2F208A72" w14:textId="77777777" w:rsidR="00B9011B" w:rsidRPr="00ED440C" w:rsidRDefault="00B9011B" w:rsidP="00B9011B">
      <w:pPr>
        <w:shd w:val="clear" w:color="auto" w:fill="FFFFFF"/>
        <w:spacing w:after="0" w:line="276" w:lineRule="auto"/>
        <w:jc w:val="both"/>
        <w:rPr>
          <w:rFonts w:ascii="Verdana" w:hAnsi="Verdana"/>
          <w:color w:val="212121"/>
        </w:rPr>
      </w:pPr>
    </w:p>
    <w:p w14:paraId="0E6BF5AF" w14:textId="77777777" w:rsidR="00B9011B" w:rsidRPr="00ED440C" w:rsidRDefault="00B9011B" w:rsidP="00B9011B">
      <w:pPr>
        <w:spacing w:after="0" w:line="276" w:lineRule="auto"/>
        <w:jc w:val="both"/>
        <w:rPr>
          <w:rFonts w:ascii="Verdana" w:hAnsi="Verdana"/>
          <w:color w:val="467886"/>
          <w:u w:val="single"/>
        </w:rPr>
      </w:pPr>
      <w:r w:rsidRPr="00ED440C">
        <w:rPr>
          <w:rFonts w:ascii="Verdana" w:hAnsi="Verdana"/>
          <w:color w:val="000000"/>
        </w:rPr>
        <w:t>De otra parte, te informamos que, con el objetivo de garantizar un conocimiento adecuado de las </w:t>
      </w:r>
      <w:r w:rsidRPr="00ED440C">
        <w:rPr>
          <w:rFonts w:ascii="Verdana" w:hAnsi="Verdana"/>
          <w:b/>
          <w:bCs/>
          <w:color w:val="000000"/>
        </w:rPr>
        <w:t>modificaciones y/o actualizaciones realizadas a los Documentos Tipo</w:t>
      </w:r>
      <w:r w:rsidRPr="00ED440C">
        <w:rPr>
          <w:rFonts w:ascii="Verdana" w:hAnsi="Verdana"/>
          <w:color w:val="000000"/>
        </w:rPr>
        <w:t>, hemos programado una serie de </w:t>
      </w:r>
      <w:r w:rsidRPr="00ED440C">
        <w:rPr>
          <w:rFonts w:ascii="Verdana" w:hAnsi="Verdana"/>
          <w:b/>
          <w:bCs/>
          <w:color w:val="000000"/>
        </w:rPr>
        <w:t>capacitaciones </w:t>
      </w:r>
      <w:r w:rsidRPr="00ED440C">
        <w:rPr>
          <w:rFonts w:ascii="Verdana" w:hAnsi="Verdana"/>
          <w:color w:val="000000"/>
        </w:rPr>
        <w:t xml:space="preserve">dirigidas a todos los actores involucrados en los procesos de selección. Podrás conocer la programación y realizar tu inscripción a estas capacitaciones a través del </w:t>
      </w:r>
      <w:r w:rsidRPr="00ED440C">
        <w:rPr>
          <w:rFonts w:ascii="Verdana" w:hAnsi="Verdana"/>
          <w:color w:val="000000"/>
        </w:rPr>
        <w:lastRenderedPageBreak/>
        <w:t>siguiente enlace: </w:t>
      </w:r>
      <w:hyperlink r:id="rId14" w:tooltip="Original URL:&#10;https://www.colombiacompra.gov.co/ciudadanos/calendario&#10;&#10;Click to follow link." w:history="1">
        <w:r w:rsidRPr="00ED440C">
          <w:rPr>
            <w:rFonts w:ascii="Verdana" w:hAnsi="Verdana"/>
            <w:color w:val="467886"/>
            <w:u w:val="single"/>
          </w:rPr>
          <w:t>Calendario | Colombia Compra Eficiente | Agencia Nacional de Contratación Pública</w:t>
        </w:r>
      </w:hyperlink>
    </w:p>
    <w:p w14:paraId="5EBCEBE0" w14:textId="77777777" w:rsidR="00B9011B" w:rsidRPr="00ED440C" w:rsidRDefault="00B9011B" w:rsidP="00B9011B">
      <w:pPr>
        <w:spacing w:after="0" w:line="276" w:lineRule="auto"/>
        <w:jc w:val="both"/>
        <w:rPr>
          <w:rFonts w:ascii="Verdana" w:hAnsi="Verdana"/>
          <w:color w:val="212121"/>
        </w:rPr>
      </w:pPr>
    </w:p>
    <w:p w14:paraId="10B1DE26" w14:textId="77777777" w:rsidR="00B9011B" w:rsidRDefault="00B9011B" w:rsidP="00B9011B">
      <w:pPr>
        <w:widowControl w:val="0"/>
        <w:autoSpaceDE w:val="0"/>
        <w:autoSpaceDN w:val="0"/>
        <w:spacing w:after="0" w:line="276" w:lineRule="auto"/>
        <w:jc w:val="both"/>
        <w:rPr>
          <w:rStyle w:val="normaltextrun"/>
          <w:rFonts w:ascii="Verdana" w:hAnsi="Verdana" w:cs="Arial"/>
          <w:color w:val="FF0000"/>
          <w:shd w:val="clear" w:color="auto" w:fill="FFFFFF"/>
          <w:lang w:val="es-ES"/>
        </w:rPr>
      </w:pPr>
      <w:r w:rsidRPr="00ED440C">
        <w:rPr>
          <w:rFonts w:ascii="Verdana" w:hAnsi="Verdana"/>
          <w:color w:val="000000"/>
        </w:rPr>
        <w:t>También, te contamos que ya publicamos </w:t>
      </w:r>
      <w:r w:rsidRPr="00ED440C">
        <w:rPr>
          <w:rFonts w:ascii="Verdana" w:hAnsi="Verdana"/>
          <w:b/>
          <w:bCs/>
          <w:color w:val="000000"/>
        </w:rPr>
        <w:t>la nueva Guía de Contratación Pública Sostenible y Socialmente Responsable</w:t>
      </w:r>
      <w:r w:rsidRPr="00ED440C">
        <w:rPr>
          <w:rFonts w:ascii="Verdana" w:hAnsi="Verdana"/>
          <w:color w:val="000000"/>
        </w:rPr>
        <w:t>. Esta guía es un instrumento clave para integrar buenas prácticas en la contratación estatal, promoviendo los Objetivos de Desarrollo Sostenible (ODS) a través de criterios y obligaciones ambientales y sociales en todas las etapas del proceso. Puede consultar la guía en el siguiente enlace: </w:t>
      </w:r>
      <w:hyperlink r:id="rId15" w:tooltip="Original URL:&#10;https://www.colombiacompra.gov.co/manuales-guias-y-pliegos-tipo/manuales-y-guias/guia-de-contratacion-publica-sostenible-y-socialmente&#10;&#10;Click to follow link." w:history="1">
        <w:r w:rsidRPr="00ED440C">
          <w:rPr>
            <w:rFonts w:ascii="Verdana" w:hAnsi="Verdana"/>
            <w:color w:val="467886"/>
            <w:u w:val="single"/>
          </w:rPr>
          <w:t>Guía de Contratación Pública Sostenible y Socialmente Responsable | Colombia Compra Eficiente | Agencia Nacional de Contratación Pública</w:t>
        </w:r>
      </w:hyperlink>
      <w:r w:rsidRPr="00096788">
        <w:rPr>
          <w:rFonts w:ascii="Verdana" w:hAnsi="Verdana" w:cs="Arial"/>
          <w:color w:val="000000" w:themeColor="text1"/>
          <w:shd w:val="clear" w:color="auto" w:fill="FFFFFF"/>
        </w:rPr>
        <w:t> </w:t>
      </w:r>
      <w:r w:rsidRPr="00277E26">
        <w:rPr>
          <w:rFonts w:ascii="Verdana" w:hAnsi="Verdana" w:cs="Arial"/>
          <w:color w:val="000000" w:themeColor="text1"/>
          <w:shd w:val="clear" w:color="auto" w:fill="FFFFFF"/>
        </w:rPr>
        <w:t xml:space="preserve"> </w:t>
      </w:r>
      <w:r w:rsidRPr="00277E26">
        <w:rPr>
          <w:rStyle w:val="normaltextrun"/>
          <w:rFonts w:ascii="Verdana" w:hAnsi="Verdana" w:cs="Arial"/>
          <w:color w:val="FF0000"/>
          <w:shd w:val="clear" w:color="auto" w:fill="FFFFFF"/>
          <w:lang w:val="es-ES"/>
        </w:rPr>
        <w:t xml:space="preserve">  </w:t>
      </w:r>
    </w:p>
    <w:p w14:paraId="12A40F41" w14:textId="77777777" w:rsidR="00B9011B" w:rsidRPr="00277E26" w:rsidRDefault="00B9011B" w:rsidP="00B9011B">
      <w:pPr>
        <w:widowControl w:val="0"/>
        <w:autoSpaceDE w:val="0"/>
        <w:autoSpaceDN w:val="0"/>
        <w:spacing w:after="0" w:line="276" w:lineRule="auto"/>
        <w:jc w:val="both"/>
        <w:rPr>
          <w:rFonts w:ascii="Verdana" w:hAnsi="Verdana" w:cs="Arial"/>
          <w:color w:val="FF0000"/>
          <w:shd w:val="clear" w:color="auto" w:fill="FFFFFF"/>
          <w:lang w:val="es-MX"/>
        </w:rPr>
      </w:pPr>
      <w:r w:rsidRPr="00277E26">
        <w:rPr>
          <w:rStyle w:val="normaltextrun"/>
          <w:rFonts w:ascii="Verdana" w:hAnsi="Verdana" w:cs="Arial"/>
          <w:color w:val="FF0000"/>
          <w:shd w:val="clear" w:color="auto" w:fill="FFFFFF"/>
          <w:lang w:val="es-ES"/>
        </w:rPr>
        <w:t xml:space="preserve">      </w:t>
      </w:r>
    </w:p>
    <w:p w14:paraId="3AE9F3F9" w14:textId="77777777" w:rsidR="00B9011B" w:rsidRPr="00277E26" w:rsidRDefault="00B9011B" w:rsidP="00B9011B">
      <w:pPr>
        <w:widowControl w:val="0"/>
        <w:autoSpaceDE w:val="0"/>
        <w:autoSpaceDN w:val="0"/>
        <w:spacing w:after="0" w:line="276" w:lineRule="auto"/>
        <w:jc w:val="both"/>
        <w:rPr>
          <w:rFonts w:ascii="Verdana" w:hAnsi="Verdana" w:cs="Arial"/>
          <w:lang w:val="es-ES_tradnl"/>
        </w:rPr>
      </w:pPr>
      <w:r w:rsidRPr="00277E26">
        <w:rPr>
          <w:rFonts w:ascii="Verdana" w:hAnsi="Verdana" w:cs="Arial"/>
        </w:rPr>
        <w:t xml:space="preserve">Este concepto tiene el alcance previsto en el artículo 28 del Código de Procedimiento Administrativo y de lo Contencioso Administrativo </w:t>
      </w:r>
      <w:r w:rsidRPr="00277E26">
        <w:rPr>
          <w:rFonts w:ascii="Verdana" w:hAnsi="Verdana" w:cs="Arial"/>
          <w:lang w:val="es-ES_tradnl"/>
        </w:rPr>
        <w:t>y las expresiones aquí utilizadas con mayúscula inicial deben ser entendidas con el significado que les otorga el artículo 2.2.1.1.1.3.1. del Decreto 1082 de 2015.</w:t>
      </w:r>
    </w:p>
    <w:p w14:paraId="3C417C9C" w14:textId="77777777" w:rsidR="00B9011B" w:rsidRPr="00277E26" w:rsidRDefault="00B9011B" w:rsidP="00B9011B">
      <w:pPr>
        <w:widowControl w:val="0"/>
        <w:autoSpaceDE w:val="0"/>
        <w:autoSpaceDN w:val="0"/>
        <w:spacing w:after="0" w:line="276" w:lineRule="auto"/>
        <w:jc w:val="both"/>
        <w:rPr>
          <w:rFonts w:ascii="Verdana" w:hAnsi="Verdana" w:cs="Arial"/>
        </w:rPr>
      </w:pPr>
    </w:p>
    <w:p w14:paraId="37564EC1" w14:textId="77777777" w:rsidR="00B9011B" w:rsidRPr="00277E26" w:rsidRDefault="00B9011B" w:rsidP="00B9011B">
      <w:pPr>
        <w:spacing w:after="0"/>
        <w:rPr>
          <w:rFonts w:ascii="Verdana" w:hAnsi="Verdana" w:cs="Arial"/>
          <w:lang w:eastAsia="es-CO"/>
        </w:rPr>
      </w:pPr>
      <w:r w:rsidRPr="00277E26">
        <w:rPr>
          <w:rFonts w:ascii="Verdana" w:hAnsi="Verdana" w:cs="Arial"/>
          <w:lang w:eastAsia="es-CO"/>
        </w:rPr>
        <w:t xml:space="preserve">Atentamente, </w:t>
      </w:r>
    </w:p>
    <w:p w14:paraId="0518130A" w14:textId="30C3CB1F" w:rsidR="00B9011B" w:rsidRPr="00593A5F" w:rsidRDefault="0044137A" w:rsidP="00B9011B">
      <w:pPr>
        <w:spacing w:line="276" w:lineRule="auto"/>
        <w:jc w:val="center"/>
        <w:rPr>
          <w:rFonts w:ascii="Verdana" w:hAnsi="Verdana" w:cs="Arial"/>
          <w:color w:val="000000"/>
          <w:lang w:val="es-ES_tradnl" w:eastAsia="es-CO"/>
        </w:rPr>
      </w:pPr>
      <w:r>
        <w:rPr>
          <w:noProof/>
        </w:rPr>
        <w:drawing>
          <wp:inline distT="0" distB="0" distL="0" distR="0" wp14:anchorId="625442B5" wp14:editId="5590052A">
            <wp:extent cx="3771900" cy="1400175"/>
            <wp:effectExtent l="0" t="0" r="0" b="0"/>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a:picLocks noChangeAspect="1"/>
                    </pic:cNvPicPr>
                  </pic:nvPicPr>
                  <pic:blipFill>
                    <a:blip r:embed="rId16"/>
                    <a:stretch>
                      <a:fillRect/>
                    </a:stretch>
                  </pic:blipFill>
                  <pic:spPr>
                    <a:xfrm>
                      <a:off x="0" y="0"/>
                      <a:ext cx="3771900" cy="1400175"/>
                    </a:xfrm>
                    <a:prstGeom prst="rect">
                      <a:avLst/>
                    </a:prstGeom>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B9011B" w:rsidRPr="00593A5F" w14:paraId="3FFE3011" w14:textId="77777777" w:rsidTr="00521D9A">
        <w:trPr>
          <w:trHeight w:val="315"/>
        </w:trPr>
        <w:tc>
          <w:tcPr>
            <w:tcW w:w="893" w:type="dxa"/>
            <w:vAlign w:val="center"/>
            <w:hideMark/>
          </w:tcPr>
          <w:p w14:paraId="079F20B5" w14:textId="77777777" w:rsidR="00B9011B" w:rsidRPr="003751C7" w:rsidRDefault="00B9011B" w:rsidP="00521D9A">
            <w:pPr>
              <w:contextualSpacing/>
              <w:rPr>
                <w:rFonts w:ascii="Verdana" w:hAnsi="Verdana" w:cs="Arial"/>
                <w:sz w:val="16"/>
                <w:szCs w:val="16"/>
                <w:lang w:val="es-ES" w:eastAsia="es-ES"/>
              </w:rPr>
            </w:pPr>
            <w:r w:rsidRPr="003751C7">
              <w:rPr>
                <w:rFonts w:ascii="Verdana" w:hAnsi="Verdana" w:cs="Arial"/>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7EB66A76" w14:textId="77777777" w:rsidR="00B9011B" w:rsidRPr="00254A7A" w:rsidRDefault="00B9011B" w:rsidP="00521D9A">
            <w:pPr>
              <w:contextualSpacing/>
              <w:rPr>
                <w:rStyle w:val="normaltextrun"/>
                <w:rFonts w:ascii="Verdana" w:hAnsi="Verdana"/>
                <w:sz w:val="16"/>
                <w:szCs w:val="16"/>
              </w:rPr>
            </w:pPr>
            <w:r w:rsidRPr="00254A7A">
              <w:rPr>
                <w:rStyle w:val="normaltextrun"/>
                <w:rFonts w:ascii="Verdana" w:hAnsi="Verdana"/>
                <w:sz w:val="16"/>
                <w:szCs w:val="16"/>
              </w:rPr>
              <w:t>Juan David Montoya Penagos</w:t>
            </w:r>
          </w:p>
          <w:p w14:paraId="371F1F3D" w14:textId="77777777" w:rsidR="00B9011B" w:rsidRPr="00254A7A" w:rsidRDefault="00B9011B" w:rsidP="00521D9A">
            <w:pPr>
              <w:contextualSpacing/>
              <w:rPr>
                <w:rFonts w:ascii="Verdana" w:eastAsia="Arial" w:hAnsi="Verdana" w:cs="Arial"/>
                <w:sz w:val="16"/>
                <w:szCs w:val="16"/>
              </w:rPr>
            </w:pPr>
            <w:r w:rsidRPr="00254A7A">
              <w:rPr>
                <w:rStyle w:val="normaltextrun"/>
                <w:rFonts w:ascii="Verdana" w:hAnsi="Verdana"/>
                <w:sz w:val="16"/>
                <w:szCs w:val="16"/>
              </w:rPr>
              <w:t>Contratista de la Subdirección de Gestión Contractual</w:t>
            </w:r>
          </w:p>
        </w:tc>
      </w:tr>
      <w:tr w:rsidR="00B9011B" w:rsidRPr="00593A5F" w14:paraId="71103E4D" w14:textId="77777777" w:rsidTr="00521D9A">
        <w:trPr>
          <w:trHeight w:val="330"/>
        </w:trPr>
        <w:tc>
          <w:tcPr>
            <w:tcW w:w="893" w:type="dxa"/>
            <w:vAlign w:val="center"/>
            <w:hideMark/>
          </w:tcPr>
          <w:p w14:paraId="1586CBE7" w14:textId="77777777" w:rsidR="00B9011B" w:rsidRPr="003751C7" w:rsidRDefault="00B9011B" w:rsidP="00521D9A">
            <w:pPr>
              <w:contextualSpacing/>
              <w:rPr>
                <w:rFonts w:ascii="Verdana" w:hAnsi="Verdana" w:cs="Arial"/>
                <w:sz w:val="16"/>
                <w:szCs w:val="16"/>
                <w:lang w:val="es-ES" w:eastAsia="es-ES"/>
              </w:rPr>
            </w:pPr>
            <w:r w:rsidRPr="003751C7">
              <w:rPr>
                <w:rFonts w:ascii="Verdana" w:hAnsi="Verdana" w:cs="Arial"/>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6F491A95" w14:textId="77777777" w:rsidR="00B9011B" w:rsidRPr="00BF1049" w:rsidRDefault="00B9011B" w:rsidP="00521D9A">
            <w:pPr>
              <w:pStyle w:val="paragraph"/>
              <w:contextualSpacing/>
              <w:textAlignment w:val="baseline"/>
              <w:rPr>
                <w:rStyle w:val="normaltextrun"/>
                <w:rFonts w:ascii="Verdana" w:hAnsi="Verdana" w:cs="Arial"/>
                <w:sz w:val="16"/>
                <w:szCs w:val="16"/>
                <w:lang w:val="es-ES"/>
              </w:rPr>
            </w:pPr>
            <w:r w:rsidRPr="00BF1049">
              <w:rPr>
                <w:rStyle w:val="normaltextrun"/>
                <w:rFonts w:ascii="Verdana" w:hAnsi="Verdana" w:cs="Arial"/>
                <w:sz w:val="16"/>
                <w:szCs w:val="16"/>
                <w:lang w:val="es-ES"/>
              </w:rPr>
              <w:t>Alejandro Sarmiento Cantillo</w:t>
            </w:r>
          </w:p>
          <w:p w14:paraId="628DB2C6" w14:textId="77777777" w:rsidR="00B9011B" w:rsidRPr="00254A7A" w:rsidRDefault="00B9011B" w:rsidP="00521D9A">
            <w:pPr>
              <w:pStyle w:val="paragraph"/>
              <w:spacing w:before="0" w:beforeAutospacing="0" w:after="0" w:afterAutospacing="0"/>
              <w:contextualSpacing/>
              <w:textAlignment w:val="baseline"/>
              <w:rPr>
                <w:rFonts w:ascii="Verdana" w:hAnsi="Verdana" w:cs="Segoe UI"/>
                <w:sz w:val="16"/>
                <w:szCs w:val="16"/>
              </w:rPr>
            </w:pPr>
            <w:r w:rsidRPr="00BF1049">
              <w:rPr>
                <w:rStyle w:val="normaltextrun"/>
                <w:rFonts w:ascii="Verdana" w:hAnsi="Verdana" w:cs="Arial"/>
                <w:sz w:val="16"/>
                <w:szCs w:val="16"/>
                <w:lang w:val="es-ES"/>
              </w:rPr>
              <w:t>Gestor T1 ‒ 15 de la Subdirección de Gestión Contractual</w:t>
            </w:r>
          </w:p>
        </w:tc>
      </w:tr>
      <w:tr w:rsidR="00B9011B" w:rsidRPr="00593A5F" w14:paraId="4AC6C71D" w14:textId="77777777" w:rsidTr="00521D9A">
        <w:trPr>
          <w:trHeight w:val="300"/>
        </w:trPr>
        <w:tc>
          <w:tcPr>
            <w:tcW w:w="893" w:type="dxa"/>
            <w:vAlign w:val="center"/>
          </w:tcPr>
          <w:p w14:paraId="17331127" w14:textId="77777777" w:rsidR="00B9011B" w:rsidRPr="003751C7" w:rsidRDefault="00B9011B" w:rsidP="00521D9A">
            <w:pPr>
              <w:contextualSpacing/>
              <w:rPr>
                <w:rFonts w:ascii="Verdana" w:hAnsi="Verdana" w:cs="Arial"/>
                <w:sz w:val="16"/>
                <w:szCs w:val="16"/>
                <w:lang w:val="es-ES" w:eastAsia="es-ES"/>
              </w:rPr>
            </w:pPr>
            <w:r w:rsidRPr="003751C7">
              <w:rPr>
                <w:rFonts w:ascii="Verdana" w:hAnsi="Verdana" w:cs="Arial"/>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1D25BE57" w14:textId="77777777" w:rsidR="00B9011B" w:rsidRPr="003751C7" w:rsidRDefault="00B9011B" w:rsidP="00521D9A">
            <w:pPr>
              <w:contextualSpacing/>
              <w:rPr>
                <w:rFonts w:ascii="Verdana" w:eastAsia="Calibri" w:hAnsi="Verdana" w:cs="Arial"/>
                <w:sz w:val="16"/>
                <w:szCs w:val="16"/>
                <w:lang w:val="pt-BR" w:eastAsia="es-ES"/>
              </w:rPr>
            </w:pPr>
            <w:r w:rsidRPr="003751C7">
              <w:rPr>
                <w:rFonts w:ascii="Verdana" w:eastAsia="Calibri" w:hAnsi="Verdana" w:cs="Arial"/>
                <w:sz w:val="16"/>
                <w:szCs w:val="16"/>
                <w:lang w:val="pt-BR" w:eastAsia="es-ES"/>
              </w:rPr>
              <w:t xml:space="preserve">Carolina Quintero </w:t>
            </w:r>
            <w:proofErr w:type="spellStart"/>
            <w:r w:rsidRPr="003751C7">
              <w:rPr>
                <w:rFonts w:ascii="Verdana" w:eastAsia="Calibri" w:hAnsi="Verdana" w:cs="Arial"/>
                <w:sz w:val="16"/>
                <w:szCs w:val="16"/>
                <w:lang w:val="pt-BR" w:eastAsia="es-ES"/>
              </w:rPr>
              <w:t>Gacharná</w:t>
            </w:r>
            <w:proofErr w:type="spellEnd"/>
          </w:p>
          <w:p w14:paraId="4C03D9C9" w14:textId="77777777" w:rsidR="00B9011B" w:rsidRPr="003751C7" w:rsidRDefault="00B9011B" w:rsidP="00521D9A">
            <w:pPr>
              <w:contextualSpacing/>
              <w:rPr>
                <w:rFonts w:ascii="Verdana" w:eastAsia="Calibri" w:hAnsi="Verdana" w:cs="Arial"/>
                <w:sz w:val="16"/>
                <w:szCs w:val="16"/>
                <w:lang w:val="pt-BR" w:eastAsia="es-ES"/>
              </w:rPr>
            </w:pPr>
            <w:r w:rsidRPr="003751C7">
              <w:rPr>
                <w:rFonts w:ascii="Verdana" w:eastAsia="Calibri" w:hAnsi="Verdana" w:cs="Arial"/>
                <w:sz w:val="16"/>
                <w:szCs w:val="16"/>
                <w:lang w:eastAsia="es-ES"/>
              </w:rPr>
              <w:t>Subdirectora</w:t>
            </w:r>
            <w:r w:rsidRPr="003751C7">
              <w:rPr>
                <w:rFonts w:ascii="Verdana" w:eastAsia="Calibri" w:hAnsi="Verdana" w:cs="Arial"/>
                <w:sz w:val="16"/>
                <w:szCs w:val="16"/>
                <w:lang w:val="pt-BR" w:eastAsia="es-ES"/>
              </w:rPr>
              <w:t xml:space="preserve"> de Gestión </w:t>
            </w:r>
            <w:proofErr w:type="spellStart"/>
            <w:r w:rsidRPr="003751C7">
              <w:rPr>
                <w:rFonts w:ascii="Verdana" w:eastAsia="Calibri" w:hAnsi="Verdana" w:cs="Arial"/>
                <w:sz w:val="16"/>
                <w:szCs w:val="16"/>
                <w:lang w:val="pt-BR" w:eastAsia="es-ES"/>
              </w:rPr>
              <w:t>Contractual</w:t>
            </w:r>
            <w:proofErr w:type="spellEnd"/>
            <w:r w:rsidRPr="003751C7">
              <w:rPr>
                <w:rFonts w:ascii="Verdana" w:eastAsia="Calibri" w:hAnsi="Verdana" w:cs="Arial"/>
                <w:sz w:val="16"/>
                <w:szCs w:val="16"/>
                <w:lang w:val="pt-BR" w:eastAsia="es-ES"/>
              </w:rPr>
              <w:t xml:space="preserve"> ANCP – CCE</w:t>
            </w:r>
          </w:p>
        </w:tc>
      </w:tr>
    </w:tbl>
    <w:p w14:paraId="46D18E3C" w14:textId="77777777" w:rsidR="00B9011B" w:rsidRPr="00593A5F" w:rsidRDefault="00B9011B" w:rsidP="00B9011B">
      <w:pPr>
        <w:rPr>
          <w:rFonts w:ascii="Verdana" w:hAnsi="Verdana" w:cs="Arial"/>
          <w:lang w:eastAsia="es-ES"/>
        </w:rPr>
      </w:pPr>
    </w:p>
    <w:p w14:paraId="704A6072" w14:textId="77777777" w:rsidR="00B9011B" w:rsidRPr="00593A5F" w:rsidRDefault="00B9011B" w:rsidP="00B9011B">
      <w:pPr>
        <w:rPr>
          <w:rFonts w:ascii="Verdana" w:hAnsi="Verdana" w:cs="Arial"/>
          <w:lang w:eastAsia="es-ES"/>
        </w:rPr>
      </w:pPr>
    </w:p>
    <w:p w14:paraId="3900974D" w14:textId="77777777" w:rsidR="003D5B0D" w:rsidRPr="0077766B" w:rsidRDefault="003D5B0D" w:rsidP="0077766B"/>
    <w:sectPr w:rsidR="003D5B0D" w:rsidRPr="0077766B" w:rsidSect="007C0C0F">
      <w:headerReference w:type="default" r:id="rId17"/>
      <w:footerReference w:type="default" r:id="rId18"/>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46CC78" w14:textId="77777777" w:rsidR="00F007C8" w:rsidRDefault="00F007C8" w:rsidP="004A1847">
      <w:pPr>
        <w:spacing w:after="0" w:line="240" w:lineRule="auto"/>
      </w:pPr>
      <w:r>
        <w:separator/>
      </w:r>
    </w:p>
  </w:endnote>
  <w:endnote w:type="continuationSeparator" w:id="0">
    <w:p w14:paraId="306C402A" w14:textId="77777777" w:rsidR="00F007C8" w:rsidRDefault="00F007C8"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Geomanist Light">
    <w:altName w:val="Calibri"/>
    <w:panose1 w:val="020B0604020202020204"/>
    <w:charset w:val="00"/>
    <w:family w:val="modern"/>
    <w:notTrueType/>
    <w:pitch w:val="variable"/>
    <w:sig w:usb0="A000002F" w:usb1="1000004A" w:usb2="00000000" w:usb3="00000000" w:csb0="00000193" w:csb1="00000000"/>
  </w:font>
  <w:font w:name="Geomanist">
    <w:altName w:val="Calibri"/>
    <w:panose1 w:val="020B0604020202020204"/>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10006FF" w:usb1="4000205B" w:usb2="00000010" w:usb3="00000000" w:csb0="0000019F" w:csb1="00000000"/>
  </w:font>
  <w:font w:name="Arial MT">
    <w:altName w:val="Arial"/>
    <w:panose1 w:val="020B0604020202020204"/>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20B0604020202020204"/>
    <w:charset w:val="00"/>
    <w:family w:val="modern"/>
    <w:notTrueType/>
    <w:pitch w:val="variable"/>
    <w:sig w:usb0="A000002F" w:usb1="1000004A" w:usb2="00000000" w:usb3="00000000" w:csb0="00000193" w:csb1="00000000"/>
  </w:font>
  <w:font w:name="Geo">
    <w:altName w:val="Calibri"/>
    <w:panose1 w:val="020B0604020202020204"/>
    <w:charset w:val="00"/>
    <w:family w:val="auto"/>
    <w:pitch w:val="variable"/>
    <w:sig w:usb0="8000002F" w:usb1="40000048" w:usb2="00000000" w:usb3="00000000" w:csb0="00000001" w:csb1="00000000"/>
  </w:font>
  <w:font w:name="Arial Nova">
    <w:panose1 w:val="020B0504020202020204"/>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680AD4" w14:textId="77777777" w:rsidR="00F007C8" w:rsidRDefault="00F007C8" w:rsidP="004A1847">
      <w:pPr>
        <w:spacing w:after="0" w:line="240" w:lineRule="auto"/>
      </w:pPr>
      <w:r>
        <w:separator/>
      </w:r>
    </w:p>
  </w:footnote>
  <w:footnote w:type="continuationSeparator" w:id="0">
    <w:p w14:paraId="289EA920" w14:textId="77777777" w:rsidR="00F007C8" w:rsidRDefault="00F007C8" w:rsidP="004A1847">
      <w:pPr>
        <w:spacing w:after="0" w:line="240" w:lineRule="auto"/>
      </w:pPr>
      <w:r>
        <w:continuationSeparator/>
      </w:r>
    </w:p>
  </w:footnote>
  <w:footnote w:id="1">
    <w:p w14:paraId="6A2A942B" w14:textId="77777777" w:rsidR="00B9011B" w:rsidRPr="00211300" w:rsidRDefault="00B9011B" w:rsidP="00B9011B">
      <w:pPr>
        <w:pStyle w:val="Textonotapie"/>
        <w:ind w:firstLine="708"/>
        <w:jc w:val="both"/>
        <w:rPr>
          <w:rFonts w:ascii="Verdana" w:hAnsi="Verdana"/>
          <w:sz w:val="16"/>
          <w:szCs w:val="16"/>
        </w:rPr>
      </w:pPr>
      <w:r w:rsidRPr="00211300">
        <w:rPr>
          <w:rStyle w:val="Refdenotaalpie"/>
          <w:rFonts w:ascii="Verdana" w:hAnsi="Verdana"/>
          <w:sz w:val="16"/>
          <w:szCs w:val="16"/>
        </w:rPr>
        <w:footnoteRef/>
      </w:r>
      <w:r w:rsidRPr="00211300">
        <w:rPr>
          <w:rFonts w:ascii="Verdana" w:hAnsi="Verdana"/>
          <w:sz w:val="16"/>
          <w:szCs w:val="16"/>
        </w:rPr>
        <w:t xml:space="preserve"> En lo pertinente, la norma prescribe que “Los órganos que son una sección en el Presupuesto General de la Nación, tendrán la capacidad de contratar y comprometer a nombre de la persona jurídica de la cual hagan parte, y ordenar el gasto en desarrollo de las apropiaciones incorporadas en la respectiva sección, lo que constituye la autonomía presupuestal a que se refieren la Constitución Política y la ley. Estas facultades estarán en cabeza del jefe de cada órgano quien podrá delegarlas en funcionarios del nivel directivo, o quien haga sus veces, y serán ejercidas teniendo en cuenta las normas consagradas en el Estatuto General de Contratación de la Administración Pública y en las disposiciones legales vigentes.</w:t>
      </w:r>
    </w:p>
    <w:p w14:paraId="7E8334B2" w14:textId="77777777" w:rsidR="00B9011B" w:rsidRPr="00211300" w:rsidRDefault="00B9011B" w:rsidP="00B9011B">
      <w:pPr>
        <w:pStyle w:val="Textonotapie"/>
        <w:ind w:firstLine="708"/>
        <w:jc w:val="both"/>
        <w:rPr>
          <w:rFonts w:ascii="Verdana" w:hAnsi="Verdana"/>
          <w:sz w:val="16"/>
          <w:szCs w:val="16"/>
        </w:rPr>
      </w:pPr>
      <w:r w:rsidRPr="00211300">
        <w:rPr>
          <w:rFonts w:ascii="Verdana" w:hAnsi="Verdana"/>
          <w:sz w:val="16"/>
          <w:szCs w:val="16"/>
        </w:rPr>
        <w:t>[…]</w:t>
      </w:r>
    </w:p>
    <w:p w14:paraId="0A899345" w14:textId="77777777" w:rsidR="00B9011B" w:rsidRPr="00211300" w:rsidRDefault="00B9011B" w:rsidP="00B9011B">
      <w:pPr>
        <w:pStyle w:val="Textonotapie"/>
        <w:ind w:firstLine="708"/>
        <w:jc w:val="both"/>
        <w:rPr>
          <w:rFonts w:ascii="Verdana" w:hAnsi="Verdana"/>
          <w:sz w:val="16"/>
          <w:szCs w:val="16"/>
        </w:rPr>
      </w:pPr>
      <w:r w:rsidRPr="00211300">
        <w:rPr>
          <w:rFonts w:ascii="Verdana" w:hAnsi="Verdana"/>
          <w:sz w:val="16"/>
          <w:szCs w:val="16"/>
        </w:rPr>
        <w:t>En los mismos términos y condiciones tendrán estas capacidades las Superintendencias, Unidades Administrativas Especiales, las Entidades Territoriales, Asambleas y Concejos, las Contralorías y Personerías Territoriales y todos los demás órganos estatales de cualquier nivel que tengan personería jurídica.</w:t>
      </w:r>
    </w:p>
    <w:p w14:paraId="5AE36241" w14:textId="77777777" w:rsidR="00B9011B" w:rsidRPr="00211300" w:rsidRDefault="00B9011B" w:rsidP="00B9011B">
      <w:pPr>
        <w:pStyle w:val="Textonotapie"/>
        <w:ind w:firstLine="708"/>
        <w:jc w:val="both"/>
        <w:rPr>
          <w:rFonts w:ascii="Verdana" w:hAnsi="Verdana"/>
          <w:sz w:val="16"/>
          <w:szCs w:val="16"/>
        </w:rPr>
      </w:pPr>
      <w:r w:rsidRPr="00211300">
        <w:rPr>
          <w:rFonts w:ascii="Verdana" w:hAnsi="Verdana"/>
          <w:sz w:val="16"/>
          <w:szCs w:val="16"/>
        </w:rPr>
        <w:t>En todo caso, el Presidente de la República podrá celebrar contratos a nombre de la Nación”.</w:t>
      </w:r>
    </w:p>
  </w:footnote>
  <w:footnote w:id="2">
    <w:p w14:paraId="603D4D8C" w14:textId="77777777" w:rsidR="00B9011B" w:rsidRPr="00211300" w:rsidRDefault="00B9011B" w:rsidP="00B9011B">
      <w:pPr>
        <w:pStyle w:val="Textonotapie"/>
        <w:ind w:firstLine="708"/>
        <w:jc w:val="both"/>
        <w:rPr>
          <w:rFonts w:ascii="Verdana" w:hAnsi="Verdana" w:cs="Arial"/>
          <w:sz w:val="16"/>
          <w:szCs w:val="16"/>
        </w:rPr>
      </w:pPr>
      <w:r w:rsidRPr="00211300">
        <w:rPr>
          <w:rStyle w:val="Refdenotaalpie"/>
          <w:rFonts w:ascii="Verdana" w:hAnsi="Verdana" w:cs="Arial"/>
          <w:sz w:val="16"/>
          <w:szCs w:val="16"/>
        </w:rPr>
        <w:footnoteRef/>
      </w:r>
      <w:r w:rsidRPr="00211300">
        <w:rPr>
          <w:rFonts w:ascii="Verdana" w:hAnsi="Verdana" w:cs="Arial"/>
          <w:sz w:val="16"/>
          <w:szCs w:val="16"/>
        </w:rPr>
        <w:t xml:space="preserve"> JOJOA BOLAÑOS, Alexander. Los regímenes exceptuados en los contratos estatales. Bogotá: Grupo Editorial Ibáñez, 2012. p. 89.</w:t>
      </w:r>
    </w:p>
  </w:footnote>
  <w:footnote w:id="3">
    <w:p w14:paraId="2AD4F051" w14:textId="77777777" w:rsidR="00B9011B" w:rsidRPr="00211300" w:rsidRDefault="00B9011B" w:rsidP="00B9011B">
      <w:pPr>
        <w:pStyle w:val="Textonotapie"/>
        <w:ind w:firstLine="708"/>
        <w:jc w:val="both"/>
        <w:rPr>
          <w:rFonts w:ascii="Verdana" w:hAnsi="Verdana" w:cs="Arial"/>
          <w:sz w:val="16"/>
          <w:szCs w:val="16"/>
        </w:rPr>
      </w:pPr>
      <w:r w:rsidRPr="00211300">
        <w:rPr>
          <w:rStyle w:val="Refdenotaalpie"/>
          <w:rFonts w:ascii="Verdana" w:hAnsi="Verdana" w:cs="Arial"/>
          <w:sz w:val="16"/>
          <w:szCs w:val="16"/>
        </w:rPr>
        <w:footnoteRef/>
      </w:r>
      <w:r w:rsidRPr="00211300">
        <w:rPr>
          <w:rFonts w:ascii="Verdana" w:hAnsi="Verdana" w:cs="Arial"/>
          <w:sz w:val="16"/>
          <w:szCs w:val="16"/>
        </w:rPr>
        <w:t xml:space="preserve"> BARRETO MORENO, Antonio Alejandro. El derecho de la compra pública: estudio jurídico de un mercado imperfecto. Bogotá: Legis, 2019. pp. 281 y ss.</w:t>
      </w:r>
    </w:p>
  </w:footnote>
  <w:footnote w:id="4">
    <w:p w14:paraId="461421F3" w14:textId="77777777" w:rsidR="00B9011B" w:rsidRPr="00211300" w:rsidRDefault="00B9011B" w:rsidP="00B9011B">
      <w:pPr>
        <w:pStyle w:val="Textonotapie"/>
        <w:ind w:right="108" w:firstLine="709"/>
        <w:jc w:val="both"/>
        <w:rPr>
          <w:rFonts w:ascii="Verdana" w:hAnsi="Verdana" w:cs="Arial"/>
          <w:sz w:val="16"/>
          <w:szCs w:val="16"/>
        </w:rPr>
      </w:pPr>
      <w:r w:rsidRPr="00211300">
        <w:rPr>
          <w:rStyle w:val="Refdenotaalpie"/>
          <w:rFonts w:ascii="Verdana" w:hAnsi="Verdana" w:cs="Arial"/>
          <w:sz w:val="16"/>
          <w:szCs w:val="16"/>
        </w:rPr>
        <w:footnoteRef/>
      </w:r>
      <w:r w:rsidRPr="00211300">
        <w:rPr>
          <w:rFonts w:ascii="Verdana" w:hAnsi="Verdana" w:cs="Arial"/>
          <w:sz w:val="16"/>
          <w:szCs w:val="16"/>
        </w:rPr>
        <w:t xml:space="preserve"> Consejo de Estado. Sección Tercera. Sentencia del 4 de abril de 2002, C.P. Alier E. Hernández Enríquez, Rad. 1999-0290-01 (17.244).</w:t>
      </w:r>
    </w:p>
  </w:footnote>
  <w:footnote w:id="5">
    <w:p w14:paraId="0D674EE8" w14:textId="77777777" w:rsidR="00B9011B" w:rsidRPr="00211300" w:rsidRDefault="00B9011B" w:rsidP="00B9011B">
      <w:pPr>
        <w:spacing w:line="242" w:lineRule="auto"/>
        <w:ind w:right="108" w:firstLine="709"/>
        <w:jc w:val="both"/>
        <w:rPr>
          <w:rFonts w:ascii="Verdana" w:hAnsi="Verdana" w:cs="Arial"/>
          <w:sz w:val="16"/>
          <w:szCs w:val="16"/>
        </w:rPr>
      </w:pPr>
      <w:r w:rsidRPr="00211300">
        <w:rPr>
          <w:rStyle w:val="Refdenotaalpie"/>
          <w:rFonts w:ascii="Verdana" w:hAnsi="Verdana" w:cs="Arial"/>
          <w:sz w:val="16"/>
          <w:szCs w:val="16"/>
        </w:rPr>
        <w:footnoteRef/>
      </w:r>
      <w:r w:rsidRPr="00211300">
        <w:rPr>
          <w:rFonts w:ascii="Verdana" w:hAnsi="Verdana" w:cs="Arial"/>
          <w:sz w:val="16"/>
          <w:szCs w:val="16"/>
        </w:rPr>
        <w:t xml:space="preserve"> Consejo de Estado. Sección Tercera, auto del 30 de enero de 2008, Rad. 32.867, M.P. Mauricio Fajardo Gómez: “A partir de la vigencia de la Ley 80, expedida en el año de 1993, el ordenamiento positivo adoptó la categoría del contrato estatal, el cual -al margen de los reparos que amerita la definición contenida en la parte inicial de su artículo 32-, se encuentra legalmente definido como aquel acto jurídico creador de obligaciones a cuya celebración concurra una de las entidades estatales que menciona el artículo 2º ibídem, independientemente de que se trate de contratos previstos o tipificados en el derecho privado, en disposiciones especiales o que sencillamente resulten del ejercicio de la autonomía de la voluntad como suele suceder con los que se clasifican como atípicos e innominados (artículo 32, Ley 80). Así pues, la Ley 80 adoptó un criterio eminentemente subjetivo u orgánico, esto es en atención a la naturaleza de los sujetos u órganos que intervienen en la formación del vínculo contractual, para efectos de determinar que los contratos podrán catalogarse como estatales únicamente en cuanto en uno de sus extremos, al menos, se encuentre una entidad</w:t>
      </w:r>
      <w:r w:rsidRPr="00211300">
        <w:rPr>
          <w:rFonts w:ascii="Verdana" w:hAnsi="Verdana" w:cs="Arial"/>
          <w:spacing w:val="-2"/>
          <w:sz w:val="16"/>
          <w:szCs w:val="16"/>
        </w:rPr>
        <w:t xml:space="preserve"> </w:t>
      </w:r>
      <w:r w:rsidRPr="00211300">
        <w:rPr>
          <w:rFonts w:ascii="Verdana" w:hAnsi="Verdana" w:cs="Arial"/>
          <w:sz w:val="16"/>
          <w:szCs w:val="16"/>
        </w:rPr>
        <w:t xml:space="preserve">estatal”. </w:t>
      </w:r>
    </w:p>
  </w:footnote>
  <w:footnote w:id="6">
    <w:p w14:paraId="4F4AD5C6" w14:textId="77777777" w:rsidR="00B9011B" w:rsidRPr="00211300" w:rsidRDefault="00B9011B" w:rsidP="00B9011B">
      <w:pPr>
        <w:pStyle w:val="Textonotapie"/>
        <w:ind w:firstLine="708"/>
        <w:jc w:val="both"/>
        <w:rPr>
          <w:rFonts w:ascii="Verdana" w:hAnsi="Verdana"/>
          <w:sz w:val="16"/>
          <w:szCs w:val="16"/>
          <w:lang w:val="es-CO"/>
        </w:rPr>
      </w:pPr>
      <w:r w:rsidRPr="00211300">
        <w:rPr>
          <w:rStyle w:val="Refdenotaalpie"/>
          <w:rFonts w:ascii="Verdana" w:hAnsi="Verdana"/>
          <w:sz w:val="16"/>
          <w:szCs w:val="16"/>
        </w:rPr>
        <w:footnoteRef/>
      </w:r>
      <w:r w:rsidRPr="00211300">
        <w:rPr>
          <w:rFonts w:ascii="Verdana" w:hAnsi="Verdana"/>
          <w:sz w:val="16"/>
          <w:szCs w:val="16"/>
        </w:rPr>
        <w:t xml:space="preserve"> </w:t>
      </w:r>
      <w:r w:rsidRPr="00211300">
        <w:rPr>
          <w:rFonts w:ascii="Verdana" w:hAnsi="Verdana" w:cs="Arial"/>
          <w:sz w:val="16"/>
          <w:szCs w:val="16"/>
          <w:lang w:val="es-ES"/>
        </w:rPr>
        <w:t xml:space="preserve">Por ello, “[…] </w:t>
      </w:r>
      <w:r w:rsidRPr="00211300">
        <w:rPr>
          <w:rFonts w:ascii="Verdana" w:hAnsi="Verdana" w:cs="Arial"/>
          <w:sz w:val="16"/>
          <w:szCs w:val="16"/>
        </w:rPr>
        <w:t xml:space="preserve">la clasificación de estatal, respecto de un determinado contrato, no determina, </w:t>
      </w:r>
      <w:r w:rsidRPr="00211300">
        <w:rPr>
          <w:rFonts w:ascii="Verdana" w:hAnsi="Verdana" w:cs="Arial"/>
          <w:i/>
          <w:iCs/>
          <w:sz w:val="16"/>
          <w:szCs w:val="16"/>
        </w:rPr>
        <w:t>per se</w:t>
      </w:r>
      <w:r w:rsidRPr="00211300">
        <w:rPr>
          <w:rFonts w:ascii="Verdana" w:hAnsi="Verdana" w:cs="Arial"/>
          <w:sz w:val="16"/>
          <w:szCs w:val="16"/>
        </w:rPr>
        <w:t>, el régimen legal que deba aplicársele al mismo, puesto que resulta perfectamente posible, incluso en relación con contratos estatales propiamente dichos, que las normas sustanciales a la cuales deba someterse la relación contractual sean aquellas que formen parte del denominado derecho privado, sin que por ello pierda su condición de estatal, así como también puede resultar -como ocurre con la generalidad de los casos-, que el régimen jurídico correspondiente sea mixto, esto es integrado tanto por normas de derecho público como de derecho privado” (</w:t>
      </w:r>
      <w:r w:rsidRPr="00211300">
        <w:rPr>
          <w:rFonts w:ascii="Verdana" w:hAnsi="Verdana" w:cs="Arial"/>
          <w:i/>
          <w:iCs/>
          <w:sz w:val="16"/>
          <w:szCs w:val="16"/>
        </w:rPr>
        <w:t>Ibidem</w:t>
      </w:r>
      <w:r w:rsidRPr="00211300">
        <w:rPr>
          <w:rFonts w:ascii="Verdana" w:hAnsi="Verdana" w:cs="Arial"/>
          <w:sz w:val="16"/>
          <w:szCs w:val="16"/>
        </w:rPr>
        <w:t>).</w:t>
      </w:r>
    </w:p>
  </w:footnote>
  <w:footnote w:id="7">
    <w:p w14:paraId="04F7EF51" w14:textId="77777777" w:rsidR="00B9011B" w:rsidRPr="00211300" w:rsidRDefault="00B9011B" w:rsidP="00B9011B">
      <w:pPr>
        <w:pStyle w:val="Textonotapie"/>
        <w:ind w:firstLine="708"/>
        <w:jc w:val="both"/>
        <w:rPr>
          <w:rFonts w:ascii="Verdana" w:hAnsi="Verdana" w:cs="Arial"/>
          <w:sz w:val="16"/>
          <w:szCs w:val="16"/>
        </w:rPr>
      </w:pPr>
      <w:r w:rsidRPr="00211300">
        <w:rPr>
          <w:rStyle w:val="Refdenotaalpie"/>
          <w:rFonts w:ascii="Verdana" w:hAnsi="Verdana" w:cs="Arial"/>
          <w:sz w:val="16"/>
          <w:szCs w:val="16"/>
        </w:rPr>
        <w:footnoteRef/>
      </w:r>
      <w:r w:rsidRPr="00211300">
        <w:rPr>
          <w:rFonts w:ascii="Verdana" w:hAnsi="Verdana" w:cs="Arial"/>
          <w:sz w:val="16"/>
          <w:szCs w:val="16"/>
        </w:rPr>
        <w:t xml:space="preserve"> El inciso primero de norma disponía que, conforme al principio de transparencia, “</w:t>
      </w:r>
      <w:r w:rsidRPr="00211300">
        <w:rPr>
          <w:rFonts w:ascii="Verdana" w:hAnsi="Verdana" w:cs="Arial"/>
          <w:i/>
          <w:iCs/>
          <w:sz w:val="16"/>
          <w:szCs w:val="16"/>
        </w:rPr>
        <w:t>La escogencia del contratista se efectuará siempre a través de licitación o concurso públicos</w:t>
      </w:r>
      <w:r w:rsidRPr="00211300">
        <w:rPr>
          <w:rFonts w:ascii="Verdana" w:hAnsi="Verdana" w:cs="Arial"/>
          <w:sz w:val="16"/>
          <w:szCs w:val="16"/>
        </w:rPr>
        <w:t>, salvo en los siguientes casos en los que se podrá contratar directamente” (Énfasis fuera de texto). La expresión en cursiva fue declarada exequible por la Corte Constitucional mediante la Sentencia C-400 de 1999, con ponencia del Magistrado Vladimiro Naranjo Mesa, y derogado integralmente por el artículo 32 de la Ley 1150 de 2007.</w:t>
      </w:r>
    </w:p>
  </w:footnote>
  <w:footnote w:id="8">
    <w:p w14:paraId="36A4967F" w14:textId="77777777" w:rsidR="00B9011B" w:rsidRPr="00211300" w:rsidRDefault="00B9011B" w:rsidP="00B9011B">
      <w:pPr>
        <w:pStyle w:val="Textonotapie"/>
        <w:ind w:firstLine="708"/>
        <w:jc w:val="both"/>
        <w:rPr>
          <w:rFonts w:ascii="Verdana" w:hAnsi="Verdana" w:cs="Arial"/>
          <w:sz w:val="16"/>
          <w:szCs w:val="16"/>
        </w:rPr>
      </w:pPr>
      <w:r w:rsidRPr="00211300">
        <w:rPr>
          <w:rStyle w:val="Refdenotaalpie"/>
          <w:rFonts w:ascii="Verdana" w:hAnsi="Verdana" w:cs="Arial"/>
          <w:sz w:val="16"/>
          <w:szCs w:val="16"/>
        </w:rPr>
        <w:footnoteRef/>
      </w:r>
      <w:r w:rsidRPr="00211300">
        <w:rPr>
          <w:rFonts w:ascii="Verdana" w:hAnsi="Verdana" w:cs="Arial"/>
          <w:sz w:val="16"/>
          <w:szCs w:val="16"/>
        </w:rPr>
        <w:t xml:space="preserve"> Sobre la articulación de los diferentes procesos de selección previstos en el artículo 2 de la Ley 1150 de 2007, DÁVILA VINUEZA considera lo siguiente: “En las leyes 80 de 1993 y 1150 de 2007 los demás procedimientos de selección distintos a la licitación pública, se convierten en procedimientos excepcionales y procedentes únicamente en los casos taxativamente contemplados en la ley. Pero la excepción no es respecto de los principios de transparencia, economía y responsabilidad y del deber de selección objetiva como parece lo han entendido algunas entidades estales. Estos principios que […] desarrollan los rectores de la función pública de orden constitucional y legal (art. 209 C.N., y art. 3° Cpaca) son aplicables con todo rigor a los procedimientos de excepción. Siendo ello así, la excepción de que se habla es respecto del proceso licitatorio regulado en el artículo 30 de la Ley 80 de 1993 con las variantes introducidas por el artículo 2°, numeral 1, de la ley 1150 de 2007, en concordancia con el artículo 2.2.1.2.1.1.1 del Decreto 1082 de 2015 (</w:t>
      </w:r>
      <w:r w:rsidRPr="00211300">
        <w:rPr>
          <w:rFonts w:ascii="Verdana" w:hAnsi="Verdana" w:cs="Arial"/>
          <w:i/>
          <w:iCs/>
          <w:sz w:val="16"/>
          <w:szCs w:val="16"/>
        </w:rPr>
        <w:t>Presentación de la oferta de manera dinámica</w:t>
      </w:r>
      <w:r w:rsidRPr="00211300">
        <w:rPr>
          <w:rFonts w:ascii="Verdana" w:hAnsi="Verdana" w:cs="Arial"/>
          <w:sz w:val="16"/>
          <w:szCs w:val="16"/>
        </w:rPr>
        <w:t xml:space="preserve">). Es decir, que ante la ausencia de una causal concreta para un determinado evento específico, la selección debe asumir la que el ordenamiento jurídico regula como licitación pública. Por eso es que, además, las causas excepcionales de selección son de interpretación restrictiva y no admiten analogía ni la interpretación extensiva. Genera nulidad absoluta del contrato, por abuso o desviación de poder, y nulidad del acto administrativo de selección cualquier artilugio que implique socavar la principal manifestación del principio de transparencia, cual es la selección por vía de licitación”. (DÁVILA VINUEZA, Luis Guillermo. Régimen jurídico de la contratación estatal. Tercera Edición. Bogotá: Legis, 2016. p. 463).      </w:t>
      </w:r>
    </w:p>
  </w:footnote>
  <w:footnote w:id="9">
    <w:p w14:paraId="632E5615" w14:textId="77777777" w:rsidR="00B9011B" w:rsidRPr="00480D85" w:rsidRDefault="00B9011B" w:rsidP="00B9011B">
      <w:pPr>
        <w:pStyle w:val="Textonotapie"/>
        <w:ind w:firstLine="567"/>
        <w:jc w:val="both"/>
        <w:rPr>
          <w:rFonts w:ascii="Verdana" w:hAnsi="Verdana" w:cs="Arial"/>
          <w:sz w:val="16"/>
          <w:szCs w:val="16"/>
          <w:lang w:val="es-ES"/>
        </w:rPr>
      </w:pPr>
      <w:r w:rsidRPr="00480D85">
        <w:rPr>
          <w:rStyle w:val="Refdenotaalpie"/>
          <w:rFonts w:ascii="Verdana" w:hAnsi="Verdana" w:cs="Arial"/>
          <w:sz w:val="16"/>
          <w:szCs w:val="16"/>
        </w:rPr>
        <w:footnoteRef/>
      </w:r>
      <w:r w:rsidRPr="00480D85">
        <w:rPr>
          <w:rFonts w:ascii="Verdana" w:hAnsi="Verdana" w:cs="Arial"/>
          <w:sz w:val="16"/>
          <w:szCs w:val="16"/>
        </w:rPr>
        <w:t xml:space="preserve"> </w:t>
      </w:r>
      <w:r w:rsidRPr="00480D85">
        <w:rPr>
          <w:rFonts w:ascii="Verdana" w:hAnsi="Verdana" w:cs="Arial"/>
          <w:sz w:val="16"/>
          <w:szCs w:val="16"/>
          <w:lang w:val="es-ES"/>
        </w:rPr>
        <w:t xml:space="preserve">Congreso de la República, Gaceta 466 del 2 de agosto de 2005. Exposición de motivos del Proyecto de Ley 19 de 2005 – Senado. </w:t>
      </w:r>
    </w:p>
  </w:footnote>
  <w:footnote w:id="10">
    <w:p w14:paraId="03A95C91" w14:textId="77777777" w:rsidR="00B9011B" w:rsidRPr="00480D85" w:rsidRDefault="00B9011B" w:rsidP="00B9011B">
      <w:pPr>
        <w:pStyle w:val="Textonotapie"/>
        <w:ind w:firstLine="567"/>
        <w:jc w:val="both"/>
        <w:rPr>
          <w:rFonts w:ascii="Verdana" w:hAnsi="Verdana" w:cs="Arial"/>
          <w:sz w:val="16"/>
          <w:szCs w:val="16"/>
          <w:lang w:val="es-ES"/>
        </w:rPr>
      </w:pPr>
      <w:r w:rsidRPr="00480D85">
        <w:rPr>
          <w:rStyle w:val="Refdenotaalpie"/>
          <w:rFonts w:ascii="Verdana" w:hAnsi="Verdana" w:cs="Arial"/>
          <w:sz w:val="16"/>
          <w:szCs w:val="16"/>
        </w:rPr>
        <w:footnoteRef/>
      </w:r>
      <w:r w:rsidRPr="00480D85">
        <w:rPr>
          <w:rFonts w:ascii="Verdana" w:hAnsi="Verdana" w:cs="Arial"/>
          <w:sz w:val="16"/>
          <w:szCs w:val="16"/>
        </w:rPr>
        <w:t xml:space="preserve"> </w:t>
      </w:r>
      <w:r w:rsidRPr="00480D85">
        <w:rPr>
          <w:rFonts w:ascii="Verdana" w:hAnsi="Verdana" w:cs="Arial"/>
          <w:sz w:val="16"/>
          <w:szCs w:val="16"/>
          <w:lang w:val="es-ES"/>
        </w:rPr>
        <w:t xml:space="preserve">Agencia Nacional de Contratación Pública – Colombia Compra Eficiente, Guía de Competencia en las Compras Públicas. La Guía puede consultarse en el siguiente enlace: </w:t>
      </w:r>
      <w:hyperlink r:id="rId1" w:history="1">
        <w:r w:rsidRPr="00480D85">
          <w:rPr>
            <w:rStyle w:val="Hipervnculo"/>
            <w:rFonts w:ascii="Verdana" w:hAnsi="Verdana" w:cs="Arial"/>
            <w:sz w:val="16"/>
            <w:szCs w:val="16"/>
            <w:lang w:val="es-ES"/>
          </w:rPr>
          <w:t>https://colombiacompra.gov.co/sites/cce_public/files/cce_documents/cce_guia_competencia_0.pdf</w:t>
        </w:r>
      </w:hyperlink>
      <w:r w:rsidRPr="00480D85">
        <w:rPr>
          <w:rFonts w:ascii="Verdana" w:hAnsi="Verdana" w:cs="Arial"/>
          <w:sz w:val="16"/>
          <w:szCs w:val="16"/>
          <w:lang w:val="es-ES"/>
        </w:rPr>
        <w:t xml:space="preserve">. </w:t>
      </w:r>
    </w:p>
  </w:footnote>
  <w:footnote w:id="11">
    <w:p w14:paraId="1350E099" w14:textId="77777777" w:rsidR="00B9011B" w:rsidRPr="00480D85" w:rsidRDefault="00B9011B" w:rsidP="00B9011B">
      <w:pPr>
        <w:pStyle w:val="Textonotapie"/>
        <w:ind w:firstLine="708"/>
        <w:jc w:val="both"/>
        <w:rPr>
          <w:rFonts w:ascii="Verdana" w:hAnsi="Verdana" w:cs="Arial"/>
          <w:sz w:val="16"/>
          <w:szCs w:val="16"/>
        </w:rPr>
      </w:pPr>
      <w:r w:rsidRPr="00480D85">
        <w:rPr>
          <w:rStyle w:val="Refdenotaalpie"/>
          <w:rFonts w:ascii="Verdana" w:hAnsi="Verdana" w:cs="Arial"/>
          <w:sz w:val="16"/>
          <w:szCs w:val="16"/>
        </w:rPr>
        <w:footnoteRef/>
      </w:r>
      <w:r w:rsidRPr="00480D85">
        <w:rPr>
          <w:rFonts w:ascii="Verdana" w:hAnsi="Verdana" w:cs="Arial"/>
          <w:sz w:val="16"/>
          <w:szCs w:val="16"/>
          <w:lang w:val="pt-BR"/>
        </w:rPr>
        <w:t xml:space="preserve"> Corte Constitucional. </w:t>
      </w:r>
      <w:r w:rsidRPr="00480D85">
        <w:rPr>
          <w:rFonts w:ascii="Verdana" w:hAnsi="Verdana" w:cs="Arial"/>
          <w:sz w:val="16"/>
          <w:szCs w:val="16"/>
          <w:lang w:val="es-CO"/>
        </w:rPr>
        <w:t xml:space="preserve">Sentencia C-713 del 7 de octubre de 2009. </w:t>
      </w:r>
      <w:r w:rsidRPr="00480D85">
        <w:rPr>
          <w:rFonts w:ascii="Verdana" w:hAnsi="Verdana" w:cs="Arial"/>
          <w:sz w:val="16"/>
          <w:szCs w:val="16"/>
        </w:rPr>
        <w:t>M.P. María Victoria Calle Correa.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65408"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6336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7FE1230C" w14:textId="77E53D9F" w:rsidR="004A305D" w:rsidRPr="00DC39FC" w:rsidRDefault="004A305D" w:rsidP="004A305D">
    <w:pPr>
      <w:spacing w:after="0"/>
      <w:rPr>
        <w:rFonts w:ascii="Verdana" w:hAnsi="Verdana"/>
        <w:b/>
        <w:bCs/>
      </w:rPr>
    </w:pPr>
    <w:r w:rsidRPr="00DC39FC">
      <w:rPr>
        <w:rFonts w:ascii="Verdana" w:hAnsi="Verdana"/>
        <w:b/>
        <w:bCs/>
      </w:rPr>
      <w:t>FORMATO PQRSD</w:t>
    </w: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mc:AlternateContent>
      <mc:Choice Requires="v">
        <w:pict>
          <v:shapetype w14:anchorId="70F5611F"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1652898617" o:spid="_x0000_i1025" type="#_x0000_t75" style="width:11.45pt;height:11.45pt;visibility:visible;mso-wrap-style:square">
            <v:imagedata r:id="rId1" o:title=""/>
          </v:shape>
        </w:pict>
      </mc:Choice>
      <mc:Fallback>
        <w:drawing>
          <wp:inline distT="0" distB="0" distL="0" distR="0" wp14:anchorId="379ED6AC" wp14:editId="639E4D17">
            <wp:extent cx="145415" cy="145415"/>
            <wp:effectExtent l="0" t="0" r="0" b="0"/>
            <wp:docPr id="1652898617" name="Imagen 16528986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45415" cy="145415"/>
                    </a:xfrm>
                    <a:prstGeom prst="rect">
                      <a:avLst/>
                    </a:prstGeom>
                    <a:noFill/>
                    <a:ln>
                      <a:noFill/>
                    </a:ln>
                  </pic:spPr>
                </pic:pic>
              </a:graphicData>
            </a:graphic>
          </wp:inline>
        </w:drawing>
      </mc:Fallback>
    </mc:AlternateContent>
  </w:numPicBullet>
  <w:abstractNum w:abstractNumId="0" w15:restartNumberingAfterBreak="0">
    <w:nsid w:val="01C06310"/>
    <w:multiLevelType w:val="multilevel"/>
    <w:tmpl w:val="47FE4C7E"/>
    <w:lvl w:ilvl="0">
      <w:start w:val="1"/>
      <w:numFmt w:val="upperRoman"/>
      <w:lvlText w:val="%1."/>
      <w:lvlJc w:val="right"/>
      <w:pPr>
        <w:ind w:left="1068" w:hanging="360"/>
      </w:pPr>
      <w:rPr>
        <w:b/>
        <w:color w:val="000000" w:themeColor="text1"/>
      </w:rPr>
    </w:lvl>
    <w:lvl w:ilvl="1">
      <w:start w:val="2"/>
      <w:numFmt w:val="decimal"/>
      <w:isLgl/>
      <w:lvlText w:val="%1.%2"/>
      <w:lvlJc w:val="left"/>
      <w:pPr>
        <w:ind w:left="708" w:hanging="360"/>
      </w:pPr>
    </w:lvl>
    <w:lvl w:ilvl="2">
      <w:start w:val="1"/>
      <w:numFmt w:val="decimal"/>
      <w:isLgl/>
      <w:lvlText w:val="%1.%2.%3"/>
      <w:lvlJc w:val="left"/>
      <w:pPr>
        <w:ind w:left="1428" w:hanging="720"/>
      </w:pPr>
    </w:lvl>
    <w:lvl w:ilvl="3">
      <w:start w:val="1"/>
      <w:numFmt w:val="decimal"/>
      <w:isLgl/>
      <w:lvlText w:val="%1.%2.%3.%4"/>
      <w:lvlJc w:val="left"/>
      <w:pPr>
        <w:ind w:left="1428" w:hanging="720"/>
      </w:pPr>
    </w:lvl>
    <w:lvl w:ilvl="4">
      <w:start w:val="1"/>
      <w:numFmt w:val="decimal"/>
      <w:isLgl/>
      <w:lvlText w:val="%1.%2.%3.%4.%5"/>
      <w:lvlJc w:val="left"/>
      <w:pPr>
        <w:ind w:left="1788" w:hanging="1080"/>
      </w:pPr>
    </w:lvl>
    <w:lvl w:ilvl="5">
      <w:start w:val="1"/>
      <w:numFmt w:val="decimal"/>
      <w:isLgl/>
      <w:lvlText w:val="%1.%2.%3.%4.%5.%6"/>
      <w:lvlJc w:val="left"/>
      <w:pPr>
        <w:ind w:left="1788" w:hanging="1080"/>
      </w:pPr>
    </w:lvl>
    <w:lvl w:ilvl="6">
      <w:start w:val="1"/>
      <w:numFmt w:val="decimal"/>
      <w:isLgl/>
      <w:lvlText w:val="%1.%2.%3.%4.%5.%6.%7"/>
      <w:lvlJc w:val="left"/>
      <w:pPr>
        <w:ind w:left="2148" w:hanging="1440"/>
      </w:pPr>
    </w:lvl>
    <w:lvl w:ilvl="7">
      <w:start w:val="1"/>
      <w:numFmt w:val="decimal"/>
      <w:isLgl/>
      <w:lvlText w:val="%1.%2.%3.%4.%5.%6.%7.%8"/>
      <w:lvlJc w:val="left"/>
      <w:pPr>
        <w:ind w:left="2148" w:hanging="1440"/>
      </w:pPr>
    </w:lvl>
    <w:lvl w:ilvl="8">
      <w:start w:val="1"/>
      <w:numFmt w:val="decimal"/>
      <w:isLgl/>
      <w:lvlText w:val="%1.%2.%3.%4.%5.%6.%7.%8.%9"/>
      <w:lvlJc w:val="left"/>
      <w:pPr>
        <w:ind w:left="2508"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0"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1"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6"/>
  </w:num>
  <w:num w:numId="2" w16cid:durableId="19822139">
    <w:abstractNumId w:val="2"/>
  </w:num>
  <w:num w:numId="3" w16cid:durableId="876742304">
    <w:abstractNumId w:val="4"/>
  </w:num>
  <w:num w:numId="4" w16cid:durableId="24518640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3"/>
  </w:num>
  <w:num w:numId="7" w16cid:durableId="1946422806">
    <w:abstractNumId w:val="5"/>
  </w:num>
  <w:num w:numId="8" w16cid:durableId="152644682">
    <w:abstractNumId w:val="12"/>
  </w:num>
  <w:num w:numId="9" w16cid:durableId="1317221377">
    <w:abstractNumId w:val="7"/>
  </w:num>
  <w:num w:numId="10" w16cid:durableId="1471245386">
    <w:abstractNumId w:val="11"/>
  </w:num>
  <w:num w:numId="11" w16cid:durableId="289172385">
    <w:abstractNumId w:val="8"/>
  </w:num>
  <w:num w:numId="12" w16cid:durableId="1470781324">
    <w:abstractNumId w:val="1"/>
  </w:num>
  <w:num w:numId="13" w16cid:durableId="1512908409">
    <w:abstractNumId w:val="3"/>
  </w:num>
  <w:num w:numId="14" w16cid:durableId="895897244">
    <w:abstractNumId w:val="14"/>
  </w:num>
  <w:num w:numId="15" w16cid:durableId="390349800">
    <w:abstractNumId w:val="10"/>
  </w:num>
  <w:num w:numId="16" w16cid:durableId="1330140246">
    <w:abstractNumId w:val="0"/>
  </w:num>
  <w:num w:numId="17" w16cid:durableId="67908957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4"/>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46945"/>
    <w:rsid w:val="00061B2A"/>
    <w:rsid w:val="00082362"/>
    <w:rsid w:val="000A683E"/>
    <w:rsid w:val="000B19B9"/>
    <w:rsid w:val="000D0334"/>
    <w:rsid w:val="000F6486"/>
    <w:rsid w:val="00125105"/>
    <w:rsid w:val="00127233"/>
    <w:rsid w:val="001463EE"/>
    <w:rsid w:val="001511A0"/>
    <w:rsid w:val="001831DE"/>
    <w:rsid w:val="001E4177"/>
    <w:rsid w:val="001F11BE"/>
    <w:rsid w:val="001F7DC6"/>
    <w:rsid w:val="002421BB"/>
    <w:rsid w:val="0025796E"/>
    <w:rsid w:val="00261F9A"/>
    <w:rsid w:val="002707A2"/>
    <w:rsid w:val="002951A0"/>
    <w:rsid w:val="002962BC"/>
    <w:rsid w:val="002A093D"/>
    <w:rsid w:val="002A0DD0"/>
    <w:rsid w:val="002A49AC"/>
    <w:rsid w:val="002A64FD"/>
    <w:rsid w:val="002C7A84"/>
    <w:rsid w:val="002E4FD9"/>
    <w:rsid w:val="00322A85"/>
    <w:rsid w:val="00324168"/>
    <w:rsid w:val="003448F4"/>
    <w:rsid w:val="00374F5E"/>
    <w:rsid w:val="00377E3E"/>
    <w:rsid w:val="003841C0"/>
    <w:rsid w:val="003A779E"/>
    <w:rsid w:val="003D0F4D"/>
    <w:rsid w:val="003D5B0D"/>
    <w:rsid w:val="003E0499"/>
    <w:rsid w:val="003E7248"/>
    <w:rsid w:val="003F3941"/>
    <w:rsid w:val="003F4A33"/>
    <w:rsid w:val="00406575"/>
    <w:rsid w:val="00414C74"/>
    <w:rsid w:val="0042722E"/>
    <w:rsid w:val="0044137A"/>
    <w:rsid w:val="0044528D"/>
    <w:rsid w:val="004631B7"/>
    <w:rsid w:val="004A1847"/>
    <w:rsid w:val="004A305D"/>
    <w:rsid w:val="004B767B"/>
    <w:rsid w:val="004F21C4"/>
    <w:rsid w:val="004F685F"/>
    <w:rsid w:val="00526386"/>
    <w:rsid w:val="005566E8"/>
    <w:rsid w:val="00574867"/>
    <w:rsid w:val="00591460"/>
    <w:rsid w:val="005B3816"/>
    <w:rsid w:val="005C3777"/>
    <w:rsid w:val="005C5CDC"/>
    <w:rsid w:val="005D476C"/>
    <w:rsid w:val="006219F8"/>
    <w:rsid w:val="00665D70"/>
    <w:rsid w:val="006900D9"/>
    <w:rsid w:val="00706C16"/>
    <w:rsid w:val="00756841"/>
    <w:rsid w:val="007649AB"/>
    <w:rsid w:val="00771D0C"/>
    <w:rsid w:val="0077766B"/>
    <w:rsid w:val="007833AC"/>
    <w:rsid w:val="007B268C"/>
    <w:rsid w:val="007B7171"/>
    <w:rsid w:val="007C0C0F"/>
    <w:rsid w:val="007C3DC2"/>
    <w:rsid w:val="007E5497"/>
    <w:rsid w:val="00806F5F"/>
    <w:rsid w:val="00820278"/>
    <w:rsid w:val="00867F95"/>
    <w:rsid w:val="00876518"/>
    <w:rsid w:val="008843B6"/>
    <w:rsid w:val="00891928"/>
    <w:rsid w:val="008A446D"/>
    <w:rsid w:val="008D180B"/>
    <w:rsid w:val="008F0EA7"/>
    <w:rsid w:val="00923EEF"/>
    <w:rsid w:val="009419F9"/>
    <w:rsid w:val="0095685E"/>
    <w:rsid w:val="00961B09"/>
    <w:rsid w:val="00965334"/>
    <w:rsid w:val="0097093E"/>
    <w:rsid w:val="00986AC5"/>
    <w:rsid w:val="009A0DFA"/>
    <w:rsid w:val="009B2D26"/>
    <w:rsid w:val="009C71FA"/>
    <w:rsid w:val="009C72E7"/>
    <w:rsid w:val="009D3058"/>
    <w:rsid w:val="009F3A13"/>
    <w:rsid w:val="00A04A94"/>
    <w:rsid w:val="00A122D3"/>
    <w:rsid w:val="00A17F13"/>
    <w:rsid w:val="00A20739"/>
    <w:rsid w:val="00A33C78"/>
    <w:rsid w:val="00AB0ADB"/>
    <w:rsid w:val="00B01B1A"/>
    <w:rsid w:val="00B31F16"/>
    <w:rsid w:val="00B66319"/>
    <w:rsid w:val="00B72CD3"/>
    <w:rsid w:val="00B72FFF"/>
    <w:rsid w:val="00B9011B"/>
    <w:rsid w:val="00BC3D36"/>
    <w:rsid w:val="00BD7F72"/>
    <w:rsid w:val="00C04FB3"/>
    <w:rsid w:val="00C330EB"/>
    <w:rsid w:val="00C41061"/>
    <w:rsid w:val="00C754BE"/>
    <w:rsid w:val="00C76B1C"/>
    <w:rsid w:val="00C95DFB"/>
    <w:rsid w:val="00CB6357"/>
    <w:rsid w:val="00CC1B26"/>
    <w:rsid w:val="00D423A2"/>
    <w:rsid w:val="00D520D8"/>
    <w:rsid w:val="00D63AC2"/>
    <w:rsid w:val="00D7383B"/>
    <w:rsid w:val="00DA231B"/>
    <w:rsid w:val="00DC39FC"/>
    <w:rsid w:val="00DD1691"/>
    <w:rsid w:val="00DF5254"/>
    <w:rsid w:val="00E16408"/>
    <w:rsid w:val="00E20894"/>
    <w:rsid w:val="00E245AB"/>
    <w:rsid w:val="00E2764C"/>
    <w:rsid w:val="00E27F2E"/>
    <w:rsid w:val="00E50AFE"/>
    <w:rsid w:val="00E75C92"/>
    <w:rsid w:val="00E771DC"/>
    <w:rsid w:val="00E8772A"/>
    <w:rsid w:val="00E90F6B"/>
    <w:rsid w:val="00E92C27"/>
    <w:rsid w:val="00EA0E3D"/>
    <w:rsid w:val="00EC38A7"/>
    <w:rsid w:val="00ED7384"/>
    <w:rsid w:val="00EE1AA8"/>
    <w:rsid w:val="00F007C8"/>
    <w:rsid w:val="00F31EDC"/>
    <w:rsid w:val="00F462B3"/>
    <w:rsid w:val="00F5664F"/>
    <w:rsid w:val="00F666C4"/>
    <w:rsid w:val="00F76AFC"/>
    <w:rsid w:val="00FA47C0"/>
    <w:rsid w:val="00FB5DD1"/>
    <w:rsid w:val="00FC2B5D"/>
    <w:rsid w:val="00FF1449"/>
    <w:rsid w:val="165E9519"/>
    <w:rsid w:val="382536D9"/>
    <w:rsid w:val="6EFDAB80"/>
    <w:rsid w:val="7B6AA7A6"/>
    <w:rsid w:val="7C183931"/>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B9011B"/>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B9011B"/>
    <w:rPr>
      <w:rFonts w:ascii="Geomanist Light" w:hAnsi="Geomanist Light"/>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nam02.safelinks.protection.outlook.com/?url=https%3A%2F%2Fwww.colombiacompra.gov.co%2Fmanuales-guias-y-pliegos-tipo%2Fmanuales-y-guias%2Fcartilla-para-incentivar-y-fortalecer-el-acceso-las&amp;data=05%7C02%7Cjuan.montoya%40colombiacompra.gov.co%7Ceb0fd05604104aa4d3bc08dd4c4ad35e%7C7b09041e245149d08cb179d5e3d8c1be%7C0%7C0%7C638750606446805443%7CUnknown%7CTWFpbGZsb3d8eyJFbXB0eU1hcGkiOnRydWUsIlYiOiIwLjAuMDAwMCIsIlAiOiJXaW4zMiIsIkFOIjoiTWFpbCIsIldUIjoyfQ%3D%3D%7C0%7C%7C%7C&amp;sdata=aNKgiDSBCbWJOeTv6tQWQstEy2hc8AFY0zDQCYvu25I%3D&amp;reserved=0" TargetMode="External"/><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relatoria.colombiacompra.gov.co/busqueda/conceptos"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4.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millermejia.asesor@gmail.com" TargetMode="External"/><Relationship Id="rId5" Type="http://schemas.openxmlformats.org/officeDocument/2006/relationships/styles" Target="styles.xml"/><Relationship Id="rId15" Type="http://schemas.openxmlformats.org/officeDocument/2006/relationships/hyperlink" Target="https://nam02.safelinks.protection.outlook.com/?url=https%3A%2F%2Fwww.colombiacompra.gov.co%2Fmanuales-guias-y-pliegos-tipo%2Fmanuales-y-guias%2Fguia-de-contratacion-publica-sostenible-y-socialmente&amp;data=05%7C02%7Cjuan.montoya%40colombiacompra.gov.co%7Ceb0fd05604104aa4d3bc08dd4c4ad35e%7C7b09041e245149d08cb179d5e3d8c1be%7C0%7C0%7C638750606446845819%7CUnknown%7CTWFpbGZsb3d8eyJFbXB0eU1hcGkiOnRydWUsIlYiOiIwLjAuMDAwMCIsIlAiOiJXaW4zMiIsIkFOIjoiTWFpbCIsIldUIjoyfQ%3D%3D%7C0%7C%7C%7C&amp;sdata=KytnSM1zbLq%2BmYOhRHdk77F%2Bxj6KqJMZh%2FiXoPvcoW4%3D&amp;reserved=0" TargetMode="External"/><Relationship Id="rId10" Type="http://schemas.openxmlformats.org/officeDocument/2006/relationships/image" Target="media/image3.png"/><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nam02.safelinks.protection.outlook.com/?url=https%3A%2F%2Fwww.colombiacompra.gov.co%2Fciudadanos%2Fcalendario&amp;data=05%7C02%7Cjuan.montoya%40colombiacompra.gov.co%7Ceb0fd05604104aa4d3bc08dd4c4ad35e%7C7b09041e245149d08cb179d5e3d8c1be%7C0%7C0%7C638750606446827566%7CUnknown%7CTWFpbGZsb3d8eyJFbXB0eU1hcGkiOnRydWUsIlYiOiIwLjAuMDAwMCIsIlAiOiJXaW4zMiIsIkFOIjoiTWFpbCIsIldUIjoyfQ%3D%3D%7C0%7C%7C%7C&amp;sdata=sjhVaeK%2F2kWlw27KYSrZxbZhdbXyWT7upgntlR76IXE%3D&amp;reserved=0"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colombiacompra.gov.co/sites/cce_public/files/cce_documents/cce_guia_competencia_0.pdf"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6.png"/><Relationship Id="rId1" Type="http://schemas.openxmlformats.org/officeDocument/2006/relationships/image" Target="media/image5.png"/></Relationships>
</file>

<file path=word/_rels/numbering.xml.rels><?xml version="1.0" encoding="UTF-8" standalone="yes"?>
<Relationships xmlns="http://schemas.openxmlformats.org/package/2006/relationships"><Relationship Id="rId2" Type="http://schemas.openxmlformats.org/officeDocument/2006/relationships/image" Target="media/image2.gif"/><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a6cb9e4b-f1d1-4245-83ec-6cad768d538a" xsi:nil="true"/>
    <lcf76f155ced4ddcb4097134ff3c332f xmlns="9d85dbaf-23eb-4e57-a637-93dcacc8b1a1">
      <Terms xmlns="http://schemas.microsoft.com/office/infopath/2007/PartnerControls"/>
    </lcf76f155ced4ddcb4097134ff3c332f>
    <No xmlns="9d85dbaf-23eb-4e57-a637-93dcacc8b1a1" xsi:nil="true"/>
    <_Flow_SignoffStatus xmlns="9d85dbaf-23eb-4e57-a637-93dcacc8b1a1"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9A188D0-8082-44FA-B71F-1D36BD2EFCCD}"/>
</file>

<file path=customXml/itemProps2.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8ae15d26-076e-464e-81a7-6f76a0fb3917"/>
    <ds:schemaRef ds:uri="77809766-ac6d-4ce8-98c1-d4e144f8be2a"/>
  </ds:schemaRefs>
</ds:datastoreItem>
</file>

<file path=customXml/itemProps3.xml><?xml version="1.0" encoding="utf-8"?>
<ds:datastoreItem xmlns:ds="http://schemas.openxmlformats.org/officeDocument/2006/customXml" ds:itemID="{19B0637E-D058-473B-8FE7-AA861F69C79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15</Pages>
  <Words>5059</Words>
  <Characters>27828</Characters>
  <Application>Microsoft Office Word</Application>
  <DocSecurity>0</DocSecurity>
  <Lines>231</Lines>
  <Paragraphs>65</Paragraphs>
  <ScaleCrop>false</ScaleCrop>
  <Company/>
  <LinksUpToDate>false</LinksUpToDate>
  <CharactersWithSpaces>32822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Joan Montoya Penagos</cp:lastModifiedBy>
  <cp:revision>5</cp:revision>
  <cp:lastPrinted>2023-01-10T21:18:00Z</cp:lastPrinted>
  <dcterms:created xsi:type="dcterms:W3CDTF">2025-06-04T19:21:00Z</dcterms:created>
  <dcterms:modified xsi:type="dcterms:W3CDTF">2025-06-05T21:59:00Z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