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B4CBB" w14:textId="77777777" w:rsidR="007B41C8" w:rsidRPr="008A6EBB" w:rsidRDefault="007B41C8" w:rsidP="007B41C8">
      <w:pPr>
        <w:spacing w:after="0" w:line="240" w:lineRule="auto"/>
        <w:contextualSpacing/>
        <w:jc w:val="both"/>
        <w:rPr>
          <w:rFonts w:ascii="Verdana" w:eastAsia="Arial" w:hAnsi="Verdana" w:cs="Arial"/>
          <w:b/>
          <w:bCs/>
        </w:rPr>
      </w:pPr>
      <w:bookmarkStart w:id="0" w:name="_Hlk143780582"/>
      <w:r w:rsidRPr="008A6EBB">
        <w:rPr>
          <w:rFonts w:ascii="Verdana" w:eastAsia="Arial" w:hAnsi="Verdana" w:cs="Arial"/>
          <w:b/>
          <w:bCs/>
        </w:rPr>
        <w:t>CAPACIDAD RESIDUAL – Concepto</w:t>
      </w:r>
    </w:p>
    <w:p w14:paraId="479B5496" w14:textId="77777777" w:rsidR="007B41C8" w:rsidRPr="008A6EBB" w:rsidRDefault="007B41C8" w:rsidP="007B41C8">
      <w:pPr>
        <w:spacing w:after="0" w:line="240" w:lineRule="auto"/>
        <w:contextualSpacing/>
        <w:jc w:val="both"/>
        <w:rPr>
          <w:rFonts w:ascii="Verdana" w:eastAsia="Arial" w:hAnsi="Verdana" w:cs="Arial"/>
          <w:sz w:val="20"/>
          <w:szCs w:val="20"/>
        </w:rPr>
      </w:pPr>
    </w:p>
    <w:p w14:paraId="2D08D03E" w14:textId="77777777" w:rsidR="007B41C8" w:rsidRPr="008A6EBB" w:rsidRDefault="007B41C8" w:rsidP="007B41C8">
      <w:pPr>
        <w:spacing w:after="0" w:line="240" w:lineRule="auto"/>
        <w:contextualSpacing/>
        <w:jc w:val="both"/>
        <w:rPr>
          <w:rFonts w:ascii="Verdana" w:eastAsia="Arial" w:hAnsi="Verdana" w:cs="Arial"/>
          <w:sz w:val="20"/>
          <w:szCs w:val="20"/>
        </w:rPr>
      </w:pPr>
      <w:r w:rsidRPr="008A6EBB">
        <w:rPr>
          <w:rFonts w:ascii="Verdana" w:eastAsia="Arial" w:hAnsi="Verdana" w:cs="Arial"/>
          <w:sz w:val="20"/>
          <w:szCs w:val="20"/>
        </w:rPr>
        <w:t>La capacidad residual es una aptitud que se le exige a los oferentes en los procesos de selección de contratistas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p>
    <w:p w14:paraId="46299485" w14:textId="77777777" w:rsidR="007B41C8" w:rsidRPr="008A6EBB" w:rsidRDefault="007B41C8" w:rsidP="007B41C8">
      <w:pPr>
        <w:spacing w:after="0" w:line="240" w:lineRule="auto"/>
        <w:contextualSpacing/>
        <w:jc w:val="both"/>
        <w:rPr>
          <w:rFonts w:ascii="Verdana" w:eastAsia="Arial" w:hAnsi="Verdana" w:cs="Arial"/>
          <w:sz w:val="20"/>
          <w:szCs w:val="20"/>
        </w:rPr>
      </w:pPr>
    </w:p>
    <w:p w14:paraId="44337C6C" w14:textId="77777777" w:rsidR="007B41C8" w:rsidRPr="008A6EBB" w:rsidRDefault="007B41C8" w:rsidP="007B41C8">
      <w:pPr>
        <w:spacing w:after="0" w:line="240" w:lineRule="auto"/>
        <w:contextualSpacing/>
        <w:jc w:val="both"/>
        <w:rPr>
          <w:rFonts w:ascii="Verdana" w:eastAsia="Arial" w:hAnsi="Verdana" w:cs="Arial"/>
          <w:sz w:val="20"/>
          <w:szCs w:val="20"/>
        </w:rPr>
      </w:pPr>
      <w:r w:rsidRPr="008A6EBB">
        <w:rPr>
          <w:rFonts w:ascii="Verdana" w:eastAsia="Arial" w:hAnsi="Verdana" w:cs="Arial"/>
          <w:sz w:val="20"/>
          <w:szCs w:val="20"/>
        </w:rPr>
        <w:t>Por su parte, esta Agencia, en los conceptos C-033 del 25 de marzo de 2021 y C-143 del 9 de abril de 2021, definió la capacidad residual como la suficiencia que se predica del proponente para asumir nuevas obligaciones que se derivan del contrato objeto del proceso de contratación, en relación con las obligaciones que ha adquirido simultáneamente en contratos ya perfeccionados y en ejecución.</w:t>
      </w:r>
    </w:p>
    <w:p w14:paraId="0639075E" w14:textId="77777777" w:rsidR="007B41C8" w:rsidRPr="008A6EBB" w:rsidRDefault="007B41C8" w:rsidP="007B41C8">
      <w:pPr>
        <w:spacing w:after="0" w:line="240" w:lineRule="auto"/>
        <w:contextualSpacing/>
        <w:jc w:val="both"/>
        <w:rPr>
          <w:rFonts w:ascii="Verdana" w:eastAsia="Arial" w:hAnsi="Verdana" w:cs="Arial"/>
          <w:sz w:val="20"/>
          <w:szCs w:val="20"/>
        </w:rPr>
      </w:pPr>
    </w:p>
    <w:p w14:paraId="54DC433D" w14:textId="77777777" w:rsidR="007B41C8" w:rsidRPr="008A6EBB" w:rsidRDefault="007B41C8" w:rsidP="007B41C8">
      <w:pPr>
        <w:spacing w:after="0" w:line="240" w:lineRule="auto"/>
        <w:contextualSpacing/>
        <w:jc w:val="both"/>
        <w:rPr>
          <w:rFonts w:ascii="Verdana" w:eastAsia="Arial" w:hAnsi="Verdana" w:cs="Arial"/>
          <w:sz w:val="20"/>
          <w:szCs w:val="20"/>
        </w:rPr>
      </w:pPr>
      <w:r w:rsidRPr="008A6EBB">
        <w:rPr>
          <w:rFonts w:ascii="Verdana" w:eastAsia="Arial" w:hAnsi="Verdana" w:cs="Arial"/>
          <w:sz w:val="20"/>
          <w:szCs w:val="20"/>
        </w:rPr>
        <w:t xml:space="preserve">Del recuento realizado hasta aquí se concluye que la capacidad residual se entiende como la suficiencia que se predica del proponente para asumir y cumplir de manera oportuna y a cabalidad con las nuevas obligaciones que se derivan del contrato objeto del proceso de contratación, en relación con las obligaciones que ha adquirido simultáneamente en otros contratos. Así mismo, de acuerdo con la reglamentación vigente, para su cálculo se tienen en cuenta solamente los contratos de obras civiles, por lo cual, el interesado deberá aportar únicamente los documentos de los contratos en ejecución de este tipo. </w:t>
      </w:r>
    </w:p>
    <w:p w14:paraId="210C6DCD" w14:textId="77777777" w:rsidR="007B41C8" w:rsidRPr="008A6EBB" w:rsidRDefault="007B41C8" w:rsidP="007B41C8">
      <w:pPr>
        <w:spacing w:after="0" w:line="240" w:lineRule="auto"/>
        <w:contextualSpacing/>
        <w:jc w:val="both"/>
        <w:rPr>
          <w:rFonts w:ascii="Verdana" w:eastAsia="Arial" w:hAnsi="Verdana" w:cs="Arial"/>
          <w:sz w:val="20"/>
          <w:szCs w:val="20"/>
        </w:rPr>
      </w:pPr>
    </w:p>
    <w:p w14:paraId="74DD27DD" w14:textId="77777777" w:rsidR="007B41C8" w:rsidRPr="008A6EBB" w:rsidRDefault="007B41C8" w:rsidP="007B41C8">
      <w:pPr>
        <w:spacing w:after="0" w:line="240" w:lineRule="auto"/>
        <w:contextualSpacing/>
        <w:jc w:val="both"/>
        <w:rPr>
          <w:rFonts w:ascii="Verdana" w:eastAsia="Arial" w:hAnsi="Verdana" w:cs="Arial"/>
          <w:b/>
          <w:bCs/>
        </w:rPr>
      </w:pPr>
      <w:r w:rsidRPr="008A6EBB">
        <w:rPr>
          <w:rFonts w:ascii="Verdana" w:eastAsia="Arial" w:hAnsi="Verdana" w:cs="Arial"/>
          <w:b/>
          <w:bCs/>
        </w:rPr>
        <w:t>CÁLCULO DE LA CAPACIDAD RESIDUAL – Documentos requeridos - Cálculo</w:t>
      </w:r>
    </w:p>
    <w:p w14:paraId="634F33AE" w14:textId="77777777" w:rsidR="007B41C8" w:rsidRPr="008A6EBB" w:rsidRDefault="007B41C8" w:rsidP="007B41C8">
      <w:pPr>
        <w:spacing w:after="0" w:line="240" w:lineRule="auto"/>
        <w:contextualSpacing/>
        <w:jc w:val="both"/>
        <w:rPr>
          <w:rFonts w:ascii="Verdana" w:eastAsia="Arial" w:hAnsi="Verdana" w:cs="Arial"/>
          <w:sz w:val="20"/>
          <w:szCs w:val="20"/>
        </w:rPr>
      </w:pPr>
      <w:r w:rsidRPr="008A6EBB">
        <w:rPr>
          <w:rFonts w:ascii="Verdana" w:eastAsia="Arial" w:hAnsi="Verdana" w:cs="Arial"/>
          <w:sz w:val="20"/>
          <w:szCs w:val="20"/>
        </w:rPr>
        <w:t xml:space="preserve"> </w:t>
      </w:r>
    </w:p>
    <w:p w14:paraId="707E97B7" w14:textId="77777777" w:rsidR="007B41C8" w:rsidRPr="008A6EBB" w:rsidRDefault="007B41C8" w:rsidP="007B41C8">
      <w:pPr>
        <w:spacing w:after="0" w:line="240" w:lineRule="auto"/>
        <w:contextualSpacing/>
        <w:jc w:val="both"/>
        <w:rPr>
          <w:rFonts w:ascii="Verdana" w:eastAsia="Arial" w:hAnsi="Verdana" w:cs="Arial"/>
          <w:sz w:val="20"/>
          <w:szCs w:val="20"/>
        </w:rPr>
      </w:pPr>
      <w:r w:rsidRPr="008A6EBB">
        <w:rPr>
          <w:rFonts w:ascii="Verdana" w:eastAsia="Arial" w:hAnsi="Verdana" w:cs="Arial"/>
          <w:sz w:val="20"/>
          <w:szCs w:val="20"/>
        </w:rPr>
        <w:t>El artículo 2.2.1.1.1.6.4 del Decreto 1082 de 2015 dispuso que las entidades estatales deben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w:t>
      </w:r>
    </w:p>
    <w:p w14:paraId="438F2AD6" w14:textId="77777777" w:rsidR="007B41C8" w:rsidRPr="008A6EBB" w:rsidRDefault="007B41C8" w:rsidP="007B41C8">
      <w:pPr>
        <w:spacing w:after="0" w:line="240" w:lineRule="auto"/>
        <w:contextualSpacing/>
        <w:jc w:val="both"/>
        <w:rPr>
          <w:rFonts w:ascii="Verdana" w:eastAsia="Arial" w:hAnsi="Verdana" w:cs="Arial"/>
          <w:sz w:val="20"/>
          <w:szCs w:val="20"/>
        </w:rPr>
      </w:pPr>
    </w:p>
    <w:p w14:paraId="666B282F" w14:textId="77777777" w:rsidR="007B41C8" w:rsidRPr="008A6EBB" w:rsidRDefault="007B41C8" w:rsidP="007B41C8">
      <w:pPr>
        <w:spacing w:after="0" w:line="240" w:lineRule="auto"/>
        <w:contextualSpacing/>
        <w:jc w:val="both"/>
        <w:rPr>
          <w:rFonts w:ascii="Verdana" w:eastAsia="Arial" w:hAnsi="Verdana" w:cs="Arial"/>
          <w:sz w:val="20"/>
          <w:szCs w:val="20"/>
        </w:rPr>
      </w:pPr>
      <w:r w:rsidRPr="008A6EBB">
        <w:rPr>
          <w:rFonts w:ascii="Verdana" w:eastAsia="Arial" w:hAnsi="Verdana" w:cs="Arial"/>
          <w:sz w:val="20"/>
          <w:szCs w:val="20"/>
        </w:rPr>
        <w:t xml:space="preserve">Así mismo, esta Agencia expidió la </w:t>
      </w:r>
      <w:r>
        <w:rPr>
          <w:rFonts w:ascii="Verdana" w:eastAsia="Arial" w:hAnsi="Verdana" w:cs="Arial"/>
          <w:sz w:val="20"/>
          <w:szCs w:val="20"/>
        </w:rPr>
        <w:t>“</w:t>
      </w:r>
      <w:r w:rsidRPr="008A6EBB">
        <w:rPr>
          <w:rFonts w:ascii="Verdana" w:eastAsia="Arial" w:hAnsi="Verdana" w:cs="Arial"/>
          <w:sz w:val="20"/>
          <w:szCs w:val="20"/>
        </w:rPr>
        <w:t>Guía para Determinar y Verificar la capacidad residual del Proponente en los Procesos de Contratación de Obra Pública</w:t>
      </w:r>
      <w:r>
        <w:rPr>
          <w:rFonts w:ascii="Verdana" w:eastAsia="Arial" w:hAnsi="Verdana" w:cs="Arial"/>
          <w:sz w:val="20"/>
          <w:szCs w:val="20"/>
        </w:rPr>
        <w:t>”</w:t>
      </w:r>
      <w:r w:rsidRPr="008A6EBB">
        <w:rPr>
          <w:rFonts w:ascii="Verdana" w:eastAsia="Arial" w:hAnsi="Verdana" w:cs="Arial"/>
          <w:sz w:val="20"/>
          <w:szCs w:val="20"/>
        </w:rPr>
        <w:t xml:space="preserve">, en la cual dispone, entre otras cuestiones, que a la entidad contratante le corresponde, primero, establecer la capacidad residual del proceso de contratación </w:t>
      </w:r>
      <w:r>
        <w:rPr>
          <w:rFonts w:ascii="Verdana" w:eastAsia="Arial" w:hAnsi="Verdana" w:cs="Arial"/>
          <w:sz w:val="20"/>
          <w:szCs w:val="20"/>
        </w:rPr>
        <w:t>“</w:t>
      </w:r>
      <w:r w:rsidRPr="008A6EBB">
        <w:rPr>
          <w:rFonts w:ascii="Verdana" w:eastAsia="Arial" w:hAnsi="Verdana" w:cs="Arial"/>
          <w:sz w:val="20"/>
          <w:szCs w:val="20"/>
        </w:rPr>
        <w:t>CRPC</w:t>
      </w:r>
      <w:r>
        <w:rPr>
          <w:rFonts w:ascii="Verdana" w:eastAsia="Arial" w:hAnsi="Verdana" w:cs="Arial"/>
          <w:sz w:val="20"/>
          <w:szCs w:val="20"/>
        </w:rPr>
        <w:t>”</w:t>
      </w:r>
      <w:r w:rsidRPr="008A6EBB">
        <w:rPr>
          <w:rFonts w:ascii="Verdana" w:eastAsia="Arial" w:hAnsi="Verdana" w:cs="Arial"/>
          <w:sz w:val="20"/>
          <w:szCs w:val="20"/>
        </w:rPr>
        <w:t xml:space="preserve"> y, segundo, determinar si los proponentes cumplen con la capacidad residual del proceso de contratación […]</w:t>
      </w:r>
    </w:p>
    <w:p w14:paraId="37F1881D" w14:textId="77777777" w:rsidR="007B41C8" w:rsidRPr="008A6EBB" w:rsidRDefault="007B41C8" w:rsidP="007B41C8">
      <w:pPr>
        <w:spacing w:after="0" w:line="240" w:lineRule="auto"/>
        <w:contextualSpacing/>
        <w:jc w:val="both"/>
        <w:rPr>
          <w:rFonts w:ascii="Verdana" w:eastAsia="Arial" w:hAnsi="Verdana" w:cs="Arial"/>
          <w:sz w:val="20"/>
          <w:szCs w:val="20"/>
        </w:rPr>
      </w:pPr>
    </w:p>
    <w:p w14:paraId="47FF8FBC" w14:textId="77777777" w:rsidR="007B41C8" w:rsidRDefault="007B41C8" w:rsidP="007B41C8">
      <w:pPr>
        <w:spacing w:after="0" w:line="240" w:lineRule="auto"/>
        <w:contextualSpacing/>
        <w:jc w:val="both"/>
        <w:rPr>
          <w:rFonts w:ascii="Verdana" w:eastAsia="Arial" w:hAnsi="Verdana" w:cs="Arial"/>
          <w:sz w:val="20"/>
          <w:szCs w:val="20"/>
        </w:rPr>
      </w:pPr>
      <w:r w:rsidRPr="008A6EBB">
        <w:rPr>
          <w:rFonts w:ascii="Verdana" w:eastAsia="Arial" w:hAnsi="Verdana" w:cs="Arial"/>
          <w:sz w:val="20"/>
          <w:szCs w:val="20"/>
        </w:rPr>
        <w:t xml:space="preserve">Se observa que la guía expedida por esta Agencia para calcular la capacidad residual señala que el proponente debe allegar, entre otros documentos, los contratos en ejecución y define estos como aquellos contratos que a la fecha de presentación de la oferta obligan al proponente con entidades estatales y con entidades privadas para ejecutar </w:t>
      </w:r>
      <w:r>
        <w:rPr>
          <w:rFonts w:ascii="Verdana" w:eastAsia="Arial" w:hAnsi="Verdana" w:cs="Arial"/>
          <w:sz w:val="20"/>
          <w:szCs w:val="20"/>
        </w:rPr>
        <w:t>“</w:t>
      </w:r>
      <w:r w:rsidRPr="008A6EBB">
        <w:rPr>
          <w:rFonts w:ascii="Verdana" w:eastAsia="Arial" w:hAnsi="Verdana" w:cs="Arial"/>
          <w:sz w:val="20"/>
          <w:szCs w:val="20"/>
        </w:rPr>
        <w:t>obras civiles</w:t>
      </w:r>
      <w:r>
        <w:rPr>
          <w:rFonts w:ascii="Verdana" w:eastAsia="Arial" w:hAnsi="Verdana" w:cs="Arial"/>
          <w:sz w:val="20"/>
          <w:szCs w:val="20"/>
        </w:rPr>
        <w:t>”</w:t>
      </w:r>
      <w:r w:rsidRPr="008A6EBB">
        <w:rPr>
          <w:rFonts w:ascii="Verdana" w:eastAsia="Arial" w:hAnsi="Verdana" w:cs="Arial"/>
          <w:sz w:val="20"/>
          <w:szCs w:val="20"/>
        </w:rPr>
        <w:t>.</w:t>
      </w:r>
    </w:p>
    <w:p w14:paraId="3239F8EA" w14:textId="77777777" w:rsidR="007B41C8" w:rsidRDefault="007B41C8" w:rsidP="007B41C8">
      <w:pPr>
        <w:spacing w:after="0" w:line="240" w:lineRule="auto"/>
        <w:contextualSpacing/>
        <w:jc w:val="both"/>
        <w:rPr>
          <w:rFonts w:ascii="Verdana" w:eastAsia="Arial" w:hAnsi="Verdana" w:cs="Arial"/>
          <w:sz w:val="20"/>
          <w:szCs w:val="20"/>
        </w:rPr>
      </w:pPr>
    </w:p>
    <w:p w14:paraId="750EE5C6" w14:textId="77777777" w:rsidR="007B41C8" w:rsidRDefault="007B41C8" w:rsidP="007B41C8">
      <w:pPr>
        <w:spacing w:after="0" w:line="240" w:lineRule="auto"/>
        <w:contextualSpacing/>
        <w:jc w:val="both"/>
        <w:rPr>
          <w:rFonts w:ascii="Verdana" w:eastAsia="Arial" w:hAnsi="Verdana" w:cs="Arial"/>
          <w:b/>
          <w:bCs/>
        </w:rPr>
      </w:pPr>
      <w:r w:rsidRPr="008A6EBB">
        <w:rPr>
          <w:rFonts w:ascii="Verdana" w:eastAsia="Arial" w:hAnsi="Verdana" w:cs="Arial"/>
          <w:b/>
          <w:bCs/>
        </w:rPr>
        <w:lastRenderedPageBreak/>
        <w:t xml:space="preserve">CÁLCULO DE LA CAPACIDAD RESIDUAL – </w:t>
      </w:r>
      <w:r>
        <w:rPr>
          <w:rFonts w:ascii="Verdana" w:eastAsia="Arial" w:hAnsi="Verdana" w:cs="Arial"/>
          <w:b/>
          <w:bCs/>
        </w:rPr>
        <w:t>Saldos de contratos en ejecución</w:t>
      </w:r>
      <w:r w:rsidRPr="008A6EBB">
        <w:rPr>
          <w:rFonts w:ascii="Verdana" w:eastAsia="Arial" w:hAnsi="Verdana" w:cs="Arial"/>
          <w:b/>
          <w:bCs/>
        </w:rPr>
        <w:t xml:space="preserve"> </w:t>
      </w:r>
      <w:r>
        <w:rPr>
          <w:rFonts w:ascii="Verdana" w:eastAsia="Arial" w:hAnsi="Verdana" w:cs="Arial"/>
          <w:b/>
          <w:bCs/>
        </w:rPr>
        <w:t>–</w:t>
      </w:r>
      <w:r w:rsidRPr="008A6EBB">
        <w:rPr>
          <w:rFonts w:ascii="Verdana" w:eastAsia="Arial" w:hAnsi="Verdana" w:cs="Arial"/>
          <w:b/>
          <w:bCs/>
        </w:rPr>
        <w:t xml:space="preserve"> </w:t>
      </w:r>
      <w:r>
        <w:rPr>
          <w:rFonts w:ascii="Verdana" w:eastAsia="Arial" w:hAnsi="Verdana" w:cs="Arial"/>
          <w:b/>
          <w:bCs/>
        </w:rPr>
        <w:t>Persona jurídica</w:t>
      </w:r>
    </w:p>
    <w:p w14:paraId="2443724A" w14:textId="77777777" w:rsidR="00BE429D" w:rsidRDefault="00BE429D" w:rsidP="007B41C8">
      <w:pPr>
        <w:spacing w:after="0" w:line="240" w:lineRule="auto"/>
        <w:contextualSpacing/>
        <w:jc w:val="both"/>
        <w:rPr>
          <w:rFonts w:ascii="Verdana" w:eastAsia="Arial" w:hAnsi="Verdana" w:cs="Arial"/>
          <w:b/>
          <w:bCs/>
        </w:rPr>
      </w:pPr>
    </w:p>
    <w:p w14:paraId="25B2F00A" w14:textId="77777777" w:rsidR="00033F7D" w:rsidRPr="0033219E" w:rsidRDefault="00033F7D" w:rsidP="00E7257B">
      <w:pPr>
        <w:spacing w:after="120" w:line="240" w:lineRule="auto"/>
        <w:jc w:val="both"/>
        <w:rPr>
          <w:rFonts w:ascii="Verdana" w:eastAsia="Calibri" w:hAnsi="Verdana" w:cs="Arial"/>
          <w:sz w:val="20"/>
          <w:lang w:eastAsia="es-ES_tradnl"/>
        </w:rPr>
      </w:pPr>
      <w:r w:rsidRPr="0033219E">
        <w:rPr>
          <w:rFonts w:ascii="Verdana" w:eastAsia="Calibri" w:hAnsi="Verdana" w:cs="Arial"/>
          <w:sz w:val="20"/>
          <w:lang w:eastAsia="es-ES_tradnl"/>
        </w:rPr>
        <w:t>Para calcular la capacidad residual de un proponente, es necesario considerar su naturaleza jurídica, ya sea como persona natural, persona jurídica o proponente plural (consorcio o unión temporal). En primer lugar, debe tenerse en cuenta la Guía para determinar y verificar la capacidad residual del proponente en los procesos de contratación de obra pública, expedida por esta Agencia.</w:t>
      </w:r>
    </w:p>
    <w:p w14:paraId="5CAF83DA" w14:textId="77777777" w:rsidR="00033F7D" w:rsidRPr="00033F7D" w:rsidRDefault="00033F7D" w:rsidP="00E7257B">
      <w:pPr>
        <w:spacing w:after="120" w:line="240" w:lineRule="auto"/>
        <w:jc w:val="both"/>
        <w:rPr>
          <w:rFonts w:ascii="Verdana" w:eastAsia="Calibri" w:hAnsi="Verdana" w:cs="Arial"/>
          <w:sz w:val="20"/>
          <w:lang w:eastAsia="es-ES_tradnl"/>
        </w:rPr>
      </w:pPr>
      <w:r w:rsidRPr="0033219E">
        <w:rPr>
          <w:rFonts w:ascii="Verdana" w:eastAsia="Calibri" w:hAnsi="Verdana" w:cs="Arial"/>
          <w:sz w:val="20"/>
          <w:lang w:eastAsia="es-ES_tradnl"/>
        </w:rPr>
        <w:t>Dicha guía establece que, en lo relacionado con el factor de saldos de contratos en ejecución, los proponentes que sean personas naturales o jurídicas deben presentar una certificación que contenga la información correspondiente al contrato</w:t>
      </w:r>
      <w:r w:rsidRPr="00033F7D">
        <w:rPr>
          <w:rFonts w:ascii="Verdana" w:eastAsia="Calibri" w:hAnsi="Verdana" w:cs="Arial"/>
          <w:sz w:val="20"/>
          <w:lang w:eastAsia="es-ES_tradnl"/>
        </w:rPr>
        <w:t xml:space="preserve"> que se está ejecutando</w:t>
      </w:r>
      <w:r w:rsidRPr="0033219E">
        <w:rPr>
          <w:rFonts w:ascii="Verdana" w:eastAsia="Calibri" w:hAnsi="Verdana" w:cs="Arial"/>
          <w:sz w:val="20"/>
          <w:lang w:eastAsia="es-ES_tradnl"/>
        </w:rPr>
        <w:t>. En el caso de los proponentes plurales, se debe considerar el porcentaje de participación de cada miembro para determinar el saldo que le corresponde.</w:t>
      </w:r>
    </w:p>
    <w:p w14:paraId="54622254" w14:textId="77777777" w:rsidR="00033F7D" w:rsidRPr="004D3E91" w:rsidRDefault="00033F7D" w:rsidP="00E7257B">
      <w:pPr>
        <w:spacing w:after="120" w:line="240" w:lineRule="auto"/>
        <w:jc w:val="both"/>
        <w:rPr>
          <w:rFonts w:ascii="Verdana" w:eastAsia="Calibri" w:hAnsi="Verdana" w:cs="Arial"/>
          <w:sz w:val="20"/>
          <w:szCs w:val="20"/>
          <w:lang w:eastAsia="es-ES"/>
        </w:rPr>
      </w:pPr>
      <w:r w:rsidRPr="00033F7D">
        <w:rPr>
          <w:rFonts w:ascii="Verdana" w:eastAsia="Calibri" w:hAnsi="Verdana" w:cs="Arial"/>
          <w:sz w:val="20"/>
          <w:szCs w:val="20"/>
          <w:lang w:eastAsia="es-ES"/>
        </w:rPr>
        <w:t>Lo anterior, en razón a que</w:t>
      </w:r>
      <w:r w:rsidRPr="004D3E91">
        <w:rPr>
          <w:rFonts w:ascii="Verdana" w:eastAsia="Calibri" w:hAnsi="Verdana" w:cs="Arial"/>
          <w:sz w:val="20"/>
          <w:szCs w:val="20"/>
          <w:lang w:eastAsia="es-ES"/>
        </w:rPr>
        <w:t xml:space="preserve"> el proponente plural no </w:t>
      </w:r>
      <w:r w:rsidRPr="00033F7D">
        <w:rPr>
          <w:rFonts w:ascii="Verdana" w:eastAsia="Calibri" w:hAnsi="Verdana" w:cs="Arial"/>
          <w:sz w:val="20"/>
          <w:szCs w:val="20"/>
          <w:lang w:eastAsia="es-ES"/>
        </w:rPr>
        <w:t>es</w:t>
      </w:r>
      <w:r w:rsidRPr="004D3E91">
        <w:rPr>
          <w:rFonts w:ascii="Verdana" w:eastAsia="Calibri" w:hAnsi="Verdana" w:cs="Arial"/>
          <w:sz w:val="20"/>
          <w:szCs w:val="20"/>
          <w:lang w:eastAsia="es-ES"/>
        </w:rPr>
        <w:t xml:space="preserve"> una persona jurídica; su capacidad jurídica depende de la de sus </w:t>
      </w:r>
      <w:r w:rsidRPr="00033F7D">
        <w:rPr>
          <w:rFonts w:ascii="Verdana" w:eastAsia="Calibri" w:hAnsi="Verdana" w:cs="Arial"/>
          <w:sz w:val="20"/>
          <w:szCs w:val="20"/>
          <w:lang w:eastAsia="es-ES"/>
        </w:rPr>
        <w:t>miembros</w:t>
      </w:r>
      <w:r w:rsidRPr="004D3E91">
        <w:rPr>
          <w:rFonts w:ascii="Verdana" w:eastAsia="Calibri" w:hAnsi="Verdana" w:cs="Arial"/>
          <w:sz w:val="20"/>
          <w:szCs w:val="20"/>
          <w:lang w:eastAsia="es-ES"/>
        </w:rPr>
        <w:t>. Por lo tanto, para efectos del cálculo de la capacidad residual, es necesario determinar el saldo de contratos en ejecución correspondiente a cada miembro, en proporción a su participación dentro del proponente plural.</w:t>
      </w:r>
    </w:p>
    <w:p w14:paraId="0316E7A1" w14:textId="77777777" w:rsidR="007B41C8" w:rsidRDefault="007B41C8" w:rsidP="00E245AB">
      <w:pPr>
        <w:spacing w:after="0"/>
        <w:rPr>
          <w:rFonts w:ascii="Verdana" w:hAnsi="Verdana"/>
        </w:rPr>
      </w:pPr>
    </w:p>
    <w:p w14:paraId="01ABC364" w14:textId="77777777" w:rsidR="009B40BE" w:rsidRDefault="009B40BE" w:rsidP="00E245AB">
      <w:pPr>
        <w:spacing w:after="0"/>
        <w:rPr>
          <w:rFonts w:ascii="Verdana" w:hAnsi="Verdana"/>
        </w:rPr>
      </w:pPr>
    </w:p>
    <w:p w14:paraId="1CCFA264" w14:textId="77777777" w:rsidR="007B41C8" w:rsidRDefault="007B41C8" w:rsidP="00E245AB">
      <w:pPr>
        <w:spacing w:after="0"/>
        <w:rPr>
          <w:rFonts w:ascii="Verdana" w:hAnsi="Verdana"/>
        </w:rPr>
      </w:pPr>
    </w:p>
    <w:p w14:paraId="5A107BC5" w14:textId="77777777" w:rsidR="007B41C8" w:rsidRDefault="007B41C8" w:rsidP="00E245AB">
      <w:pPr>
        <w:spacing w:after="0"/>
        <w:rPr>
          <w:rFonts w:ascii="Verdana" w:hAnsi="Verdana"/>
        </w:rPr>
      </w:pPr>
    </w:p>
    <w:p w14:paraId="6DDE34F9" w14:textId="77777777" w:rsidR="007B41C8" w:rsidRDefault="007B41C8" w:rsidP="00E245AB">
      <w:pPr>
        <w:spacing w:after="0"/>
        <w:rPr>
          <w:rFonts w:ascii="Verdana" w:hAnsi="Verdana"/>
        </w:rPr>
      </w:pPr>
    </w:p>
    <w:p w14:paraId="0C81D340" w14:textId="77777777" w:rsidR="007B41C8" w:rsidRDefault="007B41C8" w:rsidP="00E245AB">
      <w:pPr>
        <w:spacing w:after="0"/>
        <w:rPr>
          <w:rFonts w:ascii="Verdana" w:hAnsi="Verdana"/>
        </w:rPr>
      </w:pPr>
    </w:p>
    <w:p w14:paraId="5A775849" w14:textId="77777777" w:rsidR="007B41C8" w:rsidRDefault="007B41C8" w:rsidP="00E245AB">
      <w:pPr>
        <w:spacing w:after="0"/>
        <w:rPr>
          <w:rFonts w:ascii="Verdana" w:hAnsi="Verdana"/>
        </w:rPr>
      </w:pPr>
    </w:p>
    <w:p w14:paraId="45A95DA1" w14:textId="77777777" w:rsidR="007B41C8" w:rsidRDefault="007B41C8" w:rsidP="00E245AB">
      <w:pPr>
        <w:spacing w:after="0"/>
        <w:rPr>
          <w:rFonts w:ascii="Verdana" w:hAnsi="Verdana"/>
        </w:rPr>
      </w:pPr>
    </w:p>
    <w:p w14:paraId="13BA3A04" w14:textId="77777777" w:rsidR="007B41C8" w:rsidRDefault="007B41C8" w:rsidP="00E245AB">
      <w:pPr>
        <w:spacing w:after="0"/>
        <w:rPr>
          <w:rFonts w:ascii="Verdana" w:hAnsi="Verdana"/>
        </w:rPr>
      </w:pPr>
    </w:p>
    <w:p w14:paraId="2C50345A" w14:textId="77777777" w:rsidR="007B41C8" w:rsidRDefault="007B41C8" w:rsidP="00E245AB">
      <w:pPr>
        <w:spacing w:after="0"/>
        <w:rPr>
          <w:rFonts w:ascii="Verdana" w:hAnsi="Verdana"/>
        </w:rPr>
      </w:pPr>
    </w:p>
    <w:p w14:paraId="2999EE08" w14:textId="77777777" w:rsidR="007B41C8" w:rsidRDefault="007B41C8" w:rsidP="00E245AB">
      <w:pPr>
        <w:spacing w:after="0"/>
        <w:rPr>
          <w:rFonts w:ascii="Verdana" w:hAnsi="Verdana"/>
        </w:rPr>
      </w:pPr>
    </w:p>
    <w:p w14:paraId="60A72438" w14:textId="77777777" w:rsidR="007B41C8" w:rsidRDefault="007B41C8" w:rsidP="00E245AB">
      <w:pPr>
        <w:spacing w:after="0"/>
        <w:rPr>
          <w:rFonts w:ascii="Verdana" w:hAnsi="Verdana"/>
        </w:rPr>
      </w:pPr>
    </w:p>
    <w:p w14:paraId="408087B5" w14:textId="77777777" w:rsidR="007B41C8" w:rsidRDefault="007B41C8" w:rsidP="00E245AB">
      <w:pPr>
        <w:spacing w:after="0"/>
        <w:rPr>
          <w:rFonts w:ascii="Verdana" w:hAnsi="Verdana"/>
        </w:rPr>
      </w:pPr>
    </w:p>
    <w:p w14:paraId="2A64BF2F" w14:textId="77777777" w:rsidR="007B41C8" w:rsidRDefault="007B41C8" w:rsidP="00E245AB">
      <w:pPr>
        <w:spacing w:after="0"/>
        <w:rPr>
          <w:rFonts w:ascii="Verdana" w:hAnsi="Verdana"/>
        </w:rPr>
      </w:pPr>
    </w:p>
    <w:p w14:paraId="0E144811" w14:textId="77777777" w:rsidR="007B41C8" w:rsidRDefault="007B41C8" w:rsidP="00E245AB">
      <w:pPr>
        <w:spacing w:after="0"/>
        <w:rPr>
          <w:rFonts w:ascii="Verdana" w:hAnsi="Verdana"/>
        </w:rPr>
      </w:pPr>
    </w:p>
    <w:p w14:paraId="7194498B" w14:textId="77777777" w:rsidR="007B41C8" w:rsidRDefault="007B41C8" w:rsidP="00E245AB">
      <w:pPr>
        <w:spacing w:after="0"/>
        <w:rPr>
          <w:rFonts w:ascii="Verdana" w:hAnsi="Verdana"/>
        </w:rPr>
      </w:pPr>
    </w:p>
    <w:p w14:paraId="67C77C57" w14:textId="77777777" w:rsidR="007B41C8" w:rsidRDefault="007B41C8" w:rsidP="00E245AB">
      <w:pPr>
        <w:spacing w:after="0"/>
        <w:rPr>
          <w:rFonts w:ascii="Verdana" w:hAnsi="Verdana"/>
        </w:rPr>
      </w:pPr>
    </w:p>
    <w:p w14:paraId="14C4F329" w14:textId="77777777" w:rsidR="007B41C8" w:rsidRDefault="007B41C8" w:rsidP="00E245AB">
      <w:pPr>
        <w:spacing w:after="0"/>
        <w:rPr>
          <w:rFonts w:ascii="Verdana" w:hAnsi="Verdana"/>
        </w:rPr>
      </w:pPr>
    </w:p>
    <w:p w14:paraId="727B5A92" w14:textId="77777777" w:rsidR="00F46617" w:rsidRDefault="00F46617" w:rsidP="00E245AB">
      <w:pPr>
        <w:spacing w:after="0"/>
        <w:rPr>
          <w:rFonts w:ascii="Verdana" w:hAnsi="Verdana"/>
        </w:rPr>
      </w:pPr>
    </w:p>
    <w:p w14:paraId="3D11F31A" w14:textId="77777777" w:rsidR="00F46617" w:rsidRDefault="00F46617" w:rsidP="00E245AB">
      <w:pPr>
        <w:spacing w:after="0"/>
        <w:rPr>
          <w:rFonts w:ascii="Verdana" w:hAnsi="Verdana"/>
        </w:rPr>
      </w:pPr>
    </w:p>
    <w:p w14:paraId="6E2E0E55" w14:textId="77777777" w:rsidR="00F46617" w:rsidRDefault="00F46617" w:rsidP="00E245AB">
      <w:pPr>
        <w:spacing w:after="0"/>
        <w:rPr>
          <w:rFonts w:ascii="Verdana" w:hAnsi="Verdana"/>
        </w:rPr>
      </w:pPr>
    </w:p>
    <w:p w14:paraId="7898507D" w14:textId="77777777" w:rsidR="00F46617" w:rsidRDefault="00F46617" w:rsidP="00E245AB">
      <w:pPr>
        <w:spacing w:after="0"/>
        <w:rPr>
          <w:rFonts w:ascii="Verdana" w:hAnsi="Verdana"/>
        </w:rPr>
      </w:pPr>
    </w:p>
    <w:p w14:paraId="22CFA755" w14:textId="77777777" w:rsidR="00F46617" w:rsidRDefault="00F46617" w:rsidP="00E245AB">
      <w:pPr>
        <w:spacing w:after="0"/>
        <w:rPr>
          <w:rFonts w:ascii="Verdana" w:hAnsi="Verdana"/>
        </w:rPr>
      </w:pPr>
    </w:p>
    <w:p w14:paraId="43D325BB" w14:textId="77777777" w:rsidR="007B41C8" w:rsidRDefault="007B41C8" w:rsidP="00E245AB">
      <w:pPr>
        <w:spacing w:after="0"/>
        <w:rPr>
          <w:rFonts w:ascii="Verdana" w:hAnsi="Verdana"/>
        </w:rPr>
      </w:pPr>
    </w:p>
    <w:p w14:paraId="3FE2184B" w14:textId="58C83544" w:rsidR="00E245AB" w:rsidRDefault="00E245AB" w:rsidP="00E245AB">
      <w:pPr>
        <w:spacing w:after="0"/>
        <w:rPr>
          <w:rFonts w:ascii="Verdana" w:hAnsi="Verdana"/>
        </w:rPr>
      </w:pPr>
      <w:r w:rsidRPr="0044528D">
        <w:rPr>
          <w:rFonts w:ascii="Verdana" w:hAnsi="Verdana"/>
        </w:rPr>
        <w:t xml:space="preserve">Bogotá D.C., </w:t>
      </w:r>
      <w:r w:rsidR="003063F5">
        <w:rPr>
          <w:rFonts w:ascii="Verdana" w:hAnsi="Verdana"/>
        </w:rPr>
        <w:t>27 de</w:t>
      </w:r>
      <w:r w:rsidR="00891928" w:rsidRPr="0044528D">
        <w:rPr>
          <w:rFonts w:ascii="Verdana" w:hAnsi="Verdana"/>
        </w:rPr>
        <w:t xml:space="preserve"> </w:t>
      </w:r>
      <w:r w:rsidR="00902A1F">
        <w:rPr>
          <w:rFonts w:ascii="Verdana" w:hAnsi="Verdana"/>
        </w:rPr>
        <w:t>junio</w:t>
      </w:r>
      <w:r w:rsidR="003063F5">
        <w:rPr>
          <w:rFonts w:ascii="Verdana" w:hAnsi="Verdana"/>
        </w:rPr>
        <w:t xml:space="preserve"> de 2025</w:t>
      </w:r>
    </w:p>
    <w:p w14:paraId="0465BA6D" w14:textId="13B05CDB" w:rsidR="00E245AB" w:rsidRPr="0044528D" w:rsidRDefault="00C73C06" w:rsidP="00E245AB">
      <w:pPr>
        <w:spacing w:after="0"/>
        <w:rPr>
          <w:rFonts w:ascii="Verdana" w:hAnsi="Verdana"/>
        </w:rPr>
      </w:pPr>
      <w:r w:rsidRPr="00902A1F">
        <w:rPr>
          <w:rFonts w:ascii="Verdana" w:hAnsi="Verdana"/>
          <w:noProof/>
        </w:rPr>
        <w:drawing>
          <wp:anchor distT="0" distB="0" distL="114300" distR="114300" simplePos="0" relativeHeight="251658240" behindDoc="1" locked="0" layoutInCell="1" allowOverlap="1" wp14:anchorId="4DE62BF6" wp14:editId="23C9A8FF">
            <wp:simplePos x="0" y="0"/>
            <wp:positionH relativeFrom="column">
              <wp:posOffset>3490623</wp:posOffset>
            </wp:positionH>
            <wp:positionV relativeFrom="paragraph">
              <wp:posOffset>5715</wp:posOffset>
            </wp:positionV>
            <wp:extent cx="2927350" cy="834390"/>
            <wp:effectExtent l="0" t="0" r="6350" b="3810"/>
            <wp:wrapSquare wrapText="bothSides"/>
            <wp:docPr id="50004062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40625"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27350" cy="834390"/>
                    </a:xfrm>
                    <a:prstGeom prst="rect">
                      <a:avLst/>
                    </a:prstGeom>
                  </pic:spPr>
                </pic:pic>
              </a:graphicData>
            </a:graphic>
            <wp14:sizeRelH relativeFrom="margin">
              <wp14:pctWidth>0</wp14:pctWidth>
            </wp14:sizeRelH>
            <wp14:sizeRelV relativeFrom="margin">
              <wp14:pctHeight>0</wp14:pctHeight>
            </wp14:sizeRelV>
          </wp:anchor>
        </w:drawing>
      </w:r>
    </w:p>
    <w:bookmarkEnd w:id="0"/>
    <w:p w14:paraId="17D93955" w14:textId="77777777" w:rsidR="007F7C2B" w:rsidRPr="007F7C2B" w:rsidRDefault="007F7C2B" w:rsidP="007F7C2B">
      <w:pPr>
        <w:spacing w:after="0" w:line="240" w:lineRule="auto"/>
        <w:jc w:val="both"/>
        <w:rPr>
          <w:rFonts w:ascii="Verdana" w:eastAsia="Calibri" w:hAnsi="Verdana" w:cs="Arial"/>
          <w:lang w:val="es-ES" w:eastAsia="es-ES_tradnl"/>
        </w:rPr>
      </w:pPr>
      <w:r w:rsidRPr="007F7C2B">
        <w:rPr>
          <w:rFonts w:ascii="Verdana" w:eastAsia="Calibri" w:hAnsi="Verdana" w:cs="Arial"/>
          <w:lang w:val="es-ES" w:eastAsia="es-ES_tradnl"/>
        </w:rPr>
        <w:t>Señor</w:t>
      </w:r>
    </w:p>
    <w:p w14:paraId="03793791" w14:textId="77777777" w:rsidR="007F7C2B" w:rsidRPr="007F7C2B" w:rsidRDefault="007F7C2B" w:rsidP="007F7C2B">
      <w:pPr>
        <w:spacing w:after="0" w:line="240" w:lineRule="auto"/>
        <w:rPr>
          <w:rFonts w:ascii="Verdana" w:eastAsia="Calibri" w:hAnsi="Verdana" w:cs="Arial"/>
          <w:b/>
          <w:bCs/>
          <w:lang w:val="es-ES" w:eastAsia="es-ES_tradnl"/>
        </w:rPr>
      </w:pPr>
      <w:r w:rsidRPr="007F7C2B">
        <w:rPr>
          <w:rFonts w:ascii="Verdana" w:eastAsia="Calibri" w:hAnsi="Verdana" w:cs="Arial"/>
          <w:b/>
          <w:bCs/>
          <w:lang w:val="es-ES" w:eastAsia="es-ES_tradnl"/>
        </w:rPr>
        <w:t>José Miguel Ruiz Diaz</w:t>
      </w:r>
    </w:p>
    <w:p w14:paraId="5C55664E" w14:textId="77777777" w:rsidR="007F7C2B" w:rsidRPr="007F7C2B" w:rsidRDefault="007F7C2B" w:rsidP="007F7C2B">
      <w:pPr>
        <w:spacing w:after="0" w:line="240" w:lineRule="auto"/>
        <w:rPr>
          <w:rFonts w:ascii="Verdana" w:eastAsia="Calibri" w:hAnsi="Verdana" w:cs="Arial"/>
          <w:lang w:eastAsia="es-ES_tradnl"/>
        </w:rPr>
      </w:pPr>
      <w:hyperlink r:id="rId11" w:history="1">
        <w:r w:rsidRPr="007F7C2B">
          <w:rPr>
            <w:rFonts w:ascii="Verdana" w:eastAsia="Calibri" w:hAnsi="Verdana" w:cs="Arial"/>
            <w:color w:val="0000FF"/>
            <w:u w:val="single"/>
            <w:lang w:eastAsia="es-ES_tradnl"/>
          </w:rPr>
          <w:t>planeacionproy.infraestructura.n@gmail.com</w:t>
        </w:r>
      </w:hyperlink>
    </w:p>
    <w:p w14:paraId="534293C1" w14:textId="77777777" w:rsidR="007F7C2B" w:rsidRPr="007F7C2B" w:rsidRDefault="007F7C2B" w:rsidP="007F7C2B">
      <w:pPr>
        <w:spacing w:after="0" w:line="240" w:lineRule="auto"/>
        <w:rPr>
          <w:rFonts w:ascii="Verdana" w:eastAsia="Calibri" w:hAnsi="Verdana" w:cs="Arial"/>
          <w:lang w:val="es-ES_tradnl" w:eastAsia="es-ES_tradnl"/>
        </w:rPr>
      </w:pPr>
      <w:r w:rsidRPr="007F7C2B">
        <w:rPr>
          <w:rFonts w:ascii="Verdana" w:eastAsia="Calibri" w:hAnsi="Verdana" w:cs="Arial"/>
          <w:bCs/>
          <w:lang w:val="es-ES_tradnl" w:eastAsia="es-ES_tradnl"/>
        </w:rPr>
        <w:t>Ciudad</w:t>
      </w:r>
    </w:p>
    <w:p w14:paraId="3C2B2FA6" w14:textId="77777777" w:rsidR="007F7C2B" w:rsidRPr="007F7C2B" w:rsidRDefault="007F7C2B" w:rsidP="007F7C2B">
      <w:pPr>
        <w:spacing w:after="0" w:line="240" w:lineRule="auto"/>
        <w:rPr>
          <w:rFonts w:ascii="Verdana" w:eastAsia="Calibri" w:hAnsi="Verdana" w:cs="Arial"/>
          <w:lang w:val="es-ES_tradnl" w:eastAsia="es-ES_tradnl"/>
        </w:rPr>
      </w:pPr>
    </w:p>
    <w:p w14:paraId="5FCFD9A8" w14:textId="77777777" w:rsidR="007F7C2B" w:rsidRPr="007F7C2B" w:rsidRDefault="007F7C2B" w:rsidP="007F7C2B">
      <w:pPr>
        <w:spacing w:after="0" w:line="240" w:lineRule="auto"/>
        <w:rPr>
          <w:rFonts w:ascii="Verdana" w:eastAsia="Calibri" w:hAnsi="Verdana" w:cs="Arial"/>
          <w:lang w:val="es-ES_tradnl" w:eastAsia="es-ES_tradnl"/>
        </w:rPr>
      </w:pPr>
    </w:p>
    <w:p w14:paraId="43DDE084" w14:textId="77777777" w:rsidR="007F7C2B" w:rsidRPr="007F7C2B" w:rsidRDefault="007F7C2B" w:rsidP="007F7C2B">
      <w:pPr>
        <w:spacing w:after="0" w:line="240" w:lineRule="auto"/>
        <w:ind w:left="2694"/>
        <w:rPr>
          <w:rFonts w:ascii="Verdana" w:eastAsia="Calibri" w:hAnsi="Verdana" w:cs="Arial"/>
          <w:b/>
          <w:bCs/>
          <w:lang w:val="es-ES" w:eastAsia="es-ES_tradnl"/>
        </w:rPr>
      </w:pPr>
      <w:r w:rsidRPr="007F7C2B">
        <w:rPr>
          <w:rFonts w:ascii="Verdana" w:eastAsia="Calibri" w:hAnsi="Verdana" w:cs="Arial"/>
          <w:b/>
          <w:bCs/>
          <w:lang w:val="es-ES" w:eastAsia="es-ES_tradnl"/>
        </w:rPr>
        <w:t>Concepto C-619 de 2025</w:t>
      </w:r>
    </w:p>
    <w:p w14:paraId="31FB03AB" w14:textId="77777777" w:rsidR="007F7C2B" w:rsidRPr="007F7C2B" w:rsidRDefault="007F7C2B" w:rsidP="007F7C2B">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7F7C2B" w:rsidRPr="007F7C2B" w14:paraId="3A3FB1A3" w14:textId="77777777" w:rsidTr="008116C2">
        <w:tc>
          <w:tcPr>
            <w:tcW w:w="2694" w:type="dxa"/>
          </w:tcPr>
          <w:p w14:paraId="05C87730" w14:textId="77777777" w:rsidR="007F7C2B" w:rsidRPr="007F7C2B" w:rsidRDefault="007F7C2B" w:rsidP="007F7C2B">
            <w:pPr>
              <w:rPr>
                <w:rFonts w:ascii="Verdana" w:eastAsia="Calibri" w:hAnsi="Verdana" w:cs="Arial"/>
                <w:lang w:val="es-ES_tradnl" w:eastAsia="es-ES_tradnl"/>
              </w:rPr>
            </w:pPr>
            <w:r w:rsidRPr="007F7C2B">
              <w:rPr>
                <w:rFonts w:ascii="Verdana" w:eastAsia="Calibri" w:hAnsi="Verdana" w:cs="Arial"/>
                <w:b/>
                <w:lang w:val="es-ES_tradnl" w:eastAsia="es-ES_tradnl"/>
              </w:rPr>
              <w:t>Temas:</w:t>
            </w:r>
          </w:p>
        </w:tc>
        <w:tc>
          <w:tcPr>
            <w:tcW w:w="6095" w:type="dxa"/>
          </w:tcPr>
          <w:p w14:paraId="76912B86" w14:textId="77777777" w:rsidR="007F7C2B" w:rsidRPr="007F7C2B" w:rsidRDefault="007F7C2B" w:rsidP="007F7C2B">
            <w:pPr>
              <w:spacing w:line="276" w:lineRule="auto"/>
              <w:jc w:val="both"/>
              <w:textAlignment w:val="baseline"/>
              <w:rPr>
                <w:rFonts w:ascii="Verdana" w:eastAsia="Times New Roman" w:hAnsi="Verdana" w:cs="Arial"/>
                <w:highlight w:val="yellow"/>
                <w:lang w:val="es-ES_tradnl" w:eastAsia="es-ES_tradnl"/>
              </w:rPr>
            </w:pPr>
            <w:r w:rsidRPr="007F7C2B">
              <w:rPr>
                <w:rFonts w:ascii="Verdana" w:eastAsia="Times New Roman" w:hAnsi="Verdana" w:cs="Arial"/>
                <w:lang w:eastAsia="es-ES_tradnl"/>
              </w:rPr>
              <w:t>CAPACIDAD RESIDUAL – Concepto / CÁLCULO DE LA CAPACIDAD RESIDUAL – Documentos requeridos - Cálculo / CÁLCULO DE LA CAPACIDAD RESIDUAL – Saldos de contratos en ejecución – Persona jurídica</w:t>
            </w:r>
          </w:p>
        </w:tc>
      </w:tr>
      <w:tr w:rsidR="007F7C2B" w:rsidRPr="007F7C2B" w14:paraId="248F52D3" w14:textId="77777777" w:rsidTr="008116C2">
        <w:tc>
          <w:tcPr>
            <w:tcW w:w="2694" w:type="dxa"/>
          </w:tcPr>
          <w:p w14:paraId="388E7ABB" w14:textId="77777777" w:rsidR="007F7C2B" w:rsidRPr="007F7C2B" w:rsidRDefault="007F7C2B" w:rsidP="007F7C2B">
            <w:pPr>
              <w:rPr>
                <w:rFonts w:ascii="Verdana" w:eastAsia="Calibri" w:hAnsi="Verdana" w:cs="Arial"/>
                <w:b/>
                <w:lang w:val="es-ES" w:eastAsia="es-ES_tradnl"/>
              </w:rPr>
            </w:pPr>
            <w:r w:rsidRPr="007F7C2B">
              <w:rPr>
                <w:rFonts w:ascii="Verdana" w:eastAsia="Calibri" w:hAnsi="Verdana" w:cs="Arial"/>
                <w:b/>
                <w:lang w:val="es-ES" w:eastAsia="es-ES_tradnl"/>
              </w:rPr>
              <w:t>Radicación:</w:t>
            </w:r>
          </w:p>
        </w:tc>
        <w:tc>
          <w:tcPr>
            <w:tcW w:w="6095" w:type="dxa"/>
          </w:tcPr>
          <w:p w14:paraId="4D071A78" w14:textId="77777777" w:rsidR="007F7C2B" w:rsidRPr="007F7C2B" w:rsidRDefault="007F7C2B" w:rsidP="007F7C2B">
            <w:pPr>
              <w:jc w:val="both"/>
              <w:rPr>
                <w:rFonts w:ascii="Verdana" w:eastAsia="Calibri" w:hAnsi="Verdana" w:cs="Arial"/>
                <w:lang w:val="es-ES" w:eastAsia="es-ES_tradnl"/>
              </w:rPr>
            </w:pPr>
            <w:r w:rsidRPr="007F7C2B">
              <w:rPr>
                <w:rFonts w:ascii="Verdana" w:eastAsia="Calibri" w:hAnsi="Verdana" w:cs="Arial"/>
                <w:lang w:val="es-ES" w:eastAsia="es-ES_tradnl"/>
              </w:rPr>
              <w:t xml:space="preserve">Respuesta a consulta radicado No. </w:t>
            </w:r>
            <w:r w:rsidRPr="007F7C2B">
              <w:rPr>
                <w:rFonts w:ascii="Verdana" w:eastAsia="Times New Roman" w:hAnsi="Verdana" w:cs="Arial"/>
                <w:lang w:eastAsia="es-ES_tradnl"/>
              </w:rPr>
              <w:t>P20250519004800</w:t>
            </w:r>
          </w:p>
        </w:tc>
      </w:tr>
    </w:tbl>
    <w:p w14:paraId="29692B57" w14:textId="77777777" w:rsidR="007F7C2B" w:rsidRPr="007F7C2B" w:rsidRDefault="007F7C2B" w:rsidP="007F7C2B">
      <w:pPr>
        <w:spacing w:after="0" w:line="240" w:lineRule="auto"/>
        <w:jc w:val="both"/>
        <w:rPr>
          <w:rFonts w:ascii="Verdana" w:eastAsia="Calibri" w:hAnsi="Verdana" w:cs="Arial"/>
          <w:lang w:val="es-ES_tradnl" w:eastAsia="es-ES_tradnl"/>
        </w:rPr>
      </w:pPr>
    </w:p>
    <w:p w14:paraId="42B07568" w14:textId="77777777" w:rsidR="007F7C2B" w:rsidRPr="007F7C2B" w:rsidRDefault="007F7C2B" w:rsidP="007F7C2B">
      <w:pPr>
        <w:spacing w:after="0" w:line="240" w:lineRule="auto"/>
        <w:jc w:val="both"/>
        <w:rPr>
          <w:rFonts w:ascii="Verdana" w:eastAsia="Calibri" w:hAnsi="Verdana" w:cs="Arial"/>
          <w:lang w:val="es-ES_tradnl" w:eastAsia="es-ES_tradnl"/>
        </w:rPr>
      </w:pPr>
    </w:p>
    <w:p w14:paraId="0694F798" w14:textId="77777777" w:rsidR="007F7C2B" w:rsidRPr="007F7C2B" w:rsidRDefault="007F7C2B" w:rsidP="007F7C2B">
      <w:pPr>
        <w:spacing w:after="0" w:line="276" w:lineRule="auto"/>
        <w:contextualSpacing/>
        <w:jc w:val="both"/>
        <w:rPr>
          <w:rFonts w:ascii="Verdana" w:eastAsia="Calibri" w:hAnsi="Verdana" w:cs="Arial"/>
          <w:bCs/>
          <w:lang w:val="es-ES_tradnl" w:eastAsia="es-ES_tradnl"/>
        </w:rPr>
      </w:pPr>
      <w:r w:rsidRPr="007F7C2B">
        <w:rPr>
          <w:rFonts w:ascii="Verdana" w:eastAsia="Calibri" w:hAnsi="Verdana" w:cs="Arial"/>
          <w:lang w:val="es-ES_tradnl" w:eastAsia="es-ES_tradnl"/>
        </w:rPr>
        <w:t>Estimado señor Ruiz</w:t>
      </w:r>
      <w:r w:rsidRPr="007F7C2B">
        <w:rPr>
          <w:rFonts w:ascii="Verdana" w:eastAsia="Calibri" w:hAnsi="Verdana" w:cs="Arial"/>
          <w:bCs/>
          <w:lang w:val="es-ES_tradnl" w:eastAsia="es-ES_tradnl"/>
        </w:rPr>
        <w:t>:</w:t>
      </w:r>
    </w:p>
    <w:p w14:paraId="1BEB2969" w14:textId="77777777" w:rsidR="007F7C2B" w:rsidRPr="007F7C2B" w:rsidRDefault="007F7C2B" w:rsidP="007F7C2B">
      <w:pPr>
        <w:spacing w:after="0" w:line="276" w:lineRule="auto"/>
        <w:contextualSpacing/>
        <w:jc w:val="both"/>
        <w:rPr>
          <w:rFonts w:ascii="Verdana" w:eastAsia="Calibri" w:hAnsi="Verdana" w:cs="Arial"/>
          <w:lang w:val="es-ES_tradnl" w:eastAsia="es-ES_tradnl"/>
        </w:rPr>
      </w:pPr>
    </w:p>
    <w:p w14:paraId="27A0548C" w14:textId="77777777" w:rsidR="007F7C2B" w:rsidRPr="007F7C2B" w:rsidRDefault="007F7C2B" w:rsidP="007F7C2B">
      <w:pPr>
        <w:spacing w:after="0" w:line="276" w:lineRule="auto"/>
        <w:contextualSpacing/>
        <w:jc w:val="both"/>
        <w:rPr>
          <w:rFonts w:ascii="Verdana" w:eastAsia="Calibri" w:hAnsi="Verdana" w:cs="Arial"/>
          <w:lang w:val="es-ES" w:eastAsia="es-ES_tradnl"/>
        </w:rPr>
      </w:pPr>
      <w:r w:rsidRPr="007F7C2B">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19 de mayo de 2025, en la cual manifiesta lo siguiente:</w:t>
      </w:r>
    </w:p>
    <w:p w14:paraId="4CD84990" w14:textId="77777777" w:rsidR="007F7C2B" w:rsidRPr="007F7C2B" w:rsidRDefault="007F7C2B" w:rsidP="007F7C2B">
      <w:pPr>
        <w:spacing w:after="0" w:line="276" w:lineRule="auto"/>
        <w:contextualSpacing/>
        <w:jc w:val="both"/>
        <w:rPr>
          <w:rFonts w:ascii="Verdana" w:eastAsia="Calibri" w:hAnsi="Verdana" w:cs="Arial"/>
          <w:b/>
          <w:szCs w:val="24"/>
          <w:lang w:val="es-ES_tradnl" w:eastAsia="es-ES_tradnl"/>
        </w:rPr>
      </w:pPr>
    </w:p>
    <w:p w14:paraId="208AF6D3" w14:textId="77777777" w:rsidR="007F7C2B" w:rsidRPr="007F7C2B" w:rsidRDefault="007F7C2B" w:rsidP="007F7C2B">
      <w:pPr>
        <w:spacing w:after="0" w:line="240" w:lineRule="auto"/>
        <w:ind w:left="709" w:right="709"/>
        <w:contextualSpacing/>
        <w:jc w:val="both"/>
        <w:rPr>
          <w:rFonts w:ascii="Verdana" w:eastAsia="Times New Roman" w:hAnsi="Verdana" w:cs="Arial"/>
          <w:sz w:val="21"/>
          <w:szCs w:val="21"/>
          <w:lang w:eastAsia="es-ES_tradnl"/>
        </w:rPr>
      </w:pPr>
      <w:r w:rsidRPr="007F7C2B">
        <w:rPr>
          <w:rFonts w:ascii="Verdana" w:eastAsia="Times New Roman" w:hAnsi="Verdana" w:cs="Arial"/>
          <w:sz w:val="21"/>
          <w:szCs w:val="21"/>
          <w:lang w:eastAsia="es-ES_tradnl"/>
        </w:rPr>
        <w:t>“Para el cálculo de la capacidad residual, entre otra información se debe presentar la siguiente: “La lista de los Contratos en Ejecución, suscritos por sociedades, consorcios o uniones temporales, en los cuales el proponente tenga participación, así como el valor y plazo de tales contratos”. Teniendo en cuenta lo anterior, en el caso del reporte de contratos en ejecución en las que un proponente tenga participación dentro de una sociedad, ¿estos contratos se deben reportar afectando el porcentaje de participación de la sociedad en función del porcentaje de participación del proponente dentro de la sociedad? Es decir, si un proponente hace parte de una sociedad en un porcentaje de acciones del 5% y esa sociedad tiene un contrato en ejecución donde tiene una participación del 30%, dentro del listado de contratos del proponente se reporta el contrato de la sociedad con un % de 6% que es el final que correspondería a su participación accionaria”.</w:t>
      </w:r>
    </w:p>
    <w:p w14:paraId="0E2BCA82" w14:textId="77777777" w:rsidR="007F7C2B" w:rsidRPr="007F7C2B" w:rsidRDefault="007F7C2B" w:rsidP="007F7C2B">
      <w:pPr>
        <w:spacing w:after="0" w:line="240" w:lineRule="auto"/>
        <w:ind w:left="709" w:right="709"/>
        <w:contextualSpacing/>
        <w:jc w:val="both"/>
        <w:rPr>
          <w:rFonts w:ascii="Verdana" w:eastAsia="Times New Roman" w:hAnsi="Verdana" w:cs="Arial"/>
          <w:lang w:eastAsia="es-ES_tradnl"/>
        </w:rPr>
      </w:pPr>
    </w:p>
    <w:p w14:paraId="41048623" w14:textId="77777777" w:rsidR="007F7C2B" w:rsidRPr="007F7C2B" w:rsidRDefault="007F7C2B" w:rsidP="007F7C2B">
      <w:pPr>
        <w:spacing w:after="120" w:line="276" w:lineRule="auto"/>
        <w:ind w:firstLine="709"/>
        <w:jc w:val="both"/>
        <w:rPr>
          <w:rFonts w:ascii="Verdana" w:eastAsia="Calibri" w:hAnsi="Verdana" w:cs="Arial"/>
          <w:color w:val="000000"/>
          <w:szCs w:val="24"/>
          <w:lang w:val="es-ES_tradnl" w:eastAsia="es-ES_tradnl"/>
        </w:rPr>
      </w:pPr>
      <w:r w:rsidRPr="007F7C2B">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F7C2B">
        <w:rPr>
          <w:rFonts w:ascii="Verdana" w:eastAsia="Calibri" w:hAnsi="Verdana" w:cs="Arial"/>
          <w:color w:val="000000"/>
          <w:szCs w:val="24"/>
          <w:lang w:val="es-ES_tradnl" w:eastAsia="es-ES_tradnl"/>
        </w:rPr>
        <w:tab/>
      </w:r>
    </w:p>
    <w:p w14:paraId="659ACD4C" w14:textId="77777777" w:rsidR="007F7C2B" w:rsidRPr="007F7C2B" w:rsidRDefault="007F7C2B" w:rsidP="007F7C2B">
      <w:pPr>
        <w:spacing w:after="0" w:line="276" w:lineRule="auto"/>
        <w:ind w:firstLine="709"/>
        <w:jc w:val="both"/>
        <w:rPr>
          <w:rFonts w:ascii="Verdana" w:eastAsia="Calibri" w:hAnsi="Verdana" w:cs="Arial"/>
          <w:lang w:val="es-ES" w:eastAsia="es-ES"/>
        </w:rPr>
      </w:pPr>
      <w:r w:rsidRPr="007F7C2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EC2BB9D" w14:textId="77777777" w:rsidR="007F7C2B" w:rsidRPr="007F7C2B" w:rsidRDefault="007F7C2B" w:rsidP="007F7C2B">
      <w:pPr>
        <w:spacing w:after="0" w:line="276" w:lineRule="auto"/>
        <w:contextualSpacing/>
        <w:jc w:val="both"/>
        <w:rPr>
          <w:rFonts w:ascii="Verdana" w:eastAsia="Times New Roman" w:hAnsi="Verdana" w:cs="Arial"/>
          <w:szCs w:val="24"/>
          <w:lang w:val="es-ES_tradnl" w:eastAsia="es-ES_tradnl"/>
        </w:rPr>
      </w:pPr>
    </w:p>
    <w:p w14:paraId="0FA48287" w14:textId="77777777" w:rsidR="007F7C2B" w:rsidRPr="007F7C2B" w:rsidRDefault="007F7C2B" w:rsidP="007F7C2B">
      <w:pPr>
        <w:tabs>
          <w:tab w:val="left" w:pos="0"/>
          <w:tab w:val="left" w:pos="284"/>
        </w:tabs>
        <w:spacing w:after="0" w:line="276" w:lineRule="auto"/>
        <w:contextualSpacing/>
        <w:jc w:val="both"/>
        <w:rPr>
          <w:rFonts w:ascii="Verdana" w:eastAsia="Calibri" w:hAnsi="Verdana" w:cs="Arial"/>
          <w:b/>
          <w:lang w:val="es-ES_tradnl"/>
        </w:rPr>
      </w:pPr>
      <w:r w:rsidRPr="007F7C2B">
        <w:rPr>
          <w:rFonts w:ascii="Verdana" w:eastAsia="Calibri" w:hAnsi="Verdana" w:cs="Arial"/>
          <w:b/>
          <w:lang w:val="es-ES_tradnl"/>
        </w:rPr>
        <w:t>1. Problema planteado:</w:t>
      </w:r>
    </w:p>
    <w:p w14:paraId="35303EB3" w14:textId="77777777" w:rsidR="007F7C2B" w:rsidRPr="007F7C2B" w:rsidRDefault="007F7C2B" w:rsidP="007F7C2B">
      <w:pPr>
        <w:tabs>
          <w:tab w:val="left" w:pos="0"/>
          <w:tab w:val="left" w:pos="284"/>
        </w:tabs>
        <w:spacing w:after="0" w:line="276" w:lineRule="auto"/>
        <w:contextualSpacing/>
        <w:jc w:val="both"/>
        <w:rPr>
          <w:rFonts w:ascii="Verdana" w:eastAsia="Calibri" w:hAnsi="Verdana" w:cs="Arial"/>
          <w:b/>
          <w:lang w:val="es-ES_tradnl"/>
        </w:rPr>
      </w:pPr>
    </w:p>
    <w:p w14:paraId="16E221B6" w14:textId="52A4667B" w:rsidR="007F7C2B" w:rsidRPr="007F7C2B" w:rsidRDefault="007F7C2B" w:rsidP="007F7C2B">
      <w:pPr>
        <w:spacing w:after="0" w:line="276" w:lineRule="auto"/>
        <w:jc w:val="both"/>
        <w:rPr>
          <w:rFonts w:ascii="Verdana" w:eastAsia="Century Gothic" w:hAnsi="Verdana" w:cs="Century Gothic"/>
        </w:rPr>
      </w:pPr>
      <w:r w:rsidRPr="1BA1C8BD">
        <w:rPr>
          <w:rFonts w:ascii="Verdana" w:eastAsia="Century Gothic" w:hAnsi="Verdana" w:cs="Century Gothic"/>
        </w:rPr>
        <w:t xml:space="preserve">De acuerdo con el contenido de su solicitud, esta Agencia resolverá el siguiente problema jurídico: </w:t>
      </w:r>
      <w:bookmarkStart w:id="1" w:name="_Hlk199424158"/>
      <w:r w:rsidRPr="1BA1C8BD">
        <w:rPr>
          <w:rFonts w:ascii="Verdana" w:eastAsia="Century Gothic" w:hAnsi="Verdana" w:cs="Century Gothic"/>
        </w:rPr>
        <w:t>¿Cómo se realiza el cálculo de la capacidad residual</w:t>
      </w:r>
      <w:r w:rsidR="00E76892">
        <w:rPr>
          <w:rFonts w:ascii="Verdana" w:eastAsia="Century Gothic" w:hAnsi="Verdana" w:cs="Century Gothic"/>
        </w:rPr>
        <w:t xml:space="preserve"> de proponentes plurales en </w:t>
      </w:r>
      <w:r w:rsidRPr="1BA1C8BD">
        <w:rPr>
          <w:rFonts w:ascii="Verdana" w:eastAsia="Century Gothic" w:hAnsi="Verdana" w:cs="Century Gothic"/>
        </w:rPr>
        <w:t>contratos en ejecución</w:t>
      </w:r>
      <w:r w:rsidR="00E76892">
        <w:rPr>
          <w:rFonts w:ascii="Verdana" w:eastAsia="Century Gothic" w:hAnsi="Verdana" w:cs="Century Gothic"/>
        </w:rPr>
        <w:t>?</w:t>
      </w:r>
    </w:p>
    <w:bookmarkEnd w:id="1"/>
    <w:p w14:paraId="7C33FDEF" w14:textId="77777777" w:rsidR="007F7C2B" w:rsidRPr="007F7C2B" w:rsidRDefault="007F7C2B" w:rsidP="007F7C2B">
      <w:pPr>
        <w:spacing w:after="0" w:line="276" w:lineRule="auto"/>
        <w:ind w:firstLine="709"/>
        <w:jc w:val="both"/>
        <w:rPr>
          <w:rFonts w:ascii="Verdana" w:eastAsia="Calibri" w:hAnsi="Verdana" w:cs="Arial"/>
          <w:lang w:val="es-ES" w:eastAsia="es-ES_tradnl"/>
        </w:rPr>
      </w:pPr>
    </w:p>
    <w:p w14:paraId="71A1AA37" w14:textId="77777777" w:rsidR="007F7C2B" w:rsidRPr="007F7C2B" w:rsidRDefault="007F7C2B" w:rsidP="007F7C2B">
      <w:pPr>
        <w:tabs>
          <w:tab w:val="left" w:pos="142"/>
          <w:tab w:val="left" w:pos="284"/>
        </w:tabs>
        <w:spacing w:after="0" w:line="276" w:lineRule="auto"/>
        <w:jc w:val="both"/>
        <w:rPr>
          <w:rFonts w:ascii="Verdana" w:eastAsia="Century Gothic" w:hAnsi="Verdana" w:cs="Century Gothic"/>
          <w:b/>
          <w:bCs/>
        </w:rPr>
      </w:pPr>
      <w:r w:rsidRPr="007F7C2B">
        <w:rPr>
          <w:rFonts w:ascii="Verdana" w:eastAsia="Century Gothic" w:hAnsi="Verdana" w:cs="Century Gothic"/>
          <w:b/>
          <w:bCs/>
        </w:rPr>
        <w:t>2. Respuesta:</w:t>
      </w:r>
    </w:p>
    <w:p w14:paraId="620BEB80" w14:textId="77777777" w:rsidR="007F7C2B" w:rsidRPr="00DA7F27" w:rsidRDefault="007F7C2B" w:rsidP="007F7C2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A7F27" w:rsidRPr="00DA7F27" w14:paraId="637D3C2B" w14:textId="77777777" w:rsidTr="56EC160E">
        <w:tc>
          <w:tcPr>
            <w:tcW w:w="8828" w:type="dxa"/>
            <w:shd w:val="clear" w:color="auto" w:fill="auto"/>
          </w:tcPr>
          <w:p w14:paraId="5E7712BC" w14:textId="77777777" w:rsidR="0033219E" w:rsidRPr="0033219E" w:rsidRDefault="0033219E" w:rsidP="0033219E">
            <w:pPr>
              <w:spacing w:after="120" w:line="276" w:lineRule="auto"/>
              <w:jc w:val="both"/>
              <w:rPr>
                <w:rFonts w:ascii="Verdana" w:eastAsia="Calibri" w:hAnsi="Verdana" w:cs="Arial"/>
                <w:szCs w:val="24"/>
                <w:lang w:eastAsia="es-ES_tradnl"/>
              </w:rPr>
            </w:pPr>
            <w:r w:rsidRPr="0033219E">
              <w:rPr>
                <w:rFonts w:ascii="Verdana" w:eastAsia="Calibri" w:hAnsi="Verdana" w:cs="Arial"/>
                <w:szCs w:val="24"/>
                <w:lang w:eastAsia="es-ES_tradnl"/>
              </w:rPr>
              <w:t>Para calcular la capacidad residual de un proponente, es necesario considerar su naturaleza jurídica, ya sea como persona natural, persona jurídica o proponente plural (consorcio o unión temporal). En primer lugar, debe tenerse en cuenta la Guía para determinar y verificar la capacidad residual del proponente en los procesos de contratación de obra pública, expedida por esta Agencia.</w:t>
            </w:r>
          </w:p>
          <w:p w14:paraId="042760DE" w14:textId="61F6011D" w:rsidR="0033219E" w:rsidRPr="00DA7F27" w:rsidRDefault="0033219E" w:rsidP="007F7C2B">
            <w:pPr>
              <w:spacing w:after="120" w:line="276" w:lineRule="auto"/>
              <w:jc w:val="both"/>
              <w:rPr>
                <w:rFonts w:ascii="Verdana" w:eastAsia="Calibri" w:hAnsi="Verdana" w:cs="Arial"/>
                <w:szCs w:val="24"/>
                <w:lang w:eastAsia="es-ES_tradnl"/>
              </w:rPr>
            </w:pPr>
            <w:r w:rsidRPr="0033219E">
              <w:rPr>
                <w:rFonts w:ascii="Verdana" w:eastAsia="Calibri" w:hAnsi="Verdana" w:cs="Arial"/>
                <w:szCs w:val="24"/>
                <w:lang w:eastAsia="es-ES_tradnl"/>
              </w:rPr>
              <w:t xml:space="preserve">Dicha guía establece que, en lo relacionado con el factor de saldos de contratos en ejecución, los proponentes que sean personas naturales o jurídicas deben presentar una certificación que contenga la información correspondiente al </w:t>
            </w:r>
            <w:r w:rsidRPr="0033219E">
              <w:rPr>
                <w:rFonts w:ascii="Verdana" w:eastAsia="Calibri" w:hAnsi="Verdana" w:cs="Arial"/>
                <w:szCs w:val="24"/>
                <w:lang w:eastAsia="es-ES_tradnl"/>
              </w:rPr>
              <w:lastRenderedPageBreak/>
              <w:t>contrato</w:t>
            </w:r>
            <w:r w:rsidR="00D97B9B" w:rsidRPr="00DA7F27">
              <w:rPr>
                <w:rFonts w:ascii="Verdana" w:eastAsia="Calibri" w:hAnsi="Verdana" w:cs="Arial"/>
                <w:szCs w:val="24"/>
                <w:lang w:eastAsia="es-ES_tradnl"/>
              </w:rPr>
              <w:t xml:space="preserve"> q</w:t>
            </w:r>
            <w:r w:rsidR="00741BED" w:rsidRPr="00DA7F27">
              <w:rPr>
                <w:rFonts w:ascii="Verdana" w:eastAsia="Calibri" w:hAnsi="Verdana" w:cs="Arial"/>
                <w:szCs w:val="24"/>
                <w:lang w:eastAsia="es-ES_tradnl"/>
              </w:rPr>
              <w:t>ue se está ejecutando</w:t>
            </w:r>
            <w:r w:rsidRPr="0033219E">
              <w:rPr>
                <w:rFonts w:ascii="Verdana" w:eastAsia="Calibri" w:hAnsi="Verdana" w:cs="Arial"/>
                <w:szCs w:val="24"/>
                <w:lang w:eastAsia="es-ES_tradnl"/>
              </w:rPr>
              <w:t>. En el caso de los proponentes plurales, se debe considerar el porcentaje de participación de cada miembro para determinar el saldo que le corresponde.</w:t>
            </w:r>
          </w:p>
          <w:p w14:paraId="5B4AE698" w14:textId="2D6BB1F2" w:rsidR="007F7C2B" w:rsidRPr="00FD3E29" w:rsidRDefault="004416DD" w:rsidP="00FD3E29">
            <w:pPr>
              <w:spacing w:after="120" w:line="276" w:lineRule="auto"/>
              <w:ind w:firstLine="709"/>
              <w:jc w:val="both"/>
              <w:rPr>
                <w:rFonts w:ascii="Verdana" w:eastAsia="Calibri" w:hAnsi="Verdana" w:cs="Arial"/>
                <w:lang w:eastAsia="es-ES"/>
              </w:rPr>
            </w:pPr>
            <w:r w:rsidRPr="003E5165">
              <w:rPr>
                <w:rFonts w:ascii="Verdana" w:eastAsia="Calibri" w:hAnsi="Verdana" w:cs="Arial"/>
                <w:lang w:eastAsia="es-ES"/>
              </w:rPr>
              <w:t>Lo anterior, en razón a que</w:t>
            </w:r>
            <w:r w:rsidRPr="004D3E91">
              <w:rPr>
                <w:rFonts w:ascii="Verdana" w:eastAsia="Calibri" w:hAnsi="Verdana" w:cs="Arial"/>
                <w:lang w:eastAsia="es-ES"/>
              </w:rPr>
              <w:t xml:space="preserve"> el proponente plural no </w:t>
            </w:r>
            <w:r w:rsidRPr="003E5165">
              <w:rPr>
                <w:rFonts w:ascii="Verdana" w:eastAsia="Calibri" w:hAnsi="Verdana" w:cs="Arial"/>
                <w:lang w:eastAsia="es-ES"/>
              </w:rPr>
              <w:t>es</w:t>
            </w:r>
            <w:r w:rsidRPr="004D3E91">
              <w:rPr>
                <w:rFonts w:ascii="Verdana" w:eastAsia="Calibri" w:hAnsi="Verdana" w:cs="Arial"/>
                <w:lang w:eastAsia="es-ES"/>
              </w:rPr>
              <w:t xml:space="preserve"> una persona jurídica; su capacidad jurídica depende de la de sus </w:t>
            </w:r>
            <w:r w:rsidRPr="003E5165">
              <w:rPr>
                <w:rFonts w:ascii="Verdana" w:eastAsia="Calibri" w:hAnsi="Verdana" w:cs="Arial"/>
                <w:lang w:eastAsia="es-ES"/>
              </w:rPr>
              <w:t>miembros</w:t>
            </w:r>
            <w:r w:rsidRPr="004D3E91">
              <w:rPr>
                <w:rFonts w:ascii="Verdana" w:eastAsia="Calibri" w:hAnsi="Verdana" w:cs="Arial"/>
                <w:lang w:eastAsia="es-ES"/>
              </w:rPr>
              <w:t>. Por lo tanto, para efectos del cálculo de la capacidad residual, es necesario determinar el saldo de contratos en ejecución correspondiente a cada miembro, en proporción a su participación dentro del proponente plural.</w:t>
            </w:r>
            <w:r w:rsidR="00FD3E29">
              <w:rPr>
                <w:rFonts w:ascii="Verdana" w:eastAsia="Calibri" w:hAnsi="Verdana" w:cs="Arial"/>
                <w:lang w:eastAsia="es-ES"/>
              </w:rPr>
              <w:t xml:space="preserve"> </w:t>
            </w:r>
            <w:r w:rsidR="007F7C2B" w:rsidRPr="00904FD9">
              <w:rPr>
                <w:rFonts w:ascii="Verdana" w:eastAsia="Calibri" w:hAnsi="Verdana" w:cs="Arial"/>
                <w:lang w:val="es-ES" w:eastAsia="es-ES"/>
              </w:rPr>
              <w:t xml:space="preserve">No ocurre lo mismo, con las personas jurídicas, ya que su capacidad jurídica está dada por su constitución ante la cámara de comercio </w:t>
            </w:r>
            <w:r w:rsidR="001D317C" w:rsidRPr="00904FD9">
              <w:rPr>
                <w:rFonts w:ascii="Verdana" w:eastAsia="Calibri" w:hAnsi="Verdana" w:cs="Arial"/>
                <w:lang w:val="es-ES" w:eastAsia="es-ES"/>
              </w:rPr>
              <w:t>respectiva</w:t>
            </w:r>
            <w:r w:rsidR="001D317C">
              <w:rPr>
                <w:rFonts w:ascii="Verdana" w:eastAsia="Calibri" w:hAnsi="Verdana" w:cs="Arial"/>
                <w:lang w:val="es-ES" w:eastAsia="es-ES"/>
              </w:rPr>
              <w:t>.</w:t>
            </w:r>
          </w:p>
        </w:tc>
      </w:tr>
    </w:tbl>
    <w:p w14:paraId="567A2D7D" w14:textId="77777777" w:rsidR="007F7C2B" w:rsidRPr="007F7C2B" w:rsidRDefault="007F7C2B" w:rsidP="007F7C2B">
      <w:pPr>
        <w:spacing w:after="0" w:line="276" w:lineRule="auto"/>
        <w:contextualSpacing/>
        <w:jc w:val="both"/>
        <w:rPr>
          <w:rFonts w:ascii="Verdana" w:eastAsia="Times New Roman" w:hAnsi="Verdana" w:cs="Arial"/>
          <w:lang w:eastAsia="es-ES_tradnl"/>
        </w:rPr>
      </w:pPr>
    </w:p>
    <w:p w14:paraId="282FF585" w14:textId="5BAA66C5" w:rsidR="007F7C2B" w:rsidRPr="007F7C2B" w:rsidRDefault="007F7C2B" w:rsidP="007F7C2B">
      <w:pPr>
        <w:tabs>
          <w:tab w:val="left" w:pos="142"/>
          <w:tab w:val="left" w:pos="284"/>
        </w:tabs>
        <w:spacing w:after="0" w:line="276" w:lineRule="auto"/>
        <w:jc w:val="both"/>
        <w:rPr>
          <w:rFonts w:ascii="Verdana" w:eastAsia="Century Gothic" w:hAnsi="Verdana" w:cs="Century Gothic"/>
          <w:b/>
          <w:bCs/>
        </w:rPr>
      </w:pPr>
      <w:r w:rsidRPr="56EC160E">
        <w:rPr>
          <w:rFonts w:ascii="Verdana" w:eastAsia="Century Gothic" w:hAnsi="Verdana" w:cs="Century Gothic"/>
          <w:b/>
          <w:bCs/>
        </w:rPr>
        <w:t>3. Razones de la respuesta</w:t>
      </w:r>
      <w:r w:rsidR="003A3D76">
        <w:rPr>
          <w:rFonts w:ascii="Verdana" w:eastAsia="Century Gothic" w:hAnsi="Verdana" w:cs="Century Gothic"/>
          <w:b/>
          <w:bCs/>
        </w:rPr>
        <w:t>:</w:t>
      </w:r>
    </w:p>
    <w:p w14:paraId="52EAB260" w14:textId="77777777" w:rsidR="007F7C2B" w:rsidRPr="007F7C2B" w:rsidRDefault="007F7C2B" w:rsidP="007F7C2B">
      <w:pPr>
        <w:spacing w:after="0" w:line="276" w:lineRule="auto"/>
        <w:jc w:val="both"/>
        <w:rPr>
          <w:rFonts w:ascii="Verdana" w:eastAsia="Calibri" w:hAnsi="Verdana" w:cs="Arial"/>
          <w:color w:val="7030A0"/>
          <w:lang w:val="es-ES"/>
        </w:rPr>
      </w:pPr>
    </w:p>
    <w:p w14:paraId="10C9FC85" w14:textId="77777777" w:rsidR="007F7C2B" w:rsidRPr="007F7C2B" w:rsidRDefault="007F7C2B" w:rsidP="007F7C2B">
      <w:pPr>
        <w:spacing w:after="0" w:line="276" w:lineRule="auto"/>
        <w:jc w:val="both"/>
        <w:rPr>
          <w:rFonts w:ascii="Verdana" w:eastAsia="Calibri" w:hAnsi="Verdana" w:cs="Arial"/>
          <w:lang w:val="es-ES"/>
        </w:rPr>
      </w:pPr>
      <w:r w:rsidRPr="007F7C2B">
        <w:rPr>
          <w:rFonts w:ascii="Verdana" w:eastAsia="Calibri" w:hAnsi="Verdana" w:cs="Arial"/>
          <w:lang w:val="es-ES"/>
        </w:rPr>
        <w:t xml:space="preserve">Lo anterior se sustenta en las siguientes consideraciones: </w:t>
      </w:r>
    </w:p>
    <w:p w14:paraId="2FE94685" w14:textId="77777777" w:rsidR="007F7C2B" w:rsidRPr="007F7C2B" w:rsidRDefault="007F7C2B" w:rsidP="007F7C2B">
      <w:pPr>
        <w:spacing w:after="0" w:line="276" w:lineRule="auto"/>
        <w:jc w:val="both"/>
        <w:rPr>
          <w:rFonts w:ascii="Verdana" w:eastAsia="Calibri" w:hAnsi="Verdana" w:cs="Arial"/>
          <w:lang w:val="es-ES"/>
        </w:rPr>
      </w:pPr>
    </w:p>
    <w:p w14:paraId="23432BBE" w14:textId="77777777" w:rsidR="007F7C2B" w:rsidRPr="007F7C2B" w:rsidRDefault="007F7C2B" w:rsidP="007F7C2B">
      <w:pPr>
        <w:widowControl w:val="0"/>
        <w:autoSpaceDE w:val="0"/>
        <w:autoSpaceDN w:val="0"/>
        <w:spacing w:after="120" w:line="276" w:lineRule="auto"/>
        <w:jc w:val="both"/>
        <w:rPr>
          <w:rFonts w:ascii="Verdana" w:eastAsia="Arial" w:hAnsi="Verdana" w:cs="Arial"/>
        </w:rPr>
      </w:pPr>
      <w:bookmarkStart w:id="2" w:name="_Hlk98159514"/>
      <w:r w:rsidRPr="007F7C2B">
        <w:rPr>
          <w:rFonts w:ascii="Verdana" w:eastAsia="Arial" w:hAnsi="Verdana" w:cs="Arial"/>
        </w:rPr>
        <w:t>La capacidad residual es una aptitud que se le exige a los oferentes en los procesos de selección de contratistas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r w:rsidRPr="007F7C2B">
        <w:rPr>
          <w:rFonts w:ascii="Verdana" w:eastAsia="Arial" w:hAnsi="Verdana" w:cs="Arial"/>
          <w:vertAlign w:val="superscript"/>
        </w:rPr>
        <w:footnoteReference w:id="1"/>
      </w:r>
      <w:r w:rsidRPr="007F7C2B">
        <w:rPr>
          <w:rFonts w:ascii="Verdana" w:eastAsia="Arial" w:hAnsi="Verdana" w:cs="Arial"/>
        </w:rPr>
        <w:t xml:space="preserve">. </w:t>
      </w:r>
      <w:bookmarkEnd w:id="2"/>
      <w:r w:rsidRPr="007F7C2B">
        <w:rPr>
          <w:rFonts w:ascii="Verdana" w:eastAsia="Arial" w:hAnsi="Verdana" w:cs="Arial"/>
        </w:rPr>
        <w:t>El Consejo de Estado ha definido la capacidad residual como: “la diferencia que existe entre el potencial de contratación que se tiene y los compromisos que haya adquirido y que se encuentren en ejecución, para la fecha de presentación de la oferta”</w:t>
      </w:r>
      <w:r w:rsidRPr="007F7C2B">
        <w:rPr>
          <w:rFonts w:ascii="Verdana" w:eastAsia="Arial" w:hAnsi="Verdana" w:cs="Arial"/>
          <w:vertAlign w:val="superscript"/>
        </w:rPr>
        <w:footnoteReference w:id="2"/>
      </w:r>
      <w:r w:rsidRPr="007F7C2B">
        <w:rPr>
          <w:rFonts w:ascii="Verdana" w:eastAsia="Arial" w:hAnsi="Verdana" w:cs="Arial"/>
        </w:rPr>
        <w:t>.</w:t>
      </w:r>
    </w:p>
    <w:p w14:paraId="74321B7A" w14:textId="43A5D801" w:rsidR="007F7C2B" w:rsidRDefault="007F7C2B" w:rsidP="001D317C">
      <w:pPr>
        <w:widowControl w:val="0"/>
        <w:autoSpaceDE w:val="0"/>
        <w:autoSpaceDN w:val="0"/>
        <w:spacing w:after="0" w:line="276" w:lineRule="auto"/>
        <w:ind w:firstLine="709"/>
        <w:contextualSpacing/>
        <w:jc w:val="both"/>
        <w:rPr>
          <w:rFonts w:ascii="Verdana" w:eastAsia="Arial" w:hAnsi="Verdana" w:cs="Arial"/>
        </w:rPr>
      </w:pPr>
      <w:bookmarkStart w:id="3" w:name="_Hlk98159554"/>
      <w:bookmarkStart w:id="4" w:name="_Hlk97545054"/>
      <w:r w:rsidRPr="007F7C2B">
        <w:rPr>
          <w:rFonts w:ascii="Verdana" w:eastAsia="Arial" w:hAnsi="Verdana" w:cs="Arial"/>
        </w:rPr>
        <w:t>Por su parte, esta Agencia, en los conceptos C-033 del 25 de marzo de 2021 y C-143 del 9 de abril de 2021, definió la capacidad residual como la suficiencia que se predica del proponente para asumir nuevas obligaciones que se derivan del contrato objeto del proceso de contratación, en relación con las obligaciones que ha adquirido simultáneamente en contratos ya perfeccionados y en ejecución.</w:t>
      </w:r>
      <w:bookmarkEnd w:id="3"/>
      <w:r w:rsidRPr="007F7C2B">
        <w:rPr>
          <w:rFonts w:ascii="Verdana" w:eastAsia="Arial" w:hAnsi="Verdana" w:cs="Arial"/>
        </w:rPr>
        <w:t xml:space="preserve"> </w:t>
      </w:r>
      <w:bookmarkEnd w:id="4"/>
      <w:r w:rsidRPr="007F7C2B">
        <w:rPr>
          <w:rFonts w:ascii="Verdana" w:eastAsia="Arial" w:hAnsi="Verdana" w:cs="Arial"/>
        </w:rPr>
        <w:t>La exigencia de la capacidad residual o K de contratación está regulada en la Ley 1150 de 2007, que en el parágrafo 1° del artículo 6 dispone:</w:t>
      </w:r>
    </w:p>
    <w:p w14:paraId="13EC2403" w14:textId="77777777" w:rsidR="001D317C" w:rsidRPr="001D317C" w:rsidRDefault="001D317C" w:rsidP="001D317C">
      <w:pPr>
        <w:widowControl w:val="0"/>
        <w:autoSpaceDE w:val="0"/>
        <w:autoSpaceDN w:val="0"/>
        <w:spacing w:after="0" w:line="276" w:lineRule="auto"/>
        <w:ind w:firstLine="709"/>
        <w:contextualSpacing/>
        <w:jc w:val="both"/>
        <w:rPr>
          <w:rFonts w:ascii="Verdana" w:eastAsia="Arial" w:hAnsi="Verdana" w:cs="Arial"/>
        </w:rPr>
      </w:pPr>
    </w:p>
    <w:p w14:paraId="4154FE32"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“Para poder participar en los procesos de selección de los contratos de </w:t>
      </w:r>
      <w:r w:rsidRPr="00D67434">
        <w:rPr>
          <w:rFonts w:ascii="Verdana" w:eastAsia="Calibri" w:hAnsi="Verdana" w:cs="Arial"/>
          <w:color w:val="000000"/>
          <w:sz w:val="20"/>
          <w:szCs w:val="20"/>
          <w:lang w:val="es-ES"/>
        </w:rPr>
        <w:lastRenderedPageBreak/>
        <w:t>obra y demás que señale el reglamento, la capacidad residual del proponente o K de contratación deberá ser igual o superior al que la entidad haya establecido para el efecto en los pliegos de condiciones.</w:t>
      </w:r>
    </w:p>
    <w:p w14:paraId="74A8AD23"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060703EA"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8102E16" w14:textId="77777777" w:rsidR="007F7C2B" w:rsidRPr="007F7C2B" w:rsidRDefault="007F7C2B" w:rsidP="007F7C2B">
      <w:pPr>
        <w:widowControl w:val="0"/>
        <w:autoSpaceDE w:val="0"/>
        <w:autoSpaceDN w:val="0"/>
        <w:spacing w:after="0" w:line="276" w:lineRule="auto"/>
        <w:contextualSpacing/>
        <w:jc w:val="both"/>
        <w:rPr>
          <w:rFonts w:ascii="Verdana" w:eastAsia="Arial" w:hAnsi="Verdana" w:cs="Arial"/>
          <w:color w:val="FF0000"/>
          <w:lang w:val="es-ES"/>
        </w:rPr>
      </w:pPr>
    </w:p>
    <w:p w14:paraId="57B70195" w14:textId="77777777" w:rsidR="007F7C2B" w:rsidRPr="007F7C2B" w:rsidRDefault="007F7C2B" w:rsidP="007F7C2B">
      <w:pPr>
        <w:widowControl w:val="0"/>
        <w:autoSpaceDE w:val="0"/>
        <w:autoSpaceDN w:val="0"/>
        <w:spacing w:after="0" w:line="276" w:lineRule="auto"/>
        <w:ind w:firstLine="709"/>
        <w:contextualSpacing/>
        <w:jc w:val="both"/>
        <w:rPr>
          <w:rFonts w:ascii="Verdana" w:eastAsia="Arial" w:hAnsi="Verdana" w:cs="Arial"/>
        </w:rPr>
      </w:pPr>
      <w:r w:rsidRPr="007F7C2B">
        <w:rPr>
          <w:rFonts w:ascii="Verdana" w:eastAsia="Arial" w:hAnsi="Verdana" w:cs="Arial"/>
        </w:rPr>
        <w:t>Con posterioridad, el artículo 72 de la Ley 1682 de 2013 estableció, de forma más precisa, los componentes que se deben tener en cuenta para calcular la capacidad residual en procesos contractuales de obra pública de la siguiente forma:</w:t>
      </w:r>
    </w:p>
    <w:p w14:paraId="22C48786" w14:textId="77777777" w:rsidR="007F7C2B" w:rsidRPr="007F7C2B" w:rsidRDefault="007F7C2B" w:rsidP="007F7C2B">
      <w:pPr>
        <w:widowControl w:val="0"/>
        <w:autoSpaceDE w:val="0"/>
        <w:autoSpaceDN w:val="0"/>
        <w:spacing w:after="0" w:line="276" w:lineRule="auto"/>
        <w:contextualSpacing/>
        <w:jc w:val="both"/>
        <w:rPr>
          <w:rFonts w:ascii="Verdana" w:eastAsia="Arial" w:hAnsi="Verdana" w:cs="Arial"/>
          <w:color w:val="FF0000"/>
          <w:lang w:val="es-ES"/>
        </w:rPr>
      </w:pPr>
    </w:p>
    <w:p w14:paraId="688FE3B6"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“Capacidad residual de contratación para contratos de obra pública. La capacidad residual de contratación cuando se realicen contratos de obra pública se obtendrá de sustraer de la capacidad de contratación, el saldo del valor de los contratos en ejecución.</w:t>
      </w:r>
    </w:p>
    <w:p w14:paraId="731FBA9F"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2347491E"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La capacidad de contratación se deberá calcular mediante la evaluación de los siguientes factores: Experiencia (E), Capacidad Financiera (CF), Capacidad Técnica (CT), y Capacidad de Organización (CO).</w:t>
      </w:r>
    </w:p>
    <w:p w14:paraId="00CCD859"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4D9476A5"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El Gobierno Nacional reglamentará la materia, dentro de los sesenta (60) días siguientes a la promulgación de la presente ley, acudiendo al concepto técnico de la Sociedad Colombiana de ingenieros, en virtud de la Ley 46 de 1904, para propender por una reglamentación equitativa en la implementación de mínimos y máximos que garanticen los derechos de los pequeños contratistas”. </w:t>
      </w:r>
    </w:p>
    <w:p w14:paraId="53986724" w14:textId="77777777" w:rsidR="007F7C2B" w:rsidRPr="007F7C2B" w:rsidRDefault="007F7C2B" w:rsidP="007F7C2B">
      <w:pPr>
        <w:widowControl w:val="0"/>
        <w:autoSpaceDE w:val="0"/>
        <w:autoSpaceDN w:val="0"/>
        <w:spacing w:after="0" w:line="276" w:lineRule="auto"/>
        <w:contextualSpacing/>
        <w:jc w:val="both"/>
        <w:rPr>
          <w:rFonts w:ascii="Verdana" w:eastAsia="Arial" w:hAnsi="Verdana" w:cs="Arial"/>
          <w:color w:val="FF0000"/>
          <w:lang w:val="es-ES"/>
        </w:rPr>
      </w:pPr>
    </w:p>
    <w:p w14:paraId="18B9B529" w14:textId="77777777" w:rsidR="007F7C2B" w:rsidRPr="007F7C2B" w:rsidRDefault="007F7C2B" w:rsidP="007F7C2B">
      <w:pPr>
        <w:widowControl w:val="0"/>
        <w:tabs>
          <w:tab w:val="left" w:pos="3119"/>
        </w:tabs>
        <w:autoSpaceDE w:val="0"/>
        <w:autoSpaceDN w:val="0"/>
        <w:spacing w:after="0" w:line="276" w:lineRule="auto"/>
        <w:ind w:firstLine="709"/>
        <w:contextualSpacing/>
        <w:jc w:val="both"/>
        <w:rPr>
          <w:rFonts w:ascii="Verdana" w:eastAsia="Arial" w:hAnsi="Verdana" w:cs="Arial"/>
        </w:rPr>
      </w:pPr>
      <w:r w:rsidRPr="007F7C2B">
        <w:rPr>
          <w:rFonts w:ascii="Verdana" w:eastAsia="Arial" w:hAnsi="Verdana" w:cs="Arial"/>
        </w:rPr>
        <w:t>Más tarde, el Decreto 1510 de 2013 recogió lo regulado en la Ley 1682 de 2013, y estableció una nueva definición de la capacidad residual en su artículo 3, señalando lo siguiente:</w:t>
      </w:r>
    </w:p>
    <w:p w14:paraId="27679AA5" w14:textId="77777777" w:rsidR="007F7C2B" w:rsidRPr="007F7C2B" w:rsidRDefault="007F7C2B" w:rsidP="007F7C2B">
      <w:pPr>
        <w:widowControl w:val="0"/>
        <w:autoSpaceDE w:val="0"/>
        <w:autoSpaceDN w:val="0"/>
        <w:spacing w:after="0" w:line="276" w:lineRule="auto"/>
        <w:contextualSpacing/>
        <w:jc w:val="both"/>
        <w:rPr>
          <w:rFonts w:ascii="Verdana" w:eastAsia="Arial" w:hAnsi="Verdana" w:cs="Arial"/>
          <w:lang w:val="es-ES"/>
        </w:rPr>
      </w:pPr>
    </w:p>
    <w:p w14:paraId="4CA480FC"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“Artículo 3. Definiciones. Los términos no definidos en el presente decreto y utilizados frecuentemente deben entenderse de acuerdo con su significado natural y obvio. Para la interpretación del presente decreto, las expresiones aquí utilizadas con mayúscula inicial deben ser entendidas con el significado que a continuación se indica. Los términos definidos son utilizados en singular y en plural de acuerdo como lo requiera el contexto en el cual son utilizados.</w:t>
      </w:r>
    </w:p>
    <w:p w14:paraId="5DF5239A"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2063C5E8"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i/>
          <w:iCs/>
          <w:color w:val="000000"/>
          <w:sz w:val="20"/>
          <w:szCs w:val="20"/>
          <w:lang w:val="es-ES"/>
        </w:rPr>
        <w:lastRenderedPageBreak/>
        <w:t>Capacidad Residual o K de Contratación es la aptitud de un oferente para cumplir oportuna y cabalmente con el objeto de un contrato de obra, sin que sus otros compromisos contractuales afecten su habilidad de cumplir con el contrato que está en proceso de selección”.</w:t>
      </w:r>
      <w:r w:rsidRPr="00D67434">
        <w:rPr>
          <w:rFonts w:ascii="Verdana" w:eastAsia="Calibri" w:hAnsi="Verdana" w:cs="Arial"/>
          <w:color w:val="000000"/>
          <w:sz w:val="20"/>
          <w:szCs w:val="20"/>
          <w:lang w:val="es-ES"/>
        </w:rPr>
        <w:t xml:space="preserve"> (Cursiva fuera del texto original). </w:t>
      </w:r>
    </w:p>
    <w:p w14:paraId="2EAC0B88" w14:textId="77777777" w:rsidR="007F7C2B" w:rsidRPr="007F7C2B" w:rsidRDefault="007F7C2B" w:rsidP="007F7C2B">
      <w:pPr>
        <w:widowControl w:val="0"/>
        <w:autoSpaceDE w:val="0"/>
        <w:autoSpaceDN w:val="0"/>
        <w:spacing w:after="0" w:line="276" w:lineRule="auto"/>
        <w:ind w:left="1008" w:right="956"/>
        <w:contextualSpacing/>
        <w:jc w:val="both"/>
        <w:rPr>
          <w:rFonts w:ascii="Verdana" w:eastAsia="Arial" w:hAnsi="Verdana" w:cs="Arial"/>
          <w:lang w:val="es-ES"/>
        </w:rPr>
      </w:pPr>
    </w:p>
    <w:p w14:paraId="1943275E" w14:textId="77777777" w:rsidR="007F7C2B" w:rsidRPr="007F7C2B" w:rsidRDefault="007F7C2B" w:rsidP="007F7C2B">
      <w:pPr>
        <w:widowControl w:val="0"/>
        <w:autoSpaceDE w:val="0"/>
        <w:autoSpaceDN w:val="0"/>
        <w:spacing w:after="120" w:line="276" w:lineRule="auto"/>
        <w:ind w:firstLine="709"/>
        <w:jc w:val="both"/>
        <w:rPr>
          <w:rFonts w:ascii="Verdana" w:eastAsia="Arial" w:hAnsi="Verdana" w:cs="Arial"/>
        </w:rPr>
      </w:pPr>
      <w:r w:rsidRPr="007F7C2B">
        <w:rPr>
          <w:rFonts w:ascii="Verdana" w:eastAsia="Arial" w:hAnsi="Verdana" w:cs="Arial"/>
        </w:rPr>
        <w:t xml:space="preserve">Finalmente, el artículo anterior fue modificado por el artículo 1 del Decreto 791 de 2014 y compilado en el Decreto 1082 de 2015, Único del Sector de Planeación Nacional. En consecuencia, el texto definitivo que se encuentra vigente en la actualidad es el contenido en los artículos 2.2.1.1.1.3.1 y 2.2.1.1.1.6.4. del Decreto 1082 de 2015, que recoge el desarrollo legislativo de la capacidad residual, en especial los componentes establecidos por la Ley 1682 de 2013. </w:t>
      </w:r>
    </w:p>
    <w:p w14:paraId="4049F526" w14:textId="77777777" w:rsidR="007F7C2B" w:rsidRPr="007F7C2B" w:rsidRDefault="007F7C2B" w:rsidP="007F7C2B">
      <w:pPr>
        <w:widowControl w:val="0"/>
        <w:autoSpaceDE w:val="0"/>
        <w:autoSpaceDN w:val="0"/>
        <w:spacing w:after="120" w:line="276" w:lineRule="auto"/>
        <w:ind w:firstLine="709"/>
        <w:jc w:val="both"/>
        <w:rPr>
          <w:rFonts w:ascii="Verdana" w:eastAsia="Arial" w:hAnsi="Verdana" w:cs="Arial"/>
        </w:rPr>
      </w:pPr>
      <w:r w:rsidRPr="007F7C2B">
        <w:rPr>
          <w:rFonts w:ascii="Verdana" w:eastAsia="Arial" w:hAnsi="Verdana" w:cs="Arial"/>
        </w:rPr>
        <w:t xml:space="preserve">Por un lado, el artículo 2.2.1.1.1.3.1 del Decreto 1082 de 2015 define la capacidad residual como: “Aptitud de un oferente para cumplir oportuna y cabalmente con el objeto de un contrato de obra, sin que sus otros compromisos contractuales afecten su habilidad de cumplir con el contrato que está en proceso de selección”. </w:t>
      </w:r>
    </w:p>
    <w:p w14:paraId="704E8EE4" w14:textId="77777777" w:rsidR="007F7C2B" w:rsidRPr="007F7C2B" w:rsidRDefault="007F7C2B" w:rsidP="007F7C2B">
      <w:pPr>
        <w:widowControl w:val="0"/>
        <w:autoSpaceDE w:val="0"/>
        <w:autoSpaceDN w:val="0"/>
        <w:spacing w:after="0" w:line="276" w:lineRule="auto"/>
        <w:ind w:firstLine="709"/>
        <w:contextualSpacing/>
        <w:jc w:val="both"/>
        <w:rPr>
          <w:rFonts w:ascii="Verdana" w:eastAsia="Arial" w:hAnsi="Verdana" w:cs="Arial"/>
        </w:rPr>
      </w:pPr>
      <w:r w:rsidRPr="007F7C2B">
        <w:rPr>
          <w:rFonts w:ascii="Verdana" w:eastAsia="Arial" w:hAnsi="Verdana" w:cs="Arial"/>
        </w:rPr>
        <w:t xml:space="preserve">Por su parte, el artículo 2.2.1.1.1.6.4. del Decreto 1082 de 2015 señala la información que debe entregar el proponente interesado en un proceso de contratación para acreditar su Capacidad Residual, de la siguiente forma: </w:t>
      </w:r>
    </w:p>
    <w:p w14:paraId="10CCA3BD" w14:textId="77777777" w:rsidR="007F7C2B" w:rsidRPr="007F7C2B" w:rsidRDefault="007F7C2B" w:rsidP="007F7C2B">
      <w:pPr>
        <w:widowControl w:val="0"/>
        <w:autoSpaceDE w:val="0"/>
        <w:autoSpaceDN w:val="0"/>
        <w:spacing w:after="0" w:line="276" w:lineRule="auto"/>
        <w:ind w:firstLine="709"/>
        <w:contextualSpacing/>
        <w:jc w:val="both"/>
        <w:rPr>
          <w:rFonts w:ascii="Verdana" w:eastAsia="Arial" w:hAnsi="Verdana" w:cs="Arial"/>
          <w:lang w:val="es-ES"/>
        </w:rPr>
      </w:pPr>
    </w:p>
    <w:p w14:paraId="15B23426"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“El interesado en celebrar contratos de obra pública con Entidades Estatales debe acreditar su Capacidad Residual o K de Contratación con los siguientes documentos:  </w:t>
      </w:r>
    </w:p>
    <w:p w14:paraId="708748E7"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1104C17A"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1. </w:t>
      </w:r>
      <w:r w:rsidRPr="00D67434">
        <w:rPr>
          <w:rFonts w:ascii="Verdana" w:eastAsia="Calibri" w:hAnsi="Verdana" w:cs="Arial"/>
          <w:i/>
          <w:iCs/>
          <w:color w:val="000000"/>
          <w:sz w:val="20"/>
          <w:szCs w:val="20"/>
          <w:lang w:val="es-ES"/>
        </w:rPr>
        <w:t>La lista de los contratos de obras civiles en ejecución suscritos con Entidades Estatales y con entidades privadas</w:t>
      </w:r>
      <w:r w:rsidRPr="00D67434">
        <w:rPr>
          <w:rFonts w:ascii="Verdana" w:eastAsia="Calibri" w:hAnsi="Verdana" w:cs="Arial"/>
          <w:color w:val="000000"/>
          <w:sz w:val="20"/>
          <w:szCs w:val="20"/>
          <w:lang w:val="es-ES"/>
        </w:rPr>
        <w:t>, así como el valor y plazo de tales contratos, incluyendo contratos de concesión y los contratos de obra suscritos con concesionarios.  </w:t>
      </w:r>
    </w:p>
    <w:p w14:paraId="7E7F2D06"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6FEF38DC"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2. </w:t>
      </w:r>
      <w:r w:rsidRPr="00D67434">
        <w:rPr>
          <w:rFonts w:ascii="Verdana" w:eastAsia="Calibri" w:hAnsi="Verdana" w:cs="Arial"/>
          <w:i/>
          <w:iCs/>
          <w:color w:val="000000"/>
          <w:sz w:val="20"/>
          <w:szCs w:val="20"/>
          <w:lang w:val="es-ES"/>
        </w:rPr>
        <w:t>La lista de los contratos de obras civiles en ejecución, suscritos por sociedades, consorcios o uniones temporales, en los cuales el proponente tenga participación, con Entidades Estatales y con entidades privadas</w:t>
      </w:r>
      <w:r w:rsidRPr="00D67434">
        <w:rPr>
          <w:rFonts w:ascii="Verdana" w:eastAsia="Calibri" w:hAnsi="Verdana" w:cs="Arial"/>
          <w:color w:val="000000"/>
          <w:sz w:val="20"/>
          <w:szCs w:val="20"/>
          <w:lang w:val="es-ES"/>
        </w:rPr>
        <w:t>, así como el valor y plazo de tales contratos, incluyendo los contratos de concesión y los contratos de obra suscritos con concesionarios. […]”. (Cursivas fuera del texto original).</w:t>
      </w:r>
    </w:p>
    <w:p w14:paraId="47654F86" w14:textId="77777777" w:rsidR="007F7C2B" w:rsidRPr="00D67434" w:rsidRDefault="007F7C2B" w:rsidP="007F7C2B">
      <w:pPr>
        <w:spacing w:after="0" w:line="276" w:lineRule="auto"/>
        <w:ind w:left="850" w:right="850"/>
        <w:contextualSpacing/>
        <w:jc w:val="both"/>
        <w:rPr>
          <w:rFonts w:ascii="Verdana" w:eastAsia="Calibri" w:hAnsi="Verdana" w:cs="Arial"/>
          <w:i/>
          <w:iCs/>
          <w:color w:val="FF0000"/>
          <w:sz w:val="20"/>
          <w:szCs w:val="20"/>
          <w:lang w:eastAsia="es-CO"/>
        </w:rPr>
      </w:pPr>
    </w:p>
    <w:p w14:paraId="14A8AE69" w14:textId="77777777" w:rsidR="007F7C2B" w:rsidRPr="007F7C2B" w:rsidRDefault="007F7C2B" w:rsidP="007F7C2B">
      <w:pPr>
        <w:widowControl w:val="0"/>
        <w:autoSpaceDE w:val="0"/>
        <w:autoSpaceDN w:val="0"/>
        <w:spacing w:after="120" w:line="276" w:lineRule="auto"/>
        <w:ind w:firstLine="709"/>
        <w:jc w:val="both"/>
        <w:rPr>
          <w:rFonts w:ascii="Verdana" w:eastAsia="Arial" w:hAnsi="Verdana" w:cs="Arial"/>
        </w:rPr>
      </w:pPr>
      <w:r w:rsidRPr="007F7C2B">
        <w:rPr>
          <w:rFonts w:ascii="Verdana" w:eastAsia="Arial" w:hAnsi="Verdana" w:cs="Arial"/>
        </w:rPr>
        <w:t xml:space="preserve">El artículo citado establece que el interesado debe allegar la lista de contratos, concretamente, de obras civiles, suscritos con entidades públicas o con privados, limitando de esta forma los contratos a tener en cuenta para </w:t>
      </w:r>
      <w:r w:rsidRPr="007F7C2B">
        <w:rPr>
          <w:rFonts w:ascii="Verdana" w:eastAsia="Arial" w:hAnsi="Verdana" w:cs="Arial"/>
        </w:rPr>
        <w:lastRenderedPageBreak/>
        <w:t xml:space="preserve">calcular la capacidad residual de un proponente únicamente a los contratos de obra y excluyendo para su cálculo los contratos de otra tipología diferente; sin perjuicio de lo establecido en relación con los contratos de concesión.    </w:t>
      </w:r>
    </w:p>
    <w:p w14:paraId="2637A6BF" w14:textId="77777777" w:rsidR="007F7C2B" w:rsidRPr="007F7C2B" w:rsidRDefault="007F7C2B" w:rsidP="007F7C2B">
      <w:pPr>
        <w:widowControl w:val="0"/>
        <w:autoSpaceDE w:val="0"/>
        <w:autoSpaceDN w:val="0"/>
        <w:spacing w:after="120" w:line="276" w:lineRule="auto"/>
        <w:ind w:firstLine="709"/>
        <w:jc w:val="both"/>
        <w:rPr>
          <w:rFonts w:ascii="Verdana" w:eastAsia="Arial" w:hAnsi="Verdana" w:cs="Arial"/>
        </w:rPr>
      </w:pPr>
      <w:bookmarkStart w:id="5" w:name="_Hlk98159579"/>
      <w:bookmarkStart w:id="6" w:name="_Hlk97547169"/>
      <w:r w:rsidRPr="007F7C2B">
        <w:rPr>
          <w:rFonts w:ascii="Verdana" w:eastAsia="Arial" w:hAnsi="Verdana" w:cs="Arial"/>
        </w:rPr>
        <w:t>Del recuento realizado hasta aquí se concluye que la capacidad residual se entiende como la suficiencia que se predica del proponente para asumir y cumplir de manera oportuna y a cabalidad con las nuevas obligaciones que se derivan del contrato objeto del proceso de contratación, en relación con las obligaciones que ha adquirido simultáneamente en otros contratos. Así mismo, de acuerdo con la reglamentación vigente, para su cálculo se tienen en cuenta solamente los contratos de obras civiles, por lo cual, el interesado deberá aportar únicamente los documentos de los contratos en ejecución de este tipo</w:t>
      </w:r>
      <w:bookmarkEnd w:id="5"/>
      <w:r w:rsidRPr="007F7C2B">
        <w:rPr>
          <w:rFonts w:ascii="Verdana" w:eastAsia="Arial" w:hAnsi="Verdana" w:cs="Arial"/>
        </w:rPr>
        <w:t xml:space="preserve">, conforme se procede a exponer. </w:t>
      </w:r>
    </w:p>
    <w:bookmarkEnd w:id="6"/>
    <w:p w14:paraId="4004B47E" w14:textId="77777777" w:rsidR="007F7C2B" w:rsidRPr="007F7C2B" w:rsidRDefault="007F7C2B" w:rsidP="007F7C2B">
      <w:pPr>
        <w:widowControl w:val="0"/>
        <w:autoSpaceDE w:val="0"/>
        <w:autoSpaceDN w:val="0"/>
        <w:spacing w:after="120" w:line="276" w:lineRule="auto"/>
        <w:ind w:firstLine="708"/>
        <w:contextualSpacing/>
        <w:jc w:val="both"/>
        <w:rPr>
          <w:rFonts w:ascii="Verdana" w:eastAsia="Arial" w:hAnsi="Verdana" w:cs="Arial"/>
        </w:rPr>
      </w:pPr>
      <w:r w:rsidRPr="007F7C2B">
        <w:rPr>
          <w:rFonts w:ascii="Verdana" w:eastAsia="Arial" w:hAnsi="Verdana" w:cs="Arial"/>
        </w:rPr>
        <w:t xml:space="preserve">El artículo 72 de la Ley 1682 de 2013, por la cual se adoptan medidas y disposiciones para los proyectos de infraestructura de transporte, establece frente a la forma en que se calcula la capacidad residual: </w:t>
      </w:r>
    </w:p>
    <w:p w14:paraId="0F8D2E14" w14:textId="77777777" w:rsidR="007F7C2B" w:rsidRPr="00D67434" w:rsidRDefault="007F7C2B" w:rsidP="007F7C2B">
      <w:pPr>
        <w:widowControl w:val="0"/>
        <w:autoSpaceDE w:val="0"/>
        <w:autoSpaceDN w:val="0"/>
        <w:spacing w:after="0" w:line="276" w:lineRule="auto"/>
        <w:contextualSpacing/>
        <w:jc w:val="both"/>
        <w:rPr>
          <w:rFonts w:ascii="Verdana" w:eastAsia="Arial" w:hAnsi="Verdana" w:cs="Arial"/>
          <w:sz w:val="20"/>
          <w:szCs w:val="20"/>
        </w:rPr>
      </w:pPr>
    </w:p>
    <w:p w14:paraId="362D62BF"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 “La capacidad residual de contratación cuando se realicen contratos de obra pública se obtendrá de sustraer de la capacidad de contratación, el saldo del valor de los contratos en ejecución.</w:t>
      </w:r>
    </w:p>
    <w:p w14:paraId="06321D0C"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4B90F8CD"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La capacidad de contratación se deberá calcular mediante la evaluación de los siguientes factores: Experiencia (E), Capacidad Financiera (CF), Capacidad Técnica (CT), y Capacidad de Organización (CO) […]”. </w:t>
      </w:r>
    </w:p>
    <w:p w14:paraId="13A5A718" w14:textId="77777777" w:rsidR="007F7C2B" w:rsidRPr="007F7C2B" w:rsidRDefault="007F7C2B" w:rsidP="007F7C2B">
      <w:pPr>
        <w:widowControl w:val="0"/>
        <w:autoSpaceDE w:val="0"/>
        <w:autoSpaceDN w:val="0"/>
        <w:spacing w:after="0" w:line="240" w:lineRule="auto"/>
        <w:ind w:left="709" w:right="709"/>
        <w:contextualSpacing/>
        <w:jc w:val="both"/>
        <w:rPr>
          <w:rFonts w:ascii="Verdana" w:eastAsia="Arial" w:hAnsi="Verdana" w:cs="Arial"/>
          <w:lang w:val="es-ES"/>
        </w:rPr>
      </w:pPr>
    </w:p>
    <w:p w14:paraId="5507F64B" w14:textId="77777777" w:rsidR="007F7C2B" w:rsidRPr="007F7C2B" w:rsidRDefault="007F7C2B" w:rsidP="007F7C2B">
      <w:pPr>
        <w:widowControl w:val="0"/>
        <w:autoSpaceDE w:val="0"/>
        <w:autoSpaceDN w:val="0"/>
        <w:spacing w:after="0" w:line="276" w:lineRule="auto"/>
        <w:ind w:firstLine="709"/>
        <w:contextualSpacing/>
        <w:jc w:val="both"/>
        <w:rPr>
          <w:rFonts w:ascii="Verdana" w:eastAsia="Arial" w:hAnsi="Verdana" w:cs="Arial"/>
        </w:rPr>
      </w:pPr>
      <w:r w:rsidRPr="007F7C2B">
        <w:rPr>
          <w:rFonts w:ascii="Verdana" w:eastAsia="Arial" w:hAnsi="Verdana" w:cs="Arial"/>
        </w:rPr>
        <w:t xml:space="preserve">Por su parte, </w:t>
      </w:r>
      <w:bookmarkStart w:id="7" w:name="_Hlk97547683"/>
      <w:r w:rsidRPr="007F7C2B">
        <w:rPr>
          <w:rFonts w:ascii="Verdana" w:eastAsia="Arial" w:hAnsi="Verdana" w:cs="Arial"/>
        </w:rPr>
        <w:t>el artículo 2.2.1.1.1.6.4 del Decreto 1082 de 2015 dispuso que las entidades estatales deben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w:t>
      </w:r>
      <w:bookmarkEnd w:id="7"/>
      <w:r w:rsidRPr="007F7C2B">
        <w:rPr>
          <w:rFonts w:ascii="Verdana" w:eastAsia="Arial" w:hAnsi="Verdana" w:cs="Arial"/>
        </w:rPr>
        <w:t>, así:</w:t>
      </w:r>
    </w:p>
    <w:p w14:paraId="2D808C64" w14:textId="77777777" w:rsidR="007F7C2B" w:rsidRPr="007F7C2B" w:rsidRDefault="007F7C2B" w:rsidP="007F7C2B">
      <w:pPr>
        <w:widowControl w:val="0"/>
        <w:autoSpaceDE w:val="0"/>
        <w:autoSpaceDN w:val="0"/>
        <w:spacing w:after="0" w:line="276" w:lineRule="auto"/>
        <w:ind w:right="49"/>
        <w:contextualSpacing/>
        <w:jc w:val="both"/>
        <w:rPr>
          <w:rFonts w:ascii="Verdana" w:eastAsia="Arial" w:hAnsi="Verdana" w:cs="Arial"/>
        </w:rPr>
      </w:pPr>
    </w:p>
    <w:p w14:paraId="37969672"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“El interesado en celebrar contratos de obra pública con Entidades Estatales debe acreditar su Capacidad Residual o K de Contratación con los siguientes documentos: </w:t>
      </w:r>
    </w:p>
    <w:p w14:paraId="27165D25"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w:t>
      </w:r>
    </w:p>
    <w:p w14:paraId="20002418"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 </w:t>
      </w:r>
    </w:p>
    <w:p w14:paraId="4075636B" w14:textId="77777777" w:rsidR="007F7C2B" w:rsidRPr="007F7C2B" w:rsidRDefault="007F7C2B" w:rsidP="007F7C2B">
      <w:pPr>
        <w:widowControl w:val="0"/>
        <w:autoSpaceDE w:val="0"/>
        <w:autoSpaceDN w:val="0"/>
        <w:spacing w:after="0" w:line="276" w:lineRule="auto"/>
        <w:ind w:right="49"/>
        <w:contextualSpacing/>
        <w:jc w:val="both"/>
        <w:rPr>
          <w:rFonts w:ascii="Verdana" w:eastAsia="Arial" w:hAnsi="Verdana" w:cs="Arial"/>
          <w:color w:val="FF0000"/>
        </w:rPr>
      </w:pPr>
    </w:p>
    <w:p w14:paraId="7273CA46" w14:textId="77777777" w:rsidR="007F7C2B" w:rsidRPr="007F7C2B" w:rsidRDefault="007F7C2B" w:rsidP="007F7C2B">
      <w:pPr>
        <w:widowControl w:val="0"/>
        <w:autoSpaceDE w:val="0"/>
        <w:autoSpaceDN w:val="0"/>
        <w:spacing w:after="0" w:line="276" w:lineRule="auto"/>
        <w:ind w:firstLine="709"/>
        <w:contextualSpacing/>
        <w:jc w:val="both"/>
        <w:rPr>
          <w:rFonts w:ascii="Verdana" w:eastAsia="Arial" w:hAnsi="Verdana" w:cs="Arial"/>
        </w:rPr>
      </w:pPr>
      <w:bookmarkStart w:id="8" w:name="_Hlk98159657"/>
      <w:bookmarkStart w:id="9" w:name="_Hlk97547847"/>
      <w:r w:rsidRPr="007F7C2B">
        <w:rPr>
          <w:rFonts w:ascii="Verdana" w:eastAsia="Arial" w:hAnsi="Verdana" w:cs="Arial"/>
        </w:rPr>
        <w:t>Así mismo, esta Agencia expidió la “Guía para Determinar y Verificar la Capacidad Residual del Proponente en los Procesos de Contratación de Obra Pública”, en la cual dispone, entre otras cuestiones, que a la entidad contratante le corresponde, primero, establecer la capacidad residual del proceso de contratación “CRPC” y, segundo, determinar si los proponentes cumplen con la capacidad residual del proceso de contratación</w:t>
      </w:r>
      <w:bookmarkEnd w:id="8"/>
      <w:r w:rsidRPr="007F7C2B">
        <w:rPr>
          <w:rFonts w:ascii="Verdana" w:eastAsia="Arial" w:hAnsi="Verdana" w:cs="Arial"/>
        </w:rPr>
        <w:t>, teniendo en cuenta la siguiente información aportada por el proponente:</w:t>
      </w:r>
    </w:p>
    <w:p w14:paraId="5F23C76E" w14:textId="77777777" w:rsidR="007F7C2B" w:rsidRPr="00D67434" w:rsidRDefault="007F7C2B" w:rsidP="007F7C2B">
      <w:pPr>
        <w:widowControl w:val="0"/>
        <w:autoSpaceDE w:val="0"/>
        <w:autoSpaceDN w:val="0"/>
        <w:spacing w:after="0" w:line="276" w:lineRule="auto"/>
        <w:ind w:left="709" w:right="760"/>
        <w:contextualSpacing/>
        <w:jc w:val="both"/>
        <w:rPr>
          <w:rFonts w:ascii="Verdana" w:eastAsia="Arial" w:hAnsi="Verdana" w:cs="Arial"/>
          <w:sz w:val="20"/>
          <w:szCs w:val="20"/>
        </w:rPr>
      </w:pPr>
    </w:p>
    <w:p w14:paraId="7AA6A54B" w14:textId="77777777" w:rsidR="007F7C2B"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“El proponente debe presentar un certificado suscrito por su representante legal y su revisor fiscal, si el proponente está obligado a tenerlo, o por el Contador Público o auditor independiente, para lo cual se sugiere el formato establecido en el Anexo 3 de la presente Guía.  El certificado deberá contener la lista de los Contratos en Ejecución, tanto a nivel nacional como internacional, indicando:  </w:t>
      </w:r>
    </w:p>
    <w:p w14:paraId="53F6892F" w14:textId="77777777" w:rsidR="00D67434" w:rsidRPr="00D67434" w:rsidRDefault="00D67434"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p>
    <w:p w14:paraId="66202262"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 El valor del contrato en pesos colombianos.  </w:t>
      </w:r>
    </w:p>
    <w:p w14:paraId="79D3F86B"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 El plazo de ejecución del contrato en meses.  </w:t>
      </w:r>
    </w:p>
    <w:p w14:paraId="53EE1383"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 La fecha de inicio de las obras objeto del contrato: día, mes, año.  </w:t>
      </w:r>
    </w:p>
    <w:p w14:paraId="6F6F5F21"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xml:space="preserve">• Si la obra la ejecuta un consorcio o unión temporal, el porcentaje de participación del oferente que presenta el certificado.  </w:t>
      </w:r>
    </w:p>
    <w:p w14:paraId="1EA16D53"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 Si el contrato se encuentra suspendido, y si es así, la fecha de suspensión. En todo caso, si el contrato está suspendido el proponente debe informar el saldo pendiente por ejecutar.”.</w:t>
      </w:r>
    </w:p>
    <w:bookmarkEnd w:id="9"/>
    <w:p w14:paraId="31EBD834" w14:textId="77777777" w:rsidR="007F7C2B" w:rsidRPr="007F7C2B" w:rsidRDefault="007F7C2B" w:rsidP="007F7C2B">
      <w:pPr>
        <w:widowControl w:val="0"/>
        <w:autoSpaceDE w:val="0"/>
        <w:autoSpaceDN w:val="0"/>
        <w:spacing w:after="0" w:line="276" w:lineRule="auto"/>
        <w:ind w:right="51"/>
        <w:contextualSpacing/>
        <w:jc w:val="both"/>
        <w:rPr>
          <w:rFonts w:ascii="Verdana" w:eastAsia="Arial" w:hAnsi="Verdana" w:cs="Arial"/>
        </w:rPr>
      </w:pPr>
    </w:p>
    <w:p w14:paraId="3FD20E92" w14:textId="77777777" w:rsidR="007F7C2B" w:rsidRPr="007F7C2B" w:rsidRDefault="007F7C2B" w:rsidP="007F7C2B">
      <w:pPr>
        <w:widowControl w:val="0"/>
        <w:autoSpaceDE w:val="0"/>
        <w:autoSpaceDN w:val="0"/>
        <w:spacing w:after="0" w:line="276" w:lineRule="auto"/>
        <w:ind w:firstLine="709"/>
        <w:contextualSpacing/>
        <w:jc w:val="both"/>
        <w:rPr>
          <w:rFonts w:ascii="Verdana" w:eastAsia="Arial" w:hAnsi="Verdana" w:cs="Arial"/>
        </w:rPr>
      </w:pPr>
      <w:bookmarkStart w:id="10" w:name="_Hlk97551389"/>
      <w:r w:rsidRPr="007F7C2B">
        <w:rPr>
          <w:rFonts w:ascii="Verdana" w:eastAsia="Arial" w:hAnsi="Verdana" w:cs="Arial"/>
        </w:rPr>
        <w:t xml:space="preserve">La misma “Guía para Determinar y Verificar la Capacidad Residual del Proponente en los Procesos de Contratación de Obra Pública” define “Contratos en Ejecución” de la siguiente manera: </w:t>
      </w:r>
    </w:p>
    <w:p w14:paraId="7885BC0B" w14:textId="77777777" w:rsidR="007F7C2B" w:rsidRPr="00D67434" w:rsidRDefault="007F7C2B" w:rsidP="007F7C2B">
      <w:pPr>
        <w:spacing w:after="0" w:line="276" w:lineRule="auto"/>
        <w:ind w:left="850" w:right="850"/>
        <w:contextualSpacing/>
        <w:jc w:val="both"/>
        <w:rPr>
          <w:rFonts w:ascii="Verdana" w:eastAsia="Calibri" w:hAnsi="Verdana" w:cs="Arial"/>
          <w:i/>
          <w:iCs/>
          <w:sz w:val="20"/>
          <w:szCs w:val="20"/>
          <w:lang w:eastAsia="es-CO"/>
        </w:rPr>
      </w:pPr>
    </w:p>
    <w:p w14:paraId="3D8BFD5D" w14:textId="77777777" w:rsidR="007F7C2B" w:rsidRPr="00D67434" w:rsidRDefault="007F7C2B" w:rsidP="007F7C2B">
      <w:pPr>
        <w:widowControl w:val="0"/>
        <w:autoSpaceDE w:val="0"/>
        <w:autoSpaceDN w:val="0"/>
        <w:spacing w:after="0" w:line="240" w:lineRule="auto"/>
        <w:ind w:left="709" w:right="709"/>
        <w:contextualSpacing/>
        <w:jc w:val="both"/>
        <w:rPr>
          <w:rFonts w:ascii="Verdana" w:eastAsia="Calibri" w:hAnsi="Verdana" w:cs="Arial"/>
          <w:color w:val="000000"/>
          <w:sz w:val="20"/>
          <w:szCs w:val="20"/>
          <w:lang w:val="es-ES"/>
        </w:rPr>
      </w:pPr>
      <w:r w:rsidRPr="00D67434">
        <w:rPr>
          <w:rFonts w:ascii="Verdana" w:eastAsia="Calibri" w:hAnsi="Verdana" w:cs="Arial"/>
          <w:color w:val="000000"/>
          <w:sz w:val="20"/>
          <w:szCs w:val="20"/>
          <w:lang w:val="es-ES"/>
        </w:rPr>
        <w:t>“Es la sumatoria de los saldos de los Contratos en Ejecución que tienen por ejecutar un período inferior a 360 días, es decir, 12 meses. Si el número de días por ejecutar un contrato es superior a 360 días, es decir 12 meses, el saldo del Contrato en Ejecución sólo tendrá en cuenta la proporción lineal de 12 meses.”</w:t>
      </w:r>
      <w:bookmarkEnd w:id="10"/>
      <w:r w:rsidRPr="00D67434">
        <w:rPr>
          <w:rFonts w:ascii="Verdana" w:eastAsia="Calibri" w:hAnsi="Verdana" w:cs="Arial"/>
          <w:color w:val="000000"/>
          <w:sz w:val="20"/>
          <w:szCs w:val="20"/>
          <w:lang w:val="es-ES"/>
        </w:rPr>
        <w:t>.</w:t>
      </w:r>
    </w:p>
    <w:p w14:paraId="3E83ACEE" w14:textId="77777777" w:rsidR="007F7C2B" w:rsidRPr="007F7C2B" w:rsidRDefault="007F7C2B" w:rsidP="007F7C2B">
      <w:pPr>
        <w:widowControl w:val="0"/>
        <w:autoSpaceDE w:val="0"/>
        <w:autoSpaceDN w:val="0"/>
        <w:spacing w:after="0" w:line="276" w:lineRule="auto"/>
        <w:contextualSpacing/>
        <w:jc w:val="both"/>
        <w:rPr>
          <w:rFonts w:ascii="Verdana" w:eastAsia="Arial" w:hAnsi="Verdana" w:cs="Arial"/>
        </w:rPr>
      </w:pPr>
    </w:p>
    <w:p w14:paraId="20162D13" w14:textId="4C08D88E" w:rsidR="007C19F0" w:rsidRDefault="007F7C2B" w:rsidP="003A3D76">
      <w:pPr>
        <w:widowControl w:val="0"/>
        <w:autoSpaceDE w:val="0"/>
        <w:autoSpaceDN w:val="0"/>
        <w:spacing w:after="120" w:line="276" w:lineRule="auto"/>
        <w:ind w:firstLine="709"/>
        <w:jc w:val="both"/>
        <w:rPr>
          <w:rFonts w:ascii="Verdana" w:eastAsia="Arial" w:hAnsi="Verdana" w:cs="Arial"/>
        </w:rPr>
      </w:pPr>
      <w:bookmarkStart w:id="11" w:name="_Hlk97547857"/>
      <w:r w:rsidRPr="007F7C2B">
        <w:rPr>
          <w:rFonts w:ascii="Verdana" w:eastAsia="Arial" w:hAnsi="Verdana" w:cs="Arial"/>
        </w:rPr>
        <w:t xml:space="preserve">Se observa que la guía expedida por esta Agencia para calcular la capacidad residual señala que el proponente debe allegar, entre otros documentos, los contratos en ejecución y define estos como aquellos contratos que a la fecha de presentación de la oferta obligan al proponente con entidades estatales y con entidades privadas para ejecutar “obras civiles”. </w:t>
      </w:r>
      <w:bookmarkEnd w:id="11"/>
      <w:r w:rsidRPr="007F7C2B">
        <w:rPr>
          <w:rFonts w:ascii="Verdana" w:eastAsia="Arial" w:hAnsi="Verdana" w:cs="Arial"/>
        </w:rPr>
        <w:t xml:space="preserve">Así las cosas, es claro que la regulación existente en materia de capacidad residual establece que, para el cálculo de esta, el oferente debe allegar, entre otros documentos, </w:t>
      </w:r>
      <w:r w:rsidRPr="007F7C2B">
        <w:rPr>
          <w:rFonts w:ascii="Verdana" w:eastAsia="Arial" w:hAnsi="Verdana" w:cs="Arial"/>
        </w:rPr>
        <w:lastRenderedPageBreak/>
        <w:t xml:space="preserve">el listado de los contratos en ejecución, concretamente, de obras civiles. </w:t>
      </w:r>
    </w:p>
    <w:p w14:paraId="644DB356" w14:textId="7597BB21" w:rsidR="007C19F0" w:rsidRDefault="007C19F0" w:rsidP="007F7C2B">
      <w:pPr>
        <w:widowControl w:val="0"/>
        <w:autoSpaceDE w:val="0"/>
        <w:autoSpaceDN w:val="0"/>
        <w:spacing w:after="0" w:line="276" w:lineRule="auto"/>
        <w:ind w:firstLine="709"/>
        <w:contextualSpacing/>
        <w:jc w:val="both"/>
        <w:rPr>
          <w:rFonts w:ascii="Verdana" w:eastAsia="Arial" w:hAnsi="Verdana" w:cs="Arial"/>
        </w:rPr>
      </w:pPr>
      <w:r>
        <w:rPr>
          <w:rFonts w:ascii="Verdana" w:eastAsia="Arial" w:hAnsi="Verdana" w:cs="Arial"/>
        </w:rPr>
        <w:t xml:space="preserve">Por otra parte, la </w:t>
      </w:r>
      <w:r w:rsidRPr="007F7C2B">
        <w:rPr>
          <w:rFonts w:ascii="Verdana" w:eastAsia="Arial" w:hAnsi="Verdana" w:cs="Arial"/>
        </w:rPr>
        <w:t>Guía para Determinar y Verificar la Capacidad Residual del Proponente en los Procesos de Contratación de Obra Pública”</w:t>
      </w:r>
      <w:r>
        <w:rPr>
          <w:rFonts w:ascii="Verdana" w:eastAsia="Arial" w:hAnsi="Verdana" w:cs="Arial"/>
        </w:rPr>
        <w:t xml:space="preserve"> establece la forma para realizar los cálculos de </w:t>
      </w:r>
      <w:r w:rsidR="00855AAD">
        <w:rPr>
          <w:rFonts w:ascii="Verdana" w:eastAsia="Arial" w:hAnsi="Verdana" w:cs="Arial"/>
        </w:rPr>
        <w:t>la capacidad residual:</w:t>
      </w:r>
    </w:p>
    <w:p w14:paraId="07C031F0" w14:textId="77777777" w:rsidR="00BF2274" w:rsidRDefault="00BF2274" w:rsidP="007F7C2B">
      <w:pPr>
        <w:widowControl w:val="0"/>
        <w:autoSpaceDE w:val="0"/>
        <w:autoSpaceDN w:val="0"/>
        <w:spacing w:after="0" w:line="276" w:lineRule="auto"/>
        <w:ind w:firstLine="709"/>
        <w:contextualSpacing/>
        <w:jc w:val="both"/>
        <w:rPr>
          <w:rFonts w:ascii="Verdana" w:eastAsia="Arial" w:hAnsi="Verdana" w:cs="Arial"/>
        </w:rPr>
      </w:pPr>
    </w:p>
    <w:p w14:paraId="3C351CAD" w14:textId="3A19C4D0" w:rsidR="00BF2274" w:rsidRPr="00D67434" w:rsidRDefault="00BF2274" w:rsidP="00D67434">
      <w:pPr>
        <w:widowControl w:val="0"/>
        <w:autoSpaceDE w:val="0"/>
        <w:autoSpaceDN w:val="0"/>
        <w:spacing w:after="0" w:line="276" w:lineRule="auto"/>
        <w:ind w:left="709" w:right="709"/>
        <w:jc w:val="both"/>
        <w:rPr>
          <w:rFonts w:ascii="Verdana" w:eastAsia="Calibri" w:hAnsi="Verdana" w:cs="Arial"/>
          <w:color w:val="000000"/>
          <w:sz w:val="18"/>
          <w:szCs w:val="18"/>
          <w:lang w:val="es-ES"/>
        </w:rPr>
      </w:pPr>
      <w:r w:rsidRPr="00D67434">
        <w:rPr>
          <w:rFonts w:ascii="Verdana" w:eastAsia="Calibri" w:hAnsi="Verdana" w:cs="Arial"/>
          <w:color w:val="000000"/>
          <w:sz w:val="18"/>
          <w:szCs w:val="18"/>
          <w:lang w:val="es-ES"/>
        </w:rPr>
        <w:t xml:space="preserve">“La Capacidad Residual del Proponente plural es la suma de la </w:t>
      </w:r>
      <w:r w:rsidR="00240737" w:rsidRPr="00D67434">
        <w:rPr>
          <w:rFonts w:ascii="Verdana" w:eastAsia="Calibri" w:hAnsi="Verdana" w:cs="Arial"/>
          <w:color w:val="000000"/>
          <w:sz w:val="18"/>
          <w:szCs w:val="18"/>
          <w:lang w:val="es-ES"/>
        </w:rPr>
        <w:t xml:space="preserve">Capacidad </w:t>
      </w:r>
      <w:r w:rsidR="00240737">
        <w:rPr>
          <w:rFonts w:ascii="Verdana" w:eastAsia="Calibri" w:hAnsi="Verdana" w:cs="Arial"/>
          <w:color w:val="000000"/>
          <w:sz w:val="18"/>
          <w:szCs w:val="18"/>
          <w:lang w:val="es-ES"/>
        </w:rPr>
        <w:t>Residual</w:t>
      </w:r>
      <w:r w:rsidRPr="00D67434">
        <w:rPr>
          <w:rFonts w:ascii="Verdana" w:eastAsia="Calibri" w:hAnsi="Verdana" w:cs="Arial"/>
          <w:color w:val="000000"/>
          <w:sz w:val="18"/>
          <w:szCs w:val="18"/>
          <w:lang w:val="es-ES"/>
        </w:rPr>
        <w:t xml:space="preserve"> de cada uno de sus miembros, sin tener en cuenta el porcentaje de participación de los integrantes de la estructura plural. En caso de ser negativa la Capacidad Residual de uno de los miembros, este valor se restará de la capacidad residual total del proponente plural.</w:t>
      </w:r>
      <w:r w:rsidR="0087156C" w:rsidRPr="00D67434">
        <w:rPr>
          <w:rFonts w:ascii="Verdana" w:eastAsia="Calibri" w:hAnsi="Verdana" w:cs="Arial"/>
          <w:color w:val="000000"/>
          <w:sz w:val="18"/>
          <w:szCs w:val="18"/>
          <w:lang w:val="es-ES"/>
        </w:rPr>
        <w:t xml:space="preserve"> </w:t>
      </w:r>
      <w:r w:rsidRPr="00D67434">
        <w:rPr>
          <w:rFonts w:ascii="Verdana" w:eastAsia="Calibri" w:hAnsi="Verdana" w:cs="Arial"/>
          <w:color w:val="000000"/>
          <w:sz w:val="18"/>
          <w:szCs w:val="18"/>
          <w:lang w:val="es-ES"/>
        </w:rPr>
        <w:t>La Capacidad Residual de un proponente plural corresponde a la suma de la Capacidad Residual de cada uno de sus integrantes</w:t>
      </w:r>
      <w:r w:rsidR="0087156C" w:rsidRPr="00D67434">
        <w:rPr>
          <w:rFonts w:ascii="Verdana" w:eastAsia="Calibri" w:hAnsi="Verdana" w:cs="Arial"/>
          <w:color w:val="000000"/>
          <w:sz w:val="18"/>
          <w:szCs w:val="18"/>
          <w:lang w:val="es-ES"/>
        </w:rPr>
        <w:t xml:space="preserve"> (…)</w:t>
      </w:r>
      <w:r w:rsidRPr="00D67434">
        <w:rPr>
          <w:rFonts w:ascii="Verdana" w:eastAsia="Calibri" w:hAnsi="Verdana" w:cs="Arial"/>
          <w:color w:val="000000"/>
          <w:sz w:val="18"/>
          <w:szCs w:val="18"/>
          <w:lang w:val="es-ES"/>
        </w:rPr>
        <w:t xml:space="preserve"> Es importante</w:t>
      </w:r>
      <w:r w:rsidR="0087156C" w:rsidRPr="00D67434">
        <w:rPr>
          <w:rFonts w:ascii="Verdana" w:eastAsia="Calibri" w:hAnsi="Verdana" w:cs="Arial"/>
          <w:color w:val="000000"/>
          <w:sz w:val="18"/>
          <w:szCs w:val="18"/>
          <w:lang w:val="es-ES"/>
        </w:rPr>
        <w:t xml:space="preserve"> </w:t>
      </w:r>
      <w:r w:rsidRPr="00D67434">
        <w:rPr>
          <w:rFonts w:ascii="Verdana" w:eastAsia="Calibri" w:hAnsi="Verdana" w:cs="Arial"/>
          <w:color w:val="000000"/>
          <w:sz w:val="18"/>
          <w:szCs w:val="18"/>
          <w:lang w:val="es-ES"/>
        </w:rPr>
        <w:t>aclarar que el porcentaje de participación que tenga cada</w:t>
      </w:r>
      <w:r w:rsidR="0087156C" w:rsidRPr="00D67434">
        <w:rPr>
          <w:rFonts w:ascii="Verdana" w:eastAsia="Calibri" w:hAnsi="Verdana" w:cs="Arial"/>
          <w:color w:val="000000"/>
          <w:sz w:val="18"/>
          <w:szCs w:val="18"/>
          <w:lang w:val="es-ES"/>
        </w:rPr>
        <w:t xml:space="preserve"> </w:t>
      </w:r>
      <w:r w:rsidRPr="00D67434">
        <w:rPr>
          <w:rFonts w:ascii="Verdana" w:eastAsia="Calibri" w:hAnsi="Verdana" w:cs="Arial"/>
          <w:color w:val="000000"/>
          <w:sz w:val="18"/>
          <w:szCs w:val="18"/>
          <w:lang w:val="es-ES"/>
        </w:rPr>
        <w:t xml:space="preserve">integrante del proponente plural no incide en la sumatoria de la </w:t>
      </w:r>
      <w:r w:rsidR="0087156C" w:rsidRPr="00D67434">
        <w:rPr>
          <w:rFonts w:ascii="Verdana" w:eastAsia="Calibri" w:hAnsi="Verdana" w:cs="Arial"/>
          <w:color w:val="000000"/>
          <w:sz w:val="18"/>
          <w:szCs w:val="18"/>
          <w:lang w:val="es-ES"/>
        </w:rPr>
        <w:t>capacidad residual</w:t>
      </w:r>
      <w:r w:rsidRPr="00D67434">
        <w:rPr>
          <w:rFonts w:ascii="Verdana" w:eastAsia="Calibri" w:hAnsi="Verdana" w:cs="Arial"/>
          <w:color w:val="000000"/>
          <w:sz w:val="18"/>
          <w:szCs w:val="18"/>
          <w:lang w:val="es-ES"/>
        </w:rPr>
        <w:t xml:space="preserve"> total del </w:t>
      </w:r>
      <w:r w:rsidR="003A3D76" w:rsidRPr="00D67434">
        <w:rPr>
          <w:rFonts w:ascii="Verdana" w:eastAsia="Calibri" w:hAnsi="Verdana" w:cs="Arial"/>
          <w:color w:val="000000"/>
          <w:sz w:val="18"/>
          <w:szCs w:val="18"/>
          <w:lang w:val="es-ES"/>
        </w:rPr>
        <w:t>oferente. (</w:t>
      </w:r>
      <w:r w:rsidR="0087156C" w:rsidRPr="00D67434">
        <w:rPr>
          <w:rFonts w:ascii="Verdana" w:eastAsia="Calibri" w:hAnsi="Verdana" w:cs="Arial"/>
          <w:color w:val="000000"/>
          <w:sz w:val="18"/>
          <w:szCs w:val="18"/>
          <w:lang w:val="es-ES"/>
        </w:rPr>
        <w:t>…)”</w:t>
      </w:r>
    </w:p>
    <w:p w14:paraId="7CC97028" w14:textId="77777777" w:rsidR="00855AAD" w:rsidRDefault="00855AAD" w:rsidP="00855AAD">
      <w:pPr>
        <w:spacing w:after="0" w:line="276" w:lineRule="auto"/>
        <w:contextualSpacing/>
        <w:jc w:val="both"/>
        <w:rPr>
          <w:rFonts w:ascii="Verdana" w:eastAsia="Calibri" w:hAnsi="Verdana" w:cs="Arial"/>
          <w:szCs w:val="24"/>
          <w:lang w:val="es-ES" w:eastAsia="es-ES_tradnl"/>
        </w:rPr>
      </w:pPr>
    </w:p>
    <w:p w14:paraId="781EFA41" w14:textId="77777777" w:rsidR="00606737" w:rsidRDefault="00855AAD" w:rsidP="00606737">
      <w:pPr>
        <w:spacing w:after="0" w:line="276" w:lineRule="auto"/>
        <w:ind w:firstLine="708"/>
        <w:contextualSpacing/>
        <w:jc w:val="both"/>
        <w:rPr>
          <w:rFonts w:ascii="Verdana" w:eastAsia="Calibri" w:hAnsi="Verdana" w:cs="Arial"/>
          <w:szCs w:val="24"/>
          <w:lang w:eastAsia="es-ES_tradnl"/>
        </w:rPr>
      </w:pPr>
      <w:r w:rsidRPr="00855AAD">
        <w:rPr>
          <w:rFonts w:ascii="Verdana" w:eastAsia="Calibri" w:hAnsi="Verdana" w:cs="Arial"/>
          <w:szCs w:val="24"/>
          <w:lang w:eastAsia="es-ES_tradnl"/>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w:t>
      </w:r>
    </w:p>
    <w:p w14:paraId="0669E1CC" w14:textId="77777777" w:rsidR="00606737" w:rsidRDefault="00606737" w:rsidP="00606737">
      <w:pPr>
        <w:spacing w:after="0" w:line="276" w:lineRule="auto"/>
        <w:ind w:firstLine="708"/>
        <w:contextualSpacing/>
        <w:jc w:val="both"/>
        <w:rPr>
          <w:rFonts w:ascii="Verdana" w:eastAsia="Calibri" w:hAnsi="Verdana" w:cs="Arial"/>
          <w:szCs w:val="24"/>
          <w:lang w:eastAsia="es-ES_tradnl"/>
        </w:rPr>
      </w:pPr>
    </w:p>
    <w:p w14:paraId="3DF6F7ED" w14:textId="77777777" w:rsidR="00606737" w:rsidRDefault="00606737" w:rsidP="00606737">
      <w:pPr>
        <w:spacing w:after="0" w:line="276" w:lineRule="auto"/>
        <w:ind w:firstLine="708"/>
        <w:contextualSpacing/>
        <w:jc w:val="both"/>
        <w:rPr>
          <w:rFonts w:ascii="Verdana" w:eastAsia="Calibri" w:hAnsi="Verdana" w:cs="Arial"/>
          <w:szCs w:val="24"/>
          <w:lang w:eastAsia="es-ES_tradnl"/>
        </w:rPr>
      </w:pPr>
      <w:r w:rsidRPr="00606737">
        <w:rPr>
          <w:rFonts w:ascii="Verdana" w:hAnsi="Verdana" w:cs="Arial"/>
          <w:color w:val="000000" w:themeColor="text1"/>
        </w:rPr>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6EB0D6E6" w14:textId="77777777" w:rsidR="00606737" w:rsidRDefault="00606737" w:rsidP="00606737">
      <w:pPr>
        <w:spacing w:after="0" w:line="276" w:lineRule="auto"/>
        <w:ind w:firstLine="708"/>
        <w:contextualSpacing/>
        <w:jc w:val="both"/>
        <w:rPr>
          <w:rFonts w:ascii="Verdana" w:eastAsia="Calibri" w:hAnsi="Verdana" w:cs="Arial"/>
          <w:szCs w:val="24"/>
          <w:lang w:eastAsia="es-ES_tradnl"/>
        </w:rPr>
      </w:pPr>
    </w:p>
    <w:p w14:paraId="1CAB3F7E" w14:textId="319F0C0A" w:rsidR="00606737" w:rsidRPr="00606737" w:rsidRDefault="00606737" w:rsidP="00606737">
      <w:pPr>
        <w:spacing w:after="0" w:line="276" w:lineRule="auto"/>
        <w:ind w:firstLine="708"/>
        <w:contextualSpacing/>
        <w:jc w:val="both"/>
        <w:rPr>
          <w:rFonts w:ascii="Verdana" w:eastAsia="Calibri" w:hAnsi="Verdana" w:cs="Arial"/>
          <w:szCs w:val="24"/>
          <w:lang w:eastAsia="es-ES_tradnl"/>
        </w:rPr>
      </w:pPr>
      <w:r w:rsidRPr="00606737">
        <w:rPr>
          <w:rFonts w:ascii="Verdana" w:hAnsi="Verdana" w:cs="Arial"/>
          <w:color w:val="000000" w:themeColor="text1"/>
        </w:rPr>
        <w:t xml:space="preserve">En conclusión, </w:t>
      </w:r>
      <w:bookmarkStart w:id="12" w:name="_Hlk170989338"/>
      <w:r w:rsidRPr="00606737">
        <w:rPr>
          <w:rFonts w:ascii="Verdana" w:hAnsi="Verdana" w:cs="Arial"/>
          <w:color w:val="000000" w:themeColor="text1"/>
        </w:rPr>
        <w:t xml:space="preserve">la capacidad jurídica de los proponentes plurales se limita al campo de la contratación estatal de las entidades sometidas al EGCAP, es decir, a las relaciones en consorcios y las uniones temporales con las entidades </w:t>
      </w:r>
      <w:r w:rsidRPr="00606737">
        <w:rPr>
          <w:rFonts w:ascii="Verdana" w:hAnsi="Verdana" w:cs="Arial"/>
          <w:color w:val="000000" w:themeColor="text1"/>
        </w:rPr>
        <w:lastRenderedPageBreak/>
        <w:t>estatales del artículo 2 de la Ley 80 de 1993. Esta precisión es importante, porque la habilitación de los numerales 6 y 7 del artículo 7 de la Ley 80 de 1993 se restringe a las actividades allí dispuestas sin que se extienda, por ejemplo, a la celebración de contratos de fiducia, cesiones de crédito, cesiones de contrato o subcontratos. En estos casos, la celebración de dichos negocios jurídicos no corresponde a la estructura plural, sino a todos sus integrantes de forma conjunta. Es decir, fuera de las actividades descritas en el EGCAP, son los participantes</w:t>
      </w:r>
      <w:r w:rsidR="00D67434">
        <w:rPr>
          <w:rFonts w:ascii="Verdana" w:hAnsi="Verdana" w:cs="Arial"/>
          <w:color w:val="000000" w:themeColor="text1"/>
        </w:rPr>
        <w:t xml:space="preserve">, </w:t>
      </w:r>
      <w:r w:rsidRPr="00606737">
        <w:rPr>
          <w:rFonts w:ascii="Verdana" w:hAnsi="Verdana" w:cs="Arial"/>
          <w:color w:val="000000" w:themeColor="text1"/>
        </w:rPr>
        <w:t>no estructura plural</w:t>
      </w:r>
      <w:r w:rsidR="00D67434">
        <w:rPr>
          <w:rFonts w:ascii="Verdana" w:hAnsi="Verdana" w:cs="Arial"/>
          <w:color w:val="000000" w:themeColor="text1"/>
        </w:rPr>
        <w:t>,</w:t>
      </w:r>
      <w:r w:rsidRPr="00606737">
        <w:rPr>
          <w:rFonts w:ascii="Verdana" w:hAnsi="Verdana" w:cs="Arial"/>
          <w:color w:val="000000" w:themeColor="text1"/>
        </w:rPr>
        <w:t xml:space="preserve"> los que tienen personería y capacidad para actuar.</w:t>
      </w:r>
    </w:p>
    <w:bookmarkEnd w:id="12"/>
    <w:p w14:paraId="7E8C9D24" w14:textId="77777777" w:rsidR="003A3D76" w:rsidRPr="007F7C2B" w:rsidRDefault="003A3D76" w:rsidP="00606737">
      <w:pPr>
        <w:spacing w:after="0" w:line="276" w:lineRule="auto"/>
        <w:contextualSpacing/>
        <w:jc w:val="both"/>
        <w:rPr>
          <w:rFonts w:ascii="Verdana" w:eastAsia="Calibri" w:hAnsi="Verdana" w:cs="Arial"/>
          <w:szCs w:val="24"/>
          <w:lang w:eastAsia="es-ES_tradnl"/>
        </w:rPr>
      </w:pPr>
    </w:p>
    <w:p w14:paraId="52F79347" w14:textId="77777777" w:rsidR="007F7C2B" w:rsidRPr="007F7C2B" w:rsidRDefault="007F7C2B" w:rsidP="007F7C2B">
      <w:pPr>
        <w:tabs>
          <w:tab w:val="left" w:pos="142"/>
          <w:tab w:val="left" w:pos="284"/>
        </w:tabs>
        <w:spacing w:after="0" w:line="276" w:lineRule="auto"/>
        <w:jc w:val="both"/>
        <w:rPr>
          <w:rFonts w:ascii="Verdana" w:eastAsia="Century Gothic" w:hAnsi="Verdana" w:cs="Century Gothic"/>
          <w:b/>
          <w:bCs/>
        </w:rPr>
      </w:pPr>
      <w:r w:rsidRPr="007F7C2B">
        <w:rPr>
          <w:rFonts w:ascii="Verdana" w:eastAsia="Century Gothic" w:hAnsi="Verdana" w:cs="Century Gothic"/>
          <w:b/>
          <w:bCs/>
        </w:rPr>
        <w:t>4. Referencias normativas, jurisprudenciales y otras fuentes:</w:t>
      </w:r>
    </w:p>
    <w:p w14:paraId="7ED9F63D" w14:textId="77777777" w:rsidR="007F7C2B" w:rsidRPr="007F7C2B" w:rsidRDefault="007F7C2B" w:rsidP="007F7C2B">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7C2B" w:rsidRPr="007F7C2B" w14:paraId="7BB537E1" w14:textId="77777777" w:rsidTr="008116C2">
        <w:trPr>
          <w:trHeight w:val="870"/>
        </w:trPr>
        <w:tc>
          <w:tcPr>
            <w:tcW w:w="8647" w:type="dxa"/>
          </w:tcPr>
          <w:p w14:paraId="0AC86E23" w14:textId="77777777" w:rsidR="007F7C2B" w:rsidRPr="007F7C2B" w:rsidRDefault="007F7C2B" w:rsidP="007F7C2B">
            <w:pPr>
              <w:widowControl w:val="0"/>
              <w:numPr>
                <w:ilvl w:val="0"/>
                <w:numId w:val="16"/>
              </w:numPr>
              <w:autoSpaceDE w:val="0"/>
              <w:autoSpaceDN w:val="0"/>
              <w:spacing w:after="120" w:line="276" w:lineRule="auto"/>
              <w:contextualSpacing/>
              <w:jc w:val="both"/>
              <w:rPr>
                <w:rFonts w:ascii="Verdana" w:eastAsia="Calibri" w:hAnsi="Verdana" w:cs="Arial"/>
              </w:rPr>
            </w:pPr>
            <w:r w:rsidRPr="007F7C2B">
              <w:rPr>
                <w:rFonts w:ascii="Verdana" w:eastAsia="Calibri" w:hAnsi="Verdana" w:cs="Arial"/>
              </w:rPr>
              <w:t>Ley 1150 de 2007, parágrafo 1° del artículo 6.</w:t>
            </w:r>
          </w:p>
          <w:p w14:paraId="4635DE73" w14:textId="77777777" w:rsidR="007F7C2B" w:rsidRPr="007F7C2B" w:rsidRDefault="007F7C2B" w:rsidP="007F7C2B">
            <w:pPr>
              <w:widowControl w:val="0"/>
              <w:numPr>
                <w:ilvl w:val="0"/>
                <w:numId w:val="16"/>
              </w:numPr>
              <w:autoSpaceDE w:val="0"/>
              <w:autoSpaceDN w:val="0"/>
              <w:spacing w:after="120" w:line="276" w:lineRule="auto"/>
              <w:contextualSpacing/>
              <w:jc w:val="both"/>
              <w:rPr>
                <w:rFonts w:ascii="Verdana" w:eastAsia="Calibri" w:hAnsi="Verdana" w:cs="Arial"/>
              </w:rPr>
            </w:pPr>
            <w:r w:rsidRPr="007F7C2B">
              <w:rPr>
                <w:rFonts w:ascii="Verdana" w:eastAsia="Calibri" w:hAnsi="Verdana" w:cs="Arial"/>
              </w:rPr>
              <w:t xml:space="preserve">Decreto 1082 de 2015, artículo 2.2.1.1.1.6.4. </w:t>
            </w:r>
          </w:p>
          <w:p w14:paraId="1BA3C24A" w14:textId="77777777" w:rsidR="007F7C2B" w:rsidRPr="007F7C2B" w:rsidRDefault="007F7C2B" w:rsidP="007F7C2B">
            <w:pPr>
              <w:widowControl w:val="0"/>
              <w:numPr>
                <w:ilvl w:val="0"/>
                <w:numId w:val="16"/>
              </w:numPr>
              <w:autoSpaceDE w:val="0"/>
              <w:autoSpaceDN w:val="0"/>
              <w:spacing w:after="120" w:line="276" w:lineRule="auto"/>
              <w:contextualSpacing/>
              <w:jc w:val="both"/>
              <w:rPr>
                <w:rFonts w:ascii="Verdana" w:eastAsia="Calibri" w:hAnsi="Verdana" w:cs="Arial"/>
              </w:rPr>
            </w:pPr>
            <w:r w:rsidRPr="007F7C2B">
              <w:rPr>
                <w:rFonts w:ascii="Verdana" w:eastAsia="Calibri" w:hAnsi="Verdana" w:cs="Arial"/>
              </w:rPr>
              <w:t>Consejo de Estado. Sección Tercera. Providencia del 26 de junio de 2003. Expediente: 13.354</w:t>
            </w:r>
          </w:p>
          <w:p w14:paraId="52435232" w14:textId="520AAFBE" w:rsidR="007F7C2B" w:rsidRPr="006E4372" w:rsidRDefault="007F7C2B" w:rsidP="006E4372">
            <w:pPr>
              <w:widowControl w:val="0"/>
              <w:numPr>
                <w:ilvl w:val="0"/>
                <w:numId w:val="16"/>
              </w:numPr>
              <w:autoSpaceDE w:val="0"/>
              <w:autoSpaceDN w:val="0"/>
              <w:spacing w:after="120" w:line="276" w:lineRule="auto"/>
              <w:contextualSpacing/>
              <w:jc w:val="both"/>
              <w:rPr>
                <w:rFonts w:ascii="Verdana" w:eastAsia="Calibri" w:hAnsi="Verdana" w:cs="Arial"/>
              </w:rPr>
            </w:pPr>
            <w:r w:rsidRPr="007F7C2B">
              <w:rPr>
                <w:rFonts w:ascii="Verdana" w:eastAsia="Calibri" w:hAnsi="Verdana" w:cs="Arial"/>
              </w:rPr>
              <w:t>Colombia Compra Eficiente,</w:t>
            </w:r>
            <w:r w:rsidRPr="007F7C2B">
              <w:rPr>
                <w:rFonts w:ascii="Calibri" w:eastAsia="Calibri" w:hAnsi="Calibri" w:cs="Times New Roman"/>
              </w:rPr>
              <w:t xml:space="preserve"> </w:t>
            </w:r>
            <w:r w:rsidRPr="007F7C2B">
              <w:rPr>
                <w:rFonts w:ascii="Verdana" w:eastAsia="Calibri" w:hAnsi="Verdana" w:cs="Arial"/>
              </w:rPr>
              <w:t xml:space="preserve">Guía para Determinar y Verificar la Capacidad Residual del Proponente en los Procesos de Contratación de Obra Pública. Disponible en: </w:t>
            </w:r>
            <w:hyperlink r:id="rId12" w:history="1">
              <w:r w:rsidRPr="007F7C2B">
                <w:rPr>
                  <w:rFonts w:ascii="Verdana" w:eastAsia="Calibri" w:hAnsi="Verdana" w:cs="Arial"/>
                  <w:color w:val="0000FF"/>
                  <w:u w:val="single"/>
                </w:rPr>
                <w:t>https://www.colombiacompra.gov.co/wp-content/uploads/2024/08/2023-Guia-para-determinar-y-verificar-la-Capacidad-Residual-del-proponente-en-los-Procesos-de-Contratacion-de-obra-publica-CCE-REC-GI-22.pdf</w:t>
              </w:r>
            </w:hyperlink>
          </w:p>
        </w:tc>
      </w:tr>
    </w:tbl>
    <w:p w14:paraId="722DAC45" w14:textId="77777777" w:rsidR="007F7C2B" w:rsidRPr="007F7C2B" w:rsidRDefault="007F7C2B" w:rsidP="007F7C2B">
      <w:pPr>
        <w:tabs>
          <w:tab w:val="left" w:pos="142"/>
          <w:tab w:val="left" w:pos="284"/>
        </w:tabs>
        <w:spacing w:after="0" w:line="276" w:lineRule="auto"/>
        <w:jc w:val="both"/>
        <w:rPr>
          <w:rFonts w:ascii="Verdana" w:eastAsia="Century Gothic" w:hAnsi="Verdana" w:cs="Century Gothic"/>
          <w:b/>
          <w:bCs/>
        </w:rPr>
      </w:pPr>
    </w:p>
    <w:p w14:paraId="5D36C4E2" w14:textId="77777777" w:rsidR="007F7C2B" w:rsidRPr="007F7C2B" w:rsidRDefault="007F7C2B" w:rsidP="007F7C2B">
      <w:pPr>
        <w:tabs>
          <w:tab w:val="left" w:pos="142"/>
          <w:tab w:val="left" w:pos="284"/>
        </w:tabs>
        <w:spacing w:after="0" w:line="276" w:lineRule="auto"/>
        <w:jc w:val="both"/>
        <w:rPr>
          <w:rFonts w:ascii="Verdana" w:eastAsia="Century Gothic" w:hAnsi="Verdana" w:cs="Century Gothic"/>
          <w:b/>
          <w:bCs/>
        </w:rPr>
      </w:pPr>
      <w:r w:rsidRPr="007F7C2B">
        <w:rPr>
          <w:rFonts w:ascii="Verdana" w:eastAsia="Century Gothic" w:hAnsi="Verdana" w:cs="Century Gothic"/>
          <w:b/>
          <w:bCs/>
        </w:rPr>
        <w:t>5. Doctrina de la Agencia Nacional de Contratación Pública:</w:t>
      </w:r>
    </w:p>
    <w:p w14:paraId="192BE8A5" w14:textId="77777777" w:rsidR="007F7C2B" w:rsidRPr="007F7C2B" w:rsidRDefault="007F7C2B" w:rsidP="007F7C2B">
      <w:pPr>
        <w:spacing w:after="0" w:line="276" w:lineRule="auto"/>
        <w:ind w:firstLine="709"/>
        <w:jc w:val="both"/>
        <w:rPr>
          <w:rFonts w:ascii="Verdana" w:eastAsia="Times New Roman" w:hAnsi="Verdana" w:cs="Arial"/>
          <w:szCs w:val="24"/>
          <w:lang w:val="es-ES" w:eastAsia="es-ES_tradnl"/>
        </w:rPr>
      </w:pPr>
    </w:p>
    <w:p w14:paraId="4488D3EA" w14:textId="77777777" w:rsidR="007F7C2B" w:rsidRPr="007F7C2B" w:rsidRDefault="007F7C2B" w:rsidP="007F7C2B">
      <w:pPr>
        <w:widowControl w:val="0"/>
        <w:autoSpaceDE w:val="0"/>
        <w:autoSpaceDN w:val="0"/>
        <w:spacing w:after="0" w:line="276" w:lineRule="auto"/>
        <w:jc w:val="both"/>
        <w:rPr>
          <w:rFonts w:ascii="Verdana" w:eastAsia="Calibri" w:hAnsi="Verdana" w:cs="Arial"/>
          <w:color w:val="000000"/>
          <w:shd w:val="clear" w:color="auto" w:fill="FFFFFF"/>
          <w:lang w:val="es-ES"/>
        </w:rPr>
      </w:pPr>
      <w:r w:rsidRPr="007F7C2B">
        <w:rPr>
          <w:rFonts w:ascii="Verdana" w:eastAsia="Calibri" w:hAnsi="Verdana" w:cs="Arial"/>
          <w:lang w:val="es-ES_tradnl" w:eastAsia="es-ES_tradnl"/>
        </w:rPr>
        <w:t xml:space="preserve">Sobre la capacidad residual, se pronunció esta Subdirección en los conceptos 2201913000009642, del 26 de diciembre de 2019, C – 003 de 2021, del 25 de marzo de 2021, C – 143 de 2021 del 9 de abril de 2021, C-070 del 14 de marzo de 2022 y C-438 del 15 de mayo de 2025. </w:t>
      </w:r>
      <w:r w:rsidRPr="007F7C2B">
        <w:rPr>
          <w:rFonts w:ascii="Verdana" w:eastAsia="Calibri" w:hAnsi="Verdana" w:cs="Arial"/>
          <w:lang w:val="es-ES" w:eastAsia="es-ES_tradnl"/>
        </w:rPr>
        <w:t>Estos</w:t>
      </w:r>
      <w:r w:rsidRPr="007F7C2B">
        <w:rPr>
          <w:rFonts w:ascii="Verdana" w:eastAsia="Calibri" w:hAnsi="Verdana" w:cs="Times New Roman"/>
        </w:rPr>
        <w:t xml:space="preserve"> y otros conceptos se encuentran disponibles para consulta en el Sistema de relatoría de la Agencia, al cual se puede acceder a través del siguiente enlace:</w:t>
      </w:r>
      <w:r w:rsidRPr="007F7C2B">
        <w:rPr>
          <w:rFonts w:ascii="Verdana" w:eastAsia="Calibri" w:hAnsi="Verdana" w:cs="Arial"/>
          <w:shd w:val="clear" w:color="auto" w:fill="FFFFFF"/>
          <w:lang w:val="es-ES"/>
        </w:rPr>
        <w:t xml:space="preserve"> </w:t>
      </w:r>
      <w:hyperlink r:id="rId13" w:history="1">
        <w:r w:rsidRPr="007F7C2B">
          <w:rPr>
            <w:rFonts w:ascii="Verdana" w:eastAsia="Calibri" w:hAnsi="Verdana" w:cs="Arial"/>
            <w:color w:val="0000FF"/>
            <w:u w:val="single"/>
            <w:shd w:val="clear" w:color="auto" w:fill="FFFFFF"/>
            <w:lang w:val="es-ES"/>
          </w:rPr>
          <w:t>https://relatoria.colombiacompra.gov.co/busqueda/conceptos</w:t>
        </w:r>
      </w:hyperlink>
    </w:p>
    <w:p w14:paraId="503686E8" w14:textId="77777777" w:rsidR="007F7C2B" w:rsidRPr="007F7C2B" w:rsidRDefault="007F7C2B" w:rsidP="007F7C2B">
      <w:pPr>
        <w:widowControl w:val="0"/>
        <w:autoSpaceDE w:val="0"/>
        <w:autoSpaceDN w:val="0"/>
        <w:spacing w:after="0" w:line="276" w:lineRule="auto"/>
        <w:jc w:val="both"/>
        <w:rPr>
          <w:rFonts w:ascii="Verdana" w:eastAsia="Calibri" w:hAnsi="Verdana" w:cs="Arial"/>
          <w:color w:val="000000"/>
          <w:shd w:val="clear" w:color="auto" w:fill="FFFFFF"/>
          <w:lang w:val="es-ES"/>
        </w:rPr>
      </w:pPr>
    </w:p>
    <w:p w14:paraId="56E25662" w14:textId="77777777" w:rsidR="007F7C2B" w:rsidRPr="007F7C2B" w:rsidRDefault="007F7C2B" w:rsidP="007F7C2B">
      <w:pPr>
        <w:spacing w:after="0" w:line="276" w:lineRule="auto"/>
        <w:jc w:val="both"/>
        <w:rPr>
          <w:rFonts w:ascii="Verdana" w:eastAsia="Calibri" w:hAnsi="Verdana" w:cs="Times New Roman"/>
        </w:rPr>
      </w:pPr>
      <w:r w:rsidRPr="007F7C2B">
        <w:rPr>
          <w:rFonts w:ascii="Verdana" w:eastAsia="Calibri" w:hAnsi="Verdana" w:cs="Times New Roman"/>
        </w:rPr>
        <w:t>La Agencia Nacional de Contratación Pública – Colombia Compra Eficiente invita a las Entidades Estatales, a los actores del Sistema de Compra Pública y a la ciudadanía en general a conocer y participar en la actualización de la </w:t>
      </w:r>
      <w:r w:rsidRPr="007F7C2B">
        <w:rPr>
          <w:rFonts w:ascii="Verdana" w:eastAsia="Calibri" w:hAnsi="Verdana" w:cs="Times New Roman"/>
          <w:b/>
          <w:bCs/>
          <w:i/>
          <w:iCs/>
        </w:rPr>
        <w:t xml:space="preserve">Guía para </w:t>
      </w:r>
      <w:r w:rsidRPr="007F7C2B">
        <w:rPr>
          <w:rFonts w:ascii="Verdana" w:eastAsia="Calibri" w:hAnsi="Verdana" w:cs="Times New Roman"/>
          <w:b/>
          <w:bCs/>
          <w:i/>
          <w:iCs/>
        </w:rPr>
        <w:lastRenderedPageBreak/>
        <w:t>la Elaboración de Estudios del Sector</w:t>
      </w:r>
      <w:r w:rsidRPr="007F7C2B">
        <w:rPr>
          <w:rFonts w:ascii="Verdana" w:eastAsia="Calibri" w:hAnsi="Verdana" w:cs="Times New Roman"/>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30 de mayo de 2025, a través del siguiente enlace: </w:t>
      </w:r>
      <w:hyperlink r:id="rId14" w:tgtFrame="_blank" w:tooltip="Dirección URL original: https://www.colombiacompra.gov.co/archivos/convocatoria/participacion-ciudadana-proyecto-de-la-guia-para-la-elaboracion-de-estudios-del-sector. Haga clic o pulse si confía en este vínculo." w:history="1">
        <w:r w:rsidRPr="007F7C2B">
          <w:rPr>
            <w:rFonts w:ascii="Verdana" w:eastAsia="Calibri" w:hAnsi="Verdana" w:cs="Times New Roman"/>
            <w:color w:val="0000FF"/>
            <w:u w:val="single"/>
          </w:rPr>
          <w:t>https://www.colombiacompra.gov.co/archivos/convocatoria/participacion-ciudadana-proyecto-de-la-guia-para-la-</w:t>
        </w:r>
      </w:hyperlink>
    </w:p>
    <w:p w14:paraId="4418E137" w14:textId="77777777" w:rsidR="007F7C2B" w:rsidRPr="007F7C2B" w:rsidRDefault="007F7C2B" w:rsidP="007F7C2B">
      <w:pPr>
        <w:spacing w:after="0" w:line="276" w:lineRule="auto"/>
        <w:jc w:val="both"/>
        <w:rPr>
          <w:rFonts w:ascii="Verdana" w:eastAsia="Calibri" w:hAnsi="Verdana" w:cs="Times New Roman"/>
        </w:rPr>
      </w:pPr>
    </w:p>
    <w:p w14:paraId="0984DF3D" w14:textId="77777777" w:rsidR="007F7C2B" w:rsidRPr="007F7C2B" w:rsidRDefault="007F7C2B" w:rsidP="007F7C2B">
      <w:pPr>
        <w:spacing w:after="0" w:line="276" w:lineRule="auto"/>
        <w:jc w:val="both"/>
        <w:rPr>
          <w:rFonts w:ascii="Verdana" w:eastAsia="Calibri" w:hAnsi="Verdana" w:cs="Times New Roman"/>
        </w:rPr>
      </w:pPr>
      <w:r w:rsidRPr="007F7C2B">
        <w:rPr>
          <w:rFonts w:ascii="Verdana" w:eastAsia="Calibri" w:hAnsi="Verdana" w:cs="Times New Roman"/>
        </w:rPr>
        <w:t>También le contamos que ya se encuentra disponible la </w:t>
      </w:r>
      <w:r w:rsidRPr="007F7C2B">
        <w:rPr>
          <w:rFonts w:ascii="Verdana" w:eastAsia="Calibri" w:hAnsi="Verdana" w:cs="Times New Roman"/>
          <w:b/>
          <w:bCs/>
        </w:rPr>
        <w:t>Guía de lineamientos de transparencia y selección objetiva para el departamento de La Guajira – Objetivo sexto constitucional de la Sentencia T-302 del 2017. </w:t>
      </w:r>
      <w:r w:rsidRPr="007F7C2B">
        <w:rPr>
          <w:rFonts w:ascii="Verdana" w:eastAsia="Calibri" w:hAnsi="Verdana" w:cs="Times New Roman"/>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7F7C2B">
          <w:rPr>
            <w:rFonts w:ascii="Verdana" w:eastAsia="Calibri" w:hAnsi="Verdana" w:cs="Times New Roman"/>
            <w:color w:val="0000FF"/>
            <w:u w:val="single"/>
          </w:rPr>
          <w:t>Guía de lineamientos de transparencia y selección objetiva para el departamento de La Guajira – Objetivo sexto constitucional de la Sentencia T-302 del 2017</w:t>
        </w:r>
      </w:hyperlink>
    </w:p>
    <w:p w14:paraId="4974DBFC" w14:textId="77777777" w:rsidR="007F7C2B" w:rsidRPr="007F7C2B" w:rsidRDefault="007F7C2B" w:rsidP="007F7C2B">
      <w:pPr>
        <w:spacing w:after="0" w:line="240" w:lineRule="auto"/>
        <w:jc w:val="both"/>
        <w:rPr>
          <w:rFonts w:ascii="Verdana" w:eastAsia="Calibri" w:hAnsi="Verdana" w:cs="Times New Roman"/>
        </w:rPr>
      </w:pPr>
    </w:p>
    <w:p w14:paraId="23282E90" w14:textId="77777777" w:rsidR="007F7C2B" w:rsidRPr="007F7C2B" w:rsidRDefault="007F7C2B" w:rsidP="007F7C2B">
      <w:pPr>
        <w:spacing w:after="0" w:line="240" w:lineRule="auto"/>
        <w:jc w:val="both"/>
        <w:rPr>
          <w:rFonts w:ascii="Verdana" w:eastAsia="Calibri" w:hAnsi="Verdana" w:cs="Times New Roman"/>
        </w:rPr>
      </w:pPr>
      <w:r w:rsidRPr="007F7C2B">
        <w:rPr>
          <w:rFonts w:ascii="Verdana" w:eastAsia="Calibri" w:hAnsi="Verdana" w:cs="Times New Roman"/>
        </w:rPr>
        <w:t xml:space="preserve">Por último, lo invitamos a seguirnos en las redes sociales en las cuales se difunde información institucional: </w:t>
      </w:r>
    </w:p>
    <w:p w14:paraId="578EFFE3" w14:textId="77777777" w:rsidR="007F7C2B" w:rsidRPr="007F7C2B" w:rsidRDefault="007F7C2B" w:rsidP="007F7C2B">
      <w:pPr>
        <w:spacing w:after="0" w:line="240" w:lineRule="auto"/>
        <w:jc w:val="both"/>
        <w:rPr>
          <w:rFonts w:ascii="Verdana" w:eastAsia="Calibri" w:hAnsi="Verdana" w:cs="Times New Roman"/>
        </w:rPr>
      </w:pPr>
    </w:p>
    <w:p w14:paraId="23FB7C70" w14:textId="77777777" w:rsidR="007F7C2B" w:rsidRPr="007F7C2B" w:rsidRDefault="007F7C2B" w:rsidP="007F7C2B">
      <w:pPr>
        <w:spacing w:after="0" w:line="240" w:lineRule="auto"/>
        <w:jc w:val="both"/>
        <w:rPr>
          <w:rFonts w:ascii="Verdana" w:eastAsia="Calibri" w:hAnsi="Verdana" w:cs="Times New Roman"/>
        </w:rPr>
      </w:pPr>
      <w:r w:rsidRPr="007F7C2B">
        <w:rPr>
          <w:rFonts w:ascii="Verdana" w:eastAsia="Calibri" w:hAnsi="Verdana" w:cs="Times New Roman"/>
        </w:rPr>
        <w:t xml:space="preserve">Twitter: </w:t>
      </w:r>
      <w:r w:rsidRPr="0087512C">
        <w:rPr>
          <w:rFonts w:ascii="Verdana" w:eastAsia="Calibri" w:hAnsi="Verdana" w:cs="Times New Roman"/>
          <w:color w:val="0000FF"/>
          <w:u w:val="single"/>
        </w:rPr>
        <w:t xml:space="preserve">@colombiacompra </w:t>
      </w:r>
    </w:p>
    <w:p w14:paraId="01E1876B" w14:textId="77777777" w:rsidR="007F7C2B" w:rsidRPr="007F7C2B" w:rsidRDefault="007F7C2B" w:rsidP="007F7C2B">
      <w:pPr>
        <w:spacing w:after="0" w:line="240" w:lineRule="auto"/>
        <w:jc w:val="both"/>
        <w:rPr>
          <w:rFonts w:ascii="Verdana" w:eastAsia="Calibri" w:hAnsi="Verdana" w:cs="Times New Roman"/>
        </w:rPr>
      </w:pPr>
      <w:r w:rsidRPr="007F7C2B">
        <w:rPr>
          <w:rFonts w:ascii="Verdana" w:eastAsia="Calibri" w:hAnsi="Verdana" w:cs="Times New Roman"/>
        </w:rPr>
        <w:t xml:space="preserve">Facebook: </w:t>
      </w:r>
      <w:r w:rsidRPr="0087512C">
        <w:rPr>
          <w:rFonts w:ascii="Verdana" w:eastAsia="Calibri" w:hAnsi="Verdana" w:cs="Times New Roman"/>
          <w:color w:val="0000FF"/>
          <w:u w:val="single"/>
        </w:rPr>
        <w:t>ColombiaCompraEficiente</w:t>
      </w:r>
    </w:p>
    <w:p w14:paraId="4414C639" w14:textId="77777777" w:rsidR="007F7C2B" w:rsidRPr="007F7C2B" w:rsidRDefault="007F7C2B" w:rsidP="007F7C2B">
      <w:pPr>
        <w:spacing w:after="0" w:line="240" w:lineRule="auto"/>
        <w:jc w:val="both"/>
        <w:rPr>
          <w:rFonts w:ascii="Verdana" w:eastAsia="Calibri" w:hAnsi="Verdana" w:cs="Times New Roman"/>
        </w:rPr>
      </w:pPr>
      <w:r w:rsidRPr="007F7C2B">
        <w:rPr>
          <w:rFonts w:ascii="Verdana" w:eastAsia="Calibri" w:hAnsi="Verdana" w:cs="Times New Roman"/>
        </w:rPr>
        <w:t xml:space="preserve">LinkedIn: </w:t>
      </w:r>
      <w:r w:rsidRPr="0087512C">
        <w:rPr>
          <w:rFonts w:ascii="Verdana" w:eastAsia="Calibri" w:hAnsi="Verdana" w:cs="Times New Roman"/>
          <w:color w:val="0000FF"/>
          <w:u w:val="single"/>
        </w:rPr>
        <w:t>Agencia Nacional de Contratación Pública - Colombia Compra Eficiente</w:t>
      </w:r>
      <w:r w:rsidRPr="007F7C2B">
        <w:rPr>
          <w:rFonts w:ascii="Verdana" w:eastAsia="Calibri" w:hAnsi="Verdana" w:cs="Times New Roman"/>
          <w:color w:val="4472C4"/>
        </w:rPr>
        <w:t xml:space="preserve"> </w:t>
      </w:r>
      <w:r w:rsidRPr="007F7C2B">
        <w:rPr>
          <w:rFonts w:ascii="Verdana" w:eastAsia="Calibri" w:hAnsi="Verdana" w:cs="Times New Roman"/>
        </w:rPr>
        <w:t xml:space="preserve">Instagram: </w:t>
      </w:r>
      <w:r w:rsidRPr="0087512C">
        <w:rPr>
          <w:rFonts w:ascii="Verdana" w:eastAsia="Calibri" w:hAnsi="Verdana" w:cs="Times New Roman"/>
          <w:color w:val="0000FF"/>
          <w:u w:val="single"/>
        </w:rPr>
        <w:t>@colombiacompraeficiente_cce</w:t>
      </w:r>
    </w:p>
    <w:p w14:paraId="6C0554F2" w14:textId="77777777" w:rsidR="007F7C2B" w:rsidRPr="007F7C2B" w:rsidRDefault="007F7C2B" w:rsidP="007F7C2B">
      <w:pPr>
        <w:widowControl w:val="0"/>
        <w:autoSpaceDE w:val="0"/>
        <w:autoSpaceDN w:val="0"/>
        <w:spacing w:after="0" w:line="276" w:lineRule="auto"/>
        <w:jc w:val="both"/>
        <w:rPr>
          <w:rFonts w:ascii="Verdana" w:eastAsia="Calibri" w:hAnsi="Verdana" w:cs="Times New Roman"/>
        </w:rPr>
      </w:pPr>
    </w:p>
    <w:p w14:paraId="2398A966" w14:textId="77777777" w:rsidR="007F7C2B" w:rsidRPr="007F7C2B" w:rsidRDefault="007F7C2B" w:rsidP="007F7C2B">
      <w:pPr>
        <w:widowControl w:val="0"/>
        <w:autoSpaceDE w:val="0"/>
        <w:autoSpaceDN w:val="0"/>
        <w:spacing w:after="0" w:line="276" w:lineRule="auto"/>
        <w:jc w:val="both"/>
        <w:rPr>
          <w:rFonts w:ascii="Verdana" w:eastAsia="Calibri" w:hAnsi="Verdana" w:cs="Arial"/>
          <w:lang w:val="es-ES_tradnl"/>
        </w:rPr>
      </w:pPr>
      <w:r w:rsidRPr="007F7C2B">
        <w:rPr>
          <w:rFonts w:ascii="Verdana" w:eastAsia="Calibri" w:hAnsi="Verdana" w:cs="Arial"/>
        </w:rPr>
        <w:t xml:space="preserve">Este concepto tiene el alcance previsto en el artículo 28 del Código de Procedimiento Administrativo y de lo Contencioso Administrativo </w:t>
      </w:r>
      <w:r w:rsidRPr="007F7C2B">
        <w:rPr>
          <w:rFonts w:ascii="Verdana" w:eastAsia="Calibri" w:hAnsi="Verdana" w:cs="Arial"/>
          <w:lang w:val="es-ES_tradnl"/>
        </w:rPr>
        <w:t>y las expresiones aquí utilizadas con mayúscula inicial deben ser entendidas con el significado que les otorga el artículo 2.2.1.1.1.3.1. del Decreto 1082 de 2015.</w:t>
      </w:r>
    </w:p>
    <w:p w14:paraId="32A76DAC" w14:textId="77777777" w:rsidR="007F7C2B" w:rsidRPr="007F7C2B" w:rsidRDefault="007F7C2B" w:rsidP="007F7C2B">
      <w:pPr>
        <w:spacing w:after="0" w:line="276" w:lineRule="auto"/>
        <w:ind w:firstLine="709"/>
        <w:jc w:val="both"/>
        <w:rPr>
          <w:rFonts w:ascii="Verdana" w:eastAsia="Times New Roman" w:hAnsi="Verdana" w:cs="Arial"/>
          <w:szCs w:val="24"/>
          <w:lang w:val="es-ES_tradnl" w:eastAsia="es-ES_tradnl"/>
        </w:rPr>
      </w:pPr>
    </w:p>
    <w:p w14:paraId="5C271B20" w14:textId="77777777" w:rsidR="007F7C2B" w:rsidRPr="007F7C2B" w:rsidRDefault="007F7C2B" w:rsidP="007F7C2B">
      <w:pPr>
        <w:spacing w:after="0" w:line="276" w:lineRule="auto"/>
        <w:jc w:val="both"/>
        <w:rPr>
          <w:rFonts w:ascii="Verdana" w:eastAsia="Times New Roman" w:hAnsi="Verdana" w:cs="Arial"/>
          <w:lang w:val="es-ES_tradnl" w:eastAsia="es-CO"/>
        </w:rPr>
      </w:pPr>
      <w:bookmarkStart w:id="13" w:name="_Hlk117695077"/>
      <w:r w:rsidRPr="007F7C2B">
        <w:rPr>
          <w:rFonts w:ascii="Verdana" w:eastAsia="Times New Roman" w:hAnsi="Verdana" w:cs="Arial"/>
          <w:lang w:val="es-ES_tradnl" w:eastAsia="es-CO"/>
        </w:rPr>
        <w:t>Atentamente,</w:t>
      </w:r>
    </w:p>
    <w:p w14:paraId="63488AF1" w14:textId="77777777" w:rsidR="007F7C2B" w:rsidRPr="007F7C2B" w:rsidRDefault="007F7C2B" w:rsidP="007F7C2B">
      <w:pPr>
        <w:spacing w:after="0" w:line="276" w:lineRule="auto"/>
        <w:jc w:val="both"/>
        <w:rPr>
          <w:rFonts w:ascii="Verdana" w:eastAsia="Times New Roman" w:hAnsi="Verdana" w:cs="Arial"/>
          <w:lang w:val="es-ES_tradnl" w:eastAsia="es-CO"/>
        </w:rPr>
      </w:pPr>
    </w:p>
    <w:bookmarkEnd w:id="13"/>
    <w:p w14:paraId="7107241A" w14:textId="692DEA7F" w:rsidR="007F7C2B" w:rsidRPr="007F7C2B" w:rsidRDefault="0087512C" w:rsidP="007F7C2B">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lastRenderedPageBreak/>
        <w:drawing>
          <wp:inline distT="0" distB="0" distL="0" distR="0" wp14:anchorId="2189EED8" wp14:editId="439C8CB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7F7C2B" w:rsidRPr="007F7C2B" w14:paraId="51F79668" w14:textId="77777777" w:rsidTr="008116C2">
        <w:trPr>
          <w:trHeight w:val="286"/>
        </w:trPr>
        <w:tc>
          <w:tcPr>
            <w:tcW w:w="893" w:type="dxa"/>
            <w:vAlign w:val="center"/>
            <w:hideMark/>
          </w:tcPr>
          <w:p w14:paraId="3A00F082" w14:textId="77777777" w:rsidR="007F7C2B" w:rsidRPr="007F7C2B" w:rsidRDefault="007F7C2B" w:rsidP="007F7C2B">
            <w:pPr>
              <w:rPr>
                <w:rFonts w:ascii="Verdana" w:eastAsia="Times New Roman" w:hAnsi="Verdana" w:cs="Arial"/>
                <w:sz w:val="14"/>
                <w:szCs w:val="14"/>
                <w:lang w:eastAsia="es-ES"/>
              </w:rPr>
            </w:pPr>
            <w:r w:rsidRPr="007F7C2B">
              <w:rPr>
                <w:rFonts w:ascii="Verdana" w:eastAsia="Times New Roman" w:hAnsi="Verdana" w:cs="Arial"/>
                <w:sz w:val="16"/>
                <w:szCs w:val="16"/>
                <w:lang w:eastAsia="es-ES"/>
              </w:rPr>
              <w:t>Elaboró:</w:t>
            </w:r>
          </w:p>
        </w:tc>
        <w:tc>
          <w:tcPr>
            <w:tcW w:w="4777" w:type="dxa"/>
            <w:vAlign w:val="center"/>
            <w:hideMark/>
          </w:tcPr>
          <w:p w14:paraId="511776D4" w14:textId="77777777" w:rsidR="007F7C2B" w:rsidRPr="007F7C2B" w:rsidRDefault="007F7C2B" w:rsidP="007F7C2B">
            <w:pPr>
              <w:rPr>
                <w:rFonts w:ascii="Verdana" w:eastAsia="Times New Roman" w:hAnsi="Verdana" w:cs="Arial"/>
                <w:sz w:val="16"/>
                <w:szCs w:val="16"/>
                <w:lang w:val="es-ES_tradnl" w:eastAsia="es-ES"/>
              </w:rPr>
            </w:pPr>
          </w:p>
          <w:p w14:paraId="0C36876C" w14:textId="77777777" w:rsidR="007F7C2B" w:rsidRPr="007F7C2B" w:rsidRDefault="007F7C2B" w:rsidP="007F7C2B">
            <w:pPr>
              <w:rPr>
                <w:rFonts w:ascii="Verdana" w:eastAsia="Times New Roman" w:hAnsi="Verdana" w:cs="Arial"/>
                <w:sz w:val="16"/>
                <w:szCs w:val="16"/>
                <w:lang w:val="es-ES_tradnl" w:eastAsia="es-ES"/>
              </w:rPr>
            </w:pPr>
            <w:r w:rsidRPr="007F7C2B">
              <w:rPr>
                <w:rFonts w:ascii="Verdana" w:eastAsia="Times New Roman" w:hAnsi="Verdana" w:cs="Arial"/>
                <w:sz w:val="16"/>
                <w:szCs w:val="16"/>
                <w:lang w:val="es-ES_tradnl" w:eastAsia="es-ES"/>
              </w:rPr>
              <w:t>Camila Alejandra Naranjo Gómez</w:t>
            </w:r>
          </w:p>
          <w:p w14:paraId="22F5FCFF" w14:textId="77777777" w:rsidR="007F7C2B" w:rsidRPr="007F7C2B" w:rsidRDefault="007F7C2B" w:rsidP="007F7C2B">
            <w:pPr>
              <w:rPr>
                <w:rFonts w:ascii="Verdana" w:eastAsia="Times New Roman" w:hAnsi="Verdana" w:cs="Arial"/>
                <w:sz w:val="14"/>
                <w:szCs w:val="14"/>
                <w:lang w:eastAsia="es-ES"/>
              </w:rPr>
            </w:pPr>
            <w:r w:rsidRPr="007F7C2B">
              <w:rPr>
                <w:rFonts w:ascii="Verdana" w:eastAsia="Times New Roman" w:hAnsi="Verdana" w:cs="Arial"/>
                <w:sz w:val="16"/>
                <w:szCs w:val="16"/>
                <w:lang w:eastAsia="es-ES"/>
              </w:rPr>
              <w:t>Analista T2-1 de la Subdirección de Gestión Contractual</w:t>
            </w:r>
          </w:p>
        </w:tc>
      </w:tr>
      <w:tr w:rsidR="007F7C2B" w:rsidRPr="007F7C2B" w14:paraId="4ECBFF69" w14:textId="77777777" w:rsidTr="008116C2">
        <w:trPr>
          <w:trHeight w:val="299"/>
        </w:trPr>
        <w:tc>
          <w:tcPr>
            <w:tcW w:w="893" w:type="dxa"/>
            <w:vAlign w:val="center"/>
            <w:hideMark/>
          </w:tcPr>
          <w:p w14:paraId="2251F078" w14:textId="77777777" w:rsidR="007F7C2B" w:rsidRPr="007F7C2B" w:rsidRDefault="007F7C2B" w:rsidP="007F7C2B">
            <w:pPr>
              <w:rPr>
                <w:rFonts w:ascii="Verdana" w:eastAsia="Times New Roman" w:hAnsi="Verdana" w:cs="Arial"/>
                <w:sz w:val="14"/>
                <w:szCs w:val="14"/>
                <w:lang w:eastAsia="es-ES"/>
              </w:rPr>
            </w:pPr>
            <w:r w:rsidRPr="007F7C2B">
              <w:rPr>
                <w:rFonts w:ascii="Verdana" w:eastAsia="Times New Roman" w:hAnsi="Verdana" w:cs="Arial"/>
                <w:sz w:val="16"/>
                <w:szCs w:val="16"/>
                <w:lang w:eastAsia="es-ES"/>
              </w:rPr>
              <w:t>Revisó:</w:t>
            </w:r>
          </w:p>
        </w:tc>
        <w:tc>
          <w:tcPr>
            <w:tcW w:w="4777" w:type="dxa"/>
            <w:vAlign w:val="center"/>
            <w:hideMark/>
          </w:tcPr>
          <w:p w14:paraId="3C82F985" w14:textId="77777777" w:rsidR="007F7C2B" w:rsidRPr="007F7C2B" w:rsidRDefault="007F7C2B" w:rsidP="007F7C2B">
            <w:pPr>
              <w:rPr>
                <w:rFonts w:ascii="Verdana" w:eastAsia="Times New Roman" w:hAnsi="Verdana" w:cs="Arial"/>
                <w:sz w:val="16"/>
                <w:szCs w:val="16"/>
                <w:lang w:val="es-ES_tradnl" w:eastAsia="es-ES"/>
              </w:rPr>
            </w:pPr>
            <w:r w:rsidRPr="007F7C2B">
              <w:rPr>
                <w:rFonts w:ascii="Verdana" w:eastAsia="Times New Roman" w:hAnsi="Verdana" w:cs="Arial"/>
                <w:sz w:val="16"/>
                <w:szCs w:val="16"/>
                <w:lang w:val="es-ES_tradnl" w:eastAsia="es-ES"/>
              </w:rPr>
              <w:t>Juan Carlos González</w:t>
            </w:r>
          </w:p>
          <w:p w14:paraId="07AB3990" w14:textId="77777777" w:rsidR="007F7C2B" w:rsidRPr="007F7C2B" w:rsidRDefault="007F7C2B" w:rsidP="007F7C2B">
            <w:pPr>
              <w:rPr>
                <w:rFonts w:ascii="Verdana" w:eastAsia="Times New Roman" w:hAnsi="Verdana" w:cs="Arial"/>
                <w:sz w:val="14"/>
                <w:szCs w:val="14"/>
                <w:lang w:eastAsia="es-ES"/>
              </w:rPr>
            </w:pPr>
            <w:r w:rsidRPr="007F7C2B">
              <w:rPr>
                <w:rFonts w:ascii="Verdana" w:eastAsia="Times New Roman" w:hAnsi="Verdana" w:cs="Arial"/>
                <w:sz w:val="16"/>
                <w:szCs w:val="16"/>
                <w:lang w:eastAsia="es-ES"/>
              </w:rPr>
              <w:t>Contratista de la Subdirección de Gestión Contractual</w:t>
            </w:r>
          </w:p>
        </w:tc>
      </w:tr>
      <w:tr w:rsidR="007F7C2B" w:rsidRPr="007F7C2B" w14:paraId="5DD07E87" w14:textId="77777777" w:rsidTr="008116C2">
        <w:trPr>
          <w:trHeight w:val="272"/>
        </w:trPr>
        <w:tc>
          <w:tcPr>
            <w:tcW w:w="893" w:type="dxa"/>
            <w:vAlign w:val="center"/>
            <w:hideMark/>
          </w:tcPr>
          <w:p w14:paraId="03123E88" w14:textId="77777777" w:rsidR="007F7C2B" w:rsidRPr="007F7C2B" w:rsidRDefault="007F7C2B" w:rsidP="007F7C2B">
            <w:pPr>
              <w:rPr>
                <w:rFonts w:ascii="Verdana" w:eastAsia="Times New Roman" w:hAnsi="Verdana" w:cs="Arial"/>
                <w:sz w:val="14"/>
                <w:szCs w:val="14"/>
                <w:lang w:eastAsia="es-ES"/>
              </w:rPr>
            </w:pPr>
            <w:r w:rsidRPr="007F7C2B">
              <w:rPr>
                <w:rFonts w:ascii="Verdana" w:eastAsia="Times New Roman" w:hAnsi="Verdana" w:cs="Arial"/>
                <w:sz w:val="16"/>
                <w:szCs w:val="16"/>
                <w:lang w:eastAsia="es-ES"/>
              </w:rPr>
              <w:t>Aprobó:</w:t>
            </w:r>
          </w:p>
        </w:tc>
        <w:tc>
          <w:tcPr>
            <w:tcW w:w="4777" w:type="dxa"/>
            <w:vAlign w:val="center"/>
            <w:hideMark/>
          </w:tcPr>
          <w:p w14:paraId="6DF5A3A5" w14:textId="77777777" w:rsidR="007F7C2B" w:rsidRPr="007F7C2B" w:rsidRDefault="007F7C2B" w:rsidP="007F7C2B">
            <w:pPr>
              <w:rPr>
                <w:rFonts w:ascii="Verdana" w:eastAsia="Times New Roman" w:hAnsi="Verdana" w:cs="Arial"/>
                <w:sz w:val="16"/>
                <w:szCs w:val="16"/>
                <w:lang w:eastAsia="es-ES"/>
              </w:rPr>
            </w:pPr>
            <w:r w:rsidRPr="007F7C2B">
              <w:rPr>
                <w:rFonts w:ascii="Verdana" w:eastAsia="Times New Roman" w:hAnsi="Verdana" w:cs="Arial"/>
                <w:sz w:val="16"/>
                <w:szCs w:val="16"/>
                <w:lang w:eastAsia="es-ES"/>
              </w:rPr>
              <w:t>Carolina Quintero Gacharná</w:t>
            </w:r>
          </w:p>
          <w:p w14:paraId="0393F2A6" w14:textId="77777777" w:rsidR="007F7C2B" w:rsidRPr="007F7C2B" w:rsidRDefault="007F7C2B" w:rsidP="007F7C2B">
            <w:pPr>
              <w:rPr>
                <w:rFonts w:ascii="Verdana" w:eastAsia="Times New Roman" w:hAnsi="Verdana" w:cs="Arial"/>
                <w:sz w:val="14"/>
                <w:szCs w:val="14"/>
                <w:lang w:eastAsia="es-ES"/>
              </w:rPr>
            </w:pPr>
            <w:r w:rsidRPr="007F7C2B">
              <w:rPr>
                <w:rFonts w:ascii="Verdana" w:eastAsia="Times New Roman" w:hAnsi="Verdana" w:cs="Arial"/>
                <w:sz w:val="16"/>
                <w:szCs w:val="16"/>
                <w:lang w:eastAsia="es-ES"/>
              </w:rPr>
              <w:t>Subdirectora de Gestión Contractual ANCP – CCE</w:t>
            </w:r>
          </w:p>
        </w:tc>
      </w:tr>
    </w:tbl>
    <w:p w14:paraId="2292F209" w14:textId="77777777" w:rsidR="007F7C2B" w:rsidRPr="007F7C2B" w:rsidRDefault="007F7C2B" w:rsidP="007F7C2B">
      <w:pPr>
        <w:spacing w:after="0" w:line="276" w:lineRule="auto"/>
        <w:jc w:val="both"/>
        <w:rPr>
          <w:rFonts w:ascii="Verdana" w:eastAsia="Times New Roman" w:hAnsi="Verdana" w:cs="Arial"/>
          <w:lang w:val="es-ES_tradnl"/>
        </w:rPr>
      </w:pPr>
    </w:p>
    <w:p w14:paraId="7A5C19CF" w14:textId="77777777" w:rsidR="007F7C2B" w:rsidRPr="007F7C2B" w:rsidRDefault="007F7C2B" w:rsidP="007F7C2B">
      <w:pPr>
        <w:spacing w:after="0" w:line="240" w:lineRule="auto"/>
        <w:rPr>
          <w:rFonts w:ascii="Verdana" w:eastAsia="Times New Roman" w:hAnsi="Verdana" w:cs="Arial"/>
          <w:sz w:val="24"/>
          <w:szCs w:val="24"/>
          <w:lang w:eastAsia="es-ES_tradnl"/>
        </w:rPr>
      </w:pPr>
    </w:p>
    <w:p w14:paraId="3A571289" w14:textId="77777777" w:rsidR="007F7C2B" w:rsidRPr="007F7C2B" w:rsidRDefault="007F7C2B" w:rsidP="007F7C2B">
      <w:pPr>
        <w:rPr>
          <w:rFonts w:ascii="Verdana" w:eastAsia="Calibri" w:hAnsi="Verdana" w:cs="Times New Roman"/>
        </w:rPr>
      </w:pPr>
    </w:p>
    <w:p w14:paraId="396EE0D2" w14:textId="77777777" w:rsidR="007F7C2B" w:rsidRPr="007F7C2B" w:rsidRDefault="007F7C2B" w:rsidP="007F7C2B">
      <w:pPr>
        <w:rPr>
          <w:rFonts w:ascii="Calibri" w:eastAsia="Calibri" w:hAnsi="Calibri" w:cs="Times New Roman"/>
        </w:rPr>
      </w:pPr>
    </w:p>
    <w:p w14:paraId="3900974D" w14:textId="77777777" w:rsidR="003D5B0D" w:rsidRPr="007F7C2B" w:rsidRDefault="003D5B0D" w:rsidP="007F7C2B">
      <w:pPr>
        <w:spacing w:after="0"/>
        <w:rPr>
          <w:rFonts w:ascii="Verdana" w:eastAsia="Times New Roman" w:hAnsi="Verdana" w:cs="Segoe UI"/>
          <w:b/>
          <w:bCs/>
          <w:color w:val="46589C"/>
          <w:lang w:eastAsia="es-CO"/>
        </w:rPr>
      </w:pPr>
    </w:p>
    <w:sectPr w:rsidR="003D5B0D" w:rsidRPr="007F7C2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0F76" w14:textId="77777777" w:rsidR="00574320" w:rsidRDefault="00574320" w:rsidP="004A1847">
      <w:pPr>
        <w:spacing w:after="0" w:line="240" w:lineRule="auto"/>
      </w:pPr>
      <w:r>
        <w:separator/>
      </w:r>
    </w:p>
  </w:endnote>
  <w:endnote w:type="continuationSeparator" w:id="0">
    <w:p w14:paraId="25D8D7E4" w14:textId="77777777" w:rsidR="00574320" w:rsidRDefault="0057432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AB8A0" w14:textId="77777777" w:rsidR="00574320" w:rsidRDefault="00574320" w:rsidP="004A1847">
      <w:pPr>
        <w:spacing w:after="0" w:line="240" w:lineRule="auto"/>
      </w:pPr>
      <w:r>
        <w:separator/>
      </w:r>
    </w:p>
  </w:footnote>
  <w:footnote w:type="continuationSeparator" w:id="0">
    <w:p w14:paraId="291D1FF8" w14:textId="77777777" w:rsidR="00574320" w:rsidRDefault="00574320" w:rsidP="004A1847">
      <w:pPr>
        <w:spacing w:after="0" w:line="240" w:lineRule="auto"/>
      </w:pPr>
      <w:r>
        <w:continuationSeparator/>
      </w:r>
    </w:p>
  </w:footnote>
  <w:footnote w:id="1">
    <w:p w14:paraId="4BB827CB" w14:textId="2A7F1DE4" w:rsidR="007F7C2B" w:rsidRPr="00D33D7C" w:rsidRDefault="007F7C2B" w:rsidP="001D317C">
      <w:pPr>
        <w:spacing w:after="120" w:line="240" w:lineRule="auto"/>
        <w:ind w:firstLine="708"/>
        <w:jc w:val="both"/>
        <w:rPr>
          <w:rFonts w:ascii="Verdana" w:hAnsi="Verdana" w:cs="Arial"/>
          <w:sz w:val="16"/>
          <w:szCs w:val="16"/>
        </w:rPr>
      </w:pPr>
      <w:r w:rsidRPr="00D33D7C">
        <w:rPr>
          <w:rStyle w:val="Refdenotaalpie"/>
          <w:rFonts w:ascii="Verdana" w:hAnsi="Verdana" w:cs="Arial"/>
          <w:sz w:val="16"/>
          <w:szCs w:val="16"/>
        </w:rPr>
        <w:footnoteRef/>
      </w:r>
      <w:r w:rsidRPr="00D33D7C">
        <w:rPr>
          <w:rFonts w:ascii="Verdana" w:hAnsi="Verdana" w:cs="Arial"/>
          <w:sz w:val="16"/>
          <w:szCs w:val="16"/>
        </w:rPr>
        <w:t xml:space="preserve"> Definición desarrollada en el Concepto 003 de 2021 y el Concepto C-143 de 2021. </w:t>
      </w:r>
    </w:p>
  </w:footnote>
  <w:footnote w:id="2">
    <w:p w14:paraId="72DB6BC9" w14:textId="77777777" w:rsidR="007F7C2B" w:rsidRPr="00D33D7C" w:rsidRDefault="007F7C2B" w:rsidP="001D317C">
      <w:pPr>
        <w:spacing w:after="120" w:line="240" w:lineRule="auto"/>
        <w:ind w:firstLine="708"/>
        <w:jc w:val="both"/>
        <w:rPr>
          <w:rFonts w:ascii="Verdana" w:hAnsi="Verdana" w:cs="Arial"/>
          <w:sz w:val="16"/>
          <w:szCs w:val="16"/>
        </w:rPr>
      </w:pPr>
      <w:r w:rsidRPr="00D33D7C">
        <w:rPr>
          <w:rStyle w:val="Refdenotaalpie"/>
          <w:rFonts w:ascii="Verdana" w:hAnsi="Verdana" w:cs="Arial"/>
          <w:sz w:val="16"/>
          <w:szCs w:val="16"/>
        </w:rPr>
        <w:footnoteRef/>
      </w:r>
      <w:r w:rsidRPr="00D33D7C">
        <w:rPr>
          <w:rFonts w:ascii="Verdana" w:hAnsi="Verdana" w:cs="Arial"/>
          <w:sz w:val="16"/>
          <w:szCs w:val="16"/>
        </w:rPr>
        <w:t xml:space="preserve"> Consejo de Estado. Sección Tercera. Providencia del 26 de junio de 2003. Expediente: 13.354.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52322738" o:spid="_x0000_i1026" type="#_x0000_t75" style="width:11.25pt;height:11.25pt;visibility:visible;mso-wrap-style:square" o:bullet="t">
        <v:imagedata r:id="rId1" o:title=""/>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C64D05"/>
    <w:multiLevelType w:val="hybridMultilevel"/>
    <w:tmpl w:val="A8C629B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 w:numId="17" w16cid:durableId="801076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F7D"/>
    <w:rsid w:val="00044805"/>
    <w:rsid w:val="00046945"/>
    <w:rsid w:val="00061B2A"/>
    <w:rsid w:val="00082362"/>
    <w:rsid w:val="000A683E"/>
    <w:rsid w:val="000B19B9"/>
    <w:rsid w:val="000D0334"/>
    <w:rsid w:val="000F6486"/>
    <w:rsid w:val="00125105"/>
    <w:rsid w:val="00127233"/>
    <w:rsid w:val="001511A0"/>
    <w:rsid w:val="0015556A"/>
    <w:rsid w:val="00184E7B"/>
    <w:rsid w:val="001D317C"/>
    <w:rsid w:val="001E4177"/>
    <w:rsid w:val="001F7DC6"/>
    <w:rsid w:val="0021345A"/>
    <w:rsid w:val="00240737"/>
    <w:rsid w:val="002421BB"/>
    <w:rsid w:val="0025796E"/>
    <w:rsid w:val="002707A2"/>
    <w:rsid w:val="00272C38"/>
    <w:rsid w:val="002951A0"/>
    <w:rsid w:val="002962BC"/>
    <w:rsid w:val="002A093D"/>
    <w:rsid w:val="002A0DD0"/>
    <w:rsid w:val="002A49AC"/>
    <w:rsid w:val="002A64FD"/>
    <w:rsid w:val="002C7A84"/>
    <w:rsid w:val="002E4FD9"/>
    <w:rsid w:val="003009EC"/>
    <w:rsid w:val="003063F5"/>
    <w:rsid w:val="00322A85"/>
    <w:rsid w:val="00324168"/>
    <w:rsid w:val="0033219E"/>
    <w:rsid w:val="003448F4"/>
    <w:rsid w:val="00374F5E"/>
    <w:rsid w:val="00377E3E"/>
    <w:rsid w:val="003A3D76"/>
    <w:rsid w:val="003A779E"/>
    <w:rsid w:val="003B6287"/>
    <w:rsid w:val="003D0F4D"/>
    <w:rsid w:val="003D5B0D"/>
    <w:rsid w:val="003E0499"/>
    <w:rsid w:val="003E5165"/>
    <w:rsid w:val="003F3941"/>
    <w:rsid w:val="00406575"/>
    <w:rsid w:val="00414C74"/>
    <w:rsid w:val="0042722E"/>
    <w:rsid w:val="004416DD"/>
    <w:rsid w:val="0044528D"/>
    <w:rsid w:val="004A1847"/>
    <w:rsid w:val="004A305D"/>
    <w:rsid w:val="004D3E91"/>
    <w:rsid w:val="004F21C4"/>
    <w:rsid w:val="004F685F"/>
    <w:rsid w:val="005566E8"/>
    <w:rsid w:val="00574320"/>
    <w:rsid w:val="00574867"/>
    <w:rsid w:val="00586E81"/>
    <w:rsid w:val="00591460"/>
    <w:rsid w:val="005B3816"/>
    <w:rsid w:val="005C3777"/>
    <w:rsid w:val="005C5CDC"/>
    <w:rsid w:val="005D476C"/>
    <w:rsid w:val="00606737"/>
    <w:rsid w:val="006219F8"/>
    <w:rsid w:val="00625E49"/>
    <w:rsid w:val="00665D70"/>
    <w:rsid w:val="006900D9"/>
    <w:rsid w:val="006E4372"/>
    <w:rsid w:val="00706C16"/>
    <w:rsid w:val="00741BED"/>
    <w:rsid w:val="00756841"/>
    <w:rsid w:val="007649AB"/>
    <w:rsid w:val="00771D0C"/>
    <w:rsid w:val="007833AC"/>
    <w:rsid w:val="00791000"/>
    <w:rsid w:val="007B268C"/>
    <w:rsid w:val="007B41C8"/>
    <w:rsid w:val="007B7171"/>
    <w:rsid w:val="007C0C0F"/>
    <w:rsid w:val="007C19F0"/>
    <w:rsid w:val="007C3DC2"/>
    <w:rsid w:val="007E5497"/>
    <w:rsid w:val="007F7C2B"/>
    <w:rsid w:val="00806F5F"/>
    <w:rsid w:val="00820278"/>
    <w:rsid w:val="008426A3"/>
    <w:rsid w:val="00855AAD"/>
    <w:rsid w:val="00867F95"/>
    <w:rsid w:val="0087156C"/>
    <w:rsid w:val="0087512C"/>
    <w:rsid w:val="008843B6"/>
    <w:rsid w:val="00891928"/>
    <w:rsid w:val="008A3A72"/>
    <w:rsid w:val="008A446D"/>
    <w:rsid w:val="008D180B"/>
    <w:rsid w:val="008F0EA7"/>
    <w:rsid w:val="00902A1F"/>
    <w:rsid w:val="00904FD9"/>
    <w:rsid w:val="00923EEF"/>
    <w:rsid w:val="009419F9"/>
    <w:rsid w:val="0095685E"/>
    <w:rsid w:val="00961B09"/>
    <w:rsid w:val="00965334"/>
    <w:rsid w:val="0097093E"/>
    <w:rsid w:val="00986AC5"/>
    <w:rsid w:val="00992ADD"/>
    <w:rsid w:val="009A0DFA"/>
    <w:rsid w:val="009B2D26"/>
    <w:rsid w:val="009B40BE"/>
    <w:rsid w:val="009C71FA"/>
    <w:rsid w:val="009C72E7"/>
    <w:rsid w:val="009D3058"/>
    <w:rsid w:val="009F3A13"/>
    <w:rsid w:val="00A122D3"/>
    <w:rsid w:val="00A17F13"/>
    <w:rsid w:val="00A20739"/>
    <w:rsid w:val="00A33C78"/>
    <w:rsid w:val="00A40F88"/>
    <w:rsid w:val="00A67F58"/>
    <w:rsid w:val="00A728E2"/>
    <w:rsid w:val="00AB0ADB"/>
    <w:rsid w:val="00AB224D"/>
    <w:rsid w:val="00B01B1A"/>
    <w:rsid w:val="00B16DBC"/>
    <w:rsid w:val="00B66319"/>
    <w:rsid w:val="00B72CD3"/>
    <w:rsid w:val="00B72FFF"/>
    <w:rsid w:val="00BC3D36"/>
    <w:rsid w:val="00BD7F72"/>
    <w:rsid w:val="00BE429D"/>
    <w:rsid w:val="00BF2274"/>
    <w:rsid w:val="00C04FB3"/>
    <w:rsid w:val="00C330EB"/>
    <w:rsid w:val="00C41061"/>
    <w:rsid w:val="00C51C21"/>
    <w:rsid w:val="00C73C06"/>
    <w:rsid w:val="00C754BE"/>
    <w:rsid w:val="00C76B1C"/>
    <w:rsid w:val="00CB6357"/>
    <w:rsid w:val="00CC1B26"/>
    <w:rsid w:val="00CF2AD0"/>
    <w:rsid w:val="00D423A2"/>
    <w:rsid w:val="00D520D8"/>
    <w:rsid w:val="00D63AC2"/>
    <w:rsid w:val="00D67434"/>
    <w:rsid w:val="00D7383B"/>
    <w:rsid w:val="00D97B9B"/>
    <w:rsid w:val="00DA231B"/>
    <w:rsid w:val="00DA7F27"/>
    <w:rsid w:val="00DB7100"/>
    <w:rsid w:val="00DC39FC"/>
    <w:rsid w:val="00DF5254"/>
    <w:rsid w:val="00E16408"/>
    <w:rsid w:val="00E20894"/>
    <w:rsid w:val="00E245AB"/>
    <w:rsid w:val="00E2764C"/>
    <w:rsid w:val="00E27F2E"/>
    <w:rsid w:val="00E50AFE"/>
    <w:rsid w:val="00E7257B"/>
    <w:rsid w:val="00E75C92"/>
    <w:rsid w:val="00E76892"/>
    <w:rsid w:val="00E771DC"/>
    <w:rsid w:val="00E8772A"/>
    <w:rsid w:val="00E90F6B"/>
    <w:rsid w:val="00E92C27"/>
    <w:rsid w:val="00EA0E3D"/>
    <w:rsid w:val="00EC38A7"/>
    <w:rsid w:val="00ED7384"/>
    <w:rsid w:val="00EE1AA8"/>
    <w:rsid w:val="00EF5543"/>
    <w:rsid w:val="00F31EDC"/>
    <w:rsid w:val="00F40D35"/>
    <w:rsid w:val="00F4240E"/>
    <w:rsid w:val="00F462B3"/>
    <w:rsid w:val="00F46617"/>
    <w:rsid w:val="00F5664F"/>
    <w:rsid w:val="00F666C4"/>
    <w:rsid w:val="00F76AFC"/>
    <w:rsid w:val="00FA47C0"/>
    <w:rsid w:val="00FB5DD1"/>
    <w:rsid w:val="00FC2B5D"/>
    <w:rsid w:val="00FD3E29"/>
    <w:rsid w:val="00FF1449"/>
    <w:rsid w:val="165E9519"/>
    <w:rsid w:val="1BA1C8BD"/>
    <w:rsid w:val="29D4713A"/>
    <w:rsid w:val="382536D9"/>
    <w:rsid w:val="4195EF88"/>
    <w:rsid w:val="530414F9"/>
    <w:rsid w:val="56EC160E"/>
    <w:rsid w:val="67640998"/>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7F7C2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F7C2B"/>
    <w:pPr>
      <w:spacing w:line="240" w:lineRule="exact"/>
    </w:pPr>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6737"/>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60125">
      <w:bodyDiv w:val="1"/>
      <w:marLeft w:val="0"/>
      <w:marRight w:val="0"/>
      <w:marTop w:val="0"/>
      <w:marBottom w:val="0"/>
      <w:divBdr>
        <w:top w:val="none" w:sz="0" w:space="0" w:color="auto"/>
        <w:left w:val="none" w:sz="0" w:space="0" w:color="auto"/>
        <w:bottom w:val="none" w:sz="0" w:space="0" w:color="auto"/>
        <w:right w:val="none" w:sz="0" w:space="0" w:color="auto"/>
      </w:divBdr>
    </w:div>
    <w:div w:id="53119272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0456017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7880766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2023-Guia-para-determinar-y-verificar-la-Capacidad-Residual-del-proponente-en-los-Procesos-de-Contratacion-de-obra-publica-CCE-REC-GI-22.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laneacionproy.infraestructura.n@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E99D493-8BC9-4903-AE91-E7B95CA83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4345</Words>
  <Characters>23900</Characters>
  <Application>Microsoft Office Word</Application>
  <DocSecurity>0</DocSecurity>
  <Lines>199</Lines>
  <Paragraphs>56</Paragraphs>
  <ScaleCrop>false</ScaleCrop>
  <Company/>
  <LinksUpToDate>false</LinksUpToDate>
  <CharactersWithSpaces>28189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2025-07-03T16:42:00Z</dcterms:created>
  <dcterms:modified xsi:type="dcterms:W3CDTF">2025-07-03T16:42:00Z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