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B84C9" w14:textId="77777777" w:rsidR="009030FF" w:rsidRPr="007F716C" w:rsidRDefault="009030FF" w:rsidP="009030FF">
      <w:pPr>
        <w:spacing w:after="0" w:line="240" w:lineRule="auto"/>
        <w:jc w:val="both"/>
        <w:rPr>
          <w:rFonts w:ascii="Verdana" w:eastAsia="Calibri" w:hAnsi="Verdana" w:cs="Arial"/>
          <w:b/>
          <w:bCs/>
          <w:lang w:val="es-ES_tradnl" w:eastAsia="es-ES_tradnl"/>
        </w:rPr>
      </w:pPr>
      <w:bookmarkStart w:id="0" w:name="_Hlk186494164"/>
      <w:r w:rsidRPr="007F716C">
        <w:rPr>
          <w:rFonts w:ascii="Verdana" w:eastAsia="Calibri" w:hAnsi="Verdana" w:cs="Arial"/>
          <w:b/>
          <w:bCs/>
          <w:lang w:val="es-ES_tradnl" w:eastAsia="es-ES_tradnl"/>
        </w:rPr>
        <w:t>PLANEACIÓN CONTRACTUAL – Noción – Obligación de las entidades – Ley 80 de 1993</w:t>
      </w:r>
    </w:p>
    <w:p w14:paraId="7DF1F7A5" w14:textId="77777777" w:rsidR="009030FF" w:rsidRPr="00C15FFD" w:rsidRDefault="009030FF" w:rsidP="009030FF">
      <w:pPr>
        <w:spacing w:after="0" w:line="240" w:lineRule="auto"/>
        <w:jc w:val="both"/>
        <w:rPr>
          <w:rFonts w:ascii="Verdana" w:eastAsia="Calibri" w:hAnsi="Verdana" w:cs="Arial"/>
          <w:b/>
          <w:bCs/>
          <w:sz w:val="20"/>
          <w:szCs w:val="20"/>
          <w:highlight w:val="yellow"/>
          <w:lang w:val="es-ES_tradnl" w:eastAsia="es-ES_tradnl"/>
        </w:rPr>
      </w:pPr>
    </w:p>
    <w:p w14:paraId="46B672F9" w14:textId="77777777" w:rsidR="009030FF" w:rsidRDefault="009030FF" w:rsidP="009030FF">
      <w:pPr>
        <w:spacing w:after="0" w:line="240" w:lineRule="auto"/>
        <w:jc w:val="both"/>
        <w:rPr>
          <w:rFonts w:ascii="Verdana" w:eastAsia="Aptos" w:hAnsi="Verdana" w:cs="Times New Roman"/>
          <w:sz w:val="20"/>
          <w:szCs w:val="20"/>
        </w:rPr>
      </w:pPr>
      <w:r w:rsidRPr="00024394">
        <w:rPr>
          <w:rFonts w:ascii="Verdana" w:eastAsia="Aptos" w:hAnsi="Verdana" w:cs="Times New Roman"/>
          <w:sz w:val="20"/>
          <w:szCs w:val="20"/>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p>
    <w:p w14:paraId="60658203" w14:textId="77777777" w:rsidR="009030FF" w:rsidRDefault="009030FF" w:rsidP="009030FF">
      <w:pPr>
        <w:spacing w:after="0" w:line="240" w:lineRule="auto"/>
        <w:jc w:val="both"/>
        <w:rPr>
          <w:rFonts w:ascii="Verdana" w:eastAsia="Aptos" w:hAnsi="Verdana" w:cs="Times New Roman"/>
          <w:sz w:val="20"/>
          <w:szCs w:val="20"/>
        </w:rPr>
      </w:pPr>
    </w:p>
    <w:p w14:paraId="313998D7" w14:textId="77777777" w:rsidR="009030FF" w:rsidRDefault="009030FF" w:rsidP="009030FF">
      <w:pPr>
        <w:spacing w:after="0" w:line="240" w:lineRule="auto"/>
        <w:jc w:val="both"/>
        <w:rPr>
          <w:rFonts w:ascii="Verdana" w:eastAsia="Aptos" w:hAnsi="Verdana" w:cs="Times New Roman"/>
          <w:sz w:val="20"/>
          <w:szCs w:val="20"/>
        </w:rPr>
      </w:pPr>
      <w:r>
        <w:rPr>
          <w:rFonts w:ascii="Verdana" w:eastAsia="Aptos" w:hAnsi="Verdana" w:cs="Times New Roman"/>
          <w:sz w:val="20"/>
          <w:szCs w:val="20"/>
        </w:rPr>
        <w:t xml:space="preserve">[…] </w:t>
      </w:r>
      <w:r w:rsidRPr="00E17369">
        <w:rPr>
          <w:rFonts w:ascii="Verdana" w:eastAsia="Aptos" w:hAnsi="Verdana" w:cs="Times New Roman"/>
          <w:sz w:val="20"/>
          <w:szCs w:val="20"/>
        </w:rPr>
        <w:t>el Estatuto General de Contratación de la Administración Pública, en adelante EGCAP, contiene disposiciones que exigen a las Entidades Estatales el deber de realizar planeación en la etapa precontractual, esto con el fin de que los Procesos de Contratación satisfagan las necesidades de la Administración, cumplan sus fines, logren la continua y eficiente prestación de los servicios públicos y permitan la efectividad de los derechos e intereses de los administrados que colaboran en su consecución.</w:t>
      </w:r>
    </w:p>
    <w:p w14:paraId="09A92B3A" w14:textId="77777777" w:rsidR="009030FF" w:rsidRPr="00C15FFD" w:rsidRDefault="009030FF" w:rsidP="009030FF">
      <w:pPr>
        <w:spacing w:after="0" w:line="240" w:lineRule="auto"/>
        <w:jc w:val="both"/>
        <w:rPr>
          <w:rFonts w:ascii="Verdana" w:eastAsia="Aptos" w:hAnsi="Verdana" w:cs="Times New Roman"/>
          <w:sz w:val="20"/>
          <w:szCs w:val="20"/>
          <w:highlight w:val="yellow"/>
        </w:rPr>
      </w:pPr>
    </w:p>
    <w:p w14:paraId="39EC0F9C" w14:textId="77777777" w:rsidR="009030FF" w:rsidRPr="002B393F" w:rsidRDefault="009030FF" w:rsidP="009030FF">
      <w:pPr>
        <w:spacing w:after="0" w:line="240" w:lineRule="auto"/>
        <w:jc w:val="both"/>
        <w:rPr>
          <w:rFonts w:ascii="Verdana" w:eastAsia="Calibri" w:hAnsi="Verdana" w:cs="Arial"/>
          <w:b/>
          <w:bCs/>
          <w:lang w:val="es-ES" w:eastAsia="es-ES"/>
        </w:rPr>
      </w:pPr>
      <w:r w:rsidRPr="002B393F">
        <w:rPr>
          <w:rFonts w:ascii="Verdana" w:eastAsia="Calibri" w:hAnsi="Verdana" w:cs="Arial"/>
          <w:b/>
          <w:bCs/>
          <w:lang w:val="es-ES" w:eastAsia="es-ES"/>
        </w:rPr>
        <w:t xml:space="preserve">ESTUDIOS PREVIOS </w:t>
      </w:r>
      <w:r>
        <w:rPr>
          <w:rFonts w:ascii="Verdana" w:eastAsia="Calibri" w:hAnsi="Verdana" w:cs="Arial"/>
          <w:b/>
          <w:bCs/>
          <w:lang w:val="es-ES" w:eastAsia="es-ES"/>
        </w:rPr>
        <w:t>–</w:t>
      </w:r>
      <w:r w:rsidRPr="002B393F">
        <w:rPr>
          <w:rFonts w:ascii="Verdana" w:eastAsia="Calibri" w:hAnsi="Verdana" w:cs="Arial"/>
          <w:b/>
          <w:bCs/>
          <w:lang w:val="es-ES" w:eastAsia="es-ES"/>
        </w:rPr>
        <w:t xml:space="preserve"> Finalidad</w:t>
      </w:r>
    </w:p>
    <w:p w14:paraId="301FAEB6" w14:textId="77777777" w:rsidR="009030FF" w:rsidRPr="00C15FFD" w:rsidRDefault="009030FF" w:rsidP="009030FF">
      <w:pPr>
        <w:spacing w:after="0" w:line="240" w:lineRule="auto"/>
        <w:jc w:val="both"/>
        <w:rPr>
          <w:rFonts w:ascii="Verdana" w:eastAsia="Calibri" w:hAnsi="Verdana" w:cs="Arial"/>
          <w:b/>
          <w:bCs/>
          <w:sz w:val="20"/>
          <w:szCs w:val="20"/>
          <w:highlight w:val="yellow"/>
          <w:lang w:val="es-ES_tradnl" w:eastAsia="es-ES_tradnl"/>
        </w:rPr>
      </w:pPr>
    </w:p>
    <w:p w14:paraId="4A7E4A31" w14:textId="77777777" w:rsidR="009030FF" w:rsidRDefault="009030FF" w:rsidP="009030FF">
      <w:pPr>
        <w:spacing w:after="0" w:line="240" w:lineRule="auto"/>
        <w:jc w:val="both"/>
        <w:rPr>
          <w:rFonts w:ascii="Verdana" w:eastAsia="Aptos" w:hAnsi="Verdana" w:cs="Times New Roman"/>
          <w:sz w:val="20"/>
          <w:szCs w:val="20"/>
        </w:rPr>
      </w:pPr>
      <w:r>
        <w:rPr>
          <w:rFonts w:ascii="Verdana" w:eastAsia="Aptos" w:hAnsi="Verdana" w:cs="Times New Roman"/>
          <w:sz w:val="20"/>
          <w:szCs w:val="20"/>
        </w:rPr>
        <w:t xml:space="preserve">[…] </w:t>
      </w:r>
      <w:r w:rsidRPr="002B393F">
        <w:rPr>
          <w:rFonts w:ascii="Verdana" w:eastAsia="Aptos" w:hAnsi="Verdana" w:cs="Times New Roman"/>
          <w:sz w:val="20"/>
          <w:szCs w:val="20"/>
        </w:rPr>
        <w:t xml:space="preserve">la Entidad Estatal podrá determinar con los estudios previos: i) la verdadera necesidad de la celebración del contrato; </w:t>
      </w:r>
      <w:proofErr w:type="spellStart"/>
      <w:r w:rsidRPr="002B393F">
        <w:rPr>
          <w:rFonts w:ascii="Verdana" w:eastAsia="Aptos" w:hAnsi="Verdana" w:cs="Times New Roman"/>
          <w:sz w:val="20"/>
          <w:szCs w:val="20"/>
        </w:rPr>
        <w:t>ii</w:t>
      </w:r>
      <w:proofErr w:type="spellEnd"/>
      <w:r w:rsidRPr="002B393F">
        <w:rPr>
          <w:rFonts w:ascii="Verdana" w:eastAsia="Aptos" w:hAnsi="Verdana" w:cs="Times New Roman"/>
          <w:sz w:val="20"/>
          <w:szCs w:val="20"/>
        </w:rPr>
        <w:t xml:space="preserve">) las modalidades existentes para satisfacer esa necesidad y las razones que justifiquen la modalidad o tipo contractual que se escoja; </w:t>
      </w:r>
      <w:proofErr w:type="spellStart"/>
      <w:r w:rsidRPr="002B393F">
        <w:rPr>
          <w:rFonts w:ascii="Verdana" w:eastAsia="Aptos" w:hAnsi="Verdana" w:cs="Times New Roman"/>
          <w:sz w:val="20"/>
          <w:szCs w:val="20"/>
        </w:rPr>
        <w:t>iii</w:t>
      </w:r>
      <w:proofErr w:type="spellEnd"/>
      <w:r w:rsidRPr="002B393F">
        <w:rPr>
          <w:rFonts w:ascii="Verdana" w:eastAsia="Aptos" w:hAnsi="Verdana" w:cs="Times New Roman"/>
          <w:sz w:val="20"/>
          <w:szCs w:val="20"/>
        </w:rPr>
        <w:t xml:space="preserve">) las calidades, especificaciones, cantidades y demás características que puedan o deban reunir los bienes, las obras o los servicios cuya contratación se haya determinado necesaria, </w:t>
      </w:r>
      <w:proofErr w:type="spellStart"/>
      <w:r w:rsidRPr="002B393F">
        <w:rPr>
          <w:rFonts w:ascii="Verdana" w:eastAsia="Aptos" w:hAnsi="Verdana" w:cs="Times New Roman"/>
          <w:sz w:val="20"/>
          <w:szCs w:val="20"/>
        </w:rPr>
        <w:t>iv</w:t>
      </w:r>
      <w:proofErr w:type="spellEnd"/>
      <w:r w:rsidRPr="002B393F">
        <w:rPr>
          <w:rFonts w:ascii="Verdana" w:eastAsia="Aptos" w:hAnsi="Verdana" w:cs="Times New Roman"/>
          <w:sz w:val="20"/>
          <w:szCs w:val="20"/>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2B393F">
        <w:rPr>
          <w:rFonts w:ascii="Verdana" w:eastAsia="Aptos" w:hAnsi="Verdana" w:cs="Times New Roman"/>
          <w:sz w:val="20"/>
          <w:szCs w:val="20"/>
        </w:rPr>
        <w:t>vii</w:t>
      </w:r>
      <w:proofErr w:type="spellEnd"/>
      <w:r w:rsidRPr="002B393F">
        <w:rPr>
          <w:rFonts w:ascii="Verdana" w:eastAsia="Aptos" w:hAnsi="Verdana" w:cs="Times New Roman"/>
          <w:sz w:val="20"/>
          <w:szCs w:val="20"/>
        </w:rPr>
        <w:t>) los procedimientos, trámites y requisitos que deban satisfacerse, reunirse u obtenerse para llevar a cabo la selección del respectivo contratista y la celebración del contrato que se pretenda celebrar. La consideración de todos estos aspectos permite que los contratos resultantes de la planeación cuenten con el sustento técnico, económico y jurídico que incidirá en una adecuada ejecución.</w:t>
      </w:r>
    </w:p>
    <w:p w14:paraId="69F11DFA" w14:textId="77777777" w:rsidR="009030FF" w:rsidRDefault="009030FF" w:rsidP="009030FF">
      <w:pPr>
        <w:spacing w:after="0" w:line="240" w:lineRule="auto"/>
        <w:rPr>
          <w:rFonts w:ascii="Verdana" w:eastAsia="Aptos" w:hAnsi="Verdana" w:cs="Times New Roman"/>
          <w:sz w:val="20"/>
          <w:szCs w:val="20"/>
        </w:rPr>
      </w:pPr>
    </w:p>
    <w:p w14:paraId="6217FA67" w14:textId="77777777" w:rsidR="009030FF" w:rsidRPr="002B393F" w:rsidRDefault="009030FF" w:rsidP="009030FF">
      <w:pPr>
        <w:spacing w:after="0" w:line="240" w:lineRule="auto"/>
        <w:jc w:val="both"/>
        <w:rPr>
          <w:rFonts w:ascii="Verdana" w:eastAsia="Calibri" w:hAnsi="Verdana" w:cs="Arial"/>
          <w:b/>
          <w:bCs/>
          <w:lang w:val="es-ES" w:eastAsia="es-ES"/>
        </w:rPr>
      </w:pPr>
      <w:r w:rsidRPr="002B393F">
        <w:rPr>
          <w:rFonts w:ascii="Verdana" w:eastAsia="Calibri" w:hAnsi="Verdana" w:cs="Arial"/>
          <w:b/>
          <w:bCs/>
          <w:lang w:val="es-ES" w:eastAsia="es-ES"/>
        </w:rPr>
        <w:t xml:space="preserve">ESTUDIOS </w:t>
      </w:r>
      <w:r>
        <w:rPr>
          <w:rFonts w:ascii="Verdana" w:eastAsia="Calibri" w:hAnsi="Verdana" w:cs="Arial"/>
          <w:b/>
          <w:bCs/>
          <w:lang w:val="es-ES" w:eastAsia="es-ES"/>
        </w:rPr>
        <w:t>DE MERCADO</w:t>
      </w:r>
      <w:r w:rsidRPr="002B393F">
        <w:rPr>
          <w:rFonts w:ascii="Verdana" w:eastAsia="Calibri" w:hAnsi="Verdana" w:cs="Arial"/>
          <w:b/>
          <w:bCs/>
          <w:lang w:val="es-ES" w:eastAsia="es-ES"/>
        </w:rPr>
        <w:t xml:space="preserve"> </w:t>
      </w:r>
      <w:r>
        <w:rPr>
          <w:rFonts w:ascii="Verdana" w:eastAsia="Calibri" w:hAnsi="Verdana" w:cs="Arial"/>
          <w:b/>
          <w:bCs/>
          <w:lang w:val="es-ES" w:eastAsia="es-ES"/>
        </w:rPr>
        <w:t>–</w:t>
      </w:r>
      <w:r w:rsidRPr="002B393F">
        <w:rPr>
          <w:rFonts w:ascii="Verdana" w:eastAsia="Calibri" w:hAnsi="Verdana" w:cs="Arial"/>
          <w:b/>
          <w:bCs/>
          <w:lang w:val="es-ES" w:eastAsia="es-ES"/>
        </w:rPr>
        <w:t xml:space="preserve"> </w:t>
      </w:r>
      <w:r>
        <w:rPr>
          <w:rFonts w:ascii="Verdana" w:eastAsia="Calibri" w:hAnsi="Verdana" w:cs="Arial"/>
          <w:b/>
          <w:bCs/>
          <w:lang w:val="es-ES" w:eastAsia="es-ES"/>
        </w:rPr>
        <w:t>Finalidad – Recomendaciones – Colombia compra eficiente – Guía de elaboración de estudios del sector</w:t>
      </w:r>
    </w:p>
    <w:p w14:paraId="4CEE218D" w14:textId="77777777" w:rsidR="009030FF" w:rsidRDefault="009030FF" w:rsidP="009030FF">
      <w:pPr>
        <w:spacing w:after="0" w:line="240" w:lineRule="auto"/>
        <w:rPr>
          <w:rFonts w:ascii="Verdana" w:eastAsia="Aptos" w:hAnsi="Verdana" w:cs="Times New Roman"/>
          <w:sz w:val="20"/>
          <w:szCs w:val="20"/>
        </w:rPr>
      </w:pPr>
    </w:p>
    <w:p w14:paraId="6689F9C8" w14:textId="77777777" w:rsidR="009030FF" w:rsidRDefault="009030FF" w:rsidP="009030FF">
      <w:pPr>
        <w:spacing w:after="0" w:line="240" w:lineRule="auto"/>
        <w:jc w:val="both"/>
        <w:rPr>
          <w:rFonts w:ascii="Verdana" w:eastAsia="Aptos" w:hAnsi="Verdana" w:cs="Times New Roman"/>
          <w:sz w:val="20"/>
          <w:szCs w:val="20"/>
        </w:rPr>
      </w:pPr>
      <w:r>
        <w:rPr>
          <w:rFonts w:ascii="Verdana" w:eastAsia="Aptos" w:hAnsi="Verdana" w:cs="Times New Roman"/>
          <w:sz w:val="20"/>
          <w:szCs w:val="20"/>
        </w:rPr>
        <w:t xml:space="preserve">[…] </w:t>
      </w:r>
      <w:r w:rsidRPr="004A1D12">
        <w:rPr>
          <w:rFonts w:ascii="Verdana" w:eastAsia="Aptos" w:hAnsi="Verdana" w:cs="Times New Roman"/>
          <w:sz w:val="20"/>
          <w:szCs w:val="20"/>
        </w:rPr>
        <w:t>este permite comprender la dinámica de los precios y establecer el presupuesto oficial de la contratación, el cual comprende la realización de un análisis de los diferentes precios de los bienes o servicios a contratar que se registran en el mercado, los cuales pueden consultarse a través de mecanismos como la solicitud de cotizaciones, la consulta de bases de datos especializadas y el análisis de precios históricos. Este estudio de mercado debe responder claramente a las dinámicas de precio y, de esta manera, establecer el presupuesto oficial del proceso de contratación.</w:t>
      </w:r>
      <w:r w:rsidRPr="00A562DF">
        <w:t xml:space="preserve"> </w:t>
      </w:r>
      <w:r w:rsidRPr="00A562DF">
        <w:rPr>
          <w:rFonts w:ascii="Verdana" w:eastAsia="Aptos" w:hAnsi="Verdana" w:cs="Times New Roman"/>
          <w:sz w:val="20"/>
          <w:szCs w:val="20"/>
        </w:rPr>
        <w:t>De esta forma, se tiene que, la Guía de Elaboración de Estudios del Sector en el numeral 1.3.4, propone a las Entidades Estatales los siguientes mecanismos para elaborar el estudio de precios de mercado:</w:t>
      </w:r>
      <w:r>
        <w:rPr>
          <w:rFonts w:ascii="Verdana" w:eastAsia="Aptos" w:hAnsi="Verdana" w:cs="Times New Roman"/>
          <w:sz w:val="20"/>
          <w:szCs w:val="20"/>
        </w:rPr>
        <w:t xml:space="preserve"> i</w:t>
      </w:r>
      <w:r w:rsidRPr="00A562DF">
        <w:rPr>
          <w:rFonts w:ascii="Verdana" w:eastAsia="Aptos" w:hAnsi="Verdana" w:cs="Times New Roman"/>
          <w:sz w:val="20"/>
          <w:szCs w:val="20"/>
        </w:rPr>
        <w:t>) Revisión de precios por solicitud de cotizaciones</w:t>
      </w:r>
      <w:r>
        <w:rPr>
          <w:rFonts w:ascii="Verdana" w:eastAsia="Aptos" w:hAnsi="Verdana" w:cs="Times New Roman"/>
          <w:sz w:val="20"/>
          <w:szCs w:val="20"/>
        </w:rPr>
        <w:t xml:space="preserve"> […]. </w:t>
      </w:r>
      <w:proofErr w:type="spellStart"/>
      <w:r>
        <w:rPr>
          <w:rFonts w:ascii="Verdana" w:eastAsia="Aptos" w:hAnsi="Verdana" w:cs="Times New Roman"/>
          <w:sz w:val="20"/>
          <w:szCs w:val="20"/>
        </w:rPr>
        <w:t>ii</w:t>
      </w:r>
      <w:proofErr w:type="spellEnd"/>
      <w:r>
        <w:rPr>
          <w:rFonts w:ascii="Verdana" w:eastAsia="Aptos" w:hAnsi="Verdana" w:cs="Times New Roman"/>
          <w:sz w:val="20"/>
          <w:szCs w:val="20"/>
        </w:rPr>
        <w:t xml:space="preserve">) </w:t>
      </w:r>
      <w:r w:rsidRPr="00A562DF">
        <w:rPr>
          <w:rFonts w:ascii="Verdana" w:eastAsia="Aptos" w:hAnsi="Verdana" w:cs="Times New Roman"/>
          <w:sz w:val="20"/>
          <w:szCs w:val="20"/>
        </w:rPr>
        <w:t>verificarse la ocurrencia de circunstancias que eventualmente pueden distorsionar los precios del mercado</w:t>
      </w:r>
      <w:r>
        <w:rPr>
          <w:rFonts w:ascii="Verdana" w:eastAsia="Aptos" w:hAnsi="Verdana" w:cs="Times New Roman"/>
          <w:sz w:val="20"/>
          <w:szCs w:val="20"/>
        </w:rPr>
        <w:t xml:space="preserve"> […]. </w:t>
      </w:r>
      <w:proofErr w:type="spellStart"/>
      <w:r>
        <w:rPr>
          <w:rFonts w:ascii="Verdana" w:eastAsia="Aptos" w:hAnsi="Verdana" w:cs="Times New Roman"/>
          <w:sz w:val="20"/>
          <w:szCs w:val="20"/>
        </w:rPr>
        <w:t>iii</w:t>
      </w:r>
      <w:proofErr w:type="spellEnd"/>
      <w:r>
        <w:rPr>
          <w:rFonts w:ascii="Verdana" w:eastAsia="Aptos" w:hAnsi="Verdana" w:cs="Times New Roman"/>
          <w:sz w:val="20"/>
          <w:szCs w:val="20"/>
        </w:rPr>
        <w:t>)</w:t>
      </w:r>
      <w:r w:rsidRPr="00A562DF">
        <w:t xml:space="preserve"> </w:t>
      </w:r>
      <w:r w:rsidRPr="00A562DF">
        <w:rPr>
          <w:rFonts w:ascii="Verdana" w:eastAsia="Aptos" w:hAnsi="Verdana" w:cs="Times New Roman"/>
          <w:sz w:val="20"/>
          <w:szCs w:val="20"/>
        </w:rPr>
        <w:t>Revisión de bases de datos especializadas</w:t>
      </w:r>
      <w:r>
        <w:rPr>
          <w:rFonts w:ascii="Verdana" w:eastAsia="Aptos" w:hAnsi="Verdana" w:cs="Times New Roman"/>
          <w:sz w:val="20"/>
          <w:szCs w:val="20"/>
        </w:rPr>
        <w:t xml:space="preserve">. </w:t>
      </w:r>
      <w:proofErr w:type="spellStart"/>
      <w:r>
        <w:rPr>
          <w:rFonts w:ascii="Verdana" w:eastAsia="Aptos" w:hAnsi="Verdana" w:cs="Times New Roman"/>
          <w:sz w:val="20"/>
          <w:szCs w:val="20"/>
        </w:rPr>
        <w:t>iv</w:t>
      </w:r>
      <w:proofErr w:type="spellEnd"/>
      <w:r>
        <w:rPr>
          <w:rFonts w:ascii="Verdana" w:eastAsia="Aptos" w:hAnsi="Verdana" w:cs="Times New Roman"/>
          <w:sz w:val="20"/>
          <w:szCs w:val="20"/>
        </w:rPr>
        <w:t>)</w:t>
      </w:r>
      <w:r w:rsidRPr="0039462C">
        <w:t xml:space="preserve"> </w:t>
      </w:r>
      <w:r w:rsidRPr="0039462C">
        <w:rPr>
          <w:rFonts w:ascii="Verdana" w:eastAsia="Aptos" w:hAnsi="Verdana" w:cs="Times New Roman"/>
          <w:sz w:val="20"/>
          <w:szCs w:val="20"/>
        </w:rPr>
        <w:t>Revisión de precios históricos</w:t>
      </w:r>
      <w:r>
        <w:rPr>
          <w:rFonts w:ascii="Verdana" w:eastAsia="Aptos" w:hAnsi="Verdana" w:cs="Times New Roman"/>
          <w:sz w:val="20"/>
          <w:szCs w:val="20"/>
        </w:rPr>
        <w:t xml:space="preserve"> […]</w:t>
      </w:r>
    </w:p>
    <w:p w14:paraId="008FA4ED" w14:textId="77777777" w:rsidR="009030FF" w:rsidRDefault="009030FF" w:rsidP="009030FF">
      <w:pPr>
        <w:spacing w:after="0" w:line="240" w:lineRule="auto"/>
        <w:rPr>
          <w:rFonts w:ascii="Verdana" w:eastAsia="Aptos" w:hAnsi="Verdana" w:cs="Times New Roman"/>
          <w:sz w:val="20"/>
          <w:szCs w:val="20"/>
        </w:rPr>
      </w:pPr>
    </w:p>
    <w:p w14:paraId="21B6C894" w14:textId="297242A6" w:rsidR="009030FF" w:rsidRPr="006B08E9" w:rsidRDefault="006B08E9" w:rsidP="009030FF">
      <w:pPr>
        <w:spacing w:after="0" w:line="240" w:lineRule="auto"/>
        <w:rPr>
          <w:rFonts w:ascii="Verdana" w:eastAsia="Aptos" w:hAnsi="Verdana" w:cs="Times New Roman"/>
          <w:b/>
          <w:bCs/>
          <w:sz w:val="20"/>
          <w:szCs w:val="20"/>
        </w:rPr>
      </w:pPr>
      <w:r w:rsidRPr="006B08E9">
        <w:rPr>
          <w:rFonts w:ascii="Verdana" w:eastAsia="Calibri" w:hAnsi="Verdana" w:cs="Arial"/>
          <w:b/>
          <w:bCs/>
          <w:lang w:val="es-ES" w:eastAsia="es-ES"/>
        </w:rPr>
        <w:t>SOBECOSTOS – Definición</w:t>
      </w:r>
    </w:p>
    <w:p w14:paraId="7C399D3F" w14:textId="77777777" w:rsidR="009030FF" w:rsidRDefault="009030FF" w:rsidP="009030FF">
      <w:pPr>
        <w:spacing w:after="0" w:line="240" w:lineRule="auto"/>
        <w:rPr>
          <w:rFonts w:ascii="Verdana" w:eastAsia="Aptos" w:hAnsi="Verdana" w:cs="Times New Roman"/>
          <w:sz w:val="20"/>
          <w:szCs w:val="20"/>
        </w:rPr>
      </w:pPr>
    </w:p>
    <w:p w14:paraId="0B271BBF" w14:textId="470FDF92" w:rsidR="006B08E9" w:rsidRDefault="006B08E9" w:rsidP="006B08E9">
      <w:pPr>
        <w:spacing w:after="0" w:line="240" w:lineRule="auto"/>
        <w:jc w:val="both"/>
        <w:rPr>
          <w:rFonts w:ascii="Verdana" w:hAnsi="Verdana" w:cs="Arial"/>
          <w:sz w:val="20"/>
          <w:szCs w:val="20"/>
          <w:lang w:val="es-ES"/>
        </w:rPr>
      </w:pPr>
      <w:r w:rsidRPr="006B08E9">
        <w:rPr>
          <w:rFonts w:ascii="Verdana" w:eastAsia="Aptos" w:hAnsi="Verdana" w:cs="Times New Roman"/>
          <w:sz w:val="20"/>
          <w:szCs w:val="20"/>
        </w:rPr>
        <w:t>S</w:t>
      </w:r>
      <w:r w:rsidRPr="006B08E9">
        <w:rPr>
          <w:rFonts w:ascii="Verdana" w:hAnsi="Verdana" w:cs="Arial"/>
          <w:sz w:val="20"/>
          <w:szCs w:val="20"/>
          <w:lang w:val="es-ES"/>
        </w:rPr>
        <w:t>obre la figura de sobrecosto es importante señalar que el ordenamiento jurídico colombiano no contempla una definición legal de “sobrecosto” en la contratación estatal.</w:t>
      </w:r>
      <w:r w:rsidRPr="006B08E9">
        <w:rPr>
          <w:rFonts w:ascii="Verdana" w:hAnsi="Verdana"/>
          <w:sz w:val="20"/>
          <w:szCs w:val="20"/>
        </w:rPr>
        <w:t xml:space="preserve"> </w:t>
      </w:r>
      <w:r w:rsidRPr="006B08E9">
        <w:rPr>
          <w:rFonts w:ascii="Verdana" w:hAnsi="Verdana" w:cs="Arial"/>
          <w:sz w:val="20"/>
          <w:szCs w:val="20"/>
          <w:lang w:val="es-ES"/>
        </w:rPr>
        <w:t xml:space="preserve">Aunque el artículo 54.3 de la Ley 1952 de 2019 tipifica como falta disciplinaria “Participar en la etapa precontractual o en la actividad contractual, en detrimento del patrimonio público, o con desconocimiento de los principios que regulan la contratación estatal y la función administrativa contemplados en la Constitución y en la ley”, el artículo 6 de la Ley 610 de 2000 cubre una gran variedad de hipótesis que no se limitan al tema </w:t>
      </w:r>
      <w:r w:rsidRPr="006B08E9">
        <w:rPr>
          <w:rFonts w:ascii="Verdana" w:hAnsi="Verdana" w:cs="Arial"/>
          <w:i/>
          <w:iCs/>
          <w:sz w:val="20"/>
          <w:szCs w:val="20"/>
          <w:lang w:val="es-ES"/>
        </w:rPr>
        <w:t>sub examine</w:t>
      </w:r>
      <w:r w:rsidRPr="006B08E9">
        <w:rPr>
          <w:rFonts w:ascii="Verdana" w:hAnsi="Verdana" w:cs="Arial"/>
          <w:sz w:val="20"/>
          <w:szCs w:val="20"/>
          <w:lang w:val="es-ES"/>
        </w:rPr>
        <w:t>.</w:t>
      </w:r>
    </w:p>
    <w:p w14:paraId="32DB7E96" w14:textId="77777777" w:rsidR="006B08E9" w:rsidRDefault="006B08E9" w:rsidP="006B08E9">
      <w:pPr>
        <w:spacing w:after="0" w:line="240" w:lineRule="auto"/>
        <w:jc w:val="both"/>
        <w:rPr>
          <w:rFonts w:ascii="Verdana" w:hAnsi="Verdana" w:cs="Arial"/>
          <w:sz w:val="20"/>
          <w:szCs w:val="20"/>
          <w:lang w:val="es-ES"/>
        </w:rPr>
      </w:pPr>
    </w:p>
    <w:p w14:paraId="2993FF49" w14:textId="77777777" w:rsidR="006B08E9" w:rsidRDefault="006B08E9" w:rsidP="006B08E9">
      <w:pPr>
        <w:spacing w:after="0" w:line="240" w:lineRule="auto"/>
        <w:jc w:val="both"/>
        <w:rPr>
          <w:rFonts w:ascii="Verdana" w:eastAsia="Aptos" w:hAnsi="Verdana" w:cs="Times New Roman"/>
          <w:sz w:val="20"/>
          <w:szCs w:val="20"/>
        </w:rPr>
      </w:pPr>
      <w:r>
        <w:rPr>
          <w:rFonts w:ascii="Verdana" w:eastAsia="Aptos" w:hAnsi="Verdana" w:cs="Times New Roman"/>
          <w:sz w:val="20"/>
          <w:szCs w:val="20"/>
        </w:rPr>
        <w:t>[…]</w:t>
      </w:r>
    </w:p>
    <w:p w14:paraId="307A97C5" w14:textId="77777777" w:rsidR="006B08E9" w:rsidRPr="006B08E9" w:rsidRDefault="006B08E9" w:rsidP="006B08E9">
      <w:pPr>
        <w:spacing w:after="0" w:line="240" w:lineRule="auto"/>
        <w:jc w:val="both"/>
        <w:rPr>
          <w:rFonts w:ascii="Verdana" w:hAnsi="Verdana" w:cs="Arial"/>
          <w:sz w:val="20"/>
          <w:szCs w:val="20"/>
          <w:lang w:val="es-ES"/>
        </w:rPr>
      </w:pPr>
    </w:p>
    <w:p w14:paraId="3CE117EB" w14:textId="225F64CB" w:rsidR="006B08E9" w:rsidRPr="006B08E9" w:rsidRDefault="006B08E9" w:rsidP="006B08E9">
      <w:pPr>
        <w:spacing w:after="0" w:line="240" w:lineRule="auto"/>
        <w:jc w:val="both"/>
        <w:rPr>
          <w:rFonts w:ascii="Verdana" w:hAnsi="Verdana"/>
          <w:sz w:val="20"/>
          <w:szCs w:val="20"/>
        </w:rPr>
      </w:pPr>
      <w:r w:rsidRPr="006B08E9">
        <w:rPr>
          <w:rFonts w:ascii="Verdana" w:eastAsia="Calibri" w:hAnsi="Verdana" w:cs="Arial"/>
          <w:bCs/>
          <w:color w:val="000000" w:themeColor="text1"/>
          <w:sz w:val="20"/>
          <w:szCs w:val="20"/>
        </w:rPr>
        <w:t>Dentro de este marco, el diccionario de la RAE indica que el “sobrecosto” alude al “Gasto adicional que no está previsto o establecido inicialmente”, mientras que el “sobreprecio” equivale a “Recargo en el precio ordinario”. Desde el punto de vista jurisprudencial, se refiere al pago excesivo realizado al contratista, sin una justificación válida en comparación con los precios reales del mercado para los bienes, obras o servicios contratados en cada negocio jurídico, considerando todas las variables que influyen su valor</w:t>
      </w:r>
    </w:p>
    <w:p w14:paraId="79BFC19E" w14:textId="77777777" w:rsidR="009030FF" w:rsidRPr="006B08E9" w:rsidRDefault="009030FF" w:rsidP="006B08E9">
      <w:pPr>
        <w:spacing w:after="0" w:line="240" w:lineRule="auto"/>
        <w:rPr>
          <w:rFonts w:ascii="Verdana" w:eastAsia="Aptos" w:hAnsi="Verdana" w:cs="Times New Roman"/>
          <w:sz w:val="20"/>
          <w:szCs w:val="20"/>
        </w:rPr>
      </w:pPr>
    </w:p>
    <w:p w14:paraId="4C73CDF9" w14:textId="77777777" w:rsidR="009030FF" w:rsidRPr="006B08E9" w:rsidRDefault="009030FF" w:rsidP="006B08E9">
      <w:pPr>
        <w:spacing w:after="0" w:line="240" w:lineRule="auto"/>
        <w:rPr>
          <w:rFonts w:ascii="Verdana" w:eastAsia="Aptos" w:hAnsi="Verdana" w:cs="Times New Roman"/>
          <w:sz w:val="20"/>
          <w:szCs w:val="20"/>
        </w:rPr>
      </w:pPr>
    </w:p>
    <w:p w14:paraId="11B1A1CD" w14:textId="77777777" w:rsidR="009030FF" w:rsidRDefault="009030FF" w:rsidP="009030FF">
      <w:pPr>
        <w:spacing w:after="0" w:line="240" w:lineRule="auto"/>
        <w:rPr>
          <w:rFonts w:ascii="Verdana" w:eastAsia="Aptos" w:hAnsi="Verdana" w:cs="Times New Roman"/>
          <w:sz w:val="20"/>
          <w:szCs w:val="20"/>
        </w:rPr>
      </w:pPr>
    </w:p>
    <w:p w14:paraId="6698EEDE" w14:textId="77777777" w:rsidR="009030FF" w:rsidRDefault="009030FF" w:rsidP="009030FF">
      <w:pPr>
        <w:spacing w:after="0" w:line="240" w:lineRule="auto"/>
        <w:rPr>
          <w:rFonts w:ascii="Verdana" w:eastAsia="Aptos" w:hAnsi="Verdana" w:cs="Times New Roman"/>
          <w:sz w:val="20"/>
          <w:szCs w:val="20"/>
        </w:rPr>
      </w:pPr>
    </w:p>
    <w:p w14:paraId="141099BC" w14:textId="77777777" w:rsidR="009030FF" w:rsidRDefault="009030FF" w:rsidP="009030FF">
      <w:pPr>
        <w:spacing w:after="0" w:line="240" w:lineRule="auto"/>
        <w:rPr>
          <w:rFonts w:ascii="Verdana" w:eastAsia="Aptos" w:hAnsi="Verdana" w:cs="Times New Roman"/>
          <w:sz w:val="20"/>
          <w:szCs w:val="20"/>
        </w:rPr>
      </w:pPr>
    </w:p>
    <w:p w14:paraId="5BE68807" w14:textId="77777777" w:rsidR="009030FF" w:rsidRDefault="009030FF" w:rsidP="009030FF">
      <w:pPr>
        <w:spacing w:after="0" w:line="240" w:lineRule="auto"/>
        <w:rPr>
          <w:rFonts w:ascii="Verdana" w:eastAsia="Aptos" w:hAnsi="Verdana" w:cs="Times New Roman"/>
          <w:sz w:val="20"/>
          <w:szCs w:val="20"/>
        </w:rPr>
      </w:pPr>
    </w:p>
    <w:p w14:paraId="35FD605E" w14:textId="77777777" w:rsidR="009030FF" w:rsidRDefault="009030FF" w:rsidP="009030FF">
      <w:pPr>
        <w:spacing w:after="0" w:line="240" w:lineRule="auto"/>
        <w:rPr>
          <w:rFonts w:ascii="Verdana" w:eastAsia="Aptos" w:hAnsi="Verdana" w:cs="Times New Roman"/>
          <w:sz w:val="20"/>
          <w:szCs w:val="20"/>
        </w:rPr>
      </w:pPr>
    </w:p>
    <w:p w14:paraId="5466B83C" w14:textId="77777777" w:rsidR="009030FF" w:rsidRDefault="009030FF" w:rsidP="009030FF">
      <w:pPr>
        <w:spacing w:after="0" w:line="240" w:lineRule="auto"/>
        <w:rPr>
          <w:rFonts w:ascii="Verdana" w:eastAsia="Aptos" w:hAnsi="Verdana" w:cs="Times New Roman"/>
          <w:sz w:val="20"/>
          <w:szCs w:val="20"/>
        </w:rPr>
      </w:pPr>
    </w:p>
    <w:p w14:paraId="03B6B795" w14:textId="77777777" w:rsidR="009030FF" w:rsidRDefault="009030FF" w:rsidP="009030FF">
      <w:pPr>
        <w:spacing w:after="0" w:line="240" w:lineRule="auto"/>
        <w:rPr>
          <w:rFonts w:ascii="Verdana" w:eastAsia="Aptos" w:hAnsi="Verdana" w:cs="Times New Roman"/>
          <w:sz w:val="20"/>
          <w:szCs w:val="20"/>
        </w:rPr>
      </w:pPr>
    </w:p>
    <w:p w14:paraId="13AD842E" w14:textId="77777777" w:rsidR="009030FF" w:rsidRDefault="009030FF" w:rsidP="009030FF">
      <w:pPr>
        <w:spacing w:after="0" w:line="240" w:lineRule="auto"/>
        <w:rPr>
          <w:rFonts w:ascii="Verdana" w:eastAsia="Aptos" w:hAnsi="Verdana" w:cs="Times New Roman"/>
          <w:sz w:val="20"/>
          <w:szCs w:val="20"/>
        </w:rPr>
      </w:pPr>
    </w:p>
    <w:p w14:paraId="6D7BE987" w14:textId="77777777" w:rsidR="009030FF" w:rsidRDefault="009030FF" w:rsidP="009030FF">
      <w:pPr>
        <w:spacing w:after="0" w:line="240" w:lineRule="auto"/>
        <w:rPr>
          <w:rFonts w:ascii="Verdana" w:eastAsia="Aptos" w:hAnsi="Verdana" w:cs="Times New Roman"/>
          <w:sz w:val="20"/>
          <w:szCs w:val="20"/>
        </w:rPr>
      </w:pPr>
    </w:p>
    <w:p w14:paraId="290972F3" w14:textId="77777777" w:rsidR="009030FF" w:rsidRDefault="009030FF" w:rsidP="009030FF">
      <w:pPr>
        <w:spacing w:after="0" w:line="240" w:lineRule="auto"/>
        <w:rPr>
          <w:rFonts w:ascii="Verdana" w:eastAsia="Aptos" w:hAnsi="Verdana" w:cs="Times New Roman"/>
          <w:sz w:val="20"/>
          <w:szCs w:val="20"/>
        </w:rPr>
      </w:pPr>
    </w:p>
    <w:p w14:paraId="084DCCFC" w14:textId="77777777" w:rsidR="009030FF" w:rsidRDefault="009030FF" w:rsidP="009030FF">
      <w:pPr>
        <w:spacing w:after="0" w:line="240" w:lineRule="auto"/>
        <w:rPr>
          <w:rFonts w:ascii="Verdana" w:eastAsia="Aptos" w:hAnsi="Verdana" w:cs="Times New Roman"/>
          <w:sz w:val="20"/>
          <w:szCs w:val="20"/>
        </w:rPr>
      </w:pPr>
    </w:p>
    <w:p w14:paraId="222005F7" w14:textId="77777777" w:rsidR="009030FF" w:rsidRDefault="009030FF" w:rsidP="009030FF">
      <w:pPr>
        <w:spacing w:after="0" w:line="240" w:lineRule="auto"/>
        <w:rPr>
          <w:rFonts w:ascii="Verdana" w:eastAsia="Aptos" w:hAnsi="Verdana" w:cs="Times New Roman"/>
          <w:sz w:val="20"/>
          <w:szCs w:val="20"/>
        </w:rPr>
      </w:pPr>
    </w:p>
    <w:p w14:paraId="0C4A8F92" w14:textId="77777777" w:rsidR="009030FF" w:rsidRDefault="009030FF" w:rsidP="009030FF">
      <w:pPr>
        <w:spacing w:after="0" w:line="240" w:lineRule="auto"/>
        <w:rPr>
          <w:rFonts w:ascii="Verdana" w:eastAsia="Aptos" w:hAnsi="Verdana" w:cs="Times New Roman"/>
          <w:sz w:val="20"/>
          <w:szCs w:val="20"/>
        </w:rPr>
      </w:pPr>
    </w:p>
    <w:p w14:paraId="79F119B4" w14:textId="77777777" w:rsidR="009030FF" w:rsidRDefault="009030FF" w:rsidP="009030FF">
      <w:pPr>
        <w:spacing w:after="0" w:line="240" w:lineRule="auto"/>
        <w:rPr>
          <w:rFonts w:ascii="Verdana" w:eastAsia="Aptos" w:hAnsi="Verdana" w:cs="Times New Roman"/>
          <w:sz w:val="20"/>
          <w:szCs w:val="20"/>
        </w:rPr>
      </w:pPr>
    </w:p>
    <w:p w14:paraId="6FCA7724" w14:textId="5A78B4AC" w:rsidR="00AD4F6A" w:rsidRPr="00AD4F6A" w:rsidRDefault="00AD4F6A" w:rsidP="00AD4F6A">
      <w:pPr>
        <w:spacing w:after="0" w:line="240" w:lineRule="auto"/>
        <w:rPr>
          <w:rFonts w:ascii="Verdana" w:eastAsia="Geomanist Light" w:hAnsi="Verdana" w:cs="Arial"/>
          <w:color w:val="201F1E"/>
        </w:rPr>
      </w:pPr>
      <w:r w:rsidRPr="00AD4F6A">
        <w:rPr>
          <w:rFonts w:ascii="Verdana" w:eastAsia="Geomanist Light" w:hAnsi="Verdana" w:cs="Arial"/>
          <w:color w:val="000000" w:themeColor="text1"/>
        </w:rPr>
        <w:t>Bogotá D.C., </w:t>
      </w:r>
      <w:r w:rsidR="003C07C4">
        <w:rPr>
          <w:rFonts w:ascii="Verdana" w:eastAsia="Geomanist Light" w:hAnsi="Verdana" w:cs="Arial"/>
          <w:color w:val="201F1E"/>
        </w:rPr>
        <w:t>5 de junio de 2025</w:t>
      </w:r>
    </w:p>
    <w:p w14:paraId="45499F75" w14:textId="77777777" w:rsidR="00AD4F6A" w:rsidRDefault="00AD4F6A" w:rsidP="00AD4F6A">
      <w:pPr>
        <w:spacing w:after="0" w:line="240" w:lineRule="auto"/>
        <w:jc w:val="both"/>
        <w:rPr>
          <w:rFonts w:ascii="Verdana" w:eastAsia="Calibri" w:hAnsi="Verdana" w:cs="Arial"/>
          <w:color w:val="000000"/>
        </w:rPr>
      </w:pPr>
    </w:p>
    <w:p w14:paraId="0FCF54B7" w14:textId="025C1508" w:rsidR="003C07C4" w:rsidRPr="00AD4F6A" w:rsidRDefault="003C07C4" w:rsidP="003C07C4">
      <w:pPr>
        <w:spacing w:after="0" w:line="240" w:lineRule="auto"/>
        <w:jc w:val="right"/>
        <w:rPr>
          <w:rFonts w:ascii="Verdana" w:eastAsia="Calibri" w:hAnsi="Verdana" w:cs="Arial"/>
          <w:color w:val="000000"/>
        </w:rPr>
      </w:pPr>
      <w:r w:rsidRPr="003C07C4">
        <w:rPr>
          <w:rFonts w:ascii="Verdana" w:eastAsia="Calibri" w:hAnsi="Verdana" w:cs="Arial"/>
          <w:noProof/>
          <w:color w:val="000000"/>
        </w:rPr>
        <w:drawing>
          <wp:inline distT="0" distB="0" distL="0" distR="0" wp14:anchorId="31E8292F" wp14:editId="23DA106F">
            <wp:extent cx="2705100" cy="960120"/>
            <wp:effectExtent l="0" t="0" r="0" b="0"/>
            <wp:docPr id="5783881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05100" cy="960120"/>
                    </a:xfrm>
                    <a:prstGeom prst="rect">
                      <a:avLst/>
                    </a:prstGeom>
                    <a:noFill/>
                    <a:ln>
                      <a:noFill/>
                    </a:ln>
                  </pic:spPr>
                </pic:pic>
              </a:graphicData>
            </a:graphic>
          </wp:inline>
        </w:drawing>
      </w:r>
    </w:p>
    <w:p w14:paraId="34771D40" w14:textId="77777777" w:rsidR="00AD4F6A" w:rsidRPr="00AD4F6A" w:rsidRDefault="00AD4F6A" w:rsidP="00AD4F6A">
      <w:pPr>
        <w:spacing w:after="0" w:line="240" w:lineRule="auto"/>
        <w:jc w:val="both"/>
        <w:rPr>
          <w:rFonts w:ascii="Verdana" w:eastAsia="Calibri" w:hAnsi="Verdana" w:cs="Arial"/>
          <w:color w:val="000000"/>
        </w:rPr>
      </w:pPr>
    </w:p>
    <w:p w14:paraId="58AA009B" w14:textId="77777777" w:rsidR="00AD4F6A" w:rsidRPr="00AD4F6A" w:rsidRDefault="00AD4F6A" w:rsidP="00AD4F6A">
      <w:pPr>
        <w:spacing w:after="0" w:line="240" w:lineRule="auto"/>
        <w:jc w:val="both"/>
        <w:rPr>
          <w:rFonts w:ascii="Verdana" w:eastAsia="Calibri" w:hAnsi="Verdana" w:cs="Arial"/>
          <w:lang w:eastAsia="es-ES"/>
        </w:rPr>
      </w:pPr>
      <w:r w:rsidRPr="00AD4F6A">
        <w:rPr>
          <w:rFonts w:ascii="Verdana" w:eastAsia="Calibri" w:hAnsi="Verdana" w:cs="Arial"/>
          <w:lang w:eastAsia="es-ES"/>
        </w:rPr>
        <w:t>Señora</w:t>
      </w:r>
    </w:p>
    <w:p w14:paraId="0CE62AC8" w14:textId="77777777" w:rsidR="00AD4F6A" w:rsidRPr="00AD4F6A" w:rsidRDefault="00AD4F6A" w:rsidP="00AD4F6A">
      <w:pPr>
        <w:spacing w:after="0" w:line="240" w:lineRule="auto"/>
        <w:rPr>
          <w:rFonts w:ascii="Verdana" w:eastAsia="Calibri" w:hAnsi="Verdana" w:cs="Arial"/>
          <w:b/>
          <w:bCs/>
          <w:lang w:eastAsia="es-ES"/>
        </w:rPr>
      </w:pPr>
      <w:proofErr w:type="spellStart"/>
      <w:r w:rsidRPr="00AD4F6A">
        <w:rPr>
          <w:rFonts w:ascii="Verdana" w:hAnsi="Verdana"/>
          <w:b/>
          <w:bCs/>
        </w:rPr>
        <w:t>Nasly</w:t>
      </w:r>
      <w:proofErr w:type="spellEnd"/>
      <w:r w:rsidRPr="00AD4F6A">
        <w:rPr>
          <w:rFonts w:ascii="Verdana" w:hAnsi="Verdana"/>
          <w:b/>
          <w:bCs/>
        </w:rPr>
        <w:t xml:space="preserve"> Jennifer Ruiz González</w:t>
      </w:r>
    </w:p>
    <w:p w14:paraId="7503E06B" w14:textId="77777777" w:rsidR="00AD4F6A" w:rsidRPr="00AD4F6A" w:rsidRDefault="00AD4F6A" w:rsidP="00AD4F6A">
      <w:pPr>
        <w:spacing w:after="0" w:line="240" w:lineRule="auto"/>
        <w:rPr>
          <w:rFonts w:ascii="Verdana" w:hAnsi="Verdana"/>
        </w:rPr>
      </w:pPr>
      <w:r w:rsidRPr="00AD4F6A">
        <w:rPr>
          <w:rFonts w:ascii="Verdana" w:hAnsi="Verdana"/>
        </w:rPr>
        <w:t>Secretaria General</w:t>
      </w:r>
    </w:p>
    <w:p w14:paraId="30C557B1" w14:textId="77777777" w:rsidR="00AD4F6A" w:rsidRPr="00AD4F6A" w:rsidRDefault="00AD4F6A" w:rsidP="00AD4F6A">
      <w:pPr>
        <w:spacing w:after="0" w:line="240" w:lineRule="auto"/>
        <w:rPr>
          <w:rFonts w:ascii="Verdana" w:hAnsi="Verdana"/>
          <w:b/>
          <w:bCs/>
        </w:rPr>
      </w:pPr>
      <w:r w:rsidRPr="00AD4F6A">
        <w:rPr>
          <w:rFonts w:ascii="Verdana" w:hAnsi="Verdana"/>
          <w:b/>
          <w:bCs/>
        </w:rPr>
        <w:t>Superintendencia Financiera de Colombia</w:t>
      </w:r>
    </w:p>
    <w:p w14:paraId="1DC1EDA8" w14:textId="77777777" w:rsidR="00AD4F6A" w:rsidRPr="00AD4F6A" w:rsidRDefault="00AD4F6A" w:rsidP="00AD4F6A">
      <w:pPr>
        <w:spacing w:after="0" w:line="240" w:lineRule="auto"/>
        <w:rPr>
          <w:rFonts w:ascii="Verdana" w:hAnsi="Verdana"/>
        </w:rPr>
      </w:pPr>
      <w:hyperlink r:id="rId12" w:history="1">
        <w:r w:rsidRPr="00AD4F6A">
          <w:rPr>
            <w:rFonts w:ascii="Verdana" w:hAnsi="Verdana"/>
            <w:color w:val="0563C1" w:themeColor="hyperlink"/>
            <w:u w:val="single"/>
          </w:rPr>
          <w:t>glmacias@superfinanciera.gov.co</w:t>
        </w:r>
      </w:hyperlink>
      <w:r w:rsidRPr="00AD4F6A">
        <w:rPr>
          <w:rFonts w:ascii="Verdana" w:hAnsi="Verdana"/>
        </w:rPr>
        <w:t xml:space="preserve"> </w:t>
      </w:r>
    </w:p>
    <w:p w14:paraId="33C6FD08" w14:textId="77777777" w:rsidR="00AD4F6A" w:rsidRPr="00AD4F6A" w:rsidRDefault="00AD4F6A" w:rsidP="00AD4F6A">
      <w:pPr>
        <w:spacing w:after="0" w:line="240" w:lineRule="auto"/>
        <w:rPr>
          <w:rFonts w:ascii="Verdana" w:hAnsi="Verdana"/>
        </w:rPr>
      </w:pPr>
      <w:r w:rsidRPr="00AD4F6A">
        <w:rPr>
          <w:rFonts w:ascii="Verdana" w:hAnsi="Verdana"/>
        </w:rPr>
        <w:t>Bogotá D.C</w:t>
      </w:r>
    </w:p>
    <w:p w14:paraId="73E5DBD1" w14:textId="77777777" w:rsidR="00AD4F6A" w:rsidRPr="00AD4F6A" w:rsidRDefault="00AD4F6A" w:rsidP="00AD4F6A">
      <w:pPr>
        <w:spacing w:after="0" w:line="240" w:lineRule="auto"/>
        <w:rPr>
          <w:rFonts w:ascii="Verdana" w:eastAsia="Calibri" w:hAnsi="Verdana" w:cs="Arial"/>
          <w:lang w:eastAsia="es-ES"/>
        </w:rPr>
      </w:pPr>
    </w:p>
    <w:p w14:paraId="542EDECE" w14:textId="77777777" w:rsidR="00AD4F6A" w:rsidRPr="00AD4F6A" w:rsidRDefault="00AD4F6A" w:rsidP="00AD4F6A">
      <w:pPr>
        <w:spacing w:after="0" w:line="240" w:lineRule="auto"/>
        <w:rPr>
          <w:rFonts w:ascii="Verdana" w:eastAsia="Calibri" w:hAnsi="Verdana" w:cs="Arial"/>
          <w:b/>
          <w:bCs/>
          <w:color w:val="000000"/>
          <w:lang w:eastAsia="es-ES_tradnl"/>
        </w:rPr>
      </w:pPr>
    </w:p>
    <w:p w14:paraId="252664AC" w14:textId="7E78425D" w:rsidR="00AD4F6A" w:rsidRPr="00AD4F6A" w:rsidRDefault="00AD4F6A" w:rsidP="00AD4F6A">
      <w:pPr>
        <w:spacing w:after="0" w:line="240" w:lineRule="auto"/>
        <w:jc w:val="center"/>
        <w:rPr>
          <w:rFonts w:ascii="Verdana" w:eastAsia="Calibri" w:hAnsi="Verdana" w:cs="Arial"/>
          <w:b/>
          <w:bCs/>
          <w:lang w:eastAsia="es-ES"/>
        </w:rPr>
      </w:pPr>
      <w:r w:rsidRPr="00AD4F6A">
        <w:rPr>
          <w:rFonts w:ascii="Verdana" w:eastAsia="Calibri" w:hAnsi="Verdana" w:cs="Arial"/>
          <w:b/>
          <w:bCs/>
          <w:lang w:eastAsia="es-ES"/>
        </w:rPr>
        <w:t>Concepto C – 6</w:t>
      </w:r>
      <w:r w:rsidR="003570CD">
        <w:rPr>
          <w:rFonts w:ascii="Verdana" w:eastAsia="Calibri" w:hAnsi="Verdana" w:cs="Arial"/>
          <w:b/>
          <w:bCs/>
          <w:lang w:eastAsia="es-ES"/>
        </w:rPr>
        <w:t>2</w:t>
      </w:r>
      <w:r w:rsidRPr="00AD4F6A">
        <w:rPr>
          <w:rFonts w:ascii="Verdana" w:eastAsia="Calibri" w:hAnsi="Verdana" w:cs="Arial"/>
          <w:b/>
          <w:bCs/>
          <w:lang w:eastAsia="es-ES"/>
        </w:rPr>
        <w:t>2 de 2025</w:t>
      </w:r>
    </w:p>
    <w:p w14:paraId="4CF0DA2C" w14:textId="77777777" w:rsidR="00AD4F6A" w:rsidRPr="00AD4F6A" w:rsidRDefault="00AD4F6A" w:rsidP="00AD4F6A">
      <w:pPr>
        <w:spacing w:after="0" w:line="240" w:lineRule="auto"/>
        <w:rPr>
          <w:rFonts w:ascii="Verdana" w:eastAsia="Calibri" w:hAnsi="Verdana" w:cs="Arial"/>
          <w:b/>
          <w:bCs/>
          <w:color w:val="000000"/>
          <w:lang w:eastAsia="es-ES_tradnl"/>
        </w:rPr>
      </w:pPr>
    </w:p>
    <w:tbl>
      <w:tblPr>
        <w:tblStyle w:val="TableGrid"/>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D4F6A" w:rsidRPr="00AD4F6A" w14:paraId="55F38FAE" w14:textId="77777777" w:rsidTr="003570CD">
        <w:trPr>
          <w:trHeight w:val="884"/>
        </w:trPr>
        <w:tc>
          <w:tcPr>
            <w:tcW w:w="2689" w:type="dxa"/>
          </w:tcPr>
          <w:p w14:paraId="4EEEB2F5" w14:textId="77777777" w:rsidR="00AD4F6A" w:rsidRPr="00AD4F6A" w:rsidRDefault="00AD4F6A" w:rsidP="00AD4F6A">
            <w:pPr>
              <w:jc w:val="both"/>
              <w:rPr>
                <w:rFonts w:ascii="Verdana" w:eastAsia="Calibri" w:hAnsi="Verdana" w:cs="Arial"/>
                <w:color w:val="000000"/>
                <w:lang w:eastAsia="es-ES_tradnl"/>
              </w:rPr>
            </w:pPr>
            <w:r w:rsidRPr="00AD4F6A">
              <w:rPr>
                <w:rFonts w:ascii="Verdana" w:eastAsia="Calibri" w:hAnsi="Verdana" w:cs="Arial"/>
                <w:b/>
                <w:color w:val="000000"/>
                <w:lang w:eastAsia="es-ES_tradnl"/>
              </w:rPr>
              <w:t>Temas:</w:t>
            </w:r>
            <w:r w:rsidRPr="00AD4F6A">
              <w:rPr>
                <w:rFonts w:ascii="Verdana" w:eastAsia="Calibri" w:hAnsi="Verdana" w:cs="Arial"/>
                <w:color w:val="000000"/>
                <w:lang w:eastAsia="es-ES_tradnl"/>
              </w:rPr>
              <w:t xml:space="preserve">                   </w:t>
            </w:r>
          </w:p>
        </w:tc>
        <w:tc>
          <w:tcPr>
            <w:tcW w:w="6100" w:type="dxa"/>
          </w:tcPr>
          <w:p w14:paraId="5B228274" w14:textId="0B5B9188" w:rsidR="00AD4F6A" w:rsidRPr="00C025E1" w:rsidRDefault="00AD4F6A" w:rsidP="00AD4F6A">
            <w:pPr>
              <w:spacing w:line="276" w:lineRule="auto"/>
              <w:jc w:val="both"/>
              <w:rPr>
                <w:rFonts w:ascii="Verdana" w:eastAsia="Calibri" w:hAnsi="Verdana" w:cs="Arial"/>
                <w:lang w:val="es-ES" w:eastAsia="es-ES"/>
              </w:rPr>
            </w:pPr>
            <w:r w:rsidRPr="00AD4F6A">
              <w:rPr>
                <w:rFonts w:ascii="Verdana" w:eastAsia="Calibri" w:hAnsi="Verdana" w:cs="Arial"/>
                <w:lang w:val="es-ES" w:eastAsia="es-ES"/>
              </w:rPr>
              <w:t>PLANEACIÓN CONTRACTUAL – Noción – Obligación de las entidades – Ley 80 de 1993 / ESTUDIOS PREVIOS – Finalidad / ESTUDIOS DE MERCADO – Finalidad – Recomendaciones – Colombia compra eficiente – Guía de elaboración de estudios del sector</w:t>
            </w:r>
            <w:r w:rsidRPr="00AD4F6A">
              <w:rPr>
                <w:rFonts w:ascii="Verdana" w:eastAsia="Calibri" w:hAnsi="Verdana" w:cs="Arial"/>
                <w:color w:val="000000" w:themeColor="text1"/>
              </w:rPr>
              <w:t xml:space="preserve"> </w:t>
            </w:r>
            <w:r w:rsidRPr="00AD4F6A">
              <w:rPr>
                <w:rFonts w:ascii="Verdana" w:eastAsia="Calibri" w:hAnsi="Verdana" w:cs="Arial"/>
                <w:lang w:val="es-ES" w:eastAsia="es-ES"/>
              </w:rPr>
              <w:t>– SOBECOSTOS – Definición</w:t>
            </w:r>
          </w:p>
        </w:tc>
      </w:tr>
      <w:tr w:rsidR="00AD4F6A" w:rsidRPr="00AD4F6A" w14:paraId="253B170E" w14:textId="77777777" w:rsidTr="003570CD">
        <w:tc>
          <w:tcPr>
            <w:tcW w:w="2689" w:type="dxa"/>
          </w:tcPr>
          <w:p w14:paraId="7BDBE37E" w14:textId="77777777" w:rsidR="00AD4F6A" w:rsidRPr="00AD4F6A" w:rsidRDefault="00AD4F6A" w:rsidP="00AD4F6A">
            <w:pPr>
              <w:jc w:val="both"/>
              <w:rPr>
                <w:rFonts w:ascii="Verdana" w:eastAsia="Calibri" w:hAnsi="Verdana" w:cs="Arial"/>
                <w:b/>
                <w:lang w:eastAsia="es-ES_tradnl"/>
              </w:rPr>
            </w:pPr>
            <w:r w:rsidRPr="00AD4F6A">
              <w:rPr>
                <w:rFonts w:ascii="Verdana" w:eastAsia="Calibri" w:hAnsi="Verdana" w:cs="Arial"/>
                <w:b/>
                <w:lang w:eastAsia="es-ES_tradnl"/>
              </w:rPr>
              <w:t>Radicación:</w:t>
            </w:r>
            <w:r w:rsidRPr="00AD4F6A">
              <w:rPr>
                <w:rFonts w:ascii="Verdana" w:eastAsia="Calibri" w:hAnsi="Verdana" w:cs="Arial"/>
                <w:lang w:eastAsia="es-ES_tradnl"/>
              </w:rPr>
              <w:t xml:space="preserve">               </w:t>
            </w:r>
          </w:p>
        </w:tc>
        <w:tc>
          <w:tcPr>
            <w:tcW w:w="6100" w:type="dxa"/>
          </w:tcPr>
          <w:p w14:paraId="3DB35E72" w14:textId="77777777" w:rsidR="00AD4F6A" w:rsidRPr="00AD4F6A" w:rsidRDefault="00AD4F6A" w:rsidP="00AD4F6A">
            <w:pPr>
              <w:jc w:val="both"/>
              <w:rPr>
                <w:rFonts w:ascii="Verdana" w:eastAsia="Calibri" w:hAnsi="Verdana" w:cs="Arial"/>
                <w:lang w:eastAsia="es-ES_tradnl"/>
              </w:rPr>
            </w:pPr>
            <w:r w:rsidRPr="00AD4F6A">
              <w:rPr>
                <w:rFonts w:ascii="Verdana" w:eastAsia="Calibri" w:hAnsi="Verdana" w:cs="Arial"/>
                <w:lang w:eastAsia="es-ES_tradnl"/>
              </w:rPr>
              <w:t>Respuesta a las consultas con radicados Nos. P20250527005120, P20250527005122 y P20250527005123 (Acumulados)</w:t>
            </w:r>
          </w:p>
        </w:tc>
      </w:tr>
    </w:tbl>
    <w:p w14:paraId="66F02D2E" w14:textId="77777777" w:rsidR="00AD4F6A" w:rsidRPr="00AD4F6A" w:rsidRDefault="00AD4F6A" w:rsidP="00AD4F6A">
      <w:pPr>
        <w:spacing w:after="0" w:line="240" w:lineRule="auto"/>
        <w:jc w:val="both"/>
        <w:rPr>
          <w:rFonts w:ascii="Verdana" w:eastAsia="Calibri" w:hAnsi="Verdana" w:cs="Arial"/>
          <w:color w:val="000000"/>
          <w:lang w:eastAsia="es-ES_tradnl"/>
        </w:rPr>
      </w:pPr>
    </w:p>
    <w:p w14:paraId="27022749" w14:textId="77777777" w:rsidR="00AD4F6A" w:rsidRPr="00AD4F6A" w:rsidRDefault="00AD4F6A" w:rsidP="00AD4F6A">
      <w:pPr>
        <w:spacing w:after="0" w:line="240" w:lineRule="auto"/>
        <w:jc w:val="both"/>
        <w:rPr>
          <w:rFonts w:ascii="Verdana" w:eastAsia="Calibri" w:hAnsi="Verdana" w:cs="Arial"/>
          <w:color w:val="000000"/>
          <w:lang w:eastAsia="es-ES_tradnl"/>
        </w:rPr>
      </w:pPr>
    </w:p>
    <w:p w14:paraId="18A9F2BD" w14:textId="77777777" w:rsidR="00AD4F6A" w:rsidRPr="00AD4F6A" w:rsidRDefault="00AD4F6A" w:rsidP="00AD4F6A">
      <w:pPr>
        <w:spacing w:after="0" w:line="276" w:lineRule="auto"/>
        <w:jc w:val="both"/>
        <w:rPr>
          <w:rFonts w:ascii="Verdana" w:eastAsia="Calibri" w:hAnsi="Verdana" w:cs="Arial"/>
          <w:lang w:eastAsia="es-ES"/>
        </w:rPr>
      </w:pPr>
      <w:r w:rsidRPr="00AD4F6A">
        <w:rPr>
          <w:rFonts w:ascii="Verdana" w:eastAsia="Calibri" w:hAnsi="Verdana" w:cs="Arial"/>
          <w:lang w:eastAsia="es-ES"/>
        </w:rPr>
        <w:t xml:space="preserve">Estimada señora Ruiz González: </w:t>
      </w:r>
    </w:p>
    <w:p w14:paraId="4AD2009F" w14:textId="77777777" w:rsidR="00AD4F6A" w:rsidRPr="00AD4F6A" w:rsidRDefault="00AD4F6A" w:rsidP="00AD4F6A">
      <w:pPr>
        <w:tabs>
          <w:tab w:val="left" w:pos="3768"/>
        </w:tabs>
        <w:spacing w:after="0" w:line="276" w:lineRule="auto"/>
        <w:jc w:val="both"/>
        <w:rPr>
          <w:rFonts w:ascii="Verdana" w:eastAsia="Calibri" w:hAnsi="Verdana" w:cs="Arial"/>
          <w:color w:val="000000" w:themeColor="text1"/>
          <w:lang w:eastAsia="es-ES"/>
        </w:rPr>
      </w:pPr>
      <w:r w:rsidRPr="00AD4F6A">
        <w:rPr>
          <w:rFonts w:ascii="Verdana" w:eastAsia="Calibri" w:hAnsi="Verdana" w:cs="Arial"/>
          <w:color w:val="000000" w:themeColor="text1"/>
          <w:lang w:eastAsia="es-ES"/>
        </w:rPr>
        <w:tab/>
      </w:r>
    </w:p>
    <w:p w14:paraId="756EA3EF" w14:textId="77777777" w:rsidR="00AD4F6A" w:rsidRPr="00AD4F6A" w:rsidRDefault="00AD4F6A" w:rsidP="00AD4F6A">
      <w:pPr>
        <w:spacing w:after="0" w:line="276" w:lineRule="auto"/>
        <w:jc w:val="both"/>
        <w:rPr>
          <w:rFonts w:ascii="Verdana" w:eastAsia="Calibri" w:hAnsi="Verdana" w:cs="Arial"/>
          <w:i/>
          <w:iCs/>
          <w:lang w:eastAsia="es-ES"/>
        </w:rPr>
      </w:pPr>
      <w:r w:rsidRPr="00AD4F6A">
        <w:rPr>
          <w:rFonts w:ascii="Verdana" w:eastAsia="Calibri" w:hAnsi="Verdana" w:cs="Arial"/>
          <w:color w:val="000000" w:themeColor="text1"/>
          <w:lang w:eastAsia="es-ES"/>
        </w:rPr>
        <w:t>En ejercicio de la competencia otorgada por los artículos 3, numeral 5º, y 11, numeral 8º, del Decreto Ley 4170 de 2011,</w:t>
      </w:r>
      <w:r w:rsidRPr="00AD4F6A">
        <w:rPr>
          <w:rFonts w:ascii="Verdana" w:eastAsia="Arial MT" w:hAnsi="Verdana" w:cs="Arial MT"/>
          <w:lang w:eastAsia="es-ES"/>
        </w:rPr>
        <w:t xml:space="preserve"> </w:t>
      </w:r>
      <w:r w:rsidRPr="00AD4F6A">
        <w:rPr>
          <w:rFonts w:ascii="Verdana" w:hAnsi="Verdana" w:cs="Arial"/>
        </w:rPr>
        <w:t xml:space="preserve">así como lo establecido en el artículo 4 de la Resolución 1707 de 2018 expedida por esta Entidad, </w:t>
      </w:r>
      <w:r w:rsidRPr="00AD4F6A">
        <w:rPr>
          <w:rFonts w:ascii="Verdana" w:eastAsia="Calibri" w:hAnsi="Verdana" w:cs="Arial"/>
          <w:color w:val="000000" w:themeColor="text1"/>
          <w:lang w:eastAsia="es-ES"/>
        </w:rPr>
        <w:t>la Agencia Nacional de Contratación Pública – Colombia Compra Eficiente responde su solicitud de concepto del 27 de mayo de 2025,</w:t>
      </w:r>
      <w:r w:rsidRPr="00AD4F6A">
        <w:rPr>
          <w:rFonts w:ascii="Verdana" w:eastAsia="Calibri" w:hAnsi="Verdana" w:cs="Arial"/>
          <w:lang w:eastAsia="es-ES"/>
        </w:rPr>
        <w:t xml:space="preserve"> en la cual consulta sobre lo siguiente:</w:t>
      </w:r>
      <w:r w:rsidRPr="00AD4F6A">
        <w:rPr>
          <w:rFonts w:ascii="Verdana" w:eastAsia="Calibri" w:hAnsi="Verdana" w:cs="Arial"/>
          <w:i/>
          <w:iCs/>
          <w:lang w:eastAsia="es-ES"/>
        </w:rPr>
        <w:t xml:space="preserve"> </w:t>
      </w:r>
      <w:bookmarkStart w:id="1" w:name="_Hlk95313578"/>
    </w:p>
    <w:p w14:paraId="3093EF4D" w14:textId="77777777" w:rsidR="00AD4F6A" w:rsidRPr="00AD4F6A" w:rsidRDefault="00AD4F6A" w:rsidP="00AD4F6A">
      <w:pPr>
        <w:spacing w:after="0" w:line="276" w:lineRule="auto"/>
        <w:jc w:val="both"/>
        <w:rPr>
          <w:rFonts w:ascii="Verdana" w:eastAsia="Calibri" w:hAnsi="Verdana" w:cs="Arial"/>
          <w:i/>
          <w:iCs/>
          <w:sz w:val="20"/>
          <w:szCs w:val="20"/>
          <w:lang w:eastAsia="es-ES"/>
        </w:rPr>
      </w:pPr>
    </w:p>
    <w:p w14:paraId="365030F8" w14:textId="77777777" w:rsidR="00AD4F6A" w:rsidRPr="00AD4F6A" w:rsidRDefault="00AD4F6A" w:rsidP="00AD4F6A">
      <w:pPr>
        <w:spacing w:after="0" w:line="240" w:lineRule="auto"/>
        <w:ind w:left="709" w:right="709"/>
        <w:jc w:val="both"/>
        <w:rPr>
          <w:rFonts w:ascii="Verdana" w:hAnsi="Verdana" w:cs="Arial"/>
          <w:sz w:val="20"/>
          <w:szCs w:val="20"/>
        </w:rPr>
      </w:pPr>
      <w:r w:rsidRPr="00AD4F6A">
        <w:rPr>
          <w:rFonts w:ascii="Verdana" w:eastAsia="Arial" w:hAnsi="Verdana" w:cs="Arial"/>
          <w:i/>
          <w:color w:val="000000"/>
          <w:sz w:val="20"/>
          <w:szCs w:val="20"/>
        </w:rPr>
        <w:t>“</w:t>
      </w:r>
      <w:bookmarkEnd w:id="1"/>
      <w:r w:rsidRPr="00AD4F6A">
        <w:rPr>
          <w:rFonts w:ascii="Verdana" w:hAnsi="Verdana" w:cs="Arial"/>
          <w:sz w:val="20"/>
          <w:szCs w:val="20"/>
        </w:rPr>
        <w:t xml:space="preserve">1. ¿Una entidad del orden nacional tiene como obligación legal, para efectos de elaborar sus estudios de mercado en los contratos de obra por precios unitarios, consultar con una entidad y/o empresa específica y adoptar los valores cotizados en el estudio mercado por estas empresas para efectos de estimar el presupuesto oficial en sus procesos contractuales? </w:t>
      </w:r>
    </w:p>
    <w:p w14:paraId="3D736552" w14:textId="77777777" w:rsidR="00AD4F6A" w:rsidRPr="00AD4F6A" w:rsidRDefault="00AD4F6A" w:rsidP="00AD4F6A">
      <w:pPr>
        <w:spacing w:after="0" w:line="240" w:lineRule="auto"/>
        <w:ind w:left="709" w:right="709"/>
        <w:jc w:val="both"/>
        <w:rPr>
          <w:rFonts w:ascii="Verdana" w:hAnsi="Verdana" w:cs="Arial"/>
          <w:sz w:val="20"/>
          <w:szCs w:val="20"/>
        </w:rPr>
      </w:pPr>
    </w:p>
    <w:p w14:paraId="0F02E2B8" w14:textId="77777777" w:rsidR="00AD4F6A" w:rsidRPr="00AD4F6A" w:rsidRDefault="00AD4F6A" w:rsidP="00AD4F6A">
      <w:pPr>
        <w:spacing w:after="0" w:line="240" w:lineRule="auto"/>
        <w:ind w:left="709" w:right="709"/>
        <w:jc w:val="both"/>
        <w:rPr>
          <w:rFonts w:ascii="Verdana" w:hAnsi="Verdana" w:cs="Arial"/>
          <w:sz w:val="20"/>
          <w:szCs w:val="20"/>
        </w:rPr>
      </w:pPr>
      <w:r w:rsidRPr="00AD4F6A">
        <w:rPr>
          <w:rFonts w:ascii="Verdana" w:hAnsi="Verdana" w:cs="Arial"/>
          <w:sz w:val="20"/>
          <w:szCs w:val="20"/>
        </w:rPr>
        <w:t xml:space="preserve">2. De acuerdo con la normatividad aplicable y la guía de análisis del sector de Colombia Compra Eficiente, ¿las entidades estatales del orden nacional tienen el deber de fijar los valores de los contratos de obra con precios unitarios con base en los valores que establezca alguna entidad o empresa específica? </w:t>
      </w:r>
    </w:p>
    <w:p w14:paraId="7CC05DD8" w14:textId="77777777" w:rsidR="00AD4F6A" w:rsidRPr="00AD4F6A" w:rsidRDefault="00AD4F6A" w:rsidP="00AD4F6A">
      <w:pPr>
        <w:spacing w:after="0" w:line="240" w:lineRule="auto"/>
        <w:ind w:left="709" w:right="709"/>
        <w:jc w:val="both"/>
        <w:rPr>
          <w:rFonts w:ascii="Verdana" w:hAnsi="Verdana" w:cs="Arial"/>
          <w:sz w:val="20"/>
          <w:szCs w:val="20"/>
        </w:rPr>
      </w:pPr>
    </w:p>
    <w:p w14:paraId="7ADD1FBA" w14:textId="77777777" w:rsidR="00AD4F6A" w:rsidRPr="00AD4F6A" w:rsidRDefault="00AD4F6A" w:rsidP="00AD4F6A">
      <w:pPr>
        <w:spacing w:after="0" w:line="240" w:lineRule="auto"/>
        <w:ind w:left="709" w:right="709"/>
        <w:jc w:val="both"/>
        <w:rPr>
          <w:rFonts w:ascii="Verdana" w:hAnsi="Verdana" w:cs="Arial"/>
          <w:sz w:val="20"/>
          <w:szCs w:val="20"/>
        </w:rPr>
      </w:pPr>
      <w:r w:rsidRPr="00AD4F6A">
        <w:rPr>
          <w:rFonts w:ascii="Verdana" w:hAnsi="Verdana" w:cs="Arial"/>
          <w:sz w:val="20"/>
          <w:szCs w:val="20"/>
        </w:rPr>
        <w:t xml:space="preserve">3. ¿La Empresa Industrial y Comercial de Bogotá D. C., RENOBO tiene la facultad legal de establecer los precios de mercado y análisis de precios unitarios para contratos de obra que adelanten entidades estatales de nivel nacional? </w:t>
      </w:r>
    </w:p>
    <w:p w14:paraId="101710F1" w14:textId="77777777" w:rsidR="00AD4F6A" w:rsidRPr="00AD4F6A" w:rsidRDefault="00AD4F6A" w:rsidP="00AD4F6A">
      <w:pPr>
        <w:spacing w:after="0" w:line="240" w:lineRule="auto"/>
        <w:ind w:left="709" w:right="709"/>
        <w:jc w:val="both"/>
        <w:rPr>
          <w:rFonts w:ascii="Verdana" w:hAnsi="Verdana" w:cs="Arial"/>
          <w:sz w:val="20"/>
          <w:szCs w:val="20"/>
        </w:rPr>
      </w:pPr>
    </w:p>
    <w:p w14:paraId="5FF1B674" w14:textId="77777777" w:rsidR="00AD4F6A" w:rsidRPr="00AD4F6A" w:rsidRDefault="00AD4F6A" w:rsidP="00AD4F6A">
      <w:pPr>
        <w:spacing w:after="0" w:line="240" w:lineRule="auto"/>
        <w:ind w:left="709" w:right="709"/>
        <w:jc w:val="both"/>
        <w:rPr>
          <w:rFonts w:ascii="Verdana" w:hAnsi="Verdana" w:cs="Arial"/>
          <w:sz w:val="20"/>
          <w:szCs w:val="20"/>
        </w:rPr>
      </w:pPr>
      <w:r w:rsidRPr="00AD4F6A">
        <w:rPr>
          <w:rFonts w:ascii="Verdana" w:hAnsi="Verdana" w:cs="Arial"/>
          <w:sz w:val="20"/>
          <w:szCs w:val="20"/>
        </w:rPr>
        <w:t>4. En caso de que una entidad del orden nacional haya fijado los valores de precios unitarios en un proceso de obra con fundamento en un estudio de mercado ¿las diferencias que puedan encontrarse entre estos valores y los que pueda aportar con posterioridad la empresa RENOBO, pueden entenderse como sobrecostos?”</w:t>
      </w:r>
    </w:p>
    <w:p w14:paraId="56F1763A" w14:textId="77777777" w:rsidR="00AD4F6A" w:rsidRPr="00AD4F6A" w:rsidRDefault="00AD4F6A" w:rsidP="00AD4F6A">
      <w:pPr>
        <w:spacing w:after="0" w:line="240" w:lineRule="auto"/>
        <w:ind w:left="709" w:right="709"/>
        <w:jc w:val="both"/>
      </w:pPr>
    </w:p>
    <w:p w14:paraId="0851731A" w14:textId="77777777" w:rsidR="00AD4F6A" w:rsidRPr="00AD4F6A" w:rsidRDefault="00AD4F6A" w:rsidP="00AD4F6A">
      <w:pPr>
        <w:spacing w:after="120" w:line="276" w:lineRule="auto"/>
        <w:ind w:firstLine="709"/>
        <w:jc w:val="both"/>
        <w:rPr>
          <w:rFonts w:ascii="Verdana" w:eastAsia="Calibri" w:hAnsi="Verdana" w:cs="Arial"/>
          <w:color w:val="000000"/>
          <w:lang w:eastAsia="es-ES"/>
        </w:rPr>
      </w:pPr>
      <w:r w:rsidRPr="00AD4F6A">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D4F6A">
        <w:rPr>
          <w:rFonts w:ascii="Verdana" w:eastAsia="Calibri" w:hAnsi="Verdana" w:cs="Arial"/>
          <w:color w:val="000000"/>
          <w:szCs w:val="24"/>
          <w:lang w:eastAsia="es-ES_tradnl"/>
        </w:rPr>
        <w:tab/>
      </w:r>
    </w:p>
    <w:p w14:paraId="37B972BB" w14:textId="77777777" w:rsidR="00AD4F6A" w:rsidRPr="00AD4F6A" w:rsidRDefault="00AD4F6A" w:rsidP="00AD4F6A">
      <w:pPr>
        <w:spacing w:after="0" w:line="276" w:lineRule="auto"/>
        <w:ind w:firstLine="709"/>
        <w:jc w:val="both"/>
        <w:rPr>
          <w:rFonts w:ascii="Verdana" w:eastAsia="Calibri" w:hAnsi="Verdana" w:cs="Arial"/>
          <w:color w:val="000000"/>
          <w:lang w:eastAsia="es-ES"/>
        </w:rPr>
      </w:pPr>
      <w:r w:rsidRPr="00AD4F6A">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AD4F6A">
        <w:rPr>
          <w:rFonts w:ascii="Verdana" w:eastAsia="Calibri" w:hAnsi="Verdana" w:cs="Arial"/>
          <w:color w:val="7030A0"/>
          <w:lang w:eastAsia="es-ES"/>
        </w:rPr>
        <w:t xml:space="preserve"> </w:t>
      </w:r>
      <w:r w:rsidRPr="00AD4F6A">
        <w:rPr>
          <w:rFonts w:ascii="Verdana" w:eastAsia="Calibri" w:hAnsi="Verdana" w:cs="Arial"/>
          <w:color w:val="000000"/>
          <w:lang w:eastAsia="es-ES"/>
        </w:rPr>
        <w:t>problemas</w:t>
      </w:r>
      <w:r w:rsidRPr="00AD4F6A">
        <w:rPr>
          <w:rFonts w:ascii="Verdana" w:eastAsia="Calibri" w:hAnsi="Verdana" w:cs="Arial"/>
          <w:color w:val="7030A0"/>
          <w:lang w:eastAsia="es-ES"/>
        </w:rPr>
        <w:t xml:space="preserve"> </w:t>
      </w:r>
      <w:r w:rsidRPr="00AD4F6A">
        <w:rPr>
          <w:rFonts w:ascii="Verdana" w:eastAsia="Calibri" w:hAnsi="Verdana" w:cs="Arial"/>
          <w:color w:val="000000"/>
          <w:lang w:eastAsia="es-ES"/>
        </w:rPr>
        <w:t>jurídicos</w:t>
      </w:r>
      <w:r w:rsidRPr="00AD4F6A">
        <w:rPr>
          <w:rFonts w:ascii="Verdana" w:eastAsia="Calibri" w:hAnsi="Verdana" w:cs="Arial"/>
          <w:color w:val="7030A0"/>
          <w:lang w:eastAsia="es-ES"/>
        </w:rPr>
        <w:t xml:space="preserve"> </w:t>
      </w:r>
      <w:r w:rsidRPr="00AD4F6A">
        <w:rPr>
          <w:rFonts w:ascii="Verdana" w:eastAsia="Calibri" w:hAnsi="Verdana" w:cs="Arial"/>
          <w:color w:val="000000"/>
          <w:lang w:eastAsia="es-ES"/>
        </w:rPr>
        <w:t xml:space="preserve">de su consulta. </w:t>
      </w:r>
    </w:p>
    <w:p w14:paraId="607331F2" w14:textId="77777777" w:rsidR="00AD4F6A" w:rsidRPr="00AD4F6A" w:rsidRDefault="00AD4F6A" w:rsidP="00AD4F6A">
      <w:pPr>
        <w:spacing w:after="0" w:line="276" w:lineRule="auto"/>
        <w:ind w:firstLine="709"/>
        <w:jc w:val="both"/>
        <w:rPr>
          <w:rFonts w:ascii="Verdana" w:eastAsia="Calibri" w:hAnsi="Verdana" w:cs="Arial"/>
          <w:color w:val="000000"/>
          <w:lang w:eastAsia="es-ES"/>
        </w:rPr>
      </w:pPr>
    </w:p>
    <w:p w14:paraId="3E4FEBBA" w14:textId="77777777" w:rsidR="00AD4F6A" w:rsidRPr="00AD4F6A" w:rsidRDefault="00AD4F6A" w:rsidP="00AD4F6A">
      <w:pPr>
        <w:numPr>
          <w:ilvl w:val="0"/>
          <w:numId w:val="1"/>
        </w:numPr>
        <w:tabs>
          <w:tab w:val="left" w:pos="142"/>
          <w:tab w:val="left" w:pos="284"/>
        </w:tabs>
        <w:spacing w:after="0" w:line="276" w:lineRule="auto"/>
        <w:jc w:val="both"/>
        <w:rPr>
          <w:rFonts w:ascii="Verdana" w:eastAsia="Century Gothic" w:hAnsi="Verdana" w:cs="Century Gothic"/>
          <w:b/>
          <w:bCs/>
        </w:rPr>
      </w:pPr>
      <w:r w:rsidRPr="00AD4F6A">
        <w:rPr>
          <w:rFonts w:ascii="Verdana" w:eastAsia="Century Gothic" w:hAnsi="Verdana" w:cs="Century Gothic"/>
          <w:b/>
          <w:bCs/>
        </w:rPr>
        <w:t>Problemas planteados:</w:t>
      </w:r>
    </w:p>
    <w:p w14:paraId="1B131E1B" w14:textId="77777777" w:rsidR="00AD4F6A" w:rsidRPr="00AD4F6A" w:rsidRDefault="00AD4F6A" w:rsidP="00AD4F6A">
      <w:pPr>
        <w:tabs>
          <w:tab w:val="left" w:pos="426"/>
        </w:tabs>
        <w:spacing w:after="0" w:line="276" w:lineRule="auto"/>
        <w:jc w:val="both"/>
        <w:rPr>
          <w:rFonts w:ascii="Verdana" w:eastAsia="Century Gothic" w:hAnsi="Verdana" w:cs="Century Gothic"/>
        </w:rPr>
      </w:pPr>
    </w:p>
    <w:p w14:paraId="4776BBFD" w14:textId="77777777" w:rsidR="00AD4F6A" w:rsidRPr="00AD4F6A" w:rsidRDefault="00AD4F6A" w:rsidP="00AD4F6A">
      <w:pPr>
        <w:spacing w:after="0" w:line="276" w:lineRule="auto"/>
        <w:jc w:val="both"/>
        <w:rPr>
          <w:rFonts w:ascii="Verdana" w:eastAsia="Century Gothic" w:hAnsi="Verdana" w:cs="Century Gothic"/>
        </w:rPr>
      </w:pPr>
      <w:r w:rsidRPr="00AD4F6A">
        <w:rPr>
          <w:rFonts w:ascii="Verdana" w:eastAsia="Century Gothic" w:hAnsi="Verdana" w:cs="Century Gothic"/>
        </w:rPr>
        <w:t xml:space="preserve">De acuerdo con el contenido de su solicitud, esta Agencia resolverá los siguientes problemas jurídicos: i) “¿Cómo debe estructurarse el presupuesto oficial de un proceso de contratación?” y </w:t>
      </w:r>
      <w:proofErr w:type="spellStart"/>
      <w:r w:rsidRPr="00AD4F6A">
        <w:rPr>
          <w:rFonts w:ascii="Verdana" w:eastAsia="Century Gothic" w:hAnsi="Verdana" w:cs="Century Gothic"/>
        </w:rPr>
        <w:t>ii</w:t>
      </w:r>
      <w:proofErr w:type="spellEnd"/>
      <w:r w:rsidRPr="00AD4F6A">
        <w:rPr>
          <w:rFonts w:ascii="Verdana" w:eastAsia="Century Gothic" w:hAnsi="Verdana" w:cs="Century Gothic"/>
        </w:rPr>
        <w:t>) “¿Qué se considera sobrecostos en el marco de la planeación de un contrato estatal?”</w:t>
      </w:r>
    </w:p>
    <w:p w14:paraId="3116AC02" w14:textId="77777777" w:rsidR="00AD4F6A" w:rsidRPr="00AD4F6A" w:rsidRDefault="00AD4F6A" w:rsidP="00AD4F6A">
      <w:pPr>
        <w:spacing w:after="0" w:line="276" w:lineRule="auto"/>
        <w:jc w:val="both"/>
        <w:rPr>
          <w:rFonts w:ascii="Verdana" w:eastAsia="Century Gothic" w:hAnsi="Verdana" w:cs="Century Gothic"/>
        </w:rPr>
      </w:pPr>
    </w:p>
    <w:p w14:paraId="4DD18D10" w14:textId="77777777" w:rsidR="00AD4F6A" w:rsidRPr="00AD4F6A" w:rsidRDefault="00AD4F6A" w:rsidP="00AD4F6A">
      <w:pPr>
        <w:numPr>
          <w:ilvl w:val="0"/>
          <w:numId w:val="1"/>
        </w:numPr>
        <w:tabs>
          <w:tab w:val="left" w:pos="142"/>
          <w:tab w:val="left" w:pos="284"/>
        </w:tabs>
        <w:spacing w:after="0" w:line="276" w:lineRule="auto"/>
        <w:jc w:val="both"/>
        <w:rPr>
          <w:rFonts w:ascii="Verdana" w:eastAsia="Century Gothic" w:hAnsi="Verdana" w:cs="Century Gothic"/>
          <w:b/>
          <w:bCs/>
        </w:rPr>
      </w:pPr>
      <w:r w:rsidRPr="00AD4F6A">
        <w:rPr>
          <w:rFonts w:ascii="Verdana" w:eastAsia="Century Gothic" w:hAnsi="Verdana" w:cs="Century Gothic"/>
          <w:b/>
          <w:bCs/>
        </w:rPr>
        <w:t>Respuestas:</w:t>
      </w:r>
    </w:p>
    <w:p w14:paraId="7B1D6B76" w14:textId="77777777" w:rsidR="00AD4F6A" w:rsidRPr="00AD4F6A" w:rsidRDefault="00AD4F6A" w:rsidP="00AD4F6A">
      <w:pPr>
        <w:tabs>
          <w:tab w:val="left" w:pos="142"/>
          <w:tab w:val="left" w:pos="284"/>
        </w:tabs>
        <w:spacing w:after="0" w:line="276" w:lineRule="auto"/>
        <w:jc w:val="both"/>
        <w:rPr>
          <w:rFonts w:ascii="Verdana" w:eastAsia="Century Gothic" w:hAnsi="Verdana" w:cs="Century Gothic"/>
          <w:b/>
          <w:bCs/>
        </w:rPr>
      </w:pPr>
    </w:p>
    <w:tbl>
      <w:tblPr>
        <w:tblStyle w:val="TableGrid"/>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D4F6A" w:rsidRPr="00AD4F6A" w14:paraId="15952C65" w14:textId="77777777" w:rsidTr="003570CD">
        <w:trPr>
          <w:trHeight w:val="977"/>
          <w:jc w:val="center"/>
        </w:trPr>
        <w:tc>
          <w:tcPr>
            <w:tcW w:w="8828" w:type="dxa"/>
            <w:shd w:val="clear" w:color="auto" w:fill="auto"/>
          </w:tcPr>
          <w:p w14:paraId="32B0871A" w14:textId="77777777" w:rsidR="00AD4F6A" w:rsidRPr="00AD4F6A" w:rsidRDefault="00AD4F6A" w:rsidP="00AD4F6A">
            <w:pPr>
              <w:spacing w:line="276" w:lineRule="auto"/>
              <w:jc w:val="both"/>
              <w:rPr>
                <w:rFonts w:ascii="Verdana" w:eastAsia="Calibri" w:hAnsi="Verdana" w:cs="Arial"/>
                <w:bCs/>
                <w:lang w:val="es-ES_tradnl"/>
              </w:rPr>
            </w:pPr>
            <w:bookmarkStart w:id="2" w:name="_Hlk171694685"/>
            <w:r w:rsidRPr="00AD4F6A">
              <w:rPr>
                <w:rFonts w:ascii="Verdana" w:eastAsia="Calibri" w:hAnsi="Verdana" w:cs="Arial"/>
                <w:color w:val="000000"/>
              </w:rPr>
              <w:t xml:space="preserve"> i</w:t>
            </w:r>
            <w:r w:rsidRPr="00AD4F6A">
              <w:rPr>
                <w:rFonts w:ascii="Verdana" w:hAnsi="Verdana" w:cs="Arial"/>
              </w:rPr>
              <w:t xml:space="preserve">. Los numerales 2 y 4 del artículo 2.2.1.1.2.1.1 del Decreto 1082 de 2015 exigen que en los estudios previos se determine el objeto a contratar con sus especificaciones, y se señale el valor estimado del contrato y la justificación </w:t>
            </w:r>
            <w:proofErr w:type="gramStart"/>
            <w:r w:rsidRPr="00AD4F6A">
              <w:rPr>
                <w:rFonts w:ascii="Verdana" w:hAnsi="Verdana" w:cs="Arial"/>
              </w:rPr>
              <w:t>del mismo</w:t>
            </w:r>
            <w:proofErr w:type="gramEnd"/>
            <w:r w:rsidRPr="00AD4F6A">
              <w:rPr>
                <w:rFonts w:ascii="Verdana" w:hAnsi="Verdana" w:cs="Arial"/>
              </w:rPr>
              <w:t>. En concordancia, e</w:t>
            </w:r>
            <w:r w:rsidRPr="00AD4F6A">
              <w:rPr>
                <w:rFonts w:ascii="Verdana" w:eastAsia="Calibri" w:hAnsi="Verdana" w:cs="Arial"/>
                <w:bCs/>
                <w:lang w:val="es-ES_tradnl"/>
              </w:rPr>
              <w:t xml:space="preserve">l artículo 2.2.1.1.1.6.1 del Decreto 1082 de 2015 establece el deber de las entidades de realizar, durante la etapa de planeación, el análisis necesario para conocer el sector relativo al objeto del Proceso de Contratación desde la perspectiva legal, comercial, financiera, organizacional, técnica, y de análisis de Riesgo. La entidad debe dejar constancia de este análisis en los Documentos del Proceso. </w:t>
            </w:r>
          </w:p>
          <w:p w14:paraId="393BC664" w14:textId="77777777" w:rsidR="00AD4F6A" w:rsidRPr="00AD4F6A" w:rsidRDefault="00AD4F6A" w:rsidP="00AD4F6A">
            <w:pPr>
              <w:spacing w:before="120" w:line="276" w:lineRule="auto"/>
              <w:ind w:firstLine="709"/>
              <w:jc w:val="both"/>
              <w:rPr>
                <w:rFonts w:ascii="Verdana" w:hAnsi="Verdana" w:cs="Arial"/>
                <w:bCs/>
                <w:lang w:val="es-ES_tradnl"/>
              </w:rPr>
            </w:pPr>
            <w:r w:rsidRPr="00AD4F6A">
              <w:rPr>
                <w:rFonts w:ascii="Verdana" w:eastAsia="Calibri" w:hAnsi="Verdana" w:cs="Arial"/>
                <w:bCs/>
                <w:lang w:val="es-ES_tradnl"/>
              </w:rPr>
              <w:t xml:space="preserve">Si bien la normativa en materia de contratación estatal establece la obligatoriedad de realizar el análisis necesario para conocer el sector relativo al objeto del proceso de contratación, no determinan un procedimiento específico para efectuar dicho análisis, por lo que las entidades </w:t>
            </w:r>
            <w:r w:rsidRPr="00AD4F6A">
              <w:rPr>
                <w:rFonts w:ascii="Verdana" w:hAnsi="Verdana" w:cs="Arial"/>
                <w:lang w:eastAsia="es-CO"/>
              </w:rPr>
              <w:t xml:space="preserve">son autónomas para estructurarlo, para lo cual deberán cumplir lo establecido en el artículo </w:t>
            </w:r>
            <w:r w:rsidRPr="00AD4F6A">
              <w:rPr>
                <w:rFonts w:ascii="Verdana" w:eastAsia="Calibri" w:hAnsi="Verdana" w:cs="Arial"/>
                <w:bCs/>
                <w:lang w:val="es-ES_tradnl"/>
              </w:rPr>
              <w:t xml:space="preserve">2.2.1.1.1.6.1 del Decreto 1082 de 2015 y realizar un análisis integral de planeación que </w:t>
            </w:r>
            <w:r w:rsidRPr="00AD4F6A">
              <w:rPr>
                <w:rFonts w:ascii="Verdana" w:hAnsi="Verdana" w:cs="Arial"/>
              </w:rPr>
              <w:t xml:space="preserve">sirva de sustento a la decisión de </w:t>
            </w:r>
            <w:r w:rsidRPr="00AD4F6A">
              <w:rPr>
                <w:rFonts w:ascii="Verdana" w:hAnsi="Verdana" w:cs="Arial"/>
                <w:bCs/>
                <w:lang w:val="es-ES_tradnl"/>
              </w:rPr>
              <w:t>realizar un proceso de contratación.</w:t>
            </w:r>
          </w:p>
          <w:p w14:paraId="4536AAEB" w14:textId="77777777" w:rsidR="00AD4F6A" w:rsidRPr="00AD4F6A" w:rsidRDefault="00AD4F6A" w:rsidP="00AD4F6A">
            <w:pPr>
              <w:spacing w:before="120" w:line="276" w:lineRule="auto"/>
              <w:ind w:firstLine="709"/>
              <w:jc w:val="both"/>
              <w:rPr>
                <w:rFonts w:ascii="Verdana" w:eastAsia="Calibri" w:hAnsi="Verdana" w:cs="Arial"/>
                <w:bCs/>
                <w:lang w:val="es-ES_tradnl"/>
              </w:rPr>
            </w:pPr>
            <w:r w:rsidRPr="00AD4F6A">
              <w:rPr>
                <w:rFonts w:ascii="Verdana" w:eastAsia="Calibri" w:hAnsi="Verdana" w:cs="Arial"/>
                <w:bCs/>
                <w:lang w:val="es-ES_tradnl"/>
              </w:rPr>
              <w:t>La Agencia Nacional de Contratación Pública – Colombia Compra Eficiente dispone de la “Guía de Elaboración del Estudio del Sector”, instrumento que sirve de apoyo para entender el mercado del bien, obra o servicio que la entidad estatal pretende adquirir y diseñar el proceso de contratación con la información necesaria para alcanzar los objetivos de eficacia, eficiencia, economía, promoción de la competencia y manejo del riesgo. Esta Guía es un insumo para realizar el estudio del sector relativo al proceso de contratación, pero carece de fuerza vinculante por lo que su aplicación no exime a las entidades de acatar las normas vigentes.</w:t>
            </w:r>
          </w:p>
          <w:p w14:paraId="5D47C2E0" w14:textId="77777777" w:rsidR="00AD4F6A" w:rsidRPr="00AD4F6A" w:rsidRDefault="00AD4F6A" w:rsidP="00AD4F6A">
            <w:pPr>
              <w:spacing w:before="120" w:after="120" w:line="276" w:lineRule="auto"/>
              <w:ind w:firstLine="709"/>
              <w:jc w:val="both"/>
              <w:rPr>
                <w:rFonts w:ascii="Verdana" w:eastAsia="Calibri" w:hAnsi="Verdana" w:cs="Arial"/>
                <w:bCs/>
                <w:lang w:val="es-ES"/>
              </w:rPr>
            </w:pPr>
            <w:r w:rsidRPr="00AD4F6A">
              <w:rPr>
                <w:rFonts w:ascii="Verdana" w:eastAsia="Calibri" w:hAnsi="Verdana" w:cs="Arial"/>
                <w:bCs/>
                <w:lang w:val="es-ES_tradnl"/>
              </w:rPr>
              <w:t>En este instrumento se recomienda un análisis integral sobre varios aspectos del mercado –económico, técnico, regulatorio, etc.–,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p>
          <w:p w14:paraId="250BEC7C" w14:textId="77777777" w:rsidR="00AD4F6A" w:rsidRPr="00AD4F6A" w:rsidRDefault="00AD4F6A" w:rsidP="00AD4F6A">
            <w:pPr>
              <w:spacing w:before="120" w:line="276" w:lineRule="auto"/>
              <w:ind w:firstLine="709"/>
              <w:jc w:val="both"/>
              <w:rPr>
                <w:rFonts w:ascii="Verdana" w:eastAsia="Arial" w:hAnsi="Verdana" w:cs="Arial"/>
                <w:lang w:val="es-ES"/>
              </w:rPr>
            </w:pPr>
            <w:r w:rsidRPr="00AD4F6A">
              <w:rPr>
                <w:rFonts w:ascii="Verdana" w:eastAsia="Calibri" w:hAnsi="Verdana" w:cs="Arial"/>
                <w:bCs/>
                <w:lang w:val="es-ES_tradnl"/>
              </w:rPr>
              <w:t xml:space="preserve">Asimismo, en la Guía se indica que, como parte de la estructura del estudio del sector, se debe realizar un análisis del comportamiento del gasto histórico, el estudio de la oferta y el estudio del mercado. Este último </w:t>
            </w:r>
            <w:r w:rsidRPr="00AD4F6A">
              <w:rPr>
                <w:rFonts w:ascii="Verdana" w:eastAsia="Calibri" w:hAnsi="Verdana" w:cs="Arial"/>
                <w:color w:val="000000" w:themeColor="text1"/>
                <w:lang w:val="es-ES"/>
              </w:rPr>
              <w:t>permite comprender la dinámica de los precios y establecer el presupuesto oficial de la contratación, el cual comprende la realización de un análisis de los diferentes precios de los bienes o servicios a contratar que se registran en el mercado, los cuales pueden consultarse a través de mecanismos como la solicitud de cotizaciones, la consulta de bases de datos especializadas y el análisis de precios históricos. Este estudio de mercado debe responder claramente cuáles son las dinámicas de precio y, de esta manera, servir de insumo para establecer el presupuesto oficial del proceso de contratación.</w:t>
            </w:r>
            <w:r w:rsidRPr="00AD4F6A">
              <w:rPr>
                <w:rFonts w:ascii="Verdana" w:eastAsia="Arial" w:hAnsi="Verdana" w:cs="Arial"/>
                <w:lang w:val="es-ES"/>
              </w:rPr>
              <w:t xml:space="preserve"> </w:t>
            </w:r>
          </w:p>
          <w:p w14:paraId="557C141B" w14:textId="77777777" w:rsidR="00AD4F6A" w:rsidRPr="00AD4F6A" w:rsidRDefault="00AD4F6A" w:rsidP="00AD4F6A">
            <w:pPr>
              <w:spacing w:before="120" w:line="276" w:lineRule="auto"/>
              <w:ind w:firstLine="709"/>
              <w:jc w:val="both"/>
              <w:rPr>
                <w:rFonts w:ascii="Verdana" w:eastAsia="Arial" w:hAnsi="Verdana" w:cs="Arial"/>
                <w:lang w:val="es-ES"/>
              </w:rPr>
            </w:pPr>
            <w:r w:rsidRPr="00AD4F6A">
              <w:rPr>
                <w:rFonts w:ascii="Verdana" w:eastAsia="Calibri" w:hAnsi="Verdana" w:cs="Arial"/>
                <w:color w:val="000000" w:themeColor="text1"/>
                <w:lang w:val="es-ES"/>
              </w:rPr>
              <w:t xml:space="preserve">En este contexto, es pertinente precisar que los mecanismos señalados para realizar el estudio del mercado no están determinados por la ley o el reglamento, por lo que no existen lineamientos obligatorios para su estructuración. De esta manera, </w:t>
            </w:r>
            <w:r w:rsidRPr="00AD4F6A">
              <w:rPr>
                <w:rFonts w:ascii="Verdana" w:eastAsia="Calibri" w:hAnsi="Verdana" w:cs="Arial"/>
                <w:bCs/>
                <w:lang w:val="es-ES_tradnl"/>
              </w:rPr>
              <w:t xml:space="preserve">las entidades estatales </w:t>
            </w:r>
            <w:r w:rsidRPr="00AD4F6A">
              <w:rPr>
                <w:rFonts w:ascii="Verdana" w:hAnsi="Verdana" w:cs="Arial"/>
                <w:lang w:eastAsia="es-CO"/>
              </w:rPr>
              <w:t xml:space="preserve">son autónomas para establecer la forma en la cual se recopilará la información que sustente el análisis del sector, así como lo referente a la solicitud de cotizaciones a empresas privadas o la aplicación de otros métodos para la estructuración del estudio de mercado y del presupuesto oficial del proceso de contratación. </w:t>
            </w:r>
          </w:p>
          <w:p w14:paraId="141C3F74" w14:textId="77777777" w:rsidR="00AD4F6A" w:rsidRPr="00AD4F6A" w:rsidRDefault="00AD4F6A" w:rsidP="00AD4F6A">
            <w:pPr>
              <w:spacing w:before="120" w:after="120" w:line="276" w:lineRule="auto"/>
              <w:ind w:firstLine="709"/>
              <w:jc w:val="both"/>
              <w:rPr>
                <w:rFonts w:ascii="Verdana" w:hAnsi="Verdana" w:cs="Arial"/>
              </w:rPr>
            </w:pPr>
            <w:bookmarkStart w:id="3" w:name="_Hlk199943425"/>
            <w:r w:rsidRPr="00AD4F6A">
              <w:rPr>
                <w:rFonts w:ascii="Verdana" w:hAnsi="Verdana" w:cs="Arial"/>
                <w:lang w:eastAsia="es-CO"/>
              </w:rPr>
              <w:t>En tal sentido, en cualquier tipo de contrato, incluyendo el contrato de obra, las entidades estatales cuentan con la facultad de definir el mecanismo que consideren más adecuado para la estructuración del presupuesto oficial. Esta autonomía implica que, para la determinación de los precios unitarios, se podrán emplear distintos métodos técnicamente idóneos, siempre que los cálculos presupuestales estén debidamente soportados en estimaciones fundamentadas, técnicas y verificables, que reflejen la realidad del mercado y la naturaleza específica del objeto contractual</w:t>
            </w:r>
            <w:r w:rsidRPr="00AD4F6A">
              <w:rPr>
                <w:rFonts w:ascii="Verdana" w:hAnsi="Verdana" w:cs="Arial"/>
              </w:rPr>
              <w:t>.</w:t>
            </w:r>
            <w:bookmarkEnd w:id="3"/>
            <w:r w:rsidRPr="00AD4F6A">
              <w:rPr>
                <w:rFonts w:ascii="Verdana" w:hAnsi="Verdana" w:cs="Arial"/>
              </w:rPr>
              <w:t xml:space="preserve"> Así mismo, dentro de esa autonomía, el uso de precios de referencia también constituye una herramienta válida como un insumo preliminar que oriente la estructuración de los precios unitarios, pero su adopción debe estar precedida por una verificación minuciosa de su pertinencia frente a las condiciones particulares del proyecto y las características técnicas de los bienes o servicios requeridos, de tal forma que la entidad no se exime de su deber de realizar la respectiva verificación del mercado.</w:t>
            </w:r>
          </w:p>
          <w:p w14:paraId="1ABB1158" w14:textId="77777777" w:rsidR="00AD4F6A" w:rsidRPr="00AD4F6A" w:rsidRDefault="00AD4F6A" w:rsidP="00AD4F6A">
            <w:pPr>
              <w:spacing w:after="120" w:line="276" w:lineRule="auto"/>
              <w:jc w:val="both"/>
              <w:rPr>
                <w:rFonts w:ascii="Verdana" w:hAnsi="Verdana" w:cs="Arial"/>
                <w:lang w:val="es-ES"/>
              </w:rPr>
            </w:pPr>
            <w:proofErr w:type="spellStart"/>
            <w:r w:rsidRPr="00AD4F6A">
              <w:rPr>
                <w:rFonts w:ascii="Verdana" w:hAnsi="Verdana" w:cs="Arial"/>
                <w:lang w:eastAsia="es-CO"/>
              </w:rPr>
              <w:t>ii</w:t>
            </w:r>
            <w:proofErr w:type="spellEnd"/>
            <w:r w:rsidRPr="00AD4F6A">
              <w:rPr>
                <w:rFonts w:ascii="Verdana" w:hAnsi="Verdana" w:cs="Arial"/>
                <w:lang w:eastAsia="es-CO"/>
              </w:rPr>
              <w:t xml:space="preserve">. </w:t>
            </w:r>
            <w:r w:rsidRPr="00AD4F6A">
              <w:rPr>
                <w:rFonts w:ascii="Verdana" w:hAnsi="Verdana" w:cs="Arial"/>
                <w:lang w:val="es-ES"/>
              </w:rPr>
              <w:t>Conforme a la interpretación de las normas generales del sistema de compras públicas, no existe una definición legal de “sobrecosto” en la contratación estatal. No obstante, desde</w:t>
            </w:r>
            <w:r w:rsidRPr="00AD4F6A">
              <w:rPr>
                <w:rFonts w:ascii="Verdana" w:eastAsia="Calibri" w:hAnsi="Verdana" w:cs="Arial"/>
                <w:bCs/>
                <w:color w:val="000000" w:themeColor="text1"/>
              </w:rPr>
              <w:t xml:space="preserve"> el punto de vista jurisprudencial, se refiere al pago excesivo realizado al contratista, sin una justificación válida en comparación con los precios reales del mercado para los bienes, obras o servicios contratados en cada negocio jurídico, considerando todas las variables que influyen su valor.</w:t>
            </w:r>
            <w:r w:rsidRPr="00AD4F6A">
              <w:rPr>
                <w:rFonts w:ascii="Verdana" w:hAnsi="Verdana" w:cs="Arial"/>
                <w:bCs/>
                <w:color w:val="000000" w:themeColor="text1"/>
              </w:rPr>
              <w:t xml:space="preserve"> </w:t>
            </w:r>
            <w:r w:rsidRPr="00AD4F6A">
              <w:rPr>
                <w:rFonts w:ascii="Verdana" w:hAnsi="Verdana" w:cs="Arial"/>
                <w:lang w:val="es-ES"/>
              </w:rPr>
              <w:t>Este sobredimensionamiento de los precios puede ser producto, entre otras causas, de la pretermisión de los estudios de mercado o de una estimación de precios errónea por alejamiento de la realidad, los cuales conducen a la recepción y facturación de obras, bienes y servicios por encima de su valor real.</w:t>
            </w:r>
          </w:p>
        </w:tc>
      </w:tr>
    </w:tbl>
    <w:p w14:paraId="16D4E6DA" w14:textId="77777777" w:rsidR="00AD4F6A" w:rsidRPr="00AD4F6A" w:rsidRDefault="00AD4F6A" w:rsidP="00AD4F6A">
      <w:pPr>
        <w:tabs>
          <w:tab w:val="left" w:pos="142"/>
          <w:tab w:val="left" w:pos="284"/>
        </w:tabs>
        <w:spacing w:after="0" w:line="276" w:lineRule="auto"/>
        <w:jc w:val="both"/>
        <w:rPr>
          <w:rFonts w:ascii="Verdana" w:eastAsia="Century Gothic" w:hAnsi="Verdana" w:cs="Century Gothic"/>
          <w:b/>
          <w:bCs/>
        </w:rPr>
      </w:pPr>
    </w:p>
    <w:bookmarkEnd w:id="2"/>
    <w:p w14:paraId="00A8E99A" w14:textId="77777777" w:rsidR="00AD4F6A" w:rsidRPr="00AD4F6A" w:rsidRDefault="00AD4F6A" w:rsidP="00AD4F6A">
      <w:pPr>
        <w:numPr>
          <w:ilvl w:val="0"/>
          <w:numId w:val="1"/>
        </w:numPr>
        <w:tabs>
          <w:tab w:val="left" w:pos="142"/>
          <w:tab w:val="left" w:pos="284"/>
        </w:tabs>
        <w:spacing w:after="0" w:line="276" w:lineRule="auto"/>
        <w:jc w:val="both"/>
        <w:rPr>
          <w:rFonts w:ascii="Verdana" w:eastAsia="Century Gothic" w:hAnsi="Verdana" w:cs="Century Gothic"/>
          <w:b/>
          <w:bCs/>
        </w:rPr>
      </w:pPr>
      <w:r w:rsidRPr="00AD4F6A">
        <w:rPr>
          <w:rFonts w:ascii="Verdana" w:eastAsia="Century Gothic" w:hAnsi="Verdana" w:cs="Century Gothic"/>
          <w:b/>
          <w:bCs/>
        </w:rPr>
        <w:t>Razones de las respuestas:</w:t>
      </w:r>
    </w:p>
    <w:p w14:paraId="6B167975" w14:textId="77777777" w:rsidR="00AD4F6A" w:rsidRPr="00AD4F6A" w:rsidRDefault="00AD4F6A" w:rsidP="00AD4F6A">
      <w:pPr>
        <w:spacing w:after="0" w:line="276" w:lineRule="auto"/>
        <w:jc w:val="both"/>
        <w:rPr>
          <w:rFonts w:ascii="Verdana" w:eastAsia="Calibri" w:hAnsi="Verdana" w:cs="Arial"/>
          <w:color w:val="7030A0"/>
        </w:rPr>
      </w:pPr>
    </w:p>
    <w:p w14:paraId="583E6667" w14:textId="77777777" w:rsidR="00AD4F6A" w:rsidRPr="00AD4F6A" w:rsidRDefault="00AD4F6A" w:rsidP="00AD4F6A">
      <w:pPr>
        <w:spacing w:after="0" w:line="276" w:lineRule="auto"/>
        <w:jc w:val="both"/>
        <w:rPr>
          <w:rFonts w:ascii="Verdana" w:eastAsia="Calibri" w:hAnsi="Verdana" w:cs="Arial"/>
        </w:rPr>
      </w:pPr>
      <w:r w:rsidRPr="00AD4F6A">
        <w:rPr>
          <w:rFonts w:ascii="Verdana" w:eastAsia="Calibri" w:hAnsi="Verdana" w:cs="Arial"/>
        </w:rPr>
        <w:t>Lo anterior se sustenta en las siguientes consideraciones:</w:t>
      </w:r>
    </w:p>
    <w:p w14:paraId="6CEB6E2F" w14:textId="77777777" w:rsidR="00AD4F6A" w:rsidRPr="00AD4F6A" w:rsidRDefault="00AD4F6A" w:rsidP="00AD4F6A">
      <w:pPr>
        <w:spacing w:after="0" w:line="276" w:lineRule="auto"/>
        <w:jc w:val="both"/>
        <w:rPr>
          <w:rFonts w:ascii="Verdana" w:eastAsia="Calibri" w:hAnsi="Verdana" w:cs="Arial"/>
        </w:rPr>
      </w:pPr>
    </w:p>
    <w:p w14:paraId="1EEEE914" w14:textId="77777777" w:rsidR="00AD4F6A" w:rsidRPr="00AD4F6A" w:rsidRDefault="00AD4F6A" w:rsidP="00AD4F6A">
      <w:pPr>
        <w:spacing w:after="120" w:line="276" w:lineRule="auto"/>
        <w:jc w:val="both"/>
        <w:rPr>
          <w:rFonts w:ascii="Verdana" w:hAnsi="Verdana"/>
        </w:rPr>
      </w:pPr>
      <w:r w:rsidRPr="00AD4F6A">
        <w:rPr>
          <w:rFonts w:ascii="Verdana" w:eastAsia="Calibri" w:hAnsi="Verdana" w:cs="Arial"/>
          <w:bCs/>
          <w:lang w:val="es-ES_tradnl"/>
        </w:rPr>
        <w:t>i. 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p>
    <w:p w14:paraId="4E705C3D" w14:textId="77777777" w:rsidR="00AD4F6A" w:rsidRPr="00AD4F6A" w:rsidRDefault="00AD4F6A" w:rsidP="00AD4F6A">
      <w:pPr>
        <w:spacing w:after="0" w:line="276" w:lineRule="auto"/>
        <w:ind w:firstLine="708"/>
        <w:jc w:val="both"/>
        <w:rPr>
          <w:rFonts w:ascii="Verdana" w:eastAsia="Calibri" w:hAnsi="Verdana" w:cs="Arial"/>
          <w:lang w:val="es-MX"/>
        </w:rPr>
      </w:pPr>
      <w:r w:rsidRPr="00AD4F6A">
        <w:rPr>
          <w:rFonts w:ascii="Verdana" w:eastAsia="Calibri" w:hAnsi="Verdana" w:cs="Arial"/>
          <w:bCs/>
          <w:lang w:val="es-MX"/>
        </w:rPr>
        <w:t xml:space="preserve">El Estatuto General de Contratación de la Administración Pública – en adelante EGCAP – contiene disposiciones que exigen a las entidades estatales el deber de realizar actividades de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 </w:t>
      </w:r>
    </w:p>
    <w:p w14:paraId="478F5DF0" w14:textId="77777777" w:rsidR="00AD4F6A" w:rsidRPr="00AD4F6A" w:rsidRDefault="00AD4F6A" w:rsidP="00AD4F6A">
      <w:pPr>
        <w:spacing w:after="0" w:line="276" w:lineRule="auto"/>
        <w:ind w:firstLine="709"/>
        <w:jc w:val="both"/>
        <w:rPr>
          <w:rFonts w:ascii="Verdana" w:eastAsia="Calibri" w:hAnsi="Verdana" w:cs="Arial"/>
          <w:bCs/>
          <w:lang w:val="es-ES"/>
        </w:rPr>
      </w:pPr>
    </w:p>
    <w:p w14:paraId="6213887E" w14:textId="77777777" w:rsidR="00AD4F6A" w:rsidRPr="00AD4F6A" w:rsidRDefault="00AD4F6A" w:rsidP="00AD4F6A">
      <w:pPr>
        <w:spacing w:after="0" w:line="240" w:lineRule="auto"/>
        <w:ind w:left="709" w:right="709"/>
        <w:jc w:val="both"/>
        <w:rPr>
          <w:rFonts w:ascii="Verdana" w:eastAsia="Calibri" w:hAnsi="Verdana" w:cs="Arial"/>
          <w:sz w:val="20"/>
          <w:szCs w:val="20"/>
          <w:lang w:val="es-MX"/>
        </w:rPr>
      </w:pPr>
      <w:r w:rsidRPr="00AD4F6A">
        <w:rPr>
          <w:rFonts w:ascii="Verdana" w:eastAsia="Calibri" w:hAnsi="Verdana" w:cs="Arial"/>
          <w:sz w:val="20"/>
          <w:szCs w:val="20"/>
          <w:lang w:val="es-MX"/>
        </w:rPr>
        <w:t>7o. La conveniencia o inconveniencia del objeto a contratar y las autorizaciones y aprobaciones para ello, se analizarán o impartirán con antelación al inicio del proceso de selección del contratista o al de la firma del contrato, según el caso.</w:t>
      </w:r>
    </w:p>
    <w:p w14:paraId="22682E7B" w14:textId="77777777" w:rsidR="00AD4F6A" w:rsidRPr="00AD4F6A" w:rsidRDefault="00AD4F6A" w:rsidP="00AD4F6A">
      <w:pPr>
        <w:spacing w:after="0" w:line="240" w:lineRule="auto"/>
        <w:ind w:left="709" w:right="709"/>
        <w:jc w:val="both"/>
        <w:rPr>
          <w:rFonts w:ascii="Verdana" w:eastAsia="Calibri" w:hAnsi="Verdana" w:cs="Arial"/>
          <w:sz w:val="20"/>
          <w:szCs w:val="20"/>
          <w:lang w:val="es-MX"/>
        </w:rPr>
      </w:pPr>
      <w:r w:rsidRPr="00AD4F6A">
        <w:rPr>
          <w:rFonts w:ascii="Verdana" w:eastAsia="Calibri" w:hAnsi="Verdana" w:cs="Arial"/>
          <w:sz w:val="20"/>
          <w:szCs w:val="20"/>
          <w:lang w:val="es-MX"/>
        </w:rPr>
        <w:t>[…]</w:t>
      </w:r>
    </w:p>
    <w:p w14:paraId="11CBDCF5" w14:textId="77777777" w:rsidR="00AD4F6A" w:rsidRPr="00AD4F6A" w:rsidRDefault="00AD4F6A" w:rsidP="00AD4F6A">
      <w:pPr>
        <w:spacing w:after="0" w:line="240" w:lineRule="auto"/>
        <w:ind w:left="709" w:right="709"/>
        <w:jc w:val="both"/>
        <w:rPr>
          <w:rFonts w:ascii="Verdana" w:eastAsia="Calibri" w:hAnsi="Verdana" w:cs="Arial"/>
          <w:sz w:val="20"/>
          <w:szCs w:val="20"/>
          <w:lang w:val="es-MX"/>
        </w:rPr>
      </w:pPr>
      <w:r w:rsidRPr="00AD4F6A">
        <w:rPr>
          <w:rFonts w:ascii="Verdana" w:eastAsia="Calibri" w:hAnsi="Verdana" w:cs="Arial"/>
          <w:sz w:val="20"/>
          <w:szCs w:val="20"/>
          <w:lang w:val="es-MX"/>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54E8664A" w14:textId="77777777" w:rsidR="00AD4F6A" w:rsidRPr="00AD4F6A" w:rsidRDefault="00AD4F6A" w:rsidP="00AD4F6A">
      <w:pPr>
        <w:spacing w:after="0" w:line="240" w:lineRule="auto"/>
        <w:ind w:left="709" w:right="709"/>
        <w:jc w:val="both"/>
        <w:rPr>
          <w:rFonts w:ascii="Verdana" w:eastAsia="Calibri" w:hAnsi="Verdana" w:cs="Arial"/>
          <w:sz w:val="20"/>
          <w:szCs w:val="20"/>
          <w:lang w:val="es-MX"/>
        </w:rPr>
      </w:pPr>
      <w:r w:rsidRPr="00AD4F6A">
        <w:rPr>
          <w:rFonts w:ascii="Verdana" w:eastAsia="Calibri" w:hAnsi="Verdana" w:cs="Arial"/>
          <w:sz w:val="20"/>
          <w:szCs w:val="20"/>
          <w:lang w:val="es-MX"/>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72A90311" w14:textId="77777777" w:rsidR="00AD4F6A" w:rsidRPr="00AD4F6A" w:rsidRDefault="00AD4F6A" w:rsidP="00AD4F6A">
      <w:pPr>
        <w:spacing w:after="0" w:line="240" w:lineRule="auto"/>
        <w:ind w:left="709" w:right="709"/>
        <w:jc w:val="both"/>
        <w:rPr>
          <w:rFonts w:ascii="Verdana" w:hAnsi="Verdana" w:cs="Arial"/>
          <w:sz w:val="20"/>
          <w:szCs w:val="20"/>
        </w:rPr>
      </w:pPr>
      <w:r w:rsidRPr="00AD4F6A">
        <w:rPr>
          <w:rFonts w:ascii="Verdana" w:hAnsi="Verdana" w:cs="Arial"/>
          <w:sz w:val="20"/>
          <w:szCs w:val="20"/>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58E78960" w14:textId="77777777" w:rsidR="00AD4F6A" w:rsidRPr="00AD4F6A" w:rsidRDefault="00AD4F6A" w:rsidP="00AD4F6A">
      <w:pPr>
        <w:spacing w:after="0" w:line="240" w:lineRule="auto"/>
        <w:ind w:left="709" w:right="709"/>
        <w:jc w:val="both"/>
        <w:rPr>
          <w:rFonts w:ascii="Verdana" w:hAnsi="Verdana" w:cs="Arial"/>
          <w:sz w:val="20"/>
          <w:szCs w:val="20"/>
        </w:rPr>
      </w:pPr>
      <w:r w:rsidRPr="00AD4F6A">
        <w:rPr>
          <w:rFonts w:ascii="Verdana" w:hAnsi="Verdana" w:cs="Arial"/>
          <w:sz w:val="20"/>
          <w:szCs w:val="20"/>
        </w:rPr>
        <w:t>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w:t>
      </w:r>
    </w:p>
    <w:p w14:paraId="458E1EC9" w14:textId="77777777" w:rsidR="00AD4F6A" w:rsidRPr="00AD4F6A" w:rsidRDefault="00AD4F6A" w:rsidP="00AD4F6A">
      <w:pPr>
        <w:spacing w:after="0" w:line="276" w:lineRule="auto"/>
        <w:ind w:left="709" w:right="709"/>
        <w:jc w:val="both"/>
        <w:rPr>
          <w:rFonts w:ascii="Verdana" w:hAnsi="Verdana" w:cs="Arial"/>
          <w:sz w:val="20"/>
          <w:szCs w:val="20"/>
        </w:rPr>
      </w:pPr>
    </w:p>
    <w:p w14:paraId="783FE8F9" w14:textId="77777777" w:rsidR="00AD4F6A" w:rsidRPr="00AD4F6A" w:rsidRDefault="00AD4F6A" w:rsidP="00AD4F6A">
      <w:pPr>
        <w:spacing w:after="120" w:line="276" w:lineRule="auto"/>
        <w:ind w:firstLine="709"/>
        <w:jc w:val="both"/>
        <w:rPr>
          <w:rFonts w:ascii="Verdana" w:hAnsi="Verdana" w:cs="Arial"/>
        </w:rPr>
      </w:pPr>
      <w:r w:rsidRPr="00AD4F6A">
        <w:rPr>
          <w:rFonts w:ascii="Verdana" w:hAnsi="Verdana" w:cs="Arial"/>
        </w:rPr>
        <w:t>Lo anterior le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Pr="00AD4F6A">
        <w:rPr>
          <w:rFonts w:ascii="Verdana" w:hAnsi="Verdana" w:cs="Arial"/>
          <w:vertAlign w:val="superscript"/>
        </w:rPr>
        <w:footnoteReference w:id="2"/>
      </w:r>
      <w:r w:rsidRPr="00AD4F6A">
        <w:rPr>
          <w:rFonts w:ascii="Verdana" w:hAnsi="Verdana" w:cs="Arial"/>
        </w:rPr>
        <w:t xml:space="preserve">. </w:t>
      </w:r>
    </w:p>
    <w:p w14:paraId="46D97E22" w14:textId="77777777" w:rsidR="00AD4F6A" w:rsidRPr="00AD4F6A" w:rsidRDefault="00AD4F6A" w:rsidP="00AD4F6A">
      <w:pPr>
        <w:spacing w:after="0" w:line="276" w:lineRule="auto"/>
        <w:ind w:firstLine="709"/>
        <w:jc w:val="both"/>
        <w:rPr>
          <w:rFonts w:ascii="Verdana" w:hAnsi="Verdana" w:cs="Arial"/>
        </w:rPr>
      </w:pPr>
      <w:r w:rsidRPr="00AD4F6A">
        <w:rPr>
          <w:rFonts w:ascii="Verdana" w:hAnsi="Verdana" w:cs="Arial"/>
        </w:rPr>
        <w:t>En congruencia con el artículo 25 de la Ley 80 de 1993, el Decreto Único Reglamentario del Sector Administrativo de Planeación Nacional –Decreto 1082 de 2015–, dispone en el artículo 2.2.1.1.2.1.1 el contenido mínimo de los estudios y documentos previos:</w:t>
      </w:r>
    </w:p>
    <w:p w14:paraId="20C8CAED" w14:textId="77777777" w:rsidR="00AD4F6A" w:rsidRPr="00AD4F6A" w:rsidRDefault="00AD4F6A" w:rsidP="00AD4F6A">
      <w:pPr>
        <w:spacing w:after="0" w:line="276" w:lineRule="auto"/>
        <w:ind w:firstLine="709"/>
        <w:jc w:val="both"/>
        <w:rPr>
          <w:rFonts w:ascii="Verdana" w:hAnsi="Verdana" w:cs="Arial"/>
        </w:rPr>
      </w:pPr>
    </w:p>
    <w:p w14:paraId="521DA124" w14:textId="77777777" w:rsidR="00AD4F6A" w:rsidRPr="00AD4F6A" w:rsidRDefault="00AD4F6A" w:rsidP="00AD4F6A">
      <w:pPr>
        <w:spacing w:after="0" w:line="240" w:lineRule="auto"/>
        <w:ind w:left="709" w:right="709"/>
        <w:jc w:val="both"/>
        <w:rPr>
          <w:rFonts w:ascii="Verdana" w:hAnsi="Verdana" w:cs="Arial"/>
          <w:sz w:val="20"/>
          <w:szCs w:val="20"/>
        </w:rPr>
      </w:pPr>
      <w:r w:rsidRPr="00AD4F6A">
        <w:rPr>
          <w:rFonts w:ascii="Verdana" w:hAnsi="Verdana" w:cs="Arial"/>
          <w:sz w:val="20"/>
          <w:szCs w:val="20"/>
        </w:rPr>
        <w:t xml:space="preserve">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14:paraId="55BBC103" w14:textId="77777777" w:rsidR="00AD4F6A" w:rsidRPr="00AD4F6A" w:rsidRDefault="00AD4F6A" w:rsidP="00AD4F6A">
      <w:pPr>
        <w:spacing w:after="0" w:line="240" w:lineRule="auto"/>
        <w:ind w:left="709" w:right="709"/>
        <w:jc w:val="both"/>
        <w:rPr>
          <w:rFonts w:ascii="Verdana" w:hAnsi="Verdana" w:cs="Arial"/>
          <w:sz w:val="20"/>
          <w:szCs w:val="20"/>
        </w:rPr>
      </w:pPr>
    </w:p>
    <w:p w14:paraId="1EE86F40" w14:textId="77777777" w:rsidR="00AD4F6A" w:rsidRPr="00AD4F6A" w:rsidRDefault="00AD4F6A" w:rsidP="00AD4F6A">
      <w:pPr>
        <w:spacing w:after="0" w:line="240" w:lineRule="auto"/>
        <w:ind w:left="709" w:right="709"/>
        <w:jc w:val="both"/>
        <w:rPr>
          <w:rFonts w:ascii="Verdana" w:hAnsi="Verdana" w:cs="Arial"/>
          <w:sz w:val="20"/>
          <w:szCs w:val="20"/>
        </w:rPr>
      </w:pPr>
      <w:r w:rsidRPr="00AD4F6A">
        <w:rPr>
          <w:rFonts w:ascii="Verdana" w:hAnsi="Verdana" w:cs="Arial"/>
          <w:sz w:val="20"/>
          <w:szCs w:val="20"/>
        </w:rPr>
        <w:t xml:space="preserve">1. La descripción de la necesidad que la Entidad Estatal pretende satisfacer con el Proceso de Contratación. </w:t>
      </w:r>
      <w:r w:rsidRPr="00AD4F6A">
        <w:rPr>
          <w:rFonts w:ascii="Arial" w:hAnsi="Arial" w:cs="Arial"/>
          <w:sz w:val="20"/>
          <w:szCs w:val="20"/>
        </w:rPr>
        <w:t>​</w:t>
      </w:r>
    </w:p>
    <w:p w14:paraId="5600B7F3" w14:textId="77777777" w:rsidR="00AD4F6A" w:rsidRPr="00AD4F6A" w:rsidRDefault="00AD4F6A" w:rsidP="00AD4F6A">
      <w:pPr>
        <w:spacing w:after="0" w:line="240" w:lineRule="auto"/>
        <w:ind w:left="709" w:right="709"/>
        <w:jc w:val="both"/>
        <w:rPr>
          <w:rFonts w:ascii="Verdana" w:hAnsi="Verdana" w:cs="Arial"/>
          <w:sz w:val="20"/>
          <w:szCs w:val="20"/>
        </w:rPr>
      </w:pPr>
    </w:p>
    <w:p w14:paraId="749DCCFA" w14:textId="77777777" w:rsidR="00AD4F6A" w:rsidRPr="00AD4F6A" w:rsidRDefault="00AD4F6A" w:rsidP="00AD4F6A">
      <w:pPr>
        <w:spacing w:after="0" w:line="240" w:lineRule="auto"/>
        <w:ind w:left="709" w:right="709"/>
        <w:jc w:val="both"/>
        <w:rPr>
          <w:rFonts w:ascii="Verdana" w:hAnsi="Verdana" w:cs="Arial"/>
          <w:sz w:val="20"/>
          <w:szCs w:val="20"/>
        </w:rPr>
      </w:pPr>
      <w:r w:rsidRPr="00AD4F6A">
        <w:rPr>
          <w:rFonts w:ascii="Verdana" w:hAnsi="Verdana" w:cs="Arial"/>
          <w:sz w:val="20"/>
          <w:szCs w:val="20"/>
        </w:rPr>
        <w:t xml:space="preserve">2. El objeto a contratar, con sus especificaciones, las autorizaciones, permisos y licencias requeridos para su ejecución, y cuando el contrato incluye diseño y construcción, los documentos técnicos para el desarrollo del proyecto. </w:t>
      </w:r>
    </w:p>
    <w:p w14:paraId="64CD7BA5" w14:textId="77777777" w:rsidR="00AD4F6A" w:rsidRPr="00AD4F6A" w:rsidRDefault="00AD4F6A" w:rsidP="00AD4F6A">
      <w:pPr>
        <w:spacing w:after="0" w:line="240" w:lineRule="auto"/>
        <w:ind w:left="709" w:right="709"/>
        <w:jc w:val="both"/>
        <w:rPr>
          <w:rFonts w:ascii="Verdana" w:hAnsi="Verdana" w:cs="Arial"/>
          <w:sz w:val="20"/>
          <w:szCs w:val="20"/>
        </w:rPr>
      </w:pPr>
    </w:p>
    <w:p w14:paraId="3A0D4747" w14:textId="77777777" w:rsidR="00AD4F6A" w:rsidRPr="00AD4F6A" w:rsidRDefault="00AD4F6A" w:rsidP="00AD4F6A">
      <w:pPr>
        <w:spacing w:after="0" w:line="240" w:lineRule="auto"/>
        <w:ind w:left="709" w:right="709"/>
        <w:jc w:val="both"/>
        <w:rPr>
          <w:rFonts w:ascii="Verdana" w:hAnsi="Verdana" w:cs="Arial"/>
          <w:sz w:val="20"/>
          <w:szCs w:val="20"/>
        </w:rPr>
      </w:pPr>
      <w:r w:rsidRPr="00AD4F6A">
        <w:rPr>
          <w:rFonts w:ascii="Verdana" w:hAnsi="Verdana" w:cs="Arial"/>
          <w:sz w:val="20"/>
          <w:szCs w:val="20"/>
        </w:rPr>
        <w:t xml:space="preserve">3. La modalidad de selección del contratista y su justificación, incluyendo los fundamentos jurídicos. </w:t>
      </w:r>
    </w:p>
    <w:p w14:paraId="2A743C92" w14:textId="77777777" w:rsidR="00AD4F6A" w:rsidRPr="00AD4F6A" w:rsidRDefault="00AD4F6A" w:rsidP="00AD4F6A">
      <w:pPr>
        <w:spacing w:after="0" w:line="240" w:lineRule="auto"/>
        <w:ind w:left="709" w:right="709"/>
        <w:jc w:val="both"/>
        <w:rPr>
          <w:rFonts w:ascii="Verdana" w:hAnsi="Verdana" w:cs="Arial"/>
          <w:sz w:val="20"/>
          <w:szCs w:val="20"/>
        </w:rPr>
      </w:pPr>
    </w:p>
    <w:p w14:paraId="48447558" w14:textId="77777777" w:rsidR="00AD4F6A" w:rsidRPr="00AD4F6A" w:rsidRDefault="00AD4F6A" w:rsidP="00AD4F6A">
      <w:pPr>
        <w:spacing w:after="0" w:line="240" w:lineRule="auto"/>
        <w:ind w:left="709" w:right="709"/>
        <w:jc w:val="both"/>
        <w:rPr>
          <w:rFonts w:ascii="Verdana" w:hAnsi="Verdana" w:cs="Arial"/>
          <w:sz w:val="20"/>
          <w:szCs w:val="20"/>
        </w:rPr>
      </w:pPr>
      <w:r w:rsidRPr="00AD4F6A">
        <w:rPr>
          <w:rFonts w:ascii="Verdana" w:hAnsi="Verdana" w:cs="Arial"/>
          <w:sz w:val="20"/>
          <w:szCs w:val="20"/>
        </w:rPr>
        <w:t xml:space="preserve">4. </w:t>
      </w:r>
      <w:r w:rsidRPr="00AD4F6A">
        <w:rPr>
          <w:rFonts w:ascii="Verdana" w:hAnsi="Verdana" w:cs="Arial"/>
          <w:i/>
          <w:iCs/>
          <w:sz w:val="20"/>
          <w:szCs w:val="20"/>
        </w:rPr>
        <w:t xml:space="preserve">El valor estimado del contrato y la justificación </w:t>
      </w:r>
      <w:proofErr w:type="gramStart"/>
      <w:r w:rsidRPr="00AD4F6A">
        <w:rPr>
          <w:rFonts w:ascii="Verdana" w:hAnsi="Verdana" w:cs="Arial"/>
          <w:i/>
          <w:iCs/>
          <w:sz w:val="20"/>
          <w:szCs w:val="20"/>
        </w:rPr>
        <w:t>del mismo</w:t>
      </w:r>
      <w:proofErr w:type="gramEnd"/>
      <w:r w:rsidRPr="00AD4F6A">
        <w:rPr>
          <w:rFonts w:ascii="Verdana" w:hAnsi="Verdana" w:cs="Arial"/>
          <w:sz w:val="20"/>
          <w:szCs w:val="20"/>
        </w:rPr>
        <w:t xml:space="preserve">. </w:t>
      </w:r>
      <w:r w:rsidRPr="00AD4F6A">
        <w:rPr>
          <w:rFonts w:ascii="Verdana" w:hAnsi="Verdana" w:cs="Arial"/>
          <w:i/>
          <w:iCs/>
          <w:sz w:val="20"/>
          <w:szCs w:val="20"/>
        </w:rPr>
        <w:t>Cuando el valor del contrato esté determinado por precios unitarios, la Entidad Estatal debe incluir la forma como los calculó y soportar sus cálculos presupuestales en la estimación de aquellos</w:t>
      </w:r>
      <w:r w:rsidRPr="00AD4F6A">
        <w:rPr>
          <w:rFonts w:ascii="Verdana" w:hAnsi="Verdana" w:cs="Arial"/>
          <w:sz w:val="20"/>
          <w:szCs w:val="20"/>
        </w:rPr>
        <w:t xml:space="preserve">. Si el contrato es de concesión, la Entidad Estatal no debe publicar el modelo financiero utilizado en su estructuración. </w:t>
      </w:r>
    </w:p>
    <w:p w14:paraId="055695AD" w14:textId="77777777" w:rsidR="00AD4F6A" w:rsidRPr="00AD4F6A" w:rsidRDefault="00AD4F6A" w:rsidP="00AD4F6A">
      <w:pPr>
        <w:spacing w:after="0" w:line="240" w:lineRule="auto"/>
        <w:ind w:left="709" w:right="709"/>
        <w:jc w:val="both"/>
        <w:rPr>
          <w:rFonts w:ascii="Verdana" w:hAnsi="Verdana" w:cs="Arial"/>
          <w:sz w:val="20"/>
          <w:szCs w:val="20"/>
        </w:rPr>
      </w:pPr>
    </w:p>
    <w:p w14:paraId="65B8C61E" w14:textId="77777777" w:rsidR="00AD4F6A" w:rsidRPr="00AD4F6A" w:rsidRDefault="00AD4F6A" w:rsidP="00AD4F6A">
      <w:pPr>
        <w:spacing w:after="0" w:line="240" w:lineRule="auto"/>
        <w:ind w:left="709" w:right="709"/>
        <w:jc w:val="both"/>
        <w:rPr>
          <w:rFonts w:ascii="Verdana" w:hAnsi="Verdana" w:cs="Arial"/>
          <w:sz w:val="20"/>
          <w:szCs w:val="20"/>
        </w:rPr>
      </w:pPr>
      <w:r w:rsidRPr="00AD4F6A">
        <w:rPr>
          <w:rFonts w:ascii="Verdana" w:hAnsi="Verdana" w:cs="Arial"/>
          <w:sz w:val="20"/>
          <w:szCs w:val="20"/>
        </w:rPr>
        <w:t xml:space="preserve">5. Los criterios para seleccionar la oferta más favorable. </w:t>
      </w:r>
    </w:p>
    <w:p w14:paraId="7C95568B" w14:textId="77777777" w:rsidR="00AD4F6A" w:rsidRPr="00AD4F6A" w:rsidRDefault="00AD4F6A" w:rsidP="00AD4F6A">
      <w:pPr>
        <w:spacing w:after="0" w:line="240" w:lineRule="auto"/>
        <w:ind w:left="709" w:right="709"/>
        <w:jc w:val="both"/>
        <w:rPr>
          <w:rFonts w:ascii="Verdana" w:hAnsi="Verdana" w:cs="Arial"/>
          <w:sz w:val="20"/>
          <w:szCs w:val="20"/>
        </w:rPr>
      </w:pPr>
    </w:p>
    <w:p w14:paraId="0826170C" w14:textId="77777777" w:rsidR="00AD4F6A" w:rsidRPr="00AD4F6A" w:rsidRDefault="00AD4F6A" w:rsidP="00AD4F6A">
      <w:pPr>
        <w:spacing w:after="0" w:line="240" w:lineRule="auto"/>
        <w:ind w:left="709" w:right="709"/>
        <w:jc w:val="both"/>
        <w:rPr>
          <w:rFonts w:ascii="Verdana" w:hAnsi="Verdana" w:cs="Arial"/>
          <w:sz w:val="20"/>
          <w:szCs w:val="20"/>
        </w:rPr>
      </w:pPr>
      <w:r w:rsidRPr="00AD4F6A">
        <w:rPr>
          <w:rFonts w:ascii="Verdana" w:hAnsi="Verdana" w:cs="Arial"/>
          <w:sz w:val="20"/>
          <w:szCs w:val="20"/>
        </w:rPr>
        <w:t xml:space="preserve">6. El análisis de Riesgo y la forma de mitigarlo. </w:t>
      </w:r>
    </w:p>
    <w:p w14:paraId="384EE746" w14:textId="77777777" w:rsidR="00AD4F6A" w:rsidRPr="00AD4F6A" w:rsidRDefault="00AD4F6A" w:rsidP="00AD4F6A">
      <w:pPr>
        <w:spacing w:after="0" w:line="240" w:lineRule="auto"/>
        <w:ind w:left="709" w:right="709"/>
        <w:jc w:val="both"/>
        <w:rPr>
          <w:rFonts w:ascii="Verdana" w:hAnsi="Verdana" w:cs="Arial"/>
          <w:sz w:val="20"/>
          <w:szCs w:val="20"/>
        </w:rPr>
      </w:pPr>
    </w:p>
    <w:p w14:paraId="460B3FF2" w14:textId="77777777" w:rsidR="00AD4F6A" w:rsidRPr="00AD4F6A" w:rsidRDefault="00AD4F6A" w:rsidP="00AD4F6A">
      <w:pPr>
        <w:spacing w:after="0" w:line="240" w:lineRule="auto"/>
        <w:ind w:left="709" w:right="709"/>
        <w:jc w:val="both"/>
        <w:rPr>
          <w:rFonts w:ascii="Verdana" w:hAnsi="Verdana" w:cs="Arial"/>
          <w:sz w:val="20"/>
          <w:szCs w:val="20"/>
        </w:rPr>
      </w:pPr>
      <w:r w:rsidRPr="00AD4F6A">
        <w:rPr>
          <w:rFonts w:ascii="Verdana" w:hAnsi="Verdana" w:cs="Arial"/>
          <w:sz w:val="20"/>
          <w:szCs w:val="20"/>
        </w:rPr>
        <w:t xml:space="preserve">7. Las garantías que la Entidad Estatal contempla exigir en el proceso de contratación. </w:t>
      </w:r>
    </w:p>
    <w:p w14:paraId="38A106C0" w14:textId="77777777" w:rsidR="00AD4F6A" w:rsidRPr="00AD4F6A" w:rsidRDefault="00AD4F6A" w:rsidP="00AD4F6A">
      <w:pPr>
        <w:spacing w:after="0" w:line="240" w:lineRule="auto"/>
        <w:ind w:left="709" w:right="709"/>
        <w:jc w:val="both"/>
        <w:rPr>
          <w:rFonts w:ascii="Verdana" w:hAnsi="Verdana" w:cs="Arial"/>
          <w:sz w:val="20"/>
          <w:szCs w:val="20"/>
        </w:rPr>
      </w:pPr>
    </w:p>
    <w:p w14:paraId="148CB371" w14:textId="77777777" w:rsidR="00AD4F6A" w:rsidRPr="00AD4F6A" w:rsidRDefault="00AD4F6A" w:rsidP="00AD4F6A">
      <w:pPr>
        <w:spacing w:after="0" w:line="240" w:lineRule="auto"/>
        <w:ind w:left="709" w:right="709"/>
        <w:jc w:val="both"/>
        <w:rPr>
          <w:rFonts w:ascii="Verdana" w:hAnsi="Verdana" w:cs="Arial"/>
          <w:sz w:val="20"/>
          <w:szCs w:val="20"/>
        </w:rPr>
      </w:pPr>
      <w:r w:rsidRPr="00AD4F6A">
        <w:rPr>
          <w:rFonts w:ascii="Verdana" w:hAnsi="Verdana" w:cs="Arial"/>
          <w:sz w:val="20"/>
          <w:szCs w:val="20"/>
        </w:rPr>
        <w:t xml:space="preserve">8. La indicación de si el proceso de contratación está cobijado por un acuerdo comercial. </w:t>
      </w:r>
    </w:p>
    <w:p w14:paraId="74CCB8A9" w14:textId="77777777" w:rsidR="00AD4F6A" w:rsidRPr="00AD4F6A" w:rsidRDefault="00AD4F6A" w:rsidP="00AD4F6A">
      <w:pPr>
        <w:spacing w:after="0" w:line="240" w:lineRule="auto"/>
        <w:ind w:left="709" w:right="709"/>
        <w:jc w:val="both"/>
        <w:rPr>
          <w:rFonts w:ascii="Verdana" w:hAnsi="Verdana" w:cs="Arial"/>
          <w:sz w:val="20"/>
          <w:szCs w:val="20"/>
        </w:rPr>
      </w:pPr>
    </w:p>
    <w:p w14:paraId="6CD51797" w14:textId="77777777" w:rsidR="00AD4F6A" w:rsidRPr="00AD4F6A" w:rsidRDefault="00AD4F6A" w:rsidP="00AD4F6A">
      <w:pPr>
        <w:spacing w:after="0" w:line="240" w:lineRule="auto"/>
        <w:ind w:left="709" w:right="709"/>
        <w:jc w:val="both"/>
        <w:rPr>
          <w:rFonts w:ascii="Verdana" w:hAnsi="Verdana" w:cs="Arial"/>
          <w:sz w:val="20"/>
          <w:szCs w:val="20"/>
        </w:rPr>
      </w:pPr>
      <w:r w:rsidRPr="00AD4F6A">
        <w:rPr>
          <w:rFonts w:ascii="Verdana" w:hAnsi="Verdana" w:cs="Arial"/>
          <w:sz w:val="20"/>
          <w:szCs w:val="20"/>
        </w:rPr>
        <w:t>El presente artículo no es aplicable a la contratación por mínima cuantía. (Énfasis por fuera de texto)</w:t>
      </w:r>
    </w:p>
    <w:p w14:paraId="45F6E0C9" w14:textId="77777777" w:rsidR="00AD4F6A" w:rsidRPr="00AD4F6A" w:rsidRDefault="00AD4F6A" w:rsidP="00AD4F6A">
      <w:pPr>
        <w:widowControl w:val="0"/>
        <w:tabs>
          <w:tab w:val="left" w:pos="1305"/>
        </w:tabs>
        <w:autoSpaceDE w:val="0"/>
        <w:autoSpaceDN w:val="0"/>
        <w:spacing w:after="0" w:line="276" w:lineRule="auto"/>
        <w:ind w:left="828" w:right="822"/>
        <w:rPr>
          <w:rFonts w:ascii="Verdana" w:eastAsia="Calibri" w:hAnsi="Verdana" w:cs="Arial"/>
          <w:lang w:val="es-MX"/>
        </w:rPr>
      </w:pPr>
    </w:p>
    <w:p w14:paraId="2B1A4C46" w14:textId="77777777" w:rsidR="00AD4F6A" w:rsidRPr="00AD4F6A" w:rsidRDefault="00AD4F6A" w:rsidP="00AD4F6A">
      <w:pPr>
        <w:spacing w:after="120" w:line="276" w:lineRule="auto"/>
        <w:ind w:firstLine="709"/>
        <w:jc w:val="both"/>
        <w:rPr>
          <w:rFonts w:ascii="Verdana" w:hAnsi="Verdana" w:cs="Arial"/>
        </w:rPr>
      </w:pPr>
      <w:bookmarkStart w:id="4" w:name="_Hlk54011351"/>
      <w:r w:rsidRPr="00AD4F6A">
        <w:rPr>
          <w:rFonts w:ascii="Verdana" w:hAnsi="Verdana" w:cs="Arial"/>
        </w:rPr>
        <w:t xml:space="preserve">De esta manera, antes de iniciar un procedimiento de selección, la entidad estatal podrá determinar con los estudios previos: i) la verdadera necesidad de la celebración del contrato; </w:t>
      </w:r>
      <w:proofErr w:type="spellStart"/>
      <w:r w:rsidRPr="00AD4F6A">
        <w:rPr>
          <w:rFonts w:ascii="Verdana" w:hAnsi="Verdana" w:cs="Arial"/>
        </w:rPr>
        <w:t>ii</w:t>
      </w:r>
      <w:proofErr w:type="spellEnd"/>
      <w:r w:rsidRPr="00AD4F6A">
        <w:rPr>
          <w:rFonts w:ascii="Verdana" w:hAnsi="Verdana" w:cs="Arial"/>
        </w:rPr>
        <w:t xml:space="preserve">) las modalidades existentes para satisfacer esa necesidad y las razones que justifiquen la modalidad o tipo contractual que se escoja; </w:t>
      </w:r>
      <w:proofErr w:type="spellStart"/>
      <w:r w:rsidRPr="00AD4F6A">
        <w:rPr>
          <w:rFonts w:ascii="Verdana" w:hAnsi="Verdana" w:cs="Arial"/>
        </w:rPr>
        <w:t>iii</w:t>
      </w:r>
      <w:proofErr w:type="spellEnd"/>
      <w:r w:rsidRPr="00AD4F6A">
        <w:rPr>
          <w:rFonts w:ascii="Verdana" w:hAnsi="Verdana" w:cs="Arial"/>
        </w:rPr>
        <w:t xml:space="preserve">) las calidades, especificaciones, cantidades y demás características que puedan o deban reunir los bienes, las obras o los servicios cuya contratación se haya determinado necesaria, </w:t>
      </w:r>
      <w:proofErr w:type="spellStart"/>
      <w:r w:rsidRPr="00AD4F6A">
        <w:rPr>
          <w:rFonts w:ascii="Verdana" w:hAnsi="Verdana" w:cs="Arial"/>
        </w:rPr>
        <w:t>iv</w:t>
      </w:r>
      <w:proofErr w:type="spellEnd"/>
      <w:r w:rsidRPr="00AD4F6A">
        <w:rPr>
          <w:rFonts w:ascii="Verdana" w:hAnsi="Verdana" w:cs="Arial"/>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AD4F6A">
        <w:rPr>
          <w:rFonts w:ascii="Verdana" w:hAnsi="Verdana" w:cs="Arial"/>
        </w:rPr>
        <w:t>vii</w:t>
      </w:r>
      <w:proofErr w:type="spellEnd"/>
      <w:r w:rsidRPr="00AD4F6A">
        <w:rPr>
          <w:rFonts w:ascii="Verdana" w:hAnsi="Verdana" w:cs="Arial"/>
        </w:rPr>
        <w:t>) los procedimientos, trámites y requisitos que deban satisfacerse, reunirse u obtenerse para llevar a cabo la selección del respectivo contratista y la celebración del contrato que se pretenda celebrar.</w:t>
      </w:r>
    </w:p>
    <w:bookmarkEnd w:id="4"/>
    <w:p w14:paraId="2AECD752" w14:textId="77777777" w:rsidR="00AD4F6A" w:rsidRPr="00AD4F6A" w:rsidRDefault="00AD4F6A" w:rsidP="00AD4F6A">
      <w:pPr>
        <w:spacing w:after="120" w:line="276" w:lineRule="auto"/>
        <w:ind w:firstLine="709"/>
        <w:jc w:val="both"/>
        <w:rPr>
          <w:rFonts w:ascii="Verdana" w:hAnsi="Verdana" w:cs="Arial"/>
        </w:rPr>
      </w:pPr>
      <w:r w:rsidRPr="00AD4F6A">
        <w:rPr>
          <w:rFonts w:ascii="Verdana" w:hAnsi="Verdana" w:cs="Arial"/>
        </w:rPr>
        <w:t xml:space="preserve">Por ello, el hecho que las entidades cumplan con los elementos mínimos establecidos en la norma y aquellos adicionales que identifiquen en la etapa de planeación de los </w:t>
      </w:r>
      <w:r w:rsidRPr="00AD4F6A">
        <w:rPr>
          <w:rFonts w:ascii="Verdana" w:eastAsia="Calibri" w:hAnsi="Verdana" w:cs="Arial"/>
          <w:bCs/>
          <w:lang w:val="es-ES_tradnl"/>
        </w:rPr>
        <w:t xml:space="preserve">procedimientos de contratación, permite que los contratos resultantes cuenten con el sustento técnico, económico y jurídico que incidirá </w:t>
      </w:r>
      <w:r w:rsidRPr="00AD4F6A">
        <w:rPr>
          <w:rFonts w:ascii="Verdana" w:hAnsi="Verdana" w:cs="Arial"/>
        </w:rPr>
        <w:t>en una adecuada ejecución.</w:t>
      </w:r>
    </w:p>
    <w:p w14:paraId="5B0D3FFA" w14:textId="77777777" w:rsidR="00AD4F6A" w:rsidRPr="00AD4F6A" w:rsidRDefault="00AD4F6A" w:rsidP="00AD4F6A">
      <w:pPr>
        <w:spacing w:after="120" w:line="276" w:lineRule="auto"/>
        <w:ind w:right="103" w:firstLine="708"/>
        <w:jc w:val="both"/>
        <w:rPr>
          <w:rFonts w:ascii="Verdana" w:hAnsi="Verdana" w:cs="Arial"/>
        </w:rPr>
      </w:pPr>
      <w:r w:rsidRPr="00AD4F6A">
        <w:rPr>
          <w:rFonts w:ascii="Verdana" w:hAnsi="Verdana" w:cs="Arial"/>
        </w:rPr>
        <w:t>Mas allá del cumplimiento de la normativa, “los estudios y documentos previos son el soporte para elaborar el proyecto de pliegos, los pliegos de condiciones, y el contrato”</w:t>
      </w:r>
      <w:r w:rsidRPr="00AD4F6A">
        <w:rPr>
          <w:rFonts w:ascii="Verdana" w:hAnsi="Verdana" w:cs="Arial"/>
          <w:vertAlign w:val="superscript"/>
        </w:rPr>
        <w:footnoteReference w:id="3"/>
      </w:r>
      <w:r w:rsidRPr="00AD4F6A">
        <w:rPr>
          <w:rFonts w:ascii="Verdana" w:hAnsi="Verdana" w:cs="Arial"/>
        </w:rPr>
        <w:t>, por lo que deben publicarse en la etapa precontractual y sirven de motivación para los documentos expedidos unilateralmente por la entidad estatal tales como el acto administrativo de apertura, los pliegos de condiciones y el acto de adjudicación, entre otros.</w:t>
      </w:r>
    </w:p>
    <w:p w14:paraId="265C35D6" w14:textId="77777777" w:rsidR="00AD4F6A" w:rsidRPr="00AD4F6A" w:rsidRDefault="00AD4F6A" w:rsidP="00AD4F6A">
      <w:pPr>
        <w:spacing w:after="120" w:line="276" w:lineRule="auto"/>
        <w:ind w:right="105" w:firstLine="709"/>
        <w:jc w:val="both"/>
        <w:rPr>
          <w:rFonts w:ascii="Verdana" w:hAnsi="Verdana" w:cs="Arial"/>
        </w:rPr>
      </w:pPr>
      <w:bookmarkStart w:id="6" w:name="_Hlk54011438"/>
      <w:r w:rsidRPr="00AD4F6A">
        <w:rPr>
          <w:rFonts w:ascii="Verdana" w:hAnsi="Verdana" w:cs="Arial"/>
        </w:rPr>
        <w:t>De lo explicado se desprende que los estudios y documentos previos son necesarios antes de la celebración del contrato, pues fundamentan las condiciones que la entidad estatal exige en su proceso de contratación. Sin embargo, luego de la suscripción del contrato la entidad no debe actuar unilateralmente, sino que debe respetar la buena fe contractual y proceder de acuerdo con lo pactado</w:t>
      </w:r>
      <w:bookmarkEnd w:id="6"/>
      <w:r w:rsidRPr="00AD4F6A">
        <w:rPr>
          <w:rFonts w:ascii="Verdana" w:hAnsi="Verdana" w:cs="Arial"/>
          <w:vertAlign w:val="superscript"/>
        </w:rPr>
        <w:footnoteReference w:id="4"/>
      </w:r>
      <w:r w:rsidRPr="00AD4F6A">
        <w:rPr>
          <w:rFonts w:ascii="Verdana" w:hAnsi="Verdana" w:cs="Arial"/>
        </w:rPr>
        <w:t xml:space="preserve">. </w:t>
      </w:r>
    </w:p>
    <w:p w14:paraId="3A8A0851" w14:textId="77777777" w:rsidR="00AD4F6A" w:rsidRPr="00AD4F6A" w:rsidRDefault="00AD4F6A" w:rsidP="00AD4F6A">
      <w:pPr>
        <w:spacing w:after="120" w:line="276" w:lineRule="auto"/>
        <w:ind w:firstLine="708"/>
        <w:jc w:val="both"/>
        <w:rPr>
          <w:rFonts w:ascii="Verdana" w:eastAsia="Calibri" w:hAnsi="Verdana" w:cs="Arial"/>
          <w:bCs/>
          <w:lang w:val="es-ES_tradnl"/>
        </w:rPr>
      </w:pPr>
      <w:r w:rsidRPr="00AD4F6A">
        <w:rPr>
          <w:rFonts w:ascii="Verdana" w:hAnsi="Verdana" w:cs="Arial"/>
        </w:rPr>
        <w:t xml:space="preserve">Por otra parte, los numerales 2 y 4 del artículo 2.2.1.1.2.1.1 del Decreto 1082 de 2015 exigen que en los estudios previos se determine el objeto a contratar con sus especificaciones, y se señale el valor estimado del contrato y la justificación </w:t>
      </w:r>
      <w:proofErr w:type="gramStart"/>
      <w:r w:rsidRPr="00AD4F6A">
        <w:rPr>
          <w:rFonts w:ascii="Verdana" w:hAnsi="Verdana" w:cs="Arial"/>
        </w:rPr>
        <w:t>del mismo</w:t>
      </w:r>
      <w:proofErr w:type="gramEnd"/>
      <w:r w:rsidRPr="00AD4F6A">
        <w:rPr>
          <w:rFonts w:ascii="Verdana" w:hAnsi="Verdana" w:cs="Arial"/>
        </w:rPr>
        <w:t xml:space="preserve">. </w:t>
      </w:r>
      <w:r w:rsidRPr="00AD4F6A">
        <w:rPr>
          <w:rFonts w:ascii="Verdana" w:eastAsia="Calibri" w:hAnsi="Verdana" w:cs="Arial"/>
          <w:bCs/>
          <w:lang w:val="es-ES_tradnl"/>
        </w:rPr>
        <w:t xml:space="preserve">Para cumplir este objetivo es necesario el análisis del sector económico y de los oferentes, actividad de planeación previa que sirve para identificar aspectos concretos del mercado que pueden afectar el proceso de selección o las condiciones del negocio a realizar mediante el proceso de contratación de bienes, obras o servicios. </w:t>
      </w:r>
    </w:p>
    <w:p w14:paraId="5C6DE065" w14:textId="77777777" w:rsidR="00AD4F6A" w:rsidRPr="00AD4F6A" w:rsidRDefault="00AD4F6A" w:rsidP="00AD4F6A">
      <w:pPr>
        <w:spacing w:after="120" w:line="276" w:lineRule="auto"/>
        <w:ind w:firstLine="708"/>
        <w:jc w:val="both"/>
        <w:rPr>
          <w:rFonts w:ascii="Verdana" w:eastAsia="Calibri" w:hAnsi="Verdana" w:cs="Arial"/>
          <w:bCs/>
          <w:lang w:val="es-ES_tradnl"/>
        </w:rPr>
      </w:pPr>
      <w:r w:rsidRPr="00AD4F6A">
        <w:rPr>
          <w:rFonts w:ascii="Verdana" w:eastAsia="Calibri" w:hAnsi="Verdana" w:cs="Arial"/>
          <w:bCs/>
          <w:lang w:val="es-ES_tradnl"/>
        </w:rPr>
        <w:t xml:space="preserve">En este sentido, el artículo </w:t>
      </w:r>
      <w:bookmarkStart w:id="7" w:name="_Hlk36117416"/>
      <w:r w:rsidRPr="00AD4F6A">
        <w:rPr>
          <w:rFonts w:ascii="Verdana" w:eastAsia="Calibri" w:hAnsi="Verdana" w:cs="Arial"/>
          <w:bCs/>
          <w:lang w:val="es-ES_tradnl"/>
        </w:rPr>
        <w:t>2.2.1.1.1.6.1 del Decreto 1082 de 2015</w:t>
      </w:r>
      <w:bookmarkEnd w:id="7"/>
      <w:r w:rsidRPr="00AD4F6A">
        <w:rPr>
          <w:rFonts w:ascii="Verdana" w:eastAsia="Calibri" w:hAnsi="Verdana" w:cs="Arial"/>
          <w:bCs/>
          <w:lang w:val="es-ES_tradnl"/>
        </w:rPr>
        <w:t xml:space="preserve"> dispone que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14:paraId="7E465BC7" w14:textId="77777777" w:rsidR="00AD4F6A" w:rsidRPr="00AD4F6A" w:rsidRDefault="00AD4F6A" w:rsidP="00AD4F6A">
      <w:pPr>
        <w:spacing w:after="120" w:line="276" w:lineRule="auto"/>
        <w:ind w:firstLine="709"/>
        <w:jc w:val="both"/>
        <w:rPr>
          <w:rFonts w:ascii="Verdana" w:eastAsia="Calibri" w:hAnsi="Verdana" w:cs="Arial"/>
          <w:lang w:val="es-ES"/>
        </w:rPr>
      </w:pPr>
      <w:r w:rsidRPr="00AD4F6A">
        <w:rPr>
          <w:rFonts w:ascii="Verdana" w:eastAsia="Calibri" w:hAnsi="Verdana" w:cs="Arial"/>
          <w:lang w:val="es-ES"/>
        </w:rPr>
        <w:t xml:space="preserve">De acuerdo con la norma citada, </w:t>
      </w:r>
      <w:bookmarkStart w:id="8" w:name="_Hlk36140682"/>
      <w:r w:rsidRPr="00AD4F6A">
        <w:rPr>
          <w:rFonts w:ascii="Verdana" w:eastAsia="Calibri" w:hAnsi="Verdana" w:cs="Arial"/>
          <w:lang w:val="es-ES"/>
        </w:rPr>
        <w:t>la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14:paraId="6C3BE05E" w14:textId="77777777" w:rsidR="00AD4F6A" w:rsidRPr="00AD4F6A" w:rsidRDefault="00AD4F6A" w:rsidP="00AD4F6A">
      <w:pPr>
        <w:spacing w:after="120" w:line="276" w:lineRule="auto"/>
        <w:ind w:firstLine="709"/>
        <w:jc w:val="both"/>
        <w:rPr>
          <w:rFonts w:ascii="Verdana" w:eastAsia="Calibri" w:hAnsi="Verdana" w:cs="Arial"/>
          <w:bCs/>
          <w:lang w:val="es-ES_tradnl"/>
        </w:rPr>
      </w:pPr>
      <w:r w:rsidRPr="00AD4F6A">
        <w:rPr>
          <w:rFonts w:ascii="Verdana" w:eastAsia="Calibri" w:hAnsi="Verdana" w:cs="Arial"/>
          <w:bCs/>
          <w:lang w:val="es-ES_tradnl"/>
        </w:rPr>
        <w:t>Para negociar de manera adecuada, es necesario conocer la estructura de los posibles contratistas, pues permite identificar la forma en la que suplirán los requerimientos de la entidad. 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501B78BF" w14:textId="77777777" w:rsidR="00AD4F6A" w:rsidRPr="00AD4F6A" w:rsidRDefault="00AD4F6A" w:rsidP="00AD4F6A">
      <w:pPr>
        <w:spacing w:after="120" w:line="276" w:lineRule="auto"/>
        <w:ind w:firstLine="709"/>
        <w:jc w:val="both"/>
        <w:rPr>
          <w:rFonts w:ascii="Verdana" w:eastAsia="Calibri" w:hAnsi="Verdana" w:cs="Arial"/>
          <w:lang w:val="es-ES"/>
        </w:rPr>
      </w:pPr>
      <w:r w:rsidRPr="00AD4F6A">
        <w:rPr>
          <w:rFonts w:ascii="Verdana" w:eastAsia="Calibri" w:hAnsi="Verdana" w:cs="Arial"/>
          <w:lang w:val="es-ES"/>
        </w:rPr>
        <w:t xml:space="preserve">Dicho análisis facilita tanto el conocimiento del sector, desde una perspectiva multidisciplinaria, como de los proveedores disponibles en el mercado para satisfacer la necesidad de la entidad contratante. Así mismo, el análisis del sector implica un estudio de la oferta, lo que permitirá identificar qué proveedores existen en el mercado y cómo intervienen en la cadena de producción, comercialización y distribución de los bienes, obras o servicios. De igual manera, podrá estudiar la demanda para determinar las entidades estatales y los particulares cómo adquieren esos bienes, obras o servicios para extraer las mejores prácticas e información para el proceso de contratación y así estructurar de mejor manera el tipo contractual a utilizar y las condiciones y características que se podrán pactar para cumplir el objeto del contrato y para la realización de las prestaciones derivadas de las obligaciones que serán pactadas, tanto para la entidad contratante como para el contratista que proveerá el bien, obra o servicio. </w:t>
      </w:r>
    </w:p>
    <w:p w14:paraId="48F4284E" w14:textId="77777777" w:rsidR="00AD4F6A" w:rsidRPr="00AD4F6A" w:rsidRDefault="00AD4F6A" w:rsidP="00AD4F6A">
      <w:pPr>
        <w:spacing w:after="120" w:line="276" w:lineRule="auto"/>
        <w:ind w:firstLine="709"/>
        <w:jc w:val="both"/>
        <w:rPr>
          <w:rFonts w:ascii="Verdana" w:eastAsia="Calibri" w:hAnsi="Verdana" w:cs="Arial"/>
          <w:bCs/>
          <w:lang w:val="es-ES_tradnl"/>
        </w:rPr>
      </w:pPr>
      <w:r w:rsidRPr="00AD4F6A">
        <w:rPr>
          <w:rFonts w:ascii="Verdana" w:eastAsia="Calibri" w:hAnsi="Verdana" w:cs="Arial"/>
          <w:bCs/>
          <w:lang w:val="es-ES_tradnl"/>
        </w:rPr>
        <w:t xml:space="preserve">Si bien la normativa en materia de contratación estatal establece la obligatoriedad de realizar el análisis necesario para conocer el sector relativo al objeto del proceso de contratación, no determinan un procedimiento específico para efectuar dicho análisis. Por ello, las entidades </w:t>
      </w:r>
      <w:r w:rsidRPr="00AD4F6A">
        <w:rPr>
          <w:rFonts w:ascii="Verdana" w:hAnsi="Verdana" w:cs="Arial"/>
          <w:lang w:eastAsia="es-CO"/>
        </w:rPr>
        <w:t xml:space="preserve">son autónomas para estructurarlo, para lo cual deberán cumplir lo dispuesto en el artículo </w:t>
      </w:r>
      <w:r w:rsidRPr="00AD4F6A">
        <w:rPr>
          <w:rFonts w:ascii="Verdana" w:eastAsia="Calibri" w:hAnsi="Verdana" w:cs="Arial"/>
          <w:bCs/>
          <w:lang w:val="es-ES_tradnl"/>
        </w:rPr>
        <w:t xml:space="preserve">2.2.1.1.1.6.1 del Decreto 1082 de 2015 y realizar un análisis integral de planeación que </w:t>
      </w:r>
      <w:r w:rsidRPr="00AD4F6A">
        <w:rPr>
          <w:rFonts w:ascii="Verdana" w:hAnsi="Verdana" w:cs="Arial"/>
        </w:rPr>
        <w:t xml:space="preserve">sirva de sustento a la decisión de </w:t>
      </w:r>
      <w:r w:rsidRPr="00AD4F6A">
        <w:rPr>
          <w:rFonts w:ascii="Verdana" w:hAnsi="Verdana" w:cs="Arial"/>
          <w:bCs/>
          <w:lang w:val="es-ES_tradnl"/>
        </w:rPr>
        <w:t>realizar un proceso de contratación.</w:t>
      </w:r>
    </w:p>
    <w:bookmarkEnd w:id="8"/>
    <w:p w14:paraId="59BB07E9" w14:textId="77777777" w:rsidR="00AD4F6A" w:rsidRPr="00AD4F6A" w:rsidRDefault="00AD4F6A" w:rsidP="00AD4F6A">
      <w:pPr>
        <w:spacing w:after="120" w:line="276" w:lineRule="auto"/>
        <w:ind w:firstLine="709"/>
        <w:jc w:val="both"/>
        <w:rPr>
          <w:rFonts w:ascii="Verdana" w:eastAsia="Calibri" w:hAnsi="Verdana" w:cs="Arial"/>
          <w:bCs/>
          <w:lang w:val="es-ES"/>
        </w:rPr>
      </w:pPr>
      <w:r w:rsidRPr="00AD4F6A">
        <w:rPr>
          <w:rFonts w:ascii="Verdana" w:eastAsia="Calibri" w:hAnsi="Verdana" w:cs="Arial"/>
          <w:bCs/>
          <w:lang w:val="es-ES_tradnl"/>
        </w:rPr>
        <w:t>La Agencia Nacional de Contratación Pública - Colombia Compra Eficiente dispone de la “Guía de Elaboración del Estudio del Sector”, instrumento que sirve de apoyo para entender el mercado del bien, obra o servicio que la entidad estatal pretende adquirir y diseñar el proceso de contratación con la información necesaria para alcanzar los objetivos de eficacia, eficiencia, economía, promoción de la competencia y manejo del riesgo</w:t>
      </w:r>
      <w:r w:rsidRPr="00AD4F6A">
        <w:rPr>
          <w:rFonts w:ascii="Verdana" w:eastAsia="Calibri" w:hAnsi="Verdana" w:cs="Arial"/>
          <w:bCs/>
          <w:vertAlign w:val="superscript"/>
          <w:lang w:val="es-ES_tradnl"/>
        </w:rPr>
        <w:footnoteReference w:id="5"/>
      </w:r>
      <w:r w:rsidRPr="00AD4F6A">
        <w:rPr>
          <w:rFonts w:ascii="Verdana" w:eastAsia="Calibri" w:hAnsi="Verdana" w:cs="Arial"/>
          <w:bCs/>
          <w:lang w:val="es-ES_tradnl"/>
        </w:rPr>
        <w:t>. Esta Guía es un insumo para realizar el estudio del sector relativo al Proceso de Contratación, ya que comprende pautas sobre los aspectos generales del mercado, el análisis de la demanda y de la oferta y constituye un instrumento de orientación, por lo que –al carecer de fuerza vinculante– su aplicación no exime a las entidades de acatar las normas vigentes. De este modo, la Guía contiene</w:t>
      </w:r>
      <w:r w:rsidRPr="00AD4F6A">
        <w:rPr>
          <w:rFonts w:ascii="Verdana" w:eastAsia="Calibri" w:hAnsi="Verdana" w:cs="Arial"/>
          <w:bCs/>
          <w:lang w:val="es-ES"/>
        </w:rPr>
        <w:t xml:space="preserve"> recomendaciones generales por lo que no debe aplicarse de manera mecánica, pues la profundidad del estudio del sector depende de la complejidad y particularidades de cada proceso de contratación. </w:t>
      </w:r>
    </w:p>
    <w:p w14:paraId="772B4BBC" w14:textId="77777777" w:rsidR="00AD4F6A" w:rsidRPr="00AD4F6A" w:rsidRDefault="00AD4F6A" w:rsidP="00AD4F6A">
      <w:pPr>
        <w:spacing w:after="120" w:line="276" w:lineRule="auto"/>
        <w:ind w:firstLine="709"/>
        <w:jc w:val="both"/>
        <w:rPr>
          <w:rFonts w:ascii="Verdana" w:eastAsia="Calibri" w:hAnsi="Verdana" w:cs="Arial"/>
          <w:bCs/>
          <w:lang w:val="es-ES_tradnl"/>
        </w:rPr>
      </w:pPr>
      <w:r w:rsidRPr="00AD4F6A">
        <w:rPr>
          <w:rFonts w:ascii="Verdana" w:eastAsia="Calibri" w:hAnsi="Verdana" w:cs="Arial"/>
          <w:bCs/>
          <w:lang w:val="es-ES_tradnl"/>
        </w:rPr>
        <w:t>En este instrumento se recomienda un análisis integral sobre varios aspectos del mercado –económico, técnico, regulatorio, etc.–,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p>
    <w:p w14:paraId="5305602F" w14:textId="77777777" w:rsidR="00AD4F6A" w:rsidRPr="00AD4F6A" w:rsidRDefault="00AD4F6A" w:rsidP="00AD4F6A">
      <w:pPr>
        <w:spacing w:after="120" w:line="276" w:lineRule="auto"/>
        <w:ind w:firstLine="709"/>
        <w:jc w:val="both"/>
        <w:rPr>
          <w:rFonts w:ascii="Verdana" w:eastAsia="Calibri" w:hAnsi="Verdana" w:cs="Arial"/>
          <w:bCs/>
          <w:lang w:val="es-ES_tradnl"/>
        </w:rPr>
      </w:pPr>
      <w:r w:rsidRPr="00AD4F6A">
        <w:rPr>
          <w:rFonts w:ascii="Verdana" w:eastAsia="Calibri" w:hAnsi="Verdana" w:cs="Arial"/>
          <w:bCs/>
          <w:lang w:val="es-ES_tradnl"/>
        </w:rPr>
        <w:t xml:space="preserve">Así mismo, en la Guía se indica que como parte de la estructura del estudio del sector se debe realizar un análisis del comportamiento del gasto histórico, el estudio de la oferta y el estudio del mercado. En </w:t>
      </w:r>
      <w:r w:rsidRPr="00AD4F6A">
        <w:rPr>
          <w:rFonts w:ascii="Verdana" w:eastAsia="Calibri" w:hAnsi="Verdana" w:cs="Arial"/>
          <w:bCs/>
          <w:lang w:val="es-ES"/>
        </w:rPr>
        <w:t xml:space="preserve">el marco del comportamiento del gasto histórico se recomienda que la entidad analice el comportamiento de sus adquisiciones anteriores del bien, obra o servicio teniendo en cuenta distintas variables como la modalidad de selección, el objeto del contrato, el presupuesto, entre otros. También es importante que se analice la forma en la cual otras entidades o particulares han adquirido bienes y servicios iguales o comparables similares mediante plataformas de información como datos abiertos o las herramientas de visualización </w:t>
      </w:r>
      <w:r w:rsidRPr="00AD4F6A">
        <w:rPr>
          <w:rFonts w:ascii="Verdana" w:eastAsia="Arial MT" w:hAnsi="Verdana" w:cs="Arial"/>
          <w:lang w:val="es-ES"/>
        </w:rPr>
        <w:t>desarrolladas por esta Agencia en el marco del modelo de abastecimiento estratégico</w:t>
      </w:r>
      <w:r w:rsidRPr="00AD4F6A">
        <w:rPr>
          <w:rFonts w:ascii="Verdana" w:eastAsia="Arial MT" w:hAnsi="Verdana" w:cs="Arial"/>
          <w:vertAlign w:val="superscript"/>
          <w:lang w:val="es-ES"/>
        </w:rPr>
        <w:footnoteReference w:id="6"/>
      </w:r>
      <w:r w:rsidRPr="00AD4F6A">
        <w:rPr>
          <w:rFonts w:ascii="Verdana" w:eastAsia="Arial MT" w:hAnsi="Verdana" w:cs="Arial"/>
          <w:lang w:val="es-ES"/>
        </w:rPr>
        <w:t xml:space="preserve">. </w:t>
      </w:r>
    </w:p>
    <w:p w14:paraId="1047D2B4" w14:textId="77777777" w:rsidR="00AD4F6A" w:rsidRPr="00AD4F6A" w:rsidRDefault="00AD4F6A" w:rsidP="00AD4F6A">
      <w:pPr>
        <w:spacing w:after="120" w:line="276" w:lineRule="auto"/>
        <w:ind w:firstLine="709"/>
        <w:jc w:val="both"/>
        <w:rPr>
          <w:rFonts w:ascii="Verdana" w:eastAsia="Calibri" w:hAnsi="Verdana" w:cs="Arial"/>
          <w:color w:val="000000" w:themeColor="text1"/>
          <w:lang w:val="es-ES"/>
        </w:rPr>
      </w:pPr>
      <w:r w:rsidRPr="00AD4F6A">
        <w:rPr>
          <w:rFonts w:ascii="Verdana" w:eastAsia="Calibri" w:hAnsi="Verdana" w:cs="Arial"/>
          <w:color w:val="000000" w:themeColor="text1"/>
          <w:lang w:val="es-ES"/>
        </w:rPr>
        <w:t xml:space="preserve">Por su parte, según la Guía, el </w:t>
      </w:r>
      <w:r w:rsidRPr="00AD4F6A">
        <w:rPr>
          <w:rFonts w:ascii="Verdana" w:eastAsia="Calibri" w:hAnsi="Verdana" w:cs="Arial"/>
          <w:i/>
          <w:iCs/>
          <w:color w:val="000000" w:themeColor="text1"/>
          <w:lang w:val="es-ES"/>
        </w:rPr>
        <w:t>estudio de la oferta</w:t>
      </w:r>
      <w:r w:rsidRPr="00AD4F6A">
        <w:rPr>
          <w:rFonts w:ascii="Verdana" w:eastAsia="Calibri" w:hAnsi="Verdana" w:cs="Arial"/>
          <w:color w:val="000000" w:themeColor="text1"/>
          <w:lang w:val="es-ES"/>
        </w:rPr>
        <w:t xml:space="preserve"> tiene como objetivo </w:t>
      </w:r>
      <w:r w:rsidRPr="00AD4F6A">
        <w:rPr>
          <w:rFonts w:ascii="Verdana" w:eastAsia="Calibri" w:hAnsi="Verdana" w:cs="Arial"/>
          <w:color w:val="000000" w:themeColor="text1"/>
        </w:rPr>
        <w:t>identificar las opciones de suministro para las categorías de compra definidas, y los posibles proveedores que pueden suministrar los bienes, obras o servicios que requiere para satisfacer su necesidad</w:t>
      </w:r>
      <w:r w:rsidRPr="00AD4F6A">
        <w:rPr>
          <w:rFonts w:ascii="Verdana" w:eastAsia="Calibri" w:hAnsi="Verdana" w:cs="Arial"/>
          <w:color w:val="000000" w:themeColor="text1"/>
          <w:lang w:val="es-ES"/>
        </w:rPr>
        <w:t xml:space="preserve">. En esta actividad las entidades estatales deben realizar un estudio de la oferta, que responda, entre otras, las siguientes preguntas: i) “¿Cuál es la dinámica de producción, distribución y entrega de bienes, obras o servicios?” –teniendo en cuenta elementos como la producción, la distribución, transporte etc.– y </w:t>
      </w:r>
      <w:proofErr w:type="spellStart"/>
      <w:r w:rsidRPr="00AD4F6A">
        <w:rPr>
          <w:rFonts w:ascii="Verdana" w:eastAsia="Calibri" w:hAnsi="Verdana" w:cs="Arial"/>
          <w:color w:val="000000" w:themeColor="text1"/>
          <w:lang w:val="es-ES"/>
        </w:rPr>
        <w:t>ii</w:t>
      </w:r>
      <w:proofErr w:type="spellEnd"/>
      <w:r w:rsidRPr="00AD4F6A">
        <w:rPr>
          <w:rFonts w:ascii="Verdana" w:eastAsia="Calibri" w:hAnsi="Verdana" w:cs="Arial"/>
          <w:color w:val="000000" w:themeColor="text1"/>
          <w:lang w:val="es-ES"/>
        </w:rPr>
        <w:t xml:space="preserve">) “¿A quién se va a comprar?”. En relación con la primera pregunta, la Guía señala que “para la Entidad Estatal es importante conocer, entre otras, el proceso de producción, distribución y entrega de los bienes o servicios que pretende adquirir, así como los costos asociados a tales procesos, cuáles son las formas de distribución y entrega de los bienes o suministros del servicio, y demás criterios que apliquen”. </w:t>
      </w:r>
    </w:p>
    <w:p w14:paraId="2E6AFEE3" w14:textId="77777777" w:rsidR="00AD4F6A" w:rsidRPr="00AD4F6A" w:rsidRDefault="00AD4F6A" w:rsidP="00AD4F6A">
      <w:pPr>
        <w:spacing w:after="120" w:line="276" w:lineRule="auto"/>
        <w:ind w:firstLine="709"/>
        <w:jc w:val="both"/>
        <w:rPr>
          <w:rFonts w:ascii="Verdana" w:eastAsia="Calibri" w:hAnsi="Verdana" w:cs="Arial"/>
          <w:color w:val="000000" w:themeColor="text1"/>
          <w:lang w:val="es-ES"/>
        </w:rPr>
      </w:pPr>
      <w:r w:rsidRPr="00AD4F6A">
        <w:rPr>
          <w:rFonts w:ascii="Verdana" w:eastAsia="Calibri" w:hAnsi="Verdana" w:cs="Arial"/>
          <w:color w:val="000000" w:themeColor="text1"/>
          <w:lang w:val="es-ES"/>
        </w:rPr>
        <w:t>Para estos efectos, se recomienda a la entidad diseñar e implementar escenarios y procedimientos de consulta de información abiertos e incluyentes con el mercado, en los cuales se defina qué información, cuándo, por qué medio y a quienes se solicitará.</w:t>
      </w:r>
      <w:bookmarkStart w:id="9" w:name="_Hlk78204338"/>
      <w:r w:rsidRPr="00AD4F6A">
        <w:rPr>
          <w:rFonts w:ascii="Verdana" w:eastAsia="Calibri" w:hAnsi="Verdana" w:cs="Arial"/>
          <w:color w:val="000000" w:themeColor="text1"/>
          <w:lang w:val="es-ES"/>
        </w:rPr>
        <w:t xml:space="preserve"> La Guía</w:t>
      </w:r>
      <w:r w:rsidRPr="00AD4F6A">
        <w:rPr>
          <w:rFonts w:ascii="Verdana" w:eastAsia="Calibri" w:hAnsi="Verdana" w:cs="Arial"/>
          <w:color w:val="000000" w:themeColor="text1"/>
        </w:rPr>
        <w:t xml:space="preserve"> indica que </w:t>
      </w:r>
      <w:r w:rsidRPr="00AD4F6A">
        <w:rPr>
          <w:rFonts w:ascii="Verdana" w:eastAsia="Calibri" w:hAnsi="Verdana" w:cs="Arial"/>
          <w:color w:val="000000" w:themeColor="text1"/>
          <w:lang w:val="es-ES"/>
        </w:rPr>
        <w:t>“la Entidad Estatal debe identificar los proveedores en el mercado del bien o servicio, así como sus principales características como tamaño empresarial, ubicación, esquemas de producción y comportamiento financiero”</w:t>
      </w:r>
      <w:r w:rsidRPr="00AD4F6A">
        <w:rPr>
          <w:rFonts w:ascii="Verdana" w:eastAsia="Calibri" w:hAnsi="Verdana" w:cs="Arial"/>
          <w:color w:val="000000" w:themeColor="text1"/>
        </w:rPr>
        <w:t>.</w:t>
      </w:r>
      <w:bookmarkEnd w:id="9"/>
      <w:r w:rsidRPr="00AD4F6A">
        <w:rPr>
          <w:rFonts w:ascii="Verdana" w:eastAsia="Calibri" w:hAnsi="Verdana" w:cs="Arial"/>
          <w:color w:val="000000" w:themeColor="text1"/>
        </w:rPr>
        <w:t xml:space="preserve"> Para la identificación de los proveedores se propone analizar el listado de los proveedores que participaron en los procesos de contratación iguales o similares que haya realizado la entidad y los que hayan realizado otras entidades con objetos comparables.</w:t>
      </w:r>
    </w:p>
    <w:p w14:paraId="59C1067B" w14:textId="77777777" w:rsidR="00AD4F6A" w:rsidRPr="00AD4F6A" w:rsidRDefault="00AD4F6A" w:rsidP="00AD4F6A">
      <w:pPr>
        <w:spacing w:after="120" w:line="276" w:lineRule="auto"/>
        <w:ind w:firstLine="709"/>
        <w:jc w:val="both"/>
        <w:rPr>
          <w:rFonts w:ascii="Verdana" w:eastAsia="Calibri" w:hAnsi="Verdana" w:cs="Arial"/>
          <w:color w:val="000000" w:themeColor="text1"/>
          <w:lang w:val="es-ES"/>
        </w:rPr>
      </w:pPr>
      <w:r w:rsidRPr="00AD4F6A">
        <w:rPr>
          <w:rFonts w:ascii="Verdana" w:eastAsia="Calibri" w:hAnsi="Verdana" w:cs="Arial"/>
          <w:color w:val="000000" w:themeColor="text1"/>
          <w:lang w:val="es-ES"/>
        </w:rPr>
        <w:t xml:space="preserve">Por último, el estudio del mercado permite comprender la dinámica de los precios y establecer el presupuesto oficial de la contratación.  </w:t>
      </w:r>
      <w:r w:rsidRPr="00AD4F6A">
        <w:rPr>
          <w:rFonts w:ascii="Verdana" w:eastAsia="Calibri" w:hAnsi="Verdana" w:cs="Arial"/>
          <w:lang w:val="es-ES"/>
        </w:rPr>
        <w:t xml:space="preserve">De esta forma, se tiene que, la Guía de Elaboración de Estudios del Sector en el numeral 1.3.4, propone a las Entidades Estatales los siguientes mecanismos para elaborar el estudio de precios de mercado: </w:t>
      </w:r>
    </w:p>
    <w:p w14:paraId="5D22897A" w14:textId="77777777" w:rsidR="00AD4F6A" w:rsidRPr="00AD4F6A" w:rsidRDefault="00AD4F6A" w:rsidP="00AD4F6A">
      <w:pPr>
        <w:spacing w:after="0" w:line="240" w:lineRule="auto"/>
        <w:ind w:left="720"/>
        <w:contextualSpacing/>
        <w:rPr>
          <w:rFonts w:ascii="Verdana" w:eastAsia="Calibri" w:hAnsi="Verdana" w:cs="Arial"/>
          <w:lang w:val="es-ES"/>
        </w:rPr>
      </w:pPr>
    </w:p>
    <w:p w14:paraId="110103A3" w14:textId="77777777" w:rsidR="00AD4F6A" w:rsidRPr="00AD4F6A" w:rsidRDefault="00AD4F6A" w:rsidP="00AD4F6A">
      <w:pPr>
        <w:numPr>
          <w:ilvl w:val="0"/>
          <w:numId w:val="16"/>
        </w:numPr>
        <w:spacing w:after="0" w:line="240" w:lineRule="auto"/>
        <w:ind w:left="1072" w:right="618"/>
        <w:contextualSpacing/>
        <w:jc w:val="both"/>
        <w:rPr>
          <w:rFonts w:ascii="Verdana" w:eastAsia="Calibri" w:hAnsi="Verdana" w:cs="Arial"/>
          <w:sz w:val="20"/>
          <w:szCs w:val="20"/>
          <w:lang w:val="es-ES"/>
        </w:rPr>
      </w:pPr>
      <w:bookmarkStart w:id="10" w:name="_Hlk176860475"/>
      <w:r w:rsidRPr="00AD4F6A">
        <w:rPr>
          <w:rFonts w:ascii="Verdana" w:eastAsia="Calibri" w:hAnsi="Verdana" w:cs="Arial"/>
          <w:sz w:val="20"/>
          <w:szCs w:val="20"/>
          <w:lang w:val="es-ES"/>
        </w:rPr>
        <w:t>Revisión de precios por solicitud de cotizaciones</w:t>
      </w:r>
      <w:bookmarkEnd w:id="10"/>
      <w:r w:rsidRPr="00AD4F6A">
        <w:rPr>
          <w:rFonts w:ascii="Verdana" w:eastAsia="Calibri" w:hAnsi="Verdana" w:cs="Arial"/>
          <w:sz w:val="20"/>
          <w:szCs w:val="20"/>
          <w:lang w:val="es-ES"/>
        </w:rPr>
        <w:t xml:space="preserve">: requerir a los potenciales proveedores de los bienes o servicios para que remitan la información necesaria para determinar, entre otros aspectos, el valor del servicio o del bien correspondiente. Para estos efectos, se sugiere incluir en la comunicación toda aquella información pertinente del contrato a ejecutar que permita a los potenciales proveedores estructurar una cotización integral y ajustada a las necesidades de la Entidad, </w:t>
      </w:r>
      <w:proofErr w:type="gramStart"/>
      <w:r w:rsidRPr="00AD4F6A">
        <w:rPr>
          <w:rFonts w:ascii="Verdana" w:eastAsia="Calibri" w:hAnsi="Verdana" w:cs="Arial"/>
          <w:sz w:val="20"/>
          <w:szCs w:val="20"/>
          <w:lang w:val="es-ES"/>
        </w:rPr>
        <w:t>como</w:t>
      </w:r>
      <w:proofErr w:type="gramEnd"/>
      <w:r w:rsidRPr="00AD4F6A">
        <w:rPr>
          <w:rFonts w:ascii="Verdana" w:eastAsia="Calibri" w:hAnsi="Verdana" w:cs="Arial"/>
          <w:sz w:val="20"/>
          <w:szCs w:val="20"/>
          <w:lang w:val="es-ES"/>
        </w:rPr>
        <w:t xml:space="preserve"> por ejemplo, especificaciones técnicas del bien o servicio a contratar, plazo del contrato, así como toda aquella información relevante que incida en el precio del bien o servicio.</w:t>
      </w:r>
    </w:p>
    <w:p w14:paraId="6EF5306C" w14:textId="77777777" w:rsidR="00AD4F6A" w:rsidRPr="00AD4F6A" w:rsidRDefault="00AD4F6A" w:rsidP="00AD4F6A">
      <w:pPr>
        <w:spacing w:after="0" w:line="240" w:lineRule="auto"/>
        <w:ind w:left="1072" w:right="618"/>
        <w:contextualSpacing/>
        <w:jc w:val="both"/>
        <w:rPr>
          <w:rFonts w:ascii="Verdana" w:eastAsia="Calibri" w:hAnsi="Verdana" w:cs="Arial"/>
          <w:sz w:val="20"/>
          <w:szCs w:val="20"/>
          <w:lang w:val="es-ES"/>
        </w:rPr>
      </w:pPr>
    </w:p>
    <w:p w14:paraId="4F4F7F84" w14:textId="77777777" w:rsidR="00AD4F6A" w:rsidRPr="00AD4F6A" w:rsidRDefault="00AD4F6A" w:rsidP="00AD4F6A">
      <w:pPr>
        <w:numPr>
          <w:ilvl w:val="0"/>
          <w:numId w:val="16"/>
        </w:numPr>
        <w:spacing w:after="0" w:line="240" w:lineRule="auto"/>
        <w:ind w:left="1072" w:right="618"/>
        <w:contextualSpacing/>
        <w:jc w:val="both"/>
        <w:rPr>
          <w:rFonts w:ascii="Verdana" w:eastAsia="Calibri" w:hAnsi="Verdana" w:cs="Arial"/>
          <w:sz w:val="20"/>
          <w:szCs w:val="20"/>
          <w:lang w:val="es-ES"/>
        </w:rPr>
      </w:pPr>
      <w:r w:rsidRPr="00AD4F6A">
        <w:rPr>
          <w:rFonts w:ascii="Verdana" w:eastAsia="Calibri" w:hAnsi="Verdana" w:cs="Arial"/>
          <w:sz w:val="20"/>
          <w:szCs w:val="20"/>
          <w:lang w:val="es-ES"/>
        </w:rPr>
        <w:t>Al recibir las cotizaciones, debe verificarse la ocurrencia de circunstancias que eventualmente pueden distorsionar los precios del mercado, como ofertas especiales de almacenes de cadena, fenómenos de escasez o abundancia del producto, entre otros aspectos.</w:t>
      </w:r>
    </w:p>
    <w:p w14:paraId="37DBD487" w14:textId="77777777" w:rsidR="00AD4F6A" w:rsidRPr="00AD4F6A" w:rsidRDefault="00AD4F6A" w:rsidP="00AD4F6A">
      <w:pPr>
        <w:spacing w:after="0" w:line="240" w:lineRule="auto"/>
        <w:ind w:left="1072" w:right="618"/>
        <w:contextualSpacing/>
        <w:jc w:val="both"/>
        <w:rPr>
          <w:rFonts w:ascii="Verdana" w:eastAsia="Calibri" w:hAnsi="Verdana" w:cs="Arial"/>
          <w:sz w:val="20"/>
          <w:szCs w:val="20"/>
          <w:lang w:val="es-ES"/>
        </w:rPr>
      </w:pPr>
    </w:p>
    <w:p w14:paraId="07751643" w14:textId="77777777" w:rsidR="00AD4F6A" w:rsidRPr="00AD4F6A" w:rsidRDefault="00AD4F6A" w:rsidP="00AD4F6A">
      <w:pPr>
        <w:numPr>
          <w:ilvl w:val="0"/>
          <w:numId w:val="16"/>
        </w:numPr>
        <w:spacing w:after="0" w:line="240" w:lineRule="auto"/>
        <w:ind w:left="1072" w:right="618"/>
        <w:contextualSpacing/>
        <w:jc w:val="both"/>
        <w:rPr>
          <w:rFonts w:ascii="Verdana" w:eastAsia="Calibri" w:hAnsi="Verdana" w:cs="Arial"/>
          <w:sz w:val="20"/>
          <w:szCs w:val="20"/>
          <w:lang w:val="es-ES"/>
        </w:rPr>
      </w:pPr>
      <w:r w:rsidRPr="00AD4F6A">
        <w:rPr>
          <w:rFonts w:ascii="Verdana" w:eastAsia="Calibri" w:hAnsi="Verdana" w:cs="Arial"/>
          <w:sz w:val="20"/>
          <w:szCs w:val="20"/>
          <w:lang w:val="es-ES"/>
        </w:rPr>
        <w:t>Revisión de bases de datos especializadas: se adelanta cuando por las condiciones del mercado del bien o servicio a contratar se requiera, y el responsable deberá dejar constancia de las consultas realizadas y de los precios que soportan su estudio. Las bases de datos consultadas deben ser especializadas y representativas en el mercado del bien o servicio a contratar.</w:t>
      </w:r>
    </w:p>
    <w:p w14:paraId="31E3CC4D" w14:textId="77777777" w:rsidR="00AD4F6A" w:rsidRPr="00AD4F6A" w:rsidRDefault="00AD4F6A" w:rsidP="00AD4F6A">
      <w:pPr>
        <w:spacing w:after="0" w:line="240" w:lineRule="auto"/>
        <w:ind w:left="1072" w:right="618"/>
        <w:contextualSpacing/>
        <w:jc w:val="both"/>
        <w:rPr>
          <w:rFonts w:ascii="Verdana" w:eastAsia="Calibri" w:hAnsi="Verdana" w:cs="Arial"/>
          <w:sz w:val="20"/>
          <w:szCs w:val="20"/>
          <w:lang w:val="es-ES"/>
        </w:rPr>
      </w:pPr>
    </w:p>
    <w:p w14:paraId="0B217626" w14:textId="77777777" w:rsidR="00AD4F6A" w:rsidRPr="00AD4F6A" w:rsidRDefault="00AD4F6A" w:rsidP="00AD4F6A">
      <w:pPr>
        <w:numPr>
          <w:ilvl w:val="0"/>
          <w:numId w:val="16"/>
        </w:numPr>
        <w:spacing w:after="0" w:line="240" w:lineRule="auto"/>
        <w:ind w:left="1072" w:right="618"/>
        <w:contextualSpacing/>
        <w:jc w:val="both"/>
        <w:rPr>
          <w:rFonts w:ascii="Verdana" w:eastAsia="Calibri" w:hAnsi="Verdana" w:cs="Arial"/>
          <w:sz w:val="20"/>
          <w:szCs w:val="20"/>
          <w:lang w:val="es-ES"/>
        </w:rPr>
      </w:pPr>
      <w:r w:rsidRPr="00AD4F6A">
        <w:rPr>
          <w:rFonts w:ascii="Verdana" w:eastAsia="Calibri" w:hAnsi="Verdana" w:cs="Arial"/>
          <w:sz w:val="20"/>
          <w:szCs w:val="20"/>
          <w:lang w:val="es-ES"/>
        </w:rPr>
        <w:t>Revisión de precios históricos: para emplear el mecanismo se sugiere verificar la variación de los precios históricos derivados del índice de precios al consumidor en cada año, examinando si se han presentado fenómenos económicos que hayan implicado fluctuaciones importantes en el comercio del bien o servicio. Las características del bien o servicio deben ser las mismas entre una contratación y otra.</w:t>
      </w:r>
    </w:p>
    <w:p w14:paraId="1DBE50EB" w14:textId="77777777" w:rsidR="00AD4F6A" w:rsidRPr="00AD4F6A" w:rsidRDefault="00AD4F6A" w:rsidP="00AD4F6A">
      <w:pPr>
        <w:spacing w:after="0" w:line="276" w:lineRule="auto"/>
        <w:ind w:firstLine="709"/>
        <w:jc w:val="both"/>
        <w:rPr>
          <w:rFonts w:ascii="Verdana" w:eastAsia="Calibri" w:hAnsi="Verdana" w:cs="Arial"/>
          <w:color w:val="000000" w:themeColor="text1"/>
          <w:lang w:val="es-ES"/>
        </w:rPr>
      </w:pPr>
    </w:p>
    <w:p w14:paraId="29331B4B" w14:textId="77777777" w:rsidR="00AD4F6A" w:rsidRPr="00AD4F6A" w:rsidRDefault="00AD4F6A" w:rsidP="00AD4F6A">
      <w:pPr>
        <w:spacing w:after="120" w:line="276" w:lineRule="auto"/>
        <w:ind w:firstLine="709"/>
        <w:jc w:val="both"/>
        <w:rPr>
          <w:rFonts w:ascii="Verdana" w:eastAsia="Calibri" w:hAnsi="Verdana" w:cs="Arial"/>
          <w:color w:val="000000" w:themeColor="text1"/>
          <w:lang w:val="es-ES"/>
        </w:rPr>
      </w:pPr>
      <w:bookmarkStart w:id="11" w:name="_Hlk139466471"/>
      <w:r w:rsidRPr="00AD4F6A">
        <w:rPr>
          <w:rFonts w:ascii="Verdana" w:eastAsia="Calibri" w:hAnsi="Verdana" w:cs="Arial"/>
          <w:color w:val="000000" w:themeColor="text1"/>
          <w:lang w:val="es-ES"/>
        </w:rPr>
        <w:t xml:space="preserve">Como se observa, la “Guía de Elaboración de Estudios del Sector” recomienda como mecanismo para la elaboración de </w:t>
      </w:r>
      <w:r w:rsidRPr="00AD4F6A">
        <w:rPr>
          <w:rFonts w:ascii="Verdana" w:eastAsia="Calibri" w:hAnsi="Verdana" w:cs="Arial"/>
          <w:i/>
          <w:iCs/>
          <w:color w:val="000000" w:themeColor="text1"/>
          <w:lang w:val="es-ES"/>
        </w:rPr>
        <w:t>estudios del mercado</w:t>
      </w:r>
      <w:r w:rsidRPr="00AD4F6A">
        <w:rPr>
          <w:rFonts w:ascii="Verdana" w:eastAsia="Calibri" w:hAnsi="Verdana" w:cs="Arial"/>
          <w:color w:val="000000" w:themeColor="text1"/>
          <w:lang w:val="es-ES"/>
        </w:rPr>
        <w:t xml:space="preserve">, que sirvan para entender la dinámica de los precios y establecer el presupuesto oficial de la contratación, </w:t>
      </w:r>
      <w:r w:rsidRPr="00AD4F6A">
        <w:rPr>
          <w:rFonts w:ascii="Verdana" w:eastAsia="Calibri" w:hAnsi="Verdana" w:cs="Arial"/>
          <w:i/>
          <w:color w:val="000000" w:themeColor="text1"/>
          <w:lang w:val="es-ES"/>
        </w:rPr>
        <w:t>requerir a los potenciales proveedores</w:t>
      </w:r>
      <w:r w:rsidRPr="00AD4F6A">
        <w:rPr>
          <w:rFonts w:ascii="Verdana" w:eastAsia="Calibri" w:hAnsi="Verdana" w:cs="Arial"/>
          <w:color w:val="000000" w:themeColor="text1"/>
          <w:lang w:val="es-ES"/>
        </w:rPr>
        <w:t xml:space="preserve"> a fin de que remitan la información necesaria para determinar diversos aspectos de los bienes o servicios a contratar, entre ellos su valor, especificaciones técnicas, el plazo, entre otra información relevante. </w:t>
      </w:r>
      <w:bookmarkEnd w:id="11"/>
    </w:p>
    <w:p w14:paraId="28AAD082" w14:textId="77777777" w:rsidR="00AD4F6A" w:rsidRPr="00AD4F6A" w:rsidRDefault="00AD4F6A" w:rsidP="00AD4F6A">
      <w:pPr>
        <w:spacing w:after="120" w:line="276" w:lineRule="auto"/>
        <w:ind w:firstLine="709"/>
        <w:jc w:val="both"/>
        <w:rPr>
          <w:rFonts w:ascii="Verdana" w:eastAsia="Calibri" w:hAnsi="Verdana" w:cs="Arial"/>
          <w:color w:val="000000" w:themeColor="text1"/>
          <w:lang w:val="es-ES"/>
        </w:rPr>
      </w:pPr>
      <w:r w:rsidRPr="00AD4F6A">
        <w:rPr>
          <w:rFonts w:ascii="Verdana" w:eastAsia="Calibri" w:hAnsi="Verdana" w:cs="Arial"/>
          <w:color w:val="000000" w:themeColor="text1"/>
          <w:lang w:val="es-ES"/>
        </w:rPr>
        <w:t xml:space="preserve">Así mismo, establece como mecanismo la </w:t>
      </w:r>
      <w:r w:rsidRPr="00AD4F6A">
        <w:rPr>
          <w:rFonts w:ascii="Verdana" w:eastAsia="Calibri" w:hAnsi="Verdana" w:cs="Arial"/>
          <w:i/>
          <w:color w:val="000000" w:themeColor="text1"/>
          <w:lang w:val="es-ES"/>
        </w:rPr>
        <w:t>revisión de precios históricos</w:t>
      </w:r>
      <w:r w:rsidRPr="00AD4F6A">
        <w:rPr>
          <w:rFonts w:ascii="Verdana" w:eastAsia="Calibri" w:hAnsi="Verdana" w:cs="Arial"/>
          <w:color w:val="000000" w:themeColor="text1"/>
          <w:lang w:val="es-ES"/>
        </w:rPr>
        <w:t>, al que hace referencia en su consulta, en la cual</w:t>
      </w:r>
      <w:r w:rsidRPr="00AD4F6A">
        <w:rPr>
          <w:rFonts w:ascii="Verdana" w:eastAsia="Calibri" w:hAnsi="Verdana" w:cs="Arial"/>
          <w:color w:val="000000" w:themeColor="text1"/>
        </w:rPr>
        <w:t xml:space="preserve"> se sugiere verificar la variación de los precios históricos derivados del Índice de Precios al Consumidor (IPC) en cada año, analizando de manera detallada las fluctuaciones económicas que hayan influido en la evolución de los precios, tales como cambios en la oferta y demanda, factores externos (como crisis económicas o alteraciones en la cadena de suministro) y políticas monetarias que hayan afectado la inflación. Además, se debe examinar si estos cambios han tenido un impacto significativo en el comercio del bien o servicio a contratar, para asegurar que la revisión sea adecuada y pertinente. Es fundamental que las características del bien o servicio sean equivalentes en cada contratación, garantizando que no existan alteraciones en las especificaciones, calidad o cantidad que pudieran distorsionar la comparación de precios. </w:t>
      </w:r>
    </w:p>
    <w:p w14:paraId="3C0DD0E9" w14:textId="77777777" w:rsidR="00AD4F6A" w:rsidRPr="00AD4F6A" w:rsidRDefault="00AD4F6A" w:rsidP="00AD4F6A">
      <w:pPr>
        <w:spacing w:after="120" w:line="276" w:lineRule="auto"/>
        <w:ind w:firstLine="709"/>
        <w:jc w:val="both"/>
        <w:rPr>
          <w:rFonts w:ascii="Verdana" w:hAnsi="Verdana" w:cs="Arial"/>
          <w:lang w:eastAsia="es-CO"/>
        </w:rPr>
      </w:pPr>
      <w:r w:rsidRPr="00AD4F6A">
        <w:rPr>
          <w:rFonts w:ascii="Verdana" w:eastAsia="Calibri" w:hAnsi="Verdana" w:cs="Arial"/>
          <w:color w:val="000000" w:themeColor="text1"/>
          <w:lang w:val="es-ES"/>
        </w:rPr>
        <w:t xml:space="preserve">En este contexto, es pertinente precisar que los mecanismos señalados para realizar el estudio del mercado no están determinados por la ley o el reglamento, por lo que no existen lineamientos obligatorios para su estructuración. </w:t>
      </w:r>
      <w:r w:rsidRPr="00AD4F6A">
        <w:rPr>
          <w:rFonts w:ascii="Verdana" w:hAnsi="Verdana" w:cs="Arial"/>
          <w:lang w:eastAsia="es-CO"/>
        </w:rPr>
        <w:t xml:space="preserve">Como se mencionó, la </w:t>
      </w:r>
      <w:r w:rsidRPr="00AD4F6A">
        <w:rPr>
          <w:rFonts w:ascii="Verdana" w:eastAsia="Calibri" w:hAnsi="Verdana" w:cs="Arial"/>
          <w:bCs/>
          <w:lang w:val="es-ES_tradnl"/>
        </w:rPr>
        <w:t>“Guía de Elaboración del Estudio del Sector” desarrolla recomendaciones y buenas prácticas que servirán a las entidades para entender el mercado del bien o servicio a contratar</w:t>
      </w:r>
      <w:r w:rsidRPr="00AD4F6A">
        <w:rPr>
          <w:rFonts w:ascii="Verdana" w:eastAsia="Calibri" w:hAnsi="Verdana" w:cs="Arial"/>
          <w:color w:val="000000" w:themeColor="text1"/>
          <w:lang w:val="es-ES"/>
        </w:rPr>
        <w:t xml:space="preserve">, por tanto, </w:t>
      </w:r>
      <w:r w:rsidRPr="00AD4F6A">
        <w:rPr>
          <w:rFonts w:ascii="Verdana" w:eastAsia="Calibri" w:hAnsi="Verdana" w:cs="Arial"/>
          <w:bCs/>
          <w:lang w:val="es-ES_tradnl"/>
        </w:rPr>
        <w:t xml:space="preserve">las entidades </w:t>
      </w:r>
      <w:r w:rsidRPr="00AD4F6A">
        <w:rPr>
          <w:rFonts w:ascii="Verdana" w:hAnsi="Verdana" w:cs="Arial"/>
          <w:lang w:eastAsia="es-CO"/>
        </w:rPr>
        <w:t xml:space="preserve">son autónomas para establecer la forma en la cual se recopilará la información que sustente el análisis del sector y de determinar el mecanismo para la estructuración del presupuesto oficial. </w:t>
      </w:r>
    </w:p>
    <w:p w14:paraId="791451A2" w14:textId="77777777" w:rsidR="00AD4F6A" w:rsidRPr="00AD4F6A" w:rsidRDefault="00AD4F6A" w:rsidP="00AD4F6A">
      <w:pPr>
        <w:spacing w:after="120" w:line="276" w:lineRule="auto"/>
        <w:ind w:firstLine="709"/>
        <w:jc w:val="both"/>
        <w:rPr>
          <w:rFonts w:ascii="Verdana" w:hAnsi="Verdana" w:cs="Arial"/>
          <w:lang w:eastAsia="es-CO"/>
        </w:rPr>
      </w:pPr>
      <w:r w:rsidRPr="00AD4F6A">
        <w:rPr>
          <w:rFonts w:ascii="Verdana" w:hAnsi="Verdana" w:cs="Arial"/>
          <w:lang w:eastAsia="es-CO"/>
        </w:rPr>
        <w:t>De este modo, en cualquier tipo de contrato, incluyendo el contrato de obra, las entidades estatales cuentan con la facultad de definir el mecanismo que consideren más adecuado para la estructuración del presupuesto oficial. Esta autonomía implica que, para la determinación de los precios unitarios, se podrán emplear distintos métodos técnicamente idóneos, siempre que los cálculos presupuestales estén debidamente soportados en estimaciones fundamentadas, técnicas y verificables, que reflejen la realidad del mercado y la naturaleza específica del objeto contractual</w:t>
      </w:r>
      <w:r w:rsidRPr="00AD4F6A">
        <w:rPr>
          <w:rFonts w:ascii="Verdana" w:hAnsi="Verdana" w:cs="Arial"/>
        </w:rPr>
        <w:t>. Así mismo, dentro de esa autonomía, el uso de precios de referencia también constituye una herramienta válida como un insumo preliminar que oriente la estructuración de los precios unitarios, pero su adopción debe estar precedida de una verificación minuciosa de su pertinencia frente a las condiciones particulares del proyecto y las características técnicas de los bienes o servicios requeridos, de tal forma que la entidad no se exime de su deber de realizar la respectiva verificación del mercado.</w:t>
      </w:r>
    </w:p>
    <w:p w14:paraId="1B8CAFA3" w14:textId="77777777" w:rsidR="00AD4F6A" w:rsidRPr="00AD4F6A" w:rsidRDefault="00AD4F6A" w:rsidP="00AD4F6A">
      <w:pPr>
        <w:spacing w:after="120" w:line="276" w:lineRule="auto"/>
        <w:ind w:firstLine="709"/>
        <w:jc w:val="both"/>
        <w:rPr>
          <w:rFonts w:ascii="Verdana" w:hAnsi="Verdana" w:cs="Arial"/>
          <w:lang w:val="es-ES"/>
        </w:rPr>
      </w:pPr>
      <w:r w:rsidRPr="00AD4F6A">
        <w:rPr>
          <w:rFonts w:ascii="Verdana" w:hAnsi="Verdana" w:cs="Arial"/>
          <w:lang w:val="es-ES"/>
        </w:rPr>
        <w:t>Al respecto, es pertinente señalar que, el Consejo de Estado se pronunció sobre la relación existente entre el estudio del sector y la estimación del valor del contrato, indicando que se deben tener en cuenta las diferentes variables del mercado como los costos de la cadena de producción. Pero, con independencia de esto, la entidad debe obtener el menor precio o uno razonable. En todo caso, el valor debe estar justificado para que no corresponda a sobrecostos ni a precios artificialmente bajos, y que con ello la entidad pague un valor adecuado. Esto se logra con el estudio del mercado y sus costos, el cual debe estar a disposición de los participantes del procedimiento contractual</w:t>
      </w:r>
      <w:r w:rsidRPr="00AD4F6A">
        <w:rPr>
          <w:rFonts w:ascii="Verdana" w:hAnsi="Verdana" w:cs="Arial"/>
          <w:vertAlign w:val="superscript"/>
          <w:lang w:val="es-ES"/>
        </w:rPr>
        <w:footnoteReference w:id="7"/>
      </w:r>
      <w:r w:rsidRPr="00AD4F6A">
        <w:rPr>
          <w:rFonts w:ascii="Verdana" w:hAnsi="Verdana" w:cs="Arial"/>
          <w:lang w:val="es-ES"/>
        </w:rPr>
        <w:t>.</w:t>
      </w:r>
    </w:p>
    <w:p w14:paraId="7F3AB662" w14:textId="77777777" w:rsidR="00AD4F6A" w:rsidRPr="00AD4F6A" w:rsidRDefault="00AD4F6A" w:rsidP="00AD4F6A">
      <w:pPr>
        <w:spacing w:after="120" w:line="276" w:lineRule="auto"/>
        <w:jc w:val="both"/>
        <w:rPr>
          <w:rFonts w:ascii="Verdana" w:hAnsi="Verdana"/>
        </w:rPr>
      </w:pPr>
      <w:proofErr w:type="spellStart"/>
      <w:r w:rsidRPr="00AD4F6A">
        <w:rPr>
          <w:rFonts w:ascii="Verdana" w:hAnsi="Verdana" w:cs="Arial"/>
          <w:lang w:val="es-ES"/>
        </w:rPr>
        <w:t>ii</w:t>
      </w:r>
      <w:proofErr w:type="spellEnd"/>
      <w:r w:rsidRPr="00AD4F6A">
        <w:rPr>
          <w:rFonts w:ascii="Verdana" w:hAnsi="Verdana" w:cs="Arial"/>
          <w:lang w:val="es-ES"/>
        </w:rPr>
        <w:t>. Ahora bien, sobre la figura de sobrecosto es importante señalar que el ordenamiento jurídico colombiano no contempla una definición legal de “sobrecosto” en la contratación estatal.</w:t>
      </w:r>
      <w:bookmarkStart w:id="12" w:name="_Hlk91231640"/>
      <w:r w:rsidRPr="00AD4F6A">
        <w:rPr>
          <w:rFonts w:ascii="Verdana" w:hAnsi="Verdana"/>
        </w:rPr>
        <w:t xml:space="preserve"> </w:t>
      </w:r>
      <w:r w:rsidRPr="00AD4F6A">
        <w:rPr>
          <w:rFonts w:ascii="Verdana" w:hAnsi="Verdana" w:cs="Arial"/>
          <w:lang w:val="es-ES"/>
        </w:rPr>
        <w:t xml:space="preserve">Aunque el artículo 54.3 de la Ley 1952 de 2019 tipifica como falta disciplinaria “Participar en la etapa precontractual o en la actividad contractual, en detrimento del patrimonio público, o con desconocimiento de los principios que regulan la contratación estatal y la función administrativa contemplados en la Constitución y en la ley”, el artículo 6 de la Ley 610 de 2000 cubre una gran variedad de hipótesis que no se limitan al tema </w:t>
      </w:r>
      <w:r w:rsidRPr="00AD4F6A">
        <w:rPr>
          <w:rFonts w:ascii="Verdana" w:hAnsi="Verdana" w:cs="Arial"/>
          <w:i/>
          <w:iCs/>
          <w:lang w:val="es-ES"/>
        </w:rPr>
        <w:t>sub examine</w:t>
      </w:r>
      <w:r w:rsidRPr="00AD4F6A">
        <w:rPr>
          <w:rFonts w:ascii="Verdana" w:hAnsi="Verdana" w:cs="Arial"/>
          <w:vertAlign w:val="superscript"/>
          <w:lang w:val="es-ES"/>
        </w:rPr>
        <w:footnoteReference w:id="8"/>
      </w:r>
      <w:r w:rsidRPr="00AD4F6A">
        <w:rPr>
          <w:rFonts w:ascii="Verdana" w:hAnsi="Verdana" w:cs="Arial"/>
          <w:lang w:val="es-ES"/>
        </w:rPr>
        <w:t>.</w:t>
      </w:r>
    </w:p>
    <w:p w14:paraId="0A73DA52" w14:textId="77777777" w:rsidR="00AD4F6A" w:rsidRPr="00AD4F6A" w:rsidRDefault="00AD4F6A" w:rsidP="00AD4F6A">
      <w:pPr>
        <w:spacing w:after="120" w:line="276" w:lineRule="auto"/>
        <w:jc w:val="both"/>
        <w:rPr>
          <w:rFonts w:ascii="Verdana" w:eastAsia="Calibri" w:hAnsi="Verdana" w:cs="Arial"/>
          <w:bCs/>
          <w:color w:val="000000" w:themeColor="text1"/>
        </w:rPr>
      </w:pPr>
      <w:r w:rsidRPr="00AD4F6A">
        <w:rPr>
          <w:rFonts w:ascii="Verdana" w:hAnsi="Verdana" w:cs="Arial"/>
          <w:lang w:val="es-ES"/>
        </w:rPr>
        <w:tab/>
        <w:t xml:space="preserve">Esta reflexión es importante, porque </w:t>
      </w:r>
      <w:r w:rsidRPr="00AD4F6A">
        <w:rPr>
          <w:rFonts w:ascii="Verdana" w:eastAsia="Calibri" w:hAnsi="Verdana" w:cs="Arial"/>
          <w:bCs/>
          <w:color w:val="000000" w:themeColor="text1"/>
        </w:rPr>
        <w:t xml:space="preserve">el artículo 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el artículo 29 </w:t>
      </w:r>
      <w:r w:rsidRPr="00AD4F6A">
        <w:rPr>
          <w:rFonts w:ascii="Verdana" w:eastAsia="Calibri" w:hAnsi="Verdana" w:cs="Arial"/>
          <w:bCs/>
          <w:i/>
          <w:iCs/>
          <w:color w:val="000000" w:themeColor="text1"/>
        </w:rPr>
        <w:t>ibidem</w:t>
      </w:r>
      <w:r w:rsidRPr="00AD4F6A">
        <w:rPr>
          <w:rFonts w:ascii="Verdana" w:eastAsia="Calibri" w:hAnsi="Verdana" w:cs="Arial"/>
          <w:bCs/>
          <w:color w:val="000000" w:themeColor="text1"/>
        </w:rPr>
        <w:t xml:space="preserve"> prescribe lo siguiente: “Las palabras técnicas de toda ciencia o arte se tomarán en el sentido que les den los que profesan la misma ciencia o arte; a menos que aparezca claramente que se han formado en sentido diverso”</w:t>
      </w:r>
      <w:r w:rsidRPr="00AD4F6A">
        <w:rPr>
          <w:rFonts w:ascii="Verdana" w:eastAsia="Calibri" w:hAnsi="Verdana" w:cs="Arial"/>
          <w:bCs/>
          <w:color w:val="000000" w:themeColor="text1"/>
          <w:vertAlign w:val="superscript"/>
        </w:rPr>
        <w:footnoteReference w:id="9"/>
      </w:r>
      <w:r w:rsidRPr="00AD4F6A">
        <w:rPr>
          <w:rFonts w:ascii="Verdana" w:eastAsia="Calibri" w:hAnsi="Verdana" w:cs="Arial"/>
          <w:bCs/>
          <w:color w:val="000000" w:themeColor="text1"/>
        </w:rPr>
        <w:t>.</w:t>
      </w:r>
    </w:p>
    <w:p w14:paraId="198B3410" w14:textId="77777777" w:rsidR="00AD4F6A" w:rsidRPr="00AD4F6A" w:rsidRDefault="00AD4F6A" w:rsidP="00AD4F6A">
      <w:pPr>
        <w:spacing w:after="0" w:line="276" w:lineRule="auto"/>
        <w:jc w:val="both"/>
        <w:rPr>
          <w:rFonts w:ascii="Verdana" w:eastAsia="Calibri" w:hAnsi="Verdana" w:cs="Arial"/>
          <w:bCs/>
          <w:color w:val="000000" w:themeColor="text1"/>
        </w:rPr>
      </w:pPr>
      <w:r w:rsidRPr="00AD4F6A">
        <w:rPr>
          <w:rFonts w:ascii="Verdana" w:eastAsia="Calibri" w:hAnsi="Verdana" w:cs="Arial"/>
          <w:bCs/>
          <w:color w:val="000000" w:themeColor="text1"/>
        </w:rPr>
        <w:tab/>
        <w:t>Dentro de este marco, el diccionario de la RAE indica que el “sobrecosto” alude al “Gasto adicional que no está previsto o establecido inicialmente”, mientras que el “sobreprecio” equivale a “Recargo en el precio ordinario”. Desde el punto de vista jurisprudencial, se refiere al pago excesivo realizado al contratista, sin una justificación válida en comparación con los precios reales del mercado para los bienes, obras o servicios contratados en cada negocio jurídico, considerando todas las variables que influyen su valor. Al respecto, el Consejo de Estado señaló que:</w:t>
      </w:r>
    </w:p>
    <w:p w14:paraId="0C590D1A" w14:textId="77777777" w:rsidR="00AD4F6A" w:rsidRPr="00AD4F6A" w:rsidRDefault="00AD4F6A" w:rsidP="00AD4F6A">
      <w:pPr>
        <w:spacing w:after="0" w:line="276" w:lineRule="auto"/>
        <w:jc w:val="both"/>
        <w:rPr>
          <w:rFonts w:ascii="Verdana" w:eastAsia="Calibri" w:hAnsi="Verdana" w:cs="Arial"/>
          <w:bCs/>
          <w:color w:val="000000" w:themeColor="text1"/>
        </w:rPr>
      </w:pPr>
    </w:p>
    <w:p w14:paraId="4F585644" w14:textId="77777777" w:rsidR="00AD4F6A" w:rsidRPr="00AD4F6A" w:rsidRDefault="00AD4F6A" w:rsidP="00AD4F6A">
      <w:pPr>
        <w:spacing w:after="120" w:line="240" w:lineRule="auto"/>
        <w:ind w:left="709" w:right="709"/>
        <w:jc w:val="both"/>
        <w:rPr>
          <w:rFonts w:ascii="Verdana" w:hAnsi="Verdana" w:cs="Arial"/>
          <w:sz w:val="20"/>
          <w:szCs w:val="20"/>
          <w:lang w:val="es-ES"/>
        </w:rPr>
      </w:pPr>
      <w:r w:rsidRPr="00AD4F6A">
        <w:rPr>
          <w:rFonts w:ascii="Verdana" w:hAnsi="Verdana" w:cs="Arial"/>
          <w:sz w:val="20"/>
          <w:szCs w:val="20"/>
          <w:lang w:val="es-ES"/>
        </w:rPr>
        <w:t xml:space="preserve">“El fin perseguido por el Estado con el contrato es la prestación de un servicio a su cargo y, por su parte, el del cocontratante es concretar una aspiración económica, pero en manera alguna la utilidad de este último por su labor puede constituirse en fuente de enriquecimiento exagerado e injustificado y, por ende, producir un detrimento al patrimonio público, lo que ocurriría en los eventos en que a la celebración del contrato se pacte un precio sobredimensionado o por fuera de los precios reales del mercado sin justificación alguna, lo que no solo implica la vulneración de normas imperativas y de orden público, sino fundamentalmente desconoce el interés público que con el contrato se pretende realizar.  Por ello, se insiste que en los contratos que celebra la Administración debe existir certidumbre de las obras, servicios y bienes objeto </w:t>
      </w:r>
      <w:proofErr w:type="gramStart"/>
      <w:r w:rsidRPr="00AD4F6A">
        <w:rPr>
          <w:rFonts w:ascii="Verdana" w:hAnsi="Verdana" w:cs="Arial"/>
          <w:sz w:val="20"/>
          <w:szCs w:val="20"/>
          <w:lang w:val="es-ES"/>
        </w:rPr>
        <w:t>del mismo</w:t>
      </w:r>
      <w:proofErr w:type="gramEnd"/>
      <w:r w:rsidRPr="00AD4F6A">
        <w:rPr>
          <w:rFonts w:ascii="Verdana" w:hAnsi="Verdana" w:cs="Arial"/>
          <w:sz w:val="20"/>
          <w:szCs w:val="20"/>
          <w:lang w:val="es-ES"/>
        </w:rPr>
        <w:t xml:space="preserve"> y del precio que espera recibir el contratista como contraprestación.</w:t>
      </w:r>
    </w:p>
    <w:p w14:paraId="0AF254E9" w14:textId="77777777" w:rsidR="00AD4F6A" w:rsidRPr="00AD4F6A" w:rsidRDefault="00AD4F6A" w:rsidP="00AD4F6A">
      <w:pPr>
        <w:spacing w:after="0" w:line="240" w:lineRule="auto"/>
        <w:ind w:left="709" w:right="709"/>
        <w:jc w:val="both"/>
        <w:rPr>
          <w:rFonts w:ascii="Verdana" w:hAnsi="Verdana" w:cs="Arial"/>
          <w:sz w:val="20"/>
          <w:szCs w:val="20"/>
          <w:lang w:val="es-ES"/>
        </w:rPr>
      </w:pPr>
      <w:r w:rsidRPr="00AD4F6A">
        <w:rPr>
          <w:rFonts w:ascii="Verdana" w:hAnsi="Verdana" w:cs="Arial"/>
          <w:sz w:val="20"/>
          <w:szCs w:val="20"/>
          <w:lang w:val="es-ES"/>
        </w:rPr>
        <w:t xml:space="preserve">Es evidente que la contratación pública es una de las actuaciones administrativas de mayor relevancia económica, por la magnitud de los recursos invertidos a través de </w:t>
      </w:r>
      <w:proofErr w:type="gramStart"/>
      <w:r w:rsidRPr="00AD4F6A">
        <w:rPr>
          <w:rFonts w:ascii="Verdana" w:hAnsi="Verdana" w:cs="Arial"/>
          <w:sz w:val="20"/>
          <w:szCs w:val="20"/>
          <w:lang w:val="es-ES"/>
        </w:rPr>
        <w:t>la misma</w:t>
      </w:r>
      <w:proofErr w:type="gramEnd"/>
      <w:r w:rsidRPr="00AD4F6A">
        <w:rPr>
          <w:rFonts w:ascii="Verdana" w:hAnsi="Verdana" w:cs="Arial"/>
          <w:sz w:val="20"/>
          <w:szCs w:val="20"/>
          <w:lang w:val="es-ES"/>
        </w:rPr>
        <w:t xml:space="preserve">, de manera que el abuso de figuras como los sobrecostos o </w:t>
      </w:r>
      <w:proofErr w:type="gramStart"/>
      <w:r w:rsidRPr="00AD4F6A">
        <w:rPr>
          <w:rFonts w:ascii="Verdana" w:hAnsi="Verdana" w:cs="Arial"/>
          <w:sz w:val="20"/>
          <w:szCs w:val="20"/>
          <w:lang w:val="es-ES"/>
        </w:rPr>
        <w:t>sobreprecios,</w:t>
      </w:r>
      <w:proofErr w:type="gramEnd"/>
      <w:r w:rsidRPr="00AD4F6A">
        <w:rPr>
          <w:rFonts w:ascii="Verdana" w:hAnsi="Verdana" w:cs="Arial"/>
          <w:sz w:val="20"/>
          <w:szCs w:val="20"/>
          <w:lang w:val="es-ES"/>
        </w:rPr>
        <w:t xml:space="preserve"> aumenta los costos de inversión en detrimento del erario”</w:t>
      </w:r>
      <w:r w:rsidRPr="00AD4F6A">
        <w:rPr>
          <w:rFonts w:ascii="Verdana" w:hAnsi="Verdana" w:cs="Arial"/>
          <w:sz w:val="20"/>
          <w:szCs w:val="20"/>
          <w:vertAlign w:val="superscript"/>
          <w:lang w:val="es-ES"/>
        </w:rPr>
        <w:footnoteReference w:id="10"/>
      </w:r>
      <w:r w:rsidRPr="00AD4F6A">
        <w:rPr>
          <w:rFonts w:ascii="Verdana" w:hAnsi="Verdana" w:cs="Arial"/>
          <w:sz w:val="20"/>
          <w:szCs w:val="20"/>
          <w:lang w:val="es-ES"/>
        </w:rPr>
        <w:t>.</w:t>
      </w:r>
    </w:p>
    <w:p w14:paraId="0DB018D5" w14:textId="77777777" w:rsidR="00AD4F6A" w:rsidRPr="00AD4F6A" w:rsidRDefault="00AD4F6A" w:rsidP="00AD4F6A">
      <w:pPr>
        <w:spacing w:after="0" w:line="276" w:lineRule="auto"/>
        <w:jc w:val="both"/>
        <w:rPr>
          <w:rFonts w:ascii="Verdana" w:hAnsi="Verdana" w:cs="Arial"/>
          <w:lang w:val="es-ES"/>
        </w:rPr>
      </w:pPr>
    </w:p>
    <w:p w14:paraId="37B560F9" w14:textId="77777777" w:rsidR="00AD4F6A" w:rsidRPr="00AD4F6A" w:rsidRDefault="00AD4F6A" w:rsidP="00AD4F6A">
      <w:pPr>
        <w:spacing w:after="120" w:line="276" w:lineRule="auto"/>
        <w:jc w:val="both"/>
        <w:rPr>
          <w:rFonts w:ascii="Verdana" w:hAnsi="Verdana" w:cs="Arial"/>
        </w:rPr>
      </w:pPr>
      <w:r w:rsidRPr="00AD4F6A">
        <w:rPr>
          <w:rFonts w:ascii="Verdana" w:hAnsi="Verdana" w:cs="Arial"/>
          <w:lang w:val="es-ES"/>
        </w:rPr>
        <w:tab/>
      </w:r>
      <w:r w:rsidRPr="00AD4F6A">
        <w:rPr>
          <w:rFonts w:ascii="Verdana" w:hAnsi="Verdana" w:cs="Arial"/>
        </w:rPr>
        <w:t>Este sobredimensionamiento de los precios puede ser producto, entre otras causas, de la pretermisión de los estudios de mercado o de una estimación de precios errónea por alejamiento de la realidad, los cuales conducen a la recepción y facturación de obras, bienes y servicios por encima de su valor real. Por ello, “[…] con el fin de detectar mayores valores reprochables y pactados al momento de celebrar el contrato se debe acudir primeramente a una comparación con aquel precio que arroje el mercado y en caso de que lo supere verificar las razones que justifican o explican en forma sensata y razonada esa circunstancia, teniendo en cuenta todas las variables que en él inciden […]”</w:t>
      </w:r>
      <w:r w:rsidRPr="00AD4F6A">
        <w:rPr>
          <w:rFonts w:ascii="Verdana" w:hAnsi="Verdana" w:cs="Arial"/>
          <w:vertAlign w:val="superscript"/>
        </w:rPr>
        <w:footnoteReference w:id="11"/>
      </w:r>
      <w:r w:rsidRPr="00AD4F6A">
        <w:rPr>
          <w:rFonts w:ascii="Verdana" w:hAnsi="Verdana" w:cs="Arial"/>
        </w:rPr>
        <w:t xml:space="preserve">. Lo anterior muestra la necesidad de realizar adecuadamente el análisis de sector en la fase de planeación del contrato, tal y como se explicó en párrafos precedentes. </w:t>
      </w:r>
    </w:p>
    <w:p w14:paraId="4455EFC6" w14:textId="77777777" w:rsidR="00AD4F6A" w:rsidRPr="00AD4F6A" w:rsidRDefault="00AD4F6A" w:rsidP="00AD4F6A">
      <w:pPr>
        <w:spacing w:after="120" w:line="276" w:lineRule="auto"/>
        <w:ind w:firstLine="709"/>
        <w:jc w:val="both"/>
        <w:rPr>
          <w:rFonts w:ascii="Verdana" w:hAnsi="Verdana" w:cs="Arial"/>
        </w:rPr>
      </w:pPr>
      <w:r w:rsidRPr="00AD4F6A">
        <w:rPr>
          <w:rFonts w:ascii="Verdana" w:hAnsi="Verdana" w:cs="Arial"/>
        </w:rPr>
        <w:t>Así las cosas, resulta evidente que la omisión o deficiencia en los estudios de mercado y en el análisis del sector durante la fase de planeación contractual se traduce en un riesgo significativo de incurrir en sobrecostos. En tal sentido, independientemente del mecanismo que utilice la entidad estatal para la estructuración del presupuesto oficial y la estimación de los precios unitarios —ya sea mediante precios de referencia, revisión de precios históricos, bases de datos sectoriales u otros insumos válidos en el marco de su autonomía—, persiste el deber de garantizar que dichos valores reflejen las condiciones reales y actuales del mercado, que permita mitigar el riesgo de sobrecostos y sustente razonablemente los valores incluidos en el presupuesto oficial.</w:t>
      </w:r>
    </w:p>
    <w:p w14:paraId="2FDC4510" w14:textId="77777777" w:rsidR="00AD4F6A" w:rsidRPr="00AD4F6A" w:rsidRDefault="00AD4F6A" w:rsidP="00AD4F6A">
      <w:pPr>
        <w:spacing w:after="120" w:line="276" w:lineRule="auto"/>
        <w:ind w:firstLine="708"/>
        <w:jc w:val="both"/>
        <w:rPr>
          <w:rFonts w:ascii="Verdana" w:eastAsia="Calibri" w:hAnsi="Verdana" w:cs="Arial"/>
          <w:bCs/>
          <w:lang w:val="es-ES_tradnl"/>
        </w:rPr>
      </w:pPr>
      <w:r w:rsidRPr="00AD4F6A">
        <w:rPr>
          <w:rFonts w:ascii="Verdana" w:eastAsia="Calibri" w:hAnsi="Verdana" w:cs="Times New Roman"/>
          <w:lang w:val="es-ES"/>
        </w:rPr>
        <w:t>Finalmente, debe destacarse que la Agencia Nacional de Contratación Pública –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sidRPr="00AD4F6A">
        <w:rPr>
          <w:rFonts w:ascii="Verdana" w:hAnsi="Verdana"/>
        </w:rPr>
        <w:t xml:space="preserve">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bookmarkEnd w:id="12"/>
    <w:p w14:paraId="30525141" w14:textId="77777777" w:rsidR="00AD4F6A" w:rsidRPr="00AD4F6A" w:rsidRDefault="00AD4F6A" w:rsidP="00AD4F6A">
      <w:pPr>
        <w:widowControl w:val="0"/>
        <w:autoSpaceDE w:val="0"/>
        <w:autoSpaceDN w:val="0"/>
        <w:spacing w:after="0" w:line="276" w:lineRule="auto"/>
        <w:jc w:val="both"/>
        <w:rPr>
          <w:rFonts w:ascii="Verdana" w:eastAsia="Arial" w:hAnsi="Verdana" w:cs="Arial"/>
          <w:lang w:val="es-ES"/>
        </w:rPr>
      </w:pPr>
    </w:p>
    <w:p w14:paraId="6103E74E" w14:textId="77777777" w:rsidR="00AD4F6A" w:rsidRPr="00AD4F6A" w:rsidRDefault="00AD4F6A" w:rsidP="00AD4F6A">
      <w:pPr>
        <w:numPr>
          <w:ilvl w:val="0"/>
          <w:numId w:val="1"/>
        </w:numPr>
        <w:tabs>
          <w:tab w:val="left" w:pos="142"/>
          <w:tab w:val="left" w:pos="284"/>
        </w:tabs>
        <w:spacing w:after="0" w:line="276" w:lineRule="auto"/>
        <w:jc w:val="both"/>
        <w:rPr>
          <w:rFonts w:ascii="Verdana" w:eastAsia="Century Gothic" w:hAnsi="Verdana" w:cs="Century Gothic"/>
          <w:b/>
          <w:bCs/>
        </w:rPr>
      </w:pPr>
      <w:r w:rsidRPr="00AD4F6A">
        <w:rPr>
          <w:rFonts w:ascii="Verdana" w:eastAsia="Century Gothic" w:hAnsi="Verdana" w:cs="Century Gothic"/>
          <w:b/>
          <w:bCs/>
        </w:rPr>
        <w:t>Referencias normativas y jurisprudenciales:</w:t>
      </w:r>
    </w:p>
    <w:p w14:paraId="6DCD7A1E" w14:textId="77777777" w:rsidR="00AD4F6A" w:rsidRPr="00AD4F6A" w:rsidRDefault="00AD4F6A" w:rsidP="00AD4F6A">
      <w:pPr>
        <w:widowControl w:val="0"/>
        <w:autoSpaceDE w:val="0"/>
        <w:autoSpaceDN w:val="0"/>
        <w:spacing w:after="0" w:line="276" w:lineRule="auto"/>
        <w:jc w:val="both"/>
        <w:rPr>
          <w:rFonts w:ascii="Verdana" w:hAnsi="Verdana" w:cs="Arial"/>
        </w:rPr>
      </w:pPr>
    </w:p>
    <w:tbl>
      <w:tblPr>
        <w:tblStyle w:val="TableGrid"/>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D4F6A" w:rsidRPr="00AD4F6A" w14:paraId="1DBEC6A9" w14:textId="77777777" w:rsidTr="003570CD">
        <w:trPr>
          <w:trHeight w:val="410"/>
          <w:jc w:val="center"/>
        </w:trPr>
        <w:tc>
          <w:tcPr>
            <w:tcW w:w="8647" w:type="dxa"/>
          </w:tcPr>
          <w:p w14:paraId="7ED2C87B" w14:textId="77777777" w:rsidR="00AD4F6A" w:rsidRPr="00AD4F6A" w:rsidRDefault="00AD4F6A" w:rsidP="00AD4F6A">
            <w:pPr>
              <w:numPr>
                <w:ilvl w:val="0"/>
                <w:numId w:val="3"/>
              </w:numPr>
              <w:ind w:left="318" w:hanging="284"/>
              <w:contextualSpacing/>
              <w:jc w:val="both"/>
              <w:rPr>
                <w:rFonts w:ascii="Verdana" w:hAnsi="Verdana" w:cs="Arial"/>
                <w:lang w:val="es-MX"/>
              </w:rPr>
            </w:pPr>
            <w:r w:rsidRPr="00AD4F6A">
              <w:rPr>
                <w:rFonts w:ascii="Verdana" w:hAnsi="Verdana" w:cs="Arial"/>
                <w:lang w:val="es-MX"/>
              </w:rPr>
              <w:t xml:space="preserve">Ley 80 de 1993. Artículo 25 </w:t>
            </w:r>
          </w:p>
          <w:p w14:paraId="776212FD" w14:textId="77777777" w:rsidR="00AD4F6A" w:rsidRPr="00AD4F6A" w:rsidRDefault="00AD4F6A" w:rsidP="00AD4F6A">
            <w:pPr>
              <w:numPr>
                <w:ilvl w:val="0"/>
                <w:numId w:val="3"/>
              </w:numPr>
              <w:ind w:left="318" w:hanging="284"/>
              <w:contextualSpacing/>
              <w:jc w:val="both"/>
              <w:rPr>
                <w:rFonts w:ascii="Verdana" w:hAnsi="Verdana" w:cs="Arial"/>
                <w:lang w:val="es-MX"/>
              </w:rPr>
            </w:pPr>
            <w:r w:rsidRPr="00AD4F6A">
              <w:rPr>
                <w:rFonts w:ascii="Verdana" w:hAnsi="Verdana"/>
              </w:rPr>
              <w:t>Ley 610 de 2000. Artículo 6</w:t>
            </w:r>
          </w:p>
          <w:p w14:paraId="087F5AF1" w14:textId="77777777" w:rsidR="00AD4F6A" w:rsidRPr="00AD4F6A" w:rsidRDefault="00AD4F6A" w:rsidP="00AD4F6A">
            <w:pPr>
              <w:numPr>
                <w:ilvl w:val="0"/>
                <w:numId w:val="3"/>
              </w:numPr>
              <w:ind w:left="318" w:hanging="284"/>
              <w:contextualSpacing/>
              <w:jc w:val="both"/>
              <w:rPr>
                <w:rFonts w:ascii="Verdana" w:hAnsi="Verdana" w:cs="Arial"/>
                <w:lang w:val="es-MX"/>
              </w:rPr>
            </w:pPr>
            <w:r w:rsidRPr="00AD4F6A">
              <w:rPr>
                <w:rFonts w:ascii="Verdana" w:hAnsi="Verdana" w:cs="Arial"/>
                <w:lang w:val="es-MX"/>
              </w:rPr>
              <w:t>Decreto 1082 de 2015. Artículos 2.2.1.1.2.1.1. y 2.2.1.1.1.6.1.</w:t>
            </w:r>
          </w:p>
          <w:p w14:paraId="18D079BD" w14:textId="77777777" w:rsidR="00AD4F6A" w:rsidRPr="00AD4F6A" w:rsidRDefault="00AD4F6A" w:rsidP="00AD4F6A">
            <w:pPr>
              <w:numPr>
                <w:ilvl w:val="0"/>
                <w:numId w:val="3"/>
              </w:numPr>
              <w:ind w:left="318" w:hanging="284"/>
              <w:contextualSpacing/>
              <w:jc w:val="both"/>
              <w:rPr>
                <w:rFonts w:ascii="Verdana" w:hAnsi="Verdana" w:cs="Arial"/>
                <w:lang w:val="es-MX"/>
              </w:rPr>
            </w:pPr>
            <w:r w:rsidRPr="00AD4F6A">
              <w:rPr>
                <w:rFonts w:ascii="Verdana" w:hAnsi="Verdana" w:cs="Arial"/>
                <w:lang w:val="es-MX"/>
              </w:rPr>
              <w:t xml:space="preserve">Consejo de Estado. Sección Tercera. Subsección B. Sentencia del 31 de agosto de 2011. </w:t>
            </w:r>
            <w:proofErr w:type="spellStart"/>
            <w:r w:rsidRPr="00AD4F6A">
              <w:rPr>
                <w:rFonts w:ascii="Verdana" w:hAnsi="Verdana" w:cs="Arial"/>
                <w:lang w:val="es-MX"/>
              </w:rPr>
              <w:t>Exp</w:t>
            </w:r>
            <w:proofErr w:type="spellEnd"/>
            <w:r w:rsidRPr="00AD4F6A">
              <w:rPr>
                <w:rFonts w:ascii="Verdana" w:hAnsi="Verdana" w:cs="Arial"/>
                <w:lang w:val="es-MX"/>
              </w:rPr>
              <w:t>. 18.080.</w:t>
            </w:r>
          </w:p>
          <w:p w14:paraId="10DB0541" w14:textId="77777777" w:rsidR="00AD4F6A" w:rsidRPr="00AD4F6A" w:rsidRDefault="00AD4F6A" w:rsidP="00AD4F6A">
            <w:pPr>
              <w:numPr>
                <w:ilvl w:val="0"/>
                <w:numId w:val="3"/>
              </w:numPr>
              <w:ind w:left="318" w:hanging="284"/>
              <w:contextualSpacing/>
              <w:jc w:val="both"/>
              <w:rPr>
                <w:rFonts w:ascii="Verdana" w:hAnsi="Verdana" w:cs="Arial"/>
                <w:lang w:val="es-MX"/>
              </w:rPr>
            </w:pPr>
            <w:r w:rsidRPr="00AD4F6A">
              <w:rPr>
                <w:rFonts w:ascii="Verdana" w:hAnsi="Verdana" w:cs="Arial"/>
                <w:lang w:val="es-MX"/>
              </w:rPr>
              <w:t>Consejo de Estado. Sección Tercera. Subsección B. Sentencia del 27 de abril de 2011. Rad. 18293. C.P. Ruth Stella Correa Palacio.</w:t>
            </w:r>
          </w:p>
          <w:p w14:paraId="3D654DEE" w14:textId="77777777" w:rsidR="00AD4F6A" w:rsidRPr="00AD4F6A" w:rsidRDefault="00AD4F6A" w:rsidP="00AD4F6A">
            <w:pPr>
              <w:numPr>
                <w:ilvl w:val="0"/>
                <w:numId w:val="3"/>
              </w:numPr>
              <w:ind w:left="318" w:hanging="284"/>
              <w:contextualSpacing/>
              <w:jc w:val="both"/>
              <w:rPr>
                <w:rFonts w:ascii="Verdana" w:hAnsi="Verdana" w:cs="Arial"/>
                <w:lang w:val="es-MX"/>
              </w:rPr>
            </w:pPr>
            <w:r w:rsidRPr="00AD4F6A">
              <w:rPr>
                <w:rFonts w:ascii="Verdana" w:hAnsi="Verdana" w:cs="Arial"/>
                <w:lang w:val="es-MX"/>
              </w:rPr>
              <w:t>Guía de Elaboración de Estudios de Sector:</w:t>
            </w:r>
          </w:p>
          <w:p w14:paraId="726B6997" w14:textId="77777777" w:rsidR="00AD4F6A" w:rsidRPr="00AD4F6A" w:rsidRDefault="00AD4F6A" w:rsidP="00AD4F6A">
            <w:pPr>
              <w:numPr>
                <w:ilvl w:val="0"/>
                <w:numId w:val="3"/>
              </w:numPr>
              <w:ind w:left="318" w:hanging="284"/>
              <w:contextualSpacing/>
              <w:jc w:val="both"/>
              <w:rPr>
                <w:rFonts w:ascii="Verdana" w:hAnsi="Verdana" w:cs="Arial"/>
                <w:lang w:val="es-MX"/>
              </w:rPr>
            </w:pPr>
            <w:hyperlink r:id="rId13" w:history="1">
              <w:r w:rsidRPr="00AD4F6A">
                <w:rPr>
                  <w:rFonts w:ascii="Verdana" w:hAnsi="Verdana" w:cs="Arial"/>
                  <w:color w:val="0563C1" w:themeColor="hyperlink"/>
                  <w:u w:val="single"/>
                  <w:lang w:val="es-MX"/>
                </w:rPr>
                <w:t>https://www.colombiacompra.gov.co/sites/cce_public/files/cce_documentos/cce-eicp-gi-18._gees_v.2_2.pdf</w:t>
              </w:r>
            </w:hyperlink>
            <w:r w:rsidRPr="00AD4F6A">
              <w:rPr>
                <w:rFonts w:ascii="Verdana" w:hAnsi="Verdana" w:cs="Arial"/>
                <w:lang w:val="es-MX"/>
              </w:rPr>
              <w:t xml:space="preserve"> </w:t>
            </w:r>
          </w:p>
        </w:tc>
      </w:tr>
    </w:tbl>
    <w:p w14:paraId="3AD7FE29" w14:textId="77777777" w:rsidR="00AD4F6A" w:rsidRPr="00AD4F6A" w:rsidRDefault="00AD4F6A" w:rsidP="00AD4F6A">
      <w:pPr>
        <w:widowControl w:val="0"/>
        <w:autoSpaceDE w:val="0"/>
        <w:autoSpaceDN w:val="0"/>
        <w:spacing w:after="0" w:line="276" w:lineRule="auto"/>
        <w:jc w:val="both"/>
        <w:rPr>
          <w:rFonts w:ascii="Verdana" w:hAnsi="Verdana" w:cs="Arial"/>
        </w:rPr>
      </w:pPr>
    </w:p>
    <w:p w14:paraId="0B3E50A7" w14:textId="77777777" w:rsidR="00AD4F6A" w:rsidRPr="00AD4F6A" w:rsidRDefault="00AD4F6A" w:rsidP="00AD4F6A">
      <w:pPr>
        <w:numPr>
          <w:ilvl w:val="0"/>
          <w:numId w:val="1"/>
        </w:numPr>
        <w:tabs>
          <w:tab w:val="left" w:pos="142"/>
          <w:tab w:val="left" w:pos="284"/>
        </w:tabs>
        <w:spacing w:after="0" w:line="276" w:lineRule="auto"/>
        <w:jc w:val="both"/>
        <w:rPr>
          <w:rFonts w:ascii="Verdana" w:eastAsia="Century Gothic" w:hAnsi="Verdana" w:cs="Century Gothic"/>
          <w:b/>
          <w:bCs/>
        </w:rPr>
      </w:pPr>
      <w:r w:rsidRPr="00AD4F6A">
        <w:rPr>
          <w:rFonts w:ascii="Verdana" w:eastAsia="Century Gothic" w:hAnsi="Verdana" w:cs="Century Gothic"/>
          <w:b/>
          <w:bCs/>
        </w:rPr>
        <w:t>Doctrina de la Agencia Nacional de Contratación Pública:</w:t>
      </w:r>
    </w:p>
    <w:p w14:paraId="70A8BD67" w14:textId="77777777" w:rsidR="00AD4F6A" w:rsidRPr="00AD4F6A" w:rsidRDefault="00AD4F6A" w:rsidP="00AD4F6A">
      <w:pPr>
        <w:widowControl w:val="0"/>
        <w:autoSpaceDE w:val="0"/>
        <w:autoSpaceDN w:val="0"/>
        <w:spacing w:after="0" w:line="276" w:lineRule="auto"/>
        <w:jc w:val="both"/>
        <w:rPr>
          <w:rFonts w:ascii="Verdana" w:hAnsi="Verdana" w:cs="Arial"/>
        </w:rPr>
      </w:pPr>
    </w:p>
    <w:p w14:paraId="1477151A" w14:textId="77777777" w:rsidR="00AD4F6A" w:rsidRPr="00AD4F6A" w:rsidRDefault="00AD4F6A" w:rsidP="00AD4F6A">
      <w:pPr>
        <w:widowControl w:val="0"/>
        <w:autoSpaceDE w:val="0"/>
        <w:autoSpaceDN w:val="0"/>
        <w:spacing w:after="120" w:line="276" w:lineRule="auto"/>
        <w:jc w:val="both"/>
        <w:rPr>
          <w:rFonts w:ascii="Verdana" w:eastAsia="Calibri" w:hAnsi="Verdana" w:cs="Arial"/>
          <w:color w:val="000000" w:themeColor="text1"/>
          <w:lang w:val="es-ES_tradnl" w:eastAsia="es-ES_tradnl"/>
        </w:rPr>
      </w:pPr>
      <w:r w:rsidRPr="00AD4F6A">
        <w:rPr>
          <w:rFonts w:ascii="Verdana" w:eastAsia="Aptos" w:hAnsi="Verdana" w:cs="Arial"/>
          <w:shd w:val="clear" w:color="auto" w:fill="FFFFFF"/>
          <w:lang w:val="es-ES"/>
        </w:rPr>
        <w:t>Sobre el deber de elaborar análisis del sector frente a procesos de contratación, se pronunció esta Subdirección en los conceptos 2202013000000037 del 7 de enero de 2020, C-223 del 29 de abril de 2020 y C-148 de 2021. Igualmente, se reiteran los Conceptos C-387 del 23 de junio de 2020, C-415 del 7 de julio de 2020, C-443 del 7 de julio de 2020, C-387 del 23 de junio de 2020, C-223 del 29 de abril de 2020, C-671 de 2020 de 23 de noviembre de 2020, C-215 del 12 de mayo de 2021, C-742 del 27 de diciembre de 2021, C-519 del 13 de septiembre de 2022, C-716 del 15 de noviembre de 2022, C-680 del 19 de septiembre de 2022, C-856 del 13 de diciembre de 2022, C-235 del 5 de julio de 2023, C-124 del 24 de julio de 2024, C-168 del 25 de julio 2024, C-258 del 12 de agosto de 2024, C-255 del 14 de agosto de 2024, C-297 del 11 de septiembre de 2024 C-101 del 5 de marzo de 2025, C-101 del 5 de marzo de 2025, C-154 del 18 de marzo de 2025, entre otros</w:t>
      </w:r>
      <w:r w:rsidRPr="00AD4F6A">
        <w:rPr>
          <w:rFonts w:ascii="Verdana" w:eastAsia="Calibri" w:hAnsi="Verdana" w:cs="Arial"/>
          <w:color w:val="000000" w:themeColor="text1"/>
          <w:lang w:val="es-ES_tradnl" w:eastAsia="es-ES_tradnl"/>
        </w:rPr>
        <w:t xml:space="preserve">. </w:t>
      </w:r>
      <w:r w:rsidRPr="00AD4F6A">
        <w:rPr>
          <w:rFonts w:ascii="Verdana" w:hAnsi="Verdana" w:cs="Arial"/>
          <w:shd w:val="clear" w:color="auto" w:fill="FFFFFF"/>
        </w:rPr>
        <w:t>Es</w:t>
      </w:r>
      <w:r w:rsidRPr="00AD4F6A">
        <w:rPr>
          <w:rFonts w:ascii="Verdana" w:hAnsi="Verdana"/>
        </w:rPr>
        <w:t>tos conceptos se encuentran disponibles para consulta en el Sistema de relatoría de la Agencia, al cual se puede acceder a través del siguiente enlace:</w:t>
      </w:r>
      <w:r w:rsidRPr="00AD4F6A">
        <w:rPr>
          <w:rFonts w:ascii="Verdana" w:hAnsi="Verdana" w:cs="Arial"/>
          <w:shd w:val="clear" w:color="auto" w:fill="FFFFFF"/>
        </w:rPr>
        <w:t xml:space="preserve"> </w:t>
      </w:r>
      <w:hyperlink r:id="rId14" w:history="1">
        <w:r w:rsidRPr="00AD4F6A">
          <w:rPr>
            <w:rFonts w:ascii="Verdana" w:hAnsi="Verdana" w:cs="Arial"/>
            <w:color w:val="0563C1" w:themeColor="hyperlink"/>
            <w:u w:val="single"/>
            <w:shd w:val="clear" w:color="auto" w:fill="FFFFFF"/>
          </w:rPr>
          <w:t>https://relatoria.colombiacompra.gov.co/busqueda/conceptos</w:t>
        </w:r>
      </w:hyperlink>
      <w:r w:rsidRPr="00AD4F6A">
        <w:rPr>
          <w:rFonts w:ascii="Verdana" w:hAnsi="Verdana" w:cs="Arial"/>
          <w:shd w:val="clear" w:color="auto" w:fill="FFFFFF"/>
        </w:rPr>
        <w:t>.</w:t>
      </w:r>
      <w:r w:rsidRPr="00AD4F6A">
        <w:rPr>
          <w:rFonts w:ascii="Verdana" w:hAnsi="Verdana" w:cs="Arial"/>
          <w:color w:val="FF0000"/>
          <w:shd w:val="clear" w:color="auto" w:fill="FFFFFF"/>
        </w:rPr>
        <w:t xml:space="preserve"> </w:t>
      </w:r>
      <w:r w:rsidRPr="00AD4F6A">
        <w:rPr>
          <w:rFonts w:ascii="Verdana" w:hAnsi="Verdana" w:cs="Arial"/>
          <w:color w:val="000000" w:themeColor="text1"/>
          <w:shd w:val="clear" w:color="auto" w:fill="FFFFFF"/>
        </w:rPr>
        <w:t>  </w:t>
      </w:r>
    </w:p>
    <w:p w14:paraId="37714383" w14:textId="77777777" w:rsidR="00AD4F6A" w:rsidRPr="00AD4F6A" w:rsidRDefault="00AD4F6A" w:rsidP="00AD4F6A">
      <w:pPr>
        <w:shd w:val="clear" w:color="auto" w:fill="FFFFFF"/>
        <w:spacing w:after="120" w:line="276" w:lineRule="auto"/>
        <w:jc w:val="both"/>
        <w:textAlignment w:val="baseline"/>
        <w:rPr>
          <w:rFonts w:ascii="Verdana" w:eastAsia="Times New Roman" w:hAnsi="Verdana" w:cs="Times New Roman"/>
          <w:color w:val="242424"/>
          <w:lang w:eastAsia="es-CO"/>
        </w:rPr>
      </w:pPr>
      <w:r w:rsidRPr="00AD4F6A">
        <w:rPr>
          <w:rFonts w:ascii="Verdana" w:eastAsia="Times New Roman" w:hAnsi="Verdana" w:cs="Times New Roman"/>
          <w:color w:val="000000"/>
          <w:bdr w:val="none" w:sz="0" w:space="0" w:color="auto" w:frame="1"/>
          <w:lang w:eastAsia="es-CO"/>
        </w:rPr>
        <w:t>También le contamos que ya se encuentra disponible la </w:t>
      </w:r>
      <w:r w:rsidRPr="00AD4F6A">
        <w:rPr>
          <w:rFonts w:ascii="Verdana" w:eastAsia="Times New Roman" w:hAnsi="Verdana" w:cs="Times New Roman"/>
          <w:b/>
          <w:bCs/>
          <w:color w:val="000000"/>
          <w:bdr w:val="none" w:sz="0" w:space="0" w:color="auto" w:frame="1"/>
          <w:lang w:eastAsia="es-CO"/>
        </w:rPr>
        <w:t>Guía de lineamientos de transparencia y selección objetiva para el departamento de La Guajira – Objetivo sexto constitucional de la Sentencia T-302 del 2017. </w:t>
      </w:r>
      <w:r w:rsidRPr="00AD4F6A">
        <w:rPr>
          <w:rFonts w:ascii="Verdana" w:eastAsia="Times New Roman" w:hAnsi="Verdana" w:cs="Times New Roman"/>
          <w:color w:val="000000"/>
          <w:bdr w:val="none" w:sz="0" w:space="0" w:color="auto" w:frame="1"/>
          <w:lang w:eastAsia="es-CO"/>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AD4F6A">
        <w:rPr>
          <w:rFonts w:ascii="Verdana" w:eastAsia="Times New Roman" w:hAnsi="Verdana" w:cs="Times New Roman"/>
          <w:color w:val="000000"/>
          <w:bdr w:val="none" w:sz="0" w:space="0" w:color="auto" w:frame="1"/>
          <w:lang w:eastAsia="es-CO"/>
        </w:rPr>
        <w:t>Wayúu</w:t>
      </w:r>
      <w:proofErr w:type="spellEnd"/>
      <w:r w:rsidRPr="00AD4F6A">
        <w:rPr>
          <w:rFonts w:ascii="Verdana" w:eastAsia="Times New Roman" w:hAnsi="Verdana" w:cs="Times New Roman"/>
          <w:color w:val="000000"/>
          <w:bdr w:val="none" w:sz="0" w:space="0" w:color="auto" w:frame="1"/>
          <w:lang w:eastAsia="es-CO"/>
        </w:rPr>
        <w:t>. Puede consultar la guía en el siguiente enlace: </w:t>
      </w:r>
      <w:hyperlink r:id="rId15" w:tgtFrame="_blank" w:tooltip="Dirección URL original: https://www.colombiacompra.gov.co/wp-content/uploads/2025/05/GUIA-DE-LINEAMIENTOS-DE-TRANSPARENCIA-Y-SELECCION-OBJETIVA-1.0.pdf. Haga clic o pulse si confía en este vínculo." w:history="1">
        <w:r w:rsidRPr="00AD4F6A">
          <w:rPr>
            <w:rFonts w:ascii="Verdana" w:eastAsia="Times New Roman" w:hAnsi="Verdana" w:cs="Times New Roman"/>
            <w:color w:val="467886"/>
            <w:u w:val="single"/>
            <w:bdr w:val="none" w:sz="0" w:space="0" w:color="auto" w:frame="1"/>
            <w:lang w:eastAsia="es-CO"/>
          </w:rPr>
          <w:t>Guía de lineamientos de transparencia y selección objetiva para el departamento de La Guajira – Objetivo sexto constitucional de la Sentencia T-302 del 2017</w:t>
        </w:r>
      </w:hyperlink>
      <w:r w:rsidRPr="00AD4F6A">
        <w:rPr>
          <w:rFonts w:ascii="Verdana" w:eastAsia="Times New Roman" w:hAnsi="Verdana" w:cs="Times New Roman"/>
          <w:color w:val="467886"/>
          <w:u w:val="single"/>
          <w:bdr w:val="none" w:sz="0" w:space="0" w:color="auto" w:frame="1"/>
          <w:lang w:eastAsia="es-CO"/>
        </w:rPr>
        <w:t>"</w:t>
      </w:r>
    </w:p>
    <w:p w14:paraId="0F37D3DB" w14:textId="77777777" w:rsidR="00AD4F6A" w:rsidRPr="00AD4F6A" w:rsidRDefault="00AD4F6A" w:rsidP="00AD4F6A">
      <w:pPr>
        <w:widowControl w:val="0"/>
        <w:autoSpaceDE w:val="0"/>
        <w:autoSpaceDN w:val="0"/>
        <w:spacing w:after="0" w:line="276" w:lineRule="auto"/>
        <w:jc w:val="both"/>
        <w:rPr>
          <w:rFonts w:ascii="Verdana" w:hAnsi="Verdana" w:cs="Arial"/>
        </w:rPr>
      </w:pPr>
      <w:r w:rsidRPr="00AD4F6A">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BC7352C" w14:textId="77777777" w:rsidR="00AD4F6A" w:rsidRPr="00AD4F6A" w:rsidRDefault="00AD4F6A" w:rsidP="00AD4F6A">
      <w:pPr>
        <w:widowControl w:val="0"/>
        <w:autoSpaceDE w:val="0"/>
        <w:autoSpaceDN w:val="0"/>
        <w:spacing w:after="0" w:line="276" w:lineRule="auto"/>
        <w:jc w:val="both"/>
        <w:rPr>
          <w:rFonts w:ascii="Verdana" w:hAnsi="Verdana" w:cs="Arial"/>
        </w:rPr>
      </w:pPr>
    </w:p>
    <w:p w14:paraId="544FD72A" w14:textId="77777777" w:rsidR="00AD4F6A" w:rsidRPr="00AD4F6A" w:rsidRDefault="00AD4F6A" w:rsidP="00AD4F6A">
      <w:pPr>
        <w:spacing w:after="0" w:line="276" w:lineRule="auto"/>
        <w:rPr>
          <w:rFonts w:ascii="Verdana" w:hAnsi="Verdana" w:cs="Arial"/>
          <w:lang w:eastAsia="es-CO"/>
        </w:rPr>
      </w:pPr>
      <w:r w:rsidRPr="00AD4F6A">
        <w:rPr>
          <w:rFonts w:ascii="Verdana" w:eastAsia="Times New Roman" w:hAnsi="Verdana" w:cs="Arial"/>
          <w:lang w:eastAsia="es-CO"/>
        </w:rPr>
        <w:t>Atentamente,</w:t>
      </w:r>
      <w:r w:rsidRPr="00AD4F6A">
        <w:rPr>
          <w:rFonts w:ascii="Verdana" w:hAnsi="Verdana" w:cs="Arial"/>
          <w:lang w:eastAsia="es-CO"/>
        </w:rPr>
        <w:t xml:space="preserve"> </w:t>
      </w:r>
    </w:p>
    <w:p w14:paraId="15FE3B9B" w14:textId="548C2B31" w:rsidR="00AD4F6A" w:rsidRPr="00AD4F6A" w:rsidRDefault="00A4661D" w:rsidP="00AD4F6A">
      <w:pPr>
        <w:spacing w:line="276" w:lineRule="auto"/>
        <w:jc w:val="center"/>
        <w:rPr>
          <w:rFonts w:ascii="Verdana" w:hAnsi="Verdana" w:cs="Arial"/>
          <w:color w:val="000000"/>
          <w:lang w:eastAsia="es-CO"/>
        </w:rPr>
      </w:pPr>
      <w:r w:rsidRPr="002C3AD6">
        <w:rPr>
          <w:rFonts w:ascii="Century Gothic" w:hAnsi="Century Gothic"/>
          <w:noProof/>
        </w:rPr>
        <w:drawing>
          <wp:inline distT="0" distB="0" distL="0" distR="0" wp14:anchorId="2061E9F8" wp14:editId="67598989">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D4F6A" w:rsidRPr="00AD4F6A" w14:paraId="3A9E37F8" w14:textId="77777777" w:rsidTr="003570CD">
        <w:trPr>
          <w:trHeight w:val="315"/>
        </w:trPr>
        <w:tc>
          <w:tcPr>
            <w:tcW w:w="893" w:type="dxa"/>
            <w:vAlign w:val="center"/>
            <w:hideMark/>
          </w:tcPr>
          <w:p w14:paraId="55415883" w14:textId="77777777" w:rsidR="00AD4F6A" w:rsidRPr="00AD4F6A" w:rsidRDefault="00AD4F6A" w:rsidP="00AD4F6A">
            <w:pPr>
              <w:contextualSpacing/>
              <w:rPr>
                <w:rFonts w:ascii="Verdana" w:hAnsi="Verdana" w:cs="Arial"/>
                <w:sz w:val="16"/>
                <w:szCs w:val="16"/>
                <w:lang w:eastAsia="es-ES"/>
              </w:rPr>
            </w:pPr>
            <w:r w:rsidRPr="00AD4F6A">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46ED8410" w14:textId="77777777" w:rsidR="00AD4F6A" w:rsidRPr="00AD4F6A" w:rsidRDefault="00AD4F6A" w:rsidP="00AD4F6A">
            <w:pPr>
              <w:contextualSpacing/>
              <w:rPr>
                <w:rFonts w:ascii="Verdana" w:hAnsi="Verdana"/>
                <w:sz w:val="16"/>
                <w:szCs w:val="16"/>
              </w:rPr>
            </w:pPr>
            <w:r w:rsidRPr="00AD4F6A">
              <w:rPr>
                <w:rFonts w:ascii="Verdana" w:hAnsi="Verdana"/>
                <w:sz w:val="16"/>
                <w:szCs w:val="16"/>
              </w:rPr>
              <w:t>Tatiana Baquero Iguarán</w:t>
            </w:r>
          </w:p>
          <w:p w14:paraId="20F037ED" w14:textId="77777777" w:rsidR="00AD4F6A" w:rsidRPr="00AD4F6A" w:rsidRDefault="00AD4F6A" w:rsidP="00AD4F6A">
            <w:pPr>
              <w:contextualSpacing/>
              <w:rPr>
                <w:rFonts w:ascii="Verdana" w:eastAsia="Arial" w:hAnsi="Verdana" w:cs="Arial"/>
                <w:sz w:val="16"/>
                <w:szCs w:val="16"/>
              </w:rPr>
            </w:pPr>
            <w:r w:rsidRPr="00AD4F6A">
              <w:rPr>
                <w:rFonts w:ascii="Verdana" w:hAnsi="Verdana"/>
                <w:sz w:val="16"/>
                <w:szCs w:val="16"/>
              </w:rPr>
              <w:t>Contratista de la Subdirección de Gestión Contractual</w:t>
            </w:r>
          </w:p>
        </w:tc>
      </w:tr>
      <w:tr w:rsidR="00AD4F6A" w:rsidRPr="00AD4F6A" w14:paraId="62F15047" w14:textId="77777777" w:rsidTr="003570CD">
        <w:trPr>
          <w:trHeight w:val="330"/>
        </w:trPr>
        <w:tc>
          <w:tcPr>
            <w:tcW w:w="893" w:type="dxa"/>
            <w:vAlign w:val="center"/>
            <w:hideMark/>
          </w:tcPr>
          <w:p w14:paraId="62D5F9C3" w14:textId="77777777" w:rsidR="00AD4F6A" w:rsidRPr="00AD4F6A" w:rsidRDefault="00AD4F6A" w:rsidP="00AD4F6A">
            <w:pPr>
              <w:contextualSpacing/>
              <w:rPr>
                <w:rFonts w:ascii="Verdana" w:hAnsi="Verdana" w:cs="Arial"/>
                <w:sz w:val="16"/>
                <w:szCs w:val="16"/>
                <w:lang w:eastAsia="es-ES"/>
              </w:rPr>
            </w:pPr>
            <w:r w:rsidRPr="00AD4F6A">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5DB916B" w14:textId="77777777" w:rsidR="00AD4F6A" w:rsidRPr="00AD4F6A" w:rsidRDefault="00AD4F6A" w:rsidP="00AD4F6A">
            <w:pPr>
              <w:textAlignment w:val="baseline"/>
              <w:rPr>
                <w:rFonts w:ascii="Verdana" w:eastAsia="Times New Roman" w:hAnsi="Verdana" w:cs="Arial"/>
                <w:sz w:val="16"/>
                <w:szCs w:val="16"/>
                <w:lang w:val="es-MX" w:eastAsia="es-CO"/>
              </w:rPr>
            </w:pPr>
            <w:r w:rsidRPr="00AD4F6A">
              <w:rPr>
                <w:rFonts w:ascii="Verdana" w:eastAsia="Times New Roman" w:hAnsi="Verdana" w:cs="Arial"/>
                <w:sz w:val="16"/>
                <w:szCs w:val="16"/>
                <w:lang w:val="es-MX" w:eastAsia="es-CO"/>
              </w:rPr>
              <w:t>Alejandro Raúl Sarmiento Cantillo</w:t>
            </w:r>
          </w:p>
          <w:p w14:paraId="13669F13" w14:textId="77777777" w:rsidR="00AD4F6A" w:rsidRPr="00AD4F6A" w:rsidRDefault="00AD4F6A" w:rsidP="00AD4F6A">
            <w:pPr>
              <w:spacing w:before="100" w:beforeAutospacing="1" w:after="100" w:afterAutospacing="1"/>
              <w:contextualSpacing/>
              <w:textAlignment w:val="baseline"/>
              <w:rPr>
                <w:rFonts w:ascii="Verdana" w:eastAsia="Times New Roman" w:hAnsi="Verdana" w:cs="Segoe UI"/>
                <w:sz w:val="16"/>
                <w:szCs w:val="16"/>
                <w:lang w:eastAsia="es-ES_tradnl"/>
              </w:rPr>
            </w:pPr>
            <w:r w:rsidRPr="00AD4F6A">
              <w:rPr>
                <w:rFonts w:ascii="Verdana" w:eastAsia="Times New Roman" w:hAnsi="Verdana" w:cs="Arial"/>
                <w:sz w:val="16"/>
                <w:szCs w:val="16"/>
                <w:lang w:val="es-MX" w:eastAsia="es-CO"/>
              </w:rPr>
              <w:t>Gestor T1-15 de la Subdirección de Gestión Contractual</w:t>
            </w:r>
          </w:p>
        </w:tc>
      </w:tr>
      <w:tr w:rsidR="00AD4F6A" w:rsidRPr="00AD4F6A" w14:paraId="02703C52" w14:textId="77777777" w:rsidTr="003570CD">
        <w:trPr>
          <w:trHeight w:val="300"/>
        </w:trPr>
        <w:tc>
          <w:tcPr>
            <w:tcW w:w="893" w:type="dxa"/>
            <w:vAlign w:val="center"/>
          </w:tcPr>
          <w:p w14:paraId="5EA18C5B" w14:textId="77777777" w:rsidR="00AD4F6A" w:rsidRPr="00AD4F6A" w:rsidRDefault="00AD4F6A" w:rsidP="00AD4F6A">
            <w:pPr>
              <w:contextualSpacing/>
              <w:rPr>
                <w:rFonts w:ascii="Verdana" w:hAnsi="Verdana" w:cs="Arial"/>
                <w:sz w:val="16"/>
                <w:szCs w:val="16"/>
                <w:lang w:eastAsia="es-ES"/>
              </w:rPr>
            </w:pPr>
            <w:r w:rsidRPr="00AD4F6A">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69273B8" w14:textId="77777777" w:rsidR="00AD4F6A" w:rsidRPr="00AD4F6A" w:rsidRDefault="00AD4F6A" w:rsidP="00AD4F6A">
            <w:pPr>
              <w:contextualSpacing/>
              <w:rPr>
                <w:rFonts w:ascii="Verdana" w:eastAsia="Calibri" w:hAnsi="Verdana" w:cs="Arial"/>
                <w:sz w:val="16"/>
                <w:szCs w:val="16"/>
                <w:lang w:eastAsia="es-ES"/>
              </w:rPr>
            </w:pPr>
            <w:r w:rsidRPr="00AD4F6A">
              <w:rPr>
                <w:rFonts w:ascii="Verdana" w:eastAsia="Calibri" w:hAnsi="Verdana" w:cs="Arial"/>
                <w:sz w:val="16"/>
                <w:szCs w:val="16"/>
                <w:lang w:eastAsia="es-ES"/>
              </w:rPr>
              <w:t xml:space="preserve">Carolina Quintero </w:t>
            </w:r>
            <w:proofErr w:type="spellStart"/>
            <w:r w:rsidRPr="00AD4F6A">
              <w:rPr>
                <w:rFonts w:ascii="Verdana" w:eastAsia="Calibri" w:hAnsi="Verdana" w:cs="Arial"/>
                <w:sz w:val="16"/>
                <w:szCs w:val="16"/>
                <w:lang w:eastAsia="es-ES"/>
              </w:rPr>
              <w:t>Gacharná</w:t>
            </w:r>
            <w:proofErr w:type="spellEnd"/>
          </w:p>
          <w:p w14:paraId="6B6E52ED" w14:textId="77777777" w:rsidR="00AD4F6A" w:rsidRPr="00AD4F6A" w:rsidRDefault="00AD4F6A" w:rsidP="00AD4F6A">
            <w:pPr>
              <w:contextualSpacing/>
              <w:rPr>
                <w:rFonts w:ascii="Verdana" w:eastAsia="Calibri" w:hAnsi="Verdana" w:cs="Arial"/>
                <w:sz w:val="16"/>
                <w:szCs w:val="16"/>
                <w:lang w:eastAsia="es-ES"/>
              </w:rPr>
            </w:pPr>
            <w:r w:rsidRPr="00AD4F6A">
              <w:rPr>
                <w:rFonts w:ascii="Verdana" w:eastAsia="Calibri" w:hAnsi="Verdana" w:cs="Arial"/>
                <w:sz w:val="16"/>
                <w:szCs w:val="16"/>
                <w:lang w:eastAsia="es-ES"/>
              </w:rPr>
              <w:t>Subdirectora de Gestión Contractual ANCP – CCE</w:t>
            </w:r>
          </w:p>
        </w:tc>
      </w:tr>
    </w:tbl>
    <w:p w14:paraId="26C6D0C2" w14:textId="77777777" w:rsidR="00AD4F6A" w:rsidRPr="00AD4F6A" w:rsidRDefault="00AD4F6A" w:rsidP="00AD4F6A"/>
    <w:p w14:paraId="20793D09" w14:textId="77777777" w:rsidR="009030FF" w:rsidRDefault="009030FF" w:rsidP="009030FF">
      <w:pPr>
        <w:spacing w:after="0" w:line="240" w:lineRule="auto"/>
        <w:rPr>
          <w:rFonts w:ascii="Verdana" w:eastAsia="Aptos" w:hAnsi="Verdana" w:cs="Times New Roman"/>
          <w:sz w:val="20"/>
          <w:szCs w:val="20"/>
        </w:rPr>
      </w:pPr>
    </w:p>
    <w:p w14:paraId="0B033E04" w14:textId="77777777" w:rsidR="009030FF" w:rsidRDefault="009030FF" w:rsidP="009030FF">
      <w:pPr>
        <w:spacing w:after="0" w:line="240" w:lineRule="auto"/>
        <w:rPr>
          <w:rFonts w:ascii="Verdana" w:eastAsia="Aptos" w:hAnsi="Verdana" w:cs="Times New Roman"/>
          <w:sz w:val="20"/>
          <w:szCs w:val="20"/>
        </w:rPr>
      </w:pPr>
    </w:p>
    <w:bookmarkEnd w:id="0"/>
    <w:p w14:paraId="5EF3E5F2" w14:textId="77777777" w:rsidR="009030FF" w:rsidRDefault="009030FF" w:rsidP="009030FF">
      <w:pPr>
        <w:spacing w:after="0" w:line="240" w:lineRule="auto"/>
        <w:rPr>
          <w:rFonts w:ascii="Verdana" w:eastAsia="Aptos" w:hAnsi="Verdana" w:cs="Times New Roman"/>
          <w:sz w:val="20"/>
          <w:szCs w:val="20"/>
        </w:rPr>
      </w:pPr>
    </w:p>
    <w:sectPr w:rsidR="009030FF" w:rsidSect="00C44B4C">
      <w:headerReference w:type="default" r:id="rId17"/>
      <w:footerReference w:type="default" r:id="rId18"/>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2CA6A" w14:textId="77777777" w:rsidR="005D0A16" w:rsidRPr="009B7987" w:rsidRDefault="005D0A16" w:rsidP="00B30448">
      <w:pPr>
        <w:spacing w:after="0" w:line="240" w:lineRule="auto"/>
      </w:pPr>
      <w:r w:rsidRPr="009B7987">
        <w:separator/>
      </w:r>
    </w:p>
  </w:endnote>
  <w:endnote w:type="continuationSeparator" w:id="0">
    <w:p w14:paraId="4EF829F0" w14:textId="77777777" w:rsidR="005D0A16" w:rsidRPr="009B7987" w:rsidRDefault="005D0A16" w:rsidP="00B30448">
      <w:pPr>
        <w:spacing w:after="0" w:line="240" w:lineRule="auto"/>
      </w:pPr>
      <w:r w:rsidRPr="009B7987">
        <w:continuationSeparator/>
      </w:r>
    </w:p>
  </w:endnote>
  <w:endnote w:type="continuationNotice" w:id="1">
    <w:p w14:paraId="0A06AF8B" w14:textId="77777777" w:rsidR="005D0A16" w:rsidRPr="009B7987" w:rsidRDefault="005D0A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altName w:val="Century Gothic"/>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4F965" w14:textId="77777777" w:rsidR="005D0A16" w:rsidRPr="009B7987" w:rsidRDefault="005D0A16" w:rsidP="00B30448">
      <w:pPr>
        <w:spacing w:after="0" w:line="240" w:lineRule="auto"/>
      </w:pPr>
      <w:r w:rsidRPr="009B7987">
        <w:separator/>
      </w:r>
    </w:p>
  </w:footnote>
  <w:footnote w:type="continuationSeparator" w:id="0">
    <w:p w14:paraId="3F4B2E61" w14:textId="77777777" w:rsidR="005D0A16" w:rsidRPr="009B7987" w:rsidRDefault="005D0A16" w:rsidP="00B30448">
      <w:pPr>
        <w:spacing w:after="0" w:line="240" w:lineRule="auto"/>
      </w:pPr>
      <w:r w:rsidRPr="009B7987">
        <w:continuationSeparator/>
      </w:r>
    </w:p>
  </w:footnote>
  <w:footnote w:type="continuationNotice" w:id="1">
    <w:p w14:paraId="0681990E" w14:textId="77777777" w:rsidR="005D0A16" w:rsidRPr="009B7987" w:rsidRDefault="005D0A16">
      <w:pPr>
        <w:spacing w:after="0" w:line="240" w:lineRule="auto"/>
      </w:pPr>
    </w:p>
  </w:footnote>
  <w:footnote w:id="2">
    <w:p w14:paraId="459A1680" w14:textId="77777777" w:rsidR="00AD4F6A" w:rsidRPr="00B91AD5" w:rsidRDefault="00AD4F6A" w:rsidP="00AD4F6A">
      <w:pPr>
        <w:spacing w:after="0" w:line="240" w:lineRule="auto"/>
        <w:ind w:firstLine="707"/>
        <w:jc w:val="both"/>
        <w:rPr>
          <w:rFonts w:ascii="Verdana" w:hAnsi="Verdana" w:cs="Arial"/>
          <w:sz w:val="16"/>
          <w:szCs w:val="16"/>
        </w:rPr>
      </w:pPr>
      <w:r w:rsidRPr="00B91AD5">
        <w:rPr>
          <w:rStyle w:val="FootnoteReference"/>
          <w:rFonts w:ascii="Verdana" w:hAnsi="Verdana" w:cs="Arial"/>
          <w:sz w:val="16"/>
          <w:szCs w:val="16"/>
        </w:rPr>
        <w:footnoteRef/>
      </w:r>
      <w:r w:rsidRPr="00B91AD5">
        <w:rPr>
          <w:rFonts w:ascii="Verdana" w:hAnsi="Verdana" w:cs="Arial"/>
          <w:position w:val="6"/>
          <w:sz w:val="16"/>
          <w:szCs w:val="16"/>
        </w:rPr>
        <w:t xml:space="preserve"> </w:t>
      </w:r>
      <w:r w:rsidRPr="00B91AD5">
        <w:rPr>
          <w:rFonts w:ascii="Verdana" w:hAnsi="Verdana" w:cs="Arial"/>
          <w:sz w:val="16"/>
          <w:szCs w:val="16"/>
        </w:rPr>
        <w:t>DEIK ACOSTAMADIEDO, Carolina, Guía de Contratación Estatal: Deber de planeación y modalidades de selección, Buenos Aires, 2015, p. 59.</w:t>
      </w:r>
    </w:p>
  </w:footnote>
  <w:footnote w:id="3">
    <w:p w14:paraId="435E188C" w14:textId="77777777" w:rsidR="00AD4F6A" w:rsidRPr="00B91AD5" w:rsidRDefault="00AD4F6A" w:rsidP="00AD4F6A">
      <w:pPr>
        <w:pStyle w:val="BodyText"/>
        <w:spacing w:after="0"/>
        <w:ind w:firstLine="709"/>
        <w:jc w:val="both"/>
        <w:rPr>
          <w:rFonts w:ascii="Verdana" w:hAnsi="Verdana" w:cs="Arial"/>
          <w:sz w:val="16"/>
          <w:szCs w:val="16"/>
        </w:rPr>
      </w:pPr>
      <w:r w:rsidRPr="00B91AD5">
        <w:rPr>
          <w:rStyle w:val="FootnoteReference"/>
          <w:rFonts w:ascii="Verdana" w:hAnsi="Verdana" w:cs="Arial"/>
          <w:sz w:val="16"/>
          <w:szCs w:val="16"/>
        </w:rPr>
        <w:footnoteRef/>
      </w:r>
      <w:r w:rsidRPr="00B91AD5">
        <w:rPr>
          <w:rFonts w:ascii="Verdana" w:hAnsi="Verdana" w:cs="Arial"/>
          <w:sz w:val="16"/>
          <w:szCs w:val="16"/>
        </w:rPr>
        <w:t xml:space="preserve"> </w:t>
      </w:r>
      <w:r w:rsidRPr="00B91AD5">
        <w:rPr>
          <w:rFonts w:ascii="Verdana" w:hAnsi="Verdana" w:cs="Arial"/>
          <w:position w:val="6"/>
          <w:sz w:val="16"/>
          <w:szCs w:val="16"/>
        </w:rPr>
        <w:t xml:space="preserve"> </w:t>
      </w:r>
      <w:r w:rsidRPr="00B91AD5">
        <w:rPr>
          <w:rFonts w:ascii="Verdana" w:hAnsi="Verdana" w:cs="Arial"/>
          <w:sz w:val="16"/>
          <w:szCs w:val="16"/>
        </w:rPr>
        <w:t xml:space="preserve">“Artículo </w:t>
      </w:r>
      <w:bookmarkStart w:id="5" w:name="_Hlk54173885"/>
      <w:r w:rsidRPr="00B91AD5">
        <w:rPr>
          <w:rFonts w:ascii="Verdana" w:hAnsi="Verdana" w:cs="Arial"/>
          <w:sz w:val="16"/>
          <w:szCs w:val="16"/>
        </w:rPr>
        <w:t>2.2.1.1.2.1.1</w:t>
      </w:r>
      <w:bookmarkEnd w:id="5"/>
      <w:r w:rsidRPr="00B91AD5">
        <w:rPr>
          <w:rFonts w:ascii="Verdana" w:hAnsi="Verdana" w:cs="Arial"/>
          <w:sz w:val="16"/>
          <w:szCs w:val="16"/>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footnote>
  <w:footnote w:id="4">
    <w:p w14:paraId="0BE089DB" w14:textId="77777777" w:rsidR="00AD4F6A" w:rsidRPr="00B91AD5" w:rsidRDefault="00AD4F6A" w:rsidP="00AD4F6A">
      <w:pPr>
        <w:pStyle w:val="BodyText"/>
        <w:spacing w:after="0"/>
        <w:ind w:firstLine="709"/>
        <w:jc w:val="both"/>
        <w:rPr>
          <w:rFonts w:ascii="Verdana" w:hAnsi="Verdana" w:cs="Arial"/>
          <w:sz w:val="16"/>
          <w:szCs w:val="16"/>
        </w:rPr>
      </w:pPr>
      <w:r w:rsidRPr="00B91AD5">
        <w:rPr>
          <w:rStyle w:val="FootnoteReference"/>
          <w:rFonts w:ascii="Verdana" w:hAnsi="Verdana" w:cs="Arial"/>
          <w:sz w:val="16"/>
          <w:szCs w:val="16"/>
        </w:rPr>
        <w:footnoteRef/>
      </w:r>
      <w:r w:rsidRPr="00B91AD5">
        <w:rPr>
          <w:rFonts w:ascii="Verdana" w:hAnsi="Verdana" w:cs="Arial"/>
          <w:sz w:val="16"/>
          <w:szCs w:val="16"/>
        </w:rPr>
        <w:t xml:space="preserve"> Consejo de Estado. Sección Tercera. Subsección B. Sentencia del 31 de agosto de 2011. Exp. 18.080. C.P. Ruth Stella Correa Palacio: “(…)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footnote>
  <w:footnote w:id="5">
    <w:p w14:paraId="4015459D" w14:textId="77777777" w:rsidR="00AD4F6A" w:rsidRPr="00B91AD5" w:rsidRDefault="00AD4F6A" w:rsidP="00AD4F6A">
      <w:pPr>
        <w:pStyle w:val="FootnoteText"/>
        <w:ind w:firstLine="709"/>
        <w:jc w:val="both"/>
        <w:rPr>
          <w:rFonts w:ascii="Verdana" w:hAnsi="Verdana" w:cs="Arial"/>
          <w:color w:val="000000" w:themeColor="text1"/>
          <w:sz w:val="16"/>
          <w:szCs w:val="16"/>
          <w:lang w:val="es-CO"/>
        </w:rPr>
      </w:pPr>
      <w:r w:rsidRPr="00B91AD5">
        <w:rPr>
          <w:rStyle w:val="FootnoteReference"/>
          <w:rFonts w:ascii="Verdana" w:hAnsi="Verdana" w:cs="Arial"/>
          <w:sz w:val="16"/>
          <w:szCs w:val="16"/>
        </w:rPr>
        <w:footnoteRef/>
      </w:r>
      <w:r w:rsidRPr="00B91AD5">
        <w:rPr>
          <w:rFonts w:ascii="Verdana" w:hAnsi="Verdana" w:cs="Arial"/>
          <w:sz w:val="16"/>
          <w:szCs w:val="16"/>
        </w:rPr>
        <w:t xml:space="preserve"> </w:t>
      </w:r>
      <w:r w:rsidRPr="00B91AD5">
        <w:rPr>
          <w:rFonts w:ascii="Verdana" w:hAnsi="Verdana" w:cs="Arial"/>
          <w:sz w:val="16"/>
          <w:szCs w:val="16"/>
          <w:lang w:val="es-CO"/>
        </w:rPr>
        <w:t xml:space="preserve">La Versión 02 de esta Guía fue adoptada el 24 de junio de 2022. Disponible en </w:t>
      </w:r>
      <w:hyperlink r:id="rId1" w:history="1">
        <w:r w:rsidRPr="00B91AD5">
          <w:rPr>
            <w:rStyle w:val="Hyperlink"/>
            <w:rFonts w:ascii="Verdana" w:hAnsi="Verdana" w:cs="Arial"/>
            <w:color w:val="000000" w:themeColor="text1"/>
            <w:sz w:val="16"/>
            <w:szCs w:val="16"/>
          </w:rPr>
          <w:t>https://colombiacompra.gov.co/sites/cce_public/files/cce_documentos/cce-eicp-gi-18._gees_v.2_2.pdf</w:t>
        </w:r>
      </w:hyperlink>
      <w:r w:rsidRPr="00B91AD5">
        <w:rPr>
          <w:rFonts w:ascii="Verdana" w:hAnsi="Verdana" w:cs="Arial"/>
          <w:color w:val="000000" w:themeColor="text1"/>
          <w:sz w:val="16"/>
          <w:szCs w:val="16"/>
        </w:rPr>
        <w:t xml:space="preserve"> . Actualmente </w:t>
      </w:r>
      <w:r>
        <w:rPr>
          <w:rFonts w:ascii="Verdana" w:hAnsi="Verdana" w:cs="Arial"/>
          <w:color w:val="000000" w:themeColor="text1"/>
          <w:sz w:val="16"/>
          <w:szCs w:val="16"/>
        </w:rPr>
        <w:t xml:space="preserve">esta Guía </w:t>
      </w:r>
      <w:r w:rsidRPr="00B91AD5">
        <w:rPr>
          <w:rFonts w:ascii="Verdana" w:hAnsi="Verdana" w:cs="Arial"/>
          <w:color w:val="000000" w:themeColor="text1"/>
          <w:sz w:val="16"/>
          <w:szCs w:val="16"/>
        </w:rPr>
        <w:t xml:space="preserve">se encuentra en proceso actualización cuyo borrador puede ser consultado </w:t>
      </w:r>
      <w:r w:rsidRPr="00B91AD5">
        <w:rPr>
          <w:rFonts w:ascii="Verdana" w:hAnsi="Verdana" w:cs="Arial"/>
          <w:color w:val="000000" w:themeColor="text1"/>
          <w:sz w:val="16"/>
          <w:szCs w:val="16"/>
          <w:lang w:val="es-CO"/>
        </w:rPr>
        <w:t>a través del siguiente enlace: </w:t>
      </w:r>
      <w:hyperlink r:id="rId2" w:history="1">
        <w:r w:rsidRPr="00B91AD5">
          <w:rPr>
            <w:rStyle w:val="Hyperlink"/>
            <w:rFonts w:ascii="Verdana" w:hAnsi="Verdana" w:cs="Arial"/>
            <w:sz w:val="16"/>
            <w:szCs w:val="16"/>
            <w:lang w:val="es-CO"/>
          </w:rPr>
          <w:t>https://www.colombiacompra.gov.co/archivos/convocatoria/participacion-ciudadana-proyecto-de-la-guia-para-la-</w:t>
        </w:r>
      </w:hyperlink>
    </w:p>
    <w:p w14:paraId="0B1C7493" w14:textId="77777777" w:rsidR="00AD4F6A" w:rsidRPr="00B91AD5" w:rsidRDefault="00AD4F6A" w:rsidP="00AD4F6A">
      <w:pPr>
        <w:pStyle w:val="FootnoteText"/>
        <w:ind w:firstLine="709"/>
        <w:jc w:val="both"/>
        <w:rPr>
          <w:rFonts w:ascii="Verdana" w:hAnsi="Verdana" w:cs="Arial"/>
          <w:sz w:val="16"/>
          <w:szCs w:val="16"/>
          <w:lang w:val="es-CO"/>
        </w:rPr>
      </w:pPr>
    </w:p>
  </w:footnote>
  <w:footnote w:id="6">
    <w:p w14:paraId="5DB0EB64" w14:textId="77777777" w:rsidR="00AD4F6A" w:rsidRPr="00B91AD5" w:rsidRDefault="00AD4F6A" w:rsidP="00AD4F6A">
      <w:pPr>
        <w:pStyle w:val="FootnoteText"/>
        <w:ind w:firstLine="709"/>
        <w:jc w:val="both"/>
        <w:rPr>
          <w:rFonts w:ascii="Verdana" w:hAnsi="Verdana" w:cs="Arial"/>
          <w:sz w:val="16"/>
          <w:szCs w:val="16"/>
          <w:lang w:val="es-ES"/>
        </w:rPr>
      </w:pPr>
      <w:r w:rsidRPr="00B91AD5">
        <w:rPr>
          <w:rStyle w:val="FootnoteReference"/>
          <w:rFonts w:ascii="Verdana" w:hAnsi="Verdana" w:cs="Arial"/>
          <w:sz w:val="16"/>
          <w:szCs w:val="16"/>
        </w:rPr>
        <w:footnoteRef/>
      </w:r>
      <w:r w:rsidRPr="00B91AD5">
        <w:rPr>
          <w:rFonts w:ascii="Verdana" w:hAnsi="Verdana" w:cs="Arial"/>
          <w:sz w:val="16"/>
          <w:szCs w:val="16"/>
        </w:rPr>
        <w:t xml:space="preserve"> De conformidad con lo indicado en la Guía, e</w:t>
      </w:r>
      <w:r w:rsidRPr="00B91AD5">
        <w:rPr>
          <w:rFonts w:ascii="Verdana" w:hAnsi="Verdana" w:cs="Arial"/>
          <w:sz w:val="16"/>
          <w:szCs w:val="16"/>
          <w:lang w:val="es-ES"/>
        </w:rPr>
        <w:t>l MAE hace parte de la Política de Compras y Contratación Pública, enmarcada dentro del Modelo Integrado de Planeación y Gestión- MIPG, y se articula con las demás buenas prácticas y herramientas usadas en los procesos de compra y contratación estatal que han sido desarrolladas por la Agencia Nacional de Contratación Pública – Colombia Compra Eficiente, con el fin de generar una mayor eficiencia, transparencia y optimización de los recursos del Estado.</w:t>
      </w:r>
    </w:p>
  </w:footnote>
  <w:footnote w:id="7">
    <w:p w14:paraId="674339D0" w14:textId="77777777" w:rsidR="00AD4F6A" w:rsidRPr="00B91AD5" w:rsidRDefault="00AD4F6A" w:rsidP="00AD4F6A">
      <w:pPr>
        <w:pStyle w:val="FootnoteText"/>
        <w:ind w:firstLine="708"/>
        <w:jc w:val="both"/>
        <w:rPr>
          <w:rFonts w:ascii="Verdana" w:hAnsi="Verdana" w:cs="Arial"/>
          <w:sz w:val="16"/>
          <w:szCs w:val="16"/>
        </w:rPr>
      </w:pPr>
      <w:r w:rsidRPr="00B91AD5">
        <w:rPr>
          <w:rStyle w:val="FootnoteReference"/>
          <w:rFonts w:ascii="Verdana" w:hAnsi="Verdana" w:cs="Arial"/>
          <w:sz w:val="16"/>
          <w:szCs w:val="16"/>
        </w:rPr>
        <w:footnoteRef/>
      </w:r>
      <w:r w:rsidRPr="00B91AD5">
        <w:rPr>
          <w:rFonts w:ascii="Verdana" w:hAnsi="Verdana" w:cs="Arial"/>
          <w:sz w:val="16"/>
          <w:szCs w:val="16"/>
        </w:rPr>
        <w:t xml:space="preserve"> Consejo de Estado. Sección Tercera. Sentencia del 27 de abril de 2011. Exp. 18.293. C.P. Ruth Stella Correa Palacio.</w:t>
      </w:r>
    </w:p>
  </w:footnote>
  <w:footnote w:id="8">
    <w:p w14:paraId="190DBC47" w14:textId="77777777" w:rsidR="00AD4F6A" w:rsidRDefault="00AD4F6A" w:rsidP="00AD4F6A">
      <w:pPr>
        <w:pStyle w:val="FootnoteText"/>
        <w:ind w:firstLine="708"/>
        <w:jc w:val="both"/>
        <w:rPr>
          <w:rFonts w:ascii="Verdana" w:hAnsi="Verdana"/>
          <w:sz w:val="16"/>
          <w:szCs w:val="16"/>
        </w:rPr>
      </w:pPr>
      <w:r w:rsidRPr="00B435BC">
        <w:rPr>
          <w:rStyle w:val="FootnoteReference"/>
          <w:rFonts w:ascii="Verdana" w:hAnsi="Verdana"/>
          <w:sz w:val="16"/>
          <w:szCs w:val="16"/>
        </w:rPr>
        <w:footnoteRef/>
      </w:r>
      <w:r w:rsidRPr="00B435BC">
        <w:rPr>
          <w:rFonts w:ascii="Verdana" w:hAnsi="Verdana"/>
          <w:sz w:val="16"/>
          <w:szCs w:val="16"/>
        </w:rPr>
        <w:t xml:space="preserve"> El </w:t>
      </w:r>
      <w:r>
        <w:rPr>
          <w:rFonts w:ascii="Verdana" w:hAnsi="Verdana"/>
          <w:sz w:val="16"/>
          <w:szCs w:val="16"/>
        </w:rPr>
        <w:t xml:space="preserve">artículo 6 de la Ley 610 de 2000 prescribe lo siguiente: “[…] </w:t>
      </w:r>
      <w:r w:rsidRPr="00B435BC">
        <w:rPr>
          <w:rFonts w:ascii="Verdana" w:hAnsi="Verdana"/>
          <w:sz w:val="16"/>
          <w:szCs w:val="16"/>
        </w:rPr>
        <w:t>se entiende por daño patrimonial al Estado la lesión del patrimonio público, representada en el menoscabo, disminución, perjuicio, detrimento, pérdida,</w:t>
      </w:r>
      <w:r>
        <w:rPr>
          <w:rFonts w:ascii="Verdana" w:hAnsi="Verdana"/>
          <w:sz w:val="16"/>
          <w:szCs w:val="16"/>
        </w:rPr>
        <w:t xml:space="preserve"> </w:t>
      </w:r>
      <w:r w:rsidRPr="008C273E">
        <w:rPr>
          <w:rFonts w:ascii="Verdana" w:hAnsi="Verdana"/>
          <w:sz w:val="16"/>
          <w:szCs w:val="16"/>
        </w:rPr>
        <w:t>o deterioro de los bienes o recursos públicos, o a los intereses patrimoniales del Estado, producida por una gestión fiscal antieconómica, ineficaz, ineficiente,</w:t>
      </w:r>
      <w:r>
        <w:rPr>
          <w:rFonts w:ascii="Verdana" w:hAnsi="Verdana"/>
          <w:sz w:val="16"/>
          <w:szCs w:val="16"/>
        </w:rPr>
        <w:t xml:space="preserve"> </w:t>
      </w:r>
      <w:r w:rsidRPr="008C273E">
        <w:rPr>
          <w:rFonts w:ascii="Verdana" w:hAnsi="Verdana"/>
          <w:sz w:val="16"/>
          <w:szCs w:val="16"/>
        </w:rPr>
        <w:t>e inoportuna, que en términos generales, no se aplique al cumplimiento de los cometidos y de los fines esenciales del Estado, particularizados por el objetivo funcional y organizacional, programa o proyecto de los sujetos de vigilancia y control de las contralorías.</w:t>
      </w:r>
    </w:p>
    <w:p w14:paraId="3EFCAFDB" w14:textId="77777777" w:rsidR="00AD4F6A" w:rsidRPr="00B435BC" w:rsidRDefault="00AD4F6A" w:rsidP="00AD4F6A">
      <w:pPr>
        <w:pStyle w:val="FootnoteText"/>
        <w:ind w:firstLine="708"/>
        <w:jc w:val="both"/>
        <w:rPr>
          <w:rFonts w:ascii="Verdana" w:hAnsi="Verdana"/>
          <w:sz w:val="16"/>
          <w:szCs w:val="16"/>
          <w:lang w:val="es-CO"/>
        </w:rPr>
      </w:pPr>
      <w:r w:rsidRPr="008C273E">
        <w:rPr>
          <w:rFonts w:ascii="Verdana" w:hAnsi="Verdana"/>
          <w:sz w:val="16"/>
          <w:szCs w:val="16"/>
          <w:lang w:val="es-CO"/>
        </w:rPr>
        <w:t>Dicho daño podrá ocasionarse por acción u omisión de los servidores públicos o por la persona natural o jurídica de derecho privado, que en forma dolosa o culposa produzcan directamente o contribuyan al detrimento al patrimonio público</w:t>
      </w:r>
      <w:r>
        <w:rPr>
          <w:rFonts w:ascii="Verdana" w:hAnsi="Verdana"/>
          <w:sz w:val="16"/>
          <w:szCs w:val="16"/>
          <w:lang w:val="es-CO"/>
        </w:rPr>
        <w:t>”</w:t>
      </w:r>
      <w:r w:rsidRPr="008C273E">
        <w:rPr>
          <w:rFonts w:ascii="Verdana" w:hAnsi="Verdana"/>
          <w:sz w:val="16"/>
          <w:szCs w:val="16"/>
          <w:lang w:val="es-CO"/>
        </w:rPr>
        <w:t>.</w:t>
      </w:r>
    </w:p>
  </w:footnote>
  <w:footnote w:id="9">
    <w:p w14:paraId="7EF34A02" w14:textId="77777777" w:rsidR="00AD4F6A" w:rsidRDefault="00AD4F6A" w:rsidP="00AD4F6A">
      <w:pPr>
        <w:pStyle w:val="FootnoteText"/>
        <w:ind w:firstLine="708"/>
        <w:jc w:val="both"/>
        <w:rPr>
          <w:rFonts w:ascii="Verdana" w:hAnsi="Verdana"/>
          <w:sz w:val="16"/>
          <w:szCs w:val="16"/>
        </w:rPr>
      </w:pPr>
      <w:r w:rsidRPr="008A44AC">
        <w:rPr>
          <w:rStyle w:val="FootnoteReference"/>
          <w:rFonts w:ascii="Verdana" w:hAnsi="Verdana"/>
          <w:sz w:val="16"/>
          <w:szCs w:val="16"/>
        </w:rPr>
        <w:footnoteRef/>
      </w:r>
      <w:r w:rsidRPr="008A44AC">
        <w:rPr>
          <w:rFonts w:ascii="Verdana" w:hAnsi="Verdana"/>
          <w:sz w:val="16"/>
          <w:szCs w:val="16"/>
        </w:rPr>
        <w:t xml:space="preserve"> Sobre el alcance de las normas equivalentes en el Código Civil chileno, CLARO SOLAR explica lo siguiente: “Las palabras de que el legislador se sirve pueden tener dos significaciones: el sentido vulgar y el sentido técnico. Según el artículo 20, ‘</w:t>
      </w:r>
      <w:r w:rsidRPr="008A44AC">
        <w:rPr>
          <w:rFonts w:ascii="Verdana" w:hAnsi="Verdana"/>
          <w:i/>
          <w:iCs/>
          <w:sz w:val="16"/>
          <w:szCs w:val="16"/>
        </w:rPr>
        <w:t>las palabras de la ley se entenderán en su sentido natural y obvio, según el uso general de las mismas palabras</w:t>
      </w:r>
      <w:r w:rsidRPr="008A44AC">
        <w:rPr>
          <w:rFonts w:ascii="Verdana" w:hAnsi="Verdana"/>
          <w:sz w:val="16"/>
          <w:szCs w:val="16"/>
        </w:rPr>
        <w:t>’, es decir, el uso de la gente educada. El Diccionario de la Lengua publicado por la Real Academia Española goza a este respecto de gran autoridad. ‘</w:t>
      </w:r>
      <w:r w:rsidRPr="008A44AC">
        <w:rPr>
          <w:rFonts w:ascii="Verdana" w:hAnsi="Verdana"/>
          <w:i/>
          <w:iCs/>
          <w:sz w:val="16"/>
          <w:szCs w:val="16"/>
        </w:rPr>
        <w:t>Pero cuando el legislador</w:t>
      </w:r>
      <w:r w:rsidRPr="008A44AC">
        <w:rPr>
          <w:rFonts w:ascii="Verdana" w:hAnsi="Verdana"/>
          <w:sz w:val="16"/>
          <w:szCs w:val="16"/>
        </w:rPr>
        <w:t xml:space="preserve">, agrega el artículo 20, </w:t>
      </w:r>
      <w:r w:rsidRPr="008A44AC">
        <w:rPr>
          <w:rFonts w:ascii="Verdana" w:hAnsi="Verdana"/>
          <w:i/>
          <w:iCs/>
          <w:sz w:val="16"/>
          <w:szCs w:val="16"/>
        </w:rPr>
        <w:t>las haya definido expresamente para ciertas materias se les dará en éstas su significado legal</w:t>
      </w:r>
      <w:r w:rsidRPr="008A44AC">
        <w:rPr>
          <w:rFonts w:ascii="Verdana" w:hAnsi="Verdana"/>
          <w:sz w:val="16"/>
          <w:szCs w:val="16"/>
        </w:rPr>
        <w:t>’. Por la inversa, según el artículo 21, ‘las palabras técnicas de toda ciencia o arte se tomarán en el sentido que les den los que profesan la misma ciencia o arte; a menos que aparezca claramente que se han tomado en sentido diverso’. Es de suponer que el legislador conozca bastante el idioma en que legisla y sea suficientemente instruido en la ciencia o arte para dar a las palabras de la lengua y a las palabras especiales de la ciencia o arte a que se refiere, el significado que les es propio; en el caso contrario, es necesario que ello aparezca de manifiesto y con toda claridad” (CLARO SOLAR, Luis. Explicaciones de derecho civil chileno y comparado. Volumen I. Tomo I. Santiago: Editorial Jurídica de Chile, 2013. p. 117. Énfasis dentro del texto).</w:t>
      </w:r>
    </w:p>
    <w:p w14:paraId="566B2CAE" w14:textId="77777777" w:rsidR="00AD4F6A" w:rsidRPr="008A44AC" w:rsidRDefault="00AD4F6A" w:rsidP="00AD4F6A">
      <w:pPr>
        <w:pStyle w:val="FootnoteText"/>
        <w:ind w:firstLine="708"/>
        <w:jc w:val="both"/>
        <w:rPr>
          <w:rFonts w:ascii="Verdana" w:hAnsi="Verdana"/>
          <w:sz w:val="16"/>
          <w:szCs w:val="16"/>
          <w:lang w:val="es-CO"/>
        </w:rPr>
      </w:pPr>
    </w:p>
  </w:footnote>
  <w:footnote w:id="10">
    <w:p w14:paraId="689DF616" w14:textId="77777777" w:rsidR="00AD4F6A" w:rsidRPr="00BB2EFD" w:rsidRDefault="00AD4F6A" w:rsidP="00AD4F6A">
      <w:pPr>
        <w:pStyle w:val="FootnoteText"/>
        <w:ind w:firstLine="708"/>
        <w:jc w:val="both"/>
        <w:rPr>
          <w:rFonts w:ascii="Verdana" w:hAnsi="Verdana"/>
          <w:sz w:val="16"/>
          <w:szCs w:val="16"/>
          <w:lang w:val="es-CO"/>
        </w:rPr>
      </w:pPr>
      <w:r w:rsidRPr="00BB2EFD">
        <w:rPr>
          <w:rStyle w:val="FootnoteReference"/>
          <w:rFonts w:ascii="Verdana" w:hAnsi="Verdana"/>
          <w:sz w:val="16"/>
          <w:szCs w:val="16"/>
        </w:rPr>
        <w:footnoteRef/>
      </w:r>
      <w:r w:rsidRPr="00BB2EFD">
        <w:rPr>
          <w:rFonts w:ascii="Verdana" w:hAnsi="Verdana"/>
          <w:sz w:val="16"/>
          <w:szCs w:val="16"/>
        </w:rPr>
        <w:t xml:space="preserve"> </w:t>
      </w:r>
      <w:r>
        <w:rPr>
          <w:rFonts w:ascii="Verdana" w:hAnsi="Verdana"/>
          <w:sz w:val="16"/>
          <w:szCs w:val="16"/>
        </w:rPr>
        <w:t xml:space="preserve">CONSEJO DE ESTADO. Sección Tercera. Subsección B. Sentencia del 27 de abril de 2011. Rad. 18293. C.P. </w:t>
      </w:r>
      <w:r w:rsidRPr="00BB2EFD">
        <w:rPr>
          <w:rFonts w:ascii="Verdana" w:hAnsi="Verdana"/>
          <w:sz w:val="16"/>
          <w:szCs w:val="16"/>
        </w:rPr>
        <w:t>Ruth Stella Correa Palacio</w:t>
      </w:r>
      <w:r>
        <w:rPr>
          <w:rFonts w:ascii="Verdana" w:hAnsi="Verdana"/>
          <w:sz w:val="16"/>
          <w:szCs w:val="16"/>
        </w:rPr>
        <w:t>.</w:t>
      </w:r>
    </w:p>
  </w:footnote>
  <w:footnote w:id="11">
    <w:p w14:paraId="0EF692E5" w14:textId="77777777" w:rsidR="00AD4F6A" w:rsidRPr="00400463" w:rsidRDefault="00AD4F6A" w:rsidP="00AD4F6A">
      <w:pPr>
        <w:pStyle w:val="FootnoteText"/>
        <w:ind w:firstLine="708"/>
        <w:jc w:val="both"/>
        <w:rPr>
          <w:rFonts w:ascii="Verdana" w:hAnsi="Verdana"/>
          <w:sz w:val="16"/>
          <w:szCs w:val="16"/>
          <w:lang w:val="es-CO"/>
        </w:rPr>
      </w:pPr>
      <w:r w:rsidRPr="0050021C">
        <w:rPr>
          <w:rStyle w:val="FootnoteReference"/>
          <w:rFonts w:ascii="Verdana" w:hAnsi="Verdana"/>
          <w:sz w:val="16"/>
          <w:szCs w:val="16"/>
        </w:rPr>
        <w:footnoteRef/>
      </w:r>
      <w:r w:rsidRPr="0050021C">
        <w:rPr>
          <w:rFonts w:ascii="Verdana" w:hAnsi="Verdana"/>
          <w:sz w:val="16"/>
          <w:szCs w:val="16"/>
        </w:rPr>
        <w:t xml:space="preserve"> </w:t>
      </w:r>
      <w:r w:rsidRPr="0050021C">
        <w:rPr>
          <w:rFonts w:ascii="Verdana" w:hAnsi="Verdana"/>
          <w:i/>
          <w:iCs/>
          <w:sz w:val="16"/>
          <w:szCs w:val="16"/>
        </w:rPr>
        <w:t>Ibidem</w:t>
      </w:r>
      <w:r>
        <w:rPr>
          <w:rFonts w:ascii="Verdana" w:hAnsi="Verdan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Header"/>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Header"/>
      <w:jc w:val="center"/>
    </w:pPr>
  </w:p>
  <w:p w14:paraId="1665FD71" w14:textId="77777777" w:rsidR="00006F59" w:rsidRPr="009B7987" w:rsidRDefault="00006F59" w:rsidP="00006F59">
    <w:pPr>
      <w:pStyle w:val="Header"/>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764EF3"/>
    <w:multiLevelType w:val="hybridMultilevel"/>
    <w:tmpl w:val="1F80E5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F555BB5"/>
    <w:multiLevelType w:val="multilevel"/>
    <w:tmpl w:val="5868EEA8"/>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ascii="Arial" w:eastAsia="Arial" w:hAnsi="Arial" w:cs="Arial" w:hint="default"/>
        <w:b/>
        <w:bCs/>
        <w:color w:val="4E4D4D"/>
        <w:spacing w:val="-4"/>
        <w:w w:val="100"/>
        <w:sz w:val="22"/>
        <w:szCs w:val="22"/>
        <w:lang w:val="es-ES" w:eastAsia="en-US" w:bidi="ar-SA"/>
      </w:rPr>
    </w:lvl>
    <w:lvl w:ilvl="2">
      <w:start w:val="1"/>
      <w:numFmt w:val="decimal"/>
      <w:lvlText w:val="%3."/>
      <w:lvlJc w:val="left"/>
      <w:pPr>
        <w:ind w:left="1192" w:hanging="243"/>
      </w:pPr>
      <w:rPr>
        <w:rFonts w:ascii="Verdana" w:eastAsia="Arial" w:hAnsi="Verdana" w:cs="Arial" w:hint="default"/>
        <w:color w:val="auto"/>
        <w:spacing w:val="-1"/>
        <w:w w:val="100"/>
        <w:sz w:val="20"/>
        <w:szCs w:val="20"/>
        <w:lang w:val="es-ES" w:eastAsia="en-US" w:bidi="ar-SA"/>
      </w:rPr>
    </w:lvl>
    <w:lvl w:ilvl="3">
      <w:numFmt w:val="bullet"/>
      <w:lvlText w:val="•"/>
      <w:lvlJc w:val="left"/>
      <w:pPr>
        <w:ind w:left="2192" w:hanging="243"/>
      </w:pPr>
      <w:rPr>
        <w:rFonts w:hint="default"/>
        <w:lang w:val="es-ES" w:eastAsia="en-US" w:bidi="ar-SA"/>
      </w:rPr>
    </w:lvl>
    <w:lvl w:ilvl="4">
      <w:numFmt w:val="bullet"/>
      <w:lvlText w:val="•"/>
      <w:lvlJc w:val="left"/>
      <w:pPr>
        <w:ind w:left="3185" w:hanging="243"/>
      </w:pPr>
      <w:rPr>
        <w:rFonts w:hint="default"/>
        <w:lang w:val="es-ES" w:eastAsia="en-US" w:bidi="ar-SA"/>
      </w:rPr>
    </w:lvl>
    <w:lvl w:ilvl="5">
      <w:numFmt w:val="bullet"/>
      <w:lvlText w:val="•"/>
      <w:lvlJc w:val="left"/>
      <w:pPr>
        <w:ind w:left="4177" w:hanging="243"/>
      </w:pPr>
      <w:rPr>
        <w:rFonts w:hint="default"/>
        <w:lang w:val="es-ES" w:eastAsia="en-US" w:bidi="ar-SA"/>
      </w:rPr>
    </w:lvl>
    <w:lvl w:ilvl="6">
      <w:numFmt w:val="bullet"/>
      <w:lvlText w:val="•"/>
      <w:lvlJc w:val="left"/>
      <w:pPr>
        <w:ind w:left="5170" w:hanging="243"/>
      </w:pPr>
      <w:rPr>
        <w:rFonts w:hint="default"/>
        <w:lang w:val="es-ES" w:eastAsia="en-US" w:bidi="ar-SA"/>
      </w:rPr>
    </w:lvl>
    <w:lvl w:ilvl="7">
      <w:numFmt w:val="bullet"/>
      <w:lvlText w:val="•"/>
      <w:lvlJc w:val="left"/>
      <w:pPr>
        <w:ind w:left="6162" w:hanging="243"/>
      </w:pPr>
      <w:rPr>
        <w:rFonts w:hint="default"/>
        <w:lang w:val="es-ES" w:eastAsia="en-US" w:bidi="ar-SA"/>
      </w:rPr>
    </w:lvl>
    <w:lvl w:ilvl="8">
      <w:numFmt w:val="bullet"/>
      <w:lvlText w:val="•"/>
      <w:lvlJc w:val="left"/>
      <w:pPr>
        <w:ind w:left="7155" w:hanging="243"/>
      </w:pPr>
      <w:rPr>
        <w:rFonts w:hint="default"/>
        <w:lang w:val="es-ES" w:eastAsia="en-US" w:bidi="ar-SA"/>
      </w:rPr>
    </w:lvl>
  </w:abstractNum>
  <w:abstractNum w:abstractNumId="6" w15:restartNumberingAfterBreak="0">
    <w:nsid w:val="17AF3BD1"/>
    <w:multiLevelType w:val="hybridMultilevel"/>
    <w:tmpl w:val="13F4E4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8"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9"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10"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3835108C"/>
    <w:multiLevelType w:val="hybridMultilevel"/>
    <w:tmpl w:val="46D6164A"/>
    <w:lvl w:ilvl="0" w:tplc="9ADA03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4"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9"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D0E478B"/>
    <w:multiLevelType w:val="hybridMultilevel"/>
    <w:tmpl w:val="869EF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2"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603F1D1B"/>
    <w:multiLevelType w:val="hybridMultilevel"/>
    <w:tmpl w:val="D012F2B4"/>
    <w:lvl w:ilvl="0" w:tplc="88466D3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6" w15:restartNumberingAfterBreak="0">
    <w:nsid w:val="661C105F"/>
    <w:multiLevelType w:val="hybridMultilevel"/>
    <w:tmpl w:val="FF761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700542C4"/>
    <w:multiLevelType w:val="hybridMultilevel"/>
    <w:tmpl w:val="232828B0"/>
    <w:lvl w:ilvl="0" w:tplc="FFFFFFFF">
      <w:start w:val="1"/>
      <w:numFmt w:val="decimal"/>
      <w:lvlText w:val="%1."/>
      <w:lvlJc w:val="left"/>
      <w:pPr>
        <w:ind w:left="2061"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8" w15:restartNumberingAfterBreak="0">
    <w:nsid w:val="70D60AF4"/>
    <w:multiLevelType w:val="hybridMultilevel"/>
    <w:tmpl w:val="623869D6"/>
    <w:lvl w:ilvl="0" w:tplc="1E18C3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7B7F0FB5"/>
    <w:multiLevelType w:val="hybridMultilevel"/>
    <w:tmpl w:val="3586D1F0"/>
    <w:lvl w:ilvl="0" w:tplc="15C0C8A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7C190BA4"/>
    <w:multiLevelType w:val="hybridMultilevel"/>
    <w:tmpl w:val="D1FEAF26"/>
    <w:lvl w:ilvl="0" w:tplc="D5B89D1A">
      <w:start w:val="1"/>
      <w:numFmt w:val="decimal"/>
      <w:lvlText w:val="%1."/>
      <w:lvlJc w:val="left"/>
      <w:pPr>
        <w:ind w:left="1028" w:hanging="221"/>
      </w:pPr>
      <w:rPr>
        <w:rFonts w:ascii="Arial" w:eastAsia="Arial" w:hAnsi="Arial" w:cs="Arial" w:hint="default"/>
        <w:color w:val="auto"/>
        <w:spacing w:val="-2"/>
        <w:w w:val="100"/>
        <w:sz w:val="20"/>
        <w:szCs w:val="20"/>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abstractNum w:abstractNumId="32"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12"/>
  </w:num>
  <w:num w:numId="3" w16cid:durableId="679089576">
    <w:abstractNumId w:val="16"/>
  </w:num>
  <w:num w:numId="4" w16cid:durableId="893472101">
    <w:abstractNumId w:val="8"/>
  </w:num>
  <w:num w:numId="5" w16cid:durableId="1982299905">
    <w:abstractNumId w:val="32"/>
  </w:num>
  <w:num w:numId="6" w16cid:durableId="130758360">
    <w:abstractNumId w:val="19"/>
  </w:num>
  <w:num w:numId="7" w16cid:durableId="262541512">
    <w:abstractNumId w:val="29"/>
  </w:num>
  <w:num w:numId="8" w16cid:durableId="1947226218">
    <w:abstractNumId w:val="15"/>
  </w:num>
  <w:num w:numId="9" w16cid:durableId="1180706126">
    <w:abstractNumId w:val="18"/>
  </w:num>
  <w:num w:numId="10" w16cid:durableId="2097506960">
    <w:abstractNumId w:val="24"/>
  </w:num>
  <w:num w:numId="11" w16cid:durableId="1977490869">
    <w:abstractNumId w:val="22"/>
  </w:num>
  <w:num w:numId="12" w16cid:durableId="158663248">
    <w:abstractNumId w:val="21"/>
  </w:num>
  <w:num w:numId="13" w16cid:durableId="2024085788">
    <w:abstractNumId w:val="2"/>
  </w:num>
  <w:num w:numId="14" w16cid:durableId="1885099950">
    <w:abstractNumId w:val="14"/>
  </w:num>
  <w:num w:numId="15" w16cid:durableId="32047459">
    <w:abstractNumId w:val="9"/>
  </w:num>
  <w:num w:numId="16" w16cid:durableId="1192261824">
    <w:abstractNumId w:val="10"/>
  </w:num>
  <w:num w:numId="17" w16cid:durableId="375933272">
    <w:abstractNumId w:val="17"/>
  </w:num>
  <w:num w:numId="18" w16cid:durableId="610939998">
    <w:abstractNumId w:val="25"/>
  </w:num>
  <w:num w:numId="19" w16cid:durableId="1910656144">
    <w:abstractNumId w:val="3"/>
  </w:num>
  <w:num w:numId="20" w16cid:durableId="947545103">
    <w:abstractNumId w:val="13"/>
  </w:num>
  <w:num w:numId="21" w16cid:durableId="1851335222">
    <w:abstractNumId w:val="31"/>
  </w:num>
  <w:num w:numId="22" w16cid:durableId="578707994">
    <w:abstractNumId w:val="5"/>
  </w:num>
  <w:num w:numId="23" w16cid:durableId="876742304">
    <w:abstractNumId w:val="11"/>
  </w:num>
  <w:num w:numId="24" w16cid:durableId="1994095851">
    <w:abstractNumId w:val="6"/>
  </w:num>
  <w:num w:numId="25" w16cid:durableId="1567109325">
    <w:abstractNumId w:val="26"/>
  </w:num>
  <w:num w:numId="26" w16cid:durableId="1116487847">
    <w:abstractNumId w:val="20"/>
  </w:num>
  <w:num w:numId="27" w16cid:durableId="611326471">
    <w:abstractNumId w:val="27"/>
    <w:lvlOverride w:ilvl="0">
      <w:startOverride w:val="1"/>
    </w:lvlOverride>
    <w:lvlOverride w:ilvl="1"/>
    <w:lvlOverride w:ilvl="2"/>
    <w:lvlOverride w:ilvl="3"/>
    <w:lvlOverride w:ilvl="4"/>
    <w:lvlOverride w:ilvl="5"/>
    <w:lvlOverride w:ilvl="6"/>
    <w:lvlOverride w:ilvl="7"/>
    <w:lvlOverride w:ilvl="8"/>
  </w:num>
  <w:num w:numId="28" w16cid:durableId="883785195">
    <w:abstractNumId w:val="1"/>
  </w:num>
  <w:num w:numId="29" w16cid:durableId="2116288898">
    <w:abstractNumId w:val="30"/>
  </w:num>
  <w:num w:numId="30" w16cid:durableId="363991975">
    <w:abstractNumId w:val="28"/>
  </w:num>
  <w:num w:numId="31" w16cid:durableId="1509440290">
    <w:abstractNumId w:val="23"/>
  </w:num>
  <w:num w:numId="32" w16cid:durableId="1601723362">
    <w:abstractNumId w:val="7"/>
  </w:num>
  <w:num w:numId="33" w16cid:durableId="14845390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920"/>
    <w:rsid w:val="00002D55"/>
    <w:rsid w:val="0000399A"/>
    <w:rsid w:val="00005225"/>
    <w:rsid w:val="000054DB"/>
    <w:rsid w:val="0000587D"/>
    <w:rsid w:val="000059AE"/>
    <w:rsid w:val="00005BB0"/>
    <w:rsid w:val="00006F59"/>
    <w:rsid w:val="00007086"/>
    <w:rsid w:val="00007382"/>
    <w:rsid w:val="00007576"/>
    <w:rsid w:val="0001025F"/>
    <w:rsid w:val="0001155E"/>
    <w:rsid w:val="00011613"/>
    <w:rsid w:val="00011D3C"/>
    <w:rsid w:val="0001222D"/>
    <w:rsid w:val="00012679"/>
    <w:rsid w:val="00012EDA"/>
    <w:rsid w:val="00013B3F"/>
    <w:rsid w:val="00014981"/>
    <w:rsid w:val="00014B0D"/>
    <w:rsid w:val="00014E7B"/>
    <w:rsid w:val="00016280"/>
    <w:rsid w:val="0001672C"/>
    <w:rsid w:val="00016F04"/>
    <w:rsid w:val="00017870"/>
    <w:rsid w:val="00021068"/>
    <w:rsid w:val="00021595"/>
    <w:rsid w:val="000219D1"/>
    <w:rsid w:val="00021C3A"/>
    <w:rsid w:val="0002202D"/>
    <w:rsid w:val="00022C23"/>
    <w:rsid w:val="00023DF7"/>
    <w:rsid w:val="000267DD"/>
    <w:rsid w:val="000273EA"/>
    <w:rsid w:val="00027B63"/>
    <w:rsid w:val="00027CA9"/>
    <w:rsid w:val="00030B3D"/>
    <w:rsid w:val="00030BC5"/>
    <w:rsid w:val="00030BFB"/>
    <w:rsid w:val="00031DA1"/>
    <w:rsid w:val="00031EAF"/>
    <w:rsid w:val="00033390"/>
    <w:rsid w:val="000361EA"/>
    <w:rsid w:val="0003699E"/>
    <w:rsid w:val="000369C0"/>
    <w:rsid w:val="0003731A"/>
    <w:rsid w:val="00037A8B"/>
    <w:rsid w:val="00040372"/>
    <w:rsid w:val="000408AD"/>
    <w:rsid w:val="00041469"/>
    <w:rsid w:val="0004180C"/>
    <w:rsid w:val="000419D7"/>
    <w:rsid w:val="00042DD7"/>
    <w:rsid w:val="00043EE5"/>
    <w:rsid w:val="000442CC"/>
    <w:rsid w:val="000442DE"/>
    <w:rsid w:val="00044B24"/>
    <w:rsid w:val="0004508D"/>
    <w:rsid w:val="0004526E"/>
    <w:rsid w:val="00045B37"/>
    <w:rsid w:val="0004709D"/>
    <w:rsid w:val="000504AA"/>
    <w:rsid w:val="0005086B"/>
    <w:rsid w:val="00050C95"/>
    <w:rsid w:val="00050CAD"/>
    <w:rsid w:val="0005142D"/>
    <w:rsid w:val="00051A3C"/>
    <w:rsid w:val="00051BE4"/>
    <w:rsid w:val="00051E96"/>
    <w:rsid w:val="000526A8"/>
    <w:rsid w:val="00052EF1"/>
    <w:rsid w:val="0005420B"/>
    <w:rsid w:val="000551CB"/>
    <w:rsid w:val="0005620B"/>
    <w:rsid w:val="00057392"/>
    <w:rsid w:val="000577A2"/>
    <w:rsid w:val="000577D3"/>
    <w:rsid w:val="00057963"/>
    <w:rsid w:val="000579AB"/>
    <w:rsid w:val="00060AE4"/>
    <w:rsid w:val="000622B9"/>
    <w:rsid w:val="000631E9"/>
    <w:rsid w:val="00063B4B"/>
    <w:rsid w:val="00064721"/>
    <w:rsid w:val="00064D60"/>
    <w:rsid w:val="00065973"/>
    <w:rsid w:val="00065C6D"/>
    <w:rsid w:val="000665D3"/>
    <w:rsid w:val="00066646"/>
    <w:rsid w:val="00066C7A"/>
    <w:rsid w:val="00066CF1"/>
    <w:rsid w:val="0007144A"/>
    <w:rsid w:val="000716AB"/>
    <w:rsid w:val="00071AB8"/>
    <w:rsid w:val="0007243A"/>
    <w:rsid w:val="000734CB"/>
    <w:rsid w:val="000762C0"/>
    <w:rsid w:val="00076737"/>
    <w:rsid w:val="00076C2B"/>
    <w:rsid w:val="00076C73"/>
    <w:rsid w:val="00076F81"/>
    <w:rsid w:val="000772B1"/>
    <w:rsid w:val="000779DE"/>
    <w:rsid w:val="000800B6"/>
    <w:rsid w:val="00080D15"/>
    <w:rsid w:val="00081B03"/>
    <w:rsid w:val="000847A0"/>
    <w:rsid w:val="00084BFD"/>
    <w:rsid w:val="00087073"/>
    <w:rsid w:val="0008739A"/>
    <w:rsid w:val="000875BD"/>
    <w:rsid w:val="000878E7"/>
    <w:rsid w:val="00087A3B"/>
    <w:rsid w:val="00087C01"/>
    <w:rsid w:val="000903E4"/>
    <w:rsid w:val="000906E3"/>
    <w:rsid w:val="00091D73"/>
    <w:rsid w:val="000933B5"/>
    <w:rsid w:val="000933BC"/>
    <w:rsid w:val="00093544"/>
    <w:rsid w:val="00093D95"/>
    <w:rsid w:val="00094663"/>
    <w:rsid w:val="00095410"/>
    <w:rsid w:val="00095E48"/>
    <w:rsid w:val="00096637"/>
    <w:rsid w:val="0009726B"/>
    <w:rsid w:val="00097285"/>
    <w:rsid w:val="000975EA"/>
    <w:rsid w:val="000A021A"/>
    <w:rsid w:val="000A1828"/>
    <w:rsid w:val="000A1D06"/>
    <w:rsid w:val="000A1F38"/>
    <w:rsid w:val="000A2030"/>
    <w:rsid w:val="000A37F5"/>
    <w:rsid w:val="000A413A"/>
    <w:rsid w:val="000A4F1E"/>
    <w:rsid w:val="000A5881"/>
    <w:rsid w:val="000A66A1"/>
    <w:rsid w:val="000A69FB"/>
    <w:rsid w:val="000B1087"/>
    <w:rsid w:val="000B199A"/>
    <w:rsid w:val="000B1FF7"/>
    <w:rsid w:val="000B2529"/>
    <w:rsid w:val="000B2B7C"/>
    <w:rsid w:val="000B377E"/>
    <w:rsid w:val="000B381D"/>
    <w:rsid w:val="000B3DD4"/>
    <w:rsid w:val="000B4024"/>
    <w:rsid w:val="000B44BA"/>
    <w:rsid w:val="000B4C9C"/>
    <w:rsid w:val="000B5311"/>
    <w:rsid w:val="000B5313"/>
    <w:rsid w:val="000B5C65"/>
    <w:rsid w:val="000B5F1D"/>
    <w:rsid w:val="000B6BE9"/>
    <w:rsid w:val="000C02AD"/>
    <w:rsid w:val="000C060A"/>
    <w:rsid w:val="000C07B0"/>
    <w:rsid w:val="000C09DF"/>
    <w:rsid w:val="000C0AA8"/>
    <w:rsid w:val="000C18BD"/>
    <w:rsid w:val="000C1FC8"/>
    <w:rsid w:val="000C36E1"/>
    <w:rsid w:val="000C42A9"/>
    <w:rsid w:val="000C42C6"/>
    <w:rsid w:val="000C50D6"/>
    <w:rsid w:val="000C557B"/>
    <w:rsid w:val="000C5A85"/>
    <w:rsid w:val="000C5F29"/>
    <w:rsid w:val="000C5F48"/>
    <w:rsid w:val="000C66BF"/>
    <w:rsid w:val="000C6FC1"/>
    <w:rsid w:val="000C7FF8"/>
    <w:rsid w:val="000D0372"/>
    <w:rsid w:val="000D0ADE"/>
    <w:rsid w:val="000D1A8F"/>
    <w:rsid w:val="000D2914"/>
    <w:rsid w:val="000D2E60"/>
    <w:rsid w:val="000D2F50"/>
    <w:rsid w:val="000D3275"/>
    <w:rsid w:val="000D3A1B"/>
    <w:rsid w:val="000D3B86"/>
    <w:rsid w:val="000D4E64"/>
    <w:rsid w:val="000D5008"/>
    <w:rsid w:val="000D570C"/>
    <w:rsid w:val="000D5A0F"/>
    <w:rsid w:val="000D5B1E"/>
    <w:rsid w:val="000D5D9B"/>
    <w:rsid w:val="000D5E3F"/>
    <w:rsid w:val="000D6532"/>
    <w:rsid w:val="000D6E33"/>
    <w:rsid w:val="000E0622"/>
    <w:rsid w:val="000E07AA"/>
    <w:rsid w:val="000E1D6F"/>
    <w:rsid w:val="000E2D0D"/>
    <w:rsid w:val="000E336A"/>
    <w:rsid w:val="000E3381"/>
    <w:rsid w:val="000E3744"/>
    <w:rsid w:val="000E3CD9"/>
    <w:rsid w:val="000E481D"/>
    <w:rsid w:val="000E4DBF"/>
    <w:rsid w:val="000E4DF2"/>
    <w:rsid w:val="000E5844"/>
    <w:rsid w:val="000E7349"/>
    <w:rsid w:val="000E762D"/>
    <w:rsid w:val="000E77CC"/>
    <w:rsid w:val="000F0144"/>
    <w:rsid w:val="000F0783"/>
    <w:rsid w:val="000F0807"/>
    <w:rsid w:val="000F080D"/>
    <w:rsid w:val="000F0B3C"/>
    <w:rsid w:val="000F13D5"/>
    <w:rsid w:val="000F175F"/>
    <w:rsid w:val="000F1AD8"/>
    <w:rsid w:val="000F2F4C"/>
    <w:rsid w:val="000F38D9"/>
    <w:rsid w:val="000F3CED"/>
    <w:rsid w:val="000F414C"/>
    <w:rsid w:val="000F6320"/>
    <w:rsid w:val="000F64FC"/>
    <w:rsid w:val="000F696E"/>
    <w:rsid w:val="000F6C10"/>
    <w:rsid w:val="000F718E"/>
    <w:rsid w:val="001001F2"/>
    <w:rsid w:val="00100207"/>
    <w:rsid w:val="001003C6"/>
    <w:rsid w:val="00100682"/>
    <w:rsid w:val="001010D3"/>
    <w:rsid w:val="0010144A"/>
    <w:rsid w:val="00101C11"/>
    <w:rsid w:val="00102F4F"/>
    <w:rsid w:val="001034DD"/>
    <w:rsid w:val="00104425"/>
    <w:rsid w:val="00104B4C"/>
    <w:rsid w:val="00105135"/>
    <w:rsid w:val="001055A2"/>
    <w:rsid w:val="00105DC2"/>
    <w:rsid w:val="0010682A"/>
    <w:rsid w:val="00106C4C"/>
    <w:rsid w:val="00107DEF"/>
    <w:rsid w:val="0011037E"/>
    <w:rsid w:val="00110404"/>
    <w:rsid w:val="001109E8"/>
    <w:rsid w:val="00110F73"/>
    <w:rsid w:val="00111E35"/>
    <w:rsid w:val="001128B4"/>
    <w:rsid w:val="00112EBD"/>
    <w:rsid w:val="001132C2"/>
    <w:rsid w:val="0011382D"/>
    <w:rsid w:val="00113AF2"/>
    <w:rsid w:val="00113C17"/>
    <w:rsid w:val="00113FDD"/>
    <w:rsid w:val="00114051"/>
    <w:rsid w:val="00114973"/>
    <w:rsid w:val="00114CFF"/>
    <w:rsid w:val="00114FDF"/>
    <w:rsid w:val="0011650B"/>
    <w:rsid w:val="00116616"/>
    <w:rsid w:val="00116FC5"/>
    <w:rsid w:val="00117163"/>
    <w:rsid w:val="00117BBD"/>
    <w:rsid w:val="001202DF"/>
    <w:rsid w:val="00120F1B"/>
    <w:rsid w:val="001213E7"/>
    <w:rsid w:val="001224BA"/>
    <w:rsid w:val="001238BC"/>
    <w:rsid w:val="00124518"/>
    <w:rsid w:val="001248AB"/>
    <w:rsid w:val="00124981"/>
    <w:rsid w:val="00124B2E"/>
    <w:rsid w:val="001256A1"/>
    <w:rsid w:val="00125D81"/>
    <w:rsid w:val="00126301"/>
    <w:rsid w:val="0012661F"/>
    <w:rsid w:val="00126966"/>
    <w:rsid w:val="001269B0"/>
    <w:rsid w:val="00126B24"/>
    <w:rsid w:val="00127234"/>
    <w:rsid w:val="001276C4"/>
    <w:rsid w:val="00127C68"/>
    <w:rsid w:val="00127D5B"/>
    <w:rsid w:val="00131373"/>
    <w:rsid w:val="001314A0"/>
    <w:rsid w:val="00131A1F"/>
    <w:rsid w:val="00131A66"/>
    <w:rsid w:val="00131F9C"/>
    <w:rsid w:val="00132336"/>
    <w:rsid w:val="00132425"/>
    <w:rsid w:val="0013280A"/>
    <w:rsid w:val="00132875"/>
    <w:rsid w:val="001332B3"/>
    <w:rsid w:val="0013343F"/>
    <w:rsid w:val="001344F9"/>
    <w:rsid w:val="00134F37"/>
    <w:rsid w:val="00135F76"/>
    <w:rsid w:val="001360E9"/>
    <w:rsid w:val="001360F4"/>
    <w:rsid w:val="001363C7"/>
    <w:rsid w:val="00136E87"/>
    <w:rsid w:val="00140793"/>
    <w:rsid w:val="0014203B"/>
    <w:rsid w:val="001422BD"/>
    <w:rsid w:val="0014286D"/>
    <w:rsid w:val="00143B8E"/>
    <w:rsid w:val="00143F21"/>
    <w:rsid w:val="0014420C"/>
    <w:rsid w:val="001446C3"/>
    <w:rsid w:val="001461A7"/>
    <w:rsid w:val="00146946"/>
    <w:rsid w:val="00146E7C"/>
    <w:rsid w:val="00147F8C"/>
    <w:rsid w:val="00150492"/>
    <w:rsid w:val="001513CE"/>
    <w:rsid w:val="00151465"/>
    <w:rsid w:val="00151AD8"/>
    <w:rsid w:val="00151E77"/>
    <w:rsid w:val="00153287"/>
    <w:rsid w:val="001533E6"/>
    <w:rsid w:val="001538BE"/>
    <w:rsid w:val="00153C33"/>
    <w:rsid w:val="00155198"/>
    <w:rsid w:val="00155A26"/>
    <w:rsid w:val="00155EF1"/>
    <w:rsid w:val="00156192"/>
    <w:rsid w:val="00156E57"/>
    <w:rsid w:val="0015710D"/>
    <w:rsid w:val="00157338"/>
    <w:rsid w:val="00157CE5"/>
    <w:rsid w:val="00157DEB"/>
    <w:rsid w:val="001610BC"/>
    <w:rsid w:val="00161847"/>
    <w:rsid w:val="00161E13"/>
    <w:rsid w:val="001629D8"/>
    <w:rsid w:val="00162B2A"/>
    <w:rsid w:val="00162B8D"/>
    <w:rsid w:val="00162F9F"/>
    <w:rsid w:val="00163EB1"/>
    <w:rsid w:val="00164803"/>
    <w:rsid w:val="00164AE0"/>
    <w:rsid w:val="00165BF5"/>
    <w:rsid w:val="00165F2E"/>
    <w:rsid w:val="00165F70"/>
    <w:rsid w:val="0016646A"/>
    <w:rsid w:val="0016793B"/>
    <w:rsid w:val="00167C43"/>
    <w:rsid w:val="001706C9"/>
    <w:rsid w:val="0017120C"/>
    <w:rsid w:val="0017150D"/>
    <w:rsid w:val="00171D3A"/>
    <w:rsid w:val="001727D7"/>
    <w:rsid w:val="00172C96"/>
    <w:rsid w:val="00172DDC"/>
    <w:rsid w:val="00172F3A"/>
    <w:rsid w:val="00173477"/>
    <w:rsid w:val="0017414F"/>
    <w:rsid w:val="0017432C"/>
    <w:rsid w:val="00174636"/>
    <w:rsid w:val="00174735"/>
    <w:rsid w:val="0017481D"/>
    <w:rsid w:val="00174B1B"/>
    <w:rsid w:val="00174BD8"/>
    <w:rsid w:val="00174D51"/>
    <w:rsid w:val="001750BC"/>
    <w:rsid w:val="001757B3"/>
    <w:rsid w:val="001765BB"/>
    <w:rsid w:val="0017667E"/>
    <w:rsid w:val="001766D3"/>
    <w:rsid w:val="00176AE8"/>
    <w:rsid w:val="00176E76"/>
    <w:rsid w:val="00177570"/>
    <w:rsid w:val="00177E95"/>
    <w:rsid w:val="0018007F"/>
    <w:rsid w:val="001811FC"/>
    <w:rsid w:val="00182338"/>
    <w:rsid w:val="00182348"/>
    <w:rsid w:val="00183F50"/>
    <w:rsid w:val="00184BD9"/>
    <w:rsid w:val="00184ED6"/>
    <w:rsid w:val="00184F13"/>
    <w:rsid w:val="00184FD9"/>
    <w:rsid w:val="00185361"/>
    <w:rsid w:val="00186037"/>
    <w:rsid w:val="00186AE4"/>
    <w:rsid w:val="00186D14"/>
    <w:rsid w:val="001876D8"/>
    <w:rsid w:val="00187F6A"/>
    <w:rsid w:val="00190325"/>
    <w:rsid w:val="00190391"/>
    <w:rsid w:val="0019151E"/>
    <w:rsid w:val="00191593"/>
    <w:rsid w:val="001918F1"/>
    <w:rsid w:val="0019196E"/>
    <w:rsid w:val="00191FF5"/>
    <w:rsid w:val="001926D7"/>
    <w:rsid w:val="00192CCE"/>
    <w:rsid w:val="0019385B"/>
    <w:rsid w:val="00193F1C"/>
    <w:rsid w:val="001948F5"/>
    <w:rsid w:val="00194958"/>
    <w:rsid w:val="00196359"/>
    <w:rsid w:val="00197205"/>
    <w:rsid w:val="00197632"/>
    <w:rsid w:val="0019793F"/>
    <w:rsid w:val="00197A9D"/>
    <w:rsid w:val="001A08E7"/>
    <w:rsid w:val="001A17D7"/>
    <w:rsid w:val="001A1A67"/>
    <w:rsid w:val="001A1FDD"/>
    <w:rsid w:val="001A2D8F"/>
    <w:rsid w:val="001A3D89"/>
    <w:rsid w:val="001A3E0A"/>
    <w:rsid w:val="001A5458"/>
    <w:rsid w:val="001A545B"/>
    <w:rsid w:val="001A54DA"/>
    <w:rsid w:val="001A5E69"/>
    <w:rsid w:val="001A6861"/>
    <w:rsid w:val="001A6FEC"/>
    <w:rsid w:val="001A78AA"/>
    <w:rsid w:val="001B08B5"/>
    <w:rsid w:val="001B143B"/>
    <w:rsid w:val="001B1532"/>
    <w:rsid w:val="001B1777"/>
    <w:rsid w:val="001B19C5"/>
    <w:rsid w:val="001B1B6D"/>
    <w:rsid w:val="001B1C93"/>
    <w:rsid w:val="001B21CA"/>
    <w:rsid w:val="001B28D5"/>
    <w:rsid w:val="001B28E4"/>
    <w:rsid w:val="001B35D4"/>
    <w:rsid w:val="001B4446"/>
    <w:rsid w:val="001B5A00"/>
    <w:rsid w:val="001B5F59"/>
    <w:rsid w:val="001B63A7"/>
    <w:rsid w:val="001B6810"/>
    <w:rsid w:val="001B6E89"/>
    <w:rsid w:val="001B791C"/>
    <w:rsid w:val="001B7D70"/>
    <w:rsid w:val="001C0125"/>
    <w:rsid w:val="001C1074"/>
    <w:rsid w:val="001C21C8"/>
    <w:rsid w:val="001C25F5"/>
    <w:rsid w:val="001C2DFD"/>
    <w:rsid w:val="001C34D0"/>
    <w:rsid w:val="001C4249"/>
    <w:rsid w:val="001C46E3"/>
    <w:rsid w:val="001C4F27"/>
    <w:rsid w:val="001C51FE"/>
    <w:rsid w:val="001C6573"/>
    <w:rsid w:val="001C7D03"/>
    <w:rsid w:val="001D00BE"/>
    <w:rsid w:val="001D079B"/>
    <w:rsid w:val="001D0D32"/>
    <w:rsid w:val="001D17C9"/>
    <w:rsid w:val="001D1AB9"/>
    <w:rsid w:val="001D1F20"/>
    <w:rsid w:val="001D3795"/>
    <w:rsid w:val="001D4006"/>
    <w:rsid w:val="001D54BD"/>
    <w:rsid w:val="001D5C72"/>
    <w:rsid w:val="001D626E"/>
    <w:rsid w:val="001D733B"/>
    <w:rsid w:val="001D73CF"/>
    <w:rsid w:val="001D7E8C"/>
    <w:rsid w:val="001E0902"/>
    <w:rsid w:val="001E1801"/>
    <w:rsid w:val="001E1C73"/>
    <w:rsid w:val="001E1E05"/>
    <w:rsid w:val="001E2254"/>
    <w:rsid w:val="001E22D2"/>
    <w:rsid w:val="001E2343"/>
    <w:rsid w:val="001E3A17"/>
    <w:rsid w:val="001E3FCB"/>
    <w:rsid w:val="001E52DF"/>
    <w:rsid w:val="001E5500"/>
    <w:rsid w:val="001E6BCB"/>
    <w:rsid w:val="001E783B"/>
    <w:rsid w:val="001E7FBC"/>
    <w:rsid w:val="001F0822"/>
    <w:rsid w:val="001F08CB"/>
    <w:rsid w:val="001F105B"/>
    <w:rsid w:val="001F15F6"/>
    <w:rsid w:val="001F179C"/>
    <w:rsid w:val="001F24B7"/>
    <w:rsid w:val="001F2649"/>
    <w:rsid w:val="001F3496"/>
    <w:rsid w:val="001F41CA"/>
    <w:rsid w:val="001F4355"/>
    <w:rsid w:val="001F4819"/>
    <w:rsid w:val="001F48BD"/>
    <w:rsid w:val="001F4FAB"/>
    <w:rsid w:val="001F5034"/>
    <w:rsid w:val="001F61DE"/>
    <w:rsid w:val="001F63AA"/>
    <w:rsid w:val="001F69C8"/>
    <w:rsid w:val="001F7054"/>
    <w:rsid w:val="001F77E5"/>
    <w:rsid w:val="001F7DB7"/>
    <w:rsid w:val="002000AA"/>
    <w:rsid w:val="00201502"/>
    <w:rsid w:val="0020302A"/>
    <w:rsid w:val="002032A0"/>
    <w:rsid w:val="00203532"/>
    <w:rsid w:val="00203AE0"/>
    <w:rsid w:val="00204106"/>
    <w:rsid w:val="00204109"/>
    <w:rsid w:val="0020503A"/>
    <w:rsid w:val="00205041"/>
    <w:rsid w:val="0020524C"/>
    <w:rsid w:val="002059E3"/>
    <w:rsid w:val="002100FF"/>
    <w:rsid w:val="00210543"/>
    <w:rsid w:val="00210B9B"/>
    <w:rsid w:val="0021102F"/>
    <w:rsid w:val="002118D1"/>
    <w:rsid w:val="00211DCE"/>
    <w:rsid w:val="0021229D"/>
    <w:rsid w:val="00212390"/>
    <w:rsid w:val="00212897"/>
    <w:rsid w:val="0021386A"/>
    <w:rsid w:val="00213C44"/>
    <w:rsid w:val="002147EE"/>
    <w:rsid w:val="00215516"/>
    <w:rsid w:val="002158DC"/>
    <w:rsid w:val="002159D5"/>
    <w:rsid w:val="00215B64"/>
    <w:rsid w:val="00215C05"/>
    <w:rsid w:val="002161E3"/>
    <w:rsid w:val="00216DF5"/>
    <w:rsid w:val="00216EFA"/>
    <w:rsid w:val="0021798E"/>
    <w:rsid w:val="00217CA1"/>
    <w:rsid w:val="00217DEE"/>
    <w:rsid w:val="002203BF"/>
    <w:rsid w:val="00220C4C"/>
    <w:rsid w:val="00220E95"/>
    <w:rsid w:val="002217FE"/>
    <w:rsid w:val="0022180C"/>
    <w:rsid w:val="00221C72"/>
    <w:rsid w:val="002223E1"/>
    <w:rsid w:val="002225AB"/>
    <w:rsid w:val="00222955"/>
    <w:rsid w:val="002231B0"/>
    <w:rsid w:val="002250D1"/>
    <w:rsid w:val="002267D2"/>
    <w:rsid w:val="00230839"/>
    <w:rsid w:val="00230EE8"/>
    <w:rsid w:val="00231ADB"/>
    <w:rsid w:val="00232178"/>
    <w:rsid w:val="00232248"/>
    <w:rsid w:val="00232D12"/>
    <w:rsid w:val="00233616"/>
    <w:rsid w:val="00233975"/>
    <w:rsid w:val="00233B8C"/>
    <w:rsid w:val="002353E3"/>
    <w:rsid w:val="00235CC0"/>
    <w:rsid w:val="00235F30"/>
    <w:rsid w:val="00236287"/>
    <w:rsid w:val="002363FF"/>
    <w:rsid w:val="00236D10"/>
    <w:rsid w:val="002407CE"/>
    <w:rsid w:val="00242325"/>
    <w:rsid w:val="00243A38"/>
    <w:rsid w:val="0024474F"/>
    <w:rsid w:val="00244761"/>
    <w:rsid w:val="002450F2"/>
    <w:rsid w:val="00245B7F"/>
    <w:rsid w:val="00246383"/>
    <w:rsid w:val="002469C2"/>
    <w:rsid w:val="00247470"/>
    <w:rsid w:val="00247BDE"/>
    <w:rsid w:val="00247DE2"/>
    <w:rsid w:val="002505DE"/>
    <w:rsid w:val="002514FA"/>
    <w:rsid w:val="00251DAF"/>
    <w:rsid w:val="00252503"/>
    <w:rsid w:val="0025265C"/>
    <w:rsid w:val="00252ED7"/>
    <w:rsid w:val="0025393C"/>
    <w:rsid w:val="002549E7"/>
    <w:rsid w:val="00254A7A"/>
    <w:rsid w:val="00254EA4"/>
    <w:rsid w:val="0025509C"/>
    <w:rsid w:val="002552F8"/>
    <w:rsid w:val="0025575F"/>
    <w:rsid w:val="002571E3"/>
    <w:rsid w:val="002573DA"/>
    <w:rsid w:val="00260496"/>
    <w:rsid w:val="00260542"/>
    <w:rsid w:val="00260BAD"/>
    <w:rsid w:val="0026224C"/>
    <w:rsid w:val="00264C7C"/>
    <w:rsid w:val="0026650F"/>
    <w:rsid w:val="00266DC3"/>
    <w:rsid w:val="0027029D"/>
    <w:rsid w:val="00270443"/>
    <w:rsid w:val="00270EE2"/>
    <w:rsid w:val="0027138C"/>
    <w:rsid w:val="0027165A"/>
    <w:rsid w:val="00272787"/>
    <w:rsid w:val="00272826"/>
    <w:rsid w:val="00272A7B"/>
    <w:rsid w:val="00272C44"/>
    <w:rsid w:val="00272F05"/>
    <w:rsid w:val="00273527"/>
    <w:rsid w:val="00273F6B"/>
    <w:rsid w:val="002747EF"/>
    <w:rsid w:val="00274B06"/>
    <w:rsid w:val="002751D6"/>
    <w:rsid w:val="002754D3"/>
    <w:rsid w:val="00276261"/>
    <w:rsid w:val="00276944"/>
    <w:rsid w:val="00276964"/>
    <w:rsid w:val="002769AE"/>
    <w:rsid w:val="00276CA7"/>
    <w:rsid w:val="002816DD"/>
    <w:rsid w:val="002817A6"/>
    <w:rsid w:val="002821E8"/>
    <w:rsid w:val="00282F1D"/>
    <w:rsid w:val="00283215"/>
    <w:rsid w:val="002833F3"/>
    <w:rsid w:val="00284203"/>
    <w:rsid w:val="00285237"/>
    <w:rsid w:val="00285E3F"/>
    <w:rsid w:val="0028610D"/>
    <w:rsid w:val="002862CC"/>
    <w:rsid w:val="00286BFE"/>
    <w:rsid w:val="00286C81"/>
    <w:rsid w:val="0028703E"/>
    <w:rsid w:val="0028709F"/>
    <w:rsid w:val="0028717B"/>
    <w:rsid w:val="00287524"/>
    <w:rsid w:val="00290119"/>
    <w:rsid w:val="0029040D"/>
    <w:rsid w:val="002908F8"/>
    <w:rsid w:val="00290A53"/>
    <w:rsid w:val="00290B64"/>
    <w:rsid w:val="00291CB7"/>
    <w:rsid w:val="00292E91"/>
    <w:rsid w:val="002930AD"/>
    <w:rsid w:val="00293254"/>
    <w:rsid w:val="00295002"/>
    <w:rsid w:val="0029568E"/>
    <w:rsid w:val="00295E8C"/>
    <w:rsid w:val="002971C7"/>
    <w:rsid w:val="002971F2"/>
    <w:rsid w:val="00297785"/>
    <w:rsid w:val="00297E05"/>
    <w:rsid w:val="002A0444"/>
    <w:rsid w:val="002A0F8D"/>
    <w:rsid w:val="002A1311"/>
    <w:rsid w:val="002A1377"/>
    <w:rsid w:val="002A211A"/>
    <w:rsid w:val="002A264B"/>
    <w:rsid w:val="002A4A82"/>
    <w:rsid w:val="002A4B33"/>
    <w:rsid w:val="002A4C00"/>
    <w:rsid w:val="002A5311"/>
    <w:rsid w:val="002A5863"/>
    <w:rsid w:val="002A6E9B"/>
    <w:rsid w:val="002A6FBB"/>
    <w:rsid w:val="002B05D1"/>
    <w:rsid w:val="002B1933"/>
    <w:rsid w:val="002B20BD"/>
    <w:rsid w:val="002B22DB"/>
    <w:rsid w:val="002B2611"/>
    <w:rsid w:val="002B27D8"/>
    <w:rsid w:val="002B35B9"/>
    <w:rsid w:val="002B38D2"/>
    <w:rsid w:val="002B3A46"/>
    <w:rsid w:val="002B3F1C"/>
    <w:rsid w:val="002B3F60"/>
    <w:rsid w:val="002B401B"/>
    <w:rsid w:val="002B48C5"/>
    <w:rsid w:val="002B4ED9"/>
    <w:rsid w:val="002B4EF4"/>
    <w:rsid w:val="002B51BB"/>
    <w:rsid w:val="002B58C5"/>
    <w:rsid w:val="002B6CA2"/>
    <w:rsid w:val="002B6E44"/>
    <w:rsid w:val="002B6E8A"/>
    <w:rsid w:val="002B726F"/>
    <w:rsid w:val="002B744E"/>
    <w:rsid w:val="002B7909"/>
    <w:rsid w:val="002C000B"/>
    <w:rsid w:val="002C016F"/>
    <w:rsid w:val="002C09A8"/>
    <w:rsid w:val="002C103C"/>
    <w:rsid w:val="002C1109"/>
    <w:rsid w:val="002C12C7"/>
    <w:rsid w:val="002C1E93"/>
    <w:rsid w:val="002C29EB"/>
    <w:rsid w:val="002C30F0"/>
    <w:rsid w:val="002C401A"/>
    <w:rsid w:val="002C479B"/>
    <w:rsid w:val="002C4EC8"/>
    <w:rsid w:val="002C532B"/>
    <w:rsid w:val="002C6AF5"/>
    <w:rsid w:val="002C6D15"/>
    <w:rsid w:val="002C72F4"/>
    <w:rsid w:val="002C7E5B"/>
    <w:rsid w:val="002D0907"/>
    <w:rsid w:val="002D0E9E"/>
    <w:rsid w:val="002D1381"/>
    <w:rsid w:val="002D2D68"/>
    <w:rsid w:val="002D2F69"/>
    <w:rsid w:val="002D3016"/>
    <w:rsid w:val="002D3067"/>
    <w:rsid w:val="002D38D9"/>
    <w:rsid w:val="002D3CE3"/>
    <w:rsid w:val="002D4298"/>
    <w:rsid w:val="002D47E8"/>
    <w:rsid w:val="002D4FCC"/>
    <w:rsid w:val="002D5FD5"/>
    <w:rsid w:val="002D68F4"/>
    <w:rsid w:val="002D7395"/>
    <w:rsid w:val="002D7417"/>
    <w:rsid w:val="002D782B"/>
    <w:rsid w:val="002D795B"/>
    <w:rsid w:val="002E0D9C"/>
    <w:rsid w:val="002E1247"/>
    <w:rsid w:val="002E26E8"/>
    <w:rsid w:val="002E3DD8"/>
    <w:rsid w:val="002E3ED8"/>
    <w:rsid w:val="002E5A01"/>
    <w:rsid w:val="002E5AF4"/>
    <w:rsid w:val="002E5EA3"/>
    <w:rsid w:val="002E717C"/>
    <w:rsid w:val="002E7533"/>
    <w:rsid w:val="002E7A61"/>
    <w:rsid w:val="002F00B8"/>
    <w:rsid w:val="002F0106"/>
    <w:rsid w:val="002F03C8"/>
    <w:rsid w:val="002F188D"/>
    <w:rsid w:val="002F18A5"/>
    <w:rsid w:val="002F26F3"/>
    <w:rsid w:val="002F317F"/>
    <w:rsid w:val="002F51A2"/>
    <w:rsid w:val="002F5BA8"/>
    <w:rsid w:val="002F5E95"/>
    <w:rsid w:val="002F5F68"/>
    <w:rsid w:val="002F63CA"/>
    <w:rsid w:val="002F67B4"/>
    <w:rsid w:val="002F6F73"/>
    <w:rsid w:val="002F7AA9"/>
    <w:rsid w:val="003004E3"/>
    <w:rsid w:val="00300FF1"/>
    <w:rsid w:val="00301C0D"/>
    <w:rsid w:val="00301D7B"/>
    <w:rsid w:val="00301E19"/>
    <w:rsid w:val="003023DE"/>
    <w:rsid w:val="00302998"/>
    <w:rsid w:val="00303DC4"/>
    <w:rsid w:val="00304676"/>
    <w:rsid w:val="00306BE7"/>
    <w:rsid w:val="00306D4A"/>
    <w:rsid w:val="003110A2"/>
    <w:rsid w:val="00311655"/>
    <w:rsid w:val="00311B66"/>
    <w:rsid w:val="00311F29"/>
    <w:rsid w:val="00312518"/>
    <w:rsid w:val="00314036"/>
    <w:rsid w:val="00314347"/>
    <w:rsid w:val="00314C4F"/>
    <w:rsid w:val="00314FAF"/>
    <w:rsid w:val="003162A5"/>
    <w:rsid w:val="00316591"/>
    <w:rsid w:val="00320553"/>
    <w:rsid w:val="00320C6D"/>
    <w:rsid w:val="003213A8"/>
    <w:rsid w:val="00321FA8"/>
    <w:rsid w:val="00321FFD"/>
    <w:rsid w:val="003225AD"/>
    <w:rsid w:val="00322E18"/>
    <w:rsid w:val="00323C3D"/>
    <w:rsid w:val="00323D1D"/>
    <w:rsid w:val="00323F8A"/>
    <w:rsid w:val="00324752"/>
    <w:rsid w:val="00324D73"/>
    <w:rsid w:val="00326011"/>
    <w:rsid w:val="0032643D"/>
    <w:rsid w:val="00326D02"/>
    <w:rsid w:val="00327069"/>
    <w:rsid w:val="00327812"/>
    <w:rsid w:val="00327AFB"/>
    <w:rsid w:val="00327BAF"/>
    <w:rsid w:val="00327D10"/>
    <w:rsid w:val="00331894"/>
    <w:rsid w:val="00332CB8"/>
    <w:rsid w:val="00333428"/>
    <w:rsid w:val="00334784"/>
    <w:rsid w:val="003350B6"/>
    <w:rsid w:val="0033595E"/>
    <w:rsid w:val="0033601B"/>
    <w:rsid w:val="003364B6"/>
    <w:rsid w:val="0033764C"/>
    <w:rsid w:val="00337DF3"/>
    <w:rsid w:val="00337F8E"/>
    <w:rsid w:val="00340039"/>
    <w:rsid w:val="003400D3"/>
    <w:rsid w:val="0034024F"/>
    <w:rsid w:val="00340A77"/>
    <w:rsid w:val="00340D39"/>
    <w:rsid w:val="00340DFB"/>
    <w:rsid w:val="00341941"/>
    <w:rsid w:val="0034207A"/>
    <w:rsid w:val="0034278F"/>
    <w:rsid w:val="0034281F"/>
    <w:rsid w:val="00343B47"/>
    <w:rsid w:val="0034404F"/>
    <w:rsid w:val="00344ACC"/>
    <w:rsid w:val="00345F01"/>
    <w:rsid w:val="0034654F"/>
    <w:rsid w:val="00346B28"/>
    <w:rsid w:val="00347685"/>
    <w:rsid w:val="003509A5"/>
    <w:rsid w:val="003515FD"/>
    <w:rsid w:val="003518A4"/>
    <w:rsid w:val="00351E21"/>
    <w:rsid w:val="00352327"/>
    <w:rsid w:val="003526A9"/>
    <w:rsid w:val="00354062"/>
    <w:rsid w:val="00354405"/>
    <w:rsid w:val="00355A76"/>
    <w:rsid w:val="00355DEC"/>
    <w:rsid w:val="0035635F"/>
    <w:rsid w:val="00356E0F"/>
    <w:rsid w:val="0035700C"/>
    <w:rsid w:val="003570CD"/>
    <w:rsid w:val="003607EE"/>
    <w:rsid w:val="00360BC8"/>
    <w:rsid w:val="00360E35"/>
    <w:rsid w:val="00361106"/>
    <w:rsid w:val="003617AE"/>
    <w:rsid w:val="00361F64"/>
    <w:rsid w:val="0036215C"/>
    <w:rsid w:val="003630F7"/>
    <w:rsid w:val="0036332B"/>
    <w:rsid w:val="00363589"/>
    <w:rsid w:val="00363636"/>
    <w:rsid w:val="003651AC"/>
    <w:rsid w:val="003653AA"/>
    <w:rsid w:val="00366120"/>
    <w:rsid w:val="003661FF"/>
    <w:rsid w:val="003665A5"/>
    <w:rsid w:val="00366A0C"/>
    <w:rsid w:val="00367238"/>
    <w:rsid w:val="00367462"/>
    <w:rsid w:val="003677D5"/>
    <w:rsid w:val="0037034B"/>
    <w:rsid w:val="00370507"/>
    <w:rsid w:val="00370682"/>
    <w:rsid w:val="00370F0B"/>
    <w:rsid w:val="003718D8"/>
    <w:rsid w:val="00372A01"/>
    <w:rsid w:val="00372CFC"/>
    <w:rsid w:val="003733DF"/>
    <w:rsid w:val="00373865"/>
    <w:rsid w:val="003739DA"/>
    <w:rsid w:val="00373CE8"/>
    <w:rsid w:val="00374DB0"/>
    <w:rsid w:val="003751C7"/>
    <w:rsid w:val="00375C84"/>
    <w:rsid w:val="00376524"/>
    <w:rsid w:val="00376E3B"/>
    <w:rsid w:val="003776FE"/>
    <w:rsid w:val="00380424"/>
    <w:rsid w:val="00380868"/>
    <w:rsid w:val="00380B9B"/>
    <w:rsid w:val="003818B3"/>
    <w:rsid w:val="003819F5"/>
    <w:rsid w:val="00381A52"/>
    <w:rsid w:val="00381B57"/>
    <w:rsid w:val="00381D47"/>
    <w:rsid w:val="003821CC"/>
    <w:rsid w:val="003835F0"/>
    <w:rsid w:val="003853B1"/>
    <w:rsid w:val="003853ED"/>
    <w:rsid w:val="0038628F"/>
    <w:rsid w:val="00386421"/>
    <w:rsid w:val="0038704C"/>
    <w:rsid w:val="00387AA1"/>
    <w:rsid w:val="0039082A"/>
    <w:rsid w:val="0039101F"/>
    <w:rsid w:val="00392EDB"/>
    <w:rsid w:val="00392FAE"/>
    <w:rsid w:val="003931AA"/>
    <w:rsid w:val="00393EEE"/>
    <w:rsid w:val="003941C0"/>
    <w:rsid w:val="00394D45"/>
    <w:rsid w:val="00395132"/>
    <w:rsid w:val="00395D99"/>
    <w:rsid w:val="00396682"/>
    <w:rsid w:val="003968DF"/>
    <w:rsid w:val="003976C3"/>
    <w:rsid w:val="00397A03"/>
    <w:rsid w:val="00397A64"/>
    <w:rsid w:val="003A099A"/>
    <w:rsid w:val="003A1372"/>
    <w:rsid w:val="003A1D46"/>
    <w:rsid w:val="003A2447"/>
    <w:rsid w:val="003A2B82"/>
    <w:rsid w:val="003A36D3"/>
    <w:rsid w:val="003A3927"/>
    <w:rsid w:val="003A3D2E"/>
    <w:rsid w:val="003A3FF7"/>
    <w:rsid w:val="003A43D1"/>
    <w:rsid w:val="003A6A51"/>
    <w:rsid w:val="003A6E29"/>
    <w:rsid w:val="003A7FEA"/>
    <w:rsid w:val="003B0464"/>
    <w:rsid w:val="003B0BDB"/>
    <w:rsid w:val="003B0E88"/>
    <w:rsid w:val="003B106E"/>
    <w:rsid w:val="003B153F"/>
    <w:rsid w:val="003B17B0"/>
    <w:rsid w:val="003B1844"/>
    <w:rsid w:val="003B1A5C"/>
    <w:rsid w:val="003B211E"/>
    <w:rsid w:val="003B24EA"/>
    <w:rsid w:val="003B2DA7"/>
    <w:rsid w:val="003B3AB7"/>
    <w:rsid w:val="003B3ABC"/>
    <w:rsid w:val="003B3CDD"/>
    <w:rsid w:val="003B3D8E"/>
    <w:rsid w:val="003B3FED"/>
    <w:rsid w:val="003B3FF1"/>
    <w:rsid w:val="003B4217"/>
    <w:rsid w:val="003B59A1"/>
    <w:rsid w:val="003B6D11"/>
    <w:rsid w:val="003B74F1"/>
    <w:rsid w:val="003B7541"/>
    <w:rsid w:val="003B7966"/>
    <w:rsid w:val="003B7F07"/>
    <w:rsid w:val="003B7FCE"/>
    <w:rsid w:val="003C07C4"/>
    <w:rsid w:val="003C0F87"/>
    <w:rsid w:val="003C141E"/>
    <w:rsid w:val="003C1B83"/>
    <w:rsid w:val="003C210E"/>
    <w:rsid w:val="003C21B3"/>
    <w:rsid w:val="003C30AD"/>
    <w:rsid w:val="003C3503"/>
    <w:rsid w:val="003C40DE"/>
    <w:rsid w:val="003C4851"/>
    <w:rsid w:val="003C4C96"/>
    <w:rsid w:val="003C55E0"/>
    <w:rsid w:val="003C5E39"/>
    <w:rsid w:val="003C683A"/>
    <w:rsid w:val="003D0079"/>
    <w:rsid w:val="003D017D"/>
    <w:rsid w:val="003D04D6"/>
    <w:rsid w:val="003D10EC"/>
    <w:rsid w:val="003D28DE"/>
    <w:rsid w:val="003D29B9"/>
    <w:rsid w:val="003D3500"/>
    <w:rsid w:val="003D37B6"/>
    <w:rsid w:val="003D3C68"/>
    <w:rsid w:val="003D450D"/>
    <w:rsid w:val="003D4BA9"/>
    <w:rsid w:val="003D4F8F"/>
    <w:rsid w:val="003D503A"/>
    <w:rsid w:val="003D6505"/>
    <w:rsid w:val="003D71A6"/>
    <w:rsid w:val="003D7709"/>
    <w:rsid w:val="003E004C"/>
    <w:rsid w:val="003E0BAF"/>
    <w:rsid w:val="003E0E25"/>
    <w:rsid w:val="003E1409"/>
    <w:rsid w:val="003E16F2"/>
    <w:rsid w:val="003E2195"/>
    <w:rsid w:val="003E36A5"/>
    <w:rsid w:val="003E4A52"/>
    <w:rsid w:val="003E5CBA"/>
    <w:rsid w:val="003E78A9"/>
    <w:rsid w:val="003E7912"/>
    <w:rsid w:val="003F04E6"/>
    <w:rsid w:val="003F2CDD"/>
    <w:rsid w:val="003F3FB3"/>
    <w:rsid w:val="003F45D7"/>
    <w:rsid w:val="003F4C1B"/>
    <w:rsid w:val="003F5660"/>
    <w:rsid w:val="003F5717"/>
    <w:rsid w:val="003F5A39"/>
    <w:rsid w:val="003F5B56"/>
    <w:rsid w:val="003F5B9F"/>
    <w:rsid w:val="003F5C1A"/>
    <w:rsid w:val="003F6A6A"/>
    <w:rsid w:val="003F738D"/>
    <w:rsid w:val="003F7554"/>
    <w:rsid w:val="003F7845"/>
    <w:rsid w:val="003F7FA1"/>
    <w:rsid w:val="003F7FA4"/>
    <w:rsid w:val="004006EA"/>
    <w:rsid w:val="004008DE"/>
    <w:rsid w:val="00400B4E"/>
    <w:rsid w:val="0040130D"/>
    <w:rsid w:val="00402E56"/>
    <w:rsid w:val="00403634"/>
    <w:rsid w:val="00403A99"/>
    <w:rsid w:val="00404592"/>
    <w:rsid w:val="0040496E"/>
    <w:rsid w:val="00404B58"/>
    <w:rsid w:val="0040544F"/>
    <w:rsid w:val="00405537"/>
    <w:rsid w:val="0040625C"/>
    <w:rsid w:val="004069D2"/>
    <w:rsid w:val="004076FF"/>
    <w:rsid w:val="00411B17"/>
    <w:rsid w:val="00411FFF"/>
    <w:rsid w:val="0041222D"/>
    <w:rsid w:val="004124F2"/>
    <w:rsid w:val="00412C2A"/>
    <w:rsid w:val="00412E6F"/>
    <w:rsid w:val="00413C5C"/>
    <w:rsid w:val="0041413F"/>
    <w:rsid w:val="0041567A"/>
    <w:rsid w:val="00415BAB"/>
    <w:rsid w:val="00415BCF"/>
    <w:rsid w:val="00416297"/>
    <w:rsid w:val="00417083"/>
    <w:rsid w:val="00417E36"/>
    <w:rsid w:val="0042057C"/>
    <w:rsid w:val="00420BDF"/>
    <w:rsid w:val="00421608"/>
    <w:rsid w:val="00421849"/>
    <w:rsid w:val="00421C23"/>
    <w:rsid w:val="0042261E"/>
    <w:rsid w:val="00422749"/>
    <w:rsid w:val="004228F2"/>
    <w:rsid w:val="004233DC"/>
    <w:rsid w:val="00424888"/>
    <w:rsid w:val="004255D9"/>
    <w:rsid w:val="00425763"/>
    <w:rsid w:val="00425C3C"/>
    <w:rsid w:val="00426F8D"/>
    <w:rsid w:val="00427D1B"/>
    <w:rsid w:val="00427E40"/>
    <w:rsid w:val="004306AB"/>
    <w:rsid w:val="0043159D"/>
    <w:rsid w:val="0043171D"/>
    <w:rsid w:val="00432F78"/>
    <w:rsid w:val="004334A2"/>
    <w:rsid w:val="004335BC"/>
    <w:rsid w:val="00433972"/>
    <w:rsid w:val="004339E6"/>
    <w:rsid w:val="00434723"/>
    <w:rsid w:val="00434729"/>
    <w:rsid w:val="0043617B"/>
    <w:rsid w:val="00437D17"/>
    <w:rsid w:val="00437D2F"/>
    <w:rsid w:val="0044046D"/>
    <w:rsid w:val="004410D3"/>
    <w:rsid w:val="00441A5B"/>
    <w:rsid w:val="00441DAF"/>
    <w:rsid w:val="0044270D"/>
    <w:rsid w:val="00442E8C"/>
    <w:rsid w:val="0044312A"/>
    <w:rsid w:val="00443310"/>
    <w:rsid w:val="004435D5"/>
    <w:rsid w:val="00443A34"/>
    <w:rsid w:val="00443D38"/>
    <w:rsid w:val="00444140"/>
    <w:rsid w:val="00444BF5"/>
    <w:rsid w:val="00444F43"/>
    <w:rsid w:val="00447213"/>
    <w:rsid w:val="00447C23"/>
    <w:rsid w:val="00450744"/>
    <w:rsid w:val="00450BE7"/>
    <w:rsid w:val="00450FE8"/>
    <w:rsid w:val="004518D0"/>
    <w:rsid w:val="0045213A"/>
    <w:rsid w:val="0045227C"/>
    <w:rsid w:val="0045230E"/>
    <w:rsid w:val="004528FA"/>
    <w:rsid w:val="00452D67"/>
    <w:rsid w:val="00452E53"/>
    <w:rsid w:val="0045418C"/>
    <w:rsid w:val="004542C6"/>
    <w:rsid w:val="00454EDC"/>
    <w:rsid w:val="00455B00"/>
    <w:rsid w:val="00455B97"/>
    <w:rsid w:val="00456635"/>
    <w:rsid w:val="00456BFD"/>
    <w:rsid w:val="004575D5"/>
    <w:rsid w:val="00457657"/>
    <w:rsid w:val="004600BF"/>
    <w:rsid w:val="004607D0"/>
    <w:rsid w:val="00460CE3"/>
    <w:rsid w:val="00460F25"/>
    <w:rsid w:val="0046116D"/>
    <w:rsid w:val="004612A4"/>
    <w:rsid w:val="0046153C"/>
    <w:rsid w:val="004624D2"/>
    <w:rsid w:val="004625C8"/>
    <w:rsid w:val="00462DCE"/>
    <w:rsid w:val="0046442A"/>
    <w:rsid w:val="00464BF1"/>
    <w:rsid w:val="00465D73"/>
    <w:rsid w:val="00466078"/>
    <w:rsid w:val="0046626B"/>
    <w:rsid w:val="004676E4"/>
    <w:rsid w:val="00467AFF"/>
    <w:rsid w:val="00470183"/>
    <w:rsid w:val="004708C9"/>
    <w:rsid w:val="00470C48"/>
    <w:rsid w:val="0047139F"/>
    <w:rsid w:val="00471429"/>
    <w:rsid w:val="004722B1"/>
    <w:rsid w:val="00473A47"/>
    <w:rsid w:val="00473A4F"/>
    <w:rsid w:val="00473C0A"/>
    <w:rsid w:val="00473EEF"/>
    <w:rsid w:val="00474415"/>
    <w:rsid w:val="00474BC1"/>
    <w:rsid w:val="004763EC"/>
    <w:rsid w:val="0047722F"/>
    <w:rsid w:val="00477459"/>
    <w:rsid w:val="00477CC9"/>
    <w:rsid w:val="0048026E"/>
    <w:rsid w:val="00480303"/>
    <w:rsid w:val="004807A9"/>
    <w:rsid w:val="00480A8A"/>
    <w:rsid w:val="00480F76"/>
    <w:rsid w:val="004810A5"/>
    <w:rsid w:val="004810E0"/>
    <w:rsid w:val="00481318"/>
    <w:rsid w:val="00481363"/>
    <w:rsid w:val="004813EE"/>
    <w:rsid w:val="00481835"/>
    <w:rsid w:val="00482CDC"/>
    <w:rsid w:val="00482FB0"/>
    <w:rsid w:val="00483B03"/>
    <w:rsid w:val="0048444C"/>
    <w:rsid w:val="00485058"/>
    <w:rsid w:val="00485702"/>
    <w:rsid w:val="00485C2D"/>
    <w:rsid w:val="004867EC"/>
    <w:rsid w:val="00486A37"/>
    <w:rsid w:val="00487662"/>
    <w:rsid w:val="004876C6"/>
    <w:rsid w:val="00487D7B"/>
    <w:rsid w:val="00490F7A"/>
    <w:rsid w:val="00490FD5"/>
    <w:rsid w:val="00491241"/>
    <w:rsid w:val="00491813"/>
    <w:rsid w:val="00493278"/>
    <w:rsid w:val="00493855"/>
    <w:rsid w:val="004951D8"/>
    <w:rsid w:val="004952C1"/>
    <w:rsid w:val="00497575"/>
    <w:rsid w:val="004A078B"/>
    <w:rsid w:val="004A12C0"/>
    <w:rsid w:val="004A169A"/>
    <w:rsid w:val="004A18C9"/>
    <w:rsid w:val="004A191A"/>
    <w:rsid w:val="004A1A70"/>
    <w:rsid w:val="004A2D5A"/>
    <w:rsid w:val="004A3988"/>
    <w:rsid w:val="004A4027"/>
    <w:rsid w:val="004A419E"/>
    <w:rsid w:val="004A4688"/>
    <w:rsid w:val="004A6463"/>
    <w:rsid w:val="004A6B58"/>
    <w:rsid w:val="004A6BA2"/>
    <w:rsid w:val="004B06C3"/>
    <w:rsid w:val="004B0917"/>
    <w:rsid w:val="004B0B09"/>
    <w:rsid w:val="004B140F"/>
    <w:rsid w:val="004B14EB"/>
    <w:rsid w:val="004B21CF"/>
    <w:rsid w:val="004B2DE3"/>
    <w:rsid w:val="004B34DF"/>
    <w:rsid w:val="004B3FEA"/>
    <w:rsid w:val="004B4E68"/>
    <w:rsid w:val="004B53F1"/>
    <w:rsid w:val="004B5D6E"/>
    <w:rsid w:val="004B60BA"/>
    <w:rsid w:val="004B6946"/>
    <w:rsid w:val="004B6D89"/>
    <w:rsid w:val="004B6E81"/>
    <w:rsid w:val="004C0FFE"/>
    <w:rsid w:val="004C136D"/>
    <w:rsid w:val="004C1619"/>
    <w:rsid w:val="004C177F"/>
    <w:rsid w:val="004C19E4"/>
    <w:rsid w:val="004C1B59"/>
    <w:rsid w:val="004C3C25"/>
    <w:rsid w:val="004C3EEA"/>
    <w:rsid w:val="004C4EA2"/>
    <w:rsid w:val="004C596B"/>
    <w:rsid w:val="004C5E41"/>
    <w:rsid w:val="004C60E7"/>
    <w:rsid w:val="004C664D"/>
    <w:rsid w:val="004C7BDE"/>
    <w:rsid w:val="004D0090"/>
    <w:rsid w:val="004D020F"/>
    <w:rsid w:val="004D03D1"/>
    <w:rsid w:val="004D10B0"/>
    <w:rsid w:val="004D11AF"/>
    <w:rsid w:val="004D2E58"/>
    <w:rsid w:val="004D37D9"/>
    <w:rsid w:val="004D41A2"/>
    <w:rsid w:val="004D502C"/>
    <w:rsid w:val="004D5FB2"/>
    <w:rsid w:val="004D60A3"/>
    <w:rsid w:val="004D6DC3"/>
    <w:rsid w:val="004D71CA"/>
    <w:rsid w:val="004E016A"/>
    <w:rsid w:val="004E0461"/>
    <w:rsid w:val="004E1CC8"/>
    <w:rsid w:val="004E29B1"/>
    <w:rsid w:val="004E3F87"/>
    <w:rsid w:val="004E461B"/>
    <w:rsid w:val="004E477D"/>
    <w:rsid w:val="004E5890"/>
    <w:rsid w:val="004E79EF"/>
    <w:rsid w:val="004E7B33"/>
    <w:rsid w:val="004F0368"/>
    <w:rsid w:val="004F0D19"/>
    <w:rsid w:val="004F121B"/>
    <w:rsid w:val="004F140F"/>
    <w:rsid w:val="004F185F"/>
    <w:rsid w:val="004F2811"/>
    <w:rsid w:val="004F3326"/>
    <w:rsid w:val="004F4D22"/>
    <w:rsid w:val="004F590E"/>
    <w:rsid w:val="004F5966"/>
    <w:rsid w:val="004F6026"/>
    <w:rsid w:val="004F60F4"/>
    <w:rsid w:val="004F62E8"/>
    <w:rsid w:val="004F67C3"/>
    <w:rsid w:val="004F6C17"/>
    <w:rsid w:val="004F7390"/>
    <w:rsid w:val="004F78F8"/>
    <w:rsid w:val="005001A5"/>
    <w:rsid w:val="00500CCD"/>
    <w:rsid w:val="005019AA"/>
    <w:rsid w:val="00502008"/>
    <w:rsid w:val="005032E9"/>
    <w:rsid w:val="00503C3B"/>
    <w:rsid w:val="00503CE7"/>
    <w:rsid w:val="005040C9"/>
    <w:rsid w:val="005042DB"/>
    <w:rsid w:val="0050458E"/>
    <w:rsid w:val="00505928"/>
    <w:rsid w:val="00505CD6"/>
    <w:rsid w:val="005069B2"/>
    <w:rsid w:val="0050741A"/>
    <w:rsid w:val="00510452"/>
    <w:rsid w:val="005107BD"/>
    <w:rsid w:val="005108EC"/>
    <w:rsid w:val="00511F8F"/>
    <w:rsid w:val="00512A7E"/>
    <w:rsid w:val="00513291"/>
    <w:rsid w:val="00513EA4"/>
    <w:rsid w:val="005147DA"/>
    <w:rsid w:val="00514FBF"/>
    <w:rsid w:val="00514FCB"/>
    <w:rsid w:val="005153AC"/>
    <w:rsid w:val="005153C3"/>
    <w:rsid w:val="00515745"/>
    <w:rsid w:val="00515862"/>
    <w:rsid w:val="005165FE"/>
    <w:rsid w:val="0051690E"/>
    <w:rsid w:val="00516942"/>
    <w:rsid w:val="00516DC0"/>
    <w:rsid w:val="00516DC5"/>
    <w:rsid w:val="00517667"/>
    <w:rsid w:val="00520BBA"/>
    <w:rsid w:val="005225AC"/>
    <w:rsid w:val="005226FA"/>
    <w:rsid w:val="005233F3"/>
    <w:rsid w:val="0052365C"/>
    <w:rsid w:val="005245D2"/>
    <w:rsid w:val="0052488B"/>
    <w:rsid w:val="00524C98"/>
    <w:rsid w:val="00524C9C"/>
    <w:rsid w:val="00524EDD"/>
    <w:rsid w:val="00524FEB"/>
    <w:rsid w:val="00525B59"/>
    <w:rsid w:val="005269C4"/>
    <w:rsid w:val="00526A20"/>
    <w:rsid w:val="00531966"/>
    <w:rsid w:val="00532472"/>
    <w:rsid w:val="005325C9"/>
    <w:rsid w:val="005329DA"/>
    <w:rsid w:val="0053322F"/>
    <w:rsid w:val="00533BC1"/>
    <w:rsid w:val="00533DBF"/>
    <w:rsid w:val="00534940"/>
    <w:rsid w:val="00535673"/>
    <w:rsid w:val="00535784"/>
    <w:rsid w:val="00535D6B"/>
    <w:rsid w:val="00536442"/>
    <w:rsid w:val="005374FE"/>
    <w:rsid w:val="0054053D"/>
    <w:rsid w:val="0054126C"/>
    <w:rsid w:val="00541368"/>
    <w:rsid w:val="005415DD"/>
    <w:rsid w:val="00541D12"/>
    <w:rsid w:val="005423F3"/>
    <w:rsid w:val="005426DB"/>
    <w:rsid w:val="00542774"/>
    <w:rsid w:val="005442F1"/>
    <w:rsid w:val="00544A24"/>
    <w:rsid w:val="0054583C"/>
    <w:rsid w:val="00546227"/>
    <w:rsid w:val="005468E2"/>
    <w:rsid w:val="00546D83"/>
    <w:rsid w:val="00550113"/>
    <w:rsid w:val="0055019B"/>
    <w:rsid w:val="005504BE"/>
    <w:rsid w:val="0055082B"/>
    <w:rsid w:val="0055093A"/>
    <w:rsid w:val="00550F00"/>
    <w:rsid w:val="00551964"/>
    <w:rsid w:val="00551BDF"/>
    <w:rsid w:val="00551ED7"/>
    <w:rsid w:val="0055211C"/>
    <w:rsid w:val="0055263A"/>
    <w:rsid w:val="005526EE"/>
    <w:rsid w:val="00552B57"/>
    <w:rsid w:val="00552E53"/>
    <w:rsid w:val="00553E34"/>
    <w:rsid w:val="005547B7"/>
    <w:rsid w:val="005551E9"/>
    <w:rsid w:val="0055680D"/>
    <w:rsid w:val="00557670"/>
    <w:rsid w:val="00557C2D"/>
    <w:rsid w:val="00560094"/>
    <w:rsid w:val="00560C62"/>
    <w:rsid w:val="00562A61"/>
    <w:rsid w:val="00562E78"/>
    <w:rsid w:val="005638A2"/>
    <w:rsid w:val="00564E45"/>
    <w:rsid w:val="005652D5"/>
    <w:rsid w:val="00565E52"/>
    <w:rsid w:val="00567227"/>
    <w:rsid w:val="00567CD0"/>
    <w:rsid w:val="00570C7B"/>
    <w:rsid w:val="00571C77"/>
    <w:rsid w:val="00572D5B"/>
    <w:rsid w:val="00574614"/>
    <w:rsid w:val="00574A70"/>
    <w:rsid w:val="00574D35"/>
    <w:rsid w:val="00575C75"/>
    <w:rsid w:val="005762CA"/>
    <w:rsid w:val="005770CF"/>
    <w:rsid w:val="00577904"/>
    <w:rsid w:val="00577922"/>
    <w:rsid w:val="00577AC3"/>
    <w:rsid w:val="00580577"/>
    <w:rsid w:val="005815A8"/>
    <w:rsid w:val="00581915"/>
    <w:rsid w:val="00583431"/>
    <w:rsid w:val="005846C0"/>
    <w:rsid w:val="00584D04"/>
    <w:rsid w:val="005853F5"/>
    <w:rsid w:val="0058567E"/>
    <w:rsid w:val="00585DE1"/>
    <w:rsid w:val="0058659E"/>
    <w:rsid w:val="005869EE"/>
    <w:rsid w:val="005872DD"/>
    <w:rsid w:val="00587CF2"/>
    <w:rsid w:val="00587D3A"/>
    <w:rsid w:val="00590346"/>
    <w:rsid w:val="00590BA2"/>
    <w:rsid w:val="00590CA7"/>
    <w:rsid w:val="00590E93"/>
    <w:rsid w:val="005915E1"/>
    <w:rsid w:val="00591C75"/>
    <w:rsid w:val="00592D10"/>
    <w:rsid w:val="0059388B"/>
    <w:rsid w:val="00593A5F"/>
    <w:rsid w:val="0059404E"/>
    <w:rsid w:val="00594269"/>
    <w:rsid w:val="00595539"/>
    <w:rsid w:val="00597108"/>
    <w:rsid w:val="005976DB"/>
    <w:rsid w:val="005A1A84"/>
    <w:rsid w:val="005A3E82"/>
    <w:rsid w:val="005A4287"/>
    <w:rsid w:val="005A482E"/>
    <w:rsid w:val="005A4DB0"/>
    <w:rsid w:val="005A5095"/>
    <w:rsid w:val="005A5597"/>
    <w:rsid w:val="005A57BF"/>
    <w:rsid w:val="005A6AC2"/>
    <w:rsid w:val="005A7A65"/>
    <w:rsid w:val="005A7B26"/>
    <w:rsid w:val="005A7B8E"/>
    <w:rsid w:val="005B012B"/>
    <w:rsid w:val="005B0C87"/>
    <w:rsid w:val="005B0FE9"/>
    <w:rsid w:val="005B2195"/>
    <w:rsid w:val="005B26C7"/>
    <w:rsid w:val="005B2D65"/>
    <w:rsid w:val="005B3877"/>
    <w:rsid w:val="005B3AC8"/>
    <w:rsid w:val="005B3CC1"/>
    <w:rsid w:val="005B4002"/>
    <w:rsid w:val="005B45AB"/>
    <w:rsid w:val="005B4D8F"/>
    <w:rsid w:val="005B526C"/>
    <w:rsid w:val="005B541E"/>
    <w:rsid w:val="005B6551"/>
    <w:rsid w:val="005B71A8"/>
    <w:rsid w:val="005B744B"/>
    <w:rsid w:val="005C0A6F"/>
    <w:rsid w:val="005C0FA7"/>
    <w:rsid w:val="005C155F"/>
    <w:rsid w:val="005C1C0E"/>
    <w:rsid w:val="005C36E2"/>
    <w:rsid w:val="005C3E9E"/>
    <w:rsid w:val="005C400C"/>
    <w:rsid w:val="005C410C"/>
    <w:rsid w:val="005C4BF1"/>
    <w:rsid w:val="005C4BF2"/>
    <w:rsid w:val="005C52D4"/>
    <w:rsid w:val="005C5BED"/>
    <w:rsid w:val="005C5D86"/>
    <w:rsid w:val="005C6167"/>
    <w:rsid w:val="005C6ADB"/>
    <w:rsid w:val="005C6EE2"/>
    <w:rsid w:val="005C7A07"/>
    <w:rsid w:val="005C7DDC"/>
    <w:rsid w:val="005C7F7C"/>
    <w:rsid w:val="005D0A16"/>
    <w:rsid w:val="005D0BAD"/>
    <w:rsid w:val="005D0C0A"/>
    <w:rsid w:val="005D107D"/>
    <w:rsid w:val="005D123A"/>
    <w:rsid w:val="005D2506"/>
    <w:rsid w:val="005D2BB5"/>
    <w:rsid w:val="005D3677"/>
    <w:rsid w:val="005D4E4C"/>
    <w:rsid w:val="005D5B5E"/>
    <w:rsid w:val="005D5C85"/>
    <w:rsid w:val="005D5CA0"/>
    <w:rsid w:val="005D69AB"/>
    <w:rsid w:val="005D72FC"/>
    <w:rsid w:val="005D7DFC"/>
    <w:rsid w:val="005E035A"/>
    <w:rsid w:val="005E0464"/>
    <w:rsid w:val="005E0681"/>
    <w:rsid w:val="005E1218"/>
    <w:rsid w:val="005E18EC"/>
    <w:rsid w:val="005E1A55"/>
    <w:rsid w:val="005E1B6B"/>
    <w:rsid w:val="005E1F61"/>
    <w:rsid w:val="005E2127"/>
    <w:rsid w:val="005E2281"/>
    <w:rsid w:val="005E236C"/>
    <w:rsid w:val="005E2FAE"/>
    <w:rsid w:val="005E32C9"/>
    <w:rsid w:val="005E351B"/>
    <w:rsid w:val="005E38A8"/>
    <w:rsid w:val="005E39F9"/>
    <w:rsid w:val="005E3D9B"/>
    <w:rsid w:val="005E44B6"/>
    <w:rsid w:val="005E4828"/>
    <w:rsid w:val="005E4887"/>
    <w:rsid w:val="005E5016"/>
    <w:rsid w:val="005E5231"/>
    <w:rsid w:val="005E55BB"/>
    <w:rsid w:val="005E5D11"/>
    <w:rsid w:val="005E667C"/>
    <w:rsid w:val="005E6A1D"/>
    <w:rsid w:val="005E6F12"/>
    <w:rsid w:val="005E733E"/>
    <w:rsid w:val="005E7428"/>
    <w:rsid w:val="005F0694"/>
    <w:rsid w:val="005F06E1"/>
    <w:rsid w:val="005F077C"/>
    <w:rsid w:val="005F0B88"/>
    <w:rsid w:val="005F1735"/>
    <w:rsid w:val="005F187E"/>
    <w:rsid w:val="005F252A"/>
    <w:rsid w:val="005F3CE8"/>
    <w:rsid w:val="005F4F41"/>
    <w:rsid w:val="005F4F70"/>
    <w:rsid w:val="005F566D"/>
    <w:rsid w:val="005F648F"/>
    <w:rsid w:val="005F68C3"/>
    <w:rsid w:val="005F7D87"/>
    <w:rsid w:val="00601794"/>
    <w:rsid w:val="00601E94"/>
    <w:rsid w:val="006021B1"/>
    <w:rsid w:val="006029A7"/>
    <w:rsid w:val="006037C5"/>
    <w:rsid w:val="006040CE"/>
    <w:rsid w:val="0060467D"/>
    <w:rsid w:val="00604DF3"/>
    <w:rsid w:val="0060585E"/>
    <w:rsid w:val="00605B9D"/>
    <w:rsid w:val="00606213"/>
    <w:rsid w:val="00606B57"/>
    <w:rsid w:val="00606B85"/>
    <w:rsid w:val="00607390"/>
    <w:rsid w:val="006076D8"/>
    <w:rsid w:val="00607E6D"/>
    <w:rsid w:val="0061061D"/>
    <w:rsid w:val="00611816"/>
    <w:rsid w:val="00611A3B"/>
    <w:rsid w:val="006120CA"/>
    <w:rsid w:val="00612389"/>
    <w:rsid w:val="00612570"/>
    <w:rsid w:val="006127BD"/>
    <w:rsid w:val="00612871"/>
    <w:rsid w:val="00612929"/>
    <w:rsid w:val="00612A44"/>
    <w:rsid w:val="00612A8E"/>
    <w:rsid w:val="00613098"/>
    <w:rsid w:val="006134D9"/>
    <w:rsid w:val="006135DA"/>
    <w:rsid w:val="00613BDC"/>
    <w:rsid w:val="00614921"/>
    <w:rsid w:val="00615564"/>
    <w:rsid w:val="006155E2"/>
    <w:rsid w:val="00615F26"/>
    <w:rsid w:val="00616CCC"/>
    <w:rsid w:val="00617A81"/>
    <w:rsid w:val="00617C11"/>
    <w:rsid w:val="00617DEC"/>
    <w:rsid w:val="00620573"/>
    <w:rsid w:val="00620579"/>
    <w:rsid w:val="006208AA"/>
    <w:rsid w:val="0062128D"/>
    <w:rsid w:val="00621C96"/>
    <w:rsid w:val="0062228D"/>
    <w:rsid w:val="006224D1"/>
    <w:rsid w:val="0062258F"/>
    <w:rsid w:val="00622732"/>
    <w:rsid w:val="00622E6D"/>
    <w:rsid w:val="00623BC7"/>
    <w:rsid w:val="00623E70"/>
    <w:rsid w:val="006241D0"/>
    <w:rsid w:val="00624425"/>
    <w:rsid w:val="00624665"/>
    <w:rsid w:val="00625434"/>
    <w:rsid w:val="0062576B"/>
    <w:rsid w:val="00625C5F"/>
    <w:rsid w:val="00625FF2"/>
    <w:rsid w:val="00626032"/>
    <w:rsid w:val="00627643"/>
    <w:rsid w:val="00627788"/>
    <w:rsid w:val="006300CD"/>
    <w:rsid w:val="0063017E"/>
    <w:rsid w:val="00630723"/>
    <w:rsid w:val="00630EAE"/>
    <w:rsid w:val="006312D0"/>
    <w:rsid w:val="00631866"/>
    <w:rsid w:val="006318A4"/>
    <w:rsid w:val="00631A11"/>
    <w:rsid w:val="00631D4F"/>
    <w:rsid w:val="006321B6"/>
    <w:rsid w:val="006327C6"/>
    <w:rsid w:val="00633496"/>
    <w:rsid w:val="006338D2"/>
    <w:rsid w:val="00633F92"/>
    <w:rsid w:val="0063435E"/>
    <w:rsid w:val="00634CB2"/>
    <w:rsid w:val="006357E2"/>
    <w:rsid w:val="00635FD8"/>
    <w:rsid w:val="00636651"/>
    <w:rsid w:val="006368E4"/>
    <w:rsid w:val="00636F7B"/>
    <w:rsid w:val="00640140"/>
    <w:rsid w:val="0064019C"/>
    <w:rsid w:val="00640288"/>
    <w:rsid w:val="006405AC"/>
    <w:rsid w:val="0064099D"/>
    <w:rsid w:val="00640E9A"/>
    <w:rsid w:val="006412CD"/>
    <w:rsid w:val="006413D8"/>
    <w:rsid w:val="00641610"/>
    <w:rsid w:val="00641B7B"/>
    <w:rsid w:val="00641C55"/>
    <w:rsid w:val="00642405"/>
    <w:rsid w:val="00642645"/>
    <w:rsid w:val="006437E8"/>
    <w:rsid w:val="006438E0"/>
    <w:rsid w:val="00644BED"/>
    <w:rsid w:val="006455CB"/>
    <w:rsid w:val="00646FD5"/>
    <w:rsid w:val="006472F8"/>
    <w:rsid w:val="00647680"/>
    <w:rsid w:val="00647743"/>
    <w:rsid w:val="006510C0"/>
    <w:rsid w:val="00651DC7"/>
    <w:rsid w:val="00652092"/>
    <w:rsid w:val="00652472"/>
    <w:rsid w:val="00652F31"/>
    <w:rsid w:val="006535E5"/>
    <w:rsid w:val="0065394E"/>
    <w:rsid w:val="00653B2B"/>
    <w:rsid w:val="00653B38"/>
    <w:rsid w:val="00654D37"/>
    <w:rsid w:val="00654F06"/>
    <w:rsid w:val="00656385"/>
    <w:rsid w:val="00656F19"/>
    <w:rsid w:val="00657BB7"/>
    <w:rsid w:val="00660299"/>
    <w:rsid w:val="00660552"/>
    <w:rsid w:val="00660DBE"/>
    <w:rsid w:val="00661113"/>
    <w:rsid w:val="0066127D"/>
    <w:rsid w:val="00661AB0"/>
    <w:rsid w:val="006623A4"/>
    <w:rsid w:val="006627B5"/>
    <w:rsid w:val="0066351C"/>
    <w:rsid w:val="006635BF"/>
    <w:rsid w:val="00663CBA"/>
    <w:rsid w:val="00664498"/>
    <w:rsid w:val="00664693"/>
    <w:rsid w:val="00664DC0"/>
    <w:rsid w:val="006651CC"/>
    <w:rsid w:val="0066582B"/>
    <w:rsid w:val="006658DA"/>
    <w:rsid w:val="00665B9B"/>
    <w:rsid w:val="00665CA1"/>
    <w:rsid w:val="00667421"/>
    <w:rsid w:val="0066780E"/>
    <w:rsid w:val="00667A31"/>
    <w:rsid w:val="00670702"/>
    <w:rsid w:val="006708EB"/>
    <w:rsid w:val="0067147C"/>
    <w:rsid w:val="00672895"/>
    <w:rsid w:val="00672A8A"/>
    <w:rsid w:val="00673524"/>
    <w:rsid w:val="00673F50"/>
    <w:rsid w:val="00674EEA"/>
    <w:rsid w:val="0067549D"/>
    <w:rsid w:val="006759B0"/>
    <w:rsid w:val="00677012"/>
    <w:rsid w:val="006771EA"/>
    <w:rsid w:val="00680D0E"/>
    <w:rsid w:val="00680F00"/>
    <w:rsid w:val="006825A6"/>
    <w:rsid w:val="006825B4"/>
    <w:rsid w:val="006829BA"/>
    <w:rsid w:val="00682AF2"/>
    <w:rsid w:val="00682C1D"/>
    <w:rsid w:val="00682E8A"/>
    <w:rsid w:val="00682FB7"/>
    <w:rsid w:val="006837DE"/>
    <w:rsid w:val="00683CE0"/>
    <w:rsid w:val="0068537F"/>
    <w:rsid w:val="00686104"/>
    <w:rsid w:val="00686334"/>
    <w:rsid w:val="00686C3A"/>
    <w:rsid w:val="00686EEB"/>
    <w:rsid w:val="00687628"/>
    <w:rsid w:val="00687CFE"/>
    <w:rsid w:val="0069035A"/>
    <w:rsid w:val="00690EB8"/>
    <w:rsid w:val="0069109D"/>
    <w:rsid w:val="006915E5"/>
    <w:rsid w:val="00692401"/>
    <w:rsid w:val="00693B7A"/>
    <w:rsid w:val="006941CC"/>
    <w:rsid w:val="006942BA"/>
    <w:rsid w:val="006945D4"/>
    <w:rsid w:val="00694EC0"/>
    <w:rsid w:val="00695852"/>
    <w:rsid w:val="00695F56"/>
    <w:rsid w:val="0069758B"/>
    <w:rsid w:val="00697F88"/>
    <w:rsid w:val="006A050B"/>
    <w:rsid w:val="006A07FF"/>
    <w:rsid w:val="006A0A70"/>
    <w:rsid w:val="006A0B6C"/>
    <w:rsid w:val="006A1692"/>
    <w:rsid w:val="006A16E1"/>
    <w:rsid w:val="006A179F"/>
    <w:rsid w:val="006A188D"/>
    <w:rsid w:val="006A3293"/>
    <w:rsid w:val="006A36DF"/>
    <w:rsid w:val="006A3C8A"/>
    <w:rsid w:val="006A3E61"/>
    <w:rsid w:val="006A5213"/>
    <w:rsid w:val="006A6003"/>
    <w:rsid w:val="006A6737"/>
    <w:rsid w:val="006B08E9"/>
    <w:rsid w:val="006B0AE6"/>
    <w:rsid w:val="006B1E08"/>
    <w:rsid w:val="006B2099"/>
    <w:rsid w:val="006B26B1"/>
    <w:rsid w:val="006B2E45"/>
    <w:rsid w:val="006B341B"/>
    <w:rsid w:val="006B3875"/>
    <w:rsid w:val="006B425B"/>
    <w:rsid w:val="006B545C"/>
    <w:rsid w:val="006B5AC8"/>
    <w:rsid w:val="006B5D32"/>
    <w:rsid w:val="006B758B"/>
    <w:rsid w:val="006B7BF8"/>
    <w:rsid w:val="006C0E54"/>
    <w:rsid w:val="006C0F11"/>
    <w:rsid w:val="006C23E1"/>
    <w:rsid w:val="006C25D5"/>
    <w:rsid w:val="006C25F9"/>
    <w:rsid w:val="006C262B"/>
    <w:rsid w:val="006C2866"/>
    <w:rsid w:val="006C31C6"/>
    <w:rsid w:val="006C32BE"/>
    <w:rsid w:val="006C3A2D"/>
    <w:rsid w:val="006C4666"/>
    <w:rsid w:val="006C49BF"/>
    <w:rsid w:val="006C63D7"/>
    <w:rsid w:val="006C6894"/>
    <w:rsid w:val="006C69D9"/>
    <w:rsid w:val="006C7535"/>
    <w:rsid w:val="006C76A6"/>
    <w:rsid w:val="006C796D"/>
    <w:rsid w:val="006D0525"/>
    <w:rsid w:val="006D08DC"/>
    <w:rsid w:val="006D09D1"/>
    <w:rsid w:val="006D23FF"/>
    <w:rsid w:val="006D2F09"/>
    <w:rsid w:val="006D2FD2"/>
    <w:rsid w:val="006D33E6"/>
    <w:rsid w:val="006D3783"/>
    <w:rsid w:val="006D3DC0"/>
    <w:rsid w:val="006D40C4"/>
    <w:rsid w:val="006D4162"/>
    <w:rsid w:val="006D453E"/>
    <w:rsid w:val="006D5303"/>
    <w:rsid w:val="006D5E84"/>
    <w:rsid w:val="006D7A4C"/>
    <w:rsid w:val="006D7C99"/>
    <w:rsid w:val="006E0443"/>
    <w:rsid w:val="006E0C50"/>
    <w:rsid w:val="006E0DCF"/>
    <w:rsid w:val="006E14D6"/>
    <w:rsid w:val="006E1647"/>
    <w:rsid w:val="006E1BA2"/>
    <w:rsid w:val="006E2298"/>
    <w:rsid w:val="006E2F3A"/>
    <w:rsid w:val="006E310A"/>
    <w:rsid w:val="006E3C3E"/>
    <w:rsid w:val="006E3FBD"/>
    <w:rsid w:val="006E40C7"/>
    <w:rsid w:val="006E429F"/>
    <w:rsid w:val="006E47E0"/>
    <w:rsid w:val="006E50E4"/>
    <w:rsid w:val="006E6F30"/>
    <w:rsid w:val="006E6FE9"/>
    <w:rsid w:val="006E7082"/>
    <w:rsid w:val="006E709F"/>
    <w:rsid w:val="006E7F73"/>
    <w:rsid w:val="006F030F"/>
    <w:rsid w:val="006F193C"/>
    <w:rsid w:val="006F1B58"/>
    <w:rsid w:val="006F27DC"/>
    <w:rsid w:val="006F2B89"/>
    <w:rsid w:val="006F36F1"/>
    <w:rsid w:val="006F3B81"/>
    <w:rsid w:val="006F4860"/>
    <w:rsid w:val="006F4D59"/>
    <w:rsid w:val="006F4F79"/>
    <w:rsid w:val="006F4F80"/>
    <w:rsid w:val="006F5532"/>
    <w:rsid w:val="006F5ADA"/>
    <w:rsid w:val="006F62CC"/>
    <w:rsid w:val="006F644B"/>
    <w:rsid w:val="006F66C1"/>
    <w:rsid w:val="006F681D"/>
    <w:rsid w:val="006F731E"/>
    <w:rsid w:val="006F78E9"/>
    <w:rsid w:val="0070235F"/>
    <w:rsid w:val="00702BC3"/>
    <w:rsid w:val="00702FF3"/>
    <w:rsid w:val="007032AC"/>
    <w:rsid w:val="00703496"/>
    <w:rsid w:val="007036FE"/>
    <w:rsid w:val="00703AB1"/>
    <w:rsid w:val="00704614"/>
    <w:rsid w:val="00704C5F"/>
    <w:rsid w:val="00704DEB"/>
    <w:rsid w:val="00705623"/>
    <w:rsid w:val="00705B37"/>
    <w:rsid w:val="0070658A"/>
    <w:rsid w:val="00706B65"/>
    <w:rsid w:val="007071AF"/>
    <w:rsid w:val="00707C1A"/>
    <w:rsid w:val="00710023"/>
    <w:rsid w:val="00710207"/>
    <w:rsid w:val="0071023D"/>
    <w:rsid w:val="007103CD"/>
    <w:rsid w:val="007104CB"/>
    <w:rsid w:val="00710530"/>
    <w:rsid w:val="007107BD"/>
    <w:rsid w:val="00711E77"/>
    <w:rsid w:val="00712912"/>
    <w:rsid w:val="00713AAC"/>
    <w:rsid w:val="007141DC"/>
    <w:rsid w:val="00714B04"/>
    <w:rsid w:val="00714F75"/>
    <w:rsid w:val="007155CE"/>
    <w:rsid w:val="007168A0"/>
    <w:rsid w:val="00716BC6"/>
    <w:rsid w:val="00716C95"/>
    <w:rsid w:val="00717762"/>
    <w:rsid w:val="00717F1A"/>
    <w:rsid w:val="007204DA"/>
    <w:rsid w:val="00721A63"/>
    <w:rsid w:val="00721DED"/>
    <w:rsid w:val="00721FF9"/>
    <w:rsid w:val="0072229E"/>
    <w:rsid w:val="00722F53"/>
    <w:rsid w:val="0072337E"/>
    <w:rsid w:val="00723696"/>
    <w:rsid w:val="0072442F"/>
    <w:rsid w:val="00725189"/>
    <w:rsid w:val="0072541E"/>
    <w:rsid w:val="00725735"/>
    <w:rsid w:val="00725BB8"/>
    <w:rsid w:val="0072630D"/>
    <w:rsid w:val="00726A2A"/>
    <w:rsid w:val="007271E9"/>
    <w:rsid w:val="007273BC"/>
    <w:rsid w:val="007275FD"/>
    <w:rsid w:val="007276E5"/>
    <w:rsid w:val="00730943"/>
    <w:rsid w:val="00731D5E"/>
    <w:rsid w:val="00732492"/>
    <w:rsid w:val="00733E5A"/>
    <w:rsid w:val="00733F25"/>
    <w:rsid w:val="00736395"/>
    <w:rsid w:val="00736459"/>
    <w:rsid w:val="0073685F"/>
    <w:rsid w:val="00737821"/>
    <w:rsid w:val="0074058F"/>
    <w:rsid w:val="00740E86"/>
    <w:rsid w:val="00741175"/>
    <w:rsid w:val="007419FB"/>
    <w:rsid w:val="00742606"/>
    <w:rsid w:val="007441FF"/>
    <w:rsid w:val="007448A7"/>
    <w:rsid w:val="00744EE8"/>
    <w:rsid w:val="00744F42"/>
    <w:rsid w:val="007459F5"/>
    <w:rsid w:val="00746713"/>
    <w:rsid w:val="007467E4"/>
    <w:rsid w:val="00746B08"/>
    <w:rsid w:val="00747569"/>
    <w:rsid w:val="00750238"/>
    <w:rsid w:val="0075023C"/>
    <w:rsid w:val="007518E3"/>
    <w:rsid w:val="007518E9"/>
    <w:rsid w:val="00752247"/>
    <w:rsid w:val="007523E7"/>
    <w:rsid w:val="007524C4"/>
    <w:rsid w:val="00752AE5"/>
    <w:rsid w:val="007531CA"/>
    <w:rsid w:val="00754252"/>
    <w:rsid w:val="007577B1"/>
    <w:rsid w:val="00757CB3"/>
    <w:rsid w:val="00757D87"/>
    <w:rsid w:val="00757E79"/>
    <w:rsid w:val="00760EED"/>
    <w:rsid w:val="0076109F"/>
    <w:rsid w:val="00761399"/>
    <w:rsid w:val="00761615"/>
    <w:rsid w:val="007616DA"/>
    <w:rsid w:val="007619CE"/>
    <w:rsid w:val="00761F4F"/>
    <w:rsid w:val="007620DC"/>
    <w:rsid w:val="00762102"/>
    <w:rsid w:val="0076255D"/>
    <w:rsid w:val="007625F6"/>
    <w:rsid w:val="00762B8B"/>
    <w:rsid w:val="0076325B"/>
    <w:rsid w:val="00764AF9"/>
    <w:rsid w:val="007650AD"/>
    <w:rsid w:val="00765D18"/>
    <w:rsid w:val="0076640B"/>
    <w:rsid w:val="007673DE"/>
    <w:rsid w:val="00770C54"/>
    <w:rsid w:val="00771344"/>
    <w:rsid w:val="0077213A"/>
    <w:rsid w:val="00772613"/>
    <w:rsid w:val="00772B41"/>
    <w:rsid w:val="00772CED"/>
    <w:rsid w:val="00773EA1"/>
    <w:rsid w:val="00775215"/>
    <w:rsid w:val="00775748"/>
    <w:rsid w:val="00776ACC"/>
    <w:rsid w:val="00777AE2"/>
    <w:rsid w:val="00777C71"/>
    <w:rsid w:val="00777D6B"/>
    <w:rsid w:val="00777F20"/>
    <w:rsid w:val="0078080B"/>
    <w:rsid w:val="00781148"/>
    <w:rsid w:val="0078120F"/>
    <w:rsid w:val="00781F98"/>
    <w:rsid w:val="0078265B"/>
    <w:rsid w:val="00782AFE"/>
    <w:rsid w:val="00782E10"/>
    <w:rsid w:val="00784926"/>
    <w:rsid w:val="00784DB8"/>
    <w:rsid w:val="00784FDD"/>
    <w:rsid w:val="0078508F"/>
    <w:rsid w:val="00786448"/>
    <w:rsid w:val="007875D7"/>
    <w:rsid w:val="007906B2"/>
    <w:rsid w:val="0079134E"/>
    <w:rsid w:val="007925F0"/>
    <w:rsid w:val="0079278E"/>
    <w:rsid w:val="00792DCA"/>
    <w:rsid w:val="00792E3C"/>
    <w:rsid w:val="00793040"/>
    <w:rsid w:val="007930C1"/>
    <w:rsid w:val="0079315D"/>
    <w:rsid w:val="00793B45"/>
    <w:rsid w:val="0079477A"/>
    <w:rsid w:val="007956CD"/>
    <w:rsid w:val="00795706"/>
    <w:rsid w:val="007960E3"/>
    <w:rsid w:val="00796F7C"/>
    <w:rsid w:val="00797131"/>
    <w:rsid w:val="00797254"/>
    <w:rsid w:val="00797430"/>
    <w:rsid w:val="00797AF4"/>
    <w:rsid w:val="007A0F8D"/>
    <w:rsid w:val="007A1078"/>
    <w:rsid w:val="007A180A"/>
    <w:rsid w:val="007A2304"/>
    <w:rsid w:val="007A257D"/>
    <w:rsid w:val="007A2CB0"/>
    <w:rsid w:val="007A343D"/>
    <w:rsid w:val="007A38CE"/>
    <w:rsid w:val="007A3F1C"/>
    <w:rsid w:val="007A46E6"/>
    <w:rsid w:val="007A48D8"/>
    <w:rsid w:val="007A5ACE"/>
    <w:rsid w:val="007A5C5C"/>
    <w:rsid w:val="007A6528"/>
    <w:rsid w:val="007A7B48"/>
    <w:rsid w:val="007A7FD7"/>
    <w:rsid w:val="007B18C6"/>
    <w:rsid w:val="007B20C2"/>
    <w:rsid w:val="007B25D5"/>
    <w:rsid w:val="007B27E4"/>
    <w:rsid w:val="007B2910"/>
    <w:rsid w:val="007B301D"/>
    <w:rsid w:val="007B3264"/>
    <w:rsid w:val="007B35F6"/>
    <w:rsid w:val="007B3F87"/>
    <w:rsid w:val="007B404F"/>
    <w:rsid w:val="007B44A6"/>
    <w:rsid w:val="007B494E"/>
    <w:rsid w:val="007B4C5E"/>
    <w:rsid w:val="007B7462"/>
    <w:rsid w:val="007B7B52"/>
    <w:rsid w:val="007C02A3"/>
    <w:rsid w:val="007C0C55"/>
    <w:rsid w:val="007C1507"/>
    <w:rsid w:val="007C2F60"/>
    <w:rsid w:val="007C3639"/>
    <w:rsid w:val="007C3757"/>
    <w:rsid w:val="007C4D8D"/>
    <w:rsid w:val="007C5144"/>
    <w:rsid w:val="007C5613"/>
    <w:rsid w:val="007C6138"/>
    <w:rsid w:val="007C6153"/>
    <w:rsid w:val="007C6849"/>
    <w:rsid w:val="007C6BC6"/>
    <w:rsid w:val="007C6C12"/>
    <w:rsid w:val="007C73B2"/>
    <w:rsid w:val="007D0435"/>
    <w:rsid w:val="007D0D3E"/>
    <w:rsid w:val="007D116E"/>
    <w:rsid w:val="007D1B24"/>
    <w:rsid w:val="007D267F"/>
    <w:rsid w:val="007D3341"/>
    <w:rsid w:val="007D3A3E"/>
    <w:rsid w:val="007D400A"/>
    <w:rsid w:val="007D4B0E"/>
    <w:rsid w:val="007D4DD2"/>
    <w:rsid w:val="007D5D0F"/>
    <w:rsid w:val="007D6EA8"/>
    <w:rsid w:val="007D7B3C"/>
    <w:rsid w:val="007E042B"/>
    <w:rsid w:val="007E05DB"/>
    <w:rsid w:val="007E1247"/>
    <w:rsid w:val="007E1A44"/>
    <w:rsid w:val="007E2419"/>
    <w:rsid w:val="007E3FF5"/>
    <w:rsid w:val="007E4219"/>
    <w:rsid w:val="007E577E"/>
    <w:rsid w:val="007E635E"/>
    <w:rsid w:val="007E6A9C"/>
    <w:rsid w:val="007E6C0C"/>
    <w:rsid w:val="007E7300"/>
    <w:rsid w:val="007E767B"/>
    <w:rsid w:val="007E7B54"/>
    <w:rsid w:val="007F038C"/>
    <w:rsid w:val="007F0428"/>
    <w:rsid w:val="007F0F24"/>
    <w:rsid w:val="007F1755"/>
    <w:rsid w:val="007F222B"/>
    <w:rsid w:val="007F2CBC"/>
    <w:rsid w:val="007F3092"/>
    <w:rsid w:val="007F30F9"/>
    <w:rsid w:val="007F39B8"/>
    <w:rsid w:val="007F3C03"/>
    <w:rsid w:val="007F3E3F"/>
    <w:rsid w:val="007F45DF"/>
    <w:rsid w:val="007F4A6F"/>
    <w:rsid w:val="007F4FBC"/>
    <w:rsid w:val="007F5975"/>
    <w:rsid w:val="007F5AB9"/>
    <w:rsid w:val="007F6497"/>
    <w:rsid w:val="007F6836"/>
    <w:rsid w:val="007F7DF2"/>
    <w:rsid w:val="008005E6"/>
    <w:rsid w:val="00800A35"/>
    <w:rsid w:val="00800D91"/>
    <w:rsid w:val="008015F2"/>
    <w:rsid w:val="00801A0E"/>
    <w:rsid w:val="00803362"/>
    <w:rsid w:val="00803C65"/>
    <w:rsid w:val="00804BC0"/>
    <w:rsid w:val="00804E3C"/>
    <w:rsid w:val="00804E4C"/>
    <w:rsid w:val="0080662C"/>
    <w:rsid w:val="008070B2"/>
    <w:rsid w:val="00807D79"/>
    <w:rsid w:val="00810102"/>
    <w:rsid w:val="008102BC"/>
    <w:rsid w:val="008116F3"/>
    <w:rsid w:val="008117C4"/>
    <w:rsid w:val="0081222E"/>
    <w:rsid w:val="00812461"/>
    <w:rsid w:val="008127E0"/>
    <w:rsid w:val="00812810"/>
    <w:rsid w:val="0081398E"/>
    <w:rsid w:val="00813F02"/>
    <w:rsid w:val="008149D8"/>
    <w:rsid w:val="00815714"/>
    <w:rsid w:val="00815A2A"/>
    <w:rsid w:val="0081724D"/>
    <w:rsid w:val="0081788A"/>
    <w:rsid w:val="00817927"/>
    <w:rsid w:val="00817CFC"/>
    <w:rsid w:val="00817E82"/>
    <w:rsid w:val="00820A3F"/>
    <w:rsid w:val="00820E5D"/>
    <w:rsid w:val="00821D81"/>
    <w:rsid w:val="00822A52"/>
    <w:rsid w:val="00823654"/>
    <w:rsid w:val="0082374A"/>
    <w:rsid w:val="008237F3"/>
    <w:rsid w:val="00823A90"/>
    <w:rsid w:val="00825C68"/>
    <w:rsid w:val="0082757E"/>
    <w:rsid w:val="0082769C"/>
    <w:rsid w:val="00827B6C"/>
    <w:rsid w:val="00827D77"/>
    <w:rsid w:val="00830259"/>
    <w:rsid w:val="00830561"/>
    <w:rsid w:val="00831115"/>
    <w:rsid w:val="0083249C"/>
    <w:rsid w:val="00832D42"/>
    <w:rsid w:val="008333A9"/>
    <w:rsid w:val="00833419"/>
    <w:rsid w:val="008342A5"/>
    <w:rsid w:val="00834B7C"/>
    <w:rsid w:val="00834BE2"/>
    <w:rsid w:val="00834EA4"/>
    <w:rsid w:val="00835049"/>
    <w:rsid w:val="008354B9"/>
    <w:rsid w:val="00835DCB"/>
    <w:rsid w:val="00836090"/>
    <w:rsid w:val="00836921"/>
    <w:rsid w:val="00837237"/>
    <w:rsid w:val="008376C0"/>
    <w:rsid w:val="0084035D"/>
    <w:rsid w:val="008405F9"/>
    <w:rsid w:val="0084060B"/>
    <w:rsid w:val="0084139B"/>
    <w:rsid w:val="0084143B"/>
    <w:rsid w:val="008417D4"/>
    <w:rsid w:val="00842547"/>
    <w:rsid w:val="008427D3"/>
    <w:rsid w:val="008429CF"/>
    <w:rsid w:val="0084324C"/>
    <w:rsid w:val="00843910"/>
    <w:rsid w:val="00843B9B"/>
    <w:rsid w:val="008451F8"/>
    <w:rsid w:val="008457D2"/>
    <w:rsid w:val="00846212"/>
    <w:rsid w:val="008468E0"/>
    <w:rsid w:val="0084767E"/>
    <w:rsid w:val="0084790F"/>
    <w:rsid w:val="00847BE7"/>
    <w:rsid w:val="00850EAB"/>
    <w:rsid w:val="00851C80"/>
    <w:rsid w:val="00851D70"/>
    <w:rsid w:val="008529B3"/>
    <w:rsid w:val="00852ADD"/>
    <w:rsid w:val="00853883"/>
    <w:rsid w:val="00853EB9"/>
    <w:rsid w:val="00854CF7"/>
    <w:rsid w:val="00854DA7"/>
    <w:rsid w:val="008557A0"/>
    <w:rsid w:val="00856607"/>
    <w:rsid w:val="008604A8"/>
    <w:rsid w:val="00860ADD"/>
    <w:rsid w:val="008616A2"/>
    <w:rsid w:val="00861C6C"/>
    <w:rsid w:val="008636AC"/>
    <w:rsid w:val="00863862"/>
    <w:rsid w:val="00863AAD"/>
    <w:rsid w:val="00864644"/>
    <w:rsid w:val="008658DE"/>
    <w:rsid w:val="00866296"/>
    <w:rsid w:val="008665C7"/>
    <w:rsid w:val="00866DC1"/>
    <w:rsid w:val="008707A3"/>
    <w:rsid w:val="00870A36"/>
    <w:rsid w:val="008711AE"/>
    <w:rsid w:val="0087143E"/>
    <w:rsid w:val="00871A36"/>
    <w:rsid w:val="00872F21"/>
    <w:rsid w:val="00873736"/>
    <w:rsid w:val="0087378E"/>
    <w:rsid w:val="008737DF"/>
    <w:rsid w:val="008755E7"/>
    <w:rsid w:val="00875A46"/>
    <w:rsid w:val="00875E16"/>
    <w:rsid w:val="00877D03"/>
    <w:rsid w:val="00877E96"/>
    <w:rsid w:val="0088023D"/>
    <w:rsid w:val="008803CE"/>
    <w:rsid w:val="00882077"/>
    <w:rsid w:val="008820D9"/>
    <w:rsid w:val="00883613"/>
    <w:rsid w:val="0088557F"/>
    <w:rsid w:val="00886393"/>
    <w:rsid w:val="00886579"/>
    <w:rsid w:val="00886F19"/>
    <w:rsid w:val="00887865"/>
    <w:rsid w:val="00887B37"/>
    <w:rsid w:val="00890598"/>
    <w:rsid w:val="0089065A"/>
    <w:rsid w:val="00890DEB"/>
    <w:rsid w:val="0089177A"/>
    <w:rsid w:val="00891D7A"/>
    <w:rsid w:val="00891DFC"/>
    <w:rsid w:val="00892B98"/>
    <w:rsid w:val="008945D2"/>
    <w:rsid w:val="008949A3"/>
    <w:rsid w:val="008959FC"/>
    <w:rsid w:val="0089605E"/>
    <w:rsid w:val="00896668"/>
    <w:rsid w:val="00896E9A"/>
    <w:rsid w:val="008A0CCC"/>
    <w:rsid w:val="008A1D0E"/>
    <w:rsid w:val="008A25EA"/>
    <w:rsid w:val="008A276E"/>
    <w:rsid w:val="008A31C7"/>
    <w:rsid w:val="008A3215"/>
    <w:rsid w:val="008A3630"/>
    <w:rsid w:val="008A3E8B"/>
    <w:rsid w:val="008A47BE"/>
    <w:rsid w:val="008A4AEC"/>
    <w:rsid w:val="008A5609"/>
    <w:rsid w:val="008A5697"/>
    <w:rsid w:val="008A6DD5"/>
    <w:rsid w:val="008A6DF0"/>
    <w:rsid w:val="008A6FA0"/>
    <w:rsid w:val="008B0385"/>
    <w:rsid w:val="008B05E6"/>
    <w:rsid w:val="008B105C"/>
    <w:rsid w:val="008B15CE"/>
    <w:rsid w:val="008B1C8F"/>
    <w:rsid w:val="008B21F8"/>
    <w:rsid w:val="008B2570"/>
    <w:rsid w:val="008B2B19"/>
    <w:rsid w:val="008B2F40"/>
    <w:rsid w:val="008B2FCD"/>
    <w:rsid w:val="008B3627"/>
    <w:rsid w:val="008B3EAD"/>
    <w:rsid w:val="008B49B6"/>
    <w:rsid w:val="008B56A0"/>
    <w:rsid w:val="008B5AA1"/>
    <w:rsid w:val="008B5E61"/>
    <w:rsid w:val="008B64CE"/>
    <w:rsid w:val="008B68B4"/>
    <w:rsid w:val="008B756F"/>
    <w:rsid w:val="008B7914"/>
    <w:rsid w:val="008C0D0C"/>
    <w:rsid w:val="008C127A"/>
    <w:rsid w:val="008C18BD"/>
    <w:rsid w:val="008C1932"/>
    <w:rsid w:val="008C1CC8"/>
    <w:rsid w:val="008C2C7F"/>
    <w:rsid w:val="008C2F0D"/>
    <w:rsid w:val="008C364D"/>
    <w:rsid w:val="008C500C"/>
    <w:rsid w:val="008C5D2A"/>
    <w:rsid w:val="008C6754"/>
    <w:rsid w:val="008C6C16"/>
    <w:rsid w:val="008C74FB"/>
    <w:rsid w:val="008C7AF4"/>
    <w:rsid w:val="008C7DA4"/>
    <w:rsid w:val="008C7F6E"/>
    <w:rsid w:val="008C7FAE"/>
    <w:rsid w:val="008D0210"/>
    <w:rsid w:val="008D033E"/>
    <w:rsid w:val="008D0851"/>
    <w:rsid w:val="008D0DEF"/>
    <w:rsid w:val="008D0FCD"/>
    <w:rsid w:val="008D1074"/>
    <w:rsid w:val="008D1079"/>
    <w:rsid w:val="008D2643"/>
    <w:rsid w:val="008D280F"/>
    <w:rsid w:val="008D2F60"/>
    <w:rsid w:val="008D318B"/>
    <w:rsid w:val="008D3994"/>
    <w:rsid w:val="008D3C3D"/>
    <w:rsid w:val="008D478E"/>
    <w:rsid w:val="008D4DB6"/>
    <w:rsid w:val="008D534E"/>
    <w:rsid w:val="008D619B"/>
    <w:rsid w:val="008D6E81"/>
    <w:rsid w:val="008D7739"/>
    <w:rsid w:val="008D7A64"/>
    <w:rsid w:val="008D7A92"/>
    <w:rsid w:val="008E0302"/>
    <w:rsid w:val="008E03F3"/>
    <w:rsid w:val="008E1267"/>
    <w:rsid w:val="008E19FD"/>
    <w:rsid w:val="008E22F8"/>
    <w:rsid w:val="008E25EC"/>
    <w:rsid w:val="008E39D8"/>
    <w:rsid w:val="008E5313"/>
    <w:rsid w:val="008E5D73"/>
    <w:rsid w:val="008E606F"/>
    <w:rsid w:val="008E6AD9"/>
    <w:rsid w:val="008F022A"/>
    <w:rsid w:val="008F06FD"/>
    <w:rsid w:val="008F1172"/>
    <w:rsid w:val="008F27E3"/>
    <w:rsid w:val="008F3485"/>
    <w:rsid w:val="008F3AC3"/>
    <w:rsid w:val="008F42C1"/>
    <w:rsid w:val="008F51FF"/>
    <w:rsid w:val="008F52FC"/>
    <w:rsid w:val="008F5DEF"/>
    <w:rsid w:val="008F61F2"/>
    <w:rsid w:val="008F636D"/>
    <w:rsid w:val="008F7C0A"/>
    <w:rsid w:val="00901140"/>
    <w:rsid w:val="00901DBB"/>
    <w:rsid w:val="009026CB"/>
    <w:rsid w:val="00902876"/>
    <w:rsid w:val="009030FF"/>
    <w:rsid w:val="009036E9"/>
    <w:rsid w:val="009038F6"/>
    <w:rsid w:val="00903FB2"/>
    <w:rsid w:val="00904038"/>
    <w:rsid w:val="009041AF"/>
    <w:rsid w:val="009042AA"/>
    <w:rsid w:val="009049AB"/>
    <w:rsid w:val="00904C8C"/>
    <w:rsid w:val="009050B7"/>
    <w:rsid w:val="0090510D"/>
    <w:rsid w:val="00905130"/>
    <w:rsid w:val="009053BD"/>
    <w:rsid w:val="00905728"/>
    <w:rsid w:val="009061B8"/>
    <w:rsid w:val="009064BF"/>
    <w:rsid w:val="009069B8"/>
    <w:rsid w:val="009130CC"/>
    <w:rsid w:val="009133EC"/>
    <w:rsid w:val="00913AF7"/>
    <w:rsid w:val="00913B37"/>
    <w:rsid w:val="00914683"/>
    <w:rsid w:val="00914861"/>
    <w:rsid w:val="009148D8"/>
    <w:rsid w:val="00914B5F"/>
    <w:rsid w:val="00914E71"/>
    <w:rsid w:val="0091504C"/>
    <w:rsid w:val="0091573F"/>
    <w:rsid w:val="00915897"/>
    <w:rsid w:val="00915B44"/>
    <w:rsid w:val="00915CD5"/>
    <w:rsid w:val="00916093"/>
    <w:rsid w:val="009160E3"/>
    <w:rsid w:val="0091639C"/>
    <w:rsid w:val="00916E99"/>
    <w:rsid w:val="0092002E"/>
    <w:rsid w:val="0092050A"/>
    <w:rsid w:val="00920EC6"/>
    <w:rsid w:val="0092101E"/>
    <w:rsid w:val="0092383B"/>
    <w:rsid w:val="00923DCE"/>
    <w:rsid w:val="00924119"/>
    <w:rsid w:val="00925120"/>
    <w:rsid w:val="009255FA"/>
    <w:rsid w:val="009262E4"/>
    <w:rsid w:val="009266D2"/>
    <w:rsid w:val="00927D4E"/>
    <w:rsid w:val="00927F89"/>
    <w:rsid w:val="00930AC2"/>
    <w:rsid w:val="00930D2A"/>
    <w:rsid w:val="009312BF"/>
    <w:rsid w:val="00931680"/>
    <w:rsid w:val="00931B84"/>
    <w:rsid w:val="009322B2"/>
    <w:rsid w:val="009328DA"/>
    <w:rsid w:val="00932E7E"/>
    <w:rsid w:val="0093442D"/>
    <w:rsid w:val="00934CD2"/>
    <w:rsid w:val="00935A35"/>
    <w:rsid w:val="009375E5"/>
    <w:rsid w:val="0093785F"/>
    <w:rsid w:val="00937BC5"/>
    <w:rsid w:val="00937D30"/>
    <w:rsid w:val="00941848"/>
    <w:rsid w:val="0094337A"/>
    <w:rsid w:val="009437F2"/>
    <w:rsid w:val="009442E8"/>
    <w:rsid w:val="00944BA7"/>
    <w:rsid w:val="0094636D"/>
    <w:rsid w:val="00947222"/>
    <w:rsid w:val="0094759C"/>
    <w:rsid w:val="009503FE"/>
    <w:rsid w:val="00950448"/>
    <w:rsid w:val="009507D4"/>
    <w:rsid w:val="00950ACD"/>
    <w:rsid w:val="00950E37"/>
    <w:rsid w:val="00951666"/>
    <w:rsid w:val="0095182F"/>
    <w:rsid w:val="00952524"/>
    <w:rsid w:val="0095278F"/>
    <w:rsid w:val="00953D2D"/>
    <w:rsid w:val="00953EAF"/>
    <w:rsid w:val="0095426C"/>
    <w:rsid w:val="00955EE9"/>
    <w:rsid w:val="009562AE"/>
    <w:rsid w:val="0095654A"/>
    <w:rsid w:val="00956BF5"/>
    <w:rsid w:val="009570CF"/>
    <w:rsid w:val="009571C2"/>
    <w:rsid w:val="009575C3"/>
    <w:rsid w:val="0095770C"/>
    <w:rsid w:val="009579AF"/>
    <w:rsid w:val="00957CC8"/>
    <w:rsid w:val="00957EE7"/>
    <w:rsid w:val="0096086A"/>
    <w:rsid w:val="00961453"/>
    <w:rsid w:val="009616D4"/>
    <w:rsid w:val="0096182D"/>
    <w:rsid w:val="00962150"/>
    <w:rsid w:val="00962CCD"/>
    <w:rsid w:val="00964166"/>
    <w:rsid w:val="009645AD"/>
    <w:rsid w:val="0096475C"/>
    <w:rsid w:val="0096546E"/>
    <w:rsid w:val="0096562A"/>
    <w:rsid w:val="00965865"/>
    <w:rsid w:val="00966096"/>
    <w:rsid w:val="00966A13"/>
    <w:rsid w:val="00966BAF"/>
    <w:rsid w:val="00967473"/>
    <w:rsid w:val="00967730"/>
    <w:rsid w:val="00970D56"/>
    <w:rsid w:val="00970E50"/>
    <w:rsid w:val="00971074"/>
    <w:rsid w:val="009725B2"/>
    <w:rsid w:val="009747AA"/>
    <w:rsid w:val="00974B99"/>
    <w:rsid w:val="00974BCB"/>
    <w:rsid w:val="0097529C"/>
    <w:rsid w:val="00975361"/>
    <w:rsid w:val="009758CD"/>
    <w:rsid w:val="00975AEF"/>
    <w:rsid w:val="00975BF2"/>
    <w:rsid w:val="0097616C"/>
    <w:rsid w:val="009763E4"/>
    <w:rsid w:val="0097649D"/>
    <w:rsid w:val="0097654D"/>
    <w:rsid w:val="009766B7"/>
    <w:rsid w:val="00977C23"/>
    <w:rsid w:val="00980A22"/>
    <w:rsid w:val="00980D85"/>
    <w:rsid w:val="00981E09"/>
    <w:rsid w:val="00983094"/>
    <w:rsid w:val="00983599"/>
    <w:rsid w:val="009843DE"/>
    <w:rsid w:val="0098544F"/>
    <w:rsid w:val="00985B04"/>
    <w:rsid w:val="0098661B"/>
    <w:rsid w:val="00986A6D"/>
    <w:rsid w:val="00986BEF"/>
    <w:rsid w:val="00987298"/>
    <w:rsid w:val="00987B34"/>
    <w:rsid w:val="00990282"/>
    <w:rsid w:val="00990769"/>
    <w:rsid w:val="00991DF8"/>
    <w:rsid w:val="00992499"/>
    <w:rsid w:val="00992986"/>
    <w:rsid w:val="009936E2"/>
    <w:rsid w:val="00994B55"/>
    <w:rsid w:val="00995D86"/>
    <w:rsid w:val="00995FB2"/>
    <w:rsid w:val="0099781E"/>
    <w:rsid w:val="00997A68"/>
    <w:rsid w:val="009A0071"/>
    <w:rsid w:val="009A00EA"/>
    <w:rsid w:val="009A0587"/>
    <w:rsid w:val="009A0DA2"/>
    <w:rsid w:val="009A1F6B"/>
    <w:rsid w:val="009A2616"/>
    <w:rsid w:val="009A2C4C"/>
    <w:rsid w:val="009A2DD8"/>
    <w:rsid w:val="009A30DE"/>
    <w:rsid w:val="009A3D29"/>
    <w:rsid w:val="009A509F"/>
    <w:rsid w:val="009A5453"/>
    <w:rsid w:val="009A6A7B"/>
    <w:rsid w:val="009A7532"/>
    <w:rsid w:val="009A7883"/>
    <w:rsid w:val="009B04B7"/>
    <w:rsid w:val="009B0596"/>
    <w:rsid w:val="009B1D50"/>
    <w:rsid w:val="009B237F"/>
    <w:rsid w:val="009B2760"/>
    <w:rsid w:val="009B308D"/>
    <w:rsid w:val="009B31D6"/>
    <w:rsid w:val="009B38D5"/>
    <w:rsid w:val="009B3B62"/>
    <w:rsid w:val="009B3C8D"/>
    <w:rsid w:val="009B3DE3"/>
    <w:rsid w:val="009B4FFB"/>
    <w:rsid w:val="009B53C7"/>
    <w:rsid w:val="009B7489"/>
    <w:rsid w:val="009B7987"/>
    <w:rsid w:val="009B7B0A"/>
    <w:rsid w:val="009C07C9"/>
    <w:rsid w:val="009C08D7"/>
    <w:rsid w:val="009C0DC5"/>
    <w:rsid w:val="009C1866"/>
    <w:rsid w:val="009C1FDE"/>
    <w:rsid w:val="009C23FE"/>
    <w:rsid w:val="009C24C8"/>
    <w:rsid w:val="009C375C"/>
    <w:rsid w:val="009C4E0D"/>
    <w:rsid w:val="009C4F1B"/>
    <w:rsid w:val="009C503B"/>
    <w:rsid w:val="009C5793"/>
    <w:rsid w:val="009C5816"/>
    <w:rsid w:val="009C61EA"/>
    <w:rsid w:val="009C63EC"/>
    <w:rsid w:val="009C7DAC"/>
    <w:rsid w:val="009D077D"/>
    <w:rsid w:val="009D08A6"/>
    <w:rsid w:val="009D1915"/>
    <w:rsid w:val="009D1B69"/>
    <w:rsid w:val="009D1EB3"/>
    <w:rsid w:val="009D25DE"/>
    <w:rsid w:val="009D2ABF"/>
    <w:rsid w:val="009D3AD2"/>
    <w:rsid w:val="009D3E06"/>
    <w:rsid w:val="009D5843"/>
    <w:rsid w:val="009D638D"/>
    <w:rsid w:val="009D6393"/>
    <w:rsid w:val="009D6B6C"/>
    <w:rsid w:val="009E0885"/>
    <w:rsid w:val="009E1CC8"/>
    <w:rsid w:val="009E2827"/>
    <w:rsid w:val="009E2863"/>
    <w:rsid w:val="009E30D2"/>
    <w:rsid w:val="009E4885"/>
    <w:rsid w:val="009E508B"/>
    <w:rsid w:val="009E5EDF"/>
    <w:rsid w:val="009E5FBE"/>
    <w:rsid w:val="009E6A00"/>
    <w:rsid w:val="009F0086"/>
    <w:rsid w:val="009F03AB"/>
    <w:rsid w:val="009F0619"/>
    <w:rsid w:val="009F068A"/>
    <w:rsid w:val="009F08C5"/>
    <w:rsid w:val="009F0A85"/>
    <w:rsid w:val="009F1260"/>
    <w:rsid w:val="009F15CA"/>
    <w:rsid w:val="009F1B71"/>
    <w:rsid w:val="009F220A"/>
    <w:rsid w:val="009F36D6"/>
    <w:rsid w:val="009F6575"/>
    <w:rsid w:val="009F7ADC"/>
    <w:rsid w:val="00A0002A"/>
    <w:rsid w:val="00A01F3A"/>
    <w:rsid w:val="00A0236D"/>
    <w:rsid w:val="00A02985"/>
    <w:rsid w:val="00A02B2B"/>
    <w:rsid w:val="00A02FA8"/>
    <w:rsid w:val="00A03F1A"/>
    <w:rsid w:val="00A03F74"/>
    <w:rsid w:val="00A03F88"/>
    <w:rsid w:val="00A046BF"/>
    <w:rsid w:val="00A05A37"/>
    <w:rsid w:val="00A05B25"/>
    <w:rsid w:val="00A05C04"/>
    <w:rsid w:val="00A05EC0"/>
    <w:rsid w:val="00A06254"/>
    <w:rsid w:val="00A06842"/>
    <w:rsid w:val="00A07459"/>
    <w:rsid w:val="00A07D78"/>
    <w:rsid w:val="00A07DB6"/>
    <w:rsid w:val="00A10573"/>
    <w:rsid w:val="00A10972"/>
    <w:rsid w:val="00A11406"/>
    <w:rsid w:val="00A13205"/>
    <w:rsid w:val="00A132A1"/>
    <w:rsid w:val="00A13422"/>
    <w:rsid w:val="00A148F0"/>
    <w:rsid w:val="00A15132"/>
    <w:rsid w:val="00A1554D"/>
    <w:rsid w:val="00A15792"/>
    <w:rsid w:val="00A158E3"/>
    <w:rsid w:val="00A1591A"/>
    <w:rsid w:val="00A172E0"/>
    <w:rsid w:val="00A17527"/>
    <w:rsid w:val="00A211C5"/>
    <w:rsid w:val="00A221A3"/>
    <w:rsid w:val="00A223D5"/>
    <w:rsid w:val="00A235E4"/>
    <w:rsid w:val="00A23F41"/>
    <w:rsid w:val="00A25547"/>
    <w:rsid w:val="00A25F76"/>
    <w:rsid w:val="00A3003E"/>
    <w:rsid w:val="00A31E14"/>
    <w:rsid w:val="00A3325E"/>
    <w:rsid w:val="00A34276"/>
    <w:rsid w:val="00A34524"/>
    <w:rsid w:val="00A345B6"/>
    <w:rsid w:val="00A3502D"/>
    <w:rsid w:val="00A357A4"/>
    <w:rsid w:val="00A35AF5"/>
    <w:rsid w:val="00A35CDF"/>
    <w:rsid w:val="00A36453"/>
    <w:rsid w:val="00A37970"/>
    <w:rsid w:val="00A37A68"/>
    <w:rsid w:val="00A37B0C"/>
    <w:rsid w:val="00A37CE6"/>
    <w:rsid w:val="00A37D1C"/>
    <w:rsid w:val="00A37FFE"/>
    <w:rsid w:val="00A404BE"/>
    <w:rsid w:val="00A40ECF"/>
    <w:rsid w:val="00A411C9"/>
    <w:rsid w:val="00A41FEF"/>
    <w:rsid w:val="00A42476"/>
    <w:rsid w:val="00A433CA"/>
    <w:rsid w:val="00A43A1A"/>
    <w:rsid w:val="00A43D48"/>
    <w:rsid w:val="00A43F3C"/>
    <w:rsid w:val="00A447A5"/>
    <w:rsid w:val="00A45B83"/>
    <w:rsid w:val="00A4646E"/>
    <w:rsid w:val="00A4661D"/>
    <w:rsid w:val="00A468FD"/>
    <w:rsid w:val="00A46921"/>
    <w:rsid w:val="00A47249"/>
    <w:rsid w:val="00A47E3B"/>
    <w:rsid w:val="00A501C7"/>
    <w:rsid w:val="00A5058A"/>
    <w:rsid w:val="00A50905"/>
    <w:rsid w:val="00A513FD"/>
    <w:rsid w:val="00A517D0"/>
    <w:rsid w:val="00A5254B"/>
    <w:rsid w:val="00A52BC1"/>
    <w:rsid w:val="00A52D47"/>
    <w:rsid w:val="00A5347F"/>
    <w:rsid w:val="00A534A0"/>
    <w:rsid w:val="00A537EA"/>
    <w:rsid w:val="00A539AD"/>
    <w:rsid w:val="00A53E3E"/>
    <w:rsid w:val="00A540B2"/>
    <w:rsid w:val="00A5414D"/>
    <w:rsid w:val="00A54A3E"/>
    <w:rsid w:val="00A556B7"/>
    <w:rsid w:val="00A564A6"/>
    <w:rsid w:val="00A56819"/>
    <w:rsid w:val="00A568AC"/>
    <w:rsid w:val="00A57B07"/>
    <w:rsid w:val="00A6025F"/>
    <w:rsid w:val="00A60E9C"/>
    <w:rsid w:val="00A61196"/>
    <w:rsid w:val="00A6131E"/>
    <w:rsid w:val="00A616AF"/>
    <w:rsid w:val="00A61879"/>
    <w:rsid w:val="00A628B4"/>
    <w:rsid w:val="00A62E6A"/>
    <w:rsid w:val="00A63E4E"/>
    <w:rsid w:val="00A6444F"/>
    <w:rsid w:val="00A652FF"/>
    <w:rsid w:val="00A6598D"/>
    <w:rsid w:val="00A65A0D"/>
    <w:rsid w:val="00A65C27"/>
    <w:rsid w:val="00A65F3C"/>
    <w:rsid w:val="00A661FD"/>
    <w:rsid w:val="00A66FB3"/>
    <w:rsid w:val="00A67DF5"/>
    <w:rsid w:val="00A709A3"/>
    <w:rsid w:val="00A71216"/>
    <w:rsid w:val="00A714A3"/>
    <w:rsid w:val="00A71B8B"/>
    <w:rsid w:val="00A74456"/>
    <w:rsid w:val="00A75089"/>
    <w:rsid w:val="00A75EDC"/>
    <w:rsid w:val="00A80404"/>
    <w:rsid w:val="00A80548"/>
    <w:rsid w:val="00A8085F"/>
    <w:rsid w:val="00A80A3D"/>
    <w:rsid w:val="00A817A8"/>
    <w:rsid w:val="00A81E50"/>
    <w:rsid w:val="00A81F1C"/>
    <w:rsid w:val="00A82241"/>
    <w:rsid w:val="00A82602"/>
    <w:rsid w:val="00A82DA0"/>
    <w:rsid w:val="00A83E49"/>
    <w:rsid w:val="00A8401C"/>
    <w:rsid w:val="00A8415A"/>
    <w:rsid w:val="00A841A6"/>
    <w:rsid w:val="00A84221"/>
    <w:rsid w:val="00A843CA"/>
    <w:rsid w:val="00A84B7A"/>
    <w:rsid w:val="00A85063"/>
    <w:rsid w:val="00A85367"/>
    <w:rsid w:val="00A86359"/>
    <w:rsid w:val="00A865DC"/>
    <w:rsid w:val="00A86FBC"/>
    <w:rsid w:val="00A879C5"/>
    <w:rsid w:val="00A902AD"/>
    <w:rsid w:val="00A90302"/>
    <w:rsid w:val="00A9099E"/>
    <w:rsid w:val="00A91FB7"/>
    <w:rsid w:val="00A921CE"/>
    <w:rsid w:val="00A92967"/>
    <w:rsid w:val="00A9298F"/>
    <w:rsid w:val="00A9301E"/>
    <w:rsid w:val="00A93E3A"/>
    <w:rsid w:val="00A95186"/>
    <w:rsid w:val="00A951AD"/>
    <w:rsid w:val="00A9561B"/>
    <w:rsid w:val="00A961BD"/>
    <w:rsid w:val="00A9652F"/>
    <w:rsid w:val="00A973B1"/>
    <w:rsid w:val="00AA027E"/>
    <w:rsid w:val="00AA1224"/>
    <w:rsid w:val="00AA14F2"/>
    <w:rsid w:val="00AA180B"/>
    <w:rsid w:val="00AA1D43"/>
    <w:rsid w:val="00AA2358"/>
    <w:rsid w:val="00AA2469"/>
    <w:rsid w:val="00AA2CD7"/>
    <w:rsid w:val="00AA2FA4"/>
    <w:rsid w:val="00AA3301"/>
    <w:rsid w:val="00AA3360"/>
    <w:rsid w:val="00AA386B"/>
    <w:rsid w:val="00AA4C2E"/>
    <w:rsid w:val="00AA6384"/>
    <w:rsid w:val="00AA6B93"/>
    <w:rsid w:val="00AA7A06"/>
    <w:rsid w:val="00AA7A7F"/>
    <w:rsid w:val="00AA7F56"/>
    <w:rsid w:val="00AB1984"/>
    <w:rsid w:val="00AB1CBB"/>
    <w:rsid w:val="00AB215B"/>
    <w:rsid w:val="00AB266D"/>
    <w:rsid w:val="00AB2E7D"/>
    <w:rsid w:val="00AB3146"/>
    <w:rsid w:val="00AB333E"/>
    <w:rsid w:val="00AB37DB"/>
    <w:rsid w:val="00AB3ECC"/>
    <w:rsid w:val="00AB54B5"/>
    <w:rsid w:val="00AB5A73"/>
    <w:rsid w:val="00AB5F48"/>
    <w:rsid w:val="00AB7156"/>
    <w:rsid w:val="00AB716D"/>
    <w:rsid w:val="00AB72BB"/>
    <w:rsid w:val="00AB7472"/>
    <w:rsid w:val="00AB7BF3"/>
    <w:rsid w:val="00AC09D5"/>
    <w:rsid w:val="00AC0D8E"/>
    <w:rsid w:val="00AC175B"/>
    <w:rsid w:val="00AC1AA3"/>
    <w:rsid w:val="00AC1F8E"/>
    <w:rsid w:val="00AC22C1"/>
    <w:rsid w:val="00AC374B"/>
    <w:rsid w:val="00AC3798"/>
    <w:rsid w:val="00AC3ED5"/>
    <w:rsid w:val="00AC4CB3"/>
    <w:rsid w:val="00AC4D7C"/>
    <w:rsid w:val="00AC53B0"/>
    <w:rsid w:val="00AC6EF2"/>
    <w:rsid w:val="00AC71A6"/>
    <w:rsid w:val="00AC742F"/>
    <w:rsid w:val="00AC7664"/>
    <w:rsid w:val="00AC774F"/>
    <w:rsid w:val="00AC780D"/>
    <w:rsid w:val="00AC787B"/>
    <w:rsid w:val="00AC78A0"/>
    <w:rsid w:val="00AC7956"/>
    <w:rsid w:val="00AC7E18"/>
    <w:rsid w:val="00AD1B79"/>
    <w:rsid w:val="00AD3208"/>
    <w:rsid w:val="00AD3C00"/>
    <w:rsid w:val="00AD4F6A"/>
    <w:rsid w:val="00AD50F8"/>
    <w:rsid w:val="00AD719F"/>
    <w:rsid w:val="00AD7447"/>
    <w:rsid w:val="00AD752A"/>
    <w:rsid w:val="00AD7D36"/>
    <w:rsid w:val="00AE0A0E"/>
    <w:rsid w:val="00AE0DED"/>
    <w:rsid w:val="00AE1D05"/>
    <w:rsid w:val="00AE2780"/>
    <w:rsid w:val="00AE284A"/>
    <w:rsid w:val="00AE307E"/>
    <w:rsid w:val="00AE3450"/>
    <w:rsid w:val="00AE392E"/>
    <w:rsid w:val="00AE3E11"/>
    <w:rsid w:val="00AE40B3"/>
    <w:rsid w:val="00AE4BAB"/>
    <w:rsid w:val="00AE4BDC"/>
    <w:rsid w:val="00AE4CFD"/>
    <w:rsid w:val="00AE4EA6"/>
    <w:rsid w:val="00AE51FF"/>
    <w:rsid w:val="00AE55AD"/>
    <w:rsid w:val="00AE5D8F"/>
    <w:rsid w:val="00AE67D5"/>
    <w:rsid w:val="00AE78ED"/>
    <w:rsid w:val="00AE7AC2"/>
    <w:rsid w:val="00AE7EC9"/>
    <w:rsid w:val="00AF1117"/>
    <w:rsid w:val="00AF1555"/>
    <w:rsid w:val="00AF174E"/>
    <w:rsid w:val="00AF18BA"/>
    <w:rsid w:val="00AF1CA5"/>
    <w:rsid w:val="00AF228C"/>
    <w:rsid w:val="00AF2DB9"/>
    <w:rsid w:val="00AF3928"/>
    <w:rsid w:val="00AF3B55"/>
    <w:rsid w:val="00AF3D62"/>
    <w:rsid w:val="00AF4146"/>
    <w:rsid w:val="00AF56FE"/>
    <w:rsid w:val="00AF5C45"/>
    <w:rsid w:val="00AF62A7"/>
    <w:rsid w:val="00AF6AC5"/>
    <w:rsid w:val="00AF7809"/>
    <w:rsid w:val="00AF7CA7"/>
    <w:rsid w:val="00AF7F7B"/>
    <w:rsid w:val="00B00BDE"/>
    <w:rsid w:val="00B0104B"/>
    <w:rsid w:val="00B021E0"/>
    <w:rsid w:val="00B03A30"/>
    <w:rsid w:val="00B03A35"/>
    <w:rsid w:val="00B0430C"/>
    <w:rsid w:val="00B04F99"/>
    <w:rsid w:val="00B057B6"/>
    <w:rsid w:val="00B05A7C"/>
    <w:rsid w:val="00B06361"/>
    <w:rsid w:val="00B0651D"/>
    <w:rsid w:val="00B06955"/>
    <w:rsid w:val="00B07BEA"/>
    <w:rsid w:val="00B07F41"/>
    <w:rsid w:val="00B102F9"/>
    <w:rsid w:val="00B11C80"/>
    <w:rsid w:val="00B11F33"/>
    <w:rsid w:val="00B12152"/>
    <w:rsid w:val="00B12DCA"/>
    <w:rsid w:val="00B13ECB"/>
    <w:rsid w:val="00B1524F"/>
    <w:rsid w:val="00B15A54"/>
    <w:rsid w:val="00B15ECF"/>
    <w:rsid w:val="00B169CD"/>
    <w:rsid w:val="00B16C0A"/>
    <w:rsid w:val="00B1785C"/>
    <w:rsid w:val="00B17F60"/>
    <w:rsid w:val="00B2039A"/>
    <w:rsid w:val="00B20AC8"/>
    <w:rsid w:val="00B215D5"/>
    <w:rsid w:val="00B21D55"/>
    <w:rsid w:val="00B225CB"/>
    <w:rsid w:val="00B22870"/>
    <w:rsid w:val="00B22A22"/>
    <w:rsid w:val="00B22AA6"/>
    <w:rsid w:val="00B23D1A"/>
    <w:rsid w:val="00B23F4C"/>
    <w:rsid w:val="00B24233"/>
    <w:rsid w:val="00B246DD"/>
    <w:rsid w:val="00B248D8"/>
    <w:rsid w:val="00B24BA7"/>
    <w:rsid w:val="00B25A6F"/>
    <w:rsid w:val="00B25CD9"/>
    <w:rsid w:val="00B268D0"/>
    <w:rsid w:val="00B269D3"/>
    <w:rsid w:val="00B27886"/>
    <w:rsid w:val="00B27F44"/>
    <w:rsid w:val="00B301ED"/>
    <w:rsid w:val="00B30448"/>
    <w:rsid w:val="00B3048B"/>
    <w:rsid w:val="00B30C49"/>
    <w:rsid w:val="00B30D75"/>
    <w:rsid w:val="00B30DAD"/>
    <w:rsid w:val="00B31315"/>
    <w:rsid w:val="00B3260E"/>
    <w:rsid w:val="00B32C4B"/>
    <w:rsid w:val="00B3407E"/>
    <w:rsid w:val="00B34C84"/>
    <w:rsid w:val="00B34D6A"/>
    <w:rsid w:val="00B35021"/>
    <w:rsid w:val="00B35749"/>
    <w:rsid w:val="00B35EF5"/>
    <w:rsid w:val="00B3677F"/>
    <w:rsid w:val="00B36872"/>
    <w:rsid w:val="00B3704D"/>
    <w:rsid w:val="00B37071"/>
    <w:rsid w:val="00B40162"/>
    <w:rsid w:val="00B4054D"/>
    <w:rsid w:val="00B40903"/>
    <w:rsid w:val="00B40FDB"/>
    <w:rsid w:val="00B41C6D"/>
    <w:rsid w:val="00B420B2"/>
    <w:rsid w:val="00B42800"/>
    <w:rsid w:val="00B42832"/>
    <w:rsid w:val="00B42863"/>
    <w:rsid w:val="00B430F6"/>
    <w:rsid w:val="00B43511"/>
    <w:rsid w:val="00B43CE6"/>
    <w:rsid w:val="00B45528"/>
    <w:rsid w:val="00B46B6E"/>
    <w:rsid w:val="00B478FA"/>
    <w:rsid w:val="00B50156"/>
    <w:rsid w:val="00B501E8"/>
    <w:rsid w:val="00B502A3"/>
    <w:rsid w:val="00B506D4"/>
    <w:rsid w:val="00B507AA"/>
    <w:rsid w:val="00B50953"/>
    <w:rsid w:val="00B509AE"/>
    <w:rsid w:val="00B50E13"/>
    <w:rsid w:val="00B51581"/>
    <w:rsid w:val="00B518AD"/>
    <w:rsid w:val="00B51BB6"/>
    <w:rsid w:val="00B52056"/>
    <w:rsid w:val="00B52B0E"/>
    <w:rsid w:val="00B52D81"/>
    <w:rsid w:val="00B5355B"/>
    <w:rsid w:val="00B5402E"/>
    <w:rsid w:val="00B540E8"/>
    <w:rsid w:val="00B54681"/>
    <w:rsid w:val="00B55852"/>
    <w:rsid w:val="00B560A9"/>
    <w:rsid w:val="00B56866"/>
    <w:rsid w:val="00B56CC4"/>
    <w:rsid w:val="00B604BB"/>
    <w:rsid w:val="00B6062A"/>
    <w:rsid w:val="00B60A96"/>
    <w:rsid w:val="00B60DD7"/>
    <w:rsid w:val="00B60EB6"/>
    <w:rsid w:val="00B60EE5"/>
    <w:rsid w:val="00B616A5"/>
    <w:rsid w:val="00B628BE"/>
    <w:rsid w:val="00B62B67"/>
    <w:rsid w:val="00B637FB"/>
    <w:rsid w:val="00B6386F"/>
    <w:rsid w:val="00B65295"/>
    <w:rsid w:val="00B65D9B"/>
    <w:rsid w:val="00B66E51"/>
    <w:rsid w:val="00B66E68"/>
    <w:rsid w:val="00B672CB"/>
    <w:rsid w:val="00B67346"/>
    <w:rsid w:val="00B6793A"/>
    <w:rsid w:val="00B67AC3"/>
    <w:rsid w:val="00B70880"/>
    <w:rsid w:val="00B71422"/>
    <w:rsid w:val="00B71486"/>
    <w:rsid w:val="00B71607"/>
    <w:rsid w:val="00B71EF7"/>
    <w:rsid w:val="00B72361"/>
    <w:rsid w:val="00B74AB0"/>
    <w:rsid w:val="00B75345"/>
    <w:rsid w:val="00B76327"/>
    <w:rsid w:val="00B76400"/>
    <w:rsid w:val="00B76C94"/>
    <w:rsid w:val="00B76D4E"/>
    <w:rsid w:val="00B76D6E"/>
    <w:rsid w:val="00B771A8"/>
    <w:rsid w:val="00B771AA"/>
    <w:rsid w:val="00B772D0"/>
    <w:rsid w:val="00B80A99"/>
    <w:rsid w:val="00B80F4E"/>
    <w:rsid w:val="00B814CF"/>
    <w:rsid w:val="00B81A33"/>
    <w:rsid w:val="00B8256C"/>
    <w:rsid w:val="00B82B2D"/>
    <w:rsid w:val="00B83117"/>
    <w:rsid w:val="00B8319C"/>
    <w:rsid w:val="00B90351"/>
    <w:rsid w:val="00B90532"/>
    <w:rsid w:val="00B906F2"/>
    <w:rsid w:val="00B90D9B"/>
    <w:rsid w:val="00B91259"/>
    <w:rsid w:val="00B91AD5"/>
    <w:rsid w:val="00B91B81"/>
    <w:rsid w:val="00B91FF0"/>
    <w:rsid w:val="00B926A8"/>
    <w:rsid w:val="00B92FFF"/>
    <w:rsid w:val="00B93538"/>
    <w:rsid w:val="00B936F8"/>
    <w:rsid w:val="00B9492E"/>
    <w:rsid w:val="00B960DB"/>
    <w:rsid w:val="00B96799"/>
    <w:rsid w:val="00B96DE5"/>
    <w:rsid w:val="00B97A76"/>
    <w:rsid w:val="00BA0166"/>
    <w:rsid w:val="00BA0584"/>
    <w:rsid w:val="00BA0755"/>
    <w:rsid w:val="00BA1E9D"/>
    <w:rsid w:val="00BA249D"/>
    <w:rsid w:val="00BA3C66"/>
    <w:rsid w:val="00BA4D00"/>
    <w:rsid w:val="00BA4F9B"/>
    <w:rsid w:val="00BA5665"/>
    <w:rsid w:val="00BA6825"/>
    <w:rsid w:val="00BA72D9"/>
    <w:rsid w:val="00BB02DB"/>
    <w:rsid w:val="00BB0AB5"/>
    <w:rsid w:val="00BB195B"/>
    <w:rsid w:val="00BB1BBA"/>
    <w:rsid w:val="00BB1DB7"/>
    <w:rsid w:val="00BB204A"/>
    <w:rsid w:val="00BB2BD1"/>
    <w:rsid w:val="00BB31DF"/>
    <w:rsid w:val="00BB33E9"/>
    <w:rsid w:val="00BB34B7"/>
    <w:rsid w:val="00BB37AF"/>
    <w:rsid w:val="00BB3BE4"/>
    <w:rsid w:val="00BB44DB"/>
    <w:rsid w:val="00BB57D3"/>
    <w:rsid w:val="00BB58EE"/>
    <w:rsid w:val="00BB64EC"/>
    <w:rsid w:val="00BB7589"/>
    <w:rsid w:val="00BB7668"/>
    <w:rsid w:val="00BB7E42"/>
    <w:rsid w:val="00BC077E"/>
    <w:rsid w:val="00BC0DE5"/>
    <w:rsid w:val="00BC0E57"/>
    <w:rsid w:val="00BC1F5F"/>
    <w:rsid w:val="00BC21BE"/>
    <w:rsid w:val="00BC2465"/>
    <w:rsid w:val="00BC2A8A"/>
    <w:rsid w:val="00BC3E36"/>
    <w:rsid w:val="00BC4B2D"/>
    <w:rsid w:val="00BC4CE8"/>
    <w:rsid w:val="00BC4D54"/>
    <w:rsid w:val="00BC6E2F"/>
    <w:rsid w:val="00BC728A"/>
    <w:rsid w:val="00BC7632"/>
    <w:rsid w:val="00BC77A4"/>
    <w:rsid w:val="00BC7C9E"/>
    <w:rsid w:val="00BD1E79"/>
    <w:rsid w:val="00BD23A5"/>
    <w:rsid w:val="00BD2937"/>
    <w:rsid w:val="00BD2AFC"/>
    <w:rsid w:val="00BD2CD4"/>
    <w:rsid w:val="00BD3143"/>
    <w:rsid w:val="00BD330C"/>
    <w:rsid w:val="00BD359B"/>
    <w:rsid w:val="00BD3663"/>
    <w:rsid w:val="00BD367F"/>
    <w:rsid w:val="00BD46DF"/>
    <w:rsid w:val="00BD4871"/>
    <w:rsid w:val="00BD48A9"/>
    <w:rsid w:val="00BD4B47"/>
    <w:rsid w:val="00BD5712"/>
    <w:rsid w:val="00BD581A"/>
    <w:rsid w:val="00BD5C02"/>
    <w:rsid w:val="00BD658C"/>
    <w:rsid w:val="00BD678A"/>
    <w:rsid w:val="00BD6819"/>
    <w:rsid w:val="00BD7EC6"/>
    <w:rsid w:val="00BE063A"/>
    <w:rsid w:val="00BE0FF2"/>
    <w:rsid w:val="00BE1345"/>
    <w:rsid w:val="00BE18BC"/>
    <w:rsid w:val="00BE2147"/>
    <w:rsid w:val="00BE239E"/>
    <w:rsid w:val="00BE3B83"/>
    <w:rsid w:val="00BE3C67"/>
    <w:rsid w:val="00BE3CF7"/>
    <w:rsid w:val="00BE42FC"/>
    <w:rsid w:val="00BE6085"/>
    <w:rsid w:val="00BE64F6"/>
    <w:rsid w:val="00BE66FC"/>
    <w:rsid w:val="00BE73FA"/>
    <w:rsid w:val="00BF00D1"/>
    <w:rsid w:val="00BF0353"/>
    <w:rsid w:val="00BF090A"/>
    <w:rsid w:val="00BF0918"/>
    <w:rsid w:val="00BF2001"/>
    <w:rsid w:val="00BF2575"/>
    <w:rsid w:val="00BF31A0"/>
    <w:rsid w:val="00BF323A"/>
    <w:rsid w:val="00BF36C0"/>
    <w:rsid w:val="00BF3F0A"/>
    <w:rsid w:val="00BF4E35"/>
    <w:rsid w:val="00BF5FB3"/>
    <w:rsid w:val="00BF6F82"/>
    <w:rsid w:val="00BF7B9B"/>
    <w:rsid w:val="00C0083F"/>
    <w:rsid w:val="00C00976"/>
    <w:rsid w:val="00C020CD"/>
    <w:rsid w:val="00C025E1"/>
    <w:rsid w:val="00C02DDE"/>
    <w:rsid w:val="00C0362D"/>
    <w:rsid w:val="00C0367B"/>
    <w:rsid w:val="00C04E51"/>
    <w:rsid w:val="00C05074"/>
    <w:rsid w:val="00C05AF9"/>
    <w:rsid w:val="00C0606E"/>
    <w:rsid w:val="00C060A3"/>
    <w:rsid w:val="00C060B0"/>
    <w:rsid w:val="00C06D2C"/>
    <w:rsid w:val="00C072F0"/>
    <w:rsid w:val="00C07344"/>
    <w:rsid w:val="00C079A3"/>
    <w:rsid w:val="00C07C1F"/>
    <w:rsid w:val="00C07C79"/>
    <w:rsid w:val="00C11A79"/>
    <w:rsid w:val="00C1211E"/>
    <w:rsid w:val="00C13607"/>
    <w:rsid w:val="00C137B1"/>
    <w:rsid w:val="00C13811"/>
    <w:rsid w:val="00C13B43"/>
    <w:rsid w:val="00C15E81"/>
    <w:rsid w:val="00C174C9"/>
    <w:rsid w:val="00C17B6E"/>
    <w:rsid w:val="00C200BA"/>
    <w:rsid w:val="00C20748"/>
    <w:rsid w:val="00C20754"/>
    <w:rsid w:val="00C21378"/>
    <w:rsid w:val="00C220A5"/>
    <w:rsid w:val="00C22307"/>
    <w:rsid w:val="00C22BB2"/>
    <w:rsid w:val="00C22EAF"/>
    <w:rsid w:val="00C23150"/>
    <w:rsid w:val="00C24580"/>
    <w:rsid w:val="00C24908"/>
    <w:rsid w:val="00C250E8"/>
    <w:rsid w:val="00C25150"/>
    <w:rsid w:val="00C2515F"/>
    <w:rsid w:val="00C25B30"/>
    <w:rsid w:val="00C25DCF"/>
    <w:rsid w:val="00C26AEA"/>
    <w:rsid w:val="00C276EC"/>
    <w:rsid w:val="00C27C0A"/>
    <w:rsid w:val="00C305D9"/>
    <w:rsid w:val="00C31AD4"/>
    <w:rsid w:val="00C31C63"/>
    <w:rsid w:val="00C31C8C"/>
    <w:rsid w:val="00C31CD9"/>
    <w:rsid w:val="00C32481"/>
    <w:rsid w:val="00C3394C"/>
    <w:rsid w:val="00C34581"/>
    <w:rsid w:val="00C34AD7"/>
    <w:rsid w:val="00C3516D"/>
    <w:rsid w:val="00C351E4"/>
    <w:rsid w:val="00C353D8"/>
    <w:rsid w:val="00C361A6"/>
    <w:rsid w:val="00C365C5"/>
    <w:rsid w:val="00C3670F"/>
    <w:rsid w:val="00C36E1A"/>
    <w:rsid w:val="00C36E26"/>
    <w:rsid w:val="00C371DF"/>
    <w:rsid w:val="00C37818"/>
    <w:rsid w:val="00C37EFC"/>
    <w:rsid w:val="00C37FF9"/>
    <w:rsid w:val="00C40126"/>
    <w:rsid w:val="00C41099"/>
    <w:rsid w:val="00C41425"/>
    <w:rsid w:val="00C41B4A"/>
    <w:rsid w:val="00C4213A"/>
    <w:rsid w:val="00C42C11"/>
    <w:rsid w:val="00C43344"/>
    <w:rsid w:val="00C43ADB"/>
    <w:rsid w:val="00C44949"/>
    <w:rsid w:val="00C44B4C"/>
    <w:rsid w:val="00C450E3"/>
    <w:rsid w:val="00C456CC"/>
    <w:rsid w:val="00C45830"/>
    <w:rsid w:val="00C45C56"/>
    <w:rsid w:val="00C45CCD"/>
    <w:rsid w:val="00C46734"/>
    <w:rsid w:val="00C50112"/>
    <w:rsid w:val="00C5105D"/>
    <w:rsid w:val="00C511F0"/>
    <w:rsid w:val="00C513C7"/>
    <w:rsid w:val="00C51639"/>
    <w:rsid w:val="00C51871"/>
    <w:rsid w:val="00C53220"/>
    <w:rsid w:val="00C533A0"/>
    <w:rsid w:val="00C537E7"/>
    <w:rsid w:val="00C53AFE"/>
    <w:rsid w:val="00C53E9D"/>
    <w:rsid w:val="00C5426B"/>
    <w:rsid w:val="00C54C18"/>
    <w:rsid w:val="00C573DA"/>
    <w:rsid w:val="00C5772E"/>
    <w:rsid w:val="00C5781B"/>
    <w:rsid w:val="00C61117"/>
    <w:rsid w:val="00C616B4"/>
    <w:rsid w:val="00C621A7"/>
    <w:rsid w:val="00C62AA0"/>
    <w:rsid w:val="00C62BF2"/>
    <w:rsid w:val="00C62D1B"/>
    <w:rsid w:val="00C638A6"/>
    <w:rsid w:val="00C63FB9"/>
    <w:rsid w:val="00C64266"/>
    <w:rsid w:val="00C647DF"/>
    <w:rsid w:val="00C64F8E"/>
    <w:rsid w:val="00C66306"/>
    <w:rsid w:val="00C66CE8"/>
    <w:rsid w:val="00C70074"/>
    <w:rsid w:val="00C70D51"/>
    <w:rsid w:val="00C70DF4"/>
    <w:rsid w:val="00C71252"/>
    <w:rsid w:val="00C7277F"/>
    <w:rsid w:val="00C73C07"/>
    <w:rsid w:val="00C74930"/>
    <w:rsid w:val="00C74B47"/>
    <w:rsid w:val="00C74D80"/>
    <w:rsid w:val="00C754BD"/>
    <w:rsid w:val="00C75D3A"/>
    <w:rsid w:val="00C769A9"/>
    <w:rsid w:val="00C774C9"/>
    <w:rsid w:val="00C77F1B"/>
    <w:rsid w:val="00C80987"/>
    <w:rsid w:val="00C80A3F"/>
    <w:rsid w:val="00C8180E"/>
    <w:rsid w:val="00C818A9"/>
    <w:rsid w:val="00C82436"/>
    <w:rsid w:val="00C82933"/>
    <w:rsid w:val="00C82BE2"/>
    <w:rsid w:val="00C84BBF"/>
    <w:rsid w:val="00C84BE9"/>
    <w:rsid w:val="00C85DEF"/>
    <w:rsid w:val="00C85E40"/>
    <w:rsid w:val="00C86D76"/>
    <w:rsid w:val="00C87A64"/>
    <w:rsid w:val="00C910F8"/>
    <w:rsid w:val="00C91106"/>
    <w:rsid w:val="00C9117B"/>
    <w:rsid w:val="00C91D19"/>
    <w:rsid w:val="00C93B58"/>
    <w:rsid w:val="00C93C2F"/>
    <w:rsid w:val="00C9437C"/>
    <w:rsid w:val="00C946E4"/>
    <w:rsid w:val="00C946FF"/>
    <w:rsid w:val="00C94A14"/>
    <w:rsid w:val="00C94CDA"/>
    <w:rsid w:val="00C95BED"/>
    <w:rsid w:val="00C96725"/>
    <w:rsid w:val="00C97A66"/>
    <w:rsid w:val="00CA007B"/>
    <w:rsid w:val="00CA01BB"/>
    <w:rsid w:val="00CA0AA4"/>
    <w:rsid w:val="00CA0C1E"/>
    <w:rsid w:val="00CA15B0"/>
    <w:rsid w:val="00CA1C71"/>
    <w:rsid w:val="00CA1D4C"/>
    <w:rsid w:val="00CA1D50"/>
    <w:rsid w:val="00CA1DAB"/>
    <w:rsid w:val="00CA20E0"/>
    <w:rsid w:val="00CA2598"/>
    <w:rsid w:val="00CA3347"/>
    <w:rsid w:val="00CA523D"/>
    <w:rsid w:val="00CA6FDA"/>
    <w:rsid w:val="00CA77CF"/>
    <w:rsid w:val="00CA7B58"/>
    <w:rsid w:val="00CB0836"/>
    <w:rsid w:val="00CB0CB9"/>
    <w:rsid w:val="00CB1413"/>
    <w:rsid w:val="00CB18D4"/>
    <w:rsid w:val="00CB2518"/>
    <w:rsid w:val="00CB3920"/>
    <w:rsid w:val="00CB4C4C"/>
    <w:rsid w:val="00CB6413"/>
    <w:rsid w:val="00CB696F"/>
    <w:rsid w:val="00CB6A00"/>
    <w:rsid w:val="00CB7097"/>
    <w:rsid w:val="00CB77F4"/>
    <w:rsid w:val="00CB780D"/>
    <w:rsid w:val="00CC0F1C"/>
    <w:rsid w:val="00CC1983"/>
    <w:rsid w:val="00CC1BBB"/>
    <w:rsid w:val="00CC259D"/>
    <w:rsid w:val="00CC299A"/>
    <w:rsid w:val="00CC3039"/>
    <w:rsid w:val="00CC32B7"/>
    <w:rsid w:val="00CC36DE"/>
    <w:rsid w:val="00CC4498"/>
    <w:rsid w:val="00CC4F99"/>
    <w:rsid w:val="00CC5CDC"/>
    <w:rsid w:val="00CC5FC3"/>
    <w:rsid w:val="00CC6369"/>
    <w:rsid w:val="00CC6576"/>
    <w:rsid w:val="00CC65D6"/>
    <w:rsid w:val="00CC73F3"/>
    <w:rsid w:val="00CC7B85"/>
    <w:rsid w:val="00CD081C"/>
    <w:rsid w:val="00CD14DA"/>
    <w:rsid w:val="00CD1B5A"/>
    <w:rsid w:val="00CD1E9C"/>
    <w:rsid w:val="00CD27DB"/>
    <w:rsid w:val="00CD2E70"/>
    <w:rsid w:val="00CD386B"/>
    <w:rsid w:val="00CD3D06"/>
    <w:rsid w:val="00CD4A09"/>
    <w:rsid w:val="00CD4C67"/>
    <w:rsid w:val="00CD4C7B"/>
    <w:rsid w:val="00CD5397"/>
    <w:rsid w:val="00CD5E93"/>
    <w:rsid w:val="00CE15AE"/>
    <w:rsid w:val="00CE1CFC"/>
    <w:rsid w:val="00CE235A"/>
    <w:rsid w:val="00CE37A3"/>
    <w:rsid w:val="00CE3814"/>
    <w:rsid w:val="00CE3FC0"/>
    <w:rsid w:val="00CE4AC7"/>
    <w:rsid w:val="00CE56B7"/>
    <w:rsid w:val="00CE6660"/>
    <w:rsid w:val="00CE6855"/>
    <w:rsid w:val="00CE6B6F"/>
    <w:rsid w:val="00CE7033"/>
    <w:rsid w:val="00CE7075"/>
    <w:rsid w:val="00CE770A"/>
    <w:rsid w:val="00CF02A6"/>
    <w:rsid w:val="00CF05A6"/>
    <w:rsid w:val="00CF06CF"/>
    <w:rsid w:val="00CF101C"/>
    <w:rsid w:val="00CF15C5"/>
    <w:rsid w:val="00CF1EFE"/>
    <w:rsid w:val="00CF2DC1"/>
    <w:rsid w:val="00CF2EE2"/>
    <w:rsid w:val="00CF3948"/>
    <w:rsid w:val="00CF3ACF"/>
    <w:rsid w:val="00CF441D"/>
    <w:rsid w:val="00CF4FCF"/>
    <w:rsid w:val="00CF4FDC"/>
    <w:rsid w:val="00CF53F2"/>
    <w:rsid w:val="00CF56AF"/>
    <w:rsid w:val="00CF5BE0"/>
    <w:rsid w:val="00CF5BF1"/>
    <w:rsid w:val="00CF6001"/>
    <w:rsid w:val="00CF61CB"/>
    <w:rsid w:val="00CF666F"/>
    <w:rsid w:val="00CF686F"/>
    <w:rsid w:val="00CF6CA7"/>
    <w:rsid w:val="00CF6E7D"/>
    <w:rsid w:val="00CF76FB"/>
    <w:rsid w:val="00D00175"/>
    <w:rsid w:val="00D00223"/>
    <w:rsid w:val="00D00312"/>
    <w:rsid w:val="00D0045E"/>
    <w:rsid w:val="00D008D8"/>
    <w:rsid w:val="00D00DBF"/>
    <w:rsid w:val="00D0149B"/>
    <w:rsid w:val="00D01F5D"/>
    <w:rsid w:val="00D01FA9"/>
    <w:rsid w:val="00D02D17"/>
    <w:rsid w:val="00D03DBE"/>
    <w:rsid w:val="00D03EED"/>
    <w:rsid w:val="00D0597D"/>
    <w:rsid w:val="00D06274"/>
    <w:rsid w:val="00D066D8"/>
    <w:rsid w:val="00D07FB9"/>
    <w:rsid w:val="00D11949"/>
    <w:rsid w:val="00D11A69"/>
    <w:rsid w:val="00D11CB2"/>
    <w:rsid w:val="00D12C98"/>
    <w:rsid w:val="00D12FFC"/>
    <w:rsid w:val="00D13CA3"/>
    <w:rsid w:val="00D1484F"/>
    <w:rsid w:val="00D14BA0"/>
    <w:rsid w:val="00D14D7B"/>
    <w:rsid w:val="00D1516D"/>
    <w:rsid w:val="00D158B0"/>
    <w:rsid w:val="00D1707A"/>
    <w:rsid w:val="00D17CC2"/>
    <w:rsid w:val="00D20EED"/>
    <w:rsid w:val="00D21435"/>
    <w:rsid w:val="00D2242C"/>
    <w:rsid w:val="00D224FA"/>
    <w:rsid w:val="00D23033"/>
    <w:rsid w:val="00D2402F"/>
    <w:rsid w:val="00D245C2"/>
    <w:rsid w:val="00D25660"/>
    <w:rsid w:val="00D2569B"/>
    <w:rsid w:val="00D258EB"/>
    <w:rsid w:val="00D25AEB"/>
    <w:rsid w:val="00D271CD"/>
    <w:rsid w:val="00D3064E"/>
    <w:rsid w:val="00D315CC"/>
    <w:rsid w:val="00D31DDA"/>
    <w:rsid w:val="00D31F05"/>
    <w:rsid w:val="00D32067"/>
    <w:rsid w:val="00D327A3"/>
    <w:rsid w:val="00D33AE9"/>
    <w:rsid w:val="00D34C82"/>
    <w:rsid w:val="00D36550"/>
    <w:rsid w:val="00D379EC"/>
    <w:rsid w:val="00D37C94"/>
    <w:rsid w:val="00D40D88"/>
    <w:rsid w:val="00D41E42"/>
    <w:rsid w:val="00D41F6B"/>
    <w:rsid w:val="00D42380"/>
    <w:rsid w:val="00D42C9B"/>
    <w:rsid w:val="00D4348D"/>
    <w:rsid w:val="00D436D7"/>
    <w:rsid w:val="00D44E42"/>
    <w:rsid w:val="00D44FC3"/>
    <w:rsid w:val="00D450E2"/>
    <w:rsid w:val="00D453D7"/>
    <w:rsid w:val="00D4552D"/>
    <w:rsid w:val="00D462D6"/>
    <w:rsid w:val="00D4714D"/>
    <w:rsid w:val="00D474AB"/>
    <w:rsid w:val="00D4754E"/>
    <w:rsid w:val="00D50460"/>
    <w:rsid w:val="00D50961"/>
    <w:rsid w:val="00D50A02"/>
    <w:rsid w:val="00D512A1"/>
    <w:rsid w:val="00D518D6"/>
    <w:rsid w:val="00D52AB4"/>
    <w:rsid w:val="00D52F26"/>
    <w:rsid w:val="00D531F5"/>
    <w:rsid w:val="00D538C1"/>
    <w:rsid w:val="00D538D5"/>
    <w:rsid w:val="00D53B5C"/>
    <w:rsid w:val="00D54640"/>
    <w:rsid w:val="00D55455"/>
    <w:rsid w:val="00D559B5"/>
    <w:rsid w:val="00D56420"/>
    <w:rsid w:val="00D5658A"/>
    <w:rsid w:val="00D56A94"/>
    <w:rsid w:val="00D56C0C"/>
    <w:rsid w:val="00D56F9E"/>
    <w:rsid w:val="00D570B4"/>
    <w:rsid w:val="00D5798B"/>
    <w:rsid w:val="00D60736"/>
    <w:rsid w:val="00D6170E"/>
    <w:rsid w:val="00D61972"/>
    <w:rsid w:val="00D61B58"/>
    <w:rsid w:val="00D6307D"/>
    <w:rsid w:val="00D63632"/>
    <w:rsid w:val="00D63732"/>
    <w:rsid w:val="00D63925"/>
    <w:rsid w:val="00D6405D"/>
    <w:rsid w:val="00D6568E"/>
    <w:rsid w:val="00D65893"/>
    <w:rsid w:val="00D658EC"/>
    <w:rsid w:val="00D66816"/>
    <w:rsid w:val="00D6684E"/>
    <w:rsid w:val="00D6742A"/>
    <w:rsid w:val="00D67B9B"/>
    <w:rsid w:val="00D71733"/>
    <w:rsid w:val="00D718AC"/>
    <w:rsid w:val="00D719A3"/>
    <w:rsid w:val="00D71E7A"/>
    <w:rsid w:val="00D72DE7"/>
    <w:rsid w:val="00D7302F"/>
    <w:rsid w:val="00D73870"/>
    <w:rsid w:val="00D73BB2"/>
    <w:rsid w:val="00D74575"/>
    <w:rsid w:val="00D74D14"/>
    <w:rsid w:val="00D74F3B"/>
    <w:rsid w:val="00D752E7"/>
    <w:rsid w:val="00D7574B"/>
    <w:rsid w:val="00D75913"/>
    <w:rsid w:val="00D75E82"/>
    <w:rsid w:val="00D76270"/>
    <w:rsid w:val="00D767C6"/>
    <w:rsid w:val="00D769C5"/>
    <w:rsid w:val="00D76E76"/>
    <w:rsid w:val="00D80631"/>
    <w:rsid w:val="00D818EC"/>
    <w:rsid w:val="00D81A20"/>
    <w:rsid w:val="00D81F55"/>
    <w:rsid w:val="00D8321A"/>
    <w:rsid w:val="00D83F57"/>
    <w:rsid w:val="00D84A86"/>
    <w:rsid w:val="00D85152"/>
    <w:rsid w:val="00D85F2C"/>
    <w:rsid w:val="00D86030"/>
    <w:rsid w:val="00D861BD"/>
    <w:rsid w:val="00D86D55"/>
    <w:rsid w:val="00D8789C"/>
    <w:rsid w:val="00D8789D"/>
    <w:rsid w:val="00D87B3F"/>
    <w:rsid w:val="00D9003D"/>
    <w:rsid w:val="00D90558"/>
    <w:rsid w:val="00D9082F"/>
    <w:rsid w:val="00D90C79"/>
    <w:rsid w:val="00D914EB"/>
    <w:rsid w:val="00D91B36"/>
    <w:rsid w:val="00D9305B"/>
    <w:rsid w:val="00D94085"/>
    <w:rsid w:val="00D944D2"/>
    <w:rsid w:val="00D96D4F"/>
    <w:rsid w:val="00DA1806"/>
    <w:rsid w:val="00DA1BD1"/>
    <w:rsid w:val="00DA212B"/>
    <w:rsid w:val="00DA3A76"/>
    <w:rsid w:val="00DA5713"/>
    <w:rsid w:val="00DA6856"/>
    <w:rsid w:val="00DA6D6D"/>
    <w:rsid w:val="00DA73C1"/>
    <w:rsid w:val="00DA7457"/>
    <w:rsid w:val="00DA770D"/>
    <w:rsid w:val="00DA77A8"/>
    <w:rsid w:val="00DA7851"/>
    <w:rsid w:val="00DA7DC1"/>
    <w:rsid w:val="00DB00EE"/>
    <w:rsid w:val="00DB0132"/>
    <w:rsid w:val="00DB2754"/>
    <w:rsid w:val="00DB2D88"/>
    <w:rsid w:val="00DB3687"/>
    <w:rsid w:val="00DB38D1"/>
    <w:rsid w:val="00DB41CB"/>
    <w:rsid w:val="00DB5114"/>
    <w:rsid w:val="00DB681B"/>
    <w:rsid w:val="00DB7E24"/>
    <w:rsid w:val="00DC0445"/>
    <w:rsid w:val="00DC115F"/>
    <w:rsid w:val="00DC2082"/>
    <w:rsid w:val="00DC225F"/>
    <w:rsid w:val="00DC2883"/>
    <w:rsid w:val="00DC2C48"/>
    <w:rsid w:val="00DC46B5"/>
    <w:rsid w:val="00DC4B28"/>
    <w:rsid w:val="00DC4B5D"/>
    <w:rsid w:val="00DC525E"/>
    <w:rsid w:val="00DC535C"/>
    <w:rsid w:val="00DC5DCB"/>
    <w:rsid w:val="00DC6C0D"/>
    <w:rsid w:val="00DC75E7"/>
    <w:rsid w:val="00DD074A"/>
    <w:rsid w:val="00DD0D70"/>
    <w:rsid w:val="00DD1941"/>
    <w:rsid w:val="00DD26A5"/>
    <w:rsid w:val="00DD2812"/>
    <w:rsid w:val="00DD2CE3"/>
    <w:rsid w:val="00DD34F2"/>
    <w:rsid w:val="00DD3C6B"/>
    <w:rsid w:val="00DD4A56"/>
    <w:rsid w:val="00DD54ED"/>
    <w:rsid w:val="00DD697F"/>
    <w:rsid w:val="00DD699C"/>
    <w:rsid w:val="00DD739F"/>
    <w:rsid w:val="00DD7631"/>
    <w:rsid w:val="00DD7762"/>
    <w:rsid w:val="00DD781E"/>
    <w:rsid w:val="00DD7A2C"/>
    <w:rsid w:val="00DD7F63"/>
    <w:rsid w:val="00DE0A1B"/>
    <w:rsid w:val="00DE1238"/>
    <w:rsid w:val="00DE1966"/>
    <w:rsid w:val="00DE1FFE"/>
    <w:rsid w:val="00DE2F9E"/>
    <w:rsid w:val="00DE31B1"/>
    <w:rsid w:val="00DE32E7"/>
    <w:rsid w:val="00DE3BB8"/>
    <w:rsid w:val="00DE40EB"/>
    <w:rsid w:val="00DE5117"/>
    <w:rsid w:val="00DE51F6"/>
    <w:rsid w:val="00DE5648"/>
    <w:rsid w:val="00DE568A"/>
    <w:rsid w:val="00DE56B7"/>
    <w:rsid w:val="00DE595E"/>
    <w:rsid w:val="00DE5CD9"/>
    <w:rsid w:val="00DE6A70"/>
    <w:rsid w:val="00DE70B5"/>
    <w:rsid w:val="00DE7113"/>
    <w:rsid w:val="00DF00F9"/>
    <w:rsid w:val="00DF0576"/>
    <w:rsid w:val="00DF1981"/>
    <w:rsid w:val="00DF1D07"/>
    <w:rsid w:val="00DF1E89"/>
    <w:rsid w:val="00DF1EC8"/>
    <w:rsid w:val="00DF2144"/>
    <w:rsid w:val="00DF24D9"/>
    <w:rsid w:val="00DF2EA5"/>
    <w:rsid w:val="00DF310B"/>
    <w:rsid w:val="00DF3E47"/>
    <w:rsid w:val="00DF5362"/>
    <w:rsid w:val="00DF56E8"/>
    <w:rsid w:val="00DF5C01"/>
    <w:rsid w:val="00DF5FF5"/>
    <w:rsid w:val="00DF6655"/>
    <w:rsid w:val="00DF6EB6"/>
    <w:rsid w:val="00DF7133"/>
    <w:rsid w:val="00DF722A"/>
    <w:rsid w:val="00DF764C"/>
    <w:rsid w:val="00DF7FBF"/>
    <w:rsid w:val="00E00108"/>
    <w:rsid w:val="00E00BB4"/>
    <w:rsid w:val="00E00CAA"/>
    <w:rsid w:val="00E01441"/>
    <w:rsid w:val="00E01682"/>
    <w:rsid w:val="00E01D4A"/>
    <w:rsid w:val="00E02F4B"/>
    <w:rsid w:val="00E03D04"/>
    <w:rsid w:val="00E04332"/>
    <w:rsid w:val="00E043BB"/>
    <w:rsid w:val="00E047A0"/>
    <w:rsid w:val="00E04ECF"/>
    <w:rsid w:val="00E0502A"/>
    <w:rsid w:val="00E0584C"/>
    <w:rsid w:val="00E05902"/>
    <w:rsid w:val="00E067C4"/>
    <w:rsid w:val="00E06A36"/>
    <w:rsid w:val="00E074C9"/>
    <w:rsid w:val="00E1198B"/>
    <w:rsid w:val="00E11C0C"/>
    <w:rsid w:val="00E126B2"/>
    <w:rsid w:val="00E127E3"/>
    <w:rsid w:val="00E13E8F"/>
    <w:rsid w:val="00E14818"/>
    <w:rsid w:val="00E148E8"/>
    <w:rsid w:val="00E1610C"/>
    <w:rsid w:val="00E162BD"/>
    <w:rsid w:val="00E16660"/>
    <w:rsid w:val="00E16C78"/>
    <w:rsid w:val="00E16D73"/>
    <w:rsid w:val="00E17296"/>
    <w:rsid w:val="00E17833"/>
    <w:rsid w:val="00E17981"/>
    <w:rsid w:val="00E17CD2"/>
    <w:rsid w:val="00E17E36"/>
    <w:rsid w:val="00E201F2"/>
    <w:rsid w:val="00E206D8"/>
    <w:rsid w:val="00E20A87"/>
    <w:rsid w:val="00E2113A"/>
    <w:rsid w:val="00E21C65"/>
    <w:rsid w:val="00E2307E"/>
    <w:rsid w:val="00E2352B"/>
    <w:rsid w:val="00E23C63"/>
    <w:rsid w:val="00E23E84"/>
    <w:rsid w:val="00E23F9B"/>
    <w:rsid w:val="00E24D23"/>
    <w:rsid w:val="00E2546F"/>
    <w:rsid w:val="00E26285"/>
    <w:rsid w:val="00E26649"/>
    <w:rsid w:val="00E2703D"/>
    <w:rsid w:val="00E271F9"/>
    <w:rsid w:val="00E27F0A"/>
    <w:rsid w:val="00E30712"/>
    <w:rsid w:val="00E309B0"/>
    <w:rsid w:val="00E30E67"/>
    <w:rsid w:val="00E32143"/>
    <w:rsid w:val="00E325F3"/>
    <w:rsid w:val="00E326E9"/>
    <w:rsid w:val="00E32B61"/>
    <w:rsid w:val="00E33106"/>
    <w:rsid w:val="00E345C2"/>
    <w:rsid w:val="00E34D99"/>
    <w:rsid w:val="00E352C3"/>
    <w:rsid w:val="00E35476"/>
    <w:rsid w:val="00E355C0"/>
    <w:rsid w:val="00E359A5"/>
    <w:rsid w:val="00E35C28"/>
    <w:rsid w:val="00E372F7"/>
    <w:rsid w:val="00E37431"/>
    <w:rsid w:val="00E37DC0"/>
    <w:rsid w:val="00E37E0A"/>
    <w:rsid w:val="00E37EC6"/>
    <w:rsid w:val="00E40432"/>
    <w:rsid w:val="00E40850"/>
    <w:rsid w:val="00E40D52"/>
    <w:rsid w:val="00E41187"/>
    <w:rsid w:val="00E411B3"/>
    <w:rsid w:val="00E41585"/>
    <w:rsid w:val="00E41F94"/>
    <w:rsid w:val="00E421ED"/>
    <w:rsid w:val="00E4220D"/>
    <w:rsid w:val="00E4231E"/>
    <w:rsid w:val="00E4279A"/>
    <w:rsid w:val="00E429ED"/>
    <w:rsid w:val="00E43894"/>
    <w:rsid w:val="00E44AC7"/>
    <w:rsid w:val="00E45B2D"/>
    <w:rsid w:val="00E468F2"/>
    <w:rsid w:val="00E47A20"/>
    <w:rsid w:val="00E5084C"/>
    <w:rsid w:val="00E50871"/>
    <w:rsid w:val="00E50AD9"/>
    <w:rsid w:val="00E50B4C"/>
    <w:rsid w:val="00E512FE"/>
    <w:rsid w:val="00E5198D"/>
    <w:rsid w:val="00E52063"/>
    <w:rsid w:val="00E53533"/>
    <w:rsid w:val="00E537ED"/>
    <w:rsid w:val="00E5384D"/>
    <w:rsid w:val="00E53F2E"/>
    <w:rsid w:val="00E54004"/>
    <w:rsid w:val="00E546C9"/>
    <w:rsid w:val="00E54BB9"/>
    <w:rsid w:val="00E54D3F"/>
    <w:rsid w:val="00E55F1F"/>
    <w:rsid w:val="00E56735"/>
    <w:rsid w:val="00E56866"/>
    <w:rsid w:val="00E56904"/>
    <w:rsid w:val="00E57DFD"/>
    <w:rsid w:val="00E60423"/>
    <w:rsid w:val="00E60545"/>
    <w:rsid w:val="00E606F4"/>
    <w:rsid w:val="00E607E5"/>
    <w:rsid w:val="00E60A16"/>
    <w:rsid w:val="00E610CB"/>
    <w:rsid w:val="00E6125B"/>
    <w:rsid w:val="00E6170A"/>
    <w:rsid w:val="00E62816"/>
    <w:rsid w:val="00E62ADF"/>
    <w:rsid w:val="00E62FA7"/>
    <w:rsid w:val="00E637A3"/>
    <w:rsid w:val="00E659FD"/>
    <w:rsid w:val="00E65B0C"/>
    <w:rsid w:val="00E66B16"/>
    <w:rsid w:val="00E66BA2"/>
    <w:rsid w:val="00E677DB"/>
    <w:rsid w:val="00E700F8"/>
    <w:rsid w:val="00E71C2D"/>
    <w:rsid w:val="00E72187"/>
    <w:rsid w:val="00E7266C"/>
    <w:rsid w:val="00E72BB6"/>
    <w:rsid w:val="00E72CD0"/>
    <w:rsid w:val="00E730AC"/>
    <w:rsid w:val="00E7310C"/>
    <w:rsid w:val="00E733ED"/>
    <w:rsid w:val="00E734CE"/>
    <w:rsid w:val="00E73D33"/>
    <w:rsid w:val="00E750CB"/>
    <w:rsid w:val="00E778DC"/>
    <w:rsid w:val="00E80336"/>
    <w:rsid w:val="00E80D00"/>
    <w:rsid w:val="00E815CE"/>
    <w:rsid w:val="00E81611"/>
    <w:rsid w:val="00E81800"/>
    <w:rsid w:val="00E81863"/>
    <w:rsid w:val="00E81C42"/>
    <w:rsid w:val="00E81C5C"/>
    <w:rsid w:val="00E81FDB"/>
    <w:rsid w:val="00E82064"/>
    <w:rsid w:val="00E82B6E"/>
    <w:rsid w:val="00E82DC6"/>
    <w:rsid w:val="00E8347E"/>
    <w:rsid w:val="00E835C5"/>
    <w:rsid w:val="00E83ACD"/>
    <w:rsid w:val="00E83D4B"/>
    <w:rsid w:val="00E848F0"/>
    <w:rsid w:val="00E84D1C"/>
    <w:rsid w:val="00E84D9C"/>
    <w:rsid w:val="00E85069"/>
    <w:rsid w:val="00E8628F"/>
    <w:rsid w:val="00E86888"/>
    <w:rsid w:val="00E8695C"/>
    <w:rsid w:val="00E92C96"/>
    <w:rsid w:val="00E942B8"/>
    <w:rsid w:val="00E944ED"/>
    <w:rsid w:val="00E945AF"/>
    <w:rsid w:val="00E94A0B"/>
    <w:rsid w:val="00E94A2C"/>
    <w:rsid w:val="00E9544C"/>
    <w:rsid w:val="00E95799"/>
    <w:rsid w:val="00E95D93"/>
    <w:rsid w:val="00E9683D"/>
    <w:rsid w:val="00E970B7"/>
    <w:rsid w:val="00E97D95"/>
    <w:rsid w:val="00EA0035"/>
    <w:rsid w:val="00EA010D"/>
    <w:rsid w:val="00EA04C5"/>
    <w:rsid w:val="00EA0507"/>
    <w:rsid w:val="00EA0BB5"/>
    <w:rsid w:val="00EA1A8A"/>
    <w:rsid w:val="00EA21FA"/>
    <w:rsid w:val="00EA25EB"/>
    <w:rsid w:val="00EA26D5"/>
    <w:rsid w:val="00EA2775"/>
    <w:rsid w:val="00EA305D"/>
    <w:rsid w:val="00EA3106"/>
    <w:rsid w:val="00EA3874"/>
    <w:rsid w:val="00EA5697"/>
    <w:rsid w:val="00EA5AB6"/>
    <w:rsid w:val="00EA5FB0"/>
    <w:rsid w:val="00EA612E"/>
    <w:rsid w:val="00EA6F91"/>
    <w:rsid w:val="00EA761C"/>
    <w:rsid w:val="00EA7D7F"/>
    <w:rsid w:val="00EB0810"/>
    <w:rsid w:val="00EB0B5F"/>
    <w:rsid w:val="00EB1CF7"/>
    <w:rsid w:val="00EB25C2"/>
    <w:rsid w:val="00EB2B6F"/>
    <w:rsid w:val="00EB2CAD"/>
    <w:rsid w:val="00EB2FA2"/>
    <w:rsid w:val="00EB3272"/>
    <w:rsid w:val="00EB37B2"/>
    <w:rsid w:val="00EB3FF9"/>
    <w:rsid w:val="00EB5F0B"/>
    <w:rsid w:val="00EB7352"/>
    <w:rsid w:val="00EB769A"/>
    <w:rsid w:val="00EC11E4"/>
    <w:rsid w:val="00EC14E1"/>
    <w:rsid w:val="00EC183C"/>
    <w:rsid w:val="00EC2A3F"/>
    <w:rsid w:val="00EC2E64"/>
    <w:rsid w:val="00EC3A35"/>
    <w:rsid w:val="00EC3C52"/>
    <w:rsid w:val="00EC3E5B"/>
    <w:rsid w:val="00EC3E69"/>
    <w:rsid w:val="00EC41A7"/>
    <w:rsid w:val="00EC4257"/>
    <w:rsid w:val="00EC46CE"/>
    <w:rsid w:val="00EC4F94"/>
    <w:rsid w:val="00EC5554"/>
    <w:rsid w:val="00EC572B"/>
    <w:rsid w:val="00EC5B8E"/>
    <w:rsid w:val="00EC7356"/>
    <w:rsid w:val="00EC75F6"/>
    <w:rsid w:val="00ED0065"/>
    <w:rsid w:val="00ED17B5"/>
    <w:rsid w:val="00ED1BA0"/>
    <w:rsid w:val="00ED1D2D"/>
    <w:rsid w:val="00ED353D"/>
    <w:rsid w:val="00ED4C59"/>
    <w:rsid w:val="00ED588C"/>
    <w:rsid w:val="00ED6E7A"/>
    <w:rsid w:val="00ED6EA1"/>
    <w:rsid w:val="00ED7A7F"/>
    <w:rsid w:val="00EE060B"/>
    <w:rsid w:val="00EE07AC"/>
    <w:rsid w:val="00EE0891"/>
    <w:rsid w:val="00EE0C94"/>
    <w:rsid w:val="00EE1062"/>
    <w:rsid w:val="00EE17F2"/>
    <w:rsid w:val="00EE188A"/>
    <w:rsid w:val="00EE1B01"/>
    <w:rsid w:val="00EE1C62"/>
    <w:rsid w:val="00EE1DB8"/>
    <w:rsid w:val="00EE210D"/>
    <w:rsid w:val="00EE2746"/>
    <w:rsid w:val="00EE3256"/>
    <w:rsid w:val="00EE4759"/>
    <w:rsid w:val="00EE4C20"/>
    <w:rsid w:val="00EE4F2D"/>
    <w:rsid w:val="00EE524C"/>
    <w:rsid w:val="00EE589E"/>
    <w:rsid w:val="00EE6755"/>
    <w:rsid w:val="00EE78D6"/>
    <w:rsid w:val="00EF03DC"/>
    <w:rsid w:val="00EF0437"/>
    <w:rsid w:val="00EF0BFE"/>
    <w:rsid w:val="00EF1878"/>
    <w:rsid w:val="00EF1DE8"/>
    <w:rsid w:val="00EF2AC7"/>
    <w:rsid w:val="00EF3397"/>
    <w:rsid w:val="00EF40BF"/>
    <w:rsid w:val="00EF4557"/>
    <w:rsid w:val="00EF493F"/>
    <w:rsid w:val="00EF5947"/>
    <w:rsid w:val="00EF5E22"/>
    <w:rsid w:val="00EF60CA"/>
    <w:rsid w:val="00EF63C1"/>
    <w:rsid w:val="00EF6557"/>
    <w:rsid w:val="00EF69B7"/>
    <w:rsid w:val="00EF6C2B"/>
    <w:rsid w:val="00F00059"/>
    <w:rsid w:val="00F008BD"/>
    <w:rsid w:val="00F021A9"/>
    <w:rsid w:val="00F02C54"/>
    <w:rsid w:val="00F02CD0"/>
    <w:rsid w:val="00F02D03"/>
    <w:rsid w:val="00F035DB"/>
    <w:rsid w:val="00F0448C"/>
    <w:rsid w:val="00F0553C"/>
    <w:rsid w:val="00F06BA7"/>
    <w:rsid w:val="00F06C50"/>
    <w:rsid w:val="00F071BA"/>
    <w:rsid w:val="00F11D2E"/>
    <w:rsid w:val="00F1284F"/>
    <w:rsid w:val="00F136A4"/>
    <w:rsid w:val="00F1377B"/>
    <w:rsid w:val="00F13C5E"/>
    <w:rsid w:val="00F14108"/>
    <w:rsid w:val="00F148D5"/>
    <w:rsid w:val="00F1601A"/>
    <w:rsid w:val="00F160BF"/>
    <w:rsid w:val="00F16173"/>
    <w:rsid w:val="00F1675C"/>
    <w:rsid w:val="00F16A3C"/>
    <w:rsid w:val="00F17428"/>
    <w:rsid w:val="00F17EAC"/>
    <w:rsid w:val="00F20046"/>
    <w:rsid w:val="00F20CC1"/>
    <w:rsid w:val="00F20D22"/>
    <w:rsid w:val="00F21A58"/>
    <w:rsid w:val="00F2302A"/>
    <w:rsid w:val="00F23048"/>
    <w:rsid w:val="00F239CD"/>
    <w:rsid w:val="00F23DCC"/>
    <w:rsid w:val="00F24158"/>
    <w:rsid w:val="00F24294"/>
    <w:rsid w:val="00F2477C"/>
    <w:rsid w:val="00F24E5D"/>
    <w:rsid w:val="00F24EBB"/>
    <w:rsid w:val="00F27696"/>
    <w:rsid w:val="00F2777F"/>
    <w:rsid w:val="00F27F06"/>
    <w:rsid w:val="00F314E8"/>
    <w:rsid w:val="00F316A2"/>
    <w:rsid w:val="00F323A2"/>
    <w:rsid w:val="00F332D4"/>
    <w:rsid w:val="00F33B57"/>
    <w:rsid w:val="00F33CA8"/>
    <w:rsid w:val="00F33D5C"/>
    <w:rsid w:val="00F356D6"/>
    <w:rsid w:val="00F372DB"/>
    <w:rsid w:val="00F3785D"/>
    <w:rsid w:val="00F378BE"/>
    <w:rsid w:val="00F37D37"/>
    <w:rsid w:val="00F400E3"/>
    <w:rsid w:val="00F4021A"/>
    <w:rsid w:val="00F40876"/>
    <w:rsid w:val="00F4363B"/>
    <w:rsid w:val="00F44642"/>
    <w:rsid w:val="00F454A2"/>
    <w:rsid w:val="00F45E89"/>
    <w:rsid w:val="00F47845"/>
    <w:rsid w:val="00F47B6C"/>
    <w:rsid w:val="00F50039"/>
    <w:rsid w:val="00F50675"/>
    <w:rsid w:val="00F5071D"/>
    <w:rsid w:val="00F50BD6"/>
    <w:rsid w:val="00F50E16"/>
    <w:rsid w:val="00F513B2"/>
    <w:rsid w:val="00F51520"/>
    <w:rsid w:val="00F52140"/>
    <w:rsid w:val="00F521E4"/>
    <w:rsid w:val="00F52CCE"/>
    <w:rsid w:val="00F53151"/>
    <w:rsid w:val="00F535A9"/>
    <w:rsid w:val="00F53F92"/>
    <w:rsid w:val="00F5480F"/>
    <w:rsid w:val="00F54AA5"/>
    <w:rsid w:val="00F552F7"/>
    <w:rsid w:val="00F553A7"/>
    <w:rsid w:val="00F554EB"/>
    <w:rsid w:val="00F5562D"/>
    <w:rsid w:val="00F55BC7"/>
    <w:rsid w:val="00F566EA"/>
    <w:rsid w:val="00F567A4"/>
    <w:rsid w:val="00F578EB"/>
    <w:rsid w:val="00F605BE"/>
    <w:rsid w:val="00F60AF6"/>
    <w:rsid w:val="00F60DDC"/>
    <w:rsid w:val="00F610A9"/>
    <w:rsid w:val="00F617BE"/>
    <w:rsid w:val="00F61C7A"/>
    <w:rsid w:val="00F625F7"/>
    <w:rsid w:val="00F64702"/>
    <w:rsid w:val="00F64D5A"/>
    <w:rsid w:val="00F65399"/>
    <w:rsid w:val="00F65B68"/>
    <w:rsid w:val="00F65C22"/>
    <w:rsid w:val="00F65EC9"/>
    <w:rsid w:val="00F66CB1"/>
    <w:rsid w:val="00F672BD"/>
    <w:rsid w:val="00F677CB"/>
    <w:rsid w:val="00F67E15"/>
    <w:rsid w:val="00F67FCA"/>
    <w:rsid w:val="00F70815"/>
    <w:rsid w:val="00F709F4"/>
    <w:rsid w:val="00F71019"/>
    <w:rsid w:val="00F710A9"/>
    <w:rsid w:val="00F7284D"/>
    <w:rsid w:val="00F72CFE"/>
    <w:rsid w:val="00F72FB0"/>
    <w:rsid w:val="00F73423"/>
    <w:rsid w:val="00F7365E"/>
    <w:rsid w:val="00F737A4"/>
    <w:rsid w:val="00F73950"/>
    <w:rsid w:val="00F75481"/>
    <w:rsid w:val="00F76664"/>
    <w:rsid w:val="00F76A4C"/>
    <w:rsid w:val="00F76AB3"/>
    <w:rsid w:val="00F816A4"/>
    <w:rsid w:val="00F81AE9"/>
    <w:rsid w:val="00F827D0"/>
    <w:rsid w:val="00F82C78"/>
    <w:rsid w:val="00F82E2E"/>
    <w:rsid w:val="00F83186"/>
    <w:rsid w:val="00F83601"/>
    <w:rsid w:val="00F837E6"/>
    <w:rsid w:val="00F8389A"/>
    <w:rsid w:val="00F83AE9"/>
    <w:rsid w:val="00F83EC8"/>
    <w:rsid w:val="00F843D4"/>
    <w:rsid w:val="00F84A40"/>
    <w:rsid w:val="00F84B50"/>
    <w:rsid w:val="00F84DBD"/>
    <w:rsid w:val="00F8516E"/>
    <w:rsid w:val="00F852E5"/>
    <w:rsid w:val="00F85C0D"/>
    <w:rsid w:val="00F86741"/>
    <w:rsid w:val="00F86796"/>
    <w:rsid w:val="00F87C3F"/>
    <w:rsid w:val="00F87C5B"/>
    <w:rsid w:val="00F87FEA"/>
    <w:rsid w:val="00F90613"/>
    <w:rsid w:val="00F906F4"/>
    <w:rsid w:val="00F915F3"/>
    <w:rsid w:val="00F91800"/>
    <w:rsid w:val="00F91853"/>
    <w:rsid w:val="00F918B6"/>
    <w:rsid w:val="00F91987"/>
    <w:rsid w:val="00F9208E"/>
    <w:rsid w:val="00F92571"/>
    <w:rsid w:val="00F93B2F"/>
    <w:rsid w:val="00F93CAE"/>
    <w:rsid w:val="00F9453D"/>
    <w:rsid w:val="00F954E4"/>
    <w:rsid w:val="00F95CCE"/>
    <w:rsid w:val="00F9692D"/>
    <w:rsid w:val="00F978BE"/>
    <w:rsid w:val="00F97D7B"/>
    <w:rsid w:val="00FA0013"/>
    <w:rsid w:val="00FA0154"/>
    <w:rsid w:val="00FA0288"/>
    <w:rsid w:val="00FA0C62"/>
    <w:rsid w:val="00FA0F71"/>
    <w:rsid w:val="00FA23E2"/>
    <w:rsid w:val="00FA26BC"/>
    <w:rsid w:val="00FA3872"/>
    <w:rsid w:val="00FA3A97"/>
    <w:rsid w:val="00FA3AEA"/>
    <w:rsid w:val="00FA4219"/>
    <w:rsid w:val="00FA48C7"/>
    <w:rsid w:val="00FA54FF"/>
    <w:rsid w:val="00FA5570"/>
    <w:rsid w:val="00FA59E0"/>
    <w:rsid w:val="00FA5C0B"/>
    <w:rsid w:val="00FA70F5"/>
    <w:rsid w:val="00FA7902"/>
    <w:rsid w:val="00FB005D"/>
    <w:rsid w:val="00FB183E"/>
    <w:rsid w:val="00FB1CD3"/>
    <w:rsid w:val="00FB1D54"/>
    <w:rsid w:val="00FB3363"/>
    <w:rsid w:val="00FB4048"/>
    <w:rsid w:val="00FB446E"/>
    <w:rsid w:val="00FB4629"/>
    <w:rsid w:val="00FB577F"/>
    <w:rsid w:val="00FB5E5D"/>
    <w:rsid w:val="00FB5FC4"/>
    <w:rsid w:val="00FB6A07"/>
    <w:rsid w:val="00FB6FB1"/>
    <w:rsid w:val="00FB7460"/>
    <w:rsid w:val="00FB7747"/>
    <w:rsid w:val="00FB7A10"/>
    <w:rsid w:val="00FC0F81"/>
    <w:rsid w:val="00FC3798"/>
    <w:rsid w:val="00FC577C"/>
    <w:rsid w:val="00FC59AF"/>
    <w:rsid w:val="00FC5C43"/>
    <w:rsid w:val="00FC5F72"/>
    <w:rsid w:val="00FC62B5"/>
    <w:rsid w:val="00FC6D4E"/>
    <w:rsid w:val="00FC7073"/>
    <w:rsid w:val="00FC736F"/>
    <w:rsid w:val="00FD0CDB"/>
    <w:rsid w:val="00FD1C48"/>
    <w:rsid w:val="00FD1FA7"/>
    <w:rsid w:val="00FD2282"/>
    <w:rsid w:val="00FD2D42"/>
    <w:rsid w:val="00FD30B5"/>
    <w:rsid w:val="00FD3453"/>
    <w:rsid w:val="00FD39CF"/>
    <w:rsid w:val="00FD4B7B"/>
    <w:rsid w:val="00FD4D84"/>
    <w:rsid w:val="00FD5468"/>
    <w:rsid w:val="00FD58F5"/>
    <w:rsid w:val="00FD6287"/>
    <w:rsid w:val="00FD754C"/>
    <w:rsid w:val="00FD7696"/>
    <w:rsid w:val="00FE0DAE"/>
    <w:rsid w:val="00FE0E6B"/>
    <w:rsid w:val="00FE1370"/>
    <w:rsid w:val="00FE1510"/>
    <w:rsid w:val="00FE2121"/>
    <w:rsid w:val="00FE254A"/>
    <w:rsid w:val="00FE321B"/>
    <w:rsid w:val="00FE3D07"/>
    <w:rsid w:val="00FE4411"/>
    <w:rsid w:val="00FE4B6F"/>
    <w:rsid w:val="00FE6818"/>
    <w:rsid w:val="00FE6A9E"/>
    <w:rsid w:val="00FE6BFB"/>
    <w:rsid w:val="00FF0CF5"/>
    <w:rsid w:val="00FF0D6F"/>
    <w:rsid w:val="00FF0E9E"/>
    <w:rsid w:val="00FF1103"/>
    <w:rsid w:val="00FF1712"/>
    <w:rsid w:val="00FF213D"/>
    <w:rsid w:val="00FF251D"/>
    <w:rsid w:val="00FF37DC"/>
    <w:rsid w:val="00FF37F2"/>
    <w:rsid w:val="00FF43D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4330592C-8CDA-4D04-A91B-8356DE7E2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Heading1">
    <w:name w:val="heading 1"/>
    <w:basedOn w:val="Normal"/>
    <w:link w:val="Heading1Ch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B3044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B30448"/>
    <w:pPr>
      <w:spacing w:after="0" w:line="240" w:lineRule="auto"/>
    </w:pPr>
    <w:rPr>
      <w:sz w:val="20"/>
      <w:szCs w:val="20"/>
      <w:lang w:val="es-MX"/>
    </w:rPr>
  </w:style>
  <w:style w:type="character" w:customStyle="1" w:styleId="TextonotapieCar1">
    <w:name w:val="Texto nota pie Car1"/>
    <w:basedOn w:val="DefaultParagraphFont"/>
    <w:uiPriority w:val="99"/>
    <w:semiHidden/>
    <w:rsid w:val="00B3044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B30448"/>
    <w:rPr>
      <w:vertAlign w:val="superscript"/>
    </w:rPr>
  </w:style>
  <w:style w:type="paragraph" w:customStyle="1" w:styleId="Appelnotedebasde">
    <w:name w:val="Appel note de bas de..."/>
    <w:basedOn w:val="Normal"/>
    <w:link w:val="FootnoteReference"/>
    <w:uiPriority w:val="99"/>
    <w:rsid w:val="00B30448"/>
    <w:pPr>
      <w:spacing w:line="240" w:lineRule="exact"/>
    </w:pPr>
    <w:rPr>
      <w:vertAlign w:val="superscript"/>
    </w:rPr>
  </w:style>
  <w:style w:type="paragraph" w:styleId="Header">
    <w:name w:val="header"/>
    <w:basedOn w:val="Normal"/>
    <w:link w:val="HeaderChar"/>
    <w:uiPriority w:val="99"/>
    <w:unhideWhenUsed/>
    <w:rsid w:val="00B30448"/>
    <w:pPr>
      <w:tabs>
        <w:tab w:val="center" w:pos="4419"/>
        <w:tab w:val="right" w:pos="8838"/>
      </w:tabs>
      <w:spacing w:after="0" w:line="240" w:lineRule="auto"/>
    </w:pPr>
  </w:style>
  <w:style w:type="character" w:customStyle="1" w:styleId="HeaderChar">
    <w:name w:val="Header Char"/>
    <w:basedOn w:val="DefaultParagraphFont"/>
    <w:link w:val="Header"/>
    <w:uiPriority w:val="99"/>
    <w:rsid w:val="00B30448"/>
  </w:style>
  <w:style w:type="paragraph" w:styleId="Footer">
    <w:name w:val="footer"/>
    <w:basedOn w:val="Normal"/>
    <w:link w:val="FooterChar"/>
    <w:uiPriority w:val="99"/>
    <w:unhideWhenUsed/>
    <w:rsid w:val="00B30448"/>
    <w:pPr>
      <w:tabs>
        <w:tab w:val="center" w:pos="4419"/>
        <w:tab w:val="right" w:pos="8838"/>
      </w:tabs>
      <w:spacing w:after="0" w:line="240" w:lineRule="auto"/>
    </w:pPr>
  </w:style>
  <w:style w:type="character" w:customStyle="1" w:styleId="FooterChar">
    <w:name w:val="Footer Char"/>
    <w:basedOn w:val="DefaultParagraphFont"/>
    <w:link w:val="Footer"/>
    <w:uiPriority w:val="99"/>
    <w:rsid w:val="00B30448"/>
  </w:style>
  <w:style w:type="table" w:styleId="TableGrid">
    <w:name w:val="Table Grid"/>
    <w:basedOn w:val="Table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22307"/>
    <w:rPr>
      <w:color w:val="0563C1" w:themeColor="hyperlink"/>
      <w:u w:val="single"/>
    </w:rPr>
  </w:style>
  <w:style w:type="character" w:styleId="UnresolvedMention">
    <w:name w:val="Unresolved Mention"/>
    <w:basedOn w:val="DefaultParagraphFont"/>
    <w:uiPriority w:val="99"/>
    <w:semiHidden/>
    <w:unhideWhenUsed/>
    <w:rsid w:val="00C22307"/>
    <w:rPr>
      <w:color w:val="605E5C"/>
      <w:shd w:val="clear" w:color="auto" w:fill="E1DFDD"/>
    </w:rPr>
  </w:style>
  <w:style w:type="character" w:styleId="FollowedHyperlink">
    <w:name w:val="FollowedHyperlink"/>
    <w:basedOn w:val="DefaultParagraphFont"/>
    <w:uiPriority w:val="99"/>
    <w:semiHidden/>
    <w:unhideWhenUsed/>
    <w:rsid w:val="00C22307"/>
    <w:rPr>
      <w:color w:val="954F72" w:themeColor="followedHyperlink"/>
      <w:u w:val="single"/>
    </w:rPr>
  </w:style>
  <w:style w:type="character" w:styleId="CommentReference">
    <w:name w:val="annotation reference"/>
    <w:basedOn w:val="DefaultParagraphFont"/>
    <w:uiPriority w:val="99"/>
    <w:semiHidden/>
    <w:unhideWhenUsed/>
    <w:rsid w:val="00A37D1C"/>
    <w:rPr>
      <w:sz w:val="16"/>
      <w:szCs w:val="16"/>
    </w:rPr>
  </w:style>
  <w:style w:type="paragraph" w:styleId="CommentText">
    <w:name w:val="annotation text"/>
    <w:basedOn w:val="Normal"/>
    <w:link w:val="CommentTextChar"/>
    <w:uiPriority w:val="99"/>
    <w:unhideWhenUsed/>
    <w:rsid w:val="00A37D1C"/>
    <w:pPr>
      <w:spacing w:line="240" w:lineRule="auto"/>
    </w:pPr>
    <w:rPr>
      <w:sz w:val="20"/>
      <w:szCs w:val="20"/>
    </w:rPr>
  </w:style>
  <w:style w:type="character" w:customStyle="1" w:styleId="CommentTextChar">
    <w:name w:val="Comment Text Char"/>
    <w:basedOn w:val="DefaultParagraphFont"/>
    <w:link w:val="CommentText"/>
    <w:uiPriority w:val="99"/>
    <w:rsid w:val="00A37D1C"/>
    <w:rPr>
      <w:sz w:val="20"/>
      <w:szCs w:val="20"/>
    </w:rPr>
  </w:style>
  <w:style w:type="paragraph" w:styleId="CommentSubject">
    <w:name w:val="annotation subject"/>
    <w:basedOn w:val="CommentText"/>
    <w:next w:val="CommentText"/>
    <w:link w:val="CommentSubjectChar"/>
    <w:uiPriority w:val="99"/>
    <w:semiHidden/>
    <w:unhideWhenUsed/>
    <w:rsid w:val="00A37D1C"/>
    <w:rPr>
      <w:b/>
      <w:bCs/>
    </w:rPr>
  </w:style>
  <w:style w:type="character" w:customStyle="1" w:styleId="CommentSubjectChar">
    <w:name w:val="Comment Subject Char"/>
    <w:basedOn w:val="CommentTextChar"/>
    <w:link w:val="CommentSubject"/>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on">
    <w:name w:val="Revision"/>
    <w:hidden/>
    <w:uiPriority w:val="99"/>
    <w:semiHidden/>
    <w:rsid w:val="00F64D5A"/>
    <w:pPr>
      <w:spacing w:after="0" w:line="240" w:lineRule="auto"/>
    </w:pPr>
  </w:style>
  <w:style w:type="character" w:customStyle="1" w:styleId="cf01">
    <w:name w:val="cf01"/>
    <w:basedOn w:val="DefaultParagraphFont"/>
    <w:rsid w:val="005019AA"/>
    <w:rPr>
      <w:rFonts w:ascii="Segoe UI" w:hAnsi="Segoe UI" w:cs="Segoe UI" w:hint="default"/>
      <w:i/>
      <w:iCs/>
      <w:sz w:val="18"/>
      <w:szCs w:val="18"/>
    </w:rPr>
  </w:style>
  <w:style w:type="character" w:customStyle="1" w:styleId="normaltextrun">
    <w:name w:val="normaltextrun"/>
    <w:basedOn w:val="DefaultParagraphFont"/>
    <w:rsid w:val="5D8505AD"/>
  </w:style>
  <w:style w:type="character" w:customStyle="1" w:styleId="eop">
    <w:name w:val="eop"/>
    <w:basedOn w:val="DefaultParagraphFont"/>
    <w:rsid w:val="5D8505AD"/>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34"/>
    <w:qFormat/>
    <w:rsid w:val="00E84D1C"/>
    <w:pPr>
      <w:spacing w:after="0" w:line="240" w:lineRule="auto"/>
      <w:ind w:left="720"/>
      <w:contextualSpacing/>
    </w:pPr>
    <w:rPr>
      <w:sz w:val="24"/>
      <w:lang w:val="es-MX"/>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E84D1C"/>
    <w:rPr>
      <w:sz w:val="24"/>
      <w:lang w:val="es-MX"/>
    </w:rPr>
  </w:style>
  <w:style w:type="character" w:customStyle="1" w:styleId="Heading1Char">
    <w:name w:val="Heading 1 Char"/>
    <w:basedOn w:val="DefaultParagraphFont"/>
    <w:link w:val="Heading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DefaultParagraphFont"/>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DefaultParagraphFont"/>
    <w:uiPriority w:val="99"/>
    <w:unhideWhenUsed/>
    <w:rsid w:val="00FB5FC4"/>
    <w:rPr>
      <w:color w:val="F2F2F2"/>
      <w:u w:val="single"/>
    </w:rPr>
  </w:style>
  <w:style w:type="character" w:styleId="Strong">
    <w:name w:val="Strong"/>
    <w:basedOn w:val="DefaultParagraphFont"/>
    <w:uiPriority w:val="22"/>
    <w:qFormat/>
    <w:rsid w:val="00FB5FC4"/>
    <w:rPr>
      <w:b/>
      <w:bCs/>
    </w:rPr>
  </w:style>
  <w:style w:type="character" w:styleId="Emphasis">
    <w:name w:val="Emphasis"/>
    <w:basedOn w:val="DefaultParagraphFont"/>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BodyText">
    <w:name w:val="Body Text"/>
    <w:basedOn w:val="Normal"/>
    <w:link w:val="BodyTextCh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BodyTextChar">
    <w:name w:val="Body Text Char"/>
    <w:basedOn w:val="DefaultParagraphFont"/>
    <w:link w:val="BodyText"/>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DefaultParagraphFont"/>
    <w:rsid w:val="0081788A"/>
    <w:rPr>
      <w:rFonts w:ascii="Times New Roman" w:hAnsi="Times New Roman" w:cs="Times New Roman" w:hint="default"/>
      <w:sz w:val="20"/>
      <w:szCs w:val="20"/>
    </w:rPr>
  </w:style>
  <w:style w:type="character" w:customStyle="1" w:styleId="baj">
    <w:name w:val="b_aj"/>
    <w:basedOn w:val="DefaultParagraphFont"/>
    <w:rsid w:val="00B43CE6"/>
  </w:style>
  <w:style w:type="character" w:customStyle="1" w:styleId="author-name">
    <w:name w:val="author-name"/>
    <w:basedOn w:val="DefaultParagraphFont"/>
    <w:rsid w:val="00CA0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47657">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188226555">
      <w:bodyDiv w:val="1"/>
      <w:marLeft w:val="0"/>
      <w:marRight w:val="0"/>
      <w:marTop w:val="0"/>
      <w:marBottom w:val="0"/>
      <w:divBdr>
        <w:top w:val="none" w:sz="0" w:space="0" w:color="auto"/>
        <w:left w:val="none" w:sz="0" w:space="0" w:color="auto"/>
        <w:bottom w:val="none" w:sz="0" w:space="0" w:color="auto"/>
        <w:right w:val="none" w:sz="0" w:space="0" w:color="auto"/>
      </w:divBdr>
    </w:div>
    <w:div w:id="192960455">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77950301">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1446626">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28160872">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3691612">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45341291">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72897937">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 w:id="578834935">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83409235">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75366781">
      <w:bodyDiv w:val="1"/>
      <w:marLeft w:val="0"/>
      <w:marRight w:val="0"/>
      <w:marTop w:val="0"/>
      <w:marBottom w:val="0"/>
      <w:divBdr>
        <w:top w:val="none" w:sz="0" w:space="0" w:color="auto"/>
        <w:left w:val="none" w:sz="0" w:space="0" w:color="auto"/>
        <w:bottom w:val="none" w:sz="0" w:space="0" w:color="auto"/>
        <w:right w:val="none" w:sz="0" w:space="0" w:color="auto"/>
      </w:divBdr>
    </w:div>
    <w:div w:id="1496920400">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560681091">
          <w:marLeft w:val="0"/>
          <w:marRight w:val="0"/>
          <w:marTop w:val="0"/>
          <w:marBottom w:val="160"/>
          <w:divBdr>
            <w:top w:val="none" w:sz="0" w:space="0" w:color="auto"/>
            <w:left w:val="none" w:sz="0" w:space="0" w:color="auto"/>
            <w:bottom w:val="none" w:sz="0" w:space="0" w:color="auto"/>
            <w:right w:val="none" w:sz="0" w:space="0" w:color="auto"/>
          </w:divBdr>
        </w:div>
        <w:div w:id="797839195">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55891875">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121290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273513336">
          <w:marLeft w:val="0"/>
          <w:marRight w:val="0"/>
          <w:marTop w:val="0"/>
          <w:marBottom w:val="160"/>
          <w:divBdr>
            <w:top w:val="none" w:sz="0" w:space="0" w:color="auto"/>
            <w:left w:val="none" w:sz="0" w:space="0" w:color="auto"/>
            <w:bottom w:val="none" w:sz="0" w:space="0" w:color="auto"/>
            <w:right w:val="none" w:sz="0" w:space="0" w:color="auto"/>
          </w:divBdr>
        </w:div>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041921">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4879058">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11717450">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077781944">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documentos/cce-eicp-gi-18._gees_v.2_2.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lmacias@superfinanciera.gov.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wp-content%2Fuploads%2F2025%2F05%2FGUIA-DE-LINEAMIENTOS-DE-TRANSPARENCIA-Y-SELECCION-OBJETIVA-1.0.pdf&amp;data=05%7C02%7Ctatiana.baquero%40colombiacompra.gov.co%7C7cfff6dece924643582c08dd97bfed90%7C7b09041e245149d08cb179d5e3d8c1be%7C0%7C0%7C638833572792347448%7CUnknown%7CTWFpbGZsb3d8eyJFbXB0eU1hcGkiOnRydWUsIlYiOiIwLjAuMDAwMCIsIlAiOiJXaW4zMiIsIkFOIjoiTWFpbCIsIldUIjoyfQ%3D%3D%7C0%7C%7C%7C&amp;sdata=K03nwa35iwf9ehvktYrXqXUKICQPG9uZh4Vu1Re28IU%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archivos/convocatoria/participacion-ciudadana-proyecto-de-la-guia-para-la-" TargetMode="External"/><Relationship Id="rId1" Type="http://schemas.openxmlformats.org/officeDocument/2006/relationships/hyperlink" Target="https://colombiacompra.gov.co/sites/cce_public/files/cce_documentos/cce-eicp-gi-18._gees_v.2_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B8AE37-E1F3-4B08-98E9-52F0B3FA79CF}">
  <ds:schemaRefs>
    <ds:schemaRef ds:uri="http://schemas.microsoft.com/office/2006/documentManagement/types"/>
    <ds:schemaRef ds:uri="http://purl.org/dc/elements/1.1/"/>
    <ds:schemaRef ds:uri="http://schemas.microsoft.com/office/2006/metadata/properties"/>
    <ds:schemaRef ds:uri="http://purl.org/dc/dcmitype/"/>
    <ds:schemaRef ds:uri="http://www.w3.org/XML/1998/namespace"/>
    <ds:schemaRef ds:uri="http://schemas.microsoft.com/office/infopath/2007/PartnerControls"/>
    <ds:schemaRef ds:uri="a6cb9e4b-f1d1-4245-83ec-6cad768d538a"/>
    <ds:schemaRef ds:uri="http://schemas.openxmlformats.org/package/2006/metadata/core-properties"/>
    <ds:schemaRef ds:uri="9d85dbaf-23eb-4e57-a637-93dcacc8b1a1"/>
    <ds:schemaRef ds:uri="http://purl.org/dc/terms/"/>
  </ds:schemaRefs>
</ds:datastoreItem>
</file>

<file path=customXml/itemProps2.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6933</Words>
  <Characters>39522</Characters>
  <Application>Microsoft Office Word</Application>
  <DocSecurity>4</DocSecurity>
  <Lines>329</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9</cp:revision>
  <dcterms:created xsi:type="dcterms:W3CDTF">2025-06-09T16:07:00Z</dcterms:created>
  <dcterms:modified xsi:type="dcterms:W3CDTF">2025-06-17T15:07:00Z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