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80E0F" w14:textId="7156E3BE" w:rsidR="00503A40" w:rsidRPr="001562B6" w:rsidRDefault="001562B6" w:rsidP="00503A40">
      <w:pPr>
        <w:jc w:val="both"/>
        <w:rPr>
          <w:rFonts w:ascii="Verdana" w:eastAsia="Calibri" w:hAnsi="Verdana" w:cs="Arial"/>
          <w:b/>
          <w:lang w:val="es-ES"/>
        </w:rPr>
      </w:pPr>
      <w:bookmarkStart w:id="0" w:name="_Hlk186494164"/>
      <w:r w:rsidRPr="001562B6">
        <w:rPr>
          <w:rFonts w:ascii="Verdana" w:eastAsia="Calibri" w:hAnsi="Verdana" w:cs="Arial"/>
          <w:b/>
          <w:lang w:val="es-ES"/>
        </w:rPr>
        <w:t xml:space="preserve">ALIANZAS ESTRATÉGICAS – Noción </w:t>
      </w:r>
    </w:p>
    <w:p w14:paraId="0BDAB1BE" w14:textId="3F5794AC" w:rsidR="001562B6" w:rsidRDefault="001562B6" w:rsidP="00503A40">
      <w:pPr>
        <w:spacing w:after="0" w:line="240" w:lineRule="auto"/>
        <w:jc w:val="both"/>
        <w:rPr>
          <w:rFonts w:ascii="Verdana" w:eastAsia="Calibri" w:hAnsi="Verdana" w:cs="Arial"/>
          <w:bCs/>
          <w:sz w:val="20"/>
          <w:szCs w:val="20"/>
        </w:rPr>
      </w:pPr>
      <w:r w:rsidRPr="001562B6">
        <w:rPr>
          <w:rFonts w:ascii="Verdana" w:eastAsia="Calibri" w:hAnsi="Verdana" w:cs="Arial"/>
          <w:bCs/>
          <w:sz w:val="20"/>
          <w:szCs w:val="20"/>
        </w:rPr>
        <w:t xml:space="preserve">En el ordenamiento jurídico colombiano, no existe una definición legal expresa del concepto de </w:t>
      </w:r>
      <w:r w:rsidRPr="001562B6">
        <w:rPr>
          <w:rFonts w:ascii="Verdana" w:eastAsia="Calibri" w:hAnsi="Verdana" w:cs="Arial"/>
          <w:bCs/>
          <w:i/>
          <w:iCs/>
          <w:sz w:val="20"/>
          <w:szCs w:val="20"/>
        </w:rPr>
        <w:t>alianza estratégica</w:t>
      </w:r>
      <w:r w:rsidRPr="001562B6">
        <w:rPr>
          <w:rFonts w:ascii="Verdana" w:eastAsia="Calibri" w:hAnsi="Verdana" w:cs="Arial"/>
          <w:bCs/>
          <w:sz w:val="20"/>
          <w:szCs w:val="20"/>
        </w:rPr>
        <w:t xml:space="preserve">, lo que ha llevado a que su comprensión y aplicación se desarrollen principalmente a través de la doctrina y la práctica empresarial. Este término se utiliza de manera genérica y amplia al describir diversas formas de cooperación entre entidades que persiguen objetivos comunes mediante la articulación de esfuerzos, recursos y capacidades. Por tanto, la </w:t>
      </w:r>
      <w:r w:rsidRPr="001562B6">
        <w:rPr>
          <w:rFonts w:ascii="Verdana" w:eastAsia="Calibri" w:hAnsi="Verdana" w:cs="Arial"/>
          <w:bCs/>
          <w:i/>
          <w:iCs/>
          <w:sz w:val="20"/>
          <w:szCs w:val="20"/>
        </w:rPr>
        <w:t>alianza estratégica</w:t>
      </w:r>
      <w:r w:rsidRPr="001562B6">
        <w:rPr>
          <w:rFonts w:ascii="Verdana" w:eastAsia="Calibri" w:hAnsi="Verdana" w:cs="Arial"/>
          <w:bCs/>
          <w:sz w:val="20"/>
          <w:szCs w:val="20"/>
        </w:rPr>
        <w:t xml:space="preserve"> no tiene una acepción </w:t>
      </w:r>
      <w:proofErr w:type="gramStart"/>
      <w:r w:rsidRPr="001562B6">
        <w:rPr>
          <w:rFonts w:ascii="Verdana" w:eastAsia="Calibri" w:hAnsi="Verdana" w:cs="Arial"/>
          <w:bCs/>
          <w:sz w:val="20"/>
          <w:szCs w:val="20"/>
        </w:rPr>
        <w:t>única</w:t>
      </w:r>
      <w:proofErr w:type="gramEnd"/>
      <w:r w:rsidRPr="001562B6">
        <w:rPr>
          <w:rFonts w:ascii="Verdana" w:eastAsia="Calibri" w:hAnsi="Verdana" w:cs="Arial"/>
          <w:bCs/>
          <w:sz w:val="20"/>
          <w:szCs w:val="20"/>
        </w:rPr>
        <w:t xml:space="preserve"> sino que se presenta como una figura genérica cuya manifestación puede variar dependiendo de las necesidades del proyecto, la voluntad de las partes y el marco contractual que se adopte. </w:t>
      </w:r>
    </w:p>
    <w:p w14:paraId="04C5EBDF" w14:textId="77777777" w:rsidR="001562B6" w:rsidRPr="001562B6" w:rsidRDefault="001562B6" w:rsidP="00503A40">
      <w:pPr>
        <w:spacing w:after="0" w:line="240" w:lineRule="auto"/>
        <w:jc w:val="both"/>
        <w:rPr>
          <w:rFonts w:ascii="Verdana" w:eastAsia="Calibri" w:hAnsi="Verdana" w:cs="Arial"/>
          <w:bCs/>
          <w:sz w:val="20"/>
          <w:szCs w:val="20"/>
        </w:rPr>
      </w:pPr>
    </w:p>
    <w:p w14:paraId="1CA763F7" w14:textId="63E76408" w:rsidR="00503A40" w:rsidRPr="001562B6" w:rsidRDefault="001562B6" w:rsidP="00503A40">
      <w:pPr>
        <w:jc w:val="both"/>
        <w:rPr>
          <w:rFonts w:ascii="Verdana" w:eastAsia="Calibri" w:hAnsi="Verdana" w:cs="Arial"/>
          <w:b/>
          <w:lang w:val="es-ES"/>
        </w:rPr>
      </w:pPr>
      <w:r w:rsidRPr="001562B6">
        <w:rPr>
          <w:rFonts w:ascii="Verdana" w:eastAsia="Calibri" w:hAnsi="Verdana" w:cs="Arial"/>
          <w:b/>
          <w:lang w:val="es-ES"/>
        </w:rPr>
        <w:t xml:space="preserve">ALIANZAS ESTRATÉGICAS – Contratación estatal </w:t>
      </w:r>
    </w:p>
    <w:p w14:paraId="70DDBE26" w14:textId="77777777" w:rsidR="001562B6" w:rsidRPr="001562B6" w:rsidRDefault="001562B6" w:rsidP="00503A40">
      <w:pPr>
        <w:spacing w:after="0" w:line="240" w:lineRule="auto"/>
        <w:jc w:val="both"/>
        <w:rPr>
          <w:rFonts w:ascii="Verdana" w:eastAsia="Calibri" w:hAnsi="Verdana" w:cs="Arial"/>
          <w:bCs/>
          <w:sz w:val="20"/>
          <w:szCs w:val="20"/>
        </w:rPr>
      </w:pPr>
      <w:r w:rsidRPr="001562B6">
        <w:rPr>
          <w:rFonts w:ascii="Verdana" w:eastAsia="Calibri" w:hAnsi="Verdana" w:cs="Arial"/>
          <w:bCs/>
          <w:sz w:val="20"/>
          <w:szCs w:val="20"/>
        </w:rPr>
        <w:t xml:space="preserve">En materia de contratación estatal, las </w:t>
      </w:r>
      <w:r w:rsidRPr="001562B6">
        <w:rPr>
          <w:rFonts w:ascii="Verdana" w:eastAsia="Calibri" w:hAnsi="Verdana" w:cs="Arial"/>
          <w:bCs/>
          <w:i/>
          <w:iCs/>
          <w:sz w:val="20"/>
          <w:szCs w:val="20"/>
        </w:rPr>
        <w:t>alianzas estratégicas</w:t>
      </w:r>
      <w:r w:rsidRPr="001562B6">
        <w:rPr>
          <w:rFonts w:ascii="Verdana" w:eastAsia="Calibri" w:hAnsi="Verdana" w:cs="Arial"/>
          <w:bCs/>
          <w:sz w:val="20"/>
          <w:szCs w:val="20"/>
        </w:rPr>
        <w:t xml:space="preserve"> se materializarse a través de figuras legalmente reconocidas como los consorcios y las uniones temporales. De igual forma, las alianzas estratégicas también pueden surgir en escenarios de contratos celebrados entre entidades estatales o entre estas y particulares, conforme a las modalidades y principios previstos en el Estatuto General de Contratación de la Administración Pública, en virtud de la autonomía de la voluntad.</w:t>
      </w:r>
    </w:p>
    <w:p w14:paraId="1026FFDB" w14:textId="77777777" w:rsidR="001562B6" w:rsidRPr="00503A40" w:rsidRDefault="001562B6" w:rsidP="00503A40">
      <w:pPr>
        <w:spacing w:after="0" w:line="240" w:lineRule="auto"/>
        <w:jc w:val="both"/>
        <w:rPr>
          <w:rFonts w:ascii="Verdana" w:hAnsi="Verdana"/>
          <w:sz w:val="20"/>
          <w:szCs w:val="20"/>
        </w:rPr>
      </w:pPr>
    </w:p>
    <w:p w14:paraId="62F43413" w14:textId="7B8A7818" w:rsidR="00503A40" w:rsidRPr="00503A40" w:rsidRDefault="001562B6" w:rsidP="00503A40">
      <w:pPr>
        <w:spacing w:after="0" w:line="240" w:lineRule="auto"/>
        <w:jc w:val="both"/>
        <w:rPr>
          <w:rFonts w:ascii="Verdana" w:eastAsia="Geomanist Light" w:hAnsi="Verdana" w:cs="Arial"/>
          <w:color w:val="201F1E"/>
          <w:sz w:val="20"/>
          <w:szCs w:val="20"/>
        </w:rPr>
      </w:pPr>
      <w:r w:rsidRPr="00503A40">
        <w:rPr>
          <w:rFonts w:ascii="Verdana" w:hAnsi="Verdana"/>
          <w:sz w:val="20"/>
          <w:szCs w:val="20"/>
        </w:rPr>
        <w:t xml:space="preserve">En efecto, conforme lo establece el artículo </w:t>
      </w:r>
      <w:r w:rsidRPr="00503A40">
        <w:rPr>
          <w:rFonts w:ascii="Verdana" w:eastAsia="Calibri" w:hAnsi="Verdana" w:cs="Arial"/>
          <w:bCs/>
          <w:color w:val="000000"/>
          <w:sz w:val="20"/>
          <w:szCs w:val="20"/>
          <w:lang w:val="es-ES_tradnl" w:eastAsia="es-ES_tradnl" w:bidi="es-ES"/>
        </w:rPr>
        <w:t>7 de la Ley 80 de 1993</w:t>
      </w:r>
      <w:r w:rsidRPr="00503A40">
        <w:rPr>
          <w:rFonts w:ascii="Verdana" w:hAnsi="Verdana"/>
          <w:sz w:val="20"/>
          <w:szCs w:val="20"/>
        </w:rPr>
        <w:t xml:space="preserve"> </w:t>
      </w:r>
      <w:r w:rsidRPr="00503A40">
        <w:rPr>
          <w:rFonts w:ascii="Verdana" w:hAnsi="Verdana"/>
          <w:bCs/>
          <w:sz w:val="20"/>
          <w:szCs w:val="20"/>
          <w:lang w:val="es-ES_tradnl"/>
        </w:rPr>
        <w:t>los consorcios y uniones temporales se definen como un número plural de interesados unidos para la presentación de una oferta en un procedimiento de selección, para la adjudicación, celebración y ejecución de un contrato</w:t>
      </w:r>
      <w:r w:rsidRPr="00503A40" w:rsidDel="00C8511F">
        <w:rPr>
          <w:rFonts w:ascii="Verdana" w:hAnsi="Verdana"/>
          <w:bCs/>
          <w:sz w:val="20"/>
          <w:szCs w:val="20"/>
          <w:lang w:val="es-ES_tradnl"/>
        </w:rPr>
        <w:t xml:space="preserve"> </w:t>
      </w:r>
      <w:r w:rsidRPr="00503A40">
        <w:rPr>
          <w:rFonts w:ascii="Verdana" w:hAnsi="Verdana"/>
          <w:bCs/>
          <w:sz w:val="20"/>
          <w:szCs w:val="20"/>
          <w:lang w:val="es-ES_tradnl"/>
        </w:rPr>
        <w:t>estatal. De esta forma, los consorcios</w:t>
      </w:r>
      <w:r w:rsidR="00503A40" w:rsidRPr="00503A40">
        <w:rPr>
          <w:rFonts w:ascii="Verdana" w:hAnsi="Verdana"/>
          <w:bCs/>
          <w:sz w:val="20"/>
          <w:szCs w:val="20"/>
          <w:lang w:val="es-ES_tradnl"/>
        </w:rPr>
        <w:t xml:space="preserve"> </w:t>
      </w:r>
      <w:r w:rsidRPr="00503A40">
        <w:rPr>
          <w:rFonts w:ascii="Verdana" w:hAnsi="Verdana"/>
          <w:bCs/>
          <w:sz w:val="20"/>
          <w:szCs w:val="20"/>
          <w:lang w:val="es-ES_tradnl"/>
        </w:rPr>
        <w:t>y uniones temporales son convenios de asociación provenientes de la colaboración empresarial</w:t>
      </w:r>
      <w:r w:rsidR="00503A40" w:rsidRPr="00503A40">
        <w:rPr>
          <w:rFonts w:ascii="Verdana" w:hAnsi="Verdana"/>
          <w:bCs/>
          <w:sz w:val="20"/>
          <w:szCs w:val="20"/>
          <w:lang w:val="es-ES_tradnl"/>
        </w:rPr>
        <w:t xml:space="preserve"> </w:t>
      </w:r>
      <w:r w:rsidR="00503A40" w:rsidRPr="00503A40">
        <w:rPr>
          <w:rFonts w:ascii="Verdana" w:eastAsia="Geomanist Light" w:hAnsi="Verdana" w:cs="Arial"/>
          <w:color w:val="201F1E"/>
          <w:sz w:val="20"/>
          <w:szCs w:val="20"/>
        </w:rPr>
        <w:t>[…]</w:t>
      </w:r>
    </w:p>
    <w:p w14:paraId="6A353BB1" w14:textId="73C3B338" w:rsidR="001562B6" w:rsidRPr="00503A40" w:rsidRDefault="00503A40" w:rsidP="00503A40">
      <w:pPr>
        <w:spacing w:after="0" w:line="240" w:lineRule="auto"/>
        <w:jc w:val="both"/>
        <w:rPr>
          <w:rFonts w:ascii="Verdana" w:hAnsi="Verdana"/>
          <w:sz w:val="20"/>
          <w:szCs w:val="20"/>
        </w:rPr>
      </w:pPr>
      <w:r w:rsidRPr="00503A40">
        <w:rPr>
          <w:rFonts w:ascii="Verdana" w:eastAsia="Calibri" w:hAnsi="Verdana" w:cs="Arial"/>
          <w:sz w:val="20"/>
          <w:szCs w:val="20"/>
          <w:lang w:val="es-ES"/>
        </w:rPr>
        <w:t xml:space="preserve">Por su parte, </w:t>
      </w:r>
      <w:r w:rsidRPr="00503A40">
        <w:rPr>
          <w:rFonts w:ascii="Verdana" w:eastAsia="Calibri" w:hAnsi="Verdana" w:cs="Times New Roman"/>
          <w:sz w:val="20"/>
          <w:szCs w:val="20"/>
          <w:lang w:val="es-ES"/>
        </w:rPr>
        <w:t xml:space="preserve">en virtud del principio de autonomía de la voluntad de las partes, reconocido en los artículos 13, 32 y 40 de la Ley 80 de 1993, así como en el artículo 1602 del Código Civil, </w:t>
      </w:r>
      <w:r w:rsidRPr="00503A40">
        <w:rPr>
          <w:rFonts w:ascii="Verdana" w:eastAsia="Times New Roman" w:hAnsi="Verdana" w:cs="Arial"/>
          <w:color w:val="000000" w:themeColor="text1"/>
          <w:sz w:val="20"/>
          <w:szCs w:val="20"/>
          <w:lang w:eastAsia="es-ES_tradnl"/>
        </w:rPr>
        <w:t xml:space="preserve">las </w:t>
      </w:r>
      <w:r w:rsidRPr="00503A40">
        <w:rPr>
          <w:rFonts w:ascii="Verdana" w:eastAsia="Calibri" w:hAnsi="Verdana" w:cs="Arial"/>
          <w:sz w:val="20"/>
          <w:szCs w:val="20"/>
          <w:lang w:eastAsia="es-ES_tradnl"/>
        </w:rPr>
        <w:t xml:space="preserve">entidades estatales regidas por el EGCAP están habilitadas para celebrar negocios jurídicos nominados e innominados, </w:t>
      </w:r>
      <w:r w:rsidRPr="00503A40">
        <w:rPr>
          <w:rFonts w:ascii="Verdana" w:hAnsi="Verdana"/>
          <w:sz w:val="20"/>
          <w:szCs w:val="20"/>
        </w:rPr>
        <w:t>siempre que se respeten los principios que rigen la función administrativa y que el objeto del acuerdo sea lícito</w:t>
      </w:r>
      <w:r w:rsidRPr="00503A40">
        <w:rPr>
          <w:rFonts w:ascii="Verdana" w:hAnsi="Verdana"/>
          <w:b/>
          <w:bCs/>
          <w:sz w:val="20"/>
          <w:szCs w:val="20"/>
        </w:rPr>
        <w:t xml:space="preserve"> </w:t>
      </w:r>
      <w:r w:rsidRPr="00503A40">
        <w:rPr>
          <w:rFonts w:ascii="Verdana" w:hAnsi="Verdana"/>
          <w:sz w:val="20"/>
          <w:szCs w:val="20"/>
        </w:rPr>
        <w:t>y no contraríe</w:t>
      </w:r>
      <w:r w:rsidRPr="00503A40">
        <w:rPr>
          <w:sz w:val="20"/>
          <w:szCs w:val="20"/>
        </w:rPr>
        <w:t xml:space="preserve"> </w:t>
      </w:r>
      <w:r w:rsidRPr="00503A40">
        <w:rPr>
          <w:rFonts w:ascii="Verdana" w:hAnsi="Verdana"/>
          <w:sz w:val="20"/>
          <w:szCs w:val="20"/>
        </w:rPr>
        <w:t>el orden público</w:t>
      </w:r>
    </w:p>
    <w:p w14:paraId="6CE39E8A" w14:textId="77777777" w:rsidR="00503A40" w:rsidRPr="001562B6" w:rsidRDefault="00503A40" w:rsidP="00503A40">
      <w:pPr>
        <w:spacing w:after="0" w:line="240" w:lineRule="auto"/>
        <w:jc w:val="both"/>
        <w:rPr>
          <w:rFonts w:ascii="Verdana" w:eastAsia="Calibri" w:hAnsi="Verdana" w:cs="Arial"/>
          <w:b/>
          <w:lang w:val="es-ES"/>
        </w:rPr>
      </w:pPr>
    </w:p>
    <w:p w14:paraId="6A47A61F" w14:textId="11F48566" w:rsidR="00503A40" w:rsidRPr="001562B6" w:rsidRDefault="001562B6" w:rsidP="00503A40">
      <w:pPr>
        <w:jc w:val="both"/>
        <w:rPr>
          <w:rFonts w:ascii="Verdana" w:eastAsia="Calibri" w:hAnsi="Verdana" w:cs="Arial"/>
          <w:b/>
          <w:lang w:val="es-ES"/>
        </w:rPr>
      </w:pPr>
      <w:r w:rsidRPr="001562B6">
        <w:rPr>
          <w:rFonts w:ascii="Verdana" w:eastAsia="Calibri" w:hAnsi="Verdana" w:cs="Arial"/>
          <w:b/>
          <w:lang w:val="es-ES"/>
        </w:rPr>
        <w:t xml:space="preserve">GESTIÓN CATASTRAL – </w:t>
      </w:r>
      <w:r w:rsidR="0087481E">
        <w:rPr>
          <w:rFonts w:ascii="Verdana" w:eastAsia="Calibri" w:hAnsi="Verdana" w:cs="Arial"/>
          <w:b/>
          <w:lang w:val="es-ES"/>
        </w:rPr>
        <w:t>M</w:t>
      </w:r>
      <w:r w:rsidRPr="001562B6">
        <w:rPr>
          <w:rFonts w:ascii="Verdana" w:eastAsia="Calibri" w:hAnsi="Verdana" w:cs="Arial"/>
          <w:b/>
          <w:lang w:val="es-ES"/>
        </w:rPr>
        <w:t xml:space="preserve">arco normativo – Regulación especial y prevalente </w:t>
      </w:r>
    </w:p>
    <w:p w14:paraId="61153B24" w14:textId="77777777" w:rsidR="00503A40" w:rsidRPr="00503A40" w:rsidRDefault="00503A40" w:rsidP="00503A40">
      <w:pPr>
        <w:spacing w:after="0" w:line="240" w:lineRule="auto"/>
        <w:jc w:val="both"/>
        <w:rPr>
          <w:rFonts w:ascii="Verdana" w:hAnsi="Verdana" w:cs="Arial"/>
          <w:color w:val="000000"/>
          <w:sz w:val="20"/>
          <w:szCs w:val="20"/>
          <w:shd w:val="clear" w:color="auto" w:fill="FFFFFF"/>
        </w:rPr>
      </w:pPr>
      <w:r w:rsidRPr="00503A40">
        <w:rPr>
          <w:rFonts w:ascii="Verdana" w:hAnsi="Verdana" w:cs="Arial"/>
          <w:color w:val="000000"/>
          <w:sz w:val="20"/>
          <w:szCs w:val="20"/>
          <w:shd w:val="clear" w:color="auto" w:fill="FFFFFF"/>
        </w:rPr>
        <w:t xml:space="preserve">El Decreto 1170 de 2015, que compila los Decretos 1983 de 2019 y 148 de 2020, define el marco de las condiciones jurídicas, técnicas, económicas y financieras para habilitar a los gestores catastrales que efectuarán la gestión catastral, la forma de contratación de estos, la contratación de los operadores catastrales y regula aspectos como los principios de la gestión catastral, sus objetivos, sus intervinientes en el proceso, obligaciones generales de los gestores catastrales, los procesos de la gestión catastral, entre otros temas. </w:t>
      </w:r>
    </w:p>
    <w:p w14:paraId="0F8DC140" w14:textId="77777777" w:rsidR="00A12BB1" w:rsidRPr="00503A40" w:rsidRDefault="00A12BB1" w:rsidP="00503A40">
      <w:pPr>
        <w:spacing w:after="0" w:line="240" w:lineRule="auto"/>
        <w:rPr>
          <w:rFonts w:ascii="Verdana" w:eastAsia="Geomanist Light" w:hAnsi="Verdana" w:cs="Arial"/>
          <w:color w:val="000000" w:themeColor="text1"/>
          <w:sz w:val="20"/>
          <w:szCs w:val="20"/>
        </w:rPr>
      </w:pPr>
    </w:p>
    <w:p w14:paraId="16B81569" w14:textId="77777777" w:rsidR="00503A40" w:rsidRPr="00503A40" w:rsidRDefault="00503A40" w:rsidP="00503A40">
      <w:pPr>
        <w:snapToGrid w:val="0"/>
        <w:spacing w:after="0" w:line="240" w:lineRule="auto"/>
        <w:jc w:val="both"/>
        <w:rPr>
          <w:rFonts w:ascii="Verdana" w:eastAsia="Calibri" w:hAnsi="Verdana" w:cs="Arial"/>
          <w:color w:val="000000"/>
          <w:sz w:val="20"/>
          <w:szCs w:val="20"/>
          <w:lang w:val="es-MX"/>
        </w:rPr>
      </w:pPr>
      <w:r w:rsidRPr="00503A40">
        <w:rPr>
          <w:rFonts w:ascii="Verdana" w:eastAsia="Calibri" w:hAnsi="Verdana" w:cs="Arial"/>
          <w:color w:val="000000"/>
          <w:sz w:val="20"/>
          <w:szCs w:val="20"/>
          <w:lang w:val="es-MX"/>
        </w:rPr>
        <w:t xml:space="preserve">En este contexto, no se advierte que la figura de </w:t>
      </w:r>
      <w:r w:rsidRPr="00503A40">
        <w:rPr>
          <w:rFonts w:ascii="Verdana" w:eastAsia="Calibri" w:hAnsi="Verdana" w:cs="Arial"/>
          <w:i/>
          <w:iCs/>
          <w:color w:val="000000"/>
          <w:sz w:val="20"/>
          <w:szCs w:val="20"/>
          <w:lang w:val="es-MX"/>
        </w:rPr>
        <w:t>alianza estratégica con riesgo separado</w:t>
      </w:r>
      <w:r w:rsidRPr="00503A40">
        <w:rPr>
          <w:rFonts w:ascii="Verdana" w:eastAsia="Calibri" w:hAnsi="Verdana" w:cs="Arial"/>
          <w:color w:val="000000"/>
          <w:sz w:val="20"/>
          <w:szCs w:val="20"/>
          <w:lang w:val="es-MX"/>
        </w:rPr>
        <w:t xml:space="preserve"> haya sido expresamente prevista ni reconocida dentro del marco jurídico aplicable a la </w:t>
      </w:r>
      <w:r w:rsidRPr="00503A40">
        <w:rPr>
          <w:rFonts w:ascii="Verdana" w:eastAsia="Calibri" w:hAnsi="Verdana" w:cs="Arial"/>
          <w:color w:val="000000"/>
          <w:sz w:val="20"/>
          <w:szCs w:val="20"/>
          <w:lang w:val="es-MX"/>
        </w:rPr>
        <w:lastRenderedPageBreak/>
        <w:t xml:space="preserve">gestión catastral. En consecuencia, su celebración en los términos señalados en este concepto no puede asumirse de forma automática en los procesos de contratación de operadores catastrales, sino que requiere un análisis en función de la normativa especial vigente. </w:t>
      </w:r>
    </w:p>
    <w:p w14:paraId="6E9AB69F" w14:textId="77777777" w:rsidR="001562B6" w:rsidRDefault="001562B6" w:rsidP="00A12BB1">
      <w:pPr>
        <w:spacing w:after="0" w:line="240" w:lineRule="auto"/>
        <w:rPr>
          <w:rFonts w:ascii="Verdana" w:eastAsia="Geomanist Light" w:hAnsi="Verdana" w:cs="Arial"/>
          <w:color w:val="000000" w:themeColor="text1"/>
        </w:rPr>
      </w:pPr>
    </w:p>
    <w:p w14:paraId="4537AB08" w14:textId="77777777" w:rsidR="001562B6" w:rsidRDefault="001562B6" w:rsidP="00A12BB1">
      <w:pPr>
        <w:spacing w:after="0" w:line="240" w:lineRule="auto"/>
        <w:rPr>
          <w:rFonts w:ascii="Verdana" w:eastAsia="Geomanist Light" w:hAnsi="Verdana" w:cs="Arial"/>
          <w:color w:val="000000" w:themeColor="text1"/>
        </w:rPr>
      </w:pPr>
    </w:p>
    <w:p w14:paraId="4688DE2D" w14:textId="77777777" w:rsidR="00503A40" w:rsidRDefault="00503A40" w:rsidP="00A12BB1">
      <w:pPr>
        <w:spacing w:after="0" w:line="240" w:lineRule="auto"/>
        <w:rPr>
          <w:rFonts w:ascii="Verdana" w:eastAsia="Geomanist Light" w:hAnsi="Verdana" w:cs="Arial"/>
          <w:color w:val="000000" w:themeColor="text1"/>
        </w:rPr>
      </w:pPr>
    </w:p>
    <w:p w14:paraId="6BE1A94B" w14:textId="77777777" w:rsidR="00503A40" w:rsidRDefault="00503A40" w:rsidP="00A12BB1">
      <w:pPr>
        <w:spacing w:after="0" w:line="240" w:lineRule="auto"/>
        <w:rPr>
          <w:rFonts w:ascii="Verdana" w:eastAsia="Geomanist Light" w:hAnsi="Verdana" w:cs="Arial"/>
          <w:color w:val="000000" w:themeColor="text1"/>
        </w:rPr>
      </w:pPr>
    </w:p>
    <w:p w14:paraId="6E69047E" w14:textId="77777777" w:rsidR="00503A40" w:rsidRDefault="00503A40" w:rsidP="00A12BB1">
      <w:pPr>
        <w:spacing w:after="0" w:line="240" w:lineRule="auto"/>
        <w:rPr>
          <w:rFonts w:ascii="Verdana" w:eastAsia="Geomanist Light" w:hAnsi="Verdana" w:cs="Arial"/>
          <w:color w:val="000000" w:themeColor="text1"/>
        </w:rPr>
      </w:pPr>
    </w:p>
    <w:p w14:paraId="612B7C77" w14:textId="77777777" w:rsidR="00503A40" w:rsidRDefault="00503A40" w:rsidP="00A12BB1">
      <w:pPr>
        <w:spacing w:after="0" w:line="240" w:lineRule="auto"/>
        <w:rPr>
          <w:rFonts w:ascii="Verdana" w:eastAsia="Geomanist Light" w:hAnsi="Verdana" w:cs="Arial"/>
          <w:color w:val="000000" w:themeColor="text1"/>
        </w:rPr>
      </w:pPr>
    </w:p>
    <w:p w14:paraId="7023ED93" w14:textId="77777777" w:rsidR="00503A40" w:rsidRDefault="00503A40" w:rsidP="00A12BB1">
      <w:pPr>
        <w:spacing w:after="0" w:line="240" w:lineRule="auto"/>
        <w:rPr>
          <w:rFonts w:ascii="Verdana" w:eastAsia="Geomanist Light" w:hAnsi="Verdana" w:cs="Arial"/>
          <w:color w:val="000000" w:themeColor="text1"/>
        </w:rPr>
      </w:pPr>
    </w:p>
    <w:p w14:paraId="0D861DF6" w14:textId="77777777" w:rsidR="00503A40" w:rsidRDefault="00503A40" w:rsidP="00A12BB1">
      <w:pPr>
        <w:spacing w:after="0" w:line="240" w:lineRule="auto"/>
        <w:rPr>
          <w:rFonts w:ascii="Verdana" w:eastAsia="Geomanist Light" w:hAnsi="Verdana" w:cs="Arial"/>
          <w:color w:val="000000" w:themeColor="text1"/>
        </w:rPr>
      </w:pPr>
    </w:p>
    <w:p w14:paraId="1BCE6A72" w14:textId="77777777" w:rsidR="00503A40" w:rsidRDefault="00503A40" w:rsidP="00A12BB1">
      <w:pPr>
        <w:spacing w:after="0" w:line="240" w:lineRule="auto"/>
        <w:rPr>
          <w:rFonts w:ascii="Verdana" w:eastAsia="Geomanist Light" w:hAnsi="Verdana" w:cs="Arial"/>
          <w:color w:val="000000" w:themeColor="text1"/>
        </w:rPr>
      </w:pPr>
    </w:p>
    <w:p w14:paraId="32488461" w14:textId="77777777" w:rsidR="00503A40" w:rsidRDefault="00503A40" w:rsidP="00A12BB1">
      <w:pPr>
        <w:spacing w:after="0" w:line="240" w:lineRule="auto"/>
        <w:rPr>
          <w:rFonts w:ascii="Verdana" w:eastAsia="Geomanist Light" w:hAnsi="Verdana" w:cs="Arial"/>
          <w:color w:val="000000" w:themeColor="text1"/>
        </w:rPr>
      </w:pPr>
    </w:p>
    <w:p w14:paraId="01021B04" w14:textId="77777777" w:rsidR="00503A40" w:rsidRDefault="00503A40" w:rsidP="00A12BB1">
      <w:pPr>
        <w:spacing w:after="0" w:line="240" w:lineRule="auto"/>
        <w:rPr>
          <w:rFonts w:ascii="Verdana" w:eastAsia="Geomanist Light" w:hAnsi="Verdana" w:cs="Arial"/>
          <w:color w:val="000000" w:themeColor="text1"/>
        </w:rPr>
      </w:pPr>
    </w:p>
    <w:p w14:paraId="6667852F" w14:textId="77777777" w:rsidR="00503A40" w:rsidRDefault="00503A40" w:rsidP="00A12BB1">
      <w:pPr>
        <w:spacing w:after="0" w:line="240" w:lineRule="auto"/>
        <w:rPr>
          <w:rFonts w:ascii="Verdana" w:eastAsia="Geomanist Light" w:hAnsi="Verdana" w:cs="Arial"/>
          <w:color w:val="000000" w:themeColor="text1"/>
        </w:rPr>
      </w:pPr>
    </w:p>
    <w:p w14:paraId="76B6ECC9" w14:textId="77777777" w:rsidR="00503A40" w:rsidRDefault="00503A40" w:rsidP="00A12BB1">
      <w:pPr>
        <w:spacing w:after="0" w:line="240" w:lineRule="auto"/>
        <w:rPr>
          <w:rFonts w:ascii="Verdana" w:eastAsia="Geomanist Light" w:hAnsi="Verdana" w:cs="Arial"/>
          <w:color w:val="000000" w:themeColor="text1"/>
        </w:rPr>
      </w:pPr>
    </w:p>
    <w:p w14:paraId="360F8D36" w14:textId="77777777" w:rsidR="00503A40" w:rsidRDefault="00503A40" w:rsidP="00A12BB1">
      <w:pPr>
        <w:spacing w:after="0" w:line="240" w:lineRule="auto"/>
        <w:rPr>
          <w:rFonts w:ascii="Verdana" w:eastAsia="Geomanist Light" w:hAnsi="Verdana" w:cs="Arial"/>
          <w:color w:val="000000" w:themeColor="text1"/>
        </w:rPr>
      </w:pPr>
    </w:p>
    <w:p w14:paraId="2C5BCCDC" w14:textId="77777777" w:rsidR="00503A40" w:rsidRDefault="00503A40" w:rsidP="00A12BB1">
      <w:pPr>
        <w:spacing w:after="0" w:line="240" w:lineRule="auto"/>
        <w:rPr>
          <w:rFonts w:ascii="Verdana" w:eastAsia="Geomanist Light" w:hAnsi="Verdana" w:cs="Arial"/>
          <w:color w:val="000000" w:themeColor="text1"/>
        </w:rPr>
      </w:pPr>
    </w:p>
    <w:p w14:paraId="14A10DBB" w14:textId="77777777" w:rsidR="00503A40" w:rsidRDefault="00503A40" w:rsidP="00A12BB1">
      <w:pPr>
        <w:spacing w:after="0" w:line="240" w:lineRule="auto"/>
        <w:rPr>
          <w:rFonts w:ascii="Verdana" w:eastAsia="Geomanist Light" w:hAnsi="Verdana" w:cs="Arial"/>
          <w:color w:val="000000" w:themeColor="text1"/>
        </w:rPr>
      </w:pPr>
    </w:p>
    <w:p w14:paraId="53247864" w14:textId="77777777" w:rsidR="00503A40" w:rsidRDefault="00503A40" w:rsidP="00A12BB1">
      <w:pPr>
        <w:spacing w:after="0" w:line="240" w:lineRule="auto"/>
        <w:rPr>
          <w:rFonts w:ascii="Verdana" w:eastAsia="Geomanist Light" w:hAnsi="Verdana" w:cs="Arial"/>
          <w:color w:val="000000" w:themeColor="text1"/>
        </w:rPr>
      </w:pPr>
    </w:p>
    <w:p w14:paraId="5184AC63" w14:textId="77777777" w:rsidR="00503A40" w:rsidRDefault="00503A40" w:rsidP="00A12BB1">
      <w:pPr>
        <w:spacing w:after="0" w:line="240" w:lineRule="auto"/>
        <w:rPr>
          <w:rFonts w:ascii="Verdana" w:eastAsia="Geomanist Light" w:hAnsi="Verdana" w:cs="Arial"/>
          <w:color w:val="000000" w:themeColor="text1"/>
        </w:rPr>
      </w:pPr>
    </w:p>
    <w:p w14:paraId="5907C7BF" w14:textId="77777777" w:rsidR="00503A40" w:rsidRDefault="00503A40" w:rsidP="00A12BB1">
      <w:pPr>
        <w:spacing w:after="0" w:line="240" w:lineRule="auto"/>
        <w:rPr>
          <w:rFonts w:ascii="Verdana" w:eastAsia="Geomanist Light" w:hAnsi="Verdana" w:cs="Arial"/>
          <w:color w:val="000000" w:themeColor="text1"/>
        </w:rPr>
      </w:pPr>
    </w:p>
    <w:p w14:paraId="4241D2CA" w14:textId="77777777" w:rsidR="00503A40" w:rsidRDefault="00503A40" w:rsidP="00A12BB1">
      <w:pPr>
        <w:spacing w:after="0" w:line="240" w:lineRule="auto"/>
        <w:rPr>
          <w:rFonts w:ascii="Verdana" w:eastAsia="Geomanist Light" w:hAnsi="Verdana" w:cs="Arial"/>
          <w:color w:val="000000" w:themeColor="text1"/>
        </w:rPr>
      </w:pPr>
    </w:p>
    <w:p w14:paraId="2CC9791B" w14:textId="77777777" w:rsidR="00503A40" w:rsidRDefault="00503A40" w:rsidP="00A12BB1">
      <w:pPr>
        <w:spacing w:after="0" w:line="240" w:lineRule="auto"/>
        <w:rPr>
          <w:rFonts w:ascii="Verdana" w:eastAsia="Geomanist Light" w:hAnsi="Verdana" w:cs="Arial"/>
          <w:color w:val="000000" w:themeColor="text1"/>
        </w:rPr>
      </w:pPr>
    </w:p>
    <w:p w14:paraId="1CB89E6F" w14:textId="77777777" w:rsidR="00503A40" w:rsidRDefault="00503A40" w:rsidP="00A12BB1">
      <w:pPr>
        <w:spacing w:after="0" w:line="240" w:lineRule="auto"/>
        <w:rPr>
          <w:rFonts w:ascii="Verdana" w:eastAsia="Geomanist Light" w:hAnsi="Verdana" w:cs="Arial"/>
          <w:color w:val="000000" w:themeColor="text1"/>
        </w:rPr>
      </w:pPr>
    </w:p>
    <w:p w14:paraId="0E2A9532" w14:textId="77777777" w:rsidR="00503A40" w:rsidRDefault="00503A40" w:rsidP="00A12BB1">
      <w:pPr>
        <w:spacing w:after="0" w:line="240" w:lineRule="auto"/>
        <w:rPr>
          <w:rFonts w:ascii="Verdana" w:eastAsia="Geomanist Light" w:hAnsi="Verdana" w:cs="Arial"/>
          <w:color w:val="000000" w:themeColor="text1"/>
        </w:rPr>
      </w:pPr>
    </w:p>
    <w:p w14:paraId="2BE926FA" w14:textId="77777777" w:rsidR="00503A40" w:rsidRDefault="00503A40" w:rsidP="00A12BB1">
      <w:pPr>
        <w:spacing w:after="0" w:line="240" w:lineRule="auto"/>
        <w:rPr>
          <w:rFonts w:ascii="Verdana" w:eastAsia="Geomanist Light" w:hAnsi="Verdana" w:cs="Arial"/>
          <w:color w:val="000000" w:themeColor="text1"/>
        </w:rPr>
      </w:pPr>
    </w:p>
    <w:p w14:paraId="645105C7" w14:textId="77777777" w:rsidR="00503A40" w:rsidRDefault="00503A40" w:rsidP="00A12BB1">
      <w:pPr>
        <w:spacing w:after="0" w:line="240" w:lineRule="auto"/>
        <w:rPr>
          <w:rFonts w:ascii="Verdana" w:eastAsia="Geomanist Light" w:hAnsi="Verdana" w:cs="Arial"/>
          <w:color w:val="000000" w:themeColor="text1"/>
        </w:rPr>
      </w:pPr>
    </w:p>
    <w:p w14:paraId="22C3A0D9" w14:textId="77777777" w:rsidR="00503A40" w:rsidRDefault="00503A40" w:rsidP="00A12BB1">
      <w:pPr>
        <w:spacing w:after="0" w:line="240" w:lineRule="auto"/>
        <w:rPr>
          <w:rFonts w:ascii="Verdana" w:eastAsia="Geomanist Light" w:hAnsi="Verdana" w:cs="Arial"/>
          <w:color w:val="000000" w:themeColor="text1"/>
        </w:rPr>
      </w:pPr>
    </w:p>
    <w:p w14:paraId="4B54CBF0" w14:textId="77777777" w:rsidR="00503A40" w:rsidRDefault="00503A40" w:rsidP="00A12BB1">
      <w:pPr>
        <w:spacing w:after="0" w:line="240" w:lineRule="auto"/>
        <w:rPr>
          <w:rFonts w:ascii="Verdana" w:eastAsia="Geomanist Light" w:hAnsi="Verdana" w:cs="Arial"/>
          <w:color w:val="000000" w:themeColor="text1"/>
        </w:rPr>
      </w:pPr>
    </w:p>
    <w:p w14:paraId="6F592D2D" w14:textId="77777777" w:rsidR="00503A40" w:rsidRDefault="00503A40" w:rsidP="00A12BB1">
      <w:pPr>
        <w:spacing w:after="0" w:line="240" w:lineRule="auto"/>
        <w:rPr>
          <w:rFonts w:ascii="Verdana" w:eastAsia="Geomanist Light" w:hAnsi="Verdana" w:cs="Arial"/>
          <w:color w:val="000000" w:themeColor="text1"/>
        </w:rPr>
      </w:pPr>
    </w:p>
    <w:p w14:paraId="367D056F" w14:textId="77777777" w:rsidR="00503A40" w:rsidRDefault="00503A40" w:rsidP="00A12BB1">
      <w:pPr>
        <w:spacing w:after="0" w:line="240" w:lineRule="auto"/>
        <w:rPr>
          <w:rFonts w:ascii="Verdana" w:eastAsia="Geomanist Light" w:hAnsi="Verdana" w:cs="Arial"/>
          <w:color w:val="000000" w:themeColor="text1"/>
        </w:rPr>
      </w:pPr>
    </w:p>
    <w:p w14:paraId="2580F0A1" w14:textId="77777777" w:rsidR="00503A40" w:rsidRDefault="00503A40" w:rsidP="00A12BB1">
      <w:pPr>
        <w:spacing w:after="0" w:line="240" w:lineRule="auto"/>
        <w:rPr>
          <w:rFonts w:ascii="Verdana" w:eastAsia="Geomanist Light" w:hAnsi="Verdana" w:cs="Arial"/>
          <w:color w:val="000000" w:themeColor="text1"/>
        </w:rPr>
      </w:pPr>
    </w:p>
    <w:p w14:paraId="25AF459B" w14:textId="77777777" w:rsidR="00503A40" w:rsidRDefault="00503A40" w:rsidP="00A12BB1">
      <w:pPr>
        <w:spacing w:after="0" w:line="240" w:lineRule="auto"/>
        <w:rPr>
          <w:rFonts w:ascii="Verdana" w:eastAsia="Geomanist Light" w:hAnsi="Verdana" w:cs="Arial"/>
          <w:color w:val="000000" w:themeColor="text1"/>
        </w:rPr>
      </w:pPr>
    </w:p>
    <w:p w14:paraId="48554441" w14:textId="77777777" w:rsidR="00503A40" w:rsidRDefault="00503A40" w:rsidP="00A12BB1">
      <w:pPr>
        <w:spacing w:after="0" w:line="240" w:lineRule="auto"/>
        <w:rPr>
          <w:rFonts w:ascii="Verdana" w:eastAsia="Geomanist Light" w:hAnsi="Verdana" w:cs="Arial"/>
          <w:color w:val="000000" w:themeColor="text1"/>
        </w:rPr>
      </w:pPr>
    </w:p>
    <w:p w14:paraId="476D6C9B" w14:textId="77777777" w:rsidR="00503A40" w:rsidRDefault="00503A40" w:rsidP="00A12BB1">
      <w:pPr>
        <w:spacing w:after="0" w:line="240" w:lineRule="auto"/>
        <w:rPr>
          <w:rFonts w:ascii="Verdana" w:eastAsia="Geomanist Light" w:hAnsi="Verdana" w:cs="Arial"/>
          <w:color w:val="000000" w:themeColor="text1"/>
        </w:rPr>
      </w:pPr>
    </w:p>
    <w:p w14:paraId="42D45E99" w14:textId="77777777" w:rsidR="00503A40" w:rsidRDefault="00503A40" w:rsidP="00A12BB1">
      <w:pPr>
        <w:spacing w:after="0" w:line="240" w:lineRule="auto"/>
        <w:rPr>
          <w:rFonts w:ascii="Verdana" w:eastAsia="Geomanist Light" w:hAnsi="Verdana" w:cs="Arial"/>
          <w:color w:val="000000" w:themeColor="text1"/>
        </w:rPr>
      </w:pPr>
    </w:p>
    <w:p w14:paraId="2C178AE8" w14:textId="77777777" w:rsidR="00503A40" w:rsidRDefault="00503A40" w:rsidP="00A12BB1">
      <w:pPr>
        <w:spacing w:after="0" w:line="240" w:lineRule="auto"/>
        <w:rPr>
          <w:rFonts w:ascii="Verdana" w:eastAsia="Geomanist Light" w:hAnsi="Verdana" w:cs="Arial"/>
          <w:color w:val="000000" w:themeColor="text1"/>
        </w:rPr>
      </w:pPr>
    </w:p>
    <w:p w14:paraId="7F77963A" w14:textId="77777777" w:rsidR="00503A40" w:rsidRDefault="00503A40" w:rsidP="00A12BB1">
      <w:pPr>
        <w:spacing w:after="0" w:line="240" w:lineRule="auto"/>
        <w:rPr>
          <w:rFonts w:ascii="Verdana" w:eastAsia="Geomanist Light" w:hAnsi="Verdana" w:cs="Arial"/>
          <w:color w:val="000000" w:themeColor="text1"/>
        </w:rPr>
      </w:pPr>
    </w:p>
    <w:p w14:paraId="72CA6335" w14:textId="77777777" w:rsidR="00503A40" w:rsidRDefault="00503A40" w:rsidP="00A12BB1">
      <w:pPr>
        <w:spacing w:after="0" w:line="240" w:lineRule="auto"/>
        <w:rPr>
          <w:rFonts w:ascii="Verdana" w:eastAsia="Geomanist Light" w:hAnsi="Verdana" w:cs="Arial"/>
          <w:color w:val="000000" w:themeColor="text1"/>
        </w:rPr>
      </w:pPr>
    </w:p>
    <w:p w14:paraId="76A9C062" w14:textId="77777777" w:rsidR="00503A40" w:rsidRDefault="00503A40" w:rsidP="00A12BB1">
      <w:pPr>
        <w:spacing w:after="0" w:line="240" w:lineRule="auto"/>
        <w:rPr>
          <w:rFonts w:ascii="Verdana" w:eastAsia="Geomanist Light" w:hAnsi="Verdana" w:cs="Arial"/>
          <w:color w:val="000000" w:themeColor="text1"/>
        </w:rPr>
      </w:pPr>
    </w:p>
    <w:p w14:paraId="4C3B6A33" w14:textId="78CA287D" w:rsidR="00A12BB1" w:rsidRPr="00A12BB1" w:rsidRDefault="00A12BB1" w:rsidP="00A12BB1">
      <w:pPr>
        <w:spacing w:after="0" w:line="240" w:lineRule="auto"/>
        <w:rPr>
          <w:rFonts w:ascii="Verdana" w:eastAsia="Geomanist Light" w:hAnsi="Verdana" w:cs="Arial"/>
          <w:color w:val="201F1E"/>
        </w:rPr>
      </w:pPr>
      <w:r w:rsidRPr="00A12BB1">
        <w:rPr>
          <w:rFonts w:ascii="Verdana" w:eastAsia="Geomanist Light" w:hAnsi="Verdana" w:cs="Arial"/>
          <w:color w:val="000000" w:themeColor="text1"/>
        </w:rPr>
        <w:lastRenderedPageBreak/>
        <w:t>Bogotá D.C., </w:t>
      </w:r>
      <w:r w:rsidR="00ED3954">
        <w:rPr>
          <w:rFonts w:ascii="Verdana" w:eastAsia="Geomanist Light" w:hAnsi="Verdana" w:cs="Arial"/>
          <w:color w:val="201F1E"/>
        </w:rPr>
        <w:t>1 de julio de 2025</w:t>
      </w:r>
    </w:p>
    <w:p w14:paraId="1E65F7FA" w14:textId="2EB9B10E" w:rsidR="00A12BB1" w:rsidRPr="00A12BB1" w:rsidRDefault="00A12BB1" w:rsidP="00A12BB1">
      <w:pPr>
        <w:spacing w:after="0" w:line="240" w:lineRule="auto"/>
        <w:jc w:val="both"/>
        <w:rPr>
          <w:rFonts w:ascii="Verdana" w:eastAsia="Calibri" w:hAnsi="Verdana" w:cs="Arial"/>
          <w:color w:val="000000"/>
        </w:rPr>
      </w:pPr>
    </w:p>
    <w:p w14:paraId="48E6F64E" w14:textId="73C6F565" w:rsidR="00A12BB1" w:rsidRDefault="00A12BB1" w:rsidP="00ED3954">
      <w:pPr>
        <w:spacing w:after="0" w:line="240" w:lineRule="auto"/>
        <w:jc w:val="right"/>
        <w:rPr>
          <w:rFonts w:ascii="Verdana" w:eastAsia="Calibri" w:hAnsi="Verdana" w:cs="Arial"/>
          <w:color w:val="000000"/>
        </w:rPr>
      </w:pPr>
    </w:p>
    <w:p w14:paraId="18AEDB5F" w14:textId="24CA29AC" w:rsidR="00ED3954" w:rsidRPr="00A12BB1" w:rsidRDefault="0087481E" w:rsidP="00A12BB1">
      <w:pPr>
        <w:spacing w:after="0" w:line="240" w:lineRule="auto"/>
        <w:jc w:val="both"/>
        <w:rPr>
          <w:rFonts w:ascii="Verdana" w:eastAsia="Calibri" w:hAnsi="Verdana" w:cs="Arial"/>
          <w:color w:val="000000"/>
        </w:rPr>
      </w:pPr>
      <w:r w:rsidRPr="00ED3954">
        <w:rPr>
          <w:rFonts w:ascii="Verdana" w:eastAsia="Calibri" w:hAnsi="Verdana" w:cs="Arial"/>
          <w:noProof/>
          <w:color w:val="000000"/>
        </w:rPr>
        <w:drawing>
          <wp:anchor distT="0" distB="0" distL="114300" distR="114300" simplePos="0" relativeHeight="251659264" behindDoc="0" locked="0" layoutInCell="1" allowOverlap="1" wp14:anchorId="2353D755" wp14:editId="0DBFFED3">
            <wp:simplePos x="0" y="0"/>
            <wp:positionH relativeFrom="margin">
              <wp:posOffset>3173398</wp:posOffset>
            </wp:positionH>
            <wp:positionV relativeFrom="paragraph">
              <wp:posOffset>33351</wp:posOffset>
            </wp:positionV>
            <wp:extent cx="3053080" cy="977900"/>
            <wp:effectExtent l="0" t="0" r="0" b="0"/>
            <wp:wrapSquare wrapText="bothSides"/>
            <wp:docPr id="1608820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3080" cy="977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83E8EC" w14:textId="77777777" w:rsidR="00A12BB1" w:rsidRPr="00A12BB1" w:rsidRDefault="00A12BB1" w:rsidP="00A12BB1">
      <w:pPr>
        <w:spacing w:after="0" w:line="240" w:lineRule="auto"/>
        <w:jc w:val="both"/>
        <w:rPr>
          <w:rFonts w:ascii="Verdana" w:eastAsia="Calibri" w:hAnsi="Verdana" w:cs="Arial"/>
          <w:lang w:eastAsia="es-ES"/>
        </w:rPr>
      </w:pPr>
      <w:r w:rsidRPr="00A12BB1">
        <w:rPr>
          <w:rFonts w:ascii="Verdana" w:eastAsia="Calibri" w:hAnsi="Verdana" w:cs="Arial"/>
          <w:lang w:eastAsia="es-ES"/>
        </w:rPr>
        <w:t>Señora</w:t>
      </w:r>
    </w:p>
    <w:p w14:paraId="628B96B9" w14:textId="77777777" w:rsidR="00A12BB1" w:rsidRPr="00A12BB1" w:rsidRDefault="00A12BB1" w:rsidP="00A12BB1">
      <w:pPr>
        <w:spacing w:after="0" w:line="240" w:lineRule="auto"/>
        <w:rPr>
          <w:rFonts w:ascii="Verdana" w:eastAsia="Calibri" w:hAnsi="Verdana" w:cs="Arial"/>
          <w:b/>
          <w:bCs/>
          <w:lang w:eastAsia="es-ES"/>
        </w:rPr>
      </w:pPr>
      <w:r w:rsidRPr="00A12BB1">
        <w:rPr>
          <w:rFonts w:ascii="Verdana" w:eastAsia="Calibri" w:hAnsi="Verdana" w:cs="Arial"/>
          <w:b/>
          <w:bCs/>
          <w:lang w:eastAsia="es-ES"/>
        </w:rPr>
        <w:t>Claudia Patricia Cárdenas Ortiz</w:t>
      </w:r>
    </w:p>
    <w:p w14:paraId="2022341D" w14:textId="77777777" w:rsidR="00A12BB1" w:rsidRPr="00A12BB1" w:rsidRDefault="00A12BB1" w:rsidP="00A12BB1">
      <w:pPr>
        <w:spacing w:after="0" w:line="240" w:lineRule="auto"/>
        <w:rPr>
          <w:rFonts w:ascii="Verdana" w:eastAsia="Calibri" w:hAnsi="Verdana" w:cs="Arial"/>
          <w:b/>
          <w:bCs/>
          <w:lang w:eastAsia="es-ES"/>
        </w:rPr>
      </w:pPr>
      <w:r w:rsidRPr="00A12BB1">
        <w:rPr>
          <w:rFonts w:ascii="Verdana" w:eastAsia="Calibri" w:hAnsi="Verdana" w:cs="Arial"/>
          <w:b/>
          <w:bCs/>
          <w:lang w:eastAsia="es-ES"/>
        </w:rPr>
        <w:t xml:space="preserve">Directora </w:t>
      </w:r>
      <w:r w:rsidRPr="00A12BB1">
        <w:rPr>
          <w:rFonts w:ascii="Verdana" w:hAnsi="Verdana"/>
          <w:b/>
          <w:bCs/>
          <w:color w:val="000000" w:themeColor="text1"/>
        </w:rPr>
        <w:t>Área Metropolitana Centro Occidente</w:t>
      </w:r>
    </w:p>
    <w:p w14:paraId="5B360E81" w14:textId="77777777" w:rsidR="00A12BB1" w:rsidRPr="00A12BB1" w:rsidRDefault="00A12BB1" w:rsidP="00A12BB1">
      <w:pPr>
        <w:spacing w:after="0" w:line="240" w:lineRule="auto"/>
        <w:rPr>
          <w:rFonts w:ascii="Verdana" w:eastAsia="Calibri" w:hAnsi="Verdana" w:cs="Arial"/>
          <w:b/>
          <w:bCs/>
          <w:lang w:eastAsia="es-ES"/>
        </w:rPr>
      </w:pPr>
      <w:hyperlink r:id="rId12" w:history="1">
        <w:r w:rsidRPr="00A12BB1">
          <w:rPr>
            <w:rFonts w:ascii="Verdana" w:eastAsia="Calibri" w:hAnsi="Verdana" w:cs="Arial"/>
            <w:b/>
            <w:bCs/>
            <w:color w:val="0563C1" w:themeColor="hyperlink"/>
            <w:u w:val="single"/>
            <w:lang w:eastAsia="es-ES"/>
          </w:rPr>
          <w:t>direccion@amco.gov.co</w:t>
        </w:r>
      </w:hyperlink>
      <w:r w:rsidRPr="00A12BB1">
        <w:rPr>
          <w:rFonts w:ascii="Verdana" w:eastAsia="Calibri" w:hAnsi="Verdana" w:cs="Arial"/>
          <w:b/>
          <w:bCs/>
          <w:lang w:eastAsia="es-ES"/>
        </w:rPr>
        <w:t xml:space="preserve"> </w:t>
      </w:r>
    </w:p>
    <w:p w14:paraId="43D76020" w14:textId="77777777" w:rsidR="00A12BB1" w:rsidRPr="00A12BB1" w:rsidRDefault="00A12BB1" w:rsidP="00A12BB1">
      <w:pPr>
        <w:spacing w:after="0" w:line="240" w:lineRule="auto"/>
        <w:rPr>
          <w:rFonts w:ascii="Verdana" w:hAnsi="Verdana"/>
        </w:rPr>
      </w:pPr>
      <w:r w:rsidRPr="00A12BB1">
        <w:rPr>
          <w:rFonts w:ascii="Verdana" w:hAnsi="Verdana"/>
        </w:rPr>
        <w:t xml:space="preserve">Pereira, Risaralda </w:t>
      </w:r>
    </w:p>
    <w:p w14:paraId="388F8FBB" w14:textId="77777777" w:rsidR="00A12BB1" w:rsidRPr="00A12BB1" w:rsidRDefault="00A12BB1" w:rsidP="00A12BB1">
      <w:pPr>
        <w:spacing w:after="0" w:line="240" w:lineRule="auto"/>
        <w:rPr>
          <w:rFonts w:ascii="Verdana" w:eastAsia="Calibri" w:hAnsi="Verdana" w:cs="Arial"/>
          <w:lang w:eastAsia="es-ES"/>
        </w:rPr>
      </w:pPr>
    </w:p>
    <w:p w14:paraId="7689C62F" w14:textId="77777777" w:rsidR="00A12BB1" w:rsidRPr="00A12BB1" w:rsidRDefault="00A12BB1" w:rsidP="00A12BB1">
      <w:pPr>
        <w:spacing w:after="0" w:line="240" w:lineRule="auto"/>
        <w:rPr>
          <w:rFonts w:ascii="Verdana" w:eastAsia="Calibri" w:hAnsi="Verdana" w:cs="Arial"/>
          <w:b/>
          <w:bCs/>
          <w:color w:val="000000"/>
          <w:lang w:eastAsia="es-ES_tradnl"/>
        </w:rPr>
      </w:pPr>
    </w:p>
    <w:p w14:paraId="1E84DD55" w14:textId="77777777" w:rsidR="00A12BB1" w:rsidRPr="00A12BB1" w:rsidRDefault="00A12BB1" w:rsidP="00A12BB1">
      <w:pPr>
        <w:spacing w:after="0" w:line="240" w:lineRule="auto"/>
        <w:jc w:val="center"/>
        <w:rPr>
          <w:rFonts w:ascii="Verdana" w:eastAsia="Calibri" w:hAnsi="Verdana" w:cs="Arial"/>
          <w:b/>
          <w:bCs/>
          <w:lang w:eastAsia="es-ES"/>
        </w:rPr>
      </w:pPr>
      <w:r w:rsidRPr="00A12BB1">
        <w:rPr>
          <w:rFonts w:ascii="Verdana" w:eastAsia="Calibri" w:hAnsi="Verdana" w:cs="Arial"/>
          <w:b/>
          <w:bCs/>
          <w:lang w:eastAsia="es-ES"/>
        </w:rPr>
        <w:t>Concepto C – 623 de 2025</w:t>
      </w:r>
    </w:p>
    <w:p w14:paraId="6A2BBADA" w14:textId="77777777" w:rsidR="00A12BB1" w:rsidRPr="00A12BB1" w:rsidRDefault="00A12BB1" w:rsidP="00A12BB1">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12BB1" w:rsidRPr="00A12BB1" w14:paraId="4B0B125F" w14:textId="77777777" w:rsidTr="00FD19D1">
        <w:trPr>
          <w:trHeight w:val="884"/>
        </w:trPr>
        <w:tc>
          <w:tcPr>
            <w:tcW w:w="2689" w:type="dxa"/>
          </w:tcPr>
          <w:p w14:paraId="2AAC2725" w14:textId="77777777" w:rsidR="00A12BB1" w:rsidRPr="00A12BB1" w:rsidRDefault="00A12BB1" w:rsidP="00A12BB1">
            <w:pPr>
              <w:jc w:val="both"/>
              <w:rPr>
                <w:rFonts w:ascii="Verdana" w:eastAsia="Calibri" w:hAnsi="Verdana" w:cs="Arial"/>
                <w:color w:val="000000"/>
                <w:lang w:eastAsia="es-ES_tradnl"/>
              </w:rPr>
            </w:pPr>
            <w:r w:rsidRPr="00A12BB1">
              <w:rPr>
                <w:rFonts w:ascii="Verdana" w:eastAsia="Calibri" w:hAnsi="Verdana" w:cs="Arial"/>
                <w:b/>
                <w:color w:val="000000"/>
                <w:lang w:eastAsia="es-ES_tradnl"/>
              </w:rPr>
              <w:t>Temas:</w:t>
            </w:r>
            <w:r w:rsidRPr="00A12BB1">
              <w:rPr>
                <w:rFonts w:ascii="Verdana" w:eastAsia="Calibri" w:hAnsi="Verdana" w:cs="Arial"/>
                <w:color w:val="000000"/>
                <w:lang w:eastAsia="es-ES_tradnl"/>
              </w:rPr>
              <w:t xml:space="preserve">                   </w:t>
            </w:r>
          </w:p>
        </w:tc>
        <w:tc>
          <w:tcPr>
            <w:tcW w:w="6100" w:type="dxa"/>
          </w:tcPr>
          <w:p w14:paraId="29668A23" w14:textId="77777777" w:rsidR="00A12BB1" w:rsidRPr="00A12BB1" w:rsidRDefault="00A12BB1" w:rsidP="00A12BB1">
            <w:pPr>
              <w:jc w:val="both"/>
              <w:rPr>
                <w:rFonts w:ascii="Verdana" w:eastAsia="Calibri" w:hAnsi="Verdana" w:cs="Arial"/>
                <w:bCs/>
                <w:lang w:val="es-ES"/>
              </w:rPr>
            </w:pPr>
            <w:r w:rsidRPr="00A12BB1">
              <w:rPr>
                <w:rFonts w:ascii="Verdana" w:eastAsia="Calibri" w:hAnsi="Verdana" w:cs="Arial"/>
                <w:bCs/>
                <w:lang w:val="es-ES"/>
              </w:rPr>
              <w:t xml:space="preserve">ALIANZAS ESTRATÉGICAS – Noción / ALIANZAS ESTRATÉGICAS – Contratación estatal / GESTIÓN CATASTRAL – marco normativo – Regulación especial y prevalente </w:t>
            </w:r>
          </w:p>
          <w:p w14:paraId="5DCE366E" w14:textId="77777777" w:rsidR="00A12BB1" w:rsidRPr="00A12BB1" w:rsidRDefault="00A12BB1" w:rsidP="00A12BB1">
            <w:pPr>
              <w:spacing w:line="276" w:lineRule="auto"/>
              <w:contextualSpacing/>
              <w:jc w:val="both"/>
              <w:rPr>
                <w:rFonts w:ascii="Verdana" w:eastAsia="Calibri" w:hAnsi="Verdana" w:cs="Arial"/>
                <w:lang w:eastAsia="es-ES"/>
              </w:rPr>
            </w:pPr>
          </w:p>
        </w:tc>
      </w:tr>
      <w:tr w:rsidR="00A12BB1" w:rsidRPr="00A12BB1" w14:paraId="2B72F956" w14:textId="77777777" w:rsidTr="00FD19D1">
        <w:tc>
          <w:tcPr>
            <w:tcW w:w="2689" w:type="dxa"/>
          </w:tcPr>
          <w:p w14:paraId="02CC9C62" w14:textId="77777777" w:rsidR="00A12BB1" w:rsidRPr="00A12BB1" w:rsidRDefault="00A12BB1" w:rsidP="00A12BB1">
            <w:pPr>
              <w:jc w:val="both"/>
              <w:rPr>
                <w:rFonts w:ascii="Verdana" w:eastAsia="Calibri" w:hAnsi="Verdana" w:cs="Arial"/>
                <w:b/>
                <w:lang w:eastAsia="es-ES_tradnl"/>
              </w:rPr>
            </w:pPr>
            <w:r w:rsidRPr="00A12BB1">
              <w:rPr>
                <w:rFonts w:ascii="Verdana" w:eastAsia="Calibri" w:hAnsi="Verdana" w:cs="Arial"/>
                <w:b/>
                <w:lang w:eastAsia="es-ES_tradnl"/>
              </w:rPr>
              <w:t>Radicación:</w:t>
            </w:r>
            <w:r w:rsidRPr="00A12BB1">
              <w:rPr>
                <w:rFonts w:ascii="Verdana" w:eastAsia="Calibri" w:hAnsi="Verdana" w:cs="Arial"/>
                <w:lang w:eastAsia="es-ES_tradnl"/>
              </w:rPr>
              <w:t xml:space="preserve">               </w:t>
            </w:r>
          </w:p>
        </w:tc>
        <w:tc>
          <w:tcPr>
            <w:tcW w:w="6100" w:type="dxa"/>
          </w:tcPr>
          <w:p w14:paraId="7E981538" w14:textId="77777777" w:rsidR="00A12BB1" w:rsidRPr="00A12BB1" w:rsidRDefault="00A12BB1" w:rsidP="00A12BB1">
            <w:pPr>
              <w:jc w:val="both"/>
              <w:rPr>
                <w:rFonts w:ascii="Verdana" w:eastAsia="Calibri" w:hAnsi="Verdana" w:cs="Arial"/>
                <w:lang w:eastAsia="es-ES_tradnl"/>
              </w:rPr>
            </w:pPr>
            <w:r w:rsidRPr="00A12BB1">
              <w:rPr>
                <w:rFonts w:ascii="Verdana" w:eastAsia="Calibri" w:hAnsi="Verdana" w:cs="Arial"/>
                <w:lang w:eastAsia="es-ES_tradnl"/>
              </w:rPr>
              <w:t>Respuesta a las consultas con radicados Nos.</w:t>
            </w:r>
            <w:r w:rsidRPr="00A12BB1">
              <w:rPr>
                <w:rFonts w:ascii="Verdana" w:hAnsi="Verdana"/>
              </w:rPr>
              <w:t xml:space="preserve"> P20250519004819 y P20250521004887 Y P20250527005151 (Acumulados)</w:t>
            </w:r>
          </w:p>
        </w:tc>
      </w:tr>
    </w:tbl>
    <w:p w14:paraId="74D429B0" w14:textId="77777777" w:rsidR="00A12BB1" w:rsidRPr="00A12BB1" w:rsidRDefault="00A12BB1" w:rsidP="00A12BB1">
      <w:pPr>
        <w:spacing w:after="0" w:line="240" w:lineRule="auto"/>
        <w:jc w:val="both"/>
        <w:rPr>
          <w:rFonts w:ascii="Verdana" w:eastAsia="Calibri" w:hAnsi="Verdana" w:cs="Arial"/>
          <w:color w:val="000000"/>
          <w:lang w:eastAsia="es-ES_tradnl"/>
        </w:rPr>
      </w:pPr>
    </w:p>
    <w:p w14:paraId="0A502FCA" w14:textId="77777777" w:rsidR="00A12BB1" w:rsidRPr="00A12BB1" w:rsidRDefault="00A12BB1" w:rsidP="00A12BB1">
      <w:pPr>
        <w:spacing w:after="0" w:line="240" w:lineRule="auto"/>
        <w:jc w:val="both"/>
        <w:rPr>
          <w:rFonts w:ascii="Verdana" w:eastAsia="Calibri" w:hAnsi="Verdana" w:cs="Arial"/>
          <w:color w:val="000000"/>
          <w:lang w:eastAsia="es-ES_tradnl"/>
        </w:rPr>
      </w:pPr>
    </w:p>
    <w:p w14:paraId="41460CC2" w14:textId="77777777" w:rsidR="00A12BB1" w:rsidRPr="00A12BB1" w:rsidRDefault="00A12BB1" w:rsidP="00A12BB1">
      <w:pPr>
        <w:spacing w:after="0" w:line="276" w:lineRule="auto"/>
        <w:jc w:val="both"/>
        <w:rPr>
          <w:rFonts w:ascii="Verdana" w:eastAsia="Calibri" w:hAnsi="Verdana" w:cs="Arial"/>
          <w:lang w:eastAsia="es-ES"/>
        </w:rPr>
      </w:pPr>
      <w:r w:rsidRPr="00A12BB1">
        <w:rPr>
          <w:rFonts w:ascii="Verdana" w:eastAsia="Calibri" w:hAnsi="Verdana" w:cs="Arial"/>
          <w:lang w:eastAsia="es-ES"/>
        </w:rPr>
        <w:t xml:space="preserve">Estimada señora Cárdenas Ortiz: </w:t>
      </w:r>
    </w:p>
    <w:p w14:paraId="3764470B" w14:textId="77777777" w:rsidR="00A12BB1" w:rsidRPr="00A12BB1" w:rsidRDefault="00A12BB1" w:rsidP="00A12BB1">
      <w:pPr>
        <w:tabs>
          <w:tab w:val="left" w:pos="3768"/>
        </w:tabs>
        <w:spacing w:after="0" w:line="276" w:lineRule="auto"/>
        <w:jc w:val="both"/>
        <w:rPr>
          <w:rFonts w:ascii="Verdana" w:eastAsia="Calibri" w:hAnsi="Verdana" w:cs="Arial"/>
          <w:color w:val="000000" w:themeColor="text1"/>
          <w:lang w:eastAsia="es-ES"/>
        </w:rPr>
      </w:pPr>
      <w:r w:rsidRPr="00A12BB1">
        <w:rPr>
          <w:rFonts w:ascii="Verdana" w:eastAsia="Calibri" w:hAnsi="Verdana" w:cs="Arial"/>
          <w:color w:val="000000" w:themeColor="text1"/>
          <w:lang w:eastAsia="es-ES"/>
        </w:rPr>
        <w:tab/>
      </w:r>
    </w:p>
    <w:p w14:paraId="1D063F4C" w14:textId="77777777" w:rsidR="00A12BB1" w:rsidRPr="00A12BB1" w:rsidRDefault="00A12BB1" w:rsidP="00A12BB1">
      <w:pPr>
        <w:spacing w:after="120" w:line="276" w:lineRule="auto"/>
        <w:jc w:val="both"/>
        <w:rPr>
          <w:rFonts w:ascii="Verdana" w:eastAsia="Calibri" w:hAnsi="Verdana" w:cs="Arial"/>
          <w:i/>
          <w:iCs/>
          <w:lang w:eastAsia="es-ES"/>
        </w:rPr>
      </w:pPr>
      <w:r w:rsidRPr="00A12BB1">
        <w:rPr>
          <w:rFonts w:ascii="Verdana" w:eastAsia="Calibri" w:hAnsi="Verdana" w:cs="Arial"/>
          <w:color w:val="000000" w:themeColor="text1"/>
          <w:lang w:eastAsia="es-ES"/>
        </w:rPr>
        <w:t>En ejercicio de la competencia otorgada por los artículos 3, numeral 5º, y 11, numeral 8º, del Decreto Ley 4170 de 2011,</w:t>
      </w:r>
      <w:r w:rsidRPr="00A12BB1">
        <w:rPr>
          <w:rFonts w:ascii="Verdana" w:eastAsia="Arial MT" w:hAnsi="Verdana" w:cs="Arial MT"/>
          <w:lang w:eastAsia="es-ES"/>
        </w:rPr>
        <w:t xml:space="preserve"> </w:t>
      </w:r>
      <w:r w:rsidRPr="00A12BB1">
        <w:rPr>
          <w:rFonts w:ascii="Verdana" w:hAnsi="Verdana" w:cs="Arial"/>
        </w:rPr>
        <w:t xml:space="preserve">así como lo establecido en el artículo 4 de la Resolución 1707 de 2018 expedida por esta Entidad, </w:t>
      </w:r>
      <w:r w:rsidRPr="00A12BB1">
        <w:rPr>
          <w:rFonts w:ascii="Verdana" w:eastAsia="Calibri" w:hAnsi="Verdana" w:cs="Arial"/>
          <w:color w:val="000000" w:themeColor="text1"/>
          <w:lang w:eastAsia="es-ES"/>
        </w:rPr>
        <w:t>la Agencia Nacional de Contratación Pública – Colombia Compra Eficiente responde sus solicitudes de concepto del 19, 21 y 27 de mayo de 2025,</w:t>
      </w:r>
      <w:r w:rsidRPr="00A12BB1">
        <w:rPr>
          <w:rFonts w:ascii="Verdana" w:eastAsia="Calibri" w:hAnsi="Verdana" w:cs="Arial"/>
          <w:lang w:eastAsia="es-ES"/>
        </w:rPr>
        <w:t xml:space="preserve"> en las cuales consulta sobre lo siguiente:</w:t>
      </w:r>
      <w:r w:rsidRPr="00A12BB1">
        <w:rPr>
          <w:rFonts w:ascii="Verdana" w:eastAsia="Calibri" w:hAnsi="Verdana" w:cs="Arial"/>
          <w:i/>
          <w:iCs/>
          <w:lang w:eastAsia="es-ES"/>
        </w:rPr>
        <w:t xml:space="preserve"> </w:t>
      </w:r>
      <w:bookmarkStart w:id="1" w:name="_Hlk95313578"/>
    </w:p>
    <w:p w14:paraId="13B71955" w14:textId="77777777" w:rsidR="00A12BB1" w:rsidRPr="00A12BB1" w:rsidRDefault="00A12BB1" w:rsidP="00A12BB1">
      <w:pPr>
        <w:spacing w:after="0" w:line="276" w:lineRule="auto"/>
        <w:jc w:val="both"/>
        <w:rPr>
          <w:rFonts w:ascii="Verdana" w:eastAsia="Calibri" w:hAnsi="Verdana" w:cs="Arial"/>
          <w:i/>
          <w:iCs/>
          <w:lang w:eastAsia="es-ES"/>
        </w:rPr>
      </w:pPr>
    </w:p>
    <w:p w14:paraId="725399BB" w14:textId="77777777" w:rsidR="00A12BB1" w:rsidRPr="00A12BB1" w:rsidRDefault="00A12BB1" w:rsidP="00A12BB1">
      <w:pPr>
        <w:spacing w:after="0" w:line="240" w:lineRule="auto"/>
        <w:ind w:left="709" w:right="618"/>
        <w:jc w:val="both"/>
        <w:rPr>
          <w:rFonts w:ascii="Verdana" w:hAnsi="Verdana"/>
          <w:sz w:val="20"/>
          <w:szCs w:val="20"/>
        </w:rPr>
      </w:pPr>
      <w:r w:rsidRPr="00A12BB1">
        <w:rPr>
          <w:rFonts w:ascii="Verdana" w:eastAsia="Arial" w:hAnsi="Verdana" w:cs="Arial"/>
          <w:i/>
          <w:color w:val="000000"/>
          <w:sz w:val="20"/>
          <w:szCs w:val="20"/>
        </w:rPr>
        <w:t>“</w:t>
      </w:r>
      <w:bookmarkEnd w:id="1"/>
      <w:r w:rsidRPr="00A12BB1">
        <w:rPr>
          <w:rFonts w:ascii="Verdana" w:hAnsi="Verdana"/>
          <w:sz w:val="20"/>
          <w:szCs w:val="20"/>
        </w:rPr>
        <w:t xml:space="preserve">El Área Metropolitana Centro Occidente – AMCO, en ejercicio de sus funciones, solicita atentamente a ustedes un concepto jurídico relacionado con la figura de las Alianzas Estratégicas con Riesgo Separado, en el marco de la contratación pública, específicamente en lo que respecta a la contratación de operadores catastrales. En particular, se requiere precisar: </w:t>
      </w:r>
    </w:p>
    <w:p w14:paraId="0C3DA28F" w14:textId="77777777" w:rsidR="00A12BB1" w:rsidRPr="00A12BB1" w:rsidRDefault="00A12BB1" w:rsidP="00A12BB1">
      <w:pPr>
        <w:spacing w:after="0" w:line="240" w:lineRule="auto"/>
        <w:ind w:left="709" w:right="618"/>
        <w:jc w:val="both"/>
        <w:rPr>
          <w:rFonts w:ascii="Verdana" w:hAnsi="Verdana"/>
          <w:sz w:val="20"/>
          <w:szCs w:val="20"/>
        </w:rPr>
      </w:pPr>
    </w:p>
    <w:p w14:paraId="3391F2BC" w14:textId="77777777" w:rsidR="00A12BB1" w:rsidRPr="00A12BB1" w:rsidRDefault="00A12BB1" w:rsidP="00A12BB1">
      <w:pPr>
        <w:spacing w:after="0" w:line="240" w:lineRule="auto"/>
        <w:ind w:left="709" w:right="618"/>
        <w:jc w:val="both"/>
        <w:rPr>
          <w:rFonts w:ascii="Verdana" w:hAnsi="Verdana"/>
          <w:sz w:val="20"/>
          <w:szCs w:val="20"/>
        </w:rPr>
      </w:pPr>
      <w:r w:rsidRPr="00A12BB1">
        <w:rPr>
          <w:rFonts w:ascii="Verdana" w:hAnsi="Verdana"/>
          <w:sz w:val="20"/>
          <w:szCs w:val="20"/>
        </w:rPr>
        <w:lastRenderedPageBreak/>
        <w:t xml:space="preserve">1. Si dicha figura existe en el ordenamiento jurídico colombiano, y más específicamente dentro del régimen de contratación pública. </w:t>
      </w:r>
    </w:p>
    <w:p w14:paraId="0119E547" w14:textId="77777777" w:rsidR="00A12BB1" w:rsidRPr="00A12BB1" w:rsidRDefault="00A12BB1" w:rsidP="00A12BB1">
      <w:pPr>
        <w:spacing w:after="0" w:line="240" w:lineRule="auto"/>
        <w:ind w:left="709" w:right="618"/>
        <w:jc w:val="both"/>
        <w:rPr>
          <w:rFonts w:ascii="Verdana" w:hAnsi="Verdana"/>
          <w:sz w:val="20"/>
          <w:szCs w:val="20"/>
        </w:rPr>
      </w:pPr>
      <w:r w:rsidRPr="00A12BB1">
        <w:rPr>
          <w:rFonts w:ascii="Verdana" w:hAnsi="Verdana"/>
          <w:sz w:val="20"/>
          <w:szCs w:val="20"/>
        </w:rPr>
        <w:t xml:space="preserve">2. El marco legal aplicable, incluyendo leyes, decretos y demás normativas que regulen o contemplen esta modalidad. </w:t>
      </w:r>
    </w:p>
    <w:p w14:paraId="597D7323" w14:textId="77777777" w:rsidR="00A12BB1" w:rsidRPr="00A12BB1" w:rsidRDefault="00A12BB1" w:rsidP="00A12BB1">
      <w:pPr>
        <w:spacing w:after="0" w:line="240" w:lineRule="auto"/>
        <w:ind w:left="709" w:right="618"/>
        <w:jc w:val="both"/>
        <w:rPr>
          <w:rFonts w:ascii="Verdana" w:hAnsi="Verdana"/>
          <w:sz w:val="20"/>
          <w:szCs w:val="20"/>
        </w:rPr>
      </w:pPr>
    </w:p>
    <w:p w14:paraId="3CB6F536" w14:textId="77777777" w:rsidR="00A12BB1" w:rsidRPr="00A12BB1" w:rsidRDefault="00A12BB1" w:rsidP="00A12BB1">
      <w:pPr>
        <w:spacing w:after="0" w:line="240" w:lineRule="auto"/>
        <w:ind w:left="709" w:right="618"/>
        <w:jc w:val="both"/>
        <w:rPr>
          <w:rFonts w:ascii="Verdana" w:hAnsi="Verdana"/>
          <w:sz w:val="20"/>
          <w:szCs w:val="20"/>
        </w:rPr>
      </w:pPr>
      <w:r w:rsidRPr="00A12BB1">
        <w:rPr>
          <w:rFonts w:ascii="Verdana" w:hAnsi="Verdana"/>
          <w:sz w:val="20"/>
          <w:szCs w:val="20"/>
        </w:rPr>
        <w:t xml:space="preserve">3. La viabilidad de su aplicación en la contratación de operadores catastrales por parte de un gestor catastral. </w:t>
      </w:r>
    </w:p>
    <w:p w14:paraId="51E9E259" w14:textId="77777777" w:rsidR="00A12BB1" w:rsidRPr="00A12BB1" w:rsidRDefault="00A12BB1" w:rsidP="00A12BB1">
      <w:pPr>
        <w:spacing w:after="0" w:line="240" w:lineRule="auto"/>
        <w:ind w:left="709" w:right="618"/>
        <w:jc w:val="both"/>
        <w:rPr>
          <w:rFonts w:ascii="Verdana" w:hAnsi="Verdana"/>
          <w:sz w:val="20"/>
          <w:szCs w:val="20"/>
        </w:rPr>
      </w:pPr>
    </w:p>
    <w:p w14:paraId="149D3FFC" w14:textId="77777777" w:rsidR="00A12BB1" w:rsidRPr="00A12BB1" w:rsidRDefault="00A12BB1" w:rsidP="00A12BB1">
      <w:pPr>
        <w:spacing w:after="0" w:line="240" w:lineRule="auto"/>
        <w:ind w:left="709" w:right="618"/>
        <w:jc w:val="both"/>
        <w:rPr>
          <w:rFonts w:ascii="Verdana" w:hAnsi="Verdana"/>
          <w:sz w:val="20"/>
          <w:szCs w:val="20"/>
        </w:rPr>
      </w:pPr>
      <w:r w:rsidRPr="00A12BB1">
        <w:rPr>
          <w:rFonts w:ascii="Verdana" w:hAnsi="Verdana"/>
          <w:sz w:val="20"/>
          <w:szCs w:val="20"/>
        </w:rPr>
        <w:t>4. Los beneficios y desventajas que esta figura podría representar para las entidades estatales.</w:t>
      </w:r>
      <w:r w:rsidRPr="00A12BB1">
        <w:rPr>
          <w:rFonts w:ascii="Verdana" w:hAnsi="Verdana"/>
          <w:i/>
          <w:sz w:val="20"/>
          <w:szCs w:val="20"/>
        </w:rPr>
        <w:t>”</w:t>
      </w:r>
    </w:p>
    <w:p w14:paraId="6FAC5D3E" w14:textId="77777777" w:rsidR="00A12BB1" w:rsidRPr="00A12BB1" w:rsidRDefault="00A12BB1" w:rsidP="00A12BB1">
      <w:pPr>
        <w:spacing w:after="0" w:line="276" w:lineRule="auto"/>
        <w:ind w:left="709" w:right="618"/>
        <w:jc w:val="both"/>
        <w:rPr>
          <w:rFonts w:ascii="Verdana" w:eastAsia="Calibri" w:hAnsi="Verdana" w:cs="Arial"/>
          <w:i/>
          <w:iCs/>
          <w:lang w:eastAsia="es-ES"/>
        </w:rPr>
      </w:pPr>
    </w:p>
    <w:p w14:paraId="4282044A" w14:textId="77777777" w:rsidR="00A12BB1" w:rsidRPr="00A12BB1" w:rsidRDefault="00A12BB1" w:rsidP="00A12BB1">
      <w:pPr>
        <w:spacing w:after="120" w:line="276" w:lineRule="auto"/>
        <w:ind w:firstLine="709"/>
        <w:jc w:val="both"/>
        <w:rPr>
          <w:rFonts w:ascii="Verdana" w:eastAsia="Calibri" w:hAnsi="Verdana" w:cs="Arial"/>
          <w:color w:val="000000"/>
          <w:lang w:eastAsia="es-ES"/>
        </w:rPr>
      </w:pPr>
      <w:r w:rsidRPr="00A12BB1">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12BB1">
        <w:rPr>
          <w:rFonts w:ascii="Verdana" w:eastAsia="Calibri" w:hAnsi="Verdana" w:cs="Arial"/>
          <w:color w:val="000000"/>
          <w:szCs w:val="24"/>
          <w:lang w:eastAsia="es-ES_tradnl"/>
        </w:rPr>
        <w:tab/>
      </w:r>
    </w:p>
    <w:p w14:paraId="10EB72F6" w14:textId="77777777" w:rsidR="00A12BB1" w:rsidRPr="00A12BB1" w:rsidRDefault="00A12BB1" w:rsidP="00A12BB1">
      <w:pPr>
        <w:spacing w:after="0" w:line="276" w:lineRule="auto"/>
        <w:ind w:firstLine="709"/>
        <w:jc w:val="both"/>
        <w:rPr>
          <w:rFonts w:ascii="Verdana" w:eastAsia="Calibri" w:hAnsi="Verdana" w:cs="Arial"/>
          <w:color w:val="000000"/>
          <w:lang w:eastAsia="es-ES"/>
        </w:rPr>
      </w:pPr>
      <w:r w:rsidRPr="00A12BB1">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A12BB1">
        <w:rPr>
          <w:rFonts w:ascii="Verdana" w:eastAsia="Calibri" w:hAnsi="Verdana" w:cs="Arial"/>
          <w:color w:val="7030A0"/>
          <w:lang w:eastAsia="es-ES"/>
        </w:rPr>
        <w:t xml:space="preserve"> </w:t>
      </w:r>
      <w:r w:rsidRPr="00A12BB1">
        <w:rPr>
          <w:rFonts w:ascii="Verdana" w:eastAsia="Calibri" w:hAnsi="Verdana" w:cs="Arial"/>
          <w:color w:val="000000"/>
          <w:lang w:eastAsia="es-ES"/>
        </w:rPr>
        <w:t>problemas</w:t>
      </w:r>
      <w:r w:rsidRPr="00A12BB1">
        <w:rPr>
          <w:rFonts w:ascii="Verdana" w:eastAsia="Calibri" w:hAnsi="Verdana" w:cs="Arial"/>
          <w:color w:val="7030A0"/>
          <w:lang w:eastAsia="es-ES"/>
        </w:rPr>
        <w:t xml:space="preserve"> </w:t>
      </w:r>
      <w:r w:rsidRPr="00A12BB1">
        <w:rPr>
          <w:rFonts w:ascii="Verdana" w:eastAsia="Calibri" w:hAnsi="Verdana" w:cs="Arial"/>
          <w:color w:val="000000"/>
          <w:lang w:eastAsia="es-ES"/>
        </w:rPr>
        <w:t>jurídicos</w:t>
      </w:r>
      <w:r w:rsidRPr="00A12BB1">
        <w:rPr>
          <w:rFonts w:ascii="Verdana" w:eastAsia="Calibri" w:hAnsi="Verdana" w:cs="Arial"/>
          <w:color w:val="7030A0"/>
          <w:lang w:eastAsia="es-ES"/>
        </w:rPr>
        <w:t xml:space="preserve"> </w:t>
      </w:r>
      <w:r w:rsidRPr="00A12BB1">
        <w:rPr>
          <w:rFonts w:ascii="Verdana" w:eastAsia="Calibri" w:hAnsi="Verdana" w:cs="Arial"/>
          <w:color w:val="000000"/>
          <w:lang w:eastAsia="es-ES"/>
        </w:rPr>
        <w:t xml:space="preserve">de su consulta. </w:t>
      </w:r>
    </w:p>
    <w:p w14:paraId="33A6064F" w14:textId="77777777" w:rsidR="00A12BB1" w:rsidRPr="00A12BB1" w:rsidRDefault="00A12BB1" w:rsidP="00A12BB1">
      <w:pPr>
        <w:spacing w:after="0" w:line="276" w:lineRule="auto"/>
        <w:ind w:firstLine="709"/>
        <w:jc w:val="both"/>
        <w:rPr>
          <w:rFonts w:ascii="Verdana" w:eastAsia="Calibri" w:hAnsi="Verdana" w:cs="Arial"/>
          <w:color w:val="000000"/>
          <w:lang w:eastAsia="es-ES"/>
        </w:rPr>
      </w:pPr>
    </w:p>
    <w:p w14:paraId="034CCE5C" w14:textId="77777777" w:rsidR="00A12BB1" w:rsidRPr="00A12BB1" w:rsidRDefault="00A12BB1" w:rsidP="00A12BB1">
      <w:pPr>
        <w:numPr>
          <w:ilvl w:val="0"/>
          <w:numId w:val="1"/>
        </w:numPr>
        <w:tabs>
          <w:tab w:val="left" w:pos="142"/>
          <w:tab w:val="left" w:pos="284"/>
        </w:tabs>
        <w:spacing w:after="0" w:line="276" w:lineRule="auto"/>
        <w:jc w:val="both"/>
        <w:rPr>
          <w:rFonts w:ascii="Verdana" w:eastAsia="Century Gothic" w:hAnsi="Verdana" w:cs="Century Gothic"/>
          <w:b/>
          <w:bCs/>
        </w:rPr>
      </w:pPr>
      <w:r w:rsidRPr="00A12BB1">
        <w:rPr>
          <w:rFonts w:ascii="Verdana" w:eastAsia="Century Gothic" w:hAnsi="Verdana" w:cs="Century Gothic"/>
          <w:b/>
          <w:bCs/>
        </w:rPr>
        <w:t>Problemas planteados:</w:t>
      </w:r>
    </w:p>
    <w:p w14:paraId="349541BD" w14:textId="77777777" w:rsidR="00A12BB1" w:rsidRPr="00A12BB1" w:rsidRDefault="00A12BB1" w:rsidP="00A12BB1">
      <w:pPr>
        <w:tabs>
          <w:tab w:val="left" w:pos="426"/>
        </w:tabs>
        <w:spacing w:after="0" w:line="276" w:lineRule="auto"/>
        <w:jc w:val="both"/>
        <w:rPr>
          <w:rFonts w:ascii="Verdana" w:eastAsia="Century Gothic" w:hAnsi="Verdana" w:cs="Century Gothic"/>
        </w:rPr>
      </w:pPr>
    </w:p>
    <w:p w14:paraId="5D07D0D8" w14:textId="77777777" w:rsidR="00A12BB1" w:rsidRPr="00A12BB1" w:rsidRDefault="00A12BB1" w:rsidP="00A12BB1">
      <w:pPr>
        <w:spacing w:after="0" w:line="276" w:lineRule="auto"/>
        <w:jc w:val="both"/>
        <w:rPr>
          <w:rFonts w:ascii="Verdana" w:eastAsia="Century Gothic" w:hAnsi="Verdana" w:cs="Century Gothic"/>
        </w:rPr>
      </w:pPr>
      <w:r w:rsidRPr="00A12BB1">
        <w:rPr>
          <w:rFonts w:ascii="Verdana" w:eastAsia="Century Gothic" w:hAnsi="Verdana" w:cs="Century Gothic"/>
        </w:rPr>
        <w:t xml:space="preserve">De acuerdo con el contenido de su solicitud, esta Agencia resolverá el siguiente problema jurídico: i) “¿Cuál es el marco jurídico de las Alianzas Estratégicas con Riesgo Separado en materia de contratación estatal?” y </w:t>
      </w:r>
      <w:proofErr w:type="spellStart"/>
      <w:r w:rsidRPr="00A12BB1">
        <w:rPr>
          <w:rFonts w:ascii="Verdana" w:eastAsia="Century Gothic" w:hAnsi="Verdana" w:cs="Century Gothic"/>
        </w:rPr>
        <w:t>ii</w:t>
      </w:r>
      <w:proofErr w:type="spellEnd"/>
      <w:r w:rsidRPr="00A12BB1">
        <w:rPr>
          <w:rFonts w:ascii="Verdana" w:eastAsia="Century Gothic" w:hAnsi="Verdana" w:cs="Century Gothic"/>
        </w:rPr>
        <w:t>) ¿Pueden celebrarse Alianzas Estratégicas con Riesgo Separado en la contratación de operadores catastrales?”</w:t>
      </w:r>
    </w:p>
    <w:p w14:paraId="0FE3CF81" w14:textId="77777777" w:rsidR="00A12BB1" w:rsidRPr="00A12BB1" w:rsidRDefault="00A12BB1" w:rsidP="00A12BB1">
      <w:pPr>
        <w:spacing w:after="0" w:line="276" w:lineRule="auto"/>
        <w:jc w:val="both"/>
        <w:rPr>
          <w:rFonts w:ascii="Verdana" w:eastAsia="Century Gothic" w:hAnsi="Verdana" w:cs="Century Gothic"/>
        </w:rPr>
      </w:pPr>
    </w:p>
    <w:p w14:paraId="319C43F5" w14:textId="77777777" w:rsidR="00A12BB1" w:rsidRPr="00A12BB1" w:rsidRDefault="00A12BB1" w:rsidP="00A12BB1">
      <w:pPr>
        <w:numPr>
          <w:ilvl w:val="0"/>
          <w:numId w:val="1"/>
        </w:numPr>
        <w:tabs>
          <w:tab w:val="left" w:pos="142"/>
          <w:tab w:val="left" w:pos="284"/>
        </w:tabs>
        <w:spacing w:after="0" w:line="276" w:lineRule="auto"/>
        <w:jc w:val="both"/>
        <w:rPr>
          <w:rFonts w:ascii="Verdana" w:eastAsia="Century Gothic" w:hAnsi="Verdana" w:cs="Century Gothic"/>
          <w:b/>
          <w:bCs/>
        </w:rPr>
      </w:pPr>
      <w:r w:rsidRPr="00A12BB1">
        <w:rPr>
          <w:rFonts w:ascii="Verdana" w:eastAsia="Century Gothic" w:hAnsi="Verdana" w:cs="Century Gothic"/>
          <w:b/>
          <w:bCs/>
        </w:rPr>
        <w:lastRenderedPageBreak/>
        <w:t>Respuestas:</w:t>
      </w:r>
    </w:p>
    <w:p w14:paraId="52E7DB67" w14:textId="77777777" w:rsidR="00A12BB1" w:rsidRPr="00A12BB1" w:rsidRDefault="00A12BB1" w:rsidP="00A12BB1">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12BB1" w:rsidRPr="00A12BB1" w14:paraId="0F57B8E5" w14:textId="77777777" w:rsidTr="00FD19D1">
        <w:trPr>
          <w:trHeight w:val="693"/>
          <w:jc w:val="center"/>
        </w:trPr>
        <w:tc>
          <w:tcPr>
            <w:tcW w:w="8828" w:type="dxa"/>
            <w:shd w:val="clear" w:color="auto" w:fill="auto"/>
          </w:tcPr>
          <w:p w14:paraId="23D8F09C" w14:textId="77777777" w:rsidR="00A12BB1" w:rsidRPr="00A12BB1" w:rsidRDefault="00A12BB1" w:rsidP="00A12BB1">
            <w:pPr>
              <w:spacing w:after="120" w:line="276" w:lineRule="auto"/>
              <w:jc w:val="both"/>
              <w:rPr>
                <w:rFonts w:ascii="Verdana" w:eastAsia="Calibri" w:hAnsi="Verdana" w:cs="Arial"/>
              </w:rPr>
            </w:pPr>
            <w:bookmarkStart w:id="2" w:name="_Hlk171694685"/>
            <w:r w:rsidRPr="00A12BB1">
              <w:rPr>
                <w:rFonts w:ascii="Verdana" w:eastAsia="Calibri" w:hAnsi="Verdana" w:cs="Arial"/>
              </w:rPr>
              <w:t xml:space="preserve">i. En el ordenamiento jurídico colombiano, no existe una definición legal expresa del concepto de </w:t>
            </w:r>
            <w:r w:rsidRPr="00A12BB1">
              <w:rPr>
                <w:rFonts w:ascii="Verdana" w:eastAsia="Calibri" w:hAnsi="Verdana" w:cs="Arial"/>
                <w:i/>
                <w:iCs/>
              </w:rPr>
              <w:t>alianza estratégica</w:t>
            </w:r>
            <w:r w:rsidRPr="00A12BB1">
              <w:rPr>
                <w:rFonts w:ascii="Verdana" w:eastAsia="Calibri" w:hAnsi="Verdana" w:cs="Arial"/>
              </w:rPr>
              <w:t xml:space="preserve">, lo que ha llevado a que su comprensión y aplicación se desarrollen principalmente a través de la doctrina y la práctica empresarial. Este término se utiliza de manera genérica y amplia al describir diversas formas de cooperación entre entidades que persiguen objetivos comunes mediante la articulación de esfuerzos, recursos y capacidades. Por tanto, la </w:t>
            </w:r>
            <w:r w:rsidRPr="00A12BB1">
              <w:rPr>
                <w:rFonts w:ascii="Verdana" w:eastAsia="Calibri" w:hAnsi="Verdana" w:cs="Arial"/>
                <w:i/>
                <w:iCs/>
              </w:rPr>
              <w:t>alianza estratégica</w:t>
            </w:r>
            <w:r w:rsidRPr="00A12BB1">
              <w:rPr>
                <w:rFonts w:ascii="Verdana" w:eastAsia="Calibri" w:hAnsi="Verdana" w:cs="Arial"/>
              </w:rPr>
              <w:t xml:space="preserve"> no tiene una acepción </w:t>
            </w:r>
            <w:proofErr w:type="gramStart"/>
            <w:r w:rsidRPr="00A12BB1">
              <w:rPr>
                <w:rFonts w:ascii="Verdana" w:eastAsia="Calibri" w:hAnsi="Verdana" w:cs="Arial"/>
              </w:rPr>
              <w:t>única</w:t>
            </w:r>
            <w:proofErr w:type="gramEnd"/>
            <w:r w:rsidRPr="00A12BB1">
              <w:rPr>
                <w:rFonts w:ascii="Verdana" w:eastAsia="Calibri" w:hAnsi="Verdana" w:cs="Arial"/>
              </w:rPr>
              <w:t xml:space="preserve"> sino que se presenta como una figura genérica cuya manifestación puede variar dependiendo de las necesidades del proyecto, la voluntad de las partes y el marco contractual que se adopte. </w:t>
            </w:r>
          </w:p>
          <w:p w14:paraId="5493639E" w14:textId="77777777" w:rsidR="00A12BB1" w:rsidRPr="00A12BB1" w:rsidRDefault="00A12BB1" w:rsidP="00A12BB1">
            <w:pPr>
              <w:spacing w:after="120" w:line="276" w:lineRule="auto"/>
              <w:ind w:firstLine="709"/>
              <w:jc w:val="both"/>
              <w:rPr>
                <w:rFonts w:ascii="Verdana" w:hAnsi="Verdana"/>
              </w:rPr>
            </w:pPr>
            <w:r w:rsidRPr="00A12BB1">
              <w:rPr>
                <w:rFonts w:ascii="Verdana" w:hAnsi="Verdana"/>
              </w:rPr>
              <w:t xml:space="preserve">En materia de contratación estatal, las </w:t>
            </w:r>
            <w:r w:rsidRPr="00A12BB1">
              <w:rPr>
                <w:rFonts w:ascii="Verdana" w:hAnsi="Verdana"/>
                <w:i/>
                <w:iCs/>
              </w:rPr>
              <w:t>alianzas estratégicas</w:t>
            </w:r>
            <w:r w:rsidRPr="00A12BB1">
              <w:rPr>
                <w:rFonts w:ascii="Verdana" w:hAnsi="Verdana"/>
              </w:rPr>
              <w:t xml:space="preserve"> se materializarse a través de figuras legalmente reconocidas como los consorcios y las uniones temporales. De igual forma, en virtud de la autonomía de la voluntad, las </w:t>
            </w:r>
            <w:r w:rsidRPr="00A12BB1">
              <w:rPr>
                <w:rFonts w:ascii="Verdana" w:hAnsi="Verdana"/>
                <w:i/>
                <w:iCs/>
              </w:rPr>
              <w:t>alianzas estratégicas</w:t>
            </w:r>
            <w:r w:rsidRPr="00A12BB1">
              <w:rPr>
                <w:rFonts w:ascii="Verdana" w:hAnsi="Verdana"/>
              </w:rPr>
              <w:t xml:space="preserve"> también pueden surgir en escenarios de contratos celebrados entre entidades estatales o entre estas y particulares, conforme a las modalidades y principios previstos en el Estatuto General de Contratación de la Administración Pública.</w:t>
            </w:r>
          </w:p>
          <w:p w14:paraId="35618129" w14:textId="77777777" w:rsidR="00A12BB1" w:rsidRPr="00A12BB1" w:rsidRDefault="00A12BB1" w:rsidP="00A12BB1">
            <w:pPr>
              <w:spacing w:after="120" w:line="276" w:lineRule="auto"/>
              <w:ind w:firstLine="709"/>
              <w:jc w:val="both"/>
              <w:rPr>
                <w:rFonts w:ascii="Verdana" w:eastAsia="Calibri" w:hAnsi="Verdana" w:cs="Arial"/>
              </w:rPr>
            </w:pPr>
            <w:r w:rsidRPr="00A12BB1">
              <w:rPr>
                <w:rFonts w:ascii="Verdana" w:eastAsia="Calibri" w:hAnsi="Verdana" w:cs="Arial"/>
              </w:rPr>
              <w:t xml:space="preserve">En este orden, la noción de </w:t>
            </w:r>
            <w:r w:rsidRPr="00A12BB1">
              <w:rPr>
                <w:rFonts w:ascii="Verdana" w:eastAsia="Calibri" w:hAnsi="Verdana" w:cs="Arial"/>
                <w:i/>
                <w:iCs/>
              </w:rPr>
              <w:t>alianza estratégica</w:t>
            </w:r>
            <w:r w:rsidRPr="00A12BB1">
              <w:rPr>
                <w:rFonts w:ascii="Verdana" w:eastAsia="Calibri" w:hAnsi="Verdana" w:cs="Arial"/>
              </w:rPr>
              <w:t xml:space="preserve"> no responde a una figura única o tipificada, sino que se concreta como una expresión de la autonomía de la voluntad, que se materializa a través de diversos instrumentos jurídicos, celebrados tanto entre entidades públicas, como entre estas y particulares, siempre que se orienten al cumplimiento de fines comunes que representen una ventaja o beneficio para ellas y se ajusten al marco legal aplicable. En el mismo sentido, el término de </w:t>
            </w:r>
            <w:r w:rsidRPr="00A12BB1">
              <w:rPr>
                <w:rFonts w:ascii="Verdana" w:eastAsia="Calibri" w:hAnsi="Verdana" w:cs="Arial"/>
                <w:i/>
                <w:iCs/>
              </w:rPr>
              <w:t>alianza estratégica con riesgos separado</w:t>
            </w:r>
            <w:r w:rsidRPr="00A12BB1">
              <w:rPr>
                <w:rFonts w:ascii="Verdana" w:eastAsia="Calibri" w:hAnsi="Verdana" w:cs="Arial"/>
              </w:rPr>
              <w:t xml:space="preserve"> tampoco encuentra una definición legal. No obstante, tal como lo sugiere su nombre, puede entenderse como una forma de asociación en la cual</w:t>
            </w:r>
            <w:r w:rsidRPr="00A12BB1">
              <w:rPr>
                <w:rFonts w:ascii="Verdana" w:eastAsia="Calibri" w:hAnsi="Verdana" w:cs="Arial"/>
                <w:i/>
                <w:iCs/>
              </w:rPr>
              <w:t xml:space="preserve"> </w:t>
            </w:r>
            <w:r w:rsidRPr="00A12BB1">
              <w:rPr>
                <w:rFonts w:ascii="Verdana" w:eastAsia="Calibri" w:hAnsi="Verdana" w:cs="Arial"/>
              </w:rPr>
              <w:t>cada una de las partes asume</w:t>
            </w:r>
            <w:r w:rsidRPr="00A12BB1">
              <w:rPr>
                <w:rFonts w:ascii="Verdana" w:eastAsia="Calibri" w:hAnsi="Verdana" w:cs="Arial"/>
                <w:i/>
                <w:iCs/>
              </w:rPr>
              <w:t xml:space="preserve"> </w:t>
            </w:r>
            <w:r w:rsidRPr="00A12BB1">
              <w:rPr>
                <w:rFonts w:ascii="Verdana" w:eastAsia="Calibri" w:hAnsi="Verdana" w:cs="Arial"/>
              </w:rPr>
              <w:t xml:space="preserve">los riesgos derivados de su propia participación en el proyecto, </w:t>
            </w:r>
            <w:r w:rsidRPr="00A12BB1">
              <w:t>l</w:t>
            </w:r>
            <w:r w:rsidRPr="00A12BB1">
              <w:rPr>
                <w:rFonts w:ascii="Verdana" w:eastAsia="Calibri" w:hAnsi="Verdana" w:cs="Arial"/>
              </w:rPr>
              <w:t xml:space="preserve">o que exige una delimitación clara y precisa de las obligaciones de cada parte. De cualquier manera, es importante indicar que en caso de que la entidad pública determine la viabilidad de su celebración y que se formalice mediante convenios o contratos en los que se involucran recursos públicos, su estructuración en relación con la administración y manejo de estos debe </w:t>
            </w:r>
            <w:r w:rsidRPr="00A12BB1">
              <w:rPr>
                <w:rFonts w:ascii="Verdana" w:eastAsia="Calibri" w:hAnsi="Verdana" w:cs="Arial"/>
              </w:rPr>
              <w:lastRenderedPageBreak/>
              <w:t xml:space="preserve">observar de manera rigurosa los principios y límites legales, garantizando que la asignación de riesgos no implique una afectación al interés general. </w:t>
            </w:r>
          </w:p>
          <w:p w14:paraId="78A4D6C9" w14:textId="77777777" w:rsidR="00A12BB1" w:rsidRPr="00A12BB1" w:rsidRDefault="00A12BB1" w:rsidP="00A12BB1">
            <w:pPr>
              <w:snapToGrid w:val="0"/>
              <w:spacing w:after="120" w:line="276" w:lineRule="auto"/>
              <w:jc w:val="both"/>
              <w:rPr>
                <w:rFonts w:ascii="Verdana" w:eastAsia="Calibri" w:hAnsi="Verdana" w:cs="Arial"/>
                <w:color w:val="000000"/>
                <w:lang w:val="es-MX"/>
              </w:rPr>
            </w:pPr>
            <w:proofErr w:type="spellStart"/>
            <w:r w:rsidRPr="00A12BB1">
              <w:rPr>
                <w:rFonts w:ascii="Verdana" w:eastAsia="Calibri" w:hAnsi="Verdana" w:cs="Arial"/>
              </w:rPr>
              <w:t>ii</w:t>
            </w:r>
            <w:proofErr w:type="spellEnd"/>
            <w:r w:rsidRPr="00A12BB1">
              <w:rPr>
                <w:rFonts w:ascii="Verdana" w:eastAsia="Calibri" w:hAnsi="Verdana" w:cs="Arial"/>
              </w:rPr>
              <w:t xml:space="preserve">. De conformidad con el artículo 79 </w:t>
            </w:r>
            <w:r w:rsidRPr="00A12BB1">
              <w:rPr>
                <w:rFonts w:ascii="Verdana" w:hAnsi="Verdana" w:cs="Arial"/>
                <w:color w:val="000000"/>
                <w:shd w:val="clear" w:color="auto" w:fill="FFFFFF"/>
              </w:rPr>
              <w:t>la Ley 1955 de 2019, modificado por el artículo 43 de la Ley 2294 de 2023, el Decreto 1170 de 2015 y la Resolución 1040 de 2023 expedida por el IGAC, e</w:t>
            </w:r>
            <w:r w:rsidRPr="00A12BB1">
              <w:rPr>
                <w:rFonts w:ascii="Verdana" w:eastAsia="Calibri" w:hAnsi="Verdana" w:cs="Arial"/>
                <w:color w:val="000000"/>
                <w:lang w:val="es-MX"/>
              </w:rPr>
              <w:t>l servicio público de gestión catastral cuenta con un régimen normativo específico y prevalente, el cual debe observarse estrictamente en los procesos de habilitación, contratación y operación de dicho servicio. Esta regulación especial delimita el marco dentro del cual deben actuar los operadores catastrales, incluyendo las condiciones técnicas, jurídicos y financieros que deben acreditar.</w:t>
            </w:r>
          </w:p>
          <w:p w14:paraId="66D0D581" w14:textId="77777777" w:rsidR="00A12BB1" w:rsidRPr="00A12BB1" w:rsidRDefault="00A12BB1" w:rsidP="00A12BB1">
            <w:pPr>
              <w:snapToGrid w:val="0"/>
              <w:spacing w:after="120" w:line="276" w:lineRule="auto"/>
              <w:ind w:firstLine="709"/>
              <w:jc w:val="both"/>
              <w:rPr>
                <w:rFonts w:ascii="Verdana" w:eastAsia="Calibri" w:hAnsi="Verdana" w:cs="Arial"/>
                <w:color w:val="000000"/>
                <w:lang w:val="es-MX"/>
              </w:rPr>
            </w:pPr>
            <w:r w:rsidRPr="00A12BB1">
              <w:rPr>
                <w:rFonts w:ascii="Verdana" w:eastAsia="Calibri" w:hAnsi="Verdana" w:cs="Arial"/>
                <w:color w:val="000000"/>
                <w:lang w:val="es-MX"/>
              </w:rPr>
              <w:t xml:space="preserve">En este contexto, no se advierte que la figura de </w:t>
            </w:r>
            <w:r w:rsidRPr="00A12BB1">
              <w:rPr>
                <w:rFonts w:ascii="Verdana" w:eastAsia="Calibri" w:hAnsi="Verdana" w:cs="Arial"/>
                <w:i/>
                <w:iCs/>
                <w:color w:val="000000"/>
                <w:lang w:val="es-MX"/>
              </w:rPr>
              <w:t>alianza estratégica con riesgo separado</w:t>
            </w:r>
            <w:r w:rsidRPr="00A12BB1">
              <w:rPr>
                <w:rFonts w:ascii="Verdana" w:eastAsia="Calibri" w:hAnsi="Verdana" w:cs="Arial"/>
                <w:color w:val="000000"/>
                <w:lang w:val="es-MX"/>
              </w:rPr>
              <w:t xml:space="preserve"> haya sido expresamente prevista ni reconocida dentro del marco jurídico aplicable a la gestión catastral. En consecuencia, su celebración en los términos señalados en este concepto no puede asumirse de forma automática en los procesos de contratación de operadores catastrales, sino que requiere un análisis en función de la normativa especial vigente. </w:t>
            </w:r>
          </w:p>
          <w:p w14:paraId="749B92B2" w14:textId="77777777" w:rsidR="00A12BB1" w:rsidRPr="00A12BB1" w:rsidRDefault="00A12BB1" w:rsidP="00A12BB1">
            <w:pPr>
              <w:spacing w:after="120" w:line="276" w:lineRule="auto"/>
              <w:ind w:firstLine="709"/>
              <w:jc w:val="both"/>
              <w:rPr>
                <w:rFonts w:ascii="Verdana" w:hAnsi="Verdana"/>
              </w:rPr>
            </w:pPr>
            <w:r w:rsidRPr="00A12BB1">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tbl>
    <w:p w14:paraId="335CD0FB" w14:textId="77777777" w:rsidR="00A12BB1" w:rsidRPr="00A12BB1" w:rsidRDefault="00A12BB1" w:rsidP="00A12BB1">
      <w:pPr>
        <w:tabs>
          <w:tab w:val="left" w:pos="142"/>
          <w:tab w:val="left" w:pos="284"/>
        </w:tabs>
        <w:spacing w:after="0" w:line="276" w:lineRule="auto"/>
        <w:jc w:val="both"/>
        <w:rPr>
          <w:rFonts w:ascii="Verdana" w:eastAsia="Century Gothic" w:hAnsi="Verdana" w:cs="Century Gothic"/>
          <w:b/>
          <w:bCs/>
        </w:rPr>
      </w:pPr>
    </w:p>
    <w:bookmarkEnd w:id="2"/>
    <w:p w14:paraId="0AC9F1F9" w14:textId="77777777" w:rsidR="00A12BB1" w:rsidRPr="00A12BB1" w:rsidRDefault="00A12BB1" w:rsidP="00A12BB1">
      <w:pPr>
        <w:numPr>
          <w:ilvl w:val="0"/>
          <w:numId w:val="1"/>
        </w:numPr>
        <w:tabs>
          <w:tab w:val="left" w:pos="142"/>
          <w:tab w:val="left" w:pos="284"/>
        </w:tabs>
        <w:spacing w:after="0" w:line="276" w:lineRule="auto"/>
        <w:jc w:val="both"/>
        <w:rPr>
          <w:rFonts w:ascii="Verdana" w:eastAsia="Century Gothic" w:hAnsi="Verdana" w:cs="Century Gothic"/>
          <w:b/>
          <w:bCs/>
        </w:rPr>
      </w:pPr>
      <w:r w:rsidRPr="00A12BB1">
        <w:rPr>
          <w:rFonts w:ascii="Verdana" w:eastAsia="Century Gothic" w:hAnsi="Verdana" w:cs="Century Gothic"/>
          <w:b/>
          <w:bCs/>
        </w:rPr>
        <w:t>Razones de las respuestas:</w:t>
      </w:r>
    </w:p>
    <w:p w14:paraId="00548732" w14:textId="77777777" w:rsidR="00A12BB1" w:rsidRPr="00A12BB1" w:rsidRDefault="00A12BB1" w:rsidP="00A12BB1">
      <w:pPr>
        <w:spacing w:after="0" w:line="276" w:lineRule="auto"/>
        <w:jc w:val="both"/>
        <w:rPr>
          <w:rFonts w:ascii="Verdana" w:eastAsia="Calibri" w:hAnsi="Verdana" w:cs="Arial"/>
          <w:color w:val="7030A0"/>
        </w:rPr>
      </w:pPr>
    </w:p>
    <w:p w14:paraId="45D3434F" w14:textId="77777777" w:rsidR="00A12BB1" w:rsidRPr="00A12BB1" w:rsidRDefault="00A12BB1" w:rsidP="00A12BB1">
      <w:pPr>
        <w:spacing w:after="0" w:line="276" w:lineRule="auto"/>
        <w:jc w:val="both"/>
        <w:rPr>
          <w:rFonts w:ascii="Verdana" w:eastAsia="Calibri" w:hAnsi="Verdana" w:cs="Arial"/>
        </w:rPr>
      </w:pPr>
      <w:r w:rsidRPr="00A12BB1">
        <w:rPr>
          <w:rFonts w:ascii="Verdana" w:eastAsia="Calibri" w:hAnsi="Verdana" w:cs="Arial"/>
        </w:rPr>
        <w:t>Lo anterior se sustenta en las siguientes consideraciones:</w:t>
      </w:r>
    </w:p>
    <w:p w14:paraId="54CA05BE" w14:textId="77777777" w:rsidR="00A12BB1" w:rsidRPr="00A12BB1" w:rsidRDefault="00A12BB1" w:rsidP="00A12BB1">
      <w:pPr>
        <w:spacing w:after="0" w:line="276" w:lineRule="auto"/>
        <w:jc w:val="both"/>
        <w:rPr>
          <w:rFonts w:ascii="Verdana" w:eastAsia="Calibri" w:hAnsi="Verdana" w:cs="Arial"/>
        </w:rPr>
      </w:pPr>
    </w:p>
    <w:p w14:paraId="654B1C4B" w14:textId="77777777" w:rsidR="00A12BB1" w:rsidRPr="00A12BB1" w:rsidRDefault="00A12BB1" w:rsidP="00A12BB1">
      <w:pPr>
        <w:spacing w:after="120" w:line="276" w:lineRule="auto"/>
        <w:jc w:val="both"/>
        <w:rPr>
          <w:rFonts w:ascii="Verdana" w:eastAsia="Calibri" w:hAnsi="Verdana" w:cs="Arial"/>
        </w:rPr>
      </w:pPr>
      <w:r w:rsidRPr="00A12BB1">
        <w:rPr>
          <w:rFonts w:ascii="Verdana" w:eastAsia="Calibri" w:hAnsi="Verdana" w:cs="Arial"/>
        </w:rPr>
        <w:t xml:space="preserve">i. En el ordenamiento jurídico colombiano, no existe una definición legal expresa del concepto de </w:t>
      </w:r>
      <w:r w:rsidRPr="00A12BB1">
        <w:rPr>
          <w:rFonts w:ascii="Verdana" w:eastAsia="Calibri" w:hAnsi="Verdana" w:cs="Arial"/>
          <w:i/>
          <w:iCs/>
        </w:rPr>
        <w:t>alianza estratégica</w:t>
      </w:r>
      <w:r w:rsidRPr="00A12BB1">
        <w:rPr>
          <w:rFonts w:ascii="Verdana" w:eastAsia="Calibri" w:hAnsi="Verdana" w:cs="Arial"/>
        </w:rPr>
        <w:t xml:space="preserve">, lo que ha llevado a que su comprensión y aplicación se desarrollen principalmente a través de la doctrina y la práctica empresarial. Este término se utiliza de manera genérica y amplia al describir </w:t>
      </w:r>
      <w:r w:rsidRPr="00A12BB1">
        <w:rPr>
          <w:rFonts w:ascii="Verdana" w:eastAsia="Calibri" w:hAnsi="Verdana" w:cs="Arial"/>
        </w:rPr>
        <w:lastRenderedPageBreak/>
        <w:t>diversas formas de cooperación entre entidades que persiguen objetivos comunes mediante la articulación de esfuerzos, recursos y capacidades</w:t>
      </w:r>
      <w:r w:rsidRPr="00A12BB1">
        <w:rPr>
          <w:rFonts w:ascii="Verdana" w:eastAsia="Calibri" w:hAnsi="Verdana" w:cs="Arial"/>
          <w:vertAlign w:val="superscript"/>
        </w:rPr>
        <w:footnoteReference w:id="2"/>
      </w:r>
      <w:r w:rsidRPr="00A12BB1">
        <w:rPr>
          <w:rFonts w:ascii="Verdana" w:eastAsia="Calibri" w:hAnsi="Verdana" w:cs="Arial"/>
        </w:rPr>
        <w:t xml:space="preserve">. Por tanto, la </w:t>
      </w:r>
      <w:r w:rsidRPr="00A12BB1">
        <w:rPr>
          <w:rFonts w:ascii="Verdana" w:eastAsia="Calibri" w:hAnsi="Verdana" w:cs="Arial"/>
          <w:i/>
          <w:iCs/>
        </w:rPr>
        <w:t>alianza estratégica</w:t>
      </w:r>
      <w:r w:rsidRPr="00A12BB1">
        <w:rPr>
          <w:rFonts w:ascii="Verdana" w:eastAsia="Calibri" w:hAnsi="Verdana" w:cs="Arial"/>
        </w:rPr>
        <w:t xml:space="preserve"> no tiene una acepción </w:t>
      </w:r>
      <w:proofErr w:type="gramStart"/>
      <w:r w:rsidRPr="00A12BB1">
        <w:rPr>
          <w:rFonts w:ascii="Verdana" w:eastAsia="Calibri" w:hAnsi="Verdana" w:cs="Arial"/>
        </w:rPr>
        <w:t>única</w:t>
      </w:r>
      <w:proofErr w:type="gramEnd"/>
      <w:r w:rsidRPr="00A12BB1">
        <w:rPr>
          <w:rFonts w:ascii="Verdana" w:eastAsia="Calibri" w:hAnsi="Verdana" w:cs="Arial"/>
        </w:rPr>
        <w:t xml:space="preserve"> sino que se presenta como una figura genérica cuya manifestación puede variar dependiendo de las necesidades del proyecto, la voluntad de las partes y el marco contractual que se adopte. </w:t>
      </w:r>
    </w:p>
    <w:p w14:paraId="0D895406" w14:textId="77777777" w:rsidR="00A12BB1" w:rsidRPr="00A12BB1" w:rsidRDefault="00A12BB1" w:rsidP="00A12BB1">
      <w:pPr>
        <w:spacing w:after="120" w:line="276" w:lineRule="auto"/>
        <w:ind w:firstLine="709"/>
        <w:jc w:val="both"/>
        <w:rPr>
          <w:rFonts w:ascii="Verdana" w:eastAsia="Calibri" w:hAnsi="Verdana" w:cs="Arial"/>
          <w:lang w:val="es-ES"/>
        </w:rPr>
      </w:pPr>
      <w:r w:rsidRPr="00A12BB1">
        <w:rPr>
          <w:rFonts w:ascii="Verdana" w:eastAsia="Calibri" w:hAnsi="Verdana" w:cs="Arial"/>
          <w:lang w:val="es-ES"/>
        </w:rPr>
        <w:t xml:space="preserve">En efecto, en la práctica empresarial la </w:t>
      </w:r>
      <w:r w:rsidRPr="00A12BB1">
        <w:rPr>
          <w:rFonts w:ascii="Verdana" w:eastAsia="Calibri" w:hAnsi="Verdana" w:cs="Arial"/>
          <w:i/>
          <w:iCs/>
          <w:lang w:val="es-ES"/>
        </w:rPr>
        <w:t>alianza estratégica</w:t>
      </w:r>
      <w:r w:rsidRPr="00A12BB1">
        <w:rPr>
          <w:rFonts w:ascii="Verdana" w:eastAsia="Calibri" w:hAnsi="Verdana" w:cs="Arial"/>
          <w:lang w:val="es-ES"/>
        </w:rPr>
        <w:t xml:space="preserve"> también se </w:t>
      </w:r>
      <w:proofErr w:type="gramStart"/>
      <w:r w:rsidRPr="00A12BB1">
        <w:rPr>
          <w:rFonts w:ascii="Verdana" w:eastAsia="Calibri" w:hAnsi="Verdana" w:cs="Arial"/>
          <w:lang w:val="es-ES"/>
        </w:rPr>
        <w:t>denomina como</w:t>
      </w:r>
      <w:proofErr w:type="gramEnd"/>
      <w:r w:rsidRPr="00A12BB1">
        <w:rPr>
          <w:rFonts w:ascii="Verdana" w:eastAsia="Calibri" w:hAnsi="Verdana" w:cs="Arial"/>
          <w:lang w:val="es-ES"/>
        </w:rPr>
        <w:t xml:space="preserve"> Acuerdo de Colaboración Empresarial -ACE. Al respecto, señala la doctrina que “</w:t>
      </w:r>
      <w:r w:rsidRPr="00A12BB1">
        <w:rPr>
          <w:rFonts w:ascii="Verdana" w:eastAsia="Calibri" w:hAnsi="Verdana" w:cs="Arial"/>
        </w:rPr>
        <w:t xml:space="preserve">En el caso colombiano, los ACE son conocidos también como acuerdos de participación empresarial, acuerdos de participación conjunta, contratos de emprendimiento  conjunto,  convenios  de  asociación  empresarial,  contrato  de asociación, </w:t>
      </w:r>
      <w:r w:rsidRPr="00A12BB1">
        <w:rPr>
          <w:rFonts w:ascii="Verdana" w:eastAsia="Calibri" w:hAnsi="Verdana" w:cs="Arial"/>
          <w:i/>
          <w:iCs/>
        </w:rPr>
        <w:t>acuerdo de alianza estratégica</w:t>
      </w:r>
      <w:r w:rsidRPr="00A12BB1">
        <w:rPr>
          <w:rFonts w:ascii="Verdana" w:eastAsia="Calibri" w:hAnsi="Verdana" w:cs="Arial"/>
        </w:rPr>
        <w:t xml:space="preserve">, acuerdo de marco estratégico o también pueden ser ampliamente conocidos no por el género sino por su especie, como los </w:t>
      </w:r>
      <w:proofErr w:type="spellStart"/>
      <w:r w:rsidRPr="00A12BB1">
        <w:rPr>
          <w:rFonts w:ascii="Verdana" w:eastAsia="Calibri" w:hAnsi="Verdana" w:cs="Arial"/>
        </w:rPr>
        <w:t>joint</w:t>
      </w:r>
      <w:proofErr w:type="spellEnd"/>
      <w:r w:rsidRPr="00A12BB1">
        <w:rPr>
          <w:rFonts w:ascii="Verdana" w:eastAsia="Calibri" w:hAnsi="Verdana" w:cs="Arial"/>
        </w:rPr>
        <w:t xml:space="preserve"> venture o contratos a riesgo compartido, los consorcios y las uniones temporales</w:t>
      </w:r>
      <w:r w:rsidRPr="00A12BB1">
        <w:rPr>
          <w:rFonts w:ascii="Verdana" w:eastAsia="Calibri" w:hAnsi="Verdana" w:cs="Arial"/>
          <w:vertAlign w:val="superscript"/>
        </w:rPr>
        <w:footnoteReference w:id="3"/>
      </w:r>
      <w:r w:rsidRPr="00A12BB1">
        <w:rPr>
          <w:rFonts w:ascii="Verdana" w:eastAsia="Calibri" w:hAnsi="Verdana" w:cs="Arial"/>
        </w:rPr>
        <w:t>”.</w:t>
      </w:r>
      <w:r w:rsidRPr="00A12BB1">
        <w:rPr>
          <w:rFonts w:ascii="Verdana" w:eastAsia="Calibri" w:hAnsi="Verdana" w:cs="Arial"/>
          <w:lang w:val="es-ES"/>
        </w:rPr>
        <w:t xml:space="preserve"> [Énfasis por fuera de texto]. </w:t>
      </w:r>
      <w:r w:rsidRPr="00A12BB1">
        <w:rPr>
          <w:rFonts w:ascii="Verdana" w:eastAsia="Calibri" w:hAnsi="Verdana" w:cs="Arial"/>
        </w:rPr>
        <w:t xml:space="preserve">En este sentido, con base en el derecho comparado, define </w:t>
      </w:r>
      <w:r w:rsidRPr="00A12BB1">
        <w:rPr>
          <w:rFonts w:ascii="Verdana" w:eastAsia="Calibri" w:hAnsi="Verdana" w:cs="Arial"/>
          <w:lang w:val="es-ES"/>
        </w:rPr>
        <w:t>la alianza estratégica como “La coalición formada por 2 o más personas en un mismo negocio o en un negocio complementario para obtener financiación de largo plazo, ventajas operacionales, de mercadeo sin comprometer su independencia competitiva</w:t>
      </w:r>
      <w:r w:rsidRPr="00A12BB1">
        <w:rPr>
          <w:rFonts w:ascii="Verdana" w:eastAsia="Calibri" w:hAnsi="Verdana" w:cs="Arial"/>
          <w:vertAlign w:val="superscript"/>
          <w:lang w:val="es-ES"/>
        </w:rPr>
        <w:footnoteReference w:id="4"/>
      </w:r>
      <w:r w:rsidRPr="00A12BB1">
        <w:rPr>
          <w:rFonts w:ascii="Verdana" w:eastAsia="Calibri" w:hAnsi="Verdana" w:cs="Arial"/>
          <w:lang w:val="es-ES"/>
        </w:rPr>
        <w:t xml:space="preserve">”. </w:t>
      </w:r>
    </w:p>
    <w:p w14:paraId="6869176F" w14:textId="77777777" w:rsidR="00A12BB1" w:rsidRPr="00A12BB1" w:rsidRDefault="00A12BB1" w:rsidP="00A12BB1">
      <w:pPr>
        <w:spacing w:after="120" w:line="276" w:lineRule="auto"/>
        <w:ind w:firstLine="709"/>
        <w:jc w:val="both"/>
      </w:pPr>
      <w:r w:rsidRPr="00A12BB1">
        <w:rPr>
          <w:rFonts w:ascii="Verdana" w:eastAsia="Calibri" w:hAnsi="Verdana" w:cs="Arial"/>
          <w:lang w:val="es-ES"/>
        </w:rPr>
        <w:t xml:space="preserve">En un concepto más puntual, la doctrina concibe a </w:t>
      </w:r>
      <w:r w:rsidRPr="00A12BB1">
        <w:rPr>
          <w:rFonts w:ascii="Verdana" w:hAnsi="Verdana"/>
        </w:rPr>
        <w:t>las alianzas estratégicas como “acuerdos de cooperación entre dos o más organizaciones en las cuales cada parte busca agregar a sus competencias los factores objeto de la cooperación, con una visión de largo plazo. Así, la unión de esfuerzos económicos o humanos de dos empresas, con un fin común a largo plazo, constituye una alianza estratégica”. En este sentido, señala que las alianzas estratégicas, como un género, se pueden manifestar de diferentes maneras:</w:t>
      </w:r>
      <w:r w:rsidRPr="00A12BB1">
        <w:t xml:space="preserve"> </w:t>
      </w:r>
    </w:p>
    <w:p w14:paraId="22B4F270" w14:textId="77777777" w:rsidR="00A12BB1" w:rsidRPr="00A12BB1" w:rsidRDefault="00A12BB1" w:rsidP="00A12BB1">
      <w:pPr>
        <w:spacing w:after="0" w:line="276" w:lineRule="auto"/>
        <w:ind w:firstLine="709"/>
        <w:jc w:val="both"/>
      </w:pPr>
    </w:p>
    <w:p w14:paraId="12C588DC" w14:textId="77777777" w:rsidR="00A12BB1" w:rsidRPr="00A12BB1" w:rsidRDefault="00A12BB1" w:rsidP="00A12BB1">
      <w:pPr>
        <w:spacing w:after="0" w:line="240" w:lineRule="auto"/>
        <w:ind w:left="851" w:right="758"/>
        <w:jc w:val="both"/>
        <w:rPr>
          <w:rFonts w:ascii="Verdana" w:hAnsi="Verdana"/>
          <w:sz w:val="20"/>
          <w:szCs w:val="20"/>
        </w:rPr>
      </w:pPr>
      <w:r w:rsidRPr="00A12BB1">
        <w:rPr>
          <w:rFonts w:ascii="Verdana" w:hAnsi="Verdana"/>
          <w:sz w:val="20"/>
          <w:szCs w:val="20"/>
        </w:rPr>
        <w:lastRenderedPageBreak/>
        <w:t xml:space="preserve">“«Alianza Estratégica [en estricto sentido]. Pacto formal en que los aliados pueden llegar a compartir, activos, experiencias, conocimiento. </w:t>
      </w:r>
    </w:p>
    <w:p w14:paraId="3F200F0D" w14:textId="77777777" w:rsidR="00A12BB1" w:rsidRPr="00A12BB1" w:rsidRDefault="00A12BB1" w:rsidP="00A12BB1">
      <w:pPr>
        <w:spacing w:after="0" w:line="240" w:lineRule="auto"/>
        <w:ind w:left="851" w:right="758"/>
        <w:jc w:val="both"/>
        <w:rPr>
          <w:rFonts w:ascii="Verdana" w:hAnsi="Verdana"/>
          <w:sz w:val="20"/>
          <w:szCs w:val="20"/>
        </w:rPr>
      </w:pPr>
    </w:p>
    <w:p w14:paraId="4BEE493A" w14:textId="77777777" w:rsidR="00A12BB1" w:rsidRPr="00A12BB1" w:rsidRDefault="00A12BB1" w:rsidP="00A12BB1">
      <w:pPr>
        <w:spacing w:after="0" w:line="240" w:lineRule="auto"/>
        <w:ind w:left="851" w:right="758"/>
        <w:jc w:val="both"/>
        <w:rPr>
          <w:rFonts w:ascii="Verdana" w:hAnsi="Verdana"/>
          <w:sz w:val="20"/>
          <w:szCs w:val="20"/>
        </w:rPr>
      </w:pPr>
      <w:r w:rsidRPr="00A12BB1">
        <w:rPr>
          <w:rFonts w:ascii="Verdana" w:hAnsi="Verdana"/>
          <w:sz w:val="20"/>
          <w:szCs w:val="20"/>
        </w:rPr>
        <w:t xml:space="preserve">«La Alianza vacía. La tercerización outsourcing [Se llama vacía a la alianza existente por </w:t>
      </w:r>
      <w:proofErr w:type="spellStart"/>
      <w:r w:rsidRPr="00A12BB1">
        <w:rPr>
          <w:rFonts w:ascii="Verdana" w:hAnsi="Verdana"/>
          <w:sz w:val="20"/>
          <w:szCs w:val="20"/>
        </w:rPr>
        <w:t>outosourcing</w:t>
      </w:r>
      <w:proofErr w:type="spellEnd"/>
      <w:r w:rsidRPr="00A12BB1">
        <w:rPr>
          <w:rFonts w:ascii="Verdana" w:hAnsi="Verdana"/>
          <w:sz w:val="20"/>
          <w:szCs w:val="20"/>
        </w:rPr>
        <w:t>, porque la empresa contratante se desentiende de la prestación de un servicio, para que este sea asumido por la empresa contratista (p. ej. los servicios de aseo de un edificio). La empresa contratista, a cambio del precio pactado contractualmente, tiene autonomía en la forma de prestación del servicio e independencia frente a la contratante]</w:t>
      </w:r>
    </w:p>
    <w:p w14:paraId="0F7C184E" w14:textId="77777777" w:rsidR="00A12BB1" w:rsidRPr="00A12BB1" w:rsidRDefault="00A12BB1" w:rsidP="00A12BB1">
      <w:pPr>
        <w:spacing w:after="0" w:line="240" w:lineRule="auto"/>
        <w:ind w:left="851" w:right="758"/>
        <w:jc w:val="both"/>
        <w:rPr>
          <w:rFonts w:ascii="Verdana" w:hAnsi="Verdana"/>
          <w:sz w:val="20"/>
          <w:szCs w:val="20"/>
        </w:rPr>
      </w:pPr>
    </w:p>
    <w:p w14:paraId="26BD20D5" w14:textId="77777777" w:rsidR="00A12BB1" w:rsidRPr="00A12BB1" w:rsidRDefault="00A12BB1" w:rsidP="00A12BB1">
      <w:pPr>
        <w:spacing w:after="0" w:line="240" w:lineRule="auto"/>
        <w:ind w:left="851" w:right="758"/>
        <w:jc w:val="both"/>
        <w:rPr>
          <w:rFonts w:ascii="Verdana" w:hAnsi="Verdana"/>
          <w:sz w:val="20"/>
          <w:szCs w:val="20"/>
        </w:rPr>
      </w:pPr>
      <w:r w:rsidRPr="00A12BB1">
        <w:rPr>
          <w:rFonts w:ascii="Verdana" w:hAnsi="Verdana"/>
          <w:sz w:val="20"/>
          <w:szCs w:val="20"/>
        </w:rPr>
        <w:t>«Alianza Estratégica temporal o Consorcio. Unión de varias instituciones individuales para lograr un objetivo específico. Por ejemplo, una licitación</w:t>
      </w:r>
      <w:r w:rsidRPr="00A12BB1">
        <w:rPr>
          <w:rFonts w:ascii="Verdana" w:hAnsi="Verdana"/>
          <w:sz w:val="20"/>
          <w:szCs w:val="20"/>
          <w:vertAlign w:val="superscript"/>
        </w:rPr>
        <w:footnoteReference w:id="5"/>
      </w:r>
      <w:r w:rsidRPr="00A12BB1">
        <w:rPr>
          <w:rFonts w:ascii="Verdana" w:hAnsi="Verdana"/>
          <w:sz w:val="20"/>
          <w:szCs w:val="20"/>
        </w:rPr>
        <w:t>”</w:t>
      </w:r>
    </w:p>
    <w:p w14:paraId="40A16392" w14:textId="77777777" w:rsidR="00A12BB1" w:rsidRPr="00A12BB1" w:rsidRDefault="00A12BB1" w:rsidP="00A12BB1">
      <w:pPr>
        <w:spacing w:after="0" w:line="276" w:lineRule="auto"/>
        <w:ind w:firstLine="709"/>
        <w:jc w:val="both"/>
      </w:pPr>
    </w:p>
    <w:p w14:paraId="0A75A9DD" w14:textId="77777777" w:rsidR="00A12BB1" w:rsidRPr="00A12BB1" w:rsidRDefault="00A12BB1" w:rsidP="00A12BB1">
      <w:pPr>
        <w:spacing w:after="120" w:line="276" w:lineRule="auto"/>
        <w:ind w:firstLine="709"/>
        <w:jc w:val="both"/>
        <w:rPr>
          <w:rFonts w:ascii="Verdana" w:hAnsi="Verdana"/>
        </w:rPr>
      </w:pPr>
      <w:r w:rsidRPr="00A12BB1">
        <w:rPr>
          <w:rFonts w:ascii="Verdana" w:hAnsi="Verdana"/>
        </w:rPr>
        <w:t xml:space="preserve">En el ámbito internacional, más precisamente en Ecuador, la </w:t>
      </w:r>
      <w:r w:rsidRPr="00A12BB1">
        <w:rPr>
          <w:rFonts w:ascii="Verdana" w:hAnsi="Verdana"/>
          <w:i/>
          <w:iCs/>
        </w:rPr>
        <w:t>alianza estratégica</w:t>
      </w:r>
      <w:r w:rsidRPr="00A12BB1">
        <w:rPr>
          <w:rFonts w:ascii="Verdana" w:hAnsi="Verdana"/>
        </w:rPr>
        <w:t xml:space="preserve"> se encuentra expresamente consagrada en los artículos 34, 35 y 36 de la Ley Orgánica de Empresas Públicas – LOEP que disponen que las empresas públicas tienen capacidad asociativa para el cumplimiento de sus fines y objetivos empresariales y en consecuencia para la celebración de los contratos que se requieran, para cuyo efecto podrán constituir cualquier tipo de asociación, </w:t>
      </w:r>
      <w:r w:rsidRPr="00A12BB1">
        <w:rPr>
          <w:rFonts w:ascii="Verdana" w:hAnsi="Verdana"/>
          <w:i/>
          <w:iCs/>
        </w:rPr>
        <w:t>alianzas estratégicas</w:t>
      </w:r>
      <w:r w:rsidRPr="00A12BB1">
        <w:rPr>
          <w:rFonts w:ascii="Verdana" w:hAnsi="Verdana"/>
        </w:rPr>
        <w:t>, sociedades de economía mixta con sectores públicos o privados en el ámbito nacional o internacional o del sector de la economía popular y solidaria, en el marco de las disposiciones del artículo 316 de la Constitución de la República. De este modo, se considera que “Las alianzas estratégicas, desde la óptica de los modelos de negocios internacionales, constituyen un tipo de asociación en el cual cada parte acuerda invertir recursos y capital en un nuevo negocio o, en su defecto, cooperar de forma mutuamente benéfica, a través de la división de ganancias y riesgos entre ellos</w:t>
      </w:r>
      <w:r w:rsidRPr="00A12BB1">
        <w:rPr>
          <w:rFonts w:ascii="Verdana" w:hAnsi="Verdana"/>
          <w:vertAlign w:val="superscript"/>
        </w:rPr>
        <w:footnoteReference w:id="6"/>
      </w:r>
      <w:r w:rsidRPr="00A12BB1">
        <w:rPr>
          <w:rFonts w:ascii="Verdana" w:hAnsi="Verdana"/>
        </w:rPr>
        <w:t>”.</w:t>
      </w:r>
    </w:p>
    <w:p w14:paraId="5F02443F" w14:textId="77777777" w:rsidR="00A12BB1" w:rsidRPr="00A12BB1" w:rsidRDefault="00A12BB1" w:rsidP="00A12BB1">
      <w:pPr>
        <w:spacing w:after="120" w:line="276" w:lineRule="auto"/>
        <w:ind w:firstLine="709"/>
        <w:jc w:val="both"/>
        <w:rPr>
          <w:rFonts w:ascii="Verdana" w:hAnsi="Verdana"/>
        </w:rPr>
      </w:pPr>
      <w:r w:rsidRPr="00A12BB1">
        <w:rPr>
          <w:rFonts w:ascii="Verdana" w:hAnsi="Verdana"/>
        </w:rPr>
        <w:t xml:space="preserve">Bajo este entendimiento, es posible colegir que cualquier acuerdo de cooperación o asociación celebrado entre dos o más entidades —sin distinción de su naturaleza pública o privada— que tenga por objeto la consecución de fines comunes mediante la articulación de esfuerzos, recursos y capacidades, y cuyo resultado represente un beneficio o ventaja recíproca para las partes, puede ser subsumido dentro del concepto amplio y genérico de </w:t>
      </w:r>
      <w:r w:rsidRPr="00A12BB1">
        <w:rPr>
          <w:rFonts w:ascii="Verdana" w:hAnsi="Verdana"/>
          <w:i/>
          <w:iCs/>
        </w:rPr>
        <w:t xml:space="preserve">alianza </w:t>
      </w:r>
      <w:r w:rsidRPr="00A12BB1">
        <w:rPr>
          <w:rFonts w:ascii="Verdana" w:hAnsi="Verdana"/>
          <w:i/>
          <w:iCs/>
        </w:rPr>
        <w:lastRenderedPageBreak/>
        <w:t>estratégica</w:t>
      </w:r>
      <w:r w:rsidRPr="00A12BB1">
        <w:rPr>
          <w:rFonts w:ascii="Verdana" w:hAnsi="Verdana"/>
          <w:b/>
          <w:bCs/>
          <w:i/>
          <w:iCs/>
        </w:rPr>
        <w:t>.</w:t>
      </w:r>
      <w:r w:rsidRPr="00A12BB1">
        <w:rPr>
          <w:rFonts w:ascii="Verdana" w:hAnsi="Verdana"/>
        </w:rPr>
        <w:t xml:space="preserve"> De este modo, las</w:t>
      </w:r>
      <w:r w:rsidRPr="00A12BB1">
        <w:rPr>
          <w:rFonts w:ascii="Verdana" w:hAnsi="Verdana"/>
          <w:i/>
          <w:iCs/>
        </w:rPr>
        <w:t xml:space="preserve"> alianzas estratégicas </w:t>
      </w:r>
      <w:r w:rsidRPr="00A12BB1">
        <w:rPr>
          <w:rFonts w:ascii="Verdana" w:hAnsi="Verdana"/>
        </w:rPr>
        <w:t xml:space="preserve">pueden configurarse tanto en el ámbito privado como en el público. </w:t>
      </w:r>
    </w:p>
    <w:p w14:paraId="7501113B" w14:textId="77777777" w:rsidR="00A12BB1" w:rsidRPr="00A12BB1" w:rsidRDefault="00A12BB1" w:rsidP="00A12BB1">
      <w:pPr>
        <w:spacing w:after="120" w:line="276" w:lineRule="auto"/>
        <w:ind w:firstLine="709"/>
        <w:jc w:val="both"/>
        <w:rPr>
          <w:rFonts w:ascii="Verdana" w:hAnsi="Verdana"/>
        </w:rPr>
      </w:pPr>
      <w:r w:rsidRPr="00A12BB1">
        <w:rPr>
          <w:rFonts w:ascii="Verdana" w:hAnsi="Verdana"/>
        </w:rPr>
        <w:t xml:space="preserve">En materia de contratación estatal, las </w:t>
      </w:r>
      <w:r w:rsidRPr="00A12BB1">
        <w:rPr>
          <w:rFonts w:ascii="Verdana" w:hAnsi="Verdana"/>
          <w:i/>
          <w:iCs/>
        </w:rPr>
        <w:t>alianzas estratégicas</w:t>
      </w:r>
      <w:r w:rsidRPr="00A12BB1">
        <w:rPr>
          <w:rFonts w:ascii="Verdana" w:hAnsi="Verdana"/>
        </w:rPr>
        <w:t xml:space="preserve"> se materializarse a través de figuras legalmente reconocidas como los consorcios y las uniones temporales. De igual forma, las alianzas estratégicas también pueden surgir en escenarios de contratos celebrados entre entidades estatales o entre estas y particulares, conforme a las modalidades y principios previstos en el Estatuto General de Contratación de la Administración Pública, en virtud de la autonomía de la voluntad.</w:t>
      </w:r>
    </w:p>
    <w:p w14:paraId="44FEF74C" w14:textId="77777777" w:rsidR="00A12BB1" w:rsidRPr="00A12BB1" w:rsidRDefault="00A12BB1" w:rsidP="00A12BB1">
      <w:pPr>
        <w:tabs>
          <w:tab w:val="left" w:pos="0"/>
        </w:tabs>
        <w:spacing w:after="120" w:line="276" w:lineRule="auto"/>
        <w:ind w:firstLine="709"/>
        <w:jc w:val="both"/>
        <w:rPr>
          <w:rFonts w:ascii="Verdana" w:hAnsi="Verdana"/>
          <w:bCs/>
          <w:lang w:val="es-ES_tradnl"/>
        </w:rPr>
      </w:pPr>
      <w:r w:rsidRPr="00A12BB1">
        <w:rPr>
          <w:rFonts w:ascii="Verdana" w:hAnsi="Verdana"/>
        </w:rPr>
        <w:t xml:space="preserve">En efecto, conforme lo establece el artículo </w:t>
      </w:r>
      <w:r w:rsidRPr="00A12BB1">
        <w:rPr>
          <w:rFonts w:ascii="Verdana" w:eastAsia="Calibri" w:hAnsi="Verdana" w:cs="Arial"/>
          <w:bCs/>
          <w:color w:val="000000"/>
          <w:szCs w:val="24"/>
          <w:lang w:val="es-ES_tradnl" w:eastAsia="es-ES_tradnl" w:bidi="es-ES"/>
        </w:rPr>
        <w:t>7 de la Ley 80 de 1993</w:t>
      </w:r>
      <w:r w:rsidRPr="00A12BB1">
        <w:rPr>
          <w:rFonts w:ascii="Verdana" w:hAnsi="Verdana"/>
        </w:rPr>
        <w:t xml:space="preserve"> </w:t>
      </w:r>
      <w:r w:rsidRPr="00A12BB1">
        <w:rPr>
          <w:rFonts w:ascii="Verdana" w:hAnsi="Verdana"/>
          <w:bCs/>
          <w:lang w:val="es-ES_tradnl"/>
        </w:rPr>
        <w:t>los consorcios y uniones temporales se definen como un número plural de interesados unidos para la presentación de una oferta en un procedimiento de selección, para la adjudicación, celebración y ejecución de un contrato</w:t>
      </w:r>
      <w:r w:rsidRPr="00A12BB1" w:rsidDel="00C8511F">
        <w:rPr>
          <w:rFonts w:ascii="Verdana" w:hAnsi="Verdana"/>
          <w:bCs/>
          <w:lang w:val="es-ES_tradnl"/>
        </w:rPr>
        <w:t xml:space="preserve"> </w:t>
      </w:r>
      <w:r w:rsidRPr="00A12BB1">
        <w:rPr>
          <w:rFonts w:ascii="Verdana" w:hAnsi="Verdana"/>
          <w:bCs/>
          <w:lang w:val="es-ES_tradnl"/>
        </w:rPr>
        <w:t>estatal</w:t>
      </w:r>
      <w:r w:rsidRPr="00A12BB1">
        <w:rPr>
          <w:rFonts w:ascii="Verdana" w:hAnsi="Verdana"/>
          <w:bCs/>
          <w:vertAlign w:val="superscript"/>
          <w:lang w:val="es-ES_tradnl"/>
        </w:rPr>
        <w:footnoteReference w:id="7"/>
      </w:r>
      <w:r w:rsidRPr="00A12BB1">
        <w:rPr>
          <w:rFonts w:ascii="Verdana" w:hAnsi="Verdana"/>
          <w:bCs/>
          <w:lang w:val="es-ES_tradnl"/>
        </w:rPr>
        <w:t>. De esta forma, los consorcios</w:t>
      </w:r>
      <w:r w:rsidRPr="00A12BB1">
        <w:rPr>
          <w:rFonts w:ascii="Verdana" w:hAnsi="Verdana"/>
          <w:bCs/>
          <w:vertAlign w:val="superscript"/>
          <w:lang w:val="es-ES_tradnl"/>
        </w:rPr>
        <w:footnoteReference w:id="8"/>
      </w:r>
      <w:r w:rsidRPr="00A12BB1">
        <w:rPr>
          <w:rFonts w:ascii="Verdana" w:hAnsi="Verdana"/>
          <w:bCs/>
          <w:lang w:val="es-ES_tradnl"/>
        </w:rPr>
        <w:t xml:space="preserve"> y uniones temporales son convenios de asociación provenientes de la colaboración empresarial, mediante los cuales sus integrantes se unen y organizan mancomunadamente para lograr con mayor eficacia un fin común de contenido patrimonial y lucrativo, como lo es la obtención del derecho a ser adjudicatarios de un contrato estatal. </w:t>
      </w:r>
      <w:r w:rsidRPr="00A12BB1">
        <w:rPr>
          <w:rFonts w:ascii="Verdana" w:eastAsia="Calibri" w:hAnsi="Verdana" w:cs="Arial"/>
          <w:bCs/>
          <w:color w:val="000000"/>
          <w:szCs w:val="24"/>
          <w:lang w:val="es-ES_tradnl" w:eastAsia="es-ES_tradnl" w:bidi="es-ES"/>
        </w:rPr>
        <w:t xml:space="preserve">La diferencia entre los consorcios y las uniones temporales radica en la responsabilidad frente a las eventuales sanciones que lleguen a generarse por el incumplimiento de las obligaciones del contrato, toda vez que, tratándose de una unión temporal, éstas se individualizan según el grado de participación de sus miembros, mientras que </w:t>
      </w:r>
      <w:r w:rsidRPr="00A12BB1">
        <w:rPr>
          <w:rFonts w:ascii="Verdana" w:eastAsia="Calibri" w:hAnsi="Verdana" w:cs="Arial"/>
          <w:bCs/>
          <w:color w:val="000000"/>
          <w:szCs w:val="24"/>
          <w:lang w:val="es-ES_tradnl" w:eastAsia="es-ES_tradnl" w:bidi="es-ES"/>
        </w:rPr>
        <w:lastRenderedPageBreak/>
        <w:t>en el consorcio dicha individualización no opera, ya que sus miembros responderán solidariamente frente a las sanciones que correspondan.</w:t>
      </w:r>
    </w:p>
    <w:p w14:paraId="046209FC" w14:textId="77777777" w:rsidR="00A12BB1" w:rsidRPr="00A12BB1" w:rsidRDefault="00A12BB1" w:rsidP="00A12BB1">
      <w:pPr>
        <w:tabs>
          <w:tab w:val="left" w:pos="0"/>
        </w:tabs>
        <w:spacing w:after="120" w:line="276" w:lineRule="auto"/>
        <w:ind w:firstLine="709"/>
        <w:jc w:val="both"/>
        <w:rPr>
          <w:rFonts w:ascii="Verdana" w:eastAsia="Calibri" w:hAnsi="Verdana" w:cs="Arial"/>
          <w:color w:val="000000"/>
          <w:lang w:eastAsia="es-ES" w:bidi="es-ES"/>
        </w:rPr>
      </w:pPr>
      <w:r w:rsidRPr="00A12BB1">
        <w:rPr>
          <w:rFonts w:ascii="Verdana" w:eastAsia="Calibri" w:hAnsi="Verdana" w:cs="Arial"/>
          <w:color w:val="000000"/>
          <w:lang w:val="es-ES" w:eastAsia="es-ES" w:bidi="es-ES"/>
        </w:rPr>
        <w:t xml:space="preserve">El acuerdo de voluntades que constituye el consorcio o unión temporal se reconoce doctrinalmente como contrato consorcial o de </w:t>
      </w:r>
      <w:proofErr w:type="spellStart"/>
      <w:proofErr w:type="gramStart"/>
      <w:r w:rsidRPr="00A12BB1">
        <w:rPr>
          <w:rFonts w:ascii="Verdana" w:eastAsia="Calibri" w:hAnsi="Verdana" w:cs="Arial"/>
          <w:i/>
          <w:iCs/>
          <w:color w:val="000000"/>
          <w:lang w:val="es-ES" w:eastAsia="es-ES" w:bidi="es-ES"/>
        </w:rPr>
        <w:t>joint</w:t>
      </w:r>
      <w:proofErr w:type="spellEnd"/>
      <w:r w:rsidRPr="00A12BB1">
        <w:rPr>
          <w:rFonts w:ascii="Verdana" w:eastAsia="Calibri" w:hAnsi="Verdana" w:cs="Arial"/>
          <w:i/>
          <w:iCs/>
          <w:color w:val="000000"/>
          <w:lang w:val="es-ES" w:eastAsia="es-ES" w:bidi="es-ES"/>
        </w:rPr>
        <w:t xml:space="preserve"> venture</w:t>
      </w:r>
      <w:proofErr w:type="gramEnd"/>
      <w:r w:rsidRPr="00A12BB1">
        <w:rPr>
          <w:rFonts w:ascii="Verdana" w:eastAsia="Calibri" w:hAnsi="Verdana" w:cs="Arial"/>
          <w:color w:val="000000"/>
          <w:lang w:val="es-ES" w:eastAsia="es-ES" w:bidi="es-ES"/>
        </w:rPr>
        <w:t>, que se constituye como un contrato principal, oneroso, conmutativo, bilateral o plurilateral</w:t>
      </w:r>
      <w:r w:rsidRPr="00A12BB1">
        <w:rPr>
          <w:rFonts w:ascii="Verdana" w:eastAsia="Calibri" w:hAnsi="Verdana" w:cs="Arial"/>
          <w:color w:val="000000"/>
          <w:vertAlign w:val="superscript"/>
          <w:lang w:val="es-ES" w:eastAsia="es-ES" w:bidi="es-ES"/>
        </w:rPr>
        <w:footnoteReference w:id="9"/>
      </w:r>
      <w:r w:rsidRPr="00A12BB1">
        <w:rPr>
          <w:rFonts w:ascii="Verdana" w:eastAsia="Calibri" w:hAnsi="Verdana" w:cs="Arial"/>
          <w:color w:val="000000"/>
          <w:lang w:val="es-ES" w:eastAsia="es-ES" w:bidi="es-ES"/>
        </w:rPr>
        <w:t xml:space="preserve">. El ente debidamente constituido, entonces, será un sujeto contractual con capacidad para contratar, para ejecutar las obligaciones y recibir los derechos que emanan del contrato y para interrelacionarse con la Entidad Estatal contratante en todo lo relacionado con el objeto del contrato y su desarrollo. En este sentido, la doctrina señala que </w:t>
      </w:r>
      <w:r w:rsidRPr="00A12BB1">
        <w:rPr>
          <w:rFonts w:ascii="Verdana" w:eastAsia="Calibri" w:hAnsi="Verdana" w:cs="Arial"/>
          <w:color w:val="000000"/>
          <w:lang w:eastAsia="es-ES" w:bidi="es-ES"/>
        </w:rPr>
        <w:t xml:space="preserve">una clase de alianza estratégica, de frecuente uso en nuestros días es </w:t>
      </w:r>
      <w:proofErr w:type="gramStart"/>
      <w:r w:rsidRPr="00A12BB1">
        <w:rPr>
          <w:rFonts w:ascii="Verdana" w:eastAsia="Calibri" w:hAnsi="Verdana" w:cs="Arial"/>
          <w:color w:val="000000"/>
          <w:lang w:eastAsia="es-ES" w:bidi="es-ES"/>
        </w:rPr>
        <w:t xml:space="preserve">el </w:t>
      </w:r>
      <w:proofErr w:type="spellStart"/>
      <w:r w:rsidRPr="00A12BB1">
        <w:rPr>
          <w:rFonts w:ascii="Verdana" w:eastAsia="Calibri" w:hAnsi="Verdana" w:cs="Arial"/>
          <w:i/>
          <w:iCs/>
          <w:color w:val="000000"/>
          <w:lang w:eastAsia="es-ES" w:bidi="es-ES"/>
        </w:rPr>
        <w:t>joint</w:t>
      </w:r>
      <w:proofErr w:type="spellEnd"/>
      <w:r w:rsidRPr="00A12BB1">
        <w:rPr>
          <w:rFonts w:ascii="Verdana" w:eastAsia="Calibri" w:hAnsi="Verdana" w:cs="Arial"/>
          <w:i/>
          <w:iCs/>
          <w:color w:val="000000"/>
          <w:lang w:eastAsia="es-ES" w:bidi="es-ES"/>
        </w:rPr>
        <w:t xml:space="preserve"> venture</w:t>
      </w:r>
      <w:proofErr w:type="gramEnd"/>
      <w:r w:rsidRPr="00A12BB1">
        <w:rPr>
          <w:rFonts w:ascii="Verdana" w:eastAsia="Calibri" w:hAnsi="Verdana" w:cs="Arial"/>
          <w:color w:val="000000"/>
          <w:lang w:eastAsia="es-ES" w:bidi="es-ES"/>
        </w:rPr>
        <w:t>, definida como “[…] una figura mediante la cual dos o más personas se unen para realizar una determinada empresa a riesgo compartido, aportando experiencia, bienes o conocimientos, para obtener un beneficio común […] Esa asociación es para una empresa determinada y no más, sin que entre ellos se conforme una sociedad […]</w:t>
      </w:r>
      <w:r w:rsidRPr="00A12BB1">
        <w:rPr>
          <w:rFonts w:ascii="Verdana" w:eastAsia="Calibri" w:hAnsi="Verdana" w:cs="Arial"/>
          <w:color w:val="000000"/>
          <w:vertAlign w:val="superscript"/>
          <w:lang w:eastAsia="es-ES" w:bidi="es-ES"/>
        </w:rPr>
        <w:footnoteReference w:id="10"/>
      </w:r>
      <w:r w:rsidRPr="00A12BB1">
        <w:rPr>
          <w:rFonts w:ascii="Verdana" w:eastAsia="Calibri" w:hAnsi="Verdana" w:cs="Arial"/>
          <w:color w:val="000000"/>
          <w:lang w:eastAsia="es-ES" w:bidi="es-ES"/>
        </w:rPr>
        <w:t>”.</w:t>
      </w:r>
    </w:p>
    <w:p w14:paraId="4025C730" w14:textId="77777777" w:rsidR="00A12BB1" w:rsidRPr="00A12BB1" w:rsidRDefault="00A12BB1" w:rsidP="00A12BB1">
      <w:pPr>
        <w:spacing w:after="120" w:line="276" w:lineRule="auto"/>
        <w:ind w:firstLine="709"/>
        <w:jc w:val="both"/>
        <w:rPr>
          <w:rFonts w:ascii="Verdana" w:hAnsi="Verdana"/>
        </w:rPr>
      </w:pPr>
      <w:r w:rsidRPr="00A12BB1">
        <w:rPr>
          <w:rFonts w:ascii="Verdana" w:eastAsia="Calibri" w:hAnsi="Verdana" w:cs="Arial"/>
          <w:lang w:val="es-ES"/>
        </w:rPr>
        <w:t xml:space="preserve">Por su parte, </w:t>
      </w:r>
      <w:r w:rsidRPr="00A12BB1">
        <w:rPr>
          <w:rFonts w:ascii="Verdana" w:eastAsia="Calibri" w:hAnsi="Verdana" w:cs="Times New Roman"/>
          <w:lang w:val="es-ES"/>
        </w:rPr>
        <w:t xml:space="preserve">en virtud del principio de autonomía de la voluntad de las partes, reconocido en los artículos 13, 32 y 40 de la Ley 80 de 1993, así como en el artículo 1602 del Código Civil, </w:t>
      </w:r>
      <w:r w:rsidRPr="00A12BB1">
        <w:rPr>
          <w:rFonts w:ascii="Verdana" w:eastAsia="Times New Roman" w:hAnsi="Verdana" w:cs="Arial"/>
          <w:color w:val="000000" w:themeColor="text1"/>
          <w:lang w:eastAsia="es-ES_tradnl"/>
        </w:rPr>
        <w:t xml:space="preserve">las </w:t>
      </w:r>
      <w:r w:rsidRPr="00A12BB1">
        <w:rPr>
          <w:rFonts w:ascii="Verdana" w:eastAsia="Calibri" w:hAnsi="Verdana" w:cs="Arial"/>
          <w:lang w:eastAsia="es-ES_tradnl"/>
        </w:rPr>
        <w:t xml:space="preserve">entidades estatales regidas por el EGCAP están habilitadas para celebrar negocios jurídicos nominados e innominados, </w:t>
      </w:r>
      <w:r w:rsidRPr="00A12BB1">
        <w:rPr>
          <w:rFonts w:ascii="Verdana" w:hAnsi="Verdana"/>
        </w:rPr>
        <w:t>siempre que se respeten los principios que rigen la función administrativa y que el objeto del acuerdo sea lícito</w:t>
      </w:r>
      <w:r w:rsidRPr="00A12BB1">
        <w:rPr>
          <w:rFonts w:ascii="Verdana" w:hAnsi="Verdana"/>
          <w:b/>
          <w:bCs/>
        </w:rPr>
        <w:t xml:space="preserve"> </w:t>
      </w:r>
      <w:r w:rsidRPr="00A12BB1">
        <w:rPr>
          <w:rFonts w:ascii="Verdana" w:hAnsi="Verdana"/>
        </w:rPr>
        <w:t>y no contraríe</w:t>
      </w:r>
      <w:r w:rsidRPr="00A12BB1">
        <w:t xml:space="preserve"> </w:t>
      </w:r>
      <w:r w:rsidRPr="00A12BB1">
        <w:rPr>
          <w:rFonts w:ascii="Verdana" w:hAnsi="Verdana"/>
        </w:rPr>
        <w:t xml:space="preserve">el orden público. </w:t>
      </w:r>
    </w:p>
    <w:p w14:paraId="04575096" w14:textId="77777777" w:rsidR="00A12BB1" w:rsidRPr="00A12BB1" w:rsidRDefault="00A12BB1" w:rsidP="00A12BB1">
      <w:pPr>
        <w:spacing w:after="120" w:line="276" w:lineRule="auto"/>
        <w:ind w:firstLine="709"/>
        <w:jc w:val="both"/>
        <w:rPr>
          <w:rFonts w:ascii="Verdana" w:eastAsia="Calibri" w:hAnsi="Verdana" w:cs="Arial"/>
        </w:rPr>
      </w:pPr>
      <w:r w:rsidRPr="00A12BB1">
        <w:rPr>
          <w:rFonts w:ascii="Verdana" w:eastAsia="Calibri" w:hAnsi="Verdana" w:cs="Arial"/>
        </w:rPr>
        <w:t xml:space="preserve">En este contexto, la figura de la </w:t>
      </w:r>
      <w:r w:rsidRPr="00A12BB1">
        <w:rPr>
          <w:rFonts w:ascii="Verdana" w:eastAsia="Calibri" w:hAnsi="Verdana" w:cs="Arial"/>
          <w:i/>
          <w:iCs/>
        </w:rPr>
        <w:t>alianza estratégica</w:t>
      </w:r>
      <w:r w:rsidRPr="00A12BB1">
        <w:rPr>
          <w:rFonts w:ascii="Verdana" w:eastAsia="Calibri" w:hAnsi="Verdana" w:cs="Arial"/>
        </w:rPr>
        <w:t xml:space="preserve">, aunque carece de una definición legal específica, como se explicó, es un término genérico que abarca acuerdos de cooperación, colaboración o coordinación que pueden adoptar diferentes formas contractuales, según la voluntad de las partes y las particularidades del proyecto. </w:t>
      </w:r>
      <w:r w:rsidRPr="00A12BB1">
        <w:rPr>
          <w:rFonts w:ascii="Verdana" w:hAnsi="Verdana" w:cs="Arial"/>
        </w:rPr>
        <w:t xml:space="preserve">Esto significa que las partes tienen amplia discrecionalidad para definir el objeto de la alianza, los aportes de cada uno, la distribución de beneficios, la asignación de riesgos y responsabilidades, entre otros aspectos. En la práctica, muchas alianzas estratégicas se materializan </w:t>
      </w:r>
      <w:r w:rsidRPr="00A12BB1">
        <w:rPr>
          <w:rFonts w:ascii="Verdana" w:hAnsi="Verdana" w:cs="Arial"/>
        </w:rPr>
        <w:lastRenderedPageBreak/>
        <w:t xml:space="preserve">mediante convenios, memorandos de entendimiento, convenios de asociación, entre otros. </w:t>
      </w:r>
    </w:p>
    <w:p w14:paraId="24BB3D4C" w14:textId="77777777" w:rsidR="00A12BB1" w:rsidRPr="00A12BB1" w:rsidRDefault="00A12BB1" w:rsidP="00A12BB1">
      <w:pPr>
        <w:spacing w:after="120" w:line="276" w:lineRule="auto"/>
        <w:ind w:firstLine="709"/>
        <w:jc w:val="both"/>
        <w:rPr>
          <w:rFonts w:ascii="Verdana" w:eastAsia="Calibri" w:hAnsi="Verdana" w:cs="Arial"/>
        </w:rPr>
      </w:pPr>
      <w:r w:rsidRPr="00A12BB1">
        <w:rPr>
          <w:rFonts w:ascii="Verdana" w:eastAsia="Calibri" w:hAnsi="Verdana" w:cs="Arial"/>
        </w:rPr>
        <w:t>Así, por ejemplo, mediante la Ley 2064 de 2020</w:t>
      </w:r>
      <w:r w:rsidRPr="00A12BB1">
        <w:rPr>
          <w:rFonts w:ascii="Work Sans" w:hAnsi="Work Sans"/>
          <w:b/>
          <w:bCs/>
          <w:color w:val="333333"/>
          <w:sz w:val="25"/>
          <w:szCs w:val="25"/>
          <w:shd w:val="clear" w:color="auto" w:fill="FFFFFF"/>
        </w:rPr>
        <w:t xml:space="preserve"> </w:t>
      </w:r>
      <w:r w:rsidRPr="00A12BB1">
        <w:rPr>
          <w:rFonts w:ascii="Verdana" w:eastAsia="Calibri" w:hAnsi="Verdana" w:cs="Arial"/>
        </w:rPr>
        <w:t xml:space="preserve">"Por medio de la cual se declara de interés general la estrategia para la inmunización de la población colombiana contra la COVID-19 y la lucha contra cualquier pandemia y se dictan otras disposiciones", se estableció en su artículo 2 que “El Gobierno Nacional podrá concertar </w:t>
      </w:r>
      <w:r w:rsidRPr="00A12BB1">
        <w:rPr>
          <w:rFonts w:ascii="Verdana" w:eastAsia="Calibri" w:hAnsi="Verdana" w:cs="Arial"/>
          <w:i/>
          <w:iCs/>
        </w:rPr>
        <w:t>alianzas estratégicas</w:t>
      </w:r>
      <w:r w:rsidRPr="00A12BB1">
        <w:rPr>
          <w:rFonts w:ascii="Verdana" w:eastAsia="Calibri" w:hAnsi="Verdana" w:cs="Arial"/>
        </w:rPr>
        <w:t xml:space="preserve"> prioritarias con organismos multilaterales y el sector privado, con el propósito de acopiar recursos científicos, financieros y logísticos, que le permitan al país dar una respuesta oportuna ante cualquier amenaza de epidemia o pandemia”. En este marco se expidió el Decreto 660 de 2020, modificado por el Decreto 740 de 2021, cuyo artículo 3 dispuso que “Las alianzas estratégicas prioritarias se formalizarán por la Unidad Nacional para la Gestión del Riesgo de Desastres-UNGRD por intermedio de convenios con personas jurídicas de derecho privado o personas jurídicas con participación pública que se rijan por el derecho privado”. De igual forma, el artículo 10 del Decreto 810 de 2020</w:t>
      </w:r>
      <w:r w:rsidRPr="00A12BB1">
        <w:rPr>
          <w:rFonts w:ascii="Verdana" w:eastAsia="Calibri" w:hAnsi="Verdana" w:cs="Arial"/>
          <w:vertAlign w:val="superscript"/>
        </w:rPr>
        <w:footnoteReference w:id="11"/>
      </w:r>
      <w:r w:rsidRPr="00A12BB1">
        <w:rPr>
          <w:rFonts w:ascii="Verdana" w:eastAsia="Calibri" w:hAnsi="Verdana" w:cs="Arial"/>
        </w:rPr>
        <w:t>, respecto de las alianzas estratégicas, estableció que el patrimonio autónomo podrá suscribir a través de su administradora y vocera, convenios, contratos con organismos, entidades públicas o privadas del orden nacional, regional o internacional, y demás entidades interesadas en finalidades del patrimonio autónomo, previa aprobación del consejo directivo.</w:t>
      </w:r>
    </w:p>
    <w:p w14:paraId="3E2B45EE" w14:textId="77777777" w:rsidR="00A12BB1" w:rsidRPr="00A12BB1" w:rsidRDefault="00A12BB1" w:rsidP="00A12BB1">
      <w:pPr>
        <w:spacing w:after="120" w:line="276" w:lineRule="auto"/>
        <w:ind w:firstLine="709"/>
        <w:jc w:val="both"/>
        <w:rPr>
          <w:rFonts w:ascii="Verdana" w:eastAsia="Calibri" w:hAnsi="Verdana" w:cs="Arial"/>
        </w:rPr>
      </w:pPr>
      <w:r w:rsidRPr="00A12BB1">
        <w:rPr>
          <w:rFonts w:ascii="Verdana" w:eastAsia="Calibri" w:hAnsi="Verdana" w:cs="Arial"/>
        </w:rPr>
        <w:t>Asimismo, la Ley 2234 de 2022 “Por la cual se promueve la Política de Emprendimiento Social” en el artículo 8 sobre alianzas estratégicas determinó que “El Gobierno Nacional, a través de Colombia Compra Eficiente, o quien haga sus veces, fomentarán en el orden nacional, departamental, distrital y municipal, la contratación y/o la celebración de convenios de asociación con las organizaciones sin ánimo de lucro que promuevan el emprendimiento social”.</w:t>
      </w:r>
    </w:p>
    <w:p w14:paraId="1D269394" w14:textId="77777777" w:rsidR="00A12BB1" w:rsidRPr="00A12BB1" w:rsidRDefault="00A12BB1" w:rsidP="00A12BB1">
      <w:pPr>
        <w:spacing w:after="120" w:line="276" w:lineRule="auto"/>
        <w:ind w:firstLine="709"/>
        <w:jc w:val="both"/>
        <w:rPr>
          <w:rFonts w:ascii="Verdana" w:eastAsia="Calibri" w:hAnsi="Verdana" w:cs="Arial"/>
        </w:rPr>
      </w:pPr>
      <w:r w:rsidRPr="00A12BB1">
        <w:rPr>
          <w:rFonts w:ascii="Verdana" w:eastAsia="Calibri" w:hAnsi="Verdana" w:cs="Arial"/>
        </w:rPr>
        <w:t xml:space="preserve">En este orden, la noción de </w:t>
      </w:r>
      <w:r w:rsidRPr="00A12BB1">
        <w:rPr>
          <w:rFonts w:ascii="Verdana" w:eastAsia="Calibri" w:hAnsi="Verdana" w:cs="Arial"/>
          <w:i/>
          <w:iCs/>
        </w:rPr>
        <w:t>alianza estratégica</w:t>
      </w:r>
      <w:r w:rsidRPr="00A12BB1">
        <w:rPr>
          <w:rFonts w:ascii="Verdana" w:eastAsia="Calibri" w:hAnsi="Verdana" w:cs="Arial"/>
        </w:rPr>
        <w:t xml:space="preserve"> no responde a una figura única o tipificada, sino que se concreta como una expresión de la autonomía de la voluntad, que se materializa a través de diversos instrumentos jurídicos, celebrados tanto entre entidades públicas, como entre estas y particulares, siempre que se orienten al cumplimiento de fines comunes que representen una ventaja o beneficio para ellas y se ajusten al marco legal aplicable. </w:t>
      </w:r>
    </w:p>
    <w:p w14:paraId="6BF85F9E" w14:textId="77777777" w:rsidR="00A12BB1" w:rsidRPr="00A12BB1" w:rsidRDefault="00A12BB1" w:rsidP="00A12BB1">
      <w:pPr>
        <w:spacing w:after="120" w:line="276" w:lineRule="auto"/>
        <w:ind w:firstLine="709"/>
        <w:jc w:val="both"/>
        <w:rPr>
          <w:rFonts w:ascii="Verdana" w:eastAsia="Calibri" w:hAnsi="Verdana" w:cs="Arial"/>
        </w:rPr>
      </w:pPr>
      <w:r w:rsidRPr="00A12BB1">
        <w:rPr>
          <w:rFonts w:ascii="Verdana" w:eastAsia="Calibri" w:hAnsi="Verdana" w:cs="Arial"/>
        </w:rPr>
        <w:lastRenderedPageBreak/>
        <w:t xml:space="preserve">En el mismo sentido, el término de </w:t>
      </w:r>
      <w:r w:rsidRPr="00A12BB1">
        <w:rPr>
          <w:rFonts w:ascii="Verdana" w:eastAsia="Calibri" w:hAnsi="Verdana" w:cs="Arial"/>
          <w:i/>
          <w:iCs/>
        </w:rPr>
        <w:t>alianza estratégica con riesgos separado</w:t>
      </w:r>
      <w:r w:rsidRPr="00A12BB1">
        <w:rPr>
          <w:rFonts w:ascii="Verdana" w:eastAsia="Calibri" w:hAnsi="Verdana" w:cs="Arial"/>
        </w:rPr>
        <w:t xml:space="preserve"> tampoco encuentra una definición legal. No obstante, tal como lo sugiere su nombre, puede entenderse como una forma de asociación en la cual</w:t>
      </w:r>
      <w:r w:rsidRPr="00A12BB1">
        <w:rPr>
          <w:rFonts w:ascii="Verdana" w:eastAsia="Calibri" w:hAnsi="Verdana" w:cs="Arial"/>
          <w:i/>
          <w:iCs/>
        </w:rPr>
        <w:t xml:space="preserve"> </w:t>
      </w:r>
      <w:r w:rsidRPr="00A12BB1">
        <w:rPr>
          <w:rFonts w:ascii="Verdana" w:eastAsia="Calibri" w:hAnsi="Verdana" w:cs="Arial"/>
        </w:rPr>
        <w:t>cada una de las partes asume</w:t>
      </w:r>
      <w:r w:rsidRPr="00A12BB1">
        <w:rPr>
          <w:rFonts w:ascii="Verdana" w:eastAsia="Calibri" w:hAnsi="Verdana" w:cs="Arial"/>
          <w:i/>
          <w:iCs/>
        </w:rPr>
        <w:t xml:space="preserve"> </w:t>
      </w:r>
      <w:r w:rsidRPr="00A12BB1">
        <w:rPr>
          <w:rFonts w:ascii="Verdana" w:eastAsia="Calibri" w:hAnsi="Verdana" w:cs="Arial"/>
        </w:rPr>
        <w:t xml:space="preserve">los riesgos derivados de su propia participación en el proyecto, </w:t>
      </w:r>
      <w:r w:rsidRPr="00A12BB1">
        <w:t>l</w:t>
      </w:r>
      <w:r w:rsidRPr="00A12BB1">
        <w:rPr>
          <w:rFonts w:ascii="Verdana" w:eastAsia="Calibri" w:hAnsi="Verdana" w:cs="Arial"/>
        </w:rPr>
        <w:t xml:space="preserve">o que exige una delimitación clara y precisa de las obligaciones de cada parte. De cualquier manera, es importante indicar que en caso de que la entidad pública determine la viabilidad de su celebración y que se formalice mediante convenios o contratos en los que se involucran recursos públicos, su estructuración en relación con la administración y manejo de estos debe observar de manera rigurosa los principios y límites legales, garantizando que la asignación de riesgos no implique una afectación al interés general. </w:t>
      </w:r>
    </w:p>
    <w:p w14:paraId="32791BD9" w14:textId="77777777" w:rsidR="00A12BB1" w:rsidRPr="00A12BB1" w:rsidRDefault="00A12BB1" w:rsidP="00A12BB1">
      <w:pPr>
        <w:spacing w:line="276" w:lineRule="auto"/>
        <w:jc w:val="both"/>
        <w:rPr>
          <w:rFonts w:ascii="Verdana" w:hAnsi="Verdana" w:cs="Arial"/>
          <w:color w:val="000000"/>
          <w:shd w:val="clear" w:color="auto" w:fill="FFFFFF"/>
        </w:rPr>
      </w:pPr>
      <w:proofErr w:type="spellStart"/>
      <w:r w:rsidRPr="00A12BB1">
        <w:rPr>
          <w:rFonts w:ascii="Verdana" w:eastAsia="Calibri" w:hAnsi="Verdana" w:cs="Arial"/>
        </w:rPr>
        <w:t>ii</w:t>
      </w:r>
      <w:proofErr w:type="spellEnd"/>
      <w:r w:rsidRPr="00A12BB1">
        <w:rPr>
          <w:rFonts w:ascii="Verdana" w:eastAsia="Calibri" w:hAnsi="Verdana" w:cs="Arial"/>
        </w:rPr>
        <w:t xml:space="preserve">. Ahora bien, precisado lo anterior sobre la figura de </w:t>
      </w:r>
      <w:r w:rsidRPr="00A12BB1">
        <w:rPr>
          <w:rFonts w:ascii="Verdana" w:eastAsia="Calibri" w:hAnsi="Verdana" w:cs="Arial"/>
          <w:i/>
          <w:iCs/>
        </w:rPr>
        <w:t>alianzas estratégicas,</w:t>
      </w:r>
      <w:r w:rsidRPr="00A12BB1">
        <w:rPr>
          <w:rFonts w:ascii="Verdana" w:eastAsia="Calibri" w:hAnsi="Verdana" w:cs="Arial"/>
        </w:rPr>
        <w:t xml:space="preserve"> es pertinente señalar que conforme </w:t>
      </w:r>
      <w:r w:rsidRPr="00A12BB1">
        <w:rPr>
          <w:rFonts w:ascii="Verdana" w:hAnsi="Verdana" w:cs="Arial"/>
          <w:color w:val="000000"/>
          <w:shd w:val="clear" w:color="auto" w:fill="FFFFFF"/>
        </w:rPr>
        <w:t xml:space="preserve">con lo establecido en el artículo 79 de la Ley 1955 de 2019, modificado por el artículo 43 de la Ley 2294 de 2023, la gestión catastral es un servicio público prestado directamente por el Estado, que comprende un conjunto de operaciones técnicas y administrativas orientadas a la adecuada formación, actualización, conservación y difusión de la información catastral con enfoque multipropósito. </w:t>
      </w:r>
    </w:p>
    <w:p w14:paraId="6B2E1997" w14:textId="77777777" w:rsidR="00A12BB1" w:rsidRPr="00A12BB1" w:rsidRDefault="00A12BB1" w:rsidP="00A12BB1">
      <w:pPr>
        <w:spacing w:line="276" w:lineRule="auto"/>
        <w:ind w:firstLine="709"/>
        <w:jc w:val="both"/>
        <w:rPr>
          <w:rFonts w:ascii="Verdana" w:hAnsi="Verdana" w:cs="Arial"/>
          <w:color w:val="000000"/>
          <w:shd w:val="clear" w:color="auto" w:fill="FFFFFF"/>
        </w:rPr>
      </w:pPr>
      <w:r w:rsidRPr="00A12BB1">
        <w:rPr>
          <w:rFonts w:ascii="Verdana" w:hAnsi="Verdana" w:cs="Arial"/>
          <w:color w:val="000000"/>
          <w:shd w:val="clear" w:color="auto" w:fill="FFFFFF"/>
        </w:rPr>
        <w:t>De conformidad con la norma citada, la gestión catastral está a cargo del Instituto Geográfico Agustín Codazzi (IGAC) en su condición de máxima autoridad catastral nacional y de los entes territoriales y esquemas asociativos de entes territoriales que aquel habilite a solicitud de parte, previo cumplimiento de las condiciones que garanticen su idoneidad como prestadores del servicio público. Respecto de los operadores catastrales los define como las personas jurídicas de derecho público o privado que, mediante contrato con uno o varios gestores catastrales, pueden apoyar labores operativas que sirven de insumo para los procesos de formación, actualización y conservación de la información catastral.</w:t>
      </w:r>
    </w:p>
    <w:p w14:paraId="629893D0" w14:textId="77777777" w:rsidR="00A12BB1" w:rsidRPr="00A12BB1" w:rsidRDefault="00A12BB1" w:rsidP="00A12BB1">
      <w:pPr>
        <w:spacing w:after="120" w:line="276" w:lineRule="auto"/>
        <w:ind w:firstLine="709"/>
        <w:jc w:val="both"/>
        <w:rPr>
          <w:rFonts w:ascii="Verdana" w:hAnsi="Verdana" w:cs="Arial"/>
          <w:color w:val="000000"/>
          <w:shd w:val="clear" w:color="auto" w:fill="FFFFFF"/>
        </w:rPr>
      </w:pPr>
      <w:r w:rsidRPr="00A12BB1">
        <w:rPr>
          <w:rFonts w:ascii="Verdana" w:hAnsi="Verdana" w:cs="Arial"/>
          <w:color w:val="000000"/>
          <w:shd w:val="clear" w:color="auto" w:fill="FFFFFF"/>
        </w:rPr>
        <w:t xml:space="preserve">El Decreto 1170 de 2015, que compila los Decretos 1983 de 2019 y 148 de 2020, define el marco de las condiciones jurídicas, técnicas, económicas y financieras para habilitar a los gestores catastrales que efectuarán la gestión catastral, la forma de contratación de estos, la contratación de los operadores catastrales y regula aspectos como los principios de la gestión catastral, sus objetivos, sus intervinientes en el proceso, obligaciones generales de los gestores catastrales, los procesos de la gestión catastral, entre otros temas. </w:t>
      </w:r>
    </w:p>
    <w:p w14:paraId="126B8A60" w14:textId="77777777" w:rsidR="00A12BB1" w:rsidRPr="00A12BB1" w:rsidRDefault="00A12BB1" w:rsidP="00A12BB1">
      <w:pPr>
        <w:spacing w:after="120" w:line="276" w:lineRule="auto"/>
        <w:ind w:firstLine="709"/>
        <w:jc w:val="both"/>
        <w:rPr>
          <w:rFonts w:ascii="Verdana" w:hAnsi="Verdana" w:cs="Arial"/>
          <w:color w:val="000000"/>
        </w:rPr>
      </w:pPr>
      <w:r w:rsidRPr="00A12BB1">
        <w:rPr>
          <w:rFonts w:ascii="Verdana" w:hAnsi="Verdana" w:cs="Arial"/>
          <w:color w:val="000000"/>
          <w:shd w:val="clear" w:color="auto" w:fill="FFFFFF"/>
        </w:rPr>
        <w:lastRenderedPageBreak/>
        <w:t xml:space="preserve">Particularmente, frente a los operadores catastrales, </w:t>
      </w:r>
      <w:r w:rsidRPr="00A12BB1">
        <w:rPr>
          <w:rFonts w:ascii="Verdana" w:hAnsi="Verdana" w:cs="Arial"/>
          <w:color w:val="000000"/>
        </w:rPr>
        <w:t xml:space="preserve">el artículo 2.2.2.1.5 </w:t>
      </w:r>
      <w:r w:rsidRPr="00A12BB1">
        <w:rPr>
          <w:rFonts w:ascii="Verdana" w:hAnsi="Verdana" w:cs="Arial"/>
          <w:i/>
          <w:iCs/>
          <w:color w:val="000000"/>
        </w:rPr>
        <w:t>ibidem</w:t>
      </w:r>
      <w:r w:rsidRPr="00A12BB1">
        <w:rPr>
          <w:rFonts w:ascii="Verdana" w:hAnsi="Verdana" w:cs="Arial"/>
          <w:color w:val="000000"/>
        </w:rPr>
        <w:t xml:space="preserve">, define que estos son personas jurídicas, de derecho público o privado que, mediante contrato suscrito con uno o varios gestores catastrales, desarrollan labores operativas que sirven de insumo para adelantar los procesos de formación, actualización y conservación catastral, así como los procedimientos del enfoque catastral multipropósito que sean adoptados, conforme a la regulación que para el efecto expida el Gobierno Nacional. En este sentido, en concordancia con el artículo 79 de la Ley 1955 de 2019, son tres (3) elementos que los define: i) son personas jurídicas de derecho público o privado, </w:t>
      </w:r>
      <w:proofErr w:type="spellStart"/>
      <w:r w:rsidRPr="00A12BB1">
        <w:rPr>
          <w:rFonts w:ascii="Verdana" w:hAnsi="Verdana" w:cs="Arial"/>
          <w:color w:val="000000"/>
        </w:rPr>
        <w:t>ii</w:t>
      </w:r>
      <w:proofErr w:type="spellEnd"/>
      <w:r w:rsidRPr="00A12BB1">
        <w:rPr>
          <w:rFonts w:ascii="Verdana" w:hAnsi="Verdana" w:cs="Arial"/>
          <w:color w:val="000000"/>
        </w:rPr>
        <w:t xml:space="preserve">) los contratan los gestores catastrales y </w:t>
      </w:r>
      <w:proofErr w:type="spellStart"/>
      <w:r w:rsidRPr="00A12BB1">
        <w:rPr>
          <w:rFonts w:ascii="Verdana" w:hAnsi="Verdana" w:cs="Arial"/>
          <w:color w:val="000000"/>
        </w:rPr>
        <w:t>iii</w:t>
      </w:r>
      <w:proofErr w:type="spellEnd"/>
      <w:r w:rsidRPr="00A12BB1">
        <w:rPr>
          <w:rFonts w:ascii="Verdana" w:hAnsi="Verdana" w:cs="Arial"/>
          <w:color w:val="000000"/>
        </w:rPr>
        <w:t xml:space="preserve">) su función principal es apoyar labores operativas para el proceso de formación, actualización y conservación catastral. </w:t>
      </w:r>
    </w:p>
    <w:p w14:paraId="42A8495C" w14:textId="77777777" w:rsidR="00A12BB1" w:rsidRPr="00A12BB1" w:rsidRDefault="00A12BB1" w:rsidP="00A12BB1">
      <w:pPr>
        <w:spacing w:after="120" w:line="276" w:lineRule="auto"/>
        <w:ind w:firstLine="705"/>
        <w:jc w:val="both"/>
        <w:rPr>
          <w:rFonts w:ascii="Verdana" w:hAnsi="Verdana" w:cs="Arial"/>
          <w:color w:val="000000"/>
        </w:rPr>
      </w:pPr>
      <w:r w:rsidRPr="00A12BB1">
        <w:rPr>
          <w:rFonts w:ascii="Verdana" w:hAnsi="Verdana" w:cs="Arial"/>
          <w:color w:val="000000"/>
        </w:rPr>
        <w:t>Asimismo, el artículo 2.2.2.5.12. del Decreto 1170 de 2015 prevé que los gestores catastrales podrán contratar con los operadores catastrales siempre que cumplan con los requisitos establecidos en el artículo 2.2.2.5.11 ibidem. Además, es fundamental que en el contrato se identifique de manera clara el alcance de las obligaciones a cargo del operador catastral, las actividades, productos y subproductos, que deberán guardar relación directa con la prestación del servicio público de gestión catastral. De igual manera, la remuneración de los operadores catastrales contratados por los gestores catastrales deberá fundarse en un estudio de mercado que tenga un análisis de costo–beneficio</w:t>
      </w:r>
      <w:r w:rsidRPr="00A12BB1">
        <w:rPr>
          <w:rFonts w:ascii="Verdana" w:hAnsi="Verdana" w:cs="Arial"/>
          <w:color w:val="000000"/>
          <w:vertAlign w:val="superscript"/>
        </w:rPr>
        <w:footnoteReference w:id="12"/>
      </w:r>
      <w:r w:rsidRPr="00A12BB1">
        <w:rPr>
          <w:rFonts w:ascii="Verdana" w:hAnsi="Verdana" w:cs="Arial"/>
          <w:color w:val="000000"/>
        </w:rPr>
        <w:t xml:space="preserve">. </w:t>
      </w:r>
    </w:p>
    <w:p w14:paraId="4D132902" w14:textId="77777777" w:rsidR="00A12BB1" w:rsidRPr="00A12BB1" w:rsidRDefault="00A12BB1" w:rsidP="00A12BB1">
      <w:pPr>
        <w:spacing w:after="120" w:line="276" w:lineRule="auto"/>
        <w:ind w:firstLine="705"/>
        <w:jc w:val="both"/>
        <w:rPr>
          <w:rFonts w:ascii="Verdana" w:hAnsi="Verdana" w:cs="Arial"/>
          <w:color w:val="000000" w:themeColor="text1"/>
          <w:spacing w:val="2"/>
          <w:shd w:val="clear" w:color="auto" w:fill="FFFFFF"/>
        </w:rPr>
      </w:pPr>
      <w:r w:rsidRPr="00A12BB1">
        <w:rPr>
          <w:rFonts w:ascii="Verdana" w:hAnsi="Verdana" w:cs="Arial"/>
          <w:color w:val="000000" w:themeColor="text1"/>
        </w:rPr>
        <w:t>Bajo este marco normativo, el IGAC expidió la Resolución 1040 de 2023, modificada parcialmente por la Resolución 746 de 2024, que ti</w:t>
      </w:r>
      <w:r w:rsidRPr="00A12BB1">
        <w:rPr>
          <w:rFonts w:ascii="Verdana" w:hAnsi="Verdana" w:cs="Arial"/>
          <w:color w:val="000000" w:themeColor="text1"/>
          <w:spacing w:val="2"/>
          <w:shd w:val="clear" w:color="auto" w:fill="FFFFFF"/>
        </w:rPr>
        <w:t xml:space="preserve">ene por objeto establecer el régimen de la gestión catastral con enfoque multipropósito para la adopción del modelo de gestión y operación catastral, definir las condiciones </w:t>
      </w:r>
      <w:r w:rsidRPr="00A12BB1">
        <w:rPr>
          <w:rFonts w:ascii="Verdana" w:hAnsi="Verdana" w:cs="Arial"/>
          <w:color w:val="000000" w:themeColor="text1"/>
          <w:spacing w:val="2"/>
          <w:shd w:val="clear" w:color="auto" w:fill="FFFFFF"/>
        </w:rPr>
        <w:lastRenderedPageBreak/>
        <w:t xml:space="preserve">de habilitación y </w:t>
      </w:r>
      <w:proofErr w:type="spellStart"/>
      <w:r w:rsidRPr="00A12BB1">
        <w:rPr>
          <w:rFonts w:ascii="Verdana" w:hAnsi="Verdana" w:cs="Arial"/>
          <w:color w:val="000000" w:themeColor="text1"/>
          <w:spacing w:val="2"/>
          <w:shd w:val="clear" w:color="auto" w:fill="FFFFFF"/>
        </w:rPr>
        <w:t>deshabilitación</w:t>
      </w:r>
      <w:proofErr w:type="spellEnd"/>
      <w:r w:rsidRPr="00A12BB1">
        <w:rPr>
          <w:rFonts w:ascii="Verdana" w:hAnsi="Verdana" w:cs="Arial"/>
          <w:color w:val="000000" w:themeColor="text1"/>
          <w:spacing w:val="2"/>
          <w:shd w:val="clear" w:color="auto" w:fill="FFFFFF"/>
        </w:rPr>
        <w:t xml:space="preserve"> de gestores catastrales, regular los procesos de la gestión catastral, determinar las especificaciones técnicas de la base de datos, la adopción de la guía para la elaboración de planes de calidad en la formación y actualización catastral y conformar la Instancia Técnica Asesora para la Gestión Catastral. En su ámbito de aplicación determina que el régimen de gestión catastral establecido es de obligatorio cumplimiento para todos los gestores y operadores catastrales del país. </w:t>
      </w:r>
    </w:p>
    <w:p w14:paraId="731922B7" w14:textId="77777777" w:rsidR="00A12BB1" w:rsidRPr="00A12BB1" w:rsidRDefault="00A12BB1" w:rsidP="00A12BB1">
      <w:pPr>
        <w:snapToGrid w:val="0"/>
        <w:spacing w:after="120" w:line="276" w:lineRule="auto"/>
        <w:ind w:firstLine="709"/>
        <w:jc w:val="both"/>
        <w:rPr>
          <w:rFonts w:ascii="Verdana" w:eastAsia="Calibri" w:hAnsi="Verdana" w:cs="Arial"/>
          <w:color w:val="000000"/>
          <w:shd w:val="clear" w:color="auto" w:fill="FFFFFF"/>
          <w:lang w:val="es-MX"/>
        </w:rPr>
      </w:pPr>
      <w:r w:rsidRPr="00A12BB1">
        <w:rPr>
          <w:rFonts w:ascii="Verdana" w:hAnsi="Verdana" w:cs="Arial"/>
          <w:color w:val="000000" w:themeColor="text1"/>
          <w:spacing w:val="2"/>
          <w:shd w:val="clear" w:color="auto" w:fill="FFFFFF"/>
        </w:rPr>
        <w:t xml:space="preserve">Adicionalmente, es importante indicar que </w:t>
      </w:r>
      <w:r w:rsidRPr="00A12BB1">
        <w:rPr>
          <w:rFonts w:ascii="Verdana" w:eastAsia="Calibri" w:hAnsi="Verdana" w:cs="Arial"/>
          <w:color w:val="000000" w:themeColor="text1"/>
          <w:lang w:val="es-MX"/>
        </w:rPr>
        <w:t xml:space="preserve">la </w:t>
      </w:r>
      <w:r w:rsidRPr="00A12BB1">
        <w:rPr>
          <w:rFonts w:ascii="Verdana" w:eastAsia="Calibri" w:hAnsi="Verdana" w:cs="Arial"/>
          <w:color w:val="000000" w:themeColor="text1"/>
          <w:shd w:val="clear" w:color="auto" w:fill="FFFFFF"/>
          <w:lang w:val="es-MX"/>
        </w:rPr>
        <w:t>Agencia Nacional de Contratación Pública – Colombia Compra Eficiente</w:t>
      </w:r>
      <w:r w:rsidRPr="00A12BB1">
        <w:rPr>
          <w:rFonts w:ascii="Verdana" w:hAnsi="Verdana" w:cs="Arial"/>
          <w:color w:val="000000" w:themeColor="text1"/>
          <w:spacing w:val="2"/>
          <w:shd w:val="clear" w:color="auto" w:fill="FFFFFF"/>
        </w:rPr>
        <w:t xml:space="preserve"> adoptó un</w:t>
      </w:r>
      <w:bookmarkStart w:id="5" w:name="_Hlk72143126"/>
      <w:r w:rsidRPr="00A12BB1">
        <w:rPr>
          <w:rFonts w:ascii="Verdana" w:eastAsia="Calibri" w:hAnsi="Verdana" w:cs="Arial"/>
          <w:color w:val="000000" w:themeColor="text1"/>
          <w:lang w:val="es-MX"/>
        </w:rPr>
        <w:t xml:space="preserve"> documento tipo </w:t>
      </w:r>
      <w:r w:rsidRPr="00A12BB1">
        <w:rPr>
          <w:rFonts w:ascii="Verdana" w:eastAsia="Calibri" w:hAnsi="Verdana" w:cs="Arial"/>
          <w:color w:val="000000" w:themeColor="text1"/>
          <w:shd w:val="clear" w:color="auto" w:fill="FFFFFF"/>
          <w:lang w:val="es-MX"/>
        </w:rPr>
        <w:t xml:space="preserve">en conjunto con el Instituto Geográfico Agustín Codazzi –IGAC– y el Departamento Administrativo Nacional </w:t>
      </w:r>
      <w:r w:rsidRPr="00A12BB1">
        <w:rPr>
          <w:rFonts w:ascii="Verdana" w:eastAsia="Calibri" w:hAnsi="Verdana" w:cs="Arial"/>
          <w:color w:val="000000"/>
          <w:shd w:val="clear" w:color="auto" w:fill="FFFFFF"/>
          <w:lang w:val="es-MX"/>
        </w:rPr>
        <w:t xml:space="preserve">de Estadística ‒DANE–, el cual concreta una de las formas de prestación del servicio público de gestión catastral, fundamentado particularmente en los artículos 2.2.2.5.6 y 2.2.2.5.7 del Decreto 1983 de 2019, modificado por el Decreto 1608 de 2022. El primero, referente a la facultad que tienen las entidades territoriales no habilitadas para contratar con un gestor catastral la prestación integral del servicio público en su territorio; mientras que el segundo artículo, entre otros requerimientos, dispone que la contratación de este servicio podrá realizarse a través de contratación directa, observando los principios de selección objetiva y transparencia, por tratarse de un contrato interadministrativo. </w:t>
      </w:r>
    </w:p>
    <w:bookmarkEnd w:id="5"/>
    <w:p w14:paraId="2655C363" w14:textId="77777777" w:rsidR="00A12BB1" w:rsidRPr="00A12BB1" w:rsidRDefault="00A12BB1" w:rsidP="00A12BB1">
      <w:pPr>
        <w:snapToGrid w:val="0"/>
        <w:spacing w:after="120" w:line="276" w:lineRule="auto"/>
        <w:ind w:firstLine="709"/>
        <w:jc w:val="both"/>
        <w:rPr>
          <w:rFonts w:ascii="Verdana" w:eastAsia="Calibri" w:hAnsi="Verdana" w:cs="Arial"/>
          <w:color w:val="000000"/>
          <w:lang w:val="es-MX"/>
        </w:rPr>
      </w:pPr>
      <w:r w:rsidRPr="00A12BB1">
        <w:rPr>
          <w:rFonts w:ascii="Verdana" w:eastAsia="Calibri" w:hAnsi="Verdana" w:cs="Arial"/>
          <w:color w:val="000000"/>
          <w:shd w:val="clear" w:color="auto" w:fill="FFFFFF"/>
          <w:lang w:val="es-MX"/>
        </w:rPr>
        <w:t xml:space="preserve">De este modo, la minuta tipo materializa la forma de prestación del servicio público de gestión catastral de manera integral, mediante el cual un municipio decide contratar a un gestor catastral habilitado para la prestación de este servicio, lo cual, debe realizarse mediante un contrato interadministrativo. Este documento </w:t>
      </w:r>
      <w:r w:rsidRPr="00A12BB1">
        <w:rPr>
          <w:rFonts w:ascii="Verdana" w:eastAsia="Calibri" w:hAnsi="Verdana" w:cs="Arial"/>
          <w:color w:val="000000"/>
          <w:lang w:val="es-MX"/>
        </w:rPr>
        <w:t>contiene las condiciones que deben incorporarse en las minutas para contratos interadministrativos para la ejecución de las actividades de formación o actualización y conservación catastral, que celebre con cualquier gestor catastral habilitado o con el Instituto Geográfico Agustín Codazzi.</w:t>
      </w:r>
    </w:p>
    <w:p w14:paraId="43357F03" w14:textId="77777777" w:rsidR="00A12BB1" w:rsidRPr="00A12BB1" w:rsidRDefault="00A12BB1" w:rsidP="00A12BB1">
      <w:pPr>
        <w:snapToGrid w:val="0"/>
        <w:spacing w:after="120" w:line="276" w:lineRule="auto"/>
        <w:ind w:firstLine="709"/>
        <w:jc w:val="both"/>
        <w:rPr>
          <w:rFonts w:ascii="Verdana" w:eastAsia="Calibri" w:hAnsi="Verdana" w:cs="Arial"/>
          <w:color w:val="000000"/>
          <w:lang w:val="es-MX"/>
        </w:rPr>
      </w:pPr>
      <w:r w:rsidRPr="00A12BB1">
        <w:rPr>
          <w:rFonts w:ascii="Verdana" w:eastAsia="Calibri" w:hAnsi="Verdana" w:cs="Arial"/>
          <w:color w:val="000000"/>
          <w:lang w:val="es-MX"/>
        </w:rPr>
        <w:t>Conforme con lo expuesto, resulta evidente que el servicio público de gestión catastral cuenta con un régimen normativo específico y prevalente, el cual debe observarse estrictamente en los procesos de habilitación, contratación y operación de dicho servicio. Esta regulación especial delimita el marco dentro del cual deben actuar los operadores catastrales, incluyendo las condiciones técnicas, jurídicos y financieros que deben acreditar.</w:t>
      </w:r>
    </w:p>
    <w:p w14:paraId="76566BF4" w14:textId="77777777" w:rsidR="00A12BB1" w:rsidRPr="00A12BB1" w:rsidRDefault="00A12BB1" w:rsidP="00A12BB1">
      <w:pPr>
        <w:snapToGrid w:val="0"/>
        <w:spacing w:after="120" w:line="276" w:lineRule="auto"/>
        <w:ind w:firstLine="709"/>
        <w:jc w:val="both"/>
        <w:rPr>
          <w:rFonts w:ascii="Verdana" w:eastAsia="Calibri" w:hAnsi="Verdana" w:cs="Arial"/>
          <w:color w:val="000000"/>
          <w:lang w:val="es-MX"/>
        </w:rPr>
      </w:pPr>
      <w:bookmarkStart w:id="6" w:name="_Hlk202423210"/>
      <w:r w:rsidRPr="00A12BB1">
        <w:rPr>
          <w:rFonts w:ascii="Verdana" w:eastAsia="Calibri" w:hAnsi="Verdana" w:cs="Arial"/>
          <w:color w:val="000000"/>
          <w:lang w:val="es-MX"/>
        </w:rPr>
        <w:lastRenderedPageBreak/>
        <w:t xml:space="preserve">En este contexto, no se advierte que la figura de </w:t>
      </w:r>
      <w:r w:rsidRPr="00A12BB1">
        <w:rPr>
          <w:rFonts w:ascii="Verdana" w:eastAsia="Calibri" w:hAnsi="Verdana" w:cs="Arial"/>
          <w:i/>
          <w:iCs/>
          <w:color w:val="000000"/>
          <w:lang w:val="es-MX"/>
        </w:rPr>
        <w:t>alianza estratégica con riesgo separado</w:t>
      </w:r>
      <w:r w:rsidRPr="00A12BB1">
        <w:rPr>
          <w:rFonts w:ascii="Verdana" w:eastAsia="Calibri" w:hAnsi="Verdana" w:cs="Arial"/>
          <w:color w:val="000000"/>
          <w:lang w:val="es-MX"/>
        </w:rPr>
        <w:t xml:space="preserve"> haya sido expresamente prevista ni reconocida dentro del marco jurídico aplicable a la gestión catastral. En consecuencia, su celebración en los términos señalados en este concepto no puede asumirse de forma automática en los procesos de contratación de operadores catastrales, sino que requiere un análisis en función de la normativa especial vigente. </w:t>
      </w:r>
    </w:p>
    <w:bookmarkEnd w:id="6"/>
    <w:p w14:paraId="6C7875FC" w14:textId="77777777" w:rsidR="00A12BB1" w:rsidRPr="00A12BB1" w:rsidRDefault="00A12BB1" w:rsidP="00A12BB1">
      <w:pPr>
        <w:snapToGrid w:val="0"/>
        <w:spacing w:after="120" w:line="276" w:lineRule="auto"/>
        <w:ind w:firstLine="709"/>
        <w:jc w:val="both"/>
        <w:rPr>
          <w:rFonts w:ascii="Verdana" w:eastAsia="Calibri" w:hAnsi="Verdana" w:cs="Arial"/>
          <w:color w:val="000000"/>
          <w:lang w:val="es-MX"/>
        </w:rPr>
      </w:pPr>
      <w:r w:rsidRPr="00A12BB1">
        <w:rPr>
          <w:rFonts w:ascii="Verdana" w:eastAsia="Calibri" w:hAnsi="Verdana" w:cs="Arial"/>
          <w:color w:val="000000"/>
          <w:lang w:val="es-MX"/>
        </w:rPr>
        <w:t xml:space="preserve">Adicionalmente, en los casos en que se utilicen documentos tipo, se debe tener presente que estos instrumentos son de cumplimiento obligatorio. Por tanto, cualquier esquema de prestación del servicio de gestión catastral que se pretenda implementar dentro del ámbito de aplicación de dichos documentos tipo debe ajustarse estrictamente a su contenido, sin introducir mecanismos contractuales no contemplados. </w:t>
      </w:r>
    </w:p>
    <w:p w14:paraId="6453389C" w14:textId="77777777" w:rsidR="00A12BB1" w:rsidRPr="00A12BB1" w:rsidRDefault="00A12BB1" w:rsidP="00A12BB1">
      <w:pPr>
        <w:spacing w:after="120" w:line="276" w:lineRule="auto"/>
        <w:ind w:firstLine="709"/>
        <w:jc w:val="both"/>
        <w:rPr>
          <w:rFonts w:ascii="Verdana" w:hAnsi="Verdana"/>
        </w:rPr>
      </w:pPr>
      <w:r w:rsidRPr="00A12BB1">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7AFA072" w14:textId="77777777" w:rsidR="00A12BB1" w:rsidRPr="00A12BB1" w:rsidRDefault="00A12BB1" w:rsidP="00A12BB1">
      <w:pPr>
        <w:spacing w:after="0" w:line="276" w:lineRule="auto"/>
        <w:ind w:firstLine="708"/>
        <w:jc w:val="both"/>
        <w:rPr>
          <w:rFonts w:ascii="Verdana" w:eastAsia="Calibri" w:hAnsi="Verdana" w:cs="Arial"/>
          <w:bCs/>
          <w:color w:val="000000" w:themeColor="text1"/>
        </w:rPr>
      </w:pPr>
      <w:r w:rsidRPr="00A12BB1">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57AB2535" w14:textId="77777777" w:rsidR="00A12BB1" w:rsidRPr="00A12BB1" w:rsidRDefault="00A12BB1" w:rsidP="00A12BB1">
      <w:pPr>
        <w:widowControl w:val="0"/>
        <w:autoSpaceDE w:val="0"/>
        <w:autoSpaceDN w:val="0"/>
        <w:spacing w:after="0" w:line="276" w:lineRule="auto"/>
        <w:jc w:val="both"/>
        <w:rPr>
          <w:rFonts w:ascii="Verdana" w:eastAsia="Arial" w:hAnsi="Verdana" w:cs="Arial"/>
          <w:lang w:val="es-ES"/>
        </w:rPr>
      </w:pPr>
    </w:p>
    <w:p w14:paraId="5BBF3C64" w14:textId="77777777" w:rsidR="00A12BB1" w:rsidRPr="00A12BB1" w:rsidRDefault="00A12BB1" w:rsidP="00A12BB1">
      <w:pPr>
        <w:numPr>
          <w:ilvl w:val="0"/>
          <w:numId w:val="1"/>
        </w:numPr>
        <w:tabs>
          <w:tab w:val="left" w:pos="142"/>
          <w:tab w:val="left" w:pos="284"/>
        </w:tabs>
        <w:spacing w:after="0" w:line="276" w:lineRule="auto"/>
        <w:jc w:val="both"/>
        <w:rPr>
          <w:rFonts w:ascii="Verdana" w:eastAsia="Century Gothic" w:hAnsi="Verdana" w:cs="Century Gothic"/>
          <w:b/>
          <w:bCs/>
        </w:rPr>
      </w:pPr>
      <w:r w:rsidRPr="00A12BB1">
        <w:rPr>
          <w:rFonts w:ascii="Verdana" w:eastAsia="Century Gothic" w:hAnsi="Verdana" w:cs="Century Gothic"/>
          <w:b/>
          <w:bCs/>
        </w:rPr>
        <w:t>Referencias normativas y jurisprudenciales:</w:t>
      </w:r>
    </w:p>
    <w:p w14:paraId="527CB5DF" w14:textId="77777777" w:rsidR="00A12BB1" w:rsidRPr="00A12BB1" w:rsidRDefault="00A12BB1" w:rsidP="00A12BB1">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12BB1" w:rsidRPr="00A12BB1" w14:paraId="746A3710" w14:textId="77777777" w:rsidTr="00FD19D1">
        <w:trPr>
          <w:trHeight w:val="410"/>
          <w:jc w:val="center"/>
        </w:trPr>
        <w:tc>
          <w:tcPr>
            <w:tcW w:w="8647" w:type="dxa"/>
          </w:tcPr>
          <w:p w14:paraId="155A1B48" w14:textId="77777777" w:rsidR="00A12BB1" w:rsidRPr="00A12BB1" w:rsidRDefault="00A12BB1" w:rsidP="00A12BB1">
            <w:pPr>
              <w:widowControl w:val="0"/>
              <w:numPr>
                <w:ilvl w:val="0"/>
                <w:numId w:val="35"/>
              </w:numPr>
              <w:autoSpaceDE w:val="0"/>
              <w:autoSpaceDN w:val="0"/>
              <w:spacing w:line="276" w:lineRule="auto"/>
              <w:ind w:left="318" w:hanging="284"/>
              <w:jc w:val="both"/>
              <w:rPr>
                <w:rFonts w:ascii="Verdana" w:eastAsia="Calibri" w:hAnsi="Verdana" w:cs="Arial"/>
              </w:rPr>
            </w:pPr>
            <w:r w:rsidRPr="00A12BB1">
              <w:rPr>
                <w:rFonts w:ascii="Verdana" w:eastAsia="Calibri" w:hAnsi="Verdana" w:cs="Arial"/>
              </w:rPr>
              <w:t>Ley 80 de 1993, artículos 7, 13, 32 y 40.</w:t>
            </w:r>
          </w:p>
          <w:p w14:paraId="3CD568E1" w14:textId="77777777" w:rsidR="00A12BB1" w:rsidRPr="00A12BB1" w:rsidRDefault="00A12BB1" w:rsidP="00A12BB1">
            <w:pPr>
              <w:widowControl w:val="0"/>
              <w:numPr>
                <w:ilvl w:val="0"/>
                <w:numId w:val="35"/>
              </w:numPr>
              <w:autoSpaceDE w:val="0"/>
              <w:autoSpaceDN w:val="0"/>
              <w:spacing w:line="276" w:lineRule="auto"/>
              <w:ind w:left="318" w:hanging="284"/>
              <w:jc w:val="both"/>
              <w:rPr>
                <w:rFonts w:ascii="Verdana" w:eastAsia="Calibri" w:hAnsi="Verdana" w:cs="Arial"/>
              </w:rPr>
            </w:pPr>
            <w:r w:rsidRPr="00A12BB1">
              <w:rPr>
                <w:rFonts w:ascii="Verdana" w:eastAsia="Calibri" w:hAnsi="Verdana" w:cs="Arial"/>
              </w:rPr>
              <w:lastRenderedPageBreak/>
              <w:t>Código Civil, artículo 1602.</w:t>
            </w:r>
          </w:p>
          <w:p w14:paraId="622563C4" w14:textId="77777777" w:rsidR="00A12BB1" w:rsidRPr="00A12BB1" w:rsidRDefault="00A12BB1" w:rsidP="00A12BB1">
            <w:pPr>
              <w:widowControl w:val="0"/>
              <w:numPr>
                <w:ilvl w:val="0"/>
                <w:numId w:val="35"/>
              </w:numPr>
              <w:autoSpaceDE w:val="0"/>
              <w:autoSpaceDN w:val="0"/>
              <w:spacing w:line="276" w:lineRule="auto"/>
              <w:ind w:left="318" w:hanging="284"/>
              <w:jc w:val="both"/>
              <w:rPr>
                <w:rFonts w:ascii="Verdana" w:eastAsia="Calibri" w:hAnsi="Verdana" w:cs="Arial"/>
              </w:rPr>
            </w:pPr>
            <w:r w:rsidRPr="00A12BB1">
              <w:rPr>
                <w:rFonts w:ascii="Verdana" w:hAnsi="Verdana" w:cs="Arial"/>
                <w:color w:val="000000"/>
                <w:shd w:val="clear" w:color="auto" w:fill="FFFFFF"/>
              </w:rPr>
              <w:t xml:space="preserve">Decreto 1170 de 2015, artículos </w:t>
            </w:r>
            <w:r w:rsidRPr="00A12BB1">
              <w:rPr>
                <w:rFonts w:ascii="Verdana" w:hAnsi="Verdana" w:cs="Arial"/>
                <w:color w:val="000000"/>
              </w:rPr>
              <w:t xml:space="preserve">2.2.2.1.5, 2.2.2.5.12, </w:t>
            </w:r>
            <w:r w:rsidRPr="00A12BB1">
              <w:rPr>
                <w:rFonts w:ascii="Verdana" w:eastAsia="Calibri" w:hAnsi="Verdana" w:cs="Arial"/>
                <w:color w:val="000000"/>
                <w:shd w:val="clear" w:color="auto" w:fill="FFFFFF"/>
                <w:lang w:val="es-MX"/>
              </w:rPr>
              <w:t>2.2.2.5.6 y 2.2.2.5.7</w:t>
            </w:r>
          </w:p>
          <w:p w14:paraId="4F7142D9" w14:textId="77777777" w:rsidR="00A12BB1" w:rsidRPr="00A12BB1" w:rsidRDefault="00A12BB1" w:rsidP="00A12BB1">
            <w:pPr>
              <w:widowControl w:val="0"/>
              <w:numPr>
                <w:ilvl w:val="0"/>
                <w:numId w:val="35"/>
              </w:numPr>
              <w:autoSpaceDE w:val="0"/>
              <w:autoSpaceDN w:val="0"/>
              <w:spacing w:line="276" w:lineRule="auto"/>
              <w:ind w:left="318" w:hanging="284"/>
              <w:jc w:val="both"/>
              <w:rPr>
                <w:rFonts w:ascii="Verdana" w:eastAsia="Calibri" w:hAnsi="Verdana" w:cs="Arial"/>
              </w:rPr>
            </w:pPr>
            <w:r w:rsidRPr="00A12BB1">
              <w:rPr>
                <w:rFonts w:ascii="Verdana" w:hAnsi="Verdana" w:cs="Arial"/>
                <w:color w:val="000000" w:themeColor="text1"/>
              </w:rPr>
              <w:t>Resolución 1040 de 2023 del Instituto Geográfico Agustín Codazzi (IGAC).</w:t>
            </w:r>
          </w:p>
          <w:p w14:paraId="471E6735" w14:textId="77777777" w:rsidR="00A12BB1" w:rsidRPr="00A12BB1" w:rsidRDefault="00A12BB1" w:rsidP="00A12BB1">
            <w:pPr>
              <w:numPr>
                <w:ilvl w:val="0"/>
                <w:numId w:val="3"/>
              </w:numPr>
              <w:ind w:left="318" w:hanging="284"/>
              <w:contextualSpacing/>
              <w:jc w:val="both"/>
              <w:rPr>
                <w:rFonts w:ascii="Verdana" w:hAnsi="Verdana" w:cs="Arial"/>
                <w:lang w:val="es-MX"/>
              </w:rPr>
            </w:pPr>
            <w:r w:rsidRPr="00A12BB1">
              <w:rPr>
                <w:rFonts w:ascii="Verdana" w:hAnsi="Verdana" w:cs="Arial"/>
                <w:color w:val="000000"/>
                <w:shd w:val="clear" w:color="auto" w:fill="FFFFFF"/>
              </w:rPr>
              <w:t>Ley 1955 de 2019, artículo 79.</w:t>
            </w:r>
          </w:p>
        </w:tc>
      </w:tr>
    </w:tbl>
    <w:p w14:paraId="29CF66B6" w14:textId="77777777" w:rsidR="00A12BB1" w:rsidRPr="00A12BB1" w:rsidRDefault="00A12BB1" w:rsidP="00A12BB1">
      <w:pPr>
        <w:widowControl w:val="0"/>
        <w:autoSpaceDE w:val="0"/>
        <w:autoSpaceDN w:val="0"/>
        <w:spacing w:after="0" w:line="276" w:lineRule="auto"/>
        <w:jc w:val="both"/>
        <w:rPr>
          <w:rFonts w:ascii="Verdana" w:hAnsi="Verdana" w:cs="Arial"/>
        </w:rPr>
      </w:pPr>
    </w:p>
    <w:p w14:paraId="14A41E60" w14:textId="77777777" w:rsidR="00A12BB1" w:rsidRPr="00A12BB1" w:rsidRDefault="00A12BB1" w:rsidP="00A12BB1">
      <w:pPr>
        <w:numPr>
          <w:ilvl w:val="0"/>
          <w:numId w:val="1"/>
        </w:numPr>
        <w:tabs>
          <w:tab w:val="left" w:pos="142"/>
          <w:tab w:val="left" w:pos="284"/>
        </w:tabs>
        <w:spacing w:after="0" w:line="276" w:lineRule="auto"/>
        <w:jc w:val="both"/>
        <w:rPr>
          <w:rFonts w:ascii="Verdana" w:eastAsia="Century Gothic" w:hAnsi="Verdana" w:cs="Century Gothic"/>
          <w:b/>
          <w:bCs/>
        </w:rPr>
      </w:pPr>
      <w:r w:rsidRPr="00A12BB1">
        <w:rPr>
          <w:rFonts w:ascii="Verdana" w:eastAsia="Century Gothic" w:hAnsi="Verdana" w:cs="Century Gothic"/>
          <w:b/>
          <w:bCs/>
        </w:rPr>
        <w:t>Doctrina de la Agencia Nacional de Contratación Pública:</w:t>
      </w:r>
    </w:p>
    <w:p w14:paraId="772DFC93" w14:textId="77777777" w:rsidR="00A12BB1" w:rsidRPr="00A12BB1" w:rsidRDefault="00A12BB1" w:rsidP="00A12BB1">
      <w:pPr>
        <w:widowControl w:val="0"/>
        <w:autoSpaceDE w:val="0"/>
        <w:autoSpaceDN w:val="0"/>
        <w:spacing w:after="0" w:line="276" w:lineRule="auto"/>
        <w:jc w:val="both"/>
        <w:rPr>
          <w:rFonts w:ascii="Verdana" w:hAnsi="Verdana" w:cs="Arial"/>
        </w:rPr>
      </w:pPr>
    </w:p>
    <w:p w14:paraId="3A3F79FB" w14:textId="77777777" w:rsidR="00A12BB1" w:rsidRPr="00A12BB1" w:rsidRDefault="00A12BB1" w:rsidP="00A12BB1">
      <w:pPr>
        <w:widowControl w:val="0"/>
        <w:autoSpaceDE w:val="0"/>
        <w:autoSpaceDN w:val="0"/>
        <w:spacing w:after="120" w:line="276" w:lineRule="auto"/>
        <w:jc w:val="both"/>
        <w:rPr>
          <w:rFonts w:ascii="Verdana" w:eastAsia="Calibri" w:hAnsi="Verdana" w:cs="Arial"/>
          <w:shd w:val="clear" w:color="auto" w:fill="FFFFFF"/>
          <w:lang w:val="es-ES"/>
        </w:rPr>
      </w:pPr>
      <w:r w:rsidRPr="00A12BB1">
        <w:rPr>
          <w:rFonts w:ascii="Verdana" w:eastAsia="Times New Roman" w:hAnsi="Verdana" w:cs="Arial"/>
          <w:color w:val="000000"/>
          <w:lang w:val="es-ES_tradnl" w:eastAsia="es-ES_tradnl"/>
        </w:rPr>
        <w:t>La Agencia Nacional de Contratación Pública – Colombia Compra Eficiente se pronunció sobre</w:t>
      </w:r>
      <w:r w:rsidRPr="00A12BB1">
        <w:rPr>
          <w:rFonts w:ascii="Verdana" w:hAnsi="Verdana" w:cs="Arial"/>
          <w:shd w:val="clear" w:color="auto" w:fill="FFFFFF"/>
        </w:rPr>
        <w:t xml:space="preserve"> el alcance de los documentos tipo de gestión catastral multipropósito en los oficios con radicado No. P20201203000378 del 2 de diciembre de 2020 y en los conceptos C-809 del 11 de febrero de 2021, C-097 del 23 de marzo de 2021, </w:t>
      </w:r>
      <w:bookmarkStart w:id="7" w:name="_Hlk73718617"/>
      <w:r w:rsidRPr="00A12BB1">
        <w:rPr>
          <w:rFonts w:ascii="Verdana" w:hAnsi="Verdana" w:cs="Arial"/>
          <w:shd w:val="clear" w:color="auto" w:fill="FFFFFF"/>
        </w:rPr>
        <w:t>C-159 del 20 de mayo de 2021</w:t>
      </w:r>
      <w:bookmarkEnd w:id="7"/>
      <w:r w:rsidRPr="00A12BB1">
        <w:rPr>
          <w:rFonts w:ascii="Verdana" w:hAnsi="Verdana" w:cs="Arial"/>
          <w:shd w:val="clear" w:color="auto" w:fill="FFFFFF"/>
        </w:rPr>
        <w:t>, C-261 de 22 de junio de 2021, C-564 de 11 de octubre de 2021, C-666 del 22 de diciembre de 2021, C-731 del 26 de enero de 2022, C-302 del 12 de mayo de 2022, C-551 del 29 de agosto de 2022, C-342 del 25 de abril de 2025 y C-562 del 19 de junio de 2025. Es</w:t>
      </w:r>
      <w:r w:rsidRPr="00A12BB1">
        <w:rPr>
          <w:rFonts w:ascii="Verdana" w:hAnsi="Verdana"/>
        </w:rPr>
        <w:t>tos conceptos se encuentran disponibles para consulta en el Sistema de relatoría de la Agencia, al cual se puede acceder a través del siguiente enlace:</w:t>
      </w:r>
      <w:r w:rsidRPr="00A12BB1">
        <w:rPr>
          <w:rFonts w:ascii="Verdana" w:hAnsi="Verdana" w:cs="Arial"/>
          <w:shd w:val="clear" w:color="auto" w:fill="FFFFFF"/>
        </w:rPr>
        <w:t xml:space="preserve"> </w:t>
      </w:r>
      <w:hyperlink r:id="rId13" w:history="1">
        <w:r w:rsidRPr="00A12BB1">
          <w:rPr>
            <w:rFonts w:ascii="Verdana" w:hAnsi="Verdana" w:cs="Arial"/>
            <w:color w:val="0563C1" w:themeColor="hyperlink"/>
            <w:u w:val="single"/>
            <w:shd w:val="clear" w:color="auto" w:fill="FFFFFF"/>
          </w:rPr>
          <w:t>https://relatoria.colombiacompra.gov.co/busqueda/conceptos</w:t>
        </w:r>
      </w:hyperlink>
      <w:r w:rsidRPr="00A12BB1">
        <w:rPr>
          <w:rFonts w:ascii="Verdana" w:hAnsi="Verdana" w:cs="Arial"/>
          <w:shd w:val="clear" w:color="auto" w:fill="FFFFFF"/>
        </w:rPr>
        <w:t>.</w:t>
      </w:r>
      <w:r w:rsidRPr="00A12BB1">
        <w:rPr>
          <w:rFonts w:ascii="Verdana" w:hAnsi="Verdana" w:cs="Arial"/>
          <w:color w:val="FF0000"/>
          <w:shd w:val="clear" w:color="auto" w:fill="FFFFFF"/>
        </w:rPr>
        <w:t xml:space="preserve"> </w:t>
      </w:r>
      <w:r w:rsidRPr="00A12BB1">
        <w:rPr>
          <w:rFonts w:ascii="Verdana" w:hAnsi="Verdana" w:cs="Arial"/>
          <w:color w:val="000000" w:themeColor="text1"/>
          <w:shd w:val="clear" w:color="auto" w:fill="FFFFFF"/>
        </w:rPr>
        <w:t>  </w:t>
      </w:r>
    </w:p>
    <w:p w14:paraId="30375F49" w14:textId="77777777" w:rsidR="00A12BB1" w:rsidRPr="00A12BB1" w:rsidRDefault="00A12BB1" w:rsidP="00A12BB1">
      <w:pPr>
        <w:shd w:val="clear" w:color="auto" w:fill="FFFFFF"/>
        <w:spacing w:after="120" w:line="276" w:lineRule="auto"/>
        <w:jc w:val="both"/>
        <w:textAlignment w:val="baseline"/>
        <w:rPr>
          <w:rFonts w:ascii="Verdana" w:eastAsia="Times New Roman" w:hAnsi="Verdana" w:cs="Times New Roman"/>
          <w:color w:val="242424"/>
          <w:lang w:eastAsia="es-CO"/>
        </w:rPr>
      </w:pPr>
      <w:r w:rsidRPr="00A12BB1">
        <w:rPr>
          <w:rFonts w:ascii="Verdana" w:eastAsia="Times New Roman" w:hAnsi="Verdana" w:cs="Times New Roman"/>
          <w:color w:val="000000"/>
          <w:bdr w:val="none" w:sz="0" w:space="0" w:color="auto" w:frame="1"/>
          <w:lang w:eastAsia="es-CO"/>
        </w:rPr>
        <w:t>También le contamos que ya se encuentra disponible la </w:t>
      </w:r>
      <w:r w:rsidRPr="00A12BB1">
        <w:rPr>
          <w:rFonts w:ascii="Verdana" w:eastAsia="Times New Roman" w:hAnsi="Verdana" w:cs="Times New Roman"/>
          <w:b/>
          <w:bCs/>
          <w:color w:val="000000"/>
          <w:bdr w:val="none" w:sz="0" w:space="0" w:color="auto" w:frame="1"/>
          <w:lang w:eastAsia="es-CO"/>
        </w:rPr>
        <w:t>Guía de lineamientos de transparencia y selección objetiva para el departamento de La Guajira – Objetivo sexto constitucional de la Sentencia T-302 del 2017. </w:t>
      </w:r>
      <w:r w:rsidRPr="00A12BB1">
        <w:rPr>
          <w:rFonts w:ascii="Verdana" w:eastAsia="Times New Roman" w:hAnsi="Verdana" w:cs="Times New Roman"/>
          <w:color w:val="000000"/>
          <w:bdr w:val="none" w:sz="0" w:space="0" w:color="auto" w:frame="1"/>
          <w:lang w:eastAsia="es-CO"/>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A12BB1">
        <w:rPr>
          <w:rFonts w:ascii="Verdana" w:eastAsia="Times New Roman" w:hAnsi="Verdana" w:cs="Times New Roman"/>
          <w:color w:val="000000"/>
          <w:bdr w:val="none" w:sz="0" w:space="0" w:color="auto" w:frame="1"/>
          <w:lang w:eastAsia="es-CO"/>
        </w:rPr>
        <w:t>Wayúu</w:t>
      </w:r>
      <w:proofErr w:type="spellEnd"/>
      <w:r w:rsidRPr="00A12BB1">
        <w:rPr>
          <w:rFonts w:ascii="Verdana" w:eastAsia="Times New Roman" w:hAnsi="Verdana" w:cs="Times New Roman"/>
          <w:color w:val="000000"/>
          <w:bdr w:val="none" w:sz="0" w:space="0" w:color="auto" w:frame="1"/>
          <w:lang w:eastAsia="es-CO"/>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A12BB1">
          <w:rPr>
            <w:rFonts w:ascii="Verdana" w:eastAsia="Times New Roman" w:hAnsi="Verdana" w:cs="Times New Roman"/>
            <w:color w:val="467886"/>
            <w:u w:val="single"/>
            <w:bdr w:val="none" w:sz="0" w:space="0" w:color="auto" w:frame="1"/>
            <w:lang w:eastAsia="es-CO"/>
          </w:rPr>
          <w:t>Guía de lineamientos de transparencia y selección objetiva para el departamento de La Guajira – Objetivo sexto constitucional de la Sentencia T-302 del 2017</w:t>
        </w:r>
      </w:hyperlink>
      <w:r w:rsidRPr="00A12BB1">
        <w:rPr>
          <w:rFonts w:ascii="Verdana" w:eastAsia="Times New Roman" w:hAnsi="Verdana" w:cs="Times New Roman"/>
          <w:color w:val="467886"/>
          <w:u w:val="single"/>
          <w:bdr w:val="none" w:sz="0" w:space="0" w:color="auto" w:frame="1"/>
          <w:lang w:eastAsia="es-CO"/>
        </w:rPr>
        <w:t>"</w:t>
      </w:r>
    </w:p>
    <w:p w14:paraId="574F49D6" w14:textId="77777777" w:rsidR="00A12BB1" w:rsidRPr="00A12BB1" w:rsidRDefault="00A12BB1" w:rsidP="00A12BB1">
      <w:pPr>
        <w:widowControl w:val="0"/>
        <w:autoSpaceDE w:val="0"/>
        <w:autoSpaceDN w:val="0"/>
        <w:spacing w:after="0" w:line="276" w:lineRule="auto"/>
        <w:jc w:val="both"/>
        <w:rPr>
          <w:rFonts w:ascii="Verdana" w:hAnsi="Verdana" w:cs="Arial"/>
        </w:rPr>
      </w:pPr>
      <w:r w:rsidRPr="00A12BB1">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7D07A2D" w14:textId="77777777" w:rsidR="00A12BB1" w:rsidRPr="00A12BB1" w:rsidRDefault="00A12BB1" w:rsidP="00A12BB1">
      <w:pPr>
        <w:widowControl w:val="0"/>
        <w:autoSpaceDE w:val="0"/>
        <w:autoSpaceDN w:val="0"/>
        <w:spacing w:after="0" w:line="276" w:lineRule="auto"/>
        <w:jc w:val="both"/>
        <w:rPr>
          <w:rFonts w:ascii="Verdana" w:hAnsi="Verdana" w:cs="Arial"/>
        </w:rPr>
      </w:pPr>
    </w:p>
    <w:p w14:paraId="33EBC540" w14:textId="77777777" w:rsidR="00A12BB1" w:rsidRPr="00A12BB1" w:rsidRDefault="00A12BB1" w:rsidP="00A12BB1">
      <w:pPr>
        <w:spacing w:after="0" w:line="276" w:lineRule="auto"/>
        <w:rPr>
          <w:rFonts w:ascii="Verdana" w:hAnsi="Verdana" w:cs="Arial"/>
          <w:lang w:eastAsia="es-CO"/>
        </w:rPr>
      </w:pPr>
      <w:r w:rsidRPr="00A12BB1">
        <w:rPr>
          <w:rFonts w:ascii="Verdana" w:eastAsia="Times New Roman" w:hAnsi="Verdana" w:cs="Arial"/>
          <w:lang w:eastAsia="es-CO"/>
        </w:rPr>
        <w:lastRenderedPageBreak/>
        <w:t>Atentamente,</w:t>
      </w:r>
      <w:r w:rsidRPr="00A12BB1">
        <w:rPr>
          <w:rFonts w:ascii="Verdana" w:hAnsi="Verdana" w:cs="Arial"/>
          <w:lang w:eastAsia="es-CO"/>
        </w:rPr>
        <w:t xml:space="preserve"> </w:t>
      </w:r>
    </w:p>
    <w:p w14:paraId="76FAE4DD" w14:textId="30B4787F" w:rsidR="00A12BB1" w:rsidRPr="00A12BB1" w:rsidRDefault="008C690E" w:rsidP="00A12BB1">
      <w:pPr>
        <w:spacing w:line="276" w:lineRule="auto"/>
        <w:jc w:val="center"/>
        <w:rPr>
          <w:rFonts w:ascii="Verdana" w:hAnsi="Verdana" w:cs="Arial"/>
          <w:color w:val="000000"/>
          <w:lang w:eastAsia="es-CO"/>
        </w:rPr>
      </w:pPr>
      <w:r w:rsidRPr="002C3AD6">
        <w:rPr>
          <w:rFonts w:ascii="Century Gothic" w:hAnsi="Century Gothic"/>
          <w:noProof/>
        </w:rPr>
        <w:drawing>
          <wp:inline distT="0" distB="0" distL="0" distR="0" wp14:anchorId="167F6081" wp14:editId="2FA5E977">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12BB1" w:rsidRPr="00A12BB1" w14:paraId="1E702A92" w14:textId="77777777" w:rsidTr="00FD19D1">
        <w:trPr>
          <w:trHeight w:val="315"/>
        </w:trPr>
        <w:tc>
          <w:tcPr>
            <w:tcW w:w="893" w:type="dxa"/>
            <w:vAlign w:val="center"/>
            <w:hideMark/>
          </w:tcPr>
          <w:p w14:paraId="122AF078" w14:textId="77777777" w:rsidR="00A12BB1" w:rsidRPr="00A12BB1" w:rsidRDefault="00A12BB1" w:rsidP="00A12BB1">
            <w:pPr>
              <w:contextualSpacing/>
              <w:rPr>
                <w:rFonts w:ascii="Verdana" w:hAnsi="Verdana" w:cs="Arial"/>
                <w:sz w:val="16"/>
                <w:szCs w:val="16"/>
                <w:lang w:eastAsia="es-ES"/>
              </w:rPr>
            </w:pPr>
            <w:r w:rsidRPr="00A12BB1">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1457DA94" w14:textId="77777777" w:rsidR="00A12BB1" w:rsidRPr="00A12BB1" w:rsidRDefault="00A12BB1" w:rsidP="00A12BB1">
            <w:pPr>
              <w:contextualSpacing/>
              <w:rPr>
                <w:rFonts w:ascii="Verdana" w:hAnsi="Verdana"/>
                <w:sz w:val="16"/>
                <w:szCs w:val="16"/>
              </w:rPr>
            </w:pPr>
            <w:r w:rsidRPr="00A12BB1">
              <w:rPr>
                <w:rFonts w:ascii="Verdana" w:hAnsi="Verdana"/>
                <w:sz w:val="16"/>
                <w:szCs w:val="16"/>
              </w:rPr>
              <w:t>Tatiana Baquero Iguarán</w:t>
            </w:r>
          </w:p>
          <w:p w14:paraId="09690EF9" w14:textId="77777777" w:rsidR="00A12BB1" w:rsidRPr="00A12BB1" w:rsidRDefault="00A12BB1" w:rsidP="00A12BB1">
            <w:pPr>
              <w:contextualSpacing/>
              <w:rPr>
                <w:rFonts w:ascii="Verdana" w:eastAsia="Arial" w:hAnsi="Verdana" w:cs="Arial"/>
                <w:sz w:val="16"/>
                <w:szCs w:val="16"/>
              </w:rPr>
            </w:pPr>
            <w:r w:rsidRPr="00A12BB1">
              <w:rPr>
                <w:rFonts w:ascii="Verdana" w:hAnsi="Verdana"/>
                <w:sz w:val="16"/>
                <w:szCs w:val="16"/>
              </w:rPr>
              <w:t>Contratista de la Subdirección de Gestión Contractual</w:t>
            </w:r>
          </w:p>
        </w:tc>
      </w:tr>
      <w:tr w:rsidR="00A12BB1" w:rsidRPr="00A12BB1" w14:paraId="712367BC" w14:textId="77777777" w:rsidTr="00FD19D1">
        <w:trPr>
          <w:trHeight w:val="330"/>
        </w:trPr>
        <w:tc>
          <w:tcPr>
            <w:tcW w:w="893" w:type="dxa"/>
            <w:vAlign w:val="center"/>
            <w:hideMark/>
          </w:tcPr>
          <w:p w14:paraId="501DDAC9" w14:textId="77777777" w:rsidR="00A12BB1" w:rsidRPr="00A12BB1" w:rsidRDefault="00A12BB1" w:rsidP="00A12BB1">
            <w:pPr>
              <w:contextualSpacing/>
              <w:rPr>
                <w:rFonts w:ascii="Verdana" w:hAnsi="Verdana" w:cs="Arial"/>
                <w:sz w:val="16"/>
                <w:szCs w:val="16"/>
                <w:lang w:eastAsia="es-ES"/>
              </w:rPr>
            </w:pPr>
            <w:r w:rsidRPr="00A12BB1">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45F3041" w14:textId="77777777" w:rsidR="00A12BB1" w:rsidRPr="00A12BB1" w:rsidRDefault="00A12BB1" w:rsidP="00A12BB1">
            <w:pPr>
              <w:textAlignment w:val="baseline"/>
              <w:rPr>
                <w:rFonts w:ascii="Verdana" w:eastAsia="Times New Roman" w:hAnsi="Verdana" w:cs="Arial"/>
                <w:sz w:val="16"/>
                <w:szCs w:val="16"/>
                <w:lang w:val="es-MX" w:eastAsia="es-CO"/>
              </w:rPr>
            </w:pPr>
            <w:r w:rsidRPr="00A12BB1">
              <w:rPr>
                <w:rFonts w:ascii="Verdana" w:eastAsia="Times New Roman" w:hAnsi="Verdana" w:cs="Arial"/>
                <w:sz w:val="16"/>
                <w:szCs w:val="16"/>
                <w:lang w:val="es-MX" w:eastAsia="es-CO"/>
              </w:rPr>
              <w:t>Alejandro Raúl Sarmiento Cantillo</w:t>
            </w:r>
          </w:p>
          <w:p w14:paraId="72CB0248" w14:textId="77777777" w:rsidR="00A12BB1" w:rsidRPr="00A12BB1" w:rsidRDefault="00A12BB1" w:rsidP="00A12BB1">
            <w:pPr>
              <w:spacing w:before="100" w:beforeAutospacing="1" w:after="100" w:afterAutospacing="1"/>
              <w:contextualSpacing/>
              <w:textAlignment w:val="baseline"/>
              <w:rPr>
                <w:rFonts w:ascii="Verdana" w:eastAsia="Times New Roman" w:hAnsi="Verdana" w:cs="Segoe UI"/>
                <w:sz w:val="16"/>
                <w:szCs w:val="16"/>
                <w:lang w:eastAsia="es-ES_tradnl"/>
              </w:rPr>
            </w:pPr>
            <w:r w:rsidRPr="00A12BB1">
              <w:rPr>
                <w:rFonts w:ascii="Verdana" w:eastAsia="Times New Roman" w:hAnsi="Verdana" w:cs="Arial"/>
                <w:sz w:val="16"/>
                <w:szCs w:val="16"/>
                <w:lang w:val="es-MX" w:eastAsia="es-CO"/>
              </w:rPr>
              <w:t>Gestor T1-15 de la Subdirección de Gestión Contractual</w:t>
            </w:r>
          </w:p>
        </w:tc>
      </w:tr>
      <w:tr w:rsidR="00A12BB1" w:rsidRPr="00A12BB1" w14:paraId="2FA89CD1" w14:textId="77777777" w:rsidTr="00FD19D1">
        <w:trPr>
          <w:trHeight w:val="300"/>
        </w:trPr>
        <w:tc>
          <w:tcPr>
            <w:tcW w:w="893" w:type="dxa"/>
            <w:vAlign w:val="center"/>
          </w:tcPr>
          <w:p w14:paraId="764F8091" w14:textId="77777777" w:rsidR="00A12BB1" w:rsidRPr="00A12BB1" w:rsidRDefault="00A12BB1" w:rsidP="00A12BB1">
            <w:pPr>
              <w:contextualSpacing/>
              <w:rPr>
                <w:rFonts w:ascii="Verdana" w:hAnsi="Verdana" w:cs="Arial"/>
                <w:sz w:val="16"/>
                <w:szCs w:val="16"/>
                <w:lang w:eastAsia="es-ES"/>
              </w:rPr>
            </w:pPr>
            <w:r w:rsidRPr="00A12BB1">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30442D2" w14:textId="77777777" w:rsidR="00A12BB1" w:rsidRPr="00A12BB1" w:rsidRDefault="00A12BB1" w:rsidP="00A12BB1">
            <w:pPr>
              <w:contextualSpacing/>
              <w:rPr>
                <w:rFonts w:ascii="Verdana" w:eastAsia="Calibri" w:hAnsi="Verdana" w:cs="Arial"/>
                <w:sz w:val="16"/>
                <w:szCs w:val="16"/>
                <w:lang w:eastAsia="es-ES"/>
              </w:rPr>
            </w:pPr>
            <w:r w:rsidRPr="00A12BB1">
              <w:rPr>
                <w:rFonts w:ascii="Verdana" w:eastAsia="Calibri" w:hAnsi="Verdana" w:cs="Arial"/>
                <w:sz w:val="16"/>
                <w:szCs w:val="16"/>
                <w:lang w:eastAsia="es-ES"/>
              </w:rPr>
              <w:t xml:space="preserve">Carolina Quintero </w:t>
            </w:r>
            <w:proofErr w:type="spellStart"/>
            <w:r w:rsidRPr="00A12BB1">
              <w:rPr>
                <w:rFonts w:ascii="Verdana" w:eastAsia="Calibri" w:hAnsi="Verdana" w:cs="Arial"/>
                <w:sz w:val="16"/>
                <w:szCs w:val="16"/>
                <w:lang w:eastAsia="es-ES"/>
              </w:rPr>
              <w:t>Gacharná</w:t>
            </w:r>
            <w:proofErr w:type="spellEnd"/>
          </w:p>
          <w:p w14:paraId="35844DC7" w14:textId="77777777" w:rsidR="00A12BB1" w:rsidRPr="00A12BB1" w:rsidRDefault="00A12BB1" w:rsidP="00A12BB1">
            <w:pPr>
              <w:contextualSpacing/>
              <w:rPr>
                <w:rFonts w:ascii="Verdana" w:eastAsia="Calibri" w:hAnsi="Verdana" w:cs="Arial"/>
                <w:sz w:val="16"/>
                <w:szCs w:val="16"/>
                <w:lang w:eastAsia="es-ES"/>
              </w:rPr>
            </w:pPr>
            <w:r w:rsidRPr="00A12BB1">
              <w:rPr>
                <w:rFonts w:ascii="Verdana" w:eastAsia="Calibri" w:hAnsi="Verdana" w:cs="Arial"/>
                <w:sz w:val="16"/>
                <w:szCs w:val="16"/>
                <w:lang w:eastAsia="es-ES"/>
              </w:rPr>
              <w:t>Subdirectora de Gestión Contractual ANCP – CCE</w:t>
            </w:r>
          </w:p>
        </w:tc>
      </w:tr>
    </w:tbl>
    <w:p w14:paraId="7294C960" w14:textId="77777777" w:rsidR="00A12BB1" w:rsidRPr="00A12BB1" w:rsidRDefault="00A12BB1" w:rsidP="00A12BB1">
      <w:pPr>
        <w:spacing w:after="0" w:line="240" w:lineRule="auto"/>
        <w:rPr>
          <w:rFonts w:ascii="Verdana" w:eastAsia="Aptos" w:hAnsi="Verdana" w:cs="Times New Roman"/>
          <w:sz w:val="20"/>
          <w:szCs w:val="20"/>
        </w:rPr>
      </w:pPr>
    </w:p>
    <w:p w14:paraId="50FE64B4" w14:textId="77777777" w:rsidR="00A12BB1" w:rsidRPr="00A12BB1" w:rsidRDefault="00A12BB1" w:rsidP="00A12BB1">
      <w:pPr>
        <w:spacing w:after="0"/>
        <w:jc w:val="both"/>
        <w:rPr>
          <w:rFonts w:ascii="Consolas" w:hAnsi="Consolas" w:cs="Consolas"/>
          <w:sz w:val="16"/>
          <w:szCs w:val="16"/>
          <w:lang w:val="es-ES"/>
        </w:rPr>
      </w:pPr>
    </w:p>
    <w:p w14:paraId="4A6A3EE8" w14:textId="77777777" w:rsidR="00A12BB1" w:rsidRPr="00A12BB1" w:rsidRDefault="00A12BB1" w:rsidP="00A12BB1"/>
    <w:p w14:paraId="39E922C7" w14:textId="77777777" w:rsidR="005B3BB4" w:rsidRPr="00A12BB1" w:rsidRDefault="005B3BB4" w:rsidP="00A12BB1"/>
    <w:bookmarkEnd w:id="0"/>
    <w:sectPr w:rsidR="005B3BB4" w:rsidRPr="00A12BB1" w:rsidSect="00C44B4C">
      <w:headerReference w:type="default" r:id="rId16"/>
      <w:footerReference w:type="default" r:id="rId17"/>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71A09" w14:textId="77777777" w:rsidR="00BF5098" w:rsidRPr="009B7987" w:rsidRDefault="00BF5098" w:rsidP="00B30448">
      <w:pPr>
        <w:spacing w:after="0" w:line="240" w:lineRule="auto"/>
      </w:pPr>
      <w:r w:rsidRPr="009B7987">
        <w:separator/>
      </w:r>
    </w:p>
  </w:endnote>
  <w:endnote w:type="continuationSeparator" w:id="0">
    <w:p w14:paraId="53755000" w14:textId="77777777" w:rsidR="00BF5098" w:rsidRPr="009B7987" w:rsidRDefault="00BF5098" w:rsidP="00B30448">
      <w:pPr>
        <w:spacing w:after="0" w:line="240" w:lineRule="auto"/>
      </w:pPr>
      <w:r w:rsidRPr="009B7987">
        <w:continuationSeparator/>
      </w:r>
    </w:p>
  </w:endnote>
  <w:endnote w:type="continuationNotice" w:id="1">
    <w:p w14:paraId="2D5E8A91" w14:textId="77777777" w:rsidR="00BF5098" w:rsidRPr="009B7987" w:rsidRDefault="00BF50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Work Sans">
    <w:charset w:val="00"/>
    <w:family w:val="auto"/>
    <w:pitch w:val="variable"/>
    <w:sig w:usb0="A00000FF" w:usb1="5000E07B" w:usb2="00000000" w:usb3="00000000" w:csb0="00000193"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303A5" w14:textId="77777777" w:rsidR="00BF5098" w:rsidRPr="009B7987" w:rsidRDefault="00BF5098" w:rsidP="00B30448">
      <w:pPr>
        <w:spacing w:after="0" w:line="240" w:lineRule="auto"/>
      </w:pPr>
      <w:r w:rsidRPr="009B7987">
        <w:separator/>
      </w:r>
    </w:p>
  </w:footnote>
  <w:footnote w:type="continuationSeparator" w:id="0">
    <w:p w14:paraId="3DE0EA89" w14:textId="77777777" w:rsidR="00BF5098" w:rsidRPr="009B7987" w:rsidRDefault="00BF5098" w:rsidP="00B30448">
      <w:pPr>
        <w:spacing w:after="0" w:line="240" w:lineRule="auto"/>
      </w:pPr>
      <w:r w:rsidRPr="009B7987">
        <w:continuationSeparator/>
      </w:r>
    </w:p>
  </w:footnote>
  <w:footnote w:type="continuationNotice" w:id="1">
    <w:p w14:paraId="210D1FFA" w14:textId="77777777" w:rsidR="00BF5098" w:rsidRPr="009B7987" w:rsidRDefault="00BF5098">
      <w:pPr>
        <w:spacing w:after="0" w:line="240" w:lineRule="auto"/>
      </w:pPr>
    </w:p>
  </w:footnote>
  <w:footnote w:id="2">
    <w:p w14:paraId="64BA17D3" w14:textId="77777777" w:rsidR="00A12BB1" w:rsidRPr="00A747C1" w:rsidRDefault="00A12BB1" w:rsidP="00A12BB1">
      <w:pPr>
        <w:pStyle w:val="Textonotapie"/>
        <w:ind w:firstLine="709"/>
        <w:jc w:val="both"/>
        <w:rPr>
          <w:rFonts w:ascii="Verdana" w:hAnsi="Verdana"/>
          <w:sz w:val="16"/>
          <w:szCs w:val="16"/>
          <w:lang w:val="es-CO"/>
        </w:rPr>
      </w:pPr>
      <w:r w:rsidRPr="00A747C1">
        <w:rPr>
          <w:rStyle w:val="Refdenotaalpie"/>
          <w:rFonts w:ascii="Verdana" w:hAnsi="Verdana"/>
          <w:sz w:val="16"/>
          <w:szCs w:val="16"/>
        </w:rPr>
        <w:footnoteRef/>
      </w:r>
      <w:r w:rsidRPr="00A747C1">
        <w:rPr>
          <w:rFonts w:ascii="Verdana" w:hAnsi="Verdana"/>
          <w:sz w:val="16"/>
          <w:szCs w:val="16"/>
        </w:rPr>
        <w:t xml:space="preserve"> “</w:t>
      </w:r>
      <w:r w:rsidRPr="00A747C1">
        <w:rPr>
          <w:rFonts w:ascii="Verdana" w:hAnsi="Verdana"/>
          <w:sz w:val="16"/>
          <w:szCs w:val="16"/>
          <w:lang w:val="es-CO"/>
        </w:rPr>
        <w:t>La necesidad de participación conjunta entre privados, entre entidades estatales y entre el sector público y el privado es el resultado natural de la aplicación del principio económico que indica que los recursos son de naturaleza escasa y por tanto, en algún punto, se requerirá la realización de alianzas que permitan alcanzar los objetivos propuestos cuando por sus propios medios y esfuerzos ello no es posible. Es ahí donde surgen los denominados Acuerdos de Colaboración Empresarial”</w:t>
      </w:r>
      <w:r w:rsidRPr="00A747C1">
        <w:rPr>
          <w:rFonts w:ascii="Verdana" w:hAnsi="Verdana"/>
          <w:color w:val="222222"/>
          <w:sz w:val="16"/>
          <w:szCs w:val="16"/>
          <w:shd w:val="clear" w:color="auto" w:fill="FFFFFF"/>
          <w:lang w:val="es-CO"/>
        </w:rPr>
        <w:t xml:space="preserve"> J</w:t>
      </w:r>
      <w:r w:rsidRPr="00A747C1">
        <w:rPr>
          <w:rFonts w:ascii="Verdana" w:hAnsi="Verdana"/>
          <w:sz w:val="16"/>
          <w:szCs w:val="16"/>
          <w:lang w:val="es-CO"/>
        </w:rPr>
        <w:t>aramillo Díaz, A. 2020. Los acuerdos de colaboración empresarial en Colombia. Reflexiones prácticas para su implementación. </w:t>
      </w:r>
      <w:r w:rsidRPr="00A747C1">
        <w:rPr>
          <w:rFonts w:ascii="Verdana" w:hAnsi="Verdana"/>
          <w:i/>
          <w:iCs/>
          <w:sz w:val="16"/>
          <w:szCs w:val="16"/>
          <w:lang w:val="es-CO"/>
        </w:rPr>
        <w:t>Revista e-mercatoria</w:t>
      </w:r>
      <w:r w:rsidRPr="00A747C1">
        <w:rPr>
          <w:rFonts w:ascii="Verdana" w:hAnsi="Verdana"/>
          <w:sz w:val="16"/>
          <w:szCs w:val="16"/>
          <w:lang w:val="es-CO"/>
        </w:rPr>
        <w:t xml:space="preserve">. 18, 1 (mar. 2020), Pág. 138. Disponible en: </w:t>
      </w:r>
      <w:hyperlink r:id="rId1" w:history="1">
        <w:r w:rsidRPr="00A747C1">
          <w:rPr>
            <w:rStyle w:val="Hipervnculo"/>
            <w:rFonts w:ascii="Verdana" w:hAnsi="Verdana"/>
            <w:sz w:val="16"/>
            <w:szCs w:val="16"/>
          </w:rPr>
          <w:t>https://revistas.uexternado.edu.co/index.php/emerca/article/view/6440/9269</w:t>
        </w:r>
      </w:hyperlink>
    </w:p>
  </w:footnote>
  <w:footnote w:id="3">
    <w:p w14:paraId="5230EB78" w14:textId="77777777" w:rsidR="00A12BB1" w:rsidRPr="00A747C1" w:rsidRDefault="00A12BB1" w:rsidP="00A12BB1">
      <w:pPr>
        <w:pStyle w:val="Textonotapie"/>
        <w:ind w:firstLine="709"/>
        <w:rPr>
          <w:rFonts w:ascii="Verdana" w:hAnsi="Verdana"/>
          <w:sz w:val="16"/>
          <w:szCs w:val="16"/>
          <w:lang w:val="es-CO"/>
        </w:rPr>
      </w:pPr>
      <w:r w:rsidRPr="00A747C1">
        <w:rPr>
          <w:rStyle w:val="Refdenotaalpie"/>
          <w:rFonts w:ascii="Verdana" w:hAnsi="Verdana"/>
          <w:sz w:val="16"/>
          <w:szCs w:val="16"/>
        </w:rPr>
        <w:footnoteRef/>
      </w:r>
      <w:r w:rsidRPr="00A747C1">
        <w:rPr>
          <w:rFonts w:ascii="Verdana" w:hAnsi="Verdana"/>
          <w:sz w:val="16"/>
          <w:szCs w:val="16"/>
        </w:rPr>
        <w:t xml:space="preserve"> </w:t>
      </w:r>
      <w:r w:rsidRPr="00A747C1">
        <w:rPr>
          <w:rFonts w:ascii="Verdana" w:hAnsi="Verdana"/>
          <w:sz w:val="16"/>
          <w:szCs w:val="16"/>
          <w:lang w:val="es-CO"/>
        </w:rPr>
        <w:t xml:space="preserve">Ibidem </w:t>
      </w:r>
    </w:p>
  </w:footnote>
  <w:footnote w:id="4">
    <w:p w14:paraId="39C63110" w14:textId="77777777" w:rsidR="00A12BB1" w:rsidRPr="00A747C1" w:rsidRDefault="00A12BB1" w:rsidP="00A12BB1">
      <w:pPr>
        <w:pStyle w:val="Textonotapie"/>
        <w:ind w:firstLine="709"/>
        <w:rPr>
          <w:rFonts w:ascii="Verdana" w:hAnsi="Verdana"/>
          <w:sz w:val="16"/>
          <w:szCs w:val="16"/>
          <w:lang w:val="es-CO"/>
        </w:rPr>
      </w:pPr>
      <w:r w:rsidRPr="00A747C1">
        <w:rPr>
          <w:rStyle w:val="Refdenotaalpie"/>
          <w:rFonts w:ascii="Verdana" w:hAnsi="Verdana"/>
          <w:sz w:val="16"/>
          <w:szCs w:val="16"/>
        </w:rPr>
        <w:footnoteRef/>
      </w:r>
      <w:r w:rsidRPr="00A747C1">
        <w:rPr>
          <w:rFonts w:ascii="Verdana" w:hAnsi="Verdana"/>
          <w:sz w:val="16"/>
          <w:szCs w:val="16"/>
        </w:rPr>
        <w:t xml:space="preserve"> </w:t>
      </w:r>
      <w:r w:rsidRPr="00A747C1">
        <w:rPr>
          <w:rFonts w:ascii="Verdana" w:hAnsi="Verdana"/>
          <w:sz w:val="16"/>
          <w:szCs w:val="16"/>
          <w:lang w:val="es-CO"/>
        </w:rPr>
        <w:t xml:space="preserve">Ibidem </w:t>
      </w:r>
    </w:p>
  </w:footnote>
  <w:footnote w:id="5">
    <w:p w14:paraId="0354FDD2" w14:textId="77777777" w:rsidR="00A12BB1" w:rsidRPr="00A747C1" w:rsidRDefault="00A12BB1" w:rsidP="00A12BB1">
      <w:pPr>
        <w:pStyle w:val="Textonotapie"/>
        <w:ind w:firstLine="709"/>
        <w:jc w:val="both"/>
        <w:rPr>
          <w:rFonts w:ascii="Verdana" w:hAnsi="Verdana"/>
          <w:sz w:val="16"/>
          <w:szCs w:val="16"/>
          <w:lang w:val="es-CO"/>
        </w:rPr>
      </w:pPr>
      <w:r w:rsidRPr="00A747C1">
        <w:rPr>
          <w:rStyle w:val="Refdenotaalpie"/>
          <w:rFonts w:ascii="Verdana" w:hAnsi="Verdana"/>
          <w:color w:val="000000" w:themeColor="text1"/>
          <w:sz w:val="16"/>
          <w:szCs w:val="16"/>
        </w:rPr>
        <w:footnoteRef/>
      </w:r>
      <w:r w:rsidRPr="00A747C1">
        <w:rPr>
          <w:rFonts w:ascii="Verdana" w:hAnsi="Verdana"/>
          <w:color w:val="000000" w:themeColor="text1"/>
          <w:sz w:val="16"/>
          <w:szCs w:val="16"/>
        </w:rPr>
        <w:t xml:space="preserve"> </w:t>
      </w:r>
      <w:bookmarkStart w:id="3" w:name="_Hlk201760509"/>
      <w:r w:rsidRPr="00A747C1">
        <w:rPr>
          <w:rFonts w:ascii="Verdana" w:hAnsi="Verdana"/>
          <w:color w:val="000000" w:themeColor="text1"/>
          <w:sz w:val="16"/>
          <w:szCs w:val="16"/>
        </w:rPr>
        <w:t xml:space="preserve">Lozada Pimiento, Nicolás Ernesto. En torno al régimen de contratación de las empresas sociales del Estado. Revista Derecho del Estado [en linea]. 2006, (18), 153-169. ISSN: 0122-9893. Disponible en: </w:t>
      </w:r>
      <w:hyperlink r:id="rId2" w:history="1">
        <w:r w:rsidRPr="00A747C1">
          <w:rPr>
            <w:rStyle w:val="Hipervnculo"/>
            <w:rFonts w:ascii="Verdana" w:hAnsi="Verdana"/>
            <w:sz w:val="16"/>
            <w:szCs w:val="16"/>
          </w:rPr>
          <w:t>https://www.redalyc.org/articulo.oa?id=337630227008</w:t>
        </w:r>
      </w:hyperlink>
      <w:r w:rsidRPr="00A747C1">
        <w:rPr>
          <w:rFonts w:ascii="Verdana" w:hAnsi="Verdana"/>
          <w:color w:val="000000" w:themeColor="text1"/>
          <w:sz w:val="16"/>
          <w:szCs w:val="16"/>
        </w:rPr>
        <w:t xml:space="preserve"> </w:t>
      </w:r>
      <w:bookmarkEnd w:id="3"/>
    </w:p>
  </w:footnote>
  <w:footnote w:id="6">
    <w:p w14:paraId="6E9A0DF2" w14:textId="77777777" w:rsidR="00A12BB1" w:rsidRPr="00A747C1" w:rsidRDefault="00A12BB1" w:rsidP="00A12BB1">
      <w:pPr>
        <w:pStyle w:val="Textonotapie"/>
        <w:ind w:firstLine="709"/>
        <w:jc w:val="both"/>
        <w:rPr>
          <w:rFonts w:ascii="Verdana" w:hAnsi="Verdana"/>
          <w:sz w:val="16"/>
          <w:szCs w:val="16"/>
          <w:lang w:val="es-CO"/>
        </w:rPr>
      </w:pPr>
      <w:r w:rsidRPr="00A747C1">
        <w:rPr>
          <w:rStyle w:val="Refdenotaalpie"/>
          <w:rFonts w:ascii="Verdana" w:hAnsi="Verdana"/>
          <w:sz w:val="16"/>
          <w:szCs w:val="16"/>
        </w:rPr>
        <w:footnoteRef/>
      </w:r>
      <w:r w:rsidRPr="00A747C1">
        <w:rPr>
          <w:rFonts w:ascii="Verdana" w:hAnsi="Verdana"/>
          <w:sz w:val="16"/>
          <w:szCs w:val="16"/>
        </w:rPr>
        <w:t xml:space="preserve"> Procuraduría General del Estado. República de Ecuador. infografías – Control de la Legalidad. Disponible en: </w:t>
      </w:r>
      <w:hyperlink r:id="rId3" w:history="1">
        <w:r w:rsidRPr="00A747C1">
          <w:rPr>
            <w:rStyle w:val="Hipervnculo"/>
            <w:rFonts w:ascii="Verdana" w:hAnsi="Verdana"/>
            <w:sz w:val="16"/>
            <w:szCs w:val="16"/>
          </w:rPr>
          <w:t>https://www.pge.gob.ec/index.php/infografias/control-de-la-legalidad</w:t>
        </w:r>
      </w:hyperlink>
      <w:r w:rsidRPr="00A747C1">
        <w:rPr>
          <w:rFonts w:ascii="Verdana" w:hAnsi="Verdana"/>
          <w:sz w:val="16"/>
          <w:szCs w:val="16"/>
        </w:rPr>
        <w:t xml:space="preserve"> </w:t>
      </w:r>
    </w:p>
  </w:footnote>
  <w:footnote w:id="7">
    <w:p w14:paraId="2715E0A6" w14:textId="77777777" w:rsidR="00A12BB1" w:rsidRPr="00A747C1" w:rsidRDefault="00A12BB1" w:rsidP="00A12BB1">
      <w:pPr>
        <w:pStyle w:val="Textonotapie"/>
        <w:ind w:firstLine="709"/>
        <w:jc w:val="both"/>
        <w:rPr>
          <w:rFonts w:ascii="Verdana" w:hAnsi="Verdana" w:cs="Open Sans"/>
          <w:color w:val="000000"/>
          <w:sz w:val="16"/>
          <w:szCs w:val="16"/>
          <w:lang w:val="es-CO"/>
        </w:rPr>
      </w:pPr>
      <w:r w:rsidRPr="00A747C1">
        <w:rPr>
          <w:rStyle w:val="Refdenotaalpie"/>
          <w:rFonts w:ascii="Verdana" w:hAnsi="Verdana"/>
          <w:sz w:val="16"/>
          <w:szCs w:val="16"/>
        </w:rPr>
        <w:footnoteRef/>
      </w:r>
      <w:r w:rsidRPr="00A747C1">
        <w:rPr>
          <w:rFonts w:ascii="Verdana" w:hAnsi="Verdana"/>
          <w:sz w:val="16"/>
          <w:szCs w:val="16"/>
        </w:rPr>
        <w:t xml:space="preserve"> </w:t>
      </w:r>
      <w:bookmarkStart w:id="4" w:name="7"/>
      <w:r w:rsidRPr="00A747C1">
        <w:rPr>
          <w:rFonts w:ascii="Verdana" w:hAnsi="Verdana"/>
          <w:sz w:val="16"/>
          <w:szCs w:val="16"/>
        </w:rPr>
        <w:t>"</w:t>
      </w:r>
      <w:r w:rsidRPr="00A747C1">
        <w:rPr>
          <w:rFonts w:ascii="Verdana" w:hAnsi="Verdana"/>
          <w:sz w:val="16"/>
          <w:szCs w:val="16"/>
          <w:lang w:val="es-CO"/>
        </w:rPr>
        <w:t>ARTÍCULO 7o. ENTIDADES A CONTRATAR.</w:t>
      </w:r>
      <w:bookmarkEnd w:id="4"/>
      <w:r w:rsidRPr="00A747C1">
        <w:rPr>
          <w:rFonts w:ascii="Verdana" w:hAnsi="Verdana"/>
          <w:sz w:val="16"/>
          <w:szCs w:val="16"/>
          <w:lang w:val="es-CO"/>
        </w:rPr>
        <w:t> &lt;Artículo modificado por el artículo </w:t>
      </w:r>
      <w:hyperlink r:id="rId4" w:anchor="3" w:history="1">
        <w:r w:rsidRPr="00A747C1">
          <w:rPr>
            <w:rStyle w:val="Hipervnculo"/>
            <w:rFonts w:ascii="Verdana" w:hAnsi="Verdana"/>
            <w:sz w:val="16"/>
            <w:szCs w:val="16"/>
            <w:lang w:val="es-CO"/>
          </w:rPr>
          <w:t>3</w:t>
        </w:r>
      </w:hyperlink>
      <w:r w:rsidRPr="00A747C1">
        <w:rPr>
          <w:rFonts w:ascii="Verdana" w:hAnsi="Verdana"/>
          <w:sz w:val="16"/>
          <w:szCs w:val="16"/>
          <w:lang w:val="es-CO"/>
        </w:rPr>
        <w:t> de la Ley 2160 de 2021. El nuevo texto es el siguiente:&gt;</w:t>
      </w:r>
      <w:r w:rsidRPr="00A747C1">
        <w:rPr>
          <w:rFonts w:ascii="Verdana" w:hAnsi="Verdana" w:cs="Open Sans"/>
          <w:color w:val="000000"/>
          <w:sz w:val="16"/>
          <w:szCs w:val="16"/>
          <w:lang w:val="es-CO"/>
        </w:rPr>
        <w:t xml:space="preserve"> […]</w:t>
      </w:r>
    </w:p>
    <w:p w14:paraId="0D5801B8" w14:textId="77777777" w:rsidR="00A12BB1" w:rsidRPr="00A747C1" w:rsidRDefault="00A12BB1" w:rsidP="00A12BB1">
      <w:pPr>
        <w:pStyle w:val="Textonotapie"/>
        <w:ind w:firstLine="709"/>
        <w:jc w:val="both"/>
        <w:rPr>
          <w:rFonts w:ascii="Verdana" w:hAnsi="Verdana"/>
          <w:sz w:val="16"/>
          <w:szCs w:val="16"/>
          <w:lang w:val="es-CO"/>
        </w:rPr>
      </w:pPr>
      <w:r w:rsidRPr="00A747C1">
        <w:rPr>
          <w:rFonts w:ascii="Verdana" w:hAnsi="Verdana"/>
          <w:sz w:val="16"/>
          <w:szCs w:val="16"/>
          <w:lang w:val="es-CO"/>
        </w:rPr>
        <w:t>6.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0446B947" w14:textId="77777777" w:rsidR="00A12BB1" w:rsidRPr="00A747C1" w:rsidRDefault="00A12BB1" w:rsidP="00A12BB1">
      <w:pPr>
        <w:pStyle w:val="Textonotapie"/>
        <w:ind w:firstLine="709"/>
        <w:jc w:val="both"/>
        <w:rPr>
          <w:rFonts w:ascii="Verdana" w:hAnsi="Verdana"/>
          <w:sz w:val="16"/>
          <w:szCs w:val="16"/>
          <w:lang w:val="es-CO"/>
        </w:rPr>
      </w:pPr>
      <w:r w:rsidRPr="00A747C1">
        <w:rPr>
          <w:rFonts w:ascii="Verdana" w:hAnsi="Verdana"/>
          <w:sz w:val="16"/>
          <w:szCs w:val="16"/>
          <w:lang w:val="es-CO"/>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footnote>
  <w:footnote w:id="8">
    <w:p w14:paraId="283E8C92" w14:textId="77777777" w:rsidR="00A12BB1" w:rsidRPr="00A747C1" w:rsidRDefault="00A12BB1" w:rsidP="00A12BB1">
      <w:pPr>
        <w:pStyle w:val="Textonotapie"/>
        <w:ind w:firstLine="708"/>
        <w:jc w:val="both"/>
        <w:rPr>
          <w:rFonts w:ascii="Verdana" w:hAnsi="Verdana" w:cs="Arial"/>
          <w:sz w:val="16"/>
          <w:szCs w:val="16"/>
        </w:rPr>
      </w:pPr>
      <w:r w:rsidRPr="00A747C1">
        <w:rPr>
          <w:rStyle w:val="Refdenotaalpie"/>
          <w:rFonts w:ascii="Verdana" w:hAnsi="Verdana" w:cs="Arial"/>
          <w:sz w:val="16"/>
          <w:szCs w:val="16"/>
        </w:rPr>
        <w:footnoteRef/>
      </w:r>
      <w:r w:rsidRPr="00A747C1">
        <w:rPr>
          <w:rFonts w:ascii="Verdana" w:hAnsi="Verdana" w:cs="Arial"/>
          <w:sz w:val="16"/>
          <w:szCs w:val="16"/>
        </w:rPr>
        <w:t xml:space="preserve"> “El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 (Corte Constitucional, sentencia C-414 de 1994, M.P. Antonio Barrera</w:t>
      </w:r>
      <w:r w:rsidRPr="00A747C1">
        <w:rPr>
          <w:rFonts w:ascii="Verdana" w:hAnsi="Verdana" w:cs="Arial"/>
          <w:spacing w:val="-2"/>
          <w:sz w:val="16"/>
          <w:szCs w:val="16"/>
        </w:rPr>
        <w:t xml:space="preserve"> </w:t>
      </w:r>
      <w:r w:rsidRPr="00A747C1">
        <w:rPr>
          <w:rFonts w:ascii="Verdana" w:hAnsi="Verdana" w:cs="Arial"/>
          <w:sz w:val="16"/>
          <w:szCs w:val="16"/>
        </w:rPr>
        <w:t>Carbonell).</w:t>
      </w:r>
    </w:p>
  </w:footnote>
  <w:footnote w:id="9">
    <w:p w14:paraId="02A3843A" w14:textId="77777777" w:rsidR="00A12BB1" w:rsidRPr="00A747C1" w:rsidRDefault="00A12BB1" w:rsidP="00A12BB1">
      <w:pPr>
        <w:spacing w:after="0" w:line="240" w:lineRule="auto"/>
        <w:ind w:firstLine="708"/>
        <w:jc w:val="both"/>
        <w:rPr>
          <w:rFonts w:ascii="Verdana" w:hAnsi="Verdana" w:cs="Arial"/>
          <w:sz w:val="16"/>
          <w:szCs w:val="16"/>
        </w:rPr>
      </w:pPr>
      <w:r w:rsidRPr="00A747C1">
        <w:rPr>
          <w:rStyle w:val="Refdenotaalpie"/>
          <w:rFonts w:ascii="Verdana" w:hAnsi="Verdana" w:cs="Arial"/>
          <w:sz w:val="16"/>
          <w:szCs w:val="16"/>
        </w:rPr>
        <w:footnoteRef/>
      </w:r>
      <w:r w:rsidRPr="00A747C1">
        <w:rPr>
          <w:rFonts w:ascii="Verdana" w:hAnsi="Verdana" w:cs="Arial"/>
          <w:sz w:val="16"/>
          <w:szCs w:val="16"/>
        </w:rPr>
        <w:t xml:space="preserve"> LAFONT PIANETTA, Pedro. Manual de contratos, Tomo I, Ediciones Librería del Profesional, 1 Ed, 2001, p.508.</w:t>
      </w:r>
    </w:p>
  </w:footnote>
  <w:footnote w:id="10">
    <w:p w14:paraId="5614479C" w14:textId="77777777" w:rsidR="00A12BB1" w:rsidRPr="00A747C1" w:rsidRDefault="00A12BB1" w:rsidP="00A12BB1">
      <w:pPr>
        <w:pStyle w:val="Textonotapie"/>
        <w:ind w:firstLine="709"/>
        <w:rPr>
          <w:rFonts w:ascii="Verdana" w:hAnsi="Verdana"/>
          <w:sz w:val="16"/>
          <w:szCs w:val="16"/>
          <w:lang w:val="es-CO"/>
        </w:rPr>
      </w:pPr>
      <w:r w:rsidRPr="00A747C1">
        <w:rPr>
          <w:rStyle w:val="Refdenotaalpie"/>
          <w:rFonts w:ascii="Verdana" w:hAnsi="Verdana"/>
          <w:sz w:val="16"/>
          <w:szCs w:val="16"/>
        </w:rPr>
        <w:footnoteRef/>
      </w:r>
      <w:r w:rsidRPr="00A747C1">
        <w:rPr>
          <w:rFonts w:ascii="Verdana" w:hAnsi="Verdana"/>
          <w:sz w:val="16"/>
          <w:szCs w:val="16"/>
        </w:rPr>
        <w:t xml:space="preserve"> </w:t>
      </w:r>
      <w:r w:rsidRPr="00A747C1">
        <w:rPr>
          <w:rFonts w:ascii="Verdana" w:hAnsi="Verdana"/>
          <w:color w:val="000000" w:themeColor="text1"/>
          <w:sz w:val="16"/>
          <w:szCs w:val="16"/>
        </w:rPr>
        <w:t xml:space="preserve">Lozada Pimiento, Nicolás Ernesto. En torno al régimen de contratación de las empresas sociales del Estado. Revista Derecho del Estado [en línea]. 2006, (18), 153-169. ISSN: 0122-9893. Disponible en: </w:t>
      </w:r>
      <w:hyperlink r:id="rId5" w:history="1">
        <w:r w:rsidRPr="00A747C1">
          <w:rPr>
            <w:rStyle w:val="Hipervnculo"/>
            <w:rFonts w:ascii="Verdana" w:hAnsi="Verdana"/>
            <w:sz w:val="16"/>
            <w:szCs w:val="16"/>
          </w:rPr>
          <w:t>https://www.redalyc.org/articulo.oa?id=337630227008</w:t>
        </w:r>
      </w:hyperlink>
    </w:p>
  </w:footnote>
  <w:footnote w:id="11">
    <w:p w14:paraId="630C21C2" w14:textId="77777777" w:rsidR="00A12BB1" w:rsidRPr="00A747C1" w:rsidRDefault="00A12BB1" w:rsidP="00A12BB1">
      <w:pPr>
        <w:pStyle w:val="Textonotapie"/>
        <w:ind w:firstLine="709"/>
        <w:jc w:val="both"/>
        <w:rPr>
          <w:rFonts w:ascii="Verdana" w:hAnsi="Verdana"/>
          <w:sz w:val="16"/>
          <w:szCs w:val="16"/>
          <w:lang w:val="es-CO"/>
        </w:rPr>
      </w:pPr>
      <w:r w:rsidRPr="00A747C1">
        <w:rPr>
          <w:rStyle w:val="Refdenotaalpie"/>
          <w:rFonts w:ascii="Verdana" w:hAnsi="Verdana"/>
          <w:sz w:val="16"/>
          <w:szCs w:val="16"/>
        </w:rPr>
        <w:footnoteRef/>
      </w:r>
      <w:r w:rsidRPr="00A747C1">
        <w:rPr>
          <w:rFonts w:ascii="Verdana" w:hAnsi="Verdana"/>
          <w:sz w:val="16"/>
          <w:szCs w:val="16"/>
        </w:rPr>
        <w:t xml:space="preserve"> </w:t>
      </w:r>
      <w:r w:rsidRPr="00A747C1">
        <w:rPr>
          <w:rFonts w:ascii="Verdana" w:hAnsi="Verdana"/>
          <w:sz w:val="16"/>
          <w:szCs w:val="16"/>
          <w:lang w:val="es-CO"/>
        </w:rPr>
        <w:t>"Por el cual se crea el patrimonio autónomo para el emprendimiento, la formalización y el fortalecimiento empresarial de las mujeres, con el fin de mitigar los efectos de la Emergencia Social, Económica y Ecológica".</w:t>
      </w:r>
    </w:p>
  </w:footnote>
  <w:footnote w:id="12">
    <w:p w14:paraId="63780A82" w14:textId="77777777" w:rsidR="00A12BB1" w:rsidRPr="00A747C1" w:rsidRDefault="00A12BB1" w:rsidP="00A12BB1">
      <w:pPr>
        <w:pStyle w:val="Textonotapie"/>
        <w:ind w:firstLine="708"/>
        <w:jc w:val="both"/>
        <w:rPr>
          <w:rFonts w:ascii="Verdana" w:hAnsi="Verdana"/>
          <w:sz w:val="16"/>
          <w:szCs w:val="16"/>
        </w:rPr>
      </w:pPr>
      <w:r w:rsidRPr="00A747C1">
        <w:rPr>
          <w:rStyle w:val="Refdenotaalpie"/>
          <w:rFonts w:ascii="Verdana" w:hAnsi="Verdana" w:cs="Arial"/>
          <w:sz w:val="16"/>
          <w:szCs w:val="16"/>
        </w:rPr>
        <w:footnoteRef/>
      </w:r>
      <w:r w:rsidRPr="00A747C1">
        <w:rPr>
          <w:rFonts w:ascii="Verdana" w:hAnsi="Verdana" w:cs="Arial"/>
          <w:sz w:val="16"/>
          <w:szCs w:val="16"/>
        </w:rPr>
        <w:t xml:space="preserve"> “Artículo 2.2.2.5.12. Contratación de operadores catastrales. Los gestores catastrales podrán contratar operadores catastrales que cumplan los requisitos establecidos en el artículo anterior. En el contrato debe estipular claramente el alcance de las obligaciones a cargo del operador catastral. Las actividades, productos y subproductos contratados deberán guardar relación directa con la prestación del servicio público de gestión catastral.  </w:t>
      </w:r>
    </w:p>
    <w:p w14:paraId="0F3800CF" w14:textId="77777777" w:rsidR="00A12BB1" w:rsidRPr="00A747C1" w:rsidRDefault="00A12BB1" w:rsidP="00A12BB1">
      <w:pPr>
        <w:pStyle w:val="Textonotapie"/>
        <w:ind w:firstLine="708"/>
        <w:jc w:val="both"/>
        <w:rPr>
          <w:rFonts w:ascii="Verdana" w:hAnsi="Verdana" w:cs="Arial"/>
          <w:sz w:val="16"/>
          <w:szCs w:val="16"/>
        </w:rPr>
      </w:pPr>
      <w:r w:rsidRPr="00A747C1">
        <w:rPr>
          <w:rFonts w:ascii="Verdana" w:hAnsi="Verdana" w:cs="Arial"/>
          <w:sz w:val="16"/>
          <w:szCs w:val="16"/>
        </w:rPr>
        <w:t xml:space="preserve">Parágrafo 1°. La remuneración de los operadores catastrales contratados por los gestores catastrales deberá fundarse en un estudio de mercado que tenga en cuenta un análisis de costo-beneficio de la respectiva contratación según las necesidades y particularidades del territorio a intervenir.  </w:t>
      </w:r>
    </w:p>
    <w:p w14:paraId="7283C808" w14:textId="77777777" w:rsidR="00A12BB1" w:rsidRPr="00A747C1" w:rsidRDefault="00A12BB1" w:rsidP="00A12BB1">
      <w:pPr>
        <w:pStyle w:val="Textonotapie"/>
        <w:ind w:firstLine="708"/>
        <w:jc w:val="both"/>
        <w:rPr>
          <w:rFonts w:ascii="Verdana" w:hAnsi="Verdana" w:cs="Arial"/>
          <w:sz w:val="16"/>
          <w:szCs w:val="16"/>
        </w:rPr>
      </w:pPr>
      <w:r w:rsidRPr="00A747C1">
        <w:rPr>
          <w:rFonts w:ascii="Verdana" w:hAnsi="Verdana" w:cs="Arial"/>
          <w:sz w:val="16"/>
          <w:szCs w:val="16"/>
        </w:rPr>
        <w:t>Parágrafo 2°. Los operadores autorizados para realizar asociaciones con los EAT a los que se refiere el artículo 249 de la Ley 1955 de 2019 para la prestación del servicio público de la gestión catastral serán los operadores catastrales. La participación de los operadores catastrales en estas asociaciones corresponderá las labores operativas señaladas en el artículo 79 de la misma ley”.</w:t>
      </w:r>
    </w:p>
    <w:p w14:paraId="449DDC02" w14:textId="77777777" w:rsidR="00A12BB1" w:rsidRPr="00A747C1" w:rsidRDefault="00A12BB1" w:rsidP="00A12BB1">
      <w:pPr>
        <w:pStyle w:val="Textonotapie"/>
        <w:ind w:firstLine="708"/>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769791B"/>
    <w:multiLevelType w:val="hybridMultilevel"/>
    <w:tmpl w:val="6BF6515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7"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0"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1"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3D0415FF"/>
    <w:multiLevelType w:val="hybridMultilevel"/>
    <w:tmpl w:val="22A09A72"/>
    <w:lvl w:ilvl="0" w:tplc="27788FB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1"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4"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8" w15:restartNumberingAfterBreak="0">
    <w:nsid w:val="632A7B77"/>
    <w:multiLevelType w:val="hybridMultilevel"/>
    <w:tmpl w:val="461E644C"/>
    <w:lvl w:ilvl="0" w:tplc="C4BCE5C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1"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6"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3"/>
  </w:num>
  <w:num w:numId="3" w16cid:durableId="679089576">
    <w:abstractNumId w:val="17"/>
  </w:num>
  <w:num w:numId="4" w16cid:durableId="893472101">
    <w:abstractNumId w:val="9"/>
  </w:num>
  <w:num w:numId="5" w16cid:durableId="1982299905">
    <w:abstractNumId w:val="36"/>
  </w:num>
  <w:num w:numId="6" w16cid:durableId="130758360">
    <w:abstractNumId w:val="21"/>
  </w:num>
  <w:num w:numId="7" w16cid:durableId="262541512">
    <w:abstractNumId w:val="33"/>
  </w:num>
  <w:num w:numId="8" w16cid:durableId="1947226218">
    <w:abstractNumId w:val="16"/>
  </w:num>
  <w:num w:numId="9" w16cid:durableId="1180706126">
    <w:abstractNumId w:val="20"/>
  </w:num>
  <w:num w:numId="10" w16cid:durableId="2097506960">
    <w:abstractNumId w:val="26"/>
  </w:num>
  <w:num w:numId="11" w16cid:durableId="1977490869">
    <w:abstractNumId w:val="24"/>
  </w:num>
  <w:num w:numId="12" w16cid:durableId="158663248">
    <w:abstractNumId w:val="23"/>
  </w:num>
  <w:num w:numId="13" w16cid:durableId="2024085788">
    <w:abstractNumId w:val="2"/>
  </w:num>
  <w:num w:numId="14" w16cid:durableId="1885099950">
    <w:abstractNumId w:val="15"/>
  </w:num>
  <w:num w:numId="15" w16cid:durableId="32047459">
    <w:abstractNumId w:val="10"/>
  </w:num>
  <w:num w:numId="16" w16cid:durableId="1192261824">
    <w:abstractNumId w:val="11"/>
  </w:num>
  <w:num w:numId="17" w16cid:durableId="375933272">
    <w:abstractNumId w:val="19"/>
  </w:num>
  <w:num w:numId="18" w16cid:durableId="610939998">
    <w:abstractNumId w:val="27"/>
  </w:num>
  <w:num w:numId="19" w16cid:durableId="1910656144">
    <w:abstractNumId w:val="4"/>
  </w:num>
  <w:num w:numId="20" w16cid:durableId="947545103">
    <w:abstractNumId w:val="14"/>
  </w:num>
  <w:num w:numId="21" w16cid:durableId="1851335222">
    <w:abstractNumId w:val="35"/>
  </w:num>
  <w:num w:numId="22" w16cid:durableId="578707994">
    <w:abstractNumId w:val="6"/>
  </w:num>
  <w:num w:numId="23" w16cid:durableId="876742304">
    <w:abstractNumId w:val="12"/>
  </w:num>
  <w:num w:numId="24" w16cid:durableId="1994095851">
    <w:abstractNumId w:val="7"/>
  </w:num>
  <w:num w:numId="25" w16cid:durableId="1567109325">
    <w:abstractNumId w:val="29"/>
  </w:num>
  <w:num w:numId="26" w16cid:durableId="1116487847">
    <w:abstractNumId w:val="22"/>
  </w:num>
  <w:num w:numId="27" w16cid:durableId="611326471">
    <w:abstractNumId w:val="31"/>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4"/>
  </w:num>
  <w:num w:numId="30" w16cid:durableId="363991975">
    <w:abstractNumId w:val="32"/>
  </w:num>
  <w:num w:numId="31" w16cid:durableId="1509440290">
    <w:abstractNumId w:val="25"/>
  </w:num>
  <w:num w:numId="32" w16cid:durableId="1601723362">
    <w:abstractNumId w:val="8"/>
  </w:num>
  <w:num w:numId="33" w16cid:durableId="1484539021">
    <w:abstractNumId w:val="5"/>
  </w:num>
  <w:num w:numId="34" w16cid:durableId="1387339555">
    <w:abstractNumId w:val="3"/>
  </w:num>
  <w:num w:numId="35" w16cid:durableId="591087840">
    <w:abstractNumId w:val="30"/>
  </w:num>
  <w:num w:numId="36" w16cid:durableId="1749686802">
    <w:abstractNumId w:val="28"/>
  </w:num>
  <w:num w:numId="37" w16cid:durableId="20032414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08"/>
    <w:rsid w:val="00001E39"/>
    <w:rsid w:val="00002920"/>
    <w:rsid w:val="00002D55"/>
    <w:rsid w:val="00003457"/>
    <w:rsid w:val="0000399A"/>
    <w:rsid w:val="00005225"/>
    <w:rsid w:val="000052D9"/>
    <w:rsid w:val="000054DB"/>
    <w:rsid w:val="0000587D"/>
    <w:rsid w:val="000059AE"/>
    <w:rsid w:val="00005BB0"/>
    <w:rsid w:val="000063EF"/>
    <w:rsid w:val="00006F59"/>
    <w:rsid w:val="00007086"/>
    <w:rsid w:val="00007382"/>
    <w:rsid w:val="00007576"/>
    <w:rsid w:val="0001025F"/>
    <w:rsid w:val="0001035A"/>
    <w:rsid w:val="00010753"/>
    <w:rsid w:val="00010B6E"/>
    <w:rsid w:val="0001155E"/>
    <w:rsid w:val="00011613"/>
    <w:rsid w:val="00011D3C"/>
    <w:rsid w:val="00011D89"/>
    <w:rsid w:val="0001222D"/>
    <w:rsid w:val="00012550"/>
    <w:rsid w:val="00012679"/>
    <w:rsid w:val="00012EDA"/>
    <w:rsid w:val="00013B3F"/>
    <w:rsid w:val="00014981"/>
    <w:rsid w:val="00014B0D"/>
    <w:rsid w:val="00014E7B"/>
    <w:rsid w:val="00016280"/>
    <w:rsid w:val="000162CB"/>
    <w:rsid w:val="0001672C"/>
    <w:rsid w:val="0001677E"/>
    <w:rsid w:val="00016F04"/>
    <w:rsid w:val="00017870"/>
    <w:rsid w:val="00021068"/>
    <w:rsid w:val="00021595"/>
    <w:rsid w:val="000219D1"/>
    <w:rsid w:val="00021C3A"/>
    <w:rsid w:val="0002202D"/>
    <w:rsid w:val="00022C23"/>
    <w:rsid w:val="00023DF7"/>
    <w:rsid w:val="00024A81"/>
    <w:rsid w:val="000262C9"/>
    <w:rsid w:val="000267DD"/>
    <w:rsid w:val="000273EA"/>
    <w:rsid w:val="00027B63"/>
    <w:rsid w:val="00027CA9"/>
    <w:rsid w:val="00030B3D"/>
    <w:rsid w:val="00030BC5"/>
    <w:rsid w:val="00030BFB"/>
    <w:rsid w:val="00031DA1"/>
    <w:rsid w:val="00031EAF"/>
    <w:rsid w:val="00033390"/>
    <w:rsid w:val="00034F35"/>
    <w:rsid w:val="000361EA"/>
    <w:rsid w:val="0003699E"/>
    <w:rsid w:val="000369C0"/>
    <w:rsid w:val="0003731A"/>
    <w:rsid w:val="00037A8B"/>
    <w:rsid w:val="00040372"/>
    <w:rsid w:val="000408AD"/>
    <w:rsid w:val="00041469"/>
    <w:rsid w:val="0004180C"/>
    <w:rsid w:val="000419D7"/>
    <w:rsid w:val="00042DD7"/>
    <w:rsid w:val="00043EE5"/>
    <w:rsid w:val="00043F87"/>
    <w:rsid w:val="000442CC"/>
    <w:rsid w:val="000442DE"/>
    <w:rsid w:val="00044B24"/>
    <w:rsid w:val="0004508D"/>
    <w:rsid w:val="0004526E"/>
    <w:rsid w:val="0004589D"/>
    <w:rsid w:val="00045A85"/>
    <w:rsid w:val="00045B37"/>
    <w:rsid w:val="0004683C"/>
    <w:rsid w:val="0004709D"/>
    <w:rsid w:val="000470DB"/>
    <w:rsid w:val="000504AA"/>
    <w:rsid w:val="0005086B"/>
    <w:rsid w:val="0005098A"/>
    <w:rsid w:val="00050C95"/>
    <w:rsid w:val="00050CAD"/>
    <w:rsid w:val="0005142D"/>
    <w:rsid w:val="00051A3C"/>
    <w:rsid w:val="00051BE4"/>
    <w:rsid w:val="00051E96"/>
    <w:rsid w:val="000526A8"/>
    <w:rsid w:val="00052EF1"/>
    <w:rsid w:val="00053118"/>
    <w:rsid w:val="0005420B"/>
    <w:rsid w:val="00054DFE"/>
    <w:rsid w:val="000551CB"/>
    <w:rsid w:val="0005620B"/>
    <w:rsid w:val="00057392"/>
    <w:rsid w:val="000577A2"/>
    <w:rsid w:val="000577D3"/>
    <w:rsid w:val="000577DA"/>
    <w:rsid w:val="00057963"/>
    <w:rsid w:val="000579AB"/>
    <w:rsid w:val="00060AE4"/>
    <w:rsid w:val="000613D2"/>
    <w:rsid w:val="000622B9"/>
    <w:rsid w:val="000631E9"/>
    <w:rsid w:val="00063B4B"/>
    <w:rsid w:val="00064431"/>
    <w:rsid w:val="00064721"/>
    <w:rsid w:val="00064D60"/>
    <w:rsid w:val="00065973"/>
    <w:rsid w:val="00065C6D"/>
    <w:rsid w:val="000665D3"/>
    <w:rsid w:val="00066646"/>
    <w:rsid w:val="00066C7A"/>
    <w:rsid w:val="00066CF1"/>
    <w:rsid w:val="00066F9F"/>
    <w:rsid w:val="000678BB"/>
    <w:rsid w:val="0007144A"/>
    <w:rsid w:val="000716AB"/>
    <w:rsid w:val="00071AB8"/>
    <w:rsid w:val="0007243A"/>
    <w:rsid w:val="000734CB"/>
    <w:rsid w:val="00074660"/>
    <w:rsid w:val="00076211"/>
    <w:rsid w:val="000762C0"/>
    <w:rsid w:val="0007655A"/>
    <w:rsid w:val="00076737"/>
    <w:rsid w:val="00076C2B"/>
    <w:rsid w:val="00076C73"/>
    <w:rsid w:val="00076F81"/>
    <w:rsid w:val="000772B1"/>
    <w:rsid w:val="000779DE"/>
    <w:rsid w:val="00077C90"/>
    <w:rsid w:val="000800B6"/>
    <w:rsid w:val="00080D15"/>
    <w:rsid w:val="00081B03"/>
    <w:rsid w:val="000847A0"/>
    <w:rsid w:val="00084BFD"/>
    <w:rsid w:val="000855AC"/>
    <w:rsid w:val="00087073"/>
    <w:rsid w:val="0008739A"/>
    <w:rsid w:val="000875BD"/>
    <w:rsid w:val="000878E7"/>
    <w:rsid w:val="00087A3B"/>
    <w:rsid w:val="00087C01"/>
    <w:rsid w:val="00087EBD"/>
    <w:rsid w:val="000903E4"/>
    <w:rsid w:val="000906E3"/>
    <w:rsid w:val="00091D73"/>
    <w:rsid w:val="00091F4A"/>
    <w:rsid w:val="000933B5"/>
    <w:rsid w:val="000933BC"/>
    <w:rsid w:val="00093544"/>
    <w:rsid w:val="00093D95"/>
    <w:rsid w:val="00094663"/>
    <w:rsid w:val="00095410"/>
    <w:rsid w:val="00095E48"/>
    <w:rsid w:val="00095EE9"/>
    <w:rsid w:val="00096637"/>
    <w:rsid w:val="0009726B"/>
    <w:rsid w:val="00097285"/>
    <w:rsid w:val="000975EA"/>
    <w:rsid w:val="000A021A"/>
    <w:rsid w:val="000A1828"/>
    <w:rsid w:val="000A1C31"/>
    <w:rsid w:val="000A1D06"/>
    <w:rsid w:val="000A1F38"/>
    <w:rsid w:val="000A2030"/>
    <w:rsid w:val="000A37F5"/>
    <w:rsid w:val="000A3BB3"/>
    <w:rsid w:val="000A413A"/>
    <w:rsid w:val="000A4F1E"/>
    <w:rsid w:val="000A5881"/>
    <w:rsid w:val="000A66A1"/>
    <w:rsid w:val="000A69FB"/>
    <w:rsid w:val="000A74AE"/>
    <w:rsid w:val="000B0B16"/>
    <w:rsid w:val="000B1087"/>
    <w:rsid w:val="000B199A"/>
    <w:rsid w:val="000B1FF7"/>
    <w:rsid w:val="000B2529"/>
    <w:rsid w:val="000B2B7C"/>
    <w:rsid w:val="000B377E"/>
    <w:rsid w:val="000B381D"/>
    <w:rsid w:val="000B3DD4"/>
    <w:rsid w:val="000B4024"/>
    <w:rsid w:val="000B44BA"/>
    <w:rsid w:val="000B493C"/>
    <w:rsid w:val="000B4C9C"/>
    <w:rsid w:val="000B5311"/>
    <w:rsid w:val="000B5313"/>
    <w:rsid w:val="000B5C05"/>
    <w:rsid w:val="000B5C65"/>
    <w:rsid w:val="000B5F1D"/>
    <w:rsid w:val="000B6BE9"/>
    <w:rsid w:val="000B6FF8"/>
    <w:rsid w:val="000C02AD"/>
    <w:rsid w:val="000C060A"/>
    <w:rsid w:val="000C07B0"/>
    <w:rsid w:val="000C09DF"/>
    <w:rsid w:val="000C0AA8"/>
    <w:rsid w:val="000C18BD"/>
    <w:rsid w:val="000C1FC8"/>
    <w:rsid w:val="000C36E1"/>
    <w:rsid w:val="000C42A9"/>
    <w:rsid w:val="000C42C6"/>
    <w:rsid w:val="000C4889"/>
    <w:rsid w:val="000C50D6"/>
    <w:rsid w:val="000C557B"/>
    <w:rsid w:val="000C5A85"/>
    <w:rsid w:val="000C5F29"/>
    <w:rsid w:val="000C5F48"/>
    <w:rsid w:val="000C66BF"/>
    <w:rsid w:val="000C6FC1"/>
    <w:rsid w:val="000C7FF8"/>
    <w:rsid w:val="000D0372"/>
    <w:rsid w:val="000D0ADE"/>
    <w:rsid w:val="000D1A8F"/>
    <w:rsid w:val="000D2914"/>
    <w:rsid w:val="000D2E60"/>
    <w:rsid w:val="000D2F50"/>
    <w:rsid w:val="000D3275"/>
    <w:rsid w:val="000D3A1B"/>
    <w:rsid w:val="000D3B86"/>
    <w:rsid w:val="000D4E64"/>
    <w:rsid w:val="000D5008"/>
    <w:rsid w:val="000D570C"/>
    <w:rsid w:val="000D5A0F"/>
    <w:rsid w:val="000D5B1E"/>
    <w:rsid w:val="000D5D9B"/>
    <w:rsid w:val="000D5E3F"/>
    <w:rsid w:val="000D6532"/>
    <w:rsid w:val="000D6E33"/>
    <w:rsid w:val="000E0622"/>
    <w:rsid w:val="000E07AA"/>
    <w:rsid w:val="000E161A"/>
    <w:rsid w:val="000E1D6F"/>
    <w:rsid w:val="000E208D"/>
    <w:rsid w:val="000E2D0D"/>
    <w:rsid w:val="000E3381"/>
    <w:rsid w:val="000E3744"/>
    <w:rsid w:val="000E3CD9"/>
    <w:rsid w:val="000E481D"/>
    <w:rsid w:val="000E4DBF"/>
    <w:rsid w:val="000E4DF2"/>
    <w:rsid w:val="000E5844"/>
    <w:rsid w:val="000E634B"/>
    <w:rsid w:val="000E68C0"/>
    <w:rsid w:val="000E7349"/>
    <w:rsid w:val="000E75A5"/>
    <w:rsid w:val="000E762D"/>
    <w:rsid w:val="000E77CC"/>
    <w:rsid w:val="000F0144"/>
    <w:rsid w:val="000F0692"/>
    <w:rsid w:val="000F0783"/>
    <w:rsid w:val="000F0807"/>
    <w:rsid w:val="000F080D"/>
    <w:rsid w:val="000F0B3C"/>
    <w:rsid w:val="000F13D5"/>
    <w:rsid w:val="000F175F"/>
    <w:rsid w:val="000F1AD8"/>
    <w:rsid w:val="000F2F4C"/>
    <w:rsid w:val="000F306E"/>
    <w:rsid w:val="000F38D9"/>
    <w:rsid w:val="000F3CED"/>
    <w:rsid w:val="000F414C"/>
    <w:rsid w:val="000F6053"/>
    <w:rsid w:val="000F6320"/>
    <w:rsid w:val="000F64FC"/>
    <w:rsid w:val="000F696E"/>
    <w:rsid w:val="000F6C10"/>
    <w:rsid w:val="000F718E"/>
    <w:rsid w:val="001001F2"/>
    <w:rsid w:val="00100207"/>
    <w:rsid w:val="001003C6"/>
    <w:rsid w:val="00100682"/>
    <w:rsid w:val="001010D3"/>
    <w:rsid w:val="0010144A"/>
    <w:rsid w:val="00101C11"/>
    <w:rsid w:val="00102F4F"/>
    <w:rsid w:val="001034DD"/>
    <w:rsid w:val="00104425"/>
    <w:rsid w:val="00104B4C"/>
    <w:rsid w:val="00105135"/>
    <w:rsid w:val="001055A2"/>
    <w:rsid w:val="00105DC2"/>
    <w:rsid w:val="0010682A"/>
    <w:rsid w:val="00106C4C"/>
    <w:rsid w:val="001079AE"/>
    <w:rsid w:val="00107DEF"/>
    <w:rsid w:val="00110145"/>
    <w:rsid w:val="0011031D"/>
    <w:rsid w:val="0011037E"/>
    <w:rsid w:val="00110404"/>
    <w:rsid w:val="001109E8"/>
    <w:rsid w:val="00110F73"/>
    <w:rsid w:val="00111E35"/>
    <w:rsid w:val="001128B4"/>
    <w:rsid w:val="00112EBD"/>
    <w:rsid w:val="001132C2"/>
    <w:rsid w:val="0011382D"/>
    <w:rsid w:val="00113AF2"/>
    <w:rsid w:val="00113C17"/>
    <w:rsid w:val="00113FDD"/>
    <w:rsid w:val="00114051"/>
    <w:rsid w:val="0011487A"/>
    <w:rsid w:val="00114973"/>
    <w:rsid w:val="00114CFB"/>
    <w:rsid w:val="00114CFF"/>
    <w:rsid w:val="00114FDF"/>
    <w:rsid w:val="0011650B"/>
    <w:rsid w:val="00116616"/>
    <w:rsid w:val="00116B35"/>
    <w:rsid w:val="00116FC5"/>
    <w:rsid w:val="00117163"/>
    <w:rsid w:val="00117BBD"/>
    <w:rsid w:val="00117E26"/>
    <w:rsid w:val="00117F1E"/>
    <w:rsid w:val="001202DF"/>
    <w:rsid w:val="00120F1B"/>
    <w:rsid w:val="001213E7"/>
    <w:rsid w:val="00121E07"/>
    <w:rsid w:val="001224BA"/>
    <w:rsid w:val="001238BC"/>
    <w:rsid w:val="00124518"/>
    <w:rsid w:val="001248AB"/>
    <w:rsid w:val="00124981"/>
    <w:rsid w:val="00124B2E"/>
    <w:rsid w:val="001256A1"/>
    <w:rsid w:val="00125D81"/>
    <w:rsid w:val="00126301"/>
    <w:rsid w:val="0012661F"/>
    <w:rsid w:val="00126966"/>
    <w:rsid w:val="001269B0"/>
    <w:rsid w:val="00126B24"/>
    <w:rsid w:val="00127234"/>
    <w:rsid w:val="001276C4"/>
    <w:rsid w:val="00127C68"/>
    <w:rsid w:val="00127D5B"/>
    <w:rsid w:val="00131373"/>
    <w:rsid w:val="001314A0"/>
    <w:rsid w:val="00131A1F"/>
    <w:rsid w:val="00131A66"/>
    <w:rsid w:val="00131F9C"/>
    <w:rsid w:val="00132336"/>
    <w:rsid w:val="00132425"/>
    <w:rsid w:val="0013280A"/>
    <w:rsid w:val="00132875"/>
    <w:rsid w:val="001332B3"/>
    <w:rsid w:val="0013343F"/>
    <w:rsid w:val="00133A10"/>
    <w:rsid w:val="001344F9"/>
    <w:rsid w:val="00134F37"/>
    <w:rsid w:val="00135F76"/>
    <w:rsid w:val="001360E9"/>
    <w:rsid w:val="001360F4"/>
    <w:rsid w:val="001363C7"/>
    <w:rsid w:val="00136E87"/>
    <w:rsid w:val="00140793"/>
    <w:rsid w:val="0014203B"/>
    <w:rsid w:val="001422BD"/>
    <w:rsid w:val="001423AB"/>
    <w:rsid w:val="0014286D"/>
    <w:rsid w:val="00143B8E"/>
    <w:rsid w:val="00143F21"/>
    <w:rsid w:val="0014420C"/>
    <w:rsid w:val="001446C3"/>
    <w:rsid w:val="00145EA8"/>
    <w:rsid w:val="001461A7"/>
    <w:rsid w:val="001466B4"/>
    <w:rsid w:val="00146946"/>
    <w:rsid w:val="00146E7C"/>
    <w:rsid w:val="00147F8C"/>
    <w:rsid w:val="00150492"/>
    <w:rsid w:val="00151115"/>
    <w:rsid w:val="00151200"/>
    <w:rsid w:val="001513CE"/>
    <w:rsid w:val="00151465"/>
    <w:rsid w:val="00151AD8"/>
    <w:rsid w:val="00151E77"/>
    <w:rsid w:val="00153287"/>
    <w:rsid w:val="001533E6"/>
    <w:rsid w:val="0015349A"/>
    <w:rsid w:val="001538BE"/>
    <w:rsid w:val="00153BA7"/>
    <w:rsid w:val="00153C33"/>
    <w:rsid w:val="00154D30"/>
    <w:rsid w:val="00155198"/>
    <w:rsid w:val="00155A26"/>
    <w:rsid w:val="00155EF1"/>
    <w:rsid w:val="00156192"/>
    <w:rsid w:val="001562B6"/>
    <w:rsid w:val="00156E57"/>
    <w:rsid w:val="0015710D"/>
    <w:rsid w:val="00157338"/>
    <w:rsid w:val="00157CE5"/>
    <w:rsid w:val="00157DEB"/>
    <w:rsid w:val="001610BC"/>
    <w:rsid w:val="00161847"/>
    <w:rsid w:val="00161E13"/>
    <w:rsid w:val="001629D8"/>
    <w:rsid w:val="00162B2A"/>
    <w:rsid w:val="00162B8D"/>
    <w:rsid w:val="00162F9F"/>
    <w:rsid w:val="00163EB1"/>
    <w:rsid w:val="00164803"/>
    <w:rsid w:val="00164AE0"/>
    <w:rsid w:val="00165BF5"/>
    <w:rsid w:val="00165F2E"/>
    <w:rsid w:val="0016646A"/>
    <w:rsid w:val="0016793B"/>
    <w:rsid w:val="00167C43"/>
    <w:rsid w:val="001706C9"/>
    <w:rsid w:val="0017120C"/>
    <w:rsid w:val="0017150D"/>
    <w:rsid w:val="00171D3A"/>
    <w:rsid w:val="001727D7"/>
    <w:rsid w:val="00172C96"/>
    <w:rsid w:val="00172DDC"/>
    <w:rsid w:val="00172F3A"/>
    <w:rsid w:val="00173477"/>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338"/>
    <w:rsid w:val="00182348"/>
    <w:rsid w:val="001831FE"/>
    <w:rsid w:val="00183F50"/>
    <w:rsid w:val="00184BB2"/>
    <w:rsid w:val="00184BD9"/>
    <w:rsid w:val="00184ED6"/>
    <w:rsid w:val="00184F13"/>
    <w:rsid w:val="00184FD9"/>
    <w:rsid w:val="00185361"/>
    <w:rsid w:val="00186037"/>
    <w:rsid w:val="001863EB"/>
    <w:rsid w:val="00186AE4"/>
    <w:rsid w:val="00186CA3"/>
    <w:rsid w:val="00186D14"/>
    <w:rsid w:val="001876D8"/>
    <w:rsid w:val="00187F6A"/>
    <w:rsid w:val="00190325"/>
    <w:rsid w:val="00190391"/>
    <w:rsid w:val="0019151E"/>
    <w:rsid w:val="00191593"/>
    <w:rsid w:val="001918F1"/>
    <w:rsid w:val="0019196E"/>
    <w:rsid w:val="00191FF5"/>
    <w:rsid w:val="001926D7"/>
    <w:rsid w:val="00192CCE"/>
    <w:rsid w:val="00193569"/>
    <w:rsid w:val="0019385B"/>
    <w:rsid w:val="00193F1C"/>
    <w:rsid w:val="001948F5"/>
    <w:rsid w:val="00194958"/>
    <w:rsid w:val="00196359"/>
    <w:rsid w:val="00197205"/>
    <w:rsid w:val="001973C2"/>
    <w:rsid w:val="00197632"/>
    <w:rsid w:val="0019793F"/>
    <w:rsid w:val="00197A9D"/>
    <w:rsid w:val="001A08E7"/>
    <w:rsid w:val="001A17D7"/>
    <w:rsid w:val="001A1A67"/>
    <w:rsid w:val="001A1FDD"/>
    <w:rsid w:val="001A2D8F"/>
    <w:rsid w:val="001A3D89"/>
    <w:rsid w:val="001A3E0A"/>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5D4"/>
    <w:rsid w:val="001B4446"/>
    <w:rsid w:val="001B4EAB"/>
    <w:rsid w:val="001B53DD"/>
    <w:rsid w:val="001B5A00"/>
    <w:rsid w:val="001B5F59"/>
    <w:rsid w:val="001B63A7"/>
    <w:rsid w:val="001B6810"/>
    <w:rsid w:val="001B6E89"/>
    <w:rsid w:val="001B791C"/>
    <w:rsid w:val="001B7B9B"/>
    <w:rsid w:val="001B7D70"/>
    <w:rsid w:val="001C0125"/>
    <w:rsid w:val="001C1074"/>
    <w:rsid w:val="001C217B"/>
    <w:rsid w:val="001C21C8"/>
    <w:rsid w:val="001C25F5"/>
    <w:rsid w:val="001C265A"/>
    <w:rsid w:val="001C2DFD"/>
    <w:rsid w:val="001C34D0"/>
    <w:rsid w:val="001C4249"/>
    <w:rsid w:val="001C426E"/>
    <w:rsid w:val="001C46E3"/>
    <w:rsid w:val="001C496A"/>
    <w:rsid w:val="001C4AC1"/>
    <w:rsid w:val="001C4F27"/>
    <w:rsid w:val="001C51FE"/>
    <w:rsid w:val="001C6573"/>
    <w:rsid w:val="001C7B08"/>
    <w:rsid w:val="001C7D03"/>
    <w:rsid w:val="001C7F41"/>
    <w:rsid w:val="001D00BE"/>
    <w:rsid w:val="001D079B"/>
    <w:rsid w:val="001D0D32"/>
    <w:rsid w:val="001D165D"/>
    <w:rsid w:val="001D17C9"/>
    <w:rsid w:val="001D1AB9"/>
    <w:rsid w:val="001D1EEB"/>
    <w:rsid w:val="001D1F20"/>
    <w:rsid w:val="001D22D5"/>
    <w:rsid w:val="001D3795"/>
    <w:rsid w:val="001D4006"/>
    <w:rsid w:val="001D54BD"/>
    <w:rsid w:val="001D5C72"/>
    <w:rsid w:val="001D616F"/>
    <w:rsid w:val="001D626E"/>
    <w:rsid w:val="001D733B"/>
    <w:rsid w:val="001D73CF"/>
    <w:rsid w:val="001D7CF1"/>
    <w:rsid w:val="001D7E8C"/>
    <w:rsid w:val="001E0902"/>
    <w:rsid w:val="001E1801"/>
    <w:rsid w:val="001E1C73"/>
    <w:rsid w:val="001E1E05"/>
    <w:rsid w:val="001E2254"/>
    <w:rsid w:val="001E22D2"/>
    <w:rsid w:val="001E2343"/>
    <w:rsid w:val="001E2380"/>
    <w:rsid w:val="001E23A1"/>
    <w:rsid w:val="001E3A17"/>
    <w:rsid w:val="001E3FCB"/>
    <w:rsid w:val="001E52DF"/>
    <w:rsid w:val="001E5500"/>
    <w:rsid w:val="001E6BCB"/>
    <w:rsid w:val="001E774A"/>
    <w:rsid w:val="001E783B"/>
    <w:rsid w:val="001E7FBC"/>
    <w:rsid w:val="001F0822"/>
    <w:rsid w:val="001F08CB"/>
    <w:rsid w:val="001F105B"/>
    <w:rsid w:val="001F15F6"/>
    <w:rsid w:val="001F179C"/>
    <w:rsid w:val="001F24B7"/>
    <w:rsid w:val="001F2649"/>
    <w:rsid w:val="001F3496"/>
    <w:rsid w:val="001F41CA"/>
    <w:rsid w:val="001F4355"/>
    <w:rsid w:val="001F4819"/>
    <w:rsid w:val="001F48BD"/>
    <w:rsid w:val="001F4FAB"/>
    <w:rsid w:val="001F5034"/>
    <w:rsid w:val="001F61DE"/>
    <w:rsid w:val="001F639F"/>
    <w:rsid w:val="001F63AA"/>
    <w:rsid w:val="001F69C8"/>
    <w:rsid w:val="001F7054"/>
    <w:rsid w:val="001F77E5"/>
    <w:rsid w:val="001F7DB7"/>
    <w:rsid w:val="002000AA"/>
    <w:rsid w:val="0020099E"/>
    <w:rsid w:val="00201502"/>
    <w:rsid w:val="0020302A"/>
    <w:rsid w:val="00203112"/>
    <w:rsid w:val="0020324C"/>
    <w:rsid w:val="002032A0"/>
    <w:rsid w:val="00203532"/>
    <w:rsid w:val="00203AE0"/>
    <w:rsid w:val="00204106"/>
    <w:rsid w:val="00204109"/>
    <w:rsid w:val="002049C0"/>
    <w:rsid w:val="00204E64"/>
    <w:rsid w:val="0020503A"/>
    <w:rsid w:val="00205041"/>
    <w:rsid w:val="0020524C"/>
    <w:rsid w:val="002059E3"/>
    <w:rsid w:val="00207438"/>
    <w:rsid w:val="002100FF"/>
    <w:rsid w:val="00210543"/>
    <w:rsid w:val="00210B9B"/>
    <w:rsid w:val="0021102F"/>
    <w:rsid w:val="002118D1"/>
    <w:rsid w:val="00211DCE"/>
    <w:rsid w:val="0021229D"/>
    <w:rsid w:val="00212390"/>
    <w:rsid w:val="00212897"/>
    <w:rsid w:val="00213612"/>
    <w:rsid w:val="0021386A"/>
    <w:rsid w:val="00213C44"/>
    <w:rsid w:val="002147EE"/>
    <w:rsid w:val="00215516"/>
    <w:rsid w:val="002158DC"/>
    <w:rsid w:val="002159D5"/>
    <w:rsid w:val="00215B64"/>
    <w:rsid w:val="00215C05"/>
    <w:rsid w:val="00215E5B"/>
    <w:rsid w:val="002161E3"/>
    <w:rsid w:val="00216DF5"/>
    <w:rsid w:val="00216EFA"/>
    <w:rsid w:val="0021798E"/>
    <w:rsid w:val="00217CA1"/>
    <w:rsid w:val="00217DEE"/>
    <w:rsid w:val="002203BF"/>
    <w:rsid w:val="00220C4C"/>
    <w:rsid w:val="00220E95"/>
    <w:rsid w:val="002217FE"/>
    <w:rsid w:val="0022180C"/>
    <w:rsid w:val="00221935"/>
    <w:rsid w:val="00221C72"/>
    <w:rsid w:val="002223E1"/>
    <w:rsid w:val="002225AB"/>
    <w:rsid w:val="00222955"/>
    <w:rsid w:val="002231B0"/>
    <w:rsid w:val="002250D1"/>
    <w:rsid w:val="00225AAD"/>
    <w:rsid w:val="002267D2"/>
    <w:rsid w:val="00230839"/>
    <w:rsid w:val="00230EE8"/>
    <w:rsid w:val="00231ADB"/>
    <w:rsid w:val="00232178"/>
    <w:rsid w:val="00232248"/>
    <w:rsid w:val="00232D12"/>
    <w:rsid w:val="0023353F"/>
    <w:rsid w:val="00233616"/>
    <w:rsid w:val="00233975"/>
    <w:rsid w:val="00233B8C"/>
    <w:rsid w:val="00233C7E"/>
    <w:rsid w:val="002353E3"/>
    <w:rsid w:val="00235CC0"/>
    <w:rsid w:val="00235D54"/>
    <w:rsid w:val="00235F30"/>
    <w:rsid w:val="00236287"/>
    <w:rsid w:val="002363FF"/>
    <w:rsid w:val="00236D10"/>
    <w:rsid w:val="002407CE"/>
    <w:rsid w:val="00240E99"/>
    <w:rsid w:val="002410D2"/>
    <w:rsid w:val="00241A6E"/>
    <w:rsid w:val="00242325"/>
    <w:rsid w:val="00242D32"/>
    <w:rsid w:val="00243A38"/>
    <w:rsid w:val="0024474F"/>
    <w:rsid w:val="00244761"/>
    <w:rsid w:val="002450F2"/>
    <w:rsid w:val="00245B7F"/>
    <w:rsid w:val="0024621A"/>
    <w:rsid w:val="00246383"/>
    <w:rsid w:val="002469C2"/>
    <w:rsid w:val="00246C23"/>
    <w:rsid w:val="00247BDE"/>
    <w:rsid w:val="00247DE2"/>
    <w:rsid w:val="002505DE"/>
    <w:rsid w:val="002505EB"/>
    <w:rsid w:val="00250628"/>
    <w:rsid w:val="0025077F"/>
    <w:rsid w:val="002514FA"/>
    <w:rsid w:val="00251DAF"/>
    <w:rsid w:val="00252503"/>
    <w:rsid w:val="0025265C"/>
    <w:rsid w:val="0025284B"/>
    <w:rsid w:val="00252ED7"/>
    <w:rsid w:val="0025393C"/>
    <w:rsid w:val="002549E7"/>
    <w:rsid w:val="00254A7A"/>
    <w:rsid w:val="00254EA4"/>
    <w:rsid w:val="0025509C"/>
    <w:rsid w:val="002552F8"/>
    <w:rsid w:val="0025575F"/>
    <w:rsid w:val="002571E3"/>
    <w:rsid w:val="002573DA"/>
    <w:rsid w:val="00257F0C"/>
    <w:rsid w:val="00260496"/>
    <w:rsid w:val="00260542"/>
    <w:rsid w:val="00260BAD"/>
    <w:rsid w:val="002612EA"/>
    <w:rsid w:val="0026224C"/>
    <w:rsid w:val="00262941"/>
    <w:rsid w:val="00264C7C"/>
    <w:rsid w:val="0026650F"/>
    <w:rsid w:val="00266DC3"/>
    <w:rsid w:val="0027029D"/>
    <w:rsid w:val="00270443"/>
    <w:rsid w:val="00270EE2"/>
    <w:rsid w:val="0027138C"/>
    <w:rsid w:val="0027145E"/>
    <w:rsid w:val="0027165A"/>
    <w:rsid w:val="00272787"/>
    <w:rsid w:val="00272826"/>
    <w:rsid w:val="00272A7B"/>
    <w:rsid w:val="00272C44"/>
    <w:rsid w:val="00272F05"/>
    <w:rsid w:val="00273527"/>
    <w:rsid w:val="00273806"/>
    <w:rsid w:val="00273F6B"/>
    <w:rsid w:val="002747EF"/>
    <w:rsid w:val="00274B06"/>
    <w:rsid w:val="002751D6"/>
    <w:rsid w:val="002754D3"/>
    <w:rsid w:val="00276261"/>
    <w:rsid w:val="00276944"/>
    <w:rsid w:val="00276964"/>
    <w:rsid w:val="002769AE"/>
    <w:rsid w:val="00276CA7"/>
    <w:rsid w:val="0027737B"/>
    <w:rsid w:val="002816DD"/>
    <w:rsid w:val="002817A6"/>
    <w:rsid w:val="002821E8"/>
    <w:rsid w:val="00282F1D"/>
    <w:rsid w:val="00283215"/>
    <w:rsid w:val="00283369"/>
    <w:rsid w:val="002833F3"/>
    <w:rsid w:val="00284203"/>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4274"/>
    <w:rsid w:val="00295002"/>
    <w:rsid w:val="0029568E"/>
    <w:rsid w:val="00295E8C"/>
    <w:rsid w:val="002971C7"/>
    <w:rsid w:val="002971F2"/>
    <w:rsid w:val="00297785"/>
    <w:rsid w:val="00297E05"/>
    <w:rsid w:val="002A0444"/>
    <w:rsid w:val="002A0BEB"/>
    <w:rsid w:val="002A0F82"/>
    <w:rsid w:val="002A0F8D"/>
    <w:rsid w:val="002A1311"/>
    <w:rsid w:val="002A1377"/>
    <w:rsid w:val="002A1F89"/>
    <w:rsid w:val="002A211A"/>
    <w:rsid w:val="002A264B"/>
    <w:rsid w:val="002A2803"/>
    <w:rsid w:val="002A4A82"/>
    <w:rsid w:val="002A4B33"/>
    <w:rsid w:val="002A4C00"/>
    <w:rsid w:val="002A5311"/>
    <w:rsid w:val="002A5863"/>
    <w:rsid w:val="002A6E9B"/>
    <w:rsid w:val="002A6FBB"/>
    <w:rsid w:val="002B05D1"/>
    <w:rsid w:val="002B091D"/>
    <w:rsid w:val="002B09F5"/>
    <w:rsid w:val="002B18C7"/>
    <w:rsid w:val="002B1933"/>
    <w:rsid w:val="002B20BD"/>
    <w:rsid w:val="002B22DB"/>
    <w:rsid w:val="002B2611"/>
    <w:rsid w:val="002B27D8"/>
    <w:rsid w:val="002B3558"/>
    <w:rsid w:val="002B35B9"/>
    <w:rsid w:val="002B38D2"/>
    <w:rsid w:val="002B3A46"/>
    <w:rsid w:val="002B3F1C"/>
    <w:rsid w:val="002B3F60"/>
    <w:rsid w:val="002B401B"/>
    <w:rsid w:val="002B48C5"/>
    <w:rsid w:val="002B4ED9"/>
    <w:rsid w:val="002B4EF4"/>
    <w:rsid w:val="002B5007"/>
    <w:rsid w:val="002B51BB"/>
    <w:rsid w:val="002B58C5"/>
    <w:rsid w:val="002B6C1F"/>
    <w:rsid w:val="002B6CA2"/>
    <w:rsid w:val="002B6E44"/>
    <w:rsid w:val="002B6E8A"/>
    <w:rsid w:val="002B726F"/>
    <w:rsid w:val="002B744E"/>
    <w:rsid w:val="002B7909"/>
    <w:rsid w:val="002C000B"/>
    <w:rsid w:val="002C016F"/>
    <w:rsid w:val="002C092C"/>
    <w:rsid w:val="002C09A8"/>
    <w:rsid w:val="002C103C"/>
    <w:rsid w:val="002C1109"/>
    <w:rsid w:val="002C12C7"/>
    <w:rsid w:val="002C1923"/>
    <w:rsid w:val="002C1E93"/>
    <w:rsid w:val="002C29EB"/>
    <w:rsid w:val="002C30F0"/>
    <w:rsid w:val="002C401A"/>
    <w:rsid w:val="002C479B"/>
    <w:rsid w:val="002C4EC8"/>
    <w:rsid w:val="002C532B"/>
    <w:rsid w:val="002C6AF5"/>
    <w:rsid w:val="002C6D15"/>
    <w:rsid w:val="002C72F4"/>
    <w:rsid w:val="002C7E5B"/>
    <w:rsid w:val="002D0907"/>
    <w:rsid w:val="002D0E9E"/>
    <w:rsid w:val="002D0FEC"/>
    <w:rsid w:val="002D1381"/>
    <w:rsid w:val="002D2D68"/>
    <w:rsid w:val="002D2F69"/>
    <w:rsid w:val="002D3016"/>
    <w:rsid w:val="002D3067"/>
    <w:rsid w:val="002D38D9"/>
    <w:rsid w:val="002D3CE3"/>
    <w:rsid w:val="002D4298"/>
    <w:rsid w:val="002D47E8"/>
    <w:rsid w:val="002D4FCC"/>
    <w:rsid w:val="002D5FD5"/>
    <w:rsid w:val="002D680B"/>
    <w:rsid w:val="002D68F4"/>
    <w:rsid w:val="002D7395"/>
    <w:rsid w:val="002D7417"/>
    <w:rsid w:val="002D782B"/>
    <w:rsid w:val="002E0D9C"/>
    <w:rsid w:val="002E10F4"/>
    <w:rsid w:val="002E1247"/>
    <w:rsid w:val="002E26E8"/>
    <w:rsid w:val="002E33A6"/>
    <w:rsid w:val="002E3DD8"/>
    <w:rsid w:val="002E3ED8"/>
    <w:rsid w:val="002E5A01"/>
    <w:rsid w:val="002E5AF4"/>
    <w:rsid w:val="002E5DA0"/>
    <w:rsid w:val="002E5EA3"/>
    <w:rsid w:val="002E6071"/>
    <w:rsid w:val="002E717C"/>
    <w:rsid w:val="002E7533"/>
    <w:rsid w:val="002E7A61"/>
    <w:rsid w:val="002F00B8"/>
    <w:rsid w:val="002F0106"/>
    <w:rsid w:val="002F02C2"/>
    <w:rsid w:val="002F03C8"/>
    <w:rsid w:val="002F188D"/>
    <w:rsid w:val="002F18A5"/>
    <w:rsid w:val="002F26F3"/>
    <w:rsid w:val="002F317F"/>
    <w:rsid w:val="002F4C52"/>
    <w:rsid w:val="002F51A2"/>
    <w:rsid w:val="002F5BA8"/>
    <w:rsid w:val="002F5E95"/>
    <w:rsid w:val="002F5F68"/>
    <w:rsid w:val="002F63CA"/>
    <w:rsid w:val="002F67B4"/>
    <w:rsid w:val="002F6F73"/>
    <w:rsid w:val="002F73BE"/>
    <w:rsid w:val="002F7AA9"/>
    <w:rsid w:val="00300414"/>
    <w:rsid w:val="003004E3"/>
    <w:rsid w:val="00300FF1"/>
    <w:rsid w:val="003010FF"/>
    <w:rsid w:val="00301C0D"/>
    <w:rsid w:val="00301D7B"/>
    <w:rsid w:val="00301E19"/>
    <w:rsid w:val="003023DE"/>
    <w:rsid w:val="00302998"/>
    <w:rsid w:val="00303DC4"/>
    <w:rsid w:val="0030434C"/>
    <w:rsid w:val="00304676"/>
    <w:rsid w:val="00306BE7"/>
    <w:rsid w:val="00306D4A"/>
    <w:rsid w:val="00307F1A"/>
    <w:rsid w:val="00307F40"/>
    <w:rsid w:val="00310390"/>
    <w:rsid w:val="003110A2"/>
    <w:rsid w:val="00311655"/>
    <w:rsid w:val="00311B66"/>
    <w:rsid w:val="00311F29"/>
    <w:rsid w:val="00312518"/>
    <w:rsid w:val="00314036"/>
    <w:rsid w:val="003140E9"/>
    <w:rsid w:val="00314347"/>
    <w:rsid w:val="00314C4F"/>
    <w:rsid w:val="00314FAF"/>
    <w:rsid w:val="003162A5"/>
    <w:rsid w:val="00316591"/>
    <w:rsid w:val="00317C91"/>
    <w:rsid w:val="00320553"/>
    <w:rsid w:val="00320C6D"/>
    <w:rsid w:val="003213A8"/>
    <w:rsid w:val="003218B6"/>
    <w:rsid w:val="00321FA8"/>
    <w:rsid w:val="00321FFD"/>
    <w:rsid w:val="00322367"/>
    <w:rsid w:val="003225AD"/>
    <w:rsid w:val="00322E18"/>
    <w:rsid w:val="00323C3D"/>
    <w:rsid w:val="00323D1D"/>
    <w:rsid w:val="00323F8A"/>
    <w:rsid w:val="00324752"/>
    <w:rsid w:val="00324D73"/>
    <w:rsid w:val="0032508D"/>
    <w:rsid w:val="00326011"/>
    <w:rsid w:val="0032643D"/>
    <w:rsid w:val="00326D02"/>
    <w:rsid w:val="00327069"/>
    <w:rsid w:val="003274C4"/>
    <w:rsid w:val="00327812"/>
    <w:rsid w:val="00327AFB"/>
    <w:rsid w:val="00327BAF"/>
    <w:rsid w:val="00327D10"/>
    <w:rsid w:val="00331894"/>
    <w:rsid w:val="00332CB8"/>
    <w:rsid w:val="00333428"/>
    <w:rsid w:val="00334784"/>
    <w:rsid w:val="003350B6"/>
    <w:rsid w:val="00335126"/>
    <w:rsid w:val="0033595E"/>
    <w:rsid w:val="0033601B"/>
    <w:rsid w:val="003364B6"/>
    <w:rsid w:val="0033764C"/>
    <w:rsid w:val="00337DF3"/>
    <w:rsid w:val="00337F8E"/>
    <w:rsid w:val="00340039"/>
    <w:rsid w:val="003400D3"/>
    <w:rsid w:val="0034024F"/>
    <w:rsid w:val="00340A77"/>
    <w:rsid w:val="00340D39"/>
    <w:rsid w:val="00340DFB"/>
    <w:rsid w:val="00341941"/>
    <w:rsid w:val="0034207A"/>
    <w:rsid w:val="0034278F"/>
    <w:rsid w:val="0034281F"/>
    <w:rsid w:val="00343B47"/>
    <w:rsid w:val="0034404F"/>
    <w:rsid w:val="00344ACC"/>
    <w:rsid w:val="00345F01"/>
    <w:rsid w:val="0034654F"/>
    <w:rsid w:val="00346762"/>
    <w:rsid w:val="00346B28"/>
    <w:rsid w:val="003475E1"/>
    <w:rsid w:val="00347685"/>
    <w:rsid w:val="003509A5"/>
    <w:rsid w:val="00350DF7"/>
    <w:rsid w:val="003515FD"/>
    <w:rsid w:val="003518A4"/>
    <w:rsid w:val="00351E21"/>
    <w:rsid w:val="00352327"/>
    <w:rsid w:val="003526A9"/>
    <w:rsid w:val="00354062"/>
    <w:rsid w:val="00354405"/>
    <w:rsid w:val="00355A76"/>
    <w:rsid w:val="00355DEC"/>
    <w:rsid w:val="00355E3F"/>
    <w:rsid w:val="0035635F"/>
    <w:rsid w:val="00356E0F"/>
    <w:rsid w:val="0035700C"/>
    <w:rsid w:val="003607EE"/>
    <w:rsid w:val="00360BC8"/>
    <w:rsid w:val="00360E35"/>
    <w:rsid w:val="00361106"/>
    <w:rsid w:val="003617AE"/>
    <w:rsid w:val="00361F64"/>
    <w:rsid w:val="0036215C"/>
    <w:rsid w:val="0036287B"/>
    <w:rsid w:val="00362976"/>
    <w:rsid w:val="003630F7"/>
    <w:rsid w:val="0036332B"/>
    <w:rsid w:val="00363589"/>
    <w:rsid w:val="00363636"/>
    <w:rsid w:val="0036498F"/>
    <w:rsid w:val="003651AC"/>
    <w:rsid w:val="003653AA"/>
    <w:rsid w:val="0036568C"/>
    <w:rsid w:val="003656F4"/>
    <w:rsid w:val="00365CC3"/>
    <w:rsid w:val="00366120"/>
    <w:rsid w:val="003661FF"/>
    <w:rsid w:val="003665A5"/>
    <w:rsid w:val="00366A0C"/>
    <w:rsid w:val="00367238"/>
    <w:rsid w:val="00367462"/>
    <w:rsid w:val="003677D5"/>
    <w:rsid w:val="0037034B"/>
    <w:rsid w:val="00370507"/>
    <w:rsid w:val="00370682"/>
    <w:rsid w:val="00370F0B"/>
    <w:rsid w:val="003718D8"/>
    <w:rsid w:val="00372A01"/>
    <w:rsid w:val="00372ADC"/>
    <w:rsid w:val="00372CFC"/>
    <w:rsid w:val="003733DF"/>
    <w:rsid w:val="00373865"/>
    <w:rsid w:val="003739DA"/>
    <w:rsid w:val="00373CE8"/>
    <w:rsid w:val="00373F09"/>
    <w:rsid w:val="00374DB0"/>
    <w:rsid w:val="003751C7"/>
    <w:rsid w:val="00375C84"/>
    <w:rsid w:val="00376524"/>
    <w:rsid w:val="00376E3B"/>
    <w:rsid w:val="003770C7"/>
    <w:rsid w:val="003776FE"/>
    <w:rsid w:val="00380424"/>
    <w:rsid w:val="003805CC"/>
    <w:rsid w:val="00380868"/>
    <w:rsid w:val="00380B9B"/>
    <w:rsid w:val="003818B3"/>
    <w:rsid w:val="003819F5"/>
    <w:rsid w:val="00381A52"/>
    <w:rsid w:val="00381B57"/>
    <w:rsid w:val="00381D47"/>
    <w:rsid w:val="003821CC"/>
    <w:rsid w:val="003835F0"/>
    <w:rsid w:val="00384296"/>
    <w:rsid w:val="003853B1"/>
    <w:rsid w:val="003853ED"/>
    <w:rsid w:val="0038628F"/>
    <w:rsid w:val="00386421"/>
    <w:rsid w:val="0038704C"/>
    <w:rsid w:val="00387AA1"/>
    <w:rsid w:val="0039082A"/>
    <w:rsid w:val="0039101F"/>
    <w:rsid w:val="0039200B"/>
    <w:rsid w:val="00392EDB"/>
    <w:rsid w:val="00392FAE"/>
    <w:rsid w:val="003931AA"/>
    <w:rsid w:val="00393EEE"/>
    <w:rsid w:val="003941C0"/>
    <w:rsid w:val="00394D45"/>
    <w:rsid w:val="00395132"/>
    <w:rsid w:val="00395CB4"/>
    <w:rsid w:val="00395D99"/>
    <w:rsid w:val="00396682"/>
    <w:rsid w:val="003968DF"/>
    <w:rsid w:val="003976C3"/>
    <w:rsid w:val="00397A03"/>
    <w:rsid w:val="00397A64"/>
    <w:rsid w:val="003A099A"/>
    <w:rsid w:val="003A1372"/>
    <w:rsid w:val="003A15DE"/>
    <w:rsid w:val="003A1D46"/>
    <w:rsid w:val="003A2447"/>
    <w:rsid w:val="003A2B82"/>
    <w:rsid w:val="003A36D3"/>
    <w:rsid w:val="003A3927"/>
    <w:rsid w:val="003A3D2E"/>
    <w:rsid w:val="003A3FF7"/>
    <w:rsid w:val="003A43D1"/>
    <w:rsid w:val="003A5E76"/>
    <w:rsid w:val="003A6010"/>
    <w:rsid w:val="003A6A2B"/>
    <w:rsid w:val="003A6A51"/>
    <w:rsid w:val="003A6E29"/>
    <w:rsid w:val="003A6EC3"/>
    <w:rsid w:val="003A7FEA"/>
    <w:rsid w:val="003B0464"/>
    <w:rsid w:val="003B0BDB"/>
    <w:rsid w:val="003B0E88"/>
    <w:rsid w:val="003B106E"/>
    <w:rsid w:val="003B153F"/>
    <w:rsid w:val="003B17B0"/>
    <w:rsid w:val="003B1844"/>
    <w:rsid w:val="003B1A5C"/>
    <w:rsid w:val="003B211E"/>
    <w:rsid w:val="003B24EA"/>
    <w:rsid w:val="003B2DA7"/>
    <w:rsid w:val="003B3332"/>
    <w:rsid w:val="003B3AB7"/>
    <w:rsid w:val="003B3ABC"/>
    <w:rsid w:val="003B3ACC"/>
    <w:rsid w:val="003B3CDD"/>
    <w:rsid w:val="003B3D8E"/>
    <w:rsid w:val="003B3FED"/>
    <w:rsid w:val="003B3FF1"/>
    <w:rsid w:val="003B410F"/>
    <w:rsid w:val="003B4217"/>
    <w:rsid w:val="003B5092"/>
    <w:rsid w:val="003B59A1"/>
    <w:rsid w:val="003B6D11"/>
    <w:rsid w:val="003B74F1"/>
    <w:rsid w:val="003B7541"/>
    <w:rsid w:val="003B7966"/>
    <w:rsid w:val="003B7F07"/>
    <w:rsid w:val="003B7FCE"/>
    <w:rsid w:val="003C0592"/>
    <w:rsid w:val="003C0F87"/>
    <w:rsid w:val="003C1113"/>
    <w:rsid w:val="003C141E"/>
    <w:rsid w:val="003C1B83"/>
    <w:rsid w:val="003C210E"/>
    <w:rsid w:val="003C2186"/>
    <w:rsid w:val="003C21B3"/>
    <w:rsid w:val="003C30AD"/>
    <w:rsid w:val="003C3503"/>
    <w:rsid w:val="003C40DE"/>
    <w:rsid w:val="003C4851"/>
    <w:rsid w:val="003C4C96"/>
    <w:rsid w:val="003C55E0"/>
    <w:rsid w:val="003C5E39"/>
    <w:rsid w:val="003C683A"/>
    <w:rsid w:val="003C72CF"/>
    <w:rsid w:val="003D0079"/>
    <w:rsid w:val="003D017D"/>
    <w:rsid w:val="003D04D6"/>
    <w:rsid w:val="003D10EC"/>
    <w:rsid w:val="003D2646"/>
    <w:rsid w:val="003D28DE"/>
    <w:rsid w:val="003D29B9"/>
    <w:rsid w:val="003D3500"/>
    <w:rsid w:val="003D37B6"/>
    <w:rsid w:val="003D3C68"/>
    <w:rsid w:val="003D450D"/>
    <w:rsid w:val="003D4BA9"/>
    <w:rsid w:val="003D4F8F"/>
    <w:rsid w:val="003D503A"/>
    <w:rsid w:val="003D62CE"/>
    <w:rsid w:val="003D6505"/>
    <w:rsid w:val="003D71A6"/>
    <w:rsid w:val="003D7709"/>
    <w:rsid w:val="003E004C"/>
    <w:rsid w:val="003E0051"/>
    <w:rsid w:val="003E07C3"/>
    <w:rsid w:val="003E0BAF"/>
    <w:rsid w:val="003E0E25"/>
    <w:rsid w:val="003E1409"/>
    <w:rsid w:val="003E16F2"/>
    <w:rsid w:val="003E2195"/>
    <w:rsid w:val="003E36A5"/>
    <w:rsid w:val="003E42BC"/>
    <w:rsid w:val="003E4A52"/>
    <w:rsid w:val="003E5CBA"/>
    <w:rsid w:val="003E78A9"/>
    <w:rsid w:val="003E7912"/>
    <w:rsid w:val="003F04A3"/>
    <w:rsid w:val="003F04E6"/>
    <w:rsid w:val="003F097C"/>
    <w:rsid w:val="003F2CDD"/>
    <w:rsid w:val="003F3FB3"/>
    <w:rsid w:val="003F45D7"/>
    <w:rsid w:val="003F4C1B"/>
    <w:rsid w:val="003F5660"/>
    <w:rsid w:val="003F5717"/>
    <w:rsid w:val="003F5A39"/>
    <w:rsid w:val="003F5B56"/>
    <w:rsid w:val="003F5B9F"/>
    <w:rsid w:val="003F5C1A"/>
    <w:rsid w:val="003F6A6A"/>
    <w:rsid w:val="003F738D"/>
    <w:rsid w:val="003F7554"/>
    <w:rsid w:val="003F7845"/>
    <w:rsid w:val="003F7FA1"/>
    <w:rsid w:val="003F7FA4"/>
    <w:rsid w:val="004006EA"/>
    <w:rsid w:val="004008DE"/>
    <w:rsid w:val="00400B4E"/>
    <w:rsid w:val="0040130D"/>
    <w:rsid w:val="00402E56"/>
    <w:rsid w:val="00403634"/>
    <w:rsid w:val="0040385D"/>
    <w:rsid w:val="00403A99"/>
    <w:rsid w:val="00404592"/>
    <w:rsid w:val="0040496E"/>
    <w:rsid w:val="00404B58"/>
    <w:rsid w:val="0040544F"/>
    <w:rsid w:val="00405537"/>
    <w:rsid w:val="0040597C"/>
    <w:rsid w:val="0040625C"/>
    <w:rsid w:val="004069D2"/>
    <w:rsid w:val="004076FF"/>
    <w:rsid w:val="00411B17"/>
    <w:rsid w:val="00411FFF"/>
    <w:rsid w:val="0041222D"/>
    <w:rsid w:val="004124F2"/>
    <w:rsid w:val="00412C2A"/>
    <w:rsid w:val="00412E6F"/>
    <w:rsid w:val="00413C5C"/>
    <w:rsid w:val="00413DB2"/>
    <w:rsid w:val="0041413F"/>
    <w:rsid w:val="0041567A"/>
    <w:rsid w:val="00415BAB"/>
    <w:rsid w:val="00415BCF"/>
    <w:rsid w:val="00416297"/>
    <w:rsid w:val="00417083"/>
    <w:rsid w:val="00417E36"/>
    <w:rsid w:val="0042057C"/>
    <w:rsid w:val="00420BDF"/>
    <w:rsid w:val="00421608"/>
    <w:rsid w:val="00421849"/>
    <w:rsid w:val="00421C23"/>
    <w:rsid w:val="0042261E"/>
    <w:rsid w:val="00422749"/>
    <w:rsid w:val="004228F2"/>
    <w:rsid w:val="004233DC"/>
    <w:rsid w:val="00423F69"/>
    <w:rsid w:val="00424888"/>
    <w:rsid w:val="004255D9"/>
    <w:rsid w:val="00425763"/>
    <w:rsid w:val="00425C3C"/>
    <w:rsid w:val="00426B69"/>
    <w:rsid w:val="00426F8D"/>
    <w:rsid w:val="00427D1B"/>
    <w:rsid w:val="00427E40"/>
    <w:rsid w:val="004306AB"/>
    <w:rsid w:val="0043159D"/>
    <w:rsid w:val="0043171D"/>
    <w:rsid w:val="0043263C"/>
    <w:rsid w:val="00432F78"/>
    <w:rsid w:val="004334A2"/>
    <w:rsid w:val="004335BC"/>
    <w:rsid w:val="00433770"/>
    <w:rsid w:val="00433972"/>
    <w:rsid w:val="004339E6"/>
    <w:rsid w:val="00433DA5"/>
    <w:rsid w:val="00434723"/>
    <w:rsid w:val="00434729"/>
    <w:rsid w:val="004353E4"/>
    <w:rsid w:val="0043617B"/>
    <w:rsid w:val="00437D17"/>
    <w:rsid w:val="00437D2F"/>
    <w:rsid w:val="0044046D"/>
    <w:rsid w:val="004410D3"/>
    <w:rsid w:val="00441A5B"/>
    <w:rsid w:val="00441DAF"/>
    <w:rsid w:val="0044270D"/>
    <w:rsid w:val="00442E8C"/>
    <w:rsid w:val="0044312A"/>
    <w:rsid w:val="00443310"/>
    <w:rsid w:val="004435D5"/>
    <w:rsid w:val="00443A34"/>
    <w:rsid w:val="00443D38"/>
    <w:rsid w:val="00444140"/>
    <w:rsid w:val="00444BF5"/>
    <w:rsid w:val="00444F43"/>
    <w:rsid w:val="00447213"/>
    <w:rsid w:val="00447C23"/>
    <w:rsid w:val="00450744"/>
    <w:rsid w:val="00450BE7"/>
    <w:rsid w:val="00450FE8"/>
    <w:rsid w:val="004518D0"/>
    <w:rsid w:val="0045213A"/>
    <w:rsid w:val="0045227C"/>
    <w:rsid w:val="0045230E"/>
    <w:rsid w:val="00452553"/>
    <w:rsid w:val="004528FA"/>
    <w:rsid w:val="00452D67"/>
    <w:rsid w:val="00452E53"/>
    <w:rsid w:val="0045418C"/>
    <w:rsid w:val="004542C6"/>
    <w:rsid w:val="00454EDC"/>
    <w:rsid w:val="00455B00"/>
    <w:rsid w:val="00455B97"/>
    <w:rsid w:val="00456635"/>
    <w:rsid w:val="00456BFD"/>
    <w:rsid w:val="004575D5"/>
    <w:rsid w:val="00457657"/>
    <w:rsid w:val="004600BF"/>
    <w:rsid w:val="004607D0"/>
    <w:rsid w:val="00460CE3"/>
    <w:rsid w:val="00460F25"/>
    <w:rsid w:val="0046116D"/>
    <w:rsid w:val="004612A4"/>
    <w:rsid w:val="0046153C"/>
    <w:rsid w:val="004624D2"/>
    <w:rsid w:val="004625C8"/>
    <w:rsid w:val="00462DCE"/>
    <w:rsid w:val="00464194"/>
    <w:rsid w:val="0046442A"/>
    <w:rsid w:val="00464687"/>
    <w:rsid w:val="00464BF1"/>
    <w:rsid w:val="00465D73"/>
    <w:rsid w:val="00466078"/>
    <w:rsid w:val="0046626B"/>
    <w:rsid w:val="004676E4"/>
    <w:rsid w:val="00467AFF"/>
    <w:rsid w:val="00470183"/>
    <w:rsid w:val="004708C9"/>
    <w:rsid w:val="00470C48"/>
    <w:rsid w:val="0047139F"/>
    <w:rsid w:val="00471429"/>
    <w:rsid w:val="0047153B"/>
    <w:rsid w:val="004722B1"/>
    <w:rsid w:val="00473A2B"/>
    <w:rsid w:val="00473A47"/>
    <w:rsid w:val="00473A4F"/>
    <w:rsid w:val="00473C0A"/>
    <w:rsid w:val="00473EEF"/>
    <w:rsid w:val="00474415"/>
    <w:rsid w:val="00474BC1"/>
    <w:rsid w:val="00475A46"/>
    <w:rsid w:val="00475B58"/>
    <w:rsid w:val="004763EC"/>
    <w:rsid w:val="0047722F"/>
    <w:rsid w:val="00477459"/>
    <w:rsid w:val="00477CC9"/>
    <w:rsid w:val="0048026E"/>
    <w:rsid w:val="00480303"/>
    <w:rsid w:val="004804C3"/>
    <w:rsid w:val="004807A9"/>
    <w:rsid w:val="00480A8A"/>
    <w:rsid w:val="00480F76"/>
    <w:rsid w:val="004810A5"/>
    <w:rsid w:val="004810E0"/>
    <w:rsid w:val="00481318"/>
    <w:rsid w:val="00481363"/>
    <w:rsid w:val="004813EE"/>
    <w:rsid w:val="00481835"/>
    <w:rsid w:val="00482CDC"/>
    <w:rsid w:val="00482FB0"/>
    <w:rsid w:val="00483B03"/>
    <w:rsid w:val="0048444C"/>
    <w:rsid w:val="00485058"/>
    <w:rsid w:val="00485702"/>
    <w:rsid w:val="00485C2D"/>
    <w:rsid w:val="004867EC"/>
    <w:rsid w:val="00486A37"/>
    <w:rsid w:val="00487662"/>
    <w:rsid w:val="004876C6"/>
    <w:rsid w:val="00487D7B"/>
    <w:rsid w:val="00490F7A"/>
    <w:rsid w:val="00490FD5"/>
    <w:rsid w:val="00491241"/>
    <w:rsid w:val="00491813"/>
    <w:rsid w:val="00493239"/>
    <w:rsid w:val="00493278"/>
    <w:rsid w:val="00493855"/>
    <w:rsid w:val="004951D8"/>
    <w:rsid w:val="004952C1"/>
    <w:rsid w:val="00497575"/>
    <w:rsid w:val="00497D9B"/>
    <w:rsid w:val="004A078B"/>
    <w:rsid w:val="004A12C0"/>
    <w:rsid w:val="004A169A"/>
    <w:rsid w:val="004A18C9"/>
    <w:rsid w:val="004A191A"/>
    <w:rsid w:val="004A1A70"/>
    <w:rsid w:val="004A2D5A"/>
    <w:rsid w:val="004A3988"/>
    <w:rsid w:val="004A4027"/>
    <w:rsid w:val="004A419E"/>
    <w:rsid w:val="004A4688"/>
    <w:rsid w:val="004A4776"/>
    <w:rsid w:val="004A6463"/>
    <w:rsid w:val="004A6B58"/>
    <w:rsid w:val="004A6BA2"/>
    <w:rsid w:val="004B06C3"/>
    <w:rsid w:val="004B0917"/>
    <w:rsid w:val="004B0B09"/>
    <w:rsid w:val="004B140F"/>
    <w:rsid w:val="004B14EB"/>
    <w:rsid w:val="004B1A44"/>
    <w:rsid w:val="004B21CF"/>
    <w:rsid w:val="004B2DE3"/>
    <w:rsid w:val="004B34DF"/>
    <w:rsid w:val="004B3775"/>
    <w:rsid w:val="004B3FEA"/>
    <w:rsid w:val="004B44A9"/>
    <w:rsid w:val="004B4E68"/>
    <w:rsid w:val="004B53F1"/>
    <w:rsid w:val="004B5D6E"/>
    <w:rsid w:val="004B60BA"/>
    <w:rsid w:val="004B6946"/>
    <w:rsid w:val="004B6D89"/>
    <w:rsid w:val="004B6E81"/>
    <w:rsid w:val="004B737A"/>
    <w:rsid w:val="004C004D"/>
    <w:rsid w:val="004C0FFE"/>
    <w:rsid w:val="004C136D"/>
    <w:rsid w:val="004C1619"/>
    <w:rsid w:val="004C177F"/>
    <w:rsid w:val="004C19E4"/>
    <w:rsid w:val="004C1B59"/>
    <w:rsid w:val="004C2283"/>
    <w:rsid w:val="004C3C25"/>
    <w:rsid w:val="004C3CFC"/>
    <w:rsid w:val="004C3EEA"/>
    <w:rsid w:val="004C4EA2"/>
    <w:rsid w:val="004C568F"/>
    <w:rsid w:val="004C596B"/>
    <w:rsid w:val="004C5BE8"/>
    <w:rsid w:val="004C5E41"/>
    <w:rsid w:val="004C60E7"/>
    <w:rsid w:val="004C664D"/>
    <w:rsid w:val="004C7BDE"/>
    <w:rsid w:val="004D0090"/>
    <w:rsid w:val="004D020F"/>
    <w:rsid w:val="004D03D1"/>
    <w:rsid w:val="004D10B0"/>
    <w:rsid w:val="004D11AF"/>
    <w:rsid w:val="004D2E58"/>
    <w:rsid w:val="004D37D9"/>
    <w:rsid w:val="004D41A2"/>
    <w:rsid w:val="004D47F2"/>
    <w:rsid w:val="004D502C"/>
    <w:rsid w:val="004D5CEE"/>
    <w:rsid w:val="004D5E86"/>
    <w:rsid w:val="004D5FB2"/>
    <w:rsid w:val="004D60A3"/>
    <w:rsid w:val="004D6DC3"/>
    <w:rsid w:val="004D71CA"/>
    <w:rsid w:val="004D78B9"/>
    <w:rsid w:val="004E00C2"/>
    <w:rsid w:val="004E016A"/>
    <w:rsid w:val="004E0461"/>
    <w:rsid w:val="004E1CC8"/>
    <w:rsid w:val="004E2052"/>
    <w:rsid w:val="004E29B1"/>
    <w:rsid w:val="004E3F87"/>
    <w:rsid w:val="004E461B"/>
    <w:rsid w:val="004E477D"/>
    <w:rsid w:val="004E5890"/>
    <w:rsid w:val="004E79EF"/>
    <w:rsid w:val="004E7B33"/>
    <w:rsid w:val="004E7E6A"/>
    <w:rsid w:val="004F0368"/>
    <w:rsid w:val="004F0D19"/>
    <w:rsid w:val="004F121B"/>
    <w:rsid w:val="004F140F"/>
    <w:rsid w:val="004F185F"/>
    <w:rsid w:val="004F2811"/>
    <w:rsid w:val="004F3326"/>
    <w:rsid w:val="004F4D22"/>
    <w:rsid w:val="004F590E"/>
    <w:rsid w:val="004F5966"/>
    <w:rsid w:val="004F6026"/>
    <w:rsid w:val="004F60F4"/>
    <w:rsid w:val="004F62E8"/>
    <w:rsid w:val="004F67C3"/>
    <w:rsid w:val="004F6C17"/>
    <w:rsid w:val="004F7390"/>
    <w:rsid w:val="004F78F8"/>
    <w:rsid w:val="005001A5"/>
    <w:rsid w:val="00500201"/>
    <w:rsid w:val="00500CCD"/>
    <w:rsid w:val="005019AA"/>
    <w:rsid w:val="00502008"/>
    <w:rsid w:val="005028AF"/>
    <w:rsid w:val="00503172"/>
    <w:rsid w:val="005032E9"/>
    <w:rsid w:val="00503A40"/>
    <w:rsid w:val="00503C3B"/>
    <w:rsid w:val="00503CE7"/>
    <w:rsid w:val="005040C9"/>
    <w:rsid w:val="005042DB"/>
    <w:rsid w:val="0050458E"/>
    <w:rsid w:val="00505928"/>
    <w:rsid w:val="00505CD6"/>
    <w:rsid w:val="005069B2"/>
    <w:rsid w:val="0050741A"/>
    <w:rsid w:val="00510452"/>
    <w:rsid w:val="005107BD"/>
    <w:rsid w:val="005108EC"/>
    <w:rsid w:val="00511F8F"/>
    <w:rsid w:val="00512A7E"/>
    <w:rsid w:val="00513291"/>
    <w:rsid w:val="00513EA4"/>
    <w:rsid w:val="005147DA"/>
    <w:rsid w:val="00514FBF"/>
    <w:rsid w:val="00514FCB"/>
    <w:rsid w:val="005153AC"/>
    <w:rsid w:val="005153C3"/>
    <w:rsid w:val="00515745"/>
    <w:rsid w:val="00515862"/>
    <w:rsid w:val="005165FE"/>
    <w:rsid w:val="0051690E"/>
    <w:rsid w:val="00516942"/>
    <w:rsid w:val="00516DC0"/>
    <w:rsid w:val="00516DC5"/>
    <w:rsid w:val="00517667"/>
    <w:rsid w:val="0051790F"/>
    <w:rsid w:val="00520482"/>
    <w:rsid w:val="00520BBA"/>
    <w:rsid w:val="00522185"/>
    <w:rsid w:val="005225AC"/>
    <w:rsid w:val="005226FA"/>
    <w:rsid w:val="005233F3"/>
    <w:rsid w:val="0052365C"/>
    <w:rsid w:val="005245D2"/>
    <w:rsid w:val="0052488B"/>
    <w:rsid w:val="00524C98"/>
    <w:rsid w:val="00524C9C"/>
    <w:rsid w:val="00524EDD"/>
    <w:rsid w:val="00524FEB"/>
    <w:rsid w:val="00525B59"/>
    <w:rsid w:val="005269C4"/>
    <w:rsid w:val="00526A20"/>
    <w:rsid w:val="00530CE5"/>
    <w:rsid w:val="00531966"/>
    <w:rsid w:val="00531F56"/>
    <w:rsid w:val="00532472"/>
    <w:rsid w:val="005325C9"/>
    <w:rsid w:val="005329DA"/>
    <w:rsid w:val="00532BCA"/>
    <w:rsid w:val="0053322F"/>
    <w:rsid w:val="00533BC1"/>
    <w:rsid w:val="00533DBF"/>
    <w:rsid w:val="00534940"/>
    <w:rsid w:val="00535673"/>
    <w:rsid w:val="00535784"/>
    <w:rsid w:val="00535D6B"/>
    <w:rsid w:val="0053619E"/>
    <w:rsid w:val="00536442"/>
    <w:rsid w:val="005367AF"/>
    <w:rsid w:val="005374FE"/>
    <w:rsid w:val="0054028C"/>
    <w:rsid w:val="0054053D"/>
    <w:rsid w:val="0054126C"/>
    <w:rsid w:val="00541368"/>
    <w:rsid w:val="005415DD"/>
    <w:rsid w:val="00541D12"/>
    <w:rsid w:val="005423F3"/>
    <w:rsid w:val="005426DB"/>
    <w:rsid w:val="005442F1"/>
    <w:rsid w:val="00544A24"/>
    <w:rsid w:val="0054583C"/>
    <w:rsid w:val="00546227"/>
    <w:rsid w:val="005462FB"/>
    <w:rsid w:val="005468E2"/>
    <w:rsid w:val="00546D83"/>
    <w:rsid w:val="00550113"/>
    <w:rsid w:val="0055019B"/>
    <w:rsid w:val="005504BE"/>
    <w:rsid w:val="0055082B"/>
    <w:rsid w:val="0055093A"/>
    <w:rsid w:val="00550F00"/>
    <w:rsid w:val="00550F52"/>
    <w:rsid w:val="00551964"/>
    <w:rsid w:val="00551BDF"/>
    <w:rsid w:val="00551ED7"/>
    <w:rsid w:val="0055211C"/>
    <w:rsid w:val="0055263A"/>
    <w:rsid w:val="005526EE"/>
    <w:rsid w:val="00552A9A"/>
    <w:rsid w:val="00552B57"/>
    <w:rsid w:val="00552E53"/>
    <w:rsid w:val="00553E34"/>
    <w:rsid w:val="005547B7"/>
    <w:rsid w:val="005551E9"/>
    <w:rsid w:val="0055532C"/>
    <w:rsid w:val="0055680D"/>
    <w:rsid w:val="00557670"/>
    <w:rsid w:val="00557C2D"/>
    <w:rsid w:val="00557F7D"/>
    <w:rsid w:val="00560094"/>
    <w:rsid w:val="00560C62"/>
    <w:rsid w:val="005615C2"/>
    <w:rsid w:val="00561C35"/>
    <w:rsid w:val="00562A61"/>
    <w:rsid w:val="00562E78"/>
    <w:rsid w:val="005638A2"/>
    <w:rsid w:val="00564E45"/>
    <w:rsid w:val="005652D5"/>
    <w:rsid w:val="00565E52"/>
    <w:rsid w:val="00566EA5"/>
    <w:rsid w:val="00567227"/>
    <w:rsid w:val="00567CD0"/>
    <w:rsid w:val="00570C7B"/>
    <w:rsid w:val="00571C77"/>
    <w:rsid w:val="00572BCD"/>
    <w:rsid w:val="00572D5B"/>
    <w:rsid w:val="00574614"/>
    <w:rsid w:val="00574A70"/>
    <w:rsid w:val="00574AAE"/>
    <w:rsid w:val="00574D35"/>
    <w:rsid w:val="00575C75"/>
    <w:rsid w:val="00575CEA"/>
    <w:rsid w:val="005762CA"/>
    <w:rsid w:val="005770CF"/>
    <w:rsid w:val="00577904"/>
    <w:rsid w:val="00577922"/>
    <w:rsid w:val="00577AC3"/>
    <w:rsid w:val="00580368"/>
    <w:rsid w:val="00580577"/>
    <w:rsid w:val="00580662"/>
    <w:rsid w:val="005815A8"/>
    <w:rsid w:val="00581915"/>
    <w:rsid w:val="0058284A"/>
    <w:rsid w:val="00583431"/>
    <w:rsid w:val="005835B0"/>
    <w:rsid w:val="00584301"/>
    <w:rsid w:val="005846C0"/>
    <w:rsid w:val="00584D04"/>
    <w:rsid w:val="00584E51"/>
    <w:rsid w:val="005853F5"/>
    <w:rsid w:val="0058567E"/>
    <w:rsid w:val="00585DE1"/>
    <w:rsid w:val="0058659E"/>
    <w:rsid w:val="005869EE"/>
    <w:rsid w:val="005872DD"/>
    <w:rsid w:val="00587CF2"/>
    <w:rsid w:val="00587D3A"/>
    <w:rsid w:val="00590346"/>
    <w:rsid w:val="0059093F"/>
    <w:rsid w:val="00590BA2"/>
    <w:rsid w:val="00590CA7"/>
    <w:rsid w:val="00590E93"/>
    <w:rsid w:val="005915E1"/>
    <w:rsid w:val="00591C75"/>
    <w:rsid w:val="00592D10"/>
    <w:rsid w:val="0059388B"/>
    <w:rsid w:val="00593A5F"/>
    <w:rsid w:val="0059404E"/>
    <w:rsid w:val="00594269"/>
    <w:rsid w:val="00595539"/>
    <w:rsid w:val="00596178"/>
    <w:rsid w:val="00597108"/>
    <w:rsid w:val="005976DB"/>
    <w:rsid w:val="005A1A84"/>
    <w:rsid w:val="005A26A1"/>
    <w:rsid w:val="005A2CDA"/>
    <w:rsid w:val="005A347A"/>
    <w:rsid w:val="005A3E82"/>
    <w:rsid w:val="005A4287"/>
    <w:rsid w:val="005A482E"/>
    <w:rsid w:val="005A4DB0"/>
    <w:rsid w:val="005A5095"/>
    <w:rsid w:val="005A5597"/>
    <w:rsid w:val="005A57BF"/>
    <w:rsid w:val="005A612F"/>
    <w:rsid w:val="005A6AC2"/>
    <w:rsid w:val="005A7A65"/>
    <w:rsid w:val="005A7B26"/>
    <w:rsid w:val="005A7B8E"/>
    <w:rsid w:val="005B012B"/>
    <w:rsid w:val="005B0C87"/>
    <w:rsid w:val="005B0FE9"/>
    <w:rsid w:val="005B2195"/>
    <w:rsid w:val="005B26C7"/>
    <w:rsid w:val="005B2D65"/>
    <w:rsid w:val="005B3877"/>
    <w:rsid w:val="005B3AC8"/>
    <w:rsid w:val="005B3BB4"/>
    <w:rsid w:val="005B3CC1"/>
    <w:rsid w:val="005B4002"/>
    <w:rsid w:val="005B45AB"/>
    <w:rsid w:val="005B4D8F"/>
    <w:rsid w:val="005B526C"/>
    <w:rsid w:val="005B5340"/>
    <w:rsid w:val="005B541E"/>
    <w:rsid w:val="005B6551"/>
    <w:rsid w:val="005B71A8"/>
    <w:rsid w:val="005B744B"/>
    <w:rsid w:val="005C0A6F"/>
    <w:rsid w:val="005C0FA7"/>
    <w:rsid w:val="005C155F"/>
    <w:rsid w:val="005C1C0E"/>
    <w:rsid w:val="005C1FF5"/>
    <w:rsid w:val="005C259E"/>
    <w:rsid w:val="005C36E2"/>
    <w:rsid w:val="005C3E9E"/>
    <w:rsid w:val="005C400C"/>
    <w:rsid w:val="005C40EF"/>
    <w:rsid w:val="005C410C"/>
    <w:rsid w:val="005C4BF1"/>
    <w:rsid w:val="005C4BF2"/>
    <w:rsid w:val="005C52D4"/>
    <w:rsid w:val="005C5967"/>
    <w:rsid w:val="005C5BED"/>
    <w:rsid w:val="005C5D86"/>
    <w:rsid w:val="005C6167"/>
    <w:rsid w:val="005C6ADB"/>
    <w:rsid w:val="005C6EE2"/>
    <w:rsid w:val="005C7A07"/>
    <w:rsid w:val="005C7DDC"/>
    <w:rsid w:val="005C7F7C"/>
    <w:rsid w:val="005D0BAD"/>
    <w:rsid w:val="005D0C0A"/>
    <w:rsid w:val="005D107D"/>
    <w:rsid w:val="005D123A"/>
    <w:rsid w:val="005D12D5"/>
    <w:rsid w:val="005D1E57"/>
    <w:rsid w:val="005D2506"/>
    <w:rsid w:val="005D2BB5"/>
    <w:rsid w:val="005D3677"/>
    <w:rsid w:val="005D3A10"/>
    <w:rsid w:val="005D42D5"/>
    <w:rsid w:val="005D4E4C"/>
    <w:rsid w:val="005D5B5E"/>
    <w:rsid w:val="005D5C85"/>
    <w:rsid w:val="005D5CA0"/>
    <w:rsid w:val="005D5F27"/>
    <w:rsid w:val="005D69AB"/>
    <w:rsid w:val="005D72FC"/>
    <w:rsid w:val="005D7DFC"/>
    <w:rsid w:val="005E035A"/>
    <w:rsid w:val="005E0464"/>
    <w:rsid w:val="005E0681"/>
    <w:rsid w:val="005E1218"/>
    <w:rsid w:val="005E18EC"/>
    <w:rsid w:val="005E1A55"/>
    <w:rsid w:val="005E1B6B"/>
    <w:rsid w:val="005E1F61"/>
    <w:rsid w:val="005E2127"/>
    <w:rsid w:val="005E2281"/>
    <w:rsid w:val="005E236C"/>
    <w:rsid w:val="005E2AAE"/>
    <w:rsid w:val="005E2FAE"/>
    <w:rsid w:val="005E32C9"/>
    <w:rsid w:val="005E351B"/>
    <w:rsid w:val="005E38A8"/>
    <w:rsid w:val="005E39F9"/>
    <w:rsid w:val="005E3D9B"/>
    <w:rsid w:val="005E44B6"/>
    <w:rsid w:val="005E4828"/>
    <w:rsid w:val="005E4887"/>
    <w:rsid w:val="005E5016"/>
    <w:rsid w:val="005E5231"/>
    <w:rsid w:val="005E55BB"/>
    <w:rsid w:val="005E5D11"/>
    <w:rsid w:val="005E667C"/>
    <w:rsid w:val="005E6A1D"/>
    <w:rsid w:val="005E6F12"/>
    <w:rsid w:val="005E733E"/>
    <w:rsid w:val="005E7428"/>
    <w:rsid w:val="005F0694"/>
    <w:rsid w:val="005F06E1"/>
    <w:rsid w:val="005F077C"/>
    <w:rsid w:val="005F0B88"/>
    <w:rsid w:val="005F140B"/>
    <w:rsid w:val="005F1735"/>
    <w:rsid w:val="005F187E"/>
    <w:rsid w:val="005F252A"/>
    <w:rsid w:val="005F3CC3"/>
    <w:rsid w:val="005F3CE8"/>
    <w:rsid w:val="005F4F41"/>
    <w:rsid w:val="005F4F70"/>
    <w:rsid w:val="005F566D"/>
    <w:rsid w:val="005F648F"/>
    <w:rsid w:val="005F68C3"/>
    <w:rsid w:val="005F7D87"/>
    <w:rsid w:val="00601794"/>
    <w:rsid w:val="00601E94"/>
    <w:rsid w:val="006021B1"/>
    <w:rsid w:val="006029A7"/>
    <w:rsid w:val="00602F40"/>
    <w:rsid w:val="006037C5"/>
    <w:rsid w:val="006040CE"/>
    <w:rsid w:val="0060467D"/>
    <w:rsid w:val="00604DF3"/>
    <w:rsid w:val="0060585E"/>
    <w:rsid w:val="00605B4D"/>
    <w:rsid w:val="00605B9D"/>
    <w:rsid w:val="00606213"/>
    <w:rsid w:val="00606B57"/>
    <w:rsid w:val="00606B85"/>
    <w:rsid w:val="006070E9"/>
    <w:rsid w:val="00607390"/>
    <w:rsid w:val="006076D8"/>
    <w:rsid w:val="006078D0"/>
    <w:rsid w:val="00607E6D"/>
    <w:rsid w:val="006100CB"/>
    <w:rsid w:val="0061061D"/>
    <w:rsid w:val="00611708"/>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4921"/>
    <w:rsid w:val="00615564"/>
    <w:rsid w:val="006155E2"/>
    <w:rsid w:val="00615ECA"/>
    <w:rsid w:val="00615F26"/>
    <w:rsid w:val="00616974"/>
    <w:rsid w:val="00616CCC"/>
    <w:rsid w:val="00617A81"/>
    <w:rsid w:val="00617C11"/>
    <w:rsid w:val="00617DEC"/>
    <w:rsid w:val="00617EEC"/>
    <w:rsid w:val="00620573"/>
    <w:rsid w:val="00620579"/>
    <w:rsid w:val="006208AA"/>
    <w:rsid w:val="0062128D"/>
    <w:rsid w:val="00621C96"/>
    <w:rsid w:val="00622161"/>
    <w:rsid w:val="0062228D"/>
    <w:rsid w:val="006224D1"/>
    <w:rsid w:val="0062258F"/>
    <w:rsid w:val="00622732"/>
    <w:rsid w:val="00622E6D"/>
    <w:rsid w:val="00623BC7"/>
    <w:rsid w:val="00623E70"/>
    <w:rsid w:val="006241D0"/>
    <w:rsid w:val="00624425"/>
    <w:rsid w:val="00624665"/>
    <w:rsid w:val="00624B06"/>
    <w:rsid w:val="00625434"/>
    <w:rsid w:val="0062576B"/>
    <w:rsid w:val="00625C5F"/>
    <w:rsid w:val="00625FF2"/>
    <w:rsid w:val="00626032"/>
    <w:rsid w:val="00627643"/>
    <w:rsid w:val="00627788"/>
    <w:rsid w:val="006300CD"/>
    <w:rsid w:val="0063017E"/>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E2"/>
    <w:rsid w:val="00635FD8"/>
    <w:rsid w:val="00636651"/>
    <w:rsid w:val="006368E4"/>
    <w:rsid w:val="00636F7B"/>
    <w:rsid w:val="00640140"/>
    <w:rsid w:val="0064019C"/>
    <w:rsid w:val="00640288"/>
    <w:rsid w:val="006405AC"/>
    <w:rsid w:val="0064099D"/>
    <w:rsid w:val="00640E9A"/>
    <w:rsid w:val="006412CD"/>
    <w:rsid w:val="006413D8"/>
    <w:rsid w:val="00641610"/>
    <w:rsid w:val="00641B7B"/>
    <w:rsid w:val="00641C55"/>
    <w:rsid w:val="00642405"/>
    <w:rsid w:val="00642645"/>
    <w:rsid w:val="006437E8"/>
    <w:rsid w:val="006438E0"/>
    <w:rsid w:val="00644BED"/>
    <w:rsid w:val="006453C4"/>
    <w:rsid w:val="006455CB"/>
    <w:rsid w:val="00646FD5"/>
    <w:rsid w:val="006472F8"/>
    <w:rsid w:val="00647680"/>
    <w:rsid w:val="00647743"/>
    <w:rsid w:val="00647CE0"/>
    <w:rsid w:val="0065069B"/>
    <w:rsid w:val="006507AB"/>
    <w:rsid w:val="006510C0"/>
    <w:rsid w:val="00651DC7"/>
    <w:rsid w:val="00652092"/>
    <w:rsid w:val="00652472"/>
    <w:rsid w:val="00652A5F"/>
    <w:rsid w:val="00652F31"/>
    <w:rsid w:val="006532DE"/>
    <w:rsid w:val="006535E5"/>
    <w:rsid w:val="0065394E"/>
    <w:rsid w:val="00653B2B"/>
    <w:rsid w:val="00653B38"/>
    <w:rsid w:val="00654D37"/>
    <w:rsid w:val="00654F06"/>
    <w:rsid w:val="00655602"/>
    <w:rsid w:val="00656385"/>
    <w:rsid w:val="00656F19"/>
    <w:rsid w:val="00657BB7"/>
    <w:rsid w:val="00660299"/>
    <w:rsid w:val="00660552"/>
    <w:rsid w:val="00660963"/>
    <w:rsid w:val="00660DBE"/>
    <w:rsid w:val="00661113"/>
    <w:rsid w:val="0066127D"/>
    <w:rsid w:val="00661AB0"/>
    <w:rsid w:val="006623A4"/>
    <w:rsid w:val="006627B5"/>
    <w:rsid w:val="0066351C"/>
    <w:rsid w:val="006635BF"/>
    <w:rsid w:val="00663CBA"/>
    <w:rsid w:val="00664498"/>
    <w:rsid w:val="00664693"/>
    <w:rsid w:val="00664BF3"/>
    <w:rsid w:val="00664C4B"/>
    <w:rsid w:val="00664D8E"/>
    <w:rsid w:val="00664DC0"/>
    <w:rsid w:val="0066506A"/>
    <w:rsid w:val="006651CC"/>
    <w:rsid w:val="0066570B"/>
    <w:rsid w:val="0066582B"/>
    <w:rsid w:val="006658DA"/>
    <w:rsid w:val="00665B9B"/>
    <w:rsid w:val="00665CA1"/>
    <w:rsid w:val="00666F2F"/>
    <w:rsid w:val="00667421"/>
    <w:rsid w:val="0066780E"/>
    <w:rsid w:val="00667A31"/>
    <w:rsid w:val="0067010B"/>
    <w:rsid w:val="00670702"/>
    <w:rsid w:val="006708EB"/>
    <w:rsid w:val="0067147C"/>
    <w:rsid w:val="00672895"/>
    <w:rsid w:val="00672A8A"/>
    <w:rsid w:val="00673524"/>
    <w:rsid w:val="00673F50"/>
    <w:rsid w:val="00674EEA"/>
    <w:rsid w:val="0067549D"/>
    <w:rsid w:val="006759B0"/>
    <w:rsid w:val="00677012"/>
    <w:rsid w:val="006771EA"/>
    <w:rsid w:val="006772F9"/>
    <w:rsid w:val="00680D0E"/>
    <w:rsid w:val="00680F00"/>
    <w:rsid w:val="0068221C"/>
    <w:rsid w:val="006825A6"/>
    <w:rsid w:val="006825B4"/>
    <w:rsid w:val="006829BA"/>
    <w:rsid w:val="00682AF2"/>
    <w:rsid w:val="00682C1D"/>
    <w:rsid w:val="00682E8A"/>
    <w:rsid w:val="00682FB7"/>
    <w:rsid w:val="006837DE"/>
    <w:rsid w:val="00683CE0"/>
    <w:rsid w:val="00684FA5"/>
    <w:rsid w:val="00685026"/>
    <w:rsid w:val="0068537F"/>
    <w:rsid w:val="0068604B"/>
    <w:rsid w:val="00686104"/>
    <w:rsid w:val="00686334"/>
    <w:rsid w:val="00686C3A"/>
    <w:rsid w:val="00686EEB"/>
    <w:rsid w:val="00687015"/>
    <w:rsid w:val="00687628"/>
    <w:rsid w:val="00687CFE"/>
    <w:rsid w:val="0069035A"/>
    <w:rsid w:val="006906FD"/>
    <w:rsid w:val="00690EB8"/>
    <w:rsid w:val="0069109D"/>
    <w:rsid w:val="006915E5"/>
    <w:rsid w:val="00692401"/>
    <w:rsid w:val="006929D2"/>
    <w:rsid w:val="00693B7A"/>
    <w:rsid w:val="006941CC"/>
    <w:rsid w:val="006942BA"/>
    <w:rsid w:val="006945D4"/>
    <w:rsid w:val="00694EC0"/>
    <w:rsid w:val="00695852"/>
    <w:rsid w:val="00695F56"/>
    <w:rsid w:val="0069758B"/>
    <w:rsid w:val="00697F88"/>
    <w:rsid w:val="006A050B"/>
    <w:rsid w:val="006A07FF"/>
    <w:rsid w:val="006A0A70"/>
    <w:rsid w:val="006A0B6C"/>
    <w:rsid w:val="006A1692"/>
    <w:rsid w:val="006A16E1"/>
    <w:rsid w:val="006A179F"/>
    <w:rsid w:val="006A188D"/>
    <w:rsid w:val="006A3293"/>
    <w:rsid w:val="006A36DF"/>
    <w:rsid w:val="006A3C8A"/>
    <w:rsid w:val="006A3E61"/>
    <w:rsid w:val="006A5213"/>
    <w:rsid w:val="006A6003"/>
    <w:rsid w:val="006A6737"/>
    <w:rsid w:val="006B0AE6"/>
    <w:rsid w:val="006B1B87"/>
    <w:rsid w:val="006B1E08"/>
    <w:rsid w:val="006B2099"/>
    <w:rsid w:val="006B26B1"/>
    <w:rsid w:val="006B2E45"/>
    <w:rsid w:val="006B31A2"/>
    <w:rsid w:val="006B341B"/>
    <w:rsid w:val="006B3875"/>
    <w:rsid w:val="006B3937"/>
    <w:rsid w:val="006B425B"/>
    <w:rsid w:val="006B4534"/>
    <w:rsid w:val="006B545C"/>
    <w:rsid w:val="006B5AA0"/>
    <w:rsid w:val="006B5AC8"/>
    <w:rsid w:val="006B5C4F"/>
    <w:rsid w:val="006B5D32"/>
    <w:rsid w:val="006B6EDF"/>
    <w:rsid w:val="006B758B"/>
    <w:rsid w:val="006B78A5"/>
    <w:rsid w:val="006B7BF8"/>
    <w:rsid w:val="006C00A0"/>
    <w:rsid w:val="006C0E54"/>
    <w:rsid w:val="006C0F11"/>
    <w:rsid w:val="006C23E1"/>
    <w:rsid w:val="006C25D5"/>
    <w:rsid w:val="006C25F9"/>
    <w:rsid w:val="006C262B"/>
    <w:rsid w:val="006C27DC"/>
    <w:rsid w:val="006C2866"/>
    <w:rsid w:val="006C2E11"/>
    <w:rsid w:val="006C31C6"/>
    <w:rsid w:val="006C32BE"/>
    <w:rsid w:val="006C3A2D"/>
    <w:rsid w:val="006C4666"/>
    <w:rsid w:val="006C49BF"/>
    <w:rsid w:val="006C4BB3"/>
    <w:rsid w:val="006C57E7"/>
    <w:rsid w:val="006C5D66"/>
    <w:rsid w:val="006C63D7"/>
    <w:rsid w:val="006C6894"/>
    <w:rsid w:val="006C69D9"/>
    <w:rsid w:val="006C7535"/>
    <w:rsid w:val="006C76A6"/>
    <w:rsid w:val="006C796D"/>
    <w:rsid w:val="006D0525"/>
    <w:rsid w:val="006D08DC"/>
    <w:rsid w:val="006D09D1"/>
    <w:rsid w:val="006D14AC"/>
    <w:rsid w:val="006D23FF"/>
    <w:rsid w:val="006D2F09"/>
    <w:rsid w:val="006D2FD2"/>
    <w:rsid w:val="006D33E6"/>
    <w:rsid w:val="006D3783"/>
    <w:rsid w:val="006D3DC0"/>
    <w:rsid w:val="006D40C4"/>
    <w:rsid w:val="006D4162"/>
    <w:rsid w:val="006D453E"/>
    <w:rsid w:val="006D5303"/>
    <w:rsid w:val="006D5E84"/>
    <w:rsid w:val="006D7A4C"/>
    <w:rsid w:val="006D7C99"/>
    <w:rsid w:val="006E0443"/>
    <w:rsid w:val="006E0C50"/>
    <w:rsid w:val="006E0DCF"/>
    <w:rsid w:val="006E14D6"/>
    <w:rsid w:val="006E1647"/>
    <w:rsid w:val="006E1BA2"/>
    <w:rsid w:val="006E2298"/>
    <w:rsid w:val="006E2C5A"/>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03AF"/>
    <w:rsid w:val="006F0D2E"/>
    <w:rsid w:val="006F193C"/>
    <w:rsid w:val="006F1B58"/>
    <w:rsid w:val="006F27DC"/>
    <w:rsid w:val="006F2B89"/>
    <w:rsid w:val="006F36F1"/>
    <w:rsid w:val="006F3B81"/>
    <w:rsid w:val="006F4860"/>
    <w:rsid w:val="006F4D59"/>
    <w:rsid w:val="006F4F79"/>
    <w:rsid w:val="006F4F80"/>
    <w:rsid w:val="006F5532"/>
    <w:rsid w:val="006F5ADA"/>
    <w:rsid w:val="006F62CC"/>
    <w:rsid w:val="006F644B"/>
    <w:rsid w:val="006F66C1"/>
    <w:rsid w:val="006F681D"/>
    <w:rsid w:val="006F6FA1"/>
    <w:rsid w:val="006F731E"/>
    <w:rsid w:val="006F78E9"/>
    <w:rsid w:val="0070235F"/>
    <w:rsid w:val="00702BC3"/>
    <w:rsid w:val="00702FF3"/>
    <w:rsid w:val="007032AC"/>
    <w:rsid w:val="00703496"/>
    <w:rsid w:val="007036FE"/>
    <w:rsid w:val="00703AB1"/>
    <w:rsid w:val="00704614"/>
    <w:rsid w:val="00704C5F"/>
    <w:rsid w:val="00704DEB"/>
    <w:rsid w:val="00705623"/>
    <w:rsid w:val="00705B37"/>
    <w:rsid w:val="007063F4"/>
    <w:rsid w:val="0070658A"/>
    <w:rsid w:val="00706B65"/>
    <w:rsid w:val="007070DA"/>
    <w:rsid w:val="007071AF"/>
    <w:rsid w:val="00707C1A"/>
    <w:rsid w:val="00710023"/>
    <w:rsid w:val="00710207"/>
    <w:rsid w:val="0071023D"/>
    <w:rsid w:val="007103CD"/>
    <w:rsid w:val="007104CB"/>
    <w:rsid w:val="00710530"/>
    <w:rsid w:val="007107BD"/>
    <w:rsid w:val="00711E77"/>
    <w:rsid w:val="00712912"/>
    <w:rsid w:val="00713AAC"/>
    <w:rsid w:val="007141DC"/>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442F"/>
    <w:rsid w:val="00725189"/>
    <w:rsid w:val="0072541E"/>
    <w:rsid w:val="00725735"/>
    <w:rsid w:val="00725BB8"/>
    <w:rsid w:val="007260A3"/>
    <w:rsid w:val="0072630D"/>
    <w:rsid w:val="00726A2A"/>
    <w:rsid w:val="007271E9"/>
    <w:rsid w:val="007273BC"/>
    <w:rsid w:val="007275FD"/>
    <w:rsid w:val="007276E5"/>
    <w:rsid w:val="00730943"/>
    <w:rsid w:val="00730C25"/>
    <w:rsid w:val="007310EF"/>
    <w:rsid w:val="00731D5E"/>
    <w:rsid w:val="00732492"/>
    <w:rsid w:val="00733E5A"/>
    <w:rsid w:val="00733F25"/>
    <w:rsid w:val="00735BCB"/>
    <w:rsid w:val="00736395"/>
    <w:rsid w:val="00736459"/>
    <w:rsid w:val="0073685F"/>
    <w:rsid w:val="00737821"/>
    <w:rsid w:val="0074058F"/>
    <w:rsid w:val="00740E86"/>
    <w:rsid w:val="00741175"/>
    <w:rsid w:val="00741864"/>
    <w:rsid w:val="007419FB"/>
    <w:rsid w:val="00742274"/>
    <w:rsid w:val="00742606"/>
    <w:rsid w:val="00742D3B"/>
    <w:rsid w:val="007441FF"/>
    <w:rsid w:val="007448A7"/>
    <w:rsid w:val="00744D2D"/>
    <w:rsid w:val="00744EE8"/>
    <w:rsid w:val="00744F42"/>
    <w:rsid w:val="007459F5"/>
    <w:rsid w:val="00745D9E"/>
    <w:rsid w:val="0074623A"/>
    <w:rsid w:val="00746713"/>
    <w:rsid w:val="007467E4"/>
    <w:rsid w:val="00746B08"/>
    <w:rsid w:val="00747569"/>
    <w:rsid w:val="00750238"/>
    <w:rsid w:val="0075023C"/>
    <w:rsid w:val="007518E3"/>
    <w:rsid w:val="007518E9"/>
    <w:rsid w:val="00752247"/>
    <w:rsid w:val="007523E7"/>
    <w:rsid w:val="007524C4"/>
    <w:rsid w:val="007524F9"/>
    <w:rsid w:val="00752AE5"/>
    <w:rsid w:val="007531CA"/>
    <w:rsid w:val="00754252"/>
    <w:rsid w:val="007557BB"/>
    <w:rsid w:val="007577B1"/>
    <w:rsid w:val="00757CB3"/>
    <w:rsid w:val="00757D87"/>
    <w:rsid w:val="00757DB4"/>
    <w:rsid w:val="00757E79"/>
    <w:rsid w:val="00760EED"/>
    <w:rsid w:val="0076109F"/>
    <w:rsid w:val="00761399"/>
    <w:rsid w:val="00761615"/>
    <w:rsid w:val="007616DA"/>
    <w:rsid w:val="007619CE"/>
    <w:rsid w:val="00761F4F"/>
    <w:rsid w:val="0076209F"/>
    <w:rsid w:val="007620DC"/>
    <w:rsid w:val="00762102"/>
    <w:rsid w:val="0076255D"/>
    <w:rsid w:val="007625F6"/>
    <w:rsid w:val="00762B8B"/>
    <w:rsid w:val="0076325B"/>
    <w:rsid w:val="007635A7"/>
    <w:rsid w:val="00764AF9"/>
    <w:rsid w:val="007650AD"/>
    <w:rsid w:val="00765D18"/>
    <w:rsid w:val="0076640B"/>
    <w:rsid w:val="007673DE"/>
    <w:rsid w:val="00770C54"/>
    <w:rsid w:val="00771344"/>
    <w:rsid w:val="0077213A"/>
    <w:rsid w:val="00772613"/>
    <w:rsid w:val="00772B41"/>
    <w:rsid w:val="00772CED"/>
    <w:rsid w:val="00773EA1"/>
    <w:rsid w:val="00775215"/>
    <w:rsid w:val="00775748"/>
    <w:rsid w:val="00775B2B"/>
    <w:rsid w:val="00776ACC"/>
    <w:rsid w:val="00777AE2"/>
    <w:rsid w:val="00777C71"/>
    <w:rsid w:val="00777D6B"/>
    <w:rsid w:val="00777F20"/>
    <w:rsid w:val="0078080B"/>
    <w:rsid w:val="00781148"/>
    <w:rsid w:val="0078120F"/>
    <w:rsid w:val="00781F98"/>
    <w:rsid w:val="0078265B"/>
    <w:rsid w:val="00782AFE"/>
    <w:rsid w:val="00782E10"/>
    <w:rsid w:val="00784926"/>
    <w:rsid w:val="00784DB8"/>
    <w:rsid w:val="00784FDD"/>
    <w:rsid w:val="0078508F"/>
    <w:rsid w:val="00786448"/>
    <w:rsid w:val="007875D7"/>
    <w:rsid w:val="007906B2"/>
    <w:rsid w:val="0079134E"/>
    <w:rsid w:val="007925F0"/>
    <w:rsid w:val="0079278E"/>
    <w:rsid w:val="00792DCA"/>
    <w:rsid w:val="00792E3C"/>
    <w:rsid w:val="00793040"/>
    <w:rsid w:val="007930C1"/>
    <w:rsid w:val="0079315D"/>
    <w:rsid w:val="00793AA8"/>
    <w:rsid w:val="00793B45"/>
    <w:rsid w:val="0079477A"/>
    <w:rsid w:val="007956CD"/>
    <w:rsid w:val="00795706"/>
    <w:rsid w:val="007960E3"/>
    <w:rsid w:val="00796F7C"/>
    <w:rsid w:val="00797131"/>
    <w:rsid w:val="00797254"/>
    <w:rsid w:val="00797430"/>
    <w:rsid w:val="00797AF4"/>
    <w:rsid w:val="007A0F8D"/>
    <w:rsid w:val="007A1078"/>
    <w:rsid w:val="007A180A"/>
    <w:rsid w:val="007A21E4"/>
    <w:rsid w:val="007A2304"/>
    <w:rsid w:val="007A257D"/>
    <w:rsid w:val="007A2CB0"/>
    <w:rsid w:val="007A2F67"/>
    <w:rsid w:val="007A343D"/>
    <w:rsid w:val="007A37CA"/>
    <w:rsid w:val="007A38CE"/>
    <w:rsid w:val="007A3F1C"/>
    <w:rsid w:val="007A46E6"/>
    <w:rsid w:val="007A48D8"/>
    <w:rsid w:val="007A5ACE"/>
    <w:rsid w:val="007A5C5C"/>
    <w:rsid w:val="007A6528"/>
    <w:rsid w:val="007A6A64"/>
    <w:rsid w:val="007A7B48"/>
    <w:rsid w:val="007A7FD7"/>
    <w:rsid w:val="007B18C6"/>
    <w:rsid w:val="007B20C2"/>
    <w:rsid w:val="007B25D5"/>
    <w:rsid w:val="007B27E4"/>
    <w:rsid w:val="007B2910"/>
    <w:rsid w:val="007B301D"/>
    <w:rsid w:val="007B3264"/>
    <w:rsid w:val="007B35F6"/>
    <w:rsid w:val="007B3F87"/>
    <w:rsid w:val="007B404F"/>
    <w:rsid w:val="007B40E3"/>
    <w:rsid w:val="007B44A6"/>
    <w:rsid w:val="007B494E"/>
    <w:rsid w:val="007B4C5E"/>
    <w:rsid w:val="007B5B16"/>
    <w:rsid w:val="007B7462"/>
    <w:rsid w:val="007B7B52"/>
    <w:rsid w:val="007C02A3"/>
    <w:rsid w:val="007C0C55"/>
    <w:rsid w:val="007C1507"/>
    <w:rsid w:val="007C1857"/>
    <w:rsid w:val="007C207E"/>
    <w:rsid w:val="007C2F60"/>
    <w:rsid w:val="007C3639"/>
    <w:rsid w:val="007C3757"/>
    <w:rsid w:val="007C4D8D"/>
    <w:rsid w:val="007C5144"/>
    <w:rsid w:val="007C5613"/>
    <w:rsid w:val="007C6138"/>
    <w:rsid w:val="007C6153"/>
    <w:rsid w:val="007C6215"/>
    <w:rsid w:val="007C6849"/>
    <w:rsid w:val="007C6BC6"/>
    <w:rsid w:val="007C6C12"/>
    <w:rsid w:val="007C73B2"/>
    <w:rsid w:val="007D0435"/>
    <w:rsid w:val="007D0D3E"/>
    <w:rsid w:val="007D116E"/>
    <w:rsid w:val="007D1B24"/>
    <w:rsid w:val="007D214D"/>
    <w:rsid w:val="007D267F"/>
    <w:rsid w:val="007D3341"/>
    <w:rsid w:val="007D3A3E"/>
    <w:rsid w:val="007D400A"/>
    <w:rsid w:val="007D4B0E"/>
    <w:rsid w:val="007D4DD2"/>
    <w:rsid w:val="007D5D0F"/>
    <w:rsid w:val="007D6EA8"/>
    <w:rsid w:val="007D7B3C"/>
    <w:rsid w:val="007E010B"/>
    <w:rsid w:val="007E042B"/>
    <w:rsid w:val="007E05DB"/>
    <w:rsid w:val="007E1247"/>
    <w:rsid w:val="007E18C7"/>
    <w:rsid w:val="007E1A44"/>
    <w:rsid w:val="007E2419"/>
    <w:rsid w:val="007E2E7D"/>
    <w:rsid w:val="007E3FF5"/>
    <w:rsid w:val="007E4219"/>
    <w:rsid w:val="007E4B2E"/>
    <w:rsid w:val="007E577E"/>
    <w:rsid w:val="007E635E"/>
    <w:rsid w:val="007E63AA"/>
    <w:rsid w:val="007E6A9C"/>
    <w:rsid w:val="007E6AB0"/>
    <w:rsid w:val="007E6C0C"/>
    <w:rsid w:val="007E7300"/>
    <w:rsid w:val="007E767B"/>
    <w:rsid w:val="007E7B54"/>
    <w:rsid w:val="007F0275"/>
    <w:rsid w:val="007F038C"/>
    <w:rsid w:val="007F0428"/>
    <w:rsid w:val="007F0C82"/>
    <w:rsid w:val="007F0F24"/>
    <w:rsid w:val="007F1755"/>
    <w:rsid w:val="007F222B"/>
    <w:rsid w:val="007F25E4"/>
    <w:rsid w:val="007F2CBC"/>
    <w:rsid w:val="007F3092"/>
    <w:rsid w:val="007F30F9"/>
    <w:rsid w:val="007F39B8"/>
    <w:rsid w:val="007F3C03"/>
    <w:rsid w:val="007F3E3F"/>
    <w:rsid w:val="007F438B"/>
    <w:rsid w:val="007F45DF"/>
    <w:rsid w:val="007F4A6F"/>
    <w:rsid w:val="007F4FBC"/>
    <w:rsid w:val="007F5975"/>
    <w:rsid w:val="007F5AB9"/>
    <w:rsid w:val="007F6497"/>
    <w:rsid w:val="007F6836"/>
    <w:rsid w:val="007F7DF2"/>
    <w:rsid w:val="008005E6"/>
    <w:rsid w:val="00800A35"/>
    <w:rsid w:val="00800D91"/>
    <w:rsid w:val="008015F2"/>
    <w:rsid w:val="00801A0E"/>
    <w:rsid w:val="00803362"/>
    <w:rsid w:val="008034A8"/>
    <w:rsid w:val="00803A71"/>
    <w:rsid w:val="00803C65"/>
    <w:rsid w:val="00804BC0"/>
    <w:rsid w:val="00804E3C"/>
    <w:rsid w:val="00804E4C"/>
    <w:rsid w:val="0080662C"/>
    <w:rsid w:val="00806746"/>
    <w:rsid w:val="008070B2"/>
    <w:rsid w:val="00807D79"/>
    <w:rsid w:val="00810102"/>
    <w:rsid w:val="008102BC"/>
    <w:rsid w:val="008116F3"/>
    <w:rsid w:val="008117C4"/>
    <w:rsid w:val="0081222E"/>
    <w:rsid w:val="00812461"/>
    <w:rsid w:val="008127E0"/>
    <w:rsid w:val="00812810"/>
    <w:rsid w:val="0081398E"/>
    <w:rsid w:val="00813F02"/>
    <w:rsid w:val="008149D8"/>
    <w:rsid w:val="00814F9D"/>
    <w:rsid w:val="00815714"/>
    <w:rsid w:val="00815A2A"/>
    <w:rsid w:val="0081724D"/>
    <w:rsid w:val="0081788A"/>
    <w:rsid w:val="00817927"/>
    <w:rsid w:val="00817CFC"/>
    <w:rsid w:val="00817E82"/>
    <w:rsid w:val="00820A3F"/>
    <w:rsid w:val="00821D81"/>
    <w:rsid w:val="00822A52"/>
    <w:rsid w:val="00822F31"/>
    <w:rsid w:val="00823654"/>
    <w:rsid w:val="0082374A"/>
    <w:rsid w:val="008237F3"/>
    <w:rsid w:val="00823A90"/>
    <w:rsid w:val="00823D01"/>
    <w:rsid w:val="00825C68"/>
    <w:rsid w:val="00826883"/>
    <w:rsid w:val="0082757E"/>
    <w:rsid w:val="0082769C"/>
    <w:rsid w:val="00827B6C"/>
    <w:rsid w:val="00827D77"/>
    <w:rsid w:val="00830259"/>
    <w:rsid w:val="00830375"/>
    <w:rsid w:val="00830561"/>
    <w:rsid w:val="0083098A"/>
    <w:rsid w:val="00831115"/>
    <w:rsid w:val="00831A70"/>
    <w:rsid w:val="00832092"/>
    <w:rsid w:val="0083249C"/>
    <w:rsid w:val="00832D42"/>
    <w:rsid w:val="008333A9"/>
    <w:rsid w:val="00833419"/>
    <w:rsid w:val="00833CDB"/>
    <w:rsid w:val="008342A5"/>
    <w:rsid w:val="00834597"/>
    <w:rsid w:val="00834B7C"/>
    <w:rsid w:val="00834BE2"/>
    <w:rsid w:val="00834CA0"/>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9CF"/>
    <w:rsid w:val="0084324C"/>
    <w:rsid w:val="00843910"/>
    <w:rsid w:val="00843B9B"/>
    <w:rsid w:val="008451F8"/>
    <w:rsid w:val="008457D2"/>
    <w:rsid w:val="00846212"/>
    <w:rsid w:val="008468E0"/>
    <w:rsid w:val="0084767E"/>
    <w:rsid w:val="0084790F"/>
    <w:rsid w:val="00847BE7"/>
    <w:rsid w:val="00850EAB"/>
    <w:rsid w:val="00851C80"/>
    <w:rsid w:val="00851D70"/>
    <w:rsid w:val="00852760"/>
    <w:rsid w:val="008529B3"/>
    <w:rsid w:val="008529BB"/>
    <w:rsid w:val="00852ADD"/>
    <w:rsid w:val="00852FA0"/>
    <w:rsid w:val="00853883"/>
    <w:rsid w:val="00853EB9"/>
    <w:rsid w:val="00854CF7"/>
    <w:rsid w:val="00854DA7"/>
    <w:rsid w:val="008557A0"/>
    <w:rsid w:val="00856607"/>
    <w:rsid w:val="008602F1"/>
    <w:rsid w:val="008604A8"/>
    <w:rsid w:val="00860ADD"/>
    <w:rsid w:val="008616A2"/>
    <w:rsid w:val="00861C6C"/>
    <w:rsid w:val="00863321"/>
    <w:rsid w:val="008636AC"/>
    <w:rsid w:val="00863862"/>
    <w:rsid w:val="00863AAD"/>
    <w:rsid w:val="00864644"/>
    <w:rsid w:val="00864F4D"/>
    <w:rsid w:val="008658DE"/>
    <w:rsid w:val="00865F5C"/>
    <w:rsid w:val="00866296"/>
    <w:rsid w:val="008665C7"/>
    <w:rsid w:val="0086694E"/>
    <w:rsid w:val="00866DC1"/>
    <w:rsid w:val="008707A3"/>
    <w:rsid w:val="00870A36"/>
    <w:rsid w:val="008711AE"/>
    <w:rsid w:val="0087143E"/>
    <w:rsid w:val="00871A36"/>
    <w:rsid w:val="00871E97"/>
    <w:rsid w:val="00872C1D"/>
    <w:rsid w:val="00872F21"/>
    <w:rsid w:val="0087342F"/>
    <w:rsid w:val="00873736"/>
    <w:rsid w:val="0087378E"/>
    <w:rsid w:val="008737DF"/>
    <w:rsid w:val="0087481E"/>
    <w:rsid w:val="008755E7"/>
    <w:rsid w:val="00875700"/>
    <w:rsid w:val="00875A46"/>
    <w:rsid w:val="00875E16"/>
    <w:rsid w:val="00877D03"/>
    <w:rsid w:val="00877E96"/>
    <w:rsid w:val="0088023D"/>
    <w:rsid w:val="008803CE"/>
    <w:rsid w:val="00880D8F"/>
    <w:rsid w:val="00882077"/>
    <w:rsid w:val="008820D9"/>
    <w:rsid w:val="00883613"/>
    <w:rsid w:val="008841E6"/>
    <w:rsid w:val="0088557F"/>
    <w:rsid w:val="00885FCC"/>
    <w:rsid w:val="00886393"/>
    <w:rsid w:val="00886579"/>
    <w:rsid w:val="00886F19"/>
    <w:rsid w:val="00887090"/>
    <w:rsid w:val="00887865"/>
    <w:rsid w:val="00887B37"/>
    <w:rsid w:val="00890598"/>
    <w:rsid w:val="0089065A"/>
    <w:rsid w:val="00890DEB"/>
    <w:rsid w:val="0089177A"/>
    <w:rsid w:val="00891D7A"/>
    <w:rsid w:val="00891DF1"/>
    <w:rsid w:val="00891DFC"/>
    <w:rsid w:val="00892791"/>
    <w:rsid w:val="00892B98"/>
    <w:rsid w:val="008945D2"/>
    <w:rsid w:val="008949A3"/>
    <w:rsid w:val="00894CB5"/>
    <w:rsid w:val="008959FC"/>
    <w:rsid w:val="00895BB5"/>
    <w:rsid w:val="0089605E"/>
    <w:rsid w:val="00896668"/>
    <w:rsid w:val="00896E9A"/>
    <w:rsid w:val="008A0CCC"/>
    <w:rsid w:val="008A1D0E"/>
    <w:rsid w:val="008A25EA"/>
    <w:rsid w:val="008A276E"/>
    <w:rsid w:val="008A31C7"/>
    <w:rsid w:val="008A3215"/>
    <w:rsid w:val="008A3630"/>
    <w:rsid w:val="008A3E8B"/>
    <w:rsid w:val="008A466D"/>
    <w:rsid w:val="008A47BE"/>
    <w:rsid w:val="008A4AEC"/>
    <w:rsid w:val="008A5609"/>
    <w:rsid w:val="008A5697"/>
    <w:rsid w:val="008A628F"/>
    <w:rsid w:val="008A6DD5"/>
    <w:rsid w:val="008A6DF0"/>
    <w:rsid w:val="008A6FA0"/>
    <w:rsid w:val="008B0385"/>
    <w:rsid w:val="008B05E6"/>
    <w:rsid w:val="008B105C"/>
    <w:rsid w:val="008B15CE"/>
    <w:rsid w:val="008B1C8F"/>
    <w:rsid w:val="008B21F8"/>
    <w:rsid w:val="008B2570"/>
    <w:rsid w:val="008B2B19"/>
    <w:rsid w:val="008B2F40"/>
    <w:rsid w:val="008B2FCD"/>
    <w:rsid w:val="008B3627"/>
    <w:rsid w:val="008B3EAD"/>
    <w:rsid w:val="008B49B6"/>
    <w:rsid w:val="008B4A72"/>
    <w:rsid w:val="008B534B"/>
    <w:rsid w:val="008B56A0"/>
    <w:rsid w:val="008B5AA1"/>
    <w:rsid w:val="008B5C51"/>
    <w:rsid w:val="008B5E61"/>
    <w:rsid w:val="008B64CE"/>
    <w:rsid w:val="008B68B4"/>
    <w:rsid w:val="008B756F"/>
    <w:rsid w:val="008B7633"/>
    <w:rsid w:val="008B7855"/>
    <w:rsid w:val="008B7914"/>
    <w:rsid w:val="008B7E3A"/>
    <w:rsid w:val="008C0D0C"/>
    <w:rsid w:val="008C127A"/>
    <w:rsid w:val="008C18BD"/>
    <w:rsid w:val="008C1932"/>
    <w:rsid w:val="008C1CC8"/>
    <w:rsid w:val="008C1ECC"/>
    <w:rsid w:val="008C2C41"/>
    <w:rsid w:val="008C2C7F"/>
    <w:rsid w:val="008C2F0D"/>
    <w:rsid w:val="008C364D"/>
    <w:rsid w:val="008C500C"/>
    <w:rsid w:val="008C5D2A"/>
    <w:rsid w:val="008C6754"/>
    <w:rsid w:val="008C690E"/>
    <w:rsid w:val="008C6C16"/>
    <w:rsid w:val="008C6F7D"/>
    <w:rsid w:val="008C74FB"/>
    <w:rsid w:val="008C7AF4"/>
    <w:rsid w:val="008C7B0F"/>
    <w:rsid w:val="008C7DA4"/>
    <w:rsid w:val="008C7F6E"/>
    <w:rsid w:val="008C7FAE"/>
    <w:rsid w:val="008D0210"/>
    <w:rsid w:val="008D033E"/>
    <w:rsid w:val="008D0851"/>
    <w:rsid w:val="008D0AF5"/>
    <w:rsid w:val="008D0DEF"/>
    <w:rsid w:val="008D0FCD"/>
    <w:rsid w:val="008D1074"/>
    <w:rsid w:val="008D1079"/>
    <w:rsid w:val="008D2643"/>
    <w:rsid w:val="008D280F"/>
    <w:rsid w:val="008D2F60"/>
    <w:rsid w:val="008D318B"/>
    <w:rsid w:val="008D3994"/>
    <w:rsid w:val="008D3C3D"/>
    <w:rsid w:val="008D3E7D"/>
    <w:rsid w:val="008D478E"/>
    <w:rsid w:val="008D4DB6"/>
    <w:rsid w:val="008D534E"/>
    <w:rsid w:val="008D619B"/>
    <w:rsid w:val="008D6E81"/>
    <w:rsid w:val="008D7116"/>
    <w:rsid w:val="008D7739"/>
    <w:rsid w:val="008D7A64"/>
    <w:rsid w:val="008D7A92"/>
    <w:rsid w:val="008E0302"/>
    <w:rsid w:val="008E03F3"/>
    <w:rsid w:val="008E1267"/>
    <w:rsid w:val="008E19FD"/>
    <w:rsid w:val="008E22F8"/>
    <w:rsid w:val="008E25EC"/>
    <w:rsid w:val="008E39D8"/>
    <w:rsid w:val="008E4E6D"/>
    <w:rsid w:val="008E5313"/>
    <w:rsid w:val="008E5D73"/>
    <w:rsid w:val="008E606F"/>
    <w:rsid w:val="008E6300"/>
    <w:rsid w:val="008E6AD9"/>
    <w:rsid w:val="008E6E25"/>
    <w:rsid w:val="008F022A"/>
    <w:rsid w:val="008F06FD"/>
    <w:rsid w:val="008F1172"/>
    <w:rsid w:val="008F1680"/>
    <w:rsid w:val="008F17AB"/>
    <w:rsid w:val="008F27E3"/>
    <w:rsid w:val="008F3485"/>
    <w:rsid w:val="008F3AC3"/>
    <w:rsid w:val="008F42C1"/>
    <w:rsid w:val="008F51FF"/>
    <w:rsid w:val="008F52FC"/>
    <w:rsid w:val="008F5DEF"/>
    <w:rsid w:val="008F6031"/>
    <w:rsid w:val="008F61F2"/>
    <w:rsid w:val="008F636D"/>
    <w:rsid w:val="008F6D31"/>
    <w:rsid w:val="008F7C0A"/>
    <w:rsid w:val="0090044C"/>
    <w:rsid w:val="00901140"/>
    <w:rsid w:val="00901613"/>
    <w:rsid w:val="00901DBB"/>
    <w:rsid w:val="009026CB"/>
    <w:rsid w:val="00902876"/>
    <w:rsid w:val="009030FF"/>
    <w:rsid w:val="009036E9"/>
    <w:rsid w:val="009038F6"/>
    <w:rsid w:val="00903FB2"/>
    <w:rsid w:val="00904038"/>
    <w:rsid w:val="009041AF"/>
    <w:rsid w:val="009042AA"/>
    <w:rsid w:val="009044D0"/>
    <w:rsid w:val="009049AB"/>
    <w:rsid w:val="00904C8C"/>
    <w:rsid w:val="009050B7"/>
    <w:rsid w:val="0090510D"/>
    <w:rsid w:val="00905130"/>
    <w:rsid w:val="009053BD"/>
    <w:rsid w:val="00905728"/>
    <w:rsid w:val="009061B8"/>
    <w:rsid w:val="009064BF"/>
    <w:rsid w:val="009069B8"/>
    <w:rsid w:val="0091004D"/>
    <w:rsid w:val="0091015D"/>
    <w:rsid w:val="009130CC"/>
    <w:rsid w:val="009133EC"/>
    <w:rsid w:val="00913AF7"/>
    <w:rsid w:val="00913B37"/>
    <w:rsid w:val="00914683"/>
    <w:rsid w:val="00914861"/>
    <w:rsid w:val="009148D8"/>
    <w:rsid w:val="00914B5F"/>
    <w:rsid w:val="00914E71"/>
    <w:rsid w:val="0091504C"/>
    <w:rsid w:val="0091573F"/>
    <w:rsid w:val="00915897"/>
    <w:rsid w:val="00915B44"/>
    <w:rsid w:val="00915CD5"/>
    <w:rsid w:val="00916093"/>
    <w:rsid w:val="009160E3"/>
    <w:rsid w:val="0091639C"/>
    <w:rsid w:val="00916A8C"/>
    <w:rsid w:val="00916E99"/>
    <w:rsid w:val="00917581"/>
    <w:rsid w:val="0092002E"/>
    <w:rsid w:val="0092050A"/>
    <w:rsid w:val="009209A1"/>
    <w:rsid w:val="00920EC6"/>
    <w:rsid w:val="0092101E"/>
    <w:rsid w:val="00921FBA"/>
    <w:rsid w:val="009225D6"/>
    <w:rsid w:val="0092383B"/>
    <w:rsid w:val="00923DCE"/>
    <w:rsid w:val="00924119"/>
    <w:rsid w:val="0092492A"/>
    <w:rsid w:val="00925120"/>
    <w:rsid w:val="009251B3"/>
    <w:rsid w:val="009255FA"/>
    <w:rsid w:val="009262E4"/>
    <w:rsid w:val="009266D2"/>
    <w:rsid w:val="00927361"/>
    <w:rsid w:val="00927D4E"/>
    <w:rsid w:val="00927F89"/>
    <w:rsid w:val="00930AC2"/>
    <w:rsid w:val="00930D2A"/>
    <w:rsid w:val="009312BF"/>
    <w:rsid w:val="00931680"/>
    <w:rsid w:val="00931B84"/>
    <w:rsid w:val="00931DA9"/>
    <w:rsid w:val="0093220A"/>
    <w:rsid w:val="009322B2"/>
    <w:rsid w:val="009328DA"/>
    <w:rsid w:val="00932E7E"/>
    <w:rsid w:val="00933846"/>
    <w:rsid w:val="00933A80"/>
    <w:rsid w:val="0093442D"/>
    <w:rsid w:val="00934CD2"/>
    <w:rsid w:val="00935A35"/>
    <w:rsid w:val="009375E5"/>
    <w:rsid w:val="0093785F"/>
    <w:rsid w:val="00937BC5"/>
    <w:rsid w:val="00937D30"/>
    <w:rsid w:val="00941848"/>
    <w:rsid w:val="0094337A"/>
    <w:rsid w:val="009437F2"/>
    <w:rsid w:val="009442E8"/>
    <w:rsid w:val="00944360"/>
    <w:rsid w:val="00944BA7"/>
    <w:rsid w:val="0094519B"/>
    <w:rsid w:val="0094636D"/>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4F32"/>
    <w:rsid w:val="00955EE9"/>
    <w:rsid w:val="009562AE"/>
    <w:rsid w:val="0095654A"/>
    <w:rsid w:val="00956BF5"/>
    <w:rsid w:val="009570CF"/>
    <w:rsid w:val="009571C2"/>
    <w:rsid w:val="009575C3"/>
    <w:rsid w:val="0095770C"/>
    <w:rsid w:val="009579AF"/>
    <w:rsid w:val="00957CC8"/>
    <w:rsid w:val="00957EE7"/>
    <w:rsid w:val="0096086A"/>
    <w:rsid w:val="00961453"/>
    <w:rsid w:val="009616D4"/>
    <w:rsid w:val="0096182D"/>
    <w:rsid w:val="00962150"/>
    <w:rsid w:val="00962CCD"/>
    <w:rsid w:val="00964036"/>
    <w:rsid w:val="00964166"/>
    <w:rsid w:val="009644C9"/>
    <w:rsid w:val="009645AD"/>
    <w:rsid w:val="0096475C"/>
    <w:rsid w:val="0096501D"/>
    <w:rsid w:val="0096546E"/>
    <w:rsid w:val="0096562A"/>
    <w:rsid w:val="00965865"/>
    <w:rsid w:val="00966096"/>
    <w:rsid w:val="00966A13"/>
    <w:rsid w:val="00966BAF"/>
    <w:rsid w:val="00966DA9"/>
    <w:rsid w:val="0096730C"/>
    <w:rsid w:val="00967473"/>
    <w:rsid w:val="00967730"/>
    <w:rsid w:val="00970D56"/>
    <w:rsid w:val="00970E50"/>
    <w:rsid w:val="00971074"/>
    <w:rsid w:val="009725B2"/>
    <w:rsid w:val="00972969"/>
    <w:rsid w:val="009747AA"/>
    <w:rsid w:val="00974B99"/>
    <w:rsid w:val="00974BCB"/>
    <w:rsid w:val="0097529C"/>
    <w:rsid w:val="00975361"/>
    <w:rsid w:val="009758CD"/>
    <w:rsid w:val="00975AEF"/>
    <w:rsid w:val="00975BF2"/>
    <w:rsid w:val="0097616C"/>
    <w:rsid w:val="009763E4"/>
    <w:rsid w:val="0097649D"/>
    <w:rsid w:val="0097654D"/>
    <w:rsid w:val="009766B7"/>
    <w:rsid w:val="00976D58"/>
    <w:rsid w:val="00977324"/>
    <w:rsid w:val="00977C23"/>
    <w:rsid w:val="00980A22"/>
    <w:rsid w:val="00980D85"/>
    <w:rsid w:val="00981E09"/>
    <w:rsid w:val="00983094"/>
    <w:rsid w:val="00983599"/>
    <w:rsid w:val="009843DE"/>
    <w:rsid w:val="00985077"/>
    <w:rsid w:val="0098544F"/>
    <w:rsid w:val="00985B04"/>
    <w:rsid w:val="0098661B"/>
    <w:rsid w:val="00986A6D"/>
    <w:rsid w:val="00986BEF"/>
    <w:rsid w:val="00987298"/>
    <w:rsid w:val="00987B34"/>
    <w:rsid w:val="00990282"/>
    <w:rsid w:val="00990769"/>
    <w:rsid w:val="00991DF8"/>
    <w:rsid w:val="00992499"/>
    <w:rsid w:val="009928A3"/>
    <w:rsid w:val="00992986"/>
    <w:rsid w:val="009936E2"/>
    <w:rsid w:val="00994B55"/>
    <w:rsid w:val="00995D86"/>
    <w:rsid w:val="00995FB2"/>
    <w:rsid w:val="00996A5A"/>
    <w:rsid w:val="0099781E"/>
    <w:rsid w:val="00997A68"/>
    <w:rsid w:val="009A0071"/>
    <w:rsid w:val="009A00EA"/>
    <w:rsid w:val="009A0403"/>
    <w:rsid w:val="009A0587"/>
    <w:rsid w:val="009A0DA2"/>
    <w:rsid w:val="009A1F6B"/>
    <w:rsid w:val="009A2616"/>
    <w:rsid w:val="009A2C4C"/>
    <w:rsid w:val="009A2DD8"/>
    <w:rsid w:val="009A30DE"/>
    <w:rsid w:val="009A38FD"/>
    <w:rsid w:val="009A3D29"/>
    <w:rsid w:val="009A509F"/>
    <w:rsid w:val="009A5453"/>
    <w:rsid w:val="009A6A7B"/>
    <w:rsid w:val="009A7532"/>
    <w:rsid w:val="009A7883"/>
    <w:rsid w:val="009A7FEB"/>
    <w:rsid w:val="009B04B7"/>
    <w:rsid w:val="009B0596"/>
    <w:rsid w:val="009B1D50"/>
    <w:rsid w:val="009B237F"/>
    <w:rsid w:val="009B2760"/>
    <w:rsid w:val="009B308D"/>
    <w:rsid w:val="009B31D6"/>
    <w:rsid w:val="009B3707"/>
    <w:rsid w:val="009B38D5"/>
    <w:rsid w:val="009B3B62"/>
    <w:rsid w:val="009B3C8D"/>
    <w:rsid w:val="009B3DE3"/>
    <w:rsid w:val="009B4FFB"/>
    <w:rsid w:val="009B53C7"/>
    <w:rsid w:val="009B7489"/>
    <w:rsid w:val="009B7987"/>
    <w:rsid w:val="009B7B0A"/>
    <w:rsid w:val="009C0519"/>
    <w:rsid w:val="009C07C9"/>
    <w:rsid w:val="009C08D7"/>
    <w:rsid w:val="009C0DC5"/>
    <w:rsid w:val="009C1866"/>
    <w:rsid w:val="009C1FDE"/>
    <w:rsid w:val="009C23FE"/>
    <w:rsid w:val="009C24C8"/>
    <w:rsid w:val="009C375C"/>
    <w:rsid w:val="009C4E0D"/>
    <w:rsid w:val="009C4F1B"/>
    <w:rsid w:val="009C503B"/>
    <w:rsid w:val="009C542B"/>
    <w:rsid w:val="009C5793"/>
    <w:rsid w:val="009C5816"/>
    <w:rsid w:val="009C61EA"/>
    <w:rsid w:val="009C63EC"/>
    <w:rsid w:val="009C741B"/>
    <w:rsid w:val="009C7DAC"/>
    <w:rsid w:val="009C7F93"/>
    <w:rsid w:val="009D077D"/>
    <w:rsid w:val="009D08A6"/>
    <w:rsid w:val="009D0EC0"/>
    <w:rsid w:val="009D1915"/>
    <w:rsid w:val="009D1B69"/>
    <w:rsid w:val="009D1EB3"/>
    <w:rsid w:val="009D25DE"/>
    <w:rsid w:val="009D2A52"/>
    <w:rsid w:val="009D2ABF"/>
    <w:rsid w:val="009D3AD2"/>
    <w:rsid w:val="009D3E06"/>
    <w:rsid w:val="009D5843"/>
    <w:rsid w:val="009D638D"/>
    <w:rsid w:val="009D6393"/>
    <w:rsid w:val="009D6B6C"/>
    <w:rsid w:val="009D7F97"/>
    <w:rsid w:val="009E0885"/>
    <w:rsid w:val="009E1CC8"/>
    <w:rsid w:val="009E2827"/>
    <w:rsid w:val="009E2863"/>
    <w:rsid w:val="009E30D2"/>
    <w:rsid w:val="009E4885"/>
    <w:rsid w:val="009E508B"/>
    <w:rsid w:val="009E51D3"/>
    <w:rsid w:val="009E5EDF"/>
    <w:rsid w:val="009E5FBE"/>
    <w:rsid w:val="009E6068"/>
    <w:rsid w:val="009E6A00"/>
    <w:rsid w:val="009E703A"/>
    <w:rsid w:val="009F0086"/>
    <w:rsid w:val="009F03AB"/>
    <w:rsid w:val="009F0619"/>
    <w:rsid w:val="009F068A"/>
    <w:rsid w:val="009F08C5"/>
    <w:rsid w:val="009F0A85"/>
    <w:rsid w:val="009F1260"/>
    <w:rsid w:val="009F15CA"/>
    <w:rsid w:val="009F1B71"/>
    <w:rsid w:val="009F220A"/>
    <w:rsid w:val="009F36D6"/>
    <w:rsid w:val="009F6575"/>
    <w:rsid w:val="009F7ADC"/>
    <w:rsid w:val="009F7EB6"/>
    <w:rsid w:val="00A0002A"/>
    <w:rsid w:val="00A000EA"/>
    <w:rsid w:val="00A01F3A"/>
    <w:rsid w:val="00A0236D"/>
    <w:rsid w:val="00A02985"/>
    <w:rsid w:val="00A02B2B"/>
    <w:rsid w:val="00A02FA8"/>
    <w:rsid w:val="00A03F1A"/>
    <w:rsid w:val="00A03F74"/>
    <w:rsid w:val="00A03F88"/>
    <w:rsid w:val="00A041BB"/>
    <w:rsid w:val="00A046BF"/>
    <w:rsid w:val="00A04709"/>
    <w:rsid w:val="00A05A37"/>
    <w:rsid w:val="00A05B25"/>
    <w:rsid w:val="00A05C04"/>
    <w:rsid w:val="00A05EC0"/>
    <w:rsid w:val="00A06254"/>
    <w:rsid w:val="00A06842"/>
    <w:rsid w:val="00A07459"/>
    <w:rsid w:val="00A07D78"/>
    <w:rsid w:val="00A07DB6"/>
    <w:rsid w:val="00A10573"/>
    <w:rsid w:val="00A10972"/>
    <w:rsid w:val="00A11406"/>
    <w:rsid w:val="00A12BB1"/>
    <w:rsid w:val="00A13205"/>
    <w:rsid w:val="00A132A1"/>
    <w:rsid w:val="00A13422"/>
    <w:rsid w:val="00A148F0"/>
    <w:rsid w:val="00A15132"/>
    <w:rsid w:val="00A15331"/>
    <w:rsid w:val="00A1554D"/>
    <w:rsid w:val="00A15792"/>
    <w:rsid w:val="00A158E3"/>
    <w:rsid w:val="00A1591A"/>
    <w:rsid w:val="00A16435"/>
    <w:rsid w:val="00A172E0"/>
    <w:rsid w:val="00A17527"/>
    <w:rsid w:val="00A200B3"/>
    <w:rsid w:val="00A2091C"/>
    <w:rsid w:val="00A211C5"/>
    <w:rsid w:val="00A221A3"/>
    <w:rsid w:val="00A223D5"/>
    <w:rsid w:val="00A23236"/>
    <w:rsid w:val="00A235E4"/>
    <w:rsid w:val="00A23F41"/>
    <w:rsid w:val="00A245A5"/>
    <w:rsid w:val="00A254D5"/>
    <w:rsid w:val="00A25547"/>
    <w:rsid w:val="00A25F76"/>
    <w:rsid w:val="00A3003E"/>
    <w:rsid w:val="00A31E14"/>
    <w:rsid w:val="00A331DC"/>
    <w:rsid w:val="00A3325E"/>
    <w:rsid w:val="00A34276"/>
    <w:rsid w:val="00A34524"/>
    <w:rsid w:val="00A345B6"/>
    <w:rsid w:val="00A3502D"/>
    <w:rsid w:val="00A35054"/>
    <w:rsid w:val="00A354D1"/>
    <w:rsid w:val="00A357A4"/>
    <w:rsid w:val="00A35AF5"/>
    <w:rsid w:val="00A35CDF"/>
    <w:rsid w:val="00A36453"/>
    <w:rsid w:val="00A37970"/>
    <w:rsid w:val="00A37A68"/>
    <w:rsid w:val="00A37B0C"/>
    <w:rsid w:val="00A37CE6"/>
    <w:rsid w:val="00A37D1C"/>
    <w:rsid w:val="00A37FFE"/>
    <w:rsid w:val="00A404BE"/>
    <w:rsid w:val="00A40C08"/>
    <w:rsid w:val="00A40ECF"/>
    <w:rsid w:val="00A411C9"/>
    <w:rsid w:val="00A41B47"/>
    <w:rsid w:val="00A41FEF"/>
    <w:rsid w:val="00A42476"/>
    <w:rsid w:val="00A433CA"/>
    <w:rsid w:val="00A43647"/>
    <w:rsid w:val="00A43A1A"/>
    <w:rsid w:val="00A43D48"/>
    <w:rsid w:val="00A43F3C"/>
    <w:rsid w:val="00A447A5"/>
    <w:rsid w:val="00A44D18"/>
    <w:rsid w:val="00A45B83"/>
    <w:rsid w:val="00A45E0B"/>
    <w:rsid w:val="00A4646E"/>
    <w:rsid w:val="00A468FD"/>
    <w:rsid w:val="00A46921"/>
    <w:rsid w:val="00A47249"/>
    <w:rsid w:val="00A47E3B"/>
    <w:rsid w:val="00A501C7"/>
    <w:rsid w:val="00A5058A"/>
    <w:rsid w:val="00A50905"/>
    <w:rsid w:val="00A513FD"/>
    <w:rsid w:val="00A517D0"/>
    <w:rsid w:val="00A5254B"/>
    <w:rsid w:val="00A52BC1"/>
    <w:rsid w:val="00A52D47"/>
    <w:rsid w:val="00A5347F"/>
    <w:rsid w:val="00A534A0"/>
    <w:rsid w:val="00A537EA"/>
    <w:rsid w:val="00A539AD"/>
    <w:rsid w:val="00A53E3E"/>
    <w:rsid w:val="00A53F37"/>
    <w:rsid w:val="00A540B2"/>
    <w:rsid w:val="00A5414D"/>
    <w:rsid w:val="00A54A3E"/>
    <w:rsid w:val="00A556B7"/>
    <w:rsid w:val="00A556EA"/>
    <w:rsid w:val="00A564A6"/>
    <w:rsid w:val="00A567AE"/>
    <w:rsid w:val="00A56819"/>
    <w:rsid w:val="00A568AC"/>
    <w:rsid w:val="00A57B07"/>
    <w:rsid w:val="00A6025F"/>
    <w:rsid w:val="00A60E9C"/>
    <w:rsid w:val="00A61196"/>
    <w:rsid w:val="00A6131E"/>
    <w:rsid w:val="00A616AF"/>
    <w:rsid w:val="00A61879"/>
    <w:rsid w:val="00A61CB8"/>
    <w:rsid w:val="00A628B4"/>
    <w:rsid w:val="00A62E6A"/>
    <w:rsid w:val="00A63E4E"/>
    <w:rsid w:val="00A6444F"/>
    <w:rsid w:val="00A652FF"/>
    <w:rsid w:val="00A6598D"/>
    <w:rsid w:val="00A65A0D"/>
    <w:rsid w:val="00A65C27"/>
    <w:rsid w:val="00A65F3C"/>
    <w:rsid w:val="00A661FD"/>
    <w:rsid w:val="00A66297"/>
    <w:rsid w:val="00A66FB3"/>
    <w:rsid w:val="00A67DF5"/>
    <w:rsid w:val="00A709A3"/>
    <w:rsid w:val="00A71216"/>
    <w:rsid w:val="00A714A3"/>
    <w:rsid w:val="00A71B8B"/>
    <w:rsid w:val="00A72F4A"/>
    <w:rsid w:val="00A74456"/>
    <w:rsid w:val="00A747C1"/>
    <w:rsid w:val="00A75089"/>
    <w:rsid w:val="00A75832"/>
    <w:rsid w:val="00A75EDC"/>
    <w:rsid w:val="00A80404"/>
    <w:rsid w:val="00A80548"/>
    <w:rsid w:val="00A8085F"/>
    <w:rsid w:val="00A80A3D"/>
    <w:rsid w:val="00A817A8"/>
    <w:rsid w:val="00A81E50"/>
    <w:rsid w:val="00A81F1C"/>
    <w:rsid w:val="00A82241"/>
    <w:rsid w:val="00A82602"/>
    <w:rsid w:val="00A82DA0"/>
    <w:rsid w:val="00A83E49"/>
    <w:rsid w:val="00A8401C"/>
    <w:rsid w:val="00A8415A"/>
    <w:rsid w:val="00A841A6"/>
    <w:rsid w:val="00A84221"/>
    <w:rsid w:val="00A843CA"/>
    <w:rsid w:val="00A84B7A"/>
    <w:rsid w:val="00A85063"/>
    <w:rsid w:val="00A85367"/>
    <w:rsid w:val="00A86359"/>
    <w:rsid w:val="00A865DC"/>
    <w:rsid w:val="00A86FBC"/>
    <w:rsid w:val="00A879C5"/>
    <w:rsid w:val="00A87C09"/>
    <w:rsid w:val="00A87FA2"/>
    <w:rsid w:val="00A902AD"/>
    <w:rsid w:val="00A90302"/>
    <w:rsid w:val="00A9099E"/>
    <w:rsid w:val="00A91FB7"/>
    <w:rsid w:val="00A921CE"/>
    <w:rsid w:val="00A92967"/>
    <w:rsid w:val="00A9298F"/>
    <w:rsid w:val="00A9301E"/>
    <w:rsid w:val="00A93E3A"/>
    <w:rsid w:val="00A95186"/>
    <w:rsid w:val="00A951AD"/>
    <w:rsid w:val="00A952F8"/>
    <w:rsid w:val="00A9561B"/>
    <w:rsid w:val="00A961BD"/>
    <w:rsid w:val="00A9652F"/>
    <w:rsid w:val="00A973B1"/>
    <w:rsid w:val="00AA027E"/>
    <w:rsid w:val="00AA1224"/>
    <w:rsid w:val="00AA14F2"/>
    <w:rsid w:val="00AA180B"/>
    <w:rsid w:val="00AA1D43"/>
    <w:rsid w:val="00AA2358"/>
    <w:rsid w:val="00AA2469"/>
    <w:rsid w:val="00AA2CD7"/>
    <w:rsid w:val="00AA2FA4"/>
    <w:rsid w:val="00AA3301"/>
    <w:rsid w:val="00AA3360"/>
    <w:rsid w:val="00AA386B"/>
    <w:rsid w:val="00AA4C2E"/>
    <w:rsid w:val="00AA5B16"/>
    <w:rsid w:val="00AA6384"/>
    <w:rsid w:val="00AA6B93"/>
    <w:rsid w:val="00AA6CB2"/>
    <w:rsid w:val="00AA7A06"/>
    <w:rsid w:val="00AA7A7F"/>
    <w:rsid w:val="00AA7F56"/>
    <w:rsid w:val="00AB1984"/>
    <w:rsid w:val="00AB1CBB"/>
    <w:rsid w:val="00AB2136"/>
    <w:rsid w:val="00AB215B"/>
    <w:rsid w:val="00AB266D"/>
    <w:rsid w:val="00AB2E7D"/>
    <w:rsid w:val="00AB3146"/>
    <w:rsid w:val="00AB333E"/>
    <w:rsid w:val="00AB37DB"/>
    <w:rsid w:val="00AB3ECC"/>
    <w:rsid w:val="00AB54B5"/>
    <w:rsid w:val="00AB573A"/>
    <w:rsid w:val="00AB5A73"/>
    <w:rsid w:val="00AB5F48"/>
    <w:rsid w:val="00AB690F"/>
    <w:rsid w:val="00AB6B7D"/>
    <w:rsid w:val="00AB7156"/>
    <w:rsid w:val="00AB716D"/>
    <w:rsid w:val="00AB72BB"/>
    <w:rsid w:val="00AB7472"/>
    <w:rsid w:val="00AB7BF3"/>
    <w:rsid w:val="00AC09D5"/>
    <w:rsid w:val="00AC0D8E"/>
    <w:rsid w:val="00AC175B"/>
    <w:rsid w:val="00AC1AA3"/>
    <w:rsid w:val="00AC1F8E"/>
    <w:rsid w:val="00AC22C1"/>
    <w:rsid w:val="00AC25D2"/>
    <w:rsid w:val="00AC374B"/>
    <w:rsid w:val="00AC3798"/>
    <w:rsid w:val="00AC3ED5"/>
    <w:rsid w:val="00AC4CB3"/>
    <w:rsid w:val="00AC4D7C"/>
    <w:rsid w:val="00AC53B0"/>
    <w:rsid w:val="00AC5C36"/>
    <w:rsid w:val="00AC6655"/>
    <w:rsid w:val="00AC6EF2"/>
    <w:rsid w:val="00AC71A6"/>
    <w:rsid w:val="00AC742F"/>
    <w:rsid w:val="00AC7664"/>
    <w:rsid w:val="00AC774F"/>
    <w:rsid w:val="00AC780D"/>
    <w:rsid w:val="00AC787B"/>
    <w:rsid w:val="00AC78A0"/>
    <w:rsid w:val="00AC7956"/>
    <w:rsid w:val="00AC7E18"/>
    <w:rsid w:val="00AD1B79"/>
    <w:rsid w:val="00AD3208"/>
    <w:rsid w:val="00AD3C00"/>
    <w:rsid w:val="00AD4A3C"/>
    <w:rsid w:val="00AD4F6A"/>
    <w:rsid w:val="00AD50F8"/>
    <w:rsid w:val="00AD719F"/>
    <w:rsid w:val="00AD7447"/>
    <w:rsid w:val="00AD752A"/>
    <w:rsid w:val="00AD7D36"/>
    <w:rsid w:val="00AE07DC"/>
    <w:rsid w:val="00AE0A0E"/>
    <w:rsid w:val="00AE0DED"/>
    <w:rsid w:val="00AE1D05"/>
    <w:rsid w:val="00AE2780"/>
    <w:rsid w:val="00AE284A"/>
    <w:rsid w:val="00AE307E"/>
    <w:rsid w:val="00AE3450"/>
    <w:rsid w:val="00AE392E"/>
    <w:rsid w:val="00AE3E11"/>
    <w:rsid w:val="00AE40B3"/>
    <w:rsid w:val="00AE4BAB"/>
    <w:rsid w:val="00AE4BDC"/>
    <w:rsid w:val="00AE4CFD"/>
    <w:rsid w:val="00AE4EA6"/>
    <w:rsid w:val="00AE51FF"/>
    <w:rsid w:val="00AE54FC"/>
    <w:rsid w:val="00AE55AD"/>
    <w:rsid w:val="00AE5D8F"/>
    <w:rsid w:val="00AE67D5"/>
    <w:rsid w:val="00AE67FA"/>
    <w:rsid w:val="00AE78ED"/>
    <w:rsid w:val="00AE7AC2"/>
    <w:rsid w:val="00AE7EC9"/>
    <w:rsid w:val="00AF0117"/>
    <w:rsid w:val="00AF024A"/>
    <w:rsid w:val="00AF1117"/>
    <w:rsid w:val="00AF1555"/>
    <w:rsid w:val="00AF174E"/>
    <w:rsid w:val="00AF18BA"/>
    <w:rsid w:val="00AF1CA5"/>
    <w:rsid w:val="00AF228C"/>
    <w:rsid w:val="00AF2DB9"/>
    <w:rsid w:val="00AF3928"/>
    <w:rsid w:val="00AF3B55"/>
    <w:rsid w:val="00AF3D62"/>
    <w:rsid w:val="00AF4146"/>
    <w:rsid w:val="00AF56FE"/>
    <w:rsid w:val="00AF5C45"/>
    <w:rsid w:val="00AF62A7"/>
    <w:rsid w:val="00AF6AC5"/>
    <w:rsid w:val="00AF7809"/>
    <w:rsid w:val="00AF7CA7"/>
    <w:rsid w:val="00AF7F7B"/>
    <w:rsid w:val="00B00BDE"/>
    <w:rsid w:val="00B0104B"/>
    <w:rsid w:val="00B0209F"/>
    <w:rsid w:val="00B021E0"/>
    <w:rsid w:val="00B033E6"/>
    <w:rsid w:val="00B03A30"/>
    <w:rsid w:val="00B03A35"/>
    <w:rsid w:val="00B0430C"/>
    <w:rsid w:val="00B04F99"/>
    <w:rsid w:val="00B057B6"/>
    <w:rsid w:val="00B05A7C"/>
    <w:rsid w:val="00B06361"/>
    <w:rsid w:val="00B0651D"/>
    <w:rsid w:val="00B06955"/>
    <w:rsid w:val="00B0758A"/>
    <w:rsid w:val="00B075CA"/>
    <w:rsid w:val="00B07BEA"/>
    <w:rsid w:val="00B07F41"/>
    <w:rsid w:val="00B102F9"/>
    <w:rsid w:val="00B11C80"/>
    <w:rsid w:val="00B11F33"/>
    <w:rsid w:val="00B12152"/>
    <w:rsid w:val="00B12DCA"/>
    <w:rsid w:val="00B13ECB"/>
    <w:rsid w:val="00B1524F"/>
    <w:rsid w:val="00B15A54"/>
    <w:rsid w:val="00B15ECF"/>
    <w:rsid w:val="00B169CD"/>
    <w:rsid w:val="00B16C0A"/>
    <w:rsid w:val="00B1785C"/>
    <w:rsid w:val="00B17F60"/>
    <w:rsid w:val="00B2039A"/>
    <w:rsid w:val="00B20AC8"/>
    <w:rsid w:val="00B21063"/>
    <w:rsid w:val="00B215D5"/>
    <w:rsid w:val="00B21D55"/>
    <w:rsid w:val="00B225CB"/>
    <w:rsid w:val="00B22870"/>
    <w:rsid w:val="00B22A22"/>
    <w:rsid w:val="00B22AA6"/>
    <w:rsid w:val="00B22B31"/>
    <w:rsid w:val="00B23D1A"/>
    <w:rsid w:val="00B23F4C"/>
    <w:rsid w:val="00B23F8F"/>
    <w:rsid w:val="00B24233"/>
    <w:rsid w:val="00B245D9"/>
    <w:rsid w:val="00B246DD"/>
    <w:rsid w:val="00B248D8"/>
    <w:rsid w:val="00B24BA7"/>
    <w:rsid w:val="00B2579E"/>
    <w:rsid w:val="00B25A6F"/>
    <w:rsid w:val="00B25CD9"/>
    <w:rsid w:val="00B268D0"/>
    <w:rsid w:val="00B269D3"/>
    <w:rsid w:val="00B26F6A"/>
    <w:rsid w:val="00B27886"/>
    <w:rsid w:val="00B27F44"/>
    <w:rsid w:val="00B301ED"/>
    <w:rsid w:val="00B30448"/>
    <w:rsid w:val="00B3048B"/>
    <w:rsid w:val="00B30C49"/>
    <w:rsid w:val="00B30D75"/>
    <w:rsid w:val="00B30DAD"/>
    <w:rsid w:val="00B31315"/>
    <w:rsid w:val="00B3260E"/>
    <w:rsid w:val="00B32C4B"/>
    <w:rsid w:val="00B3407E"/>
    <w:rsid w:val="00B34C84"/>
    <w:rsid w:val="00B34D6A"/>
    <w:rsid w:val="00B35021"/>
    <w:rsid w:val="00B35749"/>
    <w:rsid w:val="00B35EF5"/>
    <w:rsid w:val="00B3677F"/>
    <w:rsid w:val="00B36872"/>
    <w:rsid w:val="00B3704D"/>
    <w:rsid w:val="00B37071"/>
    <w:rsid w:val="00B40162"/>
    <w:rsid w:val="00B401B6"/>
    <w:rsid w:val="00B4054D"/>
    <w:rsid w:val="00B405CD"/>
    <w:rsid w:val="00B40903"/>
    <w:rsid w:val="00B40FDB"/>
    <w:rsid w:val="00B41BC3"/>
    <w:rsid w:val="00B41C6D"/>
    <w:rsid w:val="00B420B2"/>
    <w:rsid w:val="00B42800"/>
    <w:rsid w:val="00B42832"/>
    <w:rsid w:val="00B42863"/>
    <w:rsid w:val="00B42C26"/>
    <w:rsid w:val="00B430F6"/>
    <w:rsid w:val="00B43511"/>
    <w:rsid w:val="00B43CE6"/>
    <w:rsid w:val="00B4468B"/>
    <w:rsid w:val="00B45528"/>
    <w:rsid w:val="00B46483"/>
    <w:rsid w:val="00B468B0"/>
    <w:rsid w:val="00B46B6E"/>
    <w:rsid w:val="00B478FA"/>
    <w:rsid w:val="00B50156"/>
    <w:rsid w:val="00B501E8"/>
    <w:rsid w:val="00B502A3"/>
    <w:rsid w:val="00B506D4"/>
    <w:rsid w:val="00B507AA"/>
    <w:rsid w:val="00B50953"/>
    <w:rsid w:val="00B509AE"/>
    <w:rsid w:val="00B50E13"/>
    <w:rsid w:val="00B512C6"/>
    <w:rsid w:val="00B51581"/>
    <w:rsid w:val="00B518AD"/>
    <w:rsid w:val="00B51BB6"/>
    <w:rsid w:val="00B52056"/>
    <w:rsid w:val="00B52B0E"/>
    <w:rsid w:val="00B52D81"/>
    <w:rsid w:val="00B5355B"/>
    <w:rsid w:val="00B5402E"/>
    <w:rsid w:val="00B540E8"/>
    <w:rsid w:val="00B54681"/>
    <w:rsid w:val="00B55852"/>
    <w:rsid w:val="00B560A9"/>
    <w:rsid w:val="00B56866"/>
    <w:rsid w:val="00B56CC4"/>
    <w:rsid w:val="00B604BB"/>
    <w:rsid w:val="00B6062A"/>
    <w:rsid w:val="00B60A96"/>
    <w:rsid w:val="00B60DD7"/>
    <w:rsid w:val="00B60EB6"/>
    <w:rsid w:val="00B60EE5"/>
    <w:rsid w:val="00B61533"/>
    <w:rsid w:val="00B616A5"/>
    <w:rsid w:val="00B628BE"/>
    <w:rsid w:val="00B62B67"/>
    <w:rsid w:val="00B637FB"/>
    <w:rsid w:val="00B6386F"/>
    <w:rsid w:val="00B65192"/>
    <w:rsid w:val="00B65295"/>
    <w:rsid w:val="00B65D9B"/>
    <w:rsid w:val="00B66E51"/>
    <w:rsid w:val="00B66E68"/>
    <w:rsid w:val="00B672CB"/>
    <w:rsid w:val="00B67346"/>
    <w:rsid w:val="00B6793A"/>
    <w:rsid w:val="00B67AC3"/>
    <w:rsid w:val="00B70880"/>
    <w:rsid w:val="00B71422"/>
    <w:rsid w:val="00B71486"/>
    <w:rsid w:val="00B71607"/>
    <w:rsid w:val="00B71EF7"/>
    <w:rsid w:val="00B720BE"/>
    <w:rsid w:val="00B72361"/>
    <w:rsid w:val="00B74AB0"/>
    <w:rsid w:val="00B75345"/>
    <w:rsid w:val="00B7584B"/>
    <w:rsid w:val="00B76327"/>
    <w:rsid w:val="00B76400"/>
    <w:rsid w:val="00B76C94"/>
    <w:rsid w:val="00B76D4E"/>
    <w:rsid w:val="00B76D6E"/>
    <w:rsid w:val="00B771A8"/>
    <w:rsid w:val="00B771AA"/>
    <w:rsid w:val="00B772D0"/>
    <w:rsid w:val="00B77708"/>
    <w:rsid w:val="00B80A99"/>
    <w:rsid w:val="00B80F4E"/>
    <w:rsid w:val="00B814CF"/>
    <w:rsid w:val="00B81A33"/>
    <w:rsid w:val="00B8256C"/>
    <w:rsid w:val="00B82B2D"/>
    <w:rsid w:val="00B83117"/>
    <w:rsid w:val="00B8319C"/>
    <w:rsid w:val="00B85080"/>
    <w:rsid w:val="00B90351"/>
    <w:rsid w:val="00B90532"/>
    <w:rsid w:val="00B906F2"/>
    <w:rsid w:val="00B90D9B"/>
    <w:rsid w:val="00B91259"/>
    <w:rsid w:val="00B91AD5"/>
    <w:rsid w:val="00B91B81"/>
    <w:rsid w:val="00B91FF0"/>
    <w:rsid w:val="00B92164"/>
    <w:rsid w:val="00B926A8"/>
    <w:rsid w:val="00B92FFF"/>
    <w:rsid w:val="00B93538"/>
    <w:rsid w:val="00B936F8"/>
    <w:rsid w:val="00B9492E"/>
    <w:rsid w:val="00B95BD4"/>
    <w:rsid w:val="00B960DB"/>
    <w:rsid w:val="00B96799"/>
    <w:rsid w:val="00B96DE5"/>
    <w:rsid w:val="00B97A76"/>
    <w:rsid w:val="00BA0166"/>
    <w:rsid w:val="00BA0584"/>
    <w:rsid w:val="00BA0755"/>
    <w:rsid w:val="00BA1ACE"/>
    <w:rsid w:val="00BA1E9D"/>
    <w:rsid w:val="00BA249D"/>
    <w:rsid w:val="00BA38D5"/>
    <w:rsid w:val="00BA3C66"/>
    <w:rsid w:val="00BA4D00"/>
    <w:rsid w:val="00BA4F9B"/>
    <w:rsid w:val="00BA51C0"/>
    <w:rsid w:val="00BA5665"/>
    <w:rsid w:val="00BA5B7E"/>
    <w:rsid w:val="00BA6825"/>
    <w:rsid w:val="00BA72D9"/>
    <w:rsid w:val="00BA74E8"/>
    <w:rsid w:val="00BB02DB"/>
    <w:rsid w:val="00BB0AB5"/>
    <w:rsid w:val="00BB195B"/>
    <w:rsid w:val="00BB1BBA"/>
    <w:rsid w:val="00BB1DB7"/>
    <w:rsid w:val="00BB204A"/>
    <w:rsid w:val="00BB2BD1"/>
    <w:rsid w:val="00BB31DF"/>
    <w:rsid w:val="00BB33E9"/>
    <w:rsid w:val="00BB34B7"/>
    <w:rsid w:val="00BB37AF"/>
    <w:rsid w:val="00BB3BE4"/>
    <w:rsid w:val="00BB44DB"/>
    <w:rsid w:val="00BB57D3"/>
    <w:rsid w:val="00BB58EE"/>
    <w:rsid w:val="00BB64EC"/>
    <w:rsid w:val="00BB6A3B"/>
    <w:rsid w:val="00BB7589"/>
    <w:rsid w:val="00BB7668"/>
    <w:rsid w:val="00BB767D"/>
    <w:rsid w:val="00BB7861"/>
    <w:rsid w:val="00BB7D3C"/>
    <w:rsid w:val="00BB7E42"/>
    <w:rsid w:val="00BC077E"/>
    <w:rsid w:val="00BC0DE5"/>
    <w:rsid w:val="00BC0E57"/>
    <w:rsid w:val="00BC1886"/>
    <w:rsid w:val="00BC1F5F"/>
    <w:rsid w:val="00BC21BE"/>
    <w:rsid w:val="00BC2465"/>
    <w:rsid w:val="00BC2A8A"/>
    <w:rsid w:val="00BC3E36"/>
    <w:rsid w:val="00BC4B2D"/>
    <w:rsid w:val="00BC4CE8"/>
    <w:rsid w:val="00BC4D54"/>
    <w:rsid w:val="00BC4DE9"/>
    <w:rsid w:val="00BC6E2F"/>
    <w:rsid w:val="00BC728A"/>
    <w:rsid w:val="00BC734E"/>
    <w:rsid w:val="00BC7632"/>
    <w:rsid w:val="00BC77A4"/>
    <w:rsid w:val="00BC7C9E"/>
    <w:rsid w:val="00BD0B9D"/>
    <w:rsid w:val="00BD1E79"/>
    <w:rsid w:val="00BD23A5"/>
    <w:rsid w:val="00BD2937"/>
    <w:rsid w:val="00BD2AFC"/>
    <w:rsid w:val="00BD2CD4"/>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42FC"/>
    <w:rsid w:val="00BE4302"/>
    <w:rsid w:val="00BE6085"/>
    <w:rsid w:val="00BE66FC"/>
    <w:rsid w:val="00BE73FA"/>
    <w:rsid w:val="00BF00D1"/>
    <w:rsid w:val="00BF0353"/>
    <w:rsid w:val="00BF090A"/>
    <w:rsid w:val="00BF0918"/>
    <w:rsid w:val="00BF2001"/>
    <w:rsid w:val="00BF208E"/>
    <w:rsid w:val="00BF2575"/>
    <w:rsid w:val="00BF31A0"/>
    <w:rsid w:val="00BF323A"/>
    <w:rsid w:val="00BF36C0"/>
    <w:rsid w:val="00BF3CC3"/>
    <w:rsid w:val="00BF3F0A"/>
    <w:rsid w:val="00BF4331"/>
    <w:rsid w:val="00BF4C22"/>
    <w:rsid w:val="00BF4E35"/>
    <w:rsid w:val="00BF5098"/>
    <w:rsid w:val="00BF5FB3"/>
    <w:rsid w:val="00BF6F82"/>
    <w:rsid w:val="00BF7B9B"/>
    <w:rsid w:val="00C0083F"/>
    <w:rsid w:val="00C00976"/>
    <w:rsid w:val="00C020CD"/>
    <w:rsid w:val="00C02DDE"/>
    <w:rsid w:val="00C0362D"/>
    <w:rsid w:val="00C0367B"/>
    <w:rsid w:val="00C04E51"/>
    <w:rsid w:val="00C05074"/>
    <w:rsid w:val="00C05AF9"/>
    <w:rsid w:val="00C0606E"/>
    <w:rsid w:val="00C060A3"/>
    <w:rsid w:val="00C060B0"/>
    <w:rsid w:val="00C067A8"/>
    <w:rsid w:val="00C06D2C"/>
    <w:rsid w:val="00C072F0"/>
    <w:rsid w:val="00C07344"/>
    <w:rsid w:val="00C07389"/>
    <w:rsid w:val="00C079A3"/>
    <w:rsid w:val="00C07C1F"/>
    <w:rsid w:val="00C07C79"/>
    <w:rsid w:val="00C11A79"/>
    <w:rsid w:val="00C1211E"/>
    <w:rsid w:val="00C127BC"/>
    <w:rsid w:val="00C13607"/>
    <w:rsid w:val="00C137B1"/>
    <w:rsid w:val="00C13811"/>
    <w:rsid w:val="00C13B43"/>
    <w:rsid w:val="00C14152"/>
    <w:rsid w:val="00C15E81"/>
    <w:rsid w:val="00C174C9"/>
    <w:rsid w:val="00C17A25"/>
    <w:rsid w:val="00C17B6E"/>
    <w:rsid w:val="00C200BA"/>
    <w:rsid w:val="00C20748"/>
    <w:rsid w:val="00C20754"/>
    <w:rsid w:val="00C21378"/>
    <w:rsid w:val="00C220A5"/>
    <w:rsid w:val="00C22307"/>
    <w:rsid w:val="00C22BB2"/>
    <w:rsid w:val="00C22EAF"/>
    <w:rsid w:val="00C23150"/>
    <w:rsid w:val="00C23F7D"/>
    <w:rsid w:val="00C24580"/>
    <w:rsid w:val="00C24908"/>
    <w:rsid w:val="00C250E8"/>
    <w:rsid w:val="00C25150"/>
    <w:rsid w:val="00C2515F"/>
    <w:rsid w:val="00C25B30"/>
    <w:rsid w:val="00C25DCF"/>
    <w:rsid w:val="00C26AEA"/>
    <w:rsid w:val="00C276EC"/>
    <w:rsid w:val="00C27C0A"/>
    <w:rsid w:val="00C305D9"/>
    <w:rsid w:val="00C31197"/>
    <w:rsid w:val="00C31AD4"/>
    <w:rsid w:val="00C31C63"/>
    <w:rsid w:val="00C31C8C"/>
    <w:rsid w:val="00C31CD9"/>
    <w:rsid w:val="00C32481"/>
    <w:rsid w:val="00C3394C"/>
    <w:rsid w:val="00C34278"/>
    <w:rsid w:val="00C34581"/>
    <w:rsid w:val="00C34A4C"/>
    <w:rsid w:val="00C34AD7"/>
    <w:rsid w:val="00C3516D"/>
    <w:rsid w:val="00C351E4"/>
    <w:rsid w:val="00C353D8"/>
    <w:rsid w:val="00C35B43"/>
    <w:rsid w:val="00C361A6"/>
    <w:rsid w:val="00C365C5"/>
    <w:rsid w:val="00C3670F"/>
    <w:rsid w:val="00C36E1A"/>
    <w:rsid w:val="00C36E26"/>
    <w:rsid w:val="00C371DF"/>
    <w:rsid w:val="00C37818"/>
    <w:rsid w:val="00C37EFC"/>
    <w:rsid w:val="00C37FF9"/>
    <w:rsid w:val="00C40126"/>
    <w:rsid w:val="00C41099"/>
    <w:rsid w:val="00C41425"/>
    <w:rsid w:val="00C41B4A"/>
    <w:rsid w:val="00C4213A"/>
    <w:rsid w:val="00C42C11"/>
    <w:rsid w:val="00C43344"/>
    <w:rsid w:val="00C43ADB"/>
    <w:rsid w:val="00C44949"/>
    <w:rsid w:val="00C44B4C"/>
    <w:rsid w:val="00C450E3"/>
    <w:rsid w:val="00C456CC"/>
    <w:rsid w:val="00C456F2"/>
    <w:rsid w:val="00C45830"/>
    <w:rsid w:val="00C45C56"/>
    <w:rsid w:val="00C45CCD"/>
    <w:rsid w:val="00C46734"/>
    <w:rsid w:val="00C50112"/>
    <w:rsid w:val="00C5105D"/>
    <w:rsid w:val="00C511F0"/>
    <w:rsid w:val="00C513C7"/>
    <w:rsid w:val="00C51639"/>
    <w:rsid w:val="00C51871"/>
    <w:rsid w:val="00C53220"/>
    <w:rsid w:val="00C533A0"/>
    <w:rsid w:val="00C537E7"/>
    <w:rsid w:val="00C53AFE"/>
    <w:rsid w:val="00C53E9D"/>
    <w:rsid w:val="00C5426B"/>
    <w:rsid w:val="00C54C18"/>
    <w:rsid w:val="00C573DA"/>
    <w:rsid w:val="00C5772E"/>
    <w:rsid w:val="00C5781B"/>
    <w:rsid w:val="00C609E1"/>
    <w:rsid w:val="00C61117"/>
    <w:rsid w:val="00C616B4"/>
    <w:rsid w:val="00C621A7"/>
    <w:rsid w:val="00C62AA0"/>
    <w:rsid w:val="00C62AEC"/>
    <w:rsid w:val="00C62BF2"/>
    <w:rsid w:val="00C62D1B"/>
    <w:rsid w:val="00C62D43"/>
    <w:rsid w:val="00C638A6"/>
    <w:rsid w:val="00C63FB9"/>
    <w:rsid w:val="00C64266"/>
    <w:rsid w:val="00C647DF"/>
    <w:rsid w:val="00C64F8E"/>
    <w:rsid w:val="00C66306"/>
    <w:rsid w:val="00C668FC"/>
    <w:rsid w:val="00C66CE8"/>
    <w:rsid w:val="00C70074"/>
    <w:rsid w:val="00C70D51"/>
    <w:rsid w:val="00C70DF4"/>
    <w:rsid w:val="00C71252"/>
    <w:rsid w:val="00C7277F"/>
    <w:rsid w:val="00C73C07"/>
    <w:rsid w:val="00C74930"/>
    <w:rsid w:val="00C74B47"/>
    <w:rsid w:val="00C74D80"/>
    <w:rsid w:val="00C754BD"/>
    <w:rsid w:val="00C75D3A"/>
    <w:rsid w:val="00C765F2"/>
    <w:rsid w:val="00C769A9"/>
    <w:rsid w:val="00C774C9"/>
    <w:rsid w:val="00C77F1B"/>
    <w:rsid w:val="00C80987"/>
    <w:rsid w:val="00C80A3F"/>
    <w:rsid w:val="00C80E3A"/>
    <w:rsid w:val="00C8180E"/>
    <w:rsid w:val="00C818A9"/>
    <w:rsid w:val="00C823C5"/>
    <w:rsid w:val="00C82436"/>
    <w:rsid w:val="00C82933"/>
    <w:rsid w:val="00C82BE2"/>
    <w:rsid w:val="00C84BBF"/>
    <w:rsid w:val="00C84BE9"/>
    <w:rsid w:val="00C85DEF"/>
    <w:rsid w:val="00C85E40"/>
    <w:rsid w:val="00C86D76"/>
    <w:rsid w:val="00C87A64"/>
    <w:rsid w:val="00C90E9C"/>
    <w:rsid w:val="00C910F8"/>
    <w:rsid w:val="00C91106"/>
    <w:rsid w:val="00C9117B"/>
    <w:rsid w:val="00C91D19"/>
    <w:rsid w:val="00C93B58"/>
    <w:rsid w:val="00C93C2F"/>
    <w:rsid w:val="00C94364"/>
    <w:rsid w:val="00C9437C"/>
    <w:rsid w:val="00C946E4"/>
    <w:rsid w:val="00C946FF"/>
    <w:rsid w:val="00C94A14"/>
    <w:rsid w:val="00C94CDA"/>
    <w:rsid w:val="00C94FC3"/>
    <w:rsid w:val="00C95BED"/>
    <w:rsid w:val="00C95EB3"/>
    <w:rsid w:val="00C96725"/>
    <w:rsid w:val="00C97A66"/>
    <w:rsid w:val="00CA007B"/>
    <w:rsid w:val="00CA01BB"/>
    <w:rsid w:val="00CA082C"/>
    <w:rsid w:val="00CA0AA4"/>
    <w:rsid w:val="00CA0C1E"/>
    <w:rsid w:val="00CA15B0"/>
    <w:rsid w:val="00CA1BBB"/>
    <w:rsid w:val="00CA1C71"/>
    <w:rsid w:val="00CA1D4C"/>
    <w:rsid w:val="00CA1D50"/>
    <w:rsid w:val="00CA1DAB"/>
    <w:rsid w:val="00CA20E0"/>
    <w:rsid w:val="00CA2598"/>
    <w:rsid w:val="00CA3347"/>
    <w:rsid w:val="00CA336C"/>
    <w:rsid w:val="00CA3BEB"/>
    <w:rsid w:val="00CA523D"/>
    <w:rsid w:val="00CA6FDA"/>
    <w:rsid w:val="00CA77CF"/>
    <w:rsid w:val="00CA7B58"/>
    <w:rsid w:val="00CB0836"/>
    <w:rsid w:val="00CB0CB9"/>
    <w:rsid w:val="00CB1413"/>
    <w:rsid w:val="00CB18D4"/>
    <w:rsid w:val="00CB24D9"/>
    <w:rsid w:val="00CB2518"/>
    <w:rsid w:val="00CB3156"/>
    <w:rsid w:val="00CB3920"/>
    <w:rsid w:val="00CB469E"/>
    <w:rsid w:val="00CB4C4C"/>
    <w:rsid w:val="00CB4EDE"/>
    <w:rsid w:val="00CB6413"/>
    <w:rsid w:val="00CB696F"/>
    <w:rsid w:val="00CB6A00"/>
    <w:rsid w:val="00CB7059"/>
    <w:rsid w:val="00CB7097"/>
    <w:rsid w:val="00CB73EE"/>
    <w:rsid w:val="00CB77F4"/>
    <w:rsid w:val="00CB780D"/>
    <w:rsid w:val="00CC00E9"/>
    <w:rsid w:val="00CC0F1C"/>
    <w:rsid w:val="00CC109F"/>
    <w:rsid w:val="00CC1983"/>
    <w:rsid w:val="00CC1BBB"/>
    <w:rsid w:val="00CC259D"/>
    <w:rsid w:val="00CC299A"/>
    <w:rsid w:val="00CC3039"/>
    <w:rsid w:val="00CC32B7"/>
    <w:rsid w:val="00CC36DE"/>
    <w:rsid w:val="00CC4498"/>
    <w:rsid w:val="00CC4F99"/>
    <w:rsid w:val="00CC5CDC"/>
    <w:rsid w:val="00CC5FC3"/>
    <w:rsid w:val="00CC6369"/>
    <w:rsid w:val="00CC6576"/>
    <w:rsid w:val="00CC65D6"/>
    <w:rsid w:val="00CC73F3"/>
    <w:rsid w:val="00CC7B85"/>
    <w:rsid w:val="00CD081C"/>
    <w:rsid w:val="00CD14DA"/>
    <w:rsid w:val="00CD1AA0"/>
    <w:rsid w:val="00CD1B5A"/>
    <w:rsid w:val="00CD1E5F"/>
    <w:rsid w:val="00CD1E9C"/>
    <w:rsid w:val="00CD27DB"/>
    <w:rsid w:val="00CD2E70"/>
    <w:rsid w:val="00CD386B"/>
    <w:rsid w:val="00CD3D06"/>
    <w:rsid w:val="00CD4704"/>
    <w:rsid w:val="00CD47C0"/>
    <w:rsid w:val="00CD4A09"/>
    <w:rsid w:val="00CD4C67"/>
    <w:rsid w:val="00CD4C7B"/>
    <w:rsid w:val="00CD5125"/>
    <w:rsid w:val="00CD5397"/>
    <w:rsid w:val="00CD5E93"/>
    <w:rsid w:val="00CD6D2E"/>
    <w:rsid w:val="00CE00B2"/>
    <w:rsid w:val="00CE11DA"/>
    <w:rsid w:val="00CE1344"/>
    <w:rsid w:val="00CE15AE"/>
    <w:rsid w:val="00CE1CFC"/>
    <w:rsid w:val="00CE235A"/>
    <w:rsid w:val="00CE37A3"/>
    <w:rsid w:val="00CE3814"/>
    <w:rsid w:val="00CE3FC0"/>
    <w:rsid w:val="00CE4AC7"/>
    <w:rsid w:val="00CE56B7"/>
    <w:rsid w:val="00CE6660"/>
    <w:rsid w:val="00CE6855"/>
    <w:rsid w:val="00CE6B6F"/>
    <w:rsid w:val="00CE7033"/>
    <w:rsid w:val="00CE7075"/>
    <w:rsid w:val="00CE770A"/>
    <w:rsid w:val="00CF02A6"/>
    <w:rsid w:val="00CF05A6"/>
    <w:rsid w:val="00CF06CF"/>
    <w:rsid w:val="00CF101C"/>
    <w:rsid w:val="00CF15C5"/>
    <w:rsid w:val="00CF1649"/>
    <w:rsid w:val="00CF1EFE"/>
    <w:rsid w:val="00CF2DC1"/>
    <w:rsid w:val="00CF2EE2"/>
    <w:rsid w:val="00CF37AD"/>
    <w:rsid w:val="00CF3948"/>
    <w:rsid w:val="00CF3ACF"/>
    <w:rsid w:val="00CF4363"/>
    <w:rsid w:val="00CF441D"/>
    <w:rsid w:val="00CF4FCF"/>
    <w:rsid w:val="00CF4FDC"/>
    <w:rsid w:val="00CF53F2"/>
    <w:rsid w:val="00CF56AF"/>
    <w:rsid w:val="00CF5BE0"/>
    <w:rsid w:val="00CF5BF1"/>
    <w:rsid w:val="00CF6001"/>
    <w:rsid w:val="00CF61CB"/>
    <w:rsid w:val="00CF666F"/>
    <w:rsid w:val="00CF686F"/>
    <w:rsid w:val="00CF6CA7"/>
    <w:rsid w:val="00CF6E7D"/>
    <w:rsid w:val="00CF76FB"/>
    <w:rsid w:val="00D00175"/>
    <w:rsid w:val="00D00223"/>
    <w:rsid w:val="00D00312"/>
    <w:rsid w:val="00D0045E"/>
    <w:rsid w:val="00D008D8"/>
    <w:rsid w:val="00D00DBF"/>
    <w:rsid w:val="00D0149B"/>
    <w:rsid w:val="00D01F5D"/>
    <w:rsid w:val="00D01FA9"/>
    <w:rsid w:val="00D02D17"/>
    <w:rsid w:val="00D03DBE"/>
    <w:rsid w:val="00D03EED"/>
    <w:rsid w:val="00D03FEF"/>
    <w:rsid w:val="00D0597D"/>
    <w:rsid w:val="00D06274"/>
    <w:rsid w:val="00D066D8"/>
    <w:rsid w:val="00D07459"/>
    <w:rsid w:val="00D07FB9"/>
    <w:rsid w:val="00D11949"/>
    <w:rsid w:val="00D11A69"/>
    <w:rsid w:val="00D11CB2"/>
    <w:rsid w:val="00D12C98"/>
    <w:rsid w:val="00D12FFC"/>
    <w:rsid w:val="00D13CA3"/>
    <w:rsid w:val="00D14007"/>
    <w:rsid w:val="00D1484F"/>
    <w:rsid w:val="00D14A39"/>
    <w:rsid w:val="00D14BA0"/>
    <w:rsid w:val="00D14D7B"/>
    <w:rsid w:val="00D1516D"/>
    <w:rsid w:val="00D158B0"/>
    <w:rsid w:val="00D1707A"/>
    <w:rsid w:val="00D17CC2"/>
    <w:rsid w:val="00D20357"/>
    <w:rsid w:val="00D20EED"/>
    <w:rsid w:val="00D21435"/>
    <w:rsid w:val="00D2242C"/>
    <w:rsid w:val="00D224FA"/>
    <w:rsid w:val="00D23033"/>
    <w:rsid w:val="00D2402F"/>
    <w:rsid w:val="00D245C2"/>
    <w:rsid w:val="00D24E74"/>
    <w:rsid w:val="00D25660"/>
    <w:rsid w:val="00D2569B"/>
    <w:rsid w:val="00D258EB"/>
    <w:rsid w:val="00D25AEB"/>
    <w:rsid w:val="00D271CD"/>
    <w:rsid w:val="00D30480"/>
    <w:rsid w:val="00D3064E"/>
    <w:rsid w:val="00D315CC"/>
    <w:rsid w:val="00D31DDA"/>
    <w:rsid w:val="00D31F05"/>
    <w:rsid w:val="00D32067"/>
    <w:rsid w:val="00D327A3"/>
    <w:rsid w:val="00D33AE9"/>
    <w:rsid w:val="00D34927"/>
    <w:rsid w:val="00D34C82"/>
    <w:rsid w:val="00D36550"/>
    <w:rsid w:val="00D379EC"/>
    <w:rsid w:val="00D37C94"/>
    <w:rsid w:val="00D37E9F"/>
    <w:rsid w:val="00D40D88"/>
    <w:rsid w:val="00D41E42"/>
    <w:rsid w:val="00D41F6B"/>
    <w:rsid w:val="00D42380"/>
    <w:rsid w:val="00D42C9B"/>
    <w:rsid w:val="00D4348D"/>
    <w:rsid w:val="00D436D7"/>
    <w:rsid w:val="00D43ADD"/>
    <w:rsid w:val="00D44E42"/>
    <w:rsid w:val="00D44FC3"/>
    <w:rsid w:val="00D45072"/>
    <w:rsid w:val="00D450E2"/>
    <w:rsid w:val="00D453D7"/>
    <w:rsid w:val="00D4552D"/>
    <w:rsid w:val="00D462D6"/>
    <w:rsid w:val="00D4714D"/>
    <w:rsid w:val="00D474AB"/>
    <w:rsid w:val="00D4754E"/>
    <w:rsid w:val="00D50460"/>
    <w:rsid w:val="00D50961"/>
    <w:rsid w:val="00D50A02"/>
    <w:rsid w:val="00D512A1"/>
    <w:rsid w:val="00D518D6"/>
    <w:rsid w:val="00D52AB4"/>
    <w:rsid w:val="00D52F26"/>
    <w:rsid w:val="00D52F71"/>
    <w:rsid w:val="00D531F5"/>
    <w:rsid w:val="00D538C1"/>
    <w:rsid w:val="00D538D5"/>
    <w:rsid w:val="00D53B5C"/>
    <w:rsid w:val="00D53BF4"/>
    <w:rsid w:val="00D54640"/>
    <w:rsid w:val="00D54916"/>
    <w:rsid w:val="00D55455"/>
    <w:rsid w:val="00D559B5"/>
    <w:rsid w:val="00D56420"/>
    <w:rsid w:val="00D5658A"/>
    <w:rsid w:val="00D5659F"/>
    <w:rsid w:val="00D56A94"/>
    <w:rsid w:val="00D56C0C"/>
    <w:rsid w:val="00D56F9E"/>
    <w:rsid w:val="00D570B4"/>
    <w:rsid w:val="00D5798B"/>
    <w:rsid w:val="00D60736"/>
    <w:rsid w:val="00D608AD"/>
    <w:rsid w:val="00D6170E"/>
    <w:rsid w:val="00D61972"/>
    <w:rsid w:val="00D61B58"/>
    <w:rsid w:val="00D6307D"/>
    <w:rsid w:val="00D63632"/>
    <w:rsid w:val="00D63732"/>
    <w:rsid w:val="00D63925"/>
    <w:rsid w:val="00D63D9C"/>
    <w:rsid w:val="00D6405D"/>
    <w:rsid w:val="00D6568E"/>
    <w:rsid w:val="00D65893"/>
    <w:rsid w:val="00D658EC"/>
    <w:rsid w:val="00D66816"/>
    <w:rsid w:val="00D6684E"/>
    <w:rsid w:val="00D6742A"/>
    <w:rsid w:val="00D67B9B"/>
    <w:rsid w:val="00D70A85"/>
    <w:rsid w:val="00D70F76"/>
    <w:rsid w:val="00D71733"/>
    <w:rsid w:val="00D718AC"/>
    <w:rsid w:val="00D719A3"/>
    <w:rsid w:val="00D71E7A"/>
    <w:rsid w:val="00D72DE7"/>
    <w:rsid w:val="00D7302F"/>
    <w:rsid w:val="00D7329E"/>
    <w:rsid w:val="00D73870"/>
    <w:rsid w:val="00D73BB2"/>
    <w:rsid w:val="00D74575"/>
    <w:rsid w:val="00D74D14"/>
    <w:rsid w:val="00D74F3B"/>
    <w:rsid w:val="00D752E7"/>
    <w:rsid w:val="00D754E9"/>
    <w:rsid w:val="00D7574B"/>
    <w:rsid w:val="00D75913"/>
    <w:rsid w:val="00D75E82"/>
    <w:rsid w:val="00D76270"/>
    <w:rsid w:val="00D767C6"/>
    <w:rsid w:val="00D769C5"/>
    <w:rsid w:val="00D76E76"/>
    <w:rsid w:val="00D77A9F"/>
    <w:rsid w:val="00D80631"/>
    <w:rsid w:val="00D818EC"/>
    <w:rsid w:val="00D81A20"/>
    <w:rsid w:val="00D81F55"/>
    <w:rsid w:val="00D8321A"/>
    <w:rsid w:val="00D83F57"/>
    <w:rsid w:val="00D84A86"/>
    <w:rsid w:val="00D85152"/>
    <w:rsid w:val="00D85F2C"/>
    <w:rsid w:val="00D86030"/>
    <w:rsid w:val="00D861BD"/>
    <w:rsid w:val="00D86D55"/>
    <w:rsid w:val="00D8789C"/>
    <w:rsid w:val="00D8789D"/>
    <w:rsid w:val="00D87B3F"/>
    <w:rsid w:val="00D9003D"/>
    <w:rsid w:val="00D90558"/>
    <w:rsid w:val="00D9082F"/>
    <w:rsid w:val="00D90C79"/>
    <w:rsid w:val="00D914EB"/>
    <w:rsid w:val="00D91B36"/>
    <w:rsid w:val="00D9305B"/>
    <w:rsid w:val="00D94085"/>
    <w:rsid w:val="00D944D2"/>
    <w:rsid w:val="00D951F2"/>
    <w:rsid w:val="00D96D4F"/>
    <w:rsid w:val="00D97026"/>
    <w:rsid w:val="00DA1806"/>
    <w:rsid w:val="00DA1BD1"/>
    <w:rsid w:val="00DA212B"/>
    <w:rsid w:val="00DA3155"/>
    <w:rsid w:val="00DA3A76"/>
    <w:rsid w:val="00DA3E5D"/>
    <w:rsid w:val="00DA5713"/>
    <w:rsid w:val="00DA5F95"/>
    <w:rsid w:val="00DA6856"/>
    <w:rsid w:val="00DA6D6D"/>
    <w:rsid w:val="00DA73C1"/>
    <w:rsid w:val="00DA7457"/>
    <w:rsid w:val="00DA770D"/>
    <w:rsid w:val="00DA77A8"/>
    <w:rsid w:val="00DA7851"/>
    <w:rsid w:val="00DA7DC1"/>
    <w:rsid w:val="00DB00EE"/>
    <w:rsid w:val="00DB0132"/>
    <w:rsid w:val="00DB1154"/>
    <w:rsid w:val="00DB1DEF"/>
    <w:rsid w:val="00DB2754"/>
    <w:rsid w:val="00DB2D88"/>
    <w:rsid w:val="00DB3687"/>
    <w:rsid w:val="00DB38D1"/>
    <w:rsid w:val="00DB3F58"/>
    <w:rsid w:val="00DB41CB"/>
    <w:rsid w:val="00DB5114"/>
    <w:rsid w:val="00DB681B"/>
    <w:rsid w:val="00DB73C2"/>
    <w:rsid w:val="00DB78B3"/>
    <w:rsid w:val="00DB7E24"/>
    <w:rsid w:val="00DC0445"/>
    <w:rsid w:val="00DC0B9C"/>
    <w:rsid w:val="00DC115F"/>
    <w:rsid w:val="00DC1E97"/>
    <w:rsid w:val="00DC2082"/>
    <w:rsid w:val="00DC225F"/>
    <w:rsid w:val="00DC2883"/>
    <w:rsid w:val="00DC2C48"/>
    <w:rsid w:val="00DC3984"/>
    <w:rsid w:val="00DC46B5"/>
    <w:rsid w:val="00DC4B28"/>
    <w:rsid w:val="00DC4B5D"/>
    <w:rsid w:val="00DC525E"/>
    <w:rsid w:val="00DC535C"/>
    <w:rsid w:val="00DC5DCB"/>
    <w:rsid w:val="00DC6C0D"/>
    <w:rsid w:val="00DC75E7"/>
    <w:rsid w:val="00DD074A"/>
    <w:rsid w:val="00DD0D70"/>
    <w:rsid w:val="00DD1941"/>
    <w:rsid w:val="00DD26A5"/>
    <w:rsid w:val="00DD2812"/>
    <w:rsid w:val="00DD2CE3"/>
    <w:rsid w:val="00DD34D5"/>
    <w:rsid w:val="00DD34F2"/>
    <w:rsid w:val="00DD3C6B"/>
    <w:rsid w:val="00DD4A56"/>
    <w:rsid w:val="00DD54ED"/>
    <w:rsid w:val="00DD5E69"/>
    <w:rsid w:val="00DD6861"/>
    <w:rsid w:val="00DD697F"/>
    <w:rsid w:val="00DD699C"/>
    <w:rsid w:val="00DD739F"/>
    <w:rsid w:val="00DD7631"/>
    <w:rsid w:val="00DD7762"/>
    <w:rsid w:val="00DD781E"/>
    <w:rsid w:val="00DD7A2C"/>
    <w:rsid w:val="00DD7F63"/>
    <w:rsid w:val="00DE0450"/>
    <w:rsid w:val="00DE0A1B"/>
    <w:rsid w:val="00DE1238"/>
    <w:rsid w:val="00DE1966"/>
    <w:rsid w:val="00DE1FFE"/>
    <w:rsid w:val="00DE2F9E"/>
    <w:rsid w:val="00DE31B1"/>
    <w:rsid w:val="00DE32E7"/>
    <w:rsid w:val="00DE3BB8"/>
    <w:rsid w:val="00DE40EB"/>
    <w:rsid w:val="00DE5117"/>
    <w:rsid w:val="00DE51F6"/>
    <w:rsid w:val="00DE5648"/>
    <w:rsid w:val="00DE568A"/>
    <w:rsid w:val="00DE56B7"/>
    <w:rsid w:val="00DE595E"/>
    <w:rsid w:val="00DE59D2"/>
    <w:rsid w:val="00DE5CD9"/>
    <w:rsid w:val="00DE6613"/>
    <w:rsid w:val="00DE6A70"/>
    <w:rsid w:val="00DE70B5"/>
    <w:rsid w:val="00DE7113"/>
    <w:rsid w:val="00DE771C"/>
    <w:rsid w:val="00DF00F9"/>
    <w:rsid w:val="00DF0576"/>
    <w:rsid w:val="00DF1981"/>
    <w:rsid w:val="00DF1D07"/>
    <w:rsid w:val="00DF1E89"/>
    <w:rsid w:val="00DF1EC8"/>
    <w:rsid w:val="00DF2144"/>
    <w:rsid w:val="00DF24D9"/>
    <w:rsid w:val="00DF2EA5"/>
    <w:rsid w:val="00DF310B"/>
    <w:rsid w:val="00DF3E47"/>
    <w:rsid w:val="00DF5362"/>
    <w:rsid w:val="00DF56E8"/>
    <w:rsid w:val="00DF5C01"/>
    <w:rsid w:val="00DF5FF5"/>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7C4"/>
    <w:rsid w:val="00E06A36"/>
    <w:rsid w:val="00E074C9"/>
    <w:rsid w:val="00E1198B"/>
    <w:rsid w:val="00E11C0C"/>
    <w:rsid w:val="00E126B2"/>
    <w:rsid w:val="00E127E3"/>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800"/>
    <w:rsid w:val="00E21C65"/>
    <w:rsid w:val="00E2307E"/>
    <w:rsid w:val="00E2352B"/>
    <w:rsid w:val="00E237FF"/>
    <w:rsid w:val="00E23C63"/>
    <w:rsid w:val="00E23E84"/>
    <w:rsid w:val="00E23F9B"/>
    <w:rsid w:val="00E24D23"/>
    <w:rsid w:val="00E2546F"/>
    <w:rsid w:val="00E26285"/>
    <w:rsid w:val="00E26649"/>
    <w:rsid w:val="00E2703D"/>
    <w:rsid w:val="00E271F9"/>
    <w:rsid w:val="00E27F0A"/>
    <w:rsid w:val="00E30712"/>
    <w:rsid w:val="00E309B0"/>
    <w:rsid w:val="00E30E67"/>
    <w:rsid w:val="00E31C56"/>
    <w:rsid w:val="00E32143"/>
    <w:rsid w:val="00E325F3"/>
    <w:rsid w:val="00E326E9"/>
    <w:rsid w:val="00E32AB7"/>
    <w:rsid w:val="00E32B61"/>
    <w:rsid w:val="00E33106"/>
    <w:rsid w:val="00E345C2"/>
    <w:rsid w:val="00E34D99"/>
    <w:rsid w:val="00E352C3"/>
    <w:rsid w:val="00E35476"/>
    <w:rsid w:val="00E355C0"/>
    <w:rsid w:val="00E359A5"/>
    <w:rsid w:val="00E35C28"/>
    <w:rsid w:val="00E372F7"/>
    <w:rsid w:val="00E37431"/>
    <w:rsid w:val="00E37DC0"/>
    <w:rsid w:val="00E37E0A"/>
    <w:rsid w:val="00E37EC6"/>
    <w:rsid w:val="00E37FF5"/>
    <w:rsid w:val="00E40432"/>
    <w:rsid w:val="00E40850"/>
    <w:rsid w:val="00E40D52"/>
    <w:rsid w:val="00E41187"/>
    <w:rsid w:val="00E411B3"/>
    <w:rsid w:val="00E41585"/>
    <w:rsid w:val="00E41F94"/>
    <w:rsid w:val="00E421ED"/>
    <w:rsid w:val="00E4220D"/>
    <w:rsid w:val="00E4231E"/>
    <w:rsid w:val="00E425F0"/>
    <w:rsid w:val="00E4279A"/>
    <w:rsid w:val="00E429ED"/>
    <w:rsid w:val="00E42CDD"/>
    <w:rsid w:val="00E42F09"/>
    <w:rsid w:val="00E43894"/>
    <w:rsid w:val="00E44AC7"/>
    <w:rsid w:val="00E44E08"/>
    <w:rsid w:val="00E45B2D"/>
    <w:rsid w:val="00E45DF9"/>
    <w:rsid w:val="00E468F2"/>
    <w:rsid w:val="00E477C4"/>
    <w:rsid w:val="00E478EF"/>
    <w:rsid w:val="00E47A20"/>
    <w:rsid w:val="00E5065D"/>
    <w:rsid w:val="00E5084C"/>
    <w:rsid w:val="00E50871"/>
    <w:rsid w:val="00E50AD9"/>
    <w:rsid w:val="00E50B4C"/>
    <w:rsid w:val="00E512FE"/>
    <w:rsid w:val="00E5198D"/>
    <w:rsid w:val="00E52063"/>
    <w:rsid w:val="00E52C66"/>
    <w:rsid w:val="00E53533"/>
    <w:rsid w:val="00E537ED"/>
    <w:rsid w:val="00E5384D"/>
    <w:rsid w:val="00E53F2E"/>
    <w:rsid w:val="00E54004"/>
    <w:rsid w:val="00E546C9"/>
    <w:rsid w:val="00E54BB9"/>
    <w:rsid w:val="00E54D3F"/>
    <w:rsid w:val="00E55F1F"/>
    <w:rsid w:val="00E56735"/>
    <w:rsid w:val="00E56866"/>
    <w:rsid w:val="00E56904"/>
    <w:rsid w:val="00E56FA9"/>
    <w:rsid w:val="00E57DFD"/>
    <w:rsid w:val="00E60423"/>
    <w:rsid w:val="00E60545"/>
    <w:rsid w:val="00E606F4"/>
    <w:rsid w:val="00E607E5"/>
    <w:rsid w:val="00E60A16"/>
    <w:rsid w:val="00E610CB"/>
    <w:rsid w:val="00E6125B"/>
    <w:rsid w:val="00E615AF"/>
    <w:rsid w:val="00E6170A"/>
    <w:rsid w:val="00E62816"/>
    <w:rsid w:val="00E62ADF"/>
    <w:rsid w:val="00E62FA7"/>
    <w:rsid w:val="00E63075"/>
    <w:rsid w:val="00E637A3"/>
    <w:rsid w:val="00E659FD"/>
    <w:rsid w:val="00E65B0C"/>
    <w:rsid w:val="00E66B16"/>
    <w:rsid w:val="00E66BA2"/>
    <w:rsid w:val="00E677DB"/>
    <w:rsid w:val="00E700F8"/>
    <w:rsid w:val="00E70C45"/>
    <w:rsid w:val="00E71C2D"/>
    <w:rsid w:val="00E72187"/>
    <w:rsid w:val="00E7266C"/>
    <w:rsid w:val="00E72BB6"/>
    <w:rsid w:val="00E72CD0"/>
    <w:rsid w:val="00E730AC"/>
    <w:rsid w:val="00E7310C"/>
    <w:rsid w:val="00E733ED"/>
    <w:rsid w:val="00E734CE"/>
    <w:rsid w:val="00E73D33"/>
    <w:rsid w:val="00E74DAE"/>
    <w:rsid w:val="00E750CB"/>
    <w:rsid w:val="00E778DC"/>
    <w:rsid w:val="00E80336"/>
    <w:rsid w:val="00E80D00"/>
    <w:rsid w:val="00E815CE"/>
    <w:rsid w:val="00E81611"/>
    <w:rsid w:val="00E81800"/>
    <w:rsid w:val="00E81863"/>
    <w:rsid w:val="00E81AA2"/>
    <w:rsid w:val="00E81C42"/>
    <w:rsid w:val="00E81C5C"/>
    <w:rsid w:val="00E81FDB"/>
    <w:rsid w:val="00E82064"/>
    <w:rsid w:val="00E82172"/>
    <w:rsid w:val="00E82B6E"/>
    <w:rsid w:val="00E82DC6"/>
    <w:rsid w:val="00E8347E"/>
    <w:rsid w:val="00E835C5"/>
    <w:rsid w:val="00E83ACD"/>
    <w:rsid w:val="00E83D4B"/>
    <w:rsid w:val="00E848F0"/>
    <w:rsid w:val="00E84D1C"/>
    <w:rsid w:val="00E84D9C"/>
    <w:rsid w:val="00E85069"/>
    <w:rsid w:val="00E8628F"/>
    <w:rsid w:val="00E86888"/>
    <w:rsid w:val="00E8695C"/>
    <w:rsid w:val="00E90DE0"/>
    <w:rsid w:val="00E92C96"/>
    <w:rsid w:val="00E942B8"/>
    <w:rsid w:val="00E944ED"/>
    <w:rsid w:val="00E945AF"/>
    <w:rsid w:val="00E94A0B"/>
    <w:rsid w:val="00E94A2C"/>
    <w:rsid w:val="00E9544C"/>
    <w:rsid w:val="00E95799"/>
    <w:rsid w:val="00E95D93"/>
    <w:rsid w:val="00E9683D"/>
    <w:rsid w:val="00E970B7"/>
    <w:rsid w:val="00E97D95"/>
    <w:rsid w:val="00EA0035"/>
    <w:rsid w:val="00EA010D"/>
    <w:rsid w:val="00EA04C5"/>
    <w:rsid w:val="00EA0507"/>
    <w:rsid w:val="00EA0BB5"/>
    <w:rsid w:val="00EA1A8A"/>
    <w:rsid w:val="00EA21FA"/>
    <w:rsid w:val="00EA25EB"/>
    <w:rsid w:val="00EA26D5"/>
    <w:rsid w:val="00EA2775"/>
    <w:rsid w:val="00EA305D"/>
    <w:rsid w:val="00EA3106"/>
    <w:rsid w:val="00EA3874"/>
    <w:rsid w:val="00EA5697"/>
    <w:rsid w:val="00EA5AB6"/>
    <w:rsid w:val="00EA5FB0"/>
    <w:rsid w:val="00EA612E"/>
    <w:rsid w:val="00EA6F91"/>
    <w:rsid w:val="00EA761C"/>
    <w:rsid w:val="00EA7D7F"/>
    <w:rsid w:val="00EB0600"/>
    <w:rsid w:val="00EB07F8"/>
    <w:rsid w:val="00EB0810"/>
    <w:rsid w:val="00EB0B5F"/>
    <w:rsid w:val="00EB1CF7"/>
    <w:rsid w:val="00EB1D3C"/>
    <w:rsid w:val="00EB25C2"/>
    <w:rsid w:val="00EB2B6F"/>
    <w:rsid w:val="00EB2CAD"/>
    <w:rsid w:val="00EB2FA2"/>
    <w:rsid w:val="00EB3272"/>
    <w:rsid w:val="00EB37B2"/>
    <w:rsid w:val="00EB3FF9"/>
    <w:rsid w:val="00EB5F0B"/>
    <w:rsid w:val="00EB6A5D"/>
    <w:rsid w:val="00EB7352"/>
    <w:rsid w:val="00EB769A"/>
    <w:rsid w:val="00EB7B49"/>
    <w:rsid w:val="00EC11E4"/>
    <w:rsid w:val="00EC14E1"/>
    <w:rsid w:val="00EC183C"/>
    <w:rsid w:val="00EC1CDD"/>
    <w:rsid w:val="00EC2A3F"/>
    <w:rsid w:val="00EC2E64"/>
    <w:rsid w:val="00EC3A35"/>
    <w:rsid w:val="00EC3C52"/>
    <w:rsid w:val="00EC3E35"/>
    <w:rsid w:val="00EC3E5B"/>
    <w:rsid w:val="00EC3E69"/>
    <w:rsid w:val="00EC41A7"/>
    <w:rsid w:val="00EC4257"/>
    <w:rsid w:val="00EC46CE"/>
    <w:rsid w:val="00EC4F94"/>
    <w:rsid w:val="00EC5162"/>
    <w:rsid w:val="00EC5554"/>
    <w:rsid w:val="00EC572B"/>
    <w:rsid w:val="00EC5B8E"/>
    <w:rsid w:val="00EC7356"/>
    <w:rsid w:val="00EC75F6"/>
    <w:rsid w:val="00EC75FC"/>
    <w:rsid w:val="00EC7AEE"/>
    <w:rsid w:val="00ED0065"/>
    <w:rsid w:val="00ED17B5"/>
    <w:rsid w:val="00ED17D8"/>
    <w:rsid w:val="00ED1BA0"/>
    <w:rsid w:val="00ED1D2D"/>
    <w:rsid w:val="00ED353D"/>
    <w:rsid w:val="00ED3954"/>
    <w:rsid w:val="00ED4C59"/>
    <w:rsid w:val="00ED4FF4"/>
    <w:rsid w:val="00ED588C"/>
    <w:rsid w:val="00ED5B71"/>
    <w:rsid w:val="00ED6E7A"/>
    <w:rsid w:val="00ED6EA1"/>
    <w:rsid w:val="00ED7A7F"/>
    <w:rsid w:val="00ED7B85"/>
    <w:rsid w:val="00EE060B"/>
    <w:rsid w:val="00EE07AC"/>
    <w:rsid w:val="00EE0891"/>
    <w:rsid w:val="00EE0C94"/>
    <w:rsid w:val="00EE0F24"/>
    <w:rsid w:val="00EE1062"/>
    <w:rsid w:val="00EE17F2"/>
    <w:rsid w:val="00EE188A"/>
    <w:rsid w:val="00EE1B01"/>
    <w:rsid w:val="00EE1C62"/>
    <w:rsid w:val="00EE1CD2"/>
    <w:rsid w:val="00EE1DB8"/>
    <w:rsid w:val="00EE210D"/>
    <w:rsid w:val="00EE2746"/>
    <w:rsid w:val="00EE2D54"/>
    <w:rsid w:val="00EE2FD8"/>
    <w:rsid w:val="00EE3256"/>
    <w:rsid w:val="00EE4759"/>
    <w:rsid w:val="00EE4C20"/>
    <w:rsid w:val="00EE4F2D"/>
    <w:rsid w:val="00EE5000"/>
    <w:rsid w:val="00EE524C"/>
    <w:rsid w:val="00EE589E"/>
    <w:rsid w:val="00EE6755"/>
    <w:rsid w:val="00EE78D6"/>
    <w:rsid w:val="00EF03DC"/>
    <w:rsid w:val="00EF0437"/>
    <w:rsid w:val="00EF0568"/>
    <w:rsid w:val="00EF0BFE"/>
    <w:rsid w:val="00EF1878"/>
    <w:rsid w:val="00EF1DE8"/>
    <w:rsid w:val="00EF2326"/>
    <w:rsid w:val="00EF2AC7"/>
    <w:rsid w:val="00EF3397"/>
    <w:rsid w:val="00EF40BF"/>
    <w:rsid w:val="00EF429A"/>
    <w:rsid w:val="00EF4557"/>
    <w:rsid w:val="00EF493F"/>
    <w:rsid w:val="00EF5947"/>
    <w:rsid w:val="00EF5E22"/>
    <w:rsid w:val="00EF60CA"/>
    <w:rsid w:val="00EF63C1"/>
    <w:rsid w:val="00EF6557"/>
    <w:rsid w:val="00EF69B1"/>
    <w:rsid w:val="00EF69B7"/>
    <w:rsid w:val="00EF6C2B"/>
    <w:rsid w:val="00F00059"/>
    <w:rsid w:val="00F00084"/>
    <w:rsid w:val="00F008BD"/>
    <w:rsid w:val="00F020D7"/>
    <w:rsid w:val="00F021A9"/>
    <w:rsid w:val="00F02C54"/>
    <w:rsid w:val="00F02CD0"/>
    <w:rsid w:val="00F02D03"/>
    <w:rsid w:val="00F035DB"/>
    <w:rsid w:val="00F0448C"/>
    <w:rsid w:val="00F04BAF"/>
    <w:rsid w:val="00F05126"/>
    <w:rsid w:val="00F0553C"/>
    <w:rsid w:val="00F05812"/>
    <w:rsid w:val="00F06BA7"/>
    <w:rsid w:val="00F06C50"/>
    <w:rsid w:val="00F071BA"/>
    <w:rsid w:val="00F10D77"/>
    <w:rsid w:val="00F11D2E"/>
    <w:rsid w:val="00F11D57"/>
    <w:rsid w:val="00F1284F"/>
    <w:rsid w:val="00F136A4"/>
    <w:rsid w:val="00F1377B"/>
    <w:rsid w:val="00F13C5E"/>
    <w:rsid w:val="00F14108"/>
    <w:rsid w:val="00F148D5"/>
    <w:rsid w:val="00F14B2F"/>
    <w:rsid w:val="00F1601A"/>
    <w:rsid w:val="00F160BF"/>
    <w:rsid w:val="00F16173"/>
    <w:rsid w:val="00F1675C"/>
    <w:rsid w:val="00F16A3C"/>
    <w:rsid w:val="00F17428"/>
    <w:rsid w:val="00F17EAC"/>
    <w:rsid w:val="00F20046"/>
    <w:rsid w:val="00F2018E"/>
    <w:rsid w:val="00F20B77"/>
    <w:rsid w:val="00F20CC1"/>
    <w:rsid w:val="00F20D22"/>
    <w:rsid w:val="00F21A58"/>
    <w:rsid w:val="00F2302A"/>
    <w:rsid w:val="00F23048"/>
    <w:rsid w:val="00F239CD"/>
    <w:rsid w:val="00F23DCC"/>
    <w:rsid w:val="00F24158"/>
    <w:rsid w:val="00F24294"/>
    <w:rsid w:val="00F2477C"/>
    <w:rsid w:val="00F24E5D"/>
    <w:rsid w:val="00F24EBB"/>
    <w:rsid w:val="00F27696"/>
    <w:rsid w:val="00F2777F"/>
    <w:rsid w:val="00F27F06"/>
    <w:rsid w:val="00F308FB"/>
    <w:rsid w:val="00F30C26"/>
    <w:rsid w:val="00F314E8"/>
    <w:rsid w:val="00F316A2"/>
    <w:rsid w:val="00F323A2"/>
    <w:rsid w:val="00F32850"/>
    <w:rsid w:val="00F332D4"/>
    <w:rsid w:val="00F33B57"/>
    <w:rsid w:val="00F33CA8"/>
    <w:rsid w:val="00F33D5C"/>
    <w:rsid w:val="00F356D6"/>
    <w:rsid w:val="00F36A76"/>
    <w:rsid w:val="00F372DB"/>
    <w:rsid w:val="00F3785D"/>
    <w:rsid w:val="00F378BE"/>
    <w:rsid w:val="00F37D37"/>
    <w:rsid w:val="00F400E3"/>
    <w:rsid w:val="00F4021A"/>
    <w:rsid w:val="00F40876"/>
    <w:rsid w:val="00F4363B"/>
    <w:rsid w:val="00F44642"/>
    <w:rsid w:val="00F454A2"/>
    <w:rsid w:val="00F45E89"/>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F3D"/>
    <w:rsid w:val="00F53F92"/>
    <w:rsid w:val="00F544AE"/>
    <w:rsid w:val="00F5480F"/>
    <w:rsid w:val="00F54AA5"/>
    <w:rsid w:val="00F552F7"/>
    <w:rsid w:val="00F553A7"/>
    <w:rsid w:val="00F554EB"/>
    <w:rsid w:val="00F5562D"/>
    <w:rsid w:val="00F55710"/>
    <w:rsid w:val="00F55BC7"/>
    <w:rsid w:val="00F566B8"/>
    <w:rsid w:val="00F566EA"/>
    <w:rsid w:val="00F567A4"/>
    <w:rsid w:val="00F578EB"/>
    <w:rsid w:val="00F605BE"/>
    <w:rsid w:val="00F60778"/>
    <w:rsid w:val="00F60AF6"/>
    <w:rsid w:val="00F60DDC"/>
    <w:rsid w:val="00F610A9"/>
    <w:rsid w:val="00F617BE"/>
    <w:rsid w:val="00F6185D"/>
    <w:rsid w:val="00F61C7A"/>
    <w:rsid w:val="00F625F7"/>
    <w:rsid w:val="00F64702"/>
    <w:rsid w:val="00F64D5A"/>
    <w:rsid w:val="00F65399"/>
    <w:rsid w:val="00F65B68"/>
    <w:rsid w:val="00F65C22"/>
    <w:rsid w:val="00F65EC9"/>
    <w:rsid w:val="00F66CB1"/>
    <w:rsid w:val="00F672BD"/>
    <w:rsid w:val="00F677CB"/>
    <w:rsid w:val="00F67E15"/>
    <w:rsid w:val="00F67FCA"/>
    <w:rsid w:val="00F70815"/>
    <w:rsid w:val="00F709F4"/>
    <w:rsid w:val="00F71019"/>
    <w:rsid w:val="00F710A9"/>
    <w:rsid w:val="00F71E57"/>
    <w:rsid w:val="00F7284D"/>
    <w:rsid w:val="00F72CFE"/>
    <w:rsid w:val="00F72FB0"/>
    <w:rsid w:val="00F73336"/>
    <w:rsid w:val="00F73423"/>
    <w:rsid w:val="00F7365E"/>
    <w:rsid w:val="00F737A4"/>
    <w:rsid w:val="00F73950"/>
    <w:rsid w:val="00F75481"/>
    <w:rsid w:val="00F76664"/>
    <w:rsid w:val="00F76A4C"/>
    <w:rsid w:val="00F76AB3"/>
    <w:rsid w:val="00F80B27"/>
    <w:rsid w:val="00F8101F"/>
    <w:rsid w:val="00F816A4"/>
    <w:rsid w:val="00F8194C"/>
    <w:rsid w:val="00F81AE9"/>
    <w:rsid w:val="00F827D0"/>
    <w:rsid w:val="00F82C78"/>
    <w:rsid w:val="00F82E2E"/>
    <w:rsid w:val="00F83186"/>
    <w:rsid w:val="00F8349F"/>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C3F"/>
    <w:rsid w:val="00F87C5B"/>
    <w:rsid w:val="00F87FEA"/>
    <w:rsid w:val="00F90613"/>
    <w:rsid w:val="00F906F4"/>
    <w:rsid w:val="00F915F3"/>
    <w:rsid w:val="00F91800"/>
    <w:rsid w:val="00F91853"/>
    <w:rsid w:val="00F918B6"/>
    <w:rsid w:val="00F91987"/>
    <w:rsid w:val="00F9208E"/>
    <w:rsid w:val="00F92571"/>
    <w:rsid w:val="00F93837"/>
    <w:rsid w:val="00F93B2F"/>
    <w:rsid w:val="00F93CAE"/>
    <w:rsid w:val="00F9453D"/>
    <w:rsid w:val="00F954E4"/>
    <w:rsid w:val="00F95BFB"/>
    <w:rsid w:val="00F95CCE"/>
    <w:rsid w:val="00F966D3"/>
    <w:rsid w:val="00F9692D"/>
    <w:rsid w:val="00F978BE"/>
    <w:rsid w:val="00F97D7B"/>
    <w:rsid w:val="00FA0013"/>
    <w:rsid w:val="00FA0154"/>
    <w:rsid w:val="00FA0288"/>
    <w:rsid w:val="00FA0C62"/>
    <w:rsid w:val="00FA0F71"/>
    <w:rsid w:val="00FA1B50"/>
    <w:rsid w:val="00FA23E2"/>
    <w:rsid w:val="00FA26BC"/>
    <w:rsid w:val="00FA3872"/>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2EE5"/>
    <w:rsid w:val="00FB3363"/>
    <w:rsid w:val="00FB4048"/>
    <w:rsid w:val="00FB446E"/>
    <w:rsid w:val="00FB4629"/>
    <w:rsid w:val="00FB52B7"/>
    <w:rsid w:val="00FB577F"/>
    <w:rsid w:val="00FB5E5D"/>
    <w:rsid w:val="00FB5FC4"/>
    <w:rsid w:val="00FB6A07"/>
    <w:rsid w:val="00FB6FB1"/>
    <w:rsid w:val="00FB7460"/>
    <w:rsid w:val="00FB7747"/>
    <w:rsid w:val="00FB7A10"/>
    <w:rsid w:val="00FC0828"/>
    <w:rsid w:val="00FC0C7D"/>
    <w:rsid w:val="00FC0F81"/>
    <w:rsid w:val="00FC2FAD"/>
    <w:rsid w:val="00FC33EC"/>
    <w:rsid w:val="00FC3798"/>
    <w:rsid w:val="00FC4D36"/>
    <w:rsid w:val="00FC569E"/>
    <w:rsid w:val="00FC577C"/>
    <w:rsid w:val="00FC59AF"/>
    <w:rsid w:val="00FC5BDD"/>
    <w:rsid w:val="00FC5C43"/>
    <w:rsid w:val="00FC5F72"/>
    <w:rsid w:val="00FC62B5"/>
    <w:rsid w:val="00FC6618"/>
    <w:rsid w:val="00FC6D4E"/>
    <w:rsid w:val="00FC7073"/>
    <w:rsid w:val="00FC736F"/>
    <w:rsid w:val="00FC7C15"/>
    <w:rsid w:val="00FD0CDB"/>
    <w:rsid w:val="00FD1FA7"/>
    <w:rsid w:val="00FD2282"/>
    <w:rsid w:val="00FD2D42"/>
    <w:rsid w:val="00FD30B5"/>
    <w:rsid w:val="00FD3453"/>
    <w:rsid w:val="00FD39CF"/>
    <w:rsid w:val="00FD4B7B"/>
    <w:rsid w:val="00FD4D84"/>
    <w:rsid w:val="00FD5468"/>
    <w:rsid w:val="00FD58F5"/>
    <w:rsid w:val="00FD6287"/>
    <w:rsid w:val="00FD754C"/>
    <w:rsid w:val="00FD7696"/>
    <w:rsid w:val="00FE0669"/>
    <w:rsid w:val="00FE0DAE"/>
    <w:rsid w:val="00FE0E6B"/>
    <w:rsid w:val="00FE1370"/>
    <w:rsid w:val="00FE1510"/>
    <w:rsid w:val="00FE2121"/>
    <w:rsid w:val="00FE2387"/>
    <w:rsid w:val="00FE254A"/>
    <w:rsid w:val="00FE321B"/>
    <w:rsid w:val="00FE3D07"/>
    <w:rsid w:val="00FE4411"/>
    <w:rsid w:val="00FE4B6F"/>
    <w:rsid w:val="00FE6818"/>
    <w:rsid w:val="00FE6A9E"/>
    <w:rsid w:val="00FE6BFB"/>
    <w:rsid w:val="00FF0CF5"/>
    <w:rsid w:val="00FF0D6F"/>
    <w:rsid w:val="00FF0E9E"/>
    <w:rsid w:val="00FF1103"/>
    <w:rsid w:val="00FF1712"/>
    <w:rsid w:val="00FF213D"/>
    <w:rsid w:val="00FF251D"/>
    <w:rsid w:val="00FF32A3"/>
    <w:rsid w:val="00FF37DC"/>
    <w:rsid w:val="00FF37F2"/>
    <w:rsid w:val="00FF43D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 w:type="paragraph" w:customStyle="1" w:styleId="Default">
    <w:name w:val="Default"/>
    <w:rsid w:val="00A45E0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5144">
      <w:bodyDiv w:val="1"/>
      <w:marLeft w:val="0"/>
      <w:marRight w:val="0"/>
      <w:marTop w:val="0"/>
      <w:marBottom w:val="0"/>
      <w:divBdr>
        <w:top w:val="none" w:sz="0" w:space="0" w:color="auto"/>
        <w:left w:val="none" w:sz="0" w:space="0" w:color="auto"/>
        <w:bottom w:val="none" w:sz="0" w:space="0" w:color="auto"/>
        <w:right w:val="none" w:sz="0" w:space="0" w:color="auto"/>
      </w:divBdr>
    </w:div>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57441288">
      <w:bodyDiv w:val="1"/>
      <w:marLeft w:val="0"/>
      <w:marRight w:val="0"/>
      <w:marTop w:val="0"/>
      <w:marBottom w:val="0"/>
      <w:divBdr>
        <w:top w:val="none" w:sz="0" w:space="0" w:color="auto"/>
        <w:left w:val="none" w:sz="0" w:space="0" w:color="auto"/>
        <w:bottom w:val="none" w:sz="0" w:space="0" w:color="auto"/>
        <w:right w:val="none" w:sz="0" w:space="0" w:color="auto"/>
      </w:divBdr>
    </w:div>
    <w:div w:id="65763639">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199414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8226555">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63293517">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28160872">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6672211">
      <w:bodyDiv w:val="1"/>
      <w:marLeft w:val="0"/>
      <w:marRight w:val="0"/>
      <w:marTop w:val="0"/>
      <w:marBottom w:val="0"/>
      <w:divBdr>
        <w:top w:val="none" w:sz="0" w:space="0" w:color="auto"/>
        <w:left w:val="none" w:sz="0" w:space="0" w:color="auto"/>
        <w:bottom w:val="none" w:sz="0" w:space="0" w:color="auto"/>
        <w:right w:val="none" w:sz="0" w:space="0" w:color="auto"/>
      </w:divBdr>
    </w:div>
    <w:div w:id="511530667">
      <w:bodyDiv w:val="1"/>
      <w:marLeft w:val="0"/>
      <w:marRight w:val="0"/>
      <w:marTop w:val="0"/>
      <w:marBottom w:val="0"/>
      <w:divBdr>
        <w:top w:val="none" w:sz="0" w:space="0" w:color="auto"/>
        <w:left w:val="none" w:sz="0" w:space="0" w:color="auto"/>
        <w:bottom w:val="none" w:sz="0" w:space="0" w:color="auto"/>
        <w:right w:val="none" w:sz="0" w:space="0" w:color="auto"/>
      </w:divBdr>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39845968">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893664504">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48408407">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09158640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18517030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659208">
      <w:bodyDiv w:val="1"/>
      <w:marLeft w:val="0"/>
      <w:marRight w:val="0"/>
      <w:marTop w:val="0"/>
      <w:marBottom w:val="0"/>
      <w:divBdr>
        <w:top w:val="none" w:sz="0" w:space="0" w:color="auto"/>
        <w:left w:val="none" w:sz="0" w:space="0" w:color="auto"/>
        <w:bottom w:val="none" w:sz="0" w:space="0" w:color="auto"/>
        <w:right w:val="none" w:sz="0" w:space="0" w:color="auto"/>
      </w:divBdr>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692040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21290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02983792">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ireccion@amco.gov.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tatiana.baquero%40colombiacompra.gov.co%7C7cfff6dece924643582c08dd97bfed90%7C7b09041e245149d08cb179d5e3d8c1be%7C0%7C0%7C638833572792347448%7CUnknown%7CTWFpbGZsb3d8eyJFbXB0eU1hcGkiOnRydWUsIlYiOiIwLjAuMDAwMCIsIlAiOiJXaW4zMiIsIkFOIjoiTWFpbCIsIldUIjoyfQ%3D%3D%7C0%7C%7C%7C&amp;sdata=K03nwa35iwf9ehvktYrXqXUKICQPG9uZh4Vu1Re28IU%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pge.gob.ec/index.php/infografias/control-de-la-legalidad" TargetMode="External"/><Relationship Id="rId2" Type="http://schemas.openxmlformats.org/officeDocument/2006/relationships/hyperlink" Target="https://www.redalyc.org/articulo.oa?id=337630227008" TargetMode="External"/><Relationship Id="rId1" Type="http://schemas.openxmlformats.org/officeDocument/2006/relationships/hyperlink" Target="https://revistas.uexternado.edu.co/index.php/emerca/article/view/6440/9269" TargetMode="External"/><Relationship Id="rId5" Type="http://schemas.openxmlformats.org/officeDocument/2006/relationships/hyperlink" Target="https://www.redalyc.org/articulo.oa?id=337630227008" TargetMode="External"/><Relationship Id="rId4" Type="http://schemas.openxmlformats.org/officeDocument/2006/relationships/hyperlink" Target="http://www.secretariasenado.gov.co/senado/basedoc/ley_2160_2021.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B8AE37-E1F3-4B08-98E9-52F0B3FA79CF}">
  <ds:schemaRefs>
    <ds:schemaRef ds:uri="http://schemas.microsoft.com/office/2006/documentManagement/types"/>
    <ds:schemaRef ds:uri="9d85dbaf-23eb-4e57-a637-93dcacc8b1a1"/>
    <ds:schemaRef ds:uri="http://schemas.openxmlformats.org/package/2006/metadata/core-properties"/>
    <ds:schemaRef ds:uri="http://purl.org/dc/elements/1.1/"/>
    <ds:schemaRef ds:uri="http://schemas.microsoft.com/office/infopath/2007/PartnerControls"/>
    <ds:schemaRef ds:uri="a6cb9e4b-f1d1-4245-83ec-6cad768d538a"/>
    <ds:schemaRef ds:uri="http://purl.org/dc/term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5292</Words>
  <Characters>29110</Characters>
  <Application>Microsoft Office Word</Application>
  <DocSecurity>0</DocSecurity>
  <Lines>242</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34334</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2</cp:revision>
  <dcterms:created xsi:type="dcterms:W3CDTF">2025-07-03T13:49:00Z</dcterms:created>
  <dcterms:modified xsi:type="dcterms:W3CDTF">2025-07-03T13:49:00Z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