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AC138F" w14:textId="77777777" w:rsidR="00C53CD3" w:rsidRPr="00593BA7" w:rsidRDefault="00C53CD3" w:rsidP="00C53CD3">
      <w:pPr>
        <w:jc w:val="right"/>
        <w:rPr>
          <w:rFonts w:ascii="Arial" w:hAnsi="Arial" w:cs="Arial"/>
          <w:b/>
          <w:color w:val="000000" w:themeColor="text1"/>
          <w:sz w:val="16"/>
          <w:szCs w:val="16"/>
          <w:lang w:val="es-ES" w:eastAsia="es-ES"/>
        </w:rPr>
      </w:pPr>
      <w:bookmarkStart w:id="0" w:name="_Hlk28946138"/>
      <w:bookmarkStart w:id="1" w:name="_Hlk29548183"/>
      <w:bookmarkStart w:id="2" w:name="_Hlk51594247"/>
      <w:r w:rsidRPr="00593BA7">
        <w:rPr>
          <w:rFonts w:ascii="Arial" w:hAnsi="Arial" w:cs="Arial"/>
          <w:b/>
          <w:color w:val="000000" w:themeColor="text1"/>
          <w:sz w:val="16"/>
          <w:szCs w:val="16"/>
          <w:lang w:val="es-ES" w:eastAsia="es-ES"/>
        </w:rPr>
        <w:tab/>
        <w:t>CCE-DES-FM-17</w:t>
      </w:r>
    </w:p>
    <w:p w14:paraId="35770B33" w14:textId="77777777" w:rsidR="00C53CD3" w:rsidRPr="00030539" w:rsidRDefault="00C53CD3" w:rsidP="00C53CD3">
      <w:pPr>
        <w:jc w:val="both"/>
        <w:rPr>
          <w:rFonts w:ascii="Arial" w:eastAsia="Calibri" w:hAnsi="Arial" w:cs="Arial"/>
          <w:b/>
          <w:bCs/>
          <w:color w:val="000000" w:themeColor="text1"/>
          <w:sz w:val="20"/>
          <w:szCs w:val="20"/>
          <w:lang w:val="es-ES"/>
        </w:rPr>
      </w:pPr>
    </w:p>
    <w:p w14:paraId="32F56A7C" w14:textId="77777777" w:rsidR="00C53CD3" w:rsidRPr="004860E8" w:rsidRDefault="00C53CD3" w:rsidP="00C53CD3">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w:t>
      </w:r>
      <w:r w:rsidRPr="004860E8">
        <w:rPr>
          <w:rFonts w:ascii="Arial" w:eastAsia="Calibri" w:hAnsi="Arial" w:cs="Arial"/>
          <w:b/>
          <w:bCs/>
          <w:color w:val="000000" w:themeColor="text1"/>
          <w:sz w:val="22"/>
          <w:szCs w:val="22"/>
          <w:lang w:val="es-ES"/>
        </w:rPr>
        <w:t xml:space="preserve">Políticas horizontales </w:t>
      </w:r>
    </w:p>
    <w:p w14:paraId="0C02F16A" w14:textId="77777777" w:rsidR="00C53CD3" w:rsidRDefault="00C53CD3" w:rsidP="00C53CD3">
      <w:pPr>
        <w:jc w:val="both"/>
        <w:rPr>
          <w:rFonts w:ascii="Arial" w:eastAsia="Calibri" w:hAnsi="Arial" w:cs="Arial"/>
          <w:bCs/>
          <w:color w:val="000000" w:themeColor="text1"/>
          <w:sz w:val="20"/>
          <w:szCs w:val="20"/>
          <w:lang w:val="es-ES"/>
        </w:rPr>
      </w:pPr>
    </w:p>
    <w:p w14:paraId="1C452B57" w14:textId="76ABDF70" w:rsidR="00C53CD3" w:rsidRDefault="00C53CD3" w:rsidP="00C53CD3">
      <w:pPr>
        <w:spacing w:after="120"/>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249C7975" w14:textId="77777777" w:rsidR="00C53CD3" w:rsidRDefault="00C53CD3" w:rsidP="00C53CD3">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w:t>
      </w:r>
      <w:r>
        <w:rPr>
          <w:rFonts w:ascii="Arial" w:eastAsia="Calibri" w:hAnsi="Arial" w:cs="Arial"/>
          <w:bCs/>
          <w:color w:val="000000" w:themeColor="text1"/>
          <w:sz w:val="20"/>
          <w:szCs w:val="20"/>
          <w:lang w:val="es-ES"/>
        </w:rPr>
        <w:t>ales en materia de contratación</w:t>
      </w:r>
      <w:r w:rsidRPr="00B65945">
        <w:rPr>
          <w:rFonts w:ascii="Arial" w:eastAsia="Calibri" w:hAnsi="Arial" w:cs="Arial"/>
          <w:bCs/>
          <w:color w:val="000000" w:themeColor="text1"/>
          <w:sz w:val="20"/>
          <w:szCs w:val="20"/>
          <w:lang w:val="es-ES"/>
        </w:rPr>
        <w:t>.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14:paraId="21EC309B" w14:textId="77777777" w:rsidR="00C53CD3" w:rsidRPr="00D26E9E" w:rsidRDefault="00C53CD3" w:rsidP="00C53CD3">
      <w:pPr>
        <w:jc w:val="both"/>
        <w:rPr>
          <w:rFonts w:ascii="Arial" w:eastAsia="Calibri" w:hAnsi="Arial" w:cs="Arial"/>
          <w:bCs/>
          <w:color w:val="000000" w:themeColor="text1"/>
          <w:sz w:val="20"/>
          <w:szCs w:val="20"/>
          <w:lang w:val="es-ES"/>
        </w:rPr>
      </w:pPr>
    </w:p>
    <w:p w14:paraId="7D117F80" w14:textId="77777777" w:rsidR="00C53CD3" w:rsidRPr="004860E8" w:rsidRDefault="00C53CD3" w:rsidP="00C53CD3">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P</w:t>
      </w:r>
      <w:r w:rsidRPr="004860E8">
        <w:rPr>
          <w:rFonts w:ascii="Arial" w:eastAsia="Calibri" w:hAnsi="Arial" w:cs="Arial"/>
          <w:b/>
          <w:bCs/>
          <w:color w:val="000000" w:themeColor="text1"/>
          <w:sz w:val="22"/>
          <w:szCs w:val="22"/>
          <w:lang w:val="es-ES"/>
        </w:rPr>
        <w:t xml:space="preserve">olíticas horizontales </w:t>
      </w:r>
      <w:r>
        <w:rPr>
          <w:rFonts w:ascii="Arial" w:eastAsia="Calibri" w:hAnsi="Arial" w:cs="Arial"/>
          <w:b/>
          <w:bCs/>
          <w:color w:val="000000" w:themeColor="text1"/>
          <w:sz w:val="22"/>
          <w:szCs w:val="22"/>
          <w:lang w:val="es-ES"/>
        </w:rPr>
        <w:t>– I</w:t>
      </w:r>
      <w:r w:rsidRPr="004860E8">
        <w:rPr>
          <w:rFonts w:ascii="Arial" w:eastAsia="Calibri" w:hAnsi="Arial" w:cs="Arial"/>
          <w:b/>
          <w:bCs/>
          <w:color w:val="000000" w:themeColor="text1"/>
          <w:sz w:val="22"/>
          <w:szCs w:val="22"/>
          <w:lang w:val="es-ES"/>
        </w:rPr>
        <w:t xml:space="preserve">ncentivos contractuales </w:t>
      </w:r>
    </w:p>
    <w:p w14:paraId="23553F7F" w14:textId="77777777" w:rsidR="00C53CD3" w:rsidRDefault="00C53CD3" w:rsidP="00C53CD3">
      <w:pPr>
        <w:jc w:val="both"/>
        <w:rPr>
          <w:rFonts w:ascii="Arial" w:eastAsia="Calibri" w:hAnsi="Arial" w:cs="Arial"/>
          <w:bCs/>
          <w:color w:val="000000" w:themeColor="text1"/>
          <w:sz w:val="20"/>
          <w:szCs w:val="20"/>
          <w:lang w:val="es-ES"/>
        </w:rPr>
      </w:pPr>
    </w:p>
    <w:p w14:paraId="1871B77E" w14:textId="77777777" w:rsidR="00C53CD3" w:rsidRDefault="00C53CD3" w:rsidP="00C53CD3">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política horizontal</w:t>
      </w:r>
      <w:r>
        <w:rPr>
          <w:rFonts w:ascii="Arial" w:eastAsia="Calibri" w:hAnsi="Arial" w:cs="Arial"/>
          <w:bCs/>
          <w:color w:val="000000" w:themeColor="text1"/>
          <w:sz w:val="20"/>
          <w:szCs w:val="20"/>
          <w:lang w:val="es-ES"/>
        </w:rPr>
        <w:t xml:space="preserve"> […]</w:t>
      </w:r>
      <w:r w:rsidRPr="00B65945">
        <w:rPr>
          <w:rFonts w:ascii="Arial" w:eastAsia="Calibri" w:hAnsi="Arial" w:cs="Arial"/>
          <w:bCs/>
          <w:color w:val="000000" w:themeColor="text1"/>
          <w:sz w:val="20"/>
          <w:szCs w:val="20"/>
          <w:lang w:val="es-ES"/>
        </w:rPr>
        <w:t xml:space="preserve">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5D9913C5" w14:textId="77777777" w:rsidR="00C53CD3" w:rsidRDefault="00C53CD3" w:rsidP="00C53CD3">
      <w:pPr>
        <w:jc w:val="both"/>
        <w:rPr>
          <w:rFonts w:ascii="Arial" w:eastAsia="Calibri" w:hAnsi="Arial" w:cs="Arial"/>
          <w:bCs/>
          <w:color w:val="000000" w:themeColor="text1"/>
          <w:sz w:val="20"/>
          <w:szCs w:val="20"/>
          <w:lang w:val="es-ES"/>
        </w:rPr>
      </w:pPr>
    </w:p>
    <w:p w14:paraId="549852D8" w14:textId="77777777" w:rsidR="00C53CD3" w:rsidRPr="0097179E" w:rsidRDefault="00C53CD3" w:rsidP="00C53CD3">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 xml:space="preserve">INCENTIVOS CONTRACTUALES – Empleabilidad de adultos mayores – Política horizontal – Criterio de desempate </w:t>
      </w:r>
      <w:r>
        <w:rPr>
          <w:rFonts w:ascii="Arial" w:eastAsia="Calibri" w:hAnsi="Arial" w:cs="Arial"/>
          <w:b/>
          <w:bCs/>
          <w:color w:val="000000" w:themeColor="text1"/>
          <w:sz w:val="22"/>
          <w:szCs w:val="22"/>
          <w:lang w:val="es-ES"/>
        </w:rPr>
        <w:t>– Ley 2040 de 2020</w:t>
      </w:r>
    </w:p>
    <w:p w14:paraId="72AEFFFB" w14:textId="77777777" w:rsidR="00C53CD3" w:rsidRDefault="00C53CD3" w:rsidP="00C53CD3">
      <w:pPr>
        <w:jc w:val="both"/>
        <w:rPr>
          <w:rFonts w:ascii="Arial" w:eastAsia="Calibri" w:hAnsi="Arial" w:cs="Arial"/>
          <w:bCs/>
          <w:color w:val="000000" w:themeColor="text1"/>
          <w:sz w:val="20"/>
          <w:szCs w:val="20"/>
          <w:lang w:val="es-ES"/>
        </w:rPr>
      </w:pPr>
    </w:p>
    <w:p w14:paraId="7F5BDD5D" w14:textId="60B80DD8" w:rsidR="00C53CD3" w:rsidRPr="00B65945" w:rsidRDefault="00C53CD3" w:rsidP="00C53CD3">
      <w:pPr>
        <w:spacing w:after="120"/>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 xml:space="preserve">Con base en las explicaciones anteriores es posible entender de manera más sencilla el contenido de la Ley 2040 de 2020 «por medio de la cual se adoptan medidas para impulsar el trabajo para adultos mayores y se dictan otras disposiciones». En esta ley la política del legislador es clara: establecer medidas que incrementen la empleabilidad de adultos mayores que, cumplida la edad de jubilación, no cuentan con pensión de vejez, familiar o sobrevivencia. </w:t>
      </w:r>
    </w:p>
    <w:p w14:paraId="254F4FCC" w14:textId="0FF7F163" w:rsidR="00C53CD3" w:rsidRPr="00B65945" w:rsidRDefault="00C53CD3" w:rsidP="00C53CD3">
      <w:pPr>
        <w:spacing w:after="120"/>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 xml:space="preserve">Para ello, la Ley 2040 de 2020 adopta una serie de instrumentos diversos, entre las cuales se cuentan una reducción del impuesto sobre la renta por contratación de adultos mayores –artículo 2–, la creación del sello amigable «adulto mayor» para identificar a las empresas que vinculen a adultos mayores que no cuentan con pensión –artículo 7–, la creación de la «Ruta para el emprendimiento del adulto mayor» para que los adultos mayores puedan poner en marcha su propia empresa –artículo 10–. </w:t>
      </w:r>
    </w:p>
    <w:p w14:paraId="6EB511FC" w14:textId="77777777" w:rsidR="00C53CD3" w:rsidRDefault="00C53CD3" w:rsidP="00C53CD3">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Todos estos son mecanismos que la ley instrumenta para cumplir su finalidad: incrementar la empleabilidad de los adultos mayores, lo que a la postre, se espera, se traducirá en mayor empleo para este sector vulnerable de la población.</w:t>
      </w:r>
    </w:p>
    <w:p w14:paraId="337FEF54" w14:textId="77777777" w:rsidR="00C53CD3" w:rsidRDefault="00C53CD3" w:rsidP="00C53CD3">
      <w:pPr>
        <w:jc w:val="both"/>
        <w:rPr>
          <w:rFonts w:ascii="Arial" w:eastAsia="Calibri" w:hAnsi="Arial" w:cs="Arial"/>
          <w:bCs/>
          <w:color w:val="000000" w:themeColor="text1"/>
          <w:sz w:val="20"/>
          <w:szCs w:val="20"/>
          <w:lang w:val="es-ES"/>
        </w:rPr>
      </w:pPr>
    </w:p>
    <w:p w14:paraId="4E0D29E1" w14:textId="77777777" w:rsidR="00C53CD3" w:rsidRPr="0097179E" w:rsidRDefault="00C53CD3" w:rsidP="00C53CD3">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 xml:space="preserve">INCENTIVOS CONTRACTUALES – Empleabilidad de adultos mayores – Criterio de desempate </w:t>
      </w:r>
      <w:r>
        <w:rPr>
          <w:rFonts w:ascii="Arial" w:eastAsia="Calibri" w:hAnsi="Arial" w:cs="Arial"/>
          <w:b/>
          <w:bCs/>
          <w:color w:val="000000" w:themeColor="text1"/>
          <w:sz w:val="22"/>
          <w:szCs w:val="22"/>
          <w:lang w:val="es-ES"/>
        </w:rPr>
        <w:t>– Necesidad del reglamento</w:t>
      </w:r>
    </w:p>
    <w:p w14:paraId="6A0C77B3" w14:textId="77777777" w:rsidR="00C53CD3" w:rsidRPr="004860E8" w:rsidRDefault="00C53CD3" w:rsidP="00C53CD3">
      <w:pPr>
        <w:jc w:val="both"/>
        <w:rPr>
          <w:rFonts w:ascii="Arial" w:eastAsia="Calibri" w:hAnsi="Arial" w:cs="Arial"/>
          <w:bCs/>
          <w:color w:val="000000" w:themeColor="text1"/>
          <w:sz w:val="20"/>
          <w:szCs w:val="20"/>
          <w:lang w:val="es-ES"/>
        </w:rPr>
      </w:pPr>
    </w:p>
    <w:p w14:paraId="7B58FB7F" w14:textId="77777777" w:rsidR="00C53CD3" w:rsidRPr="008A447B" w:rsidRDefault="00C53CD3" w:rsidP="00C53CD3">
      <w:pPr>
        <w:jc w:val="both"/>
        <w:rPr>
          <w:rFonts w:ascii="Arial" w:hAnsi="Arial" w:cs="Arial"/>
          <w:color w:val="000000" w:themeColor="text1"/>
          <w:sz w:val="20"/>
          <w:szCs w:val="20"/>
          <w:lang w:val="es-ES"/>
        </w:rPr>
      </w:pPr>
      <w:r w:rsidRPr="008A447B">
        <w:rPr>
          <w:rFonts w:ascii="Arial" w:hAnsi="Arial" w:cs="Arial"/>
          <w:color w:val="000000" w:themeColor="text1"/>
          <w:sz w:val="20"/>
          <w:szCs w:val="20"/>
          <w:lang w:val="es-ES"/>
        </w:rPr>
        <w:t xml:space="preserve">El criterio de desempate creado es una «estrategias para la promoción del empleo de personas mayores», y requiere reglamentación previa para establecer qué tipo de actividades y oficios pueden desempeñar los adultos mayores, y otorga un derecho especial para las empresas que se acogen a </w:t>
      </w:r>
      <w:r w:rsidRPr="008A447B">
        <w:rPr>
          <w:rFonts w:ascii="Arial" w:hAnsi="Arial" w:cs="Arial"/>
          <w:color w:val="000000" w:themeColor="text1"/>
          <w:sz w:val="20"/>
          <w:szCs w:val="20"/>
          <w:lang w:val="es-ES"/>
        </w:rPr>
        <w:lastRenderedPageBreak/>
        <w:t>esa Ley, por lo que, según el literal del artículo 4, debe ser objeto de reglamentación por el Gobierno Nacional en un término no mayor a 6 meses.</w:t>
      </w:r>
    </w:p>
    <w:p w14:paraId="1FB51F70" w14:textId="32E21D50" w:rsidR="00C53CD3" w:rsidRDefault="00C53CD3" w:rsidP="00C53CD3">
      <w:pPr>
        <w:rPr>
          <w:rFonts w:ascii="Arial" w:hAnsi="Arial" w:cs="Arial"/>
          <w:color w:val="000000" w:themeColor="text1"/>
          <w:sz w:val="22"/>
          <w:lang w:val="es-ES"/>
        </w:rPr>
      </w:pPr>
    </w:p>
    <w:p w14:paraId="278B5D6E" w14:textId="77777777" w:rsidR="00C53CD3" w:rsidRDefault="00C53CD3" w:rsidP="00C53CD3">
      <w:pPr>
        <w:rPr>
          <w:rFonts w:ascii="Arial" w:hAnsi="Arial" w:cs="Arial"/>
          <w:color w:val="000000" w:themeColor="text1"/>
          <w:sz w:val="22"/>
          <w:lang w:val="es-ES"/>
        </w:rPr>
      </w:pPr>
    </w:p>
    <w:p w14:paraId="0FE227C3" w14:textId="77777777" w:rsidR="00030539" w:rsidRPr="00030539" w:rsidRDefault="00030539" w:rsidP="00030539">
      <w:pPr>
        <w:rPr>
          <w:rFonts w:asciiTheme="minorBidi" w:hAnsiTheme="minorBidi" w:cstheme="minorBidi"/>
          <w:b/>
          <w:bCs/>
          <w:sz w:val="22"/>
          <w:szCs w:val="22"/>
          <w:lang w:val="pt-BR"/>
        </w:rPr>
      </w:pPr>
      <w:r w:rsidRPr="00030539">
        <w:rPr>
          <w:rFonts w:asciiTheme="minorBidi" w:hAnsiTheme="minorBidi" w:cstheme="minorBidi"/>
          <w:sz w:val="22"/>
          <w:szCs w:val="22"/>
          <w:lang w:val="pt-BR"/>
        </w:rPr>
        <w:t xml:space="preserve">Bogotá D.C., </w:t>
      </w:r>
      <w:r w:rsidRPr="00030539">
        <w:rPr>
          <w:rFonts w:asciiTheme="minorBidi" w:hAnsiTheme="minorBidi" w:cstheme="minorBidi"/>
          <w:b/>
          <w:bCs/>
          <w:sz w:val="22"/>
          <w:szCs w:val="22"/>
          <w:lang w:val="pt-BR"/>
        </w:rPr>
        <w:t xml:space="preserve">21/09/2020 Hora 15:27:32s </w:t>
      </w:r>
    </w:p>
    <w:p w14:paraId="17E9C471" w14:textId="458EBC7F" w:rsidR="0043755E" w:rsidRPr="00030539" w:rsidRDefault="00030539" w:rsidP="00C53CD3">
      <w:pPr>
        <w:jc w:val="right"/>
        <w:rPr>
          <w:rFonts w:asciiTheme="minorBidi" w:hAnsiTheme="minorBidi" w:cstheme="minorBidi"/>
          <w:b/>
          <w:bCs/>
          <w:color w:val="000000" w:themeColor="text1"/>
          <w:sz w:val="22"/>
          <w:szCs w:val="22"/>
          <w:lang w:val="pt-BR"/>
        </w:rPr>
      </w:pPr>
      <w:r w:rsidRPr="00030539">
        <w:rPr>
          <w:rFonts w:asciiTheme="minorBidi" w:hAnsiTheme="minorBidi" w:cstheme="minorBidi"/>
          <w:b/>
          <w:bCs/>
          <w:sz w:val="22"/>
          <w:szCs w:val="22"/>
          <w:lang w:val="pt-BR"/>
        </w:rPr>
        <w:t>N° Radicado: 2202013000009063</w:t>
      </w:r>
    </w:p>
    <w:p w14:paraId="729A5170" w14:textId="77777777" w:rsidR="0043755E" w:rsidRPr="00030539" w:rsidRDefault="0043755E" w:rsidP="00C53CD3">
      <w:pPr>
        <w:jc w:val="right"/>
        <w:rPr>
          <w:rFonts w:ascii="Arial" w:hAnsi="Arial" w:cs="Arial"/>
          <w:color w:val="000000" w:themeColor="text1"/>
          <w:sz w:val="22"/>
          <w:szCs w:val="22"/>
          <w:lang w:val="pt-BR"/>
        </w:rPr>
      </w:pPr>
    </w:p>
    <w:p w14:paraId="4CEB2DB1" w14:textId="77F2E6EB" w:rsidR="00C53CD3" w:rsidRPr="00C53CD3" w:rsidRDefault="00C53CD3" w:rsidP="00C53CD3">
      <w:pPr>
        <w:rPr>
          <w:rFonts w:asciiTheme="minorBidi" w:eastAsia="Calibri" w:hAnsiTheme="minorBidi" w:cstheme="minorBidi"/>
          <w:color w:val="000000" w:themeColor="text1"/>
          <w:sz w:val="22"/>
          <w:szCs w:val="22"/>
          <w:lang w:val="es-ES"/>
        </w:rPr>
      </w:pPr>
      <w:r w:rsidRPr="00C53CD3">
        <w:rPr>
          <w:rFonts w:asciiTheme="minorBidi" w:eastAsia="Calibri" w:hAnsiTheme="minorBidi" w:cstheme="minorBidi"/>
          <w:color w:val="000000" w:themeColor="text1"/>
          <w:sz w:val="22"/>
          <w:szCs w:val="22"/>
          <w:lang w:val="es-ES"/>
        </w:rPr>
        <w:t>Señor</w:t>
      </w:r>
      <w:r w:rsidR="008E7220">
        <w:rPr>
          <w:rFonts w:asciiTheme="minorBidi" w:eastAsia="Calibri" w:hAnsiTheme="minorBidi" w:cstheme="minorBidi"/>
          <w:color w:val="000000" w:themeColor="text1"/>
          <w:sz w:val="22"/>
          <w:szCs w:val="22"/>
          <w:lang w:val="es-ES"/>
        </w:rPr>
        <w:t>a</w:t>
      </w:r>
    </w:p>
    <w:p w14:paraId="1B6DC256" w14:textId="77777777" w:rsidR="00C53CD3" w:rsidRPr="008E7220" w:rsidRDefault="00C53CD3" w:rsidP="00C53CD3">
      <w:pPr>
        <w:rPr>
          <w:rFonts w:asciiTheme="minorBidi" w:hAnsiTheme="minorBidi" w:cstheme="minorBidi"/>
          <w:b/>
          <w:bCs/>
          <w:sz w:val="22"/>
          <w:szCs w:val="22"/>
        </w:rPr>
      </w:pPr>
      <w:r w:rsidRPr="008E7220">
        <w:rPr>
          <w:rFonts w:asciiTheme="minorBidi" w:hAnsiTheme="minorBidi" w:cstheme="minorBidi"/>
          <w:b/>
          <w:bCs/>
          <w:sz w:val="22"/>
          <w:szCs w:val="22"/>
        </w:rPr>
        <w:t>María Consuelo Reyes de Rodríguez</w:t>
      </w:r>
    </w:p>
    <w:p w14:paraId="273172C8" w14:textId="1F8DED2A" w:rsidR="00C53CD3" w:rsidRPr="00C53CD3" w:rsidRDefault="00ED0F95" w:rsidP="00C53CD3">
      <w:pPr>
        <w:rPr>
          <w:rFonts w:asciiTheme="minorBidi" w:eastAsia="Calibri" w:hAnsiTheme="minorBidi" w:cstheme="minorBidi"/>
          <w:color w:val="000000" w:themeColor="text1"/>
          <w:sz w:val="22"/>
          <w:szCs w:val="22"/>
          <w:lang w:val="es-ES"/>
        </w:rPr>
      </w:pPr>
      <w:r>
        <w:rPr>
          <w:rFonts w:asciiTheme="minorBidi" w:eastAsia="Calibri" w:hAnsiTheme="minorBidi" w:cstheme="minorBidi"/>
          <w:color w:val="000000" w:themeColor="text1"/>
          <w:sz w:val="22"/>
          <w:szCs w:val="22"/>
          <w:lang w:val="es-ES"/>
        </w:rPr>
        <w:t>Bogotá D.C.</w:t>
      </w:r>
    </w:p>
    <w:p w14:paraId="2F0D18FB" w14:textId="253325B5" w:rsidR="00C53CD3" w:rsidRDefault="00C53CD3" w:rsidP="00C53CD3">
      <w:pPr>
        <w:rPr>
          <w:rFonts w:ascii="Arial" w:eastAsia="Calibri" w:hAnsi="Arial" w:cs="Arial"/>
          <w:color w:val="000000" w:themeColor="text1"/>
          <w:sz w:val="22"/>
          <w:lang w:val="es-ES"/>
        </w:rPr>
      </w:pPr>
    </w:p>
    <w:p w14:paraId="363A5983" w14:textId="77777777" w:rsidR="0043755E" w:rsidRPr="00593BA7" w:rsidRDefault="0043755E" w:rsidP="00C53CD3">
      <w:pPr>
        <w:rPr>
          <w:rFonts w:ascii="Arial" w:eastAsia="Calibri" w:hAnsi="Arial" w:cs="Arial"/>
          <w:color w:val="000000" w:themeColor="text1"/>
          <w:sz w:val="22"/>
          <w:lang w:val="es-ES"/>
        </w:rPr>
      </w:pPr>
    </w:p>
    <w:p w14:paraId="2484231C" w14:textId="22D0273F" w:rsidR="00C53CD3" w:rsidRPr="00593BA7" w:rsidRDefault="00C53CD3" w:rsidP="00C53CD3">
      <w:pPr>
        <w:ind w:firstLine="2694"/>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Concepto C </w:t>
      </w:r>
      <w:r w:rsidR="00496E0C">
        <w:rPr>
          <w:rFonts w:ascii="Arial" w:eastAsia="Calibri" w:hAnsi="Arial" w:cs="Arial"/>
          <w:b/>
          <w:color w:val="000000" w:themeColor="text1"/>
          <w:sz w:val="22"/>
          <w:lang w:val="es-ES"/>
        </w:rPr>
        <w:t>–</w:t>
      </w:r>
      <w:r w:rsidRPr="00593BA7">
        <w:rPr>
          <w:rFonts w:ascii="Arial" w:eastAsia="Calibri" w:hAnsi="Arial" w:cs="Arial"/>
          <w:b/>
          <w:color w:val="000000" w:themeColor="text1"/>
          <w:sz w:val="22"/>
          <w:lang w:val="es-ES"/>
        </w:rPr>
        <w:t xml:space="preserve"> </w:t>
      </w:r>
      <w:r>
        <w:rPr>
          <w:rFonts w:ascii="Arial" w:eastAsia="Calibri" w:hAnsi="Arial" w:cs="Arial"/>
          <w:b/>
          <w:color w:val="000000" w:themeColor="text1"/>
          <w:sz w:val="22"/>
          <w:lang w:val="es-ES"/>
        </w:rPr>
        <w:t>626</w:t>
      </w:r>
      <w:r w:rsidRPr="00593BA7">
        <w:rPr>
          <w:rFonts w:ascii="Arial" w:eastAsia="Calibri" w:hAnsi="Arial" w:cs="Arial"/>
          <w:b/>
          <w:color w:val="000000" w:themeColor="text1"/>
          <w:sz w:val="22"/>
          <w:lang w:val="es-ES"/>
        </w:rPr>
        <w:t xml:space="preserve"> de 2020</w:t>
      </w:r>
    </w:p>
    <w:p w14:paraId="4E1321F8" w14:textId="77777777" w:rsidR="00C53CD3" w:rsidRPr="00593BA7" w:rsidRDefault="00C53CD3" w:rsidP="00C53CD3">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53CD3" w:rsidRPr="00593BA7" w14:paraId="5D4F9D0C" w14:textId="77777777" w:rsidTr="00846601">
        <w:tc>
          <w:tcPr>
            <w:tcW w:w="2689" w:type="dxa"/>
            <w:hideMark/>
          </w:tcPr>
          <w:p w14:paraId="4F0B06A0" w14:textId="77777777" w:rsidR="00C53CD3" w:rsidRPr="00593BA7" w:rsidRDefault="00C53CD3" w:rsidP="00846601">
            <w:pPr>
              <w:rPr>
                <w:rFonts w:ascii="Arial" w:eastAsia="Calibri" w:hAnsi="Arial" w:cs="Arial"/>
                <w:color w:val="000000" w:themeColor="text1"/>
                <w:sz w:val="22"/>
                <w:lang w:val="es-ES"/>
              </w:rPr>
            </w:pPr>
            <w:r w:rsidRPr="00593BA7">
              <w:rPr>
                <w:rFonts w:ascii="Arial" w:eastAsia="Calibri" w:hAnsi="Arial" w:cs="Arial"/>
                <w:b/>
                <w:color w:val="000000" w:themeColor="text1"/>
                <w:sz w:val="22"/>
                <w:lang w:val="es-ES"/>
              </w:rPr>
              <w:t>Temas:</w:t>
            </w:r>
            <w:r w:rsidRPr="00593BA7">
              <w:rPr>
                <w:rFonts w:ascii="Arial" w:eastAsia="Calibri" w:hAnsi="Arial" w:cs="Arial"/>
                <w:color w:val="000000" w:themeColor="text1"/>
                <w:sz w:val="22"/>
                <w:lang w:val="es-ES"/>
              </w:rPr>
              <w:t xml:space="preserve">           </w:t>
            </w:r>
          </w:p>
          <w:p w14:paraId="750A18AA" w14:textId="77777777" w:rsidR="00C53CD3" w:rsidRPr="00593BA7" w:rsidRDefault="00C53CD3" w:rsidP="00846601">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                           </w:t>
            </w:r>
          </w:p>
        </w:tc>
        <w:tc>
          <w:tcPr>
            <w:tcW w:w="6237" w:type="dxa"/>
            <w:hideMark/>
          </w:tcPr>
          <w:p w14:paraId="1F612B38" w14:textId="77777777" w:rsidR="00C53CD3" w:rsidRDefault="00C53CD3" w:rsidP="00030539">
            <w:pPr>
              <w:spacing w:after="120"/>
              <w:jc w:val="both"/>
              <w:rPr>
                <w:rFonts w:ascii="Arial" w:eastAsia="Calibri" w:hAnsi="Arial" w:cs="Arial"/>
                <w:color w:val="000000" w:themeColor="text1"/>
                <w:sz w:val="22"/>
                <w:lang w:val="es-ES"/>
              </w:rPr>
            </w:pPr>
            <w:r w:rsidRPr="00B65AD6">
              <w:rPr>
                <w:rFonts w:ascii="Arial" w:eastAsia="Calibri" w:hAnsi="Arial" w:cs="Arial"/>
                <w:color w:val="000000" w:themeColor="text1"/>
                <w:sz w:val="22"/>
                <w:lang w:val="es-ES"/>
              </w:rPr>
              <w:t>CONTRATACIÓN ESTATAL – Políticas horizontales</w:t>
            </w:r>
            <w:r>
              <w:rPr>
                <w:rFonts w:ascii="Arial" w:eastAsia="Calibri" w:hAnsi="Arial" w:cs="Arial"/>
                <w:color w:val="000000" w:themeColor="text1"/>
                <w:sz w:val="22"/>
                <w:lang w:val="es-ES"/>
              </w:rPr>
              <w:t xml:space="preserve"> / </w:t>
            </w:r>
            <w:r w:rsidRPr="00B65AD6">
              <w:rPr>
                <w:rFonts w:ascii="Arial" w:eastAsia="Calibri" w:hAnsi="Arial" w:cs="Arial"/>
                <w:color w:val="000000" w:themeColor="text1"/>
                <w:sz w:val="22"/>
                <w:lang w:val="es-ES"/>
              </w:rPr>
              <w:t>CONTRATACIÓN ESTATAL – Políticas horizontales – Incentivos contractuales</w:t>
            </w:r>
            <w:r>
              <w:rPr>
                <w:rFonts w:ascii="Arial" w:eastAsia="Calibri" w:hAnsi="Arial" w:cs="Arial"/>
                <w:color w:val="000000" w:themeColor="text1"/>
                <w:sz w:val="22"/>
                <w:lang w:val="es-ES"/>
              </w:rPr>
              <w:t xml:space="preserve"> / </w:t>
            </w:r>
            <w:r w:rsidRPr="00B65AD6">
              <w:rPr>
                <w:rFonts w:ascii="Arial" w:eastAsia="Calibri" w:hAnsi="Arial" w:cs="Arial"/>
                <w:color w:val="000000" w:themeColor="text1"/>
                <w:sz w:val="22"/>
                <w:lang w:val="es-ES"/>
              </w:rPr>
              <w:t>INCENTIVOS CONTRACTUALES – Empleabilidad de adultos mayores – Política horizontal – Criterio de desempate – Ley 2040 de 2020</w:t>
            </w:r>
            <w:r>
              <w:rPr>
                <w:rFonts w:ascii="Arial" w:eastAsia="Calibri" w:hAnsi="Arial" w:cs="Arial"/>
                <w:color w:val="000000" w:themeColor="text1"/>
                <w:sz w:val="22"/>
                <w:lang w:val="es-ES"/>
              </w:rPr>
              <w:t xml:space="preserve"> / </w:t>
            </w:r>
            <w:r w:rsidRPr="003B54CB">
              <w:rPr>
                <w:rFonts w:ascii="Arial" w:eastAsia="Calibri" w:hAnsi="Arial" w:cs="Arial"/>
                <w:color w:val="000000" w:themeColor="text1"/>
                <w:sz w:val="22"/>
                <w:lang w:val="es-ES"/>
              </w:rPr>
              <w:t>INCENTIVOS CONTRACTUALES – Empleabilidad de adultos mayores – Criterio de desempate – Necesidad del reglamento</w:t>
            </w:r>
          </w:p>
          <w:p w14:paraId="0AD30ABD" w14:textId="77777777" w:rsidR="00C53CD3" w:rsidRPr="00593BA7" w:rsidRDefault="00C53CD3" w:rsidP="00846601">
            <w:pPr>
              <w:jc w:val="both"/>
              <w:rPr>
                <w:rFonts w:ascii="Arial" w:eastAsia="Calibri" w:hAnsi="Arial" w:cs="Arial"/>
                <w:color w:val="000000" w:themeColor="text1"/>
                <w:sz w:val="22"/>
                <w:lang w:val="es-ES"/>
              </w:rPr>
            </w:pPr>
          </w:p>
        </w:tc>
      </w:tr>
      <w:tr w:rsidR="00C53CD3" w:rsidRPr="00593BA7" w14:paraId="34D17E46" w14:textId="77777777" w:rsidTr="00846601">
        <w:trPr>
          <w:trHeight w:val="95"/>
        </w:trPr>
        <w:tc>
          <w:tcPr>
            <w:tcW w:w="2689" w:type="dxa"/>
          </w:tcPr>
          <w:p w14:paraId="5248AB87" w14:textId="77777777" w:rsidR="00C53CD3" w:rsidRPr="00593BA7" w:rsidRDefault="00C53CD3" w:rsidP="00846601">
            <w:pPr>
              <w:spacing w:before="60"/>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Radicación:</w:t>
            </w:r>
            <w:r w:rsidRPr="00593BA7">
              <w:rPr>
                <w:rFonts w:ascii="Arial" w:eastAsia="Calibri" w:hAnsi="Arial" w:cs="Arial"/>
                <w:color w:val="000000" w:themeColor="text1"/>
                <w:sz w:val="22"/>
                <w:lang w:val="es-ES"/>
              </w:rPr>
              <w:t xml:space="preserve">                              </w:t>
            </w:r>
          </w:p>
        </w:tc>
        <w:tc>
          <w:tcPr>
            <w:tcW w:w="6237" w:type="dxa"/>
          </w:tcPr>
          <w:p w14:paraId="48E92F89" w14:textId="1C8BE333" w:rsidR="00C53CD3" w:rsidRPr="00593BA7" w:rsidRDefault="00C53CD3" w:rsidP="00846601">
            <w:pPr>
              <w:spacing w:before="60"/>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Respuesta a consulta # </w:t>
            </w:r>
            <w:r w:rsidRPr="00C53CD3">
              <w:rPr>
                <w:rFonts w:ascii="Arial" w:eastAsia="Calibri" w:hAnsi="Arial" w:cs="Arial"/>
                <w:color w:val="000000" w:themeColor="text1"/>
                <w:sz w:val="22"/>
                <w:lang w:val="es-ES"/>
              </w:rPr>
              <w:t>4202013000007983</w:t>
            </w:r>
          </w:p>
        </w:tc>
      </w:tr>
    </w:tbl>
    <w:p w14:paraId="63E625A9" w14:textId="1E561870" w:rsidR="00C53CD3" w:rsidRDefault="00C53CD3" w:rsidP="00030539">
      <w:pPr>
        <w:jc w:val="both"/>
        <w:rPr>
          <w:rFonts w:ascii="Arial" w:eastAsia="Calibri" w:hAnsi="Arial" w:cs="Arial"/>
          <w:color w:val="000000" w:themeColor="text1"/>
          <w:sz w:val="22"/>
          <w:lang w:val="es-ES"/>
        </w:rPr>
      </w:pPr>
    </w:p>
    <w:p w14:paraId="67F4531B" w14:textId="77777777" w:rsidR="0043755E" w:rsidRPr="00593BA7" w:rsidRDefault="0043755E" w:rsidP="00030539">
      <w:pPr>
        <w:jc w:val="both"/>
        <w:rPr>
          <w:rFonts w:ascii="Arial" w:eastAsia="Calibri" w:hAnsi="Arial" w:cs="Arial"/>
          <w:color w:val="000000" w:themeColor="text1"/>
          <w:sz w:val="22"/>
          <w:lang w:val="es-ES"/>
        </w:rPr>
      </w:pPr>
    </w:p>
    <w:p w14:paraId="0F3FA342" w14:textId="7AB0C806" w:rsidR="00C53CD3" w:rsidRPr="00593BA7" w:rsidRDefault="00C53CD3" w:rsidP="00C53CD3">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Estimad</w:t>
      </w:r>
      <w:r>
        <w:rPr>
          <w:rFonts w:ascii="Arial" w:eastAsia="Calibri" w:hAnsi="Arial" w:cs="Arial"/>
          <w:color w:val="000000" w:themeColor="text1"/>
          <w:sz w:val="22"/>
          <w:lang w:val="es-ES"/>
        </w:rPr>
        <w:t>a</w:t>
      </w:r>
      <w:r w:rsidRPr="00593BA7">
        <w:rPr>
          <w:rFonts w:ascii="Arial" w:eastAsia="Calibri" w:hAnsi="Arial" w:cs="Arial"/>
          <w:color w:val="000000" w:themeColor="text1"/>
          <w:sz w:val="22"/>
          <w:lang w:val="es-ES"/>
        </w:rPr>
        <w:t xml:space="preserve"> señor</w:t>
      </w:r>
      <w:r>
        <w:rPr>
          <w:rFonts w:ascii="Arial" w:eastAsia="Calibri" w:hAnsi="Arial" w:cs="Arial"/>
          <w:color w:val="000000" w:themeColor="text1"/>
          <w:sz w:val="22"/>
          <w:lang w:val="es-ES"/>
        </w:rPr>
        <w:t>a</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Reyes de Rodríguez</w:t>
      </w:r>
      <w:r w:rsidRPr="00593BA7">
        <w:rPr>
          <w:rFonts w:ascii="Arial" w:eastAsia="Calibri" w:hAnsi="Arial" w:cs="Arial"/>
          <w:color w:val="000000" w:themeColor="text1"/>
          <w:sz w:val="22"/>
          <w:lang w:val="es-ES"/>
        </w:rPr>
        <w:t>:</w:t>
      </w:r>
    </w:p>
    <w:p w14:paraId="1766CCCF" w14:textId="77777777" w:rsidR="00C53CD3" w:rsidRPr="00593BA7" w:rsidRDefault="00C53CD3" w:rsidP="00C53CD3">
      <w:pPr>
        <w:rPr>
          <w:rFonts w:ascii="Arial" w:eastAsia="Calibri" w:hAnsi="Arial" w:cs="Arial"/>
          <w:color w:val="000000" w:themeColor="text1"/>
          <w:sz w:val="22"/>
          <w:lang w:val="es-ES"/>
        </w:rPr>
      </w:pPr>
    </w:p>
    <w:p w14:paraId="5DCBCCA8" w14:textId="6C91E12E" w:rsidR="00C53CD3" w:rsidRPr="00593BA7" w:rsidRDefault="00C53CD3" w:rsidP="00C53CD3">
      <w:pPr>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En ejercicio de la competencia otorgada por los artículos 11, numeral 8º, y 3º, numeral 5º, del Decreto Ley 4170 de 2011, 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 xml:space="preserve">Colombia Compra Eficiente responde su consulta del </w:t>
      </w:r>
      <w:r>
        <w:rPr>
          <w:rFonts w:ascii="Arial" w:eastAsia="Calibri" w:hAnsi="Arial" w:cs="Arial"/>
          <w:color w:val="000000" w:themeColor="text1"/>
          <w:sz w:val="22"/>
          <w:lang w:val="es-ES"/>
        </w:rPr>
        <w:t>10</w:t>
      </w:r>
      <w:r w:rsidRPr="00593BA7">
        <w:rPr>
          <w:rFonts w:ascii="Arial" w:eastAsia="Calibri" w:hAnsi="Arial" w:cs="Arial"/>
          <w:color w:val="000000" w:themeColor="text1"/>
          <w:sz w:val="22"/>
          <w:lang w:val="es-ES"/>
        </w:rPr>
        <w:t xml:space="preserve"> de </w:t>
      </w:r>
      <w:r>
        <w:rPr>
          <w:rFonts w:ascii="Arial" w:eastAsia="Calibri" w:hAnsi="Arial" w:cs="Arial"/>
          <w:color w:val="000000" w:themeColor="text1"/>
          <w:sz w:val="22"/>
          <w:lang w:val="es-ES"/>
        </w:rPr>
        <w:t>septiembre</w:t>
      </w:r>
      <w:r w:rsidRPr="00593BA7">
        <w:rPr>
          <w:rFonts w:ascii="Arial" w:eastAsia="Calibri" w:hAnsi="Arial" w:cs="Arial"/>
          <w:color w:val="000000" w:themeColor="text1"/>
          <w:sz w:val="22"/>
          <w:lang w:val="es-ES"/>
        </w:rPr>
        <w:t xml:space="preserve"> de 2020. </w:t>
      </w:r>
    </w:p>
    <w:p w14:paraId="6E77305B" w14:textId="77777777" w:rsidR="00C53CD3" w:rsidRPr="00593BA7" w:rsidRDefault="00C53CD3" w:rsidP="00C53CD3">
      <w:pPr>
        <w:spacing w:line="276" w:lineRule="auto"/>
        <w:jc w:val="both"/>
        <w:rPr>
          <w:rFonts w:ascii="Arial" w:eastAsia="Calibri" w:hAnsi="Arial" w:cs="Arial"/>
          <w:color w:val="000000" w:themeColor="text1"/>
          <w:sz w:val="22"/>
          <w:lang w:val="es-ES"/>
        </w:rPr>
      </w:pPr>
    </w:p>
    <w:p w14:paraId="6D86FF67" w14:textId="77777777" w:rsidR="00C53CD3" w:rsidRPr="00593BA7" w:rsidRDefault="00C53CD3" w:rsidP="00C53CD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14:paraId="6F01056E" w14:textId="77777777" w:rsidR="00C53CD3" w:rsidRPr="00030539" w:rsidRDefault="00C53CD3" w:rsidP="00C53CD3">
      <w:pPr>
        <w:tabs>
          <w:tab w:val="left" w:pos="426"/>
        </w:tabs>
        <w:spacing w:line="276" w:lineRule="auto"/>
        <w:jc w:val="both"/>
        <w:rPr>
          <w:rFonts w:ascii="Arial" w:eastAsia="Calibri" w:hAnsi="Arial" w:cs="Arial"/>
          <w:bCs/>
          <w:color w:val="000000" w:themeColor="text1"/>
          <w:sz w:val="22"/>
          <w:lang w:val="es-ES"/>
        </w:rPr>
      </w:pPr>
    </w:p>
    <w:p w14:paraId="153A4646" w14:textId="46EC24B5" w:rsidR="00C53CD3" w:rsidRDefault="00C92F2D" w:rsidP="00C53CD3">
      <w:pPr>
        <w:tabs>
          <w:tab w:val="left" w:pos="426"/>
        </w:tabs>
        <w:spacing w:line="276" w:lineRule="auto"/>
        <w:jc w:val="both"/>
        <w:rPr>
          <w:rFonts w:ascii="Arial" w:eastAsia="Calibri" w:hAnsi="Arial" w:cs="Arial"/>
          <w:color w:val="000000" w:themeColor="text1"/>
          <w:sz w:val="22"/>
          <w:lang w:val="es-ES"/>
        </w:rPr>
      </w:pPr>
      <w:bookmarkStart w:id="3" w:name="_Hlk51180260"/>
      <w:r>
        <w:rPr>
          <w:rFonts w:ascii="Arial" w:eastAsia="Calibri" w:hAnsi="Arial" w:cs="Arial"/>
          <w:color w:val="000000" w:themeColor="text1"/>
          <w:sz w:val="22"/>
          <w:lang w:val="es-ES"/>
        </w:rPr>
        <w:t>Considerando que</w:t>
      </w:r>
      <w:r w:rsidR="00C53CD3">
        <w:rPr>
          <w:rFonts w:ascii="Arial" w:eastAsia="Calibri" w:hAnsi="Arial" w:cs="Arial"/>
          <w:color w:val="000000" w:themeColor="text1"/>
          <w:sz w:val="22"/>
          <w:lang w:val="es-ES"/>
        </w:rPr>
        <w:t xml:space="preserve"> </w:t>
      </w:r>
      <w:r w:rsidR="00C53CD3" w:rsidRPr="00593BA7">
        <w:rPr>
          <w:rFonts w:ascii="Arial" w:eastAsia="Calibri" w:hAnsi="Arial" w:cs="Arial"/>
          <w:color w:val="000000" w:themeColor="text1"/>
          <w:sz w:val="22"/>
          <w:lang w:val="es-ES"/>
        </w:rPr>
        <w:t>el artículo 3 de la Ley 2040 de 2020 establece un criterio de desempate en los proce</w:t>
      </w:r>
      <w:r>
        <w:rPr>
          <w:rFonts w:ascii="Arial" w:eastAsia="Calibri" w:hAnsi="Arial" w:cs="Arial"/>
          <w:color w:val="000000" w:themeColor="text1"/>
          <w:sz w:val="22"/>
          <w:lang w:val="es-ES"/>
        </w:rPr>
        <w:t>dimientos</w:t>
      </w:r>
      <w:r w:rsidR="00C53CD3" w:rsidRPr="00593BA7">
        <w:rPr>
          <w:rFonts w:ascii="Arial" w:eastAsia="Calibri" w:hAnsi="Arial" w:cs="Arial"/>
          <w:color w:val="000000" w:themeColor="text1"/>
          <w:sz w:val="22"/>
          <w:lang w:val="es-ES"/>
        </w:rPr>
        <w:t xml:space="preserve"> de </w:t>
      </w:r>
      <w:r w:rsidR="00C53CD3" w:rsidRPr="00C53CD3">
        <w:rPr>
          <w:rFonts w:asciiTheme="minorBidi" w:eastAsia="Calibri" w:hAnsiTheme="minorBidi" w:cstheme="minorBidi"/>
          <w:color w:val="000000" w:themeColor="text1"/>
          <w:sz w:val="22"/>
          <w:szCs w:val="22"/>
          <w:lang w:val="es-ES"/>
        </w:rPr>
        <w:t>contratación a favor de los oferentes que tengan vinculado el mayor porcentaje de personas mayores que no sean beneficiarias de la pensión de vejez, familiar o de sobrevivencia y que hayan cumplido el requisito de edad de pensión establecido en la ley</w:t>
      </w:r>
      <w:r>
        <w:rPr>
          <w:rFonts w:asciiTheme="minorBidi" w:eastAsia="Calibri" w:hAnsiTheme="minorBidi" w:cstheme="minorBidi"/>
          <w:color w:val="000000" w:themeColor="text1"/>
          <w:sz w:val="22"/>
          <w:szCs w:val="22"/>
          <w:lang w:val="es-ES"/>
        </w:rPr>
        <w:t>,</w:t>
      </w:r>
      <w:r w:rsidR="00C53CD3" w:rsidRPr="00C53CD3">
        <w:rPr>
          <w:rFonts w:asciiTheme="minorBidi" w:eastAsia="Calibri" w:hAnsiTheme="minorBidi" w:cstheme="minorBidi"/>
          <w:color w:val="000000" w:themeColor="text1"/>
          <w:sz w:val="22"/>
          <w:szCs w:val="22"/>
          <w:lang w:val="es-ES"/>
        </w:rPr>
        <w:t xml:space="preserve"> usted formula la siguiente pregunta: «[…]</w:t>
      </w:r>
      <w:r w:rsidR="007C464B">
        <w:rPr>
          <w:rFonts w:asciiTheme="minorBidi" w:eastAsia="Calibri" w:hAnsiTheme="minorBidi" w:cstheme="minorBidi"/>
          <w:color w:val="000000" w:themeColor="text1"/>
          <w:sz w:val="22"/>
          <w:szCs w:val="22"/>
          <w:lang w:val="es-ES"/>
        </w:rPr>
        <w:t xml:space="preserve"> </w:t>
      </w:r>
      <w:r w:rsidR="00C53CD3" w:rsidRPr="00C53CD3">
        <w:rPr>
          <w:rFonts w:asciiTheme="minorBidi" w:hAnsiTheme="minorBidi" w:cstheme="minorBidi"/>
          <w:sz w:val="22"/>
          <w:szCs w:val="22"/>
        </w:rPr>
        <w:t xml:space="preserve">a partir de </w:t>
      </w:r>
      <w:r w:rsidR="007C464B" w:rsidRPr="00C53CD3">
        <w:rPr>
          <w:rFonts w:asciiTheme="minorBidi" w:hAnsiTheme="minorBidi" w:cstheme="minorBidi"/>
          <w:sz w:val="22"/>
          <w:szCs w:val="22"/>
        </w:rPr>
        <w:t>qué</w:t>
      </w:r>
      <w:r w:rsidR="00C53CD3" w:rsidRPr="00C53CD3">
        <w:rPr>
          <w:rFonts w:asciiTheme="minorBidi" w:hAnsiTheme="minorBidi" w:cstheme="minorBidi"/>
          <w:sz w:val="22"/>
          <w:szCs w:val="22"/>
        </w:rPr>
        <w:t xml:space="preserve"> fecha se hace exigible para las entidades públicas la aplicación del </w:t>
      </w:r>
      <w:r>
        <w:rPr>
          <w:rFonts w:asciiTheme="minorBidi" w:hAnsiTheme="minorBidi" w:cstheme="minorBidi"/>
          <w:sz w:val="22"/>
          <w:szCs w:val="22"/>
        </w:rPr>
        <w:t>[…]</w:t>
      </w:r>
      <w:r w:rsidRPr="00C53CD3">
        <w:rPr>
          <w:rFonts w:asciiTheme="minorBidi" w:hAnsiTheme="minorBidi" w:cstheme="minorBidi"/>
          <w:sz w:val="22"/>
          <w:szCs w:val="22"/>
        </w:rPr>
        <w:t xml:space="preserve"> </w:t>
      </w:r>
      <w:r w:rsidR="00C53CD3" w:rsidRPr="00C53CD3">
        <w:rPr>
          <w:rFonts w:asciiTheme="minorBidi" w:hAnsiTheme="minorBidi" w:cstheme="minorBidi"/>
          <w:sz w:val="22"/>
          <w:szCs w:val="22"/>
        </w:rPr>
        <w:t>criterio de desempate</w:t>
      </w:r>
      <w:r w:rsidR="007C464B">
        <w:rPr>
          <w:rFonts w:asciiTheme="minorBidi" w:hAnsiTheme="minorBidi" w:cstheme="minorBidi"/>
          <w:sz w:val="22"/>
          <w:szCs w:val="22"/>
        </w:rPr>
        <w:t xml:space="preserve"> </w:t>
      </w:r>
      <w:r w:rsidR="00C53CD3" w:rsidRPr="00C53CD3">
        <w:rPr>
          <w:rFonts w:asciiTheme="minorBidi" w:eastAsia="Calibri" w:hAnsiTheme="minorBidi" w:cstheme="minorBidi"/>
          <w:color w:val="000000" w:themeColor="text1"/>
          <w:sz w:val="22"/>
          <w:szCs w:val="22"/>
          <w:lang w:val="es-ES"/>
        </w:rPr>
        <w:t>[…]»</w:t>
      </w:r>
      <w:bookmarkEnd w:id="3"/>
      <w:r w:rsidR="00C53CD3">
        <w:rPr>
          <w:rFonts w:asciiTheme="minorBidi" w:eastAsia="Calibri" w:hAnsiTheme="minorBidi" w:cstheme="minorBidi"/>
          <w:color w:val="000000" w:themeColor="text1"/>
          <w:sz w:val="22"/>
          <w:szCs w:val="22"/>
          <w:lang w:val="es-ES"/>
        </w:rPr>
        <w:t>.</w:t>
      </w:r>
    </w:p>
    <w:p w14:paraId="77A6A1E6" w14:textId="77777777" w:rsidR="00C53CD3" w:rsidRPr="00593BA7" w:rsidRDefault="00C53CD3" w:rsidP="00C53CD3">
      <w:pPr>
        <w:tabs>
          <w:tab w:val="left" w:pos="426"/>
        </w:tabs>
        <w:spacing w:line="276" w:lineRule="auto"/>
        <w:jc w:val="both"/>
        <w:rPr>
          <w:rFonts w:ascii="Arial" w:eastAsia="Calibri" w:hAnsi="Arial" w:cs="Arial"/>
          <w:color w:val="000000" w:themeColor="text1"/>
          <w:sz w:val="22"/>
          <w:lang w:val="es-ES"/>
        </w:rPr>
      </w:pPr>
    </w:p>
    <w:p w14:paraId="4E9DF6C8" w14:textId="77777777" w:rsidR="00C53CD3" w:rsidRPr="00593BA7" w:rsidRDefault="00C53CD3" w:rsidP="00C53CD3">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14:paraId="1D1124CF" w14:textId="77777777" w:rsidR="00C53CD3" w:rsidRPr="00593BA7" w:rsidRDefault="00C53CD3" w:rsidP="00C53CD3">
      <w:pPr>
        <w:tabs>
          <w:tab w:val="left" w:pos="426"/>
        </w:tabs>
        <w:spacing w:line="276" w:lineRule="auto"/>
        <w:jc w:val="both"/>
        <w:rPr>
          <w:rFonts w:ascii="Arial" w:eastAsia="Calibri" w:hAnsi="Arial" w:cs="Arial"/>
          <w:b/>
          <w:color w:val="000000" w:themeColor="text1"/>
          <w:sz w:val="22"/>
          <w:lang w:val="es-ES"/>
        </w:rPr>
      </w:pPr>
    </w:p>
    <w:p w14:paraId="35BDDDFC" w14:textId="77777777" w:rsidR="00C53CD3" w:rsidRPr="00593BA7" w:rsidRDefault="00C53CD3" w:rsidP="00C53CD3">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Para resolver los interrogantes planteados en la consulta, </w:t>
      </w:r>
      <w:r>
        <w:rPr>
          <w:rFonts w:ascii="Arial" w:eastAsia="Calibri" w:hAnsi="Arial" w:cs="Arial"/>
          <w:color w:val="000000" w:themeColor="text1"/>
          <w:sz w:val="22"/>
          <w:lang w:val="es-ES"/>
        </w:rPr>
        <w:t>hay que</w:t>
      </w:r>
      <w:r w:rsidRPr="00593BA7">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analizar las políticas horizontales en la contratación pública, los</w:t>
      </w:r>
      <w:r w:rsidRPr="00593BA7">
        <w:rPr>
          <w:rFonts w:ascii="Arial" w:eastAsia="Calibri" w:hAnsi="Arial" w:cs="Arial"/>
          <w:color w:val="000000" w:themeColor="text1"/>
          <w:sz w:val="22"/>
          <w:lang w:val="es-ES"/>
        </w:rPr>
        <w:t xml:space="preserve"> incentivos contractuales, los tipos de incentivos reconocidos por el ordenamiento y la nueva </w:t>
      </w:r>
      <w:r>
        <w:rPr>
          <w:rFonts w:ascii="Arial" w:eastAsia="Calibri" w:hAnsi="Arial" w:cs="Arial"/>
          <w:color w:val="000000" w:themeColor="text1"/>
          <w:sz w:val="22"/>
          <w:lang w:val="es-ES"/>
        </w:rPr>
        <w:t>opción</w:t>
      </w:r>
      <w:r w:rsidRPr="00593BA7">
        <w:rPr>
          <w:rFonts w:ascii="Arial" w:eastAsia="Calibri" w:hAnsi="Arial" w:cs="Arial"/>
          <w:color w:val="000000" w:themeColor="text1"/>
          <w:sz w:val="22"/>
          <w:lang w:val="es-ES"/>
        </w:rPr>
        <w:t xml:space="preserve"> establecida en el artículo 3 de la Ley </w:t>
      </w:r>
      <w:r w:rsidRPr="00593BA7">
        <w:rPr>
          <w:rFonts w:ascii="Arial" w:eastAsia="Calibri" w:hAnsi="Arial" w:cs="Arial"/>
          <w:color w:val="000000" w:themeColor="text1"/>
          <w:sz w:val="22"/>
          <w:lang w:val="es-ES"/>
        </w:rPr>
        <w:lastRenderedPageBreak/>
        <w:t>2040 de 2020, que crea un incentivo y criterio de desempate en virtud del cual se preferirá al proponente que demuestre la vinculación del mayor porcentaje de personas mayores que no sean beneficiarios de la pensión de vejez, familiar o de sobrevivencia</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y que hayan cumplido el requisito de edad de pensión establecido en la </w:t>
      </w:r>
      <w:r>
        <w:rPr>
          <w:rFonts w:ascii="Arial" w:eastAsia="Calibri" w:hAnsi="Arial" w:cs="Arial"/>
          <w:color w:val="000000" w:themeColor="text1"/>
          <w:sz w:val="22"/>
          <w:lang w:val="es-ES"/>
        </w:rPr>
        <w:t>l</w:t>
      </w:r>
      <w:r w:rsidRPr="00593BA7">
        <w:rPr>
          <w:rFonts w:ascii="Arial" w:eastAsia="Calibri" w:hAnsi="Arial" w:cs="Arial"/>
          <w:color w:val="000000" w:themeColor="text1"/>
          <w:sz w:val="22"/>
          <w:lang w:val="es-ES"/>
        </w:rPr>
        <w:t>ey.</w:t>
      </w:r>
    </w:p>
    <w:p w14:paraId="4FF9DCA5" w14:textId="77777777" w:rsidR="00C53CD3" w:rsidRPr="00593BA7" w:rsidRDefault="00C53CD3" w:rsidP="00C53CD3">
      <w:pPr>
        <w:spacing w:after="120" w:line="276" w:lineRule="auto"/>
        <w:ind w:firstLine="708"/>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Colombia Compra Eficiente se ha pronunciado sobre la promoción y el fomento de la industria nacional</w:t>
      </w:r>
      <w:r>
        <w:rPr>
          <w:rFonts w:ascii="Arial" w:eastAsia="Calibri" w:hAnsi="Arial" w:cs="Arial"/>
          <w:color w:val="000000" w:themeColor="text1"/>
          <w:sz w:val="22"/>
          <w:lang w:val="es-ES"/>
        </w:rPr>
        <w:t>, como uno de los incentivos en materia contractual,</w:t>
      </w:r>
      <w:r w:rsidRPr="00593BA7">
        <w:rPr>
          <w:rFonts w:ascii="Arial" w:eastAsia="Calibri" w:hAnsi="Arial" w:cs="Arial"/>
          <w:color w:val="000000" w:themeColor="text1"/>
          <w:sz w:val="22"/>
          <w:lang w:val="es-ES"/>
        </w:rPr>
        <w:t xml:space="preserve"> en los conceptos C–043 de 15 del enero de 2020, C–029 de 12 del febrero de 2020, C–073 del 28 de febrero de 2020, C–123 del 5 de marzo de 2020, C–114 del 6 de marzo de 2020, C–178 del 16 de marzo de 2020, C–119 del 18 de marzo de 2020, y C–460 de 2020 del 14 de julio de 2020. </w:t>
      </w:r>
    </w:p>
    <w:p w14:paraId="3F928673" w14:textId="77777777" w:rsidR="00C53CD3" w:rsidRPr="00593BA7" w:rsidRDefault="00C53CD3" w:rsidP="00C53CD3">
      <w:pPr>
        <w:spacing w:after="120" w:line="276" w:lineRule="auto"/>
        <w:ind w:firstLine="708"/>
        <w:jc w:val="both"/>
        <w:rPr>
          <w:rFonts w:ascii="Arial" w:eastAsia="Calibri" w:hAnsi="Arial" w:cs="Arial"/>
          <w:sz w:val="22"/>
          <w:lang w:val="es-ES"/>
        </w:rPr>
      </w:pPr>
      <w:r w:rsidRPr="00593BA7">
        <w:rPr>
          <w:rFonts w:ascii="Arial" w:eastAsia="Calibri" w:hAnsi="Arial" w:cs="Arial"/>
          <w:color w:val="000000" w:themeColor="text1"/>
          <w:sz w:val="22"/>
          <w:lang w:val="es-ES"/>
        </w:rPr>
        <w:t>Asimismo</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Pr="00593BA7">
        <w:rPr>
          <w:rFonts w:ascii="Arial" w:eastAsia="Calibri" w:hAnsi="Arial" w:cs="Arial"/>
          <w:bCs/>
          <w:sz w:val="22"/>
          <w:lang w:val="es-ES"/>
        </w:rPr>
        <w:t xml:space="preserve">en el concepto con radicado No. 4201912000004631 del 31 de julio de 2019, reiterado y desarrollado en los conceptos No. </w:t>
      </w:r>
      <w:r w:rsidRPr="00593BA7">
        <w:rPr>
          <w:rFonts w:ascii="Arial" w:eastAsia="Calibri" w:hAnsi="Arial" w:cs="Arial"/>
          <w:sz w:val="22"/>
          <w:lang w:val="es-ES"/>
        </w:rPr>
        <w:t xml:space="preserve">4201913000005084 del 23 de julio de 2019, 4201913000004446 del 13 de agosto de 2019, 4201912000005689 del 16 de septiembre de 2019, </w:t>
      </w:r>
      <w:r w:rsidRPr="00593BA7">
        <w:rPr>
          <w:rFonts w:ascii="Arial" w:hAnsi="Arial" w:cs="Arial"/>
          <w:sz w:val="22"/>
          <w:lang w:val="es-ES"/>
        </w:rPr>
        <w:t>4201913000006373 del 18 de septiembre de 2019,</w:t>
      </w:r>
      <w:r w:rsidRPr="00593BA7">
        <w:rPr>
          <w:rFonts w:ascii="Arial" w:eastAsia="Calibri" w:hAnsi="Arial" w:cs="Arial"/>
          <w:sz w:val="22"/>
          <w:lang w:val="es-ES"/>
        </w:rPr>
        <w:t xml:space="preserve"> 4201913000006154 del 10 de octubre de 2019, 4201912000006258 del 3 de octubre de 2019, </w:t>
      </w:r>
      <w:r w:rsidRPr="00593BA7">
        <w:rPr>
          <w:rFonts w:ascii="Arial" w:hAnsi="Arial" w:cs="Arial"/>
          <w:sz w:val="22"/>
          <w:lang w:val="es-ES"/>
        </w:rPr>
        <w:t>4201912000007756 del 16 de noviembre de 2019,</w:t>
      </w:r>
      <w:r w:rsidRPr="00593BA7">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w:t>
      </w:r>
      <w:r>
        <w:rPr>
          <w:rFonts w:ascii="Arial" w:eastAsia="Calibri" w:hAnsi="Arial" w:cs="Arial"/>
          <w:sz w:val="22"/>
          <w:lang w:val="es-ES"/>
        </w:rPr>
        <w:t>,</w:t>
      </w:r>
      <w:r w:rsidRPr="00593BA7">
        <w:rPr>
          <w:rFonts w:ascii="Arial" w:eastAsia="Calibri" w:hAnsi="Arial" w:cs="Arial"/>
          <w:sz w:val="22"/>
          <w:lang w:val="es-ES"/>
        </w:rPr>
        <w:t xml:space="preserve"> estudió los requisitos para acreditar la vinculación de personas en condición de discapacidad en la planta de personal, con la finalidad de obtener el incentivo previsto en el Decreto 392 de 2018.</w:t>
      </w:r>
    </w:p>
    <w:p w14:paraId="733CC1D1" w14:textId="4F4551B5" w:rsidR="00C53CD3" w:rsidRPr="008E7220" w:rsidRDefault="008E7220" w:rsidP="008E7220">
      <w:pPr>
        <w:spacing w:after="120" w:line="276" w:lineRule="auto"/>
        <w:ind w:firstLine="708"/>
        <w:jc w:val="both"/>
        <w:rPr>
          <w:rFonts w:ascii="Arial" w:eastAsia="Calibri" w:hAnsi="Arial" w:cs="Arial"/>
          <w:sz w:val="22"/>
          <w:lang w:val="es-ES"/>
        </w:rPr>
      </w:pPr>
      <w:r>
        <w:rPr>
          <w:rFonts w:ascii="Arial" w:eastAsia="Calibri" w:hAnsi="Arial" w:cs="Arial"/>
          <w:color w:val="000000" w:themeColor="text1"/>
          <w:sz w:val="22"/>
          <w:lang w:val="es-ES"/>
        </w:rPr>
        <w:t>De igual forma</w:t>
      </w:r>
      <w:r w:rsidR="00C53CD3" w:rsidRPr="00593BA7">
        <w:rPr>
          <w:rFonts w:ascii="Arial" w:eastAsia="Calibri" w:hAnsi="Arial" w:cs="Arial"/>
          <w:color w:val="000000" w:themeColor="text1"/>
          <w:sz w:val="22"/>
          <w:lang w:val="es-ES"/>
        </w:rPr>
        <w:t xml:space="preserve">, esta Agencia ha estudiado los incentivos en materia de </w:t>
      </w:r>
      <w:proofErr w:type="spellStart"/>
      <w:r w:rsidR="00C53CD3" w:rsidRPr="00593BA7">
        <w:rPr>
          <w:rFonts w:ascii="Arial" w:eastAsia="Calibri" w:hAnsi="Arial" w:cs="Arial"/>
          <w:color w:val="000000" w:themeColor="text1"/>
          <w:sz w:val="22"/>
          <w:lang w:val="es-ES"/>
        </w:rPr>
        <w:t>Mipymes</w:t>
      </w:r>
      <w:proofErr w:type="spellEnd"/>
      <w:r w:rsidR="00C53CD3" w:rsidRPr="00593BA7">
        <w:rPr>
          <w:rFonts w:ascii="Arial" w:eastAsia="Calibri" w:hAnsi="Arial" w:cs="Arial"/>
          <w:color w:val="000000" w:themeColor="text1"/>
          <w:sz w:val="22"/>
          <w:lang w:val="es-ES"/>
        </w:rPr>
        <w:t xml:space="preserve"> en los conceptos del 5 y el 20 de agosto de 2019 –radicados Nos. 2201913000005596 y 2201913000006007–</w:t>
      </w:r>
      <w:r w:rsidR="00C53CD3">
        <w:rPr>
          <w:rFonts w:ascii="Arial" w:eastAsia="Calibri" w:hAnsi="Arial" w:cs="Arial"/>
          <w:color w:val="000000" w:themeColor="text1"/>
          <w:sz w:val="22"/>
          <w:lang w:val="es-ES"/>
        </w:rPr>
        <w:t>,</w:t>
      </w:r>
      <w:r w:rsidR="00C53CD3" w:rsidRPr="00593BA7">
        <w:rPr>
          <w:rFonts w:ascii="Arial" w:eastAsia="Calibri" w:hAnsi="Arial" w:cs="Arial"/>
          <w:color w:val="000000" w:themeColor="text1"/>
          <w:sz w:val="22"/>
          <w:lang w:val="es-ES"/>
        </w:rPr>
        <w:t xml:space="preserve"> y recientemente en los conceptos CU–021 del 21 de febrero de 2020, C–050 del 25 de febrero de 2020, C–058 del 25 de febrero de 2018, , C–092 del 4 de marzo de 2020, C–083 del 11 de marzo de 2020, C–045 del 17 de marzo de 2020, C–197 del 26 de marzo de </w:t>
      </w:r>
      <w:r w:rsidR="00C53CD3" w:rsidRPr="008E7220">
        <w:rPr>
          <w:rFonts w:ascii="Arial" w:eastAsia="Calibri" w:hAnsi="Arial" w:cs="Arial"/>
          <w:sz w:val="22"/>
          <w:lang w:val="es-ES"/>
        </w:rPr>
        <w:t xml:space="preserve">2020, C–258 del 17 de abril de 2020, C–214 del 21 de abril de 2020, C–302 del 12 de junio de 2020 y C–482 del 27 de julio de 2020. </w:t>
      </w:r>
    </w:p>
    <w:p w14:paraId="7CE4592C" w14:textId="6C49050C" w:rsidR="00C53CD3" w:rsidRDefault="008E7220" w:rsidP="008E7220">
      <w:pPr>
        <w:spacing w:after="120" w:line="276" w:lineRule="auto"/>
        <w:ind w:firstLine="708"/>
        <w:jc w:val="both"/>
        <w:rPr>
          <w:rFonts w:asciiTheme="minorBidi" w:eastAsia="Calibri" w:hAnsiTheme="minorBidi" w:cstheme="minorBidi"/>
          <w:color w:val="000000" w:themeColor="text1"/>
          <w:sz w:val="22"/>
          <w:szCs w:val="22"/>
          <w:lang w:val="es-ES"/>
        </w:rPr>
      </w:pPr>
      <w:r w:rsidRPr="008E7220">
        <w:rPr>
          <w:rFonts w:ascii="Arial" w:eastAsia="Calibri" w:hAnsi="Arial" w:cs="Arial"/>
          <w:sz w:val="22"/>
          <w:szCs w:val="22"/>
          <w:lang w:val="es-ES"/>
        </w:rPr>
        <w:t xml:space="preserve">Por último, en los conceptos con radicados </w:t>
      </w:r>
      <w:r w:rsidRPr="008E7220">
        <w:rPr>
          <w:rFonts w:ascii="Arial" w:eastAsia="Arial" w:hAnsi="Arial" w:cs="Arial"/>
          <w:sz w:val="22"/>
          <w:szCs w:val="22"/>
          <w:lang w:val="es-ES"/>
        </w:rPr>
        <w:t>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lang w:val="es-ES"/>
        </w:rPr>
        <w:t>514 del 26 de agosto de 2020, 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lang w:val="es-ES"/>
        </w:rPr>
        <w:t>516 del</w:t>
      </w:r>
      <w:r w:rsidR="00C92F2D">
        <w:rPr>
          <w:rFonts w:ascii="Arial" w:eastAsia="Arial" w:hAnsi="Arial" w:cs="Arial"/>
          <w:sz w:val="22"/>
          <w:szCs w:val="22"/>
          <w:lang w:val="es-ES"/>
        </w:rPr>
        <w:t xml:space="preserve"> </w:t>
      </w:r>
      <w:r w:rsidRPr="008E7220">
        <w:rPr>
          <w:rFonts w:ascii="Arial" w:eastAsia="Arial" w:hAnsi="Arial" w:cs="Arial"/>
          <w:sz w:val="22"/>
          <w:szCs w:val="22"/>
          <w:lang w:val="es-ES"/>
        </w:rPr>
        <w:t>26 de agosto de 2020, 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lang w:val="es-ES"/>
        </w:rPr>
        <w:t>535 del 26 de agosto de 2020, 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lang w:val="es-ES"/>
        </w:rPr>
        <w:t>537 del 26 de agosto de 2020, C-538 del 26 de agosto de 2020, 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lang w:val="es-ES"/>
        </w:rPr>
        <w:t xml:space="preserve">568 del 26 de agosto de 2020, </w:t>
      </w:r>
      <w:r w:rsidRPr="008E7220">
        <w:rPr>
          <w:rFonts w:ascii="Arial" w:eastAsia="Arial" w:hAnsi="Arial" w:cs="Arial"/>
          <w:sz w:val="22"/>
          <w:szCs w:val="22"/>
        </w:rPr>
        <w:t>C</w:t>
      </w:r>
      <w:r w:rsidRPr="008E7220">
        <w:rPr>
          <w:rFonts w:ascii="Arial" w:eastAsia="Calibri" w:hAnsi="Arial" w:cs="Arial"/>
          <w:color w:val="000000" w:themeColor="text1"/>
          <w:sz w:val="22"/>
          <w:szCs w:val="22"/>
          <w:lang w:val="es-ES"/>
        </w:rPr>
        <w:t>–</w:t>
      </w:r>
      <w:r w:rsidRPr="008E7220">
        <w:rPr>
          <w:rFonts w:ascii="Arial" w:eastAsia="Arial" w:hAnsi="Arial" w:cs="Arial"/>
          <w:sz w:val="22"/>
          <w:szCs w:val="22"/>
        </w:rPr>
        <w:t xml:space="preserve">572 del 27 de agosto de 2020 y </w:t>
      </w:r>
      <w:r w:rsidRPr="008E7220">
        <w:rPr>
          <w:rFonts w:ascii="Arial" w:eastAsia="Arial" w:hAnsi="Arial" w:cs="Arial"/>
          <w:sz w:val="22"/>
          <w:szCs w:val="22"/>
          <w:lang w:val="es-MX"/>
        </w:rPr>
        <w:t xml:space="preserve">C-582 del 28 de agosto de 2020, </w:t>
      </w:r>
      <w:r>
        <w:rPr>
          <w:rFonts w:ascii="Arial" w:eastAsia="Arial" w:hAnsi="Arial" w:cs="Arial"/>
          <w:sz w:val="22"/>
          <w:szCs w:val="22"/>
          <w:lang w:val="es-MX"/>
        </w:rPr>
        <w:t xml:space="preserve">esta agencia estudió </w:t>
      </w:r>
      <w:r w:rsidRPr="00593BA7">
        <w:rPr>
          <w:rFonts w:ascii="Arial" w:eastAsia="Calibri" w:hAnsi="Arial" w:cs="Arial"/>
          <w:color w:val="000000" w:themeColor="text1"/>
          <w:sz w:val="22"/>
          <w:lang w:val="es-ES"/>
        </w:rPr>
        <w:t xml:space="preserve">el artículo 3º de la Ley 2040 de 2020, que adiciona un parágrafo al artículo 12 de la Ley 1150 de 2007, establece un criterio de desempate en los procesos de </w:t>
      </w:r>
      <w:r w:rsidRPr="00C53CD3">
        <w:rPr>
          <w:rFonts w:asciiTheme="minorBidi" w:eastAsia="Calibri" w:hAnsiTheme="minorBidi" w:cstheme="minorBidi"/>
          <w:color w:val="000000" w:themeColor="text1"/>
          <w:sz w:val="22"/>
          <w:szCs w:val="22"/>
          <w:lang w:val="es-ES"/>
        </w:rPr>
        <w:t>contratación a favor de los oferentes que tengan vinculado el mayor porcentaje de personas mayores que no sean beneficiarias de la pensión de vejez, familiar o de sobrevivencia y que hayan cumplido el requisito de edad de pensión establecido en la ley</w:t>
      </w:r>
      <w:r>
        <w:rPr>
          <w:rFonts w:asciiTheme="minorBidi" w:eastAsia="Calibri" w:hAnsiTheme="minorBidi" w:cstheme="minorBidi"/>
          <w:color w:val="000000" w:themeColor="text1"/>
          <w:sz w:val="22"/>
          <w:szCs w:val="22"/>
          <w:lang w:val="es-ES"/>
        </w:rPr>
        <w:t xml:space="preserve">. Las tesis desarrolladas en los anteriores conceptos se </w:t>
      </w:r>
      <w:r w:rsidR="00C92F2D">
        <w:rPr>
          <w:rFonts w:asciiTheme="minorBidi" w:eastAsia="Calibri" w:hAnsiTheme="minorBidi" w:cstheme="minorBidi"/>
          <w:color w:val="000000" w:themeColor="text1"/>
          <w:sz w:val="22"/>
          <w:szCs w:val="22"/>
          <w:lang w:val="es-ES"/>
        </w:rPr>
        <w:t xml:space="preserve">reiteran </w:t>
      </w:r>
      <w:r>
        <w:rPr>
          <w:rFonts w:asciiTheme="minorBidi" w:eastAsia="Calibri" w:hAnsiTheme="minorBidi" w:cstheme="minorBidi"/>
          <w:color w:val="000000" w:themeColor="text1"/>
          <w:sz w:val="22"/>
          <w:szCs w:val="22"/>
          <w:lang w:val="es-ES"/>
        </w:rPr>
        <w:t>a continuación:</w:t>
      </w:r>
    </w:p>
    <w:p w14:paraId="2783B128" w14:textId="77777777" w:rsidR="008E7220" w:rsidRPr="00593BA7" w:rsidRDefault="008E7220" w:rsidP="008E7220">
      <w:pPr>
        <w:spacing w:after="120" w:line="276" w:lineRule="auto"/>
        <w:ind w:firstLine="708"/>
        <w:jc w:val="both"/>
        <w:rPr>
          <w:rFonts w:ascii="Arial" w:eastAsia="Calibri" w:hAnsi="Arial" w:cs="Arial"/>
          <w:b/>
          <w:color w:val="000000" w:themeColor="text1"/>
          <w:sz w:val="22"/>
          <w:lang w:val="es-ES"/>
        </w:rPr>
      </w:pPr>
    </w:p>
    <w:p w14:paraId="5F3DDCB3" w14:textId="77777777" w:rsidR="00C53CD3" w:rsidRPr="00593BA7" w:rsidRDefault="00C53CD3" w:rsidP="008E7220">
      <w:pPr>
        <w:tabs>
          <w:tab w:val="left" w:pos="426"/>
        </w:tabs>
        <w:spacing w:line="276" w:lineRule="auto"/>
        <w:jc w:val="both"/>
        <w:rPr>
          <w:rFonts w:ascii="Arial" w:eastAsia="Calibri" w:hAnsi="Arial" w:cs="Arial"/>
          <w:b/>
          <w:color w:val="000000" w:themeColor="text1"/>
          <w:sz w:val="22"/>
          <w:lang w:val="es-ES"/>
        </w:rPr>
      </w:pPr>
      <w:r w:rsidRPr="006606B2">
        <w:rPr>
          <w:rFonts w:ascii="Arial" w:eastAsia="Calibri" w:hAnsi="Arial" w:cs="Arial"/>
          <w:b/>
          <w:color w:val="000000" w:themeColor="text1"/>
          <w:sz w:val="22"/>
          <w:lang w:val="es-ES"/>
        </w:rPr>
        <w:lastRenderedPageBreak/>
        <w:t>2.1. Políticas horizontales e incentivos</w:t>
      </w:r>
      <w:r w:rsidRPr="00593BA7">
        <w:rPr>
          <w:rFonts w:ascii="Arial" w:eastAsia="Calibri" w:hAnsi="Arial" w:cs="Arial"/>
          <w:b/>
          <w:color w:val="000000" w:themeColor="text1"/>
          <w:sz w:val="22"/>
          <w:lang w:val="es-ES"/>
        </w:rPr>
        <w:t xml:space="preserve"> contractuales</w:t>
      </w:r>
    </w:p>
    <w:p w14:paraId="6348B8A2" w14:textId="77777777" w:rsidR="00C53CD3" w:rsidRPr="00593BA7" w:rsidRDefault="00C53CD3" w:rsidP="008E7220">
      <w:pPr>
        <w:tabs>
          <w:tab w:val="left" w:pos="426"/>
        </w:tabs>
        <w:spacing w:line="276" w:lineRule="auto"/>
        <w:jc w:val="both"/>
        <w:rPr>
          <w:rFonts w:ascii="Arial" w:eastAsia="Calibri" w:hAnsi="Arial" w:cs="Arial"/>
          <w:b/>
          <w:color w:val="000000" w:themeColor="text1"/>
          <w:sz w:val="22"/>
          <w:lang w:val="es-ES"/>
        </w:rPr>
      </w:pPr>
    </w:p>
    <w:p w14:paraId="77E0177C" w14:textId="77777777" w:rsidR="00C53CD3" w:rsidRPr="006606B2" w:rsidRDefault="00C53CD3" w:rsidP="008E7220">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La contratación pública </w:t>
      </w:r>
      <w:r>
        <w:rPr>
          <w:rFonts w:ascii="Arial" w:eastAsia="Calibri" w:hAnsi="Arial" w:cs="Arial"/>
          <w:color w:val="000000" w:themeColor="text1"/>
          <w:sz w:val="22"/>
          <w:lang w:val="es-ES"/>
        </w:rPr>
        <w:t>puede utilizarse como</w:t>
      </w:r>
      <w:r w:rsidRPr="00593BA7">
        <w:rPr>
          <w:rFonts w:ascii="Arial" w:eastAsia="Calibri" w:hAnsi="Arial" w:cs="Arial"/>
          <w:color w:val="000000" w:themeColor="text1"/>
          <w:sz w:val="22"/>
          <w:lang w:val="es-ES"/>
        </w:rPr>
        <w:t xml:space="preserve"> un mecanismo para promover condiciones de trabajo equitativas, el desarrollo económico, oportunidades económicas para los sectores de la población o las regiones más vulnerables dentro del territorio nacional y para </w:t>
      </w:r>
      <w:r w:rsidRPr="006606B2">
        <w:rPr>
          <w:rFonts w:ascii="Arial" w:eastAsia="Calibri" w:hAnsi="Arial" w:cs="Arial"/>
          <w:color w:val="000000" w:themeColor="text1"/>
          <w:sz w:val="22"/>
          <w:lang w:val="es-ES"/>
        </w:rPr>
        <w:t>promover la adquisición</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de acuerdo con criterios de sostenibilidad ambiental</w:t>
      </w:r>
      <w:r w:rsidRPr="006606B2">
        <w:rPr>
          <w:rStyle w:val="Refdenotaalpie"/>
          <w:rFonts w:ascii="Arial" w:eastAsia="Calibri" w:hAnsi="Arial" w:cs="Arial"/>
          <w:color w:val="000000" w:themeColor="text1"/>
          <w:sz w:val="22"/>
          <w:lang w:val="es-ES"/>
        </w:rPr>
        <w:footnoteReference w:id="1"/>
      </w:r>
      <w:r w:rsidRPr="006606B2">
        <w:rPr>
          <w:rFonts w:ascii="Arial" w:eastAsia="Calibri" w:hAnsi="Arial" w:cs="Arial"/>
          <w:color w:val="000000" w:themeColor="text1"/>
          <w:sz w:val="22"/>
          <w:lang w:val="es-ES"/>
        </w:rPr>
        <w:t>.</w:t>
      </w:r>
    </w:p>
    <w:p w14:paraId="6AF1DAD1" w14:textId="69F685B6" w:rsidR="00C53CD3" w:rsidRPr="00593BA7" w:rsidRDefault="00C53CD3" w:rsidP="00C53CD3">
      <w:pPr>
        <w:tabs>
          <w:tab w:val="left" w:pos="426"/>
        </w:tabs>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Estas finalidades reciben diferentes nombres en los diversos contextos en los que s</w:t>
      </w:r>
      <w:r w:rsidR="008E7220">
        <w:rPr>
          <w:rFonts w:ascii="Arial" w:eastAsia="Calibri" w:hAnsi="Arial" w:cs="Arial"/>
          <w:color w:val="000000" w:themeColor="text1"/>
          <w:sz w:val="22"/>
          <w:lang w:val="es-ES"/>
        </w:rPr>
        <w:t>e</w:t>
      </w:r>
      <w:r w:rsidRPr="006606B2">
        <w:rPr>
          <w:rFonts w:ascii="Arial" w:eastAsia="Calibri" w:hAnsi="Arial" w:cs="Arial"/>
          <w:color w:val="000000" w:themeColor="text1"/>
          <w:sz w:val="22"/>
          <w:lang w:val="es-ES"/>
        </w:rPr>
        <w:t xml:space="preserve"> utiliza</w:t>
      </w:r>
      <w:r>
        <w:rPr>
          <w:rFonts w:ascii="Arial" w:eastAsia="Calibri" w:hAnsi="Arial" w:cs="Arial"/>
          <w:color w:val="000000" w:themeColor="text1"/>
          <w:sz w:val="22"/>
          <w:lang w:val="es-ES"/>
        </w:rPr>
        <w:t>n</w:t>
      </w:r>
      <w:r w:rsidRPr="006606B2">
        <w:rPr>
          <w:rFonts w:ascii="Arial" w:eastAsia="Calibri" w:hAnsi="Arial" w:cs="Arial"/>
          <w:color w:val="000000" w:themeColor="text1"/>
          <w:sz w:val="22"/>
          <w:lang w:val="es-ES"/>
        </w:rPr>
        <w:t>, algunos recurren al nombre de políticas secundarias, finalidades paralelas, o políticas colaterales u horizontales en materia de contratación</w:t>
      </w:r>
      <w:r w:rsidRPr="006606B2">
        <w:rPr>
          <w:rStyle w:val="Refdenotaalpie"/>
          <w:rFonts w:ascii="Arial" w:eastAsia="Calibri" w:hAnsi="Arial" w:cs="Arial"/>
          <w:color w:val="000000" w:themeColor="text1"/>
          <w:sz w:val="22"/>
          <w:lang w:val="es-ES"/>
        </w:rPr>
        <w:footnoteReference w:id="2"/>
      </w:r>
      <w:r w:rsidRPr="006606B2">
        <w:rPr>
          <w:rFonts w:ascii="Arial" w:eastAsia="Calibri" w:hAnsi="Arial" w:cs="Arial"/>
          <w:color w:val="000000" w:themeColor="text1"/>
          <w:sz w:val="22"/>
          <w:lang w:val="es-ES"/>
        </w:rPr>
        <w:t>. El</w:t>
      </w:r>
      <w:r>
        <w:rPr>
          <w:rFonts w:ascii="Arial" w:eastAsia="Calibri" w:hAnsi="Arial" w:cs="Arial"/>
          <w:color w:val="000000" w:themeColor="text1"/>
          <w:sz w:val="22"/>
          <w:lang w:val="es-ES"/>
        </w:rPr>
        <w:t xml:space="preserve"> concepto de política o finalidad horizontal o colateral pretende subrayar que se trata de políticas no subordinadas o inferiores, </w:t>
      </w:r>
      <w:r w:rsidRPr="00593BA7">
        <w:rPr>
          <w:rFonts w:ascii="Arial" w:eastAsia="Calibri" w:hAnsi="Arial" w:cs="Arial"/>
          <w:color w:val="000000" w:themeColor="text1"/>
          <w:sz w:val="22"/>
          <w:lang w:val="es-ES"/>
        </w:rPr>
        <w:t xml:space="preserve">sino que acompañan la finalidad principal de la </w:t>
      </w:r>
      <w:r>
        <w:rPr>
          <w:rFonts w:ascii="Arial" w:eastAsia="Calibri" w:hAnsi="Arial" w:cs="Arial"/>
          <w:color w:val="000000" w:themeColor="text1"/>
          <w:sz w:val="22"/>
          <w:lang w:val="es-ES"/>
        </w:rPr>
        <w:t>c</w:t>
      </w:r>
      <w:r w:rsidRPr="00593BA7">
        <w:rPr>
          <w:rFonts w:ascii="Arial" w:eastAsia="Calibri" w:hAnsi="Arial" w:cs="Arial"/>
          <w:color w:val="000000" w:themeColor="text1"/>
          <w:sz w:val="22"/>
          <w:lang w:val="es-ES"/>
        </w:rPr>
        <w:t xml:space="preserve">ontratación </w:t>
      </w:r>
      <w:r>
        <w:rPr>
          <w:rFonts w:ascii="Arial" w:eastAsia="Calibri" w:hAnsi="Arial" w:cs="Arial"/>
          <w:color w:val="000000" w:themeColor="text1"/>
          <w:sz w:val="22"/>
          <w:lang w:val="es-ES"/>
        </w:rPr>
        <w:t>e</w:t>
      </w:r>
      <w:r w:rsidRPr="00593BA7">
        <w:rPr>
          <w:rFonts w:ascii="Arial" w:eastAsia="Calibri" w:hAnsi="Arial" w:cs="Arial"/>
          <w:color w:val="000000" w:themeColor="text1"/>
          <w:sz w:val="22"/>
          <w:lang w:val="es-ES"/>
        </w:rPr>
        <w:t>statal</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es, de conformidad con el artículo 3º de la Ley 80 de 1993, </w:t>
      </w:r>
      <w:r w:rsidRPr="00593BA7">
        <w:rPr>
          <w:rFonts w:ascii="Verdana" w:eastAsia="Calibri" w:hAnsi="Verdana" w:cs="Arial"/>
          <w:color w:val="000000" w:themeColor="text1"/>
          <w:sz w:val="22"/>
          <w:lang w:val="es-ES"/>
        </w:rPr>
        <w:t>«</w:t>
      </w:r>
      <w:r w:rsidRPr="00593BA7">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5B647DFC" w14:textId="77777777" w:rsidR="00C53CD3" w:rsidRPr="006606B2" w:rsidRDefault="00C53CD3" w:rsidP="00C53CD3">
      <w:pPr>
        <w:tabs>
          <w:tab w:val="left" w:pos="426"/>
        </w:tabs>
        <w:spacing w:after="120"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Existen diversos tipos de políticas</w:t>
      </w:r>
      <w:r>
        <w:rPr>
          <w:rFonts w:ascii="Arial" w:eastAsia="Calibri" w:hAnsi="Arial" w:cs="Arial"/>
          <w:color w:val="000000" w:themeColor="text1"/>
          <w:sz w:val="22"/>
          <w:lang w:val="es-ES"/>
        </w:rPr>
        <w:t xml:space="preserve"> o medidas</w:t>
      </w:r>
      <w:r w:rsidRPr="00593BA7">
        <w:rPr>
          <w:rFonts w:ascii="Arial" w:eastAsia="Calibri" w:hAnsi="Arial" w:cs="Arial"/>
          <w:color w:val="000000" w:themeColor="text1"/>
          <w:sz w:val="22"/>
          <w:lang w:val="es-ES"/>
        </w:rPr>
        <w:t>, algunas buscan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simplemente</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se cumplan los parámetros mínimos legales, y otras </w:t>
      </w:r>
      <w:r w:rsidRPr="006606B2">
        <w:rPr>
          <w:rFonts w:ascii="Arial" w:eastAsia="Calibri" w:hAnsi="Arial" w:cs="Arial"/>
          <w:color w:val="000000" w:themeColor="text1"/>
          <w:sz w:val="22"/>
          <w:lang w:val="es-ES"/>
        </w:rPr>
        <w:t>buscan incentivar ciertos comportamientos para generar beneficios sociales, económicos o ambientales. De</w:t>
      </w:r>
      <w:r>
        <w:rPr>
          <w:rFonts w:ascii="Arial" w:eastAsia="Calibri" w:hAnsi="Arial" w:cs="Arial"/>
          <w:color w:val="000000" w:themeColor="text1"/>
          <w:sz w:val="22"/>
          <w:lang w:val="es-ES"/>
        </w:rPr>
        <w:t xml:space="preserve"> igual </w:t>
      </w:r>
      <w:r w:rsidRPr="006606B2">
        <w:rPr>
          <w:rFonts w:ascii="Arial" w:eastAsia="Calibri" w:hAnsi="Arial" w:cs="Arial"/>
          <w:color w:val="000000" w:themeColor="text1"/>
          <w:sz w:val="22"/>
          <w:lang w:val="es-ES"/>
        </w:rPr>
        <w:t>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6606B2">
        <w:rPr>
          <w:rStyle w:val="Refdenotaalpie"/>
          <w:rFonts w:ascii="Arial" w:eastAsia="Calibri" w:hAnsi="Arial" w:cs="Arial"/>
          <w:color w:val="000000" w:themeColor="text1"/>
          <w:sz w:val="22"/>
          <w:lang w:val="es-ES"/>
        </w:rPr>
        <w:footnoteReference w:id="3"/>
      </w:r>
      <w:r w:rsidRPr="006606B2">
        <w:rPr>
          <w:rFonts w:ascii="Arial" w:eastAsia="Calibri" w:hAnsi="Arial" w:cs="Arial"/>
          <w:color w:val="000000" w:themeColor="text1"/>
          <w:sz w:val="22"/>
          <w:lang w:val="es-ES"/>
        </w:rPr>
        <w:t xml:space="preserve">. </w:t>
      </w:r>
    </w:p>
    <w:p w14:paraId="39420257" w14:textId="77777777" w:rsidR="00C53CD3" w:rsidRDefault="00C53CD3" w:rsidP="00C53CD3">
      <w:pPr>
        <w:tabs>
          <w:tab w:val="left" w:pos="709"/>
        </w:tabs>
        <w:spacing w:after="120" w:line="276" w:lineRule="auto"/>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ab/>
        <w:t xml:space="preserve">Para la cabal comprensión, </w:t>
      </w:r>
      <w:r>
        <w:rPr>
          <w:rFonts w:ascii="Arial" w:eastAsia="Calibri" w:hAnsi="Arial" w:cs="Arial"/>
          <w:color w:val="000000" w:themeColor="text1"/>
          <w:sz w:val="22"/>
          <w:lang w:val="es-ES"/>
        </w:rPr>
        <w:t>es</w:t>
      </w:r>
      <w:r w:rsidRPr="006606B2">
        <w:rPr>
          <w:rFonts w:ascii="Arial" w:eastAsia="Calibri" w:hAnsi="Arial" w:cs="Arial"/>
          <w:color w:val="000000" w:themeColor="text1"/>
          <w:sz w:val="22"/>
          <w:lang w:val="es-ES"/>
        </w:rPr>
        <w:t xml:space="preserve"> necesario </w:t>
      </w:r>
      <w:r>
        <w:rPr>
          <w:rFonts w:ascii="Arial" w:eastAsia="Calibri" w:hAnsi="Arial" w:cs="Arial"/>
          <w:color w:val="000000" w:themeColor="text1"/>
          <w:sz w:val="22"/>
          <w:lang w:val="es-ES"/>
        </w:rPr>
        <w:t>distinguir</w:t>
      </w:r>
      <w:r w:rsidRPr="00593BA7">
        <w:rPr>
          <w:rFonts w:ascii="Arial" w:eastAsia="Calibri" w:hAnsi="Arial" w:cs="Arial"/>
          <w:color w:val="000000" w:themeColor="text1"/>
          <w:sz w:val="22"/>
          <w:lang w:val="es-ES"/>
        </w:rPr>
        <w:t xml:space="preserve"> entre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política horizonta</w:t>
      </w:r>
      <w:r>
        <w:rPr>
          <w:rFonts w:ascii="Arial" w:eastAsia="Calibri" w:hAnsi="Arial" w:cs="Arial"/>
          <w:color w:val="000000" w:themeColor="text1"/>
          <w:sz w:val="22"/>
          <w:lang w:val="es-ES"/>
        </w:rPr>
        <w:t>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La política horizontal, como se dijo, consiste en el fin constitucional o legal legítimamente perseguido por el Estado</w:t>
      </w:r>
      <w:r>
        <w:rPr>
          <w:rFonts w:ascii="Arial" w:eastAsia="Calibri" w:hAnsi="Arial" w:cs="Arial"/>
          <w:color w:val="000000" w:themeColor="text1"/>
          <w:sz w:val="22"/>
          <w:lang w:val="es-ES"/>
        </w:rPr>
        <w:t xml:space="preserve">, para cuya consecución se apoya en </w:t>
      </w:r>
      <w:r w:rsidRPr="00593BA7">
        <w:rPr>
          <w:rFonts w:ascii="Arial" w:eastAsia="Calibri" w:hAnsi="Arial" w:cs="Arial"/>
          <w:color w:val="000000" w:themeColor="text1"/>
          <w:sz w:val="22"/>
          <w:lang w:val="es-ES"/>
        </w:rPr>
        <w:t>la contratación estatal</w:t>
      </w:r>
      <w:r>
        <w:rPr>
          <w:rFonts w:ascii="Arial" w:eastAsia="Calibri" w:hAnsi="Arial" w:cs="Arial"/>
          <w:color w:val="000000" w:themeColor="text1"/>
          <w:sz w:val="22"/>
          <w:lang w:val="es-ES"/>
        </w:rPr>
        <w:t xml:space="preserve"> como instrumento</w:t>
      </w:r>
      <w:r w:rsidRPr="00593BA7">
        <w:rPr>
          <w:rFonts w:ascii="Arial" w:eastAsia="Calibri" w:hAnsi="Arial" w:cs="Arial"/>
          <w:color w:val="000000" w:themeColor="text1"/>
          <w:sz w:val="22"/>
          <w:lang w:val="es-ES"/>
        </w:rPr>
        <w:t xml:space="preserve">, aun cuando </w:t>
      </w:r>
      <w:r>
        <w:rPr>
          <w:rFonts w:ascii="Arial" w:eastAsia="Calibri" w:hAnsi="Arial" w:cs="Arial"/>
          <w:color w:val="000000" w:themeColor="text1"/>
          <w:sz w:val="22"/>
          <w:lang w:val="es-ES"/>
        </w:rPr>
        <w:t>no se trate del</w:t>
      </w:r>
      <w:r w:rsidRPr="00593BA7">
        <w:rPr>
          <w:rFonts w:ascii="Arial" w:eastAsia="Calibri" w:hAnsi="Arial" w:cs="Arial"/>
          <w:color w:val="000000" w:themeColor="text1"/>
          <w:sz w:val="22"/>
          <w:lang w:val="es-ES"/>
        </w:rPr>
        <w:t xml:space="preserve"> objetivo directo y principal de esta </w:t>
      </w:r>
      <w:r>
        <w:rPr>
          <w:rFonts w:ascii="Arial" w:eastAsia="Calibri" w:hAnsi="Arial" w:cs="Arial"/>
          <w:color w:val="000000" w:themeColor="text1"/>
          <w:sz w:val="22"/>
          <w:lang w:val="es-ES"/>
        </w:rPr>
        <w:t>actividad administrativa</w:t>
      </w:r>
      <w:r w:rsidRPr="00593BA7">
        <w:rPr>
          <w:rFonts w:ascii="Arial" w:eastAsia="Calibri" w:hAnsi="Arial" w:cs="Arial"/>
          <w:color w:val="000000" w:themeColor="text1"/>
          <w:sz w:val="22"/>
          <w:lang w:val="es-ES"/>
        </w:rPr>
        <w:t>. Por su par</w:t>
      </w:r>
      <w:r w:rsidRPr="006606B2">
        <w:rPr>
          <w:rFonts w:ascii="Arial" w:eastAsia="Calibri" w:hAnsi="Arial" w:cs="Arial"/>
          <w:color w:val="000000" w:themeColor="text1"/>
          <w:sz w:val="22"/>
          <w:lang w:val="es-ES"/>
        </w:rPr>
        <w:t>te, el incentivo corresponde a la herramienta utilizada para garantizar aquellos fines</w:t>
      </w:r>
      <w:r w:rsidRPr="00593BA7">
        <w:rPr>
          <w:rStyle w:val="Refdenotaalpie"/>
          <w:rFonts w:ascii="Arial" w:eastAsia="Calibri" w:hAnsi="Arial" w:cs="Arial"/>
          <w:color w:val="000000" w:themeColor="text1"/>
          <w:sz w:val="22"/>
          <w:lang w:val="es-ES"/>
        </w:rPr>
        <w:footnoteReference w:id="4"/>
      </w:r>
      <w:r w:rsidRPr="00593BA7">
        <w:rPr>
          <w:rFonts w:ascii="Arial" w:eastAsia="Calibri" w:hAnsi="Arial" w:cs="Arial"/>
          <w:color w:val="000000" w:themeColor="text1"/>
          <w:sz w:val="22"/>
          <w:lang w:val="es-ES"/>
        </w:rPr>
        <w:t>, como es el caso, se reitera, de</w:t>
      </w:r>
      <w:r>
        <w:rPr>
          <w:rFonts w:ascii="Arial" w:eastAsia="Calibri" w:hAnsi="Arial" w:cs="Arial"/>
          <w:color w:val="000000" w:themeColor="text1"/>
          <w:sz w:val="22"/>
          <w:lang w:val="es-ES"/>
        </w:rPr>
        <w:t xml:space="preserve"> los criterios de desempate, puntaje adicional o convocatorias reservadas</w:t>
      </w:r>
      <w:r w:rsidRPr="00593BA7">
        <w:rPr>
          <w:rFonts w:ascii="Arial" w:eastAsia="Calibri" w:hAnsi="Arial" w:cs="Arial"/>
          <w:color w:val="000000" w:themeColor="text1"/>
          <w:sz w:val="22"/>
          <w:lang w:val="es-ES"/>
        </w:rPr>
        <w:t xml:space="preserve">.  </w:t>
      </w:r>
    </w:p>
    <w:p w14:paraId="34609C9F" w14:textId="77777777" w:rsidR="00C53CD3" w:rsidRPr="00593BA7" w:rsidRDefault="00C53CD3" w:rsidP="00C53CD3">
      <w:pPr>
        <w:tabs>
          <w:tab w:val="left" w:pos="709"/>
        </w:tabs>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lastRenderedPageBreak/>
        <w:tab/>
        <w:t>Sobre este punto, interesa decir que la adopción de medidas tendientes a satisfacer necesidades adicionales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o políticas horizontales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no puede contrariar las disposiciones normativas que admiten su implementación. Por esa razón: </w:t>
      </w:r>
    </w:p>
    <w:p w14:paraId="79655181"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p>
    <w:p w14:paraId="3EF4C896"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593BA7">
        <w:rPr>
          <w:rStyle w:val="Refdenotaalpie"/>
          <w:rFonts w:ascii="Arial" w:eastAsia="Calibri" w:hAnsi="Arial" w:cs="Arial"/>
          <w:color w:val="000000" w:themeColor="text1"/>
          <w:sz w:val="21"/>
          <w:szCs w:val="21"/>
          <w:lang w:val="es-ES"/>
        </w:rPr>
        <w:footnoteReference w:id="5"/>
      </w:r>
      <w:r w:rsidRPr="00593BA7">
        <w:rPr>
          <w:rFonts w:ascii="Arial" w:eastAsia="Calibri" w:hAnsi="Arial" w:cs="Arial"/>
          <w:color w:val="000000" w:themeColor="text1"/>
          <w:sz w:val="21"/>
          <w:szCs w:val="21"/>
          <w:lang w:val="es-ES"/>
        </w:rPr>
        <w:t>.</w:t>
      </w:r>
    </w:p>
    <w:p w14:paraId="4FBFECBF"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p>
    <w:p w14:paraId="10EA3574" w14:textId="77777777" w:rsidR="00C53CD3" w:rsidRPr="00593BA7" w:rsidRDefault="00C53CD3" w:rsidP="00C53CD3">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sidRPr="00593BA7">
        <w:rPr>
          <w:rFonts w:ascii="Arial" w:eastAsia="Calibri" w:hAnsi="Arial" w:cs="Arial"/>
          <w:color w:val="000000" w:themeColor="text1"/>
          <w:sz w:val="22"/>
          <w:lang w:val="es-ES"/>
        </w:rPr>
        <w:tab/>
        <w:t xml:space="preserve"> </w:t>
      </w:r>
    </w:p>
    <w:p w14:paraId="0411635C" w14:textId="77777777" w:rsidR="00C53CD3" w:rsidRDefault="00C53CD3" w:rsidP="00C53CD3">
      <w:pPr>
        <w:tabs>
          <w:tab w:val="left" w:pos="709"/>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A continuación se expondrán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brevemente,</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así como los incentivos utilizados para materializarlas en el ordenamiento colombiano, que preexisten la expedición de la Ley 2040 de 2020. </w:t>
      </w:r>
    </w:p>
    <w:p w14:paraId="2A1D6716" w14:textId="77777777" w:rsidR="00C53CD3" w:rsidRPr="00593BA7" w:rsidRDefault="00C53CD3" w:rsidP="00C53CD3">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w:t>
      </w:r>
      <w:r>
        <w:rPr>
          <w:rFonts w:ascii="Arial" w:hAnsi="Arial" w:cs="Arial"/>
          <w:color w:val="000000" w:themeColor="text1"/>
          <w:sz w:val="22"/>
          <w:lang w:val="es-ES"/>
        </w:rPr>
        <w:t>Este artículo d</w:t>
      </w:r>
      <w:r w:rsidRPr="00593BA7">
        <w:rPr>
          <w:rFonts w:ascii="Arial" w:hAnsi="Arial" w:cs="Arial"/>
          <w:color w:val="000000" w:themeColor="text1"/>
          <w:sz w:val="22"/>
          <w:lang w:val="es-ES"/>
        </w:rPr>
        <w:t xml:space="preserve">ispone: </w:t>
      </w:r>
    </w:p>
    <w:p w14:paraId="45088657" w14:textId="77777777" w:rsidR="00C53CD3" w:rsidRPr="00030539" w:rsidRDefault="00C53CD3" w:rsidP="00C53CD3">
      <w:pPr>
        <w:ind w:left="709" w:right="709"/>
        <w:jc w:val="both"/>
        <w:rPr>
          <w:rFonts w:ascii="Arial" w:hAnsi="Arial" w:cs="Arial"/>
          <w:color w:val="000000" w:themeColor="text1"/>
          <w:sz w:val="22"/>
          <w:szCs w:val="22"/>
          <w:lang w:val="es-ES"/>
        </w:rPr>
      </w:pPr>
    </w:p>
    <w:p w14:paraId="73169F27" w14:textId="77777777" w:rsidR="00C53CD3" w:rsidRPr="00593BA7" w:rsidRDefault="00C53CD3" w:rsidP="00C53CD3">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Artículo 1. </w:t>
      </w:r>
      <w:r w:rsidRPr="00593BA7">
        <w:rPr>
          <w:rFonts w:ascii="Arial" w:hAnsi="Arial" w:cs="Arial"/>
          <w:color w:val="000000" w:themeColor="text1"/>
          <w:sz w:val="21"/>
          <w:szCs w:val="21"/>
          <w:lang w:val="es-ES"/>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593BA7">
        <w:rPr>
          <w:rFonts w:ascii="Arial" w:hAnsi="Arial" w:cs="Arial"/>
          <w:iCs/>
          <w:color w:val="000000" w:themeColor="text1"/>
          <w:sz w:val="21"/>
          <w:szCs w:val="21"/>
          <w:lang w:val="es-ES"/>
        </w:rPr>
        <w:t> </w:t>
      </w:r>
      <w:r w:rsidRPr="00593BA7">
        <w:rPr>
          <w:rFonts w:ascii="Arial" w:hAnsi="Arial" w:cs="Arial"/>
          <w:color w:val="000000" w:themeColor="text1"/>
          <w:sz w:val="21"/>
          <w:szCs w:val="21"/>
          <w:lang w:val="es-ES"/>
        </w:rPr>
        <w:t>no obligue a solicitar más de una propuesta, adoptarán criterios objetivos que permitan apoyar a la industria nacional</w:t>
      </w:r>
      <w:r w:rsidRPr="00593BA7">
        <w:rPr>
          <w:rFonts w:ascii="Arial" w:hAnsi="Arial" w:cs="Arial"/>
          <w:color w:val="000000" w:themeColor="text1"/>
          <w:sz w:val="22"/>
          <w:lang w:val="es-ES"/>
        </w:rPr>
        <w:t xml:space="preserve">. </w:t>
      </w:r>
    </w:p>
    <w:p w14:paraId="45E49C6B" w14:textId="77777777" w:rsidR="00C53CD3" w:rsidRPr="00593BA7" w:rsidRDefault="00C53CD3" w:rsidP="00C53CD3">
      <w:pPr>
        <w:spacing w:line="276" w:lineRule="auto"/>
        <w:ind w:right="709"/>
        <w:jc w:val="both"/>
        <w:rPr>
          <w:rFonts w:ascii="Arial" w:hAnsi="Arial" w:cs="Arial"/>
          <w:color w:val="000000" w:themeColor="text1"/>
          <w:sz w:val="22"/>
          <w:lang w:val="es-ES"/>
        </w:rPr>
      </w:pPr>
    </w:p>
    <w:p w14:paraId="6E519B72" w14:textId="77777777" w:rsidR="00C53CD3" w:rsidRPr="00593BA7" w:rsidRDefault="00C53CD3" w:rsidP="00C53CD3">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Además, el artículo 2 de la misma ley, de forma expresa, determina el puntaje que las entidades deben incluir dentro de los criterios de calificación de las propuestas para promover la industria colombiana: </w:t>
      </w:r>
    </w:p>
    <w:p w14:paraId="4BC557CE" w14:textId="77777777" w:rsidR="00C53CD3" w:rsidRPr="00593BA7" w:rsidRDefault="00C53CD3" w:rsidP="00C53CD3">
      <w:pPr>
        <w:jc w:val="both"/>
        <w:rPr>
          <w:rFonts w:ascii="Arial" w:hAnsi="Arial" w:cs="Arial"/>
          <w:color w:val="000000" w:themeColor="text1"/>
          <w:sz w:val="22"/>
          <w:lang w:val="es-ES"/>
        </w:rPr>
      </w:pPr>
    </w:p>
    <w:p w14:paraId="6CC6492F" w14:textId="77777777" w:rsidR="00C53CD3" w:rsidRPr="00593BA7" w:rsidRDefault="00C53CD3" w:rsidP="00C53CD3">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w:t>
      </w:r>
      <w:r w:rsidRPr="00593BA7">
        <w:rPr>
          <w:rFonts w:ascii="Arial" w:hAnsi="Arial" w:cs="Arial"/>
          <w:color w:val="000000" w:themeColor="text1"/>
          <w:sz w:val="21"/>
          <w:szCs w:val="21"/>
          <w:lang w:val="es-ES"/>
        </w:rPr>
        <w:t>Las entidades de que trata el artículo 1</w:t>
      </w:r>
      <w:r>
        <w:rPr>
          <w:rFonts w:ascii="Arial" w:hAnsi="Arial" w:cs="Arial"/>
          <w:color w:val="000000" w:themeColor="text1"/>
          <w:sz w:val="21"/>
          <w:szCs w:val="21"/>
          <w:lang w:val="es-ES"/>
        </w:rPr>
        <w:t>º</w:t>
      </w:r>
      <w:r w:rsidRPr="00593BA7">
        <w:rPr>
          <w:rFonts w:ascii="Arial" w:hAnsi="Arial" w:cs="Arial"/>
          <w:color w:val="000000" w:themeColor="text1"/>
          <w:sz w:val="21"/>
          <w:szCs w:val="21"/>
          <w:lang w:val="es-ES"/>
        </w:rPr>
        <w:t xml:space="preserve"> asignarán, dentro de los criterios de calificación de las propuestas, un puntaje comprendido entre el diez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veinte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20%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estimular la industria colombiana cuando los proponentes oferten bienes o servicios nacionales.</w:t>
      </w:r>
    </w:p>
    <w:p w14:paraId="0DF277A1" w14:textId="77777777" w:rsidR="00C53CD3" w:rsidRPr="00593BA7" w:rsidRDefault="00C53CD3" w:rsidP="00C53CD3">
      <w:pPr>
        <w:ind w:left="709" w:right="709"/>
        <w:jc w:val="both"/>
        <w:rPr>
          <w:rFonts w:ascii="Arial" w:hAnsi="Arial" w:cs="Arial"/>
          <w:color w:val="000000" w:themeColor="text1"/>
          <w:sz w:val="21"/>
          <w:szCs w:val="21"/>
          <w:lang w:val="es-ES"/>
        </w:rPr>
      </w:pPr>
    </w:p>
    <w:p w14:paraId="29E4102A" w14:textId="77777777" w:rsidR="00C53CD3" w:rsidRPr="00593BA7" w:rsidRDefault="00C53CD3" w:rsidP="00C53CD3">
      <w:pPr>
        <w:ind w:left="709" w:right="709"/>
        <w:jc w:val="both"/>
        <w:rPr>
          <w:rFonts w:ascii="Arial" w:hAnsi="Arial" w:cs="Arial"/>
          <w:color w:val="000000" w:themeColor="text1"/>
          <w:sz w:val="22"/>
          <w:lang w:val="es-ES"/>
        </w:rPr>
      </w:pPr>
      <w:r w:rsidRPr="00593BA7">
        <w:rPr>
          <w:rFonts w:ascii="Arial" w:hAnsi="Arial" w:cs="Arial"/>
          <w:color w:val="000000" w:themeColor="text1"/>
          <w:sz w:val="21"/>
          <w:szCs w:val="21"/>
          <w:lang w:val="es-ES"/>
        </w:rPr>
        <w:t xml:space="preserve">Tratándose de bienes o servicios extranjeros, la entidad contratante establecerá un puntaje comprendido entre el cinco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quince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incentivar la incorporación de componente colombiano de bienes y servicios profesionales, técnicos y operativos</w:t>
      </w:r>
      <w:r w:rsidRPr="00593BA7">
        <w:rPr>
          <w:rFonts w:ascii="Arial" w:hAnsi="Arial" w:cs="Arial"/>
          <w:color w:val="000000" w:themeColor="text1"/>
          <w:sz w:val="22"/>
          <w:lang w:val="es-ES"/>
        </w:rPr>
        <w:t>.</w:t>
      </w:r>
    </w:p>
    <w:p w14:paraId="2D4CE956" w14:textId="77777777" w:rsidR="00C53CD3" w:rsidRPr="00593BA7" w:rsidRDefault="00C53CD3" w:rsidP="00C53CD3">
      <w:pPr>
        <w:jc w:val="both"/>
        <w:rPr>
          <w:rFonts w:ascii="Arial" w:hAnsi="Arial" w:cs="Arial"/>
          <w:color w:val="000000" w:themeColor="text1"/>
          <w:sz w:val="22"/>
          <w:lang w:val="es-ES"/>
        </w:rPr>
      </w:pPr>
    </w:p>
    <w:p w14:paraId="7AA0460E" w14:textId="77777777" w:rsidR="00C53CD3" w:rsidRPr="00593BA7" w:rsidRDefault="00C53CD3" w:rsidP="00C53CD3">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lastRenderedPageBreak/>
        <w:t xml:space="preserve">De esta manera, la norma establece dos supuestos para </w:t>
      </w:r>
      <w:r>
        <w:rPr>
          <w:rFonts w:ascii="Arial" w:hAnsi="Arial" w:cs="Arial"/>
          <w:color w:val="000000" w:themeColor="text1"/>
          <w:sz w:val="22"/>
          <w:lang w:val="es-ES"/>
        </w:rPr>
        <w:t>asignar</w:t>
      </w:r>
      <w:r w:rsidRPr="00593BA7">
        <w:rPr>
          <w:rFonts w:ascii="Arial" w:hAnsi="Arial" w:cs="Arial"/>
          <w:color w:val="000000" w:themeColor="text1"/>
          <w:sz w:val="22"/>
          <w:lang w:val="es-ES"/>
        </w:rPr>
        <w:t xml:space="preserve"> puntaje. Por un lado, se encuentran los proponentes que oferten bienes o servicios nacionales y los proponentes que tienen trato nacional producto de los acuerdos comerciales suscritos por Colombia con otros Estados</w:t>
      </w:r>
      <w:r w:rsidRPr="00593BA7">
        <w:rPr>
          <w:rStyle w:val="Refdenotaalpie"/>
          <w:rFonts w:ascii="Arial" w:hAnsi="Arial" w:cs="Arial"/>
          <w:color w:val="000000" w:themeColor="text1"/>
          <w:sz w:val="22"/>
          <w:lang w:val="es-ES"/>
        </w:rPr>
        <w:footnoteReference w:id="6"/>
      </w:r>
      <w:r w:rsidRPr="00593BA7">
        <w:rPr>
          <w:rFonts w:ascii="Arial" w:hAnsi="Arial" w:cs="Arial"/>
          <w:color w:val="000000" w:themeColor="text1"/>
          <w:sz w:val="22"/>
          <w:lang w:val="es-ES"/>
        </w:rPr>
        <w:t xml:space="preserve">. Por otro lado están los proponentes extranjeros que no tengan trato nacional y oferten la incorporación de componente colombiano de bienes o servicios. </w:t>
      </w:r>
    </w:p>
    <w:p w14:paraId="71AC81AA" w14:textId="77777777" w:rsidR="00C53CD3" w:rsidRPr="00593BA7" w:rsidRDefault="00C53CD3" w:rsidP="00C53CD3">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Asimismo, el Decreto 1082 de 2015</w:t>
      </w:r>
      <w:r>
        <w:rPr>
          <w:rFonts w:ascii="Arial" w:hAnsi="Arial" w:cs="Arial"/>
          <w:color w:val="000000" w:themeColor="text1"/>
          <w:sz w:val="22"/>
          <w:lang w:val="es-ES"/>
        </w:rPr>
        <w:t xml:space="preserve"> </w:t>
      </w:r>
      <w:r w:rsidRPr="00593BA7">
        <w:rPr>
          <w:rFonts w:ascii="Arial" w:hAnsi="Arial" w:cs="Arial"/>
          <w:color w:val="000000" w:themeColor="text1"/>
          <w:sz w:val="22"/>
          <w:lang w:val="es-ES"/>
        </w:rPr>
        <w:t xml:space="preserve">definió </w:t>
      </w:r>
      <w:r w:rsidRPr="004E3AEE">
        <w:rPr>
          <w:rFonts w:ascii="Arial" w:hAnsi="Arial" w:cs="Arial"/>
          <w:color w:val="000000" w:themeColor="text1"/>
          <w:sz w:val="22"/>
          <w:lang w:val="es-ES"/>
        </w:rPr>
        <w:t>los «Servicios Nacionales»</w:t>
      </w:r>
      <w:r w:rsidRPr="00593BA7">
        <w:rPr>
          <w:rFonts w:ascii="Arial" w:hAnsi="Arial" w:cs="Arial"/>
          <w:color w:val="000000" w:themeColor="text1"/>
          <w:sz w:val="22"/>
          <w:lang w:val="es-ES"/>
        </w:rPr>
        <w:t xml:space="preserve"> como aquellos prestados por personas naturales colombianas o residentes en Colombia</w:t>
      </w:r>
      <w:r>
        <w:rPr>
          <w:rFonts w:ascii="Arial" w:hAnsi="Arial" w:cs="Arial"/>
          <w:color w:val="000000" w:themeColor="text1"/>
          <w:sz w:val="22"/>
          <w:lang w:val="es-ES"/>
        </w:rPr>
        <w:t>,</w:t>
      </w:r>
      <w:r w:rsidRPr="00593BA7">
        <w:rPr>
          <w:rFonts w:ascii="Arial" w:hAnsi="Arial" w:cs="Arial"/>
          <w:color w:val="000000" w:themeColor="text1"/>
          <w:sz w:val="22"/>
          <w:lang w:val="es-ES"/>
        </w:rPr>
        <w:t xml:space="preserve"> o por personas jurídicas constituidas en Colombia conforme a lo previsto en las disposiciones de la legislación colombiana</w:t>
      </w:r>
      <w:r w:rsidRPr="00593BA7">
        <w:rPr>
          <w:rStyle w:val="Refdenotaalpie"/>
          <w:rFonts w:ascii="Arial" w:hAnsi="Arial" w:cs="Arial"/>
          <w:color w:val="000000" w:themeColor="text1"/>
          <w:sz w:val="22"/>
          <w:lang w:val="es-ES"/>
        </w:rPr>
        <w:footnoteReference w:id="7"/>
      </w:r>
      <w:r w:rsidRPr="00593BA7">
        <w:rPr>
          <w:rFonts w:ascii="Arial" w:hAnsi="Arial" w:cs="Arial"/>
          <w:color w:val="000000" w:themeColor="text1"/>
          <w:sz w:val="22"/>
          <w:lang w:val="es-ES"/>
        </w:rPr>
        <w:t>.</w:t>
      </w:r>
      <w:r>
        <w:rPr>
          <w:rFonts w:ascii="Arial" w:hAnsi="Arial" w:cs="Arial"/>
          <w:color w:val="000000" w:themeColor="text1"/>
          <w:sz w:val="22"/>
          <w:lang w:val="es-ES"/>
        </w:rPr>
        <w:t xml:space="preserve"> </w:t>
      </w:r>
    </w:p>
    <w:p w14:paraId="01F75D42" w14:textId="77777777" w:rsidR="00C53CD3" w:rsidRPr="00593BA7" w:rsidRDefault="00C53CD3" w:rsidP="00C53CD3">
      <w:pPr>
        <w:spacing w:line="276" w:lineRule="auto"/>
        <w:ind w:firstLine="709"/>
        <w:jc w:val="both"/>
        <w:rPr>
          <w:rFonts w:ascii="Arial" w:hAnsi="Arial" w:cs="Arial"/>
          <w:sz w:val="22"/>
          <w:lang w:val="es-ES"/>
        </w:rPr>
      </w:pPr>
      <w:r w:rsidRPr="00593BA7">
        <w:rPr>
          <w:rFonts w:ascii="Arial" w:hAnsi="Arial" w:cs="Arial"/>
          <w:color w:val="000000" w:themeColor="text1"/>
          <w:sz w:val="22"/>
          <w:lang w:val="es-ES"/>
        </w:rPr>
        <w:t xml:space="preserve">De otra parte, </w:t>
      </w:r>
      <w:r w:rsidRPr="00593BA7">
        <w:rPr>
          <w:rFonts w:ascii="Arial" w:hAnsi="Arial" w:cs="Arial"/>
          <w:sz w:val="22"/>
          <w:lang w:val="es-ES"/>
        </w:rPr>
        <w:t>la Ley 1618 de 2013</w:t>
      </w:r>
      <w:r>
        <w:rPr>
          <w:rFonts w:ascii="Arial" w:hAnsi="Arial" w:cs="Arial"/>
          <w:sz w:val="22"/>
          <w:lang w:val="es-ES"/>
        </w:rPr>
        <w:t xml:space="preserve"> </w:t>
      </w:r>
      <w:r w:rsidRPr="00593BA7">
        <w:rPr>
          <w:rFonts w:ascii="Arial" w:hAnsi="Arial" w:cs="Arial"/>
          <w:sz w:val="22"/>
          <w:lang w:val="es-ES"/>
        </w:rPr>
        <w:t xml:space="preserve">estableció disposiciones para garantizar el ejercicio de los derechos de personas </w:t>
      </w:r>
      <w:r>
        <w:rPr>
          <w:rFonts w:ascii="Arial" w:hAnsi="Arial" w:cs="Arial"/>
          <w:sz w:val="22"/>
          <w:lang w:val="es-ES"/>
        </w:rPr>
        <w:t>en condición de</w:t>
      </w:r>
      <w:r w:rsidRPr="00593BA7">
        <w:rPr>
          <w:rFonts w:ascii="Arial" w:hAnsi="Arial" w:cs="Arial"/>
          <w:sz w:val="22"/>
          <w:lang w:val="es-ES"/>
        </w:rPr>
        <w:t xml:space="preserve"> discapacidad</w:t>
      </w:r>
      <w:r w:rsidRPr="00593BA7">
        <w:rPr>
          <w:rStyle w:val="Refdenotaalpie"/>
          <w:rFonts w:ascii="Arial" w:hAnsi="Arial" w:cs="Arial"/>
          <w:sz w:val="21"/>
          <w:szCs w:val="21"/>
          <w:lang w:val="es-ES"/>
        </w:rPr>
        <w:footnoteReference w:id="8"/>
      </w:r>
      <w:r w:rsidRPr="00593BA7">
        <w:rPr>
          <w:rFonts w:ascii="Arial" w:hAnsi="Arial" w:cs="Arial"/>
          <w:sz w:val="21"/>
          <w:szCs w:val="21"/>
          <w:lang w:val="es-ES"/>
        </w:rPr>
        <w:t xml:space="preserve">. </w:t>
      </w:r>
      <w:r>
        <w:rPr>
          <w:rFonts w:ascii="Arial" w:hAnsi="Arial" w:cs="Arial"/>
          <w:sz w:val="21"/>
          <w:szCs w:val="21"/>
          <w:lang w:val="es-ES"/>
        </w:rPr>
        <w:t>E</w:t>
      </w:r>
      <w:r w:rsidRPr="00593BA7">
        <w:rPr>
          <w:rFonts w:ascii="Arial" w:hAnsi="Arial" w:cs="Arial"/>
          <w:sz w:val="21"/>
          <w:szCs w:val="21"/>
          <w:lang w:val="es-ES"/>
        </w:rPr>
        <w:t>l</w:t>
      </w:r>
      <w:r w:rsidRPr="00593BA7">
        <w:rPr>
          <w:rFonts w:ascii="Arial" w:hAnsi="Arial" w:cs="Arial"/>
          <w:sz w:val="22"/>
          <w:lang w:val="es-ES"/>
        </w:rPr>
        <w:t xml:space="preserve"> artículo 13 </w:t>
      </w:r>
      <w:proofErr w:type="spellStart"/>
      <w:r w:rsidRPr="00593BA7">
        <w:rPr>
          <w:rFonts w:ascii="Arial" w:hAnsi="Arial" w:cs="Arial"/>
          <w:i/>
          <w:iCs/>
          <w:sz w:val="22"/>
          <w:lang w:val="es-ES"/>
        </w:rPr>
        <w:t>ibídem</w:t>
      </w:r>
      <w:proofErr w:type="spellEnd"/>
      <w:r w:rsidRPr="00593BA7">
        <w:rPr>
          <w:rFonts w:ascii="Arial" w:hAnsi="Arial" w:cs="Arial"/>
          <w:i/>
          <w:iCs/>
          <w:sz w:val="22"/>
          <w:lang w:val="es-ES"/>
        </w:rPr>
        <w:t xml:space="preserve"> </w:t>
      </w:r>
      <w:r w:rsidRPr="00593BA7">
        <w:rPr>
          <w:rFonts w:ascii="Arial" w:hAnsi="Arial" w:cs="Arial"/>
          <w:sz w:val="22"/>
          <w:lang w:val="es-ES"/>
        </w:rPr>
        <w:t xml:space="preserve">ordenó al Gobierno Nacional expedir un reglamento que determinara la metodología mediante la cual se otorgaría el puntaje adicional a las empresas que en su planta de personal </w:t>
      </w:r>
      <w:r>
        <w:rPr>
          <w:rFonts w:ascii="Arial" w:hAnsi="Arial" w:cs="Arial"/>
          <w:sz w:val="22"/>
          <w:lang w:val="es-ES"/>
        </w:rPr>
        <w:t>cuenten con</w:t>
      </w:r>
      <w:r w:rsidRPr="00593BA7">
        <w:rPr>
          <w:rFonts w:ascii="Arial" w:hAnsi="Arial" w:cs="Arial"/>
          <w:sz w:val="22"/>
          <w:lang w:val="es-ES"/>
        </w:rPr>
        <w:t xml:space="preserve"> personal en situación de discapacidad:</w:t>
      </w:r>
    </w:p>
    <w:p w14:paraId="09C16241" w14:textId="77777777" w:rsidR="00C53CD3" w:rsidRPr="00593BA7" w:rsidRDefault="00C53CD3" w:rsidP="00C53CD3">
      <w:pPr>
        <w:jc w:val="both"/>
        <w:rPr>
          <w:rFonts w:ascii="Arial" w:hAnsi="Arial" w:cs="Arial"/>
          <w:sz w:val="22"/>
          <w:lang w:val="es-ES"/>
        </w:rPr>
      </w:pPr>
    </w:p>
    <w:p w14:paraId="5AE310B6" w14:textId="77777777" w:rsidR="00C53CD3" w:rsidRPr="00593BA7" w:rsidRDefault="00C53CD3" w:rsidP="00C53CD3">
      <w:pPr>
        <w:ind w:left="709" w:right="709"/>
        <w:jc w:val="both"/>
        <w:rPr>
          <w:rFonts w:ascii="Arial" w:hAnsi="Arial" w:cs="Arial"/>
          <w:sz w:val="21"/>
          <w:szCs w:val="21"/>
          <w:lang w:val="es-ES"/>
        </w:rPr>
      </w:pPr>
      <w:r w:rsidRPr="00593BA7">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5404F052" w14:textId="77777777" w:rsidR="00C53CD3" w:rsidRPr="00593BA7" w:rsidRDefault="00C53CD3" w:rsidP="00C53CD3">
      <w:pPr>
        <w:ind w:left="709" w:right="709"/>
        <w:jc w:val="both"/>
        <w:rPr>
          <w:rFonts w:ascii="Arial" w:hAnsi="Arial" w:cs="Arial"/>
          <w:sz w:val="21"/>
          <w:szCs w:val="21"/>
          <w:lang w:val="es-ES"/>
        </w:rPr>
      </w:pPr>
    </w:p>
    <w:p w14:paraId="5C845F04" w14:textId="77777777" w:rsidR="00C53CD3" w:rsidRPr="00593BA7" w:rsidRDefault="00C53CD3" w:rsidP="00C53CD3">
      <w:pPr>
        <w:ind w:left="709" w:right="709"/>
        <w:jc w:val="both"/>
        <w:rPr>
          <w:rFonts w:ascii="Arial" w:hAnsi="Arial" w:cs="Arial"/>
          <w:sz w:val="21"/>
          <w:szCs w:val="21"/>
          <w:lang w:val="es-ES"/>
        </w:rPr>
      </w:pPr>
      <w:r w:rsidRPr="00593BA7">
        <w:rPr>
          <w:rFonts w:ascii="Arial" w:hAnsi="Arial" w:cs="Arial"/>
          <w:sz w:val="21"/>
          <w:szCs w:val="21"/>
          <w:lang w:val="es-ES"/>
        </w:rPr>
        <w:t xml:space="preserve">1. El Gobierno Nacional, a través del Ministerio de Hacienda y Crédito Público y el Departamento Nacional de Planeación o de quienes hagan sus veces, expedirá </w:t>
      </w:r>
      <w:r w:rsidRPr="00593BA7">
        <w:rPr>
          <w:rFonts w:ascii="Arial" w:hAnsi="Arial" w:cs="Arial"/>
          <w:sz w:val="21"/>
          <w:szCs w:val="21"/>
          <w:lang w:val="es-ES"/>
        </w:rPr>
        <w:lastRenderedPageBreak/>
        <w:t>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5D3E0580" w14:textId="77777777" w:rsidR="00C53CD3" w:rsidRPr="00593BA7" w:rsidRDefault="00C53CD3" w:rsidP="00C53CD3">
      <w:pPr>
        <w:ind w:left="709" w:right="709"/>
        <w:jc w:val="both"/>
        <w:rPr>
          <w:rFonts w:ascii="Arial" w:hAnsi="Arial" w:cs="Arial"/>
          <w:sz w:val="21"/>
          <w:szCs w:val="21"/>
          <w:lang w:val="es-ES"/>
        </w:rPr>
      </w:pPr>
      <w:r w:rsidRPr="00593BA7">
        <w:rPr>
          <w:rFonts w:ascii="Arial" w:hAnsi="Arial" w:cs="Arial"/>
          <w:sz w:val="21"/>
          <w:szCs w:val="21"/>
          <w:lang w:val="es-ES"/>
        </w:rPr>
        <w:t>[…]</w:t>
      </w:r>
    </w:p>
    <w:p w14:paraId="2F65F2AB" w14:textId="77777777" w:rsidR="00C53CD3" w:rsidRPr="00593BA7" w:rsidRDefault="00C53CD3" w:rsidP="00C53CD3">
      <w:pPr>
        <w:ind w:left="709" w:right="709"/>
        <w:jc w:val="both"/>
        <w:rPr>
          <w:rFonts w:ascii="Arial" w:hAnsi="Arial" w:cs="Arial"/>
          <w:sz w:val="21"/>
          <w:szCs w:val="21"/>
          <w:lang w:val="es-ES"/>
        </w:rPr>
      </w:pPr>
    </w:p>
    <w:p w14:paraId="751B4490" w14:textId="77777777" w:rsidR="00C53CD3" w:rsidRPr="00593BA7" w:rsidRDefault="00C53CD3" w:rsidP="00C53CD3">
      <w:pPr>
        <w:ind w:left="708" w:right="709"/>
        <w:jc w:val="both"/>
        <w:rPr>
          <w:rFonts w:ascii="Arial" w:hAnsi="Arial" w:cs="Arial"/>
          <w:sz w:val="21"/>
          <w:szCs w:val="21"/>
          <w:lang w:val="es-ES"/>
        </w:rPr>
      </w:pPr>
      <w:r w:rsidRPr="00593BA7">
        <w:rPr>
          <w:rFonts w:ascii="Arial" w:hAnsi="Arial" w:cs="Arial"/>
          <w:sz w:val="21"/>
          <w:szCs w:val="21"/>
          <w:lang w:val="es-ES"/>
        </w:rPr>
        <w:t xml:space="preserve">8. Los </w:t>
      </w:r>
      <w:proofErr w:type="gramStart"/>
      <w:r w:rsidRPr="00593BA7">
        <w:rPr>
          <w:rFonts w:ascii="Arial" w:hAnsi="Arial" w:cs="Arial"/>
          <w:sz w:val="21"/>
          <w:szCs w:val="21"/>
          <w:lang w:val="es-ES"/>
        </w:rPr>
        <w:t>gobiernos nacional</w:t>
      </w:r>
      <w:proofErr w:type="gramEnd"/>
      <w:r w:rsidRPr="00593BA7">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32223C3A" w14:textId="77777777" w:rsidR="00C53CD3" w:rsidRPr="00593BA7" w:rsidRDefault="00C53CD3" w:rsidP="00C53CD3">
      <w:pPr>
        <w:ind w:left="708" w:right="709"/>
        <w:jc w:val="both"/>
        <w:rPr>
          <w:rFonts w:ascii="Arial" w:hAnsi="Arial" w:cs="Arial"/>
          <w:sz w:val="21"/>
          <w:szCs w:val="21"/>
          <w:lang w:val="es-ES"/>
        </w:rPr>
      </w:pPr>
    </w:p>
    <w:p w14:paraId="666D56E8" w14:textId="77777777" w:rsidR="00C53CD3" w:rsidRPr="00593BA7" w:rsidRDefault="00C53CD3" w:rsidP="00C53CD3">
      <w:pPr>
        <w:spacing w:after="120" w:line="276" w:lineRule="auto"/>
        <w:ind w:firstLine="708"/>
        <w:jc w:val="both"/>
        <w:rPr>
          <w:rFonts w:ascii="Arial" w:hAnsi="Arial" w:cs="Arial"/>
          <w:sz w:val="22"/>
          <w:lang w:val="es-ES"/>
        </w:rPr>
      </w:pPr>
      <w:r>
        <w:rPr>
          <w:rFonts w:ascii="Arial" w:hAnsi="Arial" w:cs="Arial"/>
          <w:sz w:val="22"/>
          <w:lang w:val="es-ES"/>
        </w:rPr>
        <w:t xml:space="preserve">Como </w:t>
      </w:r>
      <w:r w:rsidRPr="00593BA7">
        <w:rPr>
          <w:rFonts w:ascii="Arial" w:hAnsi="Arial" w:cs="Arial"/>
          <w:sz w:val="22"/>
          <w:lang w:val="es-ES"/>
        </w:rPr>
        <w:t>la norma impuso al Gobierno Nacional</w:t>
      </w:r>
      <w:r w:rsidRPr="00EA7C3A">
        <w:rPr>
          <w:rFonts w:ascii="Arial" w:hAnsi="Arial" w:cs="Arial"/>
          <w:sz w:val="22"/>
          <w:lang w:val="es-ES"/>
        </w:rPr>
        <w:t xml:space="preserve"> </w:t>
      </w:r>
      <w:r w:rsidRPr="00593BA7">
        <w:rPr>
          <w:rFonts w:ascii="Arial" w:hAnsi="Arial" w:cs="Arial"/>
          <w:sz w:val="22"/>
          <w:lang w:val="es-ES"/>
        </w:rPr>
        <w:t>la obligación de expedir el reglamento para materializar lo dispuesto en esta ley</w:t>
      </w:r>
      <w:r>
        <w:rPr>
          <w:rFonts w:ascii="Arial" w:hAnsi="Arial" w:cs="Arial"/>
          <w:sz w:val="22"/>
          <w:lang w:val="es-ES"/>
        </w:rPr>
        <w:t>,</w:t>
      </w:r>
      <w:r w:rsidRPr="00593BA7">
        <w:rPr>
          <w:rFonts w:ascii="Arial" w:hAnsi="Arial" w:cs="Arial"/>
          <w:sz w:val="22"/>
          <w:lang w:val="es-ES"/>
        </w:rPr>
        <w:t xml:space="preserve"> respecto del puntaje adicional, se expidió el Decreto 392 de 2018, «Por el cual se reglamentan los numerales 1 y 8 del artículo 13 de la Ley 1618 de 2013, sobre incentivos en Procesos de Contratación en favor de personas con discapacidad». Este Decreto</w:t>
      </w:r>
      <w:r>
        <w:rPr>
          <w:rFonts w:ascii="Arial" w:hAnsi="Arial" w:cs="Arial"/>
          <w:sz w:val="22"/>
          <w:lang w:val="es-ES"/>
        </w:rPr>
        <w:t>, compilado en el Decreto 1082 de 2015,</w:t>
      </w:r>
      <w:r w:rsidRPr="00593BA7">
        <w:rPr>
          <w:rFonts w:ascii="Arial" w:hAnsi="Arial" w:cs="Arial"/>
          <w:sz w:val="22"/>
          <w:lang w:val="es-ES"/>
        </w:rPr>
        <w:t xml:space="preserve"> obliga a las entidades a otorgar un puntaje adicional </w:t>
      </w:r>
      <w:r>
        <w:rPr>
          <w:rFonts w:ascii="Arial" w:hAnsi="Arial" w:cs="Arial"/>
          <w:sz w:val="22"/>
          <w:lang w:val="es-ES"/>
        </w:rPr>
        <w:t>en</w:t>
      </w:r>
      <w:r w:rsidRPr="00593BA7">
        <w:rPr>
          <w:rFonts w:ascii="Arial" w:hAnsi="Arial" w:cs="Arial"/>
          <w:sz w:val="22"/>
          <w:lang w:val="es-ES"/>
        </w:rPr>
        <w:t xml:space="preserve"> los procesos de selección de contratistas del Estado, en las modalidades de licitación pública y concurso de méritos, a quienes acrediten que al menos el diez por ciento (10%) de su nómina la integran personas en situación de discapacidad. </w:t>
      </w:r>
    </w:p>
    <w:p w14:paraId="0BABFA52" w14:textId="77777777" w:rsidR="00C53CD3" w:rsidRPr="00AA195B" w:rsidRDefault="00C53CD3" w:rsidP="00030539">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Finalmente, </w:t>
      </w:r>
      <w:r w:rsidRPr="00AA195B">
        <w:rPr>
          <w:rFonts w:ascii="Arial" w:hAnsi="Arial" w:cs="Arial"/>
          <w:color w:val="000000" w:themeColor="text1"/>
          <w:sz w:val="22"/>
          <w:lang w:val="es-ES"/>
        </w:rPr>
        <w:t xml:space="preserve">el articulo 12 la Ley 1150 de 2007, modificado por el artículo 32 de la Ley 1450 de 2011, estableció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contratación pública, en los siguientes términos:</w:t>
      </w:r>
    </w:p>
    <w:p w14:paraId="5FAECED0" w14:textId="77777777" w:rsidR="00C53CD3" w:rsidRPr="00AA195B" w:rsidRDefault="00C53CD3" w:rsidP="00C53CD3">
      <w:pPr>
        <w:jc w:val="both"/>
        <w:rPr>
          <w:rFonts w:ascii="Arial" w:hAnsi="Arial" w:cs="Arial"/>
          <w:color w:val="000000" w:themeColor="text1"/>
          <w:sz w:val="22"/>
          <w:lang w:val="es-ES"/>
        </w:rPr>
      </w:pPr>
    </w:p>
    <w:p w14:paraId="5040F626" w14:textId="77777777" w:rsidR="00C53CD3" w:rsidRDefault="00C53CD3" w:rsidP="00C53CD3">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A195B">
        <w:rPr>
          <w:rFonts w:ascii="Arial" w:hAnsi="Arial" w:cs="Arial"/>
          <w:i/>
          <w:iCs/>
          <w:color w:val="000000" w:themeColor="text1"/>
          <w:sz w:val="21"/>
          <w:szCs w:val="21"/>
          <w:lang w:val="es-ES"/>
        </w:rPr>
        <w:t xml:space="preserve">las entidades estatales adopten en beneficio de las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que haya sido determinado en el reglamento</w:t>
      </w:r>
      <w:r>
        <w:rPr>
          <w:rFonts w:ascii="Arial" w:hAnsi="Arial" w:cs="Arial"/>
          <w:i/>
          <w:iCs/>
          <w:color w:val="000000" w:themeColor="text1"/>
          <w:sz w:val="21"/>
          <w:szCs w:val="21"/>
          <w:lang w:val="es-ES"/>
        </w:rPr>
        <w:t xml:space="preserve"> </w:t>
      </w:r>
      <w:r>
        <w:rPr>
          <w:rFonts w:ascii="Arial" w:hAnsi="Arial" w:cs="Arial"/>
          <w:color w:val="000000" w:themeColor="text1"/>
          <w:sz w:val="21"/>
          <w:szCs w:val="21"/>
          <w:lang w:val="es-ES"/>
        </w:rPr>
        <w:t xml:space="preserve">[…] </w:t>
      </w:r>
      <w:r w:rsidRPr="00AA195B">
        <w:rPr>
          <w:rFonts w:ascii="Arial" w:hAnsi="Arial" w:cs="Arial"/>
          <w:color w:val="000000" w:themeColor="text1"/>
          <w:sz w:val="21"/>
          <w:szCs w:val="21"/>
          <w:lang w:val="es-ES"/>
        </w:rPr>
        <w:t>(Cursivas fuera de texto).</w:t>
      </w:r>
    </w:p>
    <w:p w14:paraId="673001EB" w14:textId="77777777" w:rsidR="00C53CD3" w:rsidRPr="00AA195B" w:rsidRDefault="00C53CD3" w:rsidP="00C53CD3">
      <w:pPr>
        <w:ind w:left="709" w:right="709"/>
        <w:jc w:val="both"/>
        <w:rPr>
          <w:rFonts w:ascii="Arial" w:hAnsi="Arial" w:cs="Arial"/>
          <w:color w:val="000000" w:themeColor="text1"/>
          <w:sz w:val="22"/>
          <w:lang w:val="es-ES"/>
        </w:rPr>
      </w:pPr>
    </w:p>
    <w:p w14:paraId="37C686B6" w14:textId="77777777" w:rsidR="00C53CD3" w:rsidRPr="00AA195B" w:rsidRDefault="00C53CD3" w:rsidP="00C53CD3">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El</w:t>
      </w:r>
      <w:r w:rsidRPr="00AA195B">
        <w:rPr>
          <w:rFonts w:ascii="Arial" w:hAnsi="Arial" w:cs="Arial"/>
          <w:color w:val="000000" w:themeColor="text1"/>
          <w:sz w:val="22"/>
          <w:lang w:val="es-ES"/>
        </w:rPr>
        <w:t xml:space="preserve"> Decreto 1082 de 2015</w:t>
      </w:r>
      <w:r>
        <w:rPr>
          <w:rFonts w:ascii="Arial" w:hAnsi="Arial" w:cs="Arial"/>
          <w:color w:val="000000" w:themeColor="text1"/>
          <w:sz w:val="22"/>
          <w:lang w:val="es-ES"/>
        </w:rPr>
        <w:t xml:space="preserve"> </w:t>
      </w:r>
      <w:r w:rsidRPr="00AA195B">
        <w:rPr>
          <w:rFonts w:ascii="Arial" w:hAnsi="Arial" w:cs="Arial"/>
          <w:color w:val="000000" w:themeColor="text1"/>
          <w:sz w:val="22"/>
          <w:lang w:val="es-ES"/>
        </w:rPr>
        <w:t>reglamentó la norma transcrita, adoptando medidas para incentivar</w:t>
      </w:r>
      <w:r>
        <w:rPr>
          <w:rFonts w:ascii="Arial" w:hAnsi="Arial" w:cs="Arial"/>
          <w:color w:val="000000" w:themeColor="text1"/>
          <w:sz w:val="22"/>
          <w:lang w:val="es-ES"/>
        </w:rPr>
        <w:t xml:space="preserve"> a</w:t>
      </w:r>
      <w:r w:rsidRPr="00AA195B">
        <w:rPr>
          <w:rFonts w:ascii="Arial" w:hAnsi="Arial" w:cs="Arial"/>
          <w:color w:val="000000" w:themeColor="text1"/>
          <w:sz w:val="22"/>
          <w:lang w:val="es-ES"/>
        </w:rPr>
        <w:t xml:space="preserve"> la</w:t>
      </w:r>
      <w:r>
        <w:rPr>
          <w:rFonts w:ascii="Arial" w:hAnsi="Arial" w:cs="Arial"/>
          <w:color w:val="000000" w:themeColor="text1"/>
          <w:sz w:val="22"/>
          <w:lang w:val="es-ES"/>
        </w:rPr>
        <w:t xml:space="preserve">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la</w:t>
      </w:r>
      <w:r w:rsidRPr="00AA195B">
        <w:rPr>
          <w:rFonts w:ascii="Arial" w:hAnsi="Arial" w:cs="Arial"/>
          <w:color w:val="000000" w:themeColor="text1"/>
          <w:sz w:val="22"/>
          <w:lang w:val="es-ES"/>
        </w:rPr>
        <w:t xml:space="preserve"> contratación pública. Dentro de estas medidas se </w:t>
      </w:r>
      <w:r>
        <w:rPr>
          <w:rFonts w:ascii="Arial" w:hAnsi="Arial" w:cs="Arial"/>
          <w:color w:val="000000" w:themeColor="text1"/>
          <w:sz w:val="22"/>
          <w:lang w:val="es-ES"/>
        </w:rPr>
        <w:t>destacan</w:t>
      </w:r>
      <w:r w:rsidRPr="00AA195B">
        <w:rPr>
          <w:rFonts w:ascii="Arial" w:hAnsi="Arial" w:cs="Arial"/>
          <w:color w:val="000000" w:themeColor="text1"/>
          <w:sz w:val="22"/>
          <w:lang w:val="es-ES"/>
        </w:rPr>
        <w:t xml:space="preserve">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y la «limitación territorial»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contenidas, respectivamente, en los artículos 2.2.1.2.4.2.2. y 2.2.1.2.4.2.3. Este último dice lo siguiente:</w:t>
      </w:r>
    </w:p>
    <w:p w14:paraId="562AD500" w14:textId="77777777" w:rsidR="00C53CD3" w:rsidRPr="00AA195B" w:rsidRDefault="00C53CD3" w:rsidP="00C53CD3">
      <w:pPr>
        <w:ind w:firstLine="709"/>
        <w:jc w:val="both"/>
        <w:rPr>
          <w:rFonts w:ascii="Arial" w:hAnsi="Arial" w:cs="Arial"/>
          <w:color w:val="000000" w:themeColor="text1"/>
          <w:sz w:val="22"/>
          <w:lang w:val="es-ES"/>
        </w:rPr>
      </w:pPr>
    </w:p>
    <w:p w14:paraId="443A3585" w14:textId="77777777" w:rsidR="00C53CD3" w:rsidRPr="00AA195B" w:rsidRDefault="00C53CD3" w:rsidP="00C53CD3">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Las Entidades Estatales pueden realizar convocatorias limitadas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082404F7" w14:textId="77777777" w:rsidR="00C53CD3" w:rsidRPr="00AA195B" w:rsidRDefault="00C53CD3" w:rsidP="00C53CD3">
      <w:pPr>
        <w:ind w:left="709" w:right="760"/>
        <w:jc w:val="both"/>
        <w:rPr>
          <w:rFonts w:ascii="Arial" w:hAnsi="Arial" w:cs="Arial"/>
          <w:color w:val="000000" w:themeColor="text1"/>
          <w:sz w:val="21"/>
          <w:szCs w:val="21"/>
          <w:lang w:val="es-ES"/>
        </w:rPr>
      </w:pPr>
    </w:p>
    <w:p w14:paraId="68DF1C71" w14:textId="77777777" w:rsidR="00C53CD3" w:rsidRPr="00AA195B" w:rsidRDefault="00C53CD3" w:rsidP="00C53CD3">
      <w:pPr>
        <w:ind w:right="760"/>
        <w:jc w:val="both"/>
        <w:rPr>
          <w:rFonts w:ascii="Arial" w:hAnsi="Arial" w:cs="Arial"/>
          <w:color w:val="000000" w:themeColor="text1"/>
          <w:sz w:val="22"/>
          <w:lang w:val="es-ES"/>
        </w:rPr>
      </w:pPr>
      <w:r w:rsidRPr="00AA195B">
        <w:rPr>
          <w:rFonts w:ascii="Arial" w:hAnsi="Arial" w:cs="Arial"/>
          <w:color w:val="000000" w:themeColor="text1"/>
          <w:sz w:val="22"/>
          <w:lang w:val="es-ES"/>
        </w:rPr>
        <w:t>El artículo 2.2.1.2.4.2.2., por su parte</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w:t>
      </w:r>
      <w:r>
        <w:rPr>
          <w:rFonts w:ascii="Arial" w:hAnsi="Arial" w:cs="Arial"/>
          <w:color w:val="000000" w:themeColor="text1"/>
          <w:sz w:val="22"/>
          <w:lang w:val="es-ES"/>
        </w:rPr>
        <w:t>dispone que</w:t>
      </w:r>
      <w:r w:rsidRPr="00AA195B">
        <w:rPr>
          <w:rFonts w:ascii="Arial" w:hAnsi="Arial" w:cs="Arial"/>
          <w:color w:val="000000" w:themeColor="text1"/>
          <w:sz w:val="22"/>
          <w:lang w:val="es-ES"/>
        </w:rPr>
        <w:t>:</w:t>
      </w:r>
    </w:p>
    <w:p w14:paraId="52531B67" w14:textId="77777777" w:rsidR="00C53CD3" w:rsidRPr="00AA195B" w:rsidRDefault="00C53CD3" w:rsidP="00C53CD3">
      <w:pPr>
        <w:ind w:left="709" w:right="760"/>
        <w:jc w:val="both"/>
        <w:rPr>
          <w:rFonts w:ascii="Arial" w:hAnsi="Arial" w:cs="Arial"/>
          <w:color w:val="000000" w:themeColor="text1"/>
          <w:sz w:val="21"/>
          <w:szCs w:val="21"/>
          <w:lang w:val="es-ES"/>
        </w:rPr>
      </w:pPr>
    </w:p>
    <w:p w14:paraId="594F1E06" w14:textId="77777777" w:rsidR="00C53CD3" w:rsidRPr="00AA195B" w:rsidRDefault="00C53CD3" w:rsidP="00C53CD3">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La Entidad Estatal debe limitar a las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4B3FC3B1" w14:textId="77777777" w:rsidR="00C53CD3" w:rsidRPr="00AA195B" w:rsidRDefault="00C53CD3" w:rsidP="00C53CD3">
      <w:pPr>
        <w:ind w:left="709" w:right="760"/>
        <w:jc w:val="both"/>
        <w:rPr>
          <w:rFonts w:ascii="Arial" w:hAnsi="Arial" w:cs="Arial"/>
          <w:color w:val="000000" w:themeColor="text1"/>
          <w:sz w:val="21"/>
          <w:szCs w:val="21"/>
          <w:lang w:val="es-ES"/>
        </w:rPr>
      </w:pPr>
    </w:p>
    <w:p w14:paraId="68432C46" w14:textId="77777777" w:rsidR="00C53CD3" w:rsidRPr="00AA195B" w:rsidRDefault="00C53CD3" w:rsidP="00C53CD3">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74066480" w14:textId="77777777" w:rsidR="00C53CD3" w:rsidRPr="00AA195B" w:rsidRDefault="00C53CD3" w:rsidP="00C53CD3">
      <w:pPr>
        <w:pStyle w:val="Prrafodelista"/>
        <w:ind w:left="709" w:right="760"/>
        <w:jc w:val="both"/>
        <w:rPr>
          <w:rFonts w:ascii="Arial" w:hAnsi="Arial" w:cs="Arial"/>
          <w:color w:val="000000" w:themeColor="text1"/>
          <w:sz w:val="21"/>
          <w:szCs w:val="21"/>
          <w:lang w:val="es-ES"/>
        </w:rPr>
      </w:pPr>
    </w:p>
    <w:p w14:paraId="344A71FF" w14:textId="77777777" w:rsidR="00C53CD3" w:rsidRPr="00AA195B" w:rsidRDefault="00C53CD3" w:rsidP="00C53CD3">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2. La Entidad Estatal ha recibido solicitudes de por lo menos tres (3)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para limitar la convocatoria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270401E7" w14:textId="77777777" w:rsidR="00C53CD3" w:rsidRPr="00AA195B" w:rsidRDefault="00C53CD3" w:rsidP="00C53CD3">
      <w:pPr>
        <w:jc w:val="both"/>
        <w:rPr>
          <w:rFonts w:ascii="Arial" w:hAnsi="Arial" w:cs="Arial"/>
          <w:color w:val="000000" w:themeColor="text1"/>
          <w:sz w:val="20"/>
          <w:szCs w:val="20"/>
          <w:lang w:val="es-ES"/>
        </w:rPr>
      </w:pPr>
    </w:p>
    <w:p w14:paraId="5FC9D295" w14:textId="77777777" w:rsidR="00C53CD3" w:rsidRPr="00AA195B" w:rsidRDefault="00C53CD3" w:rsidP="00C53CD3">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Puede decirse, entonces, que el Decreto 1082 de 2015 regula la limitación de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dos normas distintas, las cuales, sin embargo, deben leerse conjunta y armónicamente. Por un lado, una disposición prevé los requisitos generales para que la entidad limite sus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y por el otro </w:t>
      </w:r>
      <w:r>
        <w:rPr>
          <w:rFonts w:ascii="Arial" w:hAnsi="Arial" w:cs="Arial"/>
          <w:color w:val="000000" w:themeColor="text1"/>
          <w:sz w:val="22"/>
          <w:lang w:val="es-ES"/>
        </w:rPr>
        <w:t>se</w:t>
      </w:r>
      <w:r w:rsidRPr="00AA195B">
        <w:rPr>
          <w:rFonts w:ascii="Arial" w:hAnsi="Arial" w:cs="Arial"/>
          <w:color w:val="000000" w:themeColor="text1"/>
          <w:sz w:val="22"/>
          <w:lang w:val="es-ES"/>
        </w:rPr>
        <w:t xml:space="preserve"> establece la posibilidad de regular la convocatoria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domiciliadas en los departamentos o municipios donde se ejecutar</w:t>
      </w:r>
      <w:r>
        <w:rPr>
          <w:rFonts w:ascii="Arial" w:hAnsi="Arial" w:cs="Arial"/>
          <w:color w:val="000000" w:themeColor="text1"/>
          <w:sz w:val="22"/>
          <w:lang w:val="es-ES"/>
        </w:rPr>
        <w:t>á</w:t>
      </w:r>
      <w:r w:rsidRPr="00AA195B">
        <w:rPr>
          <w:rFonts w:ascii="Arial" w:hAnsi="Arial" w:cs="Arial"/>
          <w:color w:val="000000" w:themeColor="text1"/>
          <w:sz w:val="22"/>
          <w:lang w:val="es-ES"/>
        </w:rPr>
        <w:t xml:space="preserve"> el contrato</w:t>
      </w:r>
      <w:r>
        <w:rPr>
          <w:rFonts w:ascii="Arial" w:hAnsi="Arial" w:cs="Arial"/>
          <w:color w:val="000000" w:themeColor="text1"/>
          <w:sz w:val="22"/>
          <w:lang w:val="es-ES"/>
        </w:rPr>
        <w:t xml:space="preserve">. </w:t>
      </w:r>
    </w:p>
    <w:p w14:paraId="5CA08BE6" w14:textId="77777777" w:rsidR="00C53CD3" w:rsidRDefault="00C53CD3" w:rsidP="00C53CD3">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señalados, a modo enunciativo, las políticas se han materializado otorgando puntos adicionales o mediante la modalidad de contratación reservada o limitada –para el caso de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No obstante, los incentivos contractuales o precontractuales no se agotan allí. En</w:t>
      </w:r>
      <w:r>
        <w:rPr>
          <w:rFonts w:ascii="Arial" w:eastAsia="Calibri" w:hAnsi="Arial" w:cs="Arial"/>
          <w:color w:val="000000" w:themeColor="text1"/>
          <w:sz w:val="22"/>
          <w:lang w:val="es-ES"/>
        </w:rPr>
        <w:t xml:space="preserve"> adición a esos incentivos, el ordenamiento prevé uno adicional: los criterios de desempate. En este sentido, </w:t>
      </w:r>
      <w:r w:rsidRPr="00593BA7">
        <w:rPr>
          <w:rFonts w:ascii="Arial" w:eastAsia="Calibri" w:hAnsi="Arial" w:cs="Arial"/>
          <w:color w:val="000000" w:themeColor="text1"/>
          <w:sz w:val="22"/>
          <w:lang w:val="es-ES"/>
        </w:rPr>
        <w:t>el artículo 2.2.1.1.2.2.9. del Decreto 1082 de 2015</w:t>
      </w:r>
      <w:r>
        <w:rPr>
          <w:rFonts w:ascii="Arial" w:eastAsia="Calibri" w:hAnsi="Arial" w:cs="Arial"/>
          <w:color w:val="000000" w:themeColor="text1"/>
          <w:sz w:val="22"/>
          <w:lang w:val="es-ES"/>
        </w:rPr>
        <w:t xml:space="preserve"> dispone</w:t>
      </w:r>
      <w:r w:rsidRPr="00593BA7">
        <w:rPr>
          <w:rFonts w:ascii="Arial" w:eastAsia="Calibri" w:hAnsi="Arial" w:cs="Arial"/>
          <w:color w:val="000000" w:themeColor="text1"/>
          <w:sz w:val="22"/>
          <w:lang w:val="es-ES"/>
        </w:rPr>
        <w:t xml:space="preserve">: </w:t>
      </w:r>
    </w:p>
    <w:p w14:paraId="1623D45E" w14:textId="77777777" w:rsidR="00C53CD3" w:rsidRPr="00257370" w:rsidRDefault="00C53CD3" w:rsidP="00C53CD3">
      <w:pPr>
        <w:spacing w:line="276" w:lineRule="auto"/>
        <w:ind w:firstLine="709"/>
        <w:jc w:val="both"/>
        <w:rPr>
          <w:rFonts w:ascii="Arial" w:eastAsiaTheme="minorHAnsi" w:hAnsi="Arial" w:cs="Arial"/>
          <w:color w:val="000000" w:themeColor="text1"/>
          <w:sz w:val="22"/>
          <w:lang w:val="es-ES"/>
        </w:rPr>
      </w:pPr>
    </w:p>
    <w:p w14:paraId="7796DD82"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71BCA961"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6DBAD078"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32DC6A87"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4CEF9C47"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1.    Preferir la oferta de bienes o servicios nacionales frente a la oferta de bienes o servicios extranjeros.</w:t>
      </w:r>
    </w:p>
    <w:p w14:paraId="1F4B2477"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20C2A673"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2.    Preferir las ofertas presentada por una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nacional.</w:t>
      </w:r>
    </w:p>
    <w:p w14:paraId="66784C9D"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301FFDC6"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lastRenderedPageBreak/>
        <w:t xml:space="preserve">3.    Preferir la oferta presentada por un consorcio, unión temporal o promesa de sociedad futura siempre que: (a) esté conformado por al menos una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nacional que tenga una participación de por lo menos el veinticinco por ciento (25%); (b) la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aporte mínimo el veinticinco por ciento (25%) de la experiencia acreditada en la oferta; y (c) ni la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ni sus accionistas, socios o representantes legales sean empleados, socios o accionistas de los miembros del consorcio, unión temporal o promesa de sociedad futura.</w:t>
      </w:r>
    </w:p>
    <w:p w14:paraId="56576D7E"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73106F6F" w14:textId="51185DB3"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593BA7">
        <w:rPr>
          <w:rFonts w:ascii="Arial" w:eastAsia="Calibri" w:hAnsi="Arial" w:cs="Arial"/>
          <w:sz w:val="21"/>
          <w:szCs w:val="21"/>
          <w:lang w:val="es-ES"/>
        </w:rPr>
        <w:t>Ley 361 de 1997</w:t>
      </w:r>
      <w:r w:rsidRPr="00593BA7">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88FEE68" w14:textId="77777777" w:rsidR="00C53CD3" w:rsidRPr="00593BA7" w:rsidRDefault="00C53CD3" w:rsidP="00030539">
      <w:pPr>
        <w:tabs>
          <w:tab w:val="left" w:pos="709"/>
        </w:tabs>
        <w:ind w:left="709" w:right="709"/>
        <w:jc w:val="both"/>
        <w:rPr>
          <w:rFonts w:ascii="Arial" w:eastAsia="Calibri" w:hAnsi="Arial" w:cs="Arial"/>
          <w:color w:val="000000" w:themeColor="text1"/>
          <w:sz w:val="21"/>
          <w:szCs w:val="21"/>
          <w:lang w:val="es-ES"/>
        </w:rPr>
      </w:pPr>
    </w:p>
    <w:p w14:paraId="24B9FA01" w14:textId="77777777" w:rsidR="00C53CD3" w:rsidRPr="00257370" w:rsidRDefault="00C53CD3" w:rsidP="00030539">
      <w:pPr>
        <w:tabs>
          <w:tab w:val="left" w:pos="993"/>
        </w:tabs>
        <w:ind w:left="709" w:right="709"/>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0DB8B343" w14:textId="77777777" w:rsidR="00C53CD3" w:rsidRDefault="00C53CD3" w:rsidP="00C53CD3">
      <w:pPr>
        <w:spacing w:line="276" w:lineRule="auto"/>
        <w:ind w:firstLine="709"/>
        <w:jc w:val="both"/>
        <w:rPr>
          <w:rFonts w:ascii="Arial" w:hAnsi="Arial" w:cs="Arial"/>
          <w:color w:val="000000" w:themeColor="text1"/>
          <w:sz w:val="22"/>
          <w:lang w:val="es-ES"/>
        </w:rPr>
      </w:pPr>
    </w:p>
    <w:p w14:paraId="01C1BBFA" w14:textId="77777777" w:rsidR="00C53CD3" w:rsidRPr="00593BA7" w:rsidRDefault="00C53CD3" w:rsidP="00C53CD3">
      <w:pPr>
        <w:spacing w:line="276" w:lineRule="auto"/>
        <w:jc w:val="both"/>
        <w:rPr>
          <w:rFonts w:ascii="Arial" w:hAnsi="Arial" w:cs="Arial"/>
          <w:b/>
          <w:color w:val="000000" w:themeColor="text1"/>
          <w:sz w:val="22"/>
          <w:lang w:val="es-ES"/>
        </w:rPr>
      </w:pPr>
      <w:r w:rsidRPr="00593BA7">
        <w:rPr>
          <w:rFonts w:ascii="Arial" w:hAnsi="Arial" w:cs="Arial"/>
          <w:b/>
          <w:color w:val="000000" w:themeColor="text1"/>
          <w:sz w:val="22"/>
          <w:lang w:val="es-ES"/>
        </w:rPr>
        <w:t>2.2. Criterio de desempate creado por el artículo 3º de la Ley 2040 de 2020: incentivo contractual y política horizontal</w:t>
      </w:r>
    </w:p>
    <w:p w14:paraId="005526DD" w14:textId="77777777" w:rsidR="00C53CD3" w:rsidRDefault="00C53CD3" w:rsidP="00C53CD3">
      <w:pPr>
        <w:spacing w:line="276" w:lineRule="auto"/>
        <w:jc w:val="both"/>
        <w:rPr>
          <w:rFonts w:ascii="Arial" w:hAnsi="Arial" w:cs="Arial"/>
          <w:color w:val="000000" w:themeColor="text1"/>
          <w:sz w:val="22"/>
          <w:lang w:val="es-ES"/>
        </w:rPr>
      </w:pPr>
    </w:p>
    <w:p w14:paraId="5DC092E0" w14:textId="77777777" w:rsidR="00C53CD3" w:rsidRDefault="00C53CD3" w:rsidP="00C53CD3">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Con base en las explicaciones anteriores es posible entender, de manera más sencilla, el contenido de la Ley 2040 de 2020, «</w:t>
      </w:r>
      <w:r w:rsidRPr="00593BA7">
        <w:rPr>
          <w:rFonts w:ascii="Arial" w:hAnsi="Arial" w:cs="Arial"/>
          <w:color w:val="000000" w:themeColor="text1"/>
          <w:sz w:val="22"/>
          <w:lang w:val="es-ES"/>
        </w:rPr>
        <w:t>por medio de la cual se adoptan medidas para impulsar el trabajo para adultos mayores y se dictan otras disposiciones</w:t>
      </w:r>
      <w:r>
        <w:rPr>
          <w:rFonts w:ascii="Arial" w:hAnsi="Arial" w:cs="Arial"/>
          <w:color w:val="000000" w:themeColor="text1"/>
          <w:sz w:val="22"/>
          <w:lang w:val="es-ES"/>
        </w:rPr>
        <w:t xml:space="preserve">». En esta ley la política del legislador es clara: establecer medidas que incrementen la empleabilidad de adultos mayores que, cumplida la edad de jubilación, no cuentan con pensión de vejez, familiar o sobrevivencia. </w:t>
      </w:r>
    </w:p>
    <w:p w14:paraId="3FCF7AC1" w14:textId="77777777" w:rsidR="00C53CD3" w:rsidRDefault="00C53CD3" w:rsidP="00C53CD3">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 xml:space="preserve">La Ley adopta instrumentos diversos, entre los cuales se cuentan una reducción del impuesto sobre la renta por contratación de adultos mayores –artículo 2–, la creación del </w:t>
      </w:r>
      <w:r w:rsidRPr="006606B2">
        <w:rPr>
          <w:rFonts w:ascii="Arial" w:hAnsi="Arial" w:cs="Arial"/>
          <w:color w:val="000000" w:themeColor="text1"/>
          <w:sz w:val="22"/>
          <w:lang w:val="es-ES"/>
        </w:rPr>
        <w:t>sello amigable</w:t>
      </w:r>
      <w:r>
        <w:rPr>
          <w:rFonts w:ascii="Arial" w:hAnsi="Arial" w:cs="Arial"/>
          <w:color w:val="000000" w:themeColor="text1"/>
          <w:sz w:val="22"/>
          <w:lang w:val="es-ES"/>
        </w:rPr>
        <w:t xml:space="preserve"> </w:t>
      </w:r>
      <w:r w:rsidRPr="004C548A">
        <w:rPr>
          <w:rFonts w:ascii="Arial" w:hAnsi="Arial" w:cs="Arial"/>
          <w:color w:val="000000" w:themeColor="text1"/>
          <w:sz w:val="22"/>
          <w:lang w:val="es-ES"/>
        </w:rPr>
        <w:t>«adulto mayor»</w:t>
      </w:r>
      <w:r>
        <w:rPr>
          <w:rFonts w:ascii="Arial" w:hAnsi="Arial" w:cs="Arial"/>
          <w:color w:val="000000" w:themeColor="text1"/>
          <w:sz w:val="22"/>
          <w:lang w:val="es-ES"/>
        </w:rPr>
        <w:t xml:space="preserve"> para identificar a las empresas que vinculen a adultos mayores que no cuentan con pensión –artículo 7–, y la creación de la </w:t>
      </w:r>
      <w:r>
        <w:rPr>
          <w:rFonts w:ascii="Verdana" w:hAnsi="Verdana" w:cs="Arial"/>
          <w:color w:val="000000" w:themeColor="text1"/>
          <w:sz w:val="22"/>
          <w:lang w:val="es-ES"/>
        </w:rPr>
        <w:t>«</w:t>
      </w:r>
      <w:r>
        <w:rPr>
          <w:rFonts w:ascii="Arial" w:hAnsi="Arial" w:cs="Arial"/>
          <w:color w:val="000000" w:themeColor="text1"/>
          <w:sz w:val="22"/>
          <w:lang w:val="es-ES"/>
        </w:rPr>
        <w:t xml:space="preserve">Ruta </w:t>
      </w:r>
      <w:r w:rsidRPr="004C548A">
        <w:rPr>
          <w:rFonts w:ascii="Arial" w:hAnsi="Arial" w:cs="Arial"/>
          <w:color w:val="000000" w:themeColor="text1"/>
          <w:sz w:val="22"/>
          <w:lang w:val="es-ES"/>
        </w:rPr>
        <w:t>para el emprendimiento del adulto mayor»</w:t>
      </w:r>
      <w:r>
        <w:rPr>
          <w:rFonts w:ascii="Arial" w:hAnsi="Arial" w:cs="Arial"/>
          <w:color w:val="000000" w:themeColor="text1"/>
          <w:sz w:val="22"/>
          <w:lang w:val="es-ES"/>
        </w:rPr>
        <w:t xml:space="preserve"> para que los adultos mayores puedan poner en marcha su propia empresa –artículo 10–. Todos estos son mecanismos para cumplir su finalidad: </w:t>
      </w:r>
      <w:r w:rsidRPr="006606B2">
        <w:rPr>
          <w:rFonts w:ascii="Arial" w:hAnsi="Arial" w:cs="Arial"/>
          <w:color w:val="000000" w:themeColor="text1"/>
          <w:sz w:val="22"/>
          <w:lang w:val="es-ES"/>
        </w:rPr>
        <w:t>incrementar la empleabilidad de los adultos mayores, lo que a la postre, se espera, se traducirá en mayor empleo para este sector vulnerable de la población.</w:t>
      </w:r>
      <w:r>
        <w:rPr>
          <w:rFonts w:ascii="Arial" w:hAnsi="Arial" w:cs="Arial"/>
          <w:color w:val="000000" w:themeColor="text1"/>
          <w:sz w:val="22"/>
          <w:lang w:val="es-ES"/>
        </w:rPr>
        <w:t xml:space="preserve"> </w:t>
      </w:r>
    </w:p>
    <w:p w14:paraId="15A51076" w14:textId="77777777" w:rsidR="00C53CD3" w:rsidRPr="00593BA7" w:rsidRDefault="00C53CD3" w:rsidP="00C53CD3">
      <w:pPr>
        <w:spacing w:line="276" w:lineRule="auto"/>
        <w:jc w:val="both"/>
        <w:rPr>
          <w:rFonts w:ascii="Arial" w:hAnsi="Arial" w:cs="Arial"/>
          <w:color w:val="000000" w:themeColor="text1"/>
          <w:sz w:val="22"/>
          <w:lang w:val="es-ES"/>
        </w:rPr>
      </w:pPr>
      <w:r>
        <w:rPr>
          <w:rFonts w:ascii="Arial" w:hAnsi="Arial" w:cs="Arial"/>
          <w:color w:val="000000" w:themeColor="text1"/>
          <w:sz w:val="22"/>
          <w:lang w:val="es-ES"/>
        </w:rPr>
        <w:tab/>
        <w:t>La Ley 2040 de 2020, además de las estrategias referidas, contiene un mecanismo que forma parte del Estatuto General de Contratación de la Administración Pública. Se hace referencia al artículo 3 de dicha ley, que adiciona</w:t>
      </w:r>
      <w:r w:rsidRPr="00593BA7">
        <w:rPr>
          <w:rFonts w:ascii="Arial" w:hAnsi="Arial" w:cs="Arial"/>
          <w:color w:val="000000" w:themeColor="text1"/>
          <w:sz w:val="22"/>
          <w:lang w:val="es-ES"/>
        </w:rPr>
        <w:t xml:space="preserve"> un parágrafo al artículo 12 de la Ley 1150 de 2007: </w:t>
      </w:r>
    </w:p>
    <w:p w14:paraId="78754A3E" w14:textId="77777777" w:rsidR="00C53CD3" w:rsidRPr="00593BA7" w:rsidRDefault="00C53CD3" w:rsidP="00C53CD3">
      <w:pPr>
        <w:tabs>
          <w:tab w:val="left" w:pos="709"/>
        </w:tabs>
        <w:spacing w:line="276" w:lineRule="auto"/>
        <w:jc w:val="both"/>
        <w:rPr>
          <w:rFonts w:ascii="Arial" w:hAnsi="Arial" w:cs="Arial"/>
          <w:color w:val="000000" w:themeColor="text1"/>
          <w:sz w:val="22"/>
          <w:lang w:val="es-ES"/>
        </w:rPr>
      </w:pPr>
    </w:p>
    <w:p w14:paraId="46AE2263" w14:textId="77777777" w:rsidR="00C53CD3" w:rsidRDefault="00C53CD3" w:rsidP="00C53CD3">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lastRenderedPageBreak/>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14:paraId="2169FF2B"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p>
    <w:p w14:paraId="7A6EC7DE" w14:textId="77777777" w:rsidR="00C53CD3" w:rsidRDefault="00C53CD3" w:rsidP="00C53CD3">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la misma. </w:t>
      </w:r>
    </w:p>
    <w:p w14:paraId="06F69925"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p>
    <w:p w14:paraId="3D5DDFE8" w14:textId="77777777" w:rsidR="00C53CD3" w:rsidRDefault="00C53CD3" w:rsidP="00C53CD3">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55639B5A"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p>
    <w:p w14:paraId="694B9DE4" w14:textId="77777777" w:rsidR="00C53CD3" w:rsidRPr="00593BA7" w:rsidRDefault="00C53CD3" w:rsidP="00C53CD3">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14F517A3" w14:textId="77777777" w:rsidR="00C53CD3" w:rsidRPr="00593BA7" w:rsidRDefault="00C53CD3" w:rsidP="00C53CD3">
      <w:pPr>
        <w:tabs>
          <w:tab w:val="left" w:pos="426"/>
        </w:tabs>
        <w:spacing w:line="276" w:lineRule="auto"/>
        <w:jc w:val="both"/>
        <w:rPr>
          <w:rFonts w:ascii="Arial" w:eastAsia="Calibri" w:hAnsi="Arial" w:cs="Arial"/>
          <w:color w:val="000000" w:themeColor="text1"/>
          <w:sz w:val="22"/>
          <w:lang w:val="es-ES"/>
        </w:rPr>
      </w:pPr>
    </w:p>
    <w:p w14:paraId="19987998"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La política horizontal perseguida es maximizar el número de personas vinculadas laboralmente a empresas contratistas del Estado que hayan cumplido con el requisito de edad y no cuenten con una pensión </w:t>
      </w:r>
      <w:r w:rsidRPr="00D51132">
        <w:rPr>
          <w:rFonts w:ascii="Arial" w:eastAsia="Calibri" w:hAnsi="Arial" w:cs="Arial"/>
          <w:color w:val="000000" w:themeColor="text1"/>
          <w:sz w:val="22"/>
          <w:lang w:val="es-ES"/>
        </w:rPr>
        <w:t>de vejez, familiar o de sobrevivencia</w:t>
      </w:r>
      <w:r>
        <w:rPr>
          <w:rFonts w:ascii="Arial" w:eastAsia="Calibri" w:hAnsi="Arial" w:cs="Arial"/>
          <w:color w:val="000000" w:themeColor="text1"/>
          <w:sz w:val="22"/>
          <w:lang w:val="es-ES"/>
        </w:rPr>
        <w:t xml:space="preserve">. </w:t>
      </w:r>
    </w:p>
    <w:p w14:paraId="097D8A99"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De otra parte, el incentivo, en el esquema de la contratación estatal, es la creación de un criterio de desempate para favorecer a la empresa que tenga un porcentaje mayor –no un número mayor– de adultos mayores contratados que no cuenten con una pensión </w:t>
      </w:r>
      <w:r w:rsidRPr="00D51132">
        <w:rPr>
          <w:rFonts w:ascii="Arial" w:eastAsia="Calibri" w:hAnsi="Arial" w:cs="Arial"/>
          <w:color w:val="000000" w:themeColor="text1"/>
          <w:sz w:val="22"/>
          <w:lang w:val="es-ES"/>
        </w:rPr>
        <w:t>de vejez, familiar o de sobrevivencia</w:t>
      </w:r>
      <w:r>
        <w:rPr>
          <w:rFonts w:ascii="Arial" w:eastAsia="Calibri" w:hAnsi="Arial" w:cs="Arial"/>
          <w:color w:val="000000" w:themeColor="text1"/>
          <w:sz w:val="22"/>
          <w:lang w:val="es-ES"/>
        </w:rPr>
        <w:t xml:space="preserve">. La norma procura que los potenciales contratistas del Estado incrementen el porcentaje de adultos mayores vinculados a su planta de personal, con el fin de ser beneficiarios de este criterio de desempate en un eventual procedimiento de selección. Es importante reseñar que solamente se podrá tener en cuenta al personal con vinculación mayor o igual a un año, o que esté vinculado desde la constitución del proponente, para aquellos cuya constitución es inferior al año. </w:t>
      </w:r>
    </w:p>
    <w:p w14:paraId="303AC2E9"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Adicionalmente, el inciso 3 de la misma disposición establece que el contratista que haya obtenido un contrato estatal, sirviéndose de este criterio de desempate, debe mantener el mismo porcentaje de personal vinculado en esta condición, en su planta de personal, durante el plazo de ejecución del contrato. Es decir, el criterio de desempate se convierte en una obligación contractual por mandato de la ley –otra forma de materializar políticas horizontales– en caso de que la adjudicación del contrato se hubiera obtenido con base en este criterio. El mismo inciso establece una sanción para quienes incumplan la obligación </w:t>
      </w:r>
      <w:r>
        <w:rPr>
          <w:rFonts w:ascii="Arial" w:eastAsia="Calibri" w:hAnsi="Arial" w:cs="Arial"/>
          <w:color w:val="000000" w:themeColor="text1"/>
          <w:sz w:val="22"/>
          <w:lang w:val="es-ES"/>
        </w:rPr>
        <w:lastRenderedPageBreak/>
        <w:t xml:space="preserve">durante la etapa de ejecución: no podrán hacer uso de este beneficio durante el término de 5 años.  </w:t>
      </w:r>
    </w:p>
    <w:p w14:paraId="59542861"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relación con la acreditación del criterio de desempate, el inciso 4 establece que se debe demostrar el porcentaje de adultos mayores contratados con una certificación, expedida bajo la gravedad de juramento, del total de trabajadores que cumplan con lo señalado en la norma y que se encuentren vinculados a la planta de personal del oferente a la fecha de cierre del proceso de selección. Esta certificación debe ser expedida, según el caso, por la persona natural, el representante legal de la persona jurídica o su revisor fiscal. </w:t>
      </w:r>
    </w:p>
    <w:p w14:paraId="0C9DF2E0"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Es posible afirmar que, desde el punto de vista del mecanismo, el legislador optó por concretar la política horizontal a través de un criterio de desempate. Ello plantea, como se indica en la consulta, algunas dificultades prácticas, pues se trata de un criterio adicional a los establecidos en </w:t>
      </w:r>
      <w:r w:rsidRPr="00593BA7">
        <w:rPr>
          <w:rFonts w:ascii="Arial" w:eastAsia="Calibri" w:hAnsi="Arial" w:cs="Arial"/>
          <w:color w:val="000000" w:themeColor="text1"/>
          <w:sz w:val="22"/>
          <w:lang w:val="es-ES"/>
        </w:rPr>
        <w:t>el artículo 2.2.1.1.2.2.9. del Decreto 1082 de 2015</w:t>
      </w:r>
      <w:r>
        <w:rPr>
          <w:rFonts w:ascii="Arial" w:eastAsia="Calibri" w:hAnsi="Arial" w:cs="Arial"/>
          <w:color w:val="000000" w:themeColor="text1"/>
          <w:sz w:val="22"/>
          <w:lang w:val="es-ES"/>
        </w:rPr>
        <w:t xml:space="preserve">. Este artículo encuentra soporte en otras normas del ordenamiento y reglamenta estos criterios de desempate, de modo que allí se organizan y jerarquizan los criterios que favorecen los bienes y servicios nacionales, las </w:t>
      </w:r>
      <w:proofErr w:type="spellStart"/>
      <w:r>
        <w:rPr>
          <w:rFonts w:ascii="Arial" w:eastAsia="Calibri" w:hAnsi="Arial" w:cs="Arial"/>
          <w:color w:val="000000" w:themeColor="text1"/>
          <w:sz w:val="22"/>
          <w:lang w:val="es-ES"/>
        </w:rPr>
        <w:t>Mipymes</w:t>
      </w:r>
      <w:proofErr w:type="spellEnd"/>
      <w:r>
        <w:rPr>
          <w:rFonts w:ascii="Arial" w:eastAsia="Calibri" w:hAnsi="Arial" w:cs="Arial"/>
          <w:color w:val="000000" w:themeColor="text1"/>
          <w:sz w:val="22"/>
          <w:lang w:val="es-ES"/>
        </w:rPr>
        <w:t xml:space="preserve"> y los oferentes que hayan vinculado personas en condición de discapacidad, en cierto porcentaje, en su planta de personal.  </w:t>
      </w:r>
    </w:p>
    <w:p w14:paraId="227B227D" w14:textId="77777777" w:rsidR="00C53CD3" w:rsidRPr="006606B2" w:rsidRDefault="00C53CD3" w:rsidP="00C53CD3">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La dificultad práctica</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frente a la nueva ley, </w:t>
      </w:r>
      <w:r w:rsidRPr="006606B2">
        <w:rPr>
          <w:rFonts w:ascii="Arial" w:eastAsia="Calibri" w:hAnsi="Arial" w:cs="Arial"/>
          <w:color w:val="000000" w:themeColor="text1"/>
          <w:sz w:val="22"/>
          <w:lang w:val="es-ES"/>
        </w:rPr>
        <w:t xml:space="preserve">radica en que, exclusivamente con base en el ordenamiento vigente, no es posible determinar con certeza cómo debe articularse el criterio de desempate de la Ley 2040 de 2020 con </w:t>
      </w:r>
      <w:r>
        <w:rPr>
          <w:rFonts w:ascii="Arial" w:eastAsia="Calibri" w:hAnsi="Arial" w:cs="Arial"/>
          <w:color w:val="000000" w:themeColor="text1"/>
          <w:sz w:val="22"/>
          <w:lang w:val="es-ES"/>
        </w:rPr>
        <w:t xml:space="preserve">los </w:t>
      </w:r>
      <w:r w:rsidRPr="006606B2">
        <w:rPr>
          <w:rFonts w:ascii="Arial" w:eastAsia="Calibri" w:hAnsi="Arial" w:cs="Arial"/>
          <w:color w:val="000000" w:themeColor="text1"/>
          <w:sz w:val="22"/>
          <w:lang w:val="es-ES"/>
        </w:rPr>
        <w:t xml:space="preserve">que preexisten en el ordenamiento. </w:t>
      </w:r>
    </w:p>
    <w:p w14:paraId="68E6E834"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 xml:space="preserve">En relación con este aspecto, el nuevo parágrafo 4 del artículo 12 de la Ley 1150 de 2007 simplemente ordena que «se preferirá», lo cual, bajo una interpretación literal y aislada del parágrafo podría llevar a pensar que se ubica en </w:t>
      </w:r>
      <w:r>
        <w:rPr>
          <w:rFonts w:ascii="Arial" w:eastAsia="Calibri" w:hAnsi="Arial" w:cs="Arial"/>
          <w:color w:val="000000" w:themeColor="text1"/>
          <w:sz w:val="22"/>
          <w:lang w:val="es-ES"/>
        </w:rPr>
        <w:t xml:space="preserve">el </w:t>
      </w:r>
      <w:r w:rsidRPr="006606B2">
        <w:rPr>
          <w:rFonts w:ascii="Arial" w:eastAsia="Calibri" w:hAnsi="Arial" w:cs="Arial"/>
          <w:color w:val="000000" w:themeColor="text1"/>
          <w:sz w:val="22"/>
          <w:lang w:val="es-ES"/>
        </w:rPr>
        <w:t>primer lugar</w:t>
      </w:r>
      <w:r>
        <w:rPr>
          <w:rFonts w:ascii="Arial" w:eastAsia="Calibri" w:hAnsi="Arial" w:cs="Arial"/>
          <w:color w:val="000000" w:themeColor="text1"/>
          <w:sz w:val="22"/>
          <w:lang w:val="es-ES"/>
        </w:rPr>
        <w:t>, por tratarse de una ley posterior</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Pero otra </w:t>
      </w:r>
      <w:r w:rsidRPr="006606B2">
        <w:rPr>
          <w:rFonts w:ascii="Arial" w:eastAsia="Calibri" w:hAnsi="Arial" w:cs="Arial"/>
          <w:color w:val="000000" w:themeColor="text1"/>
          <w:sz w:val="22"/>
          <w:lang w:val="es-ES"/>
        </w:rPr>
        <w:t xml:space="preserve">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7D670813" w14:textId="77777777" w:rsidR="00C53CD3" w:rsidRPr="008F7752" w:rsidRDefault="00C53CD3" w:rsidP="00C53CD3">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En este asunto debe tenerse en cuenta que las normas jurídicas, por regla general, producen efectos a partir de su promulgación o publicación. De allí se derivan principios tales como la irretroactividad de la ley y su efecto general inmediato</w:t>
      </w:r>
      <w:r w:rsidRPr="00D85403">
        <w:rPr>
          <w:rStyle w:val="Refdenotaalpie"/>
          <w:rFonts w:ascii="Arial" w:eastAsia="Calibri" w:hAnsi="Arial" w:cs="Arial"/>
          <w:color w:val="000000" w:themeColor="text1"/>
          <w:sz w:val="22"/>
          <w:lang w:val="es-ES"/>
        </w:rPr>
        <w:footnoteReference w:id="9"/>
      </w:r>
      <w:r w:rsidRPr="00D85403">
        <w:rPr>
          <w:rFonts w:ascii="Arial" w:eastAsia="Calibri" w:hAnsi="Arial" w:cs="Arial"/>
          <w:color w:val="000000" w:themeColor="text1"/>
          <w:sz w:val="22"/>
          <w:lang w:val="es-ES"/>
        </w:rPr>
        <w:t>. La Ley 2040 de 2020, en principio, no parece ser la excepción, pues el artículo 12 dispone: «</w:t>
      </w:r>
      <w:r w:rsidRPr="00D85403">
        <w:rPr>
          <w:rFonts w:ascii="Arial" w:eastAsia="Calibri" w:hAnsi="Arial" w:cs="Arial"/>
          <w:color w:val="000000" w:themeColor="text1"/>
          <w:sz w:val="22"/>
        </w:rPr>
        <w:t>La presente ley rige a partir del momento de su promulgación y deroga las disposiciones que le sean contrarias</w:t>
      </w:r>
      <w:r w:rsidRPr="00D85403">
        <w:rPr>
          <w:rFonts w:ascii="Arial" w:eastAsia="Calibri" w:hAnsi="Arial" w:cs="Arial"/>
          <w:color w:val="000000" w:themeColor="text1"/>
          <w:sz w:val="22"/>
          <w:lang w:val="es-ES"/>
        </w:rPr>
        <w:t>».</w:t>
      </w:r>
    </w:p>
    <w:p w14:paraId="74ADC466"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 xml:space="preserve">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w:t>
      </w:r>
      <w:r w:rsidRPr="00D85403">
        <w:rPr>
          <w:rFonts w:ascii="Arial" w:eastAsia="Calibri" w:hAnsi="Arial" w:cs="Arial"/>
          <w:color w:val="000000" w:themeColor="text1"/>
          <w:sz w:val="22"/>
          <w:lang w:val="es-ES"/>
        </w:rPr>
        <w:lastRenderedPageBreak/>
        <w:t>publicación». El artículo 140 de la Ley 1955 de 2019 prorrogó este plazo hasta el 1 de julio de 2021.</w:t>
      </w:r>
      <w:r>
        <w:rPr>
          <w:rFonts w:ascii="Arial" w:eastAsia="Calibri" w:hAnsi="Arial" w:cs="Arial"/>
          <w:color w:val="000000" w:themeColor="text1"/>
          <w:sz w:val="22"/>
          <w:lang w:val="es-ES"/>
        </w:rPr>
        <w:t xml:space="preserve"> </w:t>
      </w:r>
    </w:p>
    <w:p w14:paraId="495474DD"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w:t>
      </w:r>
      <w:r w:rsidRPr="005A0749">
        <w:rPr>
          <w:rFonts w:ascii="Arial" w:eastAsia="Calibri" w:hAnsi="Arial" w:cs="Arial"/>
          <w:color w:val="000000" w:themeColor="text1"/>
          <w:sz w:val="22"/>
          <w:lang w:val="es-ES"/>
        </w:rPr>
        <w:t>2007 estableció «</w:t>
      </w:r>
      <w:r>
        <w:rPr>
          <w:rFonts w:ascii="Arial" w:eastAsia="Calibri" w:hAnsi="Arial" w:cs="Arial"/>
          <w:color w:val="000000" w:themeColor="text1"/>
          <w:sz w:val="22"/>
          <w:lang w:val="es-ES"/>
        </w:rPr>
        <w:t>[h]</w:t>
      </w:r>
      <w:proofErr w:type="spellStart"/>
      <w:r w:rsidRPr="005A0749">
        <w:rPr>
          <w:rFonts w:ascii="Arial" w:eastAsia="Calibri" w:hAnsi="Arial" w:cs="Arial"/>
          <w:color w:val="000000" w:themeColor="text1"/>
          <w:sz w:val="22"/>
          <w:lang w:val="es-ES"/>
        </w:rPr>
        <w:t>asta</w:t>
      </w:r>
      <w:proofErr w:type="spellEnd"/>
      <w:r w:rsidRPr="005A0749">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w:t>
      </w:r>
      <w:r>
        <w:rPr>
          <w:rFonts w:ascii="Arial" w:eastAsia="Calibri" w:hAnsi="Arial" w:cs="Arial"/>
          <w:color w:val="000000" w:themeColor="text1"/>
          <w:sz w:val="22"/>
          <w:lang w:val="es-ES"/>
        </w:rPr>
        <w:t xml:space="preserve">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14:paraId="48142D35" w14:textId="77777777" w:rsidR="00C53CD3" w:rsidRDefault="00C53CD3" w:rsidP="00C53CD3">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En este caso, debe estudiarse si la Ley 2040 de 2020 tiene una condición para empezar a regir, concretamente su criterio de desempate. Hay dos argumentos que dan cuenta de tal condición: el primero </w:t>
      </w:r>
      <w:r>
        <w:rPr>
          <w:rFonts w:ascii="Arial" w:eastAsia="Calibri" w:hAnsi="Arial" w:cs="Arial"/>
          <w:color w:val="000000" w:themeColor="text1"/>
          <w:sz w:val="22"/>
          <w:lang w:val="es-ES"/>
        </w:rPr>
        <w:t>puede encontrarse en los antecedentes legislativos. En ellos</w:t>
      </w:r>
      <w:r>
        <w:rPr>
          <w:rStyle w:val="Refdenotaalpie"/>
          <w:rFonts w:ascii="Arial" w:eastAsia="Calibri" w:hAnsi="Arial" w:cs="Arial"/>
          <w:color w:val="000000" w:themeColor="text1"/>
          <w:sz w:val="22"/>
          <w:lang w:val="es-ES"/>
        </w:rPr>
        <w:footnoteReference w:id="10"/>
      </w:r>
      <w:r>
        <w:rPr>
          <w:rFonts w:ascii="Arial" w:eastAsia="Calibri" w:hAnsi="Arial" w:cs="Arial"/>
          <w:color w:val="000000" w:themeColor="text1"/>
          <w:sz w:val="22"/>
          <w:lang w:val="es-ES"/>
        </w:rPr>
        <w:t xml:space="preserve"> se explica que el proyecto de Ley tenía como objeto incentivar la contratación de adultos mayores a través de varias medidas, y se destaca la </w:t>
      </w:r>
      <w:r w:rsidRPr="00427833">
        <w:rPr>
          <w:rFonts w:ascii="Arial" w:eastAsia="Calibri" w:hAnsi="Arial" w:cs="Arial"/>
          <w:color w:val="000000" w:themeColor="text1"/>
          <w:sz w:val="22"/>
          <w:lang w:val="es-ES"/>
        </w:rPr>
        <w:t>«[r]</w:t>
      </w:r>
      <w:proofErr w:type="spellStart"/>
      <w:r w:rsidRPr="00427833">
        <w:rPr>
          <w:rFonts w:ascii="Arial" w:eastAsia="Calibri" w:hAnsi="Arial" w:cs="Arial"/>
          <w:color w:val="000000" w:themeColor="text1"/>
          <w:sz w:val="22"/>
          <w:lang w:val="es-ES"/>
        </w:rPr>
        <w:t>eglamentación</w:t>
      </w:r>
      <w:proofErr w:type="spellEnd"/>
      <w:r w:rsidRPr="00427833">
        <w:rPr>
          <w:rFonts w:ascii="Arial" w:eastAsia="Calibri" w:hAnsi="Arial" w:cs="Arial"/>
          <w:color w:val="000000" w:themeColor="text1"/>
          <w:sz w:val="22"/>
          <w:lang w:val="es-ES"/>
        </w:rPr>
        <w:t xml:space="preserve"> a cargo del gobierno en materia de estrategias de promoción del empleo de adultos mayores en el sector público, tipos de oficios y actividades que pueden realizar, derechos y obligaciones especiales de los empleadores que se acojan a la ley,</w:t>
      </w:r>
      <w:r w:rsidRPr="00175F6F">
        <w:rPr>
          <w:rFonts w:ascii="Arial" w:eastAsia="Calibri" w:hAnsi="Arial" w:cs="Arial"/>
          <w:color w:val="000000" w:themeColor="text1"/>
          <w:sz w:val="22"/>
          <w:lang w:val="es-ES"/>
        </w:rPr>
        <w:t xml:space="preserve"> procedimientos de verificación de</w:t>
      </w:r>
      <w:r>
        <w:rPr>
          <w:rFonts w:ascii="Arial" w:eastAsia="Calibri" w:hAnsi="Arial" w:cs="Arial"/>
          <w:color w:val="000000" w:themeColor="text1"/>
          <w:sz w:val="22"/>
          <w:lang w:val="es-ES"/>
        </w:rPr>
        <w:t xml:space="preserve"> </w:t>
      </w:r>
      <w:r w:rsidRPr="00175F6F">
        <w:rPr>
          <w:rFonts w:ascii="Arial" w:eastAsia="Calibri" w:hAnsi="Arial" w:cs="Arial"/>
          <w:color w:val="000000" w:themeColor="text1"/>
          <w:sz w:val="22"/>
          <w:lang w:val="es-ES"/>
        </w:rPr>
        <w:t>los requisitos por parte de los empleadores»</w:t>
      </w:r>
      <w:r>
        <w:rPr>
          <w:rStyle w:val="Refdenotaalpie"/>
          <w:rFonts w:ascii="Arial" w:eastAsia="Calibri" w:hAnsi="Arial" w:cs="Arial"/>
          <w:color w:val="000000" w:themeColor="text1"/>
          <w:sz w:val="22"/>
          <w:lang w:val="es-ES"/>
        </w:rPr>
        <w:footnoteReference w:id="11"/>
      </w:r>
      <w:r w:rsidRPr="00175F6F">
        <w:rPr>
          <w:rFonts w:ascii="Arial" w:eastAsia="Calibri" w:hAnsi="Arial" w:cs="Arial"/>
          <w:color w:val="000000" w:themeColor="text1"/>
          <w:sz w:val="22"/>
          <w:lang w:val="es-ES"/>
        </w:rPr>
        <w:t>.</w:t>
      </w:r>
      <w:r>
        <w:rPr>
          <w:rFonts w:ascii="Verdana" w:eastAsia="Calibri" w:hAnsi="Verdana" w:cs="Arial"/>
          <w:color w:val="000000" w:themeColor="text1"/>
          <w:sz w:val="22"/>
          <w:lang w:val="es-ES"/>
        </w:rPr>
        <w:t xml:space="preserve"> </w:t>
      </w:r>
      <w:r>
        <w:rPr>
          <w:rFonts w:ascii="Arial" w:eastAsia="Calibri" w:hAnsi="Arial" w:cs="Arial"/>
          <w:color w:val="000000" w:themeColor="text1"/>
          <w:sz w:val="22"/>
          <w:lang w:val="es-ES"/>
        </w:rPr>
        <w:t xml:space="preserve"> </w:t>
      </w:r>
    </w:p>
    <w:p w14:paraId="49172BCF" w14:textId="77777777" w:rsidR="00C53CD3" w:rsidRPr="00375845"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legislador consideró necesaria la reglamentación para determinar los derechos y obligaciones especiales de los empleadores que se acojan a la Ley. El derecho a ser adjudicatario en caso de empate es uno de esos derechos especiales, luego, no hay duda de la intención del legislador, atendiendo a los antecedentes de la Ley, para que el criterio de desempate estuviera sometido en su vigencia a la condición de la expedición de la reglamentación. </w:t>
      </w:r>
    </w:p>
    <w:p w14:paraId="18F89113" w14:textId="77777777" w:rsidR="00C53CD3" w:rsidRPr="0087345E" w:rsidRDefault="00C53CD3" w:rsidP="00C53CD3">
      <w:pPr>
        <w:shd w:val="clear" w:color="auto" w:fill="FFFFFF"/>
        <w:spacing w:after="150" w:line="276" w:lineRule="auto"/>
        <w:ind w:right="49" w:firstLine="708"/>
        <w:jc w:val="both"/>
        <w:rPr>
          <w:rFonts w:ascii="Arial" w:eastAsia="Calibri" w:hAnsi="Arial" w:cs="Arial"/>
          <w:color w:val="000000" w:themeColor="text1"/>
          <w:sz w:val="22"/>
          <w:lang w:val="es-ES"/>
        </w:rPr>
      </w:pPr>
      <w:r>
        <w:rPr>
          <w:rFonts w:ascii="Arial" w:eastAsia="Calibri" w:hAnsi="Arial" w:cs="Arial"/>
          <w:color w:val="000000" w:themeColor="text1"/>
          <w:sz w:val="22"/>
          <w:szCs w:val="22"/>
          <w:lang w:val="es-ES"/>
        </w:rPr>
        <w:t xml:space="preserve">El segundo argumento procede de la misma Ley. El artículo 4 de la Ley </w:t>
      </w:r>
      <w:r w:rsidRPr="006606B2">
        <w:rPr>
          <w:rFonts w:ascii="Arial" w:eastAsia="Calibri" w:hAnsi="Arial" w:cs="Arial"/>
          <w:color w:val="000000" w:themeColor="text1"/>
          <w:sz w:val="22"/>
          <w:lang w:val="es-ES"/>
        </w:rPr>
        <w:t>2040 de 2020</w:t>
      </w:r>
      <w:r w:rsidRPr="006606B2">
        <w:rPr>
          <w:rStyle w:val="Refdenotaalpie"/>
          <w:rFonts w:ascii="Arial" w:eastAsia="Calibri" w:hAnsi="Arial" w:cs="Arial"/>
          <w:color w:val="000000" w:themeColor="text1"/>
          <w:sz w:val="22"/>
          <w:lang w:val="es-ES"/>
        </w:rPr>
        <w:footnoteReference w:id="12"/>
      </w:r>
      <w:r w:rsidRPr="006606B2">
        <w:rPr>
          <w:rFonts w:ascii="Arial" w:eastAsia="Calibri" w:hAnsi="Arial" w:cs="Arial"/>
          <w:color w:val="000000" w:themeColor="text1"/>
          <w:sz w:val="22"/>
          <w:lang w:val="es-ES"/>
        </w:rPr>
        <w:t xml:space="preserve"> establece que el Gobierno Nacional, en consulta con el Consejo Nacional del Adulto </w:t>
      </w:r>
      <w:r w:rsidRPr="006606B2">
        <w:rPr>
          <w:rFonts w:ascii="Arial" w:eastAsia="Calibri" w:hAnsi="Arial" w:cs="Arial"/>
          <w:color w:val="000000" w:themeColor="text1"/>
          <w:sz w:val="22"/>
          <w:lang w:val="es-ES"/>
        </w:rPr>
        <w:lastRenderedPageBreak/>
        <w:t>Mayor, debe reglamentar esta ley, entre otros</w:t>
      </w:r>
      <w:r>
        <w:rPr>
          <w:rFonts w:ascii="Arial" w:eastAsia="Calibri" w:hAnsi="Arial" w:cs="Arial"/>
          <w:color w:val="000000" w:themeColor="text1"/>
          <w:sz w:val="22"/>
          <w:lang w:val="es-ES"/>
        </w:rPr>
        <w:t xml:space="preserve"> aspectos</w:t>
      </w:r>
      <w:r w:rsidRPr="006606B2">
        <w:rPr>
          <w:rFonts w:ascii="Arial" w:eastAsia="Calibri" w:hAnsi="Arial" w:cs="Arial"/>
          <w:color w:val="000000" w:themeColor="text1"/>
          <w:sz w:val="22"/>
          <w:lang w:val="es-ES"/>
        </w:rPr>
        <w:t xml:space="preserve">, en relación con las </w:t>
      </w:r>
      <w:r w:rsidRPr="00E94A21">
        <w:rPr>
          <w:rFonts w:ascii="Arial" w:eastAsia="Calibri" w:hAnsi="Arial" w:cs="Arial"/>
          <w:color w:val="000000" w:themeColor="text1"/>
          <w:sz w:val="22"/>
          <w:lang w:val="es-ES"/>
        </w:rPr>
        <w:t xml:space="preserve">«(i) estrategias para la promoción del empleo de personas mayores que no sean beneficiarios de la pensión de vejez, familiar o de sobrevivencia y que hayan cumplido el requisito de edad de pensión establecido en la Ley en el sector público; </w:t>
      </w:r>
      <w:proofErr w:type="spellStart"/>
      <w:r w:rsidRPr="00E94A21">
        <w:rPr>
          <w:rFonts w:ascii="Arial" w:eastAsia="Calibri" w:hAnsi="Arial" w:cs="Arial"/>
          <w:color w:val="000000" w:themeColor="text1"/>
          <w:sz w:val="22"/>
          <w:lang w:val="es-ES"/>
        </w:rPr>
        <w:t>ii</w:t>
      </w:r>
      <w:proofErr w:type="spellEnd"/>
      <w:r w:rsidRPr="00E94A21">
        <w:rPr>
          <w:rFonts w:ascii="Arial" w:eastAsia="Calibri" w:hAnsi="Arial" w:cs="Arial"/>
          <w:color w:val="000000" w:themeColor="text1"/>
          <w:sz w:val="22"/>
          <w:lang w:val="es-ES"/>
        </w:rPr>
        <w:t xml:space="preserve">) tipos de actividades y oficios que pueden asignárseles a los adultos mayores trabajadores cobijados por esta ley; </w:t>
      </w:r>
      <w:proofErr w:type="spellStart"/>
      <w:r w:rsidRPr="00E94A21">
        <w:rPr>
          <w:rFonts w:ascii="Arial" w:eastAsia="Calibri" w:hAnsi="Arial" w:cs="Arial"/>
          <w:color w:val="000000" w:themeColor="text1"/>
          <w:sz w:val="22"/>
          <w:lang w:val="es-ES"/>
        </w:rPr>
        <w:t>iii</w:t>
      </w:r>
      <w:proofErr w:type="spellEnd"/>
      <w:r w:rsidRPr="00E94A21">
        <w:rPr>
          <w:rFonts w:ascii="Arial" w:eastAsia="Calibri" w:hAnsi="Arial" w:cs="Arial"/>
          <w:color w:val="000000" w:themeColor="text1"/>
          <w:sz w:val="22"/>
          <w:lang w:val="es-ES"/>
        </w:rPr>
        <w:t>) Derechos y obligaciones especiales de las empresas empleadoras que se acojan a esta</w:t>
      </w:r>
      <w:r w:rsidRPr="0087345E">
        <w:rPr>
          <w:rFonts w:ascii="Arial" w:eastAsia="Calibri" w:hAnsi="Arial" w:cs="Arial"/>
          <w:color w:val="000000" w:themeColor="text1"/>
          <w:sz w:val="22"/>
          <w:lang w:val="es-ES"/>
        </w:rPr>
        <w:t xml:space="preserve"> ley</w:t>
      </w:r>
      <w:r w:rsidRPr="006606B2">
        <w:rPr>
          <w:rFonts w:ascii="Arial" w:eastAsia="Calibri" w:hAnsi="Arial" w:cs="Arial"/>
          <w:color w:val="000000" w:themeColor="text1"/>
          <w:sz w:val="22"/>
          <w:lang w:val="es-ES"/>
        </w:rPr>
        <w:t>».</w:t>
      </w:r>
      <w:r>
        <w:rPr>
          <w:rFonts w:ascii="Arial" w:eastAsia="Calibri" w:hAnsi="Arial" w:cs="Arial"/>
          <w:color w:val="000000" w:themeColor="text1"/>
          <w:sz w:val="22"/>
          <w:lang w:val="es-ES"/>
        </w:rPr>
        <w:t xml:space="preserve"> </w:t>
      </w:r>
    </w:p>
    <w:p w14:paraId="12E23675" w14:textId="77777777" w:rsidR="00C53CD3" w:rsidRDefault="00C53CD3" w:rsidP="00C53CD3">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El criterio de desempate creado es una </w:t>
      </w:r>
      <w:r w:rsidRPr="004563E6">
        <w:rPr>
          <w:rFonts w:ascii="Arial" w:eastAsia="Calibri" w:hAnsi="Arial" w:cs="Arial"/>
          <w:color w:val="000000" w:themeColor="text1"/>
          <w:sz w:val="22"/>
          <w:lang w:val="es-ES"/>
        </w:rPr>
        <w:t>«estrategias para la promoción</w:t>
      </w:r>
      <w:r>
        <w:rPr>
          <w:rFonts w:ascii="Arial" w:eastAsia="Calibri" w:hAnsi="Arial" w:cs="Arial"/>
          <w:color w:val="000000" w:themeColor="text1"/>
          <w:sz w:val="22"/>
          <w:lang w:val="es-ES"/>
        </w:rPr>
        <w:t xml:space="preserve"> del empleo de personas </w:t>
      </w:r>
      <w:r w:rsidRPr="00E94A21">
        <w:rPr>
          <w:rFonts w:ascii="Arial" w:eastAsia="Calibri" w:hAnsi="Arial" w:cs="Arial"/>
          <w:color w:val="000000" w:themeColor="text1"/>
          <w:sz w:val="22"/>
          <w:lang w:val="es-ES"/>
        </w:rPr>
        <w:t>mayores»,</w:t>
      </w:r>
      <w:r>
        <w:rPr>
          <w:rFonts w:ascii="Arial" w:eastAsia="Calibri" w:hAnsi="Arial" w:cs="Arial"/>
          <w:color w:val="000000" w:themeColor="text1"/>
          <w:sz w:val="22"/>
          <w:lang w:val="es-ES"/>
        </w:rPr>
        <w:t xml:space="preserve"> y requiere reglamentación previa para establecer qué tipo de actividades y oficios pueden desempeñar los adultos mayores,</w:t>
      </w:r>
      <w:r w:rsidRPr="00E94A21">
        <w:rPr>
          <w:rFonts w:ascii="Arial" w:eastAsia="Calibri" w:hAnsi="Arial" w:cs="Arial"/>
          <w:color w:val="000000" w:themeColor="text1"/>
          <w:sz w:val="22"/>
          <w:lang w:val="es-ES"/>
        </w:rPr>
        <w:t xml:space="preserve"> y otorga</w:t>
      </w:r>
      <w:r w:rsidRPr="0087345E">
        <w:rPr>
          <w:rFonts w:ascii="Arial" w:eastAsia="Calibri" w:hAnsi="Arial" w:cs="Arial"/>
          <w:color w:val="000000" w:themeColor="text1"/>
          <w:sz w:val="22"/>
          <w:lang w:val="es-ES"/>
        </w:rPr>
        <w:t xml:space="preserve"> un derecho especial para las empresas que se acogen a esa Ley</w:t>
      </w:r>
      <w:r>
        <w:rPr>
          <w:rFonts w:ascii="Arial" w:eastAsia="Calibri" w:hAnsi="Arial" w:cs="Arial"/>
          <w:color w:val="000000" w:themeColor="text1"/>
          <w:sz w:val="22"/>
          <w:lang w:val="es-ES"/>
        </w:rPr>
        <w:t>,</w:t>
      </w:r>
      <w:r w:rsidRPr="0087345E">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por lo </w:t>
      </w:r>
      <w:r w:rsidRPr="0087345E">
        <w:rPr>
          <w:rFonts w:ascii="Arial" w:eastAsia="Calibri" w:hAnsi="Arial" w:cs="Arial"/>
          <w:color w:val="000000" w:themeColor="text1"/>
          <w:sz w:val="22"/>
          <w:lang w:val="es-ES"/>
        </w:rPr>
        <w:t>que</w:t>
      </w:r>
      <w:r>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según el literal del artículo 4, debe ser objeto de reglamentación por el Gobierno Nacional en un término no mayor a 6 meses.</w:t>
      </w:r>
    </w:p>
    <w:p w14:paraId="0B4FF4F5" w14:textId="77777777" w:rsidR="00C53CD3" w:rsidRDefault="00C53CD3" w:rsidP="00C53CD3">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Sobre este asunto, es preciso llamar la atención sobre la jurisprudencia. Sobre ello, el Consejo de Estado ha dicho: </w:t>
      </w:r>
    </w:p>
    <w:p w14:paraId="1575154D" w14:textId="77777777" w:rsidR="00C53CD3" w:rsidRDefault="00C53CD3" w:rsidP="00C53CD3">
      <w:pPr>
        <w:shd w:val="clear" w:color="auto" w:fill="FFFFFF"/>
        <w:ind w:left="709" w:right="760"/>
        <w:jc w:val="both"/>
        <w:rPr>
          <w:rFonts w:ascii="Arial" w:eastAsia="Calibri" w:hAnsi="Arial" w:cs="Arial"/>
          <w:color w:val="000000" w:themeColor="text1"/>
          <w:sz w:val="21"/>
          <w:szCs w:val="21"/>
          <w:lang w:val="es-ES"/>
        </w:rPr>
      </w:pPr>
    </w:p>
    <w:p w14:paraId="47BEEA96" w14:textId="77777777" w:rsidR="00C53CD3" w:rsidRDefault="00C53CD3" w:rsidP="00C53CD3">
      <w:pPr>
        <w:shd w:val="clear" w:color="auto" w:fill="FFFFFF"/>
        <w:ind w:left="709" w:right="760"/>
        <w:jc w:val="both"/>
        <w:rPr>
          <w:rFonts w:ascii="Arial" w:eastAsia="Calibri" w:hAnsi="Arial" w:cs="Arial"/>
          <w:color w:val="000000" w:themeColor="text1"/>
          <w:sz w:val="21"/>
          <w:szCs w:val="21"/>
          <w:lang w:val="es-ES"/>
        </w:rPr>
      </w:pPr>
      <w:r w:rsidRPr="004151E0">
        <w:rPr>
          <w:rFonts w:ascii="Arial" w:eastAsia="Calibri" w:hAnsi="Arial" w:cs="Arial"/>
          <w:color w:val="000000" w:themeColor="text1"/>
          <w:sz w:val="21"/>
          <w:szCs w:val="21"/>
          <w:lang w:val="es-ES"/>
        </w:rPr>
        <w:t xml:space="preserve">Además, el Presidente de la República no requiere autorización por parte del Legislador para el ejercicio de su facultad reglamentaria, de manera que </w:t>
      </w:r>
      <w:r w:rsidRPr="00427833">
        <w:rPr>
          <w:rFonts w:ascii="Arial" w:eastAsia="Calibri" w:hAnsi="Arial" w:cs="Arial"/>
          <w:color w:val="000000" w:themeColor="text1"/>
          <w:sz w:val="21"/>
          <w:szCs w:val="21"/>
          <w:lang w:val="es-ES"/>
        </w:rPr>
        <w:t>si éste establece en la ley que el mismo reglamentará la materia, dicha indicación debe entenderse simplemente como el reconocimiento de que para su efectivo cumplimiento es necesaria la expedición de una reglamentación,</w:t>
      </w:r>
      <w:r w:rsidRPr="004151E0">
        <w:rPr>
          <w:rFonts w:ascii="Arial" w:eastAsia="Calibri" w:hAnsi="Arial" w:cs="Arial"/>
          <w:color w:val="000000" w:themeColor="text1"/>
          <w:sz w:val="21"/>
          <w:szCs w:val="21"/>
          <w:lang w:val="es-ES"/>
        </w:rPr>
        <w:t xml:space="preserve"> bajo el concepto de colaboración armónica que sustenta la estructura y el funcionamiento del Estado (inciso 2 del artículo 113 C.P)</w:t>
      </w:r>
      <w:r>
        <w:rPr>
          <w:rStyle w:val="Refdenotaalpie"/>
          <w:rFonts w:ascii="Arial" w:eastAsia="Calibri" w:hAnsi="Arial" w:cs="Arial"/>
          <w:color w:val="000000" w:themeColor="text1"/>
          <w:sz w:val="21"/>
          <w:szCs w:val="21"/>
          <w:lang w:val="es-ES"/>
        </w:rPr>
        <w:footnoteReference w:id="13"/>
      </w:r>
      <w:r w:rsidRPr="004151E0">
        <w:rPr>
          <w:rFonts w:ascii="Arial" w:eastAsia="Calibri" w:hAnsi="Arial" w:cs="Arial"/>
          <w:color w:val="000000" w:themeColor="text1"/>
          <w:sz w:val="21"/>
          <w:szCs w:val="21"/>
          <w:lang w:val="es-ES"/>
        </w:rPr>
        <w:t>.</w:t>
      </w:r>
    </w:p>
    <w:p w14:paraId="023A5E81" w14:textId="77777777" w:rsidR="00C53CD3" w:rsidRPr="00BF0FC8" w:rsidRDefault="00C53CD3" w:rsidP="00C53CD3">
      <w:pPr>
        <w:shd w:val="clear" w:color="auto" w:fill="FFFFFF"/>
        <w:ind w:left="709" w:right="760"/>
        <w:jc w:val="both"/>
        <w:rPr>
          <w:rFonts w:ascii="Arial" w:eastAsia="Calibri" w:hAnsi="Arial" w:cs="Arial"/>
          <w:color w:val="000000" w:themeColor="text1"/>
          <w:sz w:val="21"/>
          <w:szCs w:val="21"/>
          <w:lang w:val="es-ES"/>
        </w:rPr>
      </w:pPr>
    </w:p>
    <w:p w14:paraId="14481E75" w14:textId="77777777" w:rsidR="00C53CD3" w:rsidRDefault="00C53CD3" w:rsidP="00C53CD3">
      <w:pPr>
        <w:shd w:val="clear" w:color="auto" w:fill="FFFFFF"/>
        <w:spacing w:after="120" w:line="276" w:lineRule="auto"/>
        <w:ind w:right="51" w:firstLine="709"/>
        <w:jc w:val="both"/>
        <w:rPr>
          <w:rFonts w:ascii="Arial" w:eastAsia="Calibri" w:hAnsi="Arial" w:cs="Arial"/>
          <w:color w:val="000000" w:themeColor="text1"/>
          <w:sz w:val="22"/>
          <w:szCs w:val="22"/>
          <w:lang w:val="es-ES"/>
        </w:rPr>
      </w:pPr>
      <w:r>
        <w:rPr>
          <w:rFonts w:ascii="Arial" w:eastAsia="Calibri" w:hAnsi="Arial" w:cs="Arial"/>
          <w:color w:val="000000" w:themeColor="text1"/>
          <w:sz w:val="22"/>
          <w:szCs w:val="22"/>
          <w:lang w:val="es-ES"/>
        </w:rPr>
        <w:t>La referencia hecha en una Ley a que el Gobierno Nacional reglamentará la materia es un reconocimiento de que</w:t>
      </w:r>
      <w:r w:rsidRPr="00A13B22">
        <w:rPr>
          <w:rFonts w:ascii="Arial" w:eastAsia="Calibri" w:hAnsi="Arial" w:cs="Arial"/>
          <w:color w:val="000000" w:themeColor="text1"/>
          <w:sz w:val="22"/>
          <w:szCs w:val="22"/>
          <w:lang w:val="es-ES"/>
        </w:rPr>
        <w:t xml:space="preserve"> </w:t>
      </w:r>
      <w:r>
        <w:rPr>
          <w:rFonts w:ascii="Arial" w:eastAsia="Calibri" w:hAnsi="Arial" w:cs="Arial"/>
          <w:color w:val="000000" w:themeColor="text1"/>
          <w:sz w:val="22"/>
          <w:szCs w:val="22"/>
          <w:lang w:val="es-ES"/>
        </w:rPr>
        <w:t xml:space="preserve">el reglamento puede ser indispensable para el cumplimiento de esta. Claro está que tal reconocimiento, por parte del legislador, no siempre implica que la ley se encuentre sometida a condición para entrar a regir; pero cuando ello se analiza con otros elementos que obran en este sentido, como los antecedentes legislativos, sí es posible utilizar la referencia al reglamento como una prueba de que la Ley moduló sus efectos en el tiempo y se encuentra sometida a condición. </w:t>
      </w:r>
    </w:p>
    <w:p w14:paraId="2DC52CB3" w14:textId="77777777" w:rsidR="00C53CD3" w:rsidRDefault="00C53CD3" w:rsidP="00030539">
      <w:pPr>
        <w:spacing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En ese orden de ideas, es posible afirmar que el legislador reconoce, en el artículo 4, la necesidad de un reglamento para el efectivo cumplimiento de la ley 2040 de 2020, lo que demuestra, para el caso concreto, una vigencia sometida a condición para el criterio de </w:t>
      </w:r>
      <w:r>
        <w:rPr>
          <w:rFonts w:ascii="Arial" w:eastAsia="Calibri" w:hAnsi="Arial" w:cs="Arial"/>
          <w:color w:val="000000" w:themeColor="text1"/>
          <w:sz w:val="22"/>
          <w:lang w:val="es-ES"/>
        </w:rPr>
        <w:lastRenderedPageBreak/>
        <w:t>desempate de que trata el artículo 3. Es decir, nos encontramos frente a un caso donde la norma sometió su vigencia a la expedición de un reglamento, pues así se infiere de su contenido y antecedentes legislativos. Esta conclusión se ajusta a la necesidad de</w:t>
      </w:r>
      <w:r w:rsidRPr="006606B2">
        <w:rPr>
          <w:rFonts w:ascii="Arial" w:eastAsia="Calibri" w:hAnsi="Arial" w:cs="Arial"/>
          <w:color w:val="000000" w:themeColor="text1"/>
          <w:sz w:val="22"/>
          <w:lang w:val="es-ES"/>
        </w:rPr>
        <w:t xml:space="preserve"> claridad que debe introducir el reglamento</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en relación con la articulación y compatibilización del «nuevo criterio de desempate» con los preexistentes en el ordenamiento </w:t>
      </w:r>
      <w:r>
        <w:rPr>
          <w:rFonts w:ascii="Arial" w:eastAsia="Calibri" w:hAnsi="Arial" w:cs="Arial"/>
          <w:color w:val="000000" w:themeColor="text1"/>
          <w:sz w:val="22"/>
          <w:lang w:val="es-ES"/>
        </w:rPr>
        <w:t>jurídico</w:t>
      </w:r>
      <w:r w:rsidRPr="006606B2">
        <w:rPr>
          <w:rFonts w:ascii="Arial" w:eastAsia="Calibri" w:hAnsi="Arial" w:cs="Arial"/>
          <w:color w:val="000000" w:themeColor="text1"/>
          <w:sz w:val="22"/>
          <w:lang w:val="es-ES"/>
        </w:rPr>
        <w:t xml:space="preserve">. </w:t>
      </w:r>
    </w:p>
    <w:p w14:paraId="0050905E" w14:textId="77777777" w:rsidR="00C53CD3" w:rsidRPr="0087345E" w:rsidRDefault="00C53CD3" w:rsidP="00C53CD3">
      <w:pPr>
        <w:spacing w:line="276" w:lineRule="auto"/>
        <w:ind w:firstLine="709"/>
        <w:jc w:val="both"/>
        <w:rPr>
          <w:rFonts w:ascii="Arial" w:eastAsia="Calibri" w:hAnsi="Arial" w:cs="Arial"/>
          <w:color w:val="000000" w:themeColor="text1"/>
          <w:sz w:val="22"/>
          <w:lang w:val="es-ES"/>
        </w:rPr>
      </w:pPr>
    </w:p>
    <w:p w14:paraId="2DBF289C" w14:textId="77777777" w:rsidR="00C53CD3" w:rsidRPr="00144291" w:rsidRDefault="00C53CD3" w:rsidP="00C53CD3">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t xml:space="preserve">Respuesta </w:t>
      </w:r>
    </w:p>
    <w:p w14:paraId="1985C6F0" w14:textId="77777777" w:rsidR="00C53CD3" w:rsidRDefault="00C53CD3" w:rsidP="00C53CD3">
      <w:pPr>
        <w:ind w:right="709"/>
        <w:jc w:val="both"/>
        <w:rPr>
          <w:rFonts w:ascii="Arial" w:eastAsia="Calibri" w:hAnsi="Arial" w:cs="Arial"/>
          <w:color w:val="000000" w:themeColor="text1"/>
          <w:sz w:val="21"/>
          <w:szCs w:val="21"/>
          <w:lang w:val="es-ES"/>
        </w:rPr>
      </w:pPr>
    </w:p>
    <w:p w14:paraId="3B944B73" w14:textId="4DB555E4" w:rsidR="00C53CD3" w:rsidRPr="00030539" w:rsidRDefault="00A24C72" w:rsidP="00030539">
      <w:pPr>
        <w:ind w:left="709" w:right="709"/>
        <w:jc w:val="both"/>
        <w:rPr>
          <w:rFonts w:asciiTheme="minorBidi" w:eastAsia="Calibri" w:hAnsiTheme="minorBidi" w:cstheme="minorBidi"/>
          <w:color w:val="000000" w:themeColor="text1"/>
          <w:sz w:val="21"/>
          <w:szCs w:val="21"/>
          <w:lang w:val="es-ES"/>
        </w:rPr>
      </w:pPr>
      <w:r w:rsidRPr="00030539">
        <w:rPr>
          <w:rFonts w:asciiTheme="minorBidi" w:eastAsia="Calibri" w:hAnsiTheme="minorBidi" w:cstheme="minorBidi"/>
          <w:color w:val="000000" w:themeColor="text1"/>
          <w:sz w:val="21"/>
          <w:szCs w:val="21"/>
          <w:lang w:val="es-ES"/>
        </w:rPr>
        <w:t>Considerando que el artículo 3 de la Ley 2040 de 2020 establece un criterio de desempate en los procedimientos de contratación a favor de los oferentes que tengan vinculado el mayor porcentaje de personas mayores que no sean beneficiarias de la pensión de vejez, familiar o de sobrevivencia y que hayan cumplido el requisito de edad de pensión establecido en la ley, usted formula la siguiente pregunta: «[…] a partir de qué fecha se hace exigible para las entidades públicas la aplicación del […] criterio de desempate […]»</w:t>
      </w:r>
      <w:r w:rsidR="00C53CD3" w:rsidRPr="00030539">
        <w:rPr>
          <w:rFonts w:asciiTheme="minorBidi" w:eastAsia="Calibri" w:hAnsiTheme="minorBidi" w:cstheme="minorBidi"/>
          <w:color w:val="000000" w:themeColor="text1"/>
          <w:sz w:val="21"/>
          <w:szCs w:val="21"/>
          <w:lang w:val="es-ES"/>
        </w:rPr>
        <w:t>.</w:t>
      </w:r>
    </w:p>
    <w:p w14:paraId="3B13260C" w14:textId="77777777" w:rsidR="00C53CD3" w:rsidRDefault="00C53CD3" w:rsidP="00030539">
      <w:pPr>
        <w:spacing w:line="276" w:lineRule="auto"/>
        <w:ind w:left="709" w:right="709"/>
        <w:jc w:val="both"/>
        <w:rPr>
          <w:rFonts w:ascii="Arial" w:eastAsia="Calibri" w:hAnsi="Arial" w:cs="Arial"/>
          <w:color w:val="000000" w:themeColor="text1"/>
          <w:sz w:val="22"/>
          <w:lang w:val="es-ES"/>
        </w:rPr>
      </w:pPr>
    </w:p>
    <w:p w14:paraId="431F4721" w14:textId="7E1F4608" w:rsidR="00C53CD3" w:rsidRDefault="00C53CD3" w:rsidP="00C53CD3">
      <w:pPr>
        <w:spacing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w:t>
      </w:r>
      <w:r w:rsidRPr="00DE13C7">
        <w:rPr>
          <w:rFonts w:ascii="Arial" w:eastAsia="Calibri" w:hAnsi="Arial" w:cs="Arial"/>
          <w:color w:val="000000" w:themeColor="text1"/>
          <w:sz w:val="22"/>
          <w:lang w:val="es-ES"/>
        </w:rPr>
        <w:t xml:space="preserve">l artículo 4 </w:t>
      </w:r>
      <w:r>
        <w:rPr>
          <w:rFonts w:ascii="Arial" w:eastAsia="Calibri" w:hAnsi="Arial" w:cs="Arial"/>
          <w:color w:val="000000" w:themeColor="text1"/>
          <w:sz w:val="22"/>
          <w:lang w:val="es-ES"/>
        </w:rPr>
        <w:t xml:space="preserve">de la Ley 2040 de 2020 expresa </w:t>
      </w:r>
      <w:r w:rsidRPr="00DE13C7">
        <w:rPr>
          <w:rFonts w:ascii="Arial" w:eastAsia="Calibri" w:hAnsi="Arial" w:cs="Arial"/>
          <w:color w:val="000000" w:themeColor="text1"/>
          <w:sz w:val="22"/>
          <w:lang w:val="es-ES"/>
        </w:rPr>
        <w:t xml:space="preserve">la necesidad de </w:t>
      </w:r>
      <w:r>
        <w:rPr>
          <w:rFonts w:ascii="Arial" w:eastAsia="Calibri" w:hAnsi="Arial" w:cs="Arial"/>
          <w:color w:val="000000" w:themeColor="text1"/>
          <w:sz w:val="22"/>
          <w:lang w:val="es-ES"/>
        </w:rPr>
        <w:t xml:space="preserve">contar con </w:t>
      </w:r>
      <w:r w:rsidRPr="00DE13C7">
        <w:rPr>
          <w:rFonts w:ascii="Arial" w:eastAsia="Calibri" w:hAnsi="Arial" w:cs="Arial"/>
          <w:color w:val="000000" w:themeColor="text1"/>
          <w:sz w:val="22"/>
          <w:lang w:val="es-ES"/>
        </w:rPr>
        <w:t>un reglamento para cumpli</w:t>
      </w:r>
      <w:r>
        <w:rPr>
          <w:rFonts w:ascii="Arial" w:eastAsia="Calibri" w:hAnsi="Arial" w:cs="Arial"/>
          <w:color w:val="000000" w:themeColor="text1"/>
          <w:sz w:val="22"/>
          <w:lang w:val="es-ES"/>
        </w:rPr>
        <w:t>r sus disposiciones</w:t>
      </w:r>
      <w:r w:rsidRPr="00DE13C7">
        <w:rPr>
          <w:rFonts w:ascii="Arial" w:eastAsia="Calibri" w:hAnsi="Arial" w:cs="Arial"/>
          <w:color w:val="000000" w:themeColor="text1"/>
          <w:sz w:val="22"/>
          <w:lang w:val="es-ES"/>
        </w:rPr>
        <w:t>, someti</w:t>
      </w:r>
      <w:r>
        <w:rPr>
          <w:rFonts w:ascii="Arial" w:eastAsia="Calibri" w:hAnsi="Arial" w:cs="Arial"/>
          <w:color w:val="000000" w:themeColor="text1"/>
          <w:sz w:val="22"/>
          <w:lang w:val="es-ES"/>
        </w:rPr>
        <w:t xml:space="preserve">endo su vigencia </w:t>
      </w:r>
      <w:r w:rsidRPr="00DE13C7">
        <w:rPr>
          <w:rFonts w:ascii="Arial" w:eastAsia="Calibri" w:hAnsi="Arial" w:cs="Arial"/>
          <w:color w:val="000000" w:themeColor="text1"/>
          <w:sz w:val="22"/>
          <w:lang w:val="es-ES"/>
        </w:rPr>
        <w:t>a condición</w:t>
      </w:r>
      <w:r>
        <w:rPr>
          <w:rFonts w:ascii="Arial" w:eastAsia="Calibri" w:hAnsi="Arial" w:cs="Arial"/>
          <w:color w:val="000000" w:themeColor="text1"/>
          <w:sz w:val="22"/>
          <w:lang w:val="es-ES"/>
        </w:rPr>
        <w:t>, concretamente</w:t>
      </w:r>
      <w:r w:rsidRPr="00DE13C7">
        <w:rPr>
          <w:rFonts w:ascii="Arial" w:eastAsia="Calibri" w:hAnsi="Arial" w:cs="Arial"/>
          <w:color w:val="000000" w:themeColor="text1"/>
          <w:sz w:val="22"/>
          <w:lang w:val="es-ES"/>
        </w:rPr>
        <w:t xml:space="preserve"> para el criterio de desempate de que trata el artículo 3</w:t>
      </w:r>
      <w:r>
        <w:rPr>
          <w:rFonts w:ascii="Arial" w:eastAsia="Calibri" w:hAnsi="Arial" w:cs="Arial"/>
          <w:color w:val="000000" w:themeColor="text1"/>
          <w:sz w:val="22"/>
          <w:lang w:val="es-ES"/>
        </w:rPr>
        <w:t>, como</w:t>
      </w:r>
      <w:r w:rsidRPr="00DE13C7">
        <w:rPr>
          <w:rFonts w:ascii="Arial" w:eastAsia="Calibri" w:hAnsi="Arial" w:cs="Arial"/>
          <w:color w:val="000000" w:themeColor="text1"/>
          <w:sz w:val="22"/>
          <w:lang w:val="es-ES"/>
        </w:rPr>
        <w:t xml:space="preserve"> se infiere de su contenido y </w:t>
      </w:r>
      <w:r>
        <w:rPr>
          <w:rFonts w:ascii="Arial" w:eastAsia="Calibri" w:hAnsi="Arial" w:cs="Arial"/>
          <w:color w:val="000000" w:themeColor="text1"/>
          <w:sz w:val="22"/>
          <w:lang w:val="es-ES"/>
        </w:rPr>
        <w:t xml:space="preserve">de los </w:t>
      </w:r>
      <w:r w:rsidRPr="00DE13C7">
        <w:rPr>
          <w:rFonts w:ascii="Arial" w:eastAsia="Calibri" w:hAnsi="Arial" w:cs="Arial"/>
          <w:color w:val="000000" w:themeColor="text1"/>
          <w:sz w:val="22"/>
          <w:lang w:val="es-ES"/>
        </w:rPr>
        <w:t>antecedentes legislativos</w:t>
      </w:r>
      <w:r w:rsidRPr="0004721F">
        <w:rPr>
          <w:rFonts w:ascii="Arial" w:eastAsia="Calibri" w:hAnsi="Arial" w:cs="Arial"/>
          <w:color w:val="000000" w:themeColor="text1"/>
          <w:sz w:val="22"/>
          <w:lang w:val="es-ES"/>
        </w:rPr>
        <w:t>.</w:t>
      </w:r>
      <w:r w:rsidR="008E7220">
        <w:rPr>
          <w:rFonts w:ascii="Arial" w:eastAsia="Calibri" w:hAnsi="Arial" w:cs="Arial"/>
          <w:color w:val="000000" w:themeColor="text1"/>
          <w:sz w:val="22"/>
          <w:lang w:val="es-ES"/>
        </w:rPr>
        <w:t xml:space="preserve"> Esta conclusión se ajusta a la necesidad de</w:t>
      </w:r>
      <w:r w:rsidR="008E7220" w:rsidRPr="006606B2">
        <w:rPr>
          <w:rFonts w:ascii="Arial" w:eastAsia="Calibri" w:hAnsi="Arial" w:cs="Arial"/>
          <w:color w:val="000000" w:themeColor="text1"/>
          <w:sz w:val="22"/>
          <w:lang w:val="es-ES"/>
        </w:rPr>
        <w:t xml:space="preserve"> claridad que debe introducir el reglamento</w:t>
      </w:r>
      <w:r w:rsidR="008E7220">
        <w:rPr>
          <w:rFonts w:ascii="Arial" w:eastAsia="Calibri" w:hAnsi="Arial" w:cs="Arial"/>
          <w:color w:val="000000" w:themeColor="text1"/>
          <w:sz w:val="22"/>
          <w:lang w:val="es-ES"/>
        </w:rPr>
        <w:t>,</w:t>
      </w:r>
      <w:r w:rsidR="008E7220" w:rsidRPr="006606B2">
        <w:rPr>
          <w:rFonts w:ascii="Arial" w:eastAsia="Calibri" w:hAnsi="Arial" w:cs="Arial"/>
          <w:color w:val="000000" w:themeColor="text1"/>
          <w:sz w:val="22"/>
          <w:lang w:val="es-ES"/>
        </w:rPr>
        <w:t xml:space="preserve"> en relación con la articulación y compatibilización del «nuevo criterio de desempate» con los preexistentes en el ordenamiento </w:t>
      </w:r>
      <w:r w:rsidR="008E7220">
        <w:rPr>
          <w:rFonts w:ascii="Arial" w:eastAsia="Calibri" w:hAnsi="Arial" w:cs="Arial"/>
          <w:color w:val="000000" w:themeColor="text1"/>
          <w:sz w:val="22"/>
          <w:lang w:val="es-ES"/>
        </w:rPr>
        <w:t>jurídico</w:t>
      </w:r>
      <w:r w:rsidR="00F32A6B">
        <w:rPr>
          <w:rFonts w:ascii="Arial" w:eastAsia="Calibri" w:hAnsi="Arial" w:cs="Arial"/>
          <w:color w:val="000000" w:themeColor="text1"/>
          <w:sz w:val="22"/>
          <w:lang w:val="es-ES"/>
        </w:rPr>
        <w:t>.</w:t>
      </w:r>
    </w:p>
    <w:p w14:paraId="027B8FC3" w14:textId="77777777" w:rsidR="008E7220" w:rsidRPr="001B5F29" w:rsidRDefault="008E7220" w:rsidP="00C53CD3">
      <w:pPr>
        <w:spacing w:line="276" w:lineRule="auto"/>
        <w:jc w:val="both"/>
        <w:rPr>
          <w:rFonts w:ascii="Arial" w:eastAsia="Calibri" w:hAnsi="Arial" w:cs="Arial"/>
          <w:color w:val="000000" w:themeColor="text1"/>
          <w:sz w:val="22"/>
          <w:lang w:val="es-ES"/>
        </w:rPr>
      </w:pPr>
    </w:p>
    <w:p w14:paraId="21F89A5A" w14:textId="77777777" w:rsidR="00C53CD3" w:rsidRPr="00593BA7" w:rsidRDefault="00C53CD3" w:rsidP="00C53CD3">
      <w:pPr>
        <w:spacing w:before="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Este concepto tiene el alcance previsto en el artículo 28 del Código de Procedimiento Administrativo y de lo Contencioso Administrativo.</w:t>
      </w:r>
    </w:p>
    <w:p w14:paraId="59462E9C" w14:textId="77777777" w:rsidR="00C53CD3" w:rsidRPr="00593BA7" w:rsidRDefault="00C53CD3" w:rsidP="00C53CD3">
      <w:pPr>
        <w:ind w:firstLine="709"/>
        <w:jc w:val="both"/>
        <w:rPr>
          <w:rFonts w:ascii="Arial" w:eastAsia="Calibri" w:hAnsi="Arial" w:cs="Arial"/>
          <w:color w:val="000000" w:themeColor="text1"/>
          <w:sz w:val="22"/>
          <w:lang w:val="es-ES"/>
        </w:rPr>
      </w:pPr>
    </w:p>
    <w:p w14:paraId="7476EE2F" w14:textId="77777777" w:rsidR="00C53CD3" w:rsidRPr="00593BA7" w:rsidRDefault="00C53CD3" w:rsidP="00C53CD3">
      <w:pPr>
        <w:jc w:val="both"/>
        <w:rPr>
          <w:rFonts w:ascii="Arial" w:hAnsi="Arial" w:cs="Arial"/>
          <w:color w:val="000000" w:themeColor="text1"/>
          <w:sz w:val="22"/>
          <w:lang w:val="es-ES" w:eastAsia="es-CO"/>
        </w:rPr>
      </w:pPr>
      <w:r w:rsidRPr="00593BA7">
        <w:rPr>
          <w:rFonts w:ascii="Arial" w:hAnsi="Arial" w:cs="Arial"/>
          <w:color w:val="000000" w:themeColor="text1"/>
          <w:sz w:val="22"/>
          <w:lang w:val="es-ES" w:eastAsia="es-CO"/>
        </w:rPr>
        <w:t>Atentamente,</w:t>
      </w:r>
    </w:p>
    <w:bookmarkEnd w:id="0"/>
    <w:bookmarkEnd w:id="1"/>
    <w:p w14:paraId="119C8746" w14:textId="224BA330" w:rsidR="00C53CD3" w:rsidRPr="00593BA7" w:rsidRDefault="005D3DD0" w:rsidP="00C53CD3">
      <w:pPr>
        <w:jc w:val="center"/>
        <w:rPr>
          <w:lang w:val="es-ES"/>
        </w:rPr>
      </w:pPr>
      <w:r>
        <w:rPr>
          <w:noProof/>
          <w:lang w:eastAsia="es-CO"/>
        </w:rPr>
        <w:drawing>
          <wp:inline distT="0" distB="0" distL="0" distR="0" wp14:anchorId="4AC03085" wp14:editId="4A122E1D">
            <wp:extent cx="2171700" cy="9239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71700" cy="923925"/>
                    </a:xfrm>
                    <a:prstGeom prst="rect">
                      <a:avLst/>
                    </a:prstGeom>
                  </pic:spPr>
                </pic:pic>
              </a:graphicData>
            </a:graphic>
          </wp:inline>
        </w:drawing>
      </w:r>
    </w:p>
    <w:p w14:paraId="3CFE4832" w14:textId="77777777" w:rsidR="00C53CD3" w:rsidRPr="00593BA7" w:rsidRDefault="00C53CD3" w:rsidP="00C53CD3">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53CD3" w:rsidRPr="00593BA7" w14:paraId="26079EA0" w14:textId="77777777" w:rsidTr="00846601">
        <w:trPr>
          <w:trHeight w:val="315"/>
        </w:trPr>
        <w:tc>
          <w:tcPr>
            <w:tcW w:w="812" w:type="dxa"/>
            <w:vAlign w:val="center"/>
            <w:hideMark/>
          </w:tcPr>
          <w:p w14:paraId="02246FBF" w14:textId="77777777" w:rsidR="00C53CD3" w:rsidRPr="00593BA7" w:rsidRDefault="00C53CD3" w:rsidP="0084660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ADFB419" w14:textId="59DFA2A6" w:rsidR="00C53CD3" w:rsidRPr="00593BA7" w:rsidRDefault="00C53CD3" w:rsidP="00846601">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Carlos Mario Castrillon Endo</w:t>
            </w:r>
          </w:p>
          <w:p w14:paraId="030D0864" w14:textId="0317248D" w:rsidR="00C53CD3" w:rsidRPr="00593BA7" w:rsidRDefault="00C53CD3" w:rsidP="0084660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Contratista</w:t>
            </w:r>
            <w:r>
              <w:rPr>
                <w:rFonts w:ascii="Arial" w:hAnsi="Arial" w:cs="Arial"/>
                <w:color w:val="000000" w:themeColor="text1"/>
                <w:sz w:val="16"/>
                <w:szCs w:val="16"/>
                <w:lang w:val="es-ES" w:eastAsia="es-ES"/>
              </w:rPr>
              <w:t xml:space="preserve"> </w:t>
            </w:r>
            <w:r w:rsidR="00F32A6B">
              <w:rPr>
                <w:rFonts w:ascii="Arial" w:hAnsi="Arial" w:cs="Arial"/>
                <w:color w:val="000000" w:themeColor="text1"/>
                <w:sz w:val="16"/>
                <w:szCs w:val="16"/>
                <w:lang w:val="es-ES" w:eastAsia="es-ES"/>
              </w:rPr>
              <w:t>de la</w:t>
            </w:r>
            <w:r>
              <w:rPr>
                <w:rFonts w:ascii="Arial" w:hAnsi="Arial" w:cs="Arial"/>
                <w:color w:val="000000" w:themeColor="text1"/>
                <w:sz w:val="16"/>
                <w:szCs w:val="16"/>
                <w:lang w:val="es-ES" w:eastAsia="es-ES"/>
              </w:rPr>
              <w:t xml:space="preserve"> </w:t>
            </w:r>
            <w:r w:rsidRPr="00593BA7">
              <w:rPr>
                <w:rFonts w:ascii="Arial" w:hAnsi="Arial" w:cs="Arial"/>
                <w:color w:val="000000" w:themeColor="text1"/>
                <w:sz w:val="16"/>
                <w:szCs w:val="16"/>
                <w:lang w:val="es-ES" w:eastAsia="es-ES"/>
              </w:rPr>
              <w:t>Subdirección de Gestión Contractual</w:t>
            </w:r>
          </w:p>
        </w:tc>
      </w:tr>
      <w:tr w:rsidR="00C53CD3" w:rsidRPr="00593BA7" w14:paraId="04F8AAE5" w14:textId="77777777" w:rsidTr="00846601">
        <w:trPr>
          <w:trHeight w:val="330"/>
        </w:trPr>
        <w:tc>
          <w:tcPr>
            <w:tcW w:w="812" w:type="dxa"/>
            <w:vAlign w:val="center"/>
            <w:hideMark/>
          </w:tcPr>
          <w:p w14:paraId="0D5D1FBF" w14:textId="77777777" w:rsidR="00C53CD3" w:rsidRPr="00593BA7" w:rsidRDefault="00C53CD3" w:rsidP="0084660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68198F4" w14:textId="7E500F0A" w:rsidR="00C53CD3" w:rsidRDefault="00F32A6B" w:rsidP="00846601">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Juan David Montoya Penagos </w:t>
            </w:r>
          </w:p>
          <w:p w14:paraId="79491D5E" w14:textId="29E1F6F0" w:rsidR="00C53CD3" w:rsidRPr="00593BA7" w:rsidRDefault="00C53CD3" w:rsidP="00846601">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Contratista </w:t>
            </w:r>
            <w:r w:rsidR="00F32A6B">
              <w:rPr>
                <w:rFonts w:ascii="Arial" w:hAnsi="Arial" w:cs="Arial"/>
                <w:color w:val="000000" w:themeColor="text1"/>
                <w:sz w:val="16"/>
                <w:szCs w:val="16"/>
                <w:lang w:val="es-ES" w:eastAsia="es-ES"/>
              </w:rPr>
              <w:t>de la</w:t>
            </w:r>
            <w:r>
              <w:rPr>
                <w:rFonts w:ascii="Arial" w:hAnsi="Arial" w:cs="Arial"/>
                <w:color w:val="000000" w:themeColor="text1"/>
                <w:sz w:val="16"/>
                <w:szCs w:val="16"/>
                <w:lang w:val="es-ES" w:eastAsia="es-ES"/>
              </w:rPr>
              <w:t xml:space="preserve"> Subdirección de</w:t>
            </w:r>
            <w:r w:rsidRPr="00593BA7">
              <w:rPr>
                <w:rFonts w:ascii="Arial" w:hAnsi="Arial" w:cs="Arial"/>
                <w:color w:val="000000" w:themeColor="text1"/>
                <w:sz w:val="16"/>
                <w:szCs w:val="16"/>
                <w:lang w:val="es-ES" w:eastAsia="es-ES"/>
              </w:rPr>
              <w:t xml:space="preserve"> Gestión Contractual</w:t>
            </w:r>
          </w:p>
        </w:tc>
      </w:tr>
      <w:tr w:rsidR="00C53CD3" w:rsidRPr="00593BA7" w14:paraId="3FB97C34" w14:textId="77777777" w:rsidTr="00846601">
        <w:trPr>
          <w:trHeight w:val="300"/>
        </w:trPr>
        <w:tc>
          <w:tcPr>
            <w:tcW w:w="812" w:type="dxa"/>
            <w:vAlign w:val="center"/>
            <w:hideMark/>
          </w:tcPr>
          <w:p w14:paraId="52C0BD86" w14:textId="77777777" w:rsidR="00C53CD3" w:rsidRPr="00593BA7" w:rsidRDefault="00C53CD3" w:rsidP="0084660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733AF92" w14:textId="22923C3B" w:rsidR="00C53CD3" w:rsidRPr="00593BA7" w:rsidRDefault="00C53CD3" w:rsidP="00846601">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Andres Ricardo Mancipe González</w:t>
            </w:r>
          </w:p>
          <w:p w14:paraId="24E3517A" w14:textId="77777777" w:rsidR="00C53CD3" w:rsidRPr="00593BA7" w:rsidRDefault="00C53CD3" w:rsidP="0084660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bl>
    <w:p w14:paraId="49DEAA49" w14:textId="77777777" w:rsidR="00C53CD3" w:rsidRPr="00593BA7" w:rsidRDefault="00C53CD3" w:rsidP="00C53CD3">
      <w:pPr>
        <w:rPr>
          <w:color w:val="000000" w:themeColor="text1"/>
          <w:lang w:val="es-ES"/>
        </w:rPr>
      </w:pPr>
    </w:p>
    <w:bookmarkEnd w:id="2"/>
    <w:p w14:paraId="08FFE904" w14:textId="77777777" w:rsidR="00BD0429" w:rsidRPr="00C53CD3" w:rsidRDefault="00BD0429">
      <w:pPr>
        <w:rPr>
          <w:lang w:val="es-ES"/>
        </w:rPr>
      </w:pPr>
    </w:p>
    <w:sectPr w:rsidR="00BD0429" w:rsidRPr="00C53CD3" w:rsidSect="003821D7">
      <w:headerReference w:type="default" r:id="rId8"/>
      <w:footerReference w:type="default" r:id="rId9"/>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24CEDD" w14:textId="77777777" w:rsidR="00C906A6" w:rsidRDefault="00C906A6" w:rsidP="00C53CD3">
      <w:r>
        <w:separator/>
      </w:r>
    </w:p>
  </w:endnote>
  <w:endnote w:type="continuationSeparator" w:id="0">
    <w:p w14:paraId="0741FD3E" w14:textId="77777777" w:rsidR="00C906A6" w:rsidRDefault="00C906A6" w:rsidP="00C5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EC22F" w14:textId="77777777" w:rsidR="007D4CE6" w:rsidRDefault="00C906A6" w:rsidP="007115CD">
    <w:pPr>
      <w:pStyle w:val="Sinespaciado"/>
      <w:jc w:val="right"/>
      <w:rPr>
        <w:rFonts w:ascii="Arial" w:hAnsi="Arial" w:cs="Arial"/>
        <w:sz w:val="18"/>
        <w:szCs w:val="18"/>
      </w:rPr>
    </w:pPr>
  </w:p>
  <w:p w14:paraId="34DC7FBC" w14:textId="77777777" w:rsidR="007D4CE6" w:rsidRPr="008217B7" w:rsidRDefault="008E7220" w:rsidP="007115C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0A1D101D" w14:textId="77777777" w:rsidR="007D4CE6" w:rsidRDefault="008E7220" w:rsidP="007115CD">
    <w:pPr>
      <w:pStyle w:val="Piedepgina"/>
      <w:jc w:val="center"/>
      <w:rPr>
        <w:lang w:val="es-ES"/>
      </w:rPr>
    </w:pPr>
    <w:r>
      <w:rPr>
        <w:noProof/>
        <w:lang w:val="es-CO" w:eastAsia="es-CO"/>
      </w:rPr>
      <w:drawing>
        <wp:inline distT="0" distB="0" distL="0" distR="0" wp14:anchorId="0834C914" wp14:editId="6C12BDF5">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7FFE096" w14:textId="77777777" w:rsidR="007D4CE6" w:rsidRPr="00E756AC" w:rsidRDefault="00C906A6" w:rsidP="007115CD">
    <w:pPr>
      <w:pStyle w:val="Piedepgina"/>
      <w:jc w:val="center"/>
      <w:rPr>
        <w:sz w:val="18"/>
        <w:szCs w:val="18"/>
        <w:lang w:val="es-ES"/>
      </w:rPr>
    </w:pPr>
  </w:p>
  <w:p w14:paraId="4E5788DF" w14:textId="77777777" w:rsidR="007D4CE6" w:rsidRPr="00E756AC" w:rsidRDefault="00C906A6" w:rsidP="007115CD">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41ACB3" w14:textId="77777777" w:rsidR="00C906A6" w:rsidRDefault="00C906A6" w:rsidP="00C53CD3">
      <w:r>
        <w:separator/>
      </w:r>
    </w:p>
  </w:footnote>
  <w:footnote w:type="continuationSeparator" w:id="0">
    <w:p w14:paraId="0C4A0E3B" w14:textId="77777777" w:rsidR="00C906A6" w:rsidRDefault="00C906A6" w:rsidP="00C53CD3">
      <w:r>
        <w:continuationSeparator/>
      </w:r>
    </w:p>
  </w:footnote>
  <w:footnote w:id="1">
    <w:p w14:paraId="1416D5E4" w14:textId="77777777" w:rsidR="00C53CD3" w:rsidRPr="00002995" w:rsidRDefault="00C53CD3" w:rsidP="00C53CD3">
      <w:pPr>
        <w:pStyle w:val="Textonotapie"/>
        <w:ind w:firstLine="708"/>
        <w:jc w:val="both"/>
        <w:rPr>
          <w:rFonts w:ascii="Arial" w:hAnsi="Arial" w:cs="Arial"/>
          <w:sz w:val="19"/>
          <w:szCs w:val="19"/>
          <w:lang w:val="en-US"/>
        </w:rPr>
      </w:pPr>
      <w:r w:rsidRPr="00002995">
        <w:rPr>
          <w:rStyle w:val="Refdenotaalpie"/>
          <w:rFonts w:ascii="Arial" w:hAnsi="Arial" w:cs="Arial"/>
          <w:sz w:val="19"/>
          <w:szCs w:val="19"/>
        </w:rPr>
        <w:footnoteRef/>
      </w:r>
      <w:r w:rsidRPr="00002995">
        <w:rPr>
          <w:rFonts w:ascii="Arial" w:hAnsi="Arial" w:cs="Arial"/>
          <w:sz w:val="19"/>
          <w:szCs w:val="19"/>
          <w:lang w:val="en-US"/>
        </w:rPr>
        <w:t xml:space="preserve"> EUROPEAN COMMISSION. Buying Green – A handbook on green procurement, 2016, disponible </w:t>
      </w:r>
      <w:proofErr w:type="spellStart"/>
      <w:r w:rsidRPr="00002995">
        <w:rPr>
          <w:rFonts w:ascii="Arial" w:hAnsi="Arial" w:cs="Arial"/>
          <w:sz w:val="19"/>
          <w:szCs w:val="19"/>
          <w:lang w:val="en-US"/>
        </w:rPr>
        <w:t>en</w:t>
      </w:r>
      <w:proofErr w:type="spellEnd"/>
      <w:r w:rsidRPr="00002995">
        <w:rPr>
          <w:rFonts w:ascii="Arial" w:hAnsi="Arial" w:cs="Arial"/>
          <w:sz w:val="19"/>
          <w:szCs w:val="19"/>
          <w:lang w:val="en-US"/>
        </w:rPr>
        <w:t xml:space="preserve">: https://ec.europa.eu/environment/gpp/pdf/Buying-Green-Handbook-3rd-Edition.pdf  </w:t>
      </w:r>
    </w:p>
    <w:p w14:paraId="4B185A81" w14:textId="77777777" w:rsidR="00C53CD3" w:rsidRPr="00002995" w:rsidRDefault="00C53CD3" w:rsidP="00C53CD3">
      <w:pPr>
        <w:pStyle w:val="Textonotapie"/>
        <w:ind w:firstLine="708"/>
        <w:jc w:val="both"/>
        <w:rPr>
          <w:rFonts w:ascii="Arial" w:hAnsi="Arial" w:cs="Arial"/>
          <w:sz w:val="19"/>
          <w:szCs w:val="19"/>
          <w:lang w:val="en-US"/>
        </w:rPr>
      </w:pPr>
    </w:p>
  </w:footnote>
  <w:footnote w:id="2">
    <w:p w14:paraId="0054D611" w14:textId="77777777" w:rsidR="00C53CD3" w:rsidRPr="00002995" w:rsidRDefault="00C53CD3" w:rsidP="00C53CD3">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lang w:val="es-ES"/>
        </w:rPr>
        <w:t xml:space="preserve"> ARROWSMITH, SUE. </w:t>
      </w:r>
      <w:r w:rsidRPr="00002995">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51A4FD6D" w14:textId="77777777" w:rsidR="00C53CD3" w:rsidRPr="00002995" w:rsidRDefault="00C53CD3" w:rsidP="00C53CD3">
      <w:pPr>
        <w:pStyle w:val="Textonotapie"/>
        <w:ind w:firstLine="708"/>
        <w:jc w:val="both"/>
        <w:rPr>
          <w:rFonts w:ascii="Arial" w:hAnsi="Arial" w:cs="Arial"/>
          <w:sz w:val="19"/>
          <w:szCs w:val="19"/>
          <w:lang w:val="es-CO"/>
        </w:rPr>
      </w:pPr>
    </w:p>
  </w:footnote>
  <w:footnote w:id="3">
    <w:p w14:paraId="419B21BB" w14:textId="77777777" w:rsidR="00C53CD3" w:rsidRPr="00002995" w:rsidRDefault="00C53CD3" w:rsidP="00C53CD3">
      <w:pPr>
        <w:pStyle w:val="Textonotapie"/>
        <w:ind w:firstLine="708"/>
        <w:jc w:val="both"/>
        <w:rPr>
          <w:rFonts w:ascii="Arial" w:hAnsi="Arial" w:cs="Arial"/>
          <w:sz w:val="19"/>
          <w:szCs w:val="19"/>
          <w:lang w:val="es-CO"/>
        </w:rPr>
      </w:pPr>
      <w:r w:rsidRPr="00002995">
        <w:rPr>
          <w:rStyle w:val="Refdenotaalpie"/>
          <w:rFonts w:ascii="Arial" w:hAnsi="Arial" w:cs="Arial"/>
          <w:sz w:val="19"/>
          <w:szCs w:val="19"/>
        </w:rPr>
        <w:footnoteRef/>
      </w:r>
      <w:r w:rsidRPr="00002995">
        <w:rPr>
          <w:rFonts w:ascii="Arial" w:hAnsi="Arial" w:cs="Arial"/>
          <w:sz w:val="19"/>
          <w:szCs w:val="19"/>
        </w:rPr>
        <w:t xml:space="preserve"> </w:t>
      </w:r>
      <w:proofErr w:type="spellStart"/>
      <w:r w:rsidRPr="00002995">
        <w:rPr>
          <w:rFonts w:ascii="Arial" w:hAnsi="Arial" w:cs="Arial"/>
          <w:sz w:val="19"/>
          <w:szCs w:val="19"/>
          <w:lang w:val="es-CO"/>
        </w:rPr>
        <w:t>Ibídem</w:t>
      </w:r>
      <w:proofErr w:type="spellEnd"/>
      <w:r w:rsidRPr="00002995">
        <w:rPr>
          <w:rFonts w:ascii="Arial" w:hAnsi="Arial" w:cs="Arial"/>
          <w:sz w:val="19"/>
          <w:szCs w:val="19"/>
          <w:lang w:val="es-CO"/>
        </w:rPr>
        <w:t xml:space="preserve">, p. 227. </w:t>
      </w:r>
    </w:p>
    <w:p w14:paraId="7769D0B5" w14:textId="77777777" w:rsidR="00C53CD3" w:rsidRPr="00002995" w:rsidRDefault="00C53CD3" w:rsidP="00C53CD3">
      <w:pPr>
        <w:pStyle w:val="Textonotapie"/>
        <w:ind w:firstLine="708"/>
        <w:jc w:val="both"/>
        <w:rPr>
          <w:rFonts w:ascii="Arial" w:hAnsi="Arial" w:cs="Arial"/>
          <w:sz w:val="19"/>
          <w:szCs w:val="19"/>
          <w:lang w:val="es-CO"/>
        </w:rPr>
      </w:pPr>
    </w:p>
  </w:footnote>
  <w:footnote w:id="4">
    <w:p w14:paraId="31789E6D"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w:t>
      </w:r>
      <w:r w:rsidRPr="00002995">
        <w:rPr>
          <w:rFonts w:ascii="Arial" w:hAnsi="Arial" w:cs="Arial"/>
          <w:sz w:val="19"/>
          <w:szCs w:val="19"/>
          <w:lang w:val="es-CO"/>
        </w:rPr>
        <w:t xml:space="preserve">CONSEJO DE ESTADO, SALA DE CONSULTA Y SERVICIO CIVIL. Concepto del 8 de marzo de 2017, rad. </w:t>
      </w:r>
      <w:r w:rsidRPr="00002995">
        <w:rPr>
          <w:rFonts w:ascii="Arial" w:hAnsi="Arial" w:cs="Arial"/>
          <w:sz w:val="19"/>
          <w:szCs w:val="19"/>
        </w:rPr>
        <w:t xml:space="preserve">11001-03-06-000-2016-00102-00(2298). CP. Édgar González López. </w:t>
      </w:r>
    </w:p>
    <w:p w14:paraId="7B627A02" w14:textId="77777777" w:rsidR="00C53CD3" w:rsidRPr="00002995" w:rsidRDefault="00C53CD3" w:rsidP="00C53CD3">
      <w:pPr>
        <w:pStyle w:val="Textonotapie"/>
        <w:ind w:firstLine="708"/>
        <w:jc w:val="both"/>
        <w:rPr>
          <w:rFonts w:ascii="Arial" w:hAnsi="Arial" w:cs="Arial"/>
          <w:sz w:val="19"/>
          <w:szCs w:val="19"/>
          <w:lang w:val="es-CO"/>
        </w:rPr>
      </w:pPr>
    </w:p>
  </w:footnote>
  <w:footnote w:id="5">
    <w:p w14:paraId="0BEFAAB2"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DUQUE BOTERO, Juan David. Contratación pública estratégica, socialmente responsable y competitiva. Bogotá: Tirant Lo Blanch, 2018. p. 52. </w:t>
      </w:r>
    </w:p>
  </w:footnote>
  <w:footnote w:id="6">
    <w:p w14:paraId="04742DD5"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780EFC92"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14:paraId="71FC7615"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7D4AE602" w14:textId="77777777" w:rsidR="00C53CD3" w:rsidRPr="00002995" w:rsidRDefault="00C53CD3" w:rsidP="00C53CD3">
      <w:pPr>
        <w:pStyle w:val="Textonotapie"/>
        <w:ind w:firstLine="708"/>
        <w:jc w:val="both"/>
        <w:rPr>
          <w:rFonts w:ascii="Arial" w:hAnsi="Arial" w:cs="Arial"/>
          <w:color w:val="000000" w:themeColor="text1"/>
          <w:sz w:val="19"/>
          <w:szCs w:val="19"/>
          <w:lang w:val="es-ES"/>
        </w:rPr>
      </w:pPr>
    </w:p>
  </w:footnote>
  <w:footnote w:id="7">
    <w:p w14:paraId="3D66C799"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Style w:val="Refdenotaalpie"/>
          <w:rFonts w:ascii="Arial" w:hAnsi="Arial" w:cs="Arial"/>
          <w:color w:val="000000" w:themeColor="text1"/>
          <w:sz w:val="19"/>
          <w:szCs w:val="19"/>
        </w:rPr>
        <w:footnoteRef/>
      </w:r>
      <w:r w:rsidRPr="00002995">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B040F93"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w:t>
      </w:r>
    </w:p>
    <w:p w14:paraId="55D64FD2" w14:textId="77777777" w:rsidR="00C53CD3" w:rsidRPr="00002995" w:rsidRDefault="00C53CD3" w:rsidP="00C53CD3">
      <w:pPr>
        <w:pStyle w:val="Textonotapie"/>
        <w:ind w:firstLine="708"/>
        <w:jc w:val="both"/>
        <w:rPr>
          <w:rFonts w:ascii="Arial" w:hAnsi="Arial" w:cs="Arial"/>
          <w:color w:val="000000" w:themeColor="text1"/>
          <w:sz w:val="19"/>
          <w:szCs w:val="19"/>
        </w:rPr>
      </w:pPr>
      <w:r w:rsidRPr="00002995">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19C107D4" w14:textId="77777777" w:rsidR="00C53CD3" w:rsidRPr="00002995" w:rsidRDefault="00C53CD3" w:rsidP="00C53CD3">
      <w:pPr>
        <w:pStyle w:val="Textonotapie"/>
        <w:ind w:firstLine="708"/>
        <w:jc w:val="both"/>
        <w:rPr>
          <w:rFonts w:ascii="Arial" w:hAnsi="Arial" w:cs="Arial"/>
          <w:color w:val="000000" w:themeColor="text1"/>
          <w:sz w:val="19"/>
          <w:szCs w:val="19"/>
        </w:rPr>
      </w:pPr>
    </w:p>
  </w:footnote>
  <w:footnote w:id="8">
    <w:p w14:paraId="1D561002" w14:textId="5B83BC6A" w:rsidR="00C53CD3" w:rsidRPr="00002995" w:rsidRDefault="00C53CD3" w:rsidP="00C53CD3">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r w:rsidR="00C92F2D">
        <w:rPr>
          <w:rFonts w:ascii="Arial" w:hAnsi="Arial" w:cs="Arial"/>
          <w:sz w:val="19"/>
          <w:szCs w:val="19"/>
        </w:rPr>
        <w:t>.</w:t>
      </w:r>
    </w:p>
  </w:footnote>
  <w:footnote w:id="9">
    <w:p w14:paraId="09B0D4DA"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En ese sentido, ver CORTE CONSTITUCIONAL. Sentencia C-619 del 14 de junio de 2001. M.P. Marco Gerardo </w:t>
      </w:r>
      <w:proofErr w:type="spellStart"/>
      <w:r w:rsidRPr="00002995">
        <w:rPr>
          <w:rFonts w:ascii="Arial" w:hAnsi="Arial" w:cs="Arial"/>
          <w:sz w:val="19"/>
          <w:szCs w:val="19"/>
        </w:rPr>
        <w:t>Monry</w:t>
      </w:r>
      <w:proofErr w:type="spellEnd"/>
      <w:r w:rsidRPr="00002995">
        <w:rPr>
          <w:rFonts w:ascii="Arial" w:hAnsi="Arial" w:cs="Arial"/>
          <w:sz w:val="19"/>
          <w:szCs w:val="19"/>
        </w:rPr>
        <w:t xml:space="preserve"> Cabra. </w:t>
      </w:r>
    </w:p>
    <w:p w14:paraId="5FE2648B" w14:textId="77777777" w:rsidR="00C53CD3" w:rsidRPr="00002995" w:rsidRDefault="00C53CD3" w:rsidP="00C53CD3">
      <w:pPr>
        <w:pStyle w:val="Textonotapie"/>
        <w:ind w:firstLine="708"/>
        <w:jc w:val="both"/>
        <w:rPr>
          <w:rFonts w:ascii="Arial" w:hAnsi="Arial" w:cs="Arial"/>
          <w:sz w:val="19"/>
          <w:szCs w:val="19"/>
        </w:rPr>
      </w:pPr>
    </w:p>
  </w:footnote>
  <w:footnote w:id="10">
    <w:p w14:paraId="0B380EED" w14:textId="77777777" w:rsidR="00C53CD3" w:rsidRPr="00002995" w:rsidRDefault="00C53CD3" w:rsidP="00C53CD3">
      <w:pPr>
        <w:pStyle w:val="Textonotapie"/>
        <w:ind w:firstLine="708"/>
        <w:jc w:val="both"/>
        <w:rPr>
          <w:rFonts w:ascii="Arial" w:hAnsi="Arial" w:cs="Arial"/>
          <w:sz w:val="19"/>
          <w:szCs w:val="19"/>
          <w:lang w:val="es-ES"/>
        </w:rPr>
      </w:pPr>
      <w:r w:rsidRPr="00002995">
        <w:rPr>
          <w:rStyle w:val="Refdenotaalpie"/>
          <w:rFonts w:ascii="Arial" w:hAnsi="Arial" w:cs="Arial"/>
          <w:sz w:val="19"/>
          <w:szCs w:val="19"/>
        </w:rPr>
        <w:footnoteRef/>
      </w:r>
      <w:r w:rsidRPr="00002995">
        <w:rPr>
          <w:rFonts w:ascii="Arial" w:hAnsi="Arial" w:cs="Arial"/>
          <w:sz w:val="19"/>
          <w:szCs w:val="19"/>
        </w:rPr>
        <w:t xml:space="preserve"> Gacetas del Congreso 948 de 2018, 192 de 2019, 900 de 2019, y 314 de 2020. </w:t>
      </w:r>
    </w:p>
  </w:footnote>
  <w:footnote w:id="11">
    <w:p w14:paraId="00A15931" w14:textId="77777777" w:rsidR="00C53CD3" w:rsidRDefault="00C53CD3" w:rsidP="00C53CD3">
      <w:pPr>
        <w:pStyle w:val="Textonotapie"/>
        <w:ind w:firstLine="708"/>
        <w:jc w:val="both"/>
        <w:rPr>
          <w:rFonts w:ascii="Arial" w:hAnsi="Arial" w:cs="Arial"/>
          <w:sz w:val="19"/>
          <w:szCs w:val="19"/>
        </w:rPr>
      </w:pPr>
    </w:p>
    <w:p w14:paraId="48E75E07"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Gaceta del Congreso</w:t>
      </w:r>
      <w:r>
        <w:rPr>
          <w:rFonts w:ascii="Arial" w:hAnsi="Arial" w:cs="Arial"/>
          <w:sz w:val="19"/>
          <w:szCs w:val="19"/>
        </w:rPr>
        <w:t>.</w:t>
      </w:r>
      <w:r w:rsidRPr="00002995">
        <w:rPr>
          <w:rFonts w:ascii="Arial" w:hAnsi="Arial" w:cs="Arial"/>
          <w:sz w:val="19"/>
          <w:szCs w:val="19"/>
        </w:rPr>
        <w:t xml:space="preserve"> 314</w:t>
      </w:r>
      <w:r>
        <w:rPr>
          <w:rFonts w:ascii="Arial" w:hAnsi="Arial" w:cs="Arial"/>
          <w:sz w:val="19"/>
          <w:szCs w:val="19"/>
        </w:rPr>
        <w:t xml:space="preserve"> del</w:t>
      </w:r>
      <w:r w:rsidRPr="00002995">
        <w:rPr>
          <w:rFonts w:ascii="Arial" w:hAnsi="Arial" w:cs="Arial"/>
          <w:sz w:val="19"/>
          <w:szCs w:val="19"/>
        </w:rPr>
        <w:t xml:space="preserve"> </w:t>
      </w:r>
      <w:r>
        <w:rPr>
          <w:rFonts w:ascii="Arial" w:hAnsi="Arial" w:cs="Arial"/>
          <w:sz w:val="19"/>
          <w:szCs w:val="19"/>
        </w:rPr>
        <w:t>m</w:t>
      </w:r>
      <w:r w:rsidRPr="00002995">
        <w:rPr>
          <w:rFonts w:ascii="Arial" w:hAnsi="Arial" w:cs="Arial"/>
          <w:sz w:val="19"/>
          <w:szCs w:val="19"/>
        </w:rPr>
        <w:t>iércoles 10 de junio de 2020</w:t>
      </w:r>
      <w:r>
        <w:rPr>
          <w:rFonts w:ascii="Arial" w:hAnsi="Arial" w:cs="Arial"/>
          <w:sz w:val="19"/>
          <w:szCs w:val="19"/>
        </w:rPr>
        <w:t>,</w:t>
      </w:r>
      <w:r w:rsidRPr="00002995">
        <w:rPr>
          <w:rFonts w:ascii="Arial" w:hAnsi="Arial" w:cs="Arial"/>
          <w:sz w:val="19"/>
          <w:szCs w:val="19"/>
        </w:rPr>
        <w:t xml:space="preserve"> Página 7.</w:t>
      </w:r>
    </w:p>
    <w:p w14:paraId="6F0F1958" w14:textId="77777777" w:rsidR="00C53CD3" w:rsidRPr="00002995" w:rsidRDefault="00C53CD3" w:rsidP="00C53CD3">
      <w:pPr>
        <w:pStyle w:val="Textonotapie"/>
        <w:ind w:firstLine="708"/>
        <w:jc w:val="both"/>
        <w:rPr>
          <w:rFonts w:ascii="Arial" w:hAnsi="Arial" w:cs="Arial"/>
          <w:sz w:val="19"/>
          <w:szCs w:val="19"/>
          <w:lang w:val="es-ES"/>
        </w:rPr>
      </w:pPr>
    </w:p>
  </w:footnote>
  <w:footnote w:id="12">
    <w:p w14:paraId="314C325E"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El artículo 4 de la Ley 2040 de 2020 señala lo siguiente: «Reglamentación y verificación. El Gobierno nacional, en consulta con el Consejo Nacional del Adulto Mayor, deberá reglamentar presente ley en un término no mayor a seis (6) meses contados a partir de la expedición de la presente ley, por lo menos en los siguientes aspectos: i) Estrategias para la promoción del empleo de personas mayores que no sean beneficiarios de la pensión de vejez, familiar o de sobrevivencia y que hayan cumplido el requisito de edad de pensión establecido en la Ley en el sector público; </w:t>
      </w:r>
      <w:proofErr w:type="spellStart"/>
      <w:r w:rsidRPr="00002995">
        <w:rPr>
          <w:rFonts w:ascii="Arial" w:hAnsi="Arial" w:cs="Arial"/>
          <w:sz w:val="19"/>
          <w:szCs w:val="19"/>
        </w:rPr>
        <w:t>ii</w:t>
      </w:r>
      <w:proofErr w:type="spellEnd"/>
      <w:r w:rsidRPr="00002995">
        <w:rPr>
          <w:rFonts w:ascii="Arial" w:hAnsi="Arial" w:cs="Arial"/>
          <w:sz w:val="19"/>
          <w:szCs w:val="19"/>
        </w:rPr>
        <w:t xml:space="preserve">) tipos de actividades y oficios que pueden asignárseles a los adultos mayores trabajadores cobijados por esta ley; </w:t>
      </w:r>
      <w:proofErr w:type="spellStart"/>
      <w:r w:rsidRPr="00002995">
        <w:rPr>
          <w:rFonts w:ascii="Arial" w:hAnsi="Arial" w:cs="Arial"/>
          <w:sz w:val="19"/>
          <w:szCs w:val="19"/>
        </w:rPr>
        <w:t>iii</w:t>
      </w:r>
      <w:proofErr w:type="spellEnd"/>
      <w:r w:rsidRPr="00002995">
        <w:rPr>
          <w:rFonts w:ascii="Arial" w:hAnsi="Arial" w:cs="Arial"/>
          <w:sz w:val="19"/>
          <w:szCs w:val="19"/>
        </w:rPr>
        <w:t xml:space="preserve">) Derechos y obligaciones especiales de las empresas empleadoras que se acojan a esta ley; </w:t>
      </w:r>
      <w:proofErr w:type="spellStart"/>
      <w:r w:rsidRPr="00002995">
        <w:rPr>
          <w:rFonts w:ascii="Arial" w:hAnsi="Arial" w:cs="Arial"/>
          <w:sz w:val="19"/>
          <w:szCs w:val="19"/>
        </w:rPr>
        <w:t>iv</w:t>
      </w:r>
      <w:proofErr w:type="spellEnd"/>
      <w:r w:rsidRPr="00002995">
        <w:rPr>
          <w:rFonts w:ascii="Arial" w:hAnsi="Arial" w:cs="Arial"/>
          <w:sz w:val="19"/>
          <w:szCs w:val="19"/>
        </w:rPr>
        <w:t xml:space="preserve">) Procedimiento de verificación del cumplimiento de requisitos por parte de las empresas empleadoras. </w:t>
      </w:r>
    </w:p>
    <w:p w14:paraId="5334FB1E" w14:textId="77777777" w:rsidR="00C53CD3" w:rsidRPr="00002995" w:rsidRDefault="00C53CD3" w:rsidP="00C53CD3">
      <w:pPr>
        <w:pStyle w:val="Textonotapie"/>
        <w:ind w:firstLine="708"/>
        <w:jc w:val="both"/>
        <w:rPr>
          <w:rFonts w:ascii="Arial" w:hAnsi="Arial" w:cs="Arial"/>
          <w:sz w:val="19"/>
          <w:szCs w:val="19"/>
        </w:rPr>
      </w:pPr>
      <w:r w:rsidRPr="00002995">
        <w:rPr>
          <w:rFonts w:ascii="Arial" w:hAnsi="Arial" w:cs="Arial"/>
          <w:sz w:val="19"/>
          <w:szCs w:val="19"/>
        </w:rPr>
        <w:t xml:space="preserve">»Parágrafo 1. Será responsabilidad de las empresas certificar ante el Ministerio del Trabajo el cumplimiento de los requisitos para acceder a los beneficios contemplados por esta ley. </w:t>
      </w:r>
    </w:p>
    <w:p w14:paraId="329285DE" w14:textId="77777777" w:rsidR="00C53CD3" w:rsidRPr="00002995" w:rsidRDefault="00C53CD3" w:rsidP="00C53CD3">
      <w:pPr>
        <w:pStyle w:val="Textonotapie"/>
        <w:ind w:firstLine="708"/>
        <w:jc w:val="both"/>
        <w:rPr>
          <w:rFonts w:ascii="Arial" w:hAnsi="Arial" w:cs="Arial"/>
          <w:sz w:val="19"/>
          <w:szCs w:val="19"/>
        </w:rPr>
      </w:pPr>
      <w:r w:rsidRPr="00002995">
        <w:rPr>
          <w:rFonts w:ascii="Arial" w:hAnsi="Arial" w:cs="Arial"/>
          <w:sz w:val="19"/>
          <w:szCs w:val="19"/>
        </w:rPr>
        <w:t>»Parágrafo 2. Posterior a la reglamentación sobre los tipos de actividades y oficios que se pueden asignar a las personas que no sean beneficiarias de la pensión de vejez, familiar o de sobrevivencia y que hayan cumplido el requisito de edad de pensión establecido en la ley, se determinará cuáles de ellos se enseñan a través de programas de formación del Servicio Nacional de Aprendizaje -SENA- y se dispondrá un número exclusivo de cupos para que las personas adultas no pensionadas objeto de la presente ley puedan formarse».</w:t>
      </w:r>
    </w:p>
    <w:p w14:paraId="3A265291" w14:textId="77777777" w:rsidR="00C53CD3" w:rsidRPr="00002995" w:rsidRDefault="00C53CD3" w:rsidP="00C53CD3">
      <w:pPr>
        <w:pStyle w:val="Textonotapie"/>
        <w:ind w:firstLine="708"/>
        <w:jc w:val="both"/>
        <w:rPr>
          <w:rFonts w:ascii="Arial" w:hAnsi="Arial" w:cs="Arial"/>
          <w:sz w:val="19"/>
          <w:szCs w:val="19"/>
          <w:lang w:val="es-CO"/>
        </w:rPr>
      </w:pPr>
    </w:p>
  </w:footnote>
  <w:footnote w:id="13">
    <w:p w14:paraId="6B3A5200" w14:textId="77777777" w:rsidR="00C53CD3" w:rsidRPr="00002995" w:rsidRDefault="00C53CD3" w:rsidP="00C53CD3">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w:t>
      </w:r>
      <w:proofErr w:type="spellStart"/>
      <w:r w:rsidRPr="00002995">
        <w:rPr>
          <w:rFonts w:ascii="Arial" w:hAnsi="Arial" w:cs="Arial"/>
          <w:sz w:val="19"/>
          <w:szCs w:val="19"/>
        </w:rPr>
        <w:t>Exp</w:t>
      </w:r>
      <w:proofErr w:type="spellEnd"/>
      <w:r w:rsidRPr="00002995">
        <w:rPr>
          <w:rFonts w:ascii="Arial" w:hAnsi="Arial" w:cs="Arial"/>
          <w:sz w:val="19"/>
          <w:szCs w:val="19"/>
        </w:rPr>
        <w:t xml:space="preserve">.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68B539" w14:textId="77777777" w:rsidR="007D4CE6" w:rsidRDefault="008E7220">
    <w:pPr>
      <w:pStyle w:val="Encabezado"/>
    </w:pPr>
    <w:r>
      <w:rPr>
        <w:noProof/>
        <w:lang w:val="es-CO" w:eastAsia="es-CO"/>
      </w:rPr>
      <w:drawing>
        <wp:anchor distT="0" distB="0" distL="114300" distR="114300" simplePos="0" relativeHeight="251659264" behindDoc="1" locked="0" layoutInCell="1" allowOverlap="1" wp14:anchorId="75B6FC06" wp14:editId="48F022F8">
          <wp:simplePos x="0" y="0"/>
          <wp:positionH relativeFrom="margin">
            <wp:align>right</wp:align>
          </wp:positionH>
          <wp:positionV relativeFrom="paragraph">
            <wp:posOffset>444500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CD3"/>
    <w:rsid w:val="00030539"/>
    <w:rsid w:val="00085F5C"/>
    <w:rsid w:val="002E755A"/>
    <w:rsid w:val="0043755E"/>
    <w:rsid w:val="00496E0C"/>
    <w:rsid w:val="005D3DD0"/>
    <w:rsid w:val="007B7BE1"/>
    <w:rsid w:val="007C464B"/>
    <w:rsid w:val="00874E1F"/>
    <w:rsid w:val="008E7220"/>
    <w:rsid w:val="00996222"/>
    <w:rsid w:val="00A24C72"/>
    <w:rsid w:val="00BC62E7"/>
    <w:rsid w:val="00BD0429"/>
    <w:rsid w:val="00C53CD3"/>
    <w:rsid w:val="00C906A6"/>
    <w:rsid w:val="00C92F2D"/>
    <w:rsid w:val="00EA68EB"/>
    <w:rsid w:val="00ED0F95"/>
    <w:rsid w:val="00F32A6B"/>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C3081"/>
  <w15:chartTrackingRefBased/>
  <w15:docId w15:val="{D4840706-3421-4C66-83C1-88B33D174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CD3"/>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C53CD3"/>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C53CD3"/>
    <w:rPr>
      <w:sz w:val="24"/>
      <w:lang w:val="es-MX"/>
    </w:rPr>
  </w:style>
  <w:style w:type="paragraph" w:styleId="Encabezado">
    <w:name w:val="header"/>
    <w:basedOn w:val="Normal"/>
    <w:link w:val="EncabezadoCar"/>
    <w:uiPriority w:val="99"/>
    <w:unhideWhenUsed/>
    <w:rsid w:val="00C53CD3"/>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C53CD3"/>
    <w:rPr>
      <w:sz w:val="24"/>
      <w:lang w:val="es-MX"/>
    </w:rPr>
  </w:style>
  <w:style w:type="table" w:styleId="Tablaconcuadrcula">
    <w:name w:val="Table Grid"/>
    <w:basedOn w:val="Tablanormal"/>
    <w:uiPriority w:val="39"/>
    <w:rsid w:val="00C53C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C53CD3"/>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C53CD3"/>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C53CD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C53CD3"/>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C53CD3"/>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53CD3"/>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C53CD3"/>
    <w:rPr>
      <w:vertAlign w:val="superscript"/>
    </w:rPr>
  </w:style>
  <w:style w:type="paragraph" w:styleId="Textodeglobo">
    <w:name w:val="Balloon Text"/>
    <w:basedOn w:val="Normal"/>
    <w:link w:val="TextodegloboCar"/>
    <w:uiPriority w:val="99"/>
    <w:semiHidden/>
    <w:unhideWhenUsed/>
    <w:rsid w:val="0003053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3053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A517B81-9A1B-43E8-8347-312D8C8DC293}"/>
</file>

<file path=customXml/itemProps2.xml><?xml version="1.0" encoding="utf-8"?>
<ds:datastoreItem xmlns:ds="http://schemas.openxmlformats.org/officeDocument/2006/customXml" ds:itemID="{FECB6D94-1562-440A-A7B1-50140D7CDD9D}"/>
</file>

<file path=customXml/itemProps3.xml><?xml version="1.0" encoding="utf-8"?>
<ds:datastoreItem xmlns:ds="http://schemas.openxmlformats.org/officeDocument/2006/customXml" ds:itemID="{6CC1B54F-9DC2-432F-B7C0-3757D9C94B62}"/>
</file>

<file path=docProps/app.xml><?xml version="1.0" encoding="utf-8"?>
<Properties xmlns="http://schemas.openxmlformats.org/officeDocument/2006/extended-properties" xmlns:vt="http://schemas.openxmlformats.org/officeDocument/2006/docPropsVTypes">
  <Template>Normal</Template>
  <TotalTime>0</TotalTime>
  <Pages>14</Pages>
  <Words>5577</Words>
  <Characters>30676</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2020-10-05T13:06:00Z</dcterms:created>
  <dcterms:modified xsi:type="dcterms:W3CDTF">2020-10-05T13:06:00Z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