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46C80" w14:textId="7393E3F1" w:rsidR="003A6BA5" w:rsidRDefault="002411DE" w:rsidP="00643F91">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bookmarkEnd w:id="0"/>
      <w:bookmarkEnd w:id="1"/>
    </w:p>
    <w:p w14:paraId="0B9C84CC" w14:textId="77777777" w:rsidR="00643F91" w:rsidRPr="00643F91" w:rsidRDefault="00643F91" w:rsidP="00643F91">
      <w:pPr>
        <w:jc w:val="right"/>
        <w:rPr>
          <w:rFonts w:ascii="Arial" w:eastAsia="Calibri" w:hAnsi="Arial" w:cs="Arial"/>
          <w:b/>
          <w:color w:val="000000" w:themeColor="text1"/>
          <w:sz w:val="20"/>
          <w:szCs w:val="20"/>
          <w:lang w:val="es-ES_tradnl"/>
        </w:rPr>
      </w:pPr>
    </w:p>
    <w:p w14:paraId="208B97B7" w14:textId="026A2940" w:rsidR="00B95C30" w:rsidRPr="00E23980" w:rsidRDefault="00C97106" w:rsidP="00B95C30">
      <w:pPr>
        <w:jc w:val="both"/>
        <w:rPr>
          <w:rFonts w:ascii="Arial" w:eastAsia="Calibri" w:hAnsi="Arial" w:cs="Arial"/>
          <w:b/>
          <w:sz w:val="22"/>
          <w:lang w:val="es-ES_tradnl"/>
        </w:rPr>
      </w:pPr>
      <w:r>
        <w:rPr>
          <w:rFonts w:ascii="Arial" w:eastAsia="Calibri" w:hAnsi="Arial" w:cs="Arial"/>
          <w:b/>
          <w:sz w:val="22"/>
          <w:lang w:val="es-ES_tradnl"/>
        </w:rPr>
        <w:t>REGISTRO NACIONAL DE OBRAS CIVILES INCONCLUSAS</w:t>
      </w:r>
      <w:r w:rsidR="00B95C30" w:rsidRPr="00E23980">
        <w:rPr>
          <w:rFonts w:ascii="Arial" w:eastAsia="Calibri" w:hAnsi="Arial" w:cs="Arial"/>
          <w:b/>
          <w:sz w:val="22"/>
          <w:lang w:val="es-ES_tradnl"/>
        </w:rPr>
        <w:t xml:space="preserve"> </w:t>
      </w:r>
      <w:bookmarkStart w:id="2" w:name="_Hlk39666823"/>
      <w:r w:rsidR="00B95C30" w:rsidRPr="00E23980">
        <w:rPr>
          <w:rFonts w:ascii="Arial" w:eastAsia="Calibri" w:hAnsi="Arial" w:cs="Arial"/>
          <w:b/>
          <w:color w:val="000000" w:themeColor="text1"/>
          <w:sz w:val="22"/>
          <w:lang w:val="es-ES_tradnl"/>
        </w:rPr>
        <w:t>–</w:t>
      </w:r>
      <w:bookmarkEnd w:id="2"/>
      <w:r w:rsidR="00B95C30" w:rsidRPr="00E23980">
        <w:rPr>
          <w:rFonts w:ascii="Arial" w:eastAsia="Calibri" w:hAnsi="Arial" w:cs="Arial"/>
          <w:b/>
          <w:sz w:val="22"/>
          <w:lang w:val="es-ES_tradnl"/>
        </w:rPr>
        <w:t xml:space="preserve"> </w:t>
      </w:r>
      <w:r w:rsidR="009B3163">
        <w:rPr>
          <w:rFonts w:ascii="Arial" w:eastAsia="Calibri" w:hAnsi="Arial" w:cs="Arial"/>
          <w:b/>
          <w:sz w:val="22"/>
          <w:lang w:val="es-ES_tradnl"/>
        </w:rPr>
        <w:t>Concepto</w:t>
      </w:r>
      <w:r w:rsidR="00A97C93" w:rsidRPr="00E23980">
        <w:rPr>
          <w:rFonts w:ascii="Arial" w:eastAsia="Calibri" w:hAnsi="Arial" w:cs="Arial"/>
          <w:b/>
          <w:sz w:val="22"/>
          <w:lang w:val="es-ES_tradnl"/>
        </w:rPr>
        <w:t xml:space="preserve"> </w:t>
      </w:r>
      <w:r w:rsidR="00A97C93" w:rsidRPr="00E23980">
        <w:rPr>
          <w:rFonts w:ascii="Arial" w:eastAsia="Calibri" w:hAnsi="Arial" w:cs="Arial"/>
          <w:b/>
          <w:color w:val="000000" w:themeColor="text1"/>
          <w:sz w:val="22"/>
          <w:lang w:val="es-ES_tradnl"/>
        </w:rPr>
        <w:t xml:space="preserve">– </w:t>
      </w:r>
      <w:r w:rsidR="009B3163">
        <w:rPr>
          <w:rFonts w:ascii="Arial" w:eastAsia="Calibri" w:hAnsi="Arial" w:cs="Arial"/>
          <w:b/>
          <w:color w:val="000000" w:themeColor="text1"/>
          <w:sz w:val="22"/>
          <w:lang w:val="es-ES_tradnl"/>
        </w:rPr>
        <w:t>Ley 2020 de 2020</w:t>
      </w:r>
    </w:p>
    <w:p w14:paraId="26480898" w14:textId="77777777" w:rsidR="00B95C30" w:rsidRPr="00E23980" w:rsidRDefault="00B95C30" w:rsidP="00B95C30">
      <w:pPr>
        <w:jc w:val="both"/>
        <w:rPr>
          <w:rFonts w:ascii="Arial" w:eastAsia="Calibri" w:hAnsi="Arial" w:cs="Arial"/>
          <w:sz w:val="20"/>
          <w:szCs w:val="20"/>
          <w:lang w:val="es-ES_tradnl"/>
        </w:rPr>
      </w:pPr>
    </w:p>
    <w:p w14:paraId="7C3E62C9" w14:textId="77777777" w:rsidR="00E05FD6" w:rsidRPr="00E05FD6" w:rsidRDefault="00E05FD6" w:rsidP="00E05FD6">
      <w:pPr>
        <w:jc w:val="both"/>
        <w:rPr>
          <w:rFonts w:ascii="Arial" w:eastAsia="Calibri" w:hAnsi="Arial" w:cs="Arial"/>
          <w:bCs/>
          <w:sz w:val="20"/>
          <w:szCs w:val="20"/>
          <w:lang w:val="es-ES_tradnl"/>
        </w:rPr>
      </w:pPr>
      <w:r w:rsidRPr="00E05FD6">
        <w:rPr>
          <w:rFonts w:ascii="Arial" w:eastAsia="Calibri" w:hAnsi="Arial" w:cs="Arial"/>
          <w:bCs/>
          <w:sz w:val="20"/>
          <w:szCs w:val="20"/>
          <w:lang w:val="es-ES_tradnl"/>
        </w:rPr>
        <w:t xml:space="preserve">La Ley 2020 de 2020 creó el 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E05FD6">
        <w:rPr>
          <w:rFonts w:ascii="Arial" w:eastAsia="Calibri" w:hAnsi="Arial" w:cs="Arial"/>
          <w:bCs/>
          <w:i/>
          <w:iCs/>
          <w:sz w:val="20"/>
          <w:szCs w:val="20"/>
          <w:lang w:val="es-ES_tradnl"/>
        </w:rPr>
        <w:t>obra civil inconclusa</w:t>
      </w:r>
      <w:r w:rsidRPr="00E05FD6">
        <w:rPr>
          <w:rFonts w:ascii="Arial" w:eastAsia="Calibri" w:hAnsi="Arial" w:cs="Arial"/>
          <w:bCs/>
          <w:sz w:val="20"/>
          <w:szCs w:val="20"/>
          <w:lang w:val="es-ES_tradnl"/>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1255AE59" w14:textId="77777777" w:rsidR="00013AA0" w:rsidRPr="00643F91" w:rsidRDefault="00013AA0" w:rsidP="00013AA0">
      <w:pPr>
        <w:jc w:val="right"/>
        <w:rPr>
          <w:rFonts w:ascii="Arial" w:eastAsia="Calibri" w:hAnsi="Arial" w:cs="Arial"/>
          <w:b/>
          <w:color w:val="000000" w:themeColor="text1"/>
          <w:sz w:val="20"/>
          <w:szCs w:val="20"/>
          <w:lang w:val="es-ES_tradnl"/>
        </w:rPr>
      </w:pPr>
    </w:p>
    <w:p w14:paraId="1E633DDD" w14:textId="3C3C84E2" w:rsidR="00A15FE5" w:rsidRDefault="00013AA0" w:rsidP="00013AA0">
      <w:pPr>
        <w:jc w:val="both"/>
        <w:rPr>
          <w:rFonts w:ascii="Arial" w:eastAsia="Calibri" w:hAnsi="Arial" w:cs="Arial"/>
          <w:sz w:val="20"/>
          <w:szCs w:val="20"/>
        </w:rPr>
      </w:pPr>
      <w:r>
        <w:rPr>
          <w:rFonts w:ascii="Arial" w:eastAsia="Calibri" w:hAnsi="Arial" w:cs="Arial"/>
          <w:b/>
          <w:sz w:val="22"/>
          <w:lang w:val="es-ES_tradnl"/>
        </w:rPr>
        <w:t>REGISTRO NACIONAL DE OBRAS CIVILES INCONCLUSAS</w:t>
      </w:r>
      <w:r w:rsidRPr="00E23980">
        <w:rPr>
          <w:rFonts w:ascii="Arial" w:eastAsia="Calibri" w:hAnsi="Arial" w:cs="Arial"/>
          <w:b/>
          <w:sz w:val="22"/>
          <w:lang w:val="es-ES_tradnl"/>
        </w:rPr>
        <w:t xml:space="preserve"> </w:t>
      </w:r>
      <w:r w:rsidR="00FE24F4" w:rsidRPr="00E23980">
        <w:rPr>
          <w:rFonts w:ascii="Arial" w:eastAsia="Calibri" w:hAnsi="Arial" w:cs="Arial"/>
          <w:b/>
          <w:color w:val="000000" w:themeColor="text1"/>
          <w:sz w:val="22"/>
          <w:lang w:val="es-ES_tradnl"/>
        </w:rPr>
        <w:t>–</w:t>
      </w:r>
      <w:r>
        <w:rPr>
          <w:rFonts w:ascii="Arial" w:eastAsia="Calibri" w:hAnsi="Arial" w:cs="Arial"/>
          <w:b/>
          <w:sz w:val="22"/>
          <w:lang w:val="es-ES_tradnl"/>
        </w:rPr>
        <w:t xml:space="preserve"> Dirección y coordinación </w:t>
      </w:r>
    </w:p>
    <w:p w14:paraId="58AB0598" w14:textId="77777777" w:rsidR="00A15FE5" w:rsidRDefault="00A15FE5" w:rsidP="00A15FE5">
      <w:pPr>
        <w:jc w:val="both"/>
        <w:rPr>
          <w:rFonts w:ascii="Arial" w:eastAsia="Calibri" w:hAnsi="Arial" w:cs="Arial"/>
          <w:sz w:val="20"/>
          <w:szCs w:val="20"/>
        </w:rPr>
      </w:pPr>
    </w:p>
    <w:p w14:paraId="39ABFDD6" w14:textId="5EDC12A0" w:rsidR="00E05FD6" w:rsidRDefault="00E05FD6" w:rsidP="00E05FD6">
      <w:pPr>
        <w:jc w:val="both"/>
        <w:rPr>
          <w:rFonts w:ascii="Arial" w:eastAsia="Calibri" w:hAnsi="Arial" w:cs="Arial"/>
          <w:sz w:val="20"/>
          <w:szCs w:val="20"/>
          <w:lang w:val="es-ES_tradnl"/>
        </w:rPr>
      </w:pPr>
      <w:r w:rsidRPr="00E05FD6">
        <w:rPr>
          <w:rFonts w:ascii="Arial" w:eastAsia="Calibri" w:hAnsi="Arial" w:cs="Arial"/>
          <w:sz w:val="20"/>
          <w:szCs w:val="20"/>
          <w:lang w:val="es-ES_tradnl"/>
        </w:rPr>
        <w:t xml:space="preserve">De conformidad con el artículo 3 de la Ley 2020 de 2020, el Registro Nacional de Obras Civiles Inconclusas es un sistema administrado por la Contraloría General de la República,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«Es un sistema que contiene los datos sobre obras inconclusas en todo el territorio nacional. El inventario de obras civiles inconclusas reportado por las entidades estatales hará parte integral del banco de proyectos de la respectiva entidad». </w:t>
      </w:r>
    </w:p>
    <w:p w14:paraId="6C530841" w14:textId="77777777" w:rsidR="00E05FD6" w:rsidRPr="00E05FD6" w:rsidRDefault="00E05FD6" w:rsidP="00E05FD6">
      <w:pPr>
        <w:jc w:val="both"/>
        <w:rPr>
          <w:rFonts w:ascii="Arial" w:eastAsia="Calibri" w:hAnsi="Arial" w:cs="Arial"/>
          <w:sz w:val="20"/>
          <w:szCs w:val="20"/>
          <w:lang w:val="es-ES_tradnl"/>
        </w:rPr>
      </w:pPr>
    </w:p>
    <w:p w14:paraId="287E1D67" w14:textId="2473963A" w:rsidR="008335EE" w:rsidRDefault="00E05FD6" w:rsidP="002C11FA">
      <w:pPr>
        <w:jc w:val="both"/>
        <w:rPr>
          <w:rFonts w:ascii="Arial" w:eastAsia="Calibri" w:hAnsi="Arial" w:cs="Arial"/>
          <w:sz w:val="20"/>
          <w:szCs w:val="20"/>
        </w:rPr>
      </w:pPr>
      <w:r w:rsidRPr="00E05FD6">
        <w:rPr>
          <w:rFonts w:ascii="Arial" w:eastAsia="Calibri" w:hAnsi="Arial" w:cs="Arial"/>
          <w:sz w:val="20"/>
          <w:szCs w:val="20"/>
          <w:lang w:val="es-ES_tradnl"/>
        </w:rPr>
        <w:t>Asimismo, la información de este</w:t>
      </w:r>
      <w:r w:rsidRPr="00E05FD6">
        <w:rPr>
          <w:rFonts w:ascii="Arial" w:eastAsia="Calibri" w:hAnsi="Arial" w:cs="Arial"/>
          <w:sz w:val="20"/>
          <w:szCs w:val="20"/>
        </w:rPr>
        <w:t xml:space="preserve"> registro debe actualizarse permanentemente.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disponga la Contraloría General de la República.</w:t>
      </w:r>
    </w:p>
    <w:p w14:paraId="0156F429" w14:textId="77777777" w:rsidR="00E05FD6" w:rsidRPr="00E05FD6" w:rsidRDefault="00E05FD6" w:rsidP="002C11FA">
      <w:pPr>
        <w:jc w:val="both"/>
        <w:rPr>
          <w:rFonts w:ascii="Arial" w:eastAsia="Calibri" w:hAnsi="Arial" w:cs="Arial"/>
          <w:sz w:val="20"/>
          <w:szCs w:val="20"/>
        </w:rPr>
      </w:pPr>
    </w:p>
    <w:p w14:paraId="39589435" w14:textId="2DAC5305" w:rsidR="002C11FA" w:rsidRPr="00E23980" w:rsidRDefault="00A77D21" w:rsidP="002C11FA">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INCONCLUSAS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sidR="00EC36B1">
        <w:rPr>
          <w:rFonts w:ascii="Arial" w:eastAsia="Calibri" w:hAnsi="Arial" w:cs="Arial"/>
          <w:b/>
          <w:sz w:val="22"/>
          <w:lang w:val="es-ES_tradnl"/>
        </w:rPr>
        <w:t xml:space="preserve">Reporte de información </w:t>
      </w:r>
    </w:p>
    <w:p w14:paraId="5AB3437B" w14:textId="77777777" w:rsidR="00EC36B1" w:rsidRDefault="00EC36B1" w:rsidP="00A77D21">
      <w:pPr>
        <w:jc w:val="both"/>
        <w:rPr>
          <w:rFonts w:ascii="Arial" w:eastAsia="Calibri" w:hAnsi="Arial" w:cs="Arial"/>
          <w:b/>
          <w:sz w:val="22"/>
          <w:lang w:val="es-ES_tradnl"/>
        </w:rPr>
      </w:pPr>
    </w:p>
    <w:p w14:paraId="20118B85" w14:textId="2492FA72" w:rsidR="00E05FD6" w:rsidRDefault="00E05FD6" w:rsidP="00E05FD6">
      <w:pPr>
        <w:jc w:val="both"/>
        <w:rPr>
          <w:rFonts w:ascii="Arial" w:eastAsia="Calibri" w:hAnsi="Arial" w:cs="Arial"/>
          <w:sz w:val="20"/>
          <w:szCs w:val="20"/>
          <w:lang w:val="es-ES_tradnl"/>
        </w:rPr>
      </w:pPr>
      <w:r w:rsidRPr="00E05FD6">
        <w:rPr>
          <w:rFonts w:ascii="Arial" w:eastAsia="Calibri" w:hAnsi="Arial" w:cs="Arial"/>
          <w:sz w:val="20"/>
          <w:szCs w:val="20"/>
          <w:lang w:val="es-ES_tradnl"/>
        </w:rPr>
        <w:t xml:space="preserve">Respecto al contenido del Registro Nacional de Obras Civiles Inconclusas, el artículo 4 de la Ley 2020 de 2020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Pr="00E05FD6">
        <w:rPr>
          <w:rFonts w:ascii="Arial" w:eastAsia="Calibri" w:hAnsi="Arial" w:cs="Arial"/>
          <w:sz w:val="20"/>
          <w:szCs w:val="20"/>
        </w:rPr>
        <w:t>informe final presentado por el interventor del proyecto y la demás información que establezca la Contraloría General de la República.</w:t>
      </w:r>
      <w:r w:rsidRPr="00E05FD6">
        <w:rPr>
          <w:rFonts w:ascii="Arial" w:eastAsia="Calibri" w:hAnsi="Arial" w:cs="Arial"/>
          <w:sz w:val="20"/>
          <w:szCs w:val="20"/>
          <w:lang w:val="es-ES_tradnl"/>
        </w:rPr>
        <w:t xml:space="preserve"> Igualmente, en este Registro constará la información de las obras civiles ya terminadas que no se encuentre en funcionamiento conforme al artículo 15. </w:t>
      </w:r>
    </w:p>
    <w:p w14:paraId="359EAEBF" w14:textId="77777777" w:rsidR="00E05FD6" w:rsidRPr="00E05FD6" w:rsidRDefault="00E05FD6" w:rsidP="00E05FD6">
      <w:pPr>
        <w:jc w:val="both"/>
        <w:rPr>
          <w:rFonts w:ascii="Arial" w:eastAsia="Calibri" w:hAnsi="Arial" w:cs="Arial"/>
          <w:sz w:val="20"/>
          <w:szCs w:val="20"/>
          <w:lang w:val="es-ES_tradnl"/>
        </w:rPr>
      </w:pPr>
    </w:p>
    <w:p w14:paraId="7E598425" w14:textId="5FCA67C0" w:rsidR="0076339C" w:rsidRDefault="0076339C" w:rsidP="00013AA0">
      <w:pPr>
        <w:jc w:val="both"/>
        <w:rPr>
          <w:rFonts w:ascii="Arial" w:eastAsia="Calibri" w:hAnsi="Arial" w:cs="Arial"/>
          <w:sz w:val="20"/>
          <w:szCs w:val="20"/>
          <w:lang w:val="es-ES_tradnl"/>
        </w:rPr>
      </w:pPr>
      <w:r>
        <w:rPr>
          <w:rFonts w:ascii="Arial" w:eastAsia="Calibri" w:hAnsi="Arial" w:cs="Arial"/>
          <w:sz w:val="20"/>
          <w:szCs w:val="20"/>
          <w:lang w:val="es-ES_tradnl"/>
        </w:rPr>
        <w:t>[…]</w:t>
      </w:r>
    </w:p>
    <w:p w14:paraId="72FB2CFA" w14:textId="77777777" w:rsidR="0076339C" w:rsidRDefault="0076339C" w:rsidP="00013AA0">
      <w:pPr>
        <w:jc w:val="both"/>
        <w:rPr>
          <w:rFonts w:ascii="Arial" w:eastAsia="Calibri" w:hAnsi="Arial" w:cs="Arial"/>
          <w:sz w:val="20"/>
          <w:szCs w:val="20"/>
          <w:lang w:val="es-ES_tradnl"/>
        </w:rPr>
      </w:pPr>
    </w:p>
    <w:p w14:paraId="17C40C4B" w14:textId="77777777" w:rsidR="00E05FD6" w:rsidRPr="00E05FD6" w:rsidRDefault="00E05FD6" w:rsidP="00E05FD6">
      <w:pPr>
        <w:jc w:val="both"/>
        <w:rPr>
          <w:rFonts w:ascii="Arial" w:eastAsia="Calibri" w:hAnsi="Arial" w:cs="Arial"/>
          <w:sz w:val="20"/>
          <w:szCs w:val="20"/>
          <w:lang w:val="es-ES_tradnl"/>
        </w:rPr>
      </w:pPr>
      <w:r w:rsidRPr="00E05FD6">
        <w:rPr>
          <w:rFonts w:ascii="Arial" w:eastAsia="Calibri" w:hAnsi="Arial" w:cs="Arial"/>
          <w:sz w:val="20"/>
          <w:szCs w:val="20"/>
          <w:lang w:val="es-ES_tradnl"/>
        </w:rPr>
        <w:lastRenderedPageBreak/>
        <w:t>Así las cosas, el contenido de la información que debe reposar en el Registro Nacional de Obras Civiles Inconclusas está determinado por la Ley 2020 de 2020 y su administración es competencia de la Contraloría General de la República. Por tanto, la entidad estatal responsable tiene la obligación de reportar la información que exige el artículo 4 de dicha Ley, entre la que se cuenta, la referente a los interventores de la obra, así como toda aquella información que establezca la Contraloría General de la República en el marco de sus competencias.</w:t>
      </w:r>
    </w:p>
    <w:p w14:paraId="0E067A71" w14:textId="77777777" w:rsidR="00643F91" w:rsidRPr="00643F91" w:rsidRDefault="00643F91" w:rsidP="00EC36B1">
      <w:pPr>
        <w:tabs>
          <w:tab w:val="left" w:pos="1073"/>
        </w:tabs>
        <w:spacing w:line="276" w:lineRule="auto"/>
        <w:jc w:val="both"/>
        <w:rPr>
          <w:rFonts w:ascii="Arial" w:eastAsia="Calibri" w:hAnsi="Arial" w:cs="Arial"/>
          <w:b/>
          <w:sz w:val="22"/>
        </w:rPr>
      </w:pPr>
    </w:p>
    <w:p w14:paraId="3523B64B" w14:textId="762D2049" w:rsidR="0076339C" w:rsidRPr="00E23980" w:rsidRDefault="0076339C" w:rsidP="0076339C">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INCONCLUSAS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Pr>
          <w:rFonts w:ascii="Arial" w:eastAsia="Calibri" w:hAnsi="Arial" w:cs="Arial"/>
          <w:b/>
          <w:sz w:val="22"/>
          <w:lang w:val="es-ES_tradnl"/>
        </w:rPr>
        <w:t xml:space="preserve">deber de verificación </w:t>
      </w:r>
    </w:p>
    <w:p w14:paraId="0598726B" w14:textId="77777777" w:rsidR="00F63107" w:rsidRPr="00F63107" w:rsidRDefault="00F63107" w:rsidP="00F63107">
      <w:pPr>
        <w:jc w:val="both"/>
        <w:rPr>
          <w:rFonts w:ascii="Arial" w:eastAsia="Calibri" w:hAnsi="Arial" w:cs="Arial"/>
          <w:sz w:val="20"/>
          <w:szCs w:val="20"/>
          <w:lang w:val="es-ES_tradnl"/>
        </w:rPr>
      </w:pPr>
    </w:p>
    <w:p w14:paraId="1F8CFC58" w14:textId="77777777" w:rsidR="00E05FD6" w:rsidRDefault="00E05FD6" w:rsidP="00F63107">
      <w:pPr>
        <w:jc w:val="both"/>
        <w:rPr>
          <w:rFonts w:ascii="Arial" w:eastAsia="Calibri" w:hAnsi="Arial" w:cs="Arial"/>
          <w:sz w:val="20"/>
          <w:szCs w:val="20"/>
          <w:lang w:val="es-ES_tradnl"/>
        </w:rPr>
      </w:pPr>
      <w:r w:rsidRPr="00E05FD6">
        <w:rPr>
          <w:rFonts w:ascii="Arial" w:eastAsia="Calibri" w:hAnsi="Arial" w:cs="Arial"/>
          <w:sz w:val="20"/>
          <w:szCs w:val="20"/>
          <w:lang w:val="es-ES_tradnl"/>
        </w:rPr>
        <w:t xml:space="preserve">El artículo 6 de la Ley 2020 de 2020 establece un deber a cargo de las entidades estatales dentro de los procedimientos que adelanten para la contratación de obras públicas. Consiste en la obligación de </w:t>
      </w:r>
      <w:r w:rsidRPr="00E05FD6">
        <w:rPr>
          <w:rFonts w:ascii="Arial" w:eastAsia="Calibri" w:hAnsi="Arial" w:cs="Arial"/>
          <w:i/>
          <w:iCs/>
          <w:sz w:val="20"/>
          <w:szCs w:val="20"/>
          <w:lang w:val="es-ES_tradnl"/>
        </w:rPr>
        <w:t>consultar</w:t>
      </w:r>
      <w:r w:rsidRPr="00E05FD6">
        <w:rPr>
          <w:rFonts w:ascii="Arial" w:eastAsia="Calibri" w:hAnsi="Arial" w:cs="Arial"/>
          <w:sz w:val="20"/>
          <w:szCs w:val="20"/>
          <w:lang w:val="es-ES_tradnl"/>
        </w:rPr>
        <w:t xml:space="preserve"> y </w:t>
      </w:r>
      <w:r w:rsidRPr="00E05FD6">
        <w:rPr>
          <w:rFonts w:ascii="Arial" w:eastAsia="Calibri" w:hAnsi="Arial" w:cs="Arial"/>
          <w:i/>
          <w:iCs/>
          <w:sz w:val="20"/>
          <w:szCs w:val="20"/>
          <w:lang w:val="es-ES_tradnl"/>
        </w:rPr>
        <w:t>analizar</w:t>
      </w:r>
      <w:r w:rsidRPr="00E05FD6">
        <w:rPr>
          <w:rFonts w:ascii="Arial" w:eastAsia="Calibri" w:hAnsi="Arial" w:cs="Arial"/>
          <w:sz w:val="20"/>
          <w:szCs w:val="20"/>
          <w:lang w:val="es-ES_tradnl"/>
        </w:rPr>
        <w:t xml:space="preserve"> la información contenida en el Registro Nacional de Obras Civiles Inconclusas. Además, dispone que en los procesos de selección de contratistas de obra e interventores han de considerarse las anotaciones del registro en la evaluación de las ofertas</w:t>
      </w:r>
    </w:p>
    <w:p w14:paraId="02814AEA" w14:textId="77777777" w:rsidR="0076339C" w:rsidRDefault="0076339C" w:rsidP="00EC36B1">
      <w:pPr>
        <w:tabs>
          <w:tab w:val="left" w:pos="1073"/>
        </w:tabs>
        <w:spacing w:line="276" w:lineRule="auto"/>
        <w:jc w:val="both"/>
        <w:rPr>
          <w:rFonts w:ascii="Arial" w:eastAsia="Calibri" w:hAnsi="Arial" w:cs="Arial"/>
          <w:b/>
          <w:sz w:val="22"/>
          <w:lang w:val="es-ES_tradnl"/>
        </w:rPr>
      </w:pPr>
    </w:p>
    <w:p w14:paraId="5F9B036E" w14:textId="1680BF40" w:rsidR="008335EE" w:rsidRDefault="008335EE" w:rsidP="00EC36B1">
      <w:pPr>
        <w:tabs>
          <w:tab w:val="left" w:pos="1073"/>
        </w:tabs>
        <w:spacing w:line="276" w:lineRule="auto"/>
        <w:jc w:val="both"/>
        <w:rPr>
          <w:rFonts w:ascii="Arial" w:eastAsia="Calibri" w:hAnsi="Arial" w:cs="Arial"/>
          <w:b/>
          <w:sz w:val="22"/>
          <w:lang w:val="es-ES_tradnl"/>
        </w:rPr>
      </w:pPr>
      <w:r>
        <w:rPr>
          <w:rFonts w:ascii="Arial" w:eastAsia="Calibri" w:hAnsi="Arial" w:cs="Arial"/>
          <w:b/>
          <w:sz w:val="22"/>
          <w:lang w:val="es-ES_tradnl"/>
        </w:rPr>
        <w:t xml:space="preserve">DOCUMENTOS TIPO </w:t>
      </w:r>
      <w:bookmarkStart w:id="3" w:name="_Hlk82767465"/>
      <w:r>
        <w:rPr>
          <w:rFonts w:ascii="Arial" w:eastAsia="Calibri" w:hAnsi="Arial" w:cs="Arial"/>
          <w:b/>
          <w:sz w:val="22"/>
          <w:lang w:val="es-ES_tradnl"/>
        </w:rPr>
        <w:t>–</w:t>
      </w:r>
      <w:r w:rsidRPr="00E23980">
        <w:rPr>
          <w:rFonts w:ascii="Arial" w:eastAsia="Calibri" w:hAnsi="Arial" w:cs="Arial"/>
          <w:b/>
          <w:sz w:val="22"/>
          <w:lang w:val="es-ES_tradnl"/>
        </w:rPr>
        <w:t xml:space="preserve"> </w:t>
      </w:r>
      <w:bookmarkEnd w:id="3"/>
      <w:r w:rsidR="00FF5877">
        <w:rPr>
          <w:rFonts w:ascii="Arial" w:eastAsia="Calibri" w:hAnsi="Arial" w:cs="Arial"/>
          <w:b/>
          <w:sz w:val="22"/>
          <w:lang w:val="es-ES_tradnl"/>
        </w:rPr>
        <w:t xml:space="preserve">Interventoría </w:t>
      </w:r>
      <w:r w:rsidR="00FF5877" w:rsidRPr="00FF5877">
        <w:rPr>
          <w:rFonts w:ascii="Arial" w:eastAsia="Calibri" w:hAnsi="Arial" w:cs="Arial"/>
          <w:b/>
          <w:sz w:val="22"/>
          <w:lang w:val="es-ES_tradnl"/>
        </w:rPr>
        <w:t>de infraestructura de transporte</w:t>
      </w:r>
    </w:p>
    <w:p w14:paraId="103530F0" w14:textId="3BA975D8" w:rsidR="008335EE" w:rsidRDefault="008335EE" w:rsidP="00643F91">
      <w:pPr>
        <w:tabs>
          <w:tab w:val="left" w:pos="1073"/>
        </w:tabs>
        <w:jc w:val="both"/>
        <w:rPr>
          <w:rFonts w:ascii="Arial" w:eastAsia="Calibri" w:hAnsi="Arial" w:cs="Arial"/>
          <w:b/>
          <w:sz w:val="22"/>
          <w:lang w:val="es-ES_tradnl"/>
        </w:rPr>
      </w:pPr>
    </w:p>
    <w:p w14:paraId="0E5D0627" w14:textId="273CF233" w:rsidR="00FF5877" w:rsidRPr="00FF5877" w:rsidRDefault="0076339C" w:rsidP="00FF5877">
      <w:pPr>
        <w:tabs>
          <w:tab w:val="left" w:pos="0"/>
        </w:tabs>
        <w:jc w:val="both"/>
        <w:rPr>
          <w:rFonts w:ascii="Arial" w:eastAsia="Calibri" w:hAnsi="Arial" w:cs="Arial"/>
          <w:color w:val="000000"/>
          <w:sz w:val="20"/>
          <w:szCs w:val="20"/>
          <w:lang w:eastAsia="en-GB"/>
        </w:rPr>
      </w:pPr>
      <w:r>
        <w:rPr>
          <w:rFonts w:ascii="Arial" w:eastAsia="Calibri" w:hAnsi="Arial" w:cs="Arial"/>
          <w:color w:val="000000"/>
          <w:sz w:val="20"/>
          <w:szCs w:val="20"/>
          <w:lang w:eastAsia="en-GB"/>
        </w:rPr>
        <w:t xml:space="preserve">[…] </w:t>
      </w:r>
      <w:r w:rsidR="00FF5877" w:rsidRPr="00FF5877">
        <w:rPr>
          <w:rFonts w:ascii="Arial" w:eastAsia="Calibri" w:hAnsi="Arial" w:cs="Arial"/>
          <w:color w:val="000000"/>
          <w:sz w:val="20"/>
          <w:szCs w:val="20"/>
          <w:lang w:eastAsia="en-GB"/>
        </w:rPr>
        <w:t>en el Documento Tipo de interventoría de obra pública de infraestructura de transporte, en el Capítulo IV «Criterios de Evaluación, Asignación de Puntaje y Criterios de Desempate» del Documento Base se contempló que:</w:t>
      </w:r>
      <w:r>
        <w:rPr>
          <w:rFonts w:ascii="Arial" w:eastAsia="Calibri" w:hAnsi="Arial" w:cs="Arial"/>
          <w:color w:val="000000"/>
          <w:sz w:val="20"/>
          <w:szCs w:val="20"/>
          <w:lang w:eastAsia="en-GB"/>
        </w:rPr>
        <w:t xml:space="preserve"> </w:t>
      </w:r>
      <w:r w:rsidR="00FF5877" w:rsidRPr="00FF5877">
        <w:rPr>
          <w:rFonts w:ascii="Arial" w:eastAsia="Calibri" w:hAnsi="Arial" w:cs="Arial"/>
          <w:color w:val="000000"/>
          <w:sz w:val="20"/>
          <w:szCs w:val="20"/>
          <w:lang w:eastAsia="en-GB"/>
        </w:rPr>
        <w:t xml:space="preserve">Las entidades estatales deben consultar y analizar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los criterios de evaluación. </w:t>
      </w:r>
    </w:p>
    <w:p w14:paraId="3AF7489D" w14:textId="77777777" w:rsidR="00FF5877" w:rsidRDefault="00FF5877" w:rsidP="008C036D">
      <w:pPr>
        <w:tabs>
          <w:tab w:val="left" w:pos="1073"/>
        </w:tabs>
        <w:spacing w:line="276" w:lineRule="auto"/>
        <w:jc w:val="both"/>
        <w:rPr>
          <w:rFonts w:ascii="Arial" w:eastAsia="Calibri" w:hAnsi="Arial" w:cs="Arial"/>
          <w:sz w:val="20"/>
          <w:szCs w:val="20"/>
          <w:lang w:val="es-ES_tradnl"/>
        </w:rPr>
      </w:pPr>
    </w:p>
    <w:p w14:paraId="797AC596" w14:textId="52D108DA" w:rsidR="00EC36B1" w:rsidRDefault="006174FA" w:rsidP="008C036D">
      <w:pPr>
        <w:tabs>
          <w:tab w:val="left" w:pos="1073"/>
        </w:tabs>
        <w:spacing w:line="276" w:lineRule="auto"/>
        <w:jc w:val="both"/>
        <w:rPr>
          <w:rFonts w:ascii="Arial" w:eastAsia="Calibri" w:hAnsi="Arial" w:cs="Arial"/>
          <w:b/>
          <w:sz w:val="22"/>
          <w:lang w:val="es-ES_tradnl"/>
        </w:rPr>
      </w:pPr>
      <w:r>
        <w:rPr>
          <w:rFonts w:ascii="Arial" w:eastAsia="Calibri" w:hAnsi="Arial" w:cs="Arial"/>
          <w:b/>
          <w:sz w:val="22"/>
          <w:lang w:val="es-ES_tradnl"/>
        </w:rPr>
        <w:t>DESCUENTO PUNTAJE</w:t>
      </w:r>
      <w:r w:rsidR="0076339C">
        <w:rPr>
          <w:rFonts w:ascii="Arial" w:eastAsia="Calibri" w:hAnsi="Arial" w:cs="Arial"/>
          <w:b/>
          <w:sz w:val="22"/>
          <w:lang w:val="es-ES_tradnl"/>
        </w:rPr>
        <w:t xml:space="preserve"> </w:t>
      </w:r>
      <w:r>
        <w:rPr>
          <w:rFonts w:ascii="Arial" w:eastAsia="Calibri" w:hAnsi="Arial" w:cs="Arial"/>
          <w:b/>
          <w:sz w:val="22"/>
          <w:lang w:val="es-ES_tradnl"/>
        </w:rPr>
        <w:t xml:space="preserve">– </w:t>
      </w:r>
      <w:r w:rsidR="008335EE">
        <w:rPr>
          <w:rFonts w:ascii="Arial" w:eastAsia="Calibri" w:hAnsi="Arial" w:cs="Arial"/>
          <w:b/>
          <w:sz w:val="22"/>
          <w:lang w:val="es-ES_tradnl"/>
        </w:rPr>
        <w:t xml:space="preserve">Consultar y analizar – </w:t>
      </w:r>
      <w:r>
        <w:rPr>
          <w:rFonts w:ascii="Arial" w:eastAsia="Calibri" w:hAnsi="Arial" w:cs="Arial"/>
          <w:b/>
          <w:sz w:val="22"/>
          <w:lang w:val="es-ES_tradnl"/>
        </w:rPr>
        <w:t>Incumplimiento del contratista</w:t>
      </w:r>
    </w:p>
    <w:p w14:paraId="4DF899F3" w14:textId="77777777" w:rsidR="00EC36B1" w:rsidRDefault="00EC36B1" w:rsidP="008C036D">
      <w:pPr>
        <w:tabs>
          <w:tab w:val="left" w:pos="1073"/>
        </w:tabs>
        <w:spacing w:line="276" w:lineRule="auto"/>
        <w:jc w:val="both"/>
        <w:rPr>
          <w:rFonts w:ascii="Arial" w:eastAsia="Calibri" w:hAnsi="Arial" w:cs="Arial"/>
          <w:b/>
          <w:sz w:val="22"/>
          <w:lang w:val="es-ES_tradnl"/>
        </w:rPr>
      </w:pPr>
    </w:p>
    <w:p w14:paraId="479212D0" w14:textId="3C29F45E" w:rsidR="008335EE" w:rsidRDefault="003F63EE" w:rsidP="008335EE">
      <w:pPr>
        <w:tabs>
          <w:tab w:val="left" w:pos="0"/>
        </w:tabs>
        <w:jc w:val="both"/>
        <w:rPr>
          <w:rFonts w:ascii="Arial" w:eastAsia="Calibri" w:hAnsi="Arial" w:cs="Arial"/>
          <w:color w:val="000000"/>
          <w:sz w:val="20"/>
          <w:szCs w:val="20"/>
          <w:lang w:val="es-MX" w:eastAsia="en-GB"/>
        </w:rPr>
      </w:pPr>
      <w:r>
        <w:rPr>
          <w:rFonts w:ascii="Arial" w:eastAsia="Calibri" w:hAnsi="Arial" w:cs="Arial"/>
          <w:color w:val="000000"/>
          <w:sz w:val="20"/>
          <w:szCs w:val="20"/>
          <w:lang w:eastAsia="en-GB"/>
        </w:rPr>
        <w:t>[…]</w:t>
      </w:r>
      <w:r w:rsidR="00362417">
        <w:rPr>
          <w:rFonts w:ascii="Arial" w:eastAsia="Calibri" w:hAnsi="Arial" w:cs="Arial"/>
          <w:color w:val="000000"/>
          <w:sz w:val="20"/>
          <w:szCs w:val="20"/>
          <w:lang w:eastAsia="en-GB"/>
        </w:rPr>
        <w:t xml:space="preserve"> </w:t>
      </w:r>
      <w:r w:rsidR="00362417" w:rsidRPr="00362417">
        <w:rPr>
          <w:rFonts w:ascii="Arial" w:eastAsia="Calibri" w:hAnsi="Arial" w:cs="Arial"/>
          <w:color w:val="000000"/>
          <w:sz w:val="20"/>
          <w:szCs w:val="20"/>
          <w:lang w:val="es-ES_tradnl" w:eastAsia="en-GB"/>
        </w:rPr>
        <w:t xml:space="preserve">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00362417" w:rsidRPr="00362417">
        <w:rPr>
          <w:rFonts w:ascii="Arial" w:eastAsia="Calibri" w:hAnsi="Arial" w:cs="Arial"/>
          <w:color w:val="000000"/>
          <w:sz w:val="20"/>
          <w:szCs w:val="20"/>
          <w:lang w:val="es-MX" w:eastAsia="en-GB"/>
        </w:rPr>
        <w:t>si esa anotación se dio por un incumplimiento del contratista; por lo que, dependiendo del supuesto, la entidad descontará el punto.</w:t>
      </w:r>
    </w:p>
    <w:p w14:paraId="0ACA2AC0" w14:textId="384D7AE6" w:rsidR="00643F91" w:rsidRDefault="00643F91" w:rsidP="00643F91">
      <w:pPr>
        <w:jc w:val="both"/>
        <w:rPr>
          <w:rFonts w:ascii="Arial" w:eastAsia="Calibri" w:hAnsi="Arial" w:cs="Arial"/>
          <w:b/>
          <w:sz w:val="22"/>
          <w:lang w:val="es-ES_tradnl"/>
        </w:rPr>
      </w:pPr>
    </w:p>
    <w:p w14:paraId="0F708C05" w14:textId="6BB853B6" w:rsidR="0076339C" w:rsidRDefault="0076339C" w:rsidP="00643F91">
      <w:pPr>
        <w:jc w:val="both"/>
        <w:rPr>
          <w:rFonts w:ascii="Arial" w:eastAsia="Calibri" w:hAnsi="Arial" w:cs="Arial"/>
          <w:b/>
          <w:sz w:val="22"/>
          <w:lang w:val="es-ES_tradnl"/>
        </w:rPr>
      </w:pPr>
    </w:p>
    <w:p w14:paraId="19705A4A" w14:textId="06449563" w:rsidR="0076339C" w:rsidRDefault="0076339C" w:rsidP="00643F91">
      <w:pPr>
        <w:jc w:val="both"/>
        <w:rPr>
          <w:rFonts w:ascii="Arial" w:eastAsia="Calibri" w:hAnsi="Arial" w:cs="Arial"/>
          <w:b/>
          <w:sz w:val="22"/>
          <w:lang w:val="es-ES_tradnl"/>
        </w:rPr>
      </w:pPr>
    </w:p>
    <w:p w14:paraId="1023BBE7" w14:textId="45EC4497" w:rsidR="0076339C" w:rsidRDefault="0076339C" w:rsidP="00643F91">
      <w:pPr>
        <w:jc w:val="both"/>
        <w:rPr>
          <w:rFonts w:ascii="Arial" w:eastAsia="Calibri" w:hAnsi="Arial" w:cs="Arial"/>
          <w:b/>
          <w:sz w:val="22"/>
          <w:lang w:val="es-ES_tradnl"/>
        </w:rPr>
      </w:pPr>
    </w:p>
    <w:p w14:paraId="14102D20" w14:textId="4B9FD70D" w:rsidR="0076339C" w:rsidRDefault="0076339C" w:rsidP="00643F91">
      <w:pPr>
        <w:jc w:val="both"/>
        <w:rPr>
          <w:rFonts w:ascii="Arial" w:eastAsia="Calibri" w:hAnsi="Arial" w:cs="Arial"/>
          <w:b/>
          <w:sz w:val="22"/>
          <w:lang w:val="es-ES_tradnl"/>
        </w:rPr>
      </w:pPr>
    </w:p>
    <w:p w14:paraId="0A05166A" w14:textId="28F9792B" w:rsidR="0076339C" w:rsidRDefault="0076339C" w:rsidP="00643F91">
      <w:pPr>
        <w:jc w:val="both"/>
        <w:rPr>
          <w:rFonts w:ascii="Arial" w:eastAsia="Calibri" w:hAnsi="Arial" w:cs="Arial"/>
          <w:b/>
          <w:sz w:val="22"/>
          <w:lang w:val="es-ES_tradnl"/>
        </w:rPr>
      </w:pPr>
    </w:p>
    <w:p w14:paraId="493FA486" w14:textId="4F0C6F74" w:rsidR="00C52FB7" w:rsidRDefault="00C52FB7" w:rsidP="00643F91">
      <w:pPr>
        <w:jc w:val="both"/>
        <w:rPr>
          <w:rFonts w:ascii="Arial" w:hAnsi="Arial" w:cs="Arial"/>
          <w:noProof/>
          <w:color w:val="000000" w:themeColor="text1"/>
          <w:sz w:val="22"/>
        </w:rPr>
      </w:pPr>
    </w:p>
    <w:p w14:paraId="2B1C86BD" w14:textId="3BC37F32" w:rsidR="00D22A95" w:rsidRDefault="00D22A95" w:rsidP="00643F91">
      <w:pPr>
        <w:jc w:val="both"/>
        <w:rPr>
          <w:rFonts w:ascii="Arial" w:hAnsi="Arial" w:cs="Arial"/>
          <w:noProof/>
          <w:color w:val="000000" w:themeColor="text1"/>
          <w:sz w:val="22"/>
        </w:rPr>
      </w:pPr>
    </w:p>
    <w:p w14:paraId="55F37515" w14:textId="77DF9140" w:rsidR="00442D41" w:rsidRDefault="00442D41" w:rsidP="00643F91">
      <w:pPr>
        <w:jc w:val="both"/>
        <w:rPr>
          <w:rFonts w:ascii="Arial" w:hAnsi="Arial" w:cs="Arial"/>
          <w:noProof/>
          <w:color w:val="000000" w:themeColor="text1"/>
          <w:sz w:val="22"/>
        </w:rPr>
      </w:pPr>
    </w:p>
    <w:p w14:paraId="56D4304C" w14:textId="254DAAC1" w:rsidR="00442D41" w:rsidRDefault="00442D41" w:rsidP="00643F91">
      <w:pPr>
        <w:jc w:val="both"/>
        <w:rPr>
          <w:rFonts w:ascii="Arial" w:hAnsi="Arial" w:cs="Arial"/>
          <w:noProof/>
          <w:color w:val="000000" w:themeColor="text1"/>
          <w:sz w:val="22"/>
        </w:rPr>
      </w:pPr>
    </w:p>
    <w:p w14:paraId="2F9C6B1B" w14:textId="1EC5BF1B" w:rsidR="00442D41" w:rsidRDefault="00442D41" w:rsidP="00643F91">
      <w:pPr>
        <w:jc w:val="both"/>
        <w:rPr>
          <w:rFonts w:ascii="Arial" w:hAnsi="Arial" w:cs="Arial"/>
          <w:noProof/>
          <w:color w:val="000000" w:themeColor="text1"/>
          <w:sz w:val="22"/>
        </w:rPr>
      </w:pPr>
    </w:p>
    <w:p w14:paraId="23412F8C" w14:textId="16C9E54E" w:rsidR="00442D41" w:rsidRDefault="00442D41" w:rsidP="00643F91">
      <w:pPr>
        <w:jc w:val="both"/>
        <w:rPr>
          <w:rFonts w:ascii="Arial" w:hAnsi="Arial" w:cs="Arial"/>
          <w:noProof/>
          <w:color w:val="000000" w:themeColor="text1"/>
          <w:sz w:val="22"/>
        </w:rPr>
      </w:pPr>
    </w:p>
    <w:p w14:paraId="5A6E93D6" w14:textId="77777777" w:rsidR="00442D41" w:rsidRDefault="00442D41" w:rsidP="00643F91">
      <w:pPr>
        <w:jc w:val="both"/>
        <w:rPr>
          <w:rFonts w:ascii="Arial" w:hAnsi="Arial" w:cs="Arial"/>
          <w:noProof/>
          <w:color w:val="000000" w:themeColor="text1"/>
          <w:sz w:val="22"/>
        </w:rPr>
      </w:pPr>
    </w:p>
    <w:p w14:paraId="366498C1" w14:textId="77777777" w:rsidR="00362417" w:rsidRDefault="00362417" w:rsidP="00643F91">
      <w:pPr>
        <w:jc w:val="both"/>
        <w:rPr>
          <w:rFonts w:ascii="Arial" w:hAnsi="Arial" w:cs="Arial"/>
          <w:noProof/>
          <w:color w:val="000000" w:themeColor="text1"/>
          <w:sz w:val="22"/>
        </w:rPr>
      </w:pPr>
    </w:p>
    <w:p w14:paraId="7DD48F49" w14:textId="46A1D4E0" w:rsidR="00B95C30" w:rsidRDefault="00B95C30" w:rsidP="00C118DB">
      <w:pPr>
        <w:spacing w:line="276" w:lineRule="auto"/>
        <w:jc w:val="both"/>
        <w:rPr>
          <w:rFonts w:ascii="Arial" w:hAnsi="Arial" w:cs="Arial"/>
          <w:b/>
          <w:color w:val="000000" w:themeColor="text1"/>
          <w:sz w:val="22"/>
          <w:lang w:val="es-ES"/>
        </w:rPr>
      </w:pPr>
      <w:r w:rsidRPr="00993140">
        <w:rPr>
          <w:rFonts w:ascii="Arial" w:hAnsi="Arial" w:cs="Arial"/>
          <w:noProof/>
          <w:color w:val="000000" w:themeColor="text1"/>
          <w:sz w:val="22"/>
        </w:rPr>
        <w:lastRenderedPageBreak/>
        <w:t xml:space="preserve">Bogotá D.C., </w:t>
      </w:r>
      <w:r w:rsidR="00A340AF">
        <w:rPr>
          <w:rFonts w:ascii="Arial" w:hAnsi="Arial" w:cs="Arial"/>
          <w:b/>
          <w:color w:val="000000" w:themeColor="text1"/>
          <w:sz w:val="22"/>
        </w:rPr>
        <w:t>09/11/2021 18:58:57</w:t>
      </w:r>
    </w:p>
    <w:p w14:paraId="201AB2DA" w14:textId="205033A4" w:rsidR="00B0742F" w:rsidRDefault="00B0742F" w:rsidP="00AB75CB">
      <w:pPr>
        <w:jc w:val="both"/>
        <w:rPr>
          <w:rFonts w:ascii="Arial" w:eastAsia="Calibri" w:hAnsi="Arial" w:cs="Arial"/>
          <w:noProof/>
          <w:color w:val="000000" w:themeColor="text1"/>
          <w:sz w:val="22"/>
          <w:szCs w:val="22"/>
        </w:rPr>
      </w:pPr>
    </w:p>
    <w:p w14:paraId="3FD9EBBA" w14:textId="77777777" w:rsidR="00A340AF" w:rsidRPr="00993140" w:rsidRDefault="00A340AF" w:rsidP="00AB75CB">
      <w:pPr>
        <w:jc w:val="both"/>
        <w:rPr>
          <w:rFonts w:ascii="Arial" w:eastAsia="Calibri" w:hAnsi="Arial" w:cs="Arial"/>
          <w:noProof/>
          <w:color w:val="000000" w:themeColor="text1"/>
          <w:sz w:val="22"/>
          <w:szCs w:val="22"/>
        </w:rPr>
      </w:pPr>
    </w:p>
    <w:p w14:paraId="6A8A869B" w14:textId="3DE020E0" w:rsidR="00B95C30" w:rsidRPr="00993140" w:rsidRDefault="00A340AF" w:rsidP="00A340AF">
      <w:pPr>
        <w:jc w:val="right"/>
        <w:rPr>
          <w:rFonts w:ascii="Arial" w:hAnsi="Arial" w:cs="Arial"/>
          <w:b/>
          <w:color w:val="000000" w:themeColor="text1"/>
          <w:sz w:val="22"/>
        </w:rPr>
      </w:pPr>
      <w:bookmarkStart w:id="4" w:name="_Hlk87375817"/>
      <w:r w:rsidRPr="00A340AF">
        <w:rPr>
          <w:rFonts w:ascii="Arial" w:hAnsi="Arial" w:cs="Arial"/>
          <w:b/>
          <w:noProof/>
          <w:color w:val="000000" w:themeColor="text1"/>
          <w:sz w:val="22"/>
        </w:rPr>
        <w:drawing>
          <wp:inline distT="0" distB="0" distL="0" distR="0" wp14:anchorId="15076379" wp14:editId="79FA7729">
            <wp:extent cx="2352675" cy="695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2675" cy="695325"/>
                    </a:xfrm>
                    <a:prstGeom prst="rect">
                      <a:avLst/>
                    </a:prstGeom>
                    <a:noFill/>
                    <a:ln>
                      <a:noFill/>
                    </a:ln>
                  </pic:spPr>
                </pic:pic>
              </a:graphicData>
            </a:graphic>
          </wp:inline>
        </w:drawing>
      </w:r>
    </w:p>
    <w:p w14:paraId="7B8F49D2" w14:textId="77777777" w:rsidR="00A340AF" w:rsidRPr="00993140" w:rsidRDefault="00A340AF" w:rsidP="00B95C30">
      <w:pPr>
        <w:jc w:val="both"/>
        <w:rPr>
          <w:rFonts w:ascii="Arial" w:hAnsi="Arial" w:cs="Arial"/>
          <w:b/>
          <w:color w:val="000000" w:themeColor="text1"/>
          <w:sz w:val="22"/>
        </w:rPr>
      </w:pPr>
    </w:p>
    <w:p w14:paraId="5F5AE9EF" w14:textId="70FD61D3"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r w:rsidR="000735C3">
        <w:rPr>
          <w:rFonts w:ascii="Arial" w:eastAsia="Calibri" w:hAnsi="Arial" w:cs="Arial"/>
          <w:color w:val="000000" w:themeColor="text1"/>
          <w:sz w:val="22"/>
          <w:lang w:val="es-ES_tradnl"/>
        </w:rPr>
        <w:t>a</w:t>
      </w:r>
    </w:p>
    <w:p w14:paraId="3F9ED760" w14:textId="2F4FF114" w:rsidR="00E027D8" w:rsidRDefault="00655D4C"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María Paula Alfaro Serrato</w:t>
      </w:r>
    </w:p>
    <w:p w14:paraId="6AEE3B40" w14:textId="2FB91A86" w:rsidR="00784181" w:rsidRDefault="00655D4C"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Bogotá D.C. </w:t>
      </w:r>
    </w:p>
    <w:p w14:paraId="22C2B5F3" w14:textId="77777777" w:rsidR="00044498" w:rsidRPr="00E23980" w:rsidRDefault="00044498" w:rsidP="00B95C30">
      <w:pPr>
        <w:jc w:val="both"/>
        <w:rPr>
          <w:rFonts w:ascii="Arial" w:eastAsia="Calibri" w:hAnsi="Arial" w:cs="Arial"/>
          <w:color w:val="000000" w:themeColor="text1"/>
          <w:sz w:val="22"/>
          <w:lang w:val="es-ES_tradnl"/>
        </w:rPr>
      </w:pPr>
    </w:p>
    <w:p w14:paraId="12E66182" w14:textId="447AD664" w:rsidR="00B95C30" w:rsidRPr="00E23980" w:rsidRDefault="00784181" w:rsidP="003F63EE">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864CD5">
        <w:rPr>
          <w:rFonts w:ascii="Arial" w:eastAsia="Calibri" w:hAnsi="Arial" w:cs="Arial"/>
          <w:b/>
          <w:bCs/>
          <w:color w:val="000000" w:themeColor="text1"/>
          <w:sz w:val="22"/>
          <w:lang w:val="es-ES_tradnl"/>
        </w:rPr>
        <w:t xml:space="preserve">Concepto C ‒ </w:t>
      </w:r>
      <w:r w:rsidR="00655D4C">
        <w:rPr>
          <w:rFonts w:ascii="Arial" w:eastAsia="Calibri" w:hAnsi="Arial" w:cs="Arial"/>
          <w:b/>
          <w:bCs/>
          <w:color w:val="000000" w:themeColor="text1"/>
          <w:sz w:val="22"/>
          <w:lang w:val="es-ES_tradnl"/>
        </w:rPr>
        <w:t>626</w:t>
      </w:r>
      <w:r w:rsidR="00AD5CED">
        <w:rPr>
          <w:rFonts w:ascii="Arial" w:eastAsia="Calibri" w:hAnsi="Arial" w:cs="Arial"/>
          <w:b/>
          <w:bCs/>
          <w:color w:val="000000" w:themeColor="text1"/>
          <w:sz w:val="22"/>
          <w:lang w:val="es-ES_tradnl"/>
        </w:rPr>
        <w:t xml:space="preserve"> </w:t>
      </w:r>
      <w:r w:rsidR="00275FBF">
        <w:rPr>
          <w:rFonts w:ascii="Arial" w:eastAsia="Calibri" w:hAnsi="Arial" w:cs="Arial"/>
          <w:b/>
          <w:bCs/>
          <w:color w:val="000000" w:themeColor="text1"/>
          <w:sz w:val="22"/>
          <w:lang w:val="es-ES_tradnl"/>
        </w:rPr>
        <w:t>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643F91" w14:paraId="19DFC051" w14:textId="77777777" w:rsidTr="00643F91">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14A9B073" w:rsidR="00B95C30" w:rsidRPr="00F63107" w:rsidRDefault="004C683D" w:rsidP="00864CD5">
            <w:pPr>
              <w:jc w:val="both"/>
              <w:rPr>
                <w:rFonts w:ascii="Arial" w:eastAsia="Calibri" w:hAnsi="Arial" w:cs="Arial"/>
                <w:bCs/>
                <w:color w:val="000000" w:themeColor="text1"/>
                <w:sz w:val="22"/>
                <w:highlight w:val="yellow"/>
                <w:lang w:val="es-ES_tradnl"/>
              </w:rPr>
            </w:pPr>
            <w:r w:rsidRPr="00F63107">
              <w:rPr>
                <w:rFonts w:ascii="Arial" w:eastAsia="Calibri" w:hAnsi="Arial" w:cs="Arial"/>
                <w:bCs/>
                <w:color w:val="000000" w:themeColor="text1"/>
                <w:sz w:val="22"/>
                <w:lang w:val="es-ES_tradnl"/>
              </w:rPr>
              <w:t>REGISTRO</w:t>
            </w:r>
            <w:r w:rsidR="002415B8" w:rsidRPr="00F63107">
              <w:rPr>
                <w:rFonts w:ascii="Arial" w:eastAsia="Calibri" w:hAnsi="Arial" w:cs="Arial"/>
                <w:bCs/>
                <w:sz w:val="22"/>
                <w:lang w:val="es-ES_tradnl"/>
              </w:rPr>
              <w:t xml:space="preserve"> NACIONAL DE OBRAS CIVILES INCONCLUSAS – Concepto – Ley 2020 de 2020</w:t>
            </w:r>
            <w:r w:rsidR="00B95C30" w:rsidRPr="00F63107">
              <w:rPr>
                <w:rFonts w:ascii="Arial" w:eastAsia="Calibri" w:hAnsi="Arial" w:cs="Arial"/>
                <w:bCs/>
                <w:sz w:val="22"/>
                <w:lang w:val="es-ES_tradnl"/>
              </w:rPr>
              <w:t xml:space="preserve"> </w:t>
            </w:r>
            <w:r w:rsidR="002415B8" w:rsidRPr="00F63107">
              <w:rPr>
                <w:rFonts w:ascii="Arial" w:eastAsia="Calibri" w:hAnsi="Arial" w:cs="Arial"/>
                <w:bCs/>
                <w:sz w:val="22"/>
                <w:lang w:val="es-ES_tradnl"/>
              </w:rPr>
              <w:t xml:space="preserve">/ REGISTRO NACIONAL DE OBRAS CIVILES </w:t>
            </w:r>
            <w:r w:rsidR="000D152A" w:rsidRPr="00F63107">
              <w:rPr>
                <w:rFonts w:ascii="Arial" w:eastAsia="Calibri" w:hAnsi="Arial" w:cs="Arial"/>
                <w:bCs/>
                <w:sz w:val="22"/>
                <w:lang w:val="es-ES_tradnl"/>
              </w:rPr>
              <w:t>INCONCLUSAS –</w:t>
            </w:r>
            <w:r w:rsidR="002415B8" w:rsidRPr="00F63107">
              <w:rPr>
                <w:rFonts w:ascii="Arial" w:eastAsia="Calibri" w:hAnsi="Arial" w:cs="Arial"/>
                <w:bCs/>
                <w:sz w:val="22"/>
                <w:lang w:val="es-ES_tradnl"/>
              </w:rPr>
              <w:t xml:space="preserve"> </w:t>
            </w:r>
            <w:r w:rsidR="00F63107" w:rsidRPr="00F63107">
              <w:rPr>
                <w:rFonts w:ascii="Arial" w:eastAsia="Calibri" w:hAnsi="Arial" w:cs="Arial"/>
                <w:bCs/>
                <w:sz w:val="22"/>
                <w:lang w:val="es-ES_tradnl"/>
              </w:rPr>
              <w:t xml:space="preserve">Dirección y coordinación </w:t>
            </w:r>
            <w:r w:rsidR="006174FA" w:rsidRPr="00F63107">
              <w:rPr>
                <w:rFonts w:ascii="Arial" w:eastAsia="Calibri" w:hAnsi="Arial" w:cs="Arial"/>
                <w:bCs/>
                <w:color w:val="000000" w:themeColor="text1"/>
                <w:sz w:val="22"/>
                <w:lang w:val="es-ES_tradnl"/>
              </w:rPr>
              <w:t xml:space="preserve">/ </w:t>
            </w:r>
            <w:r w:rsidR="00F63107" w:rsidRPr="00F63107">
              <w:rPr>
                <w:rFonts w:ascii="Arial" w:eastAsia="Calibri" w:hAnsi="Arial" w:cs="Arial"/>
                <w:bCs/>
                <w:sz w:val="22"/>
                <w:lang w:val="es-ES_tradnl"/>
              </w:rPr>
              <w:t xml:space="preserve">REGISTRO NACIONAL DE OBRAS CIVILES INCONCLUSAS </w:t>
            </w:r>
            <w:r w:rsidR="006174FA" w:rsidRPr="00F63107">
              <w:rPr>
                <w:rFonts w:ascii="Arial" w:eastAsia="Calibri" w:hAnsi="Arial" w:cs="Arial"/>
                <w:bCs/>
                <w:color w:val="000000" w:themeColor="text1"/>
                <w:sz w:val="22"/>
                <w:lang w:val="es-ES_tradnl"/>
              </w:rPr>
              <w:t>–</w:t>
            </w:r>
            <w:r w:rsidR="00F63107" w:rsidRPr="00F63107">
              <w:rPr>
                <w:rFonts w:ascii="Arial" w:eastAsia="Calibri" w:hAnsi="Arial" w:cs="Arial"/>
                <w:bCs/>
                <w:sz w:val="22"/>
                <w:lang w:val="es-ES_tradnl"/>
              </w:rPr>
              <w:t xml:space="preserve"> </w:t>
            </w:r>
            <w:r w:rsidR="00F63107" w:rsidRPr="00F63107">
              <w:rPr>
                <w:rFonts w:ascii="Arial" w:eastAsia="Calibri" w:hAnsi="Arial" w:cs="Arial"/>
                <w:bCs/>
                <w:color w:val="000000" w:themeColor="text1"/>
                <w:sz w:val="22"/>
                <w:lang w:val="es-ES_tradnl"/>
              </w:rPr>
              <w:t xml:space="preserve">Reporte de información </w:t>
            </w:r>
            <w:r w:rsidR="004E6F55" w:rsidRPr="00F63107">
              <w:rPr>
                <w:rFonts w:ascii="Arial" w:eastAsia="Calibri" w:hAnsi="Arial" w:cs="Arial"/>
                <w:bCs/>
                <w:color w:val="000000" w:themeColor="text1"/>
                <w:sz w:val="22"/>
                <w:lang w:val="es-ES_tradnl"/>
              </w:rPr>
              <w:t>/</w:t>
            </w:r>
            <w:r w:rsidR="006174FA" w:rsidRPr="00F63107">
              <w:rPr>
                <w:rFonts w:ascii="Arial" w:eastAsia="Calibri" w:hAnsi="Arial" w:cs="Arial"/>
                <w:bCs/>
                <w:color w:val="000000" w:themeColor="text1"/>
                <w:sz w:val="22"/>
                <w:lang w:val="es-ES_tradnl"/>
              </w:rPr>
              <w:t xml:space="preserve"> </w:t>
            </w:r>
            <w:r w:rsidR="00F63107" w:rsidRPr="00F63107">
              <w:rPr>
                <w:rFonts w:ascii="Arial" w:eastAsia="Calibri" w:hAnsi="Arial" w:cs="Arial"/>
                <w:bCs/>
                <w:sz w:val="22"/>
                <w:lang w:val="es-ES_tradnl"/>
              </w:rPr>
              <w:t>REGISTRO NACIONAL DE OBRAS CIVILES INCONCLUSAS</w:t>
            </w:r>
            <w:r w:rsidR="00F63107" w:rsidRPr="00F63107">
              <w:rPr>
                <w:rFonts w:ascii="Arial" w:eastAsia="Calibri" w:hAnsi="Arial" w:cs="Arial"/>
                <w:bCs/>
                <w:color w:val="000000" w:themeColor="text1"/>
                <w:sz w:val="22"/>
                <w:lang w:val="es-ES_tradnl"/>
              </w:rPr>
              <w:t xml:space="preserve"> </w:t>
            </w:r>
            <w:r w:rsidR="00643F91" w:rsidRPr="00F63107">
              <w:rPr>
                <w:rFonts w:ascii="Arial" w:eastAsia="Calibri" w:hAnsi="Arial" w:cs="Arial"/>
                <w:bCs/>
                <w:color w:val="000000" w:themeColor="text1"/>
                <w:sz w:val="22"/>
                <w:lang w:val="es-ES_tradnl"/>
              </w:rPr>
              <w:t xml:space="preserve">– </w:t>
            </w:r>
            <w:r w:rsidR="00F63107" w:rsidRPr="00F63107">
              <w:rPr>
                <w:rFonts w:ascii="Arial" w:eastAsia="Calibri" w:hAnsi="Arial" w:cs="Arial"/>
                <w:bCs/>
                <w:color w:val="000000" w:themeColor="text1"/>
                <w:sz w:val="22"/>
                <w:lang w:val="es-ES_tradnl"/>
              </w:rPr>
              <w:t xml:space="preserve">deber de verificación </w:t>
            </w:r>
            <w:r w:rsidR="00643F91" w:rsidRPr="00F63107">
              <w:rPr>
                <w:rFonts w:ascii="Arial" w:eastAsia="Calibri" w:hAnsi="Arial" w:cs="Arial"/>
                <w:bCs/>
                <w:color w:val="000000" w:themeColor="text1"/>
                <w:sz w:val="22"/>
                <w:lang w:val="es-ES_tradnl"/>
              </w:rPr>
              <w:t xml:space="preserve">/ </w:t>
            </w:r>
            <w:r w:rsidR="00F63107" w:rsidRPr="00F63107">
              <w:rPr>
                <w:rFonts w:ascii="Arial" w:eastAsia="Calibri" w:hAnsi="Arial" w:cs="Arial"/>
                <w:bCs/>
                <w:sz w:val="22"/>
                <w:lang w:val="es-ES_tradnl"/>
              </w:rPr>
              <w:t xml:space="preserve">DOCUMENTOS TIPO </w:t>
            </w:r>
            <w:r w:rsidR="00891838" w:rsidRPr="00F63107">
              <w:rPr>
                <w:rFonts w:ascii="Arial" w:eastAsia="Calibri" w:hAnsi="Arial" w:cs="Arial"/>
                <w:bCs/>
                <w:sz w:val="22"/>
                <w:lang w:val="es-ES_tradnl"/>
              </w:rPr>
              <w:t xml:space="preserve">– </w:t>
            </w:r>
            <w:r w:rsidR="00F63107" w:rsidRPr="00F63107">
              <w:rPr>
                <w:rFonts w:ascii="Arial" w:eastAsia="Calibri" w:hAnsi="Arial" w:cs="Arial"/>
                <w:bCs/>
                <w:sz w:val="22"/>
                <w:lang w:val="es-ES_tradnl"/>
              </w:rPr>
              <w:t xml:space="preserve">Interventoría de infraestructura de transporte </w:t>
            </w:r>
            <w:r w:rsidR="00643F91" w:rsidRPr="00F63107">
              <w:rPr>
                <w:rFonts w:ascii="Arial" w:eastAsia="Calibri" w:hAnsi="Arial" w:cs="Arial"/>
                <w:bCs/>
                <w:color w:val="000000" w:themeColor="text1"/>
                <w:sz w:val="22"/>
                <w:lang w:val="es-ES_tradnl"/>
              </w:rPr>
              <w:t>/</w:t>
            </w:r>
            <w:r w:rsidR="00F63107" w:rsidRPr="00F63107">
              <w:rPr>
                <w:rFonts w:ascii="Arial" w:eastAsia="Calibri" w:hAnsi="Arial" w:cs="Arial"/>
                <w:bCs/>
                <w:color w:val="000000" w:themeColor="text1"/>
                <w:sz w:val="22"/>
                <w:lang w:val="es-ES_tradnl"/>
              </w:rPr>
              <w:t xml:space="preserve"> </w:t>
            </w:r>
            <w:r w:rsidR="00F63107" w:rsidRPr="00F63107">
              <w:rPr>
                <w:rFonts w:ascii="Arial" w:eastAsia="Calibri" w:hAnsi="Arial" w:cs="Arial"/>
                <w:bCs/>
                <w:sz w:val="22"/>
                <w:lang w:val="es-ES_tradnl"/>
              </w:rPr>
              <w:t xml:space="preserve">DESCUENTO PUNTAJE </w:t>
            </w:r>
            <w:r w:rsidR="00643F91" w:rsidRPr="00F63107">
              <w:rPr>
                <w:rFonts w:ascii="Arial" w:eastAsia="Calibri" w:hAnsi="Arial" w:cs="Arial"/>
                <w:bCs/>
                <w:color w:val="000000" w:themeColor="text1"/>
                <w:sz w:val="22"/>
                <w:lang w:val="es-ES_tradnl"/>
              </w:rPr>
              <w:t>–</w:t>
            </w:r>
            <w:r w:rsidR="00FA5280" w:rsidRPr="00F63107">
              <w:rPr>
                <w:rFonts w:ascii="Arial" w:eastAsia="Calibri" w:hAnsi="Arial" w:cs="Arial"/>
                <w:bCs/>
                <w:color w:val="000000" w:themeColor="text1"/>
                <w:sz w:val="22"/>
                <w:lang w:val="es-ES_tradnl"/>
              </w:rPr>
              <w:t xml:space="preserve"> </w:t>
            </w:r>
            <w:r w:rsidR="00F63107" w:rsidRPr="00F63107">
              <w:rPr>
                <w:rFonts w:ascii="Arial" w:eastAsia="Calibri" w:hAnsi="Arial" w:cs="Arial"/>
                <w:bCs/>
                <w:color w:val="000000" w:themeColor="text1"/>
                <w:sz w:val="22"/>
                <w:lang w:val="es-ES_tradnl"/>
              </w:rPr>
              <w:t>Consultar y analizar – Incumplimiento del contratista</w:t>
            </w:r>
          </w:p>
        </w:tc>
      </w:tr>
      <w:tr w:rsidR="00B95C30" w:rsidRPr="00E23980" w14:paraId="27CD52AB" w14:textId="77777777" w:rsidTr="00643F91">
        <w:tc>
          <w:tcPr>
            <w:tcW w:w="2689" w:type="dxa"/>
          </w:tcPr>
          <w:p w14:paraId="37E195A1" w14:textId="3D4EB451"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1AFA304F"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655D4C" w:rsidRPr="00655D4C">
              <w:rPr>
                <w:rFonts w:ascii="Arial" w:eastAsia="Calibri" w:hAnsi="Arial" w:cs="Arial"/>
                <w:color w:val="000000" w:themeColor="text1"/>
                <w:sz w:val="22"/>
                <w:lang w:val="es-ES_tradnl"/>
              </w:rPr>
              <w:t>P20210924008804</w:t>
            </w:r>
          </w:p>
        </w:tc>
      </w:tr>
    </w:tbl>
    <w:p w14:paraId="635FAA34" w14:textId="37DE2A66" w:rsidR="006D69FA" w:rsidRDefault="006D69FA" w:rsidP="003C3339">
      <w:pPr>
        <w:jc w:val="both"/>
        <w:rPr>
          <w:rFonts w:ascii="Arial" w:eastAsia="Calibri" w:hAnsi="Arial" w:cs="Arial"/>
          <w:color w:val="000000" w:themeColor="text1"/>
          <w:sz w:val="22"/>
          <w:lang w:val="es-ES_tradnl"/>
        </w:rPr>
      </w:pPr>
    </w:p>
    <w:p w14:paraId="610D5130" w14:textId="77777777" w:rsidR="00784181" w:rsidRDefault="00784181" w:rsidP="003C3339">
      <w:pPr>
        <w:jc w:val="both"/>
        <w:rPr>
          <w:rFonts w:ascii="Arial" w:eastAsia="Calibri" w:hAnsi="Arial" w:cs="Arial"/>
          <w:color w:val="000000" w:themeColor="text1"/>
          <w:sz w:val="22"/>
          <w:lang w:val="es-ES_tradnl"/>
        </w:rPr>
      </w:pPr>
    </w:p>
    <w:p w14:paraId="1CF4AEA0" w14:textId="6B54F05A"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0735C3">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0735C3">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00655D4C">
        <w:rPr>
          <w:rFonts w:ascii="Arial" w:eastAsia="Calibri" w:hAnsi="Arial" w:cs="Arial"/>
          <w:color w:val="000000" w:themeColor="text1"/>
          <w:sz w:val="22"/>
          <w:lang w:val="es-ES_tradnl"/>
        </w:rPr>
        <w:t>Alfaro</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4BD78052"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784181">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del </w:t>
      </w:r>
      <w:r w:rsidR="00655D4C">
        <w:rPr>
          <w:rFonts w:ascii="Arial" w:eastAsia="Calibri" w:hAnsi="Arial" w:cs="Arial"/>
          <w:color w:val="000000" w:themeColor="text1"/>
          <w:sz w:val="22"/>
          <w:lang w:val="es-ES_tradnl"/>
        </w:rPr>
        <w:t>24</w:t>
      </w:r>
      <w:r w:rsidR="00AD5CED">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0735C3">
        <w:rPr>
          <w:rFonts w:ascii="Arial" w:eastAsia="Calibri" w:hAnsi="Arial" w:cs="Arial"/>
          <w:color w:val="000000" w:themeColor="text1"/>
          <w:sz w:val="22"/>
          <w:lang w:val="es-ES_tradnl"/>
        </w:rPr>
        <w:t>septiembre</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14941EBB"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Problema</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planteado</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D3B991A" w14:textId="5C43DD24" w:rsidR="000735C3" w:rsidRPr="000735C3" w:rsidRDefault="00655D4C" w:rsidP="000735C3">
      <w:pPr>
        <w:spacing w:line="276" w:lineRule="auto"/>
        <w:jc w:val="both"/>
        <w:rPr>
          <w:rFonts w:ascii="Arial" w:hAnsi="Arial" w:cs="Arial"/>
          <w:bCs/>
          <w:color w:val="000000" w:themeColor="text1"/>
          <w:sz w:val="22"/>
        </w:rPr>
      </w:pPr>
      <w:bookmarkStart w:id="5" w:name="_Hlk70876531"/>
      <w:r>
        <w:rPr>
          <w:rFonts w:ascii="Arial" w:hAnsi="Arial" w:cs="Arial"/>
          <w:color w:val="000000" w:themeColor="text1"/>
          <w:sz w:val="22"/>
          <w:lang w:val="es-ES_tradnl"/>
        </w:rPr>
        <w:t>R</w:t>
      </w:r>
      <w:r w:rsidR="003D3109">
        <w:rPr>
          <w:rFonts w:ascii="Arial" w:hAnsi="Arial" w:cs="Arial"/>
          <w:color w:val="000000" w:themeColor="text1"/>
          <w:sz w:val="22"/>
          <w:lang w:val="es-ES_tradnl"/>
        </w:rPr>
        <w:t>especto a las anotaciones en el Registro Nacional de Obras Civiles Inconclusas, usted realiza las siguientes preguntas:</w:t>
      </w:r>
      <w:r w:rsidR="00E84D13">
        <w:rPr>
          <w:rFonts w:ascii="Arial" w:hAnsi="Arial" w:cs="Arial"/>
          <w:color w:val="000000" w:themeColor="text1"/>
          <w:sz w:val="22"/>
          <w:lang w:val="es-ES_tradnl"/>
        </w:rPr>
        <w:t xml:space="preserve"> </w:t>
      </w:r>
      <w:r w:rsidR="000735C3" w:rsidRPr="000735C3">
        <w:rPr>
          <w:rFonts w:ascii="Arial" w:hAnsi="Arial" w:cs="Arial"/>
          <w:bCs/>
          <w:color w:val="000000" w:themeColor="text1"/>
          <w:sz w:val="22"/>
        </w:rPr>
        <w:t>i) «</w:t>
      </w:r>
      <w:r>
        <w:rPr>
          <w:rFonts w:ascii="Arial" w:hAnsi="Arial" w:cs="Arial"/>
          <w:bCs/>
          <w:color w:val="000000" w:themeColor="text1"/>
          <w:sz w:val="22"/>
        </w:rPr>
        <w:t xml:space="preserve">[…] </w:t>
      </w:r>
      <w:r w:rsidRPr="00655D4C">
        <w:rPr>
          <w:rFonts w:ascii="Arial" w:hAnsi="Arial" w:cs="Arial"/>
          <w:bCs/>
          <w:color w:val="000000" w:themeColor="text1"/>
          <w:sz w:val="22"/>
        </w:rPr>
        <w:t>¿Cuál es la razón por la cual la interventoría debe verse afectada con el reporte en el Registro Nacional de Obras Civiles Inconclusas y a su vez, con las consecuencias que ello trae relacionadas con el factor de ponderación de calidad en los procesos de selección?»</w:t>
      </w:r>
      <w:r>
        <w:rPr>
          <w:rFonts w:ascii="Arial" w:hAnsi="Arial" w:cs="Arial"/>
          <w:bCs/>
          <w:color w:val="000000" w:themeColor="text1"/>
          <w:sz w:val="22"/>
        </w:rPr>
        <w:t xml:space="preserve">, </w:t>
      </w:r>
      <w:proofErr w:type="spellStart"/>
      <w:r w:rsidR="000735C3" w:rsidRPr="000735C3">
        <w:rPr>
          <w:rFonts w:ascii="Arial" w:hAnsi="Arial" w:cs="Arial"/>
          <w:bCs/>
          <w:color w:val="000000" w:themeColor="text1"/>
          <w:sz w:val="22"/>
        </w:rPr>
        <w:t>ii</w:t>
      </w:r>
      <w:proofErr w:type="spellEnd"/>
      <w:r w:rsidR="000735C3" w:rsidRPr="000735C3">
        <w:rPr>
          <w:rFonts w:ascii="Arial" w:hAnsi="Arial" w:cs="Arial"/>
          <w:bCs/>
          <w:color w:val="000000" w:themeColor="text1"/>
          <w:sz w:val="22"/>
        </w:rPr>
        <w:t xml:space="preserve">) </w:t>
      </w:r>
      <w:r w:rsidRPr="00655D4C">
        <w:rPr>
          <w:rFonts w:ascii="Arial" w:hAnsi="Arial" w:cs="Arial"/>
          <w:bCs/>
          <w:color w:val="000000" w:themeColor="text1"/>
          <w:sz w:val="22"/>
        </w:rPr>
        <w:t>«¿Reportar a una interventoría en dicho registro en las circunstancias mencionadas no estaría vulnerando los principios de la contratación estatal, teniendo en cuenta que se le estaría dando un trato erróneo e injusto a estas empresas que cumplieron a cabalidad con sus funciones?»</w:t>
      </w:r>
      <w:r>
        <w:rPr>
          <w:rFonts w:ascii="Arial" w:hAnsi="Arial" w:cs="Arial"/>
          <w:bCs/>
          <w:color w:val="000000" w:themeColor="text1"/>
          <w:sz w:val="22"/>
        </w:rPr>
        <w:t xml:space="preserve"> y </w:t>
      </w:r>
      <w:proofErr w:type="spellStart"/>
      <w:r>
        <w:rPr>
          <w:rFonts w:ascii="Arial" w:hAnsi="Arial" w:cs="Arial"/>
          <w:bCs/>
          <w:color w:val="000000" w:themeColor="text1"/>
          <w:sz w:val="22"/>
        </w:rPr>
        <w:t>iii</w:t>
      </w:r>
      <w:proofErr w:type="spellEnd"/>
      <w:r>
        <w:rPr>
          <w:rFonts w:ascii="Arial" w:hAnsi="Arial" w:cs="Arial"/>
          <w:bCs/>
          <w:color w:val="000000" w:themeColor="text1"/>
          <w:sz w:val="22"/>
        </w:rPr>
        <w:t xml:space="preserve">) </w:t>
      </w:r>
      <w:r w:rsidRPr="00655D4C">
        <w:rPr>
          <w:rFonts w:ascii="Arial" w:hAnsi="Arial" w:cs="Arial"/>
          <w:bCs/>
          <w:color w:val="000000" w:themeColor="text1"/>
          <w:sz w:val="22"/>
        </w:rPr>
        <w:t xml:space="preserve">«Si una empresa interventora demuestra que realizó una gestión adecuada y cumplió a cabalidad con sus funciones como interventoría, pero que sin embargo el contratista de obra no logró terminar </w:t>
      </w:r>
      <w:r w:rsidRPr="00655D4C">
        <w:rPr>
          <w:rFonts w:ascii="Arial" w:hAnsi="Arial" w:cs="Arial"/>
          <w:bCs/>
          <w:color w:val="000000" w:themeColor="text1"/>
          <w:sz w:val="22"/>
        </w:rPr>
        <w:lastRenderedPageBreak/>
        <w:t xml:space="preserve">en su totalidad la obra contratada, ¿la entidad estatal puede considerar si la incluye dentro del Registro Nacional de Obras Civiles Inconclusas o es su obligación hacerlo sin tener en cuenta la excelente gestión de la empresa interventora?»  </w:t>
      </w:r>
    </w:p>
    <w:bookmarkEnd w:id="5"/>
    <w:p w14:paraId="2A79DF8F" w14:textId="77777777" w:rsidR="00864CD5" w:rsidRPr="00864CD5" w:rsidRDefault="00864CD5" w:rsidP="000735C3">
      <w:pPr>
        <w:ind w:right="709"/>
        <w:jc w:val="both"/>
        <w:rPr>
          <w:rFonts w:ascii="Arial" w:hAnsi="Arial" w:cs="Arial"/>
          <w:color w:val="000000" w:themeColor="text1"/>
          <w:sz w:val="21"/>
          <w:szCs w:val="21"/>
          <w:lang w:val="es-ES_tradnl"/>
        </w:rPr>
      </w:pPr>
    </w:p>
    <w:p w14:paraId="505D2AC2" w14:textId="36A001B5" w:rsidR="00904C33" w:rsidRDefault="00DD5B04" w:rsidP="00904C3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36E5625" w14:textId="77777777" w:rsidR="00904C33" w:rsidRPr="00904C33" w:rsidRDefault="00904C33" w:rsidP="00904C33">
      <w:pPr>
        <w:pStyle w:val="Prrafodelista"/>
        <w:tabs>
          <w:tab w:val="left" w:pos="0"/>
          <w:tab w:val="left" w:pos="284"/>
        </w:tabs>
        <w:ind w:left="0"/>
        <w:jc w:val="both"/>
        <w:rPr>
          <w:rFonts w:ascii="Arial" w:eastAsia="Calibri" w:hAnsi="Arial" w:cs="Arial"/>
          <w:b/>
          <w:color w:val="000000" w:themeColor="text1"/>
          <w:sz w:val="22"/>
          <w:lang w:val="es-ES_tradnl"/>
        </w:rPr>
      </w:pPr>
    </w:p>
    <w:p w14:paraId="603D3970" w14:textId="605B95A7" w:rsidR="00904C33" w:rsidRDefault="00904C33" w:rsidP="00904C33">
      <w:pPr>
        <w:spacing w:line="276" w:lineRule="auto"/>
        <w:jc w:val="both"/>
        <w:rPr>
          <w:rFonts w:ascii="Arial" w:hAnsi="Arial" w:cs="Arial"/>
          <w:color w:val="000000" w:themeColor="text1"/>
          <w:sz w:val="22"/>
          <w:lang w:val="es-ES_tradnl"/>
        </w:rPr>
      </w:pPr>
      <w:r w:rsidRPr="00904C33">
        <w:rPr>
          <w:rFonts w:ascii="Arial" w:hAnsi="Arial" w:cs="Arial"/>
          <w:color w:val="000000" w:themeColor="text1"/>
          <w:sz w:val="22"/>
          <w:lang w:val="es-ES_tradnl"/>
        </w:rPr>
        <w:t>Para resolver su consulta, se analizarán los siguientes temas: i) el Registro Nacional de Obras Civiles Inconclusas</w:t>
      </w:r>
      <w:r w:rsidR="005930ED">
        <w:rPr>
          <w:rFonts w:ascii="Arial" w:hAnsi="Arial" w:cs="Arial"/>
          <w:color w:val="000000" w:themeColor="text1"/>
          <w:sz w:val="22"/>
          <w:lang w:val="es-ES_tradnl"/>
        </w:rPr>
        <w:t xml:space="preserve"> y</w:t>
      </w:r>
      <w:r w:rsidRPr="00904C33">
        <w:rPr>
          <w:rFonts w:ascii="Arial" w:hAnsi="Arial" w:cs="Arial"/>
          <w:color w:val="000000" w:themeColor="text1"/>
          <w:sz w:val="22"/>
          <w:lang w:val="es-ES_tradnl"/>
        </w:rPr>
        <w:t xml:space="preserve"> </w:t>
      </w:r>
      <w:proofErr w:type="spellStart"/>
      <w:r w:rsidRPr="00904C33">
        <w:rPr>
          <w:rFonts w:ascii="Arial" w:hAnsi="Arial" w:cs="Arial"/>
          <w:color w:val="000000" w:themeColor="text1"/>
          <w:sz w:val="22"/>
          <w:lang w:val="es-ES_tradnl"/>
        </w:rPr>
        <w:t>ii</w:t>
      </w:r>
      <w:proofErr w:type="spellEnd"/>
      <w:r w:rsidRPr="00904C33">
        <w:rPr>
          <w:rFonts w:ascii="Arial" w:hAnsi="Arial" w:cs="Arial"/>
          <w:color w:val="000000" w:themeColor="text1"/>
          <w:sz w:val="22"/>
          <w:lang w:val="es-ES_tradnl"/>
        </w:rPr>
        <w:t xml:space="preserve">) </w:t>
      </w:r>
      <w:r w:rsidR="002A2225">
        <w:rPr>
          <w:rFonts w:ascii="Arial" w:hAnsi="Arial" w:cs="Arial"/>
          <w:color w:val="000000" w:themeColor="text1"/>
          <w:sz w:val="22"/>
          <w:lang w:val="es-ES_tradnl"/>
        </w:rPr>
        <w:t xml:space="preserve">el </w:t>
      </w:r>
      <w:r w:rsidR="002A2225">
        <w:rPr>
          <w:rFonts w:ascii="Arial" w:eastAsia="Calibri" w:hAnsi="Arial" w:cs="Arial"/>
          <w:color w:val="000000"/>
          <w:sz w:val="22"/>
          <w:lang w:val="es-ES_tradnl" w:eastAsia="en-GB"/>
        </w:rPr>
        <w:t>d</w:t>
      </w:r>
      <w:r w:rsidR="002A2225" w:rsidRPr="00D24EBE">
        <w:rPr>
          <w:rFonts w:ascii="Arial" w:eastAsia="Calibri" w:hAnsi="Arial" w:cs="Arial"/>
          <w:color w:val="000000"/>
          <w:sz w:val="22"/>
          <w:lang w:val="es-ES_tradnl" w:eastAsia="en-GB"/>
        </w:rPr>
        <w:t>eber de verificación del Registro Nacional de Obras Civiles Inconclusas en la evaluación de factores de calidad para la selección de contratistas de obra o interventores</w:t>
      </w:r>
      <w:r w:rsidR="005930ED">
        <w:rPr>
          <w:rFonts w:ascii="Arial" w:hAnsi="Arial" w:cs="Arial"/>
          <w:color w:val="000000" w:themeColor="text1"/>
          <w:sz w:val="22"/>
          <w:lang w:val="es-ES_tradnl"/>
        </w:rPr>
        <w:t xml:space="preserve">. </w:t>
      </w:r>
    </w:p>
    <w:p w14:paraId="66E96B5E" w14:textId="182A67D6" w:rsidR="00E07AAA" w:rsidRPr="002B17AD" w:rsidRDefault="00E07AAA" w:rsidP="002B17AD">
      <w:pPr>
        <w:spacing w:before="120" w:line="276" w:lineRule="auto"/>
        <w:ind w:firstLine="709"/>
        <w:jc w:val="both"/>
        <w:rPr>
          <w:rFonts w:ascii="Arial" w:hAnsi="Arial" w:cs="Arial"/>
          <w:color w:val="000000" w:themeColor="text1"/>
          <w:sz w:val="22"/>
          <w:lang w:val="es-ES_tradnl"/>
        </w:rPr>
      </w:pPr>
      <w:r w:rsidRPr="00E07AAA">
        <w:rPr>
          <w:rFonts w:ascii="Arial" w:hAnsi="Arial" w:cs="Arial"/>
          <w:color w:val="000000" w:themeColor="text1"/>
          <w:sz w:val="22"/>
          <w:lang w:val="es-ES_tradnl"/>
        </w:rPr>
        <w:t>L</w:t>
      </w:r>
      <w:r w:rsidRPr="00222BE8">
        <w:rPr>
          <w:rFonts w:ascii="Arial" w:hAnsi="Arial" w:cs="Arial"/>
          <w:color w:val="000000" w:themeColor="text1"/>
          <w:sz w:val="22"/>
          <w:lang w:val="es-ES_tradnl"/>
        </w:rPr>
        <w:t xml:space="preserve">a Agencia Nacional de Contratación Pública </w:t>
      </w:r>
      <w:r w:rsidR="001369F5">
        <w:rPr>
          <w:rFonts w:ascii="Arial" w:hAnsi="Arial" w:cs="Arial"/>
          <w:color w:val="000000" w:themeColor="text1"/>
          <w:sz w:val="22"/>
          <w:lang w:val="es-ES_tradnl"/>
        </w:rPr>
        <w:t>–</w:t>
      </w:r>
      <w:r w:rsidR="001369F5" w:rsidRPr="00222BE8">
        <w:rPr>
          <w:rFonts w:ascii="Arial" w:hAnsi="Arial" w:cs="Arial"/>
          <w:color w:val="000000" w:themeColor="text1"/>
          <w:sz w:val="22"/>
          <w:lang w:val="es-ES_tradnl"/>
        </w:rPr>
        <w:t xml:space="preserve"> </w:t>
      </w:r>
      <w:r w:rsidRPr="00222BE8">
        <w:rPr>
          <w:rFonts w:ascii="Arial" w:hAnsi="Arial" w:cs="Arial"/>
          <w:color w:val="000000" w:themeColor="text1"/>
          <w:sz w:val="22"/>
          <w:lang w:val="es-ES_tradnl"/>
        </w:rPr>
        <w:t>Colombia Compra Eficiente se pronunció sobre</w:t>
      </w:r>
      <w:r>
        <w:rPr>
          <w:rFonts w:ascii="Arial" w:hAnsi="Arial" w:cs="Arial"/>
          <w:color w:val="000000" w:themeColor="text1"/>
          <w:sz w:val="22"/>
          <w:lang w:val="es-ES_tradnl"/>
        </w:rPr>
        <w:t xml:space="preserve"> el Registro Nacional de Obras Civiles Inconclusas en </w:t>
      </w:r>
      <w:r w:rsidR="003B28F8">
        <w:rPr>
          <w:rFonts w:ascii="Arial" w:hAnsi="Arial" w:cs="Arial"/>
          <w:color w:val="000000" w:themeColor="text1"/>
          <w:sz w:val="22"/>
          <w:lang w:val="es-ES_tradnl"/>
        </w:rPr>
        <w:t>los</w:t>
      </w:r>
      <w:r>
        <w:rPr>
          <w:rFonts w:ascii="Arial" w:hAnsi="Arial" w:cs="Arial"/>
          <w:color w:val="000000" w:themeColor="text1"/>
          <w:sz w:val="22"/>
          <w:lang w:val="es-ES_tradnl"/>
        </w:rPr>
        <w:t xml:space="preserve"> concepto</w:t>
      </w:r>
      <w:r w:rsidR="003B28F8">
        <w:rPr>
          <w:rFonts w:ascii="Arial" w:hAnsi="Arial" w:cs="Arial"/>
          <w:color w:val="000000" w:themeColor="text1"/>
          <w:sz w:val="22"/>
          <w:lang w:val="es-ES_tradnl"/>
        </w:rPr>
        <w:t>s</w:t>
      </w:r>
      <w:r>
        <w:rPr>
          <w:rFonts w:ascii="Arial" w:hAnsi="Arial" w:cs="Arial"/>
          <w:color w:val="000000" w:themeColor="text1"/>
          <w:sz w:val="22"/>
          <w:lang w:val="es-ES_tradnl"/>
        </w:rPr>
        <w:t xml:space="preserve"> C</w:t>
      </w:r>
      <w:r w:rsidR="00054252">
        <w:rPr>
          <w:rFonts w:ascii="Arial" w:hAnsi="Arial" w:cs="Arial"/>
          <w:color w:val="000000" w:themeColor="text1"/>
          <w:sz w:val="22"/>
          <w:lang w:val="es-ES_tradnl"/>
        </w:rPr>
        <w:t>-712</w:t>
      </w:r>
      <w:r w:rsidR="003F63EE">
        <w:rPr>
          <w:rFonts w:ascii="Arial" w:hAnsi="Arial" w:cs="Arial"/>
          <w:color w:val="000000" w:themeColor="text1"/>
          <w:sz w:val="22"/>
          <w:lang w:val="es-ES_tradnl"/>
        </w:rPr>
        <w:t xml:space="preserve"> del 28 de diciembre </w:t>
      </w:r>
      <w:r w:rsidR="00054252">
        <w:rPr>
          <w:rFonts w:ascii="Arial" w:hAnsi="Arial" w:cs="Arial"/>
          <w:color w:val="000000" w:themeColor="text1"/>
          <w:sz w:val="22"/>
          <w:lang w:val="es-ES_tradnl"/>
        </w:rPr>
        <w:t>de 2020</w:t>
      </w:r>
      <w:r w:rsidR="00A83A06">
        <w:rPr>
          <w:rFonts w:ascii="Arial" w:hAnsi="Arial" w:cs="Arial"/>
          <w:color w:val="000000" w:themeColor="text1"/>
          <w:sz w:val="22"/>
          <w:lang w:val="es-ES_tradnl"/>
        </w:rPr>
        <w:t>,</w:t>
      </w:r>
      <w:r w:rsidR="003F63EE">
        <w:rPr>
          <w:rFonts w:ascii="Arial" w:hAnsi="Arial" w:cs="Arial"/>
          <w:color w:val="000000" w:themeColor="text1"/>
          <w:sz w:val="22"/>
          <w:lang w:val="es-ES_tradnl"/>
        </w:rPr>
        <w:t xml:space="preserve"> C-088 del 17 de marzo de 2021</w:t>
      </w:r>
      <w:r w:rsidR="002B17AD">
        <w:rPr>
          <w:rFonts w:ascii="Arial" w:hAnsi="Arial" w:cs="Arial"/>
          <w:color w:val="000000" w:themeColor="text1"/>
          <w:sz w:val="22"/>
          <w:lang w:val="es-ES_tradnl"/>
        </w:rPr>
        <w:t>,</w:t>
      </w:r>
      <w:r w:rsidR="00A83A06">
        <w:rPr>
          <w:rFonts w:ascii="Arial" w:hAnsi="Arial" w:cs="Arial"/>
          <w:color w:val="000000" w:themeColor="text1"/>
          <w:sz w:val="22"/>
          <w:lang w:val="es-ES_tradnl"/>
        </w:rPr>
        <w:t xml:space="preserve"> C-110 del 29 de marzo de 2021</w:t>
      </w:r>
      <w:r w:rsidR="002B17AD">
        <w:rPr>
          <w:rFonts w:ascii="Arial" w:hAnsi="Arial" w:cs="Arial"/>
          <w:color w:val="000000" w:themeColor="text1"/>
          <w:sz w:val="22"/>
          <w:lang w:val="es-ES_tradnl"/>
        </w:rPr>
        <w:t>, C-203 del 3 de mayo de 2021</w:t>
      </w:r>
      <w:r w:rsidR="002A2225">
        <w:rPr>
          <w:rFonts w:ascii="Arial" w:hAnsi="Arial" w:cs="Arial"/>
          <w:color w:val="000000" w:themeColor="text1"/>
          <w:sz w:val="22"/>
          <w:lang w:val="es-ES_tradnl"/>
        </w:rPr>
        <w:t>,</w:t>
      </w:r>
      <w:r w:rsidR="002B17AD">
        <w:rPr>
          <w:rFonts w:ascii="Arial" w:hAnsi="Arial" w:cs="Arial"/>
          <w:color w:val="000000" w:themeColor="text1"/>
          <w:sz w:val="22"/>
          <w:lang w:val="es-ES_tradnl"/>
        </w:rPr>
        <w:t xml:space="preserve"> C-333 del 9 de julio de 2021</w:t>
      </w:r>
      <w:r w:rsidR="005930ED">
        <w:rPr>
          <w:rFonts w:ascii="Arial" w:hAnsi="Arial" w:cs="Arial"/>
          <w:color w:val="000000" w:themeColor="text1"/>
          <w:sz w:val="22"/>
          <w:lang w:val="es-ES_tradnl"/>
        </w:rPr>
        <w:t xml:space="preserve">, </w:t>
      </w:r>
      <w:r w:rsidR="002A2225">
        <w:rPr>
          <w:rFonts w:ascii="Arial" w:hAnsi="Arial" w:cs="Arial"/>
          <w:color w:val="000000" w:themeColor="text1"/>
          <w:sz w:val="22"/>
          <w:lang w:val="es-ES_tradnl"/>
        </w:rPr>
        <w:t>C-551 del 30 de septiembre de 2021</w:t>
      </w:r>
      <w:r w:rsidR="005930ED">
        <w:rPr>
          <w:rFonts w:ascii="Arial" w:hAnsi="Arial" w:cs="Arial"/>
          <w:color w:val="000000" w:themeColor="text1"/>
          <w:sz w:val="22"/>
          <w:lang w:val="es-ES_tradnl"/>
        </w:rPr>
        <w:t>,</w:t>
      </w:r>
      <w:r w:rsidR="005930ED" w:rsidRPr="005930ED">
        <w:rPr>
          <w:rFonts w:ascii="Arial" w:hAnsi="Arial" w:cs="Arial"/>
          <w:color w:val="000000" w:themeColor="text1"/>
          <w:sz w:val="22"/>
          <w:lang w:val="es-ES_tradnl"/>
        </w:rPr>
        <w:t xml:space="preserve"> </w:t>
      </w:r>
      <w:r w:rsidR="005930ED">
        <w:rPr>
          <w:rFonts w:ascii="Arial" w:hAnsi="Arial" w:cs="Arial"/>
          <w:color w:val="000000" w:themeColor="text1"/>
          <w:sz w:val="22"/>
          <w:lang w:val="es-ES_tradnl"/>
        </w:rPr>
        <w:t>C-571 del 13 de octubre de 2021, C-591 del 21 de octubre de 2021 y C-600 del 26 de octubre de 2021</w:t>
      </w:r>
      <w:r w:rsidR="002B17AD">
        <w:rPr>
          <w:rFonts w:ascii="Arial" w:hAnsi="Arial" w:cs="Arial"/>
          <w:color w:val="000000" w:themeColor="text1"/>
          <w:sz w:val="22"/>
          <w:lang w:val="es-ES_tradnl"/>
        </w:rPr>
        <w:t xml:space="preserve">. </w:t>
      </w:r>
      <w:r w:rsidR="00054252">
        <w:rPr>
          <w:rFonts w:ascii="Arial" w:eastAsiaTheme="minorHAnsi" w:hAnsi="Arial" w:cs="Arial"/>
          <w:color w:val="000000" w:themeColor="text1"/>
          <w:sz w:val="22"/>
          <w:szCs w:val="22"/>
          <w:lang w:val="es-ES_tradnl" w:eastAsia="en-US"/>
        </w:rPr>
        <w:t>La tesis expuesta</w:t>
      </w:r>
      <w:r w:rsidR="00054252" w:rsidRPr="00054252">
        <w:rPr>
          <w:rFonts w:ascii="Arial" w:eastAsiaTheme="minorHAnsi" w:hAnsi="Arial" w:cs="Arial"/>
          <w:color w:val="000000" w:themeColor="text1"/>
          <w:sz w:val="22"/>
          <w:szCs w:val="22"/>
          <w:lang w:val="es-ES_tradnl" w:eastAsia="en-US"/>
        </w:rPr>
        <w:t xml:space="preserve"> </w:t>
      </w:r>
      <w:r w:rsidR="00054252">
        <w:rPr>
          <w:rFonts w:ascii="Arial" w:eastAsiaTheme="minorHAnsi" w:hAnsi="Arial" w:cs="Arial"/>
          <w:color w:val="000000" w:themeColor="text1"/>
          <w:sz w:val="22"/>
          <w:szCs w:val="22"/>
          <w:lang w:val="es-ES_tradnl" w:eastAsia="en-US"/>
        </w:rPr>
        <w:t xml:space="preserve">se reitera </w:t>
      </w:r>
      <w:r w:rsidR="00054252" w:rsidRPr="00054252">
        <w:rPr>
          <w:rFonts w:ascii="Arial" w:eastAsiaTheme="minorHAnsi" w:hAnsi="Arial" w:cs="Arial"/>
          <w:color w:val="000000" w:themeColor="text1"/>
          <w:sz w:val="22"/>
          <w:szCs w:val="22"/>
          <w:lang w:val="es-ES_tradnl" w:eastAsia="en-US"/>
        </w:rPr>
        <w:t>a</w:t>
      </w:r>
      <w:r w:rsidR="00054252">
        <w:rPr>
          <w:rFonts w:ascii="Arial" w:eastAsiaTheme="minorHAnsi" w:hAnsi="Arial" w:cs="Arial"/>
          <w:color w:val="000000" w:themeColor="text1"/>
          <w:sz w:val="22"/>
          <w:szCs w:val="22"/>
          <w:lang w:val="es-ES_tradnl" w:eastAsia="en-US"/>
        </w:rPr>
        <w:t xml:space="preserve"> continuación y se complementa en lo pertinente</w:t>
      </w:r>
      <w:r w:rsidR="00154933">
        <w:rPr>
          <w:rFonts w:ascii="Arial" w:eastAsiaTheme="minorHAnsi" w:hAnsi="Arial" w:cs="Arial"/>
          <w:color w:val="000000" w:themeColor="text1"/>
          <w:sz w:val="22"/>
          <w:szCs w:val="22"/>
          <w:lang w:val="es-ES_tradnl" w:eastAsia="en-US"/>
        </w:rPr>
        <w:t>:</w:t>
      </w:r>
      <w:r w:rsidR="00054252">
        <w:rPr>
          <w:rFonts w:ascii="Arial" w:eastAsiaTheme="minorHAnsi" w:hAnsi="Arial" w:cs="Arial"/>
          <w:color w:val="000000" w:themeColor="text1"/>
          <w:sz w:val="22"/>
          <w:szCs w:val="22"/>
          <w:lang w:val="es-ES_tradnl" w:eastAsia="en-US"/>
        </w:rPr>
        <w:t xml:space="preserve"> </w:t>
      </w:r>
    </w:p>
    <w:p w14:paraId="2427DFC4" w14:textId="338F37A8" w:rsidR="004427AC" w:rsidRPr="00E23980" w:rsidRDefault="004427AC" w:rsidP="00510DE9">
      <w:pPr>
        <w:tabs>
          <w:tab w:val="left" w:pos="0"/>
        </w:tabs>
        <w:jc w:val="both"/>
        <w:rPr>
          <w:rFonts w:ascii="Arial" w:eastAsia="Calibri" w:hAnsi="Arial" w:cs="Arial"/>
          <w:b/>
          <w:color w:val="000000" w:themeColor="text1"/>
          <w:sz w:val="22"/>
          <w:lang w:val="es-ES_tradnl"/>
        </w:rPr>
      </w:pPr>
    </w:p>
    <w:p w14:paraId="18570445" w14:textId="3D019A03" w:rsidR="00505DCB" w:rsidRPr="00993140" w:rsidRDefault="00505DCB" w:rsidP="00510DE9">
      <w:pPr>
        <w:tabs>
          <w:tab w:val="left" w:pos="0"/>
        </w:tabs>
        <w:jc w:val="both"/>
        <w:rPr>
          <w:rFonts w:ascii="Arial" w:eastAsia="Calibri" w:hAnsi="Arial" w:cs="Arial"/>
          <w:b/>
          <w:bCs/>
          <w:color w:val="000000" w:themeColor="text1"/>
          <w:sz w:val="22"/>
          <w:lang w:val="pt-BR"/>
        </w:rPr>
      </w:pPr>
      <w:r w:rsidRPr="007A3967">
        <w:rPr>
          <w:rFonts w:ascii="Arial" w:eastAsia="Calibri" w:hAnsi="Arial" w:cs="Arial"/>
          <w:b/>
          <w:bCs/>
          <w:color w:val="000000"/>
          <w:sz w:val="22"/>
          <w:lang w:val="pt-BR" w:eastAsia="en-GB"/>
        </w:rPr>
        <w:t xml:space="preserve">2.1. Registro Nacional de Obras </w:t>
      </w:r>
      <w:proofErr w:type="spellStart"/>
      <w:r w:rsidRPr="007A3967">
        <w:rPr>
          <w:rFonts w:ascii="Arial" w:eastAsia="Calibri" w:hAnsi="Arial" w:cs="Arial"/>
          <w:b/>
          <w:bCs/>
          <w:color w:val="000000"/>
          <w:sz w:val="22"/>
          <w:lang w:val="pt-BR" w:eastAsia="en-GB"/>
        </w:rPr>
        <w:t>Civiles</w:t>
      </w:r>
      <w:proofErr w:type="spellEnd"/>
      <w:r w:rsidRPr="007A3967">
        <w:rPr>
          <w:rFonts w:ascii="Arial" w:eastAsia="Calibri" w:hAnsi="Arial" w:cs="Arial"/>
          <w:b/>
          <w:bCs/>
          <w:color w:val="000000"/>
          <w:sz w:val="22"/>
          <w:lang w:val="pt-BR" w:eastAsia="en-GB"/>
        </w:rPr>
        <w:t xml:space="preserve"> Inconclusas</w:t>
      </w:r>
    </w:p>
    <w:p w14:paraId="5716FC05" w14:textId="3B1CC33D" w:rsidR="00004556" w:rsidRPr="00993140" w:rsidRDefault="00004556" w:rsidP="00D40F8B">
      <w:pPr>
        <w:tabs>
          <w:tab w:val="left" w:pos="0"/>
        </w:tabs>
        <w:spacing w:line="276" w:lineRule="auto"/>
        <w:jc w:val="both"/>
        <w:rPr>
          <w:rFonts w:ascii="Arial" w:eastAsia="Calibri" w:hAnsi="Arial" w:cs="Arial"/>
          <w:b/>
          <w:color w:val="000000" w:themeColor="text1"/>
          <w:sz w:val="22"/>
          <w:lang w:val="pt-BR"/>
        </w:rPr>
      </w:pPr>
    </w:p>
    <w:p w14:paraId="72529C40" w14:textId="1EA4FCD1" w:rsidR="003F63EE" w:rsidRDefault="003F63EE" w:rsidP="003F63EE">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bCs/>
          <w:color w:val="000000" w:themeColor="text1"/>
          <w:sz w:val="22"/>
          <w:lang w:val="es-ES_tradnl"/>
        </w:rPr>
        <w:t xml:space="preserve">La Ley 2020 de 2020 creó el </w:t>
      </w:r>
      <w:r w:rsidRPr="00E23980">
        <w:rPr>
          <w:rFonts w:ascii="Arial" w:eastAsia="Calibri" w:hAnsi="Arial" w:cs="Arial"/>
          <w:color w:val="000000"/>
          <w:sz w:val="22"/>
          <w:lang w:val="es-ES_tradnl" w:eastAsia="en-GB"/>
        </w:rPr>
        <w:t xml:space="preserve">Registro Nacional de Obras Civiles Inconclusas. Se trata de un sistema que permite identificar el estado de ejecución o terminación de las obras </w:t>
      </w:r>
      <w:r>
        <w:rPr>
          <w:rFonts w:ascii="Arial" w:eastAsia="Calibri" w:hAnsi="Arial" w:cs="Arial"/>
          <w:color w:val="000000"/>
          <w:sz w:val="22"/>
          <w:lang w:val="es-ES_tradnl" w:eastAsia="en-GB"/>
        </w:rPr>
        <w:t xml:space="preserve">financiadas total o parcialmente con recursos públicos, para concretar su destinación definitiva. </w:t>
      </w:r>
      <w:bookmarkStart w:id="6" w:name="_Hlk71184857"/>
      <w:r>
        <w:rPr>
          <w:rFonts w:ascii="Arial" w:eastAsia="Calibri" w:hAnsi="Arial" w:cs="Arial"/>
          <w:color w:val="000000"/>
          <w:sz w:val="22"/>
          <w:lang w:val="es-ES_tradnl" w:eastAsia="en-GB"/>
        </w:rPr>
        <w:t>S</w:t>
      </w:r>
      <w:r w:rsidRPr="00E23980">
        <w:rPr>
          <w:rFonts w:ascii="Arial" w:eastAsia="Calibri" w:hAnsi="Arial" w:cs="Arial"/>
          <w:color w:val="000000"/>
          <w:sz w:val="22"/>
          <w:lang w:val="es-ES_tradnl" w:eastAsia="en-GB"/>
        </w:rPr>
        <w:t xml:space="preserve">egún el </w:t>
      </w:r>
      <w:r>
        <w:rPr>
          <w:rFonts w:ascii="Arial" w:eastAsia="Calibri" w:hAnsi="Arial" w:cs="Arial"/>
          <w:color w:val="000000"/>
          <w:sz w:val="22"/>
          <w:lang w:val="es-ES_tradnl" w:eastAsia="en-GB"/>
        </w:rPr>
        <w:t xml:space="preserve">inciso primero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2 </w:t>
      </w:r>
      <w:r w:rsidRPr="00E23980">
        <w:rPr>
          <w:rFonts w:ascii="Arial" w:eastAsia="Calibri" w:hAnsi="Arial" w:cs="Arial"/>
          <w:color w:val="000000"/>
          <w:sz w:val="22"/>
          <w:lang w:val="es-ES_tradnl" w:eastAsia="en-GB"/>
        </w:rPr>
        <w:t xml:space="preserve">de </w:t>
      </w:r>
      <w:r w:rsidR="004F4248">
        <w:rPr>
          <w:rFonts w:ascii="Arial" w:eastAsia="Calibri" w:hAnsi="Arial" w:cs="Arial"/>
          <w:color w:val="000000"/>
          <w:sz w:val="22"/>
          <w:lang w:val="es-ES_tradnl" w:eastAsia="en-GB"/>
        </w:rPr>
        <w:t>esta l</w:t>
      </w:r>
      <w:r w:rsidRPr="00E23980">
        <w:rPr>
          <w:rFonts w:ascii="Arial" w:eastAsia="Calibri" w:hAnsi="Arial" w:cs="Arial"/>
          <w:color w:val="000000"/>
          <w:sz w:val="22"/>
          <w:lang w:val="es-ES_tradnl" w:eastAsia="en-GB"/>
        </w:rPr>
        <w:t xml:space="preserve">ey, se entiende </w:t>
      </w:r>
      <w:r>
        <w:rPr>
          <w:rFonts w:ascii="Arial" w:eastAsia="Calibri" w:hAnsi="Arial" w:cs="Arial"/>
          <w:color w:val="000000"/>
          <w:sz w:val="22"/>
          <w:lang w:val="es-ES_tradnl" w:eastAsia="en-GB"/>
        </w:rPr>
        <w:t>p</w:t>
      </w:r>
      <w:r w:rsidRPr="00E23980">
        <w:rPr>
          <w:rFonts w:ascii="Arial" w:eastAsia="Calibri" w:hAnsi="Arial" w:cs="Arial"/>
          <w:color w:val="000000"/>
          <w:sz w:val="22"/>
          <w:lang w:val="es-ES_tradnl" w:eastAsia="en-GB"/>
        </w:rPr>
        <w:t xml:space="preserve">or </w:t>
      </w:r>
      <w:r w:rsidRPr="00E23980">
        <w:rPr>
          <w:rFonts w:ascii="Arial" w:eastAsia="Calibri" w:hAnsi="Arial" w:cs="Arial"/>
          <w:i/>
          <w:iCs/>
          <w:color w:val="000000"/>
          <w:sz w:val="22"/>
          <w:lang w:val="es-ES_tradnl" w:eastAsia="en-GB"/>
        </w:rPr>
        <w:t>obra</w:t>
      </w:r>
      <w:r>
        <w:rPr>
          <w:rFonts w:ascii="Arial" w:eastAsia="Calibri" w:hAnsi="Arial" w:cs="Arial"/>
          <w:i/>
          <w:iCs/>
          <w:color w:val="000000"/>
          <w:sz w:val="22"/>
          <w:lang w:val="es-ES_tradnl" w:eastAsia="en-GB"/>
        </w:rPr>
        <w:t xml:space="preserve"> civil</w:t>
      </w:r>
      <w:r w:rsidRPr="00E23980">
        <w:rPr>
          <w:rFonts w:ascii="Arial" w:eastAsia="Calibri" w:hAnsi="Arial" w:cs="Arial"/>
          <w:i/>
          <w:iCs/>
          <w:color w:val="000000"/>
          <w:sz w:val="22"/>
          <w:lang w:val="es-ES_tradnl" w:eastAsia="en-GB"/>
        </w:rPr>
        <w:t xml:space="preserve"> inconclusa</w:t>
      </w:r>
      <w:r>
        <w:rPr>
          <w:rFonts w:ascii="Arial" w:eastAsia="Calibri" w:hAnsi="Arial" w:cs="Arial"/>
          <w:color w:val="000000"/>
          <w:sz w:val="22"/>
          <w:lang w:val="es-ES_tradnl" w:eastAsia="en-GB"/>
        </w:rPr>
        <w:t xml:space="preserve"> la </w:t>
      </w:r>
      <w:r w:rsidRPr="00E23980">
        <w:rPr>
          <w:rFonts w:ascii="Arial" w:eastAsia="Calibri" w:hAnsi="Arial" w:cs="Arial"/>
          <w:color w:val="000000"/>
          <w:sz w:val="22"/>
          <w:lang w:val="es-ES_tradnl" w:eastAsia="en-GB"/>
        </w:rPr>
        <w:t>«Construcción,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r>
        <w:rPr>
          <w:rFonts w:ascii="Arial" w:eastAsia="Calibri" w:hAnsi="Arial" w:cs="Arial"/>
          <w:color w:val="000000"/>
          <w:sz w:val="22"/>
          <w:lang w:val="es-ES_tradnl" w:eastAsia="en-GB"/>
        </w:rPr>
        <w:t xml:space="preserve"> </w:t>
      </w:r>
      <w:bookmarkEnd w:id="6"/>
    </w:p>
    <w:p w14:paraId="66414AA5" w14:textId="67A1B259"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En otras palabras, el concepto de obra</w:t>
      </w:r>
      <w:r>
        <w:rPr>
          <w:rFonts w:ascii="Arial" w:eastAsia="Calibri" w:hAnsi="Arial" w:cs="Arial"/>
          <w:color w:val="000000"/>
          <w:sz w:val="22"/>
          <w:lang w:val="es-ES_tradnl" w:eastAsia="en-GB"/>
        </w:rPr>
        <w:t xml:space="preserve"> civil</w:t>
      </w:r>
      <w:r w:rsidRPr="00E23980">
        <w:rPr>
          <w:rFonts w:ascii="Arial" w:eastAsia="Calibri" w:hAnsi="Arial" w:cs="Arial"/>
          <w:color w:val="000000"/>
          <w:sz w:val="22"/>
          <w:lang w:val="es-ES_tradnl" w:eastAsia="en-GB"/>
        </w:rPr>
        <w:t xml:space="preserve"> inconclusa </w:t>
      </w:r>
      <w:r w:rsidR="00A5101D">
        <w:rPr>
          <w:rFonts w:ascii="Arial" w:eastAsia="Calibri" w:hAnsi="Arial" w:cs="Arial"/>
          <w:color w:val="000000"/>
          <w:sz w:val="22"/>
          <w:lang w:val="es-ES_tradnl" w:eastAsia="en-GB"/>
        </w:rPr>
        <w:t>es</w:t>
      </w:r>
      <w:r w:rsidR="00A5101D" w:rsidRPr="00E23980">
        <w:rPr>
          <w:rFonts w:ascii="Arial" w:eastAsia="Calibri" w:hAnsi="Arial" w:cs="Arial"/>
          <w:color w:val="000000"/>
          <w:sz w:val="22"/>
          <w:lang w:val="es-ES_tradnl" w:eastAsia="en-GB"/>
        </w:rPr>
        <w:t xml:space="preserve"> </w:t>
      </w:r>
      <w:r w:rsidR="000429AA" w:rsidRPr="00E23980">
        <w:rPr>
          <w:rFonts w:ascii="Arial" w:eastAsia="Calibri" w:hAnsi="Arial" w:cs="Arial"/>
          <w:color w:val="000000"/>
          <w:sz w:val="22"/>
          <w:lang w:val="es-ES_tradnl" w:eastAsia="en-GB"/>
        </w:rPr>
        <w:t>armón</w:t>
      </w:r>
      <w:r w:rsidR="000429AA">
        <w:rPr>
          <w:rFonts w:ascii="Arial" w:eastAsia="Calibri" w:hAnsi="Arial" w:cs="Arial"/>
          <w:color w:val="000000"/>
          <w:sz w:val="22"/>
          <w:lang w:val="es-ES_tradnl" w:eastAsia="en-GB"/>
        </w:rPr>
        <w:t>ico</w:t>
      </w:r>
      <w:r w:rsidRPr="00E23980">
        <w:rPr>
          <w:rFonts w:ascii="Arial" w:eastAsia="Calibri" w:hAnsi="Arial" w:cs="Arial"/>
          <w:color w:val="000000"/>
          <w:sz w:val="22"/>
          <w:lang w:val="es-ES_tradnl" w:eastAsia="en-GB"/>
        </w:rPr>
        <w:t xml:space="preserve"> con la definición del contrato de obra</w:t>
      </w:r>
      <w:r>
        <w:rPr>
          <w:rFonts w:ascii="Arial" w:eastAsia="Calibri" w:hAnsi="Arial" w:cs="Arial"/>
          <w:color w:val="000000"/>
          <w:sz w:val="22"/>
          <w:lang w:val="es-ES_tradnl" w:eastAsia="en-GB"/>
        </w:rPr>
        <w:t>,</w:t>
      </w:r>
      <w:r w:rsidRPr="00E23980">
        <w:rPr>
          <w:rFonts w:ascii="Arial" w:eastAsia="Calibri" w:hAnsi="Arial" w:cs="Arial"/>
          <w:color w:val="000000"/>
          <w:sz w:val="22"/>
          <w:lang w:val="es-ES_tradnl" w:eastAsia="en-GB"/>
        </w:rPr>
        <w:t xml:space="preserve"> prevista en el artículo 32</w:t>
      </w:r>
      <w:r>
        <w:rPr>
          <w:rFonts w:ascii="Arial" w:eastAsia="Calibri" w:hAnsi="Arial" w:cs="Arial"/>
          <w:color w:val="000000"/>
          <w:sz w:val="22"/>
          <w:lang w:val="es-ES_tradnl" w:eastAsia="en-GB"/>
        </w:rPr>
        <w:t xml:space="preserve"> de la Ley 80 de 1993</w:t>
      </w:r>
      <w:r w:rsidRPr="00E23980">
        <w:rPr>
          <w:rFonts w:ascii="Arial" w:eastAsia="Calibri" w:hAnsi="Arial" w:cs="Arial"/>
          <w:color w:val="000000"/>
          <w:sz w:val="22"/>
          <w:lang w:val="es-ES_tradnl" w:eastAsia="en-GB"/>
        </w:rPr>
        <w:t xml:space="preserve">, </w:t>
      </w:r>
      <w:r w:rsidR="00A5101D">
        <w:rPr>
          <w:rFonts w:ascii="Arial" w:eastAsia="Calibri" w:hAnsi="Arial" w:cs="Arial"/>
          <w:color w:val="000000"/>
          <w:sz w:val="22"/>
          <w:lang w:val="es-ES_tradnl" w:eastAsia="en-GB"/>
        </w:rPr>
        <w:t>según el cual</w:t>
      </w:r>
      <w:r>
        <w:rPr>
          <w:rFonts w:ascii="Arial" w:eastAsia="Calibri" w:hAnsi="Arial" w:cs="Arial"/>
          <w:color w:val="000000"/>
          <w:sz w:val="22"/>
          <w:lang w:val="es-ES_tradnl" w:eastAsia="en-GB"/>
        </w:rPr>
        <w:t xml:space="preserve"> «Son contratos de obra los que </w:t>
      </w:r>
      <w:r w:rsidRPr="00E23980">
        <w:rPr>
          <w:rFonts w:ascii="Arial" w:eastAsia="Calibri" w:hAnsi="Arial" w:cs="Arial"/>
          <w:color w:val="000000"/>
          <w:sz w:val="22"/>
          <w:lang w:val="es-ES_tradnl" w:eastAsia="en-GB"/>
        </w:rPr>
        <w:t>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r>
        <w:rPr>
          <w:rFonts w:ascii="Arial" w:eastAsia="Calibri" w:hAnsi="Arial" w:cs="Arial"/>
          <w:color w:val="000000"/>
          <w:sz w:val="22"/>
          <w:lang w:val="es-ES_tradnl" w:eastAsia="en-GB"/>
        </w:rPr>
        <w:t>.</w:t>
      </w:r>
    </w:p>
    <w:p w14:paraId="71D97E78"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Por su parte, el inciso segundo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w:t>
      </w:r>
      <w:r w:rsidRPr="00E23980">
        <w:rPr>
          <w:rFonts w:ascii="Arial" w:eastAsia="Calibri" w:hAnsi="Arial" w:cs="Arial"/>
          <w:color w:val="000000"/>
          <w:sz w:val="22"/>
          <w:lang w:val="es-ES_tradnl" w:eastAsia="en-GB"/>
        </w:rPr>
        <w:t xml:space="preserve"> art</w:t>
      </w:r>
      <w:r>
        <w:rPr>
          <w:rFonts w:ascii="Arial" w:eastAsia="Calibri" w:hAnsi="Arial" w:cs="Arial"/>
          <w:color w:val="000000"/>
          <w:sz w:val="22"/>
          <w:lang w:val="es-ES_tradnl" w:eastAsia="en-GB"/>
        </w:rPr>
        <w:t xml:space="preserve">ículo 2 </w:t>
      </w:r>
      <w:r w:rsidRPr="00E23980">
        <w:rPr>
          <w:rFonts w:ascii="Arial" w:eastAsia="Calibri" w:hAnsi="Arial" w:cs="Arial"/>
          <w:color w:val="000000"/>
          <w:sz w:val="22"/>
          <w:lang w:val="es-ES_tradnl" w:eastAsia="en-GB"/>
        </w:rPr>
        <w:t>de dicha Ley,</w:t>
      </w:r>
      <w:r>
        <w:rPr>
          <w:rFonts w:ascii="Arial" w:eastAsia="Calibri" w:hAnsi="Arial" w:cs="Arial"/>
          <w:color w:val="000000"/>
          <w:sz w:val="22"/>
          <w:lang w:val="es-ES_tradnl" w:eastAsia="en-GB"/>
        </w:rPr>
        <w:t xml:space="preserve"> establece la hipótesis en la que no se haya concluido satisfactoriamente la obra civil por causas no imputables al contratista. A este respecto, señala que «Cuando</w:t>
      </w:r>
      <w:r w:rsidRPr="00A12384">
        <w:rPr>
          <w:rFonts w:ascii="Arial" w:eastAsia="Calibri" w:hAnsi="Arial" w:cs="Arial"/>
          <w:color w:val="000000"/>
          <w:sz w:val="22"/>
          <w:lang w:val="es-ES_tradnl" w:eastAsia="en-GB"/>
        </w:rPr>
        <w:t xml:space="preserve"> la obra civil no haya </w:t>
      </w:r>
      <w:r w:rsidRPr="00A12384">
        <w:rPr>
          <w:rFonts w:ascii="Arial" w:eastAsia="Calibri" w:hAnsi="Arial" w:cs="Arial"/>
          <w:color w:val="000000"/>
          <w:sz w:val="22"/>
          <w:lang w:val="es-ES_tradnl" w:eastAsia="en-GB"/>
        </w:rPr>
        <w:lastRenderedPageBreak/>
        <w:t>concluido de manera satisfactoria por causas que no sean imputables al contratista, un comité técnico, designado por el representante legal de la entidad contratante, definirá si efectivamente corresponde a una obra civil inconclusa</w:t>
      </w:r>
      <w:r>
        <w:rPr>
          <w:rFonts w:ascii="Arial" w:eastAsia="Calibri" w:hAnsi="Arial" w:cs="Arial"/>
          <w:color w:val="000000"/>
          <w:sz w:val="22"/>
          <w:lang w:val="es-ES_tradnl" w:eastAsia="en-GB"/>
        </w:rPr>
        <w:t>»</w:t>
      </w:r>
      <w:r w:rsidRPr="00A12384">
        <w:rPr>
          <w:rFonts w:ascii="Arial" w:eastAsia="Calibri" w:hAnsi="Arial" w:cs="Arial"/>
          <w:color w:val="000000"/>
          <w:sz w:val="22"/>
          <w:lang w:val="es-ES_tradnl" w:eastAsia="en-GB"/>
        </w:rPr>
        <w:t>.</w:t>
      </w:r>
    </w:p>
    <w:p w14:paraId="3FD5BC54" w14:textId="67FAE345"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EA2726">
        <w:rPr>
          <w:rFonts w:ascii="Arial" w:eastAsia="Calibri" w:hAnsi="Arial" w:cs="Arial"/>
          <w:color w:val="000000"/>
          <w:sz w:val="22"/>
          <w:lang w:val="es-ES_tradnl" w:eastAsia="en-GB"/>
        </w:rPr>
        <w:t>De</w:t>
      </w:r>
      <w:r>
        <w:rPr>
          <w:rFonts w:ascii="Arial" w:eastAsia="Calibri" w:hAnsi="Arial" w:cs="Arial"/>
          <w:color w:val="000000"/>
          <w:sz w:val="22"/>
          <w:lang w:val="es-ES_tradnl" w:eastAsia="en-GB"/>
        </w:rPr>
        <w:t xml:space="preserve"> la definición del artículo 2 de la Ley 2020 de 2020 </w:t>
      </w:r>
      <w:r w:rsidRPr="00EA2726">
        <w:rPr>
          <w:rFonts w:ascii="Arial" w:eastAsia="Calibri" w:hAnsi="Arial" w:cs="Arial"/>
          <w:color w:val="000000"/>
          <w:sz w:val="22"/>
          <w:lang w:val="es-ES_tradnl" w:eastAsia="en-GB"/>
        </w:rPr>
        <w:t xml:space="preserve">se </w:t>
      </w:r>
      <w:r>
        <w:rPr>
          <w:rFonts w:ascii="Arial" w:eastAsia="Calibri" w:hAnsi="Arial" w:cs="Arial"/>
          <w:color w:val="000000"/>
          <w:sz w:val="22"/>
          <w:lang w:val="es-ES_tradnl" w:eastAsia="en-GB"/>
        </w:rPr>
        <w:t xml:space="preserve">resalta </w:t>
      </w:r>
      <w:r w:rsidRPr="00EA2726">
        <w:rPr>
          <w:rFonts w:ascii="Arial" w:eastAsia="Calibri" w:hAnsi="Arial" w:cs="Arial"/>
          <w:color w:val="000000"/>
          <w:sz w:val="22"/>
          <w:lang w:val="es-ES_tradnl" w:eastAsia="en-GB"/>
        </w:rPr>
        <w:t>lo siguiente</w:t>
      </w:r>
      <w:r>
        <w:rPr>
          <w:rFonts w:ascii="Arial" w:eastAsia="Calibri" w:hAnsi="Arial" w:cs="Arial"/>
          <w:color w:val="000000"/>
          <w:sz w:val="22"/>
          <w:lang w:val="es-ES_tradnl" w:eastAsia="en-GB"/>
        </w:rPr>
        <w:t>. Por un lado,</w:t>
      </w:r>
      <w:r w:rsidRPr="00EA2726">
        <w:rPr>
          <w:rFonts w:ascii="Arial" w:eastAsia="Calibri" w:hAnsi="Arial" w:cs="Arial"/>
          <w:color w:val="000000"/>
          <w:sz w:val="22"/>
          <w:lang w:val="es-ES_tradnl" w:eastAsia="en-GB"/>
        </w:rPr>
        <w:t xml:space="preserve"> cuando la obra civil cumpla con lo</w:t>
      </w:r>
      <w:r>
        <w:rPr>
          <w:rFonts w:ascii="Arial" w:eastAsia="Calibri" w:hAnsi="Arial" w:cs="Arial"/>
          <w:color w:val="000000"/>
          <w:sz w:val="22"/>
          <w:lang w:val="es-ES_tradnl" w:eastAsia="en-GB"/>
        </w:rPr>
        <w:t xml:space="preserve">s elementos establecidos </w:t>
      </w:r>
      <w:r w:rsidRPr="00EA2726">
        <w:rPr>
          <w:rFonts w:ascii="Arial" w:eastAsia="Calibri" w:hAnsi="Arial" w:cs="Arial"/>
          <w:color w:val="000000"/>
          <w:sz w:val="22"/>
          <w:lang w:val="es-ES_tradnl" w:eastAsia="en-GB"/>
        </w:rPr>
        <w:t>en el inciso primero literal a</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del artículo 2, deberá cataloga</w:t>
      </w:r>
      <w:r w:rsidR="0004080C">
        <w:rPr>
          <w:rFonts w:ascii="Arial" w:eastAsia="Calibri" w:hAnsi="Arial" w:cs="Arial"/>
          <w:color w:val="000000"/>
          <w:sz w:val="22"/>
          <w:lang w:val="es-ES_tradnl" w:eastAsia="en-GB"/>
        </w:rPr>
        <w:t>rse</w:t>
      </w:r>
      <w:r w:rsidRPr="00EA2726">
        <w:rPr>
          <w:rFonts w:ascii="Arial" w:eastAsia="Calibri" w:hAnsi="Arial" w:cs="Arial"/>
          <w:color w:val="000000"/>
          <w:sz w:val="22"/>
          <w:lang w:val="es-ES_tradnl" w:eastAsia="en-GB"/>
        </w:rPr>
        <w:t xml:space="preserve"> como obra</w:t>
      </w:r>
      <w:r>
        <w:rPr>
          <w:rFonts w:ascii="Arial" w:eastAsia="Calibri" w:hAnsi="Arial" w:cs="Arial"/>
          <w:color w:val="000000"/>
          <w:sz w:val="22"/>
          <w:lang w:val="es-ES_tradnl" w:eastAsia="en-GB"/>
        </w:rPr>
        <w:t xml:space="preserve"> civil</w:t>
      </w:r>
      <w:r w:rsidRPr="00EA2726">
        <w:rPr>
          <w:rFonts w:ascii="Arial" w:eastAsia="Calibri" w:hAnsi="Arial" w:cs="Arial"/>
          <w:color w:val="000000"/>
          <w:sz w:val="22"/>
          <w:lang w:val="es-ES_tradnl" w:eastAsia="en-GB"/>
        </w:rPr>
        <w:t xml:space="preserve"> inconclusa</w:t>
      </w:r>
      <w:r>
        <w:rPr>
          <w:rFonts w:ascii="Arial" w:eastAsia="Calibri" w:hAnsi="Arial" w:cs="Arial"/>
          <w:color w:val="000000"/>
          <w:sz w:val="22"/>
          <w:lang w:val="es-ES_tradnl" w:eastAsia="en-GB"/>
        </w:rPr>
        <w:t>. Es decir, si el trabajo material sobre el bien inmueble no ha concluido o no está prestando el servicio para el que se contrató y ha transcurrido un año o más desde que se venció el término de liquidación contractual, se considera obra civil inconclusa. Por otra parte,</w:t>
      </w:r>
      <w:r w:rsidRPr="00EA2726">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c</w:t>
      </w:r>
      <w:r w:rsidRPr="00EA2726">
        <w:rPr>
          <w:rFonts w:ascii="Arial" w:eastAsia="Calibri" w:hAnsi="Arial" w:cs="Arial"/>
          <w:color w:val="000000"/>
          <w:sz w:val="22"/>
          <w:lang w:val="es-ES_tradnl" w:eastAsia="en-GB"/>
        </w:rPr>
        <w:t>uando la obra civil cumple los presupuestos anteriores</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pero no</w:t>
      </w:r>
      <w:r>
        <w:rPr>
          <w:rFonts w:ascii="Arial" w:eastAsia="Calibri" w:hAnsi="Arial" w:cs="Arial"/>
          <w:color w:val="000000"/>
          <w:sz w:val="22"/>
          <w:lang w:val="es-ES_tradnl" w:eastAsia="en-GB"/>
        </w:rPr>
        <w:t xml:space="preserve"> concluyó</w:t>
      </w:r>
      <w:r w:rsidRPr="00EA2726">
        <w:rPr>
          <w:rFonts w:ascii="Arial" w:eastAsia="Calibri" w:hAnsi="Arial" w:cs="Arial"/>
          <w:color w:val="000000"/>
          <w:sz w:val="22"/>
          <w:lang w:val="es-ES_tradnl" w:eastAsia="en-GB"/>
        </w:rPr>
        <w:t xml:space="preserve"> por causas no</w:t>
      </w:r>
      <w:r>
        <w:rPr>
          <w:rFonts w:ascii="Arial" w:eastAsia="Calibri" w:hAnsi="Arial" w:cs="Arial"/>
          <w:color w:val="000000"/>
          <w:sz w:val="22"/>
          <w:lang w:val="es-ES_tradnl" w:eastAsia="en-GB"/>
        </w:rPr>
        <w:t xml:space="preserve"> imputables al contratista, </w:t>
      </w:r>
      <w:r w:rsidRPr="00EA2726">
        <w:rPr>
          <w:rFonts w:ascii="Arial" w:eastAsia="Calibri" w:hAnsi="Arial" w:cs="Arial"/>
          <w:color w:val="000000"/>
          <w:sz w:val="22"/>
          <w:lang w:val="es-ES_tradnl" w:eastAsia="en-GB"/>
        </w:rPr>
        <w:t>la entidad contratante</w:t>
      </w:r>
      <w:r>
        <w:rPr>
          <w:rFonts w:ascii="Arial" w:eastAsia="Calibri" w:hAnsi="Arial" w:cs="Arial"/>
          <w:color w:val="000000"/>
          <w:sz w:val="22"/>
          <w:lang w:val="es-ES_tradnl" w:eastAsia="en-GB"/>
        </w:rPr>
        <w:t xml:space="preserve"> será</w:t>
      </w:r>
      <w:r w:rsidRPr="00EA2726">
        <w:rPr>
          <w:rFonts w:ascii="Arial" w:eastAsia="Calibri" w:hAnsi="Arial" w:cs="Arial"/>
          <w:color w:val="000000"/>
          <w:sz w:val="22"/>
          <w:lang w:val="es-ES_tradnl" w:eastAsia="en-GB"/>
        </w:rPr>
        <w:t xml:space="preserve"> la encargada de determinar si la misma se define como obra </w:t>
      </w:r>
      <w:r>
        <w:rPr>
          <w:rFonts w:ascii="Arial" w:eastAsia="Calibri" w:hAnsi="Arial" w:cs="Arial"/>
          <w:color w:val="000000"/>
          <w:sz w:val="22"/>
          <w:lang w:val="es-ES_tradnl" w:eastAsia="en-GB"/>
        </w:rPr>
        <w:t xml:space="preserve">civil </w:t>
      </w:r>
      <w:r w:rsidRPr="00EA2726">
        <w:rPr>
          <w:rFonts w:ascii="Arial" w:eastAsia="Calibri" w:hAnsi="Arial" w:cs="Arial"/>
          <w:color w:val="000000"/>
          <w:sz w:val="22"/>
          <w:lang w:val="es-ES_tradnl" w:eastAsia="en-GB"/>
        </w:rPr>
        <w:t xml:space="preserve">inconclusa, </w:t>
      </w:r>
      <w:r>
        <w:rPr>
          <w:rFonts w:ascii="Arial" w:eastAsia="Calibri" w:hAnsi="Arial" w:cs="Arial"/>
          <w:color w:val="000000"/>
          <w:sz w:val="22"/>
          <w:lang w:val="es-ES_tradnl" w:eastAsia="en-GB"/>
        </w:rPr>
        <w:t>previa valoración</w:t>
      </w:r>
      <w:r w:rsidRPr="00EA2726">
        <w:rPr>
          <w:rFonts w:ascii="Arial" w:eastAsia="Calibri" w:hAnsi="Arial" w:cs="Arial"/>
          <w:color w:val="000000"/>
          <w:sz w:val="22"/>
          <w:lang w:val="es-ES_tradnl" w:eastAsia="en-GB"/>
        </w:rPr>
        <w:t xml:space="preserve"> de un comité técnico</w:t>
      </w:r>
      <w:r>
        <w:rPr>
          <w:rFonts w:ascii="Arial" w:eastAsia="Calibri" w:hAnsi="Arial" w:cs="Arial"/>
          <w:color w:val="000000"/>
          <w:sz w:val="22"/>
          <w:lang w:val="es-ES_tradnl" w:eastAsia="en-GB"/>
        </w:rPr>
        <w:t xml:space="preserve"> designado por el representante legal de la entidad contratante. </w:t>
      </w:r>
    </w:p>
    <w:p w14:paraId="05A6AA60" w14:textId="52F40AEF"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Esta última precisión es importante, debido a que el propósito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w:t>
      </w:r>
      <w:r w:rsidR="009C6460">
        <w:rPr>
          <w:rFonts w:ascii="Arial" w:eastAsia="Calibri" w:hAnsi="Arial" w:cs="Arial"/>
          <w:color w:val="000000"/>
          <w:sz w:val="22"/>
          <w:lang w:val="es-ES_tradnl" w:eastAsia="en-GB"/>
        </w:rPr>
        <w:t xml:space="preserve">2 </w:t>
      </w:r>
      <w:r>
        <w:rPr>
          <w:rFonts w:ascii="Arial" w:eastAsia="Calibri" w:hAnsi="Arial" w:cs="Arial"/>
          <w:color w:val="000000"/>
          <w:sz w:val="22"/>
          <w:lang w:val="es-ES_tradnl" w:eastAsia="en-GB"/>
        </w:rPr>
        <w:t>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Pr>
          <w:rStyle w:val="Refdenotaalpie"/>
          <w:rFonts w:ascii="Arial" w:eastAsia="Calibri" w:hAnsi="Arial" w:cs="Arial"/>
          <w:color w:val="000000"/>
          <w:sz w:val="22"/>
          <w:lang w:val="es-ES_tradnl" w:eastAsia="en-GB"/>
        </w:rPr>
        <w:footnoteReference w:id="2"/>
      </w:r>
      <w:r>
        <w:rPr>
          <w:rFonts w:ascii="Arial" w:eastAsia="Calibri" w:hAnsi="Arial" w:cs="Arial"/>
          <w:color w:val="000000"/>
          <w:sz w:val="22"/>
          <w:lang w:val="es-ES_tradnl" w:eastAsia="en-GB"/>
        </w:rPr>
        <w:t xml:space="preserve">. De esta manera, en el evento en que se defina por parte de este comité técnico que la obra civil es catalogada como inconclusa, pero por causas no imputables al contratista, deberá incluir en el Registro Nacional de Obras Civiles Inconclusas los datos correspondientes que den cuenta de esta situación.  </w:t>
      </w:r>
    </w:p>
    <w:p w14:paraId="4BAF5990" w14:textId="3F686F63" w:rsidR="003F63EE" w:rsidRDefault="003F63EE" w:rsidP="00271098">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Sobre el espíritu de la </w:t>
      </w:r>
      <w:r w:rsidR="00653F57">
        <w:rPr>
          <w:rFonts w:ascii="Arial" w:eastAsia="Calibri" w:hAnsi="Arial" w:cs="Arial"/>
          <w:color w:val="000000"/>
          <w:sz w:val="22"/>
          <w:lang w:val="es-ES_tradnl" w:eastAsia="en-GB"/>
        </w:rPr>
        <w:t>l</w:t>
      </w:r>
      <w:r>
        <w:rPr>
          <w:rFonts w:ascii="Arial" w:eastAsia="Calibri" w:hAnsi="Arial" w:cs="Arial"/>
          <w:color w:val="000000"/>
          <w:sz w:val="22"/>
          <w:lang w:val="es-ES_tradnl" w:eastAsia="en-GB"/>
        </w:rPr>
        <w:t>ey, la exposición de motivos explica que el proyecto «[…]</w:t>
      </w:r>
      <w:r w:rsidRPr="00651B9C">
        <w:rPr>
          <w:rFonts w:ascii="Arial" w:eastAsia="Calibri" w:hAnsi="Arial" w:cs="Arial"/>
          <w:color w:val="000000"/>
          <w:sz w:val="22"/>
          <w:lang w:val="es-ES_tradnl" w:eastAsia="en-GB"/>
        </w:rPr>
        <w:t xml:space="preserve"> pretende establecer medidas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la detección y valoración de las obras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públicas que no se hayan concluido de acuerdo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con lo planeado por la entidad estatal a su cargo,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someterlas a evaluación técnica y financiera,</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dirigida a establecer si se concluyen o se procede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a su demolición. Como fin esencial del proyecto se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señala el de “salvaguardar las vidas como derecho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fundamental”, que se entienden amenazadas por los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efectos desfavorables de las obras inconclusas</w:t>
      </w:r>
      <w:r>
        <w:rPr>
          <w:rFonts w:ascii="Arial" w:eastAsia="Calibri" w:hAnsi="Arial" w:cs="Arial"/>
          <w:color w:val="000000"/>
          <w:sz w:val="22"/>
          <w:lang w:val="es-ES_tradnl" w:eastAsia="en-GB"/>
        </w:rPr>
        <w:t>»</w:t>
      </w:r>
      <w:r>
        <w:rPr>
          <w:rStyle w:val="Refdenotaalpie"/>
          <w:rFonts w:ascii="Arial" w:eastAsia="Calibri" w:hAnsi="Arial" w:cs="Arial"/>
          <w:color w:val="000000"/>
          <w:sz w:val="22"/>
          <w:lang w:val="es-ES_tradnl" w:eastAsia="en-GB"/>
        </w:rPr>
        <w:footnoteReference w:id="3"/>
      </w:r>
      <w:r w:rsidRPr="00651B9C">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En esta medida, el propósito de la norma subyace no solo en </w:t>
      </w:r>
      <w:bookmarkStart w:id="7" w:name="_Hlk84667055"/>
      <w:r>
        <w:rPr>
          <w:rFonts w:ascii="Arial" w:eastAsia="Calibri" w:hAnsi="Arial" w:cs="Arial"/>
          <w:color w:val="000000"/>
          <w:sz w:val="22"/>
          <w:lang w:val="es-ES_tradnl" w:eastAsia="en-GB"/>
        </w:rPr>
        <w:t xml:space="preserve">estructurar un sistema de registro, sino también en identificar el estado real de la infraestructura de obra en cada institución pública, con miras a elaborar un diagnóstico sobre la viabilidad técnica, financiera y jurídica de </w:t>
      </w:r>
      <w:r w:rsidRPr="004F091D">
        <w:rPr>
          <w:rFonts w:ascii="Arial" w:eastAsia="Calibri" w:hAnsi="Arial" w:cs="Arial"/>
          <w:color w:val="000000"/>
          <w:sz w:val="22"/>
          <w:lang w:val="es-ES_tradnl" w:eastAsia="en-GB"/>
        </w:rPr>
        <w:t>terminar o demoler la obra</w:t>
      </w:r>
      <w:r>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lastRenderedPageBreak/>
        <w:t xml:space="preserve">asegurando que pueda realizar una inversión de sus recursos para la intervención de </w:t>
      </w:r>
      <w:proofErr w:type="gramStart"/>
      <w:r>
        <w:rPr>
          <w:rFonts w:ascii="Arial" w:eastAsia="Calibri" w:hAnsi="Arial" w:cs="Arial"/>
          <w:color w:val="000000"/>
          <w:sz w:val="22"/>
          <w:lang w:val="es-ES_tradnl" w:eastAsia="en-GB"/>
        </w:rPr>
        <w:t>la misma</w:t>
      </w:r>
      <w:proofErr w:type="gramEnd"/>
      <w:r>
        <w:rPr>
          <w:rFonts w:ascii="Arial" w:eastAsia="Calibri" w:hAnsi="Arial" w:cs="Arial"/>
          <w:color w:val="000000"/>
          <w:sz w:val="22"/>
          <w:lang w:val="es-ES_tradnl" w:eastAsia="en-GB"/>
        </w:rPr>
        <w:t>.</w:t>
      </w:r>
    </w:p>
    <w:bookmarkEnd w:id="7"/>
    <w:p w14:paraId="210BD0B7" w14:textId="093A0EB2"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 </w:t>
      </w:r>
      <w:r w:rsidR="00653F57">
        <w:rPr>
          <w:rFonts w:ascii="Arial" w:eastAsia="Calibri" w:hAnsi="Arial" w:cs="Arial"/>
          <w:color w:val="000000"/>
          <w:sz w:val="22"/>
          <w:lang w:val="es-ES_tradnl" w:eastAsia="en-GB"/>
        </w:rPr>
        <w:t>P</w:t>
      </w:r>
      <w:r>
        <w:rPr>
          <w:rFonts w:ascii="Arial" w:eastAsia="Calibri" w:hAnsi="Arial" w:cs="Arial"/>
          <w:color w:val="000000"/>
          <w:sz w:val="22"/>
          <w:lang w:val="es-ES_tradnl" w:eastAsia="en-GB"/>
        </w:rPr>
        <w:t xml:space="preserve">or ello los artículos 5 y 13 </w:t>
      </w:r>
      <w:proofErr w:type="spellStart"/>
      <w:r w:rsidRPr="000060D0">
        <w:rPr>
          <w:rFonts w:ascii="Arial" w:eastAsia="Calibri" w:hAnsi="Arial" w:cs="Arial"/>
          <w:i/>
          <w:color w:val="000000"/>
          <w:sz w:val="22"/>
          <w:lang w:val="es-ES_tradnl" w:eastAsia="en-GB"/>
        </w:rPr>
        <w:t>ibídem</w:t>
      </w:r>
      <w:proofErr w:type="spellEnd"/>
      <w:r>
        <w:rPr>
          <w:rFonts w:ascii="Arial" w:eastAsia="Calibri" w:hAnsi="Arial" w:cs="Arial"/>
          <w:color w:val="000000"/>
          <w:sz w:val="22"/>
          <w:lang w:val="es-ES_tradnl" w:eastAsia="en-GB"/>
        </w:rPr>
        <w:t xml:space="preserve"> </w:t>
      </w:r>
      <w:r w:rsidR="007C5A9F">
        <w:rPr>
          <w:rFonts w:ascii="Arial" w:eastAsia="Calibri" w:hAnsi="Arial" w:cs="Arial"/>
          <w:color w:val="000000"/>
          <w:sz w:val="22"/>
          <w:lang w:val="es-ES_tradnl" w:eastAsia="en-GB"/>
        </w:rPr>
        <w:t>disponen</w:t>
      </w:r>
      <w:r>
        <w:rPr>
          <w:rFonts w:ascii="Arial" w:eastAsia="Calibri" w:hAnsi="Arial" w:cs="Arial"/>
          <w:color w:val="000000"/>
          <w:sz w:val="22"/>
          <w:lang w:val="es-ES_tradnl" w:eastAsia="en-GB"/>
        </w:rPr>
        <w:t xml:space="preserve"> que l</w:t>
      </w:r>
      <w:r w:rsidRPr="007B57A5">
        <w:rPr>
          <w:rFonts w:ascii="Arial" w:eastAsia="Calibri" w:hAnsi="Arial" w:cs="Arial"/>
          <w:color w:val="000000"/>
          <w:sz w:val="22"/>
          <w:lang w:val="es-ES_tradnl" w:eastAsia="en-GB"/>
        </w:rPr>
        <w:t>a enti</w:t>
      </w:r>
      <w:r>
        <w:rPr>
          <w:rFonts w:ascii="Arial" w:eastAsia="Calibri" w:hAnsi="Arial" w:cs="Arial"/>
          <w:color w:val="000000"/>
          <w:sz w:val="22"/>
          <w:lang w:val="es-ES_tradnl" w:eastAsia="en-GB"/>
        </w:rPr>
        <w:t>dad estatal contratante</w:t>
      </w:r>
      <w:r w:rsidRPr="001E56FF">
        <w:rPr>
          <w:rFonts w:ascii="Arial" w:eastAsia="Calibri" w:hAnsi="Arial" w:cs="Arial"/>
          <w:color w:val="000000"/>
          <w:sz w:val="22"/>
          <w:lang w:val="es-ES_tradnl" w:eastAsia="en-GB"/>
        </w:rPr>
        <w:t xml:space="preserve"> </w:t>
      </w:r>
      <w:r w:rsidRPr="007B57A5">
        <w:rPr>
          <w:rFonts w:ascii="Arial" w:eastAsia="Calibri" w:hAnsi="Arial" w:cs="Arial"/>
          <w:color w:val="000000"/>
          <w:sz w:val="22"/>
          <w:lang w:val="es-ES_tradnl" w:eastAsia="en-GB"/>
        </w:rPr>
        <w:t>decidirá sobre la intervención física de terminación o demolición de la obra civil inconclusa</w:t>
      </w:r>
      <w:r>
        <w:rPr>
          <w:rFonts w:ascii="Arial" w:eastAsia="Calibri" w:hAnsi="Arial" w:cs="Arial"/>
          <w:color w:val="000000"/>
          <w:sz w:val="22"/>
          <w:lang w:val="es-ES_tradnl" w:eastAsia="en-GB"/>
        </w:rPr>
        <w:t>,</w:t>
      </w:r>
      <w:r w:rsidRPr="001E56FF">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para lo cual podrá disponer de las partidas necesarias, según </w:t>
      </w:r>
      <w:r w:rsidRPr="007B57A5">
        <w:rPr>
          <w:rFonts w:ascii="Arial" w:eastAsia="Calibri" w:hAnsi="Arial" w:cs="Arial"/>
          <w:color w:val="000000"/>
          <w:sz w:val="22"/>
          <w:lang w:val="es-ES_tradnl" w:eastAsia="en-GB"/>
        </w:rPr>
        <w:t>la disponibilidad de recursos compatibles con el marco fiscal de mediano plazo y l</w:t>
      </w:r>
      <w:r>
        <w:rPr>
          <w:rFonts w:ascii="Arial" w:eastAsia="Calibri" w:hAnsi="Arial" w:cs="Arial"/>
          <w:color w:val="000000"/>
          <w:sz w:val="22"/>
          <w:lang w:val="es-ES_tradnl" w:eastAsia="en-GB"/>
        </w:rPr>
        <w:t>a regla fiscal de cada entidad. Además, se podrá presentar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r>
        <w:rPr>
          <w:rStyle w:val="Refdenotaalpie"/>
          <w:rFonts w:ascii="Arial" w:eastAsia="Calibri" w:hAnsi="Arial" w:cs="Arial"/>
          <w:color w:val="000000"/>
          <w:sz w:val="22"/>
          <w:lang w:val="es-ES_tradnl" w:eastAsia="en-GB"/>
        </w:rPr>
        <w:footnoteReference w:id="4"/>
      </w:r>
      <w:r>
        <w:rPr>
          <w:rFonts w:ascii="Arial" w:eastAsia="Calibri" w:hAnsi="Arial" w:cs="Arial"/>
          <w:color w:val="000000"/>
          <w:sz w:val="22"/>
          <w:lang w:val="es-ES_tradnl" w:eastAsia="en-GB"/>
        </w:rPr>
        <w:t xml:space="preserve">. </w:t>
      </w:r>
    </w:p>
    <w:p w14:paraId="10F12519" w14:textId="7896405D" w:rsidR="00EE46A2" w:rsidRDefault="003F63EE" w:rsidP="00271098">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En tal sentido, esta l</w:t>
      </w:r>
      <w:r w:rsidRPr="003B4B1C">
        <w:rPr>
          <w:rFonts w:ascii="Arial" w:eastAsia="Calibri" w:hAnsi="Arial" w:cs="Arial"/>
          <w:color w:val="000000"/>
          <w:sz w:val="22"/>
          <w:lang w:val="es-ES_tradnl" w:eastAsia="en-GB"/>
        </w:rPr>
        <w:t>ey busca que</w:t>
      </w:r>
      <w:r>
        <w:rPr>
          <w:rFonts w:ascii="Arial" w:eastAsia="Calibri" w:hAnsi="Arial" w:cs="Arial"/>
          <w:color w:val="000000"/>
          <w:sz w:val="22"/>
          <w:lang w:val="es-ES_tradnl" w:eastAsia="en-GB"/>
        </w:rPr>
        <w:t xml:space="preserve"> la entidad estatal determine el destino definitivo la 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 se opta por la demolición, esta deberá ser adoptada por acto administrativo </w:t>
      </w:r>
      <w:r w:rsidRPr="00EC5ACE">
        <w:rPr>
          <w:rFonts w:ascii="Arial" w:eastAsia="Calibri" w:hAnsi="Arial" w:cs="Arial"/>
          <w:color w:val="000000"/>
          <w:sz w:val="22"/>
          <w:lang w:val="es-ES_tradnl" w:eastAsia="en-GB"/>
        </w:rPr>
        <w:t>por el representante legal de la entidad a cargo de la obra</w:t>
      </w:r>
      <w:r>
        <w:rPr>
          <w:rFonts w:ascii="Arial" w:eastAsia="Calibri" w:hAnsi="Arial" w:cs="Arial"/>
          <w:color w:val="000000"/>
          <w:sz w:val="22"/>
          <w:lang w:val="es-ES_tradnl" w:eastAsia="en-GB"/>
        </w:rPr>
        <w:t xml:space="preserve"> y </w:t>
      </w:r>
      <w:r w:rsidR="009C37EA">
        <w:rPr>
          <w:rFonts w:ascii="Arial" w:eastAsia="Calibri" w:hAnsi="Arial" w:cs="Arial"/>
          <w:color w:val="000000"/>
          <w:sz w:val="22"/>
          <w:lang w:val="es-ES_tradnl" w:eastAsia="en-GB"/>
        </w:rPr>
        <w:t xml:space="preserve">solo </w:t>
      </w:r>
      <w:r w:rsidR="009C37EA" w:rsidRPr="00EC5ACE">
        <w:rPr>
          <w:rFonts w:ascii="Arial" w:eastAsia="Calibri" w:hAnsi="Arial" w:cs="Arial"/>
          <w:color w:val="000000"/>
          <w:sz w:val="22"/>
          <w:lang w:val="es-ES_tradnl" w:eastAsia="en-GB"/>
        </w:rPr>
        <w:t>podrá</w:t>
      </w:r>
      <w:r w:rsidRPr="00EC5ACE">
        <w:rPr>
          <w:rFonts w:ascii="Arial" w:eastAsia="Calibri" w:hAnsi="Arial" w:cs="Arial"/>
          <w:color w:val="000000"/>
          <w:sz w:val="22"/>
          <w:lang w:val="es-ES_tradnl" w:eastAsia="en-GB"/>
        </w:rPr>
        <w:t xml:space="preserve"> ser ordenada en casos de ruina o grave amenaza a los derechos fundamentales o colectivos, debidamente evaluada. </w:t>
      </w:r>
    </w:p>
    <w:p w14:paraId="4B41162D" w14:textId="77777777" w:rsidR="005E1927" w:rsidRDefault="005E1927" w:rsidP="005E1927">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De conformidad con el artículo 3 de la Ley 2020 de 2020</w:t>
      </w:r>
      <w:r>
        <w:rPr>
          <w:rStyle w:val="Refdenotaalpie"/>
          <w:rFonts w:ascii="Arial" w:eastAsia="Calibri" w:hAnsi="Arial" w:cs="Arial"/>
          <w:color w:val="000000"/>
          <w:sz w:val="22"/>
          <w:lang w:val="es-ES_tradnl" w:eastAsia="en-GB"/>
        </w:rPr>
        <w:footnoteReference w:id="5"/>
      </w:r>
      <w:r w:rsidRPr="00E23980">
        <w:rPr>
          <w:rFonts w:ascii="Arial" w:eastAsia="Calibri" w:hAnsi="Arial" w:cs="Arial"/>
          <w:color w:val="000000"/>
          <w:sz w:val="22"/>
          <w:lang w:val="es-ES_tradnl" w:eastAsia="en-GB"/>
        </w:rPr>
        <w:t xml:space="preserve">, el Registro Nacional de Obras Civiles Inconclusas es un </w:t>
      </w:r>
      <w:r>
        <w:rPr>
          <w:rFonts w:ascii="Arial" w:eastAsia="Calibri" w:hAnsi="Arial" w:cs="Arial"/>
          <w:color w:val="000000"/>
          <w:sz w:val="22"/>
          <w:lang w:val="es-ES_tradnl" w:eastAsia="en-GB"/>
        </w:rPr>
        <w:t>sistema</w:t>
      </w:r>
      <w:r w:rsidRPr="00E23980">
        <w:rPr>
          <w:rFonts w:ascii="Arial" w:eastAsia="Calibri" w:hAnsi="Arial" w:cs="Arial"/>
          <w:color w:val="000000"/>
          <w:sz w:val="22"/>
          <w:lang w:val="es-ES_tradnl" w:eastAsia="en-GB"/>
        </w:rPr>
        <w:t xml:space="preserve"> administrado por la Contraloría General de la República</w:t>
      </w:r>
      <w:r>
        <w:rPr>
          <w:rStyle w:val="Refdenotaalpie"/>
          <w:rFonts w:ascii="Arial" w:eastAsia="Calibri" w:hAnsi="Arial" w:cs="Arial"/>
          <w:color w:val="000000"/>
          <w:sz w:val="22"/>
          <w:lang w:val="es-ES_tradnl" w:eastAsia="en-GB"/>
        </w:rPr>
        <w:footnoteReference w:id="6"/>
      </w:r>
      <w:r w:rsidRPr="00E23980">
        <w:rPr>
          <w:rFonts w:ascii="Arial" w:eastAsia="Calibri" w:hAnsi="Arial" w:cs="Arial"/>
          <w:color w:val="000000"/>
          <w:sz w:val="22"/>
          <w:lang w:val="es-ES_tradnl" w:eastAsia="en-GB"/>
        </w:rPr>
        <w:t xml:space="preserve">, construido a partir de la información remitida por las entidades estatales en los </w:t>
      </w:r>
      <w:r w:rsidRPr="00E23980">
        <w:rPr>
          <w:rFonts w:ascii="Arial" w:eastAsia="Calibri" w:hAnsi="Arial" w:cs="Arial"/>
          <w:color w:val="000000"/>
          <w:sz w:val="22"/>
          <w:lang w:val="es-ES_tradnl" w:eastAsia="en-GB"/>
        </w:rPr>
        <w:lastRenderedPageBreak/>
        <w:t xml:space="preserve">distintos niveles o los datos obtenidos por dicho órgano de control fiscal, sobre las obras inconclusas del país. El artículo 2, literal b) de la Ley 2020 de 2020 complementa esta noción, indicando que el Registro </w:t>
      </w:r>
      <w:r>
        <w:rPr>
          <w:rFonts w:ascii="Arial" w:eastAsia="Calibri" w:hAnsi="Arial" w:cs="Arial"/>
          <w:color w:val="000000"/>
          <w:sz w:val="22"/>
          <w:lang w:val="es-ES_tradnl" w:eastAsia="en-GB"/>
        </w:rPr>
        <w:t xml:space="preserve">Nacional </w:t>
      </w:r>
      <w:r w:rsidRPr="00E23980">
        <w:rPr>
          <w:rFonts w:ascii="Arial" w:eastAsia="Calibri" w:hAnsi="Arial" w:cs="Arial"/>
          <w:color w:val="000000"/>
          <w:sz w:val="22"/>
          <w:lang w:val="es-ES_tradnl" w:eastAsia="en-GB"/>
        </w:rPr>
        <w:t xml:space="preserve">de Obras Civiles Inconclusas </w:t>
      </w:r>
      <w:bookmarkStart w:id="8" w:name="_Hlk86842018"/>
      <w:r w:rsidRPr="00E23980">
        <w:rPr>
          <w:rFonts w:ascii="Arial" w:eastAsia="Calibri" w:hAnsi="Arial" w:cs="Arial"/>
          <w:color w:val="000000"/>
          <w:sz w:val="22"/>
          <w:lang w:val="es-ES_tradnl" w:eastAsia="en-GB"/>
        </w:rPr>
        <w:t>«</w:t>
      </w:r>
      <w:bookmarkEnd w:id="8"/>
      <w:r w:rsidRPr="00E23980">
        <w:rPr>
          <w:rFonts w:ascii="Arial" w:eastAsia="Calibri" w:hAnsi="Arial" w:cs="Arial"/>
          <w:color w:val="000000"/>
          <w:sz w:val="22"/>
          <w:lang w:val="es-ES_tradnl" w:eastAsia="en-GB"/>
        </w:rPr>
        <w:t>Es un sistema que contiene los datos sobre obras inconclusas en todo el territorio nacional. El inventario de obras civiles inconclusas reportado por las entidades estatales hará parte integral del banco de proyectos de la respectiva entidad».</w:t>
      </w:r>
      <w:r>
        <w:rPr>
          <w:rFonts w:ascii="Arial" w:eastAsia="Calibri" w:hAnsi="Arial" w:cs="Arial"/>
          <w:color w:val="000000"/>
          <w:sz w:val="22"/>
          <w:lang w:val="es-ES_tradnl" w:eastAsia="en-GB"/>
        </w:rPr>
        <w:t xml:space="preserve"> </w:t>
      </w:r>
    </w:p>
    <w:p w14:paraId="1AFC9A9C" w14:textId="652C079A" w:rsidR="005E1927" w:rsidRDefault="00013AA0" w:rsidP="005E1927">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Asimismo, l</w:t>
      </w:r>
      <w:r w:rsidR="005E1927">
        <w:rPr>
          <w:rFonts w:ascii="Arial" w:eastAsia="Calibri" w:hAnsi="Arial" w:cs="Arial"/>
          <w:color w:val="000000"/>
          <w:sz w:val="22"/>
          <w:lang w:val="es-ES_tradnl" w:eastAsia="en-GB"/>
        </w:rPr>
        <w:t>a información de este</w:t>
      </w:r>
      <w:r w:rsidR="005E1927">
        <w:rPr>
          <w:rFonts w:ascii="Arial" w:hAnsi="Arial" w:cs="Arial"/>
          <w:color w:val="000000" w:themeColor="text1"/>
          <w:sz w:val="22"/>
        </w:rPr>
        <w:t xml:space="preserve"> registro debe actualizarse permanentemente</w:t>
      </w:r>
      <w:r>
        <w:rPr>
          <w:rFonts w:ascii="Arial" w:hAnsi="Arial" w:cs="Arial"/>
          <w:color w:val="000000" w:themeColor="text1"/>
          <w:sz w:val="22"/>
        </w:rPr>
        <w:t>. L</w:t>
      </w:r>
      <w:r w:rsidR="005E1927" w:rsidRPr="00F80DAD">
        <w:rPr>
          <w:rFonts w:ascii="Arial" w:hAnsi="Arial" w:cs="Arial"/>
          <w:color w:val="000000" w:themeColor="text1"/>
          <w:sz w:val="22"/>
        </w:rPr>
        <w:t xml:space="preserve">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w:t>
      </w:r>
      <w:r w:rsidR="005E1927">
        <w:rPr>
          <w:rFonts w:ascii="Arial" w:hAnsi="Arial" w:cs="Arial"/>
          <w:color w:val="000000" w:themeColor="text1"/>
          <w:sz w:val="22"/>
        </w:rPr>
        <w:t>disponga</w:t>
      </w:r>
      <w:r w:rsidR="005E1927" w:rsidRPr="00F80DAD">
        <w:rPr>
          <w:rFonts w:ascii="Arial" w:hAnsi="Arial" w:cs="Arial"/>
          <w:color w:val="000000" w:themeColor="text1"/>
          <w:sz w:val="22"/>
        </w:rPr>
        <w:t xml:space="preserve"> la Contraloría General de la República</w:t>
      </w:r>
      <w:r w:rsidR="005E1927">
        <w:rPr>
          <w:rStyle w:val="Refdenotaalpie"/>
          <w:rFonts w:ascii="Arial" w:eastAsia="Calibri" w:hAnsi="Arial" w:cs="Arial"/>
          <w:color w:val="000000"/>
          <w:sz w:val="22"/>
          <w:lang w:val="es-ES_tradnl" w:eastAsia="en-GB"/>
        </w:rPr>
        <w:footnoteReference w:id="7"/>
      </w:r>
      <w:r w:rsidR="005E1927">
        <w:rPr>
          <w:rFonts w:ascii="Arial" w:hAnsi="Arial" w:cs="Arial"/>
          <w:color w:val="000000" w:themeColor="text1"/>
          <w:sz w:val="22"/>
        </w:rPr>
        <w:t>.</w:t>
      </w:r>
    </w:p>
    <w:p w14:paraId="37301923" w14:textId="17C2BB03" w:rsidR="005E1927" w:rsidRPr="00E34616" w:rsidRDefault="005E1927" w:rsidP="006E11F3">
      <w:pPr>
        <w:tabs>
          <w:tab w:val="left" w:pos="0"/>
        </w:tabs>
        <w:spacing w:before="120" w:line="276" w:lineRule="auto"/>
        <w:ind w:firstLine="709"/>
        <w:jc w:val="both"/>
        <w:rPr>
          <w:rFonts w:ascii="Arial" w:eastAsia="Calibri" w:hAnsi="Arial" w:cs="Arial"/>
          <w:color w:val="000000"/>
          <w:sz w:val="22"/>
          <w:lang w:eastAsia="en-GB"/>
        </w:rPr>
      </w:pPr>
      <w:r>
        <w:rPr>
          <w:rFonts w:ascii="Arial" w:eastAsia="Calibri" w:hAnsi="Arial" w:cs="Arial"/>
          <w:color w:val="000000"/>
          <w:sz w:val="22"/>
          <w:lang w:val="es-ES_tradnl" w:eastAsia="en-GB"/>
        </w:rPr>
        <w:t xml:space="preserve">De esta manera, la </w:t>
      </w:r>
      <w:r w:rsidRPr="00F80DAD">
        <w:rPr>
          <w:rFonts w:ascii="Arial" w:hAnsi="Arial" w:cs="Arial"/>
          <w:color w:val="000000" w:themeColor="text1"/>
          <w:sz w:val="22"/>
        </w:rPr>
        <w:t>Contraloría General de la República</w:t>
      </w:r>
      <w:r w:rsidR="002319A7">
        <w:rPr>
          <w:rFonts w:ascii="Arial" w:hAnsi="Arial" w:cs="Arial"/>
          <w:color w:val="000000" w:themeColor="text1"/>
          <w:sz w:val="22"/>
        </w:rPr>
        <w:t>, a través de</w:t>
      </w:r>
      <w:r w:rsidR="002319A7" w:rsidRPr="002319A7">
        <w:rPr>
          <w:rFonts w:ascii="Arial" w:hAnsi="Arial" w:cs="Arial"/>
          <w:color w:val="000000" w:themeColor="text1"/>
          <w:sz w:val="22"/>
        </w:rPr>
        <w:t xml:space="preserve"> la Dirección de Información, Análisis y Reacción Inmediata</w:t>
      </w:r>
      <w:r w:rsidR="002319A7">
        <w:rPr>
          <w:rFonts w:ascii="Arial" w:hAnsi="Arial" w:cs="Arial"/>
          <w:color w:val="000000" w:themeColor="text1"/>
          <w:sz w:val="22"/>
        </w:rPr>
        <w:t>,</w:t>
      </w:r>
      <w:r>
        <w:rPr>
          <w:rFonts w:ascii="Arial" w:hAnsi="Arial" w:cs="Arial"/>
          <w:color w:val="000000" w:themeColor="text1"/>
          <w:sz w:val="22"/>
        </w:rPr>
        <w:t xml:space="preserve"> es la encargada de dirigir y coordinar </w:t>
      </w:r>
      <w:r w:rsidRPr="00E23980">
        <w:rPr>
          <w:rFonts w:ascii="Arial" w:eastAsia="Calibri" w:hAnsi="Arial" w:cs="Arial"/>
          <w:color w:val="000000"/>
          <w:sz w:val="22"/>
          <w:lang w:val="es-ES_tradnl" w:eastAsia="en-GB"/>
        </w:rPr>
        <w:t>el Registro Nacional de Obras Civiles Inconclusas</w:t>
      </w:r>
      <w:r w:rsidR="00E31881">
        <w:rPr>
          <w:rFonts w:ascii="Arial" w:eastAsia="Calibri" w:hAnsi="Arial" w:cs="Arial"/>
          <w:color w:val="000000"/>
          <w:sz w:val="22"/>
          <w:lang w:val="es-ES_tradnl" w:eastAsia="en-GB"/>
        </w:rPr>
        <w:t xml:space="preserve"> y realizar el seguimiento y actualización d</w:t>
      </w:r>
      <w:r w:rsidR="00E34616">
        <w:rPr>
          <w:rFonts w:ascii="Arial" w:eastAsia="Calibri" w:hAnsi="Arial" w:cs="Arial"/>
          <w:color w:val="000000"/>
          <w:sz w:val="22"/>
          <w:lang w:val="es-ES_tradnl" w:eastAsia="en-GB"/>
        </w:rPr>
        <w:t>e este</w:t>
      </w:r>
      <w:r w:rsidR="00E31881">
        <w:rPr>
          <w:rFonts w:ascii="Arial" w:eastAsia="Calibri" w:hAnsi="Arial" w:cs="Arial"/>
          <w:color w:val="000000"/>
          <w:sz w:val="22"/>
          <w:lang w:val="es-ES_tradnl" w:eastAsia="en-GB"/>
        </w:rPr>
        <w:t xml:space="preserve">. </w:t>
      </w:r>
      <w:r w:rsidR="00060041">
        <w:rPr>
          <w:rFonts w:ascii="Arial" w:eastAsia="Calibri" w:hAnsi="Arial" w:cs="Arial"/>
          <w:color w:val="000000"/>
          <w:sz w:val="22"/>
          <w:lang w:val="es-ES_tradnl" w:eastAsia="en-GB"/>
        </w:rPr>
        <w:t xml:space="preserve">Por ello, </w:t>
      </w:r>
      <w:r w:rsidR="00060041">
        <w:rPr>
          <w:rFonts w:ascii="Arial" w:eastAsia="Calibri" w:hAnsi="Arial" w:cs="Arial"/>
          <w:color w:val="000000"/>
          <w:sz w:val="22"/>
          <w:lang w:eastAsia="en-GB"/>
        </w:rPr>
        <w:t>m</w:t>
      </w:r>
      <w:r w:rsidRPr="009316C0">
        <w:rPr>
          <w:rFonts w:ascii="Arial" w:eastAsia="Calibri" w:hAnsi="Arial" w:cs="Arial"/>
          <w:color w:val="000000"/>
          <w:sz w:val="22"/>
          <w:lang w:eastAsia="en-GB"/>
        </w:rPr>
        <w:t>ediante la Resolución No. REG-ORD-042-2020 del 25 de agosto de 2020</w:t>
      </w:r>
      <w:r w:rsidR="003E645D">
        <w:rPr>
          <w:rStyle w:val="Refdenotaalpie"/>
          <w:rFonts w:ascii="Arial" w:eastAsia="Calibri" w:hAnsi="Arial" w:cs="Arial"/>
          <w:color w:val="000000"/>
          <w:sz w:val="22"/>
          <w:lang w:eastAsia="en-GB"/>
        </w:rPr>
        <w:footnoteReference w:id="8"/>
      </w:r>
      <w:r w:rsidR="00E34616">
        <w:rPr>
          <w:rFonts w:ascii="Arial" w:eastAsia="Calibri" w:hAnsi="Arial" w:cs="Arial"/>
          <w:color w:val="000000"/>
          <w:sz w:val="22"/>
          <w:lang w:eastAsia="en-GB"/>
        </w:rPr>
        <w:t>,</w:t>
      </w:r>
      <w:r w:rsidR="00E31881">
        <w:rPr>
          <w:rFonts w:ascii="Arial" w:eastAsia="Calibri" w:hAnsi="Arial" w:cs="Arial"/>
          <w:color w:val="000000"/>
          <w:sz w:val="22"/>
          <w:lang w:eastAsia="en-GB"/>
        </w:rPr>
        <w:t xml:space="preserve"> expedida por </w:t>
      </w:r>
      <w:r w:rsidR="00E31881">
        <w:rPr>
          <w:rFonts w:ascii="Arial" w:eastAsia="Calibri" w:hAnsi="Arial" w:cs="Arial"/>
          <w:color w:val="000000"/>
          <w:sz w:val="22"/>
          <w:lang w:val="es-ES_tradnl" w:eastAsia="en-GB"/>
        </w:rPr>
        <w:t xml:space="preserve">la </w:t>
      </w:r>
      <w:r w:rsidR="00E31881" w:rsidRPr="00F80DAD">
        <w:rPr>
          <w:rFonts w:ascii="Arial" w:hAnsi="Arial" w:cs="Arial"/>
          <w:color w:val="000000" w:themeColor="text1"/>
          <w:sz w:val="22"/>
        </w:rPr>
        <w:t>Contraloría General de la República</w:t>
      </w:r>
      <w:r w:rsidR="00E34616">
        <w:rPr>
          <w:rFonts w:ascii="Arial" w:hAnsi="Arial" w:cs="Arial"/>
          <w:color w:val="000000" w:themeColor="text1"/>
          <w:sz w:val="22"/>
        </w:rPr>
        <w:t>,</w:t>
      </w:r>
      <w:r w:rsidR="00E31881">
        <w:rPr>
          <w:rFonts w:ascii="Arial" w:eastAsia="Calibri" w:hAnsi="Arial" w:cs="Arial"/>
          <w:color w:val="000000"/>
          <w:sz w:val="22"/>
          <w:lang w:eastAsia="en-GB"/>
        </w:rPr>
        <w:t xml:space="preserve"> </w:t>
      </w:r>
      <w:r w:rsidRPr="009316C0">
        <w:rPr>
          <w:rFonts w:ascii="Arial" w:eastAsia="Calibri" w:hAnsi="Arial" w:cs="Arial"/>
          <w:color w:val="000000"/>
          <w:sz w:val="22"/>
          <w:lang w:eastAsia="en-GB"/>
        </w:rPr>
        <w:t xml:space="preserve">se estableció que la información concerniente al Registro Nacional de Obras Civiles Inconclusas se rendiría a través del SIRECI, conforme al Capítulo II </w:t>
      </w:r>
      <w:r w:rsidR="00936472" w:rsidRPr="00E23980">
        <w:rPr>
          <w:rFonts w:ascii="Arial" w:eastAsia="Calibri" w:hAnsi="Arial" w:cs="Arial"/>
          <w:color w:val="000000"/>
          <w:sz w:val="22"/>
          <w:lang w:val="es-ES_tradnl" w:eastAsia="en-GB"/>
        </w:rPr>
        <w:t>«</w:t>
      </w:r>
      <w:r w:rsidRPr="009316C0">
        <w:rPr>
          <w:rFonts w:ascii="Arial" w:eastAsia="Calibri" w:hAnsi="Arial" w:cs="Arial"/>
          <w:color w:val="000000"/>
          <w:sz w:val="22"/>
          <w:lang w:eastAsia="en-GB"/>
        </w:rPr>
        <w:t>Información de Obras Inconclusas</w:t>
      </w:r>
      <w:r w:rsidR="00936472" w:rsidRPr="00E23980">
        <w:rPr>
          <w:rFonts w:ascii="Arial" w:eastAsia="Calibri" w:hAnsi="Arial" w:cs="Arial"/>
          <w:color w:val="000000"/>
          <w:sz w:val="22"/>
          <w:lang w:val="es-ES_tradnl" w:eastAsia="en-GB"/>
        </w:rPr>
        <w:t>»</w:t>
      </w:r>
      <w:r w:rsidRPr="009316C0">
        <w:rPr>
          <w:rFonts w:ascii="Arial" w:eastAsia="Calibri" w:hAnsi="Arial" w:cs="Arial"/>
          <w:color w:val="000000"/>
          <w:sz w:val="22"/>
          <w:lang w:eastAsia="en-GB"/>
        </w:rPr>
        <w:t xml:space="preserve"> del Título III </w:t>
      </w:r>
      <w:r w:rsidR="00936472" w:rsidRPr="00E23980">
        <w:rPr>
          <w:rFonts w:ascii="Arial" w:eastAsia="Calibri" w:hAnsi="Arial" w:cs="Arial"/>
          <w:color w:val="000000"/>
          <w:sz w:val="22"/>
          <w:lang w:val="es-ES_tradnl" w:eastAsia="en-GB"/>
        </w:rPr>
        <w:t>«</w:t>
      </w:r>
      <w:r w:rsidRPr="009316C0">
        <w:rPr>
          <w:rFonts w:ascii="Arial" w:eastAsia="Calibri" w:hAnsi="Arial" w:cs="Arial"/>
          <w:color w:val="000000"/>
          <w:sz w:val="22"/>
          <w:lang w:eastAsia="en-GB"/>
        </w:rPr>
        <w:t xml:space="preserve">Rendición de Otra </w:t>
      </w:r>
      <w:r w:rsidRPr="00E31881">
        <w:rPr>
          <w:rFonts w:ascii="Arial" w:eastAsia="Calibri" w:hAnsi="Arial" w:cs="Arial"/>
          <w:color w:val="000000"/>
          <w:sz w:val="22"/>
          <w:lang w:eastAsia="en-GB"/>
        </w:rPr>
        <w:t>Información</w:t>
      </w:r>
      <w:r w:rsidR="00936472" w:rsidRPr="00E23980">
        <w:rPr>
          <w:rFonts w:ascii="Arial" w:eastAsia="Calibri" w:hAnsi="Arial" w:cs="Arial"/>
          <w:color w:val="000000"/>
          <w:sz w:val="22"/>
          <w:lang w:val="es-ES_tradnl" w:eastAsia="en-GB"/>
        </w:rPr>
        <w:t>»</w:t>
      </w:r>
      <w:r w:rsidR="00E31881">
        <w:rPr>
          <w:rFonts w:ascii="Arial" w:eastAsia="Calibri" w:hAnsi="Arial" w:cs="Arial"/>
          <w:color w:val="000000"/>
          <w:sz w:val="22"/>
          <w:lang w:eastAsia="en-GB"/>
        </w:rPr>
        <w:t>.</w:t>
      </w:r>
      <w:r w:rsidR="00936472" w:rsidRPr="00936472">
        <w:rPr>
          <w:rFonts w:ascii="Arial" w:eastAsia="Calibri" w:hAnsi="Arial" w:cs="Arial"/>
          <w:color w:val="000000"/>
          <w:sz w:val="22"/>
          <w:lang w:eastAsia="en-GB"/>
        </w:rPr>
        <w:t xml:space="preserve"> De acuerdo con</w:t>
      </w:r>
      <w:r w:rsidR="005956EC" w:rsidRPr="00936472">
        <w:rPr>
          <w:rFonts w:ascii="Arial" w:eastAsia="Calibri" w:hAnsi="Arial" w:cs="Arial"/>
          <w:color w:val="000000"/>
          <w:sz w:val="22"/>
          <w:lang w:eastAsia="en-GB"/>
        </w:rPr>
        <w:t xml:space="preserve"> </w:t>
      </w:r>
      <w:r w:rsidR="00936472" w:rsidRPr="00936472">
        <w:rPr>
          <w:rFonts w:ascii="Arial" w:eastAsia="Calibri" w:hAnsi="Arial" w:cs="Arial"/>
          <w:color w:val="000000"/>
          <w:sz w:val="22"/>
          <w:lang w:eastAsia="en-GB"/>
        </w:rPr>
        <w:t>e</w:t>
      </w:r>
      <w:r w:rsidR="00060041" w:rsidRPr="00936472">
        <w:rPr>
          <w:rFonts w:ascii="Arial" w:eastAsia="Calibri" w:hAnsi="Arial" w:cs="Arial"/>
          <w:color w:val="000000"/>
          <w:sz w:val="22"/>
          <w:lang w:eastAsia="en-GB"/>
        </w:rPr>
        <w:t xml:space="preserve">l artículo </w:t>
      </w:r>
      <w:r w:rsidR="006F2B09" w:rsidRPr="00936472">
        <w:rPr>
          <w:rFonts w:ascii="Arial" w:eastAsia="Calibri" w:hAnsi="Arial" w:cs="Arial"/>
          <w:color w:val="000000"/>
          <w:sz w:val="22"/>
          <w:lang w:eastAsia="en-GB"/>
        </w:rPr>
        <w:t>5</w:t>
      </w:r>
      <w:r w:rsidR="006E11F3">
        <w:rPr>
          <w:rFonts w:ascii="Arial" w:eastAsia="Calibri" w:hAnsi="Arial" w:cs="Arial"/>
          <w:color w:val="000000"/>
          <w:sz w:val="22"/>
          <w:lang w:eastAsia="en-GB"/>
        </w:rPr>
        <w:t>1</w:t>
      </w:r>
      <w:r w:rsidR="003E645D">
        <w:rPr>
          <w:rFonts w:ascii="Arial" w:eastAsia="Calibri" w:hAnsi="Arial" w:cs="Arial"/>
          <w:color w:val="000000"/>
          <w:sz w:val="22"/>
          <w:lang w:eastAsia="en-GB"/>
        </w:rPr>
        <w:t xml:space="preserve"> de dicha Resolución</w:t>
      </w:r>
      <w:r w:rsidR="00936472">
        <w:rPr>
          <w:rFonts w:ascii="Arial" w:eastAsia="Calibri" w:hAnsi="Arial" w:cs="Arial"/>
          <w:color w:val="000000"/>
          <w:sz w:val="22"/>
          <w:lang w:eastAsia="en-GB"/>
        </w:rPr>
        <w:t>,</w:t>
      </w:r>
      <w:r w:rsidR="00936472" w:rsidRPr="00936472">
        <w:rPr>
          <w:rFonts w:ascii="Arial" w:eastAsia="Calibri" w:hAnsi="Arial" w:cs="Arial"/>
          <w:color w:val="000000"/>
          <w:sz w:val="22"/>
          <w:lang w:eastAsia="en-GB"/>
        </w:rPr>
        <w:t xml:space="preserve"> </w:t>
      </w:r>
      <w:r w:rsidR="006F2B09" w:rsidRPr="006E11F3">
        <w:rPr>
          <w:rFonts w:ascii="Arial" w:eastAsia="Calibri" w:hAnsi="Arial" w:cs="Arial"/>
          <w:color w:val="000000"/>
          <w:sz w:val="22"/>
          <w:lang w:eastAsia="en-GB"/>
        </w:rPr>
        <w:t>el contenido de la información es la requerida en el Sistema de Rendición Electrónico de la Cuenta e Informe y Otra Información (SIRECI), sobre la información que se debe incorporar en la relación de obras civiles inconclusas, de conformidad con la ley.</w:t>
      </w:r>
      <w:r w:rsidR="006F2B09">
        <w:rPr>
          <w:rFonts w:ascii="Arial" w:eastAsia="Calibri" w:hAnsi="Arial" w:cs="Arial"/>
          <w:color w:val="000000"/>
          <w:sz w:val="22"/>
          <w:lang w:eastAsia="en-GB"/>
        </w:rPr>
        <w:t xml:space="preserve"> </w:t>
      </w:r>
    </w:p>
    <w:p w14:paraId="34153240" w14:textId="2562B131" w:rsidR="00271098" w:rsidRDefault="00D051BB" w:rsidP="002319A7">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Respecto a</w:t>
      </w:r>
      <w:r w:rsidR="003F63EE">
        <w:rPr>
          <w:rFonts w:ascii="Arial" w:eastAsia="Calibri" w:hAnsi="Arial" w:cs="Arial"/>
          <w:color w:val="000000"/>
          <w:sz w:val="22"/>
          <w:lang w:val="es-ES_tradnl" w:eastAsia="en-GB"/>
        </w:rPr>
        <w:t xml:space="preserve">l contenido del Registro Nacional de Obras Civiles Inconclusas, </w:t>
      </w:r>
      <w:bookmarkStart w:id="9" w:name="_Hlk71184896"/>
      <w:r w:rsidR="003F63EE">
        <w:rPr>
          <w:rFonts w:ascii="Arial" w:eastAsia="Calibri" w:hAnsi="Arial" w:cs="Arial"/>
          <w:color w:val="000000"/>
          <w:sz w:val="22"/>
          <w:lang w:val="es-ES_tradnl" w:eastAsia="en-GB"/>
        </w:rPr>
        <w:t xml:space="preserve">el artículo 4 </w:t>
      </w:r>
      <w:r w:rsidR="00F51ED2">
        <w:rPr>
          <w:rFonts w:ascii="Arial" w:eastAsia="Calibri" w:hAnsi="Arial" w:cs="Arial"/>
          <w:color w:val="000000"/>
          <w:sz w:val="22"/>
          <w:lang w:val="es-ES_tradnl" w:eastAsia="en-GB"/>
        </w:rPr>
        <w:t xml:space="preserve">de la Ley 2020 de 2020 </w:t>
      </w:r>
      <w:r w:rsidR="003F63EE">
        <w:rPr>
          <w:rFonts w:ascii="Arial" w:eastAsia="Calibri" w:hAnsi="Arial" w:cs="Arial"/>
          <w:color w:val="000000"/>
          <w:sz w:val="22"/>
          <w:lang w:val="es-ES_tradnl" w:eastAsia="en-GB"/>
        </w:rPr>
        <w:t xml:space="preserve">determina la información mínima que debe reportarse por las entidades públicas. </w:t>
      </w:r>
      <w:r w:rsidR="003F63EE" w:rsidRPr="00F51ED2">
        <w:rPr>
          <w:rFonts w:ascii="Arial" w:eastAsia="Calibri" w:hAnsi="Arial" w:cs="Arial"/>
          <w:color w:val="000000"/>
          <w:sz w:val="22"/>
          <w:lang w:val="es-ES_tradnl" w:eastAsia="en-GB"/>
        </w:rPr>
        <w:t>Entre otros, deberá contener datos sobre la</w:t>
      </w:r>
      <w:r w:rsidR="00271098" w:rsidRPr="00F51ED2">
        <w:rPr>
          <w:rFonts w:ascii="Arial" w:eastAsia="Calibri" w:hAnsi="Arial" w:cs="Arial"/>
          <w:color w:val="000000"/>
          <w:sz w:val="22"/>
          <w:lang w:val="es-ES_tradnl" w:eastAsia="en-GB"/>
        </w:rPr>
        <w:t xml:space="preserve"> identificación del contratista, consultores, interventores y demás personas naturales y/o jurídicas</w:t>
      </w:r>
      <w:r w:rsidR="003F63EE" w:rsidRPr="00F51ED2">
        <w:rPr>
          <w:rFonts w:ascii="Arial" w:eastAsia="Calibri" w:hAnsi="Arial" w:cs="Arial"/>
          <w:color w:val="000000"/>
          <w:sz w:val="22"/>
          <w:lang w:val="es-ES_tradnl" w:eastAsia="en-GB"/>
        </w:rPr>
        <w:t xml:space="preserve"> </w:t>
      </w:r>
      <w:r w:rsidR="00271098" w:rsidRPr="00F51ED2">
        <w:rPr>
          <w:rFonts w:ascii="Arial" w:eastAsia="Calibri" w:hAnsi="Arial" w:cs="Arial"/>
          <w:color w:val="000000"/>
          <w:sz w:val="22"/>
          <w:lang w:val="es-ES_tradnl" w:eastAsia="en-GB"/>
        </w:rPr>
        <w:t>que intervinieron en la planeación y ejecución del proyecto</w:t>
      </w:r>
      <w:r w:rsidR="002B683F">
        <w:rPr>
          <w:rFonts w:ascii="Arial" w:eastAsia="Calibri" w:hAnsi="Arial" w:cs="Arial"/>
          <w:color w:val="000000"/>
          <w:sz w:val="22"/>
          <w:lang w:val="es-ES_tradnl" w:eastAsia="en-GB"/>
        </w:rPr>
        <w:t>;</w:t>
      </w:r>
      <w:r w:rsidR="00271098" w:rsidRPr="00F51ED2">
        <w:rPr>
          <w:rFonts w:ascii="Arial" w:eastAsia="Calibri" w:hAnsi="Arial" w:cs="Arial"/>
          <w:color w:val="000000"/>
          <w:sz w:val="22"/>
          <w:lang w:val="es-ES_tradnl" w:eastAsia="en-GB"/>
        </w:rPr>
        <w:t xml:space="preserve"> las </w:t>
      </w:r>
      <w:r w:rsidR="003F63EE" w:rsidRPr="00F51ED2">
        <w:rPr>
          <w:rFonts w:ascii="Arial" w:eastAsia="Calibri" w:hAnsi="Arial" w:cs="Arial"/>
          <w:color w:val="000000"/>
          <w:sz w:val="22"/>
          <w:lang w:val="es-ES_tradnl" w:eastAsia="en-GB"/>
        </w:rPr>
        <w:t xml:space="preserve">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w:t>
      </w:r>
      <w:r w:rsidR="003F63EE" w:rsidRPr="00F51ED2">
        <w:rPr>
          <w:rFonts w:ascii="Arial" w:eastAsia="Calibri" w:hAnsi="Arial" w:cs="Arial"/>
          <w:color w:val="000000"/>
          <w:sz w:val="22"/>
          <w:lang w:val="es-ES_tradnl" w:eastAsia="en-GB"/>
        </w:rPr>
        <w:lastRenderedPageBreak/>
        <w:t>de los contratistas o caducidad de los contratos</w:t>
      </w:r>
      <w:r w:rsidR="003E645D" w:rsidRPr="00F51ED2">
        <w:rPr>
          <w:rFonts w:ascii="Arial" w:eastAsia="Calibri" w:hAnsi="Arial" w:cs="Arial"/>
          <w:color w:val="000000"/>
          <w:sz w:val="22"/>
          <w:lang w:val="es-ES_tradnl" w:eastAsia="en-GB"/>
        </w:rPr>
        <w:t xml:space="preserve">, así como </w:t>
      </w:r>
      <w:r w:rsidR="00282016">
        <w:rPr>
          <w:rFonts w:ascii="Arial" w:eastAsia="Calibri" w:hAnsi="Arial" w:cs="Arial"/>
          <w:color w:val="000000"/>
          <w:sz w:val="22"/>
          <w:lang w:val="es-ES_tradnl" w:eastAsia="en-GB"/>
        </w:rPr>
        <w:t>el</w:t>
      </w:r>
      <w:r w:rsidR="003F63EE" w:rsidRPr="00F51ED2">
        <w:rPr>
          <w:rFonts w:ascii="Arial" w:eastAsia="Calibri" w:hAnsi="Arial" w:cs="Arial"/>
          <w:color w:val="000000"/>
          <w:sz w:val="22"/>
          <w:lang w:val="es-ES_tradnl" w:eastAsia="en-GB"/>
        </w:rPr>
        <w:t xml:space="preserve"> </w:t>
      </w:r>
      <w:r w:rsidR="002319A7" w:rsidRPr="00F51ED2">
        <w:rPr>
          <w:rFonts w:ascii="Arial" w:eastAsiaTheme="minorHAnsi" w:hAnsi="Arial" w:cs="Arial"/>
          <w:sz w:val="22"/>
          <w:szCs w:val="22"/>
          <w:lang w:eastAsia="en-US"/>
        </w:rPr>
        <w:t>informe final presentado por el interventor del proyecto y l</w:t>
      </w:r>
      <w:r w:rsidR="00282016">
        <w:rPr>
          <w:rFonts w:ascii="Arial" w:eastAsiaTheme="minorHAnsi" w:hAnsi="Arial" w:cs="Arial"/>
          <w:sz w:val="22"/>
          <w:szCs w:val="22"/>
          <w:lang w:eastAsia="en-US"/>
        </w:rPr>
        <w:t xml:space="preserve">a </w:t>
      </w:r>
      <w:r w:rsidR="002319A7" w:rsidRPr="00F51ED2">
        <w:rPr>
          <w:rFonts w:ascii="Arial" w:eastAsiaTheme="minorHAnsi" w:hAnsi="Arial" w:cs="Arial"/>
          <w:sz w:val="22"/>
          <w:szCs w:val="22"/>
          <w:lang w:eastAsia="en-US"/>
        </w:rPr>
        <w:t xml:space="preserve">demás </w:t>
      </w:r>
      <w:r w:rsidR="00282016">
        <w:rPr>
          <w:rFonts w:ascii="Arial" w:eastAsiaTheme="minorHAnsi" w:hAnsi="Arial" w:cs="Arial"/>
          <w:sz w:val="22"/>
          <w:szCs w:val="22"/>
          <w:lang w:eastAsia="en-US"/>
        </w:rPr>
        <w:t xml:space="preserve">información </w:t>
      </w:r>
      <w:r w:rsidR="002319A7" w:rsidRPr="00F51ED2">
        <w:rPr>
          <w:rFonts w:ascii="Arial" w:eastAsiaTheme="minorHAnsi" w:hAnsi="Arial" w:cs="Arial"/>
          <w:sz w:val="22"/>
          <w:szCs w:val="22"/>
          <w:lang w:eastAsia="en-US"/>
        </w:rPr>
        <w:t>que establezca la Contraloría General de la República.</w:t>
      </w:r>
      <w:r w:rsidR="002319A7" w:rsidRPr="00F51ED2">
        <w:rPr>
          <w:rFonts w:ascii="Arial" w:eastAsia="Calibri" w:hAnsi="Arial" w:cs="Arial"/>
          <w:color w:val="000000"/>
          <w:sz w:val="22"/>
          <w:lang w:val="es-ES_tradnl" w:eastAsia="en-GB"/>
        </w:rPr>
        <w:t xml:space="preserve"> </w:t>
      </w:r>
      <w:r w:rsidR="003F63EE" w:rsidRPr="00F51ED2">
        <w:rPr>
          <w:rFonts w:ascii="Arial" w:eastAsia="Calibri" w:hAnsi="Arial" w:cs="Arial"/>
          <w:color w:val="000000"/>
          <w:sz w:val="22"/>
          <w:lang w:val="es-ES_tradnl" w:eastAsia="en-GB"/>
        </w:rPr>
        <w:t>Igualmente, en este Registro constará la información de las obras civiles ya terminadas que no se encuentre en funcionamiento conforme al artículo 15.</w:t>
      </w:r>
      <w:r w:rsidR="003F63EE">
        <w:rPr>
          <w:rFonts w:ascii="Arial" w:eastAsia="Calibri" w:hAnsi="Arial" w:cs="Arial"/>
          <w:color w:val="000000"/>
          <w:sz w:val="22"/>
          <w:lang w:val="es-ES_tradnl" w:eastAsia="en-GB"/>
        </w:rPr>
        <w:t xml:space="preserve"> </w:t>
      </w:r>
    </w:p>
    <w:bookmarkEnd w:id="9"/>
    <w:p w14:paraId="2DF83810" w14:textId="3E726F23" w:rsidR="003F63EE" w:rsidRDefault="003F63EE" w:rsidP="00F51ED2">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Según artículo 9 de la Ley 2020 de 2020, </w:t>
      </w:r>
      <w:r w:rsidRPr="00EC5ACE">
        <w:rPr>
          <w:rFonts w:ascii="Arial" w:eastAsia="Calibri" w:hAnsi="Arial" w:cs="Arial"/>
          <w:color w:val="000000"/>
          <w:sz w:val="22"/>
          <w:lang w:val="es-ES_tradnl" w:eastAsia="en-GB"/>
        </w:rPr>
        <w:t>la obligación</w:t>
      </w:r>
      <w:r>
        <w:rPr>
          <w:rFonts w:ascii="Arial" w:eastAsia="Calibri" w:hAnsi="Arial" w:cs="Arial"/>
          <w:color w:val="000000"/>
          <w:sz w:val="22"/>
          <w:lang w:val="es-ES_tradnl" w:eastAsia="en-GB"/>
        </w:rPr>
        <w:t xml:space="preserve"> de reportar esta información</w:t>
      </w:r>
      <w:r w:rsidRPr="00EC5ACE">
        <w:rPr>
          <w:rFonts w:ascii="Arial" w:eastAsia="Calibri" w:hAnsi="Arial" w:cs="Arial"/>
          <w:color w:val="000000"/>
          <w:sz w:val="22"/>
          <w:lang w:val="es-ES_tradnl" w:eastAsia="en-GB"/>
        </w:rPr>
        <w:t xml:space="preserve"> recae en</w:t>
      </w:r>
      <w:r w:rsidR="00F51ED2">
        <w:rPr>
          <w:rFonts w:ascii="Arial" w:eastAsia="Calibri" w:hAnsi="Arial" w:cs="Arial"/>
          <w:color w:val="000000"/>
          <w:sz w:val="22"/>
          <w:lang w:val="es-ES_tradnl" w:eastAsia="en-GB"/>
        </w:rPr>
        <w:t xml:space="preserve"> </w:t>
      </w:r>
      <w:r w:rsidR="00F51ED2" w:rsidRPr="00F51ED2">
        <w:rPr>
          <w:rFonts w:ascii="Arial" w:eastAsia="Calibri" w:hAnsi="Arial" w:cs="Arial"/>
          <w:color w:val="000000"/>
          <w:sz w:val="22"/>
          <w:lang w:eastAsia="en-GB"/>
        </w:rPr>
        <w:t>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r w:rsidR="00F51ED2">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y su incumplimiento genera las sanciones respectivas conforme a la normativa vigente</w:t>
      </w:r>
      <w:r>
        <w:rPr>
          <w:rStyle w:val="Refdenotaalpie"/>
          <w:rFonts w:ascii="Arial" w:eastAsia="Calibri" w:hAnsi="Arial" w:cs="Arial"/>
          <w:color w:val="000000"/>
          <w:sz w:val="22"/>
          <w:lang w:val="es-ES_tradnl" w:eastAsia="en-GB"/>
        </w:rPr>
        <w:footnoteReference w:id="9"/>
      </w:r>
      <w:r>
        <w:rPr>
          <w:rFonts w:ascii="Arial" w:eastAsia="Calibri" w:hAnsi="Arial" w:cs="Arial"/>
          <w:color w:val="000000"/>
          <w:sz w:val="22"/>
          <w:lang w:val="es-ES_tradnl" w:eastAsia="en-GB"/>
        </w:rPr>
        <w:t xml:space="preserve">. En todo caso, la información que consta en el Registro podrá tenerse en cuenta por los entes de control o por las entidades públicas sometidas al Estatuto General de Contratación </w:t>
      </w:r>
      <w:r w:rsidR="002B683F">
        <w:rPr>
          <w:rFonts w:ascii="Arial" w:eastAsia="Calibri" w:hAnsi="Arial" w:cs="Arial"/>
          <w:color w:val="000000"/>
          <w:sz w:val="22"/>
          <w:lang w:val="es-ES_tradnl" w:eastAsia="en-GB"/>
        </w:rPr>
        <w:t xml:space="preserve">de la Administración </w:t>
      </w:r>
      <w:r>
        <w:rPr>
          <w:rFonts w:ascii="Arial" w:eastAsia="Calibri" w:hAnsi="Arial" w:cs="Arial"/>
          <w:color w:val="000000"/>
          <w:sz w:val="22"/>
          <w:lang w:val="es-ES_tradnl" w:eastAsia="en-GB"/>
        </w:rPr>
        <w:t>Pública en</w:t>
      </w:r>
      <w:r w:rsidRPr="00B31710">
        <w:rPr>
          <w:rFonts w:ascii="Arial" w:eastAsia="Calibri" w:hAnsi="Arial" w:cs="Arial"/>
          <w:color w:val="000000"/>
          <w:sz w:val="22"/>
          <w:lang w:val="es-ES_tradnl" w:eastAsia="en-GB"/>
        </w:rPr>
        <w:t xml:space="preserve"> los procesos fiscales, </w:t>
      </w:r>
      <w:r>
        <w:rPr>
          <w:rFonts w:ascii="Arial" w:eastAsia="Calibri" w:hAnsi="Arial" w:cs="Arial"/>
          <w:color w:val="000000"/>
          <w:sz w:val="22"/>
          <w:lang w:val="es-ES_tradnl" w:eastAsia="en-GB"/>
        </w:rPr>
        <w:t xml:space="preserve">disciplinarios o sancionatorios que se adelanten </w:t>
      </w:r>
      <w:proofErr w:type="gramStart"/>
      <w:r>
        <w:rPr>
          <w:rFonts w:ascii="Arial" w:eastAsia="Calibri" w:hAnsi="Arial" w:cs="Arial"/>
          <w:color w:val="000000"/>
          <w:sz w:val="22"/>
          <w:lang w:val="es-ES_tradnl" w:eastAsia="en-GB"/>
        </w:rPr>
        <w:t>en razón de</w:t>
      </w:r>
      <w:proofErr w:type="gramEnd"/>
      <w:r>
        <w:rPr>
          <w:rFonts w:ascii="Arial" w:eastAsia="Calibri" w:hAnsi="Arial" w:cs="Arial"/>
          <w:color w:val="000000"/>
          <w:sz w:val="22"/>
          <w:lang w:val="es-ES_tradnl" w:eastAsia="en-GB"/>
        </w:rPr>
        <w:t xml:space="preserve"> la obra civil inconclusa. Igualmente, e</w:t>
      </w:r>
      <w:r w:rsidRPr="00103361">
        <w:rPr>
          <w:rFonts w:ascii="Arial" w:eastAsia="Calibri" w:hAnsi="Arial" w:cs="Arial"/>
          <w:color w:val="000000"/>
          <w:sz w:val="22"/>
          <w:lang w:val="es-ES_tradnl" w:eastAsia="en-GB"/>
        </w:rPr>
        <w:t xml:space="preserve">l acto administrativo que declare el incumplimiento, caducidad y/o terminación </w:t>
      </w:r>
      <w:r>
        <w:rPr>
          <w:rFonts w:ascii="Arial" w:eastAsia="Calibri" w:hAnsi="Arial" w:cs="Arial"/>
          <w:color w:val="000000"/>
          <w:sz w:val="22"/>
          <w:lang w:val="es-ES_tradnl" w:eastAsia="en-GB"/>
        </w:rPr>
        <w:t xml:space="preserve">unilateral del contrato de obra, tendrá en cuenta en la parte motiva, la documentación que repose en el registro. </w:t>
      </w:r>
    </w:p>
    <w:p w14:paraId="2CEC3A73" w14:textId="6C5FCD43" w:rsidR="00466861" w:rsidRPr="00F567E4" w:rsidRDefault="003F63EE" w:rsidP="00360E6D">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De esta manera, debido al carácter público de la información del registro, se podrá </w:t>
      </w:r>
      <w:bookmarkStart w:id="10" w:name="_Hlk85120931"/>
      <w:r>
        <w:rPr>
          <w:rFonts w:ascii="Arial" w:eastAsia="Calibri" w:hAnsi="Arial" w:cs="Arial"/>
          <w:color w:val="000000"/>
          <w:sz w:val="22"/>
          <w:lang w:val="es-ES_tradnl" w:eastAsia="en-GB"/>
        </w:rPr>
        <w:t>verificar en el sistema dispuesto por la Contraloría General de la Nación, el motivo por el cual la obra civil quedo inconclusa, así como las situaciones de incumplimiento del contratista y en general el estado jurídico, técnico y financiero de la obra</w:t>
      </w:r>
      <w:bookmarkEnd w:id="10"/>
      <w:r>
        <w:rPr>
          <w:rFonts w:ascii="Arial" w:eastAsia="Calibri" w:hAnsi="Arial" w:cs="Arial"/>
          <w:color w:val="000000"/>
          <w:sz w:val="22"/>
          <w:lang w:val="es-ES_tradnl" w:eastAsia="en-GB"/>
        </w:rPr>
        <w:t xml:space="preserve">. Si se presenta alguna controversia respecto de la información suministrada por la entidad estatal, esta será la encargada de resolverla </w:t>
      </w:r>
      <w:r w:rsidRPr="000F2739">
        <w:rPr>
          <w:rFonts w:ascii="Arial" w:eastAsia="Calibri" w:hAnsi="Arial" w:cs="Arial"/>
          <w:color w:val="000000"/>
          <w:sz w:val="22"/>
          <w:lang w:val="es-ES_tradnl" w:eastAsia="en-GB"/>
        </w:rPr>
        <w:t xml:space="preserve">atendiendo los principios y disposiciones establecidos en la </w:t>
      </w:r>
      <w:r w:rsidRPr="00F567E4">
        <w:rPr>
          <w:rFonts w:ascii="Arial" w:eastAsia="Calibri" w:hAnsi="Arial" w:cs="Arial"/>
          <w:color w:val="000000"/>
          <w:sz w:val="22"/>
          <w:lang w:val="es-ES_tradnl" w:eastAsia="en-GB"/>
        </w:rPr>
        <w:t>normativ</w:t>
      </w:r>
      <w:r w:rsidR="002B683F" w:rsidRPr="00F567E4">
        <w:rPr>
          <w:rFonts w:ascii="Arial" w:eastAsia="Calibri" w:hAnsi="Arial" w:cs="Arial"/>
          <w:color w:val="000000"/>
          <w:sz w:val="22"/>
          <w:lang w:val="es-ES_tradnl" w:eastAsia="en-GB"/>
        </w:rPr>
        <w:t>a</w:t>
      </w:r>
      <w:r w:rsidRPr="00F567E4">
        <w:rPr>
          <w:rFonts w:ascii="Arial" w:eastAsia="Calibri" w:hAnsi="Arial" w:cs="Arial"/>
          <w:color w:val="000000"/>
          <w:sz w:val="22"/>
          <w:lang w:val="es-ES_tradnl" w:eastAsia="en-GB"/>
        </w:rPr>
        <w:t xml:space="preserve"> vigente. Conforme al artículo 12, es preciso señalar que la cancelación de la anotación de la obra en el Registro Nacional de Obras Civiles Inconclusas solo operará a solicitud de la entidad estatal una vez haya sido demolida o finalizada exitosamente.</w:t>
      </w:r>
    </w:p>
    <w:p w14:paraId="2A89F765" w14:textId="46B44E30" w:rsidR="00F51ED2" w:rsidRPr="00F51ED2" w:rsidRDefault="00FB69D3" w:rsidP="00F51ED2">
      <w:pPr>
        <w:spacing w:before="120" w:line="276" w:lineRule="auto"/>
        <w:ind w:firstLine="567"/>
        <w:jc w:val="both"/>
        <w:rPr>
          <w:rFonts w:ascii="Arial" w:eastAsiaTheme="minorHAnsi" w:hAnsi="Arial" w:cs="Arial"/>
          <w:sz w:val="22"/>
          <w:szCs w:val="22"/>
          <w:lang w:val="es-ES_tradnl" w:eastAsia="en-US"/>
        </w:rPr>
      </w:pPr>
      <w:r w:rsidRPr="00F567E4">
        <w:rPr>
          <w:rFonts w:ascii="Arial" w:eastAsiaTheme="minorHAnsi" w:hAnsi="Arial" w:cs="Arial"/>
          <w:sz w:val="22"/>
          <w:szCs w:val="22"/>
          <w:lang w:val="es-ES_tradnl" w:eastAsia="en-US"/>
        </w:rPr>
        <w:t>Así las cosas</w:t>
      </w:r>
      <w:r w:rsidR="00F51ED2" w:rsidRPr="00F567E4">
        <w:rPr>
          <w:rFonts w:ascii="Arial" w:eastAsiaTheme="minorHAnsi" w:hAnsi="Arial" w:cs="Arial"/>
          <w:sz w:val="22"/>
          <w:szCs w:val="22"/>
          <w:lang w:val="es-ES_tradnl" w:eastAsia="en-US"/>
        </w:rPr>
        <w:t xml:space="preserve">, el contenido de la información que debe reposar en el Registro </w:t>
      </w:r>
      <w:r w:rsidR="00F51ED2" w:rsidRPr="00F567E4">
        <w:rPr>
          <w:rFonts w:ascii="Arial" w:eastAsia="Calibri" w:hAnsi="Arial" w:cs="Arial"/>
          <w:color w:val="000000"/>
          <w:sz w:val="22"/>
          <w:szCs w:val="22"/>
          <w:lang w:val="es-ES_tradnl" w:eastAsia="en-GB"/>
        </w:rPr>
        <w:t>Nacional de Obras Civiles Inconclusas está determinado por la Ley 2020 de 2020 y su administración es competencia de la Contraloría General de la República</w:t>
      </w:r>
      <w:r w:rsidR="00F51ED2" w:rsidRPr="00F567E4">
        <w:rPr>
          <w:rFonts w:ascii="Arial" w:eastAsiaTheme="minorHAnsi" w:hAnsi="Arial" w:cs="Arial"/>
          <w:sz w:val="22"/>
          <w:szCs w:val="22"/>
          <w:lang w:val="es-ES_tradnl" w:eastAsia="en-US"/>
        </w:rPr>
        <w:t xml:space="preserve">. Por tanto, la entidad estatal responsable tiene la obligación de reportar la información que exige el artículo 4 de dicha Ley, entre </w:t>
      </w:r>
      <w:r w:rsidR="00E9160D" w:rsidRPr="00F567E4">
        <w:rPr>
          <w:rFonts w:ascii="Arial" w:eastAsiaTheme="minorHAnsi" w:hAnsi="Arial" w:cs="Arial"/>
          <w:sz w:val="22"/>
          <w:szCs w:val="22"/>
          <w:lang w:val="es-ES_tradnl" w:eastAsia="en-US"/>
        </w:rPr>
        <w:t>la que se cuenta,</w:t>
      </w:r>
      <w:r w:rsidR="00F51ED2" w:rsidRPr="00F567E4">
        <w:rPr>
          <w:rFonts w:ascii="Arial" w:eastAsiaTheme="minorHAnsi" w:hAnsi="Arial" w:cs="Arial"/>
          <w:sz w:val="22"/>
          <w:szCs w:val="22"/>
          <w:lang w:val="es-ES_tradnl" w:eastAsia="en-US"/>
        </w:rPr>
        <w:t xml:space="preserve"> la referente a los interventores de la obra, así como toda aquella información que establezca </w:t>
      </w:r>
      <w:r w:rsidR="00F51ED2" w:rsidRPr="00F567E4">
        <w:rPr>
          <w:rFonts w:ascii="Arial" w:eastAsia="Calibri" w:hAnsi="Arial" w:cs="Arial"/>
          <w:color w:val="000000"/>
          <w:sz w:val="22"/>
          <w:lang w:val="es-ES_tradnl" w:eastAsia="en-GB"/>
        </w:rPr>
        <w:t xml:space="preserve">la Contraloría General de la </w:t>
      </w:r>
      <w:r w:rsidR="00F51ED2" w:rsidRPr="00F567E4">
        <w:rPr>
          <w:rFonts w:ascii="Arial" w:eastAsia="Calibri" w:hAnsi="Arial" w:cs="Arial"/>
          <w:color w:val="000000"/>
          <w:sz w:val="22"/>
          <w:szCs w:val="22"/>
          <w:lang w:val="es-ES_tradnl" w:eastAsia="en-GB"/>
        </w:rPr>
        <w:t>República en el ma</w:t>
      </w:r>
      <w:r w:rsidR="00D22A95" w:rsidRPr="00F567E4">
        <w:rPr>
          <w:rFonts w:ascii="Arial" w:eastAsia="Calibri" w:hAnsi="Arial" w:cs="Arial"/>
          <w:color w:val="000000"/>
          <w:sz w:val="22"/>
          <w:szCs w:val="22"/>
          <w:lang w:val="es-ES_tradnl" w:eastAsia="en-GB"/>
        </w:rPr>
        <w:t>r</w:t>
      </w:r>
      <w:r w:rsidR="00F51ED2" w:rsidRPr="00F567E4">
        <w:rPr>
          <w:rFonts w:ascii="Arial" w:eastAsia="Calibri" w:hAnsi="Arial" w:cs="Arial"/>
          <w:color w:val="000000"/>
          <w:sz w:val="22"/>
          <w:szCs w:val="22"/>
          <w:lang w:val="es-ES_tradnl" w:eastAsia="en-GB"/>
        </w:rPr>
        <w:t>co de sus competencias.</w:t>
      </w:r>
    </w:p>
    <w:p w14:paraId="12B66FEC" w14:textId="77777777" w:rsidR="00360E6D" w:rsidRPr="00466861" w:rsidRDefault="00360E6D" w:rsidP="004C34CD">
      <w:pPr>
        <w:tabs>
          <w:tab w:val="left" w:pos="0"/>
        </w:tabs>
        <w:spacing w:line="276" w:lineRule="auto"/>
        <w:ind w:firstLine="709"/>
        <w:jc w:val="both"/>
        <w:rPr>
          <w:rFonts w:ascii="Arial" w:eastAsia="Calibri" w:hAnsi="Arial" w:cs="Arial"/>
          <w:color w:val="000000"/>
          <w:sz w:val="22"/>
          <w:lang w:val="es-ES_tradnl" w:eastAsia="en-GB"/>
        </w:rPr>
      </w:pPr>
    </w:p>
    <w:p w14:paraId="557C39B2" w14:textId="1E0C912E" w:rsidR="00E5756C" w:rsidRPr="00E23980" w:rsidRDefault="00E5756C" w:rsidP="00BD67B2">
      <w:pPr>
        <w:tabs>
          <w:tab w:val="left" w:pos="0"/>
        </w:tabs>
        <w:spacing w:line="276" w:lineRule="auto"/>
        <w:jc w:val="both"/>
        <w:rPr>
          <w:rFonts w:ascii="Arial" w:eastAsia="Calibri" w:hAnsi="Arial" w:cs="Arial"/>
          <w:b/>
          <w:bCs/>
          <w:color w:val="000000"/>
          <w:sz w:val="22"/>
          <w:lang w:val="es-ES_tradnl" w:eastAsia="en-GB"/>
        </w:rPr>
      </w:pPr>
      <w:r w:rsidRPr="00E23980">
        <w:rPr>
          <w:rFonts w:ascii="Arial" w:eastAsia="Calibri" w:hAnsi="Arial" w:cs="Arial"/>
          <w:b/>
          <w:bCs/>
          <w:color w:val="000000"/>
          <w:sz w:val="22"/>
          <w:lang w:val="es-ES_tradnl" w:eastAsia="en-GB"/>
        </w:rPr>
        <w:t xml:space="preserve">2.2. </w:t>
      </w:r>
      <w:r w:rsidR="00360E6D" w:rsidRPr="00E23980">
        <w:rPr>
          <w:rFonts w:ascii="Arial" w:eastAsia="Calibri" w:hAnsi="Arial" w:cs="Arial"/>
          <w:b/>
          <w:bCs/>
          <w:color w:val="000000"/>
          <w:sz w:val="22"/>
          <w:lang w:val="es-ES_tradnl" w:eastAsia="en-GB"/>
        </w:rPr>
        <w:t xml:space="preserve">Deber de verificación del Registro Nacional de Obras Civiles Inconclusas en </w:t>
      </w:r>
      <w:r w:rsidR="00360E6D">
        <w:rPr>
          <w:rFonts w:ascii="Arial" w:eastAsia="Calibri" w:hAnsi="Arial" w:cs="Arial"/>
          <w:b/>
          <w:bCs/>
          <w:color w:val="000000"/>
          <w:sz w:val="22"/>
          <w:lang w:val="es-ES_tradnl" w:eastAsia="en-GB"/>
        </w:rPr>
        <w:t xml:space="preserve">la evaluación de </w:t>
      </w:r>
      <w:r w:rsidR="009B6910">
        <w:rPr>
          <w:rFonts w:ascii="Arial" w:eastAsia="Calibri" w:hAnsi="Arial" w:cs="Arial"/>
          <w:b/>
          <w:bCs/>
          <w:color w:val="000000"/>
          <w:sz w:val="22"/>
          <w:lang w:val="es-ES_tradnl" w:eastAsia="en-GB"/>
        </w:rPr>
        <w:t>las ofertas</w:t>
      </w:r>
      <w:r w:rsidR="00360E6D">
        <w:rPr>
          <w:rFonts w:ascii="Arial" w:eastAsia="Calibri" w:hAnsi="Arial" w:cs="Arial"/>
          <w:b/>
          <w:bCs/>
          <w:color w:val="000000"/>
          <w:sz w:val="22"/>
          <w:lang w:val="es-ES_tradnl" w:eastAsia="en-GB"/>
        </w:rPr>
        <w:t xml:space="preserve"> para la selección de contratistas de obra o interventores</w:t>
      </w:r>
    </w:p>
    <w:p w14:paraId="47C4BBD9" w14:textId="252A38FB" w:rsidR="00BD67B2" w:rsidRPr="00E23980" w:rsidRDefault="00BD67B2" w:rsidP="00567723">
      <w:pPr>
        <w:tabs>
          <w:tab w:val="left" w:pos="0"/>
        </w:tabs>
        <w:spacing w:line="276" w:lineRule="auto"/>
        <w:jc w:val="both"/>
        <w:rPr>
          <w:rFonts w:ascii="Arial" w:eastAsia="Calibri" w:hAnsi="Arial" w:cs="Arial"/>
          <w:color w:val="000000"/>
          <w:sz w:val="22"/>
          <w:lang w:val="es-ES_tradnl" w:eastAsia="en-GB"/>
        </w:rPr>
      </w:pPr>
    </w:p>
    <w:p w14:paraId="1EE85E77" w14:textId="632A5598"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81325C">
        <w:rPr>
          <w:rFonts w:ascii="Arial" w:eastAsia="Calibri" w:hAnsi="Arial" w:cs="Arial"/>
          <w:i/>
          <w:iCs/>
          <w:color w:val="000000"/>
          <w:sz w:val="22"/>
          <w:lang w:val="es-ES_tradnl" w:eastAsia="en-GB"/>
        </w:rPr>
        <w:t>consultar</w:t>
      </w:r>
      <w:r w:rsidRPr="00E23980">
        <w:rPr>
          <w:rFonts w:ascii="Arial" w:eastAsia="Calibri" w:hAnsi="Arial" w:cs="Arial"/>
          <w:color w:val="000000"/>
          <w:sz w:val="22"/>
          <w:lang w:val="es-ES_tradnl" w:eastAsia="en-GB"/>
        </w:rPr>
        <w:t xml:space="preserve"> y </w:t>
      </w:r>
      <w:r w:rsidRPr="0081325C">
        <w:rPr>
          <w:rFonts w:ascii="Arial" w:eastAsia="Calibri" w:hAnsi="Arial" w:cs="Arial"/>
          <w:i/>
          <w:iCs/>
          <w:color w:val="000000"/>
          <w:sz w:val="22"/>
          <w:lang w:val="es-ES_tradnl" w:eastAsia="en-GB"/>
        </w:rPr>
        <w:t>analizar</w:t>
      </w:r>
      <w:r w:rsidRPr="00E23980">
        <w:rPr>
          <w:rFonts w:ascii="Arial" w:eastAsia="Calibri" w:hAnsi="Arial" w:cs="Arial"/>
          <w:color w:val="000000"/>
          <w:sz w:val="22"/>
          <w:lang w:val="es-ES_tradnl" w:eastAsia="en-GB"/>
        </w:rPr>
        <w:t xml:space="preserve"> la información contenida en el Registro Nacional de Obras Civiles Inconclusas. Además, </w:t>
      </w:r>
      <w:r>
        <w:rPr>
          <w:rFonts w:ascii="Arial" w:eastAsia="Calibri" w:hAnsi="Arial" w:cs="Arial"/>
          <w:color w:val="000000"/>
          <w:sz w:val="22"/>
          <w:lang w:val="es-ES_tradnl" w:eastAsia="en-GB"/>
        </w:rPr>
        <w:t>dispone</w:t>
      </w:r>
      <w:r w:rsidRPr="00E23980">
        <w:rPr>
          <w:rFonts w:ascii="Arial" w:eastAsia="Calibri" w:hAnsi="Arial" w:cs="Arial"/>
          <w:color w:val="000000"/>
          <w:sz w:val="22"/>
          <w:lang w:val="es-ES_tradnl" w:eastAsia="en-GB"/>
        </w:rPr>
        <w:t xml:space="preserve"> que en los procesos de selección </w:t>
      </w:r>
      <w:r>
        <w:rPr>
          <w:rFonts w:ascii="Arial" w:eastAsia="Calibri" w:hAnsi="Arial" w:cs="Arial"/>
          <w:color w:val="000000"/>
          <w:sz w:val="22"/>
          <w:lang w:val="es-ES_tradnl" w:eastAsia="en-GB"/>
        </w:rPr>
        <w:t>d</w:t>
      </w:r>
      <w:r w:rsidRPr="00E23980">
        <w:rPr>
          <w:rFonts w:ascii="Arial" w:eastAsia="Calibri" w:hAnsi="Arial" w:cs="Arial"/>
          <w:color w:val="000000"/>
          <w:sz w:val="22"/>
          <w:lang w:val="es-ES_tradnl" w:eastAsia="en-GB"/>
        </w:rPr>
        <w:t>e contratistas de obra e interventores han de considerarse las anotaciones de</w:t>
      </w:r>
      <w:r>
        <w:rPr>
          <w:rFonts w:ascii="Arial" w:eastAsia="Calibri" w:hAnsi="Arial" w:cs="Arial"/>
          <w:color w:val="000000"/>
          <w:sz w:val="22"/>
          <w:lang w:val="es-ES_tradnl" w:eastAsia="en-GB"/>
        </w:rPr>
        <w:t>l</w:t>
      </w:r>
      <w:r w:rsidRPr="00E23980">
        <w:rPr>
          <w:rFonts w:ascii="Arial" w:eastAsia="Calibri" w:hAnsi="Arial" w:cs="Arial"/>
          <w:color w:val="000000"/>
          <w:sz w:val="22"/>
          <w:lang w:val="es-ES_tradnl" w:eastAsia="en-GB"/>
        </w:rPr>
        <w:t xml:space="preserve"> registro en la evaluación de </w:t>
      </w:r>
      <w:r w:rsidR="009B6910">
        <w:rPr>
          <w:rFonts w:ascii="Arial" w:eastAsia="Calibri" w:hAnsi="Arial" w:cs="Arial"/>
          <w:color w:val="000000"/>
          <w:sz w:val="22"/>
          <w:lang w:val="es-ES_tradnl" w:eastAsia="en-GB"/>
        </w:rPr>
        <w:t>las ofertas</w:t>
      </w:r>
      <w:r w:rsidRPr="00E23980">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La norma prescribe lo siguiente</w:t>
      </w:r>
      <w:r w:rsidRPr="00E23980">
        <w:rPr>
          <w:rFonts w:ascii="Arial" w:eastAsia="Calibri" w:hAnsi="Arial" w:cs="Arial"/>
          <w:color w:val="000000"/>
          <w:sz w:val="22"/>
          <w:lang w:val="es-ES_tradnl" w:eastAsia="en-GB"/>
        </w:rPr>
        <w:t>:</w:t>
      </w:r>
    </w:p>
    <w:p w14:paraId="537CB646" w14:textId="77777777"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p>
    <w:p w14:paraId="72697A5C"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538820F1"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2864B1C4" w14:textId="51A3A7D5"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 xml:space="preserve">Cualquier controversia o solicitud que surja en relación con los reportes </w:t>
      </w:r>
      <w:r w:rsidR="003D3109">
        <w:rPr>
          <w:rFonts w:ascii="Arial" w:eastAsia="Calibri" w:hAnsi="Arial" w:cs="Arial"/>
          <w:color w:val="000000"/>
          <w:sz w:val="21"/>
          <w:szCs w:val="21"/>
          <w:lang w:val="es-ES_tradnl" w:eastAsia="en-GB"/>
        </w:rPr>
        <w:t>de</w:t>
      </w:r>
      <w:r w:rsidRPr="00E23980">
        <w:rPr>
          <w:rFonts w:ascii="Arial" w:eastAsia="Calibri" w:hAnsi="Arial" w:cs="Arial"/>
          <w:color w:val="000000"/>
          <w:sz w:val="21"/>
          <w:szCs w:val="21"/>
          <w:lang w:val="es-ES_tradnl" w:eastAsia="en-GB"/>
        </w:rPr>
        <w:t xml:space="preserve"> información que suministre la entidad contratante, serán resueltos por esta, atendiendo los principios y disposiciones establecidos en la normatividad vigente.</w:t>
      </w:r>
    </w:p>
    <w:p w14:paraId="3A047B7A" w14:textId="77777777"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p>
    <w:p w14:paraId="5901D7E7" w14:textId="77777777" w:rsidR="00466861" w:rsidRDefault="00466861" w:rsidP="00466861">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se observa, el artículo citado prescribe que las entidades estatales deben revisar «</w:t>
      </w:r>
      <w:r w:rsidRPr="00C62BBB">
        <w:rPr>
          <w:rFonts w:ascii="Arial" w:eastAsia="Calibri" w:hAnsi="Arial" w:cs="Arial"/>
          <w:color w:val="000000"/>
          <w:sz w:val="22"/>
          <w:lang w:val="es-ES_tradnl" w:eastAsia="en-GB"/>
        </w:rPr>
        <w:t xml:space="preserve">[…] las </w:t>
      </w:r>
      <w:r w:rsidRPr="00414246">
        <w:rPr>
          <w:rFonts w:ascii="Arial" w:eastAsia="Calibri" w:hAnsi="Arial" w:cs="Arial"/>
          <w:color w:val="000000"/>
          <w:sz w:val="22"/>
          <w:lang w:val="es-ES_tradnl" w:eastAsia="en-GB"/>
        </w:rPr>
        <w:t>anotaciones vigentes en el Registro Nacional de Obras Civiles Inconclusas al momento de evaluar los factores de ponderación de calidad, establecidos en el literal a) del artículo 5o de la Ley 1150 de 2007 o la norma que la modifique</w:t>
      </w:r>
      <w:r>
        <w:rPr>
          <w:rFonts w:ascii="Arial" w:eastAsia="Calibri" w:hAnsi="Arial" w:cs="Arial"/>
          <w:color w:val="000000"/>
          <w:sz w:val="22"/>
          <w:lang w:val="es-ES_tradnl" w:eastAsia="en-GB"/>
        </w:rPr>
        <w:t>»</w:t>
      </w:r>
      <w:r w:rsidRPr="00414246">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Teniendo en cuenta que el artículo 6 de la Ley 2020 de 2020 se remite al literal a) del artículo 5 de la Ley 1150 de 2007, conviene recordar lo señalado en dicho enunciado normativo. Este consagra los criterios para garantizar la </w:t>
      </w:r>
      <w:r w:rsidRPr="00B1741D">
        <w:rPr>
          <w:rFonts w:ascii="Arial" w:eastAsia="Calibri" w:hAnsi="Arial" w:cs="Arial"/>
          <w:i/>
          <w:iCs/>
          <w:color w:val="000000"/>
          <w:sz w:val="22"/>
          <w:lang w:val="es-ES_tradnl" w:eastAsia="en-GB"/>
        </w:rPr>
        <w:t>selección objetiva</w:t>
      </w:r>
      <w:r>
        <w:rPr>
          <w:rFonts w:ascii="Arial" w:eastAsia="Calibri" w:hAnsi="Arial" w:cs="Arial"/>
          <w:color w:val="000000"/>
          <w:sz w:val="22"/>
          <w:lang w:val="es-ES_tradnl" w:eastAsia="en-GB"/>
        </w:rPr>
        <w:t xml:space="preserve"> en los procedimientos contractuales, precisando la metodología con la cual pueden establecerse tanto los requisitos habilitantes como los criterios de evaluación. En lo pertinente, la norma dispone que:</w:t>
      </w:r>
    </w:p>
    <w:p w14:paraId="36C497EE" w14:textId="77777777" w:rsidR="00466861" w:rsidRPr="00B92751" w:rsidRDefault="00466861" w:rsidP="00466861">
      <w:pPr>
        <w:tabs>
          <w:tab w:val="left" w:pos="0"/>
        </w:tabs>
        <w:ind w:right="709"/>
        <w:jc w:val="both"/>
        <w:rPr>
          <w:rFonts w:ascii="Arial" w:eastAsia="Calibri" w:hAnsi="Arial" w:cs="Arial"/>
          <w:color w:val="000000"/>
          <w:sz w:val="21"/>
          <w:szCs w:val="21"/>
          <w:lang w:val="es-ES_tradnl" w:eastAsia="en-GB"/>
        </w:rPr>
      </w:pPr>
    </w:p>
    <w:p w14:paraId="2F05453A"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 xml:space="preserve">[…] </w:t>
      </w:r>
      <w:r w:rsidRPr="00B92751">
        <w:rPr>
          <w:rFonts w:ascii="Arial" w:eastAsia="Calibri" w:hAnsi="Arial" w:cs="Arial"/>
          <w:color w:val="000000"/>
          <w:sz w:val="21"/>
          <w:szCs w:val="21"/>
          <w:lang w:val="es-ES_tradnl" w:eastAsia="en-GB"/>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83D8BA6"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lastRenderedPageBreak/>
        <w:t>En los procesos de selección en los que se tenga en cuenta los factores técnicos y económicos, la oferta más ventajosa será la que resulte de aplicar alguna de las siguientes alternativas:</w:t>
      </w:r>
    </w:p>
    <w:p w14:paraId="6C234761"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78286B">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2076399E" w14:textId="77777777" w:rsidR="00466861" w:rsidRPr="00B92751" w:rsidRDefault="00466861" w:rsidP="00466861">
      <w:pPr>
        <w:tabs>
          <w:tab w:val="left" w:pos="0"/>
        </w:tabs>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b) La ponderación de los elementos de calidad y precio que representen la mejor relación de costo-beneficio para la entidad</w:t>
      </w:r>
      <w:r>
        <w:rPr>
          <w:rFonts w:ascii="Arial" w:eastAsia="Calibri" w:hAnsi="Arial" w:cs="Arial"/>
          <w:color w:val="000000"/>
          <w:sz w:val="21"/>
          <w:szCs w:val="21"/>
          <w:lang w:val="es-ES_tradnl" w:eastAsia="en-GB"/>
        </w:rPr>
        <w:t>. (Énfasis fuera de texto)</w:t>
      </w:r>
    </w:p>
    <w:p w14:paraId="728D3318" w14:textId="77777777" w:rsidR="00466861" w:rsidRDefault="00466861" w:rsidP="00466861">
      <w:pPr>
        <w:tabs>
          <w:tab w:val="left" w:pos="0"/>
        </w:tabs>
        <w:ind w:left="709" w:right="709"/>
        <w:jc w:val="both"/>
        <w:rPr>
          <w:rFonts w:ascii="Arial" w:eastAsia="Calibri" w:hAnsi="Arial" w:cs="Arial"/>
          <w:color w:val="000000"/>
          <w:sz w:val="21"/>
          <w:szCs w:val="21"/>
          <w:lang w:val="es-ES_tradnl" w:eastAsia="en-GB"/>
        </w:rPr>
      </w:pPr>
    </w:p>
    <w:p w14:paraId="2DEE119C" w14:textId="77777777"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4B76D3">
        <w:rPr>
          <w:rFonts w:ascii="Arial" w:eastAsia="Calibri" w:hAnsi="Arial" w:cs="Arial"/>
          <w:iCs/>
          <w:color w:val="000000"/>
          <w:sz w:val="22"/>
          <w:lang w:val="es-ES_tradnl" w:eastAsia="en-GB"/>
        </w:rPr>
        <w:t>no</w:t>
      </w:r>
      <w:r w:rsidRPr="004B76D3">
        <w:rPr>
          <w:rFonts w:ascii="Arial" w:eastAsia="Calibri" w:hAnsi="Arial" w:cs="Arial"/>
          <w:color w:val="000000"/>
          <w:sz w:val="22"/>
          <w:lang w:val="es-ES_tradnl" w:eastAsia="en-GB"/>
        </w:rPr>
        <w:t xml:space="preserve"> los define,</w:t>
      </w:r>
      <w:r>
        <w:rPr>
          <w:rFonts w:ascii="Arial" w:eastAsia="Calibri" w:hAnsi="Arial" w:cs="Arial"/>
          <w:color w:val="000000"/>
          <w:sz w:val="22"/>
          <w:lang w:val="es-ES_tradnl" w:eastAsia="en-GB"/>
        </w:rPr>
        <w:t xml:space="preserve"> sino que se limita a mencionarlos de manera genérica. En efecto, el literal a) de dicho artículo está precedido por un inciso que establece: «</w:t>
      </w:r>
      <w:r w:rsidRPr="00F93E41">
        <w:rPr>
          <w:rFonts w:ascii="Arial" w:eastAsia="Calibri" w:hAnsi="Arial" w:cs="Arial"/>
          <w:color w:val="000000"/>
          <w:sz w:val="22"/>
          <w:lang w:val="es-ES_tradnl" w:eastAsia="en-GB"/>
        </w:rPr>
        <w:t>En los procesos de selección en los que se tenga en cuenta los factores técnicos y económicos, la oferta más ventajosa será la que resulte de aplicar alguna de las siguientes alternativas</w:t>
      </w:r>
      <w:r>
        <w:rPr>
          <w:rFonts w:ascii="Arial" w:eastAsia="Calibri" w:hAnsi="Arial" w:cs="Arial"/>
          <w:color w:val="000000"/>
          <w:sz w:val="22"/>
          <w:lang w:val="es-ES_tradnl" w:eastAsia="en-GB"/>
        </w:rPr>
        <w:t>»; y, a renglón seguido, dentro de las «alternativas», el legislador incorpora la siguiente: «</w:t>
      </w:r>
      <w:r w:rsidRPr="006959A5">
        <w:rPr>
          <w:rFonts w:ascii="Arial" w:eastAsia="Calibri" w:hAnsi="Arial" w:cs="Arial"/>
          <w:color w:val="000000"/>
          <w:sz w:val="22"/>
          <w:lang w:val="es-ES_tradnl" w:eastAsia="en-GB"/>
        </w:rPr>
        <w:t>a) La ponderación de los elementos de calidad y precio soportados en puntajes o fórmulas señaladas en el pliego de condiciones</w:t>
      </w:r>
      <w:r>
        <w:rPr>
          <w:rFonts w:ascii="Arial" w:eastAsia="Calibri" w:hAnsi="Arial" w:cs="Arial"/>
          <w:color w:val="000000"/>
          <w:sz w:val="22"/>
          <w:lang w:val="es-ES_tradnl" w:eastAsia="en-GB"/>
        </w:rPr>
        <w:t>».</w:t>
      </w:r>
    </w:p>
    <w:p w14:paraId="21266B1C" w14:textId="5D58128C"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w:t>
      </w:r>
      <w:r w:rsidRPr="00241618">
        <w:rPr>
          <w:rFonts w:ascii="Arial" w:eastAsia="Calibri" w:hAnsi="Arial" w:cs="Arial"/>
          <w:color w:val="FF0000"/>
          <w:sz w:val="22"/>
          <w:lang w:val="es-ES_tradnl" w:eastAsia="en-GB"/>
        </w:rPr>
        <w:t xml:space="preserve">. </w:t>
      </w:r>
      <w:r>
        <w:rPr>
          <w:rFonts w:ascii="Arial" w:eastAsia="Calibri" w:hAnsi="Arial" w:cs="Arial"/>
          <w:color w:val="000000"/>
          <w:sz w:val="22"/>
          <w:lang w:val="es-ES_tradnl" w:eastAsia="en-GB"/>
        </w:rPr>
        <w:t>De igual forma, el legislador no estableció una fórmula o metodología específica para realizar esta ponderación, sino que también lo dejó librado a la apreciación de las entidades públicas interesadas en contratar.</w:t>
      </w:r>
    </w:p>
    <w:p w14:paraId="59E7D80E" w14:textId="7CDE7757"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 xml:space="preserve">Esta Subdirección se ha pronunciado sobre el reconocimiento de la discrecionalidad administrativa como modelo de asignación de potestades en la contratación estatal. Por ejemplo, en el Concepto C-120 del 3 de marzo de 2020 </w:t>
      </w:r>
      <w:r w:rsidR="003D3109">
        <w:rPr>
          <w:rFonts w:ascii="Arial" w:eastAsia="Calibri" w:hAnsi="Arial" w:cs="Arial"/>
          <w:color w:val="000000"/>
          <w:sz w:val="22"/>
          <w:lang w:val="es-ES_tradnl" w:eastAsia="en-GB"/>
        </w:rPr>
        <w:t>señaló</w:t>
      </w:r>
      <w:r>
        <w:rPr>
          <w:rFonts w:ascii="Arial" w:eastAsia="Calibri" w:hAnsi="Arial" w:cs="Arial"/>
          <w:color w:val="000000"/>
          <w:sz w:val="22"/>
          <w:lang w:val="es-ES_tradnl" w:eastAsia="en-GB"/>
        </w:rPr>
        <w:t xml:space="preserve"> que si bien la discrecionalidad implica un espacio de libertad para las entidades estales, en todo caso, al hacer uso de ella, deben observar el artículo 44 de la Ley 1437 de 2011, según el cual </w:t>
      </w:r>
      <w:r>
        <w:rPr>
          <w:rFonts w:ascii="Arial" w:hAnsi="Arial" w:cs="Arial"/>
          <w:color w:val="000000" w:themeColor="text1"/>
          <w:sz w:val="22"/>
        </w:rPr>
        <w:t xml:space="preserve">la decisión debe ser </w:t>
      </w:r>
      <w:r w:rsidRPr="00ED3C26">
        <w:rPr>
          <w:rFonts w:ascii="Arial" w:hAnsi="Arial" w:cs="Arial"/>
          <w:color w:val="000000" w:themeColor="text1"/>
          <w:sz w:val="22"/>
        </w:rPr>
        <w:t>adecuada y proporcional al trámite y a los hechos que lo motivaron</w:t>
      </w:r>
      <w:r>
        <w:rPr>
          <w:rStyle w:val="Refdenotaalpie"/>
          <w:rFonts w:ascii="Arial" w:hAnsi="Arial" w:cs="Arial"/>
          <w:color w:val="000000" w:themeColor="text1"/>
          <w:sz w:val="22"/>
        </w:rPr>
        <w:footnoteReference w:id="10"/>
      </w:r>
      <w:r>
        <w:rPr>
          <w:rFonts w:ascii="Arial" w:hAnsi="Arial" w:cs="Arial"/>
          <w:color w:val="000000" w:themeColor="text1"/>
          <w:sz w:val="22"/>
        </w:rPr>
        <w:t xml:space="preserve">. Este también ha sido el entendimiento de la doctrina, que ha considerado que el ejercicio de la discrecionalidad administrativa debe respetar </w:t>
      </w:r>
      <w:r w:rsidRPr="00ED3C26">
        <w:rPr>
          <w:rFonts w:ascii="Arial" w:hAnsi="Arial" w:cs="Arial"/>
          <w:color w:val="000000" w:themeColor="text1"/>
          <w:sz w:val="22"/>
        </w:rPr>
        <w:t>el principio de proporcionalidad</w:t>
      </w:r>
      <w:r w:rsidRPr="00ED3C26">
        <w:rPr>
          <w:rStyle w:val="Refdenotaalpie"/>
          <w:rFonts w:ascii="Arial" w:hAnsi="Arial" w:cs="Arial"/>
          <w:color w:val="000000" w:themeColor="text1"/>
          <w:sz w:val="22"/>
        </w:rPr>
        <w:footnoteReference w:id="11"/>
      </w:r>
      <w:r>
        <w:rPr>
          <w:rFonts w:ascii="Arial" w:hAnsi="Arial" w:cs="Arial"/>
          <w:color w:val="000000" w:themeColor="text1"/>
          <w:sz w:val="22"/>
        </w:rPr>
        <w:t>.</w:t>
      </w:r>
    </w:p>
    <w:p w14:paraId="2E58647C" w14:textId="0D3422EC"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lastRenderedPageBreak/>
        <w:t xml:space="preserve">Esta discrecionalidad también se encuentra presente al momento de elaborar el pliego de condiciones y específicamente, al definir los criterios de calificación con puntos. </w:t>
      </w:r>
      <w:r w:rsidR="003D3109">
        <w:rPr>
          <w:rFonts w:ascii="Arial" w:hAnsi="Arial" w:cs="Arial"/>
          <w:color w:val="000000" w:themeColor="text1"/>
          <w:sz w:val="22"/>
        </w:rPr>
        <w:t xml:space="preserve">Entre </w:t>
      </w:r>
      <w:r>
        <w:rPr>
          <w:rFonts w:ascii="Arial" w:hAnsi="Arial" w:cs="Arial"/>
          <w:color w:val="000000" w:themeColor="text1"/>
          <w:sz w:val="22"/>
        </w:rPr>
        <w:t xml:space="preserve">estos criterios se encuentran los elementos de calidad y precio indicados en el artículo 5, numeral 2, literal a), de la Ley 1150 de 2007. Por ello la Sección Tercera del Consejo de Estado considera que: </w:t>
      </w:r>
    </w:p>
    <w:p w14:paraId="1013A2E5" w14:textId="77777777" w:rsidR="00466861" w:rsidRPr="0081325C" w:rsidRDefault="00466861" w:rsidP="00466861">
      <w:pPr>
        <w:tabs>
          <w:tab w:val="left" w:pos="0"/>
        </w:tabs>
        <w:spacing w:line="276" w:lineRule="auto"/>
        <w:ind w:left="709" w:right="709"/>
        <w:jc w:val="both"/>
        <w:rPr>
          <w:rFonts w:ascii="Arial" w:eastAsia="Calibri" w:hAnsi="Arial" w:cs="Arial"/>
          <w:color w:val="000000"/>
          <w:sz w:val="22"/>
          <w:szCs w:val="22"/>
          <w:lang w:val="es-ES_tradnl" w:eastAsia="en-GB"/>
        </w:rPr>
      </w:pPr>
    </w:p>
    <w:p w14:paraId="5C5CE75C" w14:textId="77777777" w:rsidR="00466861" w:rsidRPr="00DB02D7" w:rsidRDefault="00466861" w:rsidP="00466861">
      <w:pPr>
        <w:tabs>
          <w:tab w:val="left" w:pos="0"/>
        </w:tabs>
        <w:ind w:left="709" w:right="709"/>
        <w:jc w:val="both"/>
        <w:rPr>
          <w:rFonts w:ascii="Arial" w:eastAsia="Calibri" w:hAnsi="Arial" w:cs="Arial"/>
          <w:color w:val="000000"/>
          <w:sz w:val="21"/>
          <w:szCs w:val="21"/>
          <w:lang w:val="es-ES_tradnl" w:eastAsia="en-GB"/>
        </w:rPr>
      </w:pPr>
      <w:r w:rsidRPr="00A63DF7">
        <w:rPr>
          <w:rFonts w:ascii="Arial" w:eastAsia="Calibri" w:hAnsi="Arial" w:cs="Arial"/>
          <w:color w:val="000000"/>
          <w:sz w:val="21"/>
          <w:szCs w:val="21"/>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Pr>
          <w:rStyle w:val="Refdenotaalpie"/>
          <w:rFonts w:ascii="Arial" w:eastAsia="Calibri" w:hAnsi="Arial" w:cs="Arial"/>
          <w:color w:val="000000"/>
          <w:sz w:val="21"/>
          <w:szCs w:val="21"/>
          <w:lang w:val="es-ES_tradnl" w:eastAsia="en-GB"/>
        </w:rPr>
        <w:footnoteReference w:id="12"/>
      </w:r>
      <w:r w:rsidRPr="00A63DF7">
        <w:rPr>
          <w:rFonts w:ascii="Arial" w:eastAsia="Calibri" w:hAnsi="Arial" w:cs="Arial"/>
          <w:color w:val="000000"/>
          <w:sz w:val="21"/>
          <w:szCs w:val="21"/>
          <w:lang w:val="es-ES_tradnl" w:eastAsia="en-GB"/>
        </w:rPr>
        <w:t>.</w:t>
      </w:r>
    </w:p>
    <w:p w14:paraId="732488CA" w14:textId="77777777" w:rsidR="00466861" w:rsidRDefault="00466861" w:rsidP="00466861">
      <w:pPr>
        <w:tabs>
          <w:tab w:val="left" w:pos="0"/>
        </w:tabs>
        <w:spacing w:line="276" w:lineRule="auto"/>
        <w:ind w:firstLine="709"/>
        <w:jc w:val="both"/>
        <w:rPr>
          <w:rFonts w:ascii="Arial" w:hAnsi="Arial" w:cs="Arial"/>
          <w:color w:val="000000" w:themeColor="text1"/>
          <w:sz w:val="22"/>
        </w:rPr>
      </w:pPr>
    </w:p>
    <w:p w14:paraId="5BA09B73" w14:textId="75F484F8" w:rsidR="00466861" w:rsidRDefault="00466861" w:rsidP="00466861">
      <w:pPr>
        <w:spacing w:line="276" w:lineRule="auto"/>
        <w:ind w:firstLine="709"/>
        <w:jc w:val="both"/>
        <w:rPr>
          <w:rFonts w:ascii="Arial" w:hAnsi="Arial" w:cs="Arial"/>
          <w:color w:val="000000" w:themeColor="text1"/>
          <w:sz w:val="22"/>
        </w:rPr>
      </w:pPr>
      <w:r>
        <w:rPr>
          <w:rFonts w:ascii="Arial" w:hAnsi="Arial" w:cs="Arial"/>
          <w:color w:val="000000" w:themeColor="text1"/>
          <w:sz w:val="22"/>
        </w:rPr>
        <w:t>Por lo tanto, cuando el artículo 6 de la Ley 2020 de 2020 establece que «</w:t>
      </w:r>
      <w:r w:rsidRPr="00DB3165">
        <w:rPr>
          <w:rFonts w:ascii="Arial" w:hAnsi="Arial" w:cs="Arial"/>
          <w:color w:val="000000" w:themeColor="text1"/>
          <w:sz w:val="22"/>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r>
        <w:rPr>
          <w:rFonts w:ascii="Arial" w:hAnsi="Arial" w:cs="Arial"/>
          <w:color w:val="000000" w:themeColor="text1"/>
          <w:sz w:val="22"/>
        </w:rPr>
        <w:t>», significa que al aplicar dichos criterios de calificación con puntos dentro del procedimiento contractual, las entidades estatales deben servirse de la información contenida en el Registro</w:t>
      </w:r>
      <w:r w:rsidR="006204FE">
        <w:rPr>
          <w:rFonts w:ascii="Arial" w:hAnsi="Arial" w:cs="Arial"/>
          <w:color w:val="000000" w:themeColor="text1"/>
          <w:sz w:val="22"/>
        </w:rPr>
        <w:t xml:space="preserve"> y de las actualizaciones </w:t>
      </w:r>
      <w:r w:rsidR="006C4461">
        <w:rPr>
          <w:rFonts w:ascii="Arial" w:hAnsi="Arial" w:cs="Arial"/>
          <w:color w:val="000000" w:themeColor="text1"/>
          <w:sz w:val="22"/>
        </w:rPr>
        <w:t>de dicha información</w:t>
      </w:r>
      <w:r w:rsidR="00C35206">
        <w:rPr>
          <w:rFonts w:ascii="Arial" w:hAnsi="Arial" w:cs="Arial"/>
          <w:color w:val="000000" w:themeColor="text1"/>
          <w:sz w:val="22"/>
        </w:rPr>
        <w:t xml:space="preserve"> </w:t>
      </w:r>
      <w:r w:rsidR="006204FE">
        <w:rPr>
          <w:rFonts w:ascii="Arial" w:hAnsi="Arial" w:cs="Arial"/>
          <w:color w:val="000000" w:themeColor="text1"/>
          <w:sz w:val="22"/>
        </w:rPr>
        <w:t>que se reporten por parte de la Contraloría General de la Rep</w:t>
      </w:r>
      <w:r w:rsidR="003D3109">
        <w:rPr>
          <w:rFonts w:ascii="Arial" w:hAnsi="Arial" w:cs="Arial"/>
          <w:color w:val="000000" w:themeColor="text1"/>
          <w:sz w:val="22"/>
        </w:rPr>
        <w:t>ú</w:t>
      </w:r>
      <w:r w:rsidR="006204FE">
        <w:rPr>
          <w:rFonts w:ascii="Arial" w:hAnsi="Arial" w:cs="Arial"/>
          <w:color w:val="000000" w:themeColor="text1"/>
          <w:sz w:val="22"/>
        </w:rPr>
        <w:t>blica y de las entidades estatales</w:t>
      </w:r>
      <w:r w:rsidR="006C4461">
        <w:rPr>
          <w:rFonts w:ascii="Arial" w:hAnsi="Arial" w:cs="Arial"/>
          <w:color w:val="000000" w:themeColor="text1"/>
          <w:sz w:val="22"/>
        </w:rPr>
        <w:t>, conf</w:t>
      </w:r>
      <w:r w:rsidR="00C35206">
        <w:rPr>
          <w:rFonts w:ascii="Arial" w:hAnsi="Arial" w:cs="Arial"/>
          <w:color w:val="000000" w:themeColor="text1"/>
          <w:sz w:val="22"/>
        </w:rPr>
        <w:t>orme lo establece el</w:t>
      </w:r>
      <w:r w:rsidR="006C4461">
        <w:rPr>
          <w:rFonts w:ascii="Arial" w:hAnsi="Arial" w:cs="Arial"/>
          <w:color w:val="000000" w:themeColor="text1"/>
          <w:sz w:val="22"/>
        </w:rPr>
        <w:t xml:space="preserve"> artículo 3 de la Ley 2020 de 2020. </w:t>
      </w:r>
      <w:r w:rsidR="00484E3F">
        <w:rPr>
          <w:rFonts w:ascii="Arial" w:eastAsiaTheme="minorHAnsi" w:hAnsi="Arial" w:cs="Arial"/>
          <w:sz w:val="22"/>
          <w:szCs w:val="22"/>
          <w:lang w:val="es-MX" w:eastAsia="en-US"/>
        </w:rPr>
        <w:t xml:space="preserve">En este contexto, las entidades deberán examinar la particularidad de la anotación y determinar </w:t>
      </w:r>
      <w:r w:rsidR="00D65451">
        <w:rPr>
          <w:rFonts w:ascii="Arial" w:eastAsiaTheme="minorHAnsi" w:hAnsi="Arial" w:cs="Arial"/>
          <w:sz w:val="22"/>
          <w:szCs w:val="22"/>
          <w:lang w:val="es-MX" w:eastAsia="en-US"/>
        </w:rPr>
        <w:t xml:space="preserve">si ésta </w:t>
      </w:r>
      <w:r w:rsidR="00484E3F">
        <w:rPr>
          <w:rFonts w:ascii="Arial" w:eastAsiaTheme="minorHAnsi" w:hAnsi="Arial" w:cs="Arial"/>
          <w:sz w:val="22"/>
          <w:szCs w:val="22"/>
          <w:lang w:val="es-MX" w:eastAsia="en-US"/>
        </w:rPr>
        <w:t xml:space="preserve">afectará </w:t>
      </w:r>
      <w:r w:rsidR="00042B91">
        <w:rPr>
          <w:rFonts w:ascii="Arial" w:eastAsiaTheme="minorHAnsi" w:hAnsi="Arial" w:cs="Arial"/>
          <w:sz w:val="22"/>
          <w:szCs w:val="22"/>
          <w:lang w:val="es-MX" w:eastAsia="en-US"/>
        </w:rPr>
        <w:t xml:space="preserve">la ponderación </w:t>
      </w:r>
      <w:r w:rsidR="00484E3F">
        <w:rPr>
          <w:rFonts w:ascii="Arial" w:eastAsiaTheme="minorHAnsi" w:hAnsi="Arial" w:cs="Arial"/>
          <w:sz w:val="22"/>
          <w:szCs w:val="22"/>
          <w:lang w:val="es-MX" w:eastAsia="en-US"/>
        </w:rPr>
        <w:t>al momento de realizar la respectiva evaluación.</w:t>
      </w:r>
    </w:p>
    <w:p w14:paraId="09358323" w14:textId="4C25E59E" w:rsidR="00484E3F" w:rsidRDefault="00484E3F" w:rsidP="00CE5AAD">
      <w:pPr>
        <w:spacing w:before="120" w:line="276" w:lineRule="auto"/>
        <w:ind w:firstLine="709"/>
        <w:jc w:val="both"/>
        <w:rPr>
          <w:rFonts w:ascii="Arial" w:hAnsi="Arial" w:cs="Arial"/>
          <w:color w:val="000000" w:themeColor="text1"/>
          <w:sz w:val="22"/>
          <w:lang w:val="es-MX"/>
        </w:rPr>
      </w:pPr>
      <w:r>
        <w:rPr>
          <w:rFonts w:ascii="Arial" w:hAnsi="Arial" w:cs="Arial"/>
          <w:color w:val="000000" w:themeColor="text1"/>
          <w:sz w:val="22"/>
        </w:rPr>
        <w:t xml:space="preserve">De esta manera, como las entidades estatales cuentan con discrecionalidad para determinar los criterios de calificación, </w:t>
      </w:r>
      <w:r w:rsidRPr="003B28F8">
        <w:rPr>
          <w:rFonts w:ascii="Arial" w:hAnsi="Arial" w:cs="Arial"/>
          <w:color w:val="000000" w:themeColor="text1"/>
          <w:sz w:val="22"/>
        </w:rPr>
        <w:t>corresponde a estas definir</w:t>
      </w:r>
      <w:r>
        <w:rPr>
          <w:rFonts w:ascii="Arial" w:hAnsi="Arial" w:cs="Arial"/>
          <w:color w:val="000000" w:themeColor="text1"/>
          <w:sz w:val="22"/>
        </w:rPr>
        <w:t xml:space="preserve">, en los pliegos de condiciones, los factores de </w:t>
      </w:r>
      <w:r w:rsidR="009B6910">
        <w:rPr>
          <w:rFonts w:ascii="Arial" w:hAnsi="Arial" w:cs="Arial"/>
          <w:color w:val="000000" w:themeColor="text1"/>
          <w:sz w:val="22"/>
        </w:rPr>
        <w:t>asignación de puntaje</w:t>
      </w:r>
      <w:r>
        <w:rPr>
          <w:rFonts w:ascii="Arial" w:hAnsi="Arial" w:cs="Arial"/>
          <w:color w:val="000000" w:themeColor="text1"/>
          <w:sz w:val="22"/>
        </w:rPr>
        <w:t xml:space="preserve"> y</w:t>
      </w:r>
      <w:r w:rsidRPr="003B28F8">
        <w:rPr>
          <w:rFonts w:ascii="Arial" w:hAnsi="Arial" w:cs="Arial"/>
          <w:color w:val="000000" w:themeColor="text1"/>
          <w:sz w:val="22"/>
          <w:lang w:val="es-ES_tradnl"/>
        </w:rPr>
        <w:t xml:space="preserve"> la forma en que se realizará la </w:t>
      </w:r>
      <w:r w:rsidRPr="003B28F8">
        <w:rPr>
          <w:rFonts w:ascii="Arial" w:hAnsi="Arial" w:cs="Arial"/>
          <w:color w:val="000000" w:themeColor="text1"/>
          <w:sz w:val="22"/>
          <w:lang w:val="es-ES_tradnl"/>
        </w:rPr>
        <w:lastRenderedPageBreak/>
        <w:t xml:space="preserve">valoración de las anotaciones vigentes en el Registro Nacional de Obras Civiles Inconclusas al momento de </w:t>
      </w:r>
      <w:r w:rsidR="009B6910">
        <w:rPr>
          <w:rFonts w:ascii="Arial" w:hAnsi="Arial" w:cs="Arial"/>
          <w:color w:val="000000" w:themeColor="text1"/>
          <w:sz w:val="22"/>
          <w:lang w:val="es-ES_tradnl"/>
        </w:rPr>
        <w:t>evaluar las ofertas</w:t>
      </w:r>
      <w:r w:rsidRPr="003B28F8">
        <w:rPr>
          <w:rFonts w:ascii="Arial" w:hAnsi="Arial" w:cs="Arial"/>
          <w:color w:val="000000" w:themeColor="text1"/>
          <w:sz w:val="22"/>
          <w:lang w:val="es-ES_tradnl"/>
        </w:rPr>
        <w:t xml:space="preserve">, conforme a los parámetros del artículo 6 de la </w:t>
      </w:r>
      <w:r>
        <w:rPr>
          <w:rFonts w:ascii="Arial" w:hAnsi="Arial" w:cs="Arial"/>
          <w:color w:val="000000" w:themeColor="text1"/>
          <w:sz w:val="22"/>
          <w:lang w:val="es-ES_tradnl"/>
        </w:rPr>
        <w:t>L</w:t>
      </w:r>
      <w:r w:rsidRPr="003B28F8">
        <w:rPr>
          <w:rFonts w:ascii="Arial" w:hAnsi="Arial" w:cs="Arial"/>
          <w:color w:val="000000" w:themeColor="text1"/>
          <w:sz w:val="22"/>
          <w:lang w:val="es-ES_tradnl"/>
        </w:rPr>
        <w:t>ey 2020 de 2020</w:t>
      </w:r>
      <w:r w:rsidRPr="003B28F8">
        <w:rPr>
          <w:rFonts w:ascii="Arial" w:hAnsi="Arial" w:cs="Arial"/>
          <w:color w:val="000000" w:themeColor="text1"/>
          <w:sz w:val="22"/>
        </w:rPr>
        <w:t xml:space="preserve">. </w:t>
      </w:r>
      <w:r w:rsidRPr="000C76A6">
        <w:rPr>
          <w:rFonts w:ascii="Arial" w:hAnsi="Arial" w:cs="Arial"/>
          <w:color w:val="000000" w:themeColor="text1"/>
          <w:sz w:val="22"/>
        </w:rPr>
        <w:t>Lo anterior, teniendo en cuenta</w:t>
      </w:r>
      <w:r w:rsidR="00CE5AAD">
        <w:rPr>
          <w:rFonts w:ascii="Arial" w:hAnsi="Arial" w:cs="Arial"/>
          <w:color w:val="000000" w:themeColor="text1"/>
          <w:sz w:val="22"/>
        </w:rPr>
        <w:t xml:space="preserve"> </w:t>
      </w:r>
      <w:r w:rsidRPr="000C76A6">
        <w:rPr>
          <w:rFonts w:ascii="Arial" w:hAnsi="Arial" w:cs="Arial"/>
          <w:color w:val="000000" w:themeColor="text1"/>
          <w:sz w:val="22"/>
        </w:rPr>
        <w:t xml:space="preserve">que </w:t>
      </w:r>
      <w:r w:rsidRPr="000C76A6">
        <w:rPr>
          <w:rFonts w:ascii="Arial" w:hAnsi="Arial" w:cs="Arial"/>
          <w:color w:val="000000" w:themeColor="text1"/>
          <w:sz w:val="22"/>
          <w:lang w:val="es-MX"/>
        </w:rPr>
        <w:t>la norma no restringió a una metodología específica el análisis y la valoración de estas anotaciones</w:t>
      </w:r>
      <w:r w:rsidRPr="00CE5AAD">
        <w:rPr>
          <w:rFonts w:ascii="Arial" w:hAnsi="Arial" w:cs="Arial"/>
          <w:color w:val="000000" w:themeColor="text1"/>
          <w:sz w:val="22"/>
          <w:lang w:val="es-MX"/>
        </w:rPr>
        <w:t>.</w:t>
      </w:r>
      <w:r w:rsidR="00CE5AAD" w:rsidRPr="00CE5AAD">
        <w:rPr>
          <w:rFonts w:ascii="Arial" w:hAnsi="Arial" w:cs="Arial"/>
          <w:color w:val="000000" w:themeColor="text1"/>
          <w:sz w:val="22"/>
          <w:lang w:val="es-MX"/>
        </w:rPr>
        <w:t xml:space="preserve"> </w:t>
      </w:r>
    </w:p>
    <w:p w14:paraId="50A791C5" w14:textId="6DFE4B96" w:rsidR="00A97430" w:rsidRDefault="002F7C31" w:rsidP="00331927">
      <w:pPr>
        <w:spacing w:before="120" w:line="276" w:lineRule="auto"/>
        <w:ind w:firstLine="709"/>
        <w:jc w:val="both"/>
        <w:rPr>
          <w:rFonts w:ascii="Arial" w:eastAsia="Calibri" w:hAnsi="Arial" w:cs="Arial"/>
          <w:color w:val="000000"/>
          <w:sz w:val="22"/>
          <w:lang w:val="es-ES_tradnl" w:eastAsia="en-GB"/>
        </w:rPr>
      </w:pPr>
      <w:r w:rsidRPr="00655D4C">
        <w:rPr>
          <w:rFonts w:ascii="Arial" w:hAnsi="Arial" w:cs="Arial"/>
          <w:color w:val="000000" w:themeColor="text1"/>
          <w:sz w:val="22"/>
        </w:rPr>
        <w:t>Sin embargo,</w:t>
      </w:r>
      <w:r w:rsidR="00AA7878">
        <w:rPr>
          <w:rFonts w:ascii="Arial" w:hAnsi="Arial" w:cs="Arial"/>
          <w:color w:val="000000" w:themeColor="text1"/>
          <w:sz w:val="22"/>
        </w:rPr>
        <w:t xml:space="preserve"> debe precisarse que</w:t>
      </w:r>
      <w:r w:rsidRPr="00655D4C">
        <w:rPr>
          <w:rFonts w:ascii="Arial" w:hAnsi="Arial" w:cs="Arial"/>
          <w:color w:val="000000" w:themeColor="text1"/>
          <w:sz w:val="22"/>
        </w:rPr>
        <w:t xml:space="preserve"> </w:t>
      </w:r>
      <w:r w:rsidR="00AA7878">
        <w:rPr>
          <w:rFonts w:ascii="Arial" w:hAnsi="Arial" w:cs="Arial"/>
          <w:color w:val="000000" w:themeColor="text1"/>
          <w:sz w:val="22"/>
        </w:rPr>
        <w:t>l</w:t>
      </w:r>
      <w:r w:rsidR="00AA7878">
        <w:rPr>
          <w:rFonts w:ascii="Arial" w:eastAsia="Calibri" w:hAnsi="Arial" w:cs="Arial"/>
          <w:color w:val="000000"/>
          <w:sz w:val="22"/>
          <w:lang w:val="es-ES_tradnl" w:eastAsia="en-GB"/>
        </w:rPr>
        <w:t>a sola inclusión en el Registro Nacional de Obras Civiles Inconclusas no puede entenderse suficiente para</w:t>
      </w:r>
      <w:r w:rsidR="00AA7878" w:rsidRPr="00655D4C">
        <w:rPr>
          <w:rFonts w:ascii="Arial" w:hAnsi="Arial" w:cs="Arial"/>
          <w:color w:val="000000" w:themeColor="text1"/>
          <w:sz w:val="22"/>
        </w:rPr>
        <w:t xml:space="preserve"> afectar la ponderación del factor de calidad del </w:t>
      </w:r>
      <w:r w:rsidR="00AA7878">
        <w:rPr>
          <w:rFonts w:ascii="Arial" w:hAnsi="Arial" w:cs="Arial"/>
          <w:color w:val="000000" w:themeColor="text1"/>
          <w:sz w:val="22"/>
        </w:rPr>
        <w:t>proponente,</w:t>
      </w:r>
      <w:r w:rsidR="00AA7878" w:rsidRPr="00AA7878">
        <w:rPr>
          <w:rFonts w:ascii="Arial" w:hAnsi="Arial" w:cs="Arial"/>
          <w:color w:val="000000" w:themeColor="text1"/>
          <w:sz w:val="22"/>
        </w:rPr>
        <w:t xml:space="preserve"> </w:t>
      </w:r>
      <w:r w:rsidR="00AA7878" w:rsidRPr="00655D4C">
        <w:rPr>
          <w:rFonts w:ascii="Arial" w:hAnsi="Arial" w:cs="Arial"/>
          <w:color w:val="000000" w:themeColor="text1"/>
          <w:sz w:val="22"/>
        </w:rPr>
        <w:t>puesto que la norma establece el deber de la entidad de realizar la consulta y el análisis de la anotación</w:t>
      </w:r>
      <w:r w:rsidR="00AA7878">
        <w:rPr>
          <w:rFonts w:ascii="Arial" w:hAnsi="Arial" w:cs="Arial"/>
          <w:color w:val="000000" w:themeColor="text1"/>
          <w:sz w:val="22"/>
        </w:rPr>
        <w:t>.</w:t>
      </w:r>
      <w:r w:rsidR="00896F86">
        <w:rPr>
          <w:rFonts w:ascii="Arial" w:hAnsi="Arial" w:cs="Arial"/>
          <w:color w:val="000000" w:themeColor="text1"/>
          <w:sz w:val="22"/>
        </w:rPr>
        <w:t xml:space="preserve"> </w:t>
      </w:r>
      <w:r w:rsidR="00896F86">
        <w:rPr>
          <w:rFonts w:ascii="Arial" w:eastAsia="Calibri" w:hAnsi="Arial" w:cs="Arial"/>
          <w:color w:val="000000"/>
          <w:sz w:val="22"/>
          <w:lang w:val="es-ES_tradnl" w:eastAsia="en-GB"/>
        </w:rPr>
        <w:t>Adem</w:t>
      </w:r>
      <w:r w:rsidR="00D65451">
        <w:rPr>
          <w:rFonts w:ascii="Arial" w:eastAsia="Calibri" w:hAnsi="Arial" w:cs="Arial"/>
          <w:color w:val="000000"/>
          <w:sz w:val="22"/>
          <w:lang w:val="es-ES_tradnl" w:eastAsia="en-GB"/>
        </w:rPr>
        <w:t>á</w:t>
      </w:r>
      <w:r w:rsidR="00896F86">
        <w:rPr>
          <w:rFonts w:ascii="Arial" w:eastAsia="Calibri" w:hAnsi="Arial" w:cs="Arial"/>
          <w:color w:val="000000"/>
          <w:sz w:val="22"/>
          <w:lang w:val="es-ES_tradnl" w:eastAsia="en-GB"/>
        </w:rPr>
        <w:t>s,</w:t>
      </w:r>
      <w:r w:rsidR="00C87FF2">
        <w:rPr>
          <w:rFonts w:ascii="Arial" w:eastAsia="Calibri" w:hAnsi="Arial" w:cs="Arial"/>
          <w:color w:val="000000"/>
          <w:sz w:val="22"/>
          <w:lang w:val="es-ES_tradnl" w:eastAsia="en-GB"/>
        </w:rPr>
        <w:t xml:space="preserve"> co</w:t>
      </w:r>
      <w:r w:rsidR="00D65451">
        <w:rPr>
          <w:rFonts w:ascii="Arial" w:eastAsia="Calibri" w:hAnsi="Arial" w:cs="Arial"/>
          <w:color w:val="000000"/>
          <w:sz w:val="22"/>
          <w:lang w:val="es-ES_tradnl" w:eastAsia="en-GB"/>
        </w:rPr>
        <w:t xml:space="preserve">mo </w:t>
      </w:r>
      <w:r w:rsidR="00C87FF2">
        <w:rPr>
          <w:rFonts w:ascii="Arial" w:eastAsia="Calibri" w:hAnsi="Arial" w:cs="Arial"/>
          <w:color w:val="000000"/>
          <w:sz w:val="22"/>
          <w:lang w:val="es-ES_tradnl" w:eastAsia="en-GB"/>
        </w:rPr>
        <w:t>se expuso,</w:t>
      </w:r>
      <w:r w:rsidR="00896F86">
        <w:rPr>
          <w:rFonts w:ascii="Arial" w:eastAsia="Calibri" w:hAnsi="Arial" w:cs="Arial"/>
          <w:color w:val="000000"/>
          <w:sz w:val="22"/>
          <w:lang w:val="es-ES_tradnl" w:eastAsia="en-GB"/>
        </w:rPr>
        <w:t xml:space="preserve"> </w:t>
      </w:r>
      <w:r w:rsidR="00C71AFB">
        <w:rPr>
          <w:rFonts w:ascii="Arial" w:eastAsia="Calibri" w:hAnsi="Arial" w:cs="Arial"/>
          <w:color w:val="000000"/>
          <w:sz w:val="22"/>
          <w:lang w:val="es-ES_tradnl" w:eastAsia="en-GB"/>
        </w:rPr>
        <w:t xml:space="preserve">el Registro Nacional de Nacional de Obras Civiles Inconclusas es un sistema </w:t>
      </w:r>
      <w:r w:rsidR="00C71AFB" w:rsidRPr="00C71AFB">
        <w:rPr>
          <w:rFonts w:ascii="Arial" w:eastAsia="Calibri" w:hAnsi="Arial" w:cs="Arial"/>
          <w:color w:val="000000"/>
          <w:sz w:val="22"/>
          <w:lang w:eastAsia="en-GB"/>
        </w:rPr>
        <w:t>que contiene los datos sobre obras inconclusas en todo el territorio nacional</w:t>
      </w:r>
      <w:r w:rsidR="00C71AFB">
        <w:rPr>
          <w:rFonts w:ascii="Arial" w:eastAsia="Calibri" w:hAnsi="Arial" w:cs="Arial"/>
          <w:color w:val="000000"/>
          <w:sz w:val="22"/>
          <w:lang w:eastAsia="en-GB"/>
        </w:rPr>
        <w:t>, c</w:t>
      </w:r>
      <w:r w:rsidR="00C71AFB" w:rsidRPr="00C71AFB">
        <w:rPr>
          <w:rFonts w:ascii="Arial" w:eastAsia="Calibri" w:hAnsi="Arial" w:cs="Arial"/>
          <w:color w:val="000000"/>
          <w:sz w:val="22"/>
          <w:lang w:eastAsia="en-GB"/>
        </w:rPr>
        <w:t>ompuesto por la información reportada por las entidades estatales o la información obtenida por la Contraloría General de la República</w:t>
      </w:r>
      <w:r w:rsidR="00C71AFB">
        <w:rPr>
          <w:rFonts w:ascii="Arial" w:eastAsia="Calibri" w:hAnsi="Arial" w:cs="Arial"/>
          <w:color w:val="000000"/>
          <w:sz w:val="22"/>
          <w:lang w:eastAsia="en-GB"/>
        </w:rPr>
        <w:t xml:space="preserve">. </w:t>
      </w:r>
      <w:r w:rsidR="00A01212">
        <w:rPr>
          <w:rFonts w:ascii="Arial" w:eastAsia="Calibri" w:hAnsi="Arial" w:cs="Arial"/>
          <w:color w:val="000000"/>
          <w:sz w:val="22"/>
          <w:lang w:val="es-ES_tradnl" w:eastAsia="en-GB"/>
        </w:rPr>
        <w:t xml:space="preserve">Esto significa que el </w:t>
      </w:r>
      <w:r w:rsidR="00F60CFA">
        <w:rPr>
          <w:rFonts w:ascii="Arial" w:eastAsia="Calibri" w:hAnsi="Arial" w:cs="Arial"/>
          <w:color w:val="000000"/>
          <w:sz w:val="22"/>
          <w:lang w:val="es-ES_tradnl" w:eastAsia="en-GB"/>
        </w:rPr>
        <w:t>R</w:t>
      </w:r>
      <w:r w:rsidR="00A01212">
        <w:rPr>
          <w:rFonts w:ascii="Arial" w:eastAsia="Calibri" w:hAnsi="Arial" w:cs="Arial"/>
          <w:color w:val="000000"/>
          <w:sz w:val="22"/>
          <w:lang w:val="es-ES_tradnl" w:eastAsia="en-GB"/>
        </w:rPr>
        <w:t xml:space="preserve">egistro </w:t>
      </w:r>
      <w:r w:rsidR="00C71AFB">
        <w:rPr>
          <w:rFonts w:ascii="Arial" w:eastAsia="Calibri" w:hAnsi="Arial" w:cs="Arial"/>
          <w:color w:val="000000"/>
          <w:sz w:val="22"/>
          <w:lang w:val="es-ES_tradnl" w:eastAsia="en-GB"/>
        </w:rPr>
        <w:t xml:space="preserve">contiene toda </w:t>
      </w:r>
      <w:r w:rsidR="00A01212">
        <w:rPr>
          <w:rFonts w:ascii="Arial" w:eastAsia="Calibri" w:hAnsi="Arial" w:cs="Arial"/>
          <w:color w:val="000000"/>
          <w:sz w:val="22"/>
          <w:lang w:val="es-ES_tradnl" w:eastAsia="en-GB"/>
        </w:rPr>
        <w:t>la información necesaria que permita verificar el estado real de dicha obra</w:t>
      </w:r>
      <w:r w:rsidR="00F60CFA" w:rsidRPr="00F60CFA">
        <w:rPr>
          <w:rFonts w:ascii="Arial" w:eastAsia="Calibri" w:hAnsi="Arial" w:cs="Arial"/>
          <w:color w:val="000000"/>
          <w:sz w:val="22"/>
          <w:lang w:val="es-ES_tradnl" w:eastAsia="en-GB"/>
        </w:rPr>
        <w:t>,</w:t>
      </w:r>
      <w:r w:rsidR="00F60CFA">
        <w:rPr>
          <w:rFonts w:ascii="Arial" w:eastAsia="Calibri" w:hAnsi="Arial" w:cs="Arial"/>
          <w:color w:val="000000"/>
          <w:sz w:val="22"/>
          <w:lang w:val="es-ES_tradnl" w:eastAsia="en-GB"/>
        </w:rPr>
        <w:t xml:space="preserve"> entre ellos, </w:t>
      </w:r>
      <w:r w:rsidR="00F60CFA" w:rsidRPr="00F60CFA">
        <w:rPr>
          <w:rFonts w:ascii="Arial" w:eastAsia="Calibri" w:hAnsi="Arial" w:cs="Arial"/>
          <w:color w:val="000000"/>
          <w:sz w:val="22"/>
          <w:lang w:val="es-ES_tradnl" w:eastAsia="en-GB"/>
        </w:rPr>
        <w:t>datos sobre la identificación del contratista, consultores, interventores y demás personas naturales y/o jurídicas que intervinieron en la planeación y ejecución del proyecto</w:t>
      </w:r>
      <w:r w:rsidR="000F144E">
        <w:rPr>
          <w:rFonts w:ascii="Arial" w:eastAsia="Calibri" w:hAnsi="Arial" w:cs="Arial"/>
          <w:color w:val="000000"/>
          <w:sz w:val="22"/>
          <w:lang w:val="es-ES_tradnl" w:eastAsia="en-GB"/>
        </w:rPr>
        <w:t>, entre otros</w:t>
      </w:r>
      <w:r w:rsidR="00D65451">
        <w:rPr>
          <w:rFonts w:ascii="Arial" w:eastAsia="Calibri" w:hAnsi="Arial" w:cs="Arial"/>
          <w:color w:val="000000"/>
          <w:sz w:val="22"/>
          <w:lang w:val="es-ES_tradnl" w:eastAsia="en-GB"/>
        </w:rPr>
        <w:t xml:space="preserve">. En este sentido, no puede entenderse que la sola inclusión de dicha información </w:t>
      </w:r>
      <w:r w:rsidR="00A97430">
        <w:rPr>
          <w:rFonts w:ascii="Arial" w:eastAsia="Calibri" w:hAnsi="Arial" w:cs="Arial"/>
          <w:color w:val="000000"/>
          <w:sz w:val="22"/>
          <w:lang w:val="es-ES_tradnl" w:eastAsia="en-GB"/>
        </w:rPr>
        <w:t>genere</w:t>
      </w:r>
      <w:r w:rsidR="00D65451">
        <w:rPr>
          <w:rFonts w:ascii="Arial" w:eastAsia="Calibri" w:hAnsi="Arial" w:cs="Arial"/>
          <w:color w:val="000000"/>
          <w:sz w:val="22"/>
          <w:lang w:val="es-ES_tradnl" w:eastAsia="en-GB"/>
        </w:rPr>
        <w:t xml:space="preserve"> una repercusión </w:t>
      </w:r>
      <w:r w:rsidR="00A97430">
        <w:rPr>
          <w:rFonts w:ascii="Arial" w:eastAsia="Calibri" w:hAnsi="Arial" w:cs="Arial"/>
          <w:color w:val="000000"/>
          <w:sz w:val="22"/>
          <w:lang w:val="es-ES_tradnl" w:eastAsia="en-GB"/>
        </w:rPr>
        <w:t xml:space="preserve">automática </w:t>
      </w:r>
      <w:r w:rsidR="00D65451" w:rsidRPr="00D65451">
        <w:rPr>
          <w:rFonts w:ascii="Arial" w:eastAsia="Calibri" w:hAnsi="Arial" w:cs="Arial"/>
          <w:color w:val="000000"/>
          <w:sz w:val="22"/>
          <w:szCs w:val="22"/>
          <w:lang w:val="es-ES_tradnl" w:eastAsia="en-GB"/>
        </w:rPr>
        <w:t>al momento de evaluar los factores de ponderación</w:t>
      </w:r>
      <w:r w:rsidR="00A97430">
        <w:rPr>
          <w:rFonts w:ascii="Arial" w:eastAsia="Calibri" w:hAnsi="Arial" w:cs="Arial"/>
          <w:color w:val="000000"/>
          <w:sz w:val="22"/>
          <w:szCs w:val="22"/>
          <w:lang w:val="es-ES_tradnl" w:eastAsia="en-GB"/>
        </w:rPr>
        <w:t>. Por ello, el artículo 6 dispuso expresamente que las entidades estatales contratantes</w:t>
      </w:r>
      <w:r w:rsidR="00A97430" w:rsidRPr="00A97430">
        <w:rPr>
          <w:rFonts w:ascii="Arial" w:eastAsia="Calibri" w:hAnsi="Arial" w:cs="Arial"/>
          <w:color w:val="000000"/>
          <w:sz w:val="22"/>
          <w:szCs w:val="22"/>
          <w:lang w:val="es-ES_tradnl" w:eastAsia="en-GB"/>
        </w:rPr>
        <w:t xml:space="preserve"> </w:t>
      </w:r>
      <w:r w:rsidR="00A97430" w:rsidRPr="00A97430">
        <w:rPr>
          <w:rFonts w:ascii="Arial" w:hAnsi="Arial" w:cs="Arial"/>
          <w:color w:val="000000" w:themeColor="text1"/>
          <w:sz w:val="22"/>
          <w:szCs w:val="22"/>
        </w:rPr>
        <w:t>«</w:t>
      </w:r>
      <w:r w:rsidR="00A97430" w:rsidRPr="00A97430">
        <w:rPr>
          <w:rFonts w:ascii="Arial" w:eastAsia="Calibri" w:hAnsi="Arial" w:cs="Arial"/>
          <w:color w:val="000000"/>
          <w:sz w:val="22"/>
          <w:szCs w:val="22"/>
          <w:lang w:val="es-ES_tradnl" w:eastAsia="en-GB"/>
        </w:rPr>
        <w:t>deberán consultar y analizar las anotaciones vigentes que presenten las personas naturales o jurídicas, nacionales o extranjeras domiciliadas o con sucursal en Colombia, en el Registro Nacional de Obras Civiles Inconclusas</w:t>
      </w:r>
      <w:r w:rsidR="00A97430" w:rsidRPr="00A97430">
        <w:rPr>
          <w:rFonts w:ascii="Arial" w:hAnsi="Arial" w:cs="Arial"/>
          <w:color w:val="000000" w:themeColor="text1"/>
          <w:sz w:val="22"/>
          <w:szCs w:val="22"/>
        </w:rPr>
        <w:t>»</w:t>
      </w:r>
      <w:r w:rsidR="00A97430" w:rsidRPr="00A97430">
        <w:rPr>
          <w:rFonts w:ascii="Arial" w:eastAsia="Calibri" w:hAnsi="Arial" w:cs="Arial"/>
          <w:color w:val="000000"/>
          <w:sz w:val="22"/>
          <w:szCs w:val="22"/>
          <w:lang w:val="es-ES_tradnl" w:eastAsia="en-GB"/>
        </w:rPr>
        <w:t>.</w:t>
      </w:r>
    </w:p>
    <w:p w14:paraId="288BE68E" w14:textId="149067E0" w:rsidR="00CF6AC0" w:rsidRPr="00CF6AC0" w:rsidRDefault="009006F5" w:rsidP="00CF6AC0">
      <w:pPr>
        <w:spacing w:before="120" w:line="276" w:lineRule="auto"/>
        <w:ind w:firstLine="709"/>
        <w:jc w:val="both"/>
        <w:rPr>
          <w:rFonts w:ascii="Arial" w:eastAsia="Calibri" w:hAnsi="Arial" w:cs="Arial"/>
          <w:color w:val="000000"/>
          <w:sz w:val="22"/>
          <w:szCs w:val="22"/>
          <w:lang w:val="es-ES_tradnl" w:eastAsia="en-GB"/>
        </w:rPr>
      </w:pPr>
      <w:r>
        <w:rPr>
          <w:rFonts w:ascii="Arial" w:hAnsi="Arial" w:cs="Arial"/>
          <w:color w:val="000000" w:themeColor="text1"/>
          <w:sz w:val="22"/>
        </w:rPr>
        <w:t xml:space="preserve">Así las cosas, </w:t>
      </w:r>
      <w:r w:rsidR="0039494D" w:rsidRPr="00655D4C">
        <w:rPr>
          <w:rFonts w:ascii="Arial" w:hAnsi="Arial" w:cs="Arial"/>
          <w:color w:val="000000" w:themeColor="text1"/>
          <w:sz w:val="22"/>
        </w:rPr>
        <w:t xml:space="preserve">no siempre que el </w:t>
      </w:r>
      <w:r w:rsidR="0039494D">
        <w:rPr>
          <w:rFonts w:ascii="Arial" w:hAnsi="Arial" w:cs="Arial"/>
          <w:color w:val="000000" w:themeColor="text1"/>
          <w:sz w:val="22"/>
        </w:rPr>
        <w:t xml:space="preserve">contratista de obra o interventor </w:t>
      </w:r>
      <w:r w:rsidR="0039494D" w:rsidRPr="00655D4C">
        <w:rPr>
          <w:rFonts w:ascii="Arial" w:hAnsi="Arial" w:cs="Arial"/>
          <w:color w:val="000000" w:themeColor="text1"/>
          <w:sz w:val="22"/>
        </w:rPr>
        <w:t xml:space="preserve">se encuentre </w:t>
      </w:r>
      <w:r w:rsidR="0039494D" w:rsidRPr="00CF6AC0">
        <w:rPr>
          <w:rFonts w:ascii="Arial" w:hAnsi="Arial" w:cs="Arial"/>
          <w:color w:val="000000" w:themeColor="text1"/>
          <w:sz w:val="22"/>
        </w:rPr>
        <w:t xml:space="preserve">incluido en dicho Registro </w:t>
      </w:r>
      <w:r w:rsidR="00160FC5" w:rsidRPr="00CF6AC0">
        <w:rPr>
          <w:rFonts w:ascii="Arial" w:hAnsi="Arial" w:cs="Arial"/>
          <w:color w:val="000000" w:themeColor="text1"/>
          <w:sz w:val="22"/>
        </w:rPr>
        <w:t xml:space="preserve">generará </w:t>
      </w:r>
      <w:r w:rsidR="005E2E63">
        <w:rPr>
          <w:rFonts w:ascii="Arial" w:hAnsi="Arial" w:cs="Arial"/>
          <w:color w:val="000000" w:themeColor="text1"/>
          <w:sz w:val="22"/>
        </w:rPr>
        <w:t xml:space="preserve">automáticamente una consecuencia </w:t>
      </w:r>
      <w:r w:rsidR="0039494D" w:rsidRPr="00CF6AC0">
        <w:rPr>
          <w:rFonts w:ascii="Arial" w:hAnsi="Arial" w:cs="Arial"/>
          <w:color w:val="000000" w:themeColor="text1"/>
          <w:sz w:val="22"/>
        </w:rPr>
        <w:t>en la ponderación de</w:t>
      </w:r>
      <w:r w:rsidR="00FF5877">
        <w:rPr>
          <w:rFonts w:ascii="Arial" w:hAnsi="Arial" w:cs="Arial"/>
          <w:color w:val="000000" w:themeColor="text1"/>
          <w:sz w:val="22"/>
        </w:rPr>
        <w:t xml:space="preserve"> los criterios de evaluación</w:t>
      </w:r>
      <w:r w:rsidR="0039494D" w:rsidRPr="00CF6AC0">
        <w:rPr>
          <w:rFonts w:ascii="Arial" w:hAnsi="Arial" w:cs="Arial"/>
          <w:color w:val="000000" w:themeColor="text1"/>
          <w:sz w:val="22"/>
        </w:rPr>
        <w:t xml:space="preserve">, pues la entidad tiene el deber de </w:t>
      </w:r>
      <w:r w:rsidR="0039494D" w:rsidRPr="00CF6AC0">
        <w:rPr>
          <w:rFonts w:ascii="Arial" w:eastAsia="Calibri" w:hAnsi="Arial" w:cs="Arial"/>
          <w:color w:val="000000"/>
          <w:sz w:val="22"/>
          <w:szCs w:val="22"/>
          <w:lang w:val="es-ES_tradnl" w:eastAsia="en-GB"/>
        </w:rPr>
        <w:t xml:space="preserve">consultar y analizar las anotaciones vigentes. En todo caso, </w:t>
      </w:r>
      <w:r w:rsidR="00CF6AC0" w:rsidRPr="00CF6AC0">
        <w:rPr>
          <w:rFonts w:ascii="Arial" w:eastAsia="Calibri" w:hAnsi="Arial" w:cs="Arial"/>
          <w:color w:val="000000"/>
          <w:sz w:val="22"/>
          <w:szCs w:val="22"/>
          <w:lang w:val="es-ES_tradnl" w:eastAsia="en-GB"/>
        </w:rPr>
        <w:t>si se present</w:t>
      </w:r>
      <w:r w:rsidR="00113584">
        <w:rPr>
          <w:rFonts w:ascii="Arial" w:eastAsia="Calibri" w:hAnsi="Arial" w:cs="Arial"/>
          <w:color w:val="000000"/>
          <w:sz w:val="22"/>
          <w:szCs w:val="22"/>
          <w:lang w:val="es-ES_tradnl" w:eastAsia="en-GB"/>
        </w:rPr>
        <w:t>a</w:t>
      </w:r>
      <w:r w:rsidR="00CF6AC0" w:rsidRPr="00CF6AC0">
        <w:rPr>
          <w:rFonts w:ascii="Arial" w:eastAsia="Calibri" w:hAnsi="Arial" w:cs="Arial"/>
          <w:color w:val="000000"/>
          <w:sz w:val="22"/>
          <w:szCs w:val="22"/>
          <w:lang w:val="es-ES_tradnl" w:eastAsia="en-GB"/>
        </w:rPr>
        <w:t xml:space="preserve"> alguna discrepancia en relación con la información reportada en el Registro por la entidad contratante, el artículo 6 dispuso que tal controversia o solicitud será resuelta por la entidad contratante que suministró dicha información. En consecuencia, el contratista deberá manifestar su inconformidad directamente ante la entidad contratante que realizó la anotación, la cual deberá atenderla teniendo en cuenta los principios y disposiciones establecidas en la normatividad vigente. </w:t>
      </w:r>
    </w:p>
    <w:p w14:paraId="3B788489" w14:textId="64E6B1F1" w:rsidR="00466861" w:rsidRDefault="00331C53" w:rsidP="00CF6AC0">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En armonía con lo anterior</w:t>
      </w:r>
      <w:r w:rsidR="00CF6AC0">
        <w:rPr>
          <w:rFonts w:ascii="Arial" w:hAnsi="Arial" w:cs="Arial"/>
          <w:color w:val="000000" w:themeColor="text1"/>
          <w:sz w:val="22"/>
        </w:rPr>
        <w:t>,</w:t>
      </w:r>
      <w:r>
        <w:rPr>
          <w:rFonts w:ascii="Arial" w:hAnsi="Arial" w:cs="Arial"/>
          <w:color w:val="000000" w:themeColor="text1"/>
          <w:sz w:val="22"/>
        </w:rPr>
        <w:t xml:space="preserve"> para ejemplificar la aplicación de lo analizado,</w:t>
      </w:r>
      <w:r w:rsidR="00CF6AC0">
        <w:rPr>
          <w:rFonts w:ascii="Arial" w:hAnsi="Arial" w:cs="Arial"/>
          <w:color w:val="000000" w:themeColor="text1"/>
          <w:sz w:val="22"/>
        </w:rPr>
        <w:t xml:space="preserve"> </w:t>
      </w:r>
      <w:r w:rsidR="00A264FC">
        <w:rPr>
          <w:rFonts w:ascii="Arial" w:hAnsi="Arial" w:cs="Arial"/>
          <w:color w:val="000000" w:themeColor="text1"/>
          <w:sz w:val="22"/>
        </w:rPr>
        <w:t xml:space="preserve">en relación con </w:t>
      </w:r>
      <w:r w:rsidR="00466861" w:rsidRPr="00CF6AC0">
        <w:rPr>
          <w:rFonts w:ascii="Arial" w:hAnsi="Arial" w:cs="Arial"/>
          <w:color w:val="000000" w:themeColor="text1"/>
          <w:sz w:val="22"/>
        </w:rPr>
        <w:t>el ejercicio de</w:t>
      </w:r>
      <w:r w:rsidR="00466861">
        <w:rPr>
          <w:rFonts w:ascii="Arial" w:hAnsi="Arial" w:cs="Arial"/>
          <w:color w:val="000000" w:themeColor="text1"/>
          <w:sz w:val="22"/>
        </w:rPr>
        <w:t xml:space="preserve"> la competencia de la Agencia Nacional de Contratación Pública – Colombia Compra Eficiente para la elaboración de los pliegos de condiciones tipo,</w:t>
      </w:r>
      <w:r w:rsidR="00A264FC">
        <w:rPr>
          <w:rFonts w:ascii="Arial" w:hAnsi="Arial" w:cs="Arial"/>
          <w:color w:val="000000" w:themeColor="text1"/>
          <w:sz w:val="22"/>
        </w:rPr>
        <w:t xml:space="preserve"> </w:t>
      </w:r>
      <w:r w:rsidR="00466861">
        <w:rPr>
          <w:rFonts w:ascii="Arial" w:hAnsi="Arial" w:cs="Arial"/>
          <w:color w:val="000000" w:themeColor="text1"/>
          <w:sz w:val="22"/>
        </w:rPr>
        <w:t xml:space="preserve">el artículo 1 de la Ley 2022 de 2020 le permite establecer dentro de tales documentos «[…] </w:t>
      </w:r>
      <w:r w:rsidR="00466861" w:rsidRPr="007A5947">
        <w:rPr>
          <w:rFonts w:ascii="Arial" w:hAnsi="Arial" w:cs="Arial"/>
          <w:color w:val="000000" w:themeColor="text1"/>
          <w:sz w:val="22"/>
        </w:rPr>
        <w:t>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r w:rsidR="00466861">
        <w:rPr>
          <w:rFonts w:ascii="Arial" w:hAnsi="Arial" w:cs="Arial"/>
          <w:color w:val="000000" w:themeColor="text1"/>
          <w:sz w:val="22"/>
        </w:rPr>
        <w:t>»</w:t>
      </w:r>
      <w:r w:rsidR="00466861">
        <w:rPr>
          <w:rStyle w:val="Refdenotaalpie"/>
          <w:rFonts w:ascii="Arial" w:hAnsi="Arial" w:cs="Arial"/>
          <w:color w:val="000000" w:themeColor="text1"/>
          <w:sz w:val="22"/>
        </w:rPr>
        <w:footnoteReference w:id="13"/>
      </w:r>
      <w:r w:rsidR="009006F5">
        <w:rPr>
          <w:rFonts w:ascii="Arial" w:hAnsi="Arial" w:cs="Arial"/>
          <w:color w:val="000000" w:themeColor="text1"/>
          <w:sz w:val="22"/>
        </w:rPr>
        <w:t xml:space="preserve">. Conforme a </w:t>
      </w:r>
      <w:r w:rsidR="00A264FC">
        <w:rPr>
          <w:rFonts w:ascii="Arial" w:hAnsi="Arial" w:cs="Arial"/>
          <w:color w:val="000000" w:themeColor="text1"/>
          <w:sz w:val="22"/>
        </w:rPr>
        <w:t>dicha</w:t>
      </w:r>
      <w:r w:rsidR="009006F5">
        <w:rPr>
          <w:rFonts w:ascii="Arial" w:hAnsi="Arial" w:cs="Arial"/>
          <w:color w:val="000000" w:themeColor="text1"/>
          <w:sz w:val="22"/>
        </w:rPr>
        <w:t xml:space="preserve"> competencia, esta Agencia determinó en los </w:t>
      </w:r>
      <w:r w:rsidR="009006F5">
        <w:rPr>
          <w:rFonts w:ascii="Arial" w:hAnsi="Arial" w:cs="Arial"/>
          <w:color w:val="000000" w:themeColor="text1"/>
          <w:sz w:val="22"/>
        </w:rPr>
        <w:lastRenderedPageBreak/>
        <w:t xml:space="preserve">documentos tipo la forma en la cual </w:t>
      </w:r>
      <w:r w:rsidR="001401AA">
        <w:rPr>
          <w:rFonts w:ascii="Arial" w:hAnsi="Arial" w:cs="Arial"/>
          <w:color w:val="000000" w:themeColor="text1"/>
          <w:sz w:val="22"/>
        </w:rPr>
        <w:t>se da cumplimiento al artículo 6 de la Ley 2020 de 2020</w:t>
      </w:r>
      <w:r w:rsidR="00CF6AC0">
        <w:rPr>
          <w:rFonts w:ascii="Arial" w:hAnsi="Arial" w:cs="Arial"/>
          <w:color w:val="000000" w:themeColor="text1"/>
          <w:sz w:val="22"/>
        </w:rPr>
        <w:t xml:space="preserve">. </w:t>
      </w:r>
    </w:p>
    <w:p w14:paraId="4EED0807" w14:textId="0117B793" w:rsidR="00CF6AC0" w:rsidRPr="00980703" w:rsidRDefault="00CF6AC0" w:rsidP="00CF6AC0">
      <w:pPr>
        <w:spacing w:before="120" w:line="276" w:lineRule="auto"/>
        <w:ind w:firstLine="709"/>
        <w:jc w:val="both"/>
        <w:rPr>
          <w:rFonts w:ascii="Arial" w:eastAsia="Calibri" w:hAnsi="Arial" w:cs="Arial"/>
          <w:color w:val="000000"/>
          <w:sz w:val="22"/>
          <w:szCs w:val="22"/>
          <w:lang w:val="es-ES_tradnl" w:eastAsia="en-GB"/>
        </w:rPr>
      </w:pPr>
      <w:r w:rsidRPr="00710A3D">
        <w:rPr>
          <w:rFonts w:ascii="Arial" w:eastAsia="Calibri" w:hAnsi="Arial" w:cs="Arial"/>
          <w:color w:val="000000"/>
          <w:sz w:val="22"/>
          <w:szCs w:val="22"/>
          <w:lang w:val="es-ES_tradnl" w:eastAsia="en-GB"/>
        </w:rPr>
        <w:t xml:space="preserve">A modo ilustrativo, en el </w:t>
      </w:r>
      <w:r w:rsidR="00F04269">
        <w:rPr>
          <w:rFonts w:ascii="Arial" w:eastAsia="Calibri" w:hAnsi="Arial" w:cs="Arial"/>
          <w:color w:val="000000"/>
          <w:sz w:val="22"/>
          <w:szCs w:val="22"/>
          <w:lang w:val="es-ES_tradnl" w:eastAsia="en-GB"/>
        </w:rPr>
        <w:t>D</w:t>
      </w:r>
      <w:r w:rsidRPr="00710A3D">
        <w:rPr>
          <w:rFonts w:ascii="Arial" w:eastAsia="Calibri" w:hAnsi="Arial" w:cs="Arial"/>
          <w:color w:val="000000"/>
          <w:sz w:val="22"/>
          <w:szCs w:val="22"/>
          <w:lang w:val="es-ES_tradnl" w:eastAsia="en-GB"/>
        </w:rPr>
        <w:t xml:space="preserve">ocumento </w:t>
      </w:r>
      <w:r w:rsidR="00F04269">
        <w:rPr>
          <w:rFonts w:ascii="Arial" w:eastAsia="Calibri" w:hAnsi="Arial" w:cs="Arial"/>
          <w:color w:val="000000"/>
          <w:sz w:val="22"/>
          <w:szCs w:val="22"/>
          <w:lang w:val="es-ES_tradnl" w:eastAsia="en-GB"/>
        </w:rPr>
        <w:t>T</w:t>
      </w:r>
      <w:r w:rsidR="00DA04A6" w:rsidRPr="00710A3D">
        <w:rPr>
          <w:rFonts w:ascii="Arial" w:eastAsia="Calibri" w:hAnsi="Arial" w:cs="Arial"/>
          <w:color w:val="000000"/>
          <w:sz w:val="22"/>
          <w:szCs w:val="22"/>
          <w:lang w:val="es-ES_tradnl" w:eastAsia="en-GB"/>
        </w:rPr>
        <w:t>ipo de interventoría de obra pública de infraestructura de transporte</w:t>
      </w:r>
      <w:r w:rsidR="00710A3D" w:rsidRPr="00980703">
        <w:rPr>
          <w:rFonts w:ascii="Arial" w:eastAsia="Calibri" w:hAnsi="Arial" w:cs="Arial"/>
          <w:color w:val="000000"/>
          <w:sz w:val="22"/>
          <w:szCs w:val="22"/>
          <w:lang w:val="es-ES_tradnl" w:eastAsia="en-GB"/>
        </w:rPr>
        <w:t xml:space="preserve">, en el </w:t>
      </w:r>
      <w:r w:rsidR="00710A3D" w:rsidRPr="00710A3D">
        <w:rPr>
          <w:rFonts w:ascii="Arial" w:eastAsia="Calibri" w:hAnsi="Arial" w:cs="Arial"/>
          <w:color w:val="000000"/>
          <w:sz w:val="22"/>
          <w:szCs w:val="22"/>
          <w:lang w:val="es-ES_tradnl" w:eastAsia="en-GB"/>
        </w:rPr>
        <w:t xml:space="preserve">Capítulo </w:t>
      </w:r>
      <w:r w:rsidR="00710A3D">
        <w:rPr>
          <w:rFonts w:ascii="Arial" w:eastAsia="Calibri" w:hAnsi="Arial" w:cs="Arial"/>
          <w:color w:val="000000"/>
          <w:sz w:val="22"/>
          <w:szCs w:val="22"/>
          <w:lang w:val="es-ES_tradnl" w:eastAsia="en-GB"/>
        </w:rPr>
        <w:t>IV</w:t>
      </w:r>
      <w:r w:rsidR="00710A3D" w:rsidRPr="00710A3D">
        <w:rPr>
          <w:rFonts w:ascii="Arial" w:eastAsia="Calibri" w:hAnsi="Arial" w:cs="Arial"/>
          <w:color w:val="000000"/>
          <w:sz w:val="22"/>
          <w:szCs w:val="22"/>
          <w:lang w:val="es-ES_tradnl" w:eastAsia="en-GB"/>
        </w:rPr>
        <w:t xml:space="preserve"> </w:t>
      </w:r>
      <w:r w:rsidR="00710A3D" w:rsidRPr="00980703">
        <w:rPr>
          <w:rFonts w:ascii="Arial" w:eastAsia="Calibri" w:hAnsi="Arial" w:cs="Arial"/>
          <w:color w:val="000000"/>
          <w:sz w:val="22"/>
          <w:szCs w:val="22"/>
          <w:lang w:val="es-ES_tradnl" w:eastAsia="en-GB"/>
        </w:rPr>
        <w:t>«</w:t>
      </w:r>
      <w:r w:rsidR="00710A3D">
        <w:rPr>
          <w:rFonts w:ascii="Arial" w:eastAsia="Calibri" w:hAnsi="Arial" w:cs="Arial"/>
          <w:color w:val="000000"/>
          <w:sz w:val="22"/>
          <w:szCs w:val="22"/>
          <w:lang w:val="es-ES_tradnl" w:eastAsia="en-GB"/>
        </w:rPr>
        <w:t>C</w:t>
      </w:r>
      <w:r w:rsidR="00710A3D" w:rsidRPr="00710A3D">
        <w:rPr>
          <w:rFonts w:ascii="Arial" w:eastAsia="Calibri" w:hAnsi="Arial" w:cs="Arial"/>
          <w:color w:val="000000"/>
          <w:sz w:val="22"/>
          <w:szCs w:val="22"/>
          <w:lang w:val="es-ES_tradnl" w:eastAsia="en-GB"/>
        </w:rPr>
        <w:t xml:space="preserve">riterios de </w:t>
      </w:r>
      <w:r w:rsidR="00710A3D">
        <w:rPr>
          <w:rFonts w:ascii="Arial" w:eastAsia="Calibri" w:hAnsi="Arial" w:cs="Arial"/>
          <w:color w:val="000000"/>
          <w:sz w:val="22"/>
          <w:szCs w:val="22"/>
          <w:lang w:val="es-ES_tradnl" w:eastAsia="en-GB"/>
        </w:rPr>
        <w:t>E</w:t>
      </w:r>
      <w:r w:rsidR="00710A3D" w:rsidRPr="00710A3D">
        <w:rPr>
          <w:rFonts w:ascii="Arial" w:eastAsia="Calibri" w:hAnsi="Arial" w:cs="Arial"/>
          <w:color w:val="000000"/>
          <w:sz w:val="22"/>
          <w:szCs w:val="22"/>
          <w:lang w:val="es-ES_tradnl" w:eastAsia="en-GB"/>
        </w:rPr>
        <w:t xml:space="preserve">valuación, </w:t>
      </w:r>
      <w:r w:rsidR="00710A3D">
        <w:rPr>
          <w:rFonts w:ascii="Arial" w:eastAsia="Calibri" w:hAnsi="Arial" w:cs="Arial"/>
          <w:color w:val="000000"/>
          <w:sz w:val="22"/>
          <w:szCs w:val="22"/>
          <w:lang w:val="es-ES_tradnl" w:eastAsia="en-GB"/>
        </w:rPr>
        <w:t>A</w:t>
      </w:r>
      <w:r w:rsidR="00710A3D" w:rsidRPr="00710A3D">
        <w:rPr>
          <w:rFonts w:ascii="Arial" w:eastAsia="Calibri" w:hAnsi="Arial" w:cs="Arial"/>
          <w:color w:val="000000"/>
          <w:sz w:val="22"/>
          <w:szCs w:val="22"/>
          <w:lang w:val="es-ES_tradnl" w:eastAsia="en-GB"/>
        </w:rPr>
        <w:t xml:space="preserve">signación de </w:t>
      </w:r>
      <w:r w:rsidR="00710A3D">
        <w:rPr>
          <w:rFonts w:ascii="Arial" w:eastAsia="Calibri" w:hAnsi="Arial" w:cs="Arial"/>
          <w:color w:val="000000"/>
          <w:sz w:val="22"/>
          <w:szCs w:val="22"/>
          <w:lang w:val="es-ES_tradnl" w:eastAsia="en-GB"/>
        </w:rPr>
        <w:t>P</w:t>
      </w:r>
      <w:r w:rsidR="00710A3D" w:rsidRPr="00710A3D">
        <w:rPr>
          <w:rFonts w:ascii="Arial" w:eastAsia="Calibri" w:hAnsi="Arial" w:cs="Arial"/>
          <w:color w:val="000000"/>
          <w:sz w:val="22"/>
          <w:szCs w:val="22"/>
          <w:lang w:val="es-ES_tradnl" w:eastAsia="en-GB"/>
        </w:rPr>
        <w:t xml:space="preserve">untaje y </w:t>
      </w:r>
      <w:r w:rsidR="00710A3D">
        <w:rPr>
          <w:rFonts w:ascii="Arial" w:eastAsia="Calibri" w:hAnsi="Arial" w:cs="Arial"/>
          <w:color w:val="000000"/>
          <w:sz w:val="22"/>
          <w:szCs w:val="22"/>
          <w:lang w:val="es-ES_tradnl" w:eastAsia="en-GB"/>
        </w:rPr>
        <w:t>C</w:t>
      </w:r>
      <w:r w:rsidR="00710A3D" w:rsidRPr="00710A3D">
        <w:rPr>
          <w:rFonts w:ascii="Arial" w:eastAsia="Calibri" w:hAnsi="Arial" w:cs="Arial"/>
          <w:color w:val="000000"/>
          <w:sz w:val="22"/>
          <w:szCs w:val="22"/>
          <w:lang w:val="es-ES_tradnl" w:eastAsia="en-GB"/>
        </w:rPr>
        <w:t xml:space="preserve">riterios de </w:t>
      </w:r>
      <w:r w:rsidR="00710A3D">
        <w:rPr>
          <w:rFonts w:ascii="Arial" w:eastAsia="Calibri" w:hAnsi="Arial" w:cs="Arial"/>
          <w:color w:val="000000"/>
          <w:sz w:val="22"/>
          <w:szCs w:val="22"/>
          <w:lang w:val="es-ES_tradnl" w:eastAsia="en-GB"/>
        </w:rPr>
        <w:t>D</w:t>
      </w:r>
      <w:r w:rsidR="00710A3D" w:rsidRPr="00710A3D">
        <w:rPr>
          <w:rFonts w:ascii="Arial" w:eastAsia="Calibri" w:hAnsi="Arial" w:cs="Arial"/>
          <w:color w:val="000000"/>
          <w:sz w:val="22"/>
          <w:szCs w:val="22"/>
          <w:lang w:val="es-ES_tradnl" w:eastAsia="en-GB"/>
        </w:rPr>
        <w:t>esempate</w:t>
      </w:r>
      <w:r w:rsidR="00710A3D" w:rsidRPr="00980703">
        <w:rPr>
          <w:rFonts w:ascii="Arial" w:eastAsia="Calibri" w:hAnsi="Arial" w:cs="Arial"/>
          <w:color w:val="000000"/>
          <w:sz w:val="22"/>
          <w:szCs w:val="22"/>
          <w:lang w:val="es-ES_tradnl" w:eastAsia="en-GB"/>
        </w:rPr>
        <w:t>»</w:t>
      </w:r>
      <w:r w:rsidR="003D7F9C" w:rsidRPr="00980703">
        <w:rPr>
          <w:rFonts w:ascii="Arial" w:eastAsia="Calibri" w:hAnsi="Arial" w:cs="Arial"/>
          <w:color w:val="000000"/>
          <w:sz w:val="22"/>
          <w:szCs w:val="22"/>
          <w:lang w:val="es-ES_tradnl" w:eastAsia="en-GB"/>
        </w:rPr>
        <w:t xml:space="preserve"> del </w:t>
      </w:r>
      <w:r w:rsidR="00302C0E">
        <w:rPr>
          <w:rFonts w:ascii="Arial" w:eastAsia="Calibri" w:hAnsi="Arial" w:cs="Arial"/>
          <w:color w:val="000000"/>
          <w:sz w:val="22"/>
          <w:szCs w:val="22"/>
          <w:lang w:val="es-ES_tradnl" w:eastAsia="en-GB"/>
        </w:rPr>
        <w:t>D</w:t>
      </w:r>
      <w:r w:rsidR="003D7F9C" w:rsidRPr="00980703">
        <w:rPr>
          <w:rFonts w:ascii="Arial" w:eastAsia="Calibri" w:hAnsi="Arial" w:cs="Arial"/>
          <w:color w:val="000000"/>
          <w:sz w:val="22"/>
          <w:szCs w:val="22"/>
          <w:lang w:val="es-ES_tradnl" w:eastAsia="en-GB"/>
        </w:rPr>
        <w:t xml:space="preserve">ocumento </w:t>
      </w:r>
      <w:r w:rsidR="00302C0E">
        <w:rPr>
          <w:rFonts w:ascii="Arial" w:eastAsia="Calibri" w:hAnsi="Arial" w:cs="Arial"/>
          <w:color w:val="000000"/>
          <w:sz w:val="22"/>
          <w:szCs w:val="22"/>
          <w:lang w:val="es-ES_tradnl" w:eastAsia="en-GB"/>
        </w:rPr>
        <w:t>B</w:t>
      </w:r>
      <w:r w:rsidR="003D7F9C" w:rsidRPr="00980703">
        <w:rPr>
          <w:rFonts w:ascii="Arial" w:eastAsia="Calibri" w:hAnsi="Arial" w:cs="Arial"/>
          <w:color w:val="000000"/>
          <w:sz w:val="22"/>
          <w:szCs w:val="22"/>
          <w:lang w:val="es-ES_tradnl" w:eastAsia="en-GB"/>
        </w:rPr>
        <w:t>ase</w:t>
      </w:r>
      <w:r w:rsidR="00710A3D" w:rsidRPr="00980703">
        <w:rPr>
          <w:rFonts w:ascii="Arial" w:eastAsia="Calibri" w:hAnsi="Arial" w:cs="Arial"/>
          <w:color w:val="000000"/>
          <w:sz w:val="22"/>
          <w:szCs w:val="22"/>
          <w:lang w:val="es-ES_tradnl" w:eastAsia="en-GB"/>
        </w:rPr>
        <w:t xml:space="preserve"> se contempló que:</w:t>
      </w:r>
    </w:p>
    <w:p w14:paraId="68AC02B0" w14:textId="77777777" w:rsidR="00710A3D" w:rsidRDefault="00710A3D" w:rsidP="00710A3D">
      <w:pPr>
        <w:spacing w:line="276" w:lineRule="auto"/>
        <w:ind w:firstLine="709"/>
        <w:jc w:val="both"/>
        <w:rPr>
          <w:rFonts w:ascii="Arial" w:hAnsi="Arial" w:cs="Arial"/>
          <w:sz w:val="22"/>
        </w:rPr>
      </w:pPr>
    </w:p>
    <w:p w14:paraId="0B3A7421" w14:textId="77777777" w:rsidR="00710A3D" w:rsidRPr="00710A3D" w:rsidRDefault="00710A3D" w:rsidP="00710A3D">
      <w:pPr>
        <w:tabs>
          <w:tab w:val="left" w:pos="0"/>
        </w:tabs>
        <w:ind w:left="709" w:right="709"/>
        <w:jc w:val="both"/>
        <w:rPr>
          <w:rFonts w:ascii="Arial" w:eastAsia="Calibri" w:hAnsi="Arial" w:cs="Arial"/>
          <w:color w:val="000000"/>
          <w:sz w:val="21"/>
          <w:szCs w:val="21"/>
          <w:lang w:val="es-ES_tradnl" w:eastAsia="en-GB"/>
        </w:rPr>
      </w:pPr>
      <w:r w:rsidRPr="00710A3D">
        <w:rPr>
          <w:rFonts w:ascii="Arial" w:eastAsia="Calibri" w:hAnsi="Arial" w:cs="Arial"/>
          <w:color w:val="000000"/>
          <w:sz w:val="21"/>
          <w:szCs w:val="21"/>
          <w:lang w:val="es-ES_tradnl" w:eastAsia="en-GB"/>
        </w:rPr>
        <w:t xml:space="preserve">Las entidades estatales deben consultar y analizar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los criterios de evaluación. </w:t>
      </w:r>
    </w:p>
    <w:p w14:paraId="2239AA4E" w14:textId="77777777" w:rsidR="00484E3F" w:rsidRPr="00F4518D" w:rsidRDefault="00484E3F" w:rsidP="00484E3F">
      <w:pPr>
        <w:spacing w:line="276" w:lineRule="auto"/>
        <w:jc w:val="both"/>
        <w:rPr>
          <w:rFonts w:ascii="Arial" w:eastAsiaTheme="minorHAnsi" w:hAnsi="Arial" w:cs="Arial"/>
          <w:sz w:val="22"/>
          <w:szCs w:val="22"/>
          <w:lang w:val="es-MX" w:eastAsia="en-US"/>
        </w:rPr>
      </w:pPr>
      <w:bookmarkStart w:id="11" w:name="ver_30223091"/>
    </w:p>
    <w:p w14:paraId="22F0BCB3" w14:textId="0E45E0B6" w:rsidR="00B06081" w:rsidRPr="00B06081" w:rsidRDefault="00B06081" w:rsidP="00B06081">
      <w:pPr>
        <w:spacing w:line="276" w:lineRule="auto"/>
        <w:ind w:firstLine="709"/>
        <w:jc w:val="both"/>
        <w:rPr>
          <w:rFonts w:ascii="Arial" w:eastAsiaTheme="minorHAnsi" w:hAnsi="Arial" w:cs="Arial"/>
          <w:sz w:val="22"/>
          <w:szCs w:val="22"/>
          <w:lang w:val="es-MX" w:eastAsia="en-US"/>
        </w:rPr>
      </w:pPr>
      <w:r w:rsidRPr="00F4518D">
        <w:rPr>
          <w:rFonts w:ascii="Arial" w:eastAsiaTheme="minorHAnsi" w:hAnsi="Arial" w:cs="Arial"/>
          <w:sz w:val="22"/>
          <w:szCs w:val="22"/>
          <w:lang w:val="es-MX" w:eastAsia="en-US"/>
        </w:rPr>
        <w:t>Para comprender íntegramente la forma de aplicación</w:t>
      </w:r>
      <w:r w:rsidR="00302C0E">
        <w:rPr>
          <w:rFonts w:ascii="Arial" w:eastAsiaTheme="minorHAnsi" w:hAnsi="Arial" w:cs="Arial"/>
          <w:sz w:val="22"/>
          <w:szCs w:val="22"/>
          <w:lang w:val="es-MX" w:eastAsia="en-US"/>
        </w:rPr>
        <w:t xml:space="preserve"> de </w:t>
      </w:r>
      <w:r w:rsidR="00F04269">
        <w:rPr>
          <w:rFonts w:ascii="Arial" w:eastAsiaTheme="minorHAnsi" w:hAnsi="Arial" w:cs="Arial"/>
          <w:sz w:val="22"/>
          <w:szCs w:val="22"/>
          <w:lang w:val="es-MX" w:eastAsia="en-US"/>
        </w:rPr>
        <w:t>lo anterior</w:t>
      </w:r>
      <w:r>
        <w:rPr>
          <w:rFonts w:ascii="Arial" w:eastAsia="Calibri" w:hAnsi="Arial" w:cs="Arial"/>
          <w:color w:val="000000"/>
          <w:sz w:val="22"/>
          <w:szCs w:val="22"/>
          <w:lang w:val="es-ES_tradnl" w:eastAsia="en-GB"/>
        </w:rPr>
        <w:t xml:space="preserve">, es pertinente analizar el </w:t>
      </w:r>
      <w:r w:rsidRPr="00B06081">
        <w:rPr>
          <w:rFonts w:ascii="Arial" w:eastAsiaTheme="minorHAnsi" w:hAnsi="Arial" w:cs="Arial"/>
          <w:sz w:val="22"/>
          <w:szCs w:val="22"/>
          <w:lang w:val="es-MX" w:eastAsia="en-US"/>
        </w:rPr>
        <w:t xml:space="preserve">alcance de los vocablos </w:t>
      </w:r>
      <w:r w:rsidRPr="00B06081">
        <w:rPr>
          <w:rFonts w:ascii="Arial" w:hAnsi="Arial" w:cs="Arial"/>
          <w:sz w:val="22"/>
        </w:rPr>
        <w:t>«</w:t>
      </w:r>
      <w:r w:rsidRPr="00B06081">
        <w:rPr>
          <w:rFonts w:ascii="Arial" w:eastAsia="Calibri" w:hAnsi="Arial" w:cs="Arial"/>
          <w:color w:val="000000"/>
          <w:sz w:val="22"/>
          <w:szCs w:val="22"/>
          <w:lang w:val="es-ES_tradnl" w:eastAsia="en-GB"/>
        </w:rPr>
        <w:t>consultar y analizar</w:t>
      </w:r>
      <w:r w:rsidRPr="00B06081">
        <w:rPr>
          <w:rFonts w:ascii="Arial" w:hAnsi="Arial" w:cs="Arial"/>
          <w:sz w:val="22"/>
        </w:rPr>
        <w:t>»</w:t>
      </w:r>
      <w:r w:rsidRPr="00B06081">
        <w:rPr>
          <w:rFonts w:ascii="Arial" w:eastAsia="Calibri" w:hAnsi="Arial" w:cs="Arial"/>
          <w:color w:val="000000"/>
          <w:sz w:val="22"/>
          <w:szCs w:val="22"/>
          <w:lang w:val="es-ES_tradnl" w:eastAsia="en-GB"/>
        </w:rPr>
        <w:t xml:space="preserve"> y de las anotaciones en el Registro Nacional de Obras Civiles Inconclusas</w:t>
      </w:r>
      <w:r>
        <w:rPr>
          <w:rFonts w:ascii="Arial" w:eastAsia="Calibri" w:hAnsi="Arial" w:cs="Arial"/>
          <w:color w:val="000000"/>
          <w:sz w:val="22"/>
          <w:szCs w:val="22"/>
          <w:lang w:val="es-ES_tradnl" w:eastAsia="en-GB"/>
        </w:rPr>
        <w:t xml:space="preserve">. </w:t>
      </w:r>
    </w:p>
    <w:p w14:paraId="2E5A14B2" w14:textId="1513B5A0" w:rsidR="0009524D" w:rsidRDefault="00B06081" w:rsidP="0009524D">
      <w:pPr>
        <w:spacing w:before="120" w:line="276" w:lineRule="auto"/>
        <w:ind w:firstLine="709"/>
        <w:jc w:val="both"/>
        <w:rPr>
          <w:rFonts w:ascii="Arial" w:eastAsiaTheme="minorHAnsi" w:hAnsi="Arial" w:cs="Arial"/>
          <w:sz w:val="22"/>
          <w:szCs w:val="22"/>
          <w:lang w:val="es-MX" w:eastAsia="en-US"/>
        </w:rPr>
      </w:pPr>
      <w:r w:rsidRPr="00B06081">
        <w:rPr>
          <w:rFonts w:ascii="Arial" w:eastAsiaTheme="minorHAnsi" w:hAnsi="Arial" w:cs="Arial"/>
          <w:sz w:val="22"/>
          <w:szCs w:val="22"/>
          <w:lang w:val="es-MX" w:eastAsia="en-US"/>
        </w:rPr>
        <w:t xml:space="preserve">Así, es preciso señalar que el inicio del párrafo del documento base, prescribe el deber de las entidades estatales de consultar y analizar las anotaciones vigentes que reposan en el Registro Nacional de Obras Civiles Inconclusas, lo cual guarda coherencia con el artículo 6 de la Ley 2020 de 2020. </w:t>
      </w:r>
      <w:r>
        <w:rPr>
          <w:rFonts w:ascii="Arial" w:eastAsiaTheme="minorHAnsi" w:hAnsi="Arial" w:cs="Arial"/>
          <w:sz w:val="22"/>
          <w:szCs w:val="22"/>
          <w:lang w:val="es-MX" w:eastAsia="en-US"/>
        </w:rPr>
        <w:t>De esta manera,</w:t>
      </w:r>
      <w:r w:rsidR="0009524D" w:rsidRPr="0009524D">
        <w:rPr>
          <w:rFonts w:ascii="Arial" w:eastAsiaTheme="minorHAnsi" w:hAnsi="Arial" w:cs="Arial"/>
          <w:sz w:val="22"/>
          <w:szCs w:val="22"/>
          <w:lang w:val="es-MX" w:eastAsia="en-US"/>
        </w:rPr>
        <w:t xml:space="preserve"> </w:t>
      </w:r>
      <w:r w:rsidR="0009524D">
        <w:rPr>
          <w:rFonts w:ascii="Arial" w:eastAsiaTheme="minorHAnsi" w:hAnsi="Arial" w:cs="Arial"/>
          <w:sz w:val="22"/>
          <w:szCs w:val="22"/>
          <w:lang w:val="es-MX" w:eastAsia="en-US"/>
        </w:rPr>
        <w:t xml:space="preserve">la connotación de las palabras </w:t>
      </w:r>
      <w:r w:rsidR="0009524D" w:rsidRPr="00066821">
        <w:rPr>
          <w:rFonts w:ascii="Arial" w:hAnsi="Arial" w:cs="Arial"/>
          <w:sz w:val="22"/>
        </w:rPr>
        <w:t>«</w:t>
      </w:r>
      <w:r w:rsidR="0009524D">
        <w:rPr>
          <w:rFonts w:ascii="Arial" w:hAnsi="Arial" w:cs="Arial"/>
          <w:sz w:val="22"/>
        </w:rPr>
        <w:t xml:space="preserve">consultar y </w:t>
      </w:r>
      <w:r w:rsidR="0009524D">
        <w:rPr>
          <w:rFonts w:ascii="Arial" w:eastAsiaTheme="minorHAnsi" w:hAnsi="Arial" w:cs="Arial"/>
          <w:sz w:val="22"/>
          <w:szCs w:val="22"/>
          <w:lang w:val="es-MX" w:eastAsia="en-US"/>
        </w:rPr>
        <w:t>analizar</w:t>
      </w:r>
      <w:r w:rsidR="0009524D" w:rsidRPr="00066821">
        <w:rPr>
          <w:rFonts w:ascii="Arial" w:hAnsi="Arial" w:cs="Arial"/>
          <w:sz w:val="22"/>
        </w:rPr>
        <w:t>»</w:t>
      </w:r>
      <w:r w:rsidR="0009524D">
        <w:rPr>
          <w:rFonts w:ascii="Arial" w:hAnsi="Arial" w:cs="Arial"/>
          <w:sz w:val="22"/>
        </w:rPr>
        <w:t xml:space="preserve"> </w:t>
      </w:r>
      <w:r w:rsidR="0009524D">
        <w:rPr>
          <w:rFonts w:ascii="Arial" w:eastAsiaTheme="minorHAnsi" w:hAnsi="Arial" w:cs="Arial"/>
          <w:sz w:val="22"/>
          <w:szCs w:val="22"/>
          <w:lang w:val="es-MX" w:eastAsia="en-US"/>
        </w:rPr>
        <w:t xml:space="preserve">constituyen el marco respecto del cual se circunscribe el deber de la entidad de tener en cuenta las anotaciones en el Registro Nacional de Obras Civiles </w:t>
      </w:r>
      <w:r w:rsidR="0009524D">
        <w:rPr>
          <w:rFonts w:ascii="Arial" w:eastAsiaTheme="minorHAnsi" w:hAnsi="Arial" w:cs="Arial"/>
          <w:sz w:val="22"/>
          <w:szCs w:val="22"/>
          <w:lang w:val="es-MX" w:eastAsia="en-US"/>
        </w:rPr>
        <w:lastRenderedPageBreak/>
        <w:t xml:space="preserve">Inconclusas, para efectos de la evaluación de los </w:t>
      </w:r>
      <w:r w:rsidR="00E51632">
        <w:rPr>
          <w:rFonts w:ascii="Arial" w:eastAsiaTheme="minorHAnsi" w:hAnsi="Arial" w:cs="Arial"/>
          <w:sz w:val="22"/>
          <w:szCs w:val="22"/>
          <w:lang w:val="es-MX" w:eastAsia="en-US"/>
        </w:rPr>
        <w:t>criterios</w:t>
      </w:r>
      <w:r w:rsidR="0009524D">
        <w:rPr>
          <w:rFonts w:ascii="Arial" w:eastAsiaTheme="minorHAnsi" w:hAnsi="Arial" w:cs="Arial"/>
          <w:sz w:val="22"/>
          <w:szCs w:val="22"/>
          <w:lang w:val="es-MX" w:eastAsia="en-US"/>
        </w:rPr>
        <w:t xml:space="preserve"> de </w:t>
      </w:r>
      <w:r w:rsidR="00331C53">
        <w:rPr>
          <w:rFonts w:ascii="Arial" w:eastAsiaTheme="minorHAnsi" w:hAnsi="Arial" w:cs="Arial"/>
          <w:sz w:val="22"/>
          <w:szCs w:val="22"/>
          <w:lang w:val="es-MX" w:eastAsia="en-US"/>
        </w:rPr>
        <w:t>asignación de puntaje</w:t>
      </w:r>
      <w:r w:rsidR="00E51632">
        <w:rPr>
          <w:rFonts w:ascii="Arial" w:eastAsiaTheme="minorHAnsi" w:hAnsi="Arial" w:cs="Arial"/>
          <w:sz w:val="22"/>
          <w:szCs w:val="22"/>
          <w:lang w:val="es-MX" w:eastAsia="en-US"/>
        </w:rPr>
        <w:t xml:space="preserve">. </w:t>
      </w:r>
      <w:r w:rsidR="0009524D">
        <w:rPr>
          <w:rFonts w:ascii="Arial" w:eastAsiaTheme="minorHAnsi" w:hAnsi="Arial" w:cs="Arial"/>
          <w:sz w:val="22"/>
          <w:szCs w:val="22"/>
          <w:lang w:val="es-MX" w:eastAsia="en-US"/>
        </w:rPr>
        <w:t xml:space="preserve">En otras palabras, las expresiones </w:t>
      </w:r>
      <w:r w:rsidR="0009524D" w:rsidRPr="00066821">
        <w:rPr>
          <w:rFonts w:ascii="Arial" w:hAnsi="Arial" w:cs="Arial"/>
          <w:sz w:val="22"/>
        </w:rPr>
        <w:t>«</w:t>
      </w:r>
      <w:r w:rsidR="0009524D">
        <w:rPr>
          <w:rFonts w:ascii="Arial" w:hAnsi="Arial" w:cs="Arial"/>
          <w:sz w:val="22"/>
        </w:rPr>
        <w:t xml:space="preserve">consultar y </w:t>
      </w:r>
      <w:r w:rsidR="0009524D">
        <w:rPr>
          <w:rFonts w:ascii="Arial" w:eastAsiaTheme="minorHAnsi" w:hAnsi="Arial" w:cs="Arial"/>
          <w:sz w:val="22"/>
          <w:szCs w:val="22"/>
          <w:lang w:val="es-MX" w:eastAsia="en-US"/>
        </w:rPr>
        <w:t>analizar</w:t>
      </w:r>
      <w:r w:rsidR="0009524D" w:rsidRPr="00066821">
        <w:rPr>
          <w:rFonts w:ascii="Arial" w:hAnsi="Arial" w:cs="Arial"/>
          <w:sz w:val="22"/>
        </w:rPr>
        <w:t>»</w:t>
      </w:r>
      <w:r w:rsidR="0009524D">
        <w:rPr>
          <w:rFonts w:ascii="Arial" w:eastAsiaTheme="minorHAnsi" w:hAnsi="Arial" w:cs="Arial"/>
          <w:sz w:val="22"/>
          <w:szCs w:val="22"/>
          <w:lang w:val="es-MX" w:eastAsia="en-US"/>
        </w:rPr>
        <w:t>, determinan el alcance de la interpretación tanto del contenido del artículo 6 de la Ley 2020 de 2020, como en el texto establecido en los Documentos Base</w:t>
      </w:r>
      <w:r w:rsidR="00331C53">
        <w:rPr>
          <w:rFonts w:ascii="Arial" w:eastAsiaTheme="minorHAnsi" w:hAnsi="Arial" w:cs="Arial"/>
          <w:sz w:val="22"/>
          <w:szCs w:val="22"/>
          <w:lang w:val="es-MX" w:eastAsia="en-US"/>
        </w:rPr>
        <w:t xml:space="preserve"> de los documentos tipo</w:t>
      </w:r>
      <w:r w:rsidR="0009524D">
        <w:rPr>
          <w:rFonts w:ascii="Arial" w:eastAsiaTheme="minorHAnsi" w:hAnsi="Arial" w:cs="Arial"/>
          <w:sz w:val="22"/>
          <w:szCs w:val="22"/>
          <w:lang w:val="es-MX" w:eastAsia="en-US"/>
        </w:rPr>
        <w:t xml:space="preserve">, sobre el Registro Nacional de Obras Civiles Inconclusas. </w:t>
      </w:r>
    </w:p>
    <w:p w14:paraId="2A7AD855" w14:textId="1078DE1F" w:rsidR="00B06081" w:rsidRDefault="0009524D" w:rsidP="0009524D">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Bajo estas consideraciones, la interpretación adecuada para lo dispuesto en el Documento Base es que para descontar el punto de la sumatoria obtenida en relación con los criterios de evaluación, la entidad deberá consultar y analizar las anotaciones vigentes en el Registro Nacional de Obras Civiles Inconclusas. Con este panorama, la pregunta que surge a continuación es la siguiente: ¿cómo analizar las anotaciones para descontar el punto? Consideramos adecuado, por ejemplo, que en este análisis la entidad verifique si existen anotaciones relacionadas con el incumplimiento del contratista, que permita determinar que la obra no concluyó </w:t>
      </w:r>
      <w:r w:rsidR="00867323">
        <w:rPr>
          <w:rFonts w:ascii="Arial" w:eastAsiaTheme="minorHAnsi" w:hAnsi="Arial" w:cs="Arial"/>
          <w:sz w:val="22"/>
          <w:szCs w:val="22"/>
          <w:lang w:val="es-MX" w:eastAsia="en-US"/>
        </w:rPr>
        <w:t>por razones atribuibles a</w:t>
      </w:r>
      <w:r>
        <w:rPr>
          <w:rFonts w:ascii="Arial" w:eastAsiaTheme="minorHAnsi" w:hAnsi="Arial" w:cs="Arial"/>
          <w:sz w:val="22"/>
          <w:szCs w:val="22"/>
          <w:lang w:val="es-MX" w:eastAsia="en-US"/>
        </w:rPr>
        <w:t xml:space="preserve"> este, en cuyo caso </w:t>
      </w:r>
      <w:r w:rsidR="00331C53">
        <w:rPr>
          <w:rFonts w:ascii="Arial" w:eastAsiaTheme="minorHAnsi" w:hAnsi="Arial" w:cs="Arial"/>
          <w:sz w:val="22"/>
          <w:szCs w:val="22"/>
          <w:lang w:val="es-MX" w:eastAsia="en-US"/>
        </w:rPr>
        <w:t xml:space="preserve">se </w:t>
      </w:r>
      <w:r>
        <w:rPr>
          <w:rFonts w:ascii="Arial" w:eastAsiaTheme="minorHAnsi" w:hAnsi="Arial" w:cs="Arial"/>
          <w:sz w:val="22"/>
          <w:szCs w:val="22"/>
          <w:lang w:val="es-MX" w:eastAsia="en-US"/>
        </w:rPr>
        <w:t xml:space="preserve">descontará el punto. </w:t>
      </w:r>
    </w:p>
    <w:p w14:paraId="52A379B6"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Para clarificar el argumento anterior, es pertinente considerar los cambios que tuvo el artículo 6 de la Ley 2020 de 2020 durante el trámite legislativo en el Congreso de la República, desde la radicación del proyecto hasta su versión final. Esto con el objetivo de evidenciar que el alcance del análisis de las anotaciones en el registro también incluye la verificación de los incumplimientos del contratista respecto de las obras civiles inconclusas. </w:t>
      </w:r>
    </w:p>
    <w:p w14:paraId="64812464" w14:textId="77777777" w:rsidR="00484E3F" w:rsidRDefault="00484E3F" w:rsidP="00484E3F">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la presentación inicial del proyecto de Ley No. 025 de 2018, </w:t>
      </w:r>
      <w:r w:rsidRPr="00066821">
        <w:rPr>
          <w:rFonts w:ascii="Arial" w:hAnsi="Arial" w:cs="Arial"/>
          <w:sz w:val="22"/>
        </w:rPr>
        <w:t>«</w:t>
      </w:r>
      <w:r w:rsidRPr="00C820AD">
        <w:rPr>
          <w:rFonts w:ascii="Arial" w:eastAsiaTheme="minorHAnsi" w:hAnsi="Arial" w:cs="Arial"/>
          <w:sz w:val="22"/>
          <w:szCs w:val="22"/>
          <w:lang w:val="es-MX" w:eastAsia="en-US"/>
        </w:rPr>
        <w:t xml:space="preserve">por medio de la cual </w:t>
      </w:r>
      <w:r>
        <w:rPr>
          <w:rFonts w:ascii="Arial" w:eastAsiaTheme="minorHAnsi" w:hAnsi="Arial" w:cs="Arial"/>
          <w:sz w:val="22"/>
          <w:szCs w:val="22"/>
          <w:lang w:val="es-MX" w:eastAsia="en-US"/>
        </w:rPr>
        <w:t xml:space="preserve">se crea el registro nacional de </w:t>
      </w:r>
      <w:r w:rsidRPr="00C820AD">
        <w:rPr>
          <w:rFonts w:ascii="Arial" w:eastAsiaTheme="minorHAnsi" w:hAnsi="Arial" w:cs="Arial"/>
          <w:sz w:val="22"/>
          <w:szCs w:val="22"/>
          <w:lang w:val="es-MX" w:eastAsia="en-US"/>
        </w:rPr>
        <w:t>obras civiles inconcl</w:t>
      </w:r>
      <w:r>
        <w:rPr>
          <w:rFonts w:ascii="Arial" w:eastAsiaTheme="minorHAnsi" w:hAnsi="Arial" w:cs="Arial"/>
          <w:sz w:val="22"/>
          <w:szCs w:val="22"/>
          <w:lang w:val="es-MX" w:eastAsia="en-US"/>
        </w:rPr>
        <w:t xml:space="preserve">usas de las entidades estatales </w:t>
      </w:r>
      <w:r w:rsidRPr="00C820AD">
        <w:rPr>
          <w:rFonts w:ascii="Arial" w:eastAsiaTheme="minorHAnsi" w:hAnsi="Arial" w:cs="Arial"/>
          <w:sz w:val="22"/>
          <w:szCs w:val="22"/>
          <w:lang w:val="es-MX" w:eastAsia="en-US"/>
        </w:rPr>
        <w:t>y se dictan otras disposiciones</w:t>
      </w:r>
      <w:r w:rsidRPr="00066821">
        <w:rPr>
          <w:rFonts w:ascii="Arial" w:hAnsi="Arial" w:cs="Arial"/>
          <w:sz w:val="22"/>
        </w:rPr>
        <w:t>»</w:t>
      </w:r>
      <w:r>
        <w:rPr>
          <w:rFonts w:ascii="Arial" w:eastAsiaTheme="minorHAnsi" w:hAnsi="Arial" w:cs="Arial"/>
          <w:sz w:val="22"/>
          <w:szCs w:val="22"/>
          <w:lang w:val="es-MX" w:eastAsia="en-US"/>
        </w:rPr>
        <w:t>, la redacción del artículo 6 distaba mucho de la versión final</w:t>
      </w:r>
      <w:r w:rsidRPr="00BE45DF">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de la Ley 2020 de 2020. El texto original no involucraba asuntos relacionados con la contratación pública. La disposición establecía lo siguiente: </w:t>
      </w:r>
    </w:p>
    <w:p w14:paraId="495DF209" w14:textId="77777777" w:rsidR="00484E3F" w:rsidRDefault="00484E3F" w:rsidP="00484E3F">
      <w:pPr>
        <w:spacing w:line="276" w:lineRule="auto"/>
        <w:ind w:firstLine="709"/>
        <w:jc w:val="both"/>
        <w:rPr>
          <w:rFonts w:ascii="Arial" w:eastAsiaTheme="minorHAnsi" w:hAnsi="Arial" w:cs="Arial"/>
          <w:sz w:val="22"/>
          <w:szCs w:val="22"/>
          <w:lang w:val="es-MX" w:eastAsia="en-US"/>
        </w:rPr>
      </w:pPr>
    </w:p>
    <w:p w14:paraId="341B17B7" w14:textId="77777777" w:rsidR="00484E3F" w:rsidRPr="00BE45DF"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Artículo 6°. Actuaciones. En todas las entidades estatales, a instancia de la Secretaría, Departamento u Oficina de Planeación, según el caso, funcionará el Registro Departamental, Municipal, Distrital o institucional de Obras Civiles Inconclusas, que progresivamente se incorporarán al Registro Nacional de Obras Civiles Inconclusas.</w:t>
      </w:r>
    </w:p>
    <w:p w14:paraId="0E699629" w14:textId="77777777" w:rsidR="00484E3F" w:rsidRPr="00BE45DF"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 xml:space="preserve">Parágrafo 1°. La administración del Registro Nacional de Obras Civiles Inconclusas estará a cargo del Departamento Nacional de Planeación, el cual consolidará la información suministrada por las Entidades Estatales y deberá emitir informe cada seis (6) meses sobre las medidas desarrolladas durante dicho periodo y el seguimiento que se ha realizado. En el informe se deberá relacionar con claridad el nombre de los contratistas y sociedades que presenten un mayor número de obras inconclusas. </w:t>
      </w:r>
    </w:p>
    <w:p w14:paraId="03B24BBC" w14:textId="77777777" w:rsidR="00484E3F" w:rsidRPr="00BE45DF" w:rsidRDefault="00484E3F" w:rsidP="00484E3F">
      <w:pPr>
        <w:tabs>
          <w:tab w:val="left" w:pos="0"/>
        </w:tabs>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lastRenderedPageBreak/>
        <w:t>Parágrafo 2°. Las entidades estatales deberán enviar copia al Registro Departamental, Municipal, Distrital o institucional de Obras Civiles Inconclusas a la Contraloría General de Nación o Contralorías Territoriales según el caso</w:t>
      </w:r>
      <w:r>
        <w:rPr>
          <w:rFonts w:ascii="Arial" w:eastAsia="Calibri" w:hAnsi="Arial" w:cs="Arial"/>
          <w:color w:val="000000"/>
          <w:sz w:val="21"/>
          <w:szCs w:val="21"/>
          <w:lang w:val="es-ES_tradnl" w:eastAsia="en-GB"/>
        </w:rPr>
        <w:t>.</w:t>
      </w:r>
      <w:r>
        <w:rPr>
          <w:rStyle w:val="Refdenotaalpie"/>
          <w:rFonts w:ascii="Arial" w:eastAsiaTheme="minorHAnsi" w:hAnsi="Arial" w:cs="Arial"/>
          <w:sz w:val="22"/>
          <w:szCs w:val="22"/>
          <w:lang w:val="es-MX" w:eastAsia="en-US"/>
        </w:rPr>
        <w:footnoteReference w:id="14"/>
      </w:r>
    </w:p>
    <w:p w14:paraId="6A101E8C" w14:textId="77777777" w:rsidR="00484E3F" w:rsidRPr="00472D8E" w:rsidRDefault="00484E3F" w:rsidP="00484E3F">
      <w:pPr>
        <w:spacing w:line="276" w:lineRule="auto"/>
        <w:ind w:firstLine="709"/>
        <w:jc w:val="both"/>
        <w:rPr>
          <w:rFonts w:ascii="Arial" w:eastAsiaTheme="minorHAnsi" w:hAnsi="Arial" w:cs="Arial"/>
          <w:sz w:val="22"/>
          <w:szCs w:val="22"/>
          <w:lang w:val="es-MX" w:eastAsia="en-US"/>
        </w:rPr>
      </w:pPr>
    </w:p>
    <w:p w14:paraId="0770C3FE" w14:textId="77777777" w:rsidR="00484E3F" w:rsidRPr="00472D8E" w:rsidRDefault="00484E3F" w:rsidP="00484E3F">
      <w:pPr>
        <w:spacing w:line="276" w:lineRule="auto"/>
        <w:ind w:firstLine="709"/>
        <w:jc w:val="both"/>
        <w:rPr>
          <w:rFonts w:ascii="Arial" w:eastAsia="Calibri" w:hAnsi="Arial" w:cs="Arial"/>
          <w:color w:val="000000"/>
          <w:sz w:val="22"/>
          <w:szCs w:val="22"/>
          <w:lang w:val="es-ES_tradnl" w:eastAsia="en-GB"/>
        </w:rPr>
      </w:pPr>
      <w:r w:rsidRPr="00472D8E">
        <w:rPr>
          <w:rFonts w:ascii="Arial" w:eastAsiaTheme="minorHAnsi" w:hAnsi="Arial" w:cs="Arial"/>
          <w:sz w:val="22"/>
          <w:szCs w:val="22"/>
          <w:lang w:val="es-MX" w:eastAsia="en-US"/>
        </w:rPr>
        <w:t xml:space="preserve">Como se </w:t>
      </w:r>
      <w:r>
        <w:rPr>
          <w:rFonts w:ascii="Arial" w:eastAsiaTheme="minorHAnsi" w:hAnsi="Arial" w:cs="Arial"/>
          <w:sz w:val="22"/>
          <w:szCs w:val="22"/>
          <w:lang w:val="es-MX" w:eastAsia="en-US"/>
        </w:rPr>
        <w:t>observa</w:t>
      </w:r>
      <w:r w:rsidRPr="00472D8E">
        <w:rPr>
          <w:rFonts w:ascii="Arial" w:eastAsiaTheme="minorHAnsi" w:hAnsi="Arial" w:cs="Arial"/>
          <w:sz w:val="22"/>
          <w:szCs w:val="22"/>
          <w:lang w:val="es-MX" w:eastAsia="en-US"/>
        </w:rPr>
        <w:t xml:space="preserve">, el enfoque de esta redacción se caracterizó por determinar un Registro a nivel territorial de obras civiles inconclusas que se incorporaran en al Registro Nacional de Obras Inconclusas. Así mismo, establecía al </w:t>
      </w:r>
      <w:r w:rsidRPr="00472D8E">
        <w:rPr>
          <w:rFonts w:ascii="Arial" w:eastAsia="Calibri" w:hAnsi="Arial" w:cs="Arial"/>
          <w:color w:val="000000"/>
          <w:sz w:val="22"/>
          <w:szCs w:val="22"/>
          <w:lang w:val="es-ES_tradnl" w:eastAsia="en-GB"/>
        </w:rPr>
        <w:t xml:space="preserve">Departamento Nacional de Planeación, como la entidad encargada de consolidar la información suministrada por las entidades estatales. </w:t>
      </w:r>
    </w:p>
    <w:p w14:paraId="0C1BA6AB" w14:textId="4036AB8B" w:rsidR="00484E3F" w:rsidRDefault="005C0D57" w:rsidP="00484E3F">
      <w:pPr>
        <w:spacing w:before="120" w:line="276" w:lineRule="auto"/>
        <w:ind w:firstLine="709"/>
        <w:jc w:val="both"/>
        <w:rPr>
          <w:rFonts w:ascii="Arial" w:eastAsia="Calibri" w:hAnsi="Arial" w:cs="Arial"/>
          <w:color w:val="000000"/>
          <w:sz w:val="22"/>
          <w:szCs w:val="22"/>
          <w:lang w:val="es-ES_tradnl" w:eastAsia="en-GB"/>
        </w:rPr>
      </w:pPr>
      <w:r w:rsidRPr="00472D8E">
        <w:rPr>
          <w:rFonts w:ascii="Arial" w:eastAsia="Calibri" w:hAnsi="Arial" w:cs="Arial"/>
          <w:color w:val="000000"/>
          <w:sz w:val="22"/>
          <w:szCs w:val="22"/>
          <w:lang w:val="es-ES_tradnl" w:eastAsia="en-GB"/>
        </w:rPr>
        <w:t>Posteriormente, la modificación del artículo supuso la inclusión de una obligación a cargo de las entidades estatales</w:t>
      </w:r>
      <w:r>
        <w:rPr>
          <w:rFonts w:ascii="Arial" w:eastAsia="Calibri" w:hAnsi="Arial" w:cs="Arial"/>
          <w:color w:val="000000"/>
          <w:sz w:val="22"/>
          <w:szCs w:val="22"/>
          <w:lang w:val="es-ES_tradnl" w:eastAsia="en-GB"/>
        </w:rPr>
        <w:t xml:space="preserve"> en su parágrafo segundo. Según esta versión, </w:t>
      </w:r>
      <w:r w:rsidRPr="00066821">
        <w:rPr>
          <w:rFonts w:ascii="Arial" w:hAnsi="Arial" w:cs="Arial"/>
          <w:sz w:val="22"/>
        </w:rPr>
        <w:t>«</w:t>
      </w:r>
      <w:r w:rsidRPr="001F512D">
        <w:rPr>
          <w:rFonts w:ascii="Arial" w:eastAsia="Calibri" w:hAnsi="Arial" w:cs="Arial"/>
          <w:color w:val="000000"/>
          <w:sz w:val="22"/>
          <w:szCs w:val="22"/>
          <w:lang w:val="es-ES_tradnl" w:eastAsia="en-GB"/>
        </w:rPr>
        <w:t>Las entidades de las que trata la presente ley, tendrán la obligación de consultar el registro de obras inconclusas antes de contratar obras públicas, con el fin de observar si los contratistas licitantes tienen antecedentes de incumplimiento</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15"/>
      </w:r>
      <w:r w:rsidRPr="001F512D">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Esta glosa comprende dos términos claves, </w:t>
      </w:r>
      <w:r w:rsidRPr="00066821">
        <w:rPr>
          <w:rFonts w:ascii="Arial" w:hAnsi="Arial" w:cs="Arial"/>
          <w:sz w:val="22"/>
        </w:rPr>
        <w:t>«</w:t>
      </w:r>
      <w:r>
        <w:rPr>
          <w:rFonts w:ascii="Arial" w:eastAsia="Calibri" w:hAnsi="Arial" w:cs="Arial"/>
          <w:color w:val="000000"/>
          <w:sz w:val="22"/>
          <w:szCs w:val="22"/>
          <w:lang w:val="es-ES_tradnl" w:eastAsia="en-GB"/>
        </w:rPr>
        <w:t>consultar</w:t>
      </w:r>
      <w:r w:rsidRPr="00066821">
        <w:rPr>
          <w:rFonts w:ascii="Arial" w:hAnsi="Arial" w:cs="Arial"/>
          <w:sz w:val="22"/>
        </w:rPr>
        <w:t>»</w:t>
      </w:r>
      <w:r>
        <w:rPr>
          <w:rFonts w:ascii="Arial" w:eastAsia="Calibri" w:hAnsi="Arial" w:cs="Arial"/>
          <w:color w:val="000000"/>
          <w:sz w:val="22"/>
          <w:szCs w:val="22"/>
          <w:lang w:val="es-ES_tradnl" w:eastAsia="en-GB"/>
        </w:rPr>
        <w:t xml:space="preserve"> e </w:t>
      </w:r>
      <w:r w:rsidRPr="00066821">
        <w:rPr>
          <w:rFonts w:ascii="Arial" w:hAnsi="Arial" w:cs="Arial"/>
          <w:sz w:val="22"/>
        </w:rPr>
        <w:t>«</w:t>
      </w:r>
      <w:r>
        <w:rPr>
          <w:rFonts w:ascii="Arial" w:eastAsia="Calibri" w:hAnsi="Arial" w:cs="Arial"/>
          <w:color w:val="000000"/>
          <w:sz w:val="22"/>
          <w:szCs w:val="22"/>
          <w:lang w:val="es-ES_tradnl" w:eastAsia="en-GB"/>
        </w:rPr>
        <w:t>incumplimiento</w:t>
      </w:r>
      <w:r w:rsidRPr="00066821">
        <w:rPr>
          <w:rFonts w:ascii="Arial" w:hAnsi="Arial" w:cs="Arial"/>
          <w:sz w:val="22"/>
        </w:rPr>
        <w:t>»</w:t>
      </w:r>
      <w:r>
        <w:rPr>
          <w:rFonts w:ascii="Arial" w:eastAsia="Calibri" w:hAnsi="Arial" w:cs="Arial"/>
          <w:color w:val="000000"/>
          <w:sz w:val="22"/>
          <w:szCs w:val="22"/>
          <w:lang w:val="es-ES_tradnl" w:eastAsia="en-GB"/>
        </w:rPr>
        <w:t>. Así, antes de contratar obras públicas, las entidades</w:t>
      </w:r>
      <w:r w:rsidRPr="00A467C4">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debían consultar los incumplimientos de los contratistas en el registro, pero no se estableció ninguna consecuencia jurídica. En el trámite legislativo, el parágrafo segundo del artículo 6 cambió radicalmente. Este aparte dispuso</w:t>
      </w:r>
      <w:r>
        <w:rPr>
          <w:rStyle w:val="Refdenotaalpie"/>
          <w:rFonts w:ascii="Arial" w:eastAsia="Calibri" w:hAnsi="Arial" w:cs="Arial"/>
          <w:color w:val="000000"/>
          <w:sz w:val="22"/>
          <w:szCs w:val="22"/>
          <w:lang w:val="es-ES_tradnl" w:eastAsia="en-GB"/>
        </w:rPr>
        <w:footnoteReference w:id="16"/>
      </w:r>
      <w:r>
        <w:rPr>
          <w:rFonts w:ascii="Arial" w:eastAsia="Calibri" w:hAnsi="Arial" w:cs="Arial"/>
          <w:color w:val="000000"/>
          <w:sz w:val="22"/>
          <w:szCs w:val="22"/>
          <w:lang w:val="es-ES_tradnl" w:eastAsia="en-GB"/>
        </w:rPr>
        <w:t>:</w:t>
      </w:r>
    </w:p>
    <w:p w14:paraId="1BD594DD" w14:textId="77777777" w:rsidR="00484E3F" w:rsidRPr="00EE6A1A" w:rsidRDefault="00484E3F" w:rsidP="00484E3F">
      <w:pPr>
        <w:spacing w:line="276" w:lineRule="auto"/>
        <w:ind w:firstLine="709"/>
        <w:jc w:val="both"/>
        <w:rPr>
          <w:rFonts w:ascii="Arial" w:eastAsia="Calibri" w:hAnsi="Arial" w:cs="Arial"/>
          <w:color w:val="000000"/>
          <w:sz w:val="22"/>
          <w:szCs w:val="22"/>
          <w:lang w:val="es-ES_tradnl" w:eastAsia="en-GB"/>
        </w:rPr>
      </w:pPr>
    </w:p>
    <w:p w14:paraId="6BBC923D" w14:textId="77777777" w:rsidR="00484E3F" w:rsidRPr="00576233"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Parágrafo 2°. En los procesos de contratación de obras públicas que adelanten las entidades estatales, sin importar la cuantía, los contratistas e interventores deberán allegar la certificación virtual sobre las anotaciones que presenten en el Registro Nacional de Obras Civiles Inconclusas. </w:t>
      </w:r>
    </w:p>
    <w:p w14:paraId="3C431197" w14:textId="77777777" w:rsidR="00484E3F" w:rsidRPr="00576233"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La entidad contratante tendrá en cuenta el</w:t>
      </w:r>
      <w:r w:rsidRPr="00576233">
        <w:rPr>
          <w:rFonts w:ascii="Arial" w:eastAsia="Calibri" w:hAnsi="Arial" w:cs="Arial"/>
          <w:b/>
          <w:color w:val="000000"/>
          <w:sz w:val="21"/>
          <w:szCs w:val="21"/>
          <w:lang w:val="es-ES_tradnl" w:eastAsia="en-GB"/>
        </w:rPr>
        <w:t xml:space="preserve"> </w:t>
      </w:r>
      <w:r w:rsidRPr="0081325C">
        <w:rPr>
          <w:rFonts w:ascii="Arial" w:eastAsia="Calibri" w:hAnsi="Arial" w:cs="Arial"/>
          <w:bCs/>
          <w:i/>
          <w:iCs/>
          <w:color w:val="000000"/>
          <w:sz w:val="21"/>
          <w:szCs w:val="21"/>
          <w:lang w:val="es-ES_tradnl" w:eastAsia="en-GB"/>
        </w:rPr>
        <w:t>cumplimiento</w:t>
      </w:r>
      <w:r w:rsidRPr="00576233">
        <w:rPr>
          <w:rFonts w:ascii="Arial" w:eastAsia="Calibri" w:hAnsi="Arial" w:cs="Arial"/>
          <w:color w:val="000000"/>
          <w:sz w:val="21"/>
          <w:szCs w:val="21"/>
          <w:lang w:val="es-ES_tradnl" w:eastAsia="en-GB"/>
        </w:rPr>
        <w:t xml:space="preserve"> de los contratistas licitantes, reflejado en el certificado allegado por los mismos y </w:t>
      </w:r>
      <w:r w:rsidRPr="0081325C">
        <w:rPr>
          <w:rFonts w:ascii="Arial" w:eastAsia="Calibri" w:hAnsi="Arial" w:cs="Arial"/>
          <w:bCs/>
          <w:i/>
          <w:iCs/>
          <w:color w:val="000000"/>
          <w:sz w:val="21"/>
          <w:szCs w:val="21"/>
          <w:lang w:val="es-ES_tradnl" w:eastAsia="en-GB"/>
        </w:rPr>
        <w:t>evaluarán</w:t>
      </w:r>
      <w:r w:rsidRPr="00576233">
        <w:rPr>
          <w:rFonts w:ascii="Arial" w:eastAsia="Calibri" w:hAnsi="Arial" w:cs="Arial"/>
          <w:color w:val="000000"/>
          <w:sz w:val="21"/>
          <w:szCs w:val="21"/>
          <w:lang w:val="es-ES_tradnl" w:eastAsia="en-GB"/>
        </w:rPr>
        <w:t xml:space="preserve"> sus antecedentes </w:t>
      </w:r>
      <w:proofErr w:type="gramStart"/>
      <w:r w:rsidRPr="00576233">
        <w:rPr>
          <w:rFonts w:ascii="Arial" w:eastAsia="Calibri" w:hAnsi="Arial" w:cs="Arial"/>
          <w:color w:val="000000"/>
          <w:sz w:val="21"/>
          <w:szCs w:val="21"/>
          <w:lang w:val="es-ES_tradnl" w:eastAsia="en-GB"/>
        </w:rPr>
        <w:t>de acuerdo a</w:t>
      </w:r>
      <w:proofErr w:type="gramEnd"/>
      <w:r w:rsidRPr="00576233">
        <w:rPr>
          <w:rFonts w:ascii="Arial" w:eastAsia="Calibri" w:hAnsi="Arial" w:cs="Arial"/>
          <w:color w:val="000000"/>
          <w:sz w:val="21"/>
          <w:szCs w:val="21"/>
          <w:lang w:val="es-ES_tradnl" w:eastAsia="en-GB"/>
        </w:rPr>
        <w:t xml:space="preserve"> la puntación que para ellos determine la Agencia Nacional de Contratación Pública Colombia Compra Eficiente esta última pondrá a disposición el recurso tecnológico para descargar el certificado del que habla el presente artículo y establecerá la vigencia del mismo. </w:t>
      </w:r>
    </w:p>
    <w:p w14:paraId="7406A931" w14:textId="77777777" w:rsidR="00484E3F" w:rsidRPr="00576233" w:rsidRDefault="00484E3F" w:rsidP="00484E3F">
      <w:pPr>
        <w:tabs>
          <w:tab w:val="left" w:pos="0"/>
        </w:tabs>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El Ministerio de Hacienda y Crédito Público en un término de (6) meses contados a partir de la </w:t>
      </w:r>
      <w:proofErr w:type="gramStart"/>
      <w:r w:rsidRPr="00576233">
        <w:rPr>
          <w:rFonts w:ascii="Arial" w:eastAsia="Calibri" w:hAnsi="Arial" w:cs="Arial"/>
          <w:color w:val="000000"/>
          <w:sz w:val="21"/>
          <w:szCs w:val="21"/>
          <w:lang w:val="es-ES_tradnl" w:eastAsia="en-GB"/>
        </w:rPr>
        <w:t>entrada en vigencia</w:t>
      </w:r>
      <w:proofErr w:type="gramEnd"/>
      <w:r w:rsidRPr="00576233">
        <w:rPr>
          <w:rFonts w:ascii="Arial" w:eastAsia="Calibri" w:hAnsi="Arial" w:cs="Arial"/>
          <w:color w:val="000000"/>
          <w:sz w:val="21"/>
          <w:szCs w:val="21"/>
          <w:lang w:val="es-ES_tradnl" w:eastAsia="en-GB"/>
        </w:rPr>
        <w:t xml:space="preserve"> de la presente ley, reglamentará la tarifa a cobrar por el certificado.</w:t>
      </w:r>
      <w:r>
        <w:rPr>
          <w:rFonts w:ascii="Arial" w:eastAsia="Calibri" w:hAnsi="Arial" w:cs="Arial"/>
          <w:color w:val="000000"/>
          <w:sz w:val="21"/>
          <w:szCs w:val="21"/>
          <w:lang w:val="es-ES_tradnl" w:eastAsia="en-GB"/>
        </w:rPr>
        <w:t xml:space="preserve"> (Énfasis fuera de texto)</w:t>
      </w:r>
    </w:p>
    <w:p w14:paraId="3E95A6C0" w14:textId="77777777" w:rsidR="00484E3F" w:rsidRDefault="00484E3F" w:rsidP="00484E3F">
      <w:pPr>
        <w:spacing w:line="276" w:lineRule="auto"/>
        <w:ind w:firstLine="709"/>
        <w:jc w:val="both"/>
        <w:rPr>
          <w:rFonts w:ascii="Arial" w:eastAsia="Calibri" w:hAnsi="Arial" w:cs="Arial"/>
          <w:color w:val="000000"/>
          <w:sz w:val="22"/>
          <w:szCs w:val="22"/>
          <w:lang w:val="es-ES_tradnl" w:eastAsia="en-GB"/>
        </w:rPr>
      </w:pPr>
    </w:p>
    <w:p w14:paraId="0E2AE799" w14:textId="535DA204" w:rsidR="00484E3F" w:rsidRDefault="004B3008" w:rsidP="00484E3F">
      <w:pPr>
        <w:spacing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De la cita se desprenden tres (3) aspectos que merecen atención</w:t>
      </w:r>
      <w:r w:rsidR="00484E3F">
        <w:rPr>
          <w:rFonts w:ascii="Arial" w:eastAsia="Calibri" w:hAnsi="Arial" w:cs="Arial"/>
          <w:color w:val="000000"/>
          <w:sz w:val="22"/>
          <w:szCs w:val="22"/>
          <w:lang w:val="es-ES_tradnl" w:eastAsia="en-GB"/>
        </w:rPr>
        <w:t>. Primero, establece un certificado virtual sobre anotaciones que los contratistas presenten en el registro; segundo, de dicho certificado deberá tenerse en cuenta el cumplimiento de los contratistas; y, por último, se evaluarán los antecedentes del contratista, de acuerdo con la puntuación que se determine. Según se evidencia, nuevamente el cumplimiento del contratista resulta relevante</w:t>
      </w:r>
      <w:r w:rsidR="005C0D57">
        <w:rPr>
          <w:rFonts w:ascii="Arial" w:eastAsia="Calibri" w:hAnsi="Arial" w:cs="Arial"/>
          <w:color w:val="000000"/>
          <w:sz w:val="22"/>
          <w:szCs w:val="22"/>
          <w:lang w:val="es-ES_tradnl" w:eastAsia="en-GB"/>
        </w:rPr>
        <w:t xml:space="preserve">, pues se </w:t>
      </w:r>
      <w:r w:rsidR="00484E3F">
        <w:rPr>
          <w:rFonts w:ascii="Arial" w:eastAsia="Calibri" w:hAnsi="Arial" w:cs="Arial"/>
          <w:color w:val="000000"/>
          <w:sz w:val="22"/>
          <w:szCs w:val="22"/>
          <w:lang w:val="es-ES_tradnl" w:eastAsia="en-GB"/>
        </w:rPr>
        <w:t xml:space="preserve">tendrá en cuenta para la puntuación en la evaluación de la oferta. </w:t>
      </w:r>
    </w:p>
    <w:p w14:paraId="38E36FED" w14:textId="77777777" w:rsidR="005C0D57" w:rsidRDefault="005C0D57" w:rsidP="005C0D57">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Así, el artículo 6 continúo teniendo modificaciones en el trámite legislativo, en particular, el parágrafo segundo. De esta manera, el texto siguiente eliminó la certificación virtual y, en cambio, determinó que </w:t>
      </w:r>
      <w:r w:rsidRPr="001D4141">
        <w:rPr>
          <w:rFonts w:ascii="Arial" w:eastAsia="Calibri" w:hAnsi="Arial" w:cs="Arial"/>
          <w:color w:val="000000"/>
          <w:sz w:val="22"/>
          <w:szCs w:val="22"/>
          <w:lang w:val="es-ES_tradnl" w:eastAsia="en-GB"/>
        </w:rPr>
        <w:t xml:space="preserve">las entidades contratantes en los pliegos de condiciones o sus equivalentes, </w:t>
      </w:r>
      <w:r w:rsidRPr="00066821">
        <w:rPr>
          <w:rFonts w:ascii="Arial" w:hAnsi="Arial" w:cs="Arial"/>
          <w:sz w:val="22"/>
        </w:rPr>
        <w:t>«</w:t>
      </w:r>
      <w:r w:rsidRPr="001D4141">
        <w:rPr>
          <w:rFonts w:ascii="Arial" w:eastAsia="Calibri" w:hAnsi="Arial" w:cs="Arial"/>
          <w:color w:val="000000"/>
          <w:sz w:val="22"/>
          <w:szCs w:val="22"/>
          <w:lang w:val="es-ES_tradnl" w:eastAsia="en-GB"/>
        </w:rPr>
        <w:t>deberán tener en cuenta y evaluar las anotaciones vigentes que presenten las personas naturales o jurídicas, nacionales o extranjeras domiciliadas o con sucursal en Colombia en el Registro Nacional de Obras Civiles Inconclusas, reseñadas en el Registro Único de Proponentes (RUP)</w:t>
      </w:r>
      <w:r w:rsidRPr="00066821">
        <w:rPr>
          <w:rFonts w:ascii="Arial" w:hAnsi="Arial" w:cs="Arial"/>
          <w:sz w:val="22"/>
        </w:rPr>
        <w:t>»</w:t>
      </w:r>
      <w:r w:rsidRPr="001D4141">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De igual manera, señaló que </w:t>
      </w:r>
      <w:r w:rsidRPr="00066821">
        <w:rPr>
          <w:rFonts w:ascii="Arial" w:hAnsi="Arial" w:cs="Arial"/>
          <w:sz w:val="22"/>
        </w:rPr>
        <w:t>«</w:t>
      </w:r>
      <w:r w:rsidRPr="001D4141">
        <w:rPr>
          <w:rFonts w:ascii="Arial" w:eastAsia="Calibri" w:hAnsi="Arial" w:cs="Arial"/>
          <w:color w:val="000000"/>
          <w:sz w:val="22"/>
          <w:szCs w:val="22"/>
          <w:lang w:val="es-ES_tradnl" w:eastAsia="en-GB"/>
        </w:rPr>
        <w:t>Durante los procesos de selección objetiva para contratistas de obra o interventores, se descontará hasta tres (3) por ciento de los puntos por cada anotación en los factores de ponderación de calidad, establecido en el literal a) del artículo 5° de la Ley 1150 de 2007 o la norma que la modifique</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17"/>
      </w:r>
      <w:r w:rsidRPr="001D4141">
        <w:rPr>
          <w:rFonts w:ascii="Arial" w:eastAsia="Calibri" w:hAnsi="Arial" w:cs="Arial"/>
          <w:color w:val="000000"/>
          <w:sz w:val="22"/>
          <w:szCs w:val="22"/>
          <w:lang w:val="es-ES_tradnl" w:eastAsia="en-GB"/>
        </w:rPr>
        <w:t>.</w:t>
      </w:r>
    </w:p>
    <w:p w14:paraId="14F1B249" w14:textId="79133302" w:rsidR="005C0D57" w:rsidRDefault="005C0D57" w:rsidP="005C0D57">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Como se evidencia, la versión en este punto se centró en las anotaciones que presenten </w:t>
      </w:r>
      <w:r w:rsidRPr="001D4141">
        <w:rPr>
          <w:rFonts w:ascii="Arial" w:eastAsia="Calibri" w:hAnsi="Arial" w:cs="Arial"/>
          <w:color w:val="000000"/>
          <w:sz w:val="22"/>
          <w:szCs w:val="22"/>
          <w:lang w:val="es-ES_tradnl" w:eastAsia="en-GB"/>
        </w:rPr>
        <w:t>las personas naturales o jurídicas, nacionales o extranjeras domiciliadas o con sucursal en Colombia en el Registro Nacional de Obras Civiles Inconclusas</w:t>
      </w:r>
      <w:r>
        <w:rPr>
          <w:rFonts w:ascii="Arial" w:eastAsia="Calibri" w:hAnsi="Arial" w:cs="Arial"/>
          <w:color w:val="000000"/>
          <w:sz w:val="22"/>
          <w:szCs w:val="22"/>
          <w:lang w:val="es-ES_tradnl" w:eastAsia="en-GB"/>
        </w:rPr>
        <w:t>.</w:t>
      </w:r>
      <w:r w:rsidRPr="009153F6">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 consecuencia jurídica era aparentemente clara, por cada anotación se descontaría 3% de los puntos </w:t>
      </w:r>
      <w:r w:rsidRPr="001D4141">
        <w:rPr>
          <w:rFonts w:ascii="Arial" w:eastAsia="Calibri" w:hAnsi="Arial" w:cs="Arial"/>
          <w:color w:val="000000"/>
          <w:sz w:val="22"/>
          <w:szCs w:val="22"/>
          <w:lang w:val="es-ES_tradnl" w:eastAsia="en-GB"/>
        </w:rPr>
        <w:t>en los fac</w:t>
      </w:r>
      <w:r>
        <w:rPr>
          <w:rFonts w:ascii="Arial" w:eastAsia="Calibri" w:hAnsi="Arial" w:cs="Arial"/>
          <w:color w:val="000000"/>
          <w:sz w:val="22"/>
          <w:szCs w:val="22"/>
          <w:lang w:val="es-ES_tradnl" w:eastAsia="en-GB"/>
        </w:rPr>
        <w:t xml:space="preserve">tores de ponderación de calidad. No obstante, lo expuesto no se consideró suficiente, por lo que en momentos posteriores del trámite legislativo el artículo fue modificado completamente. De esta manera, se eliminaron los parágrafos y el artículo quedó compuesto por dos párrafos, de la siguiente manera: </w:t>
      </w:r>
    </w:p>
    <w:p w14:paraId="063DC755" w14:textId="77777777" w:rsidR="00484E3F" w:rsidRDefault="00484E3F" w:rsidP="00484E3F">
      <w:pPr>
        <w:spacing w:line="276" w:lineRule="auto"/>
        <w:ind w:firstLine="709"/>
        <w:jc w:val="both"/>
        <w:rPr>
          <w:rFonts w:ascii="Arial" w:eastAsia="Calibri" w:hAnsi="Arial" w:cs="Arial"/>
          <w:color w:val="000000"/>
          <w:sz w:val="22"/>
          <w:szCs w:val="22"/>
          <w:lang w:val="es-ES_tradnl" w:eastAsia="en-GB"/>
        </w:rPr>
      </w:pPr>
    </w:p>
    <w:p w14:paraId="0B14BA76" w14:textId="77777777" w:rsidR="00484E3F" w:rsidRPr="00380576" w:rsidRDefault="00484E3F" w:rsidP="00484E3F">
      <w:pPr>
        <w:tabs>
          <w:tab w:val="left" w:pos="0"/>
        </w:tabs>
        <w:spacing w:after="120"/>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 xml:space="preserve">Artículo 6°. Actuaciones.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 </w:t>
      </w:r>
    </w:p>
    <w:p w14:paraId="3541E549" w14:textId="77777777" w:rsidR="00484E3F" w:rsidRDefault="00484E3F" w:rsidP="00484E3F">
      <w:pPr>
        <w:tabs>
          <w:tab w:val="left" w:pos="0"/>
        </w:tabs>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 xml:space="preserve">Durante los procesos de selección objetiva para contratistas de obra o interventores, se descontará hasta tres (3) por ciento de los puntos por cada anotación en el Registro Nacional de Obras Civiles Inconclusas, por causas </w:t>
      </w:r>
      <w:r w:rsidRPr="00380576">
        <w:rPr>
          <w:rFonts w:ascii="Arial" w:eastAsia="Calibri" w:hAnsi="Arial" w:cs="Arial"/>
          <w:color w:val="000000"/>
          <w:sz w:val="21"/>
          <w:szCs w:val="21"/>
          <w:lang w:val="es-ES_tradnl" w:eastAsia="en-GB"/>
        </w:rPr>
        <w:lastRenderedPageBreak/>
        <w:t>imputables a ellos, en los factores de ponderación de calidad, establecido en el literal a) del artículo 5° de la Ley 1150 de 2007 o la norma que la modifique</w:t>
      </w:r>
      <w:r>
        <w:rPr>
          <w:rStyle w:val="Refdenotaalpie"/>
          <w:rFonts w:ascii="Arial" w:eastAsia="Calibri" w:hAnsi="Arial" w:cs="Arial"/>
          <w:color w:val="000000"/>
          <w:sz w:val="22"/>
          <w:szCs w:val="22"/>
          <w:lang w:val="es-ES_tradnl" w:eastAsia="en-GB"/>
        </w:rPr>
        <w:footnoteReference w:id="18"/>
      </w:r>
      <w:r w:rsidRPr="00380576">
        <w:rPr>
          <w:rFonts w:ascii="Arial" w:eastAsia="Calibri" w:hAnsi="Arial" w:cs="Arial"/>
          <w:color w:val="000000"/>
          <w:sz w:val="21"/>
          <w:szCs w:val="21"/>
          <w:lang w:val="es-ES_tradnl" w:eastAsia="en-GB"/>
        </w:rPr>
        <w:t>.</w:t>
      </w:r>
    </w:p>
    <w:p w14:paraId="3C05DFA3" w14:textId="77777777" w:rsidR="00484E3F" w:rsidRDefault="00484E3F" w:rsidP="00484E3F">
      <w:pPr>
        <w:tabs>
          <w:tab w:val="left" w:pos="0"/>
        </w:tabs>
        <w:spacing w:line="276" w:lineRule="auto"/>
        <w:ind w:left="709" w:right="709"/>
        <w:jc w:val="both"/>
        <w:rPr>
          <w:rFonts w:ascii="Arial" w:eastAsia="Calibri" w:hAnsi="Arial" w:cs="Arial"/>
          <w:color w:val="000000"/>
          <w:sz w:val="21"/>
          <w:szCs w:val="21"/>
          <w:lang w:val="es-ES_tradnl" w:eastAsia="en-GB"/>
        </w:rPr>
      </w:pPr>
    </w:p>
    <w:p w14:paraId="486139F2" w14:textId="77777777" w:rsidR="00484E3F" w:rsidRDefault="00484E3F" w:rsidP="00484E3F">
      <w:pPr>
        <w:spacing w:line="276" w:lineRule="auto"/>
        <w:ind w:firstLine="709"/>
        <w:jc w:val="both"/>
        <w:rPr>
          <w:rFonts w:ascii="Arial" w:eastAsia="Calibri" w:hAnsi="Arial" w:cs="Arial"/>
          <w:color w:val="000000"/>
          <w:sz w:val="22"/>
          <w:szCs w:val="22"/>
          <w:lang w:val="es-ES_tradnl" w:eastAsia="en-GB"/>
        </w:rPr>
      </w:pPr>
      <w:r w:rsidRPr="00266CB5">
        <w:rPr>
          <w:rFonts w:ascii="Arial" w:eastAsia="Calibri" w:hAnsi="Arial" w:cs="Arial"/>
          <w:color w:val="000000"/>
          <w:sz w:val="22"/>
          <w:szCs w:val="22"/>
          <w:lang w:val="es-ES_tradnl" w:eastAsia="en-GB"/>
        </w:rPr>
        <w:t>En esta versión se incluye</w:t>
      </w:r>
      <w:r>
        <w:rPr>
          <w:rFonts w:ascii="Arial" w:eastAsia="Calibri" w:hAnsi="Arial" w:cs="Arial"/>
          <w:color w:val="000000"/>
          <w:sz w:val="22"/>
          <w:szCs w:val="22"/>
          <w:lang w:val="es-ES_tradnl" w:eastAsia="en-GB"/>
        </w:rPr>
        <w:t>ro</w:t>
      </w:r>
      <w:r w:rsidRPr="00266CB5">
        <w:rPr>
          <w:rFonts w:ascii="Arial" w:eastAsia="Calibri" w:hAnsi="Arial" w:cs="Arial"/>
          <w:color w:val="000000"/>
          <w:sz w:val="22"/>
          <w:szCs w:val="22"/>
          <w:lang w:val="es-ES_tradnl" w:eastAsia="en-GB"/>
        </w:rPr>
        <w:t xml:space="preserve">n los vocablos </w:t>
      </w:r>
      <w:r w:rsidRPr="00266CB5">
        <w:rPr>
          <w:rFonts w:ascii="Arial" w:hAnsi="Arial" w:cs="Arial"/>
          <w:sz w:val="22"/>
          <w:szCs w:val="22"/>
        </w:rPr>
        <w:t>«</w:t>
      </w:r>
      <w:r w:rsidRPr="00266CB5">
        <w:rPr>
          <w:rFonts w:ascii="Arial" w:eastAsia="Calibri" w:hAnsi="Arial" w:cs="Arial"/>
          <w:color w:val="000000"/>
          <w:sz w:val="22"/>
          <w:szCs w:val="22"/>
          <w:lang w:val="es-ES_tradnl" w:eastAsia="en-GB"/>
        </w:rPr>
        <w:t>consultar y analizar</w:t>
      </w:r>
      <w:r w:rsidRPr="00266CB5">
        <w:rPr>
          <w:rFonts w:ascii="Arial" w:hAnsi="Arial" w:cs="Arial"/>
          <w:sz w:val="22"/>
          <w:szCs w:val="22"/>
        </w:rPr>
        <w:t xml:space="preserve">» para efectos de las anotaciones </w:t>
      </w:r>
      <w:r w:rsidRPr="00266CB5">
        <w:rPr>
          <w:rFonts w:ascii="Arial" w:eastAsia="Calibri" w:hAnsi="Arial" w:cs="Arial"/>
          <w:color w:val="000000"/>
          <w:sz w:val="22"/>
          <w:szCs w:val="22"/>
          <w:lang w:val="es-ES_tradnl" w:eastAsia="en-GB"/>
        </w:rPr>
        <w:t xml:space="preserve">vigentes que presenten las personas naturales o jurídicas, nacionales o extranjeras domiciliadas o con sucursal en Colombia, en el Registro Nacional de Obras Civiles Inconclusas. </w:t>
      </w:r>
      <w:r>
        <w:rPr>
          <w:rFonts w:ascii="Arial" w:eastAsia="Calibri" w:hAnsi="Arial" w:cs="Arial"/>
          <w:color w:val="000000"/>
          <w:sz w:val="22"/>
          <w:szCs w:val="22"/>
          <w:lang w:val="es-ES_tradnl" w:eastAsia="en-GB"/>
        </w:rPr>
        <w:t>Se resalta</w:t>
      </w:r>
      <w:r w:rsidRPr="00266CB5">
        <w:rPr>
          <w:rFonts w:ascii="Arial" w:eastAsia="Calibri" w:hAnsi="Arial" w:cs="Arial"/>
          <w:color w:val="000000"/>
          <w:sz w:val="22"/>
          <w:szCs w:val="22"/>
          <w:lang w:val="es-ES_tradnl" w:eastAsia="en-GB"/>
        </w:rPr>
        <w:t xml:space="preserve"> la consecuencia</w:t>
      </w:r>
      <w:r>
        <w:rPr>
          <w:rFonts w:ascii="Arial" w:eastAsia="Calibri" w:hAnsi="Arial" w:cs="Arial"/>
          <w:color w:val="000000"/>
          <w:sz w:val="22"/>
          <w:szCs w:val="22"/>
          <w:lang w:val="es-ES_tradnl" w:eastAsia="en-GB"/>
        </w:rPr>
        <w:t xml:space="preserve"> que le atribuye el artículo a las anotaciones en el Registro. De esta manera, el descuento de hasta 3% de los puntos en los factores de ponderación se realiza si la anotación es por causas imputables a ellos. </w:t>
      </w:r>
    </w:p>
    <w:p w14:paraId="54F8C890" w14:textId="77777777" w:rsidR="00484E3F" w:rsidRDefault="00484E3F" w:rsidP="00484E3F">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val="es-ES_tradnl" w:eastAsia="en-GB"/>
        </w:rPr>
        <w:t xml:space="preserve">Vale la pena destacar los comentarios que se realizaron en esta ponencia, en relación con la modificación efectuada. Según se indicó </w:t>
      </w:r>
      <w:r w:rsidRPr="00066821">
        <w:rPr>
          <w:rFonts w:ascii="Arial" w:hAnsi="Arial" w:cs="Arial"/>
          <w:sz w:val="22"/>
        </w:rPr>
        <w:t>«</w:t>
      </w:r>
      <w:r w:rsidRPr="005F730E">
        <w:rPr>
          <w:rFonts w:ascii="Arial" w:eastAsia="Calibri" w:hAnsi="Arial" w:cs="Arial"/>
          <w:color w:val="000000"/>
          <w:sz w:val="22"/>
          <w:szCs w:val="22"/>
          <w:lang w:eastAsia="en-GB"/>
        </w:rPr>
        <w:t>Se revisa la viabilidad jurídica de incluir la anotación en el registro como factor a evaluar de conformidad con las previsiones del estatuto contractual y teniendo en cuenta que no toda inclusión en el registro es imputable al contratista y se puede incurrir en vicio de constitucionalidad</w:t>
      </w:r>
      <w:r w:rsidRPr="00066821">
        <w:rPr>
          <w:rFonts w:ascii="Arial" w:hAnsi="Arial" w:cs="Arial"/>
          <w:sz w:val="22"/>
        </w:rPr>
        <w:t>»</w:t>
      </w:r>
      <w:r w:rsidRPr="005F730E">
        <w:rPr>
          <w:rFonts w:ascii="Arial" w:eastAsia="Calibri" w:hAnsi="Arial" w:cs="Arial"/>
          <w:color w:val="000000"/>
          <w:sz w:val="22"/>
          <w:szCs w:val="22"/>
          <w:lang w:eastAsia="en-GB"/>
        </w:rPr>
        <w:t>.</w:t>
      </w:r>
    </w:p>
    <w:p w14:paraId="6733195F" w14:textId="6D14D4EB" w:rsidR="00484E3F" w:rsidRPr="00AD46A2" w:rsidRDefault="00484E3F" w:rsidP="00484E3F">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eastAsia="en-GB"/>
        </w:rPr>
        <w:t xml:space="preserve">De lo expuesto se puede concluir lo siguiente: i) para el legislador es claro que  no toda anotación en el Registro Nacional de Obras Civiles Inconclusa corresponde a una causa atribuible al contratista; </w:t>
      </w:r>
      <w:proofErr w:type="spellStart"/>
      <w:r>
        <w:rPr>
          <w:rFonts w:ascii="Arial" w:eastAsia="Calibri" w:hAnsi="Arial" w:cs="Arial"/>
          <w:color w:val="000000"/>
          <w:sz w:val="22"/>
          <w:szCs w:val="22"/>
          <w:lang w:eastAsia="en-GB"/>
        </w:rPr>
        <w:t>ii</w:t>
      </w:r>
      <w:proofErr w:type="spellEnd"/>
      <w:r>
        <w:rPr>
          <w:rFonts w:ascii="Arial" w:eastAsia="Calibri" w:hAnsi="Arial" w:cs="Arial"/>
          <w:color w:val="000000"/>
          <w:sz w:val="22"/>
          <w:szCs w:val="22"/>
          <w:lang w:eastAsia="en-GB"/>
        </w:rPr>
        <w:t>) e</w:t>
      </w:r>
      <w:r w:rsidRPr="00AD46A2">
        <w:rPr>
          <w:rFonts w:ascii="Arial" w:eastAsia="Calibri" w:hAnsi="Arial" w:cs="Arial"/>
          <w:color w:val="000000"/>
          <w:sz w:val="22"/>
          <w:szCs w:val="22"/>
          <w:lang w:eastAsia="en-GB"/>
        </w:rPr>
        <w:t>n los procesos de contratación de obras públicas</w:t>
      </w:r>
      <w:r w:rsidR="004B3008">
        <w:rPr>
          <w:rFonts w:ascii="Arial" w:eastAsia="Calibri" w:hAnsi="Arial" w:cs="Arial"/>
          <w:color w:val="000000"/>
          <w:sz w:val="22"/>
          <w:szCs w:val="22"/>
          <w:lang w:eastAsia="en-GB"/>
        </w:rPr>
        <w:t>, concretamente, para la selección de contratistas de obra o interventores,</w:t>
      </w:r>
      <w:r w:rsidRPr="00AD46A2">
        <w:rPr>
          <w:rFonts w:ascii="Arial" w:eastAsia="Calibri" w:hAnsi="Arial" w:cs="Arial"/>
          <w:color w:val="000000"/>
          <w:sz w:val="22"/>
          <w:szCs w:val="22"/>
          <w:lang w:eastAsia="en-GB"/>
        </w:rPr>
        <w:t xml:space="preserve"> que adelanten las entidades estatales contratantes</w:t>
      </w:r>
      <w:r>
        <w:rPr>
          <w:rFonts w:ascii="Arial" w:eastAsia="Calibri" w:hAnsi="Arial" w:cs="Arial"/>
          <w:color w:val="000000"/>
          <w:sz w:val="22"/>
          <w:szCs w:val="22"/>
          <w:lang w:eastAsia="en-GB"/>
        </w:rPr>
        <w:t xml:space="preserve">, las anotaciones en el registro deberán consultarse y analizarse; y </w:t>
      </w:r>
      <w:proofErr w:type="spellStart"/>
      <w:r>
        <w:rPr>
          <w:rFonts w:ascii="Arial" w:eastAsia="Calibri" w:hAnsi="Arial" w:cs="Arial"/>
          <w:color w:val="000000"/>
          <w:sz w:val="22"/>
          <w:szCs w:val="22"/>
          <w:lang w:eastAsia="en-GB"/>
        </w:rPr>
        <w:t>iii</w:t>
      </w:r>
      <w:proofErr w:type="spellEnd"/>
      <w:r>
        <w:rPr>
          <w:rFonts w:ascii="Arial" w:eastAsia="Calibri" w:hAnsi="Arial" w:cs="Arial"/>
          <w:color w:val="000000"/>
          <w:sz w:val="22"/>
          <w:szCs w:val="22"/>
          <w:lang w:eastAsia="en-GB"/>
        </w:rPr>
        <w:t xml:space="preserve">) cuando en la anotación se evidencie una causa atribuible al contratista se descontará un porcentaje de los puntos en los factores de ponderación de calidad. Este aspecto guarda coherencia con las diferentes redacciones del artículo 6 en el trámite legislativo, de </w:t>
      </w:r>
      <w:r w:rsidR="00EC1AB1">
        <w:rPr>
          <w:rFonts w:ascii="Arial" w:eastAsia="Calibri" w:hAnsi="Arial" w:cs="Arial"/>
          <w:color w:val="000000"/>
          <w:sz w:val="22"/>
          <w:szCs w:val="22"/>
          <w:lang w:eastAsia="en-GB"/>
        </w:rPr>
        <w:t>donde se desprende un</w:t>
      </w:r>
      <w:r>
        <w:rPr>
          <w:rFonts w:ascii="Arial" w:eastAsia="Calibri" w:hAnsi="Arial" w:cs="Arial"/>
          <w:color w:val="000000"/>
          <w:sz w:val="22"/>
          <w:szCs w:val="22"/>
          <w:lang w:eastAsia="en-GB"/>
        </w:rPr>
        <w:t xml:space="preserve"> especial énfasis en el incumplimiento del contratista. </w:t>
      </w:r>
    </w:p>
    <w:p w14:paraId="2E614248" w14:textId="0459D7CB" w:rsidR="00484E3F" w:rsidRDefault="00484E3F" w:rsidP="00484E3F">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Finalmente, la versión actual del artículo 6 de la Ley 2020 de 2020 conserva el párrafo primero de manera idéntica a la redacción anterior, al tiempo que modificó el párrafo segundo, dejando abierta el método o la forma en la cual se tendrá en cuenta las anotaciones en el registro al momento de evaluar</w:t>
      </w:r>
      <w:r w:rsidR="00302C0E">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Además, a</w:t>
      </w:r>
      <w:r w:rsidR="00F90A0D">
        <w:rPr>
          <w:rFonts w:ascii="Arial" w:eastAsia="Calibri" w:hAnsi="Arial" w:cs="Arial"/>
          <w:color w:val="000000"/>
          <w:sz w:val="22"/>
          <w:szCs w:val="22"/>
          <w:lang w:val="es-ES_tradnl" w:eastAsia="en-GB"/>
        </w:rPr>
        <w:t>dicionó</w:t>
      </w:r>
      <w:r>
        <w:rPr>
          <w:rFonts w:ascii="Arial" w:eastAsia="Calibri" w:hAnsi="Arial" w:cs="Arial"/>
          <w:color w:val="000000"/>
          <w:sz w:val="22"/>
          <w:szCs w:val="22"/>
          <w:lang w:val="es-ES_tradnl" w:eastAsia="en-GB"/>
        </w:rPr>
        <w:t xml:space="preserve"> un párrafo relacionado con las controversias que surjan respecto de los reportes de la información que suministre la entidad contratante. </w:t>
      </w:r>
    </w:p>
    <w:p w14:paraId="27688B02" w14:textId="77777777" w:rsidR="005C0D57" w:rsidRPr="00561F54" w:rsidRDefault="005C0D57" w:rsidP="005C0D57">
      <w:pPr>
        <w:spacing w:before="120" w:line="276" w:lineRule="auto"/>
        <w:ind w:firstLine="709"/>
        <w:jc w:val="both"/>
        <w:rPr>
          <w:rFonts w:ascii="Arial" w:eastAsiaTheme="minorHAnsi" w:hAnsi="Arial" w:cs="Arial"/>
          <w:sz w:val="22"/>
          <w:szCs w:val="22"/>
          <w:lang w:val="es-MX" w:eastAsia="en-US"/>
        </w:rPr>
      </w:pPr>
      <w:r w:rsidRPr="00561F54">
        <w:rPr>
          <w:rFonts w:ascii="Arial" w:eastAsia="Calibri" w:hAnsi="Arial" w:cs="Arial"/>
          <w:color w:val="000000"/>
          <w:sz w:val="22"/>
          <w:szCs w:val="22"/>
          <w:lang w:val="es-ES_tradnl" w:eastAsia="en-GB"/>
        </w:rPr>
        <w:t xml:space="preserve">Por ello, </w:t>
      </w:r>
      <w:bookmarkStart w:id="12" w:name="_Hlk87533626"/>
      <w:r w:rsidRPr="00561F54">
        <w:rPr>
          <w:rFonts w:ascii="Arial" w:eastAsia="Calibri" w:hAnsi="Arial" w:cs="Arial"/>
          <w:color w:val="000000"/>
          <w:sz w:val="22"/>
          <w:szCs w:val="22"/>
          <w:lang w:val="es-ES_tradnl" w:eastAsia="en-GB"/>
        </w:rPr>
        <w:t xml:space="preserve">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Pr="00561F54">
        <w:rPr>
          <w:rFonts w:ascii="Arial" w:eastAsiaTheme="minorHAnsi" w:hAnsi="Arial" w:cs="Arial"/>
          <w:sz w:val="22"/>
          <w:szCs w:val="22"/>
          <w:lang w:val="es-MX" w:eastAsia="en-US"/>
        </w:rPr>
        <w:t xml:space="preserve">si esa anotación </w:t>
      </w:r>
      <w:r w:rsidRPr="00561F54">
        <w:rPr>
          <w:rFonts w:ascii="Arial" w:eastAsiaTheme="minorHAnsi" w:hAnsi="Arial" w:cs="Arial"/>
          <w:sz w:val="22"/>
          <w:szCs w:val="22"/>
          <w:lang w:val="es-MX" w:eastAsia="en-US"/>
        </w:rPr>
        <w:lastRenderedPageBreak/>
        <w:t xml:space="preserve">se dio por un incumplimiento del contratista; por lo que, dependiendo del supuesto, la entidad descontará el punto. </w:t>
      </w:r>
      <w:bookmarkEnd w:id="12"/>
    </w:p>
    <w:p w14:paraId="122A1FC0" w14:textId="296B8B64" w:rsidR="00720FAD" w:rsidRDefault="00720FAD" w:rsidP="00720FAD">
      <w:pPr>
        <w:spacing w:before="120" w:line="276" w:lineRule="auto"/>
        <w:ind w:firstLine="709"/>
        <w:jc w:val="both"/>
        <w:rPr>
          <w:rFonts w:ascii="Arial" w:eastAsiaTheme="minorHAnsi" w:hAnsi="Arial" w:cs="Arial"/>
          <w:sz w:val="22"/>
          <w:szCs w:val="22"/>
          <w:lang w:val="es-MX" w:eastAsia="en-US"/>
        </w:rPr>
      </w:pPr>
      <w:bookmarkStart w:id="13" w:name="_Hlk68164749"/>
      <w:r>
        <w:rPr>
          <w:rFonts w:ascii="Arial" w:hAnsi="Arial" w:cs="Arial"/>
          <w:color w:val="000000" w:themeColor="text1"/>
          <w:sz w:val="22"/>
        </w:rPr>
        <w:t xml:space="preserve">Debe precisarse que </w:t>
      </w:r>
      <w:r w:rsidRPr="00F80DAD">
        <w:rPr>
          <w:rFonts w:ascii="Arial" w:hAnsi="Arial" w:cs="Arial"/>
          <w:color w:val="000000" w:themeColor="text1"/>
          <w:sz w:val="22"/>
        </w:rPr>
        <w:t>las anotaciones vigentes en el Registro Nacional de Obras Civiles Inconclusas</w:t>
      </w:r>
      <w:r>
        <w:rPr>
          <w:rFonts w:ascii="Arial" w:hAnsi="Arial" w:cs="Arial"/>
          <w:color w:val="000000" w:themeColor="text1"/>
          <w:sz w:val="22"/>
        </w:rPr>
        <w:t xml:space="preserve"> </w:t>
      </w:r>
      <w:r w:rsidRPr="00F80DAD">
        <w:rPr>
          <w:rFonts w:ascii="Arial" w:hAnsi="Arial" w:cs="Arial"/>
          <w:color w:val="000000" w:themeColor="text1"/>
          <w:sz w:val="22"/>
        </w:rPr>
        <w:t xml:space="preserve">corresponden a </w:t>
      </w:r>
      <w:r>
        <w:rPr>
          <w:rFonts w:ascii="Arial" w:hAnsi="Arial" w:cs="Arial"/>
          <w:color w:val="000000" w:themeColor="text1"/>
          <w:sz w:val="22"/>
        </w:rPr>
        <w:t>las</w:t>
      </w:r>
      <w:r w:rsidRPr="00F80DAD">
        <w:rPr>
          <w:rFonts w:ascii="Arial" w:hAnsi="Arial" w:cs="Arial"/>
          <w:color w:val="000000" w:themeColor="text1"/>
          <w:sz w:val="22"/>
        </w:rPr>
        <w:t xml:space="preserve"> que reposan en </w:t>
      </w:r>
      <w:r>
        <w:rPr>
          <w:rFonts w:ascii="Arial" w:hAnsi="Arial" w:cs="Arial"/>
          <w:color w:val="000000" w:themeColor="text1"/>
          <w:sz w:val="22"/>
        </w:rPr>
        <w:t>este</w:t>
      </w:r>
      <w:r w:rsidRPr="00F80DAD">
        <w:rPr>
          <w:rFonts w:ascii="Arial" w:hAnsi="Arial" w:cs="Arial"/>
          <w:color w:val="000000" w:themeColor="text1"/>
          <w:sz w:val="22"/>
        </w:rPr>
        <w:t>, teniendo en cuenta las actualizaciones que realice la Contraloría General de la República y las entidades estatales</w:t>
      </w:r>
      <w:r>
        <w:rPr>
          <w:rFonts w:ascii="Arial" w:hAnsi="Arial" w:cs="Arial"/>
          <w:color w:val="000000" w:themeColor="text1"/>
          <w:sz w:val="22"/>
        </w:rPr>
        <w:t>, conforme al artículo 3 de la Ley 2020 de 2020.</w:t>
      </w:r>
      <w:r w:rsidRPr="00523363">
        <w:rPr>
          <w:rFonts w:ascii="Arial" w:hAnsi="Arial" w:cs="Arial"/>
          <w:color w:val="000000" w:themeColor="text1"/>
          <w:sz w:val="22"/>
        </w:rPr>
        <w:t xml:space="preserve"> </w:t>
      </w:r>
      <w:bookmarkStart w:id="14" w:name="_Hlk70876793"/>
      <w:r w:rsidRPr="00523363">
        <w:rPr>
          <w:rFonts w:ascii="Arial" w:hAnsi="Arial" w:cs="Arial"/>
          <w:color w:val="000000" w:themeColor="text1"/>
          <w:sz w:val="22"/>
        </w:rPr>
        <w:t>En tal sentido, para efectos del descuento del puntaje establecido</w:t>
      </w:r>
      <w:r w:rsidR="00980703">
        <w:rPr>
          <w:rFonts w:ascii="Arial" w:hAnsi="Arial" w:cs="Arial"/>
          <w:color w:val="000000" w:themeColor="text1"/>
          <w:sz w:val="22"/>
        </w:rPr>
        <w:t xml:space="preserve"> en el documento base</w:t>
      </w:r>
      <w:r w:rsidRPr="00523363">
        <w:rPr>
          <w:rFonts w:ascii="Arial" w:hAnsi="Arial" w:cs="Arial"/>
          <w:color w:val="000000" w:themeColor="text1"/>
          <w:sz w:val="22"/>
        </w:rPr>
        <w:t xml:space="preserve">, la entidad estatal </w:t>
      </w:r>
      <w:r>
        <w:rPr>
          <w:rFonts w:ascii="Arial" w:hAnsi="Arial" w:cs="Arial"/>
          <w:color w:val="000000" w:themeColor="text1"/>
          <w:sz w:val="22"/>
        </w:rPr>
        <w:t>–</w:t>
      </w:r>
      <w:r w:rsidRPr="00523363">
        <w:rPr>
          <w:rFonts w:ascii="Arial" w:hAnsi="Arial" w:cs="Arial"/>
          <w:color w:val="000000" w:themeColor="text1"/>
          <w:sz w:val="22"/>
        </w:rPr>
        <w:t>al momento de evaluar</w:t>
      </w:r>
      <w:r w:rsidR="00980703">
        <w:rPr>
          <w:rFonts w:ascii="Arial" w:hAnsi="Arial" w:cs="Arial"/>
          <w:color w:val="000000" w:themeColor="text1"/>
          <w:sz w:val="22"/>
        </w:rPr>
        <w:t xml:space="preserve">- </w:t>
      </w:r>
      <w:r w:rsidRPr="00523363">
        <w:rPr>
          <w:rFonts w:ascii="Arial" w:hAnsi="Arial" w:cs="Arial"/>
          <w:color w:val="000000" w:themeColor="text1"/>
          <w:sz w:val="22"/>
        </w:rPr>
        <w:t>deberá consulta</w:t>
      </w:r>
      <w:r>
        <w:rPr>
          <w:rFonts w:ascii="Arial" w:hAnsi="Arial" w:cs="Arial"/>
          <w:color w:val="000000" w:themeColor="text1"/>
          <w:sz w:val="22"/>
        </w:rPr>
        <w:t>r</w:t>
      </w:r>
      <w:r w:rsidRPr="00523363">
        <w:rPr>
          <w:rFonts w:ascii="Arial" w:hAnsi="Arial" w:cs="Arial"/>
          <w:color w:val="000000" w:themeColor="text1"/>
          <w:sz w:val="22"/>
        </w:rPr>
        <w:t xml:space="preserve"> y analizar las anotaciones en el </w:t>
      </w:r>
      <w:r>
        <w:rPr>
          <w:rFonts w:ascii="Arial" w:hAnsi="Arial" w:cs="Arial"/>
          <w:color w:val="000000" w:themeColor="text1"/>
          <w:sz w:val="22"/>
        </w:rPr>
        <w:t>r</w:t>
      </w:r>
      <w:r w:rsidRPr="00523363">
        <w:rPr>
          <w:rFonts w:ascii="Arial" w:hAnsi="Arial" w:cs="Arial"/>
          <w:color w:val="000000" w:themeColor="text1"/>
          <w:sz w:val="22"/>
        </w:rPr>
        <w:t>egistro con sus respectivas actualizaciones</w:t>
      </w:r>
      <w:r w:rsidR="004B3008">
        <w:rPr>
          <w:rFonts w:ascii="Arial" w:hAnsi="Arial" w:cs="Arial"/>
          <w:color w:val="000000" w:themeColor="text1"/>
          <w:sz w:val="22"/>
        </w:rPr>
        <w:t>, sin perjuicio de que en procesos que no se rijan por documentos tipo exista una regulación distinta respecto a la consecuencia de encontrarse reportado en el registro.</w:t>
      </w:r>
      <w:bookmarkEnd w:id="13"/>
      <w:bookmarkEnd w:id="14"/>
    </w:p>
    <w:p w14:paraId="40E285E5" w14:textId="799E91F3" w:rsidR="00842919" w:rsidRDefault="004B3008" w:rsidP="00842919">
      <w:pPr>
        <w:spacing w:before="120" w:line="276" w:lineRule="auto"/>
        <w:ind w:firstLine="709"/>
        <w:jc w:val="both"/>
        <w:rPr>
          <w:rFonts w:ascii="Arial" w:eastAsia="Calibri" w:hAnsi="Arial" w:cs="Arial"/>
          <w:color w:val="000000"/>
          <w:sz w:val="22"/>
          <w:lang w:val="es-ES_tradnl" w:eastAsia="en-GB"/>
        </w:rPr>
      </w:pPr>
      <w:r>
        <w:rPr>
          <w:rFonts w:ascii="Arial" w:eastAsiaTheme="minorHAnsi" w:hAnsi="Arial" w:cs="Arial"/>
          <w:sz w:val="22"/>
          <w:szCs w:val="22"/>
          <w:lang w:val="es-MX" w:eastAsia="en-US"/>
        </w:rPr>
        <w:t>Sin perjuicio de lo anterior</w:t>
      </w:r>
      <w:r w:rsidR="00842919">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teniendo en cuenta lo explicado,</w:t>
      </w:r>
      <w:r w:rsidR="00842919">
        <w:rPr>
          <w:rFonts w:ascii="Arial" w:eastAsiaTheme="minorHAnsi" w:hAnsi="Arial" w:cs="Arial"/>
          <w:sz w:val="22"/>
          <w:szCs w:val="22"/>
          <w:lang w:val="es-MX" w:eastAsia="en-US"/>
        </w:rPr>
        <w:t xml:space="preserve"> es pertinente aclarar que el simple hecho de encontrarse incluido en el Registro Nacional de Obras Civiles Inconclusas no da lugar a descontar el punto señalado. En otras palabras, la anotación en el registro no genera automáticamente el descuento del punto, pues los efectos de encontrarse en dicho registro no siempre obedecen a responsabilidad o causas imputables al contratista</w:t>
      </w:r>
      <w:r w:rsidR="00753C9B">
        <w:rPr>
          <w:rFonts w:ascii="Arial" w:eastAsiaTheme="minorHAnsi" w:hAnsi="Arial" w:cs="Arial"/>
          <w:sz w:val="22"/>
          <w:szCs w:val="22"/>
          <w:lang w:val="es-MX" w:eastAsia="en-US"/>
        </w:rPr>
        <w:t xml:space="preserve">, por lo que </w:t>
      </w:r>
      <w:r w:rsidR="00842919">
        <w:rPr>
          <w:rFonts w:ascii="Arial" w:eastAsiaTheme="minorHAnsi" w:hAnsi="Arial" w:cs="Arial"/>
          <w:sz w:val="22"/>
          <w:szCs w:val="22"/>
          <w:lang w:val="es-MX" w:eastAsia="en-US"/>
        </w:rPr>
        <w:t xml:space="preserve">las anotaciones incluidas en el Registro Nacional de Obras Civiles inconclusas deben ser </w:t>
      </w:r>
      <w:r w:rsidR="00842919" w:rsidRPr="00AD6123">
        <w:rPr>
          <w:rFonts w:ascii="Arial" w:eastAsiaTheme="minorHAnsi" w:hAnsi="Arial" w:cs="Arial"/>
          <w:i/>
          <w:iCs/>
          <w:sz w:val="22"/>
          <w:szCs w:val="22"/>
          <w:lang w:val="es-MX" w:eastAsia="en-US"/>
        </w:rPr>
        <w:t>consultadas y analizadas</w:t>
      </w:r>
      <w:r w:rsidR="00842919">
        <w:rPr>
          <w:rFonts w:ascii="Arial" w:eastAsiaTheme="minorHAnsi" w:hAnsi="Arial" w:cs="Arial"/>
          <w:sz w:val="22"/>
          <w:szCs w:val="22"/>
          <w:lang w:val="es-MX" w:eastAsia="en-US"/>
        </w:rPr>
        <w:t xml:space="preserve">. En efecto, </w:t>
      </w:r>
      <w:r w:rsidR="00C87FF2">
        <w:rPr>
          <w:rFonts w:ascii="Arial" w:eastAsiaTheme="minorHAnsi" w:hAnsi="Arial" w:cs="Arial"/>
          <w:sz w:val="22"/>
          <w:szCs w:val="22"/>
          <w:lang w:val="es-MX" w:eastAsia="en-US"/>
        </w:rPr>
        <w:t xml:space="preserve">como se explicó, </w:t>
      </w:r>
      <w:r w:rsidR="00842919">
        <w:rPr>
          <w:rFonts w:ascii="Arial" w:eastAsiaTheme="minorHAnsi" w:hAnsi="Arial" w:cs="Arial"/>
          <w:sz w:val="22"/>
          <w:szCs w:val="22"/>
          <w:lang w:val="es-MX" w:eastAsia="en-US"/>
        </w:rPr>
        <w:t xml:space="preserve">la información que reposa en dicho Registro contiene las obras que </w:t>
      </w:r>
      <w:r w:rsidR="00842919">
        <w:rPr>
          <w:rFonts w:ascii="Arial" w:eastAsia="Calibri" w:hAnsi="Arial" w:cs="Arial"/>
          <w:color w:val="000000"/>
          <w:sz w:val="22"/>
          <w:lang w:val="es-ES_tradnl" w:eastAsia="en-GB"/>
        </w:rPr>
        <w:t xml:space="preserve">no hayan </w:t>
      </w:r>
      <w:r w:rsidR="00842919" w:rsidRPr="00E23980">
        <w:rPr>
          <w:rFonts w:ascii="Arial" w:eastAsia="Calibri" w:hAnsi="Arial" w:cs="Arial"/>
          <w:color w:val="000000"/>
          <w:sz w:val="22"/>
          <w:lang w:val="es-ES_tradnl" w:eastAsia="en-GB"/>
        </w:rPr>
        <w:t xml:space="preserve">concluido de manera satisfactoria para el interés general o el definido por la entidad estatal contratante, </w:t>
      </w:r>
      <w:r w:rsidR="00842919">
        <w:rPr>
          <w:rFonts w:ascii="Arial" w:eastAsia="Calibri" w:hAnsi="Arial" w:cs="Arial"/>
          <w:color w:val="000000"/>
          <w:sz w:val="22"/>
          <w:lang w:val="es-ES_tradnl" w:eastAsia="en-GB"/>
        </w:rPr>
        <w:t>así como aquellas que</w:t>
      </w:r>
      <w:r w:rsidR="00842919" w:rsidRPr="00E23980">
        <w:rPr>
          <w:rFonts w:ascii="Arial" w:eastAsia="Calibri" w:hAnsi="Arial" w:cs="Arial"/>
          <w:color w:val="000000"/>
          <w:sz w:val="22"/>
          <w:lang w:val="es-ES_tradnl" w:eastAsia="en-GB"/>
        </w:rPr>
        <w:t xml:space="preserve"> no est</w:t>
      </w:r>
      <w:r w:rsidR="00842919">
        <w:rPr>
          <w:rFonts w:ascii="Arial" w:eastAsia="Calibri" w:hAnsi="Arial" w:cs="Arial"/>
          <w:color w:val="000000"/>
          <w:sz w:val="22"/>
          <w:lang w:val="es-ES_tradnl" w:eastAsia="en-GB"/>
        </w:rPr>
        <w:t xml:space="preserve">én prestando el servicio para la </w:t>
      </w:r>
      <w:r w:rsidR="00842919" w:rsidRPr="00E23980">
        <w:rPr>
          <w:rFonts w:ascii="Arial" w:eastAsia="Calibri" w:hAnsi="Arial" w:cs="Arial"/>
          <w:color w:val="000000"/>
          <w:sz w:val="22"/>
          <w:lang w:val="es-ES_tradnl" w:eastAsia="en-GB"/>
        </w:rPr>
        <w:t>cual fue contratada</w:t>
      </w:r>
      <w:r w:rsidR="00842919">
        <w:rPr>
          <w:rFonts w:ascii="Arial" w:eastAsia="Calibri" w:hAnsi="Arial" w:cs="Arial"/>
          <w:color w:val="000000"/>
          <w:sz w:val="22"/>
          <w:lang w:val="es-ES_tradnl" w:eastAsia="en-GB"/>
        </w:rPr>
        <w:t xml:space="preserve">. Este evento, en principio, no implica </w:t>
      </w:r>
      <w:r w:rsidR="00842919" w:rsidRPr="008234E0">
        <w:rPr>
          <w:rFonts w:ascii="Arial" w:eastAsia="Calibri" w:hAnsi="Arial" w:cs="Arial"/>
          <w:i/>
          <w:color w:val="000000"/>
          <w:sz w:val="22"/>
          <w:lang w:val="es-ES_tradnl" w:eastAsia="en-GB"/>
        </w:rPr>
        <w:t>per se</w:t>
      </w:r>
      <w:r w:rsidR="00842919">
        <w:rPr>
          <w:rFonts w:ascii="Arial" w:eastAsia="Calibri" w:hAnsi="Arial" w:cs="Arial"/>
          <w:i/>
          <w:color w:val="000000"/>
          <w:sz w:val="22"/>
          <w:lang w:val="es-ES_tradnl" w:eastAsia="en-GB"/>
        </w:rPr>
        <w:t xml:space="preserve"> </w:t>
      </w:r>
      <w:r w:rsidR="00842919">
        <w:rPr>
          <w:rFonts w:ascii="Arial" w:eastAsia="Calibri" w:hAnsi="Arial" w:cs="Arial"/>
          <w:color w:val="000000"/>
          <w:sz w:val="22"/>
          <w:lang w:val="es-ES_tradnl" w:eastAsia="en-GB"/>
        </w:rPr>
        <w:t xml:space="preserve">un incumplimiento del contratista. Las razones por las cuales la obra no esté prestando el servicio pueden ir desde defectos en el diseño, calidad de la obra, hasta falta de presupuesto para funcionamiento, razón por la cual es importante analizar los datos consignados en el registro. </w:t>
      </w:r>
    </w:p>
    <w:p w14:paraId="4149335A" w14:textId="297EBEC3" w:rsidR="00842919" w:rsidRDefault="00842919" w:rsidP="00466861">
      <w:pPr>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Además, debe agregarse que la entidad reportará en el Registro solo la información que posea en relación con la Obra Civil Inconclusa. </w:t>
      </w:r>
      <w:r w:rsidR="00A568C7">
        <w:rPr>
          <w:rFonts w:ascii="Arial" w:eastAsia="Calibri" w:hAnsi="Arial" w:cs="Arial"/>
          <w:color w:val="000000"/>
          <w:sz w:val="22"/>
          <w:lang w:val="es-ES_tradnl" w:eastAsia="en-GB"/>
        </w:rPr>
        <w:t>Así las cosas</w:t>
      </w:r>
      <w:r>
        <w:rPr>
          <w:rFonts w:ascii="Arial" w:eastAsia="Calibri" w:hAnsi="Arial" w:cs="Arial"/>
          <w:color w:val="000000"/>
          <w:sz w:val="22"/>
          <w:lang w:val="es-ES_tradnl" w:eastAsia="en-GB"/>
        </w:rPr>
        <w:t xml:space="preserve">, aunque el artículo 4 de la Ley 2020 de 2020 dispone el contenido mínimo de información que se debe incorporar en el Registro Nacional de Obras Civiles Inconclusas, puede suceder que la entidad no cuente con toda la información requerida y, por ende, no podría efectuar el registro de la información señalada en dicho artículo. Para esta situación, la Dirección de Información, Análisis y Reacción Inmediata de la Contraloría General de la República, en las capacitaciones impartidas, ha indicado que </w:t>
      </w:r>
      <w:r w:rsidRPr="00066821">
        <w:rPr>
          <w:rFonts w:ascii="Arial" w:hAnsi="Arial" w:cs="Arial"/>
          <w:sz w:val="22"/>
        </w:rPr>
        <w:t>«</w:t>
      </w:r>
      <w:r>
        <w:rPr>
          <w:rFonts w:ascii="Arial" w:eastAsia="Calibri" w:hAnsi="Arial" w:cs="Arial"/>
          <w:color w:val="000000"/>
          <w:sz w:val="22"/>
          <w:lang w:val="es-ES_tradnl" w:eastAsia="en-GB"/>
        </w:rPr>
        <w:t>si se trata de un campo numérico y no se tenga información que reportar se coloca 0 y cuando sea un campo alfanumérico se coloca no aplica</w:t>
      </w:r>
      <w:r w:rsidRPr="00066821">
        <w:rPr>
          <w:rFonts w:ascii="Arial" w:hAnsi="Arial" w:cs="Arial"/>
          <w:sz w:val="22"/>
        </w:rPr>
        <w:t>»</w:t>
      </w:r>
      <w:r>
        <w:rPr>
          <w:rStyle w:val="Refdenotaalpie"/>
          <w:rFonts w:ascii="Arial" w:eastAsia="Calibri" w:hAnsi="Arial" w:cs="Arial"/>
          <w:color w:val="000000"/>
          <w:sz w:val="22"/>
          <w:lang w:val="es-ES_tradnl" w:eastAsia="en-GB"/>
        </w:rPr>
        <w:footnoteReference w:id="19"/>
      </w:r>
      <w:r>
        <w:rPr>
          <w:rFonts w:ascii="Arial" w:eastAsia="Calibri" w:hAnsi="Arial" w:cs="Arial"/>
          <w:color w:val="000000"/>
          <w:sz w:val="22"/>
          <w:lang w:val="es-ES_tradnl" w:eastAsia="en-GB"/>
        </w:rPr>
        <w:t xml:space="preserve">. </w:t>
      </w:r>
    </w:p>
    <w:p w14:paraId="207B48F4" w14:textId="1FB9AA56" w:rsidR="00791588" w:rsidRPr="00842919" w:rsidRDefault="00842919" w:rsidP="00842919">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En este punto, cabe destacar que para descontar e</w:t>
      </w:r>
      <w:r>
        <w:rPr>
          <w:rFonts w:ascii="Arial" w:eastAsiaTheme="minorHAnsi" w:hAnsi="Arial" w:cs="Arial"/>
          <w:sz w:val="22"/>
          <w:szCs w:val="22"/>
          <w:lang w:val="es-MX" w:eastAsia="en-US"/>
        </w:rPr>
        <w:t>l puntaje conforme</w:t>
      </w:r>
      <w:r w:rsidR="00980703">
        <w:rPr>
          <w:rFonts w:ascii="Arial" w:eastAsiaTheme="minorHAnsi" w:hAnsi="Arial" w:cs="Arial"/>
          <w:sz w:val="22"/>
          <w:szCs w:val="22"/>
          <w:lang w:val="es-MX" w:eastAsia="en-US"/>
        </w:rPr>
        <w:t xml:space="preserve"> al </w:t>
      </w:r>
      <w:r>
        <w:rPr>
          <w:rFonts w:ascii="Arial" w:hAnsi="Arial" w:cs="Arial"/>
          <w:color w:val="000000" w:themeColor="text1"/>
          <w:sz w:val="22"/>
        </w:rPr>
        <w:t>documento base</w:t>
      </w:r>
      <w:r>
        <w:rPr>
          <w:rFonts w:ascii="Arial" w:eastAsiaTheme="minorHAnsi" w:hAnsi="Arial" w:cs="Arial"/>
          <w:sz w:val="22"/>
          <w:szCs w:val="22"/>
          <w:lang w:val="es-MX" w:eastAsia="en-US"/>
        </w:rPr>
        <w:t>, deberá tenerse en cuenta únicamente la información contemplada en dicho Registro</w:t>
      </w:r>
      <w:r>
        <w:rPr>
          <w:rFonts w:ascii="Arial" w:eastAsia="Calibri" w:hAnsi="Arial" w:cs="Arial"/>
          <w:color w:val="000000"/>
          <w:sz w:val="22"/>
          <w:lang w:val="es-ES_tradnl" w:eastAsia="en-GB"/>
        </w:rPr>
        <w:t xml:space="preserve">. </w:t>
      </w:r>
      <w:bookmarkStart w:id="15" w:name="_Hlk84358273"/>
      <w:r>
        <w:rPr>
          <w:rFonts w:ascii="Arial" w:eastAsia="Calibri" w:hAnsi="Arial" w:cs="Arial"/>
          <w:color w:val="000000"/>
          <w:sz w:val="22"/>
          <w:lang w:val="es-ES_tradnl" w:eastAsia="en-GB"/>
        </w:rPr>
        <w:t xml:space="preserve">Esto por cuanto el mismo artículo 6 de la Ley 2020 de 2020 establece que durante los </w:t>
      </w:r>
      <w:r>
        <w:rPr>
          <w:rFonts w:ascii="Arial" w:eastAsia="Calibri" w:hAnsi="Arial" w:cs="Arial"/>
          <w:color w:val="000000"/>
          <w:sz w:val="22"/>
          <w:lang w:val="es-ES_tradnl" w:eastAsia="en-GB"/>
        </w:rPr>
        <w:lastRenderedPageBreak/>
        <w:t>procesos de selección objetiva para contratistas de obra o interventores se tendrán en cuenta las anotaciones vigentes en el Registro Nacional de Obras Inconclusas. Por tanto, solo podrá acudirse a la información allí reportada para efectos de</w:t>
      </w:r>
      <w:r w:rsidR="005E2E63">
        <w:rPr>
          <w:rFonts w:ascii="Arial" w:eastAsia="Calibri" w:hAnsi="Arial" w:cs="Arial"/>
          <w:color w:val="000000"/>
          <w:sz w:val="22"/>
          <w:lang w:val="es-ES_tradnl" w:eastAsia="en-GB"/>
        </w:rPr>
        <w:t xml:space="preserve"> lo dispuesto en el</w:t>
      </w:r>
      <w:r>
        <w:rPr>
          <w:rFonts w:ascii="Arial" w:eastAsia="Calibri" w:hAnsi="Arial" w:cs="Arial"/>
          <w:color w:val="000000"/>
          <w:sz w:val="22"/>
          <w:lang w:val="es-ES_tradnl" w:eastAsia="en-GB"/>
        </w:rPr>
        <w:t xml:space="preserve"> documento base. </w:t>
      </w:r>
      <w:bookmarkStart w:id="16" w:name="_Hlk84438253"/>
      <w:r w:rsidR="00527865">
        <w:rPr>
          <w:rFonts w:ascii="Arial" w:hAnsi="Arial" w:cs="Arial"/>
          <w:color w:val="000000" w:themeColor="text1"/>
          <w:sz w:val="22"/>
        </w:rPr>
        <w:t>De este modo, la entidad no podrá descontar el puntaje respectivo con información que no se encuentre allí registrada</w:t>
      </w:r>
      <w:r w:rsidR="00782289">
        <w:rPr>
          <w:rFonts w:ascii="Arial" w:hAnsi="Arial" w:cs="Arial"/>
          <w:bCs/>
          <w:color w:val="000000" w:themeColor="text1"/>
          <w:sz w:val="22"/>
          <w:lang w:val="es-ES_tradnl"/>
        </w:rPr>
        <w:t>.</w:t>
      </w:r>
    </w:p>
    <w:bookmarkEnd w:id="16"/>
    <w:p w14:paraId="40394A39" w14:textId="39F5F6D7" w:rsidR="00720FAD" w:rsidRPr="00F567E4" w:rsidRDefault="00720FAD" w:rsidP="00720FAD">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 xml:space="preserve">Así las cosas, </w:t>
      </w:r>
      <w:r w:rsidR="004B3008">
        <w:rPr>
          <w:rFonts w:ascii="Arial" w:eastAsia="Calibri" w:hAnsi="Arial" w:cs="Arial"/>
          <w:color w:val="000000"/>
          <w:sz w:val="22"/>
          <w:lang w:val="es-ES_tradnl" w:eastAsia="en-GB"/>
        </w:rPr>
        <w:t xml:space="preserve">a juicio de esta Agencia, </w:t>
      </w:r>
      <w:r>
        <w:rPr>
          <w:rFonts w:ascii="Arial" w:eastAsia="Calibri" w:hAnsi="Arial" w:cs="Arial"/>
          <w:color w:val="000000"/>
          <w:sz w:val="22"/>
          <w:lang w:val="es-ES_tradnl" w:eastAsia="en-GB"/>
        </w:rPr>
        <w:t xml:space="preserve">la sola inclusión en el Registro Nacional de Obras Civiles Inconclusas no puede entenderse suficiente para descontar el </w:t>
      </w:r>
      <w:r w:rsidR="004B3008">
        <w:rPr>
          <w:rFonts w:ascii="Arial" w:eastAsia="Calibri" w:hAnsi="Arial" w:cs="Arial"/>
          <w:color w:val="000000"/>
          <w:sz w:val="22"/>
          <w:lang w:val="es-ES_tradnl" w:eastAsia="en-GB"/>
        </w:rPr>
        <w:t>puntaje en los factores de asignación de puntos establecidos en el pliego de condiciones</w:t>
      </w:r>
      <w:r w:rsidR="005E2E63">
        <w:rPr>
          <w:rFonts w:ascii="Arial" w:eastAsia="Calibri" w:hAnsi="Arial" w:cs="Arial"/>
          <w:color w:val="000000"/>
          <w:sz w:val="22"/>
          <w:lang w:val="es-ES_tradnl" w:eastAsia="en-GB"/>
        </w:rPr>
        <w:t xml:space="preserve">. </w:t>
      </w:r>
      <w:r>
        <w:rPr>
          <w:rFonts w:ascii="Arial" w:eastAsiaTheme="minorHAnsi" w:hAnsi="Arial" w:cs="Arial"/>
          <w:sz w:val="22"/>
          <w:szCs w:val="22"/>
          <w:lang w:val="es-MX" w:eastAsia="en-US"/>
        </w:rPr>
        <w:t xml:space="preserve">De todas formas, si en el informe de evaluación que realiza la entidad se produce la reducción </w:t>
      </w:r>
      <w:r w:rsidR="004B3008">
        <w:rPr>
          <w:rFonts w:ascii="Arial" w:eastAsiaTheme="minorHAnsi" w:hAnsi="Arial" w:cs="Arial"/>
          <w:sz w:val="22"/>
          <w:szCs w:val="22"/>
          <w:lang w:val="es-MX" w:eastAsia="en-US"/>
        </w:rPr>
        <w:t>del puntaje</w:t>
      </w:r>
      <w:r>
        <w:rPr>
          <w:rFonts w:ascii="Arial" w:eastAsiaTheme="minorHAnsi" w:hAnsi="Arial" w:cs="Arial"/>
          <w:sz w:val="22"/>
          <w:szCs w:val="22"/>
          <w:lang w:val="es-MX" w:eastAsia="en-US"/>
        </w:rPr>
        <w:t xml:space="preserve"> bajo el único argumento de encontrarse en dicho Registro, sin efectuar un análisis previo de las anotaciones, el proponente, con fundamento en la interpretación de las normas analizadas, podrá formular la observación respectiva. </w:t>
      </w:r>
      <w:r w:rsidR="004B3008">
        <w:rPr>
          <w:rFonts w:ascii="Arial" w:eastAsiaTheme="minorHAnsi" w:hAnsi="Arial" w:cs="Arial"/>
          <w:sz w:val="22"/>
          <w:szCs w:val="22"/>
          <w:lang w:val="es-MX" w:eastAsia="en-US"/>
        </w:rPr>
        <w:t>De otro lado, e</w:t>
      </w:r>
      <w:r>
        <w:rPr>
          <w:rFonts w:ascii="Arial" w:eastAsiaTheme="minorHAnsi" w:hAnsi="Arial" w:cs="Arial"/>
          <w:sz w:val="22"/>
          <w:szCs w:val="22"/>
          <w:lang w:val="es-MX" w:eastAsia="en-US"/>
        </w:rPr>
        <w:t>n caso de que se presente alguna inconformidad en relación con la información reportada en el Registro por la entidad contratante</w:t>
      </w:r>
      <w:r w:rsidR="00456B71">
        <w:rPr>
          <w:rFonts w:ascii="Arial" w:eastAsiaTheme="minorHAnsi" w:hAnsi="Arial" w:cs="Arial"/>
          <w:sz w:val="22"/>
          <w:szCs w:val="22"/>
          <w:lang w:val="es-MX" w:eastAsia="en-US"/>
        </w:rPr>
        <w:t xml:space="preserve"> que realizó la anotación</w:t>
      </w:r>
      <w:r>
        <w:rPr>
          <w:rFonts w:ascii="Arial" w:eastAsiaTheme="minorHAnsi" w:hAnsi="Arial" w:cs="Arial"/>
          <w:sz w:val="22"/>
          <w:szCs w:val="22"/>
          <w:lang w:val="es-MX" w:eastAsia="en-US"/>
        </w:rPr>
        <w:t xml:space="preserve">, el artículo 6 de la Ley 2020 de 2020 </w:t>
      </w:r>
      <w:r w:rsidRPr="00F567E4">
        <w:rPr>
          <w:rFonts w:ascii="Arial" w:eastAsiaTheme="minorHAnsi" w:hAnsi="Arial" w:cs="Arial"/>
          <w:sz w:val="22"/>
          <w:szCs w:val="22"/>
          <w:lang w:val="es-MX" w:eastAsia="en-US"/>
        </w:rPr>
        <w:t>dispuso que tal controversia o solicitud será resuelta por la entidad contratante que suministró dicha información</w:t>
      </w:r>
      <w:r w:rsidR="004B3008" w:rsidRPr="00F567E4">
        <w:rPr>
          <w:rFonts w:ascii="Arial" w:eastAsiaTheme="minorHAnsi" w:hAnsi="Arial" w:cs="Arial"/>
          <w:sz w:val="22"/>
          <w:szCs w:val="22"/>
          <w:lang w:val="es-MX" w:eastAsia="en-US"/>
        </w:rPr>
        <w:t>.</w:t>
      </w:r>
    </w:p>
    <w:bookmarkEnd w:id="11"/>
    <w:bookmarkEnd w:id="15"/>
    <w:p w14:paraId="6069CCD1" w14:textId="77777777" w:rsidR="00231601" w:rsidRPr="00F567E4" w:rsidRDefault="00231601" w:rsidP="00720FAD">
      <w:pPr>
        <w:spacing w:line="276" w:lineRule="auto"/>
        <w:jc w:val="both"/>
        <w:rPr>
          <w:rFonts w:ascii="Arial" w:hAnsi="Arial" w:cs="Arial"/>
          <w:color w:val="000000" w:themeColor="text1"/>
          <w:sz w:val="22"/>
        </w:rPr>
      </w:pPr>
    </w:p>
    <w:p w14:paraId="37CA9805" w14:textId="4838EADE" w:rsidR="00DD5B04" w:rsidRPr="00F567E4" w:rsidRDefault="004177A6" w:rsidP="00510DE9">
      <w:pPr>
        <w:tabs>
          <w:tab w:val="left" w:pos="0"/>
        </w:tabs>
        <w:jc w:val="both"/>
        <w:rPr>
          <w:rFonts w:ascii="Arial" w:eastAsia="Calibri" w:hAnsi="Arial" w:cs="Arial"/>
          <w:b/>
          <w:color w:val="000000" w:themeColor="text1"/>
          <w:sz w:val="22"/>
          <w:lang w:val="es-ES_tradnl"/>
        </w:rPr>
      </w:pPr>
      <w:r w:rsidRPr="00F567E4">
        <w:rPr>
          <w:rFonts w:ascii="Arial" w:eastAsia="Calibri" w:hAnsi="Arial" w:cs="Arial"/>
          <w:b/>
          <w:color w:val="000000" w:themeColor="text1"/>
          <w:sz w:val="22"/>
          <w:lang w:val="es-ES_tradnl"/>
        </w:rPr>
        <w:t>3</w:t>
      </w:r>
      <w:r w:rsidR="00B011A9" w:rsidRPr="00F567E4">
        <w:rPr>
          <w:rFonts w:ascii="Arial" w:eastAsia="Calibri" w:hAnsi="Arial" w:cs="Arial"/>
          <w:b/>
          <w:color w:val="000000" w:themeColor="text1"/>
          <w:sz w:val="22"/>
          <w:lang w:val="es-ES_tradnl"/>
        </w:rPr>
        <w:t xml:space="preserve">. </w:t>
      </w:r>
      <w:r w:rsidR="00DD5B04" w:rsidRPr="00F567E4">
        <w:rPr>
          <w:rFonts w:ascii="Arial" w:eastAsia="Calibri" w:hAnsi="Arial" w:cs="Arial"/>
          <w:b/>
          <w:color w:val="000000" w:themeColor="text1"/>
          <w:sz w:val="22"/>
          <w:lang w:val="es-ES_tradnl"/>
        </w:rPr>
        <w:t>Respuesta</w:t>
      </w:r>
    </w:p>
    <w:p w14:paraId="4A972907" w14:textId="73CFEF2C" w:rsidR="00A83A06" w:rsidRPr="00F567E4" w:rsidRDefault="00A83A06" w:rsidP="00523363">
      <w:pPr>
        <w:tabs>
          <w:tab w:val="left" w:pos="0"/>
        </w:tabs>
        <w:spacing w:line="276" w:lineRule="auto"/>
        <w:jc w:val="both"/>
        <w:rPr>
          <w:rFonts w:ascii="Arial" w:eastAsia="Calibri" w:hAnsi="Arial" w:cs="Arial"/>
          <w:b/>
          <w:color w:val="000000" w:themeColor="text1"/>
          <w:sz w:val="22"/>
          <w:lang w:val="es-ES_tradnl"/>
        </w:rPr>
      </w:pPr>
    </w:p>
    <w:p w14:paraId="19FD18F8" w14:textId="77777777" w:rsidR="00655D4C" w:rsidRPr="00F567E4" w:rsidRDefault="00655D4C" w:rsidP="00401373">
      <w:pPr>
        <w:ind w:left="709" w:right="709"/>
        <w:jc w:val="both"/>
        <w:rPr>
          <w:rFonts w:ascii="Arial" w:hAnsi="Arial" w:cs="Arial"/>
          <w:bCs/>
          <w:color w:val="000000" w:themeColor="text1"/>
          <w:sz w:val="21"/>
          <w:szCs w:val="21"/>
        </w:rPr>
      </w:pPr>
      <w:r w:rsidRPr="00F567E4">
        <w:rPr>
          <w:rFonts w:ascii="Arial" w:hAnsi="Arial" w:cs="Arial"/>
          <w:bCs/>
          <w:color w:val="000000" w:themeColor="text1"/>
          <w:sz w:val="21"/>
          <w:szCs w:val="21"/>
        </w:rPr>
        <w:t xml:space="preserve">i) «[…] ¿Cuál es la razón por la cual la interventoría debe verse afectada con el reporte en el Registro Nacional de Obras Civiles Inconclusas y a su vez, con las consecuencias que ello trae relacionadas con el factor de ponderación de calidad en los procesos de selección?», </w:t>
      </w:r>
    </w:p>
    <w:p w14:paraId="117765EF" w14:textId="77777777" w:rsidR="00655D4C" w:rsidRPr="00F567E4" w:rsidRDefault="00655D4C" w:rsidP="00401373">
      <w:pPr>
        <w:ind w:left="709" w:right="709"/>
        <w:jc w:val="both"/>
        <w:rPr>
          <w:rFonts w:ascii="Arial" w:hAnsi="Arial" w:cs="Arial"/>
          <w:bCs/>
          <w:color w:val="000000" w:themeColor="text1"/>
          <w:sz w:val="21"/>
          <w:szCs w:val="21"/>
        </w:rPr>
      </w:pPr>
    </w:p>
    <w:p w14:paraId="66661F3B" w14:textId="6E0194B8" w:rsidR="00655D4C" w:rsidRPr="00F567E4" w:rsidRDefault="00655D4C" w:rsidP="00655D4C">
      <w:pPr>
        <w:ind w:left="709" w:right="709"/>
        <w:jc w:val="both"/>
        <w:rPr>
          <w:rFonts w:ascii="Arial" w:hAnsi="Arial" w:cs="Arial"/>
          <w:bCs/>
          <w:color w:val="000000" w:themeColor="text1"/>
          <w:sz w:val="21"/>
          <w:szCs w:val="21"/>
        </w:rPr>
      </w:pPr>
      <w:proofErr w:type="spellStart"/>
      <w:r w:rsidRPr="00F567E4">
        <w:rPr>
          <w:rFonts w:ascii="Arial" w:hAnsi="Arial" w:cs="Arial"/>
          <w:bCs/>
          <w:color w:val="000000" w:themeColor="text1"/>
          <w:sz w:val="21"/>
          <w:szCs w:val="21"/>
        </w:rPr>
        <w:t>ii</w:t>
      </w:r>
      <w:proofErr w:type="spellEnd"/>
      <w:r w:rsidRPr="00F567E4">
        <w:rPr>
          <w:rFonts w:ascii="Arial" w:hAnsi="Arial" w:cs="Arial"/>
          <w:bCs/>
          <w:color w:val="000000" w:themeColor="text1"/>
          <w:sz w:val="21"/>
          <w:szCs w:val="21"/>
        </w:rPr>
        <w:t>) «¿Reportar a una interventoría en dicho registro en las circunstancias mencionadas no estaría vulnerando los principios de la contratación estatal, teniendo en cuenta que se le estaría dando un trato erróneo e injusto a estas empresas que cumplieron a cabalidad con sus funciones?»</w:t>
      </w:r>
    </w:p>
    <w:p w14:paraId="4DB34A75" w14:textId="723C4ED5" w:rsidR="00D42E7D" w:rsidRPr="00F567E4" w:rsidRDefault="00D42E7D" w:rsidP="00655D4C">
      <w:pPr>
        <w:ind w:left="709" w:right="709"/>
        <w:jc w:val="both"/>
        <w:rPr>
          <w:rFonts w:ascii="Arial" w:hAnsi="Arial" w:cs="Arial"/>
          <w:bCs/>
          <w:color w:val="000000" w:themeColor="text1"/>
          <w:sz w:val="21"/>
          <w:szCs w:val="21"/>
        </w:rPr>
      </w:pPr>
    </w:p>
    <w:p w14:paraId="4BAD11C8" w14:textId="77777777" w:rsidR="00D42E7D" w:rsidRPr="00F567E4" w:rsidRDefault="00D42E7D" w:rsidP="00D42E7D">
      <w:pPr>
        <w:ind w:left="709" w:right="709"/>
        <w:jc w:val="both"/>
        <w:rPr>
          <w:rFonts w:ascii="Arial" w:hAnsi="Arial" w:cs="Arial"/>
          <w:bCs/>
          <w:color w:val="000000" w:themeColor="text1"/>
          <w:sz w:val="21"/>
          <w:szCs w:val="21"/>
        </w:rPr>
      </w:pPr>
      <w:proofErr w:type="spellStart"/>
      <w:r w:rsidRPr="00F567E4">
        <w:rPr>
          <w:rFonts w:ascii="Arial" w:hAnsi="Arial" w:cs="Arial"/>
          <w:bCs/>
          <w:color w:val="000000" w:themeColor="text1"/>
          <w:sz w:val="21"/>
          <w:szCs w:val="21"/>
        </w:rPr>
        <w:t>iii</w:t>
      </w:r>
      <w:proofErr w:type="spellEnd"/>
      <w:r w:rsidRPr="00F567E4">
        <w:rPr>
          <w:rFonts w:ascii="Arial" w:hAnsi="Arial" w:cs="Arial"/>
          <w:bCs/>
          <w:color w:val="000000" w:themeColor="text1"/>
          <w:sz w:val="21"/>
          <w:szCs w:val="21"/>
        </w:rPr>
        <w:t xml:space="preserve">) «Si una empresa interventora demuestra que realizó una gestión adecuada y cumplió a cabalidad con sus funciones como interventoría, pero que sin embargo el contratista de obra no logró terminar en su totalidad la obra contratada, ¿la entidad estatal puede considerar si la incluye dentro del Registro Nacional de Obras Civiles Inconclusas o es su obligación hacerlo sin tener en cuenta la excelente gestión de la empresa interventora?»  </w:t>
      </w:r>
    </w:p>
    <w:p w14:paraId="324E65A8" w14:textId="77777777" w:rsidR="00655D4C" w:rsidRPr="00F567E4" w:rsidRDefault="00655D4C" w:rsidP="00D42E7D">
      <w:pPr>
        <w:spacing w:line="276" w:lineRule="auto"/>
        <w:ind w:right="709"/>
        <w:jc w:val="both"/>
        <w:rPr>
          <w:rFonts w:ascii="Arial" w:hAnsi="Arial" w:cs="Arial"/>
          <w:bCs/>
          <w:color w:val="000000" w:themeColor="text1"/>
          <w:sz w:val="21"/>
          <w:szCs w:val="21"/>
        </w:rPr>
      </w:pPr>
    </w:p>
    <w:p w14:paraId="123FB8FC" w14:textId="5DE8AFC8" w:rsidR="007F2E11" w:rsidRPr="00F567E4" w:rsidRDefault="00D42E7D" w:rsidP="00D42E7D">
      <w:pPr>
        <w:spacing w:line="276" w:lineRule="auto"/>
        <w:jc w:val="both"/>
        <w:rPr>
          <w:rFonts w:ascii="Arial" w:eastAsiaTheme="minorHAnsi" w:hAnsi="Arial" w:cs="Arial"/>
          <w:sz w:val="22"/>
          <w:szCs w:val="22"/>
          <w:lang w:val="es-ES_tradnl" w:eastAsia="en-US"/>
        </w:rPr>
      </w:pPr>
      <w:r w:rsidRPr="00F567E4">
        <w:rPr>
          <w:rFonts w:ascii="Arial" w:eastAsiaTheme="minorHAnsi" w:hAnsi="Arial" w:cs="Arial"/>
          <w:sz w:val="22"/>
          <w:szCs w:val="22"/>
          <w:lang w:val="es-ES_tradnl" w:eastAsia="en-US"/>
        </w:rPr>
        <w:t xml:space="preserve">De conformidad </w:t>
      </w:r>
      <w:r w:rsidR="001E3E0F" w:rsidRPr="00F567E4">
        <w:rPr>
          <w:rFonts w:ascii="Arial" w:eastAsiaTheme="minorHAnsi" w:hAnsi="Arial" w:cs="Arial"/>
          <w:sz w:val="22"/>
          <w:szCs w:val="22"/>
          <w:lang w:val="es-ES_tradnl" w:eastAsia="en-US"/>
        </w:rPr>
        <w:t>con e</w:t>
      </w:r>
      <w:r w:rsidRPr="00F567E4">
        <w:rPr>
          <w:rFonts w:ascii="Arial" w:eastAsiaTheme="minorHAnsi" w:hAnsi="Arial" w:cs="Arial"/>
          <w:sz w:val="22"/>
          <w:szCs w:val="22"/>
          <w:lang w:val="es-ES_tradnl" w:eastAsia="en-US"/>
        </w:rPr>
        <w:t xml:space="preserve">l artículo 2, literal b) de la Ley 2020 de 2020 el Registro Nacional de Obras Civiles Inconclusas «Es un sistema que contiene los datos sobre obras inconclusas en todo el territorio nacional. El inventario de obras civiles inconclusas reportado por las entidades estatales hará parte integral del banco de proyectos de la respectiva entidad». </w:t>
      </w:r>
      <w:r w:rsidR="001E3E0F" w:rsidRPr="00F567E4">
        <w:rPr>
          <w:rFonts w:ascii="Arial" w:eastAsiaTheme="minorHAnsi" w:hAnsi="Arial" w:cs="Arial"/>
          <w:sz w:val="22"/>
          <w:szCs w:val="22"/>
          <w:lang w:val="es-ES_tradnl" w:eastAsia="en-US"/>
        </w:rPr>
        <w:t xml:space="preserve">Este Registro </w:t>
      </w:r>
      <w:r w:rsidR="00CC7E36" w:rsidRPr="00F567E4">
        <w:rPr>
          <w:rFonts w:ascii="Arial" w:eastAsiaTheme="minorHAnsi" w:hAnsi="Arial" w:cs="Arial"/>
          <w:sz w:val="22"/>
          <w:szCs w:val="22"/>
          <w:lang w:val="es-ES_tradnl" w:eastAsia="en-US"/>
        </w:rPr>
        <w:t>se encuentra</w:t>
      </w:r>
      <w:r w:rsidR="00AE4E52" w:rsidRPr="00F567E4">
        <w:rPr>
          <w:rFonts w:ascii="Arial" w:eastAsiaTheme="minorHAnsi" w:hAnsi="Arial" w:cs="Arial"/>
          <w:sz w:val="22"/>
          <w:szCs w:val="22"/>
          <w:lang w:val="es-ES_tradnl" w:eastAsia="en-US"/>
        </w:rPr>
        <w:t xml:space="preserve"> bajo la dirección y coordinación de</w:t>
      </w:r>
      <w:r w:rsidR="001E3E0F" w:rsidRPr="00F567E4">
        <w:rPr>
          <w:rFonts w:ascii="Arial" w:eastAsiaTheme="minorHAnsi" w:hAnsi="Arial" w:cs="Arial"/>
          <w:sz w:val="22"/>
          <w:szCs w:val="22"/>
          <w:lang w:val="es-ES_tradnl" w:eastAsia="en-US"/>
        </w:rPr>
        <w:t xml:space="preserve"> la Contraloría General de la República, </w:t>
      </w:r>
      <w:r w:rsidR="00D530EE" w:rsidRPr="00F567E4">
        <w:rPr>
          <w:rFonts w:ascii="Arial" w:eastAsiaTheme="minorHAnsi" w:hAnsi="Arial" w:cs="Arial"/>
          <w:sz w:val="22"/>
          <w:szCs w:val="22"/>
          <w:lang w:val="es-ES_tradnl" w:eastAsia="en-US"/>
        </w:rPr>
        <w:t>elaborado</w:t>
      </w:r>
      <w:r w:rsidR="001E3E0F" w:rsidRPr="00F567E4">
        <w:rPr>
          <w:rFonts w:ascii="Arial" w:eastAsiaTheme="minorHAnsi" w:hAnsi="Arial" w:cs="Arial"/>
          <w:sz w:val="22"/>
          <w:szCs w:val="22"/>
          <w:lang w:val="es-ES_tradnl" w:eastAsia="en-US"/>
        </w:rPr>
        <w:t xml:space="preserve"> a partir de la información remitida por las entidades estatales en los </w:t>
      </w:r>
      <w:r w:rsidR="001E3E0F" w:rsidRPr="00F567E4">
        <w:rPr>
          <w:rFonts w:ascii="Arial" w:eastAsiaTheme="minorHAnsi" w:hAnsi="Arial" w:cs="Arial"/>
          <w:sz w:val="22"/>
          <w:szCs w:val="22"/>
          <w:lang w:val="es-ES_tradnl" w:eastAsia="en-US"/>
        </w:rPr>
        <w:lastRenderedPageBreak/>
        <w:t>distintos niveles o los datos obtenidos por dicho órgano de control fiscal, sobre las obras inconclusas del país.</w:t>
      </w:r>
    </w:p>
    <w:p w14:paraId="0B952625" w14:textId="6714A7A0" w:rsidR="007F2E11" w:rsidRPr="00F567E4" w:rsidRDefault="001E3E0F" w:rsidP="007F2E11">
      <w:pPr>
        <w:spacing w:before="120" w:line="276" w:lineRule="auto"/>
        <w:ind w:firstLine="709"/>
        <w:jc w:val="both"/>
        <w:rPr>
          <w:rFonts w:ascii="Arial" w:eastAsiaTheme="minorHAnsi" w:hAnsi="Arial" w:cs="Arial"/>
          <w:sz w:val="22"/>
          <w:szCs w:val="22"/>
          <w:lang w:val="es-ES_tradnl" w:eastAsia="en-US"/>
        </w:rPr>
      </w:pPr>
      <w:r w:rsidRPr="00F567E4">
        <w:rPr>
          <w:rFonts w:ascii="Arial" w:eastAsiaTheme="minorHAnsi" w:hAnsi="Arial" w:cs="Arial"/>
          <w:sz w:val="22"/>
          <w:szCs w:val="22"/>
          <w:lang w:val="es-ES_tradnl" w:eastAsia="en-US"/>
        </w:rPr>
        <w:t xml:space="preserve">Conforme lo dispone el artículo 3 </w:t>
      </w:r>
      <w:r w:rsidRPr="00AD6123">
        <w:rPr>
          <w:rFonts w:ascii="Arial" w:eastAsiaTheme="minorHAnsi" w:hAnsi="Arial" w:cs="Arial"/>
          <w:i/>
          <w:iCs/>
          <w:sz w:val="22"/>
          <w:szCs w:val="22"/>
          <w:lang w:val="es-ES_tradnl" w:eastAsia="en-US"/>
        </w:rPr>
        <w:t>ibidem</w:t>
      </w:r>
      <w:r w:rsidRPr="00F567E4">
        <w:rPr>
          <w:rFonts w:ascii="Arial" w:eastAsiaTheme="minorHAnsi" w:hAnsi="Arial" w:cs="Arial"/>
          <w:sz w:val="22"/>
          <w:szCs w:val="22"/>
          <w:lang w:val="es-ES_tradnl" w:eastAsia="en-US"/>
        </w:rPr>
        <w:t xml:space="preserve">, </w:t>
      </w:r>
      <w:r w:rsidR="007F2E11" w:rsidRPr="00F567E4">
        <w:rPr>
          <w:rFonts w:ascii="Arial" w:eastAsia="Calibri" w:hAnsi="Arial" w:cs="Arial"/>
          <w:color w:val="000000"/>
          <w:sz w:val="22"/>
          <w:szCs w:val="22"/>
          <w:lang w:val="es-ES_tradnl" w:eastAsia="en-GB"/>
        </w:rPr>
        <w:t xml:space="preserve">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w:t>
      </w:r>
      <w:r w:rsidRPr="00F567E4">
        <w:rPr>
          <w:rFonts w:ascii="Arial" w:eastAsia="Calibri" w:hAnsi="Arial" w:cs="Arial"/>
          <w:color w:val="000000"/>
          <w:sz w:val="22"/>
          <w:szCs w:val="22"/>
          <w:lang w:val="es-ES_tradnl" w:eastAsia="en-GB"/>
        </w:rPr>
        <w:t>R</w:t>
      </w:r>
      <w:r w:rsidR="007F2E11" w:rsidRPr="00F567E4">
        <w:rPr>
          <w:rFonts w:ascii="Arial" w:eastAsia="Calibri" w:hAnsi="Arial" w:cs="Arial"/>
          <w:color w:val="000000"/>
          <w:sz w:val="22"/>
          <w:szCs w:val="22"/>
          <w:lang w:val="es-ES_tradnl" w:eastAsia="en-GB"/>
        </w:rPr>
        <w:t>egistro en los términos y condiciones que disponga la Contraloría General de la República.</w:t>
      </w:r>
    </w:p>
    <w:p w14:paraId="16C8EB2D" w14:textId="1185D54F" w:rsidR="00282016" w:rsidRPr="00F567E4" w:rsidRDefault="00282016" w:rsidP="00282016">
      <w:pPr>
        <w:tabs>
          <w:tab w:val="left" w:pos="0"/>
        </w:tabs>
        <w:spacing w:before="120" w:line="276" w:lineRule="auto"/>
        <w:ind w:firstLine="709"/>
        <w:jc w:val="both"/>
        <w:rPr>
          <w:rFonts w:ascii="Arial" w:eastAsia="Calibri" w:hAnsi="Arial" w:cs="Arial"/>
          <w:color w:val="000000"/>
          <w:sz w:val="22"/>
          <w:lang w:val="es-ES_tradnl" w:eastAsia="en-GB"/>
        </w:rPr>
      </w:pPr>
      <w:r w:rsidRPr="00F567E4">
        <w:rPr>
          <w:rFonts w:ascii="Arial" w:eastAsia="Calibri" w:hAnsi="Arial" w:cs="Arial"/>
          <w:color w:val="000000"/>
          <w:sz w:val="22"/>
          <w:lang w:val="es-ES_tradnl" w:eastAsia="en-GB"/>
        </w:rPr>
        <w:t>Respecto al contenido del Registro Nacional de Obras Civiles Inconclusas, el artículo 4 de la Ley 2020 de 2020 determina la información mínima que debe reportarse por las entidades públicas</w:t>
      </w:r>
      <w:r w:rsidR="00D42E7D" w:rsidRPr="00F567E4">
        <w:rPr>
          <w:rFonts w:ascii="Arial" w:eastAsiaTheme="minorHAnsi" w:hAnsi="Arial" w:cs="Arial"/>
          <w:sz w:val="22"/>
          <w:szCs w:val="22"/>
          <w:lang w:val="es-ES_tradnl" w:eastAsia="en-US"/>
        </w:rPr>
        <w:t xml:space="preserve">. </w:t>
      </w:r>
      <w:r w:rsidRPr="00F567E4">
        <w:rPr>
          <w:rFonts w:ascii="Arial" w:eastAsia="Calibri" w:hAnsi="Arial" w:cs="Arial"/>
          <w:color w:val="000000"/>
          <w:sz w:val="22"/>
          <w:lang w:val="es-ES_tradnl" w:eastAsia="en-GB"/>
        </w:rPr>
        <w:t>Entre otros, deberá contener datos sobre la identificación del contratista, consultores, interventores y demás personas naturales y/o jurídicas que intervinieron en la planeación y ejecución del proyecto</w:t>
      </w:r>
      <w:r w:rsidR="00843F04" w:rsidRPr="00F567E4">
        <w:rPr>
          <w:rFonts w:ascii="Arial" w:eastAsia="Calibri" w:hAnsi="Arial" w:cs="Arial"/>
          <w:color w:val="000000"/>
          <w:sz w:val="22"/>
          <w:lang w:val="es-ES_tradnl" w:eastAsia="en-GB"/>
        </w:rPr>
        <w:t>;</w:t>
      </w:r>
      <w:r w:rsidRPr="00F567E4">
        <w:rPr>
          <w:rFonts w:ascii="Arial" w:eastAsia="Calibri" w:hAnsi="Arial" w:cs="Arial"/>
          <w:color w:val="000000"/>
          <w:sz w:val="22"/>
          <w:lang w:val="es-ES_tradnl" w:eastAsia="en-GB"/>
        </w:rPr>
        <w:t xml:space="preserve">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Pr="00F567E4">
        <w:rPr>
          <w:rFonts w:ascii="Arial" w:eastAsiaTheme="minorHAnsi" w:hAnsi="Arial" w:cs="Arial"/>
          <w:sz w:val="22"/>
          <w:szCs w:val="22"/>
          <w:lang w:eastAsia="en-US"/>
        </w:rPr>
        <w:t>informe final presentado por el interventor del proyecto y la demás información que establezca la Contraloría General de la República.</w:t>
      </w:r>
      <w:r w:rsidRPr="00F567E4">
        <w:rPr>
          <w:rFonts w:ascii="Arial" w:eastAsia="Calibri" w:hAnsi="Arial" w:cs="Arial"/>
          <w:color w:val="000000"/>
          <w:sz w:val="22"/>
          <w:lang w:val="es-ES_tradnl" w:eastAsia="en-GB"/>
        </w:rPr>
        <w:t xml:space="preserve"> Igualmente, en este Registro constará la información de las obras civiles ya terminadas que no se encuentre en funcionamiento conforme al artículo 15. </w:t>
      </w:r>
    </w:p>
    <w:p w14:paraId="10701461" w14:textId="6FC42FB6" w:rsidR="00D42E7D" w:rsidRPr="00F567E4" w:rsidRDefault="00567C20" w:rsidP="00E35D39">
      <w:pPr>
        <w:spacing w:before="120" w:line="276" w:lineRule="auto"/>
        <w:ind w:firstLine="567"/>
        <w:jc w:val="both"/>
        <w:rPr>
          <w:rFonts w:ascii="Arial" w:eastAsiaTheme="minorHAnsi" w:hAnsi="Arial" w:cs="Arial"/>
          <w:sz w:val="22"/>
          <w:szCs w:val="22"/>
          <w:lang w:val="es-ES_tradnl" w:eastAsia="en-US"/>
        </w:rPr>
      </w:pPr>
      <w:r w:rsidRPr="00F567E4">
        <w:rPr>
          <w:rFonts w:ascii="Arial" w:eastAsiaTheme="minorHAnsi" w:hAnsi="Arial" w:cs="Arial"/>
          <w:sz w:val="22"/>
          <w:szCs w:val="22"/>
          <w:lang w:val="es-ES_tradnl" w:eastAsia="en-US"/>
        </w:rPr>
        <w:t xml:space="preserve">En este contexto, </w:t>
      </w:r>
      <w:r w:rsidR="00AE4E52" w:rsidRPr="00F567E4">
        <w:rPr>
          <w:rFonts w:ascii="Arial" w:eastAsiaTheme="minorHAnsi" w:hAnsi="Arial" w:cs="Arial"/>
          <w:sz w:val="22"/>
          <w:szCs w:val="22"/>
          <w:lang w:val="es-ES_tradnl" w:eastAsia="en-US"/>
        </w:rPr>
        <w:t xml:space="preserve">el contenido de la información que debe reposar en el Registro </w:t>
      </w:r>
      <w:r w:rsidR="00AE4E52" w:rsidRPr="00F567E4">
        <w:rPr>
          <w:rFonts w:ascii="Arial" w:eastAsia="Calibri" w:hAnsi="Arial" w:cs="Arial"/>
          <w:color w:val="000000"/>
          <w:sz w:val="22"/>
          <w:szCs w:val="22"/>
          <w:lang w:val="es-ES_tradnl" w:eastAsia="en-GB"/>
        </w:rPr>
        <w:t xml:space="preserve">Nacional de Obras Civiles Inconclusas </w:t>
      </w:r>
      <w:r w:rsidR="0060063B" w:rsidRPr="00F567E4">
        <w:rPr>
          <w:rFonts w:ascii="Arial" w:eastAsia="Calibri" w:hAnsi="Arial" w:cs="Arial"/>
          <w:color w:val="000000"/>
          <w:sz w:val="22"/>
          <w:szCs w:val="22"/>
          <w:lang w:val="es-ES_tradnl" w:eastAsia="en-GB"/>
        </w:rPr>
        <w:t>está</w:t>
      </w:r>
      <w:r w:rsidR="00AE4E52" w:rsidRPr="00F567E4">
        <w:rPr>
          <w:rFonts w:ascii="Arial" w:eastAsia="Calibri" w:hAnsi="Arial" w:cs="Arial"/>
          <w:color w:val="000000"/>
          <w:sz w:val="22"/>
          <w:szCs w:val="22"/>
          <w:lang w:val="es-ES_tradnl" w:eastAsia="en-GB"/>
        </w:rPr>
        <w:t xml:space="preserve"> </w:t>
      </w:r>
      <w:r w:rsidR="0060063B" w:rsidRPr="00F567E4">
        <w:rPr>
          <w:rFonts w:ascii="Arial" w:eastAsia="Calibri" w:hAnsi="Arial" w:cs="Arial"/>
          <w:color w:val="000000"/>
          <w:sz w:val="22"/>
          <w:szCs w:val="22"/>
          <w:lang w:val="es-ES_tradnl" w:eastAsia="en-GB"/>
        </w:rPr>
        <w:t xml:space="preserve">determinado por </w:t>
      </w:r>
      <w:r w:rsidR="00AE4E52" w:rsidRPr="00F567E4">
        <w:rPr>
          <w:rFonts w:ascii="Arial" w:eastAsia="Calibri" w:hAnsi="Arial" w:cs="Arial"/>
          <w:color w:val="000000"/>
          <w:sz w:val="22"/>
          <w:szCs w:val="22"/>
          <w:lang w:val="es-ES_tradnl" w:eastAsia="en-GB"/>
        </w:rPr>
        <w:t>la Ley 2020 de 2020 y</w:t>
      </w:r>
      <w:r w:rsidR="00CC7E36" w:rsidRPr="00F567E4">
        <w:rPr>
          <w:rFonts w:ascii="Arial" w:eastAsia="Calibri" w:hAnsi="Arial" w:cs="Arial"/>
          <w:color w:val="000000"/>
          <w:sz w:val="22"/>
          <w:szCs w:val="22"/>
          <w:lang w:val="es-ES_tradnl" w:eastAsia="en-GB"/>
        </w:rPr>
        <w:t xml:space="preserve"> su administración es competencia de </w:t>
      </w:r>
      <w:r w:rsidR="00AE4E52" w:rsidRPr="00F567E4">
        <w:rPr>
          <w:rFonts w:ascii="Arial" w:eastAsia="Calibri" w:hAnsi="Arial" w:cs="Arial"/>
          <w:color w:val="000000"/>
          <w:sz w:val="22"/>
          <w:szCs w:val="22"/>
          <w:lang w:val="es-ES_tradnl" w:eastAsia="en-GB"/>
        </w:rPr>
        <w:t>la Contraloría General de la República</w:t>
      </w:r>
      <w:r w:rsidR="00D42E7D" w:rsidRPr="00F567E4">
        <w:rPr>
          <w:rFonts w:ascii="Arial" w:eastAsiaTheme="minorHAnsi" w:hAnsi="Arial" w:cs="Arial"/>
          <w:sz w:val="22"/>
          <w:szCs w:val="22"/>
          <w:lang w:val="es-ES_tradnl" w:eastAsia="en-US"/>
        </w:rPr>
        <w:t>. Por tanto, la entidad</w:t>
      </w:r>
      <w:r w:rsidR="00E35D39" w:rsidRPr="00F567E4">
        <w:rPr>
          <w:rFonts w:ascii="Arial" w:eastAsiaTheme="minorHAnsi" w:hAnsi="Arial" w:cs="Arial"/>
          <w:sz w:val="22"/>
          <w:szCs w:val="22"/>
          <w:lang w:val="es-ES_tradnl" w:eastAsia="en-US"/>
        </w:rPr>
        <w:t xml:space="preserve"> estatal</w:t>
      </w:r>
      <w:r w:rsidR="005930ED" w:rsidRPr="00F567E4">
        <w:rPr>
          <w:rFonts w:ascii="Arial" w:eastAsiaTheme="minorHAnsi" w:hAnsi="Arial" w:cs="Arial"/>
          <w:sz w:val="22"/>
          <w:szCs w:val="22"/>
          <w:lang w:val="es-ES_tradnl" w:eastAsia="en-US"/>
        </w:rPr>
        <w:t xml:space="preserve"> responsable</w:t>
      </w:r>
      <w:r w:rsidR="00E35D39" w:rsidRPr="00F567E4">
        <w:rPr>
          <w:rFonts w:ascii="Arial" w:eastAsiaTheme="minorHAnsi" w:hAnsi="Arial" w:cs="Arial"/>
          <w:sz w:val="22"/>
          <w:szCs w:val="22"/>
          <w:lang w:val="es-ES_tradnl" w:eastAsia="en-US"/>
        </w:rPr>
        <w:t xml:space="preserve"> </w:t>
      </w:r>
      <w:r w:rsidR="003065CE" w:rsidRPr="00F567E4">
        <w:rPr>
          <w:rFonts w:ascii="Arial" w:eastAsiaTheme="minorHAnsi" w:hAnsi="Arial" w:cs="Arial"/>
          <w:sz w:val="22"/>
          <w:szCs w:val="22"/>
          <w:lang w:val="es-ES_tradnl" w:eastAsia="en-US"/>
        </w:rPr>
        <w:t xml:space="preserve">tiene la obligación </w:t>
      </w:r>
      <w:r w:rsidR="00D42E7D" w:rsidRPr="00F567E4">
        <w:rPr>
          <w:rFonts w:ascii="Arial" w:eastAsiaTheme="minorHAnsi" w:hAnsi="Arial" w:cs="Arial"/>
          <w:sz w:val="22"/>
          <w:szCs w:val="22"/>
          <w:lang w:val="es-ES_tradnl" w:eastAsia="en-US"/>
        </w:rPr>
        <w:t xml:space="preserve">de reportar la información </w:t>
      </w:r>
      <w:r w:rsidR="00E35D39" w:rsidRPr="00F567E4">
        <w:rPr>
          <w:rFonts w:ascii="Arial" w:eastAsiaTheme="minorHAnsi" w:hAnsi="Arial" w:cs="Arial"/>
          <w:sz w:val="22"/>
          <w:szCs w:val="22"/>
          <w:lang w:val="es-ES_tradnl" w:eastAsia="en-US"/>
        </w:rPr>
        <w:t>que exige el artículo 4 de dicha Ley, entre</w:t>
      </w:r>
      <w:r w:rsidR="00FE3BAD" w:rsidRPr="00F567E4">
        <w:rPr>
          <w:rFonts w:ascii="Arial" w:eastAsiaTheme="minorHAnsi" w:hAnsi="Arial" w:cs="Arial"/>
          <w:sz w:val="22"/>
          <w:szCs w:val="22"/>
          <w:lang w:val="es-ES_tradnl" w:eastAsia="en-US"/>
        </w:rPr>
        <w:t xml:space="preserve"> </w:t>
      </w:r>
      <w:r w:rsidR="00E35D39" w:rsidRPr="00F567E4">
        <w:rPr>
          <w:rFonts w:ascii="Arial" w:eastAsiaTheme="minorHAnsi" w:hAnsi="Arial" w:cs="Arial"/>
          <w:sz w:val="22"/>
          <w:szCs w:val="22"/>
          <w:lang w:val="es-ES_tradnl" w:eastAsia="en-US"/>
        </w:rPr>
        <w:t>la</w:t>
      </w:r>
      <w:r w:rsidR="00FE3BAD" w:rsidRPr="00F567E4">
        <w:rPr>
          <w:rFonts w:ascii="Arial" w:eastAsiaTheme="minorHAnsi" w:hAnsi="Arial" w:cs="Arial"/>
          <w:sz w:val="22"/>
          <w:szCs w:val="22"/>
          <w:lang w:val="es-ES_tradnl" w:eastAsia="en-US"/>
        </w:rPr>
        <w:t xml:space="preserve"> que se cuenta,</w:t>
      </w:r>
      <w:r w:rsidR="00E35D39" w:rsidRPr="00F567E4">
        <w:rPr>
          <w:rFonts w:ascii="Arial" w:eastAsiaTheme="minorHAnsi" w:hAnsi="Arial" w:cs="Arial"/>
          <w:sz w:val="22"/>
          <w:szCs w:val="22"/>
          <w:lang w:val="es-ES_tradnl" w:eastAsia="en-US"/>
        </w:rPr>
        <w:t xml:space="preserve"> la </w:t>
      </w:r>
      <w:r w:rsidR="00D42E7D" w:rsidRPr="00F567E4">
        <w:rPr>
          <w:rFonts w:ascii="Arial" w:eastAsiaTheme="minorHAnsi" w:hAnsi="Arial" w:cs="Arial"/>
          <w:sz w:val="22"/>
          <w:szCs w:val="22"/>
          <w:lang w:val="es-ES_tradnl" w:eastAsia="en-US"/>
        </w:rPr>
        <w:t>referente a los interventores de la obra</w:t>
      </w:r>
      <w:r w:rsidR="00E35D39" w:rsidRPr="00F567E4">
        <w:rPr>
          <w:rFonts w:ascii="Arial" w:eastAsiaTheme="minorHAnsi" w:hAnsi="Arial" w:cs="Arial"/>
          <w:sz w:val="22"/>
          <w:szCs w:val="22"/>
          <w:lang w:val="es-ES_tradnl" w:eastAsia="en-US"/>
        </w:rPr>
        <w:t>, así como</w:t>
      </w:r>
      <w:r w:rsidR="00D42E7D" w:rsidRPr="00F567E4">
        <w:rPr>
          <w:rFonts w:ascii="Arial" w:eastAsiaTheme="minorHAnsi" w:hAnsi="Arial" w:cs="Arial"/>
          <w:sz w:val="22"/>
          <w:szCs w:val="22"/>
          <w:lang w:val="es-ES_tradnl" w:eastAsia="en-US"/>
        </w:rPr>
        <w:t xml:space="preserve"> toda aquella</w:t>
      </w:r>
      <w:r w:rsidR="00E35D39" w:rsidRPr="00F567E4">
        <w:rPr>
          <w:rFonts w:ascii="Arial" w:eastAsiaTheme="minorHAnsi" w:hAnsi="Arial" w:cs="Arial"/>
          <w:sz w:val="22"/>
          <w:szCs w:val="22"/>
          <w:lang w:val="es-ES_tradnl" w:eastAsia="en-US"/>
        </w:rPr>
        <w:t xml:space="preserve"> información que establezca</w:t>
      </w:r>
      <w:r w:rsidR="00D42E7D" w:rsidRPr="00F567E4">
        <w:rPr>
          <w:rFonts w:ascii="Arial" w:eastAsiaTheme="minorHAnsi" w:hAnsi="Arial" w:cs="Arial"/>
          <w:sz w:val="22"/>
          <w:szCs w:val="22"/>
          <w:lang w:val="es-ES_tradnl" w:eastAsia="en-US"/>
        </w:rPr>
        <w:t xml:space="preserve"> </w:t>
      </w:r>
      <w:r w:rsidR="00D42E7D" w:rsidRPr="00F567E4">
        <w:rPr>
          <w:rFonts w:ascii="Arial" w:eastAsia="Calibri" w:hAnsi="Arial" w:cs="Arial"/>
          <w:color w:val="000000"/>
          <w:sz w:val="22"/>
          <w:lang w:val="es-ES_tradnl" w:eastAsia="en-GB"/>
        </w:rPr>
        <w:t xml:space="preserve">la Contraloría General de la </w:t>
      </w:r>
      <w:r w:rsidR="00E35D39" w:rsidRPr="00F567E4">
        <w:rPr>
          <w:rFonts w:ascii="Arial" w:eastAsia="Calibri" w:hAnsi="Arial" w:cs="Arial"/>
          <w:color w:val="000000"/>
          <w:sz w:val="22"/>
          <w:szCs w:val="22"/>
          <w:lang w:val="es-ES_tradnl" w:eastAsia="en-GB"/>
        </w:rPr>
        <w:t>República</w:t>
      </w:r>
      <w:r w:rsidR="00867A6B" w:rsidRPr="00F567E4">
        <w:rPr>
          <w:rFonts w:ascii="Arial" w:eastAsia="Calibri" w:hAnsi="Arial" w:cs="Arial"/>
          <w:color w:val="000000"/>
          <w:sz w:val="22"/>
          <w:szCs w:val="22"/>
          <w:lang w:val="es-ES_tradnl" w:eastAsia="en-GB"/>
        </w:rPr>
        <w:t xml:space="preserve"> en el ma</w:t>
      </w:r>
      <w:r w:rsidR="00C4105D" w:rsidRPr="00F567E4">
        <w:rPr>
          <w:rFonts w:ascii="Arial" w:eastAsia="Calibri" w:hAnsi="Arial" w:cs="Arial"/>
          <w:color w:val="000000"/>
          <w:sz w:val="22"/>
          <w:szCs w:val="22"/>
          <w:lang w:val="es-ES_tradnl" w:eastAsia="en-GB"/>
        </w:rPr>
        <w:t>r</w:t>
      </w:r>
      <w:r w:rsidR="00867A6B" w:rsidRPr="00F567E4">
        <w:rPr>
          <w:rFonts w:ascii="Arial" w:eastAsia="Calibri" w:hAnsi="Arial" w:cs="Arial"/>
          <w:color w:val="000000"/>
          <w:sz w:val="22"/>
          <w:szCs w:val="22"/>
          <w:lang w:val="es-ES_tradnl" w:eastAsia="en-GB"/>
        </w:rPr>
        <w:t>co de sus competencias.</w:t>
      </w:r>
    </w:p>
    <w:p w14:paraId="376922D1" w14:textId="1361886D" w:rsidR="00655D4C" w:rsidRPr="00F567E4" w:rsidRDefault="00EE4BEE" w:rsidP="0054058B">
      <w:pPr>
        <w:spacing w:before="120" w:line="276" w:lineRule="auto"/>
        <w:ind w:firstLine="567"/>
        <w:jc w:val="both"/>
        <w:rPr>
          <w:rFonts w:ascii="Arial" w:eastAsiaTheme="minorHAnsi" w:hAnsi="Arial" w:cs="Arial"/>
          <w:sz w:val="22"/>
          <w:szCs w:val="22"/>
          <w:lang w:val="es-ES_tradnl" w:eastAsia="en-US"/>
        </w:rPr>
      </w:pPr>
      <w:r w:rsidRPr="00F567E4">
        <w:rPr>
          <w:rFonts w:ascii="Arial" w:eastAsiaTheme="minorHAnsi" w:hAnsi="Arial" w:cs="Arial"/>
          <w:sz w:val="22"/>
          <w:szCs w:val="22"/>
          <w:lang w:val="es-ES_tradnl" w:eastAsia="en-US"/>
        </w:rPr>
        <w:t>Por su parte</w:t>
      </w:r>
      <w:r w:rsidR="003065CE" w:rsidRPr="00F567E4">
        <w:rPr>
          <w:rFonts w:ascii="Arial" w:eastAsiaTheme="minorHAnsi" w:hAnsi="Arial" w:cs="Arial"/>
          <w:sz w:val="22"/>
          <w:szCs w:val="22"/>
          <w:lang w:val="es-ES_tradnl" w:eastAsia="en-US"/>
        </w:rPr>
        <w:t xml:space="preserve">, </w:t>
      </w:r>
      <w:r w:rsidR="0054058B" w:rsidRPr="00F567E4">
        <w:rPr>
          <w:rFonts w:ascii="Arial" w:eastAsiaTheme="minorHAnsi" w:hAnsi="Arial" w:cs="Arial"/>
          <w:sz w:val="22"/>
          <w:szCs w:val="22"/>
          <w:lang w:val="es-ES_tradnl" w:eastAsia="en-US"/>
        </w:rPr>
        <w:t>e</w:t>
      </w:r>
      <w:r w:rsidR="00655D4C" w:rsidRPr="00F567E4">
        <w:rPr>
          <w:rFonts w:ascii="Arial" w:hAnsi="Arial" w:cs="Arial"/>
          <w:color w:val="000000" w:themeColor="text1"/>
          <w:sz w:val="22"/>
        </w:rPr>
        <w:t>l artículo 6 de la Ley 2020 de 2020 establece un deber a cargo de las entidades estatales dentro de los procedimientos que adelanten para la contratación de obras públicas, que consiste en la obligación de consultar y analizar la información contenida en el Registro Nacional de Obras Civiles Inconclusas. A su vez indica que, 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r w:rsidR="00843F04" w:rsidRPr="00F567E4">
        <w:rPr>
          <w:rFonts w:ascii="Arial" w:hAnsi="Arial" w:cs="Arial"/>
          <w:color w:val="000000" w:themeColor="text1"/>
          <w:sz w:val="22"/>
        </w:rPr>
        <w:t>, de acuerdo con lo que se establezca en los pliegos de condiciones</w:t>
      </w:r>
      <w:r w:rsidR="00655D4C" w:rsidRPr="00F567E4">
        <w:rPr>
          <w:rFonts w:ascii="Arial" w:hAnsi="Arial" w:cs="Arial"/>
          <w:color w:val="000000" w:themeColor="text1"/>
          <w:sz w:val="22"/>
        </w:rPr>
        <w:t xml:space="preserve">. Esto significa que, para efectos de evaluar </w:t>
      </w:r>
      <w:r w:rsidR="00DE67F5" w:rsidRPr="00F567E4">
        <w:rPr>
          <w:rFonts w:ascii="Arial" w:hAnsi="Arial" w:cs="Arial"/>
          <w:color w:val="000000" w:themeColor="text1"/>
          <w:sz w:val="22"/>
        </w:rPr>
        <w:t xml:space="preserve">al </w:t>
      </w:r>
      <w:r w:rsidR="00843F04" w:rsidRPr="00F567E4">
        <w:rPr>
          <w:rFonts w:ascii="Arial" w:hAnsi="Arial" w:cs="Arial"/>
          <w:color w:val="000000" w:themeColor="text1"/>
          <w:sz w:val="22"/>
        </w:rPr>
        <w:t xml:space="preserve">proponente </w:t>
      </w:r>
      <w:r w:rsidR="00DE67F5" w:rsidRPr="00F567E4">
        <w:rPr>
          <w:rFonts w:ascii="Arial" w:hAnsi="Arial" w:cs="Arial"/>
          <w:color w:val="000000" w:themeColor="text1"/>
          <w:sz w:val="22"/>
        </w:rPr>
        <w:t xml:space="preserve">en </w:t>
      </w:r>
      <w:r w:rsidR="00655D4C" w:rsidRPr="00F567E4">
        <w:rPr>
          <w:rFonts w:ascii="Arial" w:hAnsi="Arial" w:cs="Arial"/>
          <w:color w:val="000000" w:themeColor="text1"/>
          <w:sz w:val="22"/>
        </w:rPr>
        <w:t xml:space="preserve">el procedimiento </w:t>
      </w:r>
      <w:r w:rsidR="00843F04" w:rsidRPr="00F567E4">
        <w:rPr>
          <w:rFonts w:ascii="Arial" w:hAnsi="Arial" w:cs="Arial"/>
          <w:color w:val="000000" w:themeColor="text1"/>
          <w:sz w:val="22"/>
        </w:rPr>
        <w:t>de selección</w:t>
      </w:r>
      <w:r w:rsidR="00655D4C" w:rsidRPr="00F567E4">
        <w:rPr>
          <w:rFonts w:ascii="Arial" w:hAnsi="Arial" w:cs="Arial"/>
          <w:color w:val="000000" w:themeColor="text1"/>
          <w:sz w:val="22"/>
        </w:rPr>
        <w:t xml:space="preserve">, las entidades estatales deben servirse de la información contenida en el registro, realizando el respectivo análisis de la información. </w:t>
      </w:r>
    </w:p>
    <w:p w14:paraId="105FDCB5" w14:textId="05A4F5B5" w:rsidR="00655D4C" w:rsidRPr="00F567E4" w:rsidRDefault="00655D4C" w:rsidP="00655D4C">
      <w:pPr>
        <w:spacing w:before="120" w:line="276" w:lineRule="auto"/>
        <w:ind w:firstLine="709"/>
        <w:jc w:val="both"/>
        <w:rPr>
          <w:rFonts w:ascii="Arial" w:hAnsi="Arial" w:cs="Arial"/>
          <w:color w:val="000000" w:themeColor="text1"/>
          <w:sz w:val="22"/>
        </w:rPr>
      </w:pPr>
      <w:r w:rsidRPr="00F567E4">
        <w:rPr>
          <w:rFonts w:ascii="Arial" w:hAnsi="Arial" w:cs="Arial"/>
          <w:color w:val="000000" w:themeColor="text1"/>
          <w:sz w:val="22"/>
        </w:rPr>
        <w:lastRenderedPageBreak/>
        <w:t>Debido a que las entidades estatales cuentan con discrecionalidad para determinar los criterios de calificación, corresponde a estas definir, en los pliegos de condiciones,</w:t>
      </w:r>
      <w:r w:rsidR="00E21FE3" w:rsidRPr="00F567E4">
        <w:rPr>
          <w:rFonts w:ascii="Arial" w:hAnsi="Arial" w:cs="Arial"/>
          <w:color w:val="000000" w:themeColor="text1"/>
          <w:sz w:val="22"/>
        </w:rPr>
        <w:t xml:space="preserve"> los factores de ponderación y</w:t>
      </w:r>
      <w:r w:rsidR="00E21FE3" w:rsidRPr="00F567E4">
        <w:rPr>
          <w:rFonts w:ascii="Arial" w:hAnsi="Arial" w:cs="Arial"/>
          <w:color w:val="000000" w:themeColor="text1"/>
          <w:sz w:val="22"/>
          <w:lang w:val="es-ES_tradnl"/>
        </w:rPr>
        <w:t xml:space="preserve"> la forma en que se realizará la valoración de las anotaciones vigentes en el Registro Nacional de Obras Civiles Inconclusas al momento de ponderar</w:t>
      </w:r>
      <w:r w:rsidR="00DE67F5" w:rsidRPr="00F567E4">
        <w:rPr>
          <w:rFonts w:ascii="Arial" w:hAnsi="Arial" w:cs="Arial"/>
          <w:color w:val="000000" w:themeColor="text1"/>
          <w:sz w:val="22"/>
          <w:lang w:val="es-ES_tradnl"/>
        </w:rPr>
        <w:t>los</w:t>
      </w:r>
      <w:r w:rsidR="00E21FE3" w:rsidRPr="00F567E4">
        <w:rPr>
          <w:rFonts w:ascii="Arial" w:hAnsi="Arial" w:cs="Arial"/>
          <w:color w:val="000000" w:themeColor="text1"/>
          <w:sz w:val="22"/>
          <w:lang w:val="es-ES_tradnl"/>
        </w:rPr>
        <w:t>, conforme a los parámetros del artículo 6 de la Ley 2020 de 2020</w:t>
      </w:r>
      <w:r w:rsidR="00E21FE3" w:rsidRPr="00F567E4">
        <w:rPr>
          <w:rFonts w:ascii="Arial" w:hAnsi="Arial" w:cs="Arial"/>
          <w:color w:val="000000" w:themeColor="text1"/>
          <w:sz w:val="22"/>
        </w:rPr>
        <w:t xml:space="preserve">. Lo anterior, teniendo en cuenta que </w:t>
      </w:r>
      <w:r w:rsidR="00E21FE3" w:rsidRPr="00F567E4">
        <w:rPr>
          <w:rFonts w:ascii="Arial" w:hAnsi="Arial" w:cs="Arial"/>
          <w:color w:val="000000" w:themeColor="text1"/>
          <w:sz w:val="22"/>
          <w:lang w:val="es-MX"/>
        </w:rPr>
        <w:t>la norma no restringió a una metodología específica el análisis y la valoración de estas anotaciones</w:t>
      </w:r>
      <w:r w:rsidR="00E21FE3" w:rsidRPr="00F567E4">
        <w:rPr>
          <w:rFonts w:ascii="Arial" w:hAnsi="Arial" w:cs="Arial"/>
          <w:color w:val="000000" w:themeColor="text1"/>
          <w:sz w:val="22"/>
        </w:rPr>
        <w:t>.</w:t>
      </w:r>
      <w:r w:rsidRPr="00F567E4">
        <w:rPr>
          <w:rFonts w:ascii="Arial" w:hAnsi="Arial" w:cs="Arial"/>
          <w:color w:val="000000" w:themeColor="text1"/>
          <w:sz w:val="22"/>
        </w:rPr>
        <w:t xml:space="preserve"> </w:t>
      </w:r>
    </w:p>
    <w:p w14:paraId="126A3343" w14:textId="58A40E0B" w:rsidR="006A7999" w:rsidRPr="00F567E4" w:rsidRDefault="00D708F2" w:rsidP="00A20D1D">
      <w:pPr>
        <w:spacing w:before="120" w:line="276" w:lineRule="auto"/>
        <w:ind w:firstLine="709"/>
        <w:jc w:val="both"/>
        <w:rPr>
          <w:rFonts w:ascii="Arial" w:hAnsi="Arial" w:cs="Arial"/>
          <w:bCs/>
          <w:i/>
          <w:iCs/>
          <w:color w:val="000000"/>
          <w:sz w:val="22"/>
          <w:szCs w:val="22"/>
          <w:bdr w:val="none" w:sz="0" w:space="0" w:color="auto" w:frame="1"/>
        </w:rPr>
      </w:pPr>
      <w:r w:rsidRPr="00F567E4">
        <w:rPr>
          <w:rFonts w:ascii="Arial" w:hAnsi="Arial" w:cs="Arial"/>
          <w:color w:val="000000" w:themeColor="text1"/>
          <w:sz w:val="22"/>
        </w:rPr>
        <w:t>Sin embargo, debe precisarse que</w:t>
      </w:r>
      <w:r w:rsidR="00843F04" w:rsidRPr="00F567E4">
        <w:rPr>
          <w:rFonts w:ascii="Arial" w:hAnsi="Arial" w:cs="Arial"/>
          <w:color w:val="000000" w:themeColor="text1"/>
          <w:sz w:val="22"/>
        </w:rPr>
        <w:t>, a juicio de esta Subdirección,</w:t>
      </w:r>
      <w:r w:rsidRPr="00F567E4">
        <w:rPr>
          <w:rFonts w:ascii="Arial" w:hAnsi="Arial" w:cs="Arial"/>
          <w:color w:val="000000" w:themeColor="text1"/>
          <w:sz w:val="22"/>
        </w:rPr>
        <w:t xml:space="preserve"> l</w:t>
      </w:r>
      <w:r w:rsidRPr="00F567E4">
        <w:rPr>
          <w:rFonts w:ascii="Arial" w:eastAsia="Calibri" w:hAnsi="Arial" w:cs="Arial"/>
          <w:color w:val="000000"/>
          <w:sz w:val="22"/>
          <w:lang w:val="es-ES_tradnl" w:eastAsia="en-GB"/>
        </w:rPr>
        <w:t xml:space="preserve">a sola inclusión en el Registro Nacional de Obras Civiles Inconclusas no puede entenderse </w:t>
      </w:r>
      <w:r w:rsidR="00843F04" w:rsidRPr="00F567E4">
        <w:rPr>
          <w:rFonts w:ascii="Arial" w:eastAsia="Calibri" w:hAnsi="Arial" w:cs="Arial"/>
          <w:color w:val="000000"/>
          <w:sz w:val="22"/>
          <w:lang w:val="es-ES_tradnl" w:eastAsia="en-GB"/>
        </w:rPr>
        <w:t xml:space="preserve">como </w:t>
      </w:r>
      <w:r w:rsidRPr="00F567E4">
        <w:rPr>
          <w:rFonts w:ascii="Arial" w:eastAsia="Calibri" w:hAnsi="Arial" w:cs="Arial"/>
          <w:color w:val="000000"/>
          <w:sz w:val="22"/>
          <w:lang w:val="es-ES_tradnl" w:eastAsia="en-GB"/>
        </w:rPr>
        <w:t>suficiente para</w:t>
      </w:r>
      <w:r w:rsidRPr="00F567E4">
        <w:rPr>
          <w:rFonts w:ascii="Arial" w:hAnsi="Arial" w:cs="Arial"/>
          <w:color w:val="000000" w:themeColor="text1"/>
          <w:sz w:val="22"/>
        </w:rPr>
        <w:t xml:space="preserve"> afectar la </w:t>
      </w:r>
      <w:r w:rsidR="00EE4BEE" w:rsidRPr="00F567E4">
        <w:rPr>
          <w:rFonts w:ascii="Arial" w:hAnsi="Arial" w:cs="Arial"/>
          <w:color w:val="000000" w:themeColor="text1"/>
          <w:sz w:val="22"/>
        </w:rPr>
        <w:t>evaluación</w:t>
      </w:r>
      <w:r w:rsidR="00241E0B" w:rsidRPr="00F567E4">
        <w:rPr>
          <w:rFonts w:ascii="Arial" w:hAnsi="Arial" w:cs="Arial"/>
          <w:color w:val="000000" w:themeColor="text1"/>
          <w:sz w:val="22"/>
        </w:rPr>
        <w:t xml:space="preserve"> del proponente</w:t>
      </w:r>
      <w:r w:rsidR="00843F04" w:rsidRPr="00F567E4">
        <w:rPr>
          <w:rFonts w:ascii="Arial" w:hAnsi="Arial" w:cs="Arial"/>
          <w:color w:val="000000" w:themeColor="text1"/>
          <w:sz w:val="22"/>
        </w:rPr>
        <w:t>,</w:t>
      </w:r>
      <w:r w:rsidR="00EE4BEE" w:rsidRPr="00F567E4">
        <w:rPr>
          <w:rFonts w:ascii="Arial" w:hAnsi="Arial" w:cs="Arial"/>
          <w:color w:val="000000" w:themeColor="text1"/>
          <w:sz w:val="22"/>
        </w:rPr>
        <w:t xml:space="preserve"> </w:t>
      </w:r>
      <w:r w:rsidRPr="00F567E4">
        <w:rPr>
          <w:rFonts w:ascii="Arial" w:hAnsi="Arial" w:cs="Arial"/>
          <w:color w:val="000000" w:themeColor="text1"/>
          <w:sz w:val="22"/>
        </w:rPr>
        <w:t xml:space="preserve">puesto que la norma establece el deber de la entidad de realizar la </w:t>
      </w:r>
      <w:r w:rsidRPr="00AD6123">
        <w:rPr>
          <w:rFonts w:ascii="Arial" w:hAnsi="Arial" w:cs="Arial"/>
          <w:i/>
          <w:iCs/>
          <w:color w:val="000000" w:themeColor="text1"/>
          <w:sz w:val="22"/>
        </w:rPr>
        <w:t>consulta</w:t>
      </w:r>
      <w:r w:rsidRPr="00F567E4">
        <w:rPr>
          <w:rFonts w:ascii="Arial" w:hAnsi="Arial" w:cs="Arial"/>
          <w:color w:val="000000" w:themeColor="text1"/>
          <w:sz w:val="22"/>
        </w:rPr>
        <w:t xml:space="preserve"> y el </w:t>
      </w:r>
      <w:r w:rsidRPr="00AD6123">
        <w:rPr>
          <w:rFonts w:ascii="Arial" w:hAnsi="Arial" w:cs="Arial"/>
          <w:i/>
          <w:iCs/>
          <w:color w:val="000000" w:themeColor="text1"/>
          <w:sz w:val="22"/>
        </w:rPr>
        <w:t>análisis</w:t>
      </w:r>
      <w:r w:rsidRPr="00F567E4">
        <w:rPr>
          <w:rFonts w:ascii="Arial" w:hAnsi="Arial" w:cs="Arial"/>
          <w:color w:val="000000" w:themeColor="text1"/>
          <w:sz w:val="22"/>
        </w:rPr>
        <w:t xml:space="preserve"> de la anotación.</w:t>
      </w:r>
      <w:r w:rsidR="00A20D1D" w:rsidRPr="00F567E4">
        <w:rPr>
          <w:rFonts w:ascii="Arial" w:hAnsi="Arial" w:cs="Arial"/>
          <w:color w:val="000000" w:themeColor="text1"/>
          <w:sz w:val="22"/>
        </w:rPr>
        <w:t xml:space="preserve"> En este sentido</w:t>
      </w:r>
      <w:r w:rsidRPr="00F567E4">
        <w:rPr>
          <w:rFonts w:ascii="Arial" w:hAnsi="Arial" w:cs="Arial"/>
          <w:color w:val="000000" w:themeColor="text1"/>
          <w:sz w:val="22"/>
        </w:rPr>
        <w:t xml:space="preserve">, no siempre que el </w:t>
      </w:r>
      <w:r w:rsidR="00676C2D" w:rsidRPr="00F567E4">
        <w:rPr>
          <w:rFonts w:ascii="Arial" w:hAnsi="Arial" w:cs="Arial"/>
          <w:color w:val="000000" w:themeColor="text1"/>
          <w:sz w:val="22"/>
        </w:rPr>
        <w:t>oferente</w:t>
      </w:r>
      <w:r w:rsidR="00241E0B" w:rsidRPr="00F567E4">
        <w:rPr>
          <w:rFonts w:ascii="Arial" w:hAnsi="Arial" w:cs="Arial"/>
          <w:color w:val="000000" w:themeColor="text1"/>
          <w:sz w:val="22"/>
        </w:rPr>
        <w:t xml:space="preserve"> </w:t>
      </w:r>
      <w:r w:rsidRPr="00F567E4">
        <w:rPr>
          <w:rFonts w:ascii="Arial" w:hAnsi="Arial" w:cs="Arial"/>
          <w:color w:val="000000" w:themeColor="text1"/>
          <w:sz w:val="22"/>
        </w:rPr>
        <w:t xml:space="preserve">se encuentre incluido en dicho Registro generará </w:t>
      </w:r>
      <w:r w:rsidR="003B0FCF" w:rsidRPr="00F567E4">
        <w:rPr>
          <w:rFonts w:ascii="Arial" w:hAnsi="Arial" w:cs="Arial"/>
          <w:color w:val="000000" w:themeColor="text1"/>
          <w:sz w:val="22"/>
        </w:rPr>
        <w:t>automáticamente una consecuencia</w:t>
      </w:r>
      <w:r w:rsidRPr="00F567E4">
        <w:rPr>
          <w:rFonts w:ascii="Arial" w:hAnsi="Arial" w:cs="Arial"/>
          <w:color w:val="000000" w:themeColor="text1"/>
          <w:sz w:val="22"/>
        </w:rPr>
        <w:t xml:space="preserve"> en la</w:t>
      </w:r>
      <w:r w:rsidR="0054058B" w:rsidRPr="00F567E4">
        <w:rPr>
          <w:rFonts w:ascii="Arial" w:hAnsi="Arial" w:cs="Arial"/>
          <w:color w:val="000000" w:themeColor="text1"/>
          <w:sz w:val="22"/>
        </w:rPr>
        <w:t xml:space="preserve"> evaluación</w:t>
      </w:r>
      <w:r w:rsidRPr="00F567E4">
        <w:rPr>
          <w:rFonts w:ascii="Arial" w:hAnsi="Arial" w:cs="Arial"/>
          <w:color w:val="000000" w:themeColor="text1"/>
          <w:sz w:val="22"/>
        </w:rPr>
        <w:t xml:space="preserve">, pues la entidad tiene el deber de </w:t>
      </w:r>
      <w:r w:rsidRPr="00F567E4">
        <w:rPr>
          <w:rFonts w:ascii="Arial" w:eastAsia="Calibri" w:hAnsi="Arial" w:cs="Arial"/>
          <w:color w:val="000000"/>
          <w:sz w:val="22"/>
          <w:szCs w:val="22"/>
          <w:lang w:val="es-ES_tradnl" w:eastAsia="en-GB"/>
        </w:rPr>
        <w:t>consultar y analizar las anotaciones vigentes</w:t>
      </w:r>
      <w:r w:rsidR="00042B91" w:rsidRPr="00F567E4">
        <w:rPr>
          <w:rFonts w:ascii="Arial" w:eastAsia="Calibri" w:hAnsi="Arial" w:cs="Arial"/>
          <w:color w:val="000000"/>
          <w:sz w:val="22"/>
          <w:szCs w:val="22"/>
          <w:lang w:val="es-ES_tradnl" w:eastAsia="en-GB"/>
        </w:rPr>
        <w:t xml:space="preserve"> </w:t>
      </w:r>
      <w:r w:rsidR="00656070" w:rsidRPr="00F567E4">
        <w:rPr>
          <w:rFonts w:ascii="Arial" w:eastAsia="Calibri" w:hAnsi="Arial" w:cs="Arial"/>
          <w:color w:val="000000"/>
          <w:sz w:val="22"/>
          <w:szCs w:val="22"/>
          <w:lang w:val="es-ES_tradnl" w:eastAsia="en-GB"/>
        </w:rPr>
        <w:t>de acuerdo con los criterios de ponderación definidos</w:t>
      </w:r>
      <w:r w:rsidR="00042B91" w:rsidRPr="00F567E4">
        <w:rPr>
          <w:rFonts w:ascii="Arial" w:eastAsia="Calibri" w:hAnsi="Arial" w:cs="Arial"/>
          <w:color w:val="000000"/>
          <w:sz w:val="22"/>
          <w:szCs w:val="22"/>
          <w:lang w:val="es-ES_tradnl" w:eastAsia="en-GB"/>
        </w:rPr>
        <w:t xml:space="preserve">, </w:t>
      </w:r>
      <w:r w:rsidR="00241E0B" w:rsidRPr="00F567E4">
        <w:rPr>
          <w:rFonts w:ascii="Arial" w:eastAsia="Calibri" w:hAnsi="Arial" w:cs="Arial"/>
          <w:color w:val="000000"/>
          <w:sz w:val="22"/>
          <w:szCs w:val="22"/>
          <w:lang w:val="es-ES_tradnl" w:eastAsia="en-GB"/>
        </w:rPr>
        <w:t xml:space="preserve">de modo que los efectos negativos procederán en los supuestos en que la inclusión en el registro obedezca a circunstancias imputables al contratista, en los términos analizados en las consideraciones </w:t>
      </w:r>
      <w:r w:rsidR="00676C2D" w:rsidRPr="00F567E4">
        <w:rPr>
          <w:rFonts w:ascii="Arial" w:eastAsia="Calibri" w:hAnsi="Arial" w:cs="Arial"/>
          <w:color w:val="000000"/>
          <w:sz w:val="22"/>
          <w:szCs w:val="22"/>
          <w:lang w:val="es-ES_tradnl" w:eastAsia="en-GB"/>
        </w:rPr>
        <w:t xml:space="preserve">finales </w:t>
      </w:r>
      <w:r w:rsidR="00241E0B" w:rsidRPr="00F567E4">
        <w:rPr>
          <w:rFonts w:ascii="Arial" w:eastAsia="Calibri" w:hAnsi="Arial" w:cs="Arial"/>
          <w:color w:val="000000"/>
          <w:sz w:val="22"/>
          <w:szCs w:val="22"/>
          <w:lang w:val="es-ES_tradnl" w:eastAsia="en-GB"/>
        </w:rPr>
        <w:t>de este concepto.</w:t>
      </w:r>
    </w:p>
    <w:p w14:paraId="526CD03C" w14:textId="355B3E29" w:rsidR="00CF6AC0" w:rsidRPr="00F567E4" w:rsidRDefault="00CF6AC0" w:rsidP="00CF6AC0">
      <w:pPr>
        <w:spacing w:before="120" w:line="276" w:lineRule="auto"/>
        <w:ind w:firstLine="709"/>
        <w:jc w:val="both"/>
        <w:rPr>
          <w:rFonts w:ascii="Arial" w:eastAsia="Calibri" w:hAnsi="Arial" w:cs="Arial"/>
          <w:color w:val="000000"/>
          <w:sz w:val="22"/>
          <w:szCs w:val="22"/>
          <w:lang w:val="es-ES_tradnl" w:eastAsia="en-GB"/>
        </w:rPr>
      </w:pPr>
      <w:r w:rsidRPr="00F567E4">
        <w:rPr>
          <w:rFonts w:ascii="Arial" w:eastAsia="Calibri" w:hAnsi="Arial" w:cs="Arial"/>
          <w:color w:val="000000"/>
          <w:sz w:val="22"/>
          <w:szCs w:val="22"/>
          <w:lang w:val="es-ES_tradnl" w:eastAsia="en-GB"/>
        </w:rPr>
        <w:t>En todo caso, si se presente alguna discrepancia en relación con la información reportada en el Registro por la entidad contratante</w:t>
      </w:r>
      <w:r w:rsidR="00843F04" w:rsidRPr="00F567E4">
        <w:rPr>
          <w:rFonts w:ascii="Arial" w:eastAsia="Calibri" w:hAnsi="Arial" w:cs="Arial"/>
          <w:color w:val="000000"/>
          <w:sz w:val="22"/>
          <w:szCs w:val="22"/>
          <w:lang w:val="es-ES_tradnl" w:eastAsia="en-GB"/>
        </w:rPr>
        <w:t xml:space="preserve"> que realizó la anotación</w:t>
      </w:r>
      <w:r w:rsidRPr="00F567E4">
        <w:rPr>
          <w:rFonts w:ascii="Arial" w:eastAsia="Calibri" w:hAnsi="Arial" w:cs="Arial"/>
          <w:color w:val="000000"/>
          <w:sz w:val="22"/>
          <w:szCs w:val="22"/>
          <w:lang w:val="es-ES_tradnl" w:eastAsia="en-GB"/>
        </w:rPr>
        <w:t xml:space="preserve">, el artículo 6 dispuso que tal controversia o solicitud será resuelta por la entidad contratante que suministró dicha información. En consecuencia, el contratista deberá manifestar su inconformidad directamente ante la entidad contratante que realizó la anotación, la cual deberá atenderla teniendo en cuenta los principios y disposiciones establecidas en la normatividad vigente. </w:t>
      </w:r>
    </w:p>
    <w:p w14:paraId="2B296E44" w14:textId="77777777" w:rsidR="008E0FAA" w:rsidRPr="00F567E4" w:rsidRDefault="008E0FAA" w:rsidP="008E0FAA">
      <w:pPr>
        <w:spacing w:before="120" w:line="276" w:lineRule="auto"/>
        <w:jc w:val="both"/>
        <w:rPr>
          <w:rFonts w:ascii="Arial" w:eastAsiaTheme="minorHAnsi" w:hAnsi="Arial" w:cs="Arial"/>
          <w:sz w:val="22"/>
          <w:szCs w:val="22"/>
          <w:lang w:val="es-MX" w:eastAsia="en-US"/>
        </w:rPr>
      </w:pPr>
      <w:bookmarkStart w:id="17" w:name="_Hlk68165480"/>
    </w:p>
    <w:bookmarkEnd w:id="17"/>
    <w:p w14:paraId="77EE5912" w14:textId="59329AC3" w:rsidR="00DD5B04" w:rsidRDefault="00DD5B04" w:rsidP="0011177B">
      <w:pPr>
        <w:spacing w:line="276" w:lineRule="auto"/>
        <w:jc w:val="both"/>
        <w:rPr>
          <w:rFonts w:ascii="Arial" w:hAnsi="Arial" w:cs="Arial"/>
          <w:color w:val="000000" w:themeColor="text1"/>
          <w:sz w:val="22"/>
          <w:lang w:val="es-ES_tradnl"/>
        </w:rPr>
      </w:pPr>
      <w:r w:rsidRPr="00F567E4">
        <w:rPr>
          <w:rFonts w:ascii="Arial" w:hAnsi="Arial" w:cs="Arial"/>
          <w:color w:val="000000" w:themeColor="text1"/>
          <w:sz w:val="22"/>
          <w:lang w:val="es-ES_tradnl"/>
        </w:rPr>
        <w:t>Este concepto tiene el alcance previsto en el artículo 28 del Código de Procedimiento Administrativo y de</w:t>
      </w:r>
      <w:r w:rsidR="00D40F8B" w:rsidRPr="00F567E4">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64A189C0"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6E2FF5CE" w:rsidR="00D40F8B" w:rsidRDefault="00A340AF" w:rsidP="00A340AF">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s-ES" w:eastAsia="es-ES"/>
        </w:rPr>
        <w:drawing>
          <wp:inline distT="0" distB="0" distL="0" distR="0" wp14:anchorId="74A93602" wp14:editId="11A8E91A">
            <wp:extent cx="2781300" cy="96202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1300" cy="962025"/>
                    </a:xfrm>
                    <a:prstGeom prst="rect">
                      <a:avLst/>
                    </a:prstGeom>
                    <a:noFill/>
                    <a:ln>
                      <a:noFill/>
                    </a:ln>
                  </pic:spPr>
                </pic:pic>
              </a:graphicData>
            </a:graphic>
          </wp:inline>
        </w:drawing>
      </w:r>
    </w:p>
    <w:p w14:paraId="40F5C98F" w14:textId="77777777" w:rsidR="00A340AF" w:rsidRPr="00A340AF" w:rsidRDefault="00A340AF" w:rsidP="00A340AF">
      <w:pPr>
        <w:pStyle w:val="NormalWeb"/>
        <w:spacing w:before="0" w:beforeAutospacing="0" w:after="0" w:afterAutospacing="0" w:line="276" w:lineRule="auto"/>
        <w:jc w:val="center"/>
        <w:rPr>
          <w:rFonts w:ascii="Arial" w:hAnsi="Arial" w:cs="Arial"/>
          <w:color w:val="000000" w:themeColor="text1"/>
          <w:sz w:val="14"/>
          <w:szCs w:val="14"/>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340AF" w14:paraId="0C7DC5F7" w14:textId="77777777" w:rsidTr="00D40F8B">
        <w:trPr>
          <w:trHeight w:val="160"/>
        </w:trPr>
        <w:tc>
          <w:tcPr>
            <w:tcW w:w="812" w:type="dxa"/>
            <w:vAlign w:val="center"/>
            <w:hideMark/>
          </w:tcPr>
          <w:p w14:paraId="5BDB1AC9" w14:textId="77777777" w:rsidR="00DD5B04" w:rsidRPr="00A340AF" w:rsidRDefault="00DD5B04" w:rsidP="00DF76A2">
            <w:pPr>
              <w:jc w:val="both"/>
              <w:rPr>
                <w:rFonts w:ascii="Arial" w:hAnsi="Arial" w:cs="Arial"/>
                <w:color w:val="000000" w:themeColor="text1"/>
                <w:sz w:val="14"/>
                <w:szCs w:val="14"/>
                <w:lang w:val="es-ES_tradnl" w:eastAsia="es-ES"/>
              </w:rPr>
            </w:pPr>
            <w:r w:rsidRPr="00A340AF">
              <w:rPr>
                <w:rFonts w:ascii="Arial" w:hAnsi="Arial" w:cs="Arial"/>
                <w:color w:val="000000" w:themeColor="text1"/>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340AF" w:rsidRDefault="00F412DF" w:rsidP="00DF76A2">
            <w:pPr>
              <w:jc w:val="both"/>
              <w:rPr>
                <w:rFonts w:ascii="Arial" w:hAnsi="Arial" w:cs="Arial"/>
                <w:color w:val="000000" w:themeColor="text1"/>
                <w:sz w:val="14"/>
                <w:szCs w:val="14"/>
                <w:lang w:val="es-ES_tradnl" w:eastAsia="es-ES"/>
              </w:rPr>
            </w:pPr>
            <w:r w:rsidRPr="00A340AF">
              <w:rPr>
                <w:rFonts w:ascii="Arial" w:hAnsi="Arial" w:cs="Arial"/>
                <w:color w:val="000000" w:themeColor="text1"/>
                <w:sz w:val="14"/>
                <w:szCs w:val="14"/>
                <w:lang w:val="es-ES_tradnl" w:eastAsia="es-ES"/>
              </w:rPr>
              <w:t>Tatiana Baquero Iguarán</w:t>
            </w:r>
          </w:p>
          <w:p w14:paraId="240C71FD" w14:textId="31312C95" w:rsidR="00DD5B04" w:rsidRPr="00A340AF" w:rsidRDefault="00DD5B04" w:rsidP="00DF76A2">
            <w:pPr>
              <w:jc w:val="both"/>
              <w:rPr>
                <w:rFonts w:ascii="Arial" w:hAnsi="Arial" w:cs="Arial"/>
                <w:color w:val="000000" w:themeColor="text1"/>
                <w:sz w:val="14"/>
                <w:szCs w:val="14"/>
                <w:lang w:val="es-ES_tradnl" w:eastAsia="es-ES"/>
              </w:rPr>
            </w:pPr>
            <w:r w:rsidRPr="00A340AF">
              <w:rPr>
                <w:rFonts w:ascii="Arial" w:hAnsi="Arial" w:cs="Arial"/>
                <w:color w:val="000000" w:themeColor="text1"/>
                <w:sz w:val="14"/>
                <w:szCs w:val="14"/>
                <w:lang w:val="es-ES_tradnl" w:eastAsia="es-ES"/>
              </w:rPr>
              <w:t>Contratista</w:t>
            </w:r>
            <w:r w:rsidR="00FF0050" w:rsidRPr="00A340AF">
              <w:rPr>
                <w:rFonts w:ascii="Arial" w:hAnsi="Arial" w:cs="Arial"/>
                <w:color w:val="000000" w:themeColor="text1"/>
                <w:sz w:val="14"/>
                <w:szCs w:val="14"/>
                <w:lang w:val="es-ES_tradnl" w:eastAsia="es-ES"/>
              </w:rPr>
              <w:t xml:space="preserve"> de la </w:t>
            </w:r>
            <w:r w:rsidRPr="00A340AF">
              <w:rPr>
                <w:rFonts w:ascii="Arial" w:hAnsi="Arial" w:cs="Arial"/>
                <w:color w:val="000000" w:themeColor="text1"/>
                <w:sz w:val="14"/>
                <w:szCs w:val="14"/>
                <w:lang w:val="es-ES_tradnl" w:eastAsia="es-ES"/>
              </w:rPr>
              <w:t>Subdirección de Gestión Contractual</w:t>
            </w:r>
          </w:p>
        </w:tc>
      </w:tr>
      <w:tr w:rsidR="00DD5B04" w:rsidRPr="00A340AF" w14:paraId="2F8FD650" w14:textId="77777777" w:rsidTr="00D15356">
        <w:trPr>
          <w:trHeight w:val="330"/>
        </w:trPr>
        <w:tc>
          <w:tcPr>
            <w:tcW w:w="812" w:type="dxa"/>
            <w:vAlign w:val="center"/>
            <w:hideMark/>
          </w:tcPr>
          <w:p w14:paraId="50203A0B" w14:textId="77777777" w:rsidR="00DD5B04" w:rsidRPr="00A340AF" w:rsidRDefault="00DD5B04" w:rsidP="00DF76A2">
            <w:pPr>
              <w:jc w:val="both"/>
              <w:rPr>
                <w:rFonts w:ascii="Arial" w:hAnsi="Arial" w:cs="Arial"/>
                <w:color w:val="000000" w:themeColor="text1"/>
                <w:sz w:val="14"/>
                <w:szCs w:val="14"/>
                <w:lang w:val="es-ES_tradnl" w:eastAsia="es-ES"/>
              </w:rPr>
            </w:pPr>
            <w:r w:rsidRPr="00A340AF">
              <w:rPr>
                <w:rFonts w:ascii="Arial" w:hAnsi="Arial" w:cs="Arial"/>
                <w:color w:val="000000" w:themeColor="text1"/>
                <w:sz w:val="14"/>
                <w:szCs w:val="14"/>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06F5CD3D" w:rsidR="00F412DF" w:rsidRPr="00A340AF" w:rsidRDefault="00B80337" w:rsidP="00F412DF">
            <w:pPr>
              <w:rPr>
                <w:rFonts w:ascii="Arial" w:hAnsi="Arial" w:cs="Arial"/>
                <w:color w:val="000000" w:themeColor="text1"/>
                <w:sz w:val="14"/>
                <w:szCs w:val="14"/>
                <w:lang w:val="es-ES" w:eastAsia="es-ES"/>
              </w:rPr>
            </w:pPr>
            <w:r w:rsidRPr="00A340AF">
              <w:rPr>
                <w:rFonts w:ascii="Arial" w:hAnsi="Arial" w:cs="Arial"/>
                <w:color w:val="000000" w:themeColor="text1"/>
                <w:sz w:val="14"/>
                <w:szCs w:val="14"/>
                <w:lang w:val="es-ES" w:eastAsia="es-ES"/>
              </w:rPr>
              <w:t xml:space="preserve">Sebastián Ramírez Grisales </w:t>
            </w:r>
          </w:p>
          <w:p w14:paraId="130B3228" w14:textId="128627BF" w:rsidR="00DD5B04" w:rsidRPr="00A340AF" w:rsidRDefault="00F412DF" w:rsidP="00F412DF">
            <w:pPr>
              <w:jc w:val="both"/>
              <w:rPr>
                <w:rFonts w:ascii="Arial" w:hAnsi="Arial" w:cs="Arial"/>
                <w:color w:val="000000" w:themeColor="text1"/>
                <w:sz w:val="14"/>
                <w:szCs w:val="14"/>
                <w:lang w:val="es-ES_tradnl" w:eastAsia="es-ES"/>
              </w:rPr>
            </w:pPr>
            <w:r w:rsidRPr="00A340AF">
              <w:rPr>
                <w:rFonts w:ascii="Arial" w:hAnsi="Arial" w:cs="Arial"/>
                <w:color w:val="000000"/>
                <w:sz w:val="14"/>
                <w:szCs w:val="14"/>
                <w:shd w:val="clear" w:color="auto" w:fill="FFFFFF"/>
              </w:rPr>
              <w:t>Gestor T1-15 de la </w:t>
            </w:r>
            <w:r w:rsidRPr="00A340AF">
              <w:rPr>
                <w:rFonts w:ascii="Arial" w:hAnsi="Arial" w:cs="Arial"/>
                <w:color w:val="000000" w:themeColor="text1"/>
                <w:sz w:val="14"/>
                <w:szCs w:val="14"/>
                <w:lang w:val="es-ES" w:eastAsia="es-ES"/>
              </w:rPr>
              <w:t>Subdirección de Gestión Contractual</w:t>
            </w:r>
          </w:p>
        </w:tc>
      </w:tr>
      <w:tr w:rsidR="00DD5B04" w:rsidRPr="00A340AF" w14:paraId="0FCBCA4A" w14:textId="77777777" w:rsidTr="00561D82">
        <w:trPr>
          <w:trHeight w:val="279"/>
        </w:trPr>
        <w:tc>
          <w:tcPr>
            <w:tcW w:w="812" w:type="dxa"/>
            <w:vAlign w:val="center"/>
            <w:hideMark/>
          </w:tcPr>
          <w:p w14:paraId="3C1D943A" w14:textId="77777777" w:rsidR="00DD5B04" w:rsidRPr="00A340AF" w:rsidRDefault="00DD5B04" w:rsidP="00DF76A2">
            <w:pPr>
              <w:jc w:val="both"/>
              <w:rPr>
                <w:rFonts w:ascii="Arial" w:hAnsi="Arial" w:cs="Arial"/>
                <w:color w:val="000000" w:themeColor="text1"/>
                <w:sz w:val="14"/>
                <w:szCs w:val="14"/>
                <w:lang w:val="es-ES_tradnl" w:eastAsia="es-ES"/>
              </w:rPr>
            </w:pPr>
            <w:r w:rsidRPr="00A340AF">
              <w:rPr>
                <w:rFonts w:ascii="Arial" w:hAnsi="Arial" w:cs="Arial"/>
                <w:color w:val="000000" w:themeColor="text1"/>
                <w:sz w:val="14"/>
                <w:szCs w:val="14"/>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340AF" w:rsidRDefault="00C05A61" w:rsidP="00DF76A2">
            <w:pPr>
              <w:jc w:val="both"/>
              <w:rPr>
                <w:rFonts w:ascii="Arial" w:hAnsi="Arial" w:cs="Arial"/>
                <w:color w:val="000000" w:themeColor="text1"/>
                <w:sz w:val="14"/>
                <w:szCs w:val="14"/>
                <w:lang w:val="es-ES_tradnl" w:eastAsia="es-ES"/>
              </w:rPr>
            </w:pPr>
            <w:r w:rsidRPr="00A340AF">
              <w:rPr>
                <w:rFonts w:ascii="Arial" w:hAnsi="Arial" w:cs="Arial"/>
                <w:color w:val="000000" w:themeColor="text1"/>
                <w:sz w:val="14"/>
                <w:szCs w:val="14"/>
                <w:lang w:val="es-ES_tradnl" w:eastAsia="es-ES"/>
              </w:rPr>
              <w:t xml:space="preserve">Jorge </w:t>
            </w:r>
            <w:r w:rsidR="00647A36" w:rsidRPr="00A340AF">
              <w:rPr>
                <w:rFonts w:ascii="Arial" w:hAnsi="Arial" w:cs="Arial"/>
                <w:color w:val="000000" w:themeColor="text1"/>
                <w:sz w:val="14"/>
                <w:szCs w:val="14"/>
                <w:lang w:val="es-ES_tradnl" w:eastAsia="es-ES"/>
              </w:rPr>
              <w:t xml:space="preserve">Augusto </w:t>
            </w:r>
            <w:r w:rsidRPr="00A340AF">
              <w:rPr>
                <w:rFonts w:ascii="Arial" w:hAnsi="Arial" w:cs="Arial"/>
                <w:color w:val="000000" w:themeColor="text1"/>
                <w:sz w:val="14"/>
                <w:szCs w:val="14"/>
                <w:lang w:val="es-ES_tradnl" w:eastAsia="es-ES"/>
              </w:rPr>
              <w:t>Tirado Navarro</w:t>
            </w:r>
          </w:p>
          <w:p w14:paraId="1ADC483B" w14:textId="2EC8CC51" w:rsidR="00DD5B04" w:rsidRPr="00A340AF" w:rsidRDefault="00DD5B04" w:rsidP="00DF76A2">
            <w:pPr>
              <w:jc w:val="both"/>
              <w:rPr>
                <w:rFonts w:ascii="Arial" w:hAnsi="Arial" w:cs="Arial"/>
                <w:color w:val="000000" w:themeColor="text1"/>
                <w:sz w:val="14"/>
                <w:szCs w:val="14"/>
                <w:lang w:val="es-ES_tradnl" w:eastAsia="es-ES"/>
              </w:rPr>
            </w:pPr>
            <w:r w:rsidRPr="00A340AF">
              <w:rPr>
                <w:rFonts w:ascii="Arial" w:hAnsi="Arial" w:cs="Arial"/>
                <w:color w:val="000000" w:themeColor="text1"/>
                <w:sz w:val="14"/>
                <w:szCs w:val="14"/>
                <w:lang w:val="es-ES_tradnl" w:eastAsia="es-ES"/>
              </w:rPr>
              <w:t>Subdirector de Gestión Contractual</w:t>
            </w:r>
            <w:r w:rsidR="00973AA2" w:rsidRPr="00A340AF">
              <w:rPr>
                <w:rFonts w:ascii="Arial" w:hAnsi="Arial" w:cs="Arial"/>
                <w:color w:val="000000" w:themeColor="text1"/>
                <w:sz w:val="14"/>
                <w:szCs w:val="14"/>
                <w:lang w:val="es-ES_tradnl" w:eastAsia="es-ES"/>
              </w:rPr>
              <w:t xml:space="preserve"> </w:t>
            </w:r>
            <w:r w:rsidR="00973AA2" w:rsidRPr="00A340AF">
              <w:rPr>
                <w:rFonts w:ascii="Arial" w:hAnsi="Arial" w:cs="Arial"/>
                <w:color w:val="000000" w:themeColor="text1"/>
                <w:sz w:val="14"/>
                <w:szCs w:val="14"/>
                <w:lang w:eastAsia="es-ES"/>
              </w:rPr>
              <w:t>ANCP – CCE</w:t>
            </w:r>
          </w:p>
        </w:tc>
      </w:tr>
      <w:bookmarkEnd w:id="4"/>
    </w:tbl>
    <w:p w14:paraId="649E280E" w14:textId="77777777" w:rsidR="00720FAD" w:rsidRPr="00720FAD" w:rsidRDefault="00720FAD" w:rsidP="00215B8E">
      <w:pPr>
        <w:jc w:val="both"/>
        <w:rPr>
          <w:rFonts w:ascii="Arial" w:hAnsi="Arial" w:cs="Arial"/>
          <w:lang w:val="es-MX"/>
        </w:rPr>
      </w:pPr>
    </w:p>
    <w:sectPr w:rsidR="00720FAD" w:rsidRPr="00720FA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13CB0" w14:textId="77777777" w:rsidR="006C1393" w:rsidRDefault="006C1393">
      <w:r>
        <w:separator/>
      </w:r>
    </w:p>
  </w:endnote>
  <w:endnote w:type="continuationSeparator" w:id="0">
    <w:p w14:paraId="73C1084F" w14:textId="77777777" w:rsidR="006C1393" w:rsidRDefault="006C1393">
      <w:r>
        <w:continuationSeparator/>
      </w:r>
    </w:p>
  </w:endnote>
  <w:endnote w:type="continuationNotice" w:id="1">
    <w:p w14:paraId="7ECFA87D" w14:textId="77777777" w:rsidR="006C1393" w:rsidRDefault="006C13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C36B1" w:rsidRPr="008217B7" w:rsidRDefault="00EC36B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5FD1A7C9" w:rsidR="00EC36B1" w:rsidRDefault="00EC36B1"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C36B1" w:rsidRDefault="00EC36B1" w:rsidP="007B0854">
    <w:pPr>
      <w:pStyle w:val="Piedepgina"/>
      <w:jc w:val="center"/>
      <w:rPr>
        <w:lang w:val="es-ES"/>
      </w:rPr>
    </w:pPr>
  </w:p>
  <w:p w14:paraId="6C0EFC49" w14:textId="77777777" w:rsidR="00EC36B1" w:rsidRPr="007B0854" w:rsidRDefault="00EC36B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494A3" w14:textId="77777777" w:rsidR="006C1393" w:rsidRDefault="006C1393">
      <w:r>
        <w:separator/>
      </w:r>
    </w:p>
  </w:footnote>
  <w:footnote w:type="continuationSeparator" w:id="0">
    <w:p w14:paraId="226D7177" w14:textId="77777777" w:rsidR="006C1393" w:rsidRDefault="006C1393">
      <w:r>
        <w:continuationSeparator/>
      </w:r>
    </w:p>
  </w:footnote>
  <w:footnote w:type="continuationNotice" w:id="1">
    <w:p w14:paraId="209934A0" w14:textId="77777777" w:rsidR="006C1393" w:rsidRDefault="006C1393"/>
  </w:footnote>
  <w:footnote w:id="2">
    <w:p w14:paraId="7177A302" w14:textId="41A7AA38" w:rsidR="003F63EE" w:rsidRPr="003E645D" w:rsidRDefault="003F63EE" w:rsidP="003E645D">
      <w:pPr>
        <w:pStyle w:val="Textonotapie"/>
        <w:ind w:firstLine="709"/>
        <w:jc w:val="both"/>
      </w:pPr>
      <w:r>
        <w:rPr>
          <w:rStyle w:val="Refdenotaalpie"/>
        </w:rPr>
        <w:footnoteRef/>
      </w:r>
      <w:r>
        <w:t xml:space="preserve"> </w:t>
      </w:r>
      <w:r>
        <w:rPr>
          <w:rFonts w:ascii="Arial" w:hAnsi="Arial" w:cs="Arial"/>
          <w:sz w:val="19"/>
          <w:szCs w:val="19"/>
          <w:lang w:val="es-ES"/>
        </w:rPr>
        <w:t>Sobre el particular</w:t>
      </w:r>
      <w:r w:rsidRPr="00C44E61">
        <w:rPr>
          <w:rFonts w:ascii="Arial" w:hAnsi="Arial" w:cs="Arial"/>
          <w:sz w:val="19"/>
          <w:szCs w:val="19"/>
          <w:lang w:val="es-ES"/>
        </w:rPr>
        <w:t>, se puede consultar la Gaceta 158 del cuarto deba</w:t>
      </w:r>
      <w:r>
        <w:rPr>
          <w:rFonts w:ascii="Arial" w:hAnsi="Arial" w:cs="Arial"/>
          <w:sz w:val="19"/>
          <w:szCs w:val="19"/>
          <w:lang w:val="es-ES"/>
        </w:rPr>
        <w:t xml:space="preserve">te en el Senado. Disponible en: </w:t>
      </w:r>
      <w:hyperlink r:id="rId1" w:history="1">
        <w:r w:rsidRPr="00C44E61">
          <w:rPr>
            <w:rFonts w:ascii="Arial" w:hAnsi="Arial" w:cs="Arial"/>
            <w:sz w:val="19"/>
            <w:szCs w:val="19"/>
            <w:lang w:val="es-ES"/>
          </w:rPr>
          <w:t>http://svrpubindc.imprenta.gov.co/senado/index.xhtml;jsessionid=b3ba7213a248bacd37376ffcedca</w:t>
        </w:r>
      </w:hyperlink>
      <w:r w:rsidR="002B17AD">
        <w:rPr>
          <w:rFonts w:ascii="Arial" w:hAnsi="Arial" w:cs="Arial"/>
          <w:sz w:val="19"/>
          <w:szCs w:val="19"/>
          <w:lang w:val="es-ES"/>
        </w:rPr>
        <w:t xml:space="preserve">  </w:t>
      </w:r>
      <w:r w:rsidRPr="00C44E61">
        <w:t xml:space="preserve"> </w:t>
      </w:r>
    </w:p>
  </w:footnote>
  <w:footnote w:id="3">
    <w:p w14:paraId="50898B9D" w14:textId="77777777" w:rsidR="003F63EE" w:rsidRDefault="003F63EE" w:rsidP="003F63EE">
      <w:pPr>
        <w:pStyle w:val="Textonotapie"/>
        <w:jc w:val="both"/>
        <w:rPr>
          <w:rFonts w:ascii="Arial" w:hAnsi="Arial" w:cs="Arial"/>
          <w:sz w:val="19"/>
          <w:szCs w:val="19"/>
        </w:rPr>
      </w:pPr>
    </w:p>
    <w:p w14:paraId="47BDF827" w14:textId="77777777" w:rsidR="003F63EE" w:rsidRDefault="003F63EE" w:rsidP="003F63EE">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Exposición de motivos del Proyecto de Ley No. 025 de 2018 Cámara. Disponible en: http://leyes.senado.gov.co/proyectos/images/documentos/Textos%20Radicados/Ponencias/2018/gaceta_563.pdf</w:t>
      </w:r>
    </w:p>
    <w:p w14:paraId="5DE5BC25" w14:textId="77777777" w:rsidR="003F63EE" w:rsidRPr="00AB3BAD" w:rsidRDefault="003F63EE" w:rsidP="003F63EE">
      <w:pPr>
        <w:pStyle w:val="Textonotapie"/>
        <w:ind w:firstLine="709"/>
        <w:jc w:val="both"/>
        <w:rPr>
          <w:rFonts w:ascii="Arial" w:hAnsi="Arial" w:cs="Arial"/>
          <w:sz w:val="19"/>
          <w:szCs w:val="19"/>
          <w:lang w:val="es-ES"/>
        </w:rPr>
      </w:pPr>
    </w:p>
  </w:footnote>
  <w:footnote w:id="4">
    <w:p w14:paraId="516FB853" w14:textId="77777777" w:rsidR="003F63EE" w:rsidRDefault="003F63EE" w:rsidP="003F63EE">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w:t>
      </w:r>
      <w:r w:rsidRPr="00F8415D">
        <w:rPr>
          <w:rFonts w:ascii="Arial" w:hAnsi="Arial" w:cs="Arial"/>
          <w:sz w:val="19"/>
          <w:szCs w:val="19"/>
          <w:lang w:val="es-ES"/>
        </w:rPr>
        <w:t xml:space="preserve">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w:t>
      </w:r>
      <w:r>
        <w:rPr>
          <w:rFonts w:ascii="Arial" w:hAnsi="Arial" w:cs="Arial"/>
          <w:sz w:val="19"/>
          <w:szCs w:val="19"/>
          <w:lang w:val="es-ES"/>
        </w:rPr>
        <w:t>con que cuente en cada vigencia</w:t>
      </w:r>
      <w:r w:rsidRPr="00AB3BAD">
        <w:rPr>
          <w:rFonts w:ascii="Arial" w:hAnsi="Arial" w:cs="Arial"/>
          <w:sz w:val="19"/>
          <w:szCs w:val="19"/>
          <w:lang w:val="es-ES"/>
        </w:rPr>
        <w:t>»</w:t>
      </w:r>
      <w:r>
        <w:rPr>
          <w:rFonts w:ascii="Arial" w:hAnsi="Arial" w:cs="Arial"/>
          <w:sz w:val="19"/>
          <w:szCs w:val="19"/>
          <w:lang w:val="es-ES"/>
        </w:rPr>
        <w:t>.</w:t>
      </w:r>
    </w:p>
    <w:p w14:paraId="45FF1CAC" w14:textId="77777777" w:rsidR="003F63EE" w:rsidRPr="00F8415D" w:rsidRDefault="003F63EE" w:rsidP="003F63EE">
      <w:pPr>
        <w:pStyle w:val="Textonotapie"/>
        <w:ind w:firstLine="709"/>
        <w:jc w:val="both"/>
        <w:rPr>
          <w:lang w:val="es-CO"/>
        </w:rPr>
      </w:pPr>
    </w:p>
  </w:footnote>
  <w:footnote w:id="5">
    <w:p w14:paraId="7E98267F" w14:textId="77777777" w:rsidR="005E1927" w:rsidRPr="00AB3BAD" w:rsidRDefault="005E1927" w:rsidP="005E1927">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2E09DEA8" w14:textId="56AA4B83" w:rsidR="005E1927" w:rsidRDefault="005E1927" w:rsidP="005E1927">
      <w:pPr>
        <w:pStyle w:val="Textonotapie"/>
        <w:ind w:firstLine="709"/>
        <w:jc w:val="both"/>
        <w:rPr>
          <w:rFonts w:ascii="Arial" w:hAnsi="Arial" w:cs="Arial"/>
          <w:sz w:val="19"/>
          <w:szCs w:val="19"/>
          <w:lang w:val="es-ES"/>
        </w:rPr>
      </w:pPr>
      <w:proofErr w:type="gramStart"/>
      <w:r w:rsidRPr="00AB3BAD">
        <w:rPr>
          <w:rFonts w:ascii="Arial" w:hAnsi="Arial" w:cs="Arial"/>
          <w:sz w:val="19"/>
          <w:szCs w:val="19"/>
          <w:lang w:val="es-ES"/>
        </w:rPr>
        <w:t>»La</w:t>
      </w:r>
      <w:proofErr w:type="gramEnd"/>
      <w:r w:rsidRPr="00AB3BAD">
        <w:rPr>
          <w:rFonts w:ascii="Arial" w:hAnsi="Arial" w:cs="Arial"/>
          <w:sz w:val="19"/>
          <w:szCs w:val="19"/>
          <w:lang w:val="es-ES"/>
        </w:rPr>
        <w:t xml:space="preserve"> Contraloría General de la República y las entidades estatales deberán realizar el seguimiento y actualización del Registro Nacional de Obras Civiles Inconclusas con el fin de establecer la realidad respecto de la condición técnica, física y financiera de aquellas. </w:t>
      </w:r>
      <w:r>
        <w:rPr>
          <w:rFonts w:ascii="Arial" w:hAnsi="Arial" w:cs="Arial"/>
          <w:sz w:val="19"/>
          <w:szCs w:val="19"/>
          <w:lang w:val="es-ES"/>
        </w:rPr>
        <w:t>[…]</w:t>
      </w:r>
      <w:r w:rsidRPr="00AB3BAD">
        <w:rPr>
          <w:rFonts w:ascii="Arial" w:hAnsi="Arial" w:cs="Arial"/>
          <w:sz w:val="19"/>
          <w:szCs w:val="19"/>
          <w:lang w:val="es-ES"/>
        </w:rPr>
        <w:t>».</w:t>
      </w:r>
    </w:p>
    <w:p w14:paraId="5E1FC1EC" w14:textId="77777777" w:rsidR="007C5A38" w:rsidRPr="0031232F" w:rsidRDefault="007C5A38" w:rsidP="005E1927">
      <w:pPr>
        <w:pStyle w:val="Textonotapie"/>
        <w:ind w:firstLine="709"/>
        <w:jc w:val="both"/>
        <w:rPr>
          <w:rFonts w:ascii="Arial" w:hAnsi="Arial" w:cs="Arial"/>
          <w:sz w:val="19"/>
          <w:szCs w:val="19"/>
          <w:lang w:val="es-ES"/>
        </w:rPr>
      </w:pPr>
    </w:p>
  </w:footnote>
  <w:footnote w:id="6">
    <w:p w14:paraId="4BAFAB12" w14:textId="77777777" w:rsidR="005E1927" w:rsidRPr="00044498" w:rsidRDefault="005E1927" w:rsidP="005E1927">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2" w:history="1">
        <w:r w:rsidRPr="00044498">
          <w:rPr>
            <w:rStyle w:val="Hipervnculo"/>
            <w:rFonts w:ascii="Arial" w:hAnsi="Arial" w:cs="Arial"/>
            <w:color w:val="auto"/>
            <w:sz w:val="19"/>
            <w:szCs w:val="19"/>
            <w:lang w:val="es-ES"/>
          </w:rPr>
          <w:t>https://www.contraloria.gov.co/documents/20181/1776254/CIRCULAR_2020EE0096013_REGISTRO_NACIONAL_OBRAS_INCONCLUSAS.PDF/785952d4-4b41-48cb-916b-4881c3b4a095</w:t>
        </w:r>
      </w:hyperlink>
    </w:p>
    <w:p w14:paraId="2D42BBCA" w14:textId="77777777" w:rsidR="005E1927" w:rsidRPr="00AB3BAD" w:rsidRDefault="005E1927" w:rsidP="005E1927">
      <w:pPr>
        <w:pStyle w:val="Textonotapie"/>
        <w:ind w:firstLine="709"/>
        <w:jc w:val="both"/>
        <w:rPr>
          <w:rFonts w:ascii="Arial" w:hAnsi="Arial" w:cs="Arial"/>
          <w:sz w:val="19"/>
          <w:szCs w:val="19"/>
          <w:lang w:val="es-ES"/>
        </w:rPr>
      </w:pPr>
    </w:p>
  </w:footnote>
  <w:footnote w:id="7">
    <w:p w14:paraId="742AFD96" w14:textId="77777777" w:rsidR="005E1927" w:rsidRPr="00EE46A2" w:rsidRDefault="005E1927" w:rsidP="005E1927">
      <w:pPr>
        <w:pStyle w:val="Textonotapie"/>
        <w:ind w:firstLine="709"/>
        <w:jc w:val="both"/>
        <w:rPr>
          <w:rFonts w:ascii="Arial" w:eastAsia="Calibri" w:hAnsi="Arial" w:cs="Arial"/>
          <w:color w:val="000000"/>
          <w:sz w:val="19"/>
          <w:szCs w:val="19"/>
          <w:lang w:val="es-ES_tradnl" w:eastAsia="en-GB"/>
        </w:rPr>
      </w:pPr>
      <w:r>
        <w:rPr>
          <w:rStyle w:val="Refdenotaalpie"/>
        </w:rPr>
        <w:footnoteRef/>
      </w:r>
      <w:r>
        <w:t xml:space="preserve"> </w:t>
      </w:r>
      <w:r w:rsidRPr="00EE46A2">
        <w:rPr>
          <w:rFonts w:ascii="Arial" w:hAnsi="Arial" w:cs="Arial"/>
          <w:sz w:val="19"/>
          <w:szCs w:val="19"/>
          <w:lang w:val="es-CO"/>
        </w:rPr>
        <w:t xml:space="preserve">Al respecto, el parágrafo 3 </w:t>
      </w:r>
      <w:r w:rsidRPr="00EE46A2">
        <w:rPr>
          <w:rFonts w:ascii="Arial" w:eastAsia="Calibri" w:hAnsi="Arial" w:cs="Arial"/>
          <w:color w:val="000000"/>
          <w:sz w:val="19"/>
          <w:szCs w:val="19"/>
          <w:lang w:val="es-ES_tradnl" w:eastAsia="en-GB"/>
        </w:rPr>
        <w:t>del artículo 3 de la Ley 2020 de 2020 establece lo siguiente:</w:t>
      </w:r>
      <w:r>
        <w:rPr>
          <w:rFonts w:ascii="Arial" w:eastAsia="Calibri" w:hAnsi="Arial" w:cs="Arial"/>
          <w:color w:val="000000"/>
          <w:sz w:val="22"/>
          <w:lang w:val="es-ES_tradnl" w:eastAsia="en-GB"/>
        </w:rPr>
        <w:t xml:space="preserve"> </w:t>
      </w:r>
      <w:r w:rsidRPr="00AB3BAD">
        <w:rPr>
          <w:rFonts w:ascii="Arial" w:hAnsi="Arial" w:cs="Arial"/>
          <w:sz w:val="19"/>
          <w:szCs w:val="19"/>
          <w:lang w:val="es-ES"/>
        </w:rPr>
        <w:t>«</w:t>
      </w:r>
      <w:r w:rsidRPr="00EE46A2">
        <w:rPr>
          <w:rFonts w:ascii="Arial" w:eastAsia="Calibri" w:hAnsi="Arial" w:cs="Arial"/>
          <w:color w:val="000000"/>
          <w:sz w:val="19"/>
          <w:szCs w:val="19"/>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304F4F17" w14:textId="28BB9743" w:rsidR="005E1927" w:rsidRPr="00EE46A2" w:rsidRDefault="005E1927" w:rsidP="005E1927">
      <w:pPr>
        <w:pStyle w:val="Textonotapie"/>
        <w:ind w:firstLine="709"/>
        <w:jc w:val="both"/>
        <w:rPr>
          <w:lang w:val="es-CO"/>
        </w:rPr>
      </w:pPr>
      <w:r w:rsidRPr="00AB3BAD">
        <w:rPr>
          <w:rFonts w:ascii="Arial" w:hAnsi="Arial" w:cs="Arial"/>
          <w:sz w:val="19"/>
          <w:szCs w:val="19"/>
          <w:lang w:val="es-ES"/>
        </w:rPr>
        <w:t>«</w:t>
      </w:r>
      <w:r w:rsidRPr="00EE46A2">
        <w:rPr>
          <w:rFonts w:ascii="Arial" w:eastAsia="Calibri" w:hAnsi="Arial" w:cs="Arial"/>
          <w:color w:val="000000"/>
          <w:sz w:val="19"/>
          <w:szCs w:val="19"/>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AB3BAD">
        <w:rPr>
          <w:rFonts w:ascii="Arial" w:hAnsi="Arial" w:cs="Arial"/>
          <w:sz w:val="19"/>
          <w:szCs w:val="19"/>
          <w:lang w:val="es-ES"/>
        </w:rPr>
        <w:t>»</w:t>
      </w:r>
      <w:r w:rsidR="009C6460">
        <w:rPr>
          <w:rFonts w:ascii="Arial" w:hAnsi="Arial" w:cs="Arial"/>
          <w:sz w:val="19"/>
          <w:szCs w:val="19"/>
          <w:lang w:val="es-ES"/>
        </w:rPr>
        <w:t>.</w:t>
      </w:r>
    </w:p>
  </w:footnote>
  <w:footnote w:id="8">
    <w:p w14:paraId="5298F21A" w14:textId="4EEBF11A" w:rsidR="003E645D" w:rsidRPr="003E645D" w:rsidRDefault="003E645D" w:rsidP="003E645D">
      <w:pPr>
        <w:pStyle w:val="Textonotapie"/>
        <w:ind w:firstLine="709"/>
        <w:rPr>
          <w:lang w:val="es-CO"/>
        </w:rPr>
      </w:pPr>
      <w:r>
        <w:rPr>
          <w:rStyle w:val="Refdenotaalpie"/>
        </w:rPr>
        <w:footnoteRef/>
      </w:r>
      <w:r>
        <w:t xml:space="preserve"> </w:t>
      </w:r>
      <w:r w:rsidRPr="003E645D">
        <w:rPr>
          <w:rFonts w:ascii="Arial" w:hAnsi="Arial" w:cs="Arial"/>
          <w:sz w:val="19"/>
          <w:szCs w:val="19"/>
        </w:rPr>
        <w:t>Puede ser consultada en:</w:t>
      </w:r>
      <w:r>
        <w:t xml:space="preserve">  </w:t>
      </w:r>
      <w:hyperlink r:id="rId3" w:history="1">
        <w:r w:rsidRPr="003E645D">
          <w:rPr>
            <w:rStyle w:val="Hipervnculo"/>
            <w:rFonts w:ascii="Arial" w:hAnsi="Arial" w:cs="Arial"/>
            <w:color w:val="auto"/>
            <w:sz w:val="19"/>
            <w:szCs w:val="19"/>
          </w:rPr>
          <w:t>https://www.contraloria.gov.co/web/relatoria/normatividad-y-relatoria</w:t>
        </w:r>
      </w:hyperlink>
      <w:r w:rsidRPr="003E645D">
        <w:t xml:space="preserve"> </w:t>
      </w:r>
    </w:p>
  </w:footnote>
  <w:footnote w:id="9">
    <w:p w14:paraId="66FBC820" w14:textId="77777777" w:rsidR="003F63EE" w:rsidRPr="004347DA" w:rsidRDefault="003F63EE" w:rsidP="003F63EE">
      <w:pPr>
        <w:pStyle w:val="Textonotapie"/>
        <w:ind w:firstLine="709"/>
        <w:jc w:val="both"/>
        <w:rPr>
          <w:lang w:val="es-CO"/>
        </w:rPr>
      </w:pPr>
      <w:r>
        <w:rPr>
          <w:rStyle w:val="Refdenotaalpie"/>
        </w:rPr>
        <w:footnoteRef/>
      </w:r>
      <w:r>
        <w:t xml:space="preserve"> </w:t>
      </w:r>
      <w:r w:rsidRPr="00AB3BAD">
        <w:rPr>
          <w:rFonts w:ascii="Arial" w:hAnsi="Arial" w:cs="Arial"/>
          <w:sz w:val="19"/>
          <w:szCs w:val="19"/>
          <w:lang w:val="es-ES"/>
        </w:rPr>
        <w:t>«</w:t>
      </w:r>
      <w:r>
        <w:rPr>
          <w:rFonts w:ascii="Arial" w:hAnsi="Arial" w:cs="Arial"/>
          <w:sz w:val="19"/>
          <w:szCs w:val="19"/>
          <w:lang w:val="es-ES"/>
        </w:rPr>
        <w:t>Artículo 9. Responsables.</w:t>
      </w:r>
      <w:r w:rsidRPr="000F2739">
        <w:rPr>
          <w:rFonts w:ascii="Arial" w:hAnsi="Arial" w:cs="Arial"/>
          <w:sz w:val="19"/>
          <w:szCs w:val="19"/>
          <w:lang w:val="es-ES"/>
        </w:rPr>
        <w:t xml:space="preserve"> Los responsables de hacer el inventario de obras </w:t>
      </w:r>
      <w:proofErr w:type="gramStart"/>
      <w:r w:rsidRPr="000F2739">
        <w:rPr>
          <w:rFonts w:ascii="Arial" w:hAnsi="Arial" w:cs="Arial"/>
          <w:sz w:val="19"/>
          <w:szCs w:val="19"/>
          <w:lang w:val="es-ES"/>
        </w:rPr>
        <w:t>inconclusas,</w:t>
      </w:r>
      <w:proofErr w:type="gramEnd"/>
      <w:r w:rsidRPr="000F2739">
        <w:rPr>
          <w:rFonts w:ascii="Arial" w:hAnsi="Arial" w:cs="Arial"/>
          <w:sz w:val="19"/>
          <w:szCs w:val="19"/>
          <w:lang w:val="es-ES"/>
        </w:rPr>
        <w:t xml:space="preserve"> serán los ministros, gerentes, presidentes, directores, superintendentes, gobernadores, alcaldes, y demás representantes legales de entidades estatales, en cualquiera de sus esferas nacionales o territoriales, y los demás ordenadores del gasto de quien dependa la toma</w:t>
      </w:r>
      <w:r>
        <w:rPr>
          <w:rFonts w:ascii="Arial" w:hAnsi="Arial" w:cs="Arial"/>
          <w:sz w:val="19"/>
          <w:szCs w:val="19"/>
          <w:lang w:val="es-ES"/>
        </w:rPr>
        <w:t xml:space="preserve"> de decisiones sobre la materia</w:t>
      </w:r>
      <w:r w:rsidRPr="00AB3BAD">
        <w:rPr>
          <w:rFonts w:ascii="Arial" w:hAnsi="Arial" w:cs="Arial"/>
          <w:sz w:val="19"/>
          <w:szCs w:val="19"/>
          <w:lang w:val="es-ES"/>
        </w:rPr>
        <w:t>»</w:t>
      </w:r>
      <w:r>
        <w:rPr>
          <w:rFonts w:ascii="Arial" w:hAnsi="Arial" w:cs="Arial"/>
          <w:sz w:val="19"/>
          <w:szCs w:val="19"/>
          <w:lang w:val="es-ES"/>
        </w:rPr>
        <w:t>.</w:t>
      </w:r>
    </w:p>
  </w:footnote>
  <w:footnote w:id="10">
    <w:p w14:paraId="19815BFB" w14:textId="77777777" w:rsidR="00466861" w:rsidRDefault="00466861" w:rsidP="00466861">
      <w:pPr>
        <w:pStyle w:val="Textonotapie"/>
        <w:ind w:firstLine="709"/>
        <w:jc w:val="both"/>
        <w:rPr>
          <w:rFonts w:ascii="Arial" w:hAnsi="Arial" w:cs="Arial"/>
          <w:color w:val="000000" w:themeColor="text1"/>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color w:val="000000" w:themeColor="text1"/>
          <w:sz w:val="19"/>
          <w:szCs w:val="19"/>
          <w:lang w:eastAsia="es-CO"/>
        </w:rPr>
        <w:t>Ley 1437 de 2011:</w:t>
      </w:r>
      <w:r w:rsidRPr="00AB3BAD">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AB3BAD">
        <w:rPr>
          <w:rFonts w:ascii="Arial" w:hAnsi="Arial" w:cs="Arial"/>
          <w:color w:val="000000" w:themeColor="text1"/>
          <w:sz w:val="19"/>
          <w:szCs w:val="19"/>
          <w:lang w:eastAsia="es-CO"/>
        </w:rPr>
        <w:t>»</w:t>
      </w:r>
      <w:r w:rsidRPr="00AB3BAD">
        <w:rPr>
          <w:rFonts w:ascii="Arial" w:hAnsi="Arial" w:cs="Arial"/>
          <w:color w:val="000000" w:themeColor="text1"/>
          <w:sz w:val="19"/>
          <w:szCs w:val="19"/>
        </w:rPr>
        <w:t>.</w:t>
      </w:r>
    </w:p>
    <w:p w14:paraId="12B2685B" w14:textId="77777777" w:rsidR="00466861" w:rsidRPr="00AB3BAD" w:rsidRDefault="00466861" w:rsidP="00466861">
      <w:pPr>
        <w:pStyle w:val="Textonotapie"/>
        <w:ind w:firstLine="709"/>
        <w:jc w:val="both"/>
        <w:rPr>
          <w:rFonts w:ascii="Arial" w:hAnsi="Arial" w:cs="Arial"/>
          <w:sz w:val="19"/>
          <w:szCs w:val="19"/>
          <w:lang w:val="es-ES"/>
        </w:rPr>
      </w:pPr>
    </w:p>
  </w:footnote>
  <w:footnote w:id="11">
    <w:p w14:paraId="615A1910"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r w:rsidRPr="00AB3BAD">
        <w:rPr>
          <w:rStyle w:val="Refdenotaalpie"/>
          <w:rFonts w:ascii="Arial" w:hAnsi="Arial" w:cs="Arial"/>
          <w:color w:val="000000" w:themeColor="text1"/>
          <w:sz w:val="19"/>
          <w:szCs w:val="19"/>
        </w:rPr>
        <w:footnoteRef/>
      </w:r>
      <w:r w:rsidRPr="00AB3BAD">
        <w:rPr>
          <w:rFonts w:ascii="Arial" w:hAnsi="Arial" w:cs="Arial"/>
          <w:color w:val="000000" w:themeColor="text1"/>
          <w:sz w:val="19"/>
          <w:szCs w:val="19"/>
        </w:rPr>
        <w:t xml:space="preserve"> </w:t>
      </w:r>
      <w:r w:rsidRPr="00AB3BAD">
        <w:rPr>
          <w:rFonts w:ascii="Arial" w:hAnsi="Arial" w:cs="Arial"/>
          <w:color w:val="000000" w:themeColor="text1"/>
          <w:sz w:val="19"/>
          <w:szCs w:val="19"/>
          <w:lang w:val="es-ES"/>
        </w:rPr>
        <w:t xml:space="preserve">Principio que se compone a su vez de «tres subprincipios, etapas o mandatos parciales: el </w:t>
      </w:r>
      <w:r w:rsidRPr="00AB3BAD">
        <w:rPr>
          <w:rFonts w:ascii="Arial" w:hAnsi="Arial" w:cs="Arial"/>
          <w:i/>
          <w:iCs/>
          <w:color w:val="000000" w:themeColor="text1"/>
          <w:sz w:val="19"/>
          <w:szCs w:val="19"/>
          <w:lang w:val="es-ES"/>
        </w:rPr>
        <w:t>subprincipio o mandato de adecuación, de idoneidad o de congruencia</w:t>
      </w:r>
      <w:r w:rsidRPr="00AB3BAD">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B3BAD">
        <w:rPr>
          <w:rFonts w:ascii="Arial" w:hAnsi="Arial" w:cs="Arial"/>
          <w:i/>
          <w:iCs/>
          <w:color w:val="000000" w:themeColor="text1"/>
          <w:sz w:val="19"/>
          <w:szCs w:val="19"/>
          <w:lang w:val="es-ES"/>
        </w:rPr>
        <w:t>subprincipio o mandato de necesidad, intervención mínima o menor lesividad</w:t>
      </w:r>
      <w:r w:rsidRPr="00AB3BAD">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B3BAD">
        <w:rPr>
          <w:rFonts w:ascii="Arial" w:hAnsi="Arial" w:cs="Arial"/>
          <w:i/>
          <w:iCs/>
          <w:color w:val="000000" w:themeColor="text1"/>
          <w:sz w:val="19"/>
          <w:szCs w:val="19"/>
          <w:lang w:val="es-ES"/>
        </w:rPr>
        <w:t>el subprincipio o mandato de proporcionalidad en sentido estricto</w:t>
      </w:r>
      <w:r w:rsidRPr="00AB3BAD">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88068E2"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p>
  </w:footnote>
  <w:footnote w:id="12">
    <w:p w14:paraId="5144796C" w14:textId="32289649" w:rsidR="00466861" w:rsidRPr="00AB3BAD" w:rsidRDefault="00466861" w:rsidP="00466861">
      <w:pPr>
        <w:ind w:firstLine="709"/>
        <w:jc w:val="both"/>
        <w:rPr>
          <w:rFonts w:ascii="Arial" w:eastAsiaTheme="minorHAnsi" w:hAnsi="Arial" w:cs="Arial"/>
          <w:sz w:val="19"/>
          <w:szCs w:val="19"/>
          <w:lang w:val="es-ES" w:eastAsia="en-U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Consejo de Estado. Sección Tercera. Sentencia del 14 de abril de 2010. Consejero Ponente: Enrique Gil Botero. </w:t>
      </w:r>
      <w:r w:rsidRPr="00AB3BAD">
        <w:rPr>
          <w:rFonts w:ascii="Arial" w:eastAsiaTheme="minorHAnsi" w:hAnsi="Arial" w:cs="Arial"/>
          <w:sz w:val="19"/>
          <w:szCs w:val="19"/>
          <w:lang w:val="es-ES" w:eastAsia="en-US"/>
        </w:rPr>
        <w:t>Radicación número: 11001-03-26-000-2008-00101-00(36054)</w:t>
      </w:r>
      <w:r w:rsidR="00F80DAD">
        <w:rPr>
          <w:rFonts w:ascii="Arial" w:eastAsiaTheme="minorHAnsi" w:hAnsi="Arial" w:cs="Arial"/>
          <w:sz w:val="19"/>
          <w:szCs w:val="19"/>
          <w:lang w:val="es-ES" w:eastAsia="en-US"/>
        </w:rPr>
        <w:t>.</w:t>
      </w:r>
    </w:p>
    <w:p w14:paraId="4AF2FD79" w14:textId="77777777" w:rsidR="00466861" w:rsidRPr="00AB3BAD" w:rsidRDefault="00466861" w:rsidP="00466861">
      <w:pPr>
        <w:pStyle w:val="Textonotapie"/>
        <w:ind w:firstLine="709"/>
        <w:jc w:val="both"/>
        <w:rPr>
          <w:rFonts w:ascii="Arial" w:hAnsi="Arial" w:cs="Arial"/>
          <w:sz w:val="19"/>
          <w:szCs w:val="19"/>
          <w:lang w:val="es-ES"/>
        </w:rPr>
      </w:pPr>
    </w:p>
  </w:footnote>
  <w:footnote w:id="13">
    <w:p w14:paraId="66F2F19B" w14:textId="77777777" w:rsidR="00466861" w:rsidRPr="00AB3BAD" w:rsidRDefault="00466861" w:rsidP="00466861">
      <w:pPr>
        <w:pStyle w:val="Textonotapie"/>
        <w:ind w:firstLine="709"/>
        <w:jc w:val="both"/>
        <w:rPr>
          <w:rFonts w:ascii="Arial" w:hAnsi="Arial" w:cs="Arial"/>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«ARTÍCULO 1o. Modifíquese el artículo 4o de la Ley 1882 de 2018, el cual quedará así:</w:t>
      </w:r>
    </w:p>
    <w:p w14:paraId="112BC1AB"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»Artículo</w:t>
      </w:r>
      <w:proofErr w:type="gramEnd"/>
      <w:r w:rsidRPr="00AB3BAD">
        <w:rPr>
          <w:rFonts w:ascii="Arial" w:hAnsi="Arial" w:cs="Arial"/>
          <w:sz w:val="19"/>
          <w:szCs w:val="19"/>
        </w:rPr>
        <w:t xml:space="preserve"> 4o. Adiciónese el siguiente parágrafo al artículo 2o de la Ley 1150 de 2007.</w:t>
      </w:r>
    </w:p>
    <w:p w14:paraId="56B18859" w14:textId="16BB05F3"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»PARÁGRAFO</w:t>
      </w:r>
      <w:proofErr w:type="gramEnd"/>
      <w:r w:rsidRPr="00AB3BAD">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3C8A641"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»Dentro</w:t>
      </w:r>
      <w:proofErr w:type="gramEnd"/>
      <w:r w:rsidRPr="00AB3BAD">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39F0957"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»Con</w:t>
      </w:r>
      <w:proofErr w:type="gramEnd"/>
      <w:r w:rsidRPr="00AB3BAD">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7364704" w14:textId="77777777" w:rsidR="00466861" w:rsidRPr="00AB3BAD" w:rsidRDefault="00466861" w:rsidP="00466861">
      <w:pPr>
        <w:pStyle w:val="Textonotapie"/>
        <w:ind w:firstLine="709"/>
        <w:jc w:val="both"/>
        <w:rPr>
          <w:rFonts w:ascii="Arial" w:hAnsi="Arial" w:cs="Arial"/>
          <w:sz w:val="19"/>
          <w:szCs w:val="19"/>
        </w:rPr>
      </w:pPr>
      <w:r w:rsidRPr="00AB3BA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84F3A66" w14:textId="77777777" w:rsidR="00466861" w:rsidRPr="00AB3BAD" w:rsidRDefault="00466861" w:rsidP="00466861">
      <w:pPr>
        <w:pStyle w:val="Textonotapie"/>
        <w:ind w:firstLine="709"/>
        <w:jc w:val="both"/>
        <w:rPr>
          <w:rFonts w:ascii="Arial" w:hAnsi="Arial" w:cs="Arial"/>
          <w:sz w:val="19"/>
          <w:szCs w:val="19"/>
          <w:lang w:val="es-CO"/>
        </w:rPr>
      </w:pPr>
      <w:proofErr w:type="gramStart"/>
      <w:r w:rsidRPr="00AB3BAD">
        <w:rPr>
          <w:rFonts w:ascii="Arial" w:hAnsi="Arial" w:cs="Arial"/>
          <w:sz w:val="19"/>
          <w:szCs w:val="19"/>
        </w:rPr>
        <w:t>»En</w:t>
      </w:r>
      <w:proofErr w:type="gramEnd"/>
      <w:r w:rsidRPr="00AB3BAD">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4">
    <w:p w14:paraId="10E75CEE" w14:textId="77777777" w:rsidR="00484E3F" w:rsidRDefault="00484E3F" w:rsidP="00484E3F">
      <w:pPr>
        <w:pStyle w:val="Textonotapie"/>
        <w:ind w:firstLine="709"/>
        <w:jc w:val="both"/>
        <w:rPr>
          <w:rFonts w:ascii="Arial" w:hAnsi="Arial" w:cs="Arial"/>
          <w:sz w:val="19"/>
          <w:szCs w:val="19"/>
          <w:lang w:val="es-ES"/>
        </w:rPr>
      </w:pPr>
      <w:r w:rsidRPr="007128E3">
        <w:rPr>
          <w:rStyle w:val="Refdenotaalpie"/>
          <w:rFonts w:ascii="Arial" w:hAnsi="Arial" w:cs="Arial"/>
          <w:sz w:val="19"/>
          <w:szCs w:val="19"/>
        </w:rPr>
        <w:footnoteRef/>
      </w:r>
      <w:r w:rsidRPr="007128E3">
        <w:rPr>
          <w:rFonts w:ascii="Arial" w:hAnsi="Arial" w:cs="Arial"/>
          <w:sz w:val="19"/>
          <w:szCs w:val="19"/>
        </w:rPr>
        <w:t xml:space="preserve">Gaceta del Congreso de la República No. 563/18. Disponible en: </w:t>
      </w:r>
      <w:hyperlink r:id="rId4" w:history="1">
        <w:r w:rsidRPr="00360E6D">
          <w:rPr>
            <w:rStyle w:val="Hipervnculo"/>
            <w:rFonts w:ascii="Arial" w:hAnsi="Arial" w:cs="Arial"/>
            <w:color w:val="auto"/>
            <w:sz w:val="19"/>
            <w:szCs w:val="19"/>
            <w:u w:val="none"/>
            <w:lang w:val="es-ES"/>
          </w:rPr>
          <w:t>http://leyes.senado.gov.co/proyectos/images/documentos/Textos%20Radicados/Ponencias/2018/gaceta_563.pdf</w:t>
        </w:r>
      </w:hyperlink>
      <w:r w:rsidRPr="00472D8E">
        <w:rPr>
          <w:rFonts w:ascii="Arial" w:hAnsi="Arial" w:cs="Arial"/>
          <w:sz w:val="19"/>
          <w:szCs w:val="19"/>
          <w:lang w:val="es-ES"/>
        </w:rPr>
        <w:t xml:space="preserve"> </w:t>
      </w:r>
    </w:p>
    <w:p w14:paraId="16E4D4E1" w14:textId="77777777" w:rsidR="00484E3F" w:rsidRPr="007128E3" w:rsidRDefault="00484E3F" w:rsidP="00484E3F">
      <w:pPr>
        <w:pStyle w:val="Textonotapie"/>
        <w:ind w:firstLine="709"/>
        <w:jc w:val="both"/>
        <w:rPr>
          <w:rFonts w:ascii="Arial" w:hAnsi="Arial" w:cs="Arial"/>
          <w:sz w:val="19"/>
          <w:szCs w:val="19"/>
          <w:lang w:val="es-CO"/>
        </w:rPr>
      </w:pPr>
    </w:p>
  </w:footnote>
  <w:footnote w:id="15">
    <w:p w14:paraId="60B4E905" w14:textId="77777777" w:rsidR="005C0D57" w:rsidRDefault="005C0D57" w:rsidP="005C0D57">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sidRPr="009609F0">
        <w:rPr>
          <w:rFonts w:ascii="Arial" w:hAnsi="Arial" w:cs="Arial"/>
          <w:sz w:val="19"/>
          <w:szCs w:val="19"/>
        </w:rPr>
        <w:t xml:space="preserve"> 1154/18 </w:t>
      </w:r>
      <w:r w:rsidRPr="007128E3">
        <w:rPr>
          <w:rFonts w:ascii="Arial" w:hAnsi="Arial" w:cs="Arial"/>
          <w:sz w:val="19"/>
          <w:szCs w:val="19"/>
        </w:rPr>
        <w:t>Disponible en:</w:t>
      </w:r>
      <w:r>
        <w:rPr>
          <w:rFonts w:ascii="Arial" w:hAnsi="Arial" w:cs="Arial"/>
          <w:sz w:val="19"/>
          <w:szCs w:val="19"/>
        </w:rPr>
        <w:t xml:space="preserve"> </w:t>
      </w:r>
      <w:hyperlink r:id="rId5" w:history="1">
        <w:r w:rsidRPr="00360E6D">
          <w:rPr>
            <w:rStyle w:val="Hipervnculo"/>
            <w:rFonts w:ascii="Arial" w:hAnsi="Arial" w:cs="Arial"/>
            <w:color w:val="auto"/>
            <w:sz w:val="19"/>
            <w:szCs w:val="19"/>
            <w:u w:val="none"/>
          </w:rPr>
          <w:t>http://leyes.senado.gov.co/proyectos/images/documentos/Textos%20Radicados/Ponencias/2018/gaceta_1154.pdf</w:t>
        </w:r>
      </w:hyperlink>
      <w:r w:rsidRPr="009609F0">
        <w:rPr>
          <w:rFonts w:ascii="Arial" w:hAnsi="Arial" w:cs="Arial"/>
          <w:sz w:val="19"/>
          <w:szCs w:val="19"/>
        </w:rPr>
        <w:t xml:space="preserve"> </w:t>
      </w:r>
    </w:p>
    <w:p w14:paraId="175C616D" w14:textId="77777777" w:rsidR="005C0D57" w:rsidRPr="009609F0" w:rsidRDefault="005C0D57" w:rsidP="005C0D57">
      <w:pPr>
        <w:pStyle w:val="Textonotapie"/>
        <w:ind w:firstLine="709"/>
        <w:jc w:val="both"/>
        <w:rPr>
          <w:lang w:val="es-CO"/>
        </w:rPr>
      </w:pPr>
    </w:p>
  </w:footnote>
  <w:footnote w:id="16">
    <w:p w14:paraId="4E1248B2" w14:textId="77777777" w:rsidR="005C0D57" w:rsidRDefault="005C0D57" w:rsidP="005C0D57">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423/19. </w:t>
      </w:r>
      <w:r w:rsidRPr="007128E3">
        <w:rPr>
          <w:rFonts w:ascii="Arial" w:hAnsi="Arial" w:cs="Arial"/>
          <w:sz w:val="19"/>
          <w:szCs w:val="19"/>
        </w:rPr>
        <w:t>Disponible e</w:t>
      </w:r>
      <w:r>
        <w:rPr>
          <w:rFonts w:ascii="Arial" w:hAnsi="Arial" w:cs="Arial"/>
          <w:sz w:val="19"/>
          <w:szCs w:val="19"/>
        </w:rPr>
        <w:t xml:space="preserve">n: </w:t>
      </w:r>
      <w:hyperlink r:id="rId6" w:history="1">
        <w:r w:rsidRPr="00360E6D">
          <w:rPr>
            <w:rStyle w:val="Hipervnculo"/>
            <w:rFonts w:ascii="Arial" w:hAnsi="Arial" w:cs="Arial"/>
            <w:color w:val="auto"/>
            <w:sz w:val="19"/>
            <w:szCs w:val="19"/>
            <w:u w:val="none"/>
          </w:rPr>
          <w:t>http://leyes.senado.gov.co/proyectos/images/documentos/Textos%20Radicados/Ponencias/2019/gaceta_423.pdf</w:t>
        </w:r>
      </w:hyperlink>
      <w:r w:rsidRPr="006F458D">
        <w:rPr>
          <w:rFonts w:ascii="Arial" w:hAnsi="Arial" w:cs="Arial"/>
          <w:sz w:val="19"/>
          <w:szCs w:val="19"/>
        </w:rPr>
        <w:t xml:space="preserve"> </w:t>
      </w:r>
    </w:p>
    <w:p w14:paraId="2E7BB40D" w14:textId="77777777" w:rsidR="005C0D57" w:rsidRPr="006F458D" w:rsidRDefault="005C0D57" w:rsidP="005C0D57">
      <w:pPr>
        <w:pStyle w:val="Textonotapie"/>
        <w:ind w:firstLine="709"/>
        <w:jc w:val="both"/>
        <w:rPr>
          <w:lang w:val="es-CO"/>
        </w:rPr>
      </w:pPr>
    </w:p>
  </w:footnote>
  <w:footnote w:id="17">
    <w:p w14:paraId="0849A853" w14:textId="77777777" w:rsidR="005C0D57" w:rsidRPr="00466861" w:rsidRDefault="005C0D57" w:rsidP="005C0D57">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963/19</w:t>
      </w:r>
      <w:r w:rsidRPr="001D4141">
        <w:t xml:space="preserve"> </w:t>
      </w:r>
      <w:r w:rsidRPr="007128E3">
        <w:rPr>
          <w:rFonts w:ascii="Arial" w:hAnsi="Arial" w:cs="Arial"/>
          <w:sz w:val="19"/>
          <w:szCs w:val="19"/>
        </w:rPr>
        <w:t>Disponible e</w:t>
      </w:r>
      <w:r>
        <w:rPr>
          <w:rFonts w:ascii="Arial" w:hAnsi="Arial" w:cs="Arial"/>
          <w:sz w:val="19"/>
          <w:szCs w:val="19"/>
        </w:rPr>
        <w:t xml:space="preserve">n: </w:t>
      </w:r>
      <w:hyperlink r:id="rId7" w:history="1">
        <w:r w:rsidRPr="00466861">
          <w:rPr>
            <w:rStyle w:val="Hipervnculo"/>
            <w:rFonts w:ascii="Arial" w:hAnsi="Arial" w:cs="Arial"/>
            <w:color w:val="auto"/>
            <w:sz w:val="19"/>
            <w:szCs w:val="19"/>
            <w:u w:val="none"/>
          </w:rPr>
          <w:t>http://leyes.senado.gov.co/proyectos/images/documentos/Textos%20Radicados/Ponencias/2019/gaceta_963.pdf</w:t>
        </w:r>
      </w:hyperlink>
    </w:p>
    <w:p w14:paraId="0CCB27BC" w14:textId="77777777" w:rsidR="005C0D57" w:rsidRPr="009153F6" w:rsidRDefault="005C0D57" w:rsidP="005C0D57">
      <w:pPr>
        <w:pStyle w:val="Textonotapie"/>
        <w:ind w:firstLine="709"/>
        <w:jc w:val="both"/>
        <w:rPr>
          <w:lang w:val="es-CO"/>
        </w:rPr>
      </w:pPr>
    </w:p>
  </w:footnote>
  <w:footnote w:id="18">
    <w:p w14:paraId="128F0D46" w14:textId="77777777" w:rsidR="00484E3F" w:rsidRPr="00266CB5" w:rsidRDefault="00484E3F" w:rsidP="00484E3F">
      <w:pPr>
        <w:pStyle w:val="Textonotapie"/>
        <w:ind w:firstLine="709"/>
        <w:jc w:val="both"/>
        <w:rPr>
          <w:lang w:val="es-CO"/>
        </w:rPr>
      </w:pPr>
      <w:r w:rsidRPr="00266CB5">
        <w:rPr>
          <w:rStyle w:val="Refdenotaalpie"/>
        </w:rPr>
        <w:footnoteRef/>
      </w:r>
      <w:r w:rsidRPr="00266CB5">
        <w:rPr>
          <w:rFonts w:ascii="Arial" w:hAnsi="Arial" w:cs="Arial"/>
          <w:sz w:val="19"/>
          <w:szCs w:val="19"/>
        </w:rPr>
        <w:t>Gaceta del Congreso de la República No. 1187/19</w:t>
      </w:r>
      <w:r w:rsidRPr="00266CB5">
        <w:t xml:space="preserve"> </w:t>
      </w:r>
      <w:r w:rsidRPr="00266CB5">
        <w:rPr>
          <w:rFonts w:ascii="Arial" w:hAnsi="Arial" w:cs="Arial"/>
          <w:sz w:val="19"/>
          <w:szCs w:val="19"/>
        </w:rPr>
        <w:t xml:space="preserve">Disponible en: </w:t>
      </w:r>
      <w:hyperlink r:id="rId8" w:history="1">
        <w:r w:rsidRPr="00466861">
          <w:rPr>
            <w:rStyle w:val="Hipervnculo"/>
            <w:rFonts w:ascii="Arial" w:hAnsi="Arial" w:cs="Arial"/>
            <w:color w:val="auto"/>
            <w:sz w:val="19"/>
            <w:szCs w:val="19"/>
            <w:u w:val="none"/>
          </w:rPr>
          <w:t>http://leyes.senado.gov.co/proyectos/images/documentos/Textos%20Radicados/Ponencias/2019/gaceta_1187.pdf</w:t>
        </w:r>
      </w:hyperlink>
      <w:r w:rsidRPr="00266CB5">
        <w:rPr>
          <w:rFonts w:ascii="Arial" w:hAnsi="Arial" w:cs="Arial"/>
          <w:sz w:val="19"/>
          <w:szCs w:val="19"/>
        </w:rPr>
        <w:t xml:space="preserve"> </w:t>
      </w:r>
    </w:p>
  </w:footnote>
  <w:footnote w:id="19">
    <w:p w14:paraId="4F75867B" w14:textId="77777777" w:rsidR="00842919" w:rsidRPr="00AC6886" w:rsidRDefault="00842919" w:rsidP="00842919">
      <w:pPr>
        <w:pStyle w:val="Textonotapie"/>
        <w:ind w:firstLine="709"/>
        <w:rPr>
          <w:rFonts w:ascii="Arial" w:hAnsi="Arial" w:cs="Arial"/>
          <w:lang w:val="es-CO"/>
        </w:rPr>
      </w:pPr>
      <w:r w:rsidRPr="00AC6886">
        <w:rPr>
          <w:rStyle w:val="Refdenotaalpie"/>
          <w:rFonts w:ascii="Arial" w:hAnsi="Arial" w:cs="Arial"/>
        </w:rPr>
        <w:footnoteRef/>
      </w:r>
      <w:r w:rsidRPr="00AC6886">
        <w:rPr>
          <w:rFonts w:ascii="Arial" w:hAnsi="Arial" w:cs="Arial"/>
        </w:rPr>
        <w:t xml:space="preserve"> </w:t>
      </w:r>
      <w:r w:rsidRPr="00AC6886">
        <w:rPr>
          <w:rFonts w:ascii="Arial" w:hAnsi="Arial" w:cs="Arial"/>
          <w:sz w:val="19"/>
          <w:szCs w:val="19"/>
          <w:lang w:val="es-CO"/>
        </w:rPr>
        <w:t>Disponible en https://www.contraloria.gov.co/web/registro-de-obras-inconclusas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C36B1" w:rsidRDefault="00EC36B1">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18"/>
  </w:num>
  <w:num w:numId="25">
    <w:abstractNumId w:val="1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27"/>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AA0"/>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6092"/>
    <w:rsid w:val="000263F0"/>
    <w:rsid w:val="00026407"/>
    <w:rsid w:val="000264F6"/>
    <w:rsid w:val="00026608"/>
    <w:rsid w:val="00026C0C"/>
    <w:rsid w:val="00027787"/>
    <w:rsid w:val="000278D2"/>
    <w:rsid w:val="00027B49"/>
    <w:rsid w:val="00031167"/>
    <w:rsid w:val="00031384"/>
    <w:rsid w:val="000315E1"/>
    <w:rsid w:val="0003236E"/>
    <w:rsid w:val="0003339A"/>
    <w:rsid w:val="000341F2"/>
    <w:rsid w:val="00034651"/>
    <w:rsid w:val="000351F2"/>
    <w:rsid w:val="00036E03"/>
    <w:rsid w:val="000406DB"/>
    <w:rsid w:val="0004080C"/>
    <w:rsid w:val="0004094D"/>
    <w:rsid w:val="00041029"/>
    <w:rsid w:val="0004149B"/>
    <w:rsid w:val="00041CA0"/>
    <w:rsid w:val="00042961"/>
    <w:rsid w:val="000429AA"/>
    <w:rsid w:val="00042B91"/>
    <w:rsid w:val="00042C25"/>
    <w:rsid w:val="00042D03"/>
    <w:rsid w:val="00043086"/>
    <w:rsid w:val="000430A0"/>
    <w:rsid w:val="00043A33"/>
    <w:rsid w:val="00043D3B"/>
    <w:rsid w:val="00043DFA"/>
    <w:rsid w:val="0004418C"/>
    <w:rsid w:val="00044204"/>
    <w:rsid w:val="00044498"/>
    <w:rsid w:val="000449D4"/>
    <w:rsid w:val="00046717"/>
    <w:rsid w:val="00046A63"/>
    <w:rsid w:val="00046C09"/>
    <w:rsid w:val="0004716A"/>
    <w:rsid w:val="00047385"/>
    <w:rsid w:val="000473E8"/>
    <w:rsid w:val="000504DE"/>
    <w:rsid w:val="00050E84"/>
    <w:rsid w:val="00051074"/>
    <w:rsid w:val="00051C8A"/>
    <w:rsid w:val="00052B79"/>
    <w:rsid w:val="00052EA0"/>
    <w:rsid w:val="000536E3"/>
    <w:rsid w:val="00054252"/>
    <w:rsid w:val="0005474D"/>
    <w:rsid w:val="00055388"/>
    <w:rsid w:val="00055CB9"/>
    <w:rsid w:val="00056F66"/>
    <w:rsid w:val="0005702F"/>
    <w:rsid w:val="0005779C"/>
    <w:rsid w:val="00060041"/>
    <w:rsid w:val="00061D06"/>
    <w:rsid w:val="00061E28"/>
    <w:rsid w:val="0006294B"/>
    <w:rsid w:val="00062CDD"/>
    <w:rsid w:val="00063FA5"/>
    <w:rsid w:val="00063FDB"/>
    <w:rsid w:val="000640AF"/>
    <w:rsid w:val="00064495"/>
    <w:rsid w:val="00064626"/>
    <w:rsid w:val="00064940"/>
    <w:rsid w:val="00064CAE"/>
    <w:rsid w:val="00064DB7"/>
    <w:rsid w:val="00064FA7"/>
    <w:rsid w:val="00065195"/>
    <w:rsid w:val="00070630"/>
    <w:rsid w:val="00070AEB"/>
    <w:rsid w:val="00070AF1"/>
    <w:rsid w:val="000714DE"/>
    <w:rsid w:val="0007254F"/>
    <w:rsid w:val="000735C3"/>
    <w:rsid w:val="00073C30"/>
    <w:rsid w:val="00074305"/>
    <w:rsid w:val="00074B2A"/>
    <w:rsid w:val="00075B3E"/>
    <w:rsid w:val="00076456"/>
    <w:rsid w:val="0007779B"/>
    <w:rsid w:val="000777E7"/>
    <w:rsid w:val="0007790A"/>
    <w:rsid w:val="0008017B"/>
    <w:rsid w:val="00080ACD"/>
    <w:rsid w:val="000811ED"/>
    <w:rsid w:val="00081284"/>
    <w:rsid w:val="00081D62"/>
    <w:rsid w:val="0008205C"/>
    <w:rsid w:val="00082B74"/>
    <w:rsid w:val="00083099"/>
    <w:rsid w:val="000837A7"/>
    <w:rsid w:val="00083EDC"/>
    <w:rsid w:val="00084B97"/>
    <w:rsid w:val="0008510E"/>
    <w:rsid w:val="000856DE"/>
    <w:rsid w:val="00085F17"/>
    <w:rsid w:val="00085FB3"/>
    <w:rsid w:val="0008686B"/>
    <w:rsid w:val="00086B2A"/>
    <w:rsid w:val="00086ED2"/>
    <w:rsid w:val="000914D6"/>
    <w:rsid w:val="00091569"/>
    <w:rsid w:val="00092DCA"/>
    <w:rsid w:val="000942EB"/>
    <w:rsid w:val="0009524D"/>
    <w:rsid w:val="00095B70"/>
    <w:rsid w:val="0009617E"/>
    <w:rsid w:val="000979CF"/>
    <w:rsid w:val="000A03C8"/>
    <w:rsid w:val="000A05F2"/>
    <w:rsid w:val="000A06C4"/>
    <w:rsid w:val="000A0861"/>
    <w:rsid w:val="000A0ED1"/>
    <w:rsid w:val="000A10AC"/>
    <w:rsid w:val="000A12DB"/>
    <w:rsid w:val="000A17C8"/>
    <w:rsid w:val="000A20D7"/>
    <w:rsid w:val="000A2128"/>
    <w:rsid w:val="000A362F"/>
    <w:rsid w:val="000A3B49"/>
    <w:rsid w:val="000A5AAF"/>
    <w:rsid w:val="000A5F97"/>
    <w:rsid w:val="000A648E"/>
    <w:rsid w:val="000A73BB"/>
    <w:rsid w:val="000A7EF4"/>
    <w:rsid w:val="000B0A15"/>
    <w:rsid w:val="000B103F"/>
    <w:rsid w:val="000B1437"/>
    <w:rsid w:val="000B1470"/>
    <w:rsid w:val="000B2B86"/>
    <w:rsid w:val="000B3051"/>
    <w:rsid w:val="000B419B"/>
    <w:rsid w:val="000B41E7"/>
    <w:rsid w:val="000B5781"/>
    <w:rsid w:val="000C0185"/>
    <w:rsid w:val="000C0F81"/>
    <w:rsid w:val="000C128D"/>
    <w:rsid w:val="000C17A3"/>
    <w:rsid w:val="000C1D4B"/>
    <w:rsid w:val="000C2E4D"/>
    <w:rsid w:val="000C3260"/>
    <w:rsid w:val="000C3803"/>
    <w:rsid w:val="000C3B77"/>
    <w:rsid w:val="000C4F49"/>
    <w:rsid w:val="000C5861"/>
    <w:rsid w:val="000C639D"/>
    <w:rsid w:val="000C6C31"/>
    <w:rsid w:val="000C6DBC"/>
    <w:rsid w:val="000C6F79"/>
    <w:rsid w:val="000C7476"/>
    <w:rsid w:val="000C7711"/>
    <w:rsid w:val="000C7AA2"/>
    <w:rsid w:val="000D0462"/>
    <w:rsid w:val="000D053D"/>
    <w:rsid w:val="000D0AA7"/>
    <w:rsid w:val="000D0ED2"/>
    <w:rsid w:val="000D152A"/>
    <w:rsid w:val="000D1CEB"/>
    <w:rsid w:val="000D2563"/>
    <w:rsid w:val="000D25BF"/>
    <w:rsid w:val="000D378E"/>
    <w:rsid w:val="000D3FDC"/>
    <w:rsid w:val="000D4E38"/>
    <w:rsid w:val="000D50DB"/>
    <w:rsid w:val="000D6288"/>
    <w:rsid w:val="000D6CAF"/>
    <w:rsid w:val="000D7541"/>
    <w:rsid w:val="000D75E1"/>
    <w:rsid w:val="000E22CF"/>
    <w:rsid w:val="000E2977"/>
    <w:rsid w:val="000E30AC"/>
    <w:rsid w:val="000E3B46"/>
    <w:rsid w:val="000E3E11"/>
    <w:rsid w:val="000E4596"/>
    <w:rsid w:val="000E4B0F"/>
    <w:rsid w:val="000E4EA2"/>
    <w:rsid w:val="000E5768"/>
    <w:rsid w:val="000E5843"/>
    <w:rsid w:val="000E6139"/>
    <w:rsid w:val="000E6BE1"/>
    <w:rsid w:val="000E7E0B"/>
    <w:rsid w:val="000F078A"/>
    <w:rsid w:val="000F122D"/>
    <w:rsid w:val="000F144E"/>
    <w:rsid w:val="000F1450"/>
    <w:rsid w:val="000F14E8"/>
    <w:rsid w:val="000F1BBD"/>
    <w:rsid w:val="000F1FC6"/>
    <w:rsid w:val="000F2739"/>
    <w:rsid w:val="000F3138"/>
    <w:rsid w:val="000F3D39"/>
    <w:rsid w:val="000F4403"/>
    <w:rsid w:val="000F4C85"/>
    <w:rsid w:val="000F4E17"/>
    <w:rsid w:val="000F6578"/>
    <w:rsid w:val="000F70CD"/>
    <w:rsid w:val="000F7ABD"/>
    <w:rsid w:val="000F7E8F"/>
    <w:rsid w:val="000F7FBB"/>
    <w:rsid w:val="001000F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11F"/>
    <w:rsid w:val="00110CEB"/>
    <w:rsid w:val="00110F61"/>
    <w:rsid w:val="001111BD"/>
    <w:rsid w:val="0011165A"/>
    <w:rsid w:val="0011177B"/>
    <w:rsid w:val="00111B2B"/>
    <w:rsid w:val="00112774"/>
    <w:rsid w:val="00112B2E"/>
    <w:rsid w:val="00113003"/>
    <w:rsid w:val="00113062"/>
    <w:rsid w:val="00113584"/>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B1A"/>
    <w:rsid w:val="00135E88"/>
    <w:rsid w:val="0013695C"/>
    <w:rsid w:val="001369F5"/>
    <w:rsid w:val="00136BF7"/>
    <w:rsid w:val="001378B9"/>
    <w:rsid w:val="00137FFA"/>
    <w:rsid w:val="00140109"/>
    <w:rsid w:val="001401AA"/>
    <w:rsid w:val="0014029B"/>
    <w:rsid w:val="00140A4F"/>
    <w:rsid w:val="001413AB"/>
    <w:rsid w:val="00141771"/>
    <w:rsid w:val="00141C66"/>
    <w:rsid w:val="001440D0"/>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6D"/>
    <w:rsid w:val="0015448E"/>
    <w:rsid w:val="00154933"/>
    <w:rsid w:val="00154A6F"/>
    <w:rsid w:val="00155D08"/>
    <w:rsid w:val="00156BE5"/>
    <w:rsid w:val="00157232"/>
    <w:rsid w:val="00160401"/>
    <w:rsid w:val="00160D4E"/>
    <w:rsid w:val="00160FC5"/>
    <w:rsid w:val="0016125D"/>
    <w:rsid w:val="00161E62"/>
    <w:rsid w:val="00161F1C"/>
    <w:rsid w:val="0016200B"/>
    <w:rsid w:val="00163D7A"/>
    <w:rsid w:val="00164281"/>
    <w:rsid w:val="00166EC0"/>
    <w:rsid w:val="00167503"/>
    <w:rsid w:val="001676A9"/>
    <w:rsid w:val="00167A15"/>
    <w:rsid w:val="00167A50"/>
    <w:rsid w:val="00167DF5"/>
    <w:rsid w:val="00170001"/>
    <w:rsid w:val="0017118C"/>
    <w:rsid w:val="0017189B"/>
    <w:rsid w:val="00172198"/>
    <w:rsid w:val="00172612"/>
    <w:rsid w:val="00172817"/>
    <w:rsid w:val="00172F15"/>
    <w:rsid w:val="001734E3"/>
    <w:rsid w:val="001742BF"/>
    <w:rsid w:val="00175E49"/>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32ED"/>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B7F0B"/>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15F0"/>
    <w:rsid w:val="001E1CC4"/>
    <w:rsid w:val="001E1D38"/>
    <w:rsid w:val="001E218A"/>
    <w:rsid w:val="001E362E"/>
    <w:rsid w:val="001E3E0F"/>
    <w:rsid w:val="001E4258"/>
    <w:rsid w:val="001E56FF"/>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2F83"/>
    <w:rsid w:val="002037AA"/>
    <w:rsid w:val="00203FE3"/>
    <w:rsid w:val="002042D8"/>
    <w:rsid w:val="00204515"/>
    <w:rsid w:val="00204BF5"/>
    <w:rsid w:val="00204E6B"/>
    <w:rsid w:val="00204F79"/>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032A"/>
    <w:rsid w:val="002221CE"/>
    <w:rsid w:val="00222BE8"/>
    <w:rsid w:val="00223102"/>
    <w:rsid w:val="002232CB"/>
    <w:rsid w:val="00224022"/>
    <w:rsid w:val="00224235"/>
    <w:rsid w:val="00226055"/>
    <w:rsid w:val="0022613F"/>
    <w:rsid w:val="00226236"/>
    <w:rsid w:val="002270C9"/>
    <w:rsid w:val="00227A8B"/>
    <w:rsid w:val="0023146B"/>
    <w:rsid w:val="002315A0"/>
    <w:rsid w:val="00231601"/>
    <w:rsid w:val="002319A7"/>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378CF"/>
    <w:rsid w:val="0024015C"/>
    <w:rsid w:val="0024019A"/>
    <w:rsid w:val="002411DE"/>
    <w:rsid w:val="0024131D"/>
    <w:rsid w:val="002415B8"/>
    <w:rsid w:val="00241618"/>
    <w:rsid w:val="00241E0B"/>
    <w:rsid w:val="00242D62"/>
    <w:rsid w:val="002431D7"/>
    <w:rsid w:val="00243319"/>
    <w:rsid w:val="00244058"/>
    <w:rsid w:val="0024465A"/>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0BD"/>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098"/>
    <w:rsid w:val="002711A4"/>
    <w:rsid w:val="00271F13"/>
    <w:rsid w:val="00274DB5"/>
    <w:rsid w:val="00275BB1"/>
    <w:rsid w:val="00275FBF"/>
    <w:rsid w:val="00276373"/>
    <w:rsid w:val="00276DF7"/>
    <w:rsid w:val="00277933"/>
    <w:rsid w:val="00277F8D"/>
    <w:rsid w:val="00277FA7"/>
    <w:rsid w:val="00280F3D"/>
    <w:rsid w:val="0028106A"/>
    <w:rsid w:val="0028187B"/>
    <w:rsid w:val="00281EB4"/>
    <w:rsid w:val="00282016"/>
    <w:rsid w:val="0028308E"/>
    <w:rsid w:val="002834E9"/>
    <w:rsid w:val="00283A52"/>
    <w:rsid w:val="00283C5E"/>
    <w:rsid w:val="00283E26"/>
    <w:rsid w:val="0028428F"/>
    <w:rsid w:val="00284CFC"/>
    <w:rsid w:val="00285832"/>
    <w:rsid w:val="00285969"/>
    <w:rsid w:val="0028663B"/>
    <w:rsid w:val="00286CEC"/>
    <w:rsid w:val="002871A9"/>
    <w:rsid w:val="00290781"/>
    <w:rsid w:val="002907A4"/>
    <w:rsid w:val="00290F11"/>
    <w:rsid w:val="00291784"/>
    <w:rsid w:val="002929BB"/>
    <w:rsid w:val="00294368"/>
    <w:rsid w:val="00294B78"/>
    <w:rsid w:val="00295949"/>
    <w:rsid w:val="0029624A"/>
    <w:rsid w:val="00296922"/>
    <w:rsid w:val="00297098"/>
    <w:rsid w:val="002A05D4"/>
    <w:rsid w:val="002A09FF"/>
    <w:rsid w:val="002A0E60"/>
    <w:rsid w:val="002A1A58"/>
    <w:rsid w:val="002A1B02"/>
    <w:rsid w:val="002A1C53"/>
    <w:rsid w:val="002A2225"/>
    <w:rsid w:val="002A28FC"/>
    <w:rsid w:val="002A2B44"/>
    <w:rsid w:val="002A2EA5"/>
    <w:rsid w:val="002A3D94"/>
    <w:rsid w:val="002A4736"/>
    <w:rsid w:val="002A4B1C"/>
    <w:rsid w:val="002A4CC8"/>
    <w:rsid w:val="002A6AFB"/>
    <w:rsid w:val="002A733D"/>
    <w:rsid w:val="002A774A"/>
    <w:rsid w:val="002A7E5C"/>
    <w:rsid w:val="002A7F6D"/>
    <w:rsid w:val="002B0598"/>
    <w:rsid w:val="002B1342"/>
    <w:rsid w:val="002B17AD"/>
    <w:rsid w:val="002B27C8"/>
    <w:rsid w:val="002B2A7F"/>
    <w:rsid w:val="002B330B"/>
    <w:rsid w:val="002B33C1"/>
    <w:rsid w:val="002B39BE"/>
    <w:rsid w:val="002B438C"/>
    <w:rsid w:val="002B48DB"/>
    <w:rsid w:val="002B4B34"/>
    <w:rsid w:val="002B541A"/>
    <w:rsid w:val="002B6407"/>
    <w:rsid w:val="002B6416"/>
    <w:rsid w:val="002B6459"/>
    <w:rsid w:val="002B683F"/>
    <w:rsid w:val="002B73B0"/>
    <w:rsid w:val="002C1143"/>
    <w:rsid w:val="002C11FA"/>
    <w:rsid w:val="002C24B4"/>
    <w:rsid w:val="002C2B3A"/>
    <w:rsid w:val="002C2B87"/>
    <w:rsid w:val="002C3CF4"/>
    <w:rsid w:val="002C40DA"/>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5BC"/>
    <w:rsid w:val="002D6AD0"/>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1E67"/>
    <w:rsid w:val="002F240B"/>
    <w:rsid w:val="002F2F50"/>
    <w:rsid w:val="002F3601"/>
    <w:rsid w:val="002F45F6"/>
    <w:rsid w:val="002F692F"/>
    <w:rsid w:val="002F7B66"/>
    <w:rsid w:val="002F7C31"/>
    <w:rsid w:val="00300CB4"/>
    <w:rsid w:val="00300E24"/>
    <w:rsid w:val="00302C0E"/>
    <w:rsid w:val="003033BA"/>
    <w:rsid w:val="003043A3"/>
    <w:rsid w:val="00304BD4"/>
    <w:rsid w:val="0030500A"/>
    <w:rsid w:val="0030517B"/>
    <w:rsid w:val="003052EB"/>
    <w:rsid w:val="00305FCB"/>
    <w:rsid w:val="003063C3"/>
    <w:rsid w:val="003065CE"/>
    <w:rsid w:val="00306B44"/>
    <w:rsid w:val="00307C44"/>
    <w:rsid w:val="0031088E"/>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27"/>
    <w:rsid w:val="00331932"/>
    <w:rsid w:val="00331C53"/>
    <w:rsid w:val="00333A88"/>
    <w:rsid w:val="00335B15"/>
    <w:rsid w:val="00335B21"/>
    <w:rsid w:val="00335D3F"/>
    <w:rsid w:val="00336104"/>
    <w:rsid w:val="00336248"/>
    <w:rsid w:val="00336729"/>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071F"/>
    <w:rsid w:val="003517D1"/>
    <w:rsid w:val="00351E10"/>
    <w:rsid w:val="0035273A"/>
    <w:rsid w:val="003533F4"/>
    <w:rsid w:val="003536F6"/>
    <w:rsid w:val="00353DD5"/>
    <w:rsid w:val="00355131"/>
    <w:rsid w:val="00355214"/>
    <w:rsid w:val="00356438"/>
    <w:rsid w:val="00360E6D"/>
    <w:rsid w:val="00361A59"/>
    <w:rsid w:val="00362417"/>
    <w:rsid w:val="00363348"/>
    <w:rsid w:val="00363857"/>
    <w:rsid w:val="00363D59"/>
    <w:rsid w:val="003640F7"/>
    <w:rsid w:val="00364300"/>
    <w:rsid w:val="00365D3A"/>
    <w:rsid w:val="003664FF"/>
    <w:rsid w:val="00366BD2"/>
    <w:rsid w:val="003670B8"/>
    <w:rsid w:val="003704A3"/>
    <w:rsid w:val="003706F2"/>
    <w:rsid w:val="0037124F"/>
    <w:rsid w:val="00371CA6"/>
    <w:rsid w:val="00373827"/>
    <w:rsid w:val="0037401C"/>
    <w:rsid w:val="00374A1E"/>
    <w:rsid w:val="0037507B"/>
    <w:rsid w:val="00375C7C"/>
    <w:rsid w:val="00377027"/>
    <w:rsid w:val="00377135"/>
    <w:rsid w:val="00380272"/>
    <w:rsid w:val="00380576"/>
    <w:rsid w:val="003805DB"/>
    <w:rsid w:val="003813F4"/>
    <w:rsid w:val="0038152A"/>
    <w:rsid w:val="00381B96"/>
    <w:rsid w:val="00382BAD"/>
    <w:rsid w:val="00384DF1"/>
    <w:rsid w:val="00384FF3"/>
    <w:rsid w:val="00386456"/>
    <w:rsid w:val="003865A9"/>
    <w:rsid w:val="00387642"/>
    <w:rsid w:val="00390F32"/>
    <w:rsid w:val="0039135E"/>
    <w:rsid w:val="0039319C"/>
    <w:rsid w:val="00393CAE"/>
    <w:rsid w:val="003945DC"/>
    <w:rsid w:val="003945F4"/>
    <w:rsid w:val="0039494D"/>
    <w:rsid w:val="00394EB5"/>
    <w:rsid w:val="003953B4"/>
    <w:rsid w:val="0039615F"/>
    <w:rsid w:val="00396A29"/>
    <w:rsid w:val="00397FF0"/>
    <w:rsid w:val="003A0878"/>
    <w:rsid w:val="003A11BA"/>
    <w:rsid w:val="003A1561"/>
    <w:rsid w:val="003A1D25"/>
    <w:rsid w:val="003A1E36"/>
    <w:rsid w:val="003A22A2"/>
    <w:rsid w:val="003A2447"/>
    <w:rsid w:val="003A2AA1"/>
    <w:rsid w:val="003A31A5"/>
    <w:rsid w:val="003A3851"/>
    <w:rsid w:val="003A39DD"/>
    <w:rsid w:val="003A4A8E"/>
    <w:rsid w:val="003A563C"/>
    <w:rsid w:val="003A581E"/>
    <w:rsid w:val="003A5CEF"/>
    <w:rsid w:val="003A6160"/>
    <w:rsid w:val="003A65A5"/>
    <w:rsid w:val="003A6BA5"/>
    <w:rsid w:val="003A72F5"/>
    <w:rsid w:val="003A78E5"/>
    <w:rsid w:val="003B0341"/>
    <w:rsid w:val="003B0FCF"/>
    <w:rsid w:val="003B120F"/>
    <w:rsid w:val="003B1E57"/>
    <w:rsid w:val="003B28F8"/>
    <w:rsid w:val="003B2EF3"/>
    <w:rsid w:val="003B4B1C"/>
    <w:rsid w:val="003B4CB2"/>
    <w:rsid w:val="003B534F"/>
    <w:rsid w:val="003B5391"/>
    <w:rsid w:val="003B65D7"/>
    <w:rsid w:val="003B65E0"/>
    <w:rsid w:val="003B6BD4"/>
    <w:rsid w:val="003B6F4D"/>
    <w:rsid w:val="003B6FE7"/>
    <w:rsid w:val="003C01C6"/>
    <w:rsid w:val="003C0D1F"/>
    <w:rsid w:val="003C116A"/>
    <w:rsid w:val="003C1AF4"/>
    <w:rsid w:val="003C1B63"/>
    <w:rsid w:val="003C1CB8"/>
    <w:rsid w:val="003C2550"/>
    <w:rsid w:val="003C287F"/>
    <w:rsid w:val="003C3339"/>
    <w:rsid w:val="003C375A"/>
    <w:rsid w:val="003C4D9F"/>
    <w:rsid w:val="003C622C"/>
    <w:rsid w:val="003C6E89"/>
    <w:rsid w:val="003C73C7"/>
    <w:rsid w:val="003D050B"/>
    <w:rsid w:val="003D0B98"/>
    <w:rsid w:val="003D0C3C"/>
    <w:rsid w:val="003D0DE5"/>
    <w:rsid w:val="003D1351"/>
    <w:rsid w:val="003D21C1"/>
    <w:rsid w:val="003D3109"/>
    <w:rsid w:val="003D3707"/>
    <w:rsid w:val="003D3B15"/>
    <w:rsid w:val="003D3B2E"/>
    <w:rsid w:val="003D484D"/>
    <w:rsid w:val="003D49CB"/>
    <w:rsid w:val="003D4BD6"/>
    <w:rsid w:val="003D6B8F"/>
    <w:rsid w:val="003D7566"/>
    <w:rsid w:val="003D7702"/>
    <w:rsid w:val="003D7F9C"/>
    <w:rsid w:val="003E09BB"/>
    <w:rsid w:val="003E159D"/>
    <w:rsid w:val="003E20EA"/>
    <w:rsid w:val="003E210C"/>
    <w:rsid w:val="003E2F55"/>
    <w:rsid w:val="003E34DB"/>
    <w:rsid w:val="003E3833"/>
    <w:rsid w:val="003E389E"/>
    <w:rsid w:val="003E3AF9"/>
    <w:rsid w:val="003E4A70"/>
    <w:rsid w:val="003E4C48"/>
    <w:rsid w:val="003E4CD9"/>
    <w:rsid w:val="003E54B3"/>
    <w:rsid w:val="003E5780"/>
    <w:rsid w:val="003E5B9F"/>
    <w:rsid w:val="003E6072"/>
    <w:rsid w:val="003E645D"/>
    <w:rsid w:val="003E6AB6"/>
    <w:rsid w:val="003E6E0B"/>
    <w:rsid w:val="003E71CD"/>
    <w:rsid w:val="003E78DA"/>
    <w:rsid w:val="003E7A8B"/>
    <w:rsid w:val="003F0F7F"/>
    <w:rsid w:val="003F300D"/>
    <w:rsid w:val="003F391F"/>
    <w:rsid w:val="003F4599"/>
    <w:rsid w:val="003F45E1"/>
    <w:rsid w:val="003F4F6C"/>
    <w:rsid w:val="003F516A"/>
    <w:rsid w:val="003F559E"/>
    <w:rsid w:val="003F6181"/>
    <w:rsid w:val="003F63EE"/>
    <w:rsid w:val="003F7343"/>
    <w:rsid w:val="00400002"/>
    <w:rsid w:val="00400054"/>
    <w:rsid w:val="00401373"/>
    <w:rsid w:val="004016A3"/>
    <w:rsid w:val="00401B31"/>
    <w:rsid w:val="0040202B"/>
    <w:rsid w:val="00402041"/>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5D56"/>
    <w:rsid w:val="004160A2"/>
    <w:rsid w:val="004170D7"/>
    <w:rsid w:val="004177A6"/>
    <w:rsid w:val="00417EFD"/>
    <w:rsid w:val="004200EE"/>
    <w:rsid w:val="004205A4"/>
    <w:rsid w:val="004209D2"/>
    <w:rsid w:val="00420D6E"/>
    <w:rsid w:val="00421BD2"/>
    <w:rsid w:val="00421E00"/>
    <w:rsid w:val="00421FCB"/>
    <w:rsid w:val="00422DCA"/>
    <w:rsid w:val="00423F9F"/>
    <w:rsid w:val="00425C43"/>
    <w:rsid w:val="00426C69"/>
    <w:rsid w:val="004273FA"/>
    <w:rsid w:val="00430186"/>
    <w:rsid w:val="00431789"/>
    <w:rsid w:val="0043269A"/>
    <w:rsid w:val="004333C2"/>
    <w:rsid w:val="00433ACB"/>
    <w:rsid w:val="00434787"/>
    <w:rsid w:val="004347DA"/>
    <w:rsid w:val="00434C13"/>
    <w:rsid w:val="00436323"/>
    <w:rsid w:val="0043683F"/>
    <w:rsid w:val="00436F40"/>
    <w:rsid w:val="004370FA"/>
    <w:rsid w:val="00440096"/>
    <w:rsid w:val="004403DD"/>
    <w:rsid w:val="00440DB0"/>
    <w:rsid w:val="00440FAD"/>
    <w:rsid w:val="00441291"/>
    <w:rsid w:val="004420AB"/>
    <w:rsid w:val="004422D6"/>
    <w:rsid w:val="004427AC"/>
    <w:rsid w:val="00442D41"/>
    <w:rsid w:val="00442D4D"/>
    <w:rsid w:val="00443613"/>
    <w:rsid w:val="0044374D"/>
    <w:rsid w:val="00443865"/>
    <w:rsid w:val="00443B55"/>
    <w:rsid w:val="00443D27"/>
    <w:rsid w:val="00444E7E"/>
    <w:rsid w:val="00445AC2"/>
    <w:rsid w:val="00445DBE"/>
    <w:rsid w:val="00445EAB"/>
    <w:rsid w:val="00446037"/>
    <w:rsid w:val="0044642F"/>
    <w:rsid w:val="0044772C"/>
    <w:rsid w:val="00447E82"/>
    <w:rsid w:val="00450846"/>
    <w:rsid w:val="00451A52"/>
    <w:rsid w:val="00451FC8"/>
    <w:rsid w:val="0045271D"/>
    <w:rsid w:val="00452755"/>
    <w:rsid w:val="00452803"/>
    <w:rsid w:val="004529C6"/>
    <w:rsid w:val="00452EAD"/>
    <w:rsid w:val="004533D1"/>
    <w:rsid w:val="004534D1"/>
    <w:rsid w:val="00454548"/>
    <w:rsid w:val="00454717"/>
    <w:rsid w:val="00455047"/>
    <w:rsid w:val="00455354"/>
    <w:rsid w:val="0045558D"/>
    <w:rsid w:val="00456970"/>
    <w:rsid w:val="00456B71"/>
    <w:rsid w:val="00456BB1"/>
    <w:rsid w:val="00456DDB"/>
    <w:rsid w:val="00457570"/>
    <w:rsid w:val="00460915"/>
    <w:rsid w:val="00460946"/>
    <w:rsid w:val="00460CAE"/>
    <w:rsid w:val="004613D2"/>
    <w:rsid w:val="004614A9"/>
    <w:rsid w:val="00461E97"/>
    <w:rsid w:val="0046268F"/>
    <w:rsid w:val="0046284F"/>
    <w:rsid w:val="00462B10"/>
    <w:rsid w:val="00462C04"/>
    <w:rsid w:val="0046320A"/>
    <w:rsid w:val="0046361D"/>
    <w:rsid w:val="004638E2"/>
    <w:rsid w:val="00464030"/>
    <w:rsid w:val="004647F8"/>
    <w:rsid w:val="004647FB"/>
    <w:rsid w:val="00464EF5"/>
    <w:rsid w:val="00465677"/>
    <w:rsid w:val="00465AC3"/>
    <w:rsid w:val="00466616"/>
    <w:rsid w:val="00466861"/>
    <w:rsid w:val="00466A0C"/>
    <w:rsid w:val="00466D4F"/>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AC4"/>
    <w:rsid w:val="00481DC1"/>
    <w:rsid w:val="00482507"/>
    <w:rsid w:val="0048268A"/>
    <w:rsid w:val="0048308A"/>
    <w:rsid w:val="00483356"/>
    <w:rsid w:val="004835CA"/>
    <w:rsid w:val="004836F8"/>
    <w:rsid w:val="004836FE"/>
    <w:rsid w:val="004843F9"/>
    <w:rsid w:val="004847E6"/>
    <w:rsid w:val="00484E3F"/>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078"/>
    <w:rsid w:val="00493E04"/>
    <w:rsid w:val="004940E3"/>
    <w:rsid w:val="0049530F"/>
    <w:rsid w:val="00496664"/>
    <w:rsid w:val="00496786"/>
    <w:rsid w:val="0049695B"/>
    <w:rsid w:val="00496D8F"/>
    <w:rsid w:val="00497463"/>
    <w:rsid w:val="00497B15"/>
    <w:rsid w:val="004A054C"/>
    <w:rsid w:val="004A08D1"/>
    <w:rsid w:val="004A16C1"/>
    <w:rsid w:val="004A1CE2"/>
    <w:rsid w:val="004A2800"/>
    <w:rsid w:val="004A2A8D"/>
    <w:rsid w:val="004A34D2"/>
    <w:rsid w:val="004A41BA"/>
    <w:rsid w:val="004A4241"/>
    <w:rsid w:val="004A4301"/>
    <w:rsid w:val="004A4E65"/>
    <w:rsid w:val="004A58EE"/>
    <w:rsid w:val="004A59B7"/>
    <w:rsid w:val="004A623B"/>
    <w:rsid w:val="004A6A04"/>
    <w:rsid w:val="004A6A52"/>
    <w:rsid w:val="004B0F0B"/>
    <w:rsid w:val="004B2197"/>
    <w:rsid w:val="004B298A"/>
    <w:rsid w:val="004B3008"/>
    <w:rsid w:val="004B578D"/>
    <w:rsid w:val="004B5BE7"/>
    <w:rsid w:val="004B5E2D"/>
    <w:rsid w:val="004B6C07"/>
    <w:rsid w:val="004B74D3"/>
    <w:rsid w:val="004B76D3"/>
    <w:rsid w:val="004B788E"/>
    <w:rsid w:val="004B7E5D"/>
    <w:rsid w:val="004C0DD8"/>
    <w:rsid w:val="004C22F7"/>
    <w:rsid w:val="004C2B27"/>
    <w:rsid w:val="004C34CD"/>
    <w:rsid w:val="004C3929"/>
    <w:rsid w:val="004C3C93"/>
    <w:rsid w:val="004C4DCB"/>
    <w:rsid w:val="004C5212"/>
    <w:rsid w:val="004C5EF0"/>
    <w:rsid w:val="004C683D"/>
    <w:rsid w:val="004C7226"/>
    <w:rsid w:val="004C74C9"/>
    <w:rsid w:val="004C7D70"/>
    <w:rsid w:val="004D02F9"/>
    <w:rsid w:val="004D0319"/>
    <w:rsid w:val="004D03FE"/>
    <w:rsid w:val="004D0446"/>
    <w:rsid w:val="004D0F95"/>
    <w:rsid w:val="004D106A"/>
    <w:rsid w:val="004D298F"/>
    <w:rsid w:val="004D31EE"/>
    <w:rsid w:val="004D36AF"/>
    <w:rsid w:val="004D3BD1"/>
    <w:rsid w:val="004D4BA1"/>
    <w:rsid w:val="004D57BB"/>
    <w:rsid w:val="004D584D"/>
    <w:rsid w:val="004D6826"/>
    <w:rsid w:val="004E023F"/>
    <w:rsid w:val="004E0742"/>
    <w:rsid w:val="004E0C64"/>
    <w:rsid w:val="004E0F6B"/>
    <w:rsid w:val="004E1545"/>
    <w:rsid w:val="004E1F1C"/>
    <w:rsid w:val="004E2A35"/>
    <w:rsid w:val="004E40CE"/>
    <w:rsid w:val="004E4858"/>
    <w:rsid w:val="004E518D"/>
    <w:rsid w:val="004E5736"/>
    <w:rsid w:val="004E5B36"/>
    <w:rsid w:val="004E6045"/>
    <w:rsid w:val="004E6F43"/>
    <w:rsid w:val="004E6F55"/>
    <w:rsid w:val="004E7200"/>
    <w:rsid w:val="004E7A24"/>
    <w:rsid w:val="004F034D"/>
    <w:rsid w:val="004F053F"/>
    <w:rsid w:val="004F091D"/>
    <w:rsid w:val="004F0960"/>
    <w:rsid w:val="004F0A5C"/>
    <w:rsid w:val="004F163F"/>
    <w:rsid w:val="004F18A0"/>
    <w:rsid w:val="004F1A08"/>
    <w:rsid w:val="004F2B64"/>
    <w:rsid w:val="004F2E3D"/>
    <w:rsid w:val="004F3764"/>
    <w:rsid w:val="004F3EEF"/>
    <w:rsid w:val="004F4248"/>
    <w:rsid w:val="004F5930"/>
    <w:rsid w:val="004F5970"/>
    <w:rsid w:val="004F5F0C"/>
    <w:rsid w:val="004F6121"/>
    <w:rsid w:val="004F6161"/>
    <w:rsid w:val="004F66BC"/>
    <w:rsid w:val="004F6C26"/>
    <w:rsid w:val="004F7AC9"/>
    <w:rsid w:val="00500135"/>
    <w:rsid w:val="0050062F"/>
    <w:rsid w:val="005012E2"/>
    <w:rsid w:val="0050160F"/>
    <w:rsid w:val="0050284E"/>
    <w:rsid w:val="00505DCB"/>
    <w:rsid w:val="005075CA"/>
    <w:rsid w:val="0051074C"/>
    <w:rsid w:val="00510DE9"/>
    <w:rsid w:val="005111E2"/>
    <w:rsid w:val="00511218"/>
    <w:rsid w:val="00511231"/>
    <w:rsid w:val="00512779"/>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176"/>
    <w:rsid w:val="005224E5"/>
    <w:rsid w:val="005226BE"/>
    <w:rsid w:val="00523363"/>
    <w:rsid w:val="00523903"/>
    <w:rsid w:val="005239B6"/>
    <w:rsid w:val="00523C45"/>
    <w:rsid w:val="00524165"/>
    <w:rsid w:val="005246E7"/>
    <w:rsid w:val="00524FD2"/>
    <w:rsid w:val="00525621"/>
    <w:rsid w:val="00526431"/>
    <w:rsid w:val="005265D8"/>
    <w:rsid w:val="00527865"/>
    <w:rsid w:val="00527E57"/>
    <w:rsid w:val="00530405"/>
    <w:rsid w:val="00530522"/>
    <w:rsid w:val="005305E5"/>
    <w:rsid w:val="00530F38"/>
    <w:rsid w:val="005312A6"/>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58B"/>
    <w:rsid w:val="00540C4C"/>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D82"/>
    <w:rsid w:val="00561E0B"/>
    <w:rsid w:val="00562141"/>
    <w:rsid w:val="00562D86"/>
    <w:rsid w:val="005642EC"/>
    <w:rsid w:val="00564704"/>
    <w:rsid w:val="00564712"/>
    <w:rsid w:val="005657A8"/>
    <w:rsid w:val="00565952"/>
    <w:rsid w:val="00566866"/>
    <w:rsid w:val="005670A5"/>
    <w:rsid w:val="00567723"/>
    <w:rsid w:val="00567AB8"/>
    <w:rsid w:val="00567C20"/>
    <w:rsid w:val="00570A26"/>
    <w:rsid w:val="0057221F"/>
    <w:rsid w:val="00572539"/>
    <w:rsid w:val="0057337D"/>
    <w:rsid w:val="00573504"/>
    <w:rsid w:val="00574708"/>
    <w:rsid w:val="00574D81"/>
    <w:rsid w:val="005756AA"/>
    <w:rsid w:val="00576233"/>
    <w:rsid w:val="0057696F"/>
    <w:rsid w:val="005774FE"/>
    <w:rsid w:val="0058040C"/>
    <w:rsid w:val="005807B3"/>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7585"/>
    <w:rsid w:val="00587E29"/>
    <w:rsid w:val="00590F1A"/>
    <w:rsid w:val="00591C03"/>
    <w:rsid w:val="00591E2A"/>
    <w:rsid w:val="005923C4"/>
    <w:rsid w:val="005930ED"/>
    <w:rsid w:val="00593F75"/>
    <w:rsid w:val="005940A0"/>
    <w:rsid w:val="0059429A"/>
    <w:rsid w:val="005956EC"/>
    <w:rsid w:val="00596AEE"/>
    <w:rsid w:val="00596AF7"/>
    <w:rsid w:val="00596CCE"/>
    <w:rsid w:val="00597E38"/>
    <w:rsid w:val="005A1976"/>
    <w:rsid w:val="005A2120"/>
    <w:rsid w:val="005A2501"/>
    <w:rsid w:val="005A2C80"/>
    <w:rsid w:val="005A3066"/>
    <w:rsid w:val="005A3B35"/>
    <w:rsid w:val="005A3C4B"/>
    <w:rsid w:val="005A3E5A"/>
    <w:rsid w:val="005A43F3"/>
    <w:rsid w:val="005A496F"/>
    <w:rsid w:val="005A4A56"/>
    <w:rsid w:val="005A5A3D"/>
    <w:rsid w:val="005A5CF8"/>
    <w:rsid w:val="005A6035"/>
    <w:rsid w:val="005A6B75"/>
    <w:rsid w:val="005A6E00"/>
    <w:rsid w:val="005A718A"/>
    <w:rsid w:val="005B09BE"/>
    <w:rsid w:val="005B12B2"/>
    <w:rsid w:val="005B143B"/>
    <w:rsid w:val="005B1E45"/>
    <w:rsid w:val="005B21C4"/>
    <w:rsid w:val="005B2A28"/>
    <w:rsid w:val="005B3621"/>
    <w:rsid w:val="005B3ECA"/>
    <w:rsid w:val="005B4948"/>
    <w:rsid w:val="005B501D"/>
    <w:rsid w:val="005B54CC"/>
    <w:rsid w:val="005B74AD"/>
    <w:rsid w:val="005B7E96"/>
    <w:rsid w:val="005C0429"/>
    <w:rsid w:val="005C084F"/>
    <w:rsid w:val="005C0D57"/>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7CA"/>
    <w:rsid w:val="005E1927"/>
    <w:rsid w:val="005E1F1D"/>
    <w:rsid w:val="005E273D"/>
    <w:rsid w:val="005E2E63"/>
    <w:rsid w:val="005E3278"/>
    <w:rsid w:val="005E363B"/>
    <w:rsid w:val="005E3B0D"/>
    <w:rsid w:val="005E4F85"/>
    <w:rsid w:val="005E5CCD"/>
    <w:rsid w:val="005E7FC9"/>
    <w:rsid w:val="005F1D89"/>
    <w:rsid w:val="005F305B"/>
    <w:rsid w:val="005F3361"/>
    <w:rsid w:val="005F3B47"/>
    <w:rsid w:val="005F4481"/>
    <w:rsid w:val="005F49AF"/>
    <w:rsid w:val="005F4A58"/>
    <w:rsid w:val="005F4C06"/>
    <w:rsid w:val="005F54DF"/>
    <w:rsid w:val="005F5888"/>
    <w:rsid w:val="005F5984"/>
    <w:rsid w:val="005F6CE2"/>
    <w:rsid w:val="005F72E9"/>
    <w:rsid w:val="005F730E"/>
    <w:rsid w:val="005F780B"/>
    <w:rsid w:val="00600195"/>
    <w:rsid w:val="00600473"/>
    <w:rsid w:val="0060063B"/>
    <w:rsid w:val="006013C9"/>
    <w:rsid w:val="006016EA"/>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23C0"/>
    <w:rsid w:val="0061278E"/>
    <w:rsid w:val="00613191"/>
    <w:rsid w:val="006133F9"/>
    <w:rsid w:val="006134B3"/>
    <w:rsid w:val="00613DE1"/>
    <w:rsid w:val="0061401F"/>
    <w:rsid w:val="00614166"/>
    <w:rsid w:val="00614817"/>
    <w:rsid w:val="006149CC"/>
    <w:rsid w:val="006157A9"/>
    <w:rsid w:val="0061591D"/>
    <w:rsid w:val="00615ED0"/>
    <w:rsid w:val="0061604C"/>
    <w:rsid w:val="00616C2B"/>
    <w:rsid w:val="006170F7"/>
    <w:rsid w:val="006174FA"/>
    <w:rsid w:val="006178D1"/>
    <w:rsid w:val="00620000"/>
    <w:rsid w:val="006204FE"/>
    <w:rsid w:val="00620719"/>
    <w:rsid w:val="006212C9"/>
    <w:rsid w:val="00621D0C"/>
    <w:rsid w:val="00622470"/>
    <w:rsid w:val="00622725"/>
    <w:rsid w:val="006231AA"/>
    <w:rsid w:val="00623482"/>
    <w:rsid w:val="00623AC2"/>
    <w:rsid w:val="00625F38"/>
    <w:rsid w:val="006266D7"/>
    <w:rsid w:val="00626A02"/>
    <w:rsid w:val="00626D42"/>
    <w:rsid w:val="00626EE3"/>
    <w:rsid w:val="006274AD"/>
    <w:rsid w:val="00627532"/>
    <w:rsid w:val="006302AA"/>
    <w:rsid w:val="006310C3"/>
    <w:rsid w:val="0063161E"/>
    <w:rsid w:val="0063167C"/>
    <w:rsid w:val="00631BB5"/>
    <w:rsid w:val="00631DD0"/>
    <w:rsid w:val="0063306E"/>
    <w:rsid w:val="00633DBF"/>
    <w:rsid w:val="00634122"/>
    <w:rsid w:val="006351B4"/>
    <w:rsid w:val="006355B6"/>
    <w:rsid w:val="00635E32"/>
    <w:rsid w:val="006365DE"/>
    <w:rsid w:val="00636BE4"/>
    <w:rsid w:val="00637802"/>
    <w:rsid w:val="00637836"/>
    <w:rsid w:val="00637C26"/>
    <w:rsid w:val="00637F44"/>
    <w:rsid w:val="00640659"/>
    <w:rsid w:val="00641078"/>
    <w:rsid w:val="00641242"/>
    <w:rsid w:val="00642A32"/>
    <w:rsid w:val="006433D5"/>
    <w:rsid w:val="00643F91"/>
    <w:rsid w:val="00646B20"/>
    <w:rsid w:val="00646D0F"/>
    <w:rsid w:val="0064708F"/>
    <w:rsid w:val="00647A36"/>
    <w:rsid w:val="00647CDF"/>
    <w:rsid w:val="00647DCC"/>
    <w:rsid w:val="00647EFA"/>
    <w:rsid w:val="00647F14"/>
    <w:rsid w:val="00650027"/>
    <w:rsid w:val="00651B9C"/>
    <w:rsid w:val="00651C47"/>
    <w:rsid w:val="00652854"/>
    <w:rsid w:val="00652E70"/>
    <w:rsid w:val="0065339A"/>
    <w:rsid w:val="00653469"/>
    <w:rsid w:val="00653F57"/>
    <w:rsid w:val="00654A38"/>
    <w:rsid w:val="00655301"/>
    <w:rsid w:val="00655371"/>
    <w:rsid w:val="00655876"/>
    <w:rsid w:val="00655D4C"/>
    <w:rsid w:val="00656070"/>
    <w:rsid w:val="00656C4B"/>
    <w:rsid w:val="006573EA"/>
    <w:rsid w:val="00661029"/>
    <w:rsid w:val="00661042"/>
    <w:rsid w:val="0066135A"/>
    <w:rsid w:val="0066272D"/>
    <w:rsid w:val="00662E58"/>
    <w:rsid w:val="00662F39"/>
    <w:rsid w:val="006635A0"/>
    <w:rsid w:val="00664351"/>
    <w:rsid w:val="00665575"/>
    <w:rsid w:val="00665968"/>
    <w:rsid w:val="00665BF7"/>
    <w:rsid w:val="00666178"/>
    <w:rsid w:val="0066639E"/>
    <w:rsid w:val="00666473"/>
    <w:rsid w:val="00666C72"/>
    <w:rsid w:val="00666E6C"/>
    <w:rsid w:val="0066707F"/>
    <w:rsid w:val="00667ED8"/>
    <w:rsid w:val="0067064C"/>
    <w:rsid w:val="00670B20"/>
    <w:rsid w:val="00670E12"/>
    <w:rsid w:val="00671A39"/>
    <w:rsid w:val="00672E80"/>
    <w:rsid w:val="006739E4"/>
    <w:rsid w:val="00673ECF"/>
    <w:rsid w:val="00673F26"/>
    <w:rsid w:val="0067426B"/>
    <w:rsid w:val="00674A1B"/>
    <w:rsid w:val="006754F8"/>
    <w:rsid w:val="00676127"/>
    <w:rsid w:val="00676AED"/>
    <w:rsid w:val="00676C2D"/>
    <w:rsid w:val="00677F03"/>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FFA"/>
    <w:rsid w:val="00693772"/>
    <w:rsid w:val="00694160"/>
    <w:rsid w:val="006942B0"/>
    <w:rsid w:val="006959A5"/>
    <w:rsid w:val="00695C0C"/>
    <w:rsid w:val="0069681B"/>
    <w:rsid w:val="00696A05"/>
    <w:rsid w:val="00697665"/>
    <w:rsid w:val="00697C9A"/>
    <w:rsid w:val="00697E68"/>
    <w:rsid w:val="006A0274"/>
    <w:rsid w:val="006A2A43"/>
    <w:rsid w:val="006A2BF1"/>
    <w:rsid w:val="006A2F9A"/>
    <w:rsid w:val="006A34E4"/>
    <w:rsid w:val="006A3A5A"/>
    <w:rsid w:val="006A44CF"/>
    <w:rsid w:val="006A457D"/>
    <w:rsid w:val="006A4941"/>
    <w:rsid w:val="006A55EE"/>
    <w:rsid w:val="006A575B"/>
    <w:rsid w:val="006A59DE"/>
    <w:rsid w:val="006A6655"/>
    <w:rsid w:val="006A6BF9"/>
    <w:rsid w:val="006A7999"/>
    <w:rsid w:val="006A7CB5"/>
    <w:rsid w:val="006A7FD0"/>
    <w:rsid w:val="006B025C"/>
    <w:rsid w:val="006B2534"/>
    <w:rsid w:val="006B2CB2"/>
    <w:rsid w:val="006B347D"/>
    <w:rsid w:val="006B3E19"/>
    <w:rsid w:val="006B4488"/>
    <w:rsid w:val="006B67AC"/>
    <w:rsid w:val="006B786A"/>
    <w:rsid w:val="006B7E4E"/>
    <w:rsid w:val="006C003A"/>
    <w:rsid w:val="006C092D"/>
    <w:rsid w:val="006C1393"/>
    <w:rsid w:val="006C2454"/>
    <w:rsid w:val="006C2551"/>
    <w:rsid w:val="006C37CA"/>
    <w:rsid w:val="006C40D2"/>
    <w:rsid w:val="006C4461"/>
    <w:rsid w:val="006C5B15"/>
    <w:rsid w:val="006C5D32"/>
    <w:rsid w:val="006C5DCB"/>
    <w:rsid w:val="006C70C4"/>
    <w:rsid w:val="006D04DA"/>
    <w:rsid w:val="006D05C0"/>
    <w:rsid w:val="006D10F6"/>
    <w:rsid w:val="006D1544"/>
    <w:rsid w:val="006D1688"/>
    <w:rsid w:val="006D1FF3"/>
    <w:rsid w:val="006D2C65"/>
    <w:rsid w:val="006D32C6"/>
    <w:rsid w:val="006D360E"/>
    <w:rsid w:val="006D3697"/>
    <w:rsid w:val="006D39D2"/>
    <w:rsid w:val="006D3F2A"/>
    <w:rsid w:val="006D41B2"/>
    <w:rsid w:val="006D4370"/>
    <w:rsid w:val="006D46A3"/>
    <w:rsid w:val="006D658F"/>
    <w:rsid w:val="006D69FA"/>
    <w:rsid w:val="006D6A12"/>
    <w:rsid w:val="006D712D"/>
    <w:rsid w:val="006D7687"/>
    <w:rsid w:val="006D7D1F"/>
    <w:rsid w:val="006D7D8A"/>
    <w:rsid w:val="006E0572"/>
    <w:rsid w:val="006E05D8"/>
    <w:rsid w:val="006E08EE"/>
    <w:rsid w:val="006E11F3"/>
    <w:rsid w:val="006E155A"/>
    <w:rsid w:val="006E3452"/>
    <w:rsid w:val="006E39D1"/>
    <w:rsid w:val="006E437F"/>
    <w:rsid w:val="006E4D5B"/>
    <w:rsid w:val="006E602F"/>
    <w:rsid w:val="006E6720"/>
    <w:rsid w:val="006E68FA"/>
    <w:rsid w:val="006E7275"/>
    <w:rsid w:val="006E77B8"/>
    <w:rsid w:val="006F15CC"/>
    <w:rsid w:val="006F2B09"/>
    <w:rsid w:val="006F4147"/>
    <w:rsid w:val="006F4315"/>
    <w:rsid w:val="006F458D"/>
    <w:rsid w:val="006F4A6D"/>
    <w:rsid w:val="006F4CB0"/>
    <w:rsid w:val="006F4F78"/>
    <w:rsid w:val="006F547E"/>
    <w:rsid w:val="006F5CA8"/>
    <w:rsid w:val="006F5CCF"/>
    <w:rsid w:val="006F6926"/>
    <w:rsid w:val="006F7607"/>
    <w:rsid w:val="006F772B"/>
    <w:rsid w:val="0070138A"/>
    <w:rsid w:val="0070157E"/>
    <w:rsid w:val="007030D4"/>
    <w:rsid w:val="0070317C"/>
    <w:rsid w:val="00703279"/>
    <w:rsid w:val="00703B61"/>
    <w:rsid w:val="00703E11"/>
    <w:rsid w:val="00704102"/>
    <w:rsid w:val="0070461C"/>
    <w:rsid w:val="00705631"/>
    <w:rsid w:val="00705818"/>
    <w:rsid w:val="00705F62"/>
    <w:rsid w:val="007074FF"/>
    <w:rsid w:val="0070773F"/>
    <w:rsid w:val="00707ED3"/>
    <w:rsid w:val="007101B7"/>
    <w:rsid w:val="00710668"/>
    <w:rsid w:val="00710A3D"/>
    <w:rsid w:val="007110F4"/>
    <w:rsid w:val="007112B1"/>
    <w:rsid w:val="0071130F"/>
    <w:rsid w:val="00712714"/>
    <w:rsid w:val="007128E3"/>
    <w:rsid w:val="007129AB"/>
    <w:rsid w:val="00712A16"/>
    <w:rsid w:val="00712B63"/>
    <w:rsid w:val="00713526"/>
    <w:rsid w:val="00713FC5"/>
    <w:rsid w:val="00715BBF"/>
    <w:rsid w:val="00715C29"/>
    <w:rsid w:val="00715CBD"/>
    <w:rsid w:val="00715EAA"/>
    <w:rsid w:val="00716CAD"/>
    <w:rsid w:val="00716F18"/>
    <w:rsid w:val="00717363"/>
    <w:rsid w:val="00717786"/>
    <w:rsid w:val="00717ACB"/>
    <w:rsid w:val="00720FAD"/>
    <w:rsid w:val="00721BFF"/>
    <w:rsid w:val="00722FD8"/>
    <w:rsid w:val="007236C4"/>
    <w:rsid w:val="00724635"/>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1358"/>
    <w:rsid w:val="00741626"/>
    <w:rsid w:val="00742332"/>
    <w:rsid w:val="00742886"/>
    <w:rsid w:val="00742DD2"/>
    <w:rsid w:val="00742E00"/>
    <w:rsid w:val="007437C6"/>
    <w:rsid w:val="007439EE"/>
    <w:rsid w:val="007441A2"/>
    <w:rsid w:val="00744E80"/>
    <w:rsid w:val="00744F88"/>
    <w:rsid w:val="00745035"/>
    <w:rsid w:val="0074531C"/>
    <w:rsid w:val="00745547"/>
    <w:rsid w:val="007459D0"/>
    <w:rsid w:val="0074623A"/>
    <w:rsid w:val="00746420"/>
    <w:rsid w:val="00746E04"/>
    <w:rsid w:val="00746E08"/>
    <w:rsid w:val="00746E3D"/>
    <w:rsid w:val="007473B9"/>
    <w:rsid w:val="00747529"/>
    <w:rsid w:val="00747C96"/>
    <w:rsid w:val="00750075"/>
    <w:rsid w:val="007502EC"/>
    <w:rsid w:val="00750382"/>
    <w:rsid w:val="0075094E"/>
    <w:rsid w:val="00750FA8"/>
    <w:rsid w:val="00750FB5"/>
    <w:rsid w:val="007522E8"/>
    <w:rsid w:val="00753BAC"/>
    <w:rsid w:val="00753C9B"/>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39C"/>
    <w:rsid w:val="007634AD"/>
    <w:rsid w:val="00766ECC"/>
    <w:rsid w:val="007672F3"/>
    <w:rsid w:val="007677B5"/>
    <w:rsid w:val="007678B1"/>
    <w:rsid w:val="007708A8"/>
    <w:rsid w:val="00772275"/>
    <w:rsid w:val="007723B1"/>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289"/>
    <w:rsid w:val="007825EF"/>
    <w:rsid w:val="0078286B"/>
    <w:rsid w:val="00782D2C"/>
    <w:rsid w:val="00782FC2"/>
    <w:rsid w:val="00784181"/>
    <w:rsid w:val="00784FC4"/>
    <w:rsid w:val="00785BBB"/>
    <w:rsid w:val="0078673D"/>
    <w:rsid w:val="00786FAD"/>
    <w:rsid w:val="007873C9"/>
    <w:rsid w:val="00787D90"/>
    <w:rsid w:val="00787F5E"/>
    <w:rsid w:val="00790164"/>
    <w:rsid w:val="007906E2"/>
    <w:rsid w:val="00790A24"/>
    <w:rsid w:val="00790A37"/>
    <w:rsid w:val="00790A60"/>
    <w:rsid w:val="0079146D"/>
    <w:rsid w:val="00791588"/>
    <w:rsid w:val="00791C32"/>
    <w:rsid w:val="00791FF0"/>
    <w:rsid w:val="007923D0"/>
    <w:rsid w:val="0079302C"/>
    <w:rsid w:val="007930D3"/>
    <w:rsid w:val="0079381F"/>
    <w:rsid w:val="00793B2E"/>
    <w:rsid w:val="00793D45"/>
    <w:rsid w:val="007948F5"/>
    <w:rsid w:val="00795647"/>
    <w:rsid w:val="007963F6"/>
    <w:rsid w:val="00796418"/>
    <w:rsid w:val="00796AE4"/>
    <w:rsid w:val="00796E80"/>
    <w:rsid w:val="007979AD"/>
    <w:rsid w:val="00797A9C"/>
    <w:rsid w:val="007A0EAB"/>
    <w:rsid w:val="007A2341"/>
    <w:rsid w:val="007A38A1"/>
    <w:rsid w:val="007A3967"/>
    <w:rsid w:val="007A3BBE"/>
    <w:rsid w:val="007A4766"/>
    <w:rsid w:val="007A5816"/>
    <w:rsid w:val="007A5947"/>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312A"/>
    <w:rsid w:val="007C3570"/>
    <w:rsid w:val="007C3F3B"/>
    <w:rsid w:val="007C4241"/>
    <w:rsid w:val="007C55FF"/>
    <w:rsid w:val="007C5A38"/>
    <w:rsid w:val="007C5A9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2A"/>
    <w:rsid w:val="007D5DE8"/>
    <w:rsid w:val="007D663C"/>
    <w:rsid w:val="007D71AD"/>
    <w:rsid w:val="007D7CFC"/>
    <w:rsid w:val="007E0812"/>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E11"/>
    <w:rsid w:val="007F2F90"/>
    <w:rsid w:val="007F3320"/>
    <w:rsid w:val="007F392A"/>
    <w:rsid w:val="007F3AC1"/>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116"/>
    <w:rsid w:val="00803700"/>
    <w:rsid w:val="00803D9D"/>
    <w:rsid w:val="0080422D"/>
    <w:rsid w:val="00805882"/>
    <w:rsid w:val="008059C6"/>
    <w:rsid w:val="00805AD7"/>
    <w:rsid w:val="00805BD6"/>
    <w:rsid w:val="00805DE3"/>
    <w:rsid w:val="00806516"/>
    <w:rsid w:val="00807C35"/>
    <w:rsid w:val="00807F69"/>
    <w:rsid w:val="008100F7"/>
    <w:rsid w:val="00810206"/>
    <w:rsid w:val="00811898"/>
    <w:rsid w:val="008124D8"/>
    <w:rsid w:val="00813A7B"/>
    <w:rsid w:val="00813F04"/>
    <w:rsid w:val="00814B72"/>
    <w:rsid w:val="00815DA5"/>
    <w:rsid w:val="00816221"/>
    <w:rsid w:val="0081766B"/>
    <w:rsid w:val="00820336"/>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35EE"/>
    <w:rsid w:val="00834128"/>
    <w:rsid w:val="0083417F"/>
    <w:rsid w:val="00835143"/>
    <w:rsid w:val="00835741"/>
    <w:rsid w:val="00836E74"/>
    <w:rsid w:val="00836EAB"/>
    <w:rsid w:val="00837673"/>
    <w:rsid w:val="00837937"/>
    <w:rsid w:val="00837D82"/>
    <w:rsid w:val="00840893"/>
    <w:rsid w:val="00840E88"/>
    <w:rsid w:val="008423EC"/>
    <w:rsid w:val="00842919"/>
    <w:rsid w:val="0084332E"/>
    <w:rsid w:val="00843615"/>
    <w:rsid w:val="00843698"/>
    <w:rsid w:val="00843A4B"/>
    <w:rsid w:val="00843B57"/>
    <w:rsid w:val="00843B60"/>
    <w:rsid w:val="00843D33"/>
    <w:rsid w:val="00843F04"/>
    <w:rsid w:val="00844D4F"/>
    <w:rsid w:val="00845AE3"/>
    <w:rsid w:val="008462A0"/>
    <w:rsid w:val="008466A0"/>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F0F"/>
    <w:rsid w:val="00861F53"/>
    <w:rsid w:val="0086289E"/>
    <w:rsid w:val="0086394E"/>
    <w:rsid w:val="00863F8A"/>
    <w:rsid w:val="00863FE3"/>
    <w:rsid w:val="00864241"/>
    <w:rsid w:val="0086468A"/>
    <w:rsid w:val="00864CD5"/>
    <w:rsid w:val="008650BE"/>
    <w:rsid w:val="0086633B"/>
    <w:rsid w:val="00866495"/>
    <w:rsid w:val="00866931"/>
    <w:rsid w:val="00867323"/>
    <w:rsid w:val="00867512"/>
    <w:rsid w:val="00867A6B"/>
    <w:rsid w:val="0087033C"/>
    <w:rsid w:val="00870B44"/>
    <w:rsid w:val="008715ED"/>
    <w:rsid w:val="008717D8"/>
    <w:rsid w:val="00871E3C"/>
    <w:rsid w:val="00872F97"/>
    <w:rsid w:val="00873162"/>
    <w:rsid w:val="00873863"/>
    <w:rsid w:val="00874607"/>
    <w:rsid w:val="00874915"/>
    <w:rsid w:val="00874B89"/>
    <w:rsid w:val="00875403"/>
    <w:rsid w:val="00875434"/>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680"/>
    <w:rsid w:val="00887C79"/>
    <w:rsid w:val="00890073"/>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6F86"/>
    <w:rsid w:val="00897066"/>
    <w:rsid w:val="0089774F"/>
    <w:rsid w:val="00897875"/>
    <w:rsid w:val="00897B8F"/>
    <w:rsid w:val="008A00D8"/>
    <w:rsid w:val="008A00D9"/>
    <w:rsid w:val="008A07D5"/>
    <w:rsid w:val="008A2A23"/>
    <w:rsid w:val="008A2AF5"/>
    <w:rsid w:val="008A2B5A"/>
    <w:rsid w:val="008A3F9D"/>
    <w:rsid w:val="008A5474"/>
    <w:rsid w:val="008A5C9A"/>
    <w:rsid w:val="008A6A55"/>
    <w:rsid w:val="008A6DF0"/>
    <w:rsid w:val="008A6F6E"/>
    <w:rsid w:val="008A7888"/>
    <w:rsid w:val="008A796E"/>
    <w:rsid w:val="008A7CCB"/>
    <w:rsid w:val="008B0862"/>
    <w:rsid w:val="008B088C"/>
    <w:rsid w:val="008B1BF5"/>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62D"/>
    <w:rsid w:val="008D66CA"/>
    <w:rsid w:val="008D69B1"/>
    <w:rsid w:val="008D7338"/>
    <w:rsid w:val="008E0012"/>
    <w:rsid w:val="008E0DF7"/>
    <w:rsid w:val="008E0FAA"/>
    <w:rsid w:val="008E0FAD"/>
    <w:rsid w:val="008E1347"/>
    <w:rsid w:val="008E16E0"/>
    <w:rsid w:val="008E1C15"/>
    <w:rsid w:val="008E1C9A"/>
    <w:rsid w:val="008E28BD"/>
    <w:rsid w:val="008E2EF5"/>
    <w:rsid w:val="008E38B4"/>
    <w:rsid w:val="008E3BA4"/>
    <w:rsid w:val="008E44AB"/>
    <w:rsid w:val="008E5179"/>
    <w:rsid w:val="008E6598"/>
    <w:rsid w:val="008E71B9"/>
    <w:rsid w:val="008E7214"/>
    <w:rsid w:val="008E7348"/>
    <w:rsid w:val="008E7884"/>
    <w:rsid w:val="008E7D6E"/>
    <w:rsid w:val="008F0481"/>
    <w:rsid w:val="008F1056"/>
    <w:rsid w:val="008F2E8D"/>
    <w:rsid w:val="008F387B"/>
    <w:rsid w:val="008F3DD9"/>
    <w:rsid w:val="008F4814"/>
    <w:rsid w:val="008F4DA6"/>
    <w:rsid w:val="008F538E"/>
    <w:rsid w:val="008F5A20"/>
    <w:rsid w:val="008F5ABA"/>
    <w:rsid w:val="008F7905"/>
    <w:rsid w:val="008F7989"/>
    <w:rsid w:val="009006F5"/>
    <w:rsid w:val="009026AF"/>
    <w:rsid w:val="009028E8"/>
    <w:rsid w:val="00902E5C"/>
    <w:rsid w:val="0090350D"/>
    <w:rsid w:val="009046E5"/>
    <w:rsid w:val="009047C5"/>
    <w:rsid w:val="00904C33"/>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6084"/>
    <w:rsid w:val="00927E8D"/>
    <w:rsid w:val="00927F23"/>
    <w:rsid w:val="00930698"/>
    <w:rsid w:val="009307CD"/>
    <w:rsid w:val="00931451"/>
    <w:rsid w:val="009314FA"/>
    <w:rsid w:val="009316C0"/>
    <w:rsid w:val="0093194F"/>
    <w:rsid w:val="00931BF3"/>
    <w:rsid w:val="00931C55"/>
    <w:rsid w:val="00933333"/>
    <w:rsid w:val="0093349A"/>
    <w:rsid w:val="009337B2"/>
    <w:rsid w:val="00933FCB"/>
    <w:rsid w:val="00934E69"/>
    <w:rsid w:val="00936472"/>
    <w:rsid w:val="009367D5"/>
    <w:rsid w:val="00937401"/>
    <w:rsid w:val="009376FB"/>
    <w:rsid w:val="00937D6B"/>
    <w:rsid w:val="00940477"/>
    <w:rsid w:val="00940876"/>
    <w:rsid w:val="00940A53"/>
    <w:rsid w:val="00940F3C"/>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F27"/>
    <w:rsid w:val="009609F0"/>
    <w:rsid w:val="00960BDB"/>
    <w:rsid w:val="0096147D"/>
    <w:rsid w:val="00961E5F"/>
    <w:rsid w:val="009625C6"/>
    <w:rsid w:val="00962861"/>
    <w:rsid w:val="009629B5"/>
    <w:rsid w:val="00962A50"/>
    <w:rsid w:val="009631BD"/>
    <w:rsid w:val="00964138"/>
    <w:rsid w:val="00964B3F"/>
    <w:rsid w:val="00964C98"/>
    <w:rsid w:val="00966214"/>
    <w:rsid w:val="009675D1"/>
    <w:rsid w:val="0096793C"/>
    <w:rsid w:val="00971441"/>
    <w:rsid w:val="009715D4"/>
    <w:rsid w:val="009739A9"/>
    <w:rsid w:val="00973AA2"/>
    <w:rsid w:val="0097494E"/>
    <w:rsid w:val="00974B58"/>
    <w:rsid w:val="009761ED"/>
    <w:rsid w:val="009801E7"/>
    <w:rsid w:val="0098022F"/>
    <w:rsid w:val="00980703"/>
    <w:rsid w:val="009810DE"/>
    <w:rsid w:val="009822D7"/>
    <w:rsid w:val="009827E6"/>
    <w:rsid w:val="00982F84"/>
    <w:rsid w:val="0098427D"/>
    <w:rsid w:val="00984567"/>
    <w:rsid w:val="00985102"/>
    <w:rsid w:val="009865D5"/>
    <w:rsid w:val="009876F2"/>
    <w:rsid w:val="00987C77"/>
    <w:rsid w:val="00990345"/>
    <w:rsid w:val="00990701"/>
    <w:rsid w:val="009908E5"/>
    <w:rsid w:val="0099119C"/>
    <w:rsid w:val="0099137A"/>
    <w:rsid w:val="0099211C"/>
    <w:rsid w:val="00993140"/>
    <w:rsid w:val="00993B78"/>
    <w:rsid w:val="00993E1D"/>
    <w:rsid w:val="0099483A"/>
    <w:rsid w:val="00995119"/>
    <w:rsid w:val="009953AD"/>
    <w:rsid w:val="0099583D"/>
    <w:rsid w:val="00996992"/>
    <w:rsid w:val="00996D6F"/>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D9B"/>
    <w:rsid w:val="009A6FDF"/>
    <w:rsid w:val="009A76D6"/>
    <w:rsid w:val="009B199E"/>
    <w:rsid w:val="009B2E29"/>
    <w:rsid w:val="009B3163"/>
    <w:rsid w:val="009B412E"/>
    <w:rsid w:val="009B422F"/>
    <w:rsid w:val="009B46BC"/>
    <w:rsid w:val="009B4D1A"/>
    <w:rsid w:val="009B558B"/>
    <w:rsid w:val="009B6801"/>
    <w:rsid w:val="009B6910"/>
    <w:rsid w:val="009B6D21"/>
    <w:rsid w:val="009B78ED"/>
    <w:rsid w:val="009C0E6B"/>
    <w:rsid w:val="009C181C"/>
    <w:rsid w:val="009C1C7F"/>
    <w:rsid w:val="009C28A2"/>
    <w:rsid w:val="009C3239"/>
    <w:rsid w:val="009C37EA"/>
    <w:rsid w:val="009C3828"/>
    <w:rsid w:val="009C3D2C"/>
    <w:rsid w:val="009C4987"/>
    <w:rsid w:val="009C523F"/>
    <w:rsid w:val="009C59BF"/>
    <w:rsid w:val="009C5E4F"/>
    <w:rsid w:val="009C5F64"/>
    <w:rsid w:val="009C5F82"/>
    <w:rsid w:val="009C6460"/>
    <w:rsid w:val="009C70F8"/>
    <w:rsid w:val="009C78A3"/>
    <w:rsid w:val="009D0156"/>
    <w:rsid w:val="009D05DA"/>
    <w:rsid w:val="009D0649"/>
    <w:rsid w:val="009D11F6"/>
    <w:rsid w:val="009D13B9"/>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D7F0A"/>
    <w:rsid w:val="009E0703"/>
    <w:rsid w:val="009E16DA"/>
    <w:rsid w:val="009E1CD4"/>
    <w:rsid w:val="009E2391"/>
    <w:rsid w:val="009E476A"/>
    <w:rsid w:val="009E4E05"/>
    <w:rsid w:val="009E56FF"/>
    <w:rsid w:val="009E5CB1"/>
    <w:rsid w:val="009E5E56"/>
    <w:rsid w:val="009E61EA"/>
    <w:rsid w:val="009E6990"/>
    <w:rsid w:val="009E6FEE"/>
    <w:rsid w:val="009F060F"/>
    <w:rsid w:val="009F0678"/>
    <w:rsid w:val="009F0781"/>
    <w:rsid w:val="009F0850"/>
    <w:rsid w:val="009F1BDF"/>
    <w:rsid w:val="009F1EAE"/>
    <w:rsid w:val="009F369D"/>
    <w:rsid w:val="009F36FE"/>
    <w:rsid w:val="009F4F25"/>
    <w:rsid w:val="009F59C2"/>
    <w:rsid w:val="009F7172"/>
    <w:rsid w:val="009F7263"/>
    <w:rsid w:val="009F76EA"/>
    <w:rsid w:val="009F78EB"/>
    <w:rsid w:val="009F7F32"/>
    <w:rsid w:val="009F7FEB"/>
    <w:rsid w:val="00A01212"/>
    <w:rsid w:val="00A01852"/>
    <w:rsid w:val="00A0188B"/>
    <w:rsid w:val="00A01E73"/>
    <w:rsid w:val="00A023E7"/>
    <w:rsid w:val="00A02B88"/>
    <w:rsid w:val="00A03160"/>
    <w:rsid w:val="00A035CB"/>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5FE5"/>
    <w:rsid w:val="00A16809"/>
    <w:rsid w:val="00A17769"/>
    <w:rsid w:val="00A17EA2"/>
    <w:rsid w:val="00A20264"/>
    <w:rsid w:val="00A20997"/>
    <w:rsid w:val="00A20D1D"/>
    <w:rsid w:val="00A21454"/>
    <w:rsid w:val="00A22025"/>
    <w:rsid w:val="00A22498"/>
    <w:rsid w:val="00A22571"/>
    <w:rsid w:val="00A24560"/>
    <w:rsid w:val="00A25B0F"/>
    <w:rsid w:val="00A25BBB"/>
    <w:rsid w:val="00A25F8E"/>
    <w:rsid w:val="00A264FC"/>
    <w:rsid w:val="00A27643"/>
    <w:rsid w:val="00A27F18"/>
    <w:rsid w:val="00A27FB6"/>
    <w:rsid w:val="00A30121"/>
    <w:rsid w:val="00A30368"/>
    <w:rsid w:val="00A3043A"/>
    <w:rsid w:val="00A30E02"/>
    <w:rsid w:val="00A30F6A"/>
    <w:rsid w:val="00A312E2"/>
    <w:rsid w:val="00A31BA2"/>
    <w:rsid w:val="00A31C3E"/>
    <w:rsid w:val="00A3366A"/>
    <w:rsid w:val="00A340AF"/>
    <w:rsid w:val="00A34538"/>
    <w:rsid w:val="00A34677"/>
    <w:rsid w:val="00A3483C"/>
    <w:rsid w:val="00A3540F"/>
    <w:rsid w:val="00A35630"/>
    <w:rsid w:val="00A35914"/>
    <w:rsid w:val="00A36189"/>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2A8"/>
    <w:rsid w:val="00A46574"/>
    <w:rsid w:val="00A467C4"/>
    <w:rsid w:val="00A500B1"/>
    <w:rsid w:val="00A5101D"/>
    <w:rsid w:val="00A52D3F"/>
    <w:rsid w:val="00A52EE5"/>
    <w:rsid w:val="00A53037"/>
    <w:rsid w:val="00A532B9"/>
    <w:rsid w:val="00A5351D"/>
    <w:rsid w:val="00A53E79"/>
    <w:rsid w:val="00A54031"/>
    <w:rsid w:val="00A5426D"/>
    <w:rsid w:val="00A54FC2"/>
    <w:rsid w:val="00A55122"/>
    <w:rsid w:val="00A568C7"/>
    <w:rsid w:val="00A56DE7"/>
    <w:rsid w:val="00A57EB2"/>
    <w:rsid w:val="00A6009E"/>
    <w:rsid w:val="00A60B1F"/>
    <w:rsid w:val="00A61C60"/>
    <w:rsid w:val="00A62589"/>
    <w:rsid w:val="00A62C3A"/>
    <w:rsid w:val="00A63812"/>
    <w:rsid w:val="00A63DF7"/>
    <w:rsid w:val="00A64505"/>
    <w:rsid w:val="00A668BA"/>
    <w:rsid w:val="00A66FA7"/>
    <w:rsid w:val="00A67DCF"/>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1323"/>
    <w:rsid w:val="00A820CB"/>
    <w:rsid w:val="00A82342"/>
    <w:rsid w:val="00A83A06"/>
    <w:rsid w:val="00A83BEF"/>
    <w:rsid w:val="00A84443"/>
    <w:rsid w:val="00A8487F"/>
    <w:rsid w:val="00A849A3"/>
    <w:rsid w:val="00A84A0E"/>
    <w:rsid w:val="00A86E0B"/>
    <w:rsid w:val="00A90F12"/>
    <w:rsid w:val="00A916D0"/>
    <w:rsid w:val="00A93101"/>
    <w:rsid w:val="00A94293"/>
    <w:rsid w:val="00A9496E"/>
    <w:rsid w:val="00A949F0"/>
    <w:rsid w:val="00A94BDE"/>
    <w:rsid w:val="00A94D26"/>
    <w:rsid w:val="00A94FCA"/>
    <w:rsid w:val="00A95B17"/>
    <w:rsid w:val="00A95E4C"/>
    <w:rsid w:val="00A96C60"/>
    <w:rsid w:val="00A9740B"/>
    <w:rsid w:val="00A97430"/>
    <w:rsid w:val="00A97548"/>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878"/>
    <w:rsid w:val="00AA7A60"/>
    <w:rsid w:val="00AA7B42"/>
    <w:rsid w:val="00AA7F4C"/>
    <w:rsid w:val="00AB041C"/>
    <w:rsid w:val="00AB09DA"/>
    <w:rsid w:val="00AB14E8"/>
    <w:rsid w:val="00AB1B1D"/>
    <w:rsid w:val="00AB2216"/>
    <w:rsid w:val="00AB30BE"/>
    <w:rsid w:val="00AB358D"/>
    <w:rsid w:val="00AB37A1"/>
    <w:rsid w:val="00AB3BAD"/>
    <w:rsid w:val="00AB3CFD"/>
    <w:rsid w:val="00AB49BC"/>
    <w:rsid w:val="00AB4DEE"/>
    <w:rsid w:val="00AB4E32"/>
    <w:rsid w:val="00AB579A"/>
    <w:rsid w:val="00AB724B"/>
    <w:rsid w:val="00AB726C"/>
    <w:rsid w:val="00AB72B4"/>
    <w:rsid w:val="00AB75CB"/>
    <w:rsid w:val="00AC02AA"/>
    <w:rsid w:val="00AC0537"/>
    <w:rsid w:val="00AC0A84"/>
    <w:rsid w:val="00AC2A0B"/>
    <w:rsid w:val="00AC2BEE"/>
    <w:rsid w:val="00AC2E53"/>
    <w:rsid w:val="00AC484F"/>
    <w:rsid w:val="00AC4B20"/>
    <w:rsid w:val="00AC56F2"/>
    <w:rsid w:val="00AC6886"/>
    <w:rsid w:val="00AC71C3"/>
    <w:rsid w:val="00AC780B"/>
    <w:rsid w:val="00AD1EFA"/>
    <w:rsid w:val="00AD2072"/>
    <w:rsid w:val="00AD2DBD"/>
    <w:rsid w:val="00AD2FBF"/>
    <w:rsid w:val="00AD455D"/>
    <w:rsid w:val="00AD463C"/>
    <w:rsid w:val="00AD46A2"/>
    <w:rsid w:val="00AD4F60"/>
    <w:rsid w:val="00AD5044"/>
    <w:rsid w:val="00AD5114"/>
    <w:rsid w:val="00AD5CED"/>
    <w:rsid w:val="00AD6123"/>
    <w:rsid w:val="00AD6236"/>
    <w:rsid w:val="00AD7619"/>
    <w:rsid w:val="00AD7770"/>
    <w:rsid w:val="00AE0C2C"/>
    <w:rsid w:val="00AE1772"/>
    <w:rsid w:val="00AE1990"/>
    <w:rsid w:val="00AE25E8"/>
    <w:rsid w:val="00AE2AD4"/>
    <w:rsid w:val="00AE2CA7"/>
    <w:rsid w:val="00AE2F1D"/>
    <w:rsid w:val="00AE4E52"/>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AF7F35"/>
    <w:rsid w:val="00B011A9"/>
    <w:rsid w:val="00B024ED"/>
    <w:rsid w:val="00B02EB3"/>
    <w:rsid w:val="00B02FCB"/>
    <w:rsid w:val="00B033F8"/>
    <w:rsid w:val="00B03C1E"/>
    <w:rsid w:val="00B04400"/>
    <w:rsid w:val="00B04835"/>
    <w:rsid w:val="00B05A55"/>
    <w:rsid w:val="00B05DE1"/>
    <w:rsid w:val="00B06081"/>
    <w:rsid w:val="00B06595"/>
    <w:rsid w:val="00B0742F"/>
    <w:rsid w:val="00B10109"/>
    <w:rsid w:val="00B10388"/>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2C58"/>
    <w:rsid w:val="00B22E22"/>
    <w:rsid w:val="00B22F5F"/>
    <w:rsid w:val="00B23813"/>
    <w:rsid w:val="00B23FD9"/>
    <w:rsid w:val="00B24542"/>
    <w:rsid w:val="00B24591"/>
    <w:rsid w:val="00B245D5"/>
    <w:rsid w:val="00B24C36"/>
    <w:rsid w:val="00B24F94"/>
    <w:rsid w:val="00B25126"/>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1A03"/>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79D"/>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D05"/>
    <w:rsid w:val="00B7709A"/>
    <w:rsid w:val="00B777FA"/>
    <w:rsid w:val="00B77850"/>
    <w:rsid w:val="00B7796B"/>
    <w:rsid w:val="00B80337"/>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608"/>
    <w:rsid w:val="00BB7942"/>
    <w:rsid w:val="00BB7CD1"/>
    <w:rsid w:val="00BC0F33"/>
    <w:rsid w:val="00BC14A7"/>
    <w:rsid w:val="00BC17CC"/>
    <w:rsid w:val="00BC229E"/>
    <w:rsid w:val="00BC2898"/>
    <w:rsid w:val="00BC2928"/>
    <w:rsid w:val="00BC2BB1"/>
    <w:rsid w:val="00BC34A3"/>
    <w:rsid w:val="00BC3FF9"/>
    <w:rsid w:val="00BC42EF"/>
    <w:rsid w:val="00BC4834"/>
    <w:rsid w:val="00BC4A97"/>
    <w:rsid w:val="00BC5A25"/>
    <w:rsid w:val="00BC5BBD"/>
    <w:rsid w:val="00BC5FDD"/>
    <w:rsid w:val="00BC68B4"/>
    <w:rsid w:val="00BD0140"/>
    <w:rsid w:val="00BD023B"/>
    <w:rsid w:val="00BD02CC"/>
    <w:rsid w:val="00BD1675"/>
    <w:rsid w:val="00BD2063"/>
    <w:rsid w:val="00BD33D9"/>
    <w:rsid w:val="00BD38C5"/>
    <w:rsid w:val="00BD3CF1"/>
    <w:rsid w:val="00BD3DEA"/>
    <w:rsid w:val="00BD3E97"/>
    <w:rsid w:val="00BD40E4"/>
    <w:rsid w:val="00BD4CD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7BA"/>
    <w:rsid w:val="00BE48C7"/>
    <w:rsid w:val="00BE4F66"/>
    <w:rsid w:val="00BE5238"/>
    <w:rsid w:val="00BE6074"/>
    <w:rsid w:val="00BE7257"/>
    <w:rsid w:val="00BF020D"/>
    <w:rsid w:val="00BF1DD2"/>
    <w:rsid w:val="00BF23A3"/>
    <w:rsid w:val="00BF2A7E"/>
    <w:rsid w:val="00BF2F6E"/>
    <w:rsid w:val="00BF3331"/>
    <w:rsid w:val="00BF3A45"/>
    <w:rsid w:val="00BF436F"/>
    <w:rsid w:val="00BF5723"/>
    <w:rsid w:val="00BF5C05"/>
    <w:rsid w:val="00BF6FC6"/>
    <w:rsid w:val="00BF7C52"/>
    <w:rsid w:val="00BF7F99"/>
    <w:rsid w:val="00C00713"/>
    <w:rsid w:val="00C009A0"/>
    <w:rsid w:val="00C01F74"/>
    <w:rsid w:val="00C02558"/>
    <w:rsid w:val="00C0285F"/>
    <w:rsid w:val="00C02DBF"/>
    <w:rsid w:val="00C02F35"/>
    <w:rsid w:val="00C03305"/>
    <w:rsid w:val="00C03515"/>
    <w:rsid w:val="00C03738"/>
    <w:rsid w:val="00C037A6"/>
    <w:rsid w:val="00C03DB7"/>
    <w:rsid w:val="00C043F5"/>
    <w:rsid w:val="00C044E3"/>
    <w:rsid w:val="00C04BDB"/>
    <w:rsid w:val="00C052C6"/>
    <w:rsid w:val="00C05A61"/>
    <w:rsid w:val="00C06CCF"/>
    <w:rsid w:val="00C108B8"/>
    <w:rsid w:val="00C11503"/>
    <w:rsid w:val="00C1159D"/>
    <w:rsid w:val="00C11683"/>
    <w:rsid w:val="00C118DB"/>
    <w:rsid w:val="00C1233E"/>
    <w:rsid w:val="00C125C1"/>
    <w:rsid w:val="00C12EBF"/>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206"/>
    <w:rsid w:val="00C358D4"/>
    <w:rsid w:val="00C36785"/>
    <w:rsid w:val="00C36845"/>
    <w:rsid w:val="00C3711C"/>
    <w:rsid w:val="00C37256"/>
    <w:rsid w:val="00C37A7B"/>
    <w:rsid w:val="00C37D88"/>
    <w:rsid w:val="00C37FFE"/>
    <w:rsid w:val="00C40223"/>
    <w:rsid w:val="00C40B50"/>
    <w:rsid w:val="00C4105D"/>
    <w:rsid w:val="00C41858"/>
    <w:rsid w:val="00C419E3"/>
    <w:rsid w:val="00C419F4"/>
    <w:rsid w:val="00C41E6A"/>
    <w:rsid w:val="00C42247"/>
    <w:rsid w:val="00C439BE"/>
    <w:rsid w:val="00C44972"/>
    <w:rsid w:val="00C44E61"/>
    <w:rsid w:val="00C4539B"/>
    <w:rsid w:val="00C45466"/>
    <w:rsid w:val="00C455C1"/>
    <w:rsid w:val="00C4581D"/>
    <w:rsid w:val="00C47472"/>
    <w:rsid w:val="00C500F0"/>
    <w:rsid w:val="00C504A7"/>
    <w:rsid w:val="00C506C9"/>
    <w:rsid w:val="00C50A16"/>
    <w:rsid w:val="00C5122B"/>
    <w:rsid w:val="00C51C9A"/>
    <w:rsid w:val="00C52C68"/>
    <w:rsid w:val="00C52D98"/>
    <w:rsid w:val="00C52FB7"/>
    <w:rsid w:val="00C53D24"/>
    <w:rsid w:val="00C54640"/>
    <w:rsid w:val="00C546C6"/>
    <w:rsid w:val="00C547A6"/>
    <w:rsid w:val="00C54A3A"/>
    <w:rsid w:val="00C5503F"/>
    <w:rsid w:val="00C55C32"/>
    <w:rsid w:val="00C56A67"/>
    <w:rsid w:val="00C56CC2"/>
    <w:rsid w:val="00C57498"/>
    <w:rsid w:val="00C5763C"/>
    <w:rsid w:val="00C5780C"/>
    <w:rsid w:val="00C5796B"/>
    <w:rsid w:val="00C619A1"/>
    <w:rsid w:val="00C62370"/>
    <w:rsid w:val="00C62545"/>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AFB"/>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87FF2"/>
    <w:rsid w:val="00C9005E"/>
    <w:rsid w:val="00C90111"/>
    <w:rsid w:val="00C90CA9"/>
    <w:rsid w:val="00C915F2"/>
    <w:rsid w:val="00C917B1"/>
    <w:rsid w:val="00C9193C"/>
    <w:rsid w:val="00C91B77"/>
    <w:rsid w:val="00C920E2"/>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36"/>
    <w:rsid w:val="00CD050A"/>
    <w:rsid w:val="00CD205D"/>
    <w:rsid w:val="00CD2A22"/>
    <w:rsid w:val="00CD2B50"/>
    <w:rsid w:val="00CD4506"/>
    <w:rsid w:val="00CD520B"/>
    <w:rsid w:val="00CD592E"/>
    <w:rsid w:val="00CD5982"/>
    <w:rsid w:val="00CD5A1A"/>
    <w:rsid w:val="00CD68FF"/>
    <w:rsid w:val="00CD7924"/>
    <w:rsid w:val="00CD7EFA"/>
    <w:rsid w:val="00CE020E"/>
    <w:rsid w:val="00CE0566"/>
    <w:rsid w:val="00CE1CD4"/>
    <w:rsid w:val="00CE23FE"/>
    <w:rsid w:val="00CE2761"/>
    <w:rsid w:val="00CE314E"/>
    <w:rsid w:val="00CE31F9"/>
    <w:rsid w:val="00CE3D5C"/>
    <w:rsid w:val="00CE3E14"/>
    <w:rsid w:val="00CE44C7"/>
    <w:rsid w:val="00CE53CC"/>
    <w:rsid w:val="00CE5AAD"/>
    <w:rsid w:val="00CE5FA4"/>
    <w:rsid w:val="00CE65A7"/>
    <w:rsid w:val="00CE68FE"/>
    <w:rsid w:val="00CE69CC"/>
    <w:rsid w:val="00CE6EC4"/>
    <w:rsid w:val="00CE7F26"/>
    <w:rsid w:val="00CF1226"/>
    <w:rsid w:val="00CF1ABB"/>
    <w:rsid w:val="00CF1E1D"/>
    <w:rsid w:val="00CF24FE"/>
    <w:rsid w:val="00CF35D0"/>
    <w:rsid w:val="00CF3DD5"/>
    <w:rsid w:val="00CF4AF7"/>
    <w:rsid w:val="00CF4D20"/>
    <w:rsid w:val="00CF6AC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BB"/>
    <w:rsid w:val="00D058E9"/>
    <w:rsid w:val="00D05D09"/>
    <w:rsid w:val="00D0612A"/>
    <w:rsid w:val="00D07455"/>
    <w:rsid w:val="00D1060D"/>
    <w:rsid w:val="00D10E7C"/>
    <w:rsid w:val="00D11182"/>
    <w:rsid w:val="00D1137B"/>
    <w:rsid w:val="00D11807"/>
    <w:rsid w:val="00D11DB3"/>
    <w:rsid w:val="00D12D82"/>
    <w:rsid w:val="00D1306E"/>
    <w:rsid w:val="00D134CD"/>
    <w:rsid w:val="00D13F22"/>
    <w:rsid w:val="00D14B5F"/>
    <w:rsid w:val="00D14E13"/>
    <w:rsid w:val="00D14F23"/>
    <w:rsid w:val="00D15356"/>
    <w:rsid w:val="00D16740"/>
    <w:rsid w:val="00D16A8B"/>
    <w:rsid w:val="00D16E39"/>
    <w:rsid w:val="00D17951"/>
    <w:rsid w:val="00D17AD8"/>
    <w:rsid w:val="00D2104A"/>
    <w:rsid w:val="00D21722"/>
    <w:rsid w:val="00D21BB5"/>
    <w:rsid w:val="00D21FFC"/>
    <w:rsid w:val="00D223B6"/>
    <w:rsid w:val="00D223E8"/>
    <w:rsid w:val="00D22A95"/>
    <w:rsid w:val="00D22DC8"/>
    <w:rsid w:val="00D2522A"/>
    <w:rsid w:val="00D2531C"/>
    <w:rsid w:val="00D2643E"/>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9A5"/>
    <w:rsid w:val="00D401BE"/>
    <w:rsid w:val="00D4043A"/>
    <w:rsid w:val="00D40A8E"/>
    <w:rsid w:val="00D40DB0"/>
    <w:rsid w:val="00D40F8B"/>
    <w:rsid w:val="00D41858"/>
    <w:rsid w:val="00D422DB"/>
    <w:rsid w:val="00D42AC2"/>
    <w:rsid w:val="00D42E7D"/>
    <w:rsid w:val="00D43B8A"/>
    <w:rsid w:val="00D44866"/>
    <w:rsid w:val="00D4498E"/>
    <w:rsid w:val="00D4515F"/>
    <w:rsid w:val="00D451E8"/>
    <w:rsid w:val="00D45D69"/>
    <w:rsid w:val="00D4636B"/>
    <w:rsid w:val="00D466C9"/>
    <w:rsid w:val="00D467D8"/>
    <w:rsid w:val="00D47275"/>
    <w:rsid w:val="00D50C39"/>
    <w:rsid w:val="00D51E15"/>
    <w:rsid w:val="00D52B7E"/>
    <w:rsid w:val="00D52E2F"/>
    <w:rsid w:val="00D52F59"/>
    <w:rsid w:val="00D530EE"/>
    <w:rsid w:val="00D53E3E"/>
    <w:rsid w:val="00D55904"/>
    <w:rsid w:val="00D5616F"/>
    <w:rsid w:val="00D57940"/>
    <w:rsid w:val="00D57D6A"/>
    <w:rsid w:val="00D60327"/>
    <w:rsid w:val="00D61526"/>
    <w:rsid w:val="00D61F81"/>
    <w:rsid w:val="00D62BE6"/>
    <w:rsid w:val="00D63766"/>
    <w:rsid w:val="00D638B7"/>
    <w:rsid w:val="00D63912"/>
    <w:rsid w:val="00D63923"/>
    <w:rsid w:val="00D6451B"/>
    <w:rsid w:val="00D64B57"/>
    <w:rsid w:val="00D65451"/>
    <w:rsid w:val="00D65DEA"/>
    <w:rsid w:val="00D65DFE"/>
    <w:rsid w:val="00D67BC7"/>
    <w:rsid w:val="00D701F1"/>
    <w:rsid w:val="00D705D3"/>
    <w:rsid w:val="00D708F2"/>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4E19"/>
    <w:rsid w:val="00D85494"/>
    <w:rsid w:val="00D8582C"/>
    <w:rsid w:val="00D85D61"/>
    <w:rsid w:val="00D8616D"/>
    <w:rsid w:val="00D86767"/>
    <w:rsid w:val="00D8711B"/>
    <w:rsid w:val="00D87384"/>
    <w:rsid w:val="00D90023"/>
    <w:rsid w:val="00D90127"/>
    <w:rsid w:val="00D90683"/>
    <w:rsid w:val="00D915C8"/>
    <w:rsid w:val="00D9261C"/>
    <w:rsid w:val="00D92B9B"/>
    <w:rsid w:val="00D9310B"/>
    <w:rsid w:val="00D93726"/>
    <w:rsid w:val="00D93DD3"/>
    <w:rsid w:val="00D93F3E"/>
    <w:rsid w:val="00D9405B"/>
    <w:rsid w:val="00D94942"/>
    <w:rsid w:val="00D95145"/>
    <w:rsid w:val="00D967CB"/>
    <w:rsid w:val="00D96EE0"/>
    <w:rsid w:val="00D97BD1"/>
    <w:rsid w:val="00DA008B"/>
    <w:rsid w:val="00DA04A6"/>
    <w:rsid w:val="00DA06B8"/>
    <w:rsid w:val="00DA286D"/>
    <w:rsid w:val="00DA2969"/>
    <w:rsid w:val="00DA29B7"/>
    <w:rsid w:val="00DA318E"/>
    <w:rsid w:val="00DA4842"/>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6207"/>
    <w:rsid w:val="00DB6E46"/>
    <w:rsid w:val="00DB7117"/>
    <w:rsid w:val="00DB76EC"/>
    <w:rsid w:val="00DB7760"/>
    <w:rsid w:val="00DB7DD4"/>
    <w:rsid w:val="00DC00B4"/>
    <w:rsid w:val="00DC0954"/>
    <w:rsid w:val="00DC15BA"/>
    <w:rsid w:val="00DC18CD"/>
    <w:rsid w:val="00DC1A68"/>
    <w:rsid w:val="00DC30B8"/>
    <w:rsid w:val="00DC32C6"/>
    <w:rsid w:val="00DC478F"/>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2B07"/>
    <w:rsid w:val="00DE3119"/>
    <w:rsid w:val="00DE3FF0"/>
    <w:rsid w:val="00DE4105"/>
    <w:rsid w:val="00DE5189"/>
    <w:rsid w:val="00DE6119"/>
    <w:rsid w:val="00DE6230"/>
    <w:rsid w:val="00DE67F5"/>
    <w:rsid w:val="00DE7108"/>
    <w:rsid w:val="00DE78D1"/>
    <w:rsid w:val="00DF0263"/>
    <w:rsid w:val="00DF0EB4"/>
    <w:rsid w:val="00DF1E36"/>
    <w:rsid w:val="00DF1FDB"/>
    <w:rsid w:val="00DF236B"/>
    <w:rsid w:val="00DF2A91"/>
    <w:rsid w:val="00DF30B5"/>
    <w:rsid w:val="00DF3889"/>
    <w:rsid w:val="00DF3CC9"/>
    <w:rsid w:val="00DF4451"/>
    <w:rsid w:val="00DF49FF"/>
    <w:rsid w:val="00DF4FFB"/>
    <w:rsid w:val="00DF5236"/>
    <w:rsid w:val="00DF651F"/>
    <w:rsid w:val="00DF6E10"/>
    <w:rsid w:val="00DF6F43"/>
    <w:rsid w:val="00DF752F"/>
    <w:rsid w:val="00DF76A2"/>
    <w:rsid w:val="00DF7B33"/>
    <w:rsid w:val="00DF7DF9"/>
    <w:rsid w:val="00E00B7A"/>
    <w:rsid w:val="00E02186"/>
    <w:rsid w:val="00E026BB"/>
    <w:rsid w:val="00E027C5"/>
    <w:rsid w:val="00E027D8"/>
    <w:rsid w:val="00E02F1C"/>
    <w:rsid w:val="00E03124"/>
    <w:rsid w:val="00E03951"/>
    <w:rsid w:val="00E03DB8"/>
    <w:rsid w:val="00E05E70"/>
    <w:rsid w:val="00E05FD6"/>
    <w:rsid w:val="00E064BC"/>
    <w:rsid w:val="00E07225"/>
    <w:rsid w:val="00E07AAA"/>
    <w:rsid w:val="00E109DD"/>
    <w:rsid w:val="00E11229"/>
    <w:rsid w:val="00E114CA"/>
    <w:rsid w:val="00E11CF0"/>
    <w:rsid w:val="00E1397F"/>
    <w:rsid w:val="00E13AB8"/>
    <w:rsid w:val="00E1482E"/>
    <w:rsid w:val="00E16382"/>
    <w:rsid w:val="00E1699C"/>
    <w:rsid w:val="00E16E75"/>
    <w:rsid w:val="00E1746D"/>
    <w:rsid w:val="00E2012A"/>
    <w:rsid w:val="00E205A2"/>
    <w:rsid w:val="00E20BA4"/>
    <w:rsid w:val="00E21FE3"/>
    <w:rsid w:val="00E23137"/>
    <w:rsid w:val="00E23980"/>
    <w:rsid w:val="00E241E9"/>
    <w:rsid w:val="00E257C3"/>
    <w:rsid w:val="00E25CB3"/>
    <w:rsid w:val="00E25DA4"/>
    <w:rsid w:val="00E26796"/>
    <w:rsid w:val="00E26CB8"/>
    <w:rsid w:val="00E26FCF"/>
    <w:rsid w:val="00E27165"/>
    <w:rsid w:val="00E27226"/>
    <w:rsid w:val="00E3044A"/>
    <w:rsid w:val="00E31881"/>
    <w:rsid w:val="00E31A4A"/>
    <w:rsid w:val="00E3344A"/>
    <w:rsid w:val="00E33B29"/>
    <w:rsid w:val="00E33B62"/>
    <w:rsid w:val="00E3403D"/>
    <w:rsid w:val="00E34616"/>
    <w:rsid w:val="00E34E6C"/>
    <w:rsid w:val="00E350D8"/>
    <w:rsid w:val="00E353E2"/>
    <w:rsid w:val="00E35D39"/>
    <w:rsid w:val="00E36345"/>
    <w:rsid w:val="00E36C86"/>
    <w:rsid w:val="00E36CEB"/>
    <w:rsid w:val="00E37A28"/>
    <w:rsid w:val="00E40430"/>
    <w:rsid w:val="00E40690"/>
    <w:rsid w:val="00E40AEB"/>
    <w:rsid w:val="00E4143A"/>
    <w:rsid w:val="00E421AB"/>
    <w:rsid w:val="00E424C8"/>
    <w:rsid w:val="00E4251D"/>
    <w:rsid w:val="00E43D00"/>
    <w:rsid w:val="00E445E4"/>
    <w:rsid w:val="00E457CB"/>
    <w:rsid w:val="00E45D47"/>
    <w:rsid w:val="00E45DE4"/>
    <w:rsid w:val="00E45E63"/>
    <w:rsid w:val="00E50A7B"/>
    <w:rsid w:val="00E50B0B"/>
    <w:rsid w:val="00E510FE"/>
    <w:rsid w:val="00E51632"/>
    <w:rsid w:val="00E51E25"/>
    <w:rsid w:val="00E5205B"/>
    <w:rsid w:val="00E521AE"/>
    <w:rsid w:val="00E53BCA"/>
    <w:rsid w:val="00E53F02"/>
    <w:rsid w:val="00E54534"/>
    <w:rsid w:val="00E5457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0850"/>
    <w:rsid w:val="00E70E47"/>
    <w:rsid w:val="00E724E7"/>
    <w:rsid w:val="00E72B41"/>
    <w:rsid w:val="00E7347B"/>
    <w:rsid w:val="00E73D03"/>
    <w:rsid w:val="00E7471C"/>
    <w:rsid w:val="00E7498A"/>
    <w:rsid w:val="00E7514E"/>
    <w:rsid w:val="00E75B34"/>
    <w:rsid w:val="00E77AF5"/>
    <w:rsid w:val="00E8029A"/>
    <w:rsid w:val="00E823F9"/>
    <w:rsid w:val="00E82C1F"/>
    <w:rsid w:val="00E83671"/>
    <w:rsid w:val="00E84A71"/>
    <w:rsid w:val="00E84D13"/>
    <w:rsid w:val="00E86556"/>
    <w:rsid w:val="00E86798"/>
    <w:rsid w:val="00E86D35"/>
    <w:rsid w:val="00E86DC2"/>
    <w:rsid w:val="00E86E32"/>
    <w:rsid w:val="00E8732E"/>
    <w:rsid w:val="00E9011F"/>
    <w:rsid w:val="00E906EB"/>
    <w:rsid w:val="00E9160D"/>
    <w:rsid w:val="00E9241E"/>
    <w:rsid w:val="00E92460"/>
    <w:rsid w:val="00E92E62"/>
    <w:rsid w:val="00E93804"/>
    <w:rsid w:val="00E93A86"/>
    <w:rsid w:val="00E94DA5"/>
    <w:rsid w:val="00E95434"/>
    <w:rsid w:val="00E96467"/>
    <w:rsid w:val="00E966DA"/>
    <w:rsid w:val="00E96948"/>
    <w:rsid w:val="00E9737B"/>
    <w:rsid w:val="00E97A3F"/>
    <w:rsid w:val="00E97F0A"/>
    <w:rsid w:val="00EA0100"/>
    <w:rsid w:val="00EA04DC"/>
    <w:rsid w:val="00EA0886"/>
    <w:rsid w:val="00EA0BCE"/>
    <w:rsid w:val="00EA16E1"/>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AB1"/>
    <w:rsid w:val="00EC1CE7"/>
    <w:rsid w:val="00EC26F1"/>
    <w:rsid w:val="00EC36B1"/>
    <w:rsid w:val="00EC3C94"/>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2F"/>
    <w:rsid w:val="00EE1668"/>
    <w:rsid w:val="00EE366D"/>
    <w:rsid w:val="00EE46A2"/>
    <w:rsid w:val="00EE4BEE"/>
    <w:rsid w:val="00EE5454"/>
    <w:rsid w:val="00EE58B8"/>
    <w:rsid w:val="00EE59B5"/>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1E67"/>
    <w:rsid w:val="00F02744"/>
    <w:rsid w:val="00F02BFD"/>
    <w:rsid w:val="00F02D25"/>
    <w:rsid w:val="00F04269"/>
    <w:rsid w:val="00F0435D"/>
    <w:rsid w:val="00F04580"/>
    <w:rsid w:val="00F04ECA"/>
    <w:rsid w:val="00F05BFB"/>
    <w:rsid w:val="00F06E19"/>
    <w:rsid w:val="00F06F84"/>
    <w:rsid w:val="00F076E7"/>
    <w:rsid w:val="00F07AA1"/>
    <w:rsid w:val="00F105AE"/>
    <w:rsid w:val="00F10618"/>
    <w:rsid w:val="00F1108B"/>
    <w:rsid w:val="00F11768"/>
    <w:rsid w:val="00F11951"/>
    <w:rsid w:val="00F12262"/>
    <w:rsid w:val="00F12AF8"/>
    <w:rsid w:val="00F12C52"/>
    <w:rsid w:val="00F12D59"/>
    <w:rsid w:val="00F148B7"/>
    <w:rsid w:val="00F14EA9"/>
    <w:rsid w:val="00F14F7B"/>
    <w:rsid w:val="00F15505"/>
    <w:rsid w:val="00F15BFF"/>
    <w:rsid w:val="00F16A7B"/>
    <w:rsid w:val="00F213A0"/>
    <w:rsid w:val="00F21A51"/>
    <w:rsid w:val="00F21D54"/>
    <w:rsid w:val="00F21EF4"/>
    <w:rsid w:val="00F2230E"/>
    <w:rsid w:val="00F23113"/>
    <w:rsid w:val="00F23255"/>
    <w:rsid w:val="00F23393"/>
    <w:rsid w:val="00F23759"/>
    <w:rsid w:val="00F23B7F"/>
    <w:rsid w:val="00F24644"/>
    <w:rsid w:val="00F256FD"/>
    <w:rsid w:val="00F26F33"/>
    <w:rsid w:val="00F26F4F"/>
    <w:rsid w:val="00F300A8"/>
    <w:rsid w:val="00F30400"/>
    <w:rsid w:val="00F3079E"/>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46CF"/>
    <w:rsid w:val="00F4518D"/>
    <w:rsid w:val="00F45B91"/>
    <w:rsid w:val="00F46639"/>
    <w:rsid w:val="00F46692"/>
    <w:rsid w:val="00F47AAA"/>
    <w:rsid w:val="00F50183"/>
    <w:rsid w:val="00F50D92"/>
    <w:rsid w:val="00F51765"/>
    <w:rsid w:val="00F51A51"/>
    <w:rsid w:val="00F51CB4"/>
    <w:rsid w:val="00F51ED2"/>
    <w:rsid w:val="00F52324"/>
    <w:rsid w:val="00F52950"/>
    <w:rsid w:val="00F52C9D"/>
    <w:rsid w:val="00F533F1"/>
    <w:rsid w:val="00F55679"/>
    <w:rsid w:val="00F561E3"/>
    <w:rsid w:val="00F565E6"/>
    <w:rsid w:val="00F567E4"/>
    <w:rsid w:val="00F56AFA"/>
    <w:rsid w:val="00F575E2"/>
    <w:rsid w:val="00F579FF"/>
    <w:rsid w:val="00F600E0"/>
    <w:rsid w:val="00F600FD"/>
    <w:rsid w:val="00F605EC"/>
    <w:rsid w:val="00F6091B"/>
    <w:rsid w:val="00F60CFA"/>
    <w:rsid w:val="00F60F60"/>
    <w:rsid w:val="00F612CE"/>
    <w:rsid w:val="00F624A7"/>
    <w:rsid w:val="00F62AB6"/>
    <w:rsid w:val="00F63107"/>
    <w:rsid w:val="00F653F0"/>
    <w:rsid w:val="00F65A3C"/>
    <w:rsid w:val="00F66282"/>
    <w:rsid w:val="00F67D8B"/>
    <w:rsid w:val="00F70920"/>
    <w:rsid w:val="00F70961"/>
    <w:rsid w:val="00F70A8F"/>
    <w:rsid w:val="00F71397"/>
    <w:rsid w:val="00F72389"/>
    <w:rsid w:val="00F72516"/>
    <w:rsid w:val="00F72FB4"/>
    <w:rsid w:val="00F735E5"/>
    <w:rsid w:val="00F73E80"/>
    <w:rsid w:val="00F7469C"/>
    <w:rsid w:val="00F7492E"/>
    <w:rsid w:val="00F74945"/>
    <w:rsid w:val="00F749A3"/>
    <w:rsid w:val="00F74A04"/>
    <w:rsid w:val="00F74AE8"/>
    <w:rsid w:val="00F757A8"/>
    <w:rsid w:val="00F76C11"/>
    <w:rsid w:val="00F77021"/>
    <w:rsid w:val="00F77E61"/>
    <w:rsid w:val="00F80DAD"/>
    <w:rsid w:val="00F815AC"/>
    <w:rsid w:val="00F82775"/>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A0D"/>
    <w:rsid w:val="00F90C4D"/>
    <w:rsid w:val="00F9167D"/>
    <w:rsid w:val="00F91CB2"/>
    <w:rsid w:val="00F9289C"/>
    <w:rsid w:val="00F92AC2"/>
    <w:rsid w:val="00F933A1"/>
    <w:rsid w:val="00F93924"/>
    <w:rsid w:val="00F93DBC"/>
    <w:rsid w:val="00F93E41"/>
    <w:rsid w:val="00F94644"/>
    <w:rsid w:val="00F9537B"/>
    <w:rsid w:val="00F963FC"/>
    <w:rsid w:val="00FA015F"/>
    <w:rsid w:val="00FA0FAC"/>
    <w:rsid w:val="00FA1DA2"/>
    <w:rsid w:val="00FA2420"/>
    <w:rsid w:val="00FA3414"/>
    <w:rsid w:val="00FA347A"/>
    <w:rsid w:val="00FA3CDE"/>
    <w:rsid w:val="00FA49B7"/>
    <w:rsid w:val="00FA5043"/>
    <w:rsid w:val="00FA5280"/>
    <w:rsid w:val="00FA6F8B"/>
    <w:rsid w:val="00FA7A30"/>
    <w:rsid w:val="00FB033F"/>
    <w:rsid w:val="00FB12E3"/>
    <w:rsid w:val="00FB1570"/>
    <w:rsid w:val="00FB193B"/>
    <w:rsid w:val="00FB1FBC"/>
    <w:rsid w:val="00FB27B7"/>
    <w:rsid w:val="00FB3483"/>
    <w:rsid w:val="00FB35E3"/>
    <w:rsid w:val="00FB583C"/>
    <w:rsid w:val="00FB6176"/>
    <w:rsid w:val="00FB62CE"/>
    <w:rsid w:val="00FB630E"/>
    <w:rsid w:val="00FB6738"/>
    <w:rsid w:val="00FB691B"/>
    <w:rsid w:val="00FB6949"/>
    <w:rsid w:val="00FB69D3"/>
    <w:rsid w:val="00FB731C"/>
    <w:rsid w:val="00FC05A0"/>
    <w:rsid w:val="00FC0811"/>
    <w:rsid w:val="00FC1196"/>
    <w:rsid w:val="00FC15EB"/>
    <w:rsid w:val="00FC18DC"/>
    <w:rsid w:val="00FC19C1"/>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C7F1B"/>
    <w:rsid w:val="00FD04AE"/>
    <w:rsid w:val="00FD1890"/>
    <w:rsid w:val="00FD1994"/>
    <w:rsid w:val="00FD2CA6"/>
    <w:rsid w:val="00FD3508"/>
    <w:rsid w:val="00FD393C"/>
    <w:rsid w:val="00FD43BB"/>
    <w:rsid w:val="00FD4AF3"/>
    <w:rsid w:val="00FD798D"/>
    <w:rsid w:val="00FD7FB9"/>
    <w:rsid w:val="00FE0AC2"/>
    <w:rsid w:val="00FE141E"/>
    <w:rsid w:val="00FE144E"/>
    <w:rsid w:val="00FE1768"/>
    <w:rsid w:val="00FE24F4"/>
    <w:rsid w:val="00FE2560"/>
    <w:rsid w:val="00FE35D0"/>
    <w:rsid w:val="00FE3BAD"/>
    <w:rsid w:val="00FE41AC"/>
    <w:rsid w:val="00FE42ED"/>
    <w:rsid w:val="00FE55A7"/>
    <w:rsid w:val="00FE55E6"/>
    <w:rsid w:val="00FE56D5"/>
    <w:rsid w:val="00FE5C5A"/>
    <w:rsid w:val="00FE6432"/>
    <w:rsid w:val="00FE714F"/>
    <w:rsid w:val="00FE72A0"/>
    <w:rsid w:val="00FF0050"/>
    <w:rsid w:val="00FF045F"/>
    <w:rsid w:val="00FF13D4"/>
    <w:rsid w:val="00FF2053"/>
    <w:rsid w:val="00FF22CB"/>
    <w:rsid w:val="00FF3382"/>
    <w:rsid w:val="00FF3B37"/>
    <w:rsid w:val="00FF3D6F"/>
    <w:rsid w:val="00FF4BD8"/>
    <w:rsid w:val="00FF4D11"/>
    <w:rsid w:val="00FF5214"/>
    <w:rsid w:val="00FF5877"/>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1B9"/>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character" w:styleId="Mencinsinresolver">
    <w:name w:val="Unresolved Mention"/>
    <w:basedOn w:val="Fuentedeprrafopredeter"/>
    <w:uiPriority w:val="99"/>
    <w:semiHidden/>
    <w:unhideWhenUsed/>
    <w:rsid w:val="004A4241"/>
    <w:rPr>
      <w:color w:val="605E5C"/>
      <w:shd w:val="clear" w:color="auto" w:fill="E1DFDD"/>
    </w:rPr>
  </w:style>
  <w:style w:type="paragraph" w:styleId="Revisin">
    <w:name w:val="Revision"/>
    <w:hidden/>
    <w:uiPriority w:val="99"/>
    <w:semiHidden/>
    <w:rsid w:val="009C6460"/>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097834">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645136">
      <w:bodyDiv w:val="1"/>
      <w:marLeft w:val="0"/>
      <w:marRight w:val="0"/>
      <w:marTop w:val="0"/>
      <w:marBottom w:val="0"/>
      <w:divBdr>
        <w:top w:val="none" w:sz="0" w:space="0" w:color="auto"/>
        <w:left w:val="none" w:sz="0" w:space="0" w:color="auto"/>
        <w:bottom w:val="none" w:sz="0" w:space="0" w:color="auto"/>
        <w:right w:val="none" w:sz="0" w:space="0" w:color="auto"/>
      </w:divBdr>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0745468">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3923135">
      <w:bodyDiv w:val="1"/>
      <w:marLeft w:val="0"/>
      <w:marRight w:val="0"/>
      <w:marTop w:val="0"/>
      <w:marBottom w:val="0"/>
      <w:divBdr>
        <w:top w:val="none" w:sz="0" w:space="0" w:color="auto"/>
        <w:left w:val="none" w:sz="0" w:space="0" w:color="auto"/>
        <w:bottom w:val="none" w:sz="0" w:space="0" w:color="auto"/>
        <w:right w:val="none" w:sz="0" w:space="0" w:color="auto"/>
      </w:divBdr>
    </w:div>
    <w:div w:id="677346864">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7169653">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3922021">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1501415">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560749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leyes.senado.gov.co/proyectos/images/documentos/Textos%20Radicados/Ponencias/2019/gaceta_1187.pdf" TargetMode="External"/><Relationship Id="rId3" Type="http://schemas.openxmlformats.org/officeDocument/2006/relationships/hyperlink" Target="https://www.contraloria.gov.co/web/relatoria/normatividad-y-relatoria" TargetMode="External"/><Relationship Id="rId7" Type="http://schemas.openxmlformats.org/officeDocument/2006/relationships/hyperlink" Target="http://leyes.senado.gov.co/proyectos/images/documentos/Textos%20Radicados/Ponencias/2019/gaceta_963.pdf" TargetMode="External"/><Relationship Id="rId2" Type="http://schemas.openxmlformats.org/officeDocument/2006/relationships/hyperlink" Target="https://www.contraloria.gov.co/documents/20181/1776254/CIRCULAR_2020EE0096013_REGISTRO_NACIONAL_OBRAS_INCONCLUSAS.PDF/785952d4-4b41-48cb-916b-4881c3b4a095" TargetMode="External"/><Relationship Id="rId1" Type="http://schemas.openxmlformats.org/officeDocument/2006/relationships/hyperlink" Target="http://svrpubindc.imprenta.gov.co/senado/index.xhtml;jsessionid=b3ba7213a248bacd37376ffcedca" TargetMode="External"/><Relationship Id="rId6" Type="http://schemas.openxmlformats.org/officeDocument/2006/relationships/hyperlink" Target="http://leyes.senado.gov.co/proyectos/images/documentos/Textos%20Radicados/Ponencias/2019/gaceta_423.pdf" TargetMode="External"/><Relationship Id="rId5" Type="http://schemas.openxmlformats.org/officeDocument/2006/relationships/hyperlink" Target="http://leyes.senado.gov.co/proyectos/images/documentos/Textos%20Radicados/Ponencias/2018/gaceta_1154.pdf" TargetMode="External"/><Relationship Id="rId4" Type="http://schemas.openxmlformats.org/officeDocument/2006/relationships/hyperlink" Target="http://leyes.senado.gov.co/proyectos/images/documentos/Textos%20Radicados/Ponencias/2018/gaceta_56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B403457-0D1F-4CEC-BE31-277489902569}">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FDFF013-84EE-4EFD-B10F-F695C18CDABD}"/>
</file>

<file path=docProps/app.xml><?xml version="1.0" encoding="utf-8"?>
<Properties xmlns="http://schemas.openxmlformats.org/officeDocument/2006/extended-properties" xmlns:vt="http://schemas.openxmlformats.org/officeDocument/2006/docPropsVTypes">
  <Template>Respuesta a consultas</Template>
  <TotalTime>9</TotalTime>
  <Pages>21</Pages>
  <Words>8563</Words>
  <Characters>47099</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2021-11-11T19:35:00Z</dcterms:created>
  <dcterms:modified xsi:type="dcterms:W3CDTF">2021-11-11T19:43:00Z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