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73503" w14:textId="574F1FA4" w:rsidR="0055203C" w:rsidRPr="0033634D" w:rsidRDefault="0055203C" w:rsidP="0055203C">
      <w:pPr>
        <w:spacing w:after="0" w:line="240" w:lineRule="auto"/>
        <w:jc w:val="both"/>
        <w:rPr>
          <w:rFonts w:ascii="Verdana" w:hAnsi="Verdana" w:cs="Arial"/>
          <w:b/>
          <w:color w:val="000000" w:themeColor="text1"/>
          <w:lang w:val="es-ES"/>
        </w:rPr>
      </w:pPr>
      <w:r w:rsidRPr="0033634D">
        <w:rPr>
          <w:rFonts w:ascii="Verdana" w:hAnsi="Verdana" w:cs="Arial"/>
          <w:b/>
          <w:color w:val="000000" w:themeColor="text1"/>
          <w:lang w:val="es-ES"/>
        </w:rPr>
        <w:t xml:space="preserve">PERSONAS EN CONDICIÓN DE DISCAPACIDAD </w:t>
      </w:r>
      <w:r w:rsidR="002E4064" w:rsidRPr="002E4064">
        <w:rPr>
          <w:rFonts w:ascii="Verdana" w:hAnsi="Verdana" w:cs="Arial"/>
          <w:b/>
          <w:bCs/>
          <w:color w:val="000000" w:themeColor="text1"/>
          <w:lang w:val="es-ES"/>
        </w:rPr>
        <w:t>–</w:t>
      </w:r>
      <w:r w:rsidRPr="0033634D">
        <w:rPr>
          <w:rFonts w:ascii="Verdana" w:hAnsi="Verdana" w:cs="Arial"/>
          <w:b/>
          <w:color w:val="000000" w:themeColor="text1"/>
          <w:lang w:val="es-ES"/>
        </w:rPr>
        <w:t xml:space="preserve"> Decreto 392 de 2018 </w:t>
      </w:r>
      <w:r w:rsidR="002E4064" w:rsidRPr="002E4064">
        <w:rPr>
          <w:rFonts w:ascii="Verdana" w:hAnsi="Verdana" w:cs="Arial"/>
          <w:b/>
          <w:bCs/>
          <w:color w:val="000000" w:themeColor="text1"/>
          <w:lang w:val="es-ES"/>
        </w:rPr>
        <w:t>–</w:t>
      </w:r>
      <w:r w:rsidRPr="0033634D">
        <w:rPr>
          <w:rFonts w:ascii="Verdana" w:hAnsi="Verdana" w:cs="Arial"/>
          <w:b/>
          <w:color w:val="000000" w:themeColor="text1"/>
          <w:lang w:val="es-ES"/>
        </w:rPr>
        <w:t xml:space="preserve"> Desarrollo normativo</w:t>
      </w:r>
    </w:p>
    <w:p w14:paraId="2F0966D1" w14:textId="77777777" w:rsidR="0055203C" w:rsidRPr="0033634D" w:rsidRDefault="0055203C" w:rsidP="0055203C">
      <w:pPr>
        <w:spacing w:after="0" w:line="240" w:lineRule="auto"/>
        <w:jc w:val="both"/>
        <w:rPr>
          <w:rFonts w:ascii="Verdana" w:hAnsi="Verdana" w:cs="Arial"/>
          <w:b/>
          <w:color w:val="000000" w:themeColor="text1"/>
          <w:sz w:val="20"/>
          <w:szCs w:val="20"/>
          <w:lang w:val="es-ES"/>
        </w:rPr>
      </w:pPr>
    </w:p>
    <w:p w14:paraId="16BA38A5" w14:textId="77777777" w:rsidR="0055203C" w:rsidRDefault="0055203C" w:rsidP="0055203C">
      <w:pPr>
        <w:spacing w:after="0" w:line="240" w:lineRule="auto"/>
        <w:jc w:val="both"/>
        <w:rPr>
          <w:rFonts w:ascii="Verdana" w:hAnsi="Verdana" w:cs="Arial"/>
          <w:color w:val="000000" w:themeColor="text1"/>
          <w:sz w:val="20"/>
          <w:szCs w:val="20"/>
          <w:lang w:val="es-ES"/>
        </w:rPr>
      </w:pPr>
      <w:r w:rsidRPr="0033634D">
        <w:rPr>
          <w:rFonts w:ascii="Verdana" w:hAnsi="Verdana" w:cs="Arial"/>
          <w:bCs/>
          <w:color w:val="000000" w:themeColor="text1"/>
          <w:sz w:val="20"/>
          <w:szCs w:val="20"/>
          <w:lang w:val="es-ES"/>
        </w:rPr>
        <w:t>En aras de garantizar el derecho al trabajo en términos de igualdad de oportunidades para las personas en condición de discapacidad, el artículo 13 de Ley 1618 de 2013 estableció acciones afirmativas en el marco del sistema de compras públicas y ordenó al Gobierno Nacional expedir el decreto reglamentario que determinara una puntuación adicional y un sistema de preferencias en los procesos de contratación estatal</w:t>
      </w:r>
      <w:r w:rsidRPr="0033634D">
        <w:rPr>
          <w:rFonts w:ascii="Verdana" w:hAnsi="Verdana" w:cs="Arial"/>
          <w:color w:val="000000" w:themeColor="text1"/>
          <w:sz w:val="20"/>
          <w:szCs w:val="20"/>
          <w:lang w:val="es-ES"/>
        </w:rPr>
        <w:t>.</w:t>
      </w:r>
    </w:p>
    <w:p w14:paraId="54DFA2AD" w14:textId="77777777" w:rsidR="0055203C" w:rsidRPr="0033634D" w:rsidRDefault="0055203C" w:rsidP="0055203C">
      <w:pPr>
        <w:spacing w:after="0" w:line="240" w:lineRule="auto"/>
        <w:jc w:val="both"/>
        <w:rPr>
          <w:rFonts w:ascii="Verdana" w:hAnsi="Verdana" w:cs="Arial"/>
          <w:color w:val="000000" w:themeColor="text1"/>
          <w:sz w:val="20"/>
          <w:szCs w:val="20"/>
          <w:lang w:val="es-ES"/>
        </w:rPr>
      </w:pPr>
    </w:p>
    <w:p w14:paraId="011BC7D2" w14:textId="77777777" w:rsidR="0055203C" w:rsidRPr="0033634D" w:rsidRDefault="0055203C" w:rsidP="0055203C">
      <w:pPr>
        <w:spacing w:after="0" w:line="240" w:lineRule="auto"/>
        <w:jc w:val="both"/>
        <w:rPr>
          <w:rFonts w:ascii="Verdana" w:hAnsi="Verdana" w:cs="Arial"/>
          <w:b/>
          <w:bCs/>
          <w:color w:val="000000" w:themeColor="text1"/>
          <w:sz w:val="20"/>
          <w:szCs w:val="20"/>
          <w:lang w:val="es-ES"/>
        </w:rPr>
      </w:pPr>
      <w:r w:rsidRPr="0033634D">
        <w:rPr>
          <w:rFonts w:ascii="Verdana" w:hAnsi="Verdana" w:cs="Arial"/>
          <w:color w:val="000000" w:themeColor="text1"/>
          <w:sz w:val="20"/>
          <w:szCs w:val="20"/>
          <w:lang w:val="es-ES"/>
        </w:rPr>
        <w:t xml:space="preserve">En cumplimiento de lo anterior, el Gobierno Nacional, ejerciendo su facultad reglamentaria, expidió el Decreto 392 del 2018 […] Este Decreto adicionó el artículo 2.2.1.2.4.6 al Decreto Único Reglamentario 1082 de 2015, estableciendo un puntaje adicional del uno por ciento (1%) para proponentes en los procesos de licitaciones públicas y concurso de méritos que tuvieran vinculados a trabajadores con discapacidad, de acuerdo con los requisitos previstos en el mismo. </w:t>
      </w:r>
    </w:p>
    <w:p w14:paraId="21CD6768" w14:textId="77777777" w:rsidR="0055203C" w:rsidRPr="0033634D" w:rsidRDefault="0055203C" w:rsidP="0055203C">
      <w:pPr>
        <w:spacing w:after="0" w:line="240" w:lineRule="auto"/>
        <w:jc w:val="both"/>
        <w:rPr>
          <w:rFonts w:ascii="Verdana" w:hAnsi="Verdana" w:cs="Arial"/>
          <w:color w:val="000000" w:themeColor="text1"/>
          <w:sz w:val="20"/>
          <w:szCs w:val="20"/>
          <w:lang w:val="es-ES"/>
        </w:rPr>
      </w:pPr>
    </w:p>
    <w:p w14:paraId="32AEC0AE" w14:textId="58F83FAC" w:rsidR="0055203C" w:rsidRDefault="0055203C" w:rsidP="0055203C">
      <w:pPr>
        <w:spacing w:after="0" w:line="240" w:lineRule="auto"/>
        <w:jc w:val="both"/>
        <w:rPr>
          <w:rFonts w:ascii="Verdana" w:eastAsia="Times New Roman" w:hAnsi="Verdana" w:cs="Arial"/>
          <w:b/>
          <w:color w:val="000000" w:themeColor="text1"/>
          <w:lang w:val="es-ES" w:eastAsia="es-ES_tradnl"/>
        </w:rPr>
      </w:pPr>
      <w:r>
        <w:rPr>
          <w:rFonts w:ascii="Verdana" w:eastAsia="Times New Roman" w:hAnsi="Verdana" w:cs="Arial"/>
          <w:b/>
          <w:color w:val="000000" w:themeColor="text1"/>
          <w:lang w:val="es-ES" w:eastAsia="es-ES_tradnl"/>
        </w:rPr>
        <w:t>DECRETO 392 DE 2018</w:t>
      </w:r>
      <w:r w:rsidRPr="0033634D">
        <w:rPr>
          <w:rFonts w:ascii="Verdana" w:eastAsia="Times New Roman" w:hAnsi="Verdana" w:cs="Arial"/>
          <w:b/>
          <w:color w:val="000000" w:themeColor="text1"/>
          <w:lang w:val="es-ES" w:eastAsia="es-ES_tradnl"/>
        </w:rPr>
        <w:t xml:space="preserve"> </w:t>
      </w:r>
      <w:r w:rsidR="002E4064" w:rsidRPr="002E4064">
        <w:rPr>
          <w:rFonts w:ascii="Verdana" w:eastAsia="Times New Roman" w:hAnsi="Verdana" w:cs="Arial"/>
          <w:b/>
          <w:bCs/>
          <w:color w:val="000000" w:themeColor="text1"/>
          <w:lang w:val="es-ES" w:eastAsia="es-ES_tradnl"/>
        </w:rPr>
        <w:t>–</w:t>
      </w:r>
      <w:r w:rsidRPr="0033634D">
        <w:rPr>
          <w:rFonts w:ascii="Verdana" w:eastAsia="Times New Roman" w:hAnsi="Verdana" w:cs="Arial"/>
          <w:b/>
          <w:color w:val="000000" w:themeColor="text1"/>
          <w:lang w:val="es-ES" w:eastAsia="es-ES_tradnl"/>
        </w:rPr>
        <w:t xml:space="preserve"> Personas en condición de discapacidad </w:t>
      </w:r>
      <w:r w:rsidR="002E4064" w:rsidRPr="002E4064">
        <w:rPr>
          <w:rFonts w:ascii="Verdana" w:eastAsia="Times New Roman" w:hAnsi="Verdana" w:cs="Arial"/>
          <w:b/>
          <w:bCs/>
          <w:color w:val="000000" w:themeColor="text1"/>
          <w:lang w:val="es-ES" w:eastAsia="es-ES_tradnl"/>
        </w:rPr>
        <w:t>–</w:t>
      </w:r>
      <w:r w:rsidRPr="0033634D">
        <w:rPr>
          <w:rFonts w:ascii="Verdana" w:eastAsia="Times New Roman" w:hAnsi="Verdana" w:cs="Arial"/>
          <w:b/>
          <w:color w:val="000000" w:themeColor="text1"/>
          <w:lang w:val="es-ES" w:eastAsia="es-ES_tradnl"/>
        </w:rPr>
        <w:t xml:space="preserve"> Proponente plural </w:t>
      </w:r>
    </w:p>
    <w:p w14:paraId="52FC89A5" w14:textId="77777777" w:rsidR="0055203C" w:rsidRPr="0033634D" w:rsidRDefault="0055203C" w:rsidP="0055203C">
      <w:pPr>
        <w:spacing w:after="0" w:line="240" w:lineRule="auto"/>
        <w:jc w:val="both"/>
        <w:rPr>
          <w:rFonts w:ascii="Verdana" w:eastAsia="Times New Roman" w:hAnsi="Verdana" w:cs="Arial"/>
          <w:b/>
          <w:color w:val="000000" w:themeColor="text1"/>
          <w:lang w:val="es-ES" w:eastAsia="es-ES_tradnl"/>
        </w:rPr>
      </w:pPr>
    </w:p>
    <w:p w14:paraId="7522AFF8" w14:textId="77777777" w:rsidR="0055203C" w:rsidRDefault="0055203C" w:rsidP="0055203C">
      <w:pPr>
        <w:spacing w:after="0" w:line="240" w:lineRule="auto"/>
        <w:jc w:val="both"/>
        <w:rPr>
          <w:rFonts w:ascii="Verdana" w:hAnsi="Verdana" w:cs="Arial"/>
          <w:color w:val="000000" w:themeColor="text1"/>
          <w:sz w:val="20"/>
          <w:szCs w:val="20"/>
          <w:lang w:val="es-ES"/>
        </w:rPr>
      </w:pPr>
      <w:r w:rsidRPr="0033634D">
        <w:rPr>
          <w:rFonts w:ascii="Verdana" w:hAnsi="Verdana" w:cs="Arial"/>
          <w:color w:val="000000" w:themeColor="text1"/>
          <w:sz w:val="20"/>
          <w:szCs w:val="20"/>
          <w:lang w:val="es-ES"/>
        </w:rPr>
        <w:t>Es necesario precisar que el parágrafo del artículo 2.2.1.2.4.6 del Decreto 1082 de 2019, adicionado por el artículo primero del Decreto 392 de 2018, prescribió un requisito adicional para el caso de proponentes plurales como los consorcios, las sociedades o las promesas de sociedad futura. En estos escenarios, para que la oferta presentada obtenga el puntaje adicional por vinculación de trabajadores con discapacidad, deberá tomarse en cuenta la acreditación del integrante que aporte como mínimo el cuarenta por ciento (40%) de la experiencia requerida en el proceso de contratación.</w:t>
      </w:r>
    </w:p>
    <w:p w14:paraId="07C11798" w14:textId="77777777" w:rsidR="0055203C" w:rsidRPr="0033634D" w:rsidRDefault="0055203C" w:rsidP="0055203C">
      <w:pPr>
        <w:spacing w:after="0" w:line="240" w:lineRule="auto"/>
        <w:jc w:val="both"/>
        <w:rPr>
          <w:rFonts w:ascii="Verdana" w:hAnsi="Verdana" w:cs="Arial"/>
          <w:color w:val="000000" w:themeColor="text1"/>
          <w:sz w:val="20"/>
          <w:szCs w:val="20"/>
          <w:lang w:val="es-ES"/>
        </w:rPr>
      </w:pPr>
    </w:p>
    <w:p w14:paraId="123E26E5" w14:textId="77777777" w:rsidR="0055203C" w:rsidRPr="0033634D" w:rsidRDefault="0055203C" w:rsidP="0055203C">
      <w:pPr>
        <w:spacing w:after="0" w:line="240" w:lineRule="auto"/>
        <w:jc w:val="both"/>
        <w:rPr>
          <w:rFonts w:ascii="Verdana" w:hAnsi="Verdana" w:cs="Arial"/>
          <w:color w:val="000000" w:themeColor="text1"/>
          <w:sz w:val="20"/>
          <w:szCs w:val="20"/>
          <w:lang w:val="es-ES"/>
        </w:rPr>
      </w:pPr>
      <w:r w:rsidRPr="0033634D">
        <w:rPr>
          <w:rFonts w:ascii="Verdana" w:eastAsia="Calibri" w:hAnsi="Verdana" w:cs="Arial"/>
          <w:color w:val="000000" w:themeColor="text1"/>
          <w:sz w:val="20"/>
          <w:szCs w:val="20"/>
          <w:lang w:val="es-ES"/>
        </w:rPr>
        <w:t>[…]</w:t>
      </w:r>
    </w:p>
    <w:p w14:paraId="7566DCA1" w14:textId="379FB2D7" w:rsidR="0055203C" w:rsidRPr="0033634D" w:rsidRDefault="0055203C" w:rsidP="0055203C">
      <w:pPr>
        <w:spacing w:after="0" w:line="240" w:lineRule="auto"/>
        <w:jc w:val="both"/>
        <w:rPr>
          <w:rFonts w:ascii="Verdana" w:hAnsi="Verdana" w:cs="Arial"/>
          <w:color w:val="000000" w:themeColor="text1"/>
          <w:sz w:val="20"/>
          <w:szCs w:val="20"/>
          <w:lang w:val="es-ES"/>
        </w:rPr>
      </w:pPr>
      <w:r w:rsidRPr="0033634D">
        <w:rPr>
          <w:rFonts w:ascii="Verdana" w:hAnsi="Verdana" w:cs="Arial"/>
          <w:color w:val="000000" w:themeColor="text1"/>
          <w:sz w:val="20"/>
          <w:szCs w:val="20"/>
          <w:lang w:val="es-ES"/>
        </w:rPr>
        <w:t xml:space="preserve">Esto significa que el cumplimiento de los requisitos establecidos en el Decreto 392 de 2019 lo acredita el integrante de la estructura plural que aporte más </w:t>
      </w:r>
      <w:proofErr w:type="spellStart"/>
      <w:r w:rsidR="007D0214" w:rsidRPr="0033634D">
        <w:rPr>
          <w:rFonts w:ascii="Verdana" w:hAnsi="Verdana" w:cs="Arial"/>
          <w:color w:val="000000" w:themeColor="text1"/>
          <w:sz w:val="20"/>
          <w:szCs w:val="20"/>
          <w:lang w:val="es-ES"/>
        </w:rPr>
        <w:t>de</w:t>
      </w:r>
      <w:r w:rsidR="007D0214">
        <w:rPr>
          <w:rFonts w:ascii="Verdana" w:hAnsi="Verdana" w:cs="Arial"/>
          <w:color w:val="000000" w:themeColor="text1"/>
          <w:sz w:val="20"/>
          <w:szCs w:val="20"/>
          <w:lang w:val="es-ES"/>
        </w:rPr>
        <w:t>l</w:t>
      </w:r>
      <w:proofErr w:type="spellEnd"/>
      <w:r w:rsidRPr="0033634D">
        <w:rPr>
          <w:rFonts w:ascii="Verdana" w:hAnsi="Verdana" w:cs="Arial"/>
          <w:color w:val="000000" w:themeColor="text1"/>
          <w:sz w:val="20"/>
          <w:szCs w:val="20"/>
          <w:lang w:val="es-ES"/>
        </w:rPr>
        <w:t xml:space="preserve"> cuarenta por ciento –40%– de la experiencia requerida en el procedimiento de contratación. Por el contrario, si el integrante que aporta este porcentaje mínimo de experiencia no tiene vinculados trabajadores con discapacidad, el consorcio, la unión temporal que forma parte no podrá obtener puntaje por este criterio, aun cuando los demás integrantes –con un porcentaje menor de experiencia– cuenten con trabajadores discapacitados. </w:t>
      </w:r>
    </w:p>
    <w:p w14:paraId="062B0A99" w14:textId="77777777" w:rsidR="0055203C" w:rsidRPr="0033634D" w:rsidRDefault="0055203C" w:rsidP="0055203C">
      <w:pPr>
        <w:spacing w:after="0" w:line="240" w:lineRule="auto"/>
        <w:jc w:val="both"/>
        <w:rPr>
          <w:rFonts w:ascii="Verdana" w:hAnsi="Verdana" w:cs="Arial"/>
          <w:color w:val="000000" w:themeColor="text1"/>
          <w:sz w:val="20"/>
          <w:szCs w:val="20"/>
          <w:lang w:val="es-ES"/>
        </w:rPr>
      </w:pPr>
    </w:p>
    <w:p w14:paraId="3C4237AB" w14:textId="05CEC5DB" w:rsidR="0055203C" w:rsidRPr="0033634D" w:rsidRDefault="0055203C" w:rsidP="0055203C">
      <w:pPr>
        <w:widowControl w:val="0"/>
        <w:autoSpaceDE w:val="0"/>
        <w:autoSpaceDN w:val="0"/>
        <w:spacing w:after="0" w:line="240" w:lineRule="auto"/>
        <w:ind w:right="303"/>
        <w:jc w:val="both"/>
        <w:rPr>
          <w:rFonts w:ascii="Verdana" w:eastAsia="Arial" w:hAnsi="Verdana" w:cs="Arial"/>
          <w:b/>
          <w:bCs/>
          <w:color w:val="000000" w:themeColor="text1"/>
          <w:lang w:val="es-ES"/>
        </w:rPr>
      </w:pPr>
      <w:r w:rsidRPr="0033634D">
        <w:rPr>
          <w:rFonts w:ascii="Verdana" w:eastAsia="Arial" w:hAnsi="Verdana" w:cs="Arial"/>
          <w:b/>
          <w:bCs/>
          <w:color w:val="000000" w:themeColor="text1"/>
          <w:lang w:val="es-ES"/>
        </w:rPr>
        <w:t xml:space="preserve">SELECCIÓN OBJETIVA </w:t>
      </w:r>
      <w:r w:rsidR="002E4064" w:rsidRPr="002E4064">
        <w:rPr>
          <w:rFonts w:ascii="Verdana" w:eastAsia="Arial" w:hAnsi="Verdana" w:cs="Arial"/>
          <w:b/>
          <w:bCs/>
          <w:color w:val="000000" w:themeColor="text1"/>
          <w:lang w:val="es-ES"/>
        </w:rPr>
        <w:t>–</w:t>
      </w:r>
      <w:r w:rsidRPr="0033634D">
        <w:rPr>
          <w:rFonts w:ascii="Verdana" w:eastAsia="Arial" w:hAnsi="Verdana" w:cs="Arial"/>
          <w:b/>
          <w:bCs/>
          <w:color w:val="000000" w:themeColor="text1"/>
          <w:lang w:val="es-ES"/>
        </w:rPr>
        <w:t xml:space="preserve"> Ley 1150 de 2007 </w:t>
      </w:r>
      <w:r w:rsidR="002E4064" w:rsidRPr="002E4064">
        <w:rPr>
          <w:rFonts w:ascii="Verdana" w:eastAsia="Arial" w:hAnsi="Verdana" w:cs="Arial"/>
          <w:b/>
          <w:bCs/>
          <w:color w:val="000000" w:themeColor="text1"/>
          <w:lang w:val="es-ES"/>
        </w:rPr>
        <w:t>–</w:t>
      </w:r>
      <w:r w:rsidRPr="0033634D">
        <w:rPr>
          <w:rFonts w:ascii="Verdana" w:eastAsia="Arial" w:hAnsi="Verdana" w:cs="Arial"/>
          <w:b/>
          <w:bCs/>
          <w:color w:val="000000" w:themeColor="text1"/>
          <w:lang w:val="es-ES"/>
        </w:rPr>
        <w:t xml:space="preserve"> Alcance </w:t>
      </w:r>
      <w:r w:rsidR="002E4064" w:rsidRPr="002E4064">
        <w:rPr>
          <w:rFonts w:ascii="Verdana" w:eastAsia="Arial" w:hAnsi="Verdana" w:cs="Arial"/>
          <w:b/>
          <w:bCs/>
          <w:color w:val="000000" w:themeColor="text1"/>
          <w:lang w:val="es-ES"/>
        </w:rPr>
        <w:t>–</w:t>
      </w:r>
      <w:r w:rsidRPr="0033634D">
        <w:rPr>
          <w:rFonts w:ascii="Verdana" w:eastAsia="Arial" w:hAnsi="Verdana" w:cs="Arial"/>
          <w:b/>
          <w:bCs/>
          <w:color w:val="000000" w:themeColor="text1"/>
          <w:lang w:val="es-ES"/>
        </w:rPr>
        <w:t xml:space="preserve"> Requisitos habilitantes</w:t>
      </w:r>
    </w:p>
    <w:p w14:paraId="4BE9A412" w14:textId="77777777" w:rsidR="0055203C" w:rsidRPr="0033634D" w:rsidRDefault="0055203C" w:rsidP="0055203C">
      <w:pPr>
        <w:widowControl w:val="0"/>
        <w:autoSpaceDE w:val="0"/>
        <w:autoSpaceDN w:val="0"/>
        <w:spacing w:after="0" w:line="240" w:lineRule="auto"/>
        <w:ind w:right="303"/>
        <w:jc w:val="both"/>
        <w:rPr>
          <w:rFonts w:ascii="Verdana" w:hAnsi="Verdana" w:cs="Arial"/>
          <w:color w:val="000000" w:themeColor="text1"/>
          <w:sz w:val="20"/>
          <w:szCs w:val="20"/>
          <w:lang w:val="es-ES"/>
        </w:rPr>
      </w:pPr>
    </w:p>
    <w:p w14:paraId="5D4836DB" w14:textId="5E4AFA3B" w:rsidR="0055203C" w:rsidRPr="0033634D" w:rsidRDefault="0055203C" w:rsidP="0055203C">
      <w:pPr>
        <w:spacing w:after="0" w:line="240" w:lineRule="auto"/>
        <w:jc w:val="both"/>
        <w:rPr>
          <w:rFonts w:ascii="Verdana" w:hAnsi="Verdana" w:cs="Arial"/>
          <w:color w:val="000000" w:themeColor="text1"/>
          <w:sz w:val="20"/>
          <w:szCs w:val="20"/>
          <w:lang w:val="es-ES"/>
        </w:rPr>
      </w:pPr>
      <w:r w:rsidRPr="0033634D">
        <w:rPr>
          <w:rFonts w:ascii="Verdana" w:hAnsi="Verdana" w:cs="Arial"/>
          <w:color w:val="000000" w:themeColor="text1"/>
          <w:sz w:val="20"/>
          <w:szCs w:val="20"/>
          <w:lang w:val="es-ES"/>
        </w:rPr>
        <w:t xml:space="preserve">En aras de conferir alcance a la normativa estudiada, resulta pertinente remitirse a la Ley 1150 de 2007, cuyo artículo quinto señala que la selección objetiva en los términos de contratación </w:t>
      </w:r>
      <w:r w:rsidR="00C502A9" w:rsidRPr="0033634D">
        <w:rPr>
          <w:rFonts w:ascii="Verdana" w:hAnsi="Verdana" w:cs="Arial"/>
          <w:color w:val="000000" w:themeColor="text1"/>
          <w:sz w:val="20"/>
          <w:szCs w:val="20"/>
          <w:lang w:val="es-ES"/>
        </w:rPr>
        <w:t>estatal</w:t>
      </w:r>
      <w:r w:rsidRPr="0033634D">
        <w:rPr>
          <w:rFonts w:ascii="Verdana" w:hAnsi="Verdana" w:cs="Arial"/>
          <w:color w:val="000000" w:themeColor="text1"/>
          <w:sz w:val="20"/>
          <w:szCs w:val="20"/>
          <w:lang w:val="es-ES"/>
        </w:rPr>
        <w:t xml:space="preserve"> es aquella escogencia realizada sin acudir a </w:t>
      </w:r>
      <w:r w:rsidR="00E864E2">
        <w:rPr>
          <w:rFonts w:ascii="Verdana" w:hAnsi="Verdana" w:cs="Arial"/>
          <w:color w:val="000000" w:themeColor="text1"/>
          <w:sz w:val="20"/>
          <w:szCs w:val="20"/>
          <w:lang w:val="es-ES"/>
        </w:rPr>
        <w:t>“</w:t>
      </w:r>
      <w:r w:rsidRPr="0033634D">
        <w:rPr>
          <w:rFonts w:ascii="Verdana" w:hAnsi="Verdana" w:cs="Arial"/>
          <w:color w:val="000000" w:themeColor="text1"/>
          <w:sz w:val="20"/>
          <w:szCs w:val="20"/>
          <w:lang w:val="es-ES"/>
        </w:rPr>
        <w:t>factores de afecto o de interés y, en general, cualquier clase de motivación subjetiva</w:t>
      </w:r>
      <w:r w:rsidR="00E864E2">
        <w:rPr>
          <w:rFonts w:ascii="Verdana" w:hAnsi="Verdana" w:cs="Arial"/>
          <w:color w:val="000000" w:themeColor="text1"/>
          <w:sz w:val="20"/>
          <w:szCs w:val="20"/>
          <w:lang w:val="es-ES"/>
        </w:rPr>
        <w:t>”</w:t>
      </w:r>
      <w:r w:rsidRPr="0033634D">
        <w:rPr>
          <w:rFonts w:ascii="Verdana" w:hAnsi="Verdana" w:cs="Arial"/>
          <w:color w:val="000000" w:themeColor="text1"/>
          <w:sz w:val="20"/>
          <w:szCs w:val="20"/>
          <w:lang w:val="es-ES"/>
        </w:rPr>
        <w:t xml:space="preserve">. Este criterio de </w:t>
      </w:r>
      <w:r w:rsidR="00C502A9" w:rsidRPr="0033634D">
        <w:rPr>
          <w:rFonts w:ascii="Verdana" w:hAnsi="Verdana" w:cs="Arial"/>
          <w:color w:val="000000" w:themeColor="text1"/>
          <w:sz w:val="20"/>
          <w:szCs w:val="20"/>
          <w:lang w:val="es-ES"/>
        </w:rPr>
        <w:t>objetividad</w:t>
      </w:r>
      <w:r w:rsidRPr="0033634D">
        <w:rPr>
          <w:rFonts w:ascii="Verdana" w:hAnsi="Verdana" w:cs="Arial"/>
          <w:color w:val="000000" w:themeColor="text1"/>
          <w:sz w:val="20"/>
          <w:szCs w:val="20"/>
          <w:lang w:val="es-ES"/>
        </w:rPr>
        <w:t xml:space="preserve"> debe ser observado por las entidades estatales y plasmado dentro de los pliegos de condiciones o sus equivalentes, los cuales regirán los procesos de selección.</w:t>
      </w:r>
    </w:p>
    <w:p w14:paraId="366D541D" w14:textId="3F379BC5" w:rsidR="0055203C" w:rsidRPr="0033634D" w:rsidRDefault="0055203C" w:rsidP="0055203C">
      <w:pPr>
        <w:spacing w:after="0" w:line="240" w:lineRule="auto"/>
        <w:jc w:val="both"/>
        <w:rPr>
          <w:rFonts w:ascii="Verdana" w:hAnsi="Verdana" w:cs="Arial"/>
          <w:color w:val="000000" w:themeColor="text1"/>
          <w:sz w:val="20"/>
          <w:szCs w:val="20"/>
          <w:lang w:val="es-ES"/>
        </w:rPr>
      </w:pPr>
      <w:r w:rsidRPr="0033634D">
        <w:rPr>
          <w:rFonts w:ascii="Verdana" w:hAnsi="Verdana" w:cs="Arial"/>
          <w:color w:val="000000" w:themeColor="text1"/>
          <w:sz w:val="20"/>
          <w:szCs w:val="20"/>
          <w:lang w:val="es-ES"/>
        </w:rPr>
        <w:t xml:space="preserve">Para tal efecto, la Agencia Nacional de Contratación Pública – Colombia Compra Eficiente, ha señalado </w:t>
      </w:r>
      <w:r w:rsidR="007D0214" w:rsidRPr="0033634D">
        <w:rPr>
          <w:rFonts w:ascii="Verdana" w:hAnsi="Verdana" w:cs="Arial"/>
          <w:color w:val="000000" w:themeColor="text1"/>
          <w:sz w:val="20"/>
          <w:szCs w:val="20"/>
          <w:lang w:val="es-ES"/>
        </w:rPr>
        <w:t>que el</w:t>
      </w:r>
      <w:r w:rsidRPr="0033634D">
        <w:rPr>
          <w:rFonts w:ascii="Verdana" w:hAnsi="Verdana" w:cs="Arial"/>
          <w:color w:val="000000" w:themeColor="text1"/>
          <w:sz w:val="20"/>
          <w:szCs w:val="20"/>
          <w:lang w:val="es-ES"/>
        </w:rPr>
        <w:t xml:space="preserve"> </w:t>
      </w:r>
      <w:r w:rsidR="00E864E2">
        <w:rPr>
          <w:rFonts w:ascii="Verdana" w:hAnsi="Verdana" w:cs="Arial"/>
          <w:color w:val="000000" w:themeColor="text1"/>
          <w:sz w:val="20"/>
          <w:szCs w:val="20"/>
          <w:lang w:val="es-ES"/>
        </w:rPr>
        <w:t>“</w:t>
      </w:r>
      <w:r w:rsidRPr="0033634D">
        <w:rPr>
          <w:rFonts w:ascii="Verdana" w:hAnsi="Verdana" w:cs="Arial"/>
          <w:color w:val="000000" w:themeColor="text1"/>
          <w:sz w:val="20"/>
          <w:szCs w:val="20"/>
          <w:lang w:val="es-ES"/>
        </w:rPr>
        <w:t xml:space="preserve">numeral 1º del artículo referido establece que en los procesos de </w:t>
      </w:r>
      <w:r w:rsidRPr="0033634D">
        <w:rPr>
          <w:rFonts w:ascii="Verdana" w:hAnsi="Verdana" w:cs="Arial"/>
          <w:color w:val="000000" w:themeColor="text1"/>
          <w:sz w:val="20"/>
          <w:szCs w:val="20"/>
          <w:lang w:val="es-ES"/>
        </w:rPr>
        <w:lastRenderedPageBreak/>
        <w:t xml:space="preserve">selección de contratistas serán objeto de verificación, como requisitos habilitantes, entre otros, los siguientes: i) la capacidad jurídica; </w:t>
      </w:r>
      <w:proofErr w:type="spellStart"/>
      <w:r w:rsidRPr="0033634D">
        <w:rPr>
          <w:rFonts w:ascii="Verdana" w:hAnsi="Verdana" w:cs="Arial"/>
          <w:color w:val="000000" w:themeColor="text1"/>
          <w:sz w:val="20"/>
          <w:szCs w:val="20"/>
          <w:lang w:val="es-ES"/>
        </w:rPr>
        <w:t>ii</w:t>
      </w:r>
      <w:proofErr w:type="spellEnd"/>
      <w:r w:rsidRPr="0033634D">
        <w:rPr>
          <w:rFonts w:ascii="Verdana" w:hAnsi="Verdana" w:cs="Arial"/>
          <w:color w:val="000000" w:themeColor="text1"/>
          <w:sz w:val="20"/>
          <w:szCs w:val="20"/>
          <w:lang w:val="es-ES"/>
        </w:rPr>
        <w:t xml:space="preserve">) la experiencia; </w:t>
      </w:r>
      <w:proofErr w:type="spellStart"/>
      <w:r w:rsidRPr="0033634D">
        <w:rPr>
          <w:rFonts w:ascii="Verdana" w:hAnsi="Verdana" w:cs="Arial"/>
          <w:color w:val="000000" w:themeColor="text1"/>
          <w:sz w:val="20"/>
          <w:szCs w:val="20"/>
          <w:lang w:val="es-ES"/>
        </w:rPr>
        <w:t>iii</w:t>
      </w:r>
      <w:proofErr w:type="spellEnd"/>
      <w:r w:rsidRPr="0033634D">
        <w:rPr>
          <w:rFonts w:ascii="Verdana" w:hAnsi="Verdana" w:cs="Arial"/>
          <w:color w:val="000000" w:themeColor="text1"/>
          <w:sz w:val="20"/>
          <w:szCs w:val="20"/>
          <w:lang w:val="es-ES"/>
        </w:rPr>
        <w:t xml:space="preserve">) la capacidad financiera y </w:t>
      </w:r>
      <w:proofErr w:type="spellStart"/>
      <w:r w:rsidRPr="0033634D">
        <w:rPr>
          <w:rFonts w:ascii="Verdana" w:hAnsi="Verdana" w:cs="Arial"/>
          <w:color w:val="000000" w:themeColor="text1"/>
          <w:sz w:val="20"/>
          <w:szCs w:val="20"/>
          <w:lang w:val="es-ES"/>
        </w:rPr>
        <w:t>iv</w:t>
      </w:r>
      <w:proofErr w:type="spellEnd"/>
      <w:r w:rsidRPr="0033634D">
        <w:rPr>
          <w:rFonts w:ascii="Verdana" w:hAnsi="Verdana" w:cs="Arial"/>
          <w:color w:val="000000" w:themeColor="text1"/>
          <w:sz w:val="20"/>
          <w:szCs w:val="20"/>
          <w:lang w:val="es-ES"/>
        </w:rPr>
        <w:t>) la capacidad de organización</w:t>
      </w:r>
      <w:r w:rsidR="00E864E2">
        <w:rPr>
          <w:rFonts w:ascii="Verdana" w:hAnsi="Verdana" w:cs="Arial"/>
          <w:color w:val="000000" w:themeColor="text1"/>
          <w:sz w:val="20"/>
          <w:szCs w:val="20"/>
          <w:lang w:val="es-ES"/>
        </w:rPr>
        <w:t>”</w:t>
      </w:r>
      <w:r w:rsidRPr="0033634D">
        <w:rPr>
          <w:rFonts w:ascii="Verdana" w:hAnsi="Verdana" w:cs="Arial"/>
          <w:color w:val="000000" w:themeColor="text1"/>
          <w:sz w:val="20"/>
          <w:szCs w:val="20"/>
          <w:lang w:val="es-ES"/>
        </w:rPr>
        <w:t>.</w:t>
      </w:r>
    </w:p>
    <w:p w14:paraId="5D74324A" w14:textId="77777777" w:rsidR="0055203C" w:rsidRDefault="0055203C" w:rsidP="0055203C">
      <w:pPr>
        <w:spacing w:after="0" w:line="240" w:lineRule="auto"/>
        <w:jc w:val="both"/>
        <w:rPr>
          <w:rFonts w:ascii="Verdana" w:hAnsi="Verdana" w:cs="Arial"/>
          <w:b/>
          <w:color w:val="000000" w:themeColor="text1"/>
        </w:rPr>
      </w:pPr>
    </w:p>
    <w:p w14:paraId="2BAD92BD" w14:textId="47B70694" w:rsidR="0055203C" w:rsidRPr="0033634D" w:rsidRDefault="0055203C" w:rsidP="0055203C">
      <w:pPr>
        <w:spacing w:after="0" w:line="240" w:lineRule="auto"/>
        <w:jc w:val="both"/>
        <w:rPr>
          <w:rFonts w:ascii="Verdana" w:hAnsi="Verdana" w:cs="Arial"/>
          <w:b/>
          <w:color w:val="000000" w:themeColor="text1"/>
        </w:rPr>
      </w:pPr>
      <w:r w:rsidRPr="0033634D">
        <w:rPr>
          <w:rFonts w:ascii="Verdana" w:hAnsi="Verdana" w:cs="Arial"/>
          <w:b/>
          <w:color w:val="000000" w:themeColor="text1"/>
        </w:rPr>
        <w:t xml:space="preserve">DECRETO 392 DE 2018 </w:t>
      </w:r>
      <w:r w:rsidR="002E4064" w:rsidRPr="002E4064">
        <w:rPr>
          <w:rFonts w:ascii="Verdana" w:hAnsi="Verdana" w:cs="Arial"/>
          <w:b/>
          <w:bCs/>
          <w:color w:val="000000" w:themeColor="text1"/>
          <w:lang w:val="es-ES"/>
        </w:rPr>
        <w:t>–</w:t>
      </w:r>
      <w:r w:rsidRPr="0033634D">
        <w:rPr>
          <w:rFonts w:ascii="Verdana" w:hAnsi="Verdana" w:cs="Arial"/>
          <w:b/>
          <w:color w:val="000000" w:themeColor="text1"/>
        </w:rPr>
        <w:t xml:space="preserve"> Estructuras plurales </w:t>
      </w:r>
      <w:r w:rsidR="002E4064" w:rsidRPr="002E4064">
        <w:rPr>
          <w:rFonts w:ascii="Verdana" w:hAnsi="Verdana" w:cs="Arial"/>
          <w:b/>
          <w:bCs/>
          <w:color w:val="000000" w:themeColor="text1"/>
          <w:lang w:val="es-ES"/>
        </w:rPr>
        <w:t>–</w:t>
      </w:r>
      <w:r w:rsidRPr="0033634D">
        <w:rPr>
          <w:rFonts w:ascii="Verdana" w:hAnsi="Verdana" w:cs="Arial"/>
          <w:b/>
          <w:color w:val="000000" w:themeColor="text1"/>
        </w:rPr>
        <w:t xml:space="preserve"> Acreditación de experiencia </w:t>
      </w:r>
    </w:p>
    <w:p w14:paraId="3CE3300E" w14:textId="77777777" w:rsidR="0055203C" w:rsidRPr="0033634D" w:rsidRDefault="0055203C" w:rsidP="0055203C">
      <w:pPr>
        <w:spacing w:after="0" w:line="240" w:lineRule="auto"/>
        <w:jc w:val="both"/>
        <w:rPr>
          <w:rFonts w:ascii="Verdana" w:hAnsi="Verdana" w:cs="Arial"/>
          <w:bCs/>
          <w:color w:val="000000" w:themeColor="text1"/>
          <w:sz w:val="20"/>
          <w:szCs w:val="20"/>
        </w:rPr>
      </w:pPr>
    </w:p>
    <w:p w14:paraId="72B7694B" w14:textId="77777777" w:rsidR="0055203C" w:rsidRPr="0033634D" w:rsidRDefault="0055203C" w:rsidP="0055203C">
      <w:pPr>
        <w:spacing w:after="0" w:line="240" w:lineRule="auto"/>
        <w:jc w:val="both"/>
        <w:rPr>
          <w:rFonts w:ascii="Verdana" w:hAnsi="Verdana" w:cs="Arial"/>
          <w:color w:val="000000" w:themeColor="text1"/>
          <w:sz w:val="20"/>
          <w:szCs w:val="20"/>
          <w:lang w:val="es-ES_tradnl"/>
        </w:rPr>
      </w:pPr>
      <w:r w:rsidRPr="0033634D">
        <w:rPr>
          <w:rFonts w:ascii="Verdana" w:hAnsi="Verdana" w:cs="Arial"/>
          <w:bCs/>
          <w:color w:val="000000" w:themeColor="text1"/>
          <w:sz w:val="20"/>
          <w:szCs w:val="20"/>
          <w:lang w:val="es-ES"/>
        </w:rPr>
        <w:t xml:space="preserve">A través de la interpretación en conjunto de la normativa aplicable, es posible concluir que: i) las condiciones generales y/o específicas de acreditación de experiencia y asignación de incentivos deben estar consignadas en el </w:t>
      </w:r>
      <w:r w:rsidRPr="0033634D">
        <w:rPr>
          <w:rFonts w:ascii="Verdana" w:hAnsi="Verdana" w:cs="Arial"/>
          <w:bCs/>
          <w:color w:val="000000" w:themeColor="text1"/>
          <w:sz w:val="20"/>
          <w:szCs w:val="20"/>
          <w:lang w:val="es-ES_tradnl"/>
        </w:rPr>
        <w:t>pliego proferido por la entidad para el respectivo proceso de selección, dentro de los requisitos habilitantes</w:t>
      </w:r>
      <w:r w:rsidRPr="0033634D">
        <w:rPr>
          <w:rFonts w:ascii="Verdana" w:hAnsi="Verdana" w:cs="Arial"/>
          <w:bCs/>
          <w:color w:val="000000" w:themeColor="text1"/>
          <w:sz w:val="20"/>
          <w:szCs w:val="20"/>
          <w:lang w:val="es-ES"/>
        </w:rPr>
        <w:t xml:space="preserve">; y, </w:t>
      </w:r>
      <w:proofErr w:type="spellStart"/>
      <w:r w:rsidRPr="0033634D">
        <w:rPr>
          <w:rFonts w:ascii="Verdana" w:hAnsi="Verdana" w:cs="Arial"/>
          <w:bCs/>
          <w:color w:val="000000" w:themeColor="text1"/>
          <w:sz w:val="20"/>
          <w:szCs w:val="20"/>
          <w:lang w:val="es-ES"/>
        </w:rPr>
        <w:t>ii</w:t>
      </w:r>
      <w:proofErr w:type="spellEnd"/>
      <w:r w:rsidRPr="0033634D">
        <w:rPr>
          <w:rFonts w:ascii="Verdana" w:hAnsi="Verdana" w:cs="Arial"/>
          <w:bCs/>
          <w:color w:val="000000" w:themeColor="text1"/>
          <w:sz w:val="20"/>
          <w:szCs w:val="20"/>
          <w:lang w:val="es-ES"/>
        </w:rPr>
        <w:t>) en cuanto a la experiencia, esta se acreditará mediante los contratos celebrados por el interesado para cada uno de los bienes, obras o servicios que se ofrecerán a las entidades estatales, identificados por el clasificador de bienes y servicios en el tercer nivel y su valor expresado en SMLMV</w:t>
      </w:r>
      <w:r w:rsidRPr="0033634D">
        <w:rPr>
          <w:rFonts w:ascii="Verdana" w:hAnsi="Verdana" w:cs="Arial"/>
          <w:color w:val="000000" w:themeColor="text1"/>
          <w:sz w:val="20"/>
          <w:szCs w:val="20"/>
        </w:rPr>
        <w:t>.</w:t>
      </w:r>
    </w:p>
    <w:p w14:paraId="014F44C8" w14:textId="77777777" w:rsidR="0055203C" w:rsidRPr="0033634D" w:rsidRDefault="0055203C" w:rsidP="0055203C">
      <w:pPr>
        <w:spacing w:after="0" w:line="240" w:lineRule="auto"/>
        <w:jc w:val="both"/>
        <w:rPr>
          <w:rFonts w:ascii="Verdana" w:hAnsi="Verdana" w:cs="Arial"/>
          <w:color w:val="000000" w:themeColor="text1"/>
          <w:sz w:val="20"/>
          <w:szCs w:val="20"/>
          <w:lang w:val="es-ES"/>
        </w:rPr>
      </w:pPr>
    </w:p>
    <w:p w14:paraId="0A8EB6C2" w14:textId="77777777" w:rsidR="00187855" w:rsidRPr="0055203C" w:rsidRDefault="00187855" w:rsidP="00187855">
      <w:pPr>
        <w:spacing w:after="0" w:line="240" w:lineRule="auto"/>
        <w:contextualSpacing/>
        <w:jc w:val="both"/>
        <w:rPr>
          <w:rFonts w:ascii="Verdana" w:eastAsia="Calibri" w:hAnsi="Verdana" w:cs="Arial"/>
          <w:b/>
          <w:noProof/>
          <w:sz w:val="20"/>
          <w:szCs w:val="20"/>
          <w:lang w:val="es-ES" w:eastAsia="es-ES_tradnl"/>
        </w:rPr>
      </w:pPr>
    </w:p>
    <w:p w14:paraId="2005F26A" w14:textId="77777777" w:rsidR="00187855" w:rsidRDefault="00187855" w:rsidP="00187855">
      <w:pPr>
        <w:spacing w:after="0" w:line="240" w:lineRule="auto"/>
        <w:jc w:val="both"/>
        <w:rPr>
          <w:rFonts w:ascii="Verdana" w:eastAsia="Times New Roman" w:hAnsi="Verdana" w:cs="Arial"/>
          <w:noProof/>
          <w:lang w:val="es-ES_tradnl" w:eastAsia="es-ES_tradnl"/>
        </w:rPr>
      </w:pPr>
    </w:p>
    <w:p w14:paraId="5A59BFFA" w14:textId="77777777" w:rsidR="0055203C" w:rsidRDefault="0055203C" w:rsidP="00187855">
      <w:pPr>
        <w:spacing w:after="0" w:line="240" w:lineRule="auto"/>
        <w:jc w:val="both"/>
        <w:rPr>
          <w:rFonts w:ascii="Verdana" w:eastAsia="Times New Roman" w:hAnsi="Verdana" w:cs="Arial"/>
          <w:noProof/>
          <w:lang w:val="es-ES_tradnl" w:eastAsia="es-ES_tradnl"/>
        </w:rPr>
      </w:pPr>
    </w:p>
    <w:p w14:paraId="272BF30D" w14:textId="77777777" w:rsidR="0055203C" w:rsidRDefault="0055203C" w:rsidP="00187855">
      <w:pPr>
        <w:spacing w:after="0" w:line="240" w:lineRule="auto"/>
        <w:jc w:val="both"/>
        <w:rPr>
          <w:rFonts w:ascii="Verdana" w:eastAsia="Times New Roman" w:hAnsi="Verdana" w:cs="Arial"/>
          <w:noProof/>
          <w:lang w:val="es-ES_tradnl" w:eastAsia="es-ES_tradnl"/>
        </w:rPr>
      </w:pPr>
    </w:p>
    <w:p w14:paraId="217CDAF4" w14:textId="77777777" w:rsidR="0055203C" w:rsidRDefault="0055203C" w:rsidP="00187855">
      <w:pPr>
        <w:spacing w:after="0" w:line="240" w:lineRule="auto"/>
        <w:jc w:val="both"/>
        <w:rPr>
          <w:rFonts w:ascii="Verdana" w:eastAsia="Times New Roman" w:hAnsi="Verdana" w:cs="Arial"/>
          <w:noProof/>
          <w:lang w:val="es-ES_tradnl" w:eastAsia="es-ES_tradnl"/>
        </w:rPr>
      </w:pPr>
    </w:p>
    <w:p w14:paraId="6D6C4783" w14:textId="77777777" w:rsidR="0055203C" w:rsidRDefault="0055203C" w:rsidP="00187855">
      <w:pPr>
        <w:spacing w:after="0" w:line="240" w:lineRule="auto"/>
        <w:jc w:val="both"/>
        <w:rPr>
          <w:rFonts w:ascii="Verdana" w:eastAsia="Times New Roman" w:hAnsi="Verdana" w:cs="Arial"/>
          <w:noProof/>
          <w:lang w:val="es-ES_tradnl" w:eastAsia="es-ES_tradnl"/>
        </w:rPr>
      </w:pPr>
    </w:p>
    <w:p w14:paraId="1EBF9780" w14:textId="77777777" w:rsidR="0055203C" w:rsidRDefault="0055203C" w:rsidP="00187855">
      <w:pPr>
        <w:spacing w:after="0" w:line="240" w:lineRule="auto"/>
        <w:jc w:val="both"/>
        <w:rPr>
          <w:rFonts w:ascii="Verdana" w:eastAsia="Times New Roman" w:hAnsi="Verdana" w:cs="Arial"/>
          <w:noProof/>
          <w:lang w:val="es-ES_tradnl" w:eastAsia="es-ES_tradnl"/>
        </w:rPr>
      </w:pPr>
    </w:p>
    <w:p w14:paraId="719F8E48" w14:textId="77777777" w:rsidR="0055203C" w:rsidRDefault="0055203C" w:rsidP="00187855">
      <w:pPr>
        <w:spacing w:after="0" w:line="240" w:lineRule="auto"/>
        <w:jc w:val="both"/>
        <w:rPr>
          <w:rFonts w:ascii="Verdana" w:eastAsia="Times New Roman" w:hAnsi="Verdana" w:cs="Arial"/>
          <w:noProof/>
          <w:lang w:val="es-ES_tradnl" w:eastAsia="es-ES_tradnl"/>
        </w:rPr>
      </w:pPr>
    </w:p>
    <w:p w14:paraId="6DE0464A" w14:textId="77777777" w:rsidR="0055203C" w:rsidRDefault="0055203C" w:rsidP="00187855">
      <w:pPr>
        <w:spacing w:after="0" w:line="240" w:lineRule="auto"/>
        <w:jc w:val="both"/>
        <w:rPr>
          <w:rFonts w:ascii="Verdana" w:eastAsia="Times New Roman" w:hAnsi="Verdana" w:cs="Arial"/>
          <w:noProof/>
          <w:lang w:val="es-ES_tradnl" w:eastAsia="es-ES_tradnl"/>
        </w:rPr>
      </w:pPr>
    </w:p>
    <w:p w14:paraId="159875DA" w14:textId="77777777" w:rsidR="0055203C" w:rsidRDefault="0055203C" w:rsidP="00187855">
      <w:pPr>
        <w:spacing w:after="0" w:line="240" w:lineRule="auto"/>
        <w:jc w:val="both"/>
        <w:rPr>
          <w:rFonts w:ascii="Verdana" w:eastAsia="Times New Roman" w:hAnsi="Verdana" w:cs="Arial"/>
          <w:noProof/>
          <w:lang w:val="es-ES_tradnl" w:eastAsia="es-ES_tradnl"/>
        </w:rPr>
      </w:pPr>
    </w:p>
    <w:p w14:paraId="5E2C8838" w14:textId="77777777" w:rsidR="00981CAB" w:rsidRDefault="00981CAB" w:rsidP="00187855">
      <w:pPr>
        <w:spacing w:after="0" w:line="240" w:lineRule="auto"/>
        <w:jc w:val="both"/>
        <w:rPr>
          <w:rFonts w:ascii="Verdana" w:eastAsia="Times New Roman" w:hAnsi="Verdana" w:cs="Arial"/>
          <w:noProof/>
          <w:lang w:val="es-ES_tradnl" w:eastAsia="es-ES_tradnl"/>
        </w:rPr>
      </w:pPr>
    </w:p>
    <w:p w14:paraId="63697EB8" w14:textId="77777777" w:rsidR="00981CAB" w:rsidRDefault="00981CAB" w:rsidP="00187855">
      <w:pPr>
        <w:spacing w:after="0" w:line="240" w:lineRule="auto"/>
        <w:jc w:val="both"/>
        <w:rPr>
          <w:rFonts w:ascii="Verdana" w:eastAsia="Times New Roman" w:hAnsi="Verdana" w:cs="Arial"/>
          <w:noProof/>
          <w:lang w:val="es-ES_tradnl" w:eastAsia="es-ES_tradnl"/>
        </w:rPr>
      </w:pPr>
    </w:p>
    <w:p w14:paraId="6AB8353E" w14:textId="77777777" w:rsidR="00981CAB" w:rsidRDefault="00981CAB" w:rsidP="00187855">
      <w:pPr>
        <w:spacing w:after="0" w:line="240" w:lineRule="auto"/>
        <w:jc w:val="both"/>
        <w:rPr>
          <w:rFonts w:ascii="Verdana" w:eastAsia="Times New Roman" w:hAnsi="Verdana" w:cs="Arial"/>
          <w:noProof/>
          <w:lang w:val="es-ES_tradnl" w:eastAsia="es-ES_tradnl"/>
        </w:rPr>
      </w:pPr>
    </w:p>
    <w:p w14:paraId="15EEF105" w14:textId="77777777" w:rsidR="00981CAB" w:rsidRDefault="00981CAB" w:rsidP="00187855">
      <w:pPr>
        <w:spacing w:after="0" w:line="240" w:lineRule="auto"/>
        <w:jc w:val="both"/>
        <w:rPr>
          <w:rFonts w:ascii="Verdana" w:eastAsia="Times New Roman" w:hAnsi="Verdana" w:cs="Arial"/>
          <w:noProof/>
          <w:lang w:val="es-ES_tradnl" w:eastAsia="es-ES_tradnl"/>
        </w:rPr>
      </w:pPr>
    </w:p>
    <w:p w14:paraId="61386504" w14:textId="77777777" w:rsidR="00981CAB" w:rsidRDefault="00981CAB" w:rsidP="00187855">
      <w:pPr>
        <w:spacing w:after="0" w:line="240" w:lineRule="auto"/>
        <w:jc w:val="both"/>
        <w:rPr>
          <w:rFonts w:ascii="Verdana" w:eastAsia="Times New Roman" w:hAnsi="Verdana" w:cs="Arial"/>
          <w:noProof/>
          <w:lang w:val="es-ES_tradnl" w:eastAsia="es-ES_tradnl"/>
        </w:rPr>
      </w:pPr>
    </w:p>
    <w:p w14:paraId="41F356C3" w14:textId="77777777" w:rsidR="00981CAB" w:rsidRDefault="00981CAB" w:rsidP="00187855">
      <w:pPr>
        <w:spacing w:after="0" w:line="240" w:lineRule="auto"/>
        <w:jc w:val="both"/>
        <w:rPr>
          <w:rFonts w:ascii="Verdana" w:eastAsia="Times New Roman" w:hAnsi="Verdana" w:cs="Arial"/>
          <w:noProof/>
          <w:lang w:val="es-ES_tradnl" w:eastAsia="es-ES_tradnl"/>
        </w:rPr>
      </w:pPr>
    </w:p>
    <w:p w14:paraId="5006FC20" w14:textId="77777777" w:rsidR="00981CAB" w:rsidRDefault="00981CAB" w:rsidP="00187855">
      <w:pPr>
        <w:spacing w:after="0" w:line="240" w:lineRule="auto"/>
        <w:jc w:val="both"/>
        <w:rPr>
          <w:rFonts w:ascii="Verdana" w:eastAsia="Times New Roman" w:hAnsi="Verdana" w:cs="Arial"/>
          <w:noProof/>
          <w:lang w:val="es-ES_tradnl" w:eastAsia="es-ES_tradnl"/>
        </w:rPr>
      </w:pPr>
    </w:p>
    <w:p w14:paraId="109333A6" w14:textId="77777777" w:rsidR="00981CAB" w:rsidRDefault="00981CAB" w:rsidP="00187855">
      <w:pPr>
        <w:spacing w:after="0" w:line="240" w:lineRule="auto"/>
        <w:jc w:val="both"/>
        <w:rPr>
          <w:rFonts w:ascii="Verdana" w:eastAsia="Times New Roman" w:hAnsi="Verdana" w:cs="Arial"/>
          <w:noProof/>
          <w:lang w:val="es-ES_tradnl" w:eastAsia="es-ES_tradnl"/>
        </w:rPr>
      </w:pPr>
    </w:p>
    <w:p w14:paraId="478FCB54" w14:textId="77777777" w:rsidR="00981CAB" w:rsidRDefault="00981CAB" w:rsidP="00187855">
      <w:pPr>
        <w:spacing w:after="0" w:line="240" w:lineRule="auto"/>
        <w:jc w:val="both"/>
        <w:rPr>
          <w:rFonts w:ascii="Verdana" w:eastAsia="Times New Roman" w:hAnsi="Verdana" w:cs="Arial"/>
          <w:noProof/>
          <w:lang w:val="es-ES_tradnl" w:eastAsia="es-ES_tradnl"/>
        </w:rPr>
      </w:pPr>
    </w:p>
    <w:p w14:paraId="0A5869BB" w14:textId="77777777" w:rsidR="00981CAB" w:rsidRDefault="00981CAB" w:rsidP="00187855">
      <w:pPr>
        <w:spacing w:after="0" w:line="240" w:lineRule="auto"/>
        <w:jc w:val="both"/>
        <w:rPr>
          <w:rFonts w:ascii="Verdana" w:eastAsia="Times New Roman" w:hAnsi="Verdana" w:cs="Arial"/>
          <w:noProof/>
          <w:lang w:val="es-ES_tradnl" w:eastAsia="es-ES_tradnl"/>
        </w:rPr>
      </w:pPr>
    </w:p>
    <w:p w14:paraId="40B4AF29" w14:textId="77777777" w:rsidR="00981CAB" w:rsidRDefault="00981CAB" w:rsidP="00187855">
      <w:pPr>
        <w:spacing w:after="0" w:line="240" w:lineRule="auto"/>
        <w:jc w:val="both"/>
        <w:rPr>
          <w:rFonts w:ascii="Verdana" w:eastAsia="Times New Roman" w:hAnsi="Verdana" w:cs="Arial"/>
          <w:noProof/>
          <w:lang w:val="es-ES_tradnl" w:eastAsia="es-ES_tradnl"/>
        </w:rPr>
      </w:pPr>
    </w:p>
    <w:p w14:paraId="078BA2B2" w14:textId="77777777" w:rsidR="00981CAB" w:rsidRDefault="00981CAB" w:rsidP="00187855">
      <w:pPr>
        <w:spacing w:after="0" w:line="240" w:lineRule="auto"/>
        <w:jc w:val="both"/>
        <w:rPr>
          <w:rFonts w:ascii="Verdana" w:eastAsia="Times New Roman" w:hAnsi="Verdana" w:cs="Arial"/>
          <w:noProof/>
          <w:lang w:val="es-ES_tradnl" w:eastAsia="es-ES_tradnl"/>
        </w:rPr>
      </w:pPr>
    </w:p>
    <w:p w14:paraId="3288C0FE" w14:textId="77777777" w:rsidR="00981CAB" w:rsidRDefault="00981CAB" w:rsidP="00187855">
      <w:pPr>
        <w:spacing w:after="0" w:line="240" w:lineRule="auto"/>
        <w:jc w:val="both"/>
        <w:rPr>
          <w:rFonts w:ascii="Verdana" w:eastAsia="Times New Roman" w:hAnsi="Verdana" w:cs="Arial"/>
          <w:noProof/>
          <w:lang w:val="es-ES_tradnl" w:eastAsia="es-ES_tradnl"/>
        </w:rPr>
      </w:pPr>
    </w:p>
    <w:p w14:paraId="6BCA4A78" w14:textId="77777777" w:rsidR="00981CAB" w:rsidRDefault="00981CAB" w:rsidP="00187855">
      <w:pPr>
        <w:spacing w:after="0" w:line="240" w:lineRule="auto"/>
        <w:jc w:val="both"/>
        <w:rPr>
          <w:rFonts w:ascii="Verdana" w:eastAsia="Times New Roman" w:hAnsi="Verdana" w:cs="Arial"/>
          <w:noProof/>
          <w:lang w:val="es-ES_tradnl" w:eastAsia="es-ES_tradnl"/>
        </w:rPr>
      </w:pPr>
    </w:p>
    <w:p w14:paraId="3A1CE6CB" w14:textId="77777777" w:rsidR="00981CAB" w:rsidRDefault="00981CAB" w:rsidP="00187855">
      <w:pPr>
        <w:spacing w:after="0" w:line="240" w:lineRule="auto"/>
        <w:jc w:val="both"/>
        <w:rPr>
          <w:rFonts w:ascii="Verdana" w:eastAsia="Times New Roman" w:hAnsi="Verdana" w:cs="Arial"/>
          <w:noProof/>
          <w:lang w:val="es-ES_tradnl" w:eastAsia="es-ES_tradnl"/>
        </w:rPr>
      </w:pPr>
    </w:p>
    <w:p w14:paraId="7849FFA2" w14:textId="77777777" w:rsidR="00981CAB" w:rsidRDefault="00981CAB" w:rsidP="00187855">
      <w:pPr>
        <w:spacing w:after="0" w:line="240" w:lineRule="auto"/>
        <w:jc w:val="both"/>
        <w:rPr>
          <w:rFonts w:ascii="Verdana" w:eastAsia="Times New Roman" w:hAnsi="Verdana" w:cs="Arial"/>
          <w:noProof/>
          <w:lang w:val="es-ES_tradnl" w:eastAsia="es-ES_tradnl"/>
        </w:rPr>
      </w:pPr>
    </w:p>
    <w:p w14:paraId="5329F33A" w14:textId="77777777" w:rsidR="00981CAB" w:rsidRPr="00CC5C68" w:rsidRDefault="00981CAB" w:rsidP="00187855">
      <w:pPr>
        <w:spacing w:after="0" w:line="240" w:lineRule="auto"/>
        <w:jc w:val="both"/>
        <w:rPr>
          <w:rFonts w:ascii="Verdana" w:eastAsia="Times New Roman" w:hAnsi="Verdana" w:cs="Arial"/>
          <w:noProof/>
          <w:lang w:val="es-ES_tradnl" w:eastAsia="es-ES_tradnl"/>
        </w:rPr>
      </w:pPr>
    </w:p>
    <w:p w14:paraId="1F31A05B" w14:textId="77777777" w:rsidR="00187855" w:rsidRPr="00CC5C68" w:rsidRDefault="00187855" w:rsidP="00187855">
      <w:pPr>
        <w:spacing w:after="0" w:line="240" w:lineRule="auto"/>
        <w:jc w:val="both"/>
        <w:rPr>
          <w:rFonts w:ascii="Verdana" w:eastAsia="Times New Roman" w:hAnsi="Verdana" w:cs="Arial"/>
          <w:noProof/>
          <w:lang w:val="es-ES_tradnl" w:eastAsia="es-ES_tradnl"/>
        </w:rPr>
      </w:pPr>
    </w:p>
    <w:p w14:paraId="4DE18059" w14:textId="77777777" w:rsidR="00187855" w:rsidRDefault="00187855" w:rsidP="00187855">
      <w:pPr>
        <w:spacing w:after="0" w:line="240" w:lineRule="auto"/>
        <w:jc w:val="both"/>
        <w:rPr>
          <w:rFonts w:ascii="Verdana" w:eastAsia="Times New Roman" w:hAnsi="Verdana" w:cs="Arial"/>
          <w:noProof/>
          <w:lang w:val="es-ES_tradnl" w:eastAsia="es-ES_tradnl"/>
        </w:rPr>
      </w:pPr>
    </w:p>
    <w:p w14:paraId="5F05C680" w14:textId="275F8E23" w:rsidR="00187855" w:rsidRPr="00CC5C68" w:rsidRDefault="00187855" w:rsidP="00187855">
      <w:pPr>
        <w:spacing w:after="0" w:line="240" w:lineRule="auto"/>
        <w:jc w:val="both"/>
        <w:rPr>
          <w:rFonts w:ascii="Verdana" w:eastAsia="Times New Roman" w:hAnsi="Verdana" w:cs="Arial"/>
          <w:noProof/>
          <w:lang w:val="es-ES_tradnl" w:eastAsia="es-ES_tradnl"/>
        </w:rPr>
      </w:pPr>
      <w:r w:rsidRPr="00CC5C68">
        <w:rPr>
          <w:rFonts w:ascii="Verdana" w:eastAsia="Times New Roman" w:hAnsi="Verdana" w:cs="Arial"/>
          <w:noProof/>
          <w:lang w:val="es-ES_tradnl" w:eastAsia="es-ES_tradnl"/>
        </w:rPr>
        <w:lastRenderedPageBreak/>
        <w:t xml:space="preserve">Bogotá D.C., </w:t>
      </w:r>
      <w:r w:rsidR="004844B3">
        <w:rPr>
          <w:rFonts w:ascii="Verdana" w:eastAsia="Times New Roman" w:hAnsi="Verdana" w:cs="Arial"/>
          <w:noProof/>
          <w:lang w:val="es-ES_tradnl" w:eastAsia="es-ES_tradnl"/>
        </w:rPr>
        <w:t>1 de julio de 2025</w:t>
      </w:r>
    </w:p>
    <w:p w14:paraId="7B9CF31D" w14:textId="77777777" w:rsidR="00187855" w:rsidRDefault="00187855" w:rsidP="00187855">
      <w:pPr>
        <w:spacing w:after="0" w:line="240" w:lineRule="auto"/>
        <w:jc w:val="both"/>
        <w:rPr>
          <w:rFonts w:ascii="Verdana" w:eastAsia="Times New Roman" w:hAnsi="Verdana" w:cs="Arial"/>
          <w:noProof/>
          <w:lang w:val="es-ES_tradnl" w:eastAsia="es-ES_tradnl"/>
        </w:rPr>
      </w:pPr>
    </w:p>
    <w:p w14:paraId="5A61BED4" w14:textId="1F7F807B" w:rsidR="004844B3" w:rsidRDefault="004844B3" w:rsidP="006D2E98">
      <w:pPr>
        <w:spacing w:after="0" w:line="240" w:lineRule="auto"/>
        <w:jc w:val="right"/>
        <w:rPr>
          <w:rFonts w:ascii="Verdana" w:eastAsia="Times New Roman" w:hAnsi="Verdana" w:cs="Arial"/>
          <w:noProof/>
          <w:lang w:val="es-ES_tradnl" w:eastAsia="es-ES_tradnl"/>
        </w:rPr>
      </w:pPr>
    </w:p>
    <w:p w14:paraId="3F7A70FD" w14:textId="77777777" w:rsidR="004844B3" w:rsidRDefault="004844B3" w:rsidP="00187855">
      <w:pPr>
        <w:spacing w:after="0" w:line="240" w:lineRule="auto"/>
        <w:jc w:val="both"/>
        <w:rPr>
          <w:rFonts w:ascii="Verdana" w:eastAsia="Times New Roman" w:hAnsi="Verdana" w:cs="Arial"/>
          <w:noProof/>
          <w:lang w:val="es-ES_tradnl" w:eastAsia="es-ES_tradnl"/>
        </w:rPr>
      </w:pPr>
    </w:p>
    <w:p w14:paraId="4FF42EB7" w14:textId="77777777" w:rsidR="004844B3" w:rsidRDefault="004844B3" w:rsidP="00187855">
      <w:pPr>
        <w:spacing w:after="0" w:line="240" w:lineRule="auto"/>
        <w:jc w:val="both"/>
        <w:rPr>
          <w:rFonts w:ascii="Verdana" w:eastAsia="Times New Roman" w:hAnsi="Verdana" w:cs="Arial"/>
          <w:noProof/>
          <w:lang w:val="es-ES_tradnl" w:eastAsia="es-ES_tradnl"/>
        </w:rPr>
      </w:pPr>
    </w:p>
    <w:p w14:paraId="4F279ED6" w14:textId="747823A7" w:rsidR="00187855" w:rsidRPr="00CC5C68" w:rsidRDefault="005F0171" w:rsidP="00187855">
      <w:pPr>
        <w:spacing w:after="0" w:line="240" w:lineRule="auto"/>
        <w:jc w:val="right"/>
        <w:rPr>
          <w:rFonts w:ascii="Verdana" w:eastAsia="Times New Roman" w:hAnsi="Verdana" w:cs="Arial"/>
          <w:noProof/>
          <w:lang w:val="es-ES_tradnl" w:eastAsia="es-ES_tradnl"/>
        </w:rPr>
      </w:pPr>
      <w:r w:rsidRPr="006D2E98">
        <w:rPr>
          <w:rFonts w:ascii="Verdana" w:eastAsia="Times New Roman" w:hAnsi="Verdana" w:cs="Arial"/>
          <w:noProof/>
          <w:lang w:val="es-ES_tradnl" w:eastAsia="es-ES_tradnl"/>
        </w:rPr>
        <w:drawing>
          <wp:anchor distT="0" distB="0" distL="114300" distR="114300" simplePos="0" relativeHeight="251658240" behindDoc="0" locked="0" layoutInCell="1" allowOverlap="1" wp14:anchorId="7F88F3B4" wp14:editId="3FFCBC39">
            <wp:simplePos x="0" y="0"/>
            <wp:positionH relativeFrom="margin">
              <wp:align>right</wp:align>
            </wp:positionH>
            <wp:positionV relativeFrom="paragraph">
              <wp:posOffset>8255</wp:posOffset>
            </wp:positionV>
            <wp:extent cx="3027680" cy="842645"/>
            <wp:effectExtent l="0" t="0" r="1270" b="0"/>
            <wp:wrapSquare wrapText="bothSides"/>
            <wp:docPr id="13439411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941194" name=""/>
                    <pic:cNvPicPr/>
                  </pic:nvPicPr>
                  <pic:blipFill>
                    <a:blip r:embed="rId10">
                      <a:extLst>
                        <a:ext uri="{28A0092B-C50C-407E-A947-70E740481C1C}">
                          <a14:useLocalDpi xmlns:a14="http://schemas.microsoft.com/office/drawing/2010/main" val="0"/>
                        </a:ext>
                      </a:extLst>
                    </a:blip>
                    <a:stretch>
                      <a:fillRect/>
                    </a:stretch>
                  </pic:blipFill>
                  <pic:spPr>
                    <a:xfrm>
                      <a:off x="0" y="0"/>
                      <a:ext cx="3027680" cy="842645"/>
                    </a:xfrm>
                    <a:prstGeom prst="rect">
                      <a:avLst/>
                    </a:prstGeom>
                  </pic:spPr>
                </pic:pic>
              </a:graphicData>
            </a:graphic>
            <wp14:sizeRelH relativeFrom="margin">
              <wp14:pctWidth>0</wp14:pctWidth>
            </wp14:sizeRelH>
            <wp14:sizeRelV relativeFrom="margin">
              <wp14:pctHeight>0</wp14:pctHeight>
            </wp14:sizeRelV>
          </wp:anchor>
        </w:drawing>
      </w:r>
    </w:p>
    <w:p w14:paraId="3E0568F6" w14:textId="77777777" w:rsidR="00187855" w:rsidRPr="00CC5C68" w:rsidRDefault="00187855" w:rsidP="00187855">
      <w:pPr>
        <w:spacing w:after="0" w:line="240" w:lineRule="auto"/>
        <w:jc w:val="both"/>
        <w:rPr>
          <w:rFonts w:ascii="Verdana" w:eastAsia="Calibri" w:hAnsi="Verdana" w:cs="Arial"/>
          <w:lang w:val="es-ES" w:eastAsia="es-ES_tradnl"/>
        </w:rPr>
      </w:pPr>
      <w:r w:rsidRPr="00CC5C68">
        <w:rPr>
          <w:rFonts w:ascii="Verdana" w:eastAsia="Calibri" w:hAnsi="Verdana" w:cs="Arial"/>
          <w:lang w:val="es-ES" w:eastAsia="es-ES_tradnl"/>
        </w:rPr>
        <w:t>Señor</w:t>
      </w:r>
    </w:p>
    <w:p w14:paraId="70986A73" w14:textId="02C024D9" w:rsidR="00187855" w:rsidRDefault="00623DC0" w:rsidP="00187855">
      <w:pPr>
        <w:spacing w:after="0" w:line="240" w:lineRule="auto"/>
        <w:rPr>
          <w:rFonts w:ascii="Verdana" w:eastAsia="Calibri" w:hAnsi="Verdana" w:cs="Arial"/>
          <w:b/>
          <w:bCs/>
          <w:lang w:val="es-ES" w:eastAsia="es-ES_tradnl"/>
        </w:rPr>
      </w:pPr>
      <w:r>
        <w:rPr>
          <w:rFonts w:ascii="Verdana" w:eastAsia="Calibri" w:hAnsi="Verdana" w:cs="Arial"/>
          <w:b/>
          <w:bCs/>
          <w:lang w:val="es-ES" w:eastAsia="es-ES_tradnl"/>
        </w:rPr>
        <w:t>Gustavo Andrés Lima Vela</w:t>
      </w:r>
    </w:p>
    <w:p w14:paraId="0EF313A3" w14:textId="66C4FBF8" w:rsidR="00623DC0" w:rsidRPr="00623DC0" w:rsidRDefault="00623DC0" w:rsidP="00623DC0">
      <w:pPr>
        <w:spacing w:after="0" w:line="240" w:lineRule="auto"/>
        <w:rPr>
          <w:rFonts w:ascii="Verdana" w:eastAsia="Calibri" w:hAnsi="Verdana" w:cs="Arial"/>
          <w:lang w:val="es-ES" w:eastAsia="es-ES_tradnl"/>
        </w:rPr>
      </w:pPr>
      <w:hyperlink r:id="rId11" w:history="1">
        <w:r w:rsidRPr="00623DC0">
          <w:rPr>
            <w:rStyle w:val="Hipervnculo"/>
            <w:rFonts w:ascii="Verdana" w:eastAsia="Calibri" w:hAnsi="Verdana" w:cs="Arial"/>
            <w:lang w:val="es-ES" w:eastAsia="es-ES_tradnl"/>
          </w:rPr>
          <w:t>gustavoandreslima@gmail.com</w:t>
        </w:r>
      </w:hyperlink>
      <w:r w:rsidRPr="00623DC0">
        <w:rPr>
          <w:rFonts w:ascii="Verdana" w:eastAsia="Calibri" w:hAnsi="Verdana" w:cs="Arial"/>
          <w:lang w:val="es-ES" w:eastAsia="es-ES_tradnl"/>
        </w:rPr>
        <w:t xml:space="preserve"> </w:t>
      </w:r>
    </w:p>
    <w:p w14:paraId="2238A9C0" w14:textId="77777777" w:rsidR="00187855" w:rsidRPr="00CC5C68" w:rsidRDefault="00187855" w:rsidP="00187855">
      <w:pPr>
        <w:spacing w:after="0" w:line="240" w:lineRule="auto"/>
        <w:rPr>
          <w:rFonts w:ascii="Verdana" w:eastAsia="Calibri" w:hAnsi="Verdana" w:cs="Arial"/>
          <w:lang w:val="es-ES_tradnl" w:eastAsia="es-ES_tradnl"/>
        </w:rPr>
      </w:pPr>
      <w:r w:rsidRPr="00CC5C68">
        <w:rPr>
          <w:rFonts w:ascii="Verdana" w:eastAsia="Calibri" w:hAnsi="Verdana" w:cs="Arial"/>
          <w:bCs/>
          <w:lang w:val="es-ES_tradnl" w:eastAsia="es-ES_tradnl"/>
        </w:rPr>
        <w:t>Ciudad</w:t>
      </w:r>
    </w:p>
    <w:p w14:paraId="72D4FAD8" w14:textId="77777777" w:rsidR="00187855" w:rsidRPr="00CC5C68" w:rsidRDefault="00187855" w:rsidP="00187855">
      <w:pPr>
        <w:spacing w:after="0" w:line="240" w:lineRule="auto"/>
        <w:rPr>
          <w:rFonts w:ascii="Verdana" w:eastAsia="Calibri" w:hAnsi="Verdana" w:cs="Arial"/>
          <w:lang w:val="es-ES_tradnl" w:eastAsia="es-ES_tradnl"/>
        </w:rPr>
      </w:pPr>
    </w:p>
    <w:p w14:paraId="6FA83756" w14:textId="77777777" w:rsidR="00187855" w:rsidRPr="00CC5C68" w:rsidRDefault="00187855" w:rsidP="00187855">
      <w:pPr>
        <w:spacing w:after="0" w:line="240" w:lineRule="auto"/>
        <w:rPr>
          <w:rFonts w:ascii="Verdana" w:eastAsia="Calibri" w:hAnsi="Verdana" w:cs="Arial"/>
          <w:lang w:val="es-ES_tradnl" w:eastAsia="es-ES_tradnl"/>
        </w:rPr>
      </w:pPr>
    </w:p>
    <w:p w14:paraId="235FDCA6" w14:textId="729898A4" w:rsidR="00187855" w:rsidRPr="00CC5C68" w:rsidRDefault="00187855" w:rsidP="00187855">
      <w:pPr>
        <w:spacing w:after="0" w:line="240" w:lineRule="auto"/>
        <w:ind w:left="2694"/>
        <w:rPr>
          <w:rFonts w:ascii="Verdana" w:eastAsia="Calibri" w:hAnsi="Verdana" w:cs="Arial"/>
          <w:b/>
          <w:bCs/>
          <w:lang w:val="es-ES" w:eastAsia="es-ES_tradnl"/>
        </w:rPr>
      </w:pPr>
      <w:r w:rsidRPr="00CC5C68">
        <w:rPr>
          <w:rFonts w:ascii="Verdana" w:eastAsia="Calibri" w:hAnsi="Verdana" w:cs="Arial"/>
          <w:b/>
          <w:bCs/>
          <w:lang w:val="es-ES" w:eastAsia="es-ES_tradnl"/>
        </w:rPr>
        <w:t>Concepto C-</w:t>
      </w:r>
      <w:r w:rsidR="00623DC0">
        <w:rPr>
          <w:rFonts w:ascii="Verdana" w:eastAsia="Calibri" w:hAnsi="Verdana" w:cs="Arial"/>
          <w:b/>
          <w:bCs/>
          <w:lang w:val="es-ES" w:eastAsia="es-ES_tradnl"/>
        </w:rPr>
        <w:t>627</w:t>
      </w:r>
      <w:r w:rsidRPr="00CC5C68">
        <w:rPr>
          <w:rFonts w:ascii="Verdana" w:eastAsia="Calibri" w:hAnsi="Verdana" w:cs="Arial"/>
          <w:b/>
          <w:bCs/>
          <w:lang w:val="es-ES" w:eastAsia="es-ES_tradnl"/>
        </w:rPr>
        <w:t xml:space="preserve"> de 202</w:t>
      </w:r>
      <w:r w:rsidR="00A6189F">
        <w:rPr>
          <w:rFonts w:ascii="Verdana" w:eastAsia="Calibri" w:hAnsi="Verdana" w:cs="Arial"/>
          <w:b/>
          <w:bCs/>
          <w:lang w:val="es-ES" w:eastAsia="es-ES_tradnl"/>
        </w:rPr>
        <w:t>5</w:t>
      </w:r>
    </w:p>
    <w:p w14:paraId="2FA09044" w14:textId="77777777" w:rsidR="00187855" w:rsidRPr="00CC5C68" w:rsidRDefault="00187855" w:rsidP="00187855">
      <w:pPr>
        <w:spacing w:after="0" w:line="240" w:lineRule="auto"/>
        <w:jc w:val="both"/>
        <w:rPr>
          <w:rFonts w:ascii="Verdana" w:eastAsia="Calibri" w:hAnsi="Verdana" w:cs="Arial"/>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095"/>
      </w:tblGrid>
      <w:tr w:rsidR="00187855" w:rsidRPr="00CC5C68" w14:paraId="2F90E71E" w14:textId="77777777" w:rsidTr="00EC5A97">
        <w:tc>
          <w:tcPr>
            <w:tcW w:w="2694" w:type="dxa"/>
          </w:tcPr>
          <w:p w14:paraId="3DCB50E0" w14:textId="77777777" w:rsidR="00187855" w:rsidRPr="00CC5C68" w:rsidRDefault="00187855" w:rsidP="00E075F9">
            <w:pPr>
              <w:rPr>
                <w:rFonts w:ascii="Verdana" w:eastAsia="Calibri" w:hAnsi="Verdana" w:cs="Arial"/>
                <w:lang w:val="es-ES_tradnl" w:eastAsia="es-ES_tradnl"/>
              </w:rPr>
            </w:pPr>
            <w:r w:rsidRPr="00CC5C68">
              <w:rPr>
                <w:rFonts w:ascii="Verdana" w:eastAsia="Calibri" w:hAnsi="Verdana" w:cs="Arial"/>
                <w:b/>
                <w:lang w:val="es-ES_tradnl" w:eastAsia="es-ES_tradnl"/>
              </w:rPr>
              <w:t>Temas:</w:t>
            </w:r>
          </w:p>
        </w:tc>
        <w:tc>
          <w:tcPr>
            <w:tcW w:w="6095" w:type="dxa"/>
          </w:tcPr>
          <w:p w14:paraId="3BEA88DA" w14:textId="038EACD5" w:rsidR="00187855" w:rsidRPr="00CC5C68" w:rsidRDefault="00D42424" w:rsidP="00E075F9">
            <w:pPr>
              <w:spacing w:line="276" w:lineRule="auto"/>
              <w:jc w:val="both"/>
              <w:textAlignment w:val="baseline"/>
              <w:rPr>
                <w:rFonts w:ascii="Verdana" w:eastAsia="Times New Roman" w:hAnsi="Verdana" w:cs="Arial"/>
                <w:lang w:val="es-ES_tradnl" w:eastAsia="es-ES_tradnl"/>
              </w:rPr>
            </w:pPr>
            <w:r w:rsidRPr="00D42424">
              <w:rPr>
                <w:rFonts w:ascii="Verdana" w:eastAsia="Times New Roman" w:hAnsi="Verdana" w:cs="Arial"/>
                <w:lang w:eastAsia="es-ES_tradnl"/>
              </w:rPr>
              <w:t xml:space="preserve">PERSONAS EN CONDICIÓN DE DISCAPACIDAD – Decreto 392 de 2018 – Desarrollo normativo / </w:t>
            </w:r>
            <w:r>
              <w:rPr>
                <w:rFonts w:ascii="Verdana" w:eastAsia="Times New Roman" w:hAnsi="Verdana" w:cs="Arial"/>
                <w:lang w:eastAsia="es-ES_tradnl"/>
              </w:rPr>
              <w:t>DECRETO 392 DE 2018</w:t>
            </w:r>
            <w:r w:rsidRPr="00D42424">
              <w:rPr>
                <w:rFonts w:ascii="Verdana" w:eastAsia="Times New Roman" w:hAnsi="Verdana" w:cs="Arial"/>
                <w:lang w:eastAsia="es-ES_tradnl"/>
              </w:rPr>
              <w:t xml:space="preserve"> − Personas en condición de discapacidad − Proponente plural / SELECCIÓN OBJETIVA – Ley 1150 de 2007 – Alcance – Requisitos habilitantes</w:t>
            </w:r>
          </w:p>
        </w:tc>
      </w:tr>
      <w:tr w:rsidR="00187855" w:rsidRPr="00CC5C68" w14:paraId="430F24C2" w14:textId="77777777" w:rsidTr="00EC5A97">
        <w:tc>
          <w:tcPr>
            <w:tcW w:w="2694" w:type="dxa"/>
          </w:tcPr>
          <w:p w14:paraId="64FF2E28" w14:textId="77777777" w:rsidR="00187855" w:rsidRPr="00CC5C68" w:rsidRDefault="00187855" w:rsidP="00E075F9">
            <w:pPr>
              <w:rPr>
                <w:rFonts w:ascii="Verdana" w:eastAsia="Calibri" w:hAnsi="Verdana" w:cs="Arial"/>
                <w:b/>
                <w:lang w:val="es-ES" w:eastAsia="es-ES_tradnl"/>
              </w:rPr>
            </w:pPr>
            <w:r w:rsidRPr="00CC5C68">
              <w:rPr>
                <w:rFonts w:ascii="Verdana" w:eastAsia="Calibri" w:hAnsi="Verdana" w:cs="Arial"/>
                <w:b/>
                <w:lang w:val="es-ES" w:eastAsia="es-ES_tradnl"/>
              </w:rPr>
              <w:t>Radicación:</w:t>
            </w:r>
          </w:p>
        </w:tc>
        <w:tc>
          <w:tcPr>
            <w:tcW w:w="6095" w:type="dxa"/>
          </w:tcPr>
          <w:p w14:paraId="2C9AA094" w14:textId="5B35F07B" w:rsidR="00187855" w:rsidRPr="00CC5C68" w:rsidRDefault="00187855" w:rsidP="00E075F9">
            <w:pPr>
              <w:jc w:val="both"/>
              <w:rPr>
                <w:rFonts w:ascii="Verdana" w:eastAsia="Calibri" w:hAnsi="Verdana" w:cs="Arial"/>
                <w:lang w:val="es-ES" w:eastAsia="es-ES_tradnl"/>
              </w:rPr>
            </w:pPr>
            <w:r w:rsidRPr="00CC5C68">
              <w:rPr>
                <w:rFonts w:ascii="Verdana" w:eastAsia="Calibri" w:hAnsi="Verdana" w:cs="Arial"/>
                <w:lang w:val="es-ES" w:eastAsia="es-ES_tradnl"/>
              </w:rPr>
              <w:t xml:space="preserve">Respuesta a consulta radicado No. </w:t>
            </w:r>
            <w:r w:rsidR="00623DC0" w:rsidRPr="00623DC0">
              <w:rPr>
                <w:rFonts w:ascii="Verdana" w:eastAsia="Times New Roman" w:hAnsi="Verdana" w:cs="Arial"/>
                <w:lang w:eastAsia="es-ES_tradnl"/>
              </w:rPr>
              <w:t>P20250520004844</w:t>
            </w:r>
          </w:p>
        </w:tc>
      </w:tr>
    </w:tbl>
    <w:p w14:paraId="3701FBE5" w14:textId="77777777" w:rsidR="00187855" w:rsidRPr="00CC5C68" w:rsidRDefault="00187855" w:rsidP="00187855">
      <w:pPr>
        <w:spacing w:after="0" w:line="240" w:lineRule="auto"/>
        <w:jc w:val="both"/>
        <w:rPr>
          <w:rFonts w:ascii="Verdana" w:eastAsia="Calibri" w:hAnsi="Verdana" w:cs="Arial"/>
          <w:lang w:val="es-ES_tradnl" w:eastAsia="es-ES_tradnl"/>
        </w:rPr>
      </w:pPr>
    </w:p>
    <w:p w14:paraId="62295CBA" w14:textId="77777777" w:rsidR="00187855" w:rsidRPr="00CC5C68" w:rsidRDefault="00187855" w:rsidP="00187855">
      <w:pPr>
        <w:spacing w:after="0" w:line="240" w:lineRule="auto"/>
        <w:jc w:val="both"/>
        <w:rPr>
          <w:rFonts w:ascii="Verdana" w:eastAsia="Calibri" w:hAnsi="Verdana" w:cs="Arial"/>
          <w:lang w:val="es-ES_tradnl" w:eastAsia="es-ES_tradnl"/>
        </w:rPr>
      </w:pPr>
    </w:p>
    <w:p w14:paraId="67D731EC" w14:textId="0EDB936C" w:rsidR="00187855" w:rsidRPr="00CC5C68" w:rsidRDefault="00187855" w:rsidP="00187855">
      <w:pPr>
        <w:spacing w:after="0" w:line="276" w:lineRule="auto"/>
        <w:contextualSpacing/>
        <w:jc w:val="both"/>
        <w:rPr>
          <w:rFonts w:ascii="Verdana" w:eastAsia="Calibri" w:hAnsi="Verdana" w:cs="Arial"/>
          <w:bCs/>
          <w:lang w:val="es-ES_tradnl" w:eastAsia="es-ES_tradnl"/>
        </w:rPr>
      </w:pPr>
      <w:r w:rsidRPr="00CC5C68">
        <w:rPr>
          <w:rFonts w:ascii="Verdana" w:eastAsia="Calibri" w:hAnsi="Verdana" w:cs="Arial"/>
          <w:lang w:val="es-ES_tradnl" w:eastAsia="es-ES_tradnl"/>
        </w:rPr>
        <w:t xml:space="preserve">Estimado señor </w:t>
      </w:r>
      <w:r w:rsidR="00623DC0">
        <w:rPr>
          <w:rFonts w:ascii="Verdana" w:eastAsia="Calibri" w:hAnsi="Verdana" w:cs="Arial"/>
          <w:lang w:val="es-ES_tradnl" w:eastAsia="es-ES_tradnl"/>
        </w:rPr>
        <w:t>Lima</w:t>
      </w:r>
      <w:r w:rsidRPr="00CC5C68">
        <w:rPr>
          <w:rFonts w:ascii="Verdana" w:eastAsia="Calibri" w:hAnsi="Verdana" w:cs="Arial"/>
          <w:bCs/>
          <w:lang w:val="es-ES_tradnl" w:eastAsia="es-ES_tradnl"/>
        </w:rPr>
        <w:t>:</w:t>
      </w:r>
    </w:p>
    <w:p w14:paraId="45A30938" w14:textId="77777777" w:rsidR="00187855" w:rsidRPr="00CC5C68" w:rsidRDefault="00187855" w:rsidP="00187855">
      <w:pPr>
        <w:spacing w:after="0" w:line="276" w:lineRule="auto"/>
        <w:contextualSpacing/>
        <w:jc w:val="both"/>
        <w:rPr>
          <w:rFonts w:ascii="Verdana" w:eastAsia="Calibri" w:hAnsi="Verdana" w:cs="Arial"/>
          <w:lang w:val="es-ES_tradnl" w:eastAsia="es-ES_tradnl"/>
        </w:rPr>
      </w:pPr>
    </w:p>
    <w:p w14:paraId="1AA5850F" w14:textId="2E513F18" w:rsidR="00187855" w:rsidRPr="00CC5C68" w:rsidRDefault="00187855" w:rsidP="00187855">
      <w:pPr>
        <w:spacing w:after="0" w:line="276" w:lineRule="auto"/>
        <w:contextualSpacing/>
        <w:jc w:val="both"/>
        <w:rPr>
          <w:rFonts w:ascii="Verdana" w:eastAsia="Calibri" w:hAnsi="Verdana" w:cs="Arial"/>
          <w:lang w:val="es-ES" w:eastAsia="es-ES_tradnl"/>
        </w:rPr>
      </w:pPr>
      <w:r w:rsidRPr="00CC5C68">
        <w:rPr>
          <w:rFonts w:ascii="Verdana" w:eastAsia="Calibri" w:hAnsi="Verdana" w:cs="Arial"/>
          <w:lang w:val="es-ES"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sidR="00623DC0">
        <w:rPr>
          <w:rFonts w:ascii="Verdana" w:eastAsia="Calibri" w:hAnsi="Verdana" w:cs="Arial"/>
          <w:lang w:val="es-ES" w:eastAsia="es-ES_tradnl"/>
        </w:rPr>
        <w:t>20</w:t>
      </w:r>
      <w:r w:rsidRPr="00CC5C68">
        <w:rPr>
          <w:rFonts w:ascii="Verdana" w:eastAsia="Calibri" w:hAnsi="Verdana" w:cs="Arial"/>
          <w:lang w:val="es-ES" w:eastAsia="es-ES_tradnl"/>
        </w:rPr>
        <w:t xml:space="preserve"> de </w:t>
      </w:r>
      <w:r w:rsidR="00A6189F">
        <w:rPr>
          <w:rFonts w:ascii="Verdana" w:eastAsia="Calibri" w:hAnsi="Verdana" w:cs="Arial"/>
          <w:lang w:val="es-ES" w:eastAsia="es-ES_tradnl"/>
        </w:rPr>
        <w:t>mayo</w:t>
      </w:r>
      <w:r w:rsidRPr="00CC5C68">
        <w:rPr>
          <w:rFonts w:ascii="Verdana" w:eastAsia="Calibri" w:hAnsi="Verdana" w:cs="Arial"/>
          <w:lang w:val="es-ES" w:eastAsia="es-ES_tradnl"/>
        </w:rPr>
        <w:t xml:space="preserve"> de 202</w:t>
      </w:r>
      <w:r w:rsidR="00A6189F">
        <w:rPr>
          <w:rFonts w:ascii="Verdana" w:eastAsia="Calibri" w:hAnsi="Verdana" w:cs="Arial"/>
          <w:lang w:val="es-ES" w:eastAsia="es-ES_tradnl"/>
        </w:rPr>
        <w:t>5</w:t>
      </w:r>
      <w:r w:rsidRPr="00CC5C68">
        <w:rPr>
          <w:rFonts w:ascii="Verdana" w:eastAsia="Calibri" w:hAnsi="Verdana" w:cs="Arial"/>
          <w:lang w:val="es-ES" w:eastAsia="es-ES_tradnl"/>
        </w:rPr>
        <w:t>, en la cual manifiesta lo siguiente:</w:t>
      </w:r>
    </w:p>
    <w:p w14:paraId="5AEE5083" w14:textId="77777777" w:rsidR="00187855" w:rsidRPr="00CC5C68" w:rsidRDefault="00187855" w:rsidP="00187855">
      <w:pPr>
        <w:spacing w:after="0" w:line="276" w:lineRule="auto"/>
        <w:contextualSpacing/>
        <w:jc w:val="both"/>
        <w:rPr>
          <w:rFonts w:ascii="Verdana" w:eastAsia="Calibri" w:hAnsi="Verdana" w:cs="Arial"/>
          <w:b/>
          <w:szCs w:val="24"/>
          <w:lang w:val="es-ES_tradnl" w:eastAsia="es-ES_tradnl"/>
        </w:rPr>
      </w:pPr>
    </w:p>
    <w:p w14:paraId="60083994" w14:textId="17107B07" w:rsidR="00623DC0" w:rsidRPr="00623DC0" w:rsidRDefault="00187855" w:rsidP="00623DC0">
      <w:pPr>
        <w:spacing w:after="0" w:line="240" w:lineRule="auto"/>
        <w:ind w:left="709" w:right="709"/>
        <w:contextualSpacing/>
        <w:jc w:val="both"/>
        <w:rPr>
          <w:rFonts w:ascii="Verdana" w:eastAsia="Times New Roman" w:hAnsi="Verdana" w:cs="Arial"/>
          <w:sz w:val="21"/>
          <w:szCs w:val="21"/>
          <w:lang w:eastAsia="es-ES_tradnl"/>
        </w:rPr>
      </w:pPr>
      <w:r w:rsidRPr="00CC5C68">
        <w:rPr>
          <w:rFonts w:ascii="Verdana" w:eastAsia="Times New Roman" w:hAnsi="Verdana" w:cs="Arial"/>
          <w:sz w:val="21"/>
          <w:szCs w:val="21"/>
          <w:lang w:eastAsia="es-ES_tradnl"/>
        </w:rPr>
        <w:t>“</w:t>
      </w:r>
      <w:r w:rsidR="00623DC0" w:rsidRPr="00623DC0">
        <w:rPr>
          <w:rFonts w:ascii="Verdana" w:eastAsia="Times New Roman" w:hAnsi="Verdana" w:cs="Arial"/>
          <w:sz w:val="21"/>
          <w:szCs w:val="21"/>
          <w:lang w:eastAsia="es-ES_tradnl"/>
        </w:rPr>
        <w:t>Para el caso de proponentes plurales, dicho puntaje se asigna al miembro que</w:t>
      </w:r>
      <w:r w:rsidR="00623DC0">
        <w:rPr>
          <w:rFonts w:ascii="Verdana" w:eastAsia="Times New Roman" w:hAnsi="Verdana" w:cs="Arial"/>
          <w:sz w:val="21"/>
          <w:szCs w:val="21"/>
          <w:lang w:eastAsia="es-ES_tradnl"/>
        </w:rPr>
        <w:t xml:space="preserve"> </w:t>
      </w:r>
      <w:r w:rsidR="00623DC0" w:rsidRPr="00623DC0">
        <w:rPr>
          <w:rFonts w:ascii="Verdana" w:eastAsia="Times New Roman" w:hAnsi="Verdana" w:cs="Arial"/>
          <w:sz w:val="21"/>
          <w:szCs w:val="21"/>
          <w:lang w:eastAsia="es-ES_tradnl"/>
        </w:rPr>
        <w:t>acredite por lo menos el 40% de la experiencia requerida, así las cosas, adicional</w:t>
      </w:r>
      <w:r w:rsidR="00623DC0">
        <w:rPr>
          <w:rFonts w:ascii="Verdana" w:eastAsia="Times New Roman" w:hAnsi="Verdana" w:cs="Arial"/>
          <w:sz w:val="21"/>
          <w:szCs w:val="21"/>
          <w:lang w:eastAsia="es-ES_tradnl"/>
        </w:rPr>
        <w:t xml:space="preserve"> </w:t>
      </w:r>
      <w:r w:rsidR="00623DC0" w:rsidRPr="00623DC0">
        <w:rPr>
          <w:rFonts w:ascii="Verdana" w:eastAsia="Times New Roman" w:hAnsi="Verdana" w:cs="Arial"/>
          <w:sz w:val="21"/>
          <w:szCs w:val="21"/>
          <w:lang w:eastAsia="es-ES_tradnl"/>
        </w:rPr>
        <w:t>al certificado que emita el ministerio del Trabajo, y el certificado emitido por el revisor</w:t>
      </w:r>
      <w:r w:rsidR="00623DC0">
        <w:rPr>
          <w:rFonts w:ascii="Verdana" w:eastAsia="Times New Roman" w:hAnsi="Verdana" w:cs="Arial"/>
          <w:sz w:val="21"/>
          <w:szCs w:val="21"/>
          <w:lang w:eastAsia="es-ES_tradnl"/>
        </w:rPr>
        <w:t xml:space="preserve"> </w:t>
      </w:r>
      <w:r w:rsidR="00623DC0" w:rsidRPr="00623DC0">
        <w:rPr>
          <w:rFonts w:ascii="Verdana" w:eastAsia="Times New Roman" w:hAnsi="Verdana" w:cs="Arial"/>
          <w:sz w:val="21"/>
          <w:szCs w:val="21"/>
          <w:lang w:eastAsia="es-ES_tradnl"/>
        </w:rPr>
        <w:t>fiscal, se precisa una condición adicional para otorgar dicho incentivo.</w:t>
      </w:r>
    </w:p>
    <w:p w14:paraId="0393970C" w14:textId="67763D02" w:rsidR="00187855" w:rsidRPr="00CC5C68" w:rsidRDefault="00623DC0" w:rsidP="00623DC0">
      <w:pPr>
        <w:spacing w:after="0" w:line="240" w:lineRule="auto"/>
        <w:ind w:left="709" w:right="709"/>
        <w:contextualSpacing/>
        <w:jc w:val="both"/>
        <w:rPr>
          <w:rFonts w:ascii="Verdana" w:eastAsia="Times New Roman" w:hAnsi="Verdana" w:cs="Arial"/>
          <w:sz w:val="21"/>
          <w:szCs w:val="21"/>
          <w:lang w:eastAsia="es-ES_tradnl"/>
        </w:rPr>
      </w:pPr>
      <w:r w:rsidRPr="00623DC0">
        <w:rPr>
          <w:rFonts w:ascii="Verdana" w:eastAsia="Times New Roman" w:hAnsi="Verdana" w:cs="Arial"/>
          <w:sz w:val="21"/>
          <w:szCs w:val="21"/>
          <w:lang w:eastAsia="es-ES_tradnl"/>
        </w:rPr>
        <w:t>En ese orden de ideas, si durante el proceso de evaluación, la experiencia es</w:t>
      </w:r>
      <w:r>
        <w:rPr>
          <w:rFonts w:ascii="Verdana" w:eastAsia="Times New Roman" w:hAnsi="Verdana" w:cs="Arial"/>
          <w:sz w:val="21"/>
          <w:szCs w:val="21"/>
          <w:lang w:eastAsia="es-ES_tradnl"/>
        </w:rPr>
        <w:t xml:space="preserve"> </w:t>
      </w:r>
      <w:r w:rsidRPr="00623DC0">
        <w:rPr>
          <w:rFonts w:ascii="Verdana" w:eastAsia="Times New Roman" w:hAnsi="Verdana" w:cs="Arial"/>
          <w:sz w:val="21"/>
          <w:szCs w:val="21"/>
          <w:lang w:eastAsia="es-ES_tradnl"/>
        </w:rPr>
        <w:t xml:space="preserve">subsanada, tratándose de un requisito habilitante: </w:t>
      </w:r>
      <w:proofErr w:type="gramStart"/>
      <w:r w:rsidRPr="00623DC0">
        <w:rPr>
          <w:rFonts w:ascii="Verdana" w:eastAsia="Times New Roman" w:hAnsi="Verdana" w:cs="Arial"/>
          <w:sz w:val="21"/>
          <w:szCs w:val="21"/>
          <w:lang w:eastAsia="es-ES_tradnl"/>
        </w:rPr>
        <w:t>debe otorgarse el puntaje?</w:t>
      </w:r>
      <w:proofErr w:type="gramEnd"/>
      <w:r w:rsidRPr="00623DC0">
        <w:rPr>
          <w:rFonts w:ascii="Verdana" w:eastAsia="Times New Roman" w:hAnsi="Verdana" w:cs="Arial"/>
          <w:sz w:val="21"/>
          <w:szCs w:val="21"/>
          <w:lang w:eastAsia="es-ES_tradnl"/>
        </w:rPr>
        <w:t xml:space="preserve"> </w:t>
      </w:r>
      <w:proofErr w:type="gramStart"/>
      <w:r w:rsidRPr="00623DC0">
        <w:rPr>
          <w:rFonts w:ascii="Verdana" w:eastAsia="Times New Roman" w:hAnsi="Verdana" w:cs="Arial"/>
          <w:sz w:val="21"/>
          <w:szCs w:val="21"/>
          <w:lang w:eastAsia="es-ES_tradnl"/>
        </w:rPr>
        <w:t>o</w:t>
      </w:r>
      <w:proofErr w:type="gramEnd"/>
      <w:r w:rsidRPr="00623DC0">
        <w:rPr>
          <w:rFonts w:ascii="Verdana" w:eastAsia="Times New Roman" w:hAnsi="Verdana" w:cs="Arial"/>
          <w:sz w:val="21"/>
          <w:szCs w:val="21"/>
          <w:lang w:eastAsia="es-ES_tradnl"/>
        </w:rPr>
        <w:t xml:space="preserve"> por</w:t>
      </w:r>
      <w:r>
        <w:rPr>
          <w:rFonts w:ascii="Verdana" w:eastAsia="Times New Roman" w:hAnsi="Verdana" w:cs="Arial"/>
          <w:sz w:val="21"/>
          <w:szCs w:val="21"/>
          <w:lang w:eastAsia="es-ES_tradnl"/>
        </w:rPr>
        <w:t xml:space="preserve"> </w:t>
      </w:r>
      <w:r w:rsidRPr="00623DC0">
        <w:rPr>
          <w:rFonts w:ascii="Verdana" w:eastAsia="Times New Roman" w:hAnsi="Verdana" w:cs="Arial"/>
          <w:sz w:val="21"/>
          <w:szCs w:val="21"/>
          <w:lang w:eastAsia="es-ES_tradnl"/>
        </w:rPr>
        <w:t>el contrario, al ser un requisito que se encuentra ligado para los proponentes</w:t>
      </w:r>
      <w:r>
        <w:rPr>
          <w:rFonts w:ascii="Verdana" w:eastAsia="Times New Roman" w:hAnsi="Verdana" w:cs="Arial"/>
          <w:sz w:val="21"/>
          <w:szCs w:val="21"/>
          <w:lang w:eastAsia="es-ES_tradnl"/>
        </w:rPr>
        <w:t xml:space="preserve"> </w:t>
      </w:r>
      <w:r w:rsidRPr="00623DC0">
        <w:rPr>
          <w:rFonts w:ascii="Verdana" w:eastAsia="Times New Roman" w:hAnsi="Verdana" w:cs="Arial"/>
          <w:sz w:val="21"/>
          <w:szCs w:val="21"/>
          <w:lang w:eastAsia="es-ES_tradnl"/>
        </w:rPr>
        <w:t>plurales para la obtención del puntaje adicional debe abstenerse de asignar el</w:t>
      </w:r>
      <w:r>
        <w:rPr>
          <w:rFonts w:ascii="Verdana" w:eastAsia="Times New Roman" w:hAnsi="Verdana" w:cs="Arial"/>
          <w:sz w:val="21"/>
          <w:szCs w:val="21"/>
          <w:lang w:eastAsia="es-ES_tradnl"/>
        </w:rPr>
        <w:t xml:space="preserve"> </w:t>
      </w:r>
      <w:r w:rsidRPr="00623DC0">
        <w:rPr>
          <w:rFonts w:ascii="Verdana" w:eastAsia="Times New Roman" w:hAnsi="Verdana" w:cs="Arial"/>
          <w:sz w:val="21"/>
          <w:szCs w:val="21"/>
          <w:lang w:eastAsia="es-ES_tradnl"/>
        </w:rPr>
        <w:t>puntaje toda vez que al ser puntuable no puede ser objeto de subsanación</w:t>
      </w:r>
      <w:r w:rsidR="00187855" w:rsidRPr="00CC5C68">
        <w:rPr>
          <w:rFonts w:ascii="Verdana" w:eastAsia="Times New Roman" w:hAnsi="Verdana" w:cs="Arial"/>
          <w:sz w:val="21"/>
          <w:szCs w:val="21"/>
          <w:lang w:eastAsia="es-ES_tradnl"/>
        </w:rPr>
        <w:t>”.</w:t>
      </w:r>
    </w:p>
    <w:p w14:paraId="50165896" w14:textId="77777777" w:rsidR="00187855" w:rsidRPr="00CC5C68" w:rsidRDefault="00187855" w:rsidP="00187855">
      <w:pPr>
        <w:spacing w:after="0" w:line="240" w:lineRule="auto"/>
        <w:ind w:left="709" w:right="709"/>
        <w:contextualSpacing/>
        <w:jc w:val="both"/>
        <w:rPr>
          <w:rFonts w:ascii="Verdana" w:eastAsia="Times New Roman" w:hAnsi="Verdana" w:cs="Arial"/>
          <w:sz w:val="21"/>
          <w:szCs w:val="21"/>
          <w:lang w:eastAsia="es-ES_tradnl"/>
        </w:rPr>
      </w:pPr>
    </w:p>
    <w:p w14:paraId="0451594C" w14:textId="77777777" w:rsidR="00187855" w:rsidRPr="00CC5C68" w:rsidRDefault="00187855" w:rsidP="00187855">
      <w:pPr>
        <w:spacing w:after="120" w:line="276" w:lineRule="auto"/>
        <w:ind w:firstLine="709"/>
        <w:jc w:val="both"/>
        <w:rPr>
          <w:rFonts w:ascii="Verdana" w:eastAsia="Calibri" w:hAnsi="Verdana" w:cs="Arial"/>
          <w:color w:val="000000"/>
          <w:szCs w:val="24"/>
          <w:lang w:val="es-ES_tradnl" w:eastAsia="es-ES_tradnl"/>
        </w:rPr>
      </w:pPr>
      <w:r w:rsidRPr="00CC5C68">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C5C68">
        <w:rPr>
          <w:rFonts w:ascii="Verdana" w:eastAsia="Calibri" w:hAnsi="Verdana" w:cs="Arial"/>
          <w:color w:val="000000"/>
          <w:szCs w:val="24"/>
          <w:lang w:val="es-ES_tradnl" w:eastAsia="es-ES_tradnl"/>
        </w:rPr>
        <w:tab/>
      </w:r>
    </w:p>
    <w:p w14:paraId="3FDB742D" w14:textId="77777777" w:rsidR="00187855" w:rsidRPr="00CC5C68" w:rsidRDefault="00187855" w:rsidP="00187855">
      <w:pPr>
        <w:spacing w:after="0" w:line="276" w:lineRule="auto"/>
        <w:ind w:firstLine="709"/>
        <w:jc w:val="both"/>
        <w:rPr>
          <w:rFonts w:ascii="Verdana" w:eastAsia="Calibri" w:hAnsi="Verdana" w:cs="Arial"/>
          <w:lang w:val="es-ES" w:eastAsia="es-ES"/>
        </w:rPr>
      </w:pPr>
      <w:r w:rsidRPr="00CC5C6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104CBB2" w14:textId="77777777" w:rsidR="00187855" w:rsidRPr="00CC5C68" w:rsidRDefault="00187855" w:rsidP="00187855">
      <w:pPr>
        <w:spacing w:after="0" w:line="276" w:lineRule="auto"/>
        <w:contextualSpacing/>
        <w:jc w:val="both"/>
        <w:rPr>
          <w:rFonts w:ascii="Verdana" w:eastAsia="Times New Roman" w:hAnsi="Verdana" w:cs="Arial"/>
          <w:szCs w:val="24"/>
          <w:lang w:val="es-ES_tradnl" w:eastAsia="es-ES_tradnl"/>
        </w:rPr>
      </w:pPr>
    </w:p>
    <w:p w14:paraId="10075458" w14:textId="77777777" w:rsidR="00187855" w:rsidRPr="00CC5C68" w:rsidRDefault="00187855" w:rsidP="00187855">
      <w:pPr>
        <w:tabs>
          <w:tab w:val="left" w:pos="0"/>
          <w:tab w:val="left" w:pos="284"/>
        </w:tabs>
        <w:spacing w:after="0" w:line="276" w:lineRule="auto"/>
        <w:contextualSpacing/>
        <w:jc w:val="both"/>
        <w:rPr>
          <w:rFonts w:ascii="Verdana" w:eastAsia="Calibri" w:hAnsi="Verdana" w:cs="Arial"/>
          <w:b/>
          <w:lang w:val="es-ES_tradnl"/>
        </w:rPr>
      </w:pPr>
      <w:r w:rsidRPr="00CC5C68">
        <w:rPr>
          <w:rFonts w:ascii="Verdana" w:eastAsia="Calibri" w:hAnsi="Verdana" w:cs="Arial"/>
          <w:b/>
          <w:lang w:val="es-ES_tradnl"/>
        </w:rPr>
        <w:t>1. Problema planteado:</w:t>
      </w:r>
    </w:p>
    <w:p w14:paraId="043B5DEF" w14:textId="77777777" w:rsidR="00187855" w:rsidRPr="00CC5C68" w:rsidRDefault="00187855" w:rsidP="00187855">
      <w:pPr>
        <w:tabs>
          <w:tab w:val="left" w:pos="0"/>
          <w:tab w:val="left" w:pos="284"/>
        </w:tabs>
        <w:spacing w:after="0" w:line="276" w:lineRule="auto"/>
        <w:contextualSpacing/>
        <w:jc w:val="both"/>
        <w:rPr>
          <w:rFonts w:ascii="Verdana" w:eastAsia="Calibri" w:hAnsi="Verdana" w:cs="Arial"/>
          <w:b/>
          <w:lang w:val="es-ES_tradnl"/>
        </w:rPr>
      </w:pPr>
    </w:p>
    <w:p w14:paraId="748F4282" w14:textId="3BD51672" w:rsidR="00187855" w:rsidRPr="00CC5C68" w:rsidRDefault="00187855" w:rsidP="00187855">
      <w:pPr>
        <w:spacing w:after="0" w:line="276" w:lineRule="auto"/>
        <w:jc w:val="both"/>
        <w:rPr>
          <w:rFonts w:ascii="Verdana" w:eastAsia="Century Gothic" w:hAnsi="Verdana" w:cs="Century Gothic"/>
        </w:rPr>
      </w:pPr>
      <w:r w:rsidRPr="00CC5C68">
        <w:rPr>
          <w:rFonts w:ascii="Verdana" w:eastAsia="Century Gothic" w:hAnsi="Verdana" w:cs="Century Gothic"/>
        </w:rPr>
        <w:t xml:space="preserve">De acuerdo con el contenido de su solicitud, esta Agencia resolverá el siguiente problema jurídico: ¿Es </w:t>
      </w:r>
      <w:r w:rsidR="008E7111">
        <w:rPr>
          <w:rFonts w:ascii="Verdana" w:eastAsia="Century Gothic" w:hAnsi="Verdana" w:cs="Century Gothic"/>
        </w:rPr>
        <w:t>posible subsanar la experiencia del miembro del proponente plural que sirve como referente para otorgar el puntaje al proponente plural por la vinculación de personas con discapacidad</w:t>
      </w:r>
      <w:r>
        <w:rPr>
          <w:rFonts w:ascii="Verdana" w:eastAsia="Century Gothic" w:hAnsi="Verdana" w:cs="Century Gothic"/>
        </w:rPr>
        <w:t>?</w:t>
      </w:r>
      <w:r w:rsidRPr="00CC5C68">
        <w:rPr>
          <w:rFonts w:ascii="Verdana" w:eastAsia="Century Gothic" w:hAnsi="Verdana" w:cs="Century Gothic"/>
        </w:rPr>
        <w:t xml:space="preserve"> </w:t>
      </w:r>
    </w:p>
    <w:p w14:paraId="36F76745" w14:textId="77777777" w:rsidR="00187855" w:rsidRPr="00CC5C68" w:rsidRDefault="00187855" w:rsidP="00187855">
      <w:pPr>
        <w:spacing w:after="0" w:line="276" w:lineRule="auto"/>
        <w:ind w:firstLine="709"/>
        <w:jc w:val="both"/>
        <w:rPr>
          <w:rFonts w:ascii="Verdana" w:eastAsia="Calibri" w:hAnsi="Verdana" w:cs="Arial"/>
          <w:lang w:val="es-ES" w:eastAsia="es-ES_tradnl"/>
        </w:rPr>
      </w:pPr>
    </w:p>
    <w:p w14:paraId="4C41873A" w14:textId="77777777" w:rsidR="00187855" w:rsidRPr="00CC5C68" w:rsidRDefault="00187855" w:rsidP="00187855">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2. Respuesta:</w:t>
      </w:r>
    </w:p>
    <w:p w14:paraId="08ED88A7" w14:textId="77777777" w:rsidR="00187855" w:rsidRPr="00CC5C68" w:rsidRDefault="00187855" w:rsidP="0018785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87855" w:rsidRPr="00CC5C68" w14:paraId="67340F2A" w14:textId="77777777" w:rsidTr="004A41A0">
        <w:tc>
          <w:tcPr>
            <w:tcW w:w="8828" w:type="dxa"/>
          </w:tcPr>
          <w:p w14:paraId="6EE6BD5E" w14:textId="4498C326" w:rsidR="00AE30EE" w:rsidRDefault="00AE30EE" w:rsidP="00E075F9">
            <w:pPr>
              <w:spacing w:after="120" w:line="276" w:lineRule="auto"/>
              <w:jc w:val="both"/>
              <w:rPr>
                <w:rFonts w:ascii="Verdana" w:eastAsia="Calibri" w:hAnsi="Verdana" w:cs="Arial"/>
                <w:szCs w:val="24"/>
                <w:lang w:val="es-ES" w:eastAsia="es-ES_tradnl"/>
              </w:rPr>
            </w:pPr>
            <w:r>
              <w:rPr>
                <w:rFonts w:ascii="Verdana" w:eastAsia="Calibri" w:hAnsi="Verdana" w:cs="Arial"/>
                <w:szCs w:val="24"/>
                <w:lang w:val="es-ES" w:eastAsia="es-ES_tradnl"/>
              </w:rPr>
              <w:t xml:space="preserve">De acuerdo con el artículo </w:t>
            </w:r>
            <w:r w:rsidRPr="00AE30EE">
              <w:rPr>
                <w:rFonts w:ascii="Verdana" w:eastAsia="Calibri" w:hAnsi="Verdana" w:cs="Arial"/>
                <w:szCs w:val="24"/>
                <w:lang w:val="es-ES" w:eastAsia="es-ES_tradnl"/>
              </w:rPr>
              <w:t>2.2.1.2.4.2.6.</w:t>
            </w:r>
            <w:r>
              <w:rPr>
                <w:rFonts w:ascii="Verdana" w:eastAsia="Calibri" w:hAnsi="Verdana" w:cs="Arial"/>
                <w:szCs w:val="24"/>
                <w:lang w:val="es-ES" w:eastAsia="es-ES_tradnl"/>
              </w:rPr>
              <w:t xml:space="preserve"> del Decreto 1082 de 2015 “</w:t>
            </w:r>
            <w:r w:rsidRPr="00AE30EE">
              <w:rPr>
                <w:rFonts w:ascii="Verdana" w:eastAsia="Calibri" w:hAnsi="Verdana" w:cs="Arial"/>
                <w:szCs w:val="24"/>
                <w:lang w:val="es-ES" w:eastAsia="es-ES_tradnl"/>
              </w:rPr>
              <w:t>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r>
              <w:rPr>
                <w:rFonts w:ascii="Verdana" w:eastAsia="Calibri" w:hAnsi="Verdana" w:cs="Arial"/>
                <w:szCs w:val="24"/>
                <w:lang w:val="es-ES" w:eastAsia="es-ES_tradnl"/>
              </w:rPr>
              <w:t>”</w:t>
            </w:r>
            <w:r w:rsidRPr="00AE30EE">
              <w:rPr>
                <w:rFonts w:ascii="Verdana" w:eastAsia="Calibri" w:hAnsi="Verdana" w:cs="Arial"/>
                <w:szCs w:val="24"/>
                <w:lang w:val="es-ES" w:eastAsia="es-ES_tradnl"/>
              </w:rPr>
              <w:t>.</w:t>
            </w:r>
            <w:r>
              <w:rPr>
                <w:rFonts w:ascii="Verdana" w:eastAsia="Calibri" w:hAnsi="Verdana" w:cs="Arial"/>
                <w:szCs w:val="24"/>
                <w:lang w:val="es-ES" w:eastAsia="es-ES_tradnl"/>
              </w:rPr>
              <w:t xml:space="preserve"> </w:t>
            </w:r>
          </w:p>
          <w:p w14:paraId="5CDCFB4D" w14:textId="77777777" w:rsidR="00FE7849" w:rsidRDefault="00AE30EE" w:rsidP="00E075F9">
            <w:pPr>
              <w:spacing w:after="120" w:line="276" w:lineRule="auto"/>
              <w:jc w:val="both"/>
              <w:rPr>
                <w:rFonts w:ascii="Verdana" w:eastAsia="Calibri" w:hAnsi="Verdana" w:cs="Arial"/>
                <w:szCs w:val="24"/>
                <w:lang w:val="es-ES" w:eastAsia="es-ES_tradnl"/>
              </w:rPr>
            </w:pPr>
            <w:r>
              <w:rPr>
                <w:rFonts w:ascii="Verdana" w:eastAsia="Calibri" w:hAnsi="Verdana" w:cs="Arial"/>
                <w:szCs w:val="24"/>
                <w:lang w:val="es-ES" w:eastAsia="es-ES_tradnl"/>
              </w:rPr>
              <w:t xml:space="preserve">Lo anterior indica claramente que lo que otorga puntaje es la planta de personal del integrante que aporta la experiencia y no la experiencia </w:t>
            </w:r>
            <w:r>
              <w:rPr>
                <w:rFonts w:ascii="Verdana" w:eastAsia="Calibri" w:hAnsi="Verdana" w:cs="Arial"/>
                <w:szCs w:val="24"/>
                <w:lang w:val="es-ES" w:eastAsia="es-ES_tradnl"/>
              </w:rPr>
              <w:lastRenderedPageBreak/>
              <w:t>propiamente dicha, por lo cual la misma puede ser subsanada siempre que no disminuya el mínimo que plantea el artículo citado, esto es, si la subsanación implica que ese proponente ya no aporta el 40% de la experiencia que requiere el proceso contractual, sino un porcentaje menor, no se podrá tener en cuenta su planta de personal, sino la planta de personal del miembro que si aporte el porcentaje mínimo que trae la norma.</w:t>
            </w:r>
          </w:p>
          <w:p w14:paraId="1BA01436" w14:textId="3AF58EE8" w:rsidR="00187855" w:rsidRPr="00FE7849" w:rsidRDefault="00FE7849" w:rsidP="00E075F9">
            <w:pPr>
              <w:spacing w:after="120" w:line="276" w:lineRule="auto"/>
              <w:jc w:val="both"/>
              <w:rPr>
                <w:rFonts w:ascii="Verdana" w:eastAsia="Times New Roman" w:hAnsi="Verdana" w:cs="Arial"/>
                <w:color w:val="000000"/>
                <w:szCs w:val="24"/>
                <w:lang w:eastAsia="es-MX"/>
              </w:rPr>
            </w:pPr>
            <w:r w:rsidRPr="0033634D">
              <w:rPr>
                <w:rFonts w:ascii="Verdana" w:eastAsia="Times New Roman" w:hAnsi="Verdana" w:cs="Arial"/>
                <w:color w:val="000000"/>
                <w:szCs w:val="24"/>
                <w:lang w:eastAsia="es-MX"/>
              </w:rPr>
              <w:t>En ese orden, el 40% al que hacer referencia el artículo no implica un requisito extra para optar por el puntaje adicional, sino una instrucción frente a cu</w:t>
            </w:r>
            <w:r w:rsidR="008B2CEC">
              <w:rPr>
                <w:rFonts w:ascii="Verdana" w:eastAsia="Times New Roman" w:hAnsi="Verdana" w:cs="Arial"/>
                <w:color w:val="000000"/>
                <w:szCs w:val="24"/>
                <w:lang w:eastAsia="es-MX"/>
              </w:rPr>
              <w:t>á</w:t>
            </w:r>
            <w:r w:rsidRPr="0033634D">
              <w:rPr>
                <w:rFonts w:ascii="Verdana" w:eastAsia="Times New Roman" w:hAnsi="Verdana" w:cs="Arial"/>
                <w:color w:val="000000"/>
                <w:szCs w:val="24"/>
                <w:lang w:eastAsia="es-MX"/>
              </w:rPr>
              <w:t xml:space="preserve">l de los integrantes del proponente plural estará habitado para demostrar el número de trabajadores con discapacidad. Al margen de si se subsana o no la experiencia requerida, es el integrante del proponente plural que aporte </w:t>
            </w:r>
            <w:r w:rsidR="008B2CEC">
              <w:rPr>
                <w:rFonts w:ascii="Verdana" w:eastAsia="Times New Roman" w:hAnsi="Verdana" w:cs="Arial"/>
                <w:color w:val="000000"/>
                <w:szCs w:val="24"/>
                <w:lang w:eastAsia="es-MX"/>
              </w:rPr>
              <w:t xml:space="preserve">mínimo </w:t>
            </w:r>
            <w:r w:rsidRPr="0033634D">
              <w:rPr>
                <w:rFonts w:ascii="Verdana" w:eastAsia="Times New Roman" w:hAnsi="Verdana" w:cs="Arial"/>
                <w:color w:val="000000"/>
                <w:szCs w:val="24"/>
                <w:lang w:eastAsia="es-MX"/>
              </w:rPr>
              <w:t>el 40% quien deberá demostrar los requisitos para optar por el puntaje adicional. Así, lo que no es susceptible de ser subsanado será el número mínimo de trabajadores de que trata el artículo 2.2.1.2.4.2.6</w:t>
            </w:r>
            <w:r>
              <w:rPr>
                <w:rFonts w:ascii="Verdana" w:eastAsia="Times New Roman" w:hAnsi="Verdana" w:cs="Arial"/>
                <w:color w:val="000000"/>
                <w:szCs w:val="24"/>
                <w:lang w:eastAsia="es-MX"/>
              </w:rPr>
              <w:t>.</w:t>
            </w:r>
            <w:r w:rsidR="004E6460">
              <w:rPr>
                <w:rFonts w:ascii="Verdana" w:eastAsia="Times New Roman" w:hAnsi="Verdana" w:cs="Arial"/>
                <w:color w:val="000000"/>
                <w:szCs w:val="24"/>
                <w:lang w:eastAsia="es-MX"/>
              </w:rPr>
              <w:t xml:space="preserve"> </w:t>
            </w:r>
            <w:r w:rsidR="004E6460" w:rsidRPr="004E6460">
              <w:rPr>
                <w:rFonts w:ascii="Verdana" w:eastAsia="Times New Roman" w:hAnsi="Verdana" w:cs="Arial"/>
                <w:color w:val="000000"/>
                <w:szCs w:val="24"/>
                <w:lang w:eastAsia="es-MX"/>
              </w:rPr>
              <w:t>no es susceptible de ser subsanado.</w:t>
            </w:r>
            <w:r w:rsidR="00AE30EE" w:rsidRPr="00AE30EE">
              <w:rPr>
                <w:rFonts w:ascii="Verdana" w:eastAsia="Calibri" w:hAnsi="Verdana" w:cs="Arial"/>
                <w:szCs w:val="24"/>
                <w:lang w:val="es-ES" w:eastAsia="es-ES_tradnl"/>
              </w:rPr>
              <w:t xml:space="preserve"> </w:t>
            </w:r>
          </w:p>
        </w:tc>
      </w:tr>
    </w:tbl>
    <w:p w14:paraId="7607889B" w14:textId="77777777" w:rsidR="00187855" w:rsidRPr="00CC5C68" w:rsidRDefault="00187855" w:rsidP="00187855">
      <w:pPr>
        <w:spacing w:after="0" w:line="276" w:lineRule="auto"/>
        <w:contextualSpacing/>
        <w:jc w:val="both"/>
        <w:rPr>
          <w:rFonts w:ascii="Verdana" w:eastAsia="Times New Roman" w:hAnsi="Verdana" w:cs="Arial"/>
          <w:lang w:eastAsia="es-ES_tradnl"/>
        </w:rPr>
      </w:pPr>
    </w:p>
    <w:p w14:paraId="1A109746" w14:textId="77777777" w:rsidR="00187855" w:rsidRPr="00CC5C68" w:rsidRDefault="00187855" w:rsidP="0018785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t>3. Razones de la respuesta:</w:t>
      </w:r>
    </w:p>
    <w:p w14:paraId="098820BD" w14:textId="77777777" w:rsidR="00187855" w:rsidRPr="00CC5C68" w:rsidRDefault="00187855" w:rsidP="00187855">
      <w:pPr>
        <w:spacing w:after="0" w:line="276" w:lineRule="auto"/>
        <w:jc w:val="both"/>
        <w:rPr>
          <w:rFonts w:ascii="Verdana" w:eastAsia="Calibri" w:hAnsi="Verdana" w:cs="Arial"/>
          <w:color w:val="7030A0"/>
          <w:lang w:val="es-ES"/>
        </w:rPr>
      </w:pPr>
    </w:p>
    <w:p w14:paraId="465CB100" w14:textId="77777777" w:rsidR="00187855" w:rsidRPr="00CC5C68" w:rsidRDefault="00187855" w:rsidP="00187855">
      <w:pPr>
        <w:spacing w:after="0" w:line="276" w:lineRule="auto"/>
        <w:jc w:val="both"/>
        <w:rPr>
          <w:rFonts w:ascii="Verdana" w:eastAsia="Calibri" w:hAnsi="Verdana" w:cs="Arial"/>
          <w:lang w:val="es-ES"/>
        </w:rPr>
      </w:pPr>
      <w:r w:rsidRPr="00CC5C68">
        <w:rPr>
          <w:rFonts w:ascii="Verdana" w:eastAsia="Calibri" w:hAnsi="Verdana" w:cs="Arial"/>
          <w:lang w:val="es-ES"/>
        </w:rPr>
        <w:t xml:space="preserve">Lo anterior se sustenta en las siguientes consideraciones: </w:t>
      </w:r>
    </w:p>
    <w:p w14:paraId="41FFA675" w14:textId="77777777" w:rsidR="00E864E2" w:rsidRPr="0033634D" w:rsidRDefault="00E864E2" w:rsidP="00E864E2">
      <w:pPr>
        <w:tabs>
          <w:tab w:val="left" w:pos="426"/>
        </w:tabs>
        <w:spacing w:after="0" w:line="276" w:lineRule="auto"/>
        <w:jc w:val="both"/>
        <w:rPr>
          <w:rFonts w:ascii="Verdana" w:eastAsia="Times New Roman" w:hAnsi="Verdana" w:cs="Arial"/>
          <w:b/>
          <w:color w:val="000000" w:themeColor="text1"/>
          <w:lang w:val="es-ES" w:eastAsia="es-ES_tradnl"/>
        </w:rPr>
      </w:pPr>
    </w:p>
    <w:p w14:paraId="07A1BA50" w14:textId="77777777" w:rsidR="00E864E2" w:rsidRPr="0033634D" w:rsidRDefault="00E864E2" w:rsidP="00D54BEE">
      <w:pPr>
        <w:spacing w:after="0" w:line="276" w:lineRule="auto"/>
        <w:jc w:val="both"/>
        <w:rPr>
          <w:rFonts w:ascii="Verdana" w:eastAsia="Times New Roman" w:hAnsi="Verdana" w:cs="Arial"/>
          <w:color w:val="000000" w:themeColor="text1"/>
          <w:lang w:val="es-MX" w:eastAsia="es-ES_tradnl"/>
        </w:rPr>
      </w:pPr>
      <w:r w:rsidRPr="0033634D">
        <w:rPr>
          <w:rFonts w:ascii="Verdana" w:eastAsia="Times New Roman" w:hAnsi="Verdana" w:cs="Arial"/>
          <w:color w:val="000000" w:themeColor="text1"/>
          <w:lang w:val="es-MX" w:eastAsia="es-ES_tradnl"/>
        </w:rPr>
        <w:t xml:space="preserve">Con el propósito de hacer posible la igualdad real y efectiva de las personas en condición de discapacidad, el legislador expidió la Ley 1618 de 2013. Esta norma establece disposiciones para garantizar el pleno ejercicio de los derechos de las mencionadas personas, mediante la adopción de medidas de equidad y de acciones afirmativas que promuevan su inclusión en diferentes ámbitos de la economía y la sociedad. </w:t>
      </w:r>
    </w:p>
    <w:p w14:paraId="62754070" w14:textId="77777777" w:rsidR="00E864E2" w:rsidRPr="0033634D" w:rsidRDefault="00E864E2" w:rsidP="00E864E2">
      <w:pPr>
        <w:spacing w:before="120" w:after="0" w:line="276" w:lineRule="auto"/>
        <w:ind w:firstLine="709"/>
        <w:jc w:val="both"/>
        <w:rPr>
          <w:rFonts w:ascii="Verdana" w:hAnsi="Verdana" w:cs="Arial"/>
          <w:color w:val="000000" w:themeColor="text1"/>
          <w:lang w:val="es-MX"/>
        </w:rPr>
      </w:pPr>
      <w:r w:rsidRPr="0033634D">
        <w:rPr>
          <w:rFonts w:ascii="Verdana" w:eastAsia="Times New Roman" w:hAnsi="Verdana" w:cs="Arial"/>
          <w:color w:val="000000" w:themeColor="text1"/>
          <w:lang w:val="es-MX" w:eastAsia="es-ES_tradnl"/>
        </w:rPr>
        <w:t>Como expresión de la finalidad antes enunciada y en aras de garantizar el derecho al trabajo en términos de igualdad material de oportunidades para las personas en condición de discapacidad, el artículo 13 de Ley 1618 de 2013 estableció acciones afirmativas en el marco del sistema de compras públicas. Adicionalmente, ordenó al Gobierno Nacional expedir el decreto reglamentario que determinara una puntuación adicional y un sistema</w:t>
      </w:r>
      <w:r w:rsidRPr="0033634D">
        <w:rPr>
          <w:rFonts w:ascii="Verdana" w:hAnsi="Verdana" w:cs="Arial"/>
          <w:color w:val="000000" w:themeColor="text1"/>
          <w:lang w:val="es-MX"/>
        </w:rPr>
        <w:t xml:space="preserve"> de preferencias en los procesos de contratación estatal. El artículo en mención prescribe lo siguiente: </w:t>
      </w:r>
    </w:p>
    <w:p w14:paraId="4735FD6D" w14:textId="77777777" w:rsidR="00E864E2" w:rsidRPr="0033634D" w:rsidRDefault="00E864E2" w:rsidP="00E864E2">
      <w:pPr>
        <w:tabs>
          <w:tab w:val="left" w:pos="426"/>
        </w:tabs>
        <w:spacing w:after="0" w:line="276" w:lineRule="auto"/>
        <w:jc w:val="both"/>
        <w:rPr>
          <w:rFonts w:ascii="Verdana" w:hAnsi="Verdana" w:cs="Arial"/>
          <w:color w:val="000000" w:themeColor="text1"/>
          <w:lang w:val="es-MX"/>
        </w:rPr>
      </w:pPr>
    </w:p>
    <w:p w14:paraId="7D481849" w14:textId="77777777" w:rsidR="00E864E2" w:rsidRPr="00E864E2" w:rsidRDefault="00E864E2" w:rsidP="00E864E2">
      <w:pPr>
        <w:spacing w:after="120" w:line="240" w:lineRule="auto"/>
        <w:ind w:left="709" w:right="709"/>
        <w:jc w:val="both"/>
        <w:rPr>
          <w:rFonts w:ascii="Verdana" w:eastAsia="Calibri" w:hAnsi="Verdana" w:cs="Arial"/>
          <w:color w:val="000000" w:themeColor="text1"/>
          <w:sz w:val="20"/>
          <w:szCs w:val="20"/>
          <w:lang w:val="es-MX"/>
        </w:rPr>
      </w:pPr>
      <w:r w:rsidRPr="00E864E2">
        <w:rPr>
          <w:rFonts w:ascii="Verdana" w:eastAsia="Calibri" w:hAnsi="Verdana" w:cs="Arial"/>
          <w:color w:val="000000" w:themeColor="text1"/>
          <w:sz w:val="20"/>
          <w:szCs w:val="20"/>
          <w:lang w:val="es-MX"/>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w:t>
      </w:r>
      <w:r w:rsidRPr="00E864E2">
        <w:rPr>
          <w:rFonts w:ascii="Verdana" w:eastAsia="Calibri" w:hAnsi="Verdana" w:cs="Arial"/>
          <w:color w:val="000000" w:themeColor="text1"/>
          <w:sz w:val="20"/>
          <w:szCs w:val="20"/>
          <w:lang w:val="es-MX"/>
        </w:rPr>
        <w:lastRenderedPageBreak/>
        <w:t xml:space="preserve">la Ley 1346 de 2009, el Ministerio de Trabajo o quien haga sus veces y demás entidades competentes establecerán entre otras, las siguientes medidas: </w:t>
      </w:r>
    </w:p>
    <w:p w14:paraId="51D8929E" w14:textId="77777777" w:rsidR="00E864E2" w:rsidRPr="00E864E2" w:rsidRDefault="00E864E2" w:rsidP="00E864E2">
      <w:pPr>
        <w:spacing w:after="120" w:line="240" w:lineRule="auto"/>
        <w:ind w:left="709" w:right="709"/>
        <w:jc w:val="both"/>
        <w:rPr>
          <w:rFonts w:ascii="Verdana" w:eastAsia="Calibri" w:hAnsi="Verdana" w:cs="Arial"/>
          <w:color w:val="000000" w:themeColor="text1"/>
          <w:sz w:val="20"/>
          <w:szCs w:val="20"/>
          <w:lang w:val="es-MX"/>
        </w:rPr>
      </w:pPr>
      <w:r w:rsidRPr="00E864E2">
        <w:rPr>
          <w:rFonts w:ascii="Verdana" w:eastAsia="Calibri" w:hAnsi="Verdana" w:cs="Arial"/>
          <w:color w:val="000000" w:themeColor="text1"/>
          <w:sz w:val="20"/>
          <w:szCs w:val="20"/>
          <w:lang w:val="es-MX"/>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7C7D9907" w14:textId="77777777" w:rsidR="00E864E2" w:rsidRPr="00E864E2" w:rsidRDefault="00E864E2" w:rsidP="00E864E2">
      <w:pPr>
        <w:spacing w:after="120" w:line="240" w:lineRule="auto"/>
        <w:ind w:left="709" w:right="709"/>
        <w:jc w:val="both"/>
        <w:rPr>
          <w:rFonts w:ascii="Verdana" w:eastAsia="Calibri" w:hAnsi="Verdana" w:cs="Arial"/>
          <w:color w:val="000000" w:themeColor="text1"/>
          <w:sz w:val="20"/>
          <w:szCs w:val="20"/>
          <w:lang w:val="es-MX"/>
        </w:rPr>
      </w:pPr>
      <w:r w:rsidRPr="00E864E2">
        <w:rPr>
          <w:rFonts w:ascii="Verdana" w:eastAsia="Calibri" w:hAnsi="Verdana" w:cs="Arial"/>
          <w:color w:val="000000" w:themeColor="text1"/>
          <w:sz w:val="20"/>
          <w:szCs w:val="20"/>
          <w:lang w:val="es-MX"/>
        </w:rPr>
        <w:t>[…]</w:t>
      </w:r>
    </w:p>
    <w:p w14:paraId="79649561" w14:textId="77777777" w:rsidR="00E864E2" w:rsidRPr="0033634D" w:rsidRDefault="00E864E2" w:rsidP="00E864E2">
      <w:pPr>
        <w:spacing w:after="0" w:line="240" w:lineRule="auto"/>
        <w:ind w:left="708" w:right="709"/>
        <w:jc w:val="both"/>
        <w:rPr>
          <w:rFonts w:ascii="Verdana" w:eastAsia="Calibri" w:hAnsi="Verdana" w:cs="Arial"/>
          <w:color w:val="000000" w:themeColor="text1"/>
          <w:sz w:val="21"/>
          <w:szCs w:val="21"/>
          <w:lang w:val="es-MX"/>
        </w:rPr>
      </w:pPr>
      <w:r w:rsidRPr="00E864E2">
        <w:rPr>
          <w:rFonts w:ascii="Verdana" w:eastAsia="Calibri" w:hAnsi="Verdana" w:cs="Arial"/>
          <w:color w:val="000000" w:themeColor="text1"/>
          <w:sz w:val="20"/>
          <w:szCs w:val="20"/>
          <w:lang w:val="es-MX"/>
        </w:rPr>
        <w:t xml:space="preserve">8. Los </w:t>
      </w:r>
      <w:proofErr w:type="gramStart"/>
      <w:r w:rsidRPr="00E864E2">
        <w:rPr>
          <w:rFonts w:ascii="Verdana" w:eastAsia="Calibri" w:hAnsi="Verdana" w:cs="Arial"/>
          <w:color w:val="000000" w:themeColor="text1"/>
          <w:sz w:val="20"/>
          <w:szCs w:val="20"/>
          <w:lang w:val="es-MX"/>
        </w:rPr>
        <w:t>gobiernos nacional</w:t>
      </w:r>
      <w:proofErr w:type="gramEnd"/>
      <w:r w:rsidRPr="00E864E2">
        <w:rPr>
          <w:rFonts w:ascii="Verdana" w:eastAsia="Calibri" w:hAnsi="Verdana" w:cs="Arial"/>
          <w:color w:val="000000" w:themeColor="text1"/>
          <w:sz w:val="20"/>
          <w:szCs w:val="20"/>
          <w:lang w:val="es-MX"/>
        </w:rPr>
        <w:t>, departamentales, distritales y municipales, deberán fijar mediante decreto reglamentario, en los procesos de selección de los contratistas y proveedores, un sistema de preferencias a favor de las personas con discapacidad.</w:t>
      </w:r>
    </w:p>
    <w:p w14:paraId="22C3A38D" w14:textId="77777777" w:rsidR="00E864E2" w:rsidRPr="0033634D" w:rsidRDefault="00E864E2" w:rsidP="00E864E2">
      <w:pPr>
        <w:tabs>
          <w:tab w:val="left" w:pos="426"/>
        </w:tabs>
        <w:spacing w:after="0" w:line="240" w:lineRule="auto"/>
        <w:jc w:val="both"/>
        <w:rPr>
          <w:rFonts w:ascii="Verdana" w:eastAsia="Times New Roman" w:hAnsi="Verdana" w:cs="Times New Roman"/>
          <w:color w:val="000000" w:themeColor="text1"/>
          <w:sz w:val="19"/>
          <w:szCs w:val="19"/>
          <w:lang w:val="es-MX" w:eastAsia="es-ES_tradnl"/>
        </w:rPr>
      </w:pPr>
    </w:p>
    <w:p w14:paraId="46660EB2" w14:textId="179BCA00" w:rsidR="00E864E2" w:rsidRPr="0033634D" w:rsidRDefault="00E864E2" w:rsidP="00E864E2">
      <w:pPr>
        <w:tabs>
          <w:tab w:val="left" w:pos="426"/>
        </w:tabs>
        <w:spacing w:after="0" w:line="276" w:lineRule="auto"/>
        <w:ind w:firstLine="709"/>
        <w:jc w:val="both"/>
        <w:rPr>
          <w:rFonts w:ascii="Verdana" w:eastAsia="Times New Roman" w:hAnsi="Verdana" w:cs="Arial"/>
          <w:color w:val="000000" w:themeColor="text1"/>
          <w:lang w:val="es-MX" w:eastAsia="es-ES_tradnl"/>
        </w:rPr>
      </w:pPr>
      <w:r w:rsidRPr="0033634D">
        <w:rPr>
          <w:rFonts w:ascii="Verdana" w:eastAsia="Times New Roman" w:hAnsi="Verdana" w:cs="Arial"/>
          <w:color w:val="000000" w:themeColor="text1"/>
          <w:lang w:val="es-MX" w:eastAsia="es-ES_tradnl"/>
        </w:rPr>
        <w:t xml:space="preserve">En cumplimiento de lo anterior, el Gobierno Nacional, ejerciendo su facultad reglamentaria, expidió el Decreto 392 del 2018, </w:t>
      </w:r>
      <w:r>
        <w:rPr>
          <w:rFonts w:ascii="Verdana" w:eastAsia="Times New Roman" w:hAnsi="Verdana" w:cs="Arial"/>
          <w:color w:val="000000" w:themeColor="text1"/>
          <w:lang w:val="es-MX" w:eastAsia="es-ES_tradnl"/>
        </w:rPr>
        <w:t>“</w:t>
      </w:r>
      <w:r w:rsidRPr="0033634D">
        <w:rPr>
          <w:rFonts w:ascii="Verdana" w:eastAsia="Times New Roman" w:hAnsi="Verdana" w:cs="Arial"/>
          <w:color w:val="000000" w:themeColor="text1"/>
          <w:lang w:val="es-MX" w:eastAsia="es-ES_tradnl"/>
        </w:rPr>
        <w:t>Por el cual se reglamentan los numerales 1 y 8 del artículo 13 de la Ley 1618 de 2013, sobre incentivos en Procesos de Contratación en favor de personas con discapacidad</w:t>
      </w:r>
      <w:r>
        <w:rPr>
          <w:rFonts w:ascii="Verdana" w:eastAsia="Times New Roman" w:hAnsi="Verdana" w:cs="Arial"/>
          <w:color w:val="000000" w:themeColor="text1"/>
          <w:lang w:val="es-MX" w:eastAsia="es-ES_tradnl"/>
        </w:rPr>
        <w:t>”</w:t>
      </w:r>
      <w:r w:rsidRPr="0033634D">
        <w:rPr>
          <w:rFonts w:ascii="Verdana" w:eastAsia="Times New Roman" w:hAnsi="Verdana" w:cs="Arial"/>
          <w:color w:val="000000" w:themeColor="text1"/>
          <w:lang w:val="es-MX" w:eastAsia="es-ES_tradnl"/>
        </w:rPr>
        <w:t xml:space="preserve">. Este Decreto adicionó el artículo 2.2.1.2.4.6 al Decreto Único Reglamentario 1082 de 2015, estableciendo un puntaje adicional del uno por ciento (1%) para proponentes en los procesos de licitaciones públicas y concurso de méritos que tuvieran vinculados a trabajadores con discapacidad, de acuerdo con los requisitos previstos en el mismo. Dicha norma señala: </w:t>
      </w:r>
    </w:p>
    <w:p w14:paraId="544E9E86" w14:textId="77777777" w:rsidR="00E864E2" w:rsidRPr="0033634D" w:rsidRDefault="00E864E2" w:rsidP="00E864E2">
      <w:pPr>
        <w:tabs>
          <w:tab w:val="left" w:pos="426"/>
        </w:tabs>
        <w:spacing w:after="0" w:line="276" w:lineRule="auto"/>
        <w:ind w:firstLine="709"/>
        <w:jc w:val="both"/>
        <w:rPr>
          <w:rFonts w:ascii="Verdana" w:eastAsia="Calibri" w:hAnsi="Verdana" w:cs="Arial"/>
          <w:bCs/>
          <w:color w:val="000000" w:themeColor="text1"/>
          <w:lang w:val="es-MX"/>
        </w:rPr>
      </w:pPr>
    </w:p>
    <w:p w14:paraId="67246F0B" w14:textId="77777777" w:rsidR="00E864E2" w:rsidRPr="00E864E2" w:rsidRDefault="00E864E2" w:rsidP="00E864E2">
      <w:pPr>
        <w:spacing w:after="120" w:line="240" w:lineRule="auto"/>
        <w:ind w:left="709" w:right="709"/>
        <w:jc w:val="both"/>
        <w:rPr>
          <w:rFonts w:ascii="Verdana" w:eastAsia="Calibri" w:hAnsi="Verdana" w:cs="Arial"/>
          <w:i/>
          <w:iCs/>
          <w:color w:val="000000" w:themeColor="text1"/>
          <w:sz w:val="20"/>
          <w:szCs w:val="20"/>
          <w:lang w:val="es-MX"/>
        </w:rPr>
      </w:pPr>
      <w:r w:rsidRPr="00E864E2">
        <w:rPr>
          <w:rFonts w:ascii="Verdana" w:eastAsia="Times New Roman" w:hAnsi="Verdana" w:cs="Arial"/>
          <w:bCs/>
          <w:color w:val="000000" w:themeColor="text1"/>
          <w:sz w:val="20"/>
          <w:szCs w:val="20"/>
          <w:lang w:val="es-MX" w:eastAsia="es-CO"/>
        </w:rPr>
        <w:t>Artículo 2.2.1.2.4.2.6. Puntaje adicional para proponentes con trabajadores con discapacidad</w:t>
      </w:r>
      <w:r w:rsidRPr="00E864E2">
        <w:rPr>
          <w:rFonts w:ascii="Verdana" w:eastAsia="Times New Roman" w:hAnsi="Verdana" w:cs="Arial"/>
          <w:color w:val="000000" w:themeColor="text1"/>
          <w:sz w:val="20"/>
          <w:szCs w:val="20"/>
          <w:lang w:val="es-MX"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7BC4D634" w14:textId="77777777" w:rsidR="00E864E2" w:rsidRPr="00E864E2" w:rsidRDefault="00E864E2" w:rsidP="00E864E2">
      <w:pPr>
        <w:spacing w:after="120" w:line="240" w:lineRule="auto"/>
        <w:ind w:left="709" w:right="709"/>
        <w:jc w:val="both"/>
        <w:rPr>
          <w:rFonts w:ascii="Verdana" w:eastAsia="Times New Roman" w:hAnsi="Verdana" w:cs="Arial"/>
          <w:color w:val="000000" w:themeColor="text1"/>
          <w:sz w:val="20"/>
          <w:szCs w:val="20"/>
          <w:lang w:val="es-MX" w:eastAsia="es-CO"/>
        </w:rPr>
      </w:pPr>
      <w:r w:rsidRPr="00E864E2">
        <w:rPr>
          <w:rFonts w:ascii="Verdana" w:eastAsia="Times New Roman" w:hAnsi="Verdana" w:cs="Arial"/>
          <w:color w:val="000000" w:themeColor="text1"/>
          <w:sz w:val="20"/>
          <w:szCs w:val="20"/>
          <w:lang w:val="es-MX"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495A8798" w14:textId="77777777" w:rsidR="00E864E2" w:rsidRPr="00E864E2" w:rsidRDefault="00E864E2" w:rsidP="00E864E2">
      <w:pPr>
        <w:spacing w:after="120" w:line="240" w:lineRule="auto"/>
        <w:ind w:left="709" w:right="709"/>
        <w:jc w:val="both"/>
        <w:rPr>
          <w:rFonts w:ascii="Verdana" w:eastAsia="Times New Roman" w:hAnsi="Verdana" w:cs="Arial"/>
          <w:color w:val="000000" w:themeColor="text1"/>
          <w:sz w:val="20"/>
          <w:szCs w:val="20"/>
          <w:lang w:val="es-MX" w:eastAsia="es-CO"/>
        </w:rPr>
      </w:pPr>
      <w:r w:rsidRPr="00E864E2">
        <w:rPr>
          <w:rFonts w:ascii="Verdana" w:eastAsia="Times New Roman" w:hAnsi="Verdana" w:cs="Arial"/>
          <w:color w:val="000000" w:themeColor="text1"/>
          <w:sz w:val="20"/>
          <w:szCs w:val="20"/>
          <w:lang w:val="es-MX" w:eastAsia="es-CO"/>
        </w:rPr>
        <w:t xml:space="preserve">2. Acreditar el número mínimo de personas con discapacidad en su planta de personal, de conformidad con lo señalado en el certificado expedido por el Ministerio de Trabajo, el cual deberá estar vigente a la fecha de cierre del proceso de selección. Verificados los anteriores requisitos, se asignará </w:t>
      </w:r>
      <w:r w:rsidRPr="00E864E2">
        <w:rPr>
          <w:rFonts w:ascii="Verdana" w:eastAsia="Times New Roman" w:hAnsi="Verdana" w:cs="Arial"/>
          <w:color w:val="000000" w:themeColor="text1"/>
          <w:sz w:val="20"/>
          <w:szCs w:val="20"/>
          <w:lang w:val="es-MX" w:eastAsia="es-CO"/>
        </w:rPr>
        <w:lastRenderedPageBreak/>
        <w:t>el 1%, a quienes acrediten el número mínimo de trabajadores con discapacidad, señalados a continuación:</w:t>
      </w:r>
    </w:p>
    <w:tbl>
      <w:tblPr>
        <w:tblW w:w="613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2742"/>
      </w:tblGrid>
      <w:tr w:rsidR="00E864E2" w:rsidRPr="00E864E2" w14:paraId="4B24CEE7" w14:textId="77777777" w:rsidTr="00A6514F">
        <w:trPr>
          <w:trHeight w:val="210"/>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3110B20E" w14:textId="77777777" w:rsidR="00E864E2" w:rsidRPr="00E864E2" w:rsidRDefault="00E864E2" w:rsidP="00E864E2">
            <w:pPr>
              <w:spacing w:after="0" w:line="240" w:lineRule="auto"/>
              <w:jc w:val="center"/>
              <w:rPr>
                <w:rFonts w:ascii="Verdana" w:eastAsia="Times New Roman" w:hAnsi="Verdana" w:cs="Arial"/>
                <w:b/>
                <w:bCs/>
                <w:color w:val="000000" w:themeColor="text1"/>
                <w:sz w:val="20"/>
                <w:szCs w:val="20"/>
                <w:lang w:val="es-MX" w:eastAsia="es-CO"/>
              </w:rPr>
            </w:pPr>
            <w:r w:rsidRPr="00E864E2">
              <w:rPr>
                <w:rFonts w:ascii="Verdana" w:eastAsia="Times New Roman" w:hAnsi="Verdana" w:cs="Arial"/>
                <w:b/>
                <w:bCs/>
                <w:color w:val="000000" w:themeColor="text1"/>
                <w:sz w:val="20"/>
                <w:szCs w:val="20"/>
                <w:lang w:val="es-MX" w:eastAsia="es-CO"/>
              </w:rPr>
              <w:t>Número total de trabajadores de la planta de personal del proponente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88B82C6" w14:textId="77777777" w:rsidR="00E864E2" w:rsidRPr="00E864E2" w:rsidRDefault="00E864E2" w:rsidP="00E864E2">
            <w:pPr>
              <w:spacing w:after="0" w:line="240" w:lineRule="auto"/>
              <w:jc w:val="center"/>
              <w:rPr>
                <w:rFonts w:ascii="Verdana" w:eastAsia="Times New Roman" w:hAnsi="Verdana" w:cs="Arial"/>
                <w:b/>
                <w:bCs/>
                <w:color w:val="000000" w:themeColor="text1"/>
                <w:sz w:val="20"/>
                <w:szCs w:val="20"/>
                <w:lang w:val="es-MX" w:eastAsia="es-CO"/>
              </w:rPr>
            </w:pPr>
            <w:r w:rsidRPr="00E864E2">
              <w:rPr>
                <w:rFonts w:ascii="Verdana" w:eastAsia="Times New Roman" w:hAnsi="Verdana" w:cs="Arial"/>
                <w:b/>
                <w:bCs/>
                <w:color w:val="000000" w:themeColor="text1"/>
                <w:sz w:val="20"/>
                <w:szCs w:val="20"/>
                <w:lang w:val="es-MX" w:eastAsia="es-CO"/>
              </w:rPr>
              <w:t>Número mínimo de trabajadores con discapacidad exigido </w:t>
            </w:r>
          </w:p>
        </w:tc>
      </w:tr>
      <w:tr w:rsidR="00E864E2" w:rsidRPr="00E864E2" w14:paraId="694D2B68" w14:textId="77777777" w:rsidTr="00A6514F">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5E22601D" w14:textId="77777777" w:rsidR="00E864E2" w:rsidRPr="00E864E2" w:rsidRDefault="00E864E2" w:rsidP="00E864E2">
            <w:pPr>
              <w:spacing w:after="0" w:line="240" w:lineRule="auto"/>
              <w:rPr>
                <w:rFonts w:ascii="Verdana" w:eastAsia="Times New Roman" w:hAnsi="Verdana" w:cs="Arial"/>
                <w:color w:val="000000" w:themeColor="text1"/>
                <w:sz w:val="20"/>
                <w:szCs w:val="20"/>
                <w:lang w:val="es-MX" w:eastAsia="es-CO"/>
              </w:rPr>
            </w:pPr>
            <w:r w:rsidRPr="00E864E2">
              <w:rPr>
                <w:rFonts w:ascii="Verdana" w:eastAsia="Times New Roman" w:hAnsi="Verdana" w:cs="Arial"/>
                <w:color w:val="000000" w:themeColor="text1"/>
                <w:sz w:val="20"/>
                <w:szCs w:val="20"/>
                <w:lang w:val="es-MX" w:eastAsia="es-CO"/>
              </w:rPr>
              <w:t>Entre 1 y 30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7CE1D76" w14:textId="77777777" w:rsidR="00E864E2" w:rsidRPr="00E864E2" w:rsidRDefault="00E864E2" w:rsidP="00E864E2">
            <w:pPr>
              <w:spacing w:after="0" w:line="240" w:lineRule="auto"/>
              <w:jc w:val="center"/>
              <w:rPr>
                <w:rFonts w:ascii="Verdana" w:eastAsia="Times New Roman" w:hAnsi="Verdana" w:cs="Arial"/>
                <w:color w:val="000000" w:themeColor="text1"/>
                <w:sz w:val="20"/>
                <w:szCs w:val="20"/>
                <w:lang w:val="es-MX" w:eastAsia="es-CO"/>
              </w:rPr>
            </w:pPr>
            <w:r w:rsidRPr="00E864E2">
              <w:rPr>
                <w:rFonts w:ascii="Verdana" w:eastAsia="Times New Roman" w:hAnsi="Verdana" w:cs="Arial"/>
                <w:color w:val="000000" w:themeColor="text1"/>
                <w:sz w:val="20"/>
                <w:szCs w:val="20"/>
                <w:lang w:val="es-MX" w:eastAsia="es-CO"/>
              </w:rPr>
              <w:t>1 </w:t>
            </w:r>
          </w:p>
        </w:tc>
      </w:tr>
      <w:tr w:rsidR="00E864E2" w:rsidRPr="00E864E2" w14:paraId="19F271B0" w14:textId="77777777" w:rsidTr="00A6514F">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50871211" w14:textId="77777777" w:rsidR="00E864E2" w:rsidRPr="00E864E2" w:rsidRDefault="00E864E2" w:rsidP="00E864E2">
            <w:pPr>
              <w:spacing w:after="0" w:line="240" w:lineRule="auto"/>
              <w:rPr>
                <w:rFonts w:ascii="Verdana" w:eastAsia="Times New Roman" w:hAnsi="Verdana" w:cs="Arial"/>
                <w:color w:val="000000" w:themeColor="text1"/>
                <w:sz w:val="20"/>
                <w:szCs w:val="20"/>
                <w:lang w:val="es-MX" w:eastAsia="es-CO"/>
              </w:rPr>
            </w:pPr>
            <w:r w:rsidRPr="00E864E2">
              <w:rPr>
                <w:rFonts w:ascii="Verdana" w:eastAsia="Times New Roman" w:hAnsi="Verdana" w:cs="Arial"/>
                <w:color w:val="000000" w:themeColor="text1"/>
                <w:sz w:val="20"/>
                <w:szCs w:val="20"/>
                <w:lang w:val="es-MX" w:eastAsia="es-CO"/>
              </w:rPr>
              <w:t>Entre 31 y 100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8CCF57B" w14:textId="77777777" w:rsidR="00E864E2" w:rsidRPr="00E864E2" w:rsidRDefault="00E864E2" w:rsidP="00E864E2">
            <w:pPr>
              <w:spacing w:after="0" w:line="240" w:lineRule="auto"/>
              <w:jc w:val="center"/>
              <w:rPr>
                <w:rFonts w:ascii="Verdana" w:eastAsia="Times New Roman" w:hAnsi="Verdana" w:cs="Arial"/>
                <w:color w:val="000000" w:themeColor="text1"/>
                <w:sz w:val="20"/>
                <w:szCs w:val="20"/>
                <w:lang w:val="es-MX" w:eastAsia="es-CO"/>
              </w:rPr>
            </w:pPr>
            <w:r w:rsidRPr="00E864E2">
              <w:rPr>
                <w:rFonts w:ascii="Verdana" w:eastAsia="Times New Roman" w:hAnsi="Verdana" w:cs="Arial"/>
                <w:color w:val="000000" w:themeColor="text1"/>
                <w:sz w:val="20"/>
                <w:szCs w:val="20"/>
                <w:lang w:val="es-MX" w:eastAsia="es-CO"/>
              </w:rPr>
              <w:t>2 </w:t>
            </w:r>
          </w:p>
        </w:tc>
      </w:tr>
      <w:tr w:rsidR="00E864E2" w:rsidRPr="00E864E2" w14:paraId="6A9347E6" w14:textId="77777777" w:rsidTr="00A6514F">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05002609" w14:textId="77777777" w:rsidR="00E864E2" w:rsidRPr="00E864E2" w:rsidRDefault="00E864E2" w:rsidP="00E864E2">
            <w:pPr>
              <w:spacing w:after="0" w:line="240" w:lineRule="auto"/>
              <w:rPr>
                <w:rFonts w:ascii="Verdana" w:eastAsia="Times New Roman" w:hAnsi="Verdana" w:cs="Arial"/>
                <w:color w:val="000000" w:themeColor="text1"/>
                <w:sz w:val="20"/>
                <w:szCs w:val="20"/>
                <w:lang w:val="es-MX" w:eastAsia="es-CO"/>
              </w:rPr>
            </w:pPr>
            <w:r w:rsidRPr="00E864E2">
              <w:rPr>
                <w:rFonts w:ascii="Verdana" w:eastAsia="Times New Roman" w:hAnsi="Verdana" w:cs="Arial"/>
                <w:color w:val="000000" w:themeColor="text1"/>
                <w:sz w:val="20"/>
                <w:szCs w:val="20"/>
                <w:lang w:val="es-MX" w:eastAsia="es-CO"/>
              </w:rPr>
              <w:t>Entre 101 y 150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71BFEA7A" w14:textId="77777777" w:rsidR="00E864E2" w:rsidRPr="00E864E2" w:rsidRDefault="00E864E2" w:rsidP="00E864E2">
            <w:pPr>
              <w:spacing w:after="0" w:line="240" w:lineRule="auto"/>
              <w:jc w:val="center"/>
              <w:rPr>
                <w:rFonts w:ascii="Verdana" w:eastAsia="Times New Roman" w:hAnsi="Verdana" w:cs="Arial"/>
                <w:color w:val="000000" w:themeColor="text1"/>
                <w:sz w:val="20"/>
                <w:szCs w:val="20"/>
                <w:lang w:val="es-MX" w:eastAsia="es-CO"/>
              </w:rPr>
            </w:pPr>
            <w:r w:rsidRPr="00E864E2">
              <w:rPr>
                <w:rFonts w:ascii="Verdana" w:eastAsia="Times New Roman" w:hAnsi="Verdana" w:cs="Arial"/>
                <w:color w:val="000000" w:themeColor="text1"/>
                <w:sz w:val="20"/>
                <w:szCs w:val="20"/>
                <w:lang w:val="es-MX" w:eastAsia="es-CO"/>
              </w:rPr>
              <w:t>3 </w:t>
            </w:r>
          </w:p>
        </w:tc>
      </w:tr>
      <w:tr w:rsidR="00E864E2" w:rsidRPr="00E864E2" w14:paraId="3E49691F" w14:textId="77777777" w:rsidTr="00A6514F">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2F3A2CE1" w14:textId="77777777" w:rsidR="00E864E2" w:rsidRPr="00E864E2" w:rsidRDefault="00E864E2" w:rsidP="00E864E2">
            <w:pPr>
              <w:spacing w:after="0" w:line="240" w:lineRule="auto"/>
              <w:rPr>
                <w:rFonts w:ascii="Verdana" w:eastAsia="Times New Roman" w:hAnsi="Verdana" w:cs="Arial"/>
                <w:color w:val="000000" w:themeColor="text1"/>
                <w:sz w:val="20"/>
                <w:szCs w:val="20"/>
                <w:lang w:val="es-MX" w:eastAsia="es-CO"/>
              </w:rPr>
            </w:pPr>
            <w:r w:rsidRPr="00E864E2">
              <w:rPr>
                <w:rFonts w:ascii="Verdana" w:eastAsia="Times New Roman" w:hAnsi="Verdana" w:cs="Arial"/>
                <w:color w:val="000000" w:themeColor="text1"/>
                <w:sz w:val="20"/>
                <w:szCs w:val="20"/>
                <w:lang w:val="es-MX" w:eastAsia="es-CO"/>
              </w:rPr>
              <w:t>Entre 151 y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5D883E9" w14:textId="77777777" w:rsidR="00E864E2" w:rsidRPr="00E864E2" w:rsidRDefault="00E864E2" w:rsidP="00E864E2">
            <w:pPr>
              <w:spacing w:after="0" w:line="240" w:lineRule="auto"/>
              <w:jc w:val="center"/>
              <w:rPr>
                <w:rFonts w:ascii="Verdana" w:eastAsia="Times New Roman" w:hAnsi="Verdana" w:cs="Arial"/>
                <w:color w:val="000000" w:themeColor="text1"/>
                <w:sz w:val="20"/>
                <w:szCs w:val="20"/>
                <w:lang w:val="es-MX" w:eastAsia="es-CO"/>
              </w:rPr>
            </w:pPr>
            <w:r w:rsidRPr="00E864E2">
              <w:rPr>
                <w:rFonts w:ascii="Verdana" w:eastAsia="Times New Roman" w:hAnsi="Verdana" w:cs="Arial"/>
                <w:color w:val="000000" w:themeColor="text1"/>
                <w:sz w:val="20"/>
                <w:szCs w:val="20"/>
                <w:lang w:val="es-MX" w:eastAsia="es-CO"/>
              </w:rPr>
              <w:t>4 </w:t>
            </w:r>
          </w:p>
        </w:tc>
      </w:tr>
      <w:tr w:rsidR="00E864E2" w:rsidRPr="00E864E2" w14:paraId="6C89E9EC" w14:textId="77777777" w:rsidTr="00A6514F">
        <w:trPr>
          <w:trHeight w:val="99"/>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21529E2F" w14:textId="77777777" w:rsidR="00E864E2" w:rsidRPr="00E864E2" w:rsidRDefault="00E864E2" w:rsidP="00E864E2">
            <w:pPr>
              <w:spacing w:after="0" w:line="240" w:lineRule="auto"/>
              <w:rPr>
                <w:rFonts w:ascii="Verdana" w:eastAsia="Times New Roman" w:hAnsi="Verdana" w:cs="Arial"/>
                <w:color w:val="000000" w:themeColor="text1"/>
                <w:sz w:val="20"/>
                <w:szCs w:val="20"/>
                <w:lang w:val="es-MX" w:eastAsia="es-CO"/>
              </w:rPr>
            </w:pPr>
            <w:r w:rsidRPr="00E864E2">
              <w:rPr>
                <w:rFonts w:ascii="Verdana" w:eastAsia="Times New Roman" w:hAnsi="Verdana" w:cs="Arial"/>
                <w:color w:val="000000" w:themeColor="text1"/>
                <w:sz w:val="20"/>
                <w:szCs w:val="20"/>
                <w:lang w:val="es-MX" w:eastAsia="es-CO"/>
              </w:rPr>
              <w:t>Más de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798B3555" w14:textId="77777777" w:rsidR="00E864E2" w:rsidRPr="00E864E2" w:rsidRDefault="00E864E2" w:rsidP="00E864E2">
            <w:pPr>
              <w:spacing w:after="0" w:line="240" w:lineRule="auto"/>
              <w:jc w:val="center"/>
              <w:rPr>
                <w:rFonts w:ascii="Verdana" w:eastAsia="Times New Roman" w:hAnsi="Verdana" w:cs="Arial"/>
                <w:color w:val="000000" w:themeColor="text1"/>
                <w:sz w:val="20"/>
                <w:szCs w:val="20"/>
                <w:lang w:val="es-MX" w:eastAsia="es-CO"/>
              </w:rPr>
            </w:pPr>
            <w:r w:rsidRPr="00E864E2">
              <w:rPr>
                <w:rFonts w:ascii="Verdana" w:eastAsia="Times New Roman" w:hAnsi="Verdana" w:cs="Arial"/>
                <w:color w:val="000000" w:themeColor="text1"/>
                <w:sz w:val="20"/>
                <w:szCs w:val="20"/>
                <w:lang w:val="es-MX" w:eastAsia="es-CO"/>
              </w:rPr>
              <w:t>5 </w:t>
            </w:r>
          </w:p>
        </w:tc>
      </w:tr>
    </w:tbl>
    <w:p w14:paraId="01E0003E" w14:textId="77777777" w:rsidR="00E864E2" w:rsidRPr="00E864E2" w:rsidRDefault="00E864E2" w:rsidP="00E864E2">
      <w:pPr>
        <w:tabs>
          <w:tab w:val="left" w:pos="426"/>
        </w:tabs>
        <w:spacing w:after="0" w:line="240" w:lineRule="auto"/>
        <w:ind w:left="697" w:right="709"/>
        <w:jc w:val="both"/>
        <w:rPr>
          <w:rFonts w:ascii="Verdana" w:eastAsia="Times New Roman" w:hAnsi="Verdana" w:cs="Arial"/>
          <w:color w:val="000000" w:themeColor="text1"/>
          <w:sz w:val="20"/>
          <w:szCs w:val="20"/>
          <w:lang w:val="es-MX" w:eastAsia="es-CO"/>
        </w:rPr>
      </w:pPr>
    </w:p>
    <w:p w14:paraId="09760798" w14:textId="77777777" w:rsidR="00E864E2" w:rsidRPr="00E864E2" w:rsidRDefault="00E864E2" w:rsidP="00E864E2">
      <w:pPr>
        <w:tabs>
          <w:tab w:val="left" w:pos="426"/>
        </w:tabs>
        <w:spacing w:after="0" w:line="240" w:lineRule="auto"/>
        <w:ind w:left="697" w:right="709"/>
        <w:jc w:val="both"/>
        <w:rPr>
          <w:rFonts w:ascii="Verdana" w:eastAsia="Times New Roman" w:hAnsi="Verdana" w:cs="Arial"/>
          <w:color w:val="000000" w:themeColor="text1"/>
          <w:sz w:val="20"/>
          <w:szCs w:val="20"/>
          <w:lang w:val="es-MX" w:eastAsia="es-CO"/>
        </w:rPr>
      </w:pPr>
      <w:r w:rsidRPr="00E864E2">
        <w:rPr>
          <w:rFonts w:ascii="Verdana" w:eastAsia="Times New Roman" w:hAnsi="Verdana" w:cs="Arial"/>
          <w:color w:val="000000" w:themeColor="text1"/>
          <w:sz w:val="20"/>
          <w:szCs w:val="20"/>
          <w:lang w:val="es-MX" w:eastAsia="es-CO"/>
        </w:rPr>
        <w:t>Parágrafo.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100E0720" w14:textId="77777777" w:rsidR="00E864E2" w:rsidRPr="0033634D" w:rsidRDefault="00E864E2" w:rsidP="00E864E2">
      <w:pPr>
        <w:tabs>
          <w:tab w:val="left" w:pos="426"/>
        </w:tabs>
        <w:spacing w:after="0" w:line="276" w:lineRule="auto"/>
        <w:jc w:val="both"/>
        <w:rPr>
          <w:rFonts w:ascii="Verdana" w:eastAsia="Times New Roman" w:hAnsi="Verdana" w:cs="Times New Roman"/>
          <w:color w:val="000000" w:themeColor="text1"/>
          <w:lang w:val="es-MX" w:eastAsia="es-ES_tradnl"/>
        </w:rPr>
      </w:pPr>
    </w:p>
    <w:p w14:paraId="053403E0" w14:textId="77777777" w:rsidR="00E864E2" w:rsidRPr="0033634D" w:rsidRDefault="00E864E2" w:rsidP="00E864E2">
      <w:pPr>
        <w:spacing w:after="120" w:line="276" w:lineRule="auto"/>
        <w:ind w:firstLine="708"/>
        <w:jc w:val="both"/>
        <w:rPr>
          <w:rFonts w:ascii="Verdana" w:eastAsia="Times New Roman" w:hAnsi="Verdana" w:cs="Arial"/>
          <w:color w:val="000000" w:themeColor="text1"/>
          <w:lang w:val="es-ES" w:eastAsia="es-ES_tradnl"/>
        </w:rPr>
      </w:pPr>
      <w:r w:rsidRPr="0033634D">
        <w:rPr>
          <w:rFonts w:ascii="Verdana" w:eastAsia="Times New Roman" w:hAnsi="Verdana" w:cs="Arial"/>
          <w:color w:val="000000" w:themeColor="text1"/>
          <w:lang w:val="es-MX" w:eastAsia="es-ES_tradnl"/>
        </w:rPr>
        <w:t xml:space="preserve">La normativa antes mencionada determinó que en los referidos procesos se otorgaría el uno por ciento (1%) de los puntos establecidos en el pliego de condiciones a aquellos proponentes que acreditaran: i) el número total de trabajadores vinculados a la planta de personal; y, </w:t>
      </w:r>
      <w:proofErr w:type="spellStart"/>
      <w:r w:rsidRPr="0033634D">
        <w:rPr>
          <w:rFonts w:ascii="Verdana" w:eastAsia="Times New Roman" w:hAnsi="Verdana" w:cs="Arial"/>
          <w:color w:val="000000" w:themeColor="text1"/>
          <w:lang w:val="es-MX" w:eastAsia="es-ES_tradnl"/>
        </w:rPr>
        <w:t>ii</w:t>
      </w:r>
      <w:proofErr w:type="spellEnd"/>
      <w:r w:rsidRPr="0033634D">
        <w:rPr>
          <w:rFonts w:ascii="Verdana" w:eastAsia="Times New Roman" w:hAnsi="Verdana" w:cs="Arial"/>
          <w:color w:val="000000" w:themeColor="text1"/>
          <w:lang w:val="es-MX" w:eastAsia="es-ES_tradnl"/>
        </w:rPr>
        <w:t xml:space="preserve">) la vinculación de, por lo menos, el </w:t>
      </w:r>
      <w:r w:rsidRPr="00E864E2">
        <w:rPr>
          <w:rFonts w:ascii="Verdana" w:eastAsia="Calibri" w:hAnsi="Verdana" w:cs="Arial"/>
          <w:color w:val="000000" w:themeColor="text1"/>
          <w:lang w:val="es-ES_tradnl"/>
        </w:rPr>
        <w:t>número</w:t>
      </w:r>
      <w:r w:rsidRPr="0033634D">
        <w:rPr>
          <w:rFonts w:ascii="Verdana" w:eastAsia="Times New Roman" w:hAnsi="Verdana" w:cs="Arial"/>
          <w:color w:val="000000" w:themeColor="text1"/>
          <w:lang w:val="es-MX" w:eastAsia="es-ES_tradnl"/>
        </w:rPr>
        <w:t xml:space="preserve"> mínimo exigido de trabajadores con discapacidad</w:t>
      </w:r>
      <w:r w:rsidRPr="0033634D">
        <w:rPr>
          <w:rFonts w:ascii="Verdana" w:eastAsia="Times New Roman" w:hAnsi="Verdana" w:cs="Arial"/>
          <w:color w:val="000000" w:themeColor="text1"/>
          <w:lang w:val="es-ES" w:eastAsia="es-ES_tradnl"/>
        </w:rPr>
        <w:t xml:space="preserve">.  </w:t>
      </w:r>
    </w:p>
    <w:p w14:paraId="59920F56" w14:textId="77777777" w:rsidR="00E864E2" w:rsidRPr="0033634D" w:rsidRDefault="00E864E2" w:rsidP="00E864E2">
      <w:pPr>
        <w:spacing w:after="120" w:line="276" w:lineRule="auto"/>
        <w:ind w:firstLine="708"/>
        <w:jc w:val="both"/>
        <w:rPr>
          <w:rFonts w:ascii="Verdana" w:eastAsia="Calibri" w:hAnsi="Verdana" w:cs="Arial"/>
          <w:color w:val="000000" w:themeColor="text1"/>
          <w:lang w:val="es-ES_tradnl"/>
        </w:rPr>
      </w:pPr>
      <w:r w:rsidRPr="0033634D">
        <w:rPr>
          <w:rFonts w:ascii="Verdana" w:eastAsia="Calibri" w:hAnsi="Verdana" w:cs="Arial"/>
          <w:color w:val="000000" w:themeColor="text1"/>
          <w:lang w:val="es-ES" w:eastAsia="en-GB"/>
        </w:rPr>
        <w:t xml:space="preserve">Delimitado el marco normativo que regula el incentivo contractual otorgable a los oferentes que emplean en su planta de trabajadores a personas con discapacidad, es necesario </w:t>
      </w:r>
      <w:r w:rsidRPr="0033634D">
        <w:rPr>
          <w:rFonts w:ascii="Verdana" w:eastAsia="Calibri" w:hAnsi="Verdana" w:cs="Arial"/>
          <w:color w:val="000000" w:themeColor="text1"/>
          <w:lang w:val="es-ES_tradnl"/>
        </w:rPr>
        <w:t>examinar cuáles son las condiciones que los proponentes u oferentes deben cumplir para acceder a los estímulos estudiados.</w:t>
      </w:r>
    </w:p>
    <w:p w14:paraId="53633D58" w14:textId="54792AE5" w:rsidR="00E864E2" w:rsidRPr="0033634D" w:rsidRDefault="00E864E2" w:rsidP="00E864E2">
      <w:pPr>
        <w:spacing w:after="120" w:line="276" w:lineRule="auto"/>
        <w:ind w:firstLine="709"/>
        <w:jc w:val="both"/>
        <w:rPr>
          <w:rFonts w:ascii="Verdana" w:eastAsia="Calibri" w:hAnsi="Verdana" w:cs="Arial"/>
          <w:color w:val="000000" w:themeColor="text1"/>
          <w:lang w:val="es-ES_tradnl"/>
        </w:rPr>
      </w:pPr>
      <w:r w:rsidRPr="0033634D">
        <w:rPr>
          <w:rFonts w:ascii="Verdana" w:eastAsia="Calibri" w:hAnsi="Verdana" w:cs="Arial"/>
          <w:color w:val="000000" w:themeColor="text1"/>
          <w:lang w:val="es-ES_tradnl"/>
        </w:rPr>
        <w:t xml:space="preserve">Como se mencionó, el Decreto 392 de 2018 prescribe que, para alcanzar los incentivos por vinculación de personas con discapacidad, el proponente debe certificar el número total de trabajadores de su planta de personal y el número total de trabajadores con discapacidad pertenecientes a esta. Con esa finalidad, es necesario atender a las características de cada participante para determinar los mecanismos para acreditación de estos requisitos. </w:t>
      </w:r>
    </w:p>
    <w:p w14:paraId="2135306A" w14:textId="77777777" w:rsidR="00E864E2" w:rsidRPr="0033634D" w:rsidRDefault="00E864E2" w:rsidP="00E864E2">
      <w:pPr>
        <w:spacing w:after="120" w:line="276" w:lineRule="auto"/>
        <w:ind w:firstLine="709"/>
        <w:jc w:val="both"/>
        <w:rPr>
          <w:rFonts w:ascii="Verdana" w:eastAsia="Calibri" w:hAnsi="Verdana" w:cs="Arial"/>
          <w:color w:val="000000" w:themeColor="text1"/>
          <w:lang w:val="es-ES_tradnl"/>
        </w:rPr>
      </w:pPr>
      <w:r w:rsidRPr="0033634D">
        <w:rPr>
          <w:rFonts w:ascii="Verdana" w:eastAsia="Calibri" w:hAnsi="Verdana" w:cs="Arial"/>
          <w:color w:val="000000" w:themeColor="text1"/>
          <w:lang w:val="es-ES_tradnl"/>
        </w:rPr>
        <w:t>En primer lugar, la persona natural, el representante legal de la persona jurídica o su revisor fiscal, según el caso, deberá expedir un certificado en el que debe constar el número de trabajadores vinculados a la planta de personal al momento en que cierre el proceso de selección. En segundo lugar, para acreditar que se cumple con el número mínimo de trabajadores con discapacidad exigido, se empleará un certificado expedido por el Ministerio de Trabajo, el cual debe estar vigente al cierre del respectivo proceso.</w:t>
      </w:r>
    </w:p>
    <w:p w14:paraId="108F0503" w14:textId="77777777" w:rsidR="00E864E2" w:rsidRPr="0033634D" w:rsidRDefault="00E864E2" w:rsidP="00E864E2">
      <w:pPr>
        <w:spacing w:after="120" w:line="276" w:lineRule="auto"/>
        <w:ind w:firstLine="709"/>
        <w:jc w:val="both"/>
        <w:rPr>
          <w:rFonts w:ascii="Verdana" w:eastAsia="Calibri" w:hAnsi="Verdana" w:cs="Arial"/>
          <w:color w:val="000000" w:themeColor="text1"/>
          <w:lang w:val="es-ES_tradnl"/>
        </w:rPr>
      </w:pPr>
      <w:r w:rsidRPr="0033634D">
        <w:rPr>
          <w:rFonts w:ascii="Verdana" w:eastAsia="Calibri" w:hAnsi="Verdana" w:cs="Arial"/>
          <w:color w:val="000000" w:themeColor="text1"/>
          <w:lang w:val="es-ES_tradnl"/>
        </w:rPr>
        <w:lastRenderedPageBreak/>
        <w:t>Se precisa que ambos certificados son necesarios, pues acreditan requisitos diferentes: el certificado emitido por el proponente relaciona el número total de trabajadores vinculados a la planta de personal hasta la fecha del cierre del proceso; mientras que en el certificado emitido por el Ministerio de Trabajo se acredita el número de personas con discapacidad. Esto permitirá, conjuntamente, determinar si se cumple con el rango necesario que habilite al proponente a acceder al beneficio.</w:t>
      </w:r>
    </w:p>
    <w:p w14:paraId="59C007E6" w14:textId="77777777" w:rsidR="00E864E2" w:rsidRPr="0033634D" w:rsidRDefault="00E864E2" w:rsidP="00E864E2">
      <w:pPr>
        <w:spacing w:after="0" w:line="276" w:lineRule="auto"/>
        <w:ind w:firstLine="709"/>
        <w:jc w:val="both"/>
        <w:rPr>
          <w:rFonts w:ascii="Verdana" w:hAnsi="Verdana" w:cs="Arial"/>
          <w:color w:val="000000" w:themeColor="text1"/>
          <w:lang w:val="es-ES"/>
        </w:rPr>
      </w:pPr>
      <w:r w:rsidRPr="0033634D">
        <w:rPr>
          <w:rFonts w:ascii="Verdana" w:eastAsia="Calibri" w:hAnsi="Verdana" w:cs="Arial"/>
          <w:color w:val="000000" w:themeColor="text1"/>
          <w:lang w:val="es-ES" w:eastAsia="en-GB"/>
        </w:rPr>
        <w:t>Ahora bien, el parágrafo del artículo 2.2.1.2.4.6 del Decreto 1082 de 2019, adicionado por el artículo primero del Decreto 392</w:t>
      </w:r>
      <w:r w:rsidRPr="0033634D">
        <w:rPr>
          <w:rFonts w:ascii="Verdana" w:hAnsi="Verdana" w:cs="Arial"/>
          <w:color w:val="000000" w:themeColor="text1"/>
          <w:lang w:val="es-ES"/>
        </w:rPr>
        <w:t xml:space="preserve"> de 2018, condicionó la postulación de los proponentes plurales. Para que la oferta presentada por proponentes plurales obtenga el puntaje adicional por vinculación de trabajadores con discapacidad, deberá tomarse en cuenta la acreditación del integrante que aporte como mínimo el cuarenta por ciento (40%) de la experiencia requerida en el proceso de contratación. Para tal efecto, esta dependencia ya ha mencionado en anteriores oportunidades que: </w:t>
      </w:r>
    </w:p>
    <w:p w14:paraId="36FBEB28" w14:textId="77777777" w:rsidR="00E864E2" w:rsidRPr="0033634D" w:rsidRDefault="00E864E2" w:rsidP="00E864E2">
      <w:pPr>
        <w:spacing w:after="0" w:line="276" w:lineRule="auto"/>
        <w:ind w:firstLine="709"/>
        <w:jc w:val="both"/>
        <w:rPr>
          <w:rFonts w:ascii="Verdana" w:eastAsia="Calibri" w:hAnsi="Verdana" w:cs="Arial"/>
          <w:color w:val="000000" w:themeColor="text1"/>
          <w:lang w:val="es-ES" w:eastAsia="en-GB"/>
        </w:rPr>
      </w:pPr>
    </w:p>
    <w:p w14:paraId="797926E2" w14:textId="22ADEE45" w:rsidR="00E864E2" w:rsidRPr="0033634D" w:rsidRDefault="00E864E2" w:rsidP="00E864E2">
      <w:pPr>
        <w:shd w:val="clear" w:color="auto" w:fill="FFFFFF"/>
        <w:spacing w:after="0" w:line="240" w:lineRule="auto"/>
        <w:ind w:left="709" w:right="709"/>
        <w:jc w:val="both"/>
        <w:rPr>
          <w:rFonts w:ascii="Verdana" w:eastAsia="Calibri" w:hAnsi="Verdana" w:cs="Arial"/>
          <w:color w:val="000000" w:themeColor="text1"/>
          <w:sz w:val="21"/>
          <w:szCs w:val="21"/>
          <w:lang w:val="es-ES"/>
        </w:rPr>
      </w:pPr>
      <w:r w:rsidRPr="0033634D">
        <w:rPr>
          <w:rFonts w:ascii="Verdana" w:eastAsia="Calibri" w:hAnsi="Verdana" w:cs="Arial"/>
          <w:color w:val="000000" w:themeColor="text1"/>
          <w:sz w:val="21"/>
          <w:szCs w:val="21"/>
          <w:lang w:val="es-ES"/>
        </w:rPr>
        <w:t xml:space="preserve">[…] cuando el numeral 1 señala </w:t>
      </w:r>
      <w:r>
        <w:rPr>
          <w:rFonts w:ascii="Verdana" w:eastAsia="Calibri" w:hAnsi="Verdana" w:cs="Arial"/>
          <w:color w:val="000000" w:themeColor="text1"/>
          <w:sz w:val="21"/>
          <w:szCs w:val="21"/>
          <w:lang w:val="es-ES"/>
        </w:rPr>
        <w:t>“</w:t>
      </w:r>
      <w:r w:rsidRPr="0033634D">
        <w:rPr>
          <w:rFonts w:ascii="Verdana" w:eastAsia="Calibri" w:hAnsi="Verdana" w:cs="Arial"/>
          <w:color w:val="000000" w:themeColor="text1"/>
          <w:sz w:val="21"/>
          <w:szCs w:val="21"/>
          <w:lang w:val="es-ES"/>
        </w:rPr>
        <w:t>la planta de personal del proponente o sus integrantes</w:t>
      </w:r>
      <w:r>
        <w:rPr>
          <w:rFonts w:ascii="Verdana" w:eastAsia="Calibri" w:hAnsi="Verdana" w:cs="Arial"/>
          <w:color w:val="000000" w:themeColor="text1"/>
          <w:sz w:val="21"/>
          <w:szCs w:val="21"/>
          <w:lang w:val="es-ES"/>
        </w:rPr>
        <w:t>”</w:t>
      </w:r>
      <w:r w:rsidRPr="0033634D">
        <w:rPr>
          <w:rFonts w:ascii="Verdana" w:eastAsia="Calibri" w:hAnsi="Verdana" w:cs="Arial"/>
          <w:color w:val="000000" w:themeColor="text1"/>
          <w:sz w:val="21"/>
          <w:szCs w:val="21"/>
          <w:lang w:val="es-ES"/>
        </w:rPr>
        <w:t xml:space="preserve">, esta debe ser entendida de acuerdo con el tipo de proponente que se presente al proceso de selección. Así, </w:t>
      </w:r>
      <w:r>
        <w:rPr>
          <w:rFonts w:ascii="Verdana" w:eastAsia="Calibri" w:hAnsi="Verdana" w:cs="Arial"/>
          <w:color w:val="000000" w:themeColor="text1"/>
          <w:sz w:val="21"/>
          <w:szCs w:val="21"/>
          <w:lang w:val="es-ES"/>
        </w:rPr>
        <w:t>“</w:t>
      </w:r>
      <w:r w:rsidRPr="0033634D">
        <w:rPr>
          <w:rFonts w:ascii="Verdana" w:eastAsia="Calibri" w:hAnsi="Verdana" w:cs="Arial"/>
          <w:color w:val="000000" w:themeColor="text1"/>
          <w:sz w:val="21"/>
          <w:szCs w:val="21"/>
          <w:lang w:val="es-ES"/>
        </w:rPr>
        <w:t>proponente</w:t>
      </w:r>
      <w:r>
        <w:rPr>
          <w:rFonts w:ascii="Verdana" w:eastAsia="Calibri" w:hAnsi="Verdana" w:cs="Arial"/>
          <w:color w:val="000000" w:themeColor="text1"/>
          <w:sz w:val="21"/>
          <w:szCs w:val="21"/>
          <w:lang w:val="es-ES"/>
        </w:rPr>
        <w:t>”</w:t>
      </w:r>
      <w:r w:rsidRPr="0033634D">
        <w:rPr>
          <w:rFonts w:ascii="Verdana" w:eastAsia="Calibri" w:hAnsi="Verdana" w:cs="Arial"/>
          <w:color w:val="000000" w:themeColor="text1"/>
          <w:sz w:val="21"/>
          <w:szCs w:val="21"/>
          <w:lang w:val="es-ES"/>
        </w:rPr>
        <w:t xml:space="preserve"> se refiere tanto a las personas naturales o jurídicas que se presentan individualmente, como a las estructuras plurales, trátese de consorcio o unión temporal. De allí que la expresión </w:t>
      </w:r>
      <w:r>
        <w:rPr>
          <w:rFonts w:ascii="Verdana" w:eastAsia="Calibri" w:hAnsi="Verdana" w:cs="Arial"/>
          <w:color w:val="000000" w:themeColor="text1"/>
          <w:sz w:val="21"/>
          <w:szCs w:val="21"/>
          <w:lang w:val="es-ES"/>
        </w:rPr>
        <w:t>“</w:t>
      </w:r>
      <w:r w:rsidRPr="0033634D">
        <w:rPr>
          <w:rFonts w:ascii="Verdana" w:eastAsia="Calibri" w:hAnsi="Verdana" w:cs="Arial"/>
          <w:color w:val="000000" w:themeColor="text1"/>
          <w:sz w:val="21"/>
          <w:szCs w:val="21"/>
          <w:lang w:val="es-ES"/>
        </w:rPr>
        <w:t>o sus integrantes</w:t>
      </w:r>
      <w:r>
        <w:rPr>
          <w:rFonts w:ascii="Verdana" w:eastAsia="Calibri" w:hAnsi="Verdana" w:cs="Arial"/>
          <w:color w:val="000000" w:themeColor="text1"/>
          <w:sz w:val="21"/>
          <w:szCs w:val="21"/>
          <w:lang w:val="es-ES"/>
        </w:rPr>
        <w:t>”</w:t>
      </w:r>
      <w:r w:rsidRPr="0033634D">
        <w:rPr>
          <w:rFonts w:ascii="Verdana" w:eastAsia="Calibri" w:hAnsi="Verdana" w:cs="Arial"/>
          <w:color w:val="000000" w:themeColor="text1"/>
          <w:sz w:val="21"/>
          <w:szCs w:val="21"/>
          <w:lang w:val="es-ES"/>
        </w:rPr>
        <w:t>, califica el proponente y se refiere, exclusivamente, a los integrantes de las estructuras plurales enunciadas.</w:t>
      </w:r>
      <w:r w:rsidRPr="0033634D">
        <w:rPr>
          <w:rFonts w:ascii="Verdana" w:eastAsia="Calibri" w:hAnsi="Verdana" w:cs="Arial"/>
          <w:color w:val="000000" w:themeColor="text1"/>
          <w:sz w:val="21"/>
          <w:szCs w:val="21"/>
          <w:vertAlign w:val="superscript"/>
          <w:lang w:val="es-ES"/>
        </w:rPr>
        <w:footnoteReference w:id="1"/>
      </w:r>
    </w:p>
    <w:p w14:paraId="6B7C4D33" w14:textId="77777777" w:rsidR="00187855" w:rsidRDefault="00187855" w:rsidP="00187855">
      <w:pPr>
        <w:pStyle w:val="Prrafodelista"/>
        <w:spacing w:after="0" w:line="276" w:lineRule="auto"/>
        <w:jc w:val="both"/>
        <w:rPr>
          <w:rFonts w:ascii="Verdana" w:eastAsia="Calibri" w:hAnsi="Verdana" w:cs="Arial"/>
          <w:szCs w:val="24"/>
          <w:lang w:val="es-ES" w:eastAsia="es-ES_tradnl"/>
        </w:rPr>
      </w:pPr>
    </w:p>
    <w:p w14:paraId="48287DC9" w14:textId="77777777" w:rsidR="00E864E2" w:rsidRPr="0033634D" w:rsidRDefault="00E864E2" w:rsidP="00E864E2">
      <w:pPr>
        <w:spacing w:after="120" w:line="276" w:lineRule="auto"/>
        <w:ind w:firstLine="708"/>
        <w:jc w:val="both"/>
        <w:rPr>
          <w:rFonts w:ascii="Verdana" w:eastAsia="Times New Roman" w:hAnsi="Verdana" w:cs="Arial"/>
          <w:color w:val="000000"/>
          <w:szCs w:val="24"/>
          <w:lang w:eastAsia="es-MX"/>
        </w:rPr>
      </w:pPr>
      <w:r w:rsidRPr="0033634D">
        <w:rPr>
          <w:rFonts w:ascii="Verdana" w:eastAsia="Times New Roman" w:hAnsi="Verdana" w:cs="Arial"/>
          <w:color w:val="000000"/>
          <w:szCs w:val="24"/>
          <w:lang w:eastAsia="es-MX"/>
        </w:rPr>
        <w:t xml:space="preserve">Esto significa </w:t>
      </w:r>
      <w:proofErr w:type="gramStart"/>
      <w:r w:rsidRPr="0033634D">
        <w:rPr>
          <w:rFonts w:ascii="Verdana" w:eastAsia="Times New Roman" w:hAnsi="Verdana" w:cs="Arial"/>
          <w:color w:val="000000"/>
          <w:szCs w:val="24"/>
          <w:lang w:eastAsia="es-MX"/>
        </w:rPr>
        <w:t>que</w:t>
      </w:r>
      <w:proofErr w:type="gramEnd"/>
      <w:r w:rsidRPr="0033634D">
        <w:rPr>
          <w:rFonts w:ascii="Verdana" w:eastAsia="Times New Roman" w:hAnsi="Verdana" w:cs="Arial"/>
          <w:color w:val="000000"/>
          <w:szCs w:val="24"/>
          <w:lang w:eastAsia="es-MX"/>
        </w:rPr>
        <w:t xml:space="preserve"> en caso de tratarse de una estructura plural, los requisitos de puntaje adicional deberán ser acreditados por el integrante cuyo aporte a la experiencia requerida sea de más </w:t>
      </w:r>
      <w:proofErr w:type="spellStart"/>
      <w:r w:rsidRPr="0033634D">
        <w:rPr>
          <w:rFonts w:ascii="Verdana" w:eastAsia="Times New Roman" w:hAnsi="Verdana" w:cs="Arial"/>
          <w:color w:val="000000"/>
          <w:szCs w:val="24"/>
          <w:lang w:eastAsia="es-MX"/>
        </w:rPr>
        <w:t>del</w:t>
      </w:r>
      <w:proofErr w:type="spellEnd"/>
      <w:r w:rsidRPr="0033634D">
        <w:rPr>
          <w:rFonts w:ascii="Verdana" w:eastAsia="Times New Roman" w:hAnsi="Verdana" w:cs="Arial"/>
          <w:color w:val="000000"/>
          <w:szCs w:val="24"/>
          <w:lang w:eastAsia="es-MX"/>
        </w:rPr>
        <w:t xml:space="preserve"> cuarenta por ciento (40%). </w:t>
      </w:r>
    </w:p>
    <w:p w14:paraId="546E6827" w14:textId="77777777" w:rsidR="00E864E2" w:rsidRPr="0033634D" w:rsidRDefault="00E864E2" w:rsidP="00E864E2">
      <w:pPr>
        <w:spacing w:after="120" w:line="276" w:lineRule="auto"/>
        <w:ind w:firstLine="708"/>
        <w:jc w:val="both"/>
        <w:rPr>
          <w:rFonts w:ascii="Verdana" w:eastAsia="Times New Roman" w:hAnsi="Verdana" w:cs="Arial"/>
          <w:color w:val="000000"/>
          <w:szCs w:val="24"/>
          <w:lang w:eastAsia="es-MX"/>
        </w:rPr>
      </w:pPr>
      <w:r w:rsidRPr="0033634D">
        <w:rPr>
          <w:rFonts w:ascii="Verdana" w:eastAsia="Times New Roman" w:hAnsi="Verdana" w:cs="Arial"/>
          <w:color w:val="000000"/>
          <w:szCs w:val="24"/>
          <w:lang w:eastAsia="es-MX"/>
        </w:rPr>
        <w:t>En ese orden, el 40% al que hacer referencia el artículo no implica un requisito extra para optar por el puntaje adicional, sino una instrucción frente a cuál de los integrantes del proponente plural estará habitado para demostrar el número de trabajadores con discapacidad. Al margen de si se subsana o no la experiencia requerida, es el integrante del proponente plural que aporte más del 40% quien deberá demostrar los requisitos para optar por el puntaje adicional. Así, lo que no es susceptible de ser subsanado será el número mínimo de trabajadores de que trata el artículo 2.2.1.2.4.2.6.</w:t>
      </w:r>
    </w:p>
    <w:p w14:paraId="2A9E7BBB" w14:textId="14E0138C" w:rsidR="00E864E2" w:rsidRPr="0033634D" w:rsidRDefault="00E864E2" w:rsidP="00E864E2">
      <w:pPr>
        <w:spacing w:after="120" w:line="276" w:lineRule="auto"/>
        <w:ind w:firstLine="709"/>
        <w:jc w:val="both"/>
        <w:rPr>
          <w:rFonts w:ascii="Verdana" w:eastAsia="Times New Roman" w:hAnsi="Verdana" w:cs="Arial"/>
          <w:color w:val="000000" w:themeColor="text1"/>
          <w:lang w:val="es-ES" w:eastAsia="es-ES_tradnl"/>
        </w:rPr>
      </w:pPr>
      <w:r w:rsidRPr="0033634D">
        <w:rPr>
          <w:rFonts w:ascii="Verdana" w:eastAsia="Times New Roman" w:hAnsi="Verdana" w:cs="Arial"/>
          <w:color w:val="000000" w:themeColor="text1"/>
          <w:lang w:val="es-ES" w:eastAsia="es-ES_tradnl"/>
        </w:rPr>
        <w:lastRenderedPageBreak/>
        <w:t xml:space="preserve">En esta instancia resulta relevante mencionar que la experiencia de una estructura plural es una materia distinta de la conformación y participación de sus integrantes. El primer concepto da cuenta de la experiencia que puede acreditar un proponente plural en un proceso de selección; mientras que el segundo concepto se refiere a la participación que tiene cada uno de los integrantes en la estructura. En este entendido, a través del </w:t>
      </w:r>
      <w:r>
        <w:rPr>
          <w:rFonts w:ascii="Verdana" w:eastAsia="Times New Roman" w:hAnsi="Verdana" w:cs="Arial"/>
          <w:color w:val="000000" w:themeColor="text1"/>
          <w:lang w:val="es-ES" w:eastAsia="es-ES_tradnl"/>
        </w:rPr>
        <w:t>“</w:t>
      </w:r>
      <w:r w:rsidRPr="0033634D">
        <w:rPr>
          <w:rFonts w:ascii="Verdana" w:eastAsia="Times New Roman" w:hAnsi="Verdana" w:cs="Arial"/>
          <w:color w:val="000000" w:themeColor="text1"/>
          <w:lang w:val="es-ES" w:eastAsia="es-ES_tradnl"/>
        </w:rPr>
        <w:t>Manual para determinar y verificar los requisitos habilitantes en los Procesos de Contratación</w:t>
      </w:r>
      <w:r>
        <w:rPr>
          <w:rFonts w:ascii="Verdana" w:eastAsia="Times New Roman" w:hAnsi="Verdana" w:cs="Arial"/>
          <w:color w:val="000000" w:themeColor="text1"/>
          <w:lang w:val="es-ES" w:eastAsia="es-ES_tradnl"/>
        </w:rPr>
        <w:t>”</w:t>
      </w:r>
      <w:r w:rsidRPr="0033634D">
        <w:rPr>
          <w:rFonts w:ascii="Verdana" w:eastAsia="Times New Roman" w:hAnsi="Verdana" w:cs="Arial"/>
          <w:color w:val="000000" w:themeColor="text1"/>
          <w:lang w:val="es-ES" w:eastAsia="es-ES_tradnl"/>
        </w:rPr>
        <w:t xml:space="preserve"> esta Agencia precisó que el oferente plural materializa su experiencia a través de la sumatoria de la experiencia individualmente acreditada por cada uno de sus integrantes, no siendo necesario tener en cuenta el porcentaje de participación del integrante individual dentro de la estructura plural.</w:t>
      </w:r>
    </w:p>
    <w:p w14:paraId="1CFD8D6D" w14:textId="77777777" w:rsidR="00E864E2" w:rsidRPr="0033634D" w:rsidRDefault="00E864E2" w:rsidP="00E864E2">
      <w:pPr>
        <w:spacing w:after="120" w:line="276" w:lineRule="auto"/>
        <w:ind w:firstLine="709"/>
        <w:jc w:val="both"/>
        <w:rPr>
          <w:rFonts w:ascii="Verdana" w:eastAsia="Calibri" w:hAnsi="Verdana" w:cs="Arial"/>
          <w:color w:val="000000" w:themeColor="text1"/>
          <w:sz w:val="21"/>
          <w:szCs w:val="21"/>
          <w:lang w:val="es-ES"/>
        </w:rPr>
      </w:pPr>
      <w:proofErr w:type="gramStart"/>
      <w:r w:rsidRPr="0033634D">
        <w:rPr>
          <w:rFonts w:ascii="Verdana" w:eastAsia="Times New Roman" w:hAnsi="Verdana" w:cs="Arial"/>
          <w:color w:val="000000" w:themeColor="text1"/>
          <w:lang w:val="es-ES" w:eastAsia="es-ES_tradnl"/>
        </w:rPr>
        <w:t>Así</w:t>
      </w:r>
      <w:proofErr w:type="gramEnd"/>
      <w:r w:rsidRPr="0033634D">
        <w:rPr>
          <w:rFonts w:ascii="Verdana" w:eastAsia="Calibri" w:hAnsi="Verdana" w:cs="Arial"/>
          <w:color w:val="000000" w:themeColor="text1"/>
          <w:lang w:val="es-ES"/>
        </w:rPr>
        <w:t xml:space="preserve"> por ejemplo, si tres miembros conforman una unión temporal y dos de los integrantes aportan cuarenta y cinco por ciento (45%) de la experiencia requerida y un tercer integrante aporta un diez por ciento (10%), se podrá tomar la planta de personal de cualquiera de los integrantes que aportan el cuarenta y cinco (45%) de la experiencia requerida, para efectos del puntaje adicional que se analiza, y no la planta de personal de quien aporta el diez por ciento de dicha experiencia (10%).</w:t>
      </w:r>
      <w:r w:rsidRPr="0033634D">
        <w:rPr>
          <w:rFonts w:ascii="Verdana" w:eastAsia="Calibri" w:hAnsi="Verdana" w:cs="Arial"/>
          <w:color w:val="000000" w:themeColor="text1"/>
          <w:vertAlign w:val="superscript"/>
          <w:lang w:val="es-ES"/>
        </w:rPr>
        <w:footnoteReference w:id="2"/>
      </w:r>
    </w:p>
    <w:p w14:paraId="462755EE" w14:textId="1A470467" w:rsidR="00E864E2" w:rsidRPr="0033634D" w:rsidRDefault="00E864E2" w:rsidP="00E864E2">
      <w:pPr>
        <w:spacing w:after="120" w:line="276" w:lineRule="auto"/>
        <w:ind w:firstLine="709"/>
        <w:jc w:val="both"/>
        <w:rPr>
          <w:rFonts w:ascii="Verdana" w:eastAsia="Times New Roman" w:hAnsi="Verdana" w:cs="Arial"/>
          <w:color w:val="000000" w:themeColor="text1"/>
          <w:lang w:val="es-ES" w:eastAsia="es-ES_tradnl"/>
        </w:rPr>
      </w:pPr>
      <w:r w:rsidRPr="0033634D">
        <w:rPr>
          <w:rFonts w:ascii="Verdana" w:eastAsia="Times New Roman" w:hAnsi="Verdana" w:cs="Arial"/>
          <w:color w:val="000000" w:themeColor="text1"/>
          <w:lang w:val="es-ES" w:eastAsia="es-ES_tradnl"/>
        </w:rPr>
        <w:t>Frente a la experiencia, se trata de uno de los requisitos habilitantes para fungir como proponente y contratista del Estado. Este factor indica que la persona natural, jurídica o estructura plural cuenta con los requisitos mínimos de idoneidad y es apta, en términos técnicos, para ejecutar el objeto contractual a desarrollar</w:t>
      </w:r>
      <w:r w:rsidRPr="0033634D">
        <w:rPr>
          <w:rFonts w:ascii="Verdana" w:eastAsia="Times New Roman" w:hAnsi="Verdana" w:cs="Arial"/>
          <w:color w:val="000000" w:themeColor="text1"/>
          <w:vertAlign w:val="superscript"/>
          <w:lang w:val="es-ES" w:eastAsia="es-ES_tradnl"/>
        </w:rPr>
        <w:footnoteReference w:id="3"/>
      </w:r>
      <w:r w:rsidRPr="0033634D">
        <w:rPr>
          <w:rFonts w:ascii="Verdana" w:eastAsia="Times New Roman" w:hAnsi="Verdana" w:cs="Arial"/>
          <w:color w:val="000000" w:themeColor="text1"/>
          <w:lang w:val="es-ES" w:eastAsia="es-ES_tradnl"/>
        </w:rPr>
        <w:t>. El</w:t>
      </w:r>
      <w:r w:rsidRPr="0033634D">
        <w:rPr>
          <w:rFonts w:ascii="Verdana" w:eastAsia="Calibri" w:hAnsi="Verdana" w:cs="Arial"/>
          <w:color w:val="000000" w:themeColor="text1"/>
          <w:lang w:val="es-ES"/>
        </w:rPr>
        <w:t xml:space="preserve"> artículo 2.2.1.1.1.5.3 del Decreto 1082 de 2015 señala que la experiencia se encuentra conformada por </w:t>
      </w:r>
      <w:r>
        <w:rPr>
          <w:rFonts w:ascii="Verdana" w:eastAsia="Calibri" w:hAnsi="Verdana" w:cs="Arial"/>
          <w:color w:val="000000" w:themeColor="text1"/>
          <w:lang w:val="es-ES"/>
        </w:rPr>
        <w:t>“</w:t>
      </w:r>
      <w:r w:rsidRPr="0033634D">
        <w:rPr>
          <w:rFonts w:ascii="Verdana" w:eastAsia="Calibri" w:hAnsi="Verdana" w:cs="Arial"/>
          <w:color w:val="000000" w:themeColor="text1"/>
          <w:lang w:val="es-ES"/>
        </w:rPr>
        <w:t>[…] aquellos contratos celebrados por el interesado para cada uno de los bienes, obras y servicios que ofrecerá a las Entidades Estatales, identificados con el Clasificador de Bienes y Servicios en el tercer nivel y su valor expresado en SMLMV</w:t>
      </w:r>
      <w:r>
        <w:rPr>
          <w:rFonts w:ascii="Verdana" w:eastAsia="Calibri" w:hAnsi="Verdana" w:cs="Arial"/>
          <w:color w:val="000000" w:themeColor="text1"/>
          <w:lang w:val="es-ES"/>
        </w:rPr>
        <w:t>”</w:t>
      </w:r>
      <w:r w:rsidRPr="0033634D">
        <w:rPr>
          <w:rFonts w:ascii="Verdana" w:eastAsia="Calibri" w:hAnsi="Verdana" w:cs="Arial"/>
          <w:color w:val="000000" w:themeColor="text1"/>
          <w:vertAlign w:val="superscript"/>
          <w:lang w:val="es-ES"/>
        </w:rPr>
        <w:footnoteReference w:id="4"/>
      </w:r>
      <w:r w:rsidRPr="0033634D">
        <w:rPr>
          <w:rFonts w:ascii="Verdana" w:eastAsia="Calibri" w:hAnsi="Verdana" w:cs="Arial"/>
          <w:color w:val="000000" w:themeColor="text1"/>
          <w:lang w:val="es-ES"/>
        </w:rPr>
        <w:t xml:space="preserve">. Así mismo, el referido decreto </w:t>
      </w:r>
      <w:r w:rsidRPr="0033634D">
        <w:rPr>
          <w:rFonts w:ascii="Verdana" w:eastAsia="Calibri" w:hAnsi="Verdana" w:cs="Arial"/>
          <w:color w:val="000000" w:themeColor="text1"/>
          <w:lang w:val="es-ES"/>
        </w:rPr>
        <w:lastRenderedPageBreak/>
        <w:t xml:space="preserve">indica en su artículo 2.2.1.1.1.6.2 que corresponde a las entidades estatales </w:t>
      </w:r>
      <w:r>
        <w:rPr>
          <w:rFonts w:ascii="Verdana" w:eastAsia="Times New Roman" w:hAnsi="Verdana" w:cs="Arial"/>
          <w:color w:val="000000" w:themeColor="text1"/>
          <w:lang w:val="es-ES" w:eastAsia="es-ES_tradnl"/>
        </w:rPr>
        <w:t>“</w:t>
      </w:r>
      <w:r w:rsidRPr="0033634D">
        <w:rPr>
          <w:rFonts w:ascii="Verdana" w:eastAsia="Times New Roman" w:hAnsi="Verdana" w:cs="Arial"/>
          <w:color w:val="000000" w:themeColor="text1"/>
          <w:lang w:val="es-ES" w:eastAsia="es-ES_tradnl"/>
        </w:rPr>
        <w:t>[…]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w:t>
      </w:r>
      <w:r>
        <w:rPr>
          <w:rFonts w:ascii="Verdana" w:eastAsia="Times New Roman" w:hAnsi="Verdana" w:cs="Arial"/>
          <w:color w:val="000000" w:themeColor="text1"/>
          <w:lang w:val="es-ES" w:eastAsia="es-ES_tradnl"/>
        </w:rPr>
        <w:t>”</w:t>
      </w:r>
      <w:r w:rsidRPr="0033634D">
        <w:rPr>
          <w:rFonts w:ascii="Verdana" w:eastAsia="Times New Roman" w:hAnsi="Verdana" w:cs="Arial"/>
          <w:color w:val="000000" w:themeColor="text1"/>
          <w:lang w:val="es-ES" w:eastAsia="es-ES_tradnl"/>
        </w:rPr>
        <w:t xml:space="preserve">, a lo que agrega que </w:t>
      </w:r>
      <w:r>
        <w:rPr>
          <w:rFonts w:ascii="Verdana" w:eastAsia="Times New Roman" w:hAnsi="Verdana" w:cs="Arial"/>
          <w:color w:val="000000" w:themeColor="text1"/>
          <w:lang w:val="es-ES" w:eastAsia="es-ES_tradnl"/>
        </w:rPr>
        <w:t>“</w:t>
      </w:r>
      <w:r w:rsidRPr="0033634D">
        <w:rPr>
          <w:rFonts w:ascii="Verdana" w:eastAsia="Times New Roman" w:hAnsi="Verdana" w:cs="Arial"/>
          <w:color w:val="000000" w:themeColor="text1"/>
          <w:lang w:val="es-ES" w:eastAsia="es-ES_tradnl"/>
        </w:rPr>
        <w:t>La Entidad Estatal no debe limitarse a la aplicación mecánica de fórmulas financieras para verificar los requisitos habilitantes</w:t>
      </w:r>
      <w:r>
        <w:rPr>
          <w:rFonts w:ascii="Verdana" w:eastAsia="Times New Roman" w:hAnsi="Verdana" w:cs="Arial"/>
          <w:color w:val="000000" w:themeColor="text1"/>
          <w:lang w:val="es-ES" w:eastAsia="es-ES_tradnl"/>
        </w:rPr>
        <w:t>”</w:t>
      </w:r>
      <w:r w:rsidRPr="0033634D">
        <w:rPr>
          <w:rFonts w:ascii="Verdana" w:eastAsia="Times New Roman" w:hAnsi="Verdana" w:cs="Arial"/>
          <w:color w:val="000000" w:themeColor="text1"/>
          <w:lang w:val="es-ES" w:eastAsia="es-ES_tradnl"/>
        </w:rPr>
        <w:t xml:space="preserve">. En concordancia con esto, el artículo 2.2.1.1.2.1.3 del Decreto 1082 de 2015, establece que </w:t>
      </w:r>
      <w:proofErr w:type="gramStart"/>
      <w:r w:rsidRPr="0033634D">
        <w:rPr>
          <w:rFonts w:ascii="Verdana" w:eastAsia="Times New Roman" w:hAnsi="Verdana" w:cs="Arial"/>
          <w:color w:val="000000" w:themeColor="text1"/>
          <w:lang w:val="es-ES" w:eastAsia="es-ES_tradnl"/>
        </w:rPr>
        <w:t>uno de los componentes de los pliegos de condiciones son</w:t>
      </w:r>
      <w:proofErr w:type="gramEnd"/>
      <w:r w:rsidRPr="0033634D">
        <w:rPr>
          <w:rFonts w:ascii="Verdana" w:eastAsia="Times New Roman" w:hAnsi="Verdana" w:cs="Arial"/>
          <w:color w:val="000000" w:themeColor="text1"/>
          <w:lang w:val="es-ES" w:eastAsia="es-ES_tradnl"/>
        </w:rPr>
        <w:t xml:space="preserve"> </w:t>
      </w:r>
      <w:r>
        <w:rPr>
          <w:rFonts w:ascii="Verdana" w:eastAsia="Times New Roman" w:hAnsi="Verdana" w:cs="Arial"/>
          <w:color w:val="000000" w:themeColor="text1"/>
          <w:lang w:val="es-ES" w:eastAsia="es-ES_tradnl"/>
        </w:rPr>
        <w:t>“</w:t>
      </w:r>
      <w:r w:rsidRPr="0033634D">
        <w:rPr>
          <w:rFonts w:ascii="Verdana" w:eastAsia="Times New Roman" w:hAnsi="Verdana" w:cs="Arial"/>
          <w:color w:val="000000" w:themeColor="text1"/>
          <w:lang w:val="es-ES" w:eastAsia="es-ES_tradnl"/>
        </w:rPr>
        <w:t>Las reglas aplicables a la presentación de las ofertas, su evaluación y a la adjudicación del contrato</w:t>
      </w:r>
      <w:r>
        <w:rPr>
          <w:rFonts w:ascii="Verdana" w:eastAsia="Times New Roman" w:hAnsi="Verdana" w:cs="Arial"/>
          <w:color w:val="000000" w:themeColor="text1"/>
          <w:lang w:val="es-ES" w:eastAsia="es-ES_tradnl"/>
        </w:rPr>
        <w:t>”</w:t>
      </w:r>
      <w:r w:rsidRPr="0033634D">
        <w:rPr>
          <w:rFonts w:ascii="Verdana" w:eastAsia="Times New Roman" w:hAnsi="Verdana" w:cs="Arial"/>
          <w:color w:val="000000" w:themeColor="text1"/>
          <w:lang w:val="es-ES" w:eastAsia="es-ES_tradnl"/>
        </w:rPr>
        <w:t>.</w:t>
      </w:r>
    </w:p>
    <w:p w14:paraId="6E18624D" w14:textId="77777777" w:rsidR="00E864E2" w:rsidRPr="0033634D" w:rsidRDefault="00E864E2" w:rsidP="00E864E2">
      <w:pPr>
        <w:spacing w:after="120" w:line="276" w:lineRule="auto"/>
        <w:ind w:firstLine="709"/>
        <w:jc w:val="both"/>
        <w:rPr>
          <w:rFonts w:ascii="Verdana" w:eastAsia="Calibri" w:hAnsi="Verdana" w:cs="Arial"/>
          <w:color w:val="000000" w:themeColor="text1"/>
          <w:lang w:val="es-ES_tradnl"/>
        </w:rPr>
      </w:pPr>
      <w:r w:rsidRPr="0033634D">
        <w:rPr>
          <w:rFonts w:ascii="Verdana" w:eastAsia="Times New Roman" w:hAnsi="Verdana" w:cs="Arial"/>
          <w:color w:val="000000" w:themeColor="text1"/>
          <w:lang w:val="es-ES" w:eastAsia="es-ES_tradnl"/>
        </w:rPr>
        <w:t xml:space="preserve">Conforme a tales artículos, es posible concluir que: i) las condiciones generales y/o específicas de acreditación de experiencia y asignación de incentivos deben estar </w:t>
      </w:r>
      <w:r w:rsidRPr="0033634D">
        <w:rPr>
          <w:rFonts w:ascii="Verdana" w:eastAsia="Calibri" w:hAnsi="Verdana" w:cs="Arial"/>
          <w:color w:val="000000" w:themeColor="text1"/>
          <w:lang w:val="es-ES" w:eastAsia="en-GB"/>
        </w:rPr>
        <w:t xml:space="preserve">consignadas en el </w:t>
      </w:r>
      <w:r w:rsidRPr="0033634D">
        <w:rPr>
          <w:rFonts w:ascii="Verdana" w:eastAsia="Calibri" w:hAnsi="Verdana" w:cs="Arial"/>
          <w:color w:val="000000" w:themeColor="text1"/>
          <w:lang w:val="es-ES_tradnl"/>
        </w:rPr>
        <w:t>pliego de condiciones del respectivo proceso de selección</w:t>
      </w:r>
      <w:r w:rsidRPr="0033634D">
        <w:rPr>
          <w:rFonts w:ascii="Verdana" w:eastAsia="Times New Roman" w:hAnsi="Verdana" w:cs="Arial"/>
          <w:color w:val="000000" w:themeColor="text1"/>
          <w:lang w:val="es-ES" w:eastAsia="es-ES_tradnl"/>
        </w:rPr>
        <w:t xml:space="preserve">; y, </w:t>
      </w:r>
      <w:proofErr w:type="spellStart"/>
      <w:r w:rsidRPr="0033634D">
        <w:rPr>
          <w:rFonts w:ascii="Verdana" w:eastAsia="Times New Roman" w:hAnsi="Verdana" w:cs="Arial"/>
          <w:color w:val="000000" w:themeColor="text1"/>
          <w:lang w:val="es-ES" w:eastAsia="es-ES_tradnl"/>
        </w:rPr>
        <w:t>ii</w:t>
      </w:r>
      <w:proofErr w:type="spellEnd"/>
      <w:r w:rsidRPr="0033634D">
        <w:rPr>
          <w:rFonts w:ascii="Verdana" w:eastAsia="Times New Roman" w:hAnsi="Verdana" w:cs="Arial"/>
          <w:color w:val="000000" w:themeColor="text1"/>
          <w:lang w:val="es-ES" w:eastAsia="es-ES_tradnl"/>
        </w:rPr>
        <w:t>) en cuanto a la experiencia, esta se acreditará mediante los contratos celebrados por el interesado para cada uno de los bienes, obras o servicios que se ofrecerán a las entidades estatales, identificados por el clasificador de bienes y servicios en el tercer nivel y su valor expresado en SMLMV.</w:t>
      </w:r>
      <w:r w:rsidRPr="0033634D">
        <w:rPr>
          <w:rFonts w:ascii="Verdana" w:eastAsia="Calibri" w:hAnsi="Verdana" w:cs="Arial"/>
          <w:color w:val="000000" w:themeColor="text1"/>
          <w:lang w:val="es-ES_tradnl"/>
        </w:rPr>
        <w:t xml:space="preserve"> </w:t>
      </w:r>
    </w:p>
    <w:p w14:paraId="388011D1" w14:textId="77777777" w:rsidR="00E864E2" w:rsidRPr="0033634D" w:rsidRDefault="00E864E2" w:rsidP="00E864E2">
      <w:pPr>
        <w:spacing w:after="120" w:line="276" w:lineRule="auto"/>
        <w:ind w:firstLine="709"/>
        <w:jc w:val="both"/>
        <w:rPr>
          <w:rFonts w:ascii="Verdana" w:eastAsia="Calibri" w:hAnsi="Verdana" w:cs="Arial"/>
          <w:color w:val="000000" w:themeColor="text1"/>
          <w:lang w:val="es-ES" w:eastAsia="en-GB"/>
        </w:rPr>
      </w:pPr>
      <w:r w:rsidRPr="0033634D">
        <w:rPr>
          <w:rFonts w:ascii="Verdana" w:eastAsia="Calibri" w:hAnsi="Verdana" w:cs="Arial"/>
          <w:color w:val="000000" w:themeColor="text1"/>
          <w:lang w:val="es-ES" w:eastAsia="en-GB"/>
        </w:rPr>
        <w:t xml:space="preserve">Tratándose de proponentes plurales, lo que establece el parágrafo del artículo 2.2.1.2.4.6 </w:t>
      </w:r>
      <w:proofErr w:type="spellStart"/>
      <w:r w:rsidRPr="0033634D">
        <w:rPr>
          <w:rFonts w:ascii="Verdana" w:eastAsia="Calibri" w:hAnsi="Verdana" w:cs="Arial"/>
          <w:i/>
          <w:iCs/>
          <w:color w:val="000000" w:themeColor="text1"/>
          <w:lang w:val="es-ES" w:eastAsia="en-GB"/>
        </w:rPr>
        <w:t>Ibídem</w:t>
      </w:r>
      <w:proofErr w:type="spellEnd"/>
      <w:r w:rsidRPr="0033634D">
        <w:rPr>
          <w:rFonts w:ascii="Verdana" w:eastAsia="Calibri" w:hAnsi="Verdana" w:cs="Arial"/>
          <w:i/>
          <w:iCs/>
          <w:color w:val="000000" w:themeColor="text1"/>
          <w:lang w:val="es-ES" w:eastAsia="en-GB"/>
        </w:rPr>
        <w:t xml:space="preserve">, </w:t>
      </w:r>
      <w:r w:rsidRPr="0033634D">
        <w:rPr>
          <w:rFonts w:ascii="Verdana" w:eastAsia="Calibri" w:hAnsi="Verdana" w:cs="Arial"/>
          <w:color w:val="000000" w:themeColor="text1"/>
          <w:lang w:val="es-ES" w:eastAsia="en-GB"/>
        </w:rPr>
        <w:t>es que, en estos casos, la vinculación de personas con discapacidad, que virtualmente le otorga al proponente plural el puntaje adicional, deba verificarse respecto del miembro del proponente plural que acredite un mínimo del cuarenta por ciento de la experiencia requerida. En otras palabras, conforme a la regla del aludido parágrafo, para otorgar el puntaje adicional, uno de los miembros del proponente plural debe acreditar el cuarenta por ciento del valor en SMMLV en los que esté tasado el requisito de experiencia.</w:t>
      </w:r>
    </w:p>
    <w:p w14:paraId="243863DB" w14:textId="77777777" w:rsidR="00E864E2" w:rsidRPr="0033634D" w:rsidRDefault="00E864E2" w:rsidP="00E864E2">
      <w:pPr>
        <w:spacing w:after="120" w:line="276" w:lineRule="auto"/>
        <w:ind w:firstLine="709"/>
        <w:jc w:val="both"/>
        <w:rPr>
          <w:rFonts w:ascii="Verdana" w:eastAsia="Calibri" w:hAnsi="Verdana" w:cs="Arial"/>
          <w:color w:val="000000" w:themeColor="text1"/>
          <w:lang w:val="es-ES_tradnl"/>
        </w:rPr>
      </w:pPr>
      <w:r w:rsidRPr="0033634D">
        <w:rPr>
          <w:rFonts w:ascii="Verdana" w:eastAsia="Calibri" w:hAnsi="Verdana" w:cs="Arial"/>
          <w:color w:val="000000" w:themeColor="text1"/>
          <w:lang w:val="es-ES" w:eastAsia="en-GB"/>
        </w:rPr>
        <w:t xml:space="preserve">En ese sentido, independientemente de que el proponente utilice uno o varios contratos para acreditar el requisito de experiencia, para acceder al puntaje adicional por vinculación de personas con discapacidad, los proponentes plurales deben contar con un miembro que aporte al menos el cuarenta por ciento de la experiencia, porcentaje que debe calcularse respecto del valor en SMMLV en los que esté tasado el requisito de experiencia. </w:t>
      </w:r>
      <w:bookmarkStart w:id="0" w:name="_Hlk65592060"/>
      <w:r w:rsidRPr="0033634D">
        <w:rPr>
          <w:rFonts w:ascii="Verdana" w:eastAsia="Calibri" w:hAnsi="Verdana" w:cs="Arial"/>
          <w:color w:val="000000" w:themeColor="text1"/>
          <w:lang w:val="es-ES" w:eastAsia="en-GB"/>
        </w:rPr>
        <w:t xml:space="preserve">Para obtener el puntaje adicional, a dicho miembro le corresponderá </w:t>
      </w:r>
      <w:r w:rsidRPr="0033634D">
        <w:rPr>
          <w:rFonts w:ascii="Verdana" w:eastAsia="Calibri" w:hAnsi="Verdana" w:cs="Arial"/>
          <w:color w:val="000000" w:themeColor="text1"/>
          <w:lang w:val="es-ES_tradnl"/>
        </w:rPr>
        <w:t xml:space="preserve">acreditar que su planta de personal contiene el número de trabajadores con discapacidad requerido, </w:t>
      </w:r>
      <w:r w:rsidRPr="0033634D">
        <w:rPr>
          <w:rFonts w:ascii="Verdana" w:eastAsia="Calibri" w:hAnsi="Verdana" w:cs="Arial"/>
          <w:color w:val="000000" w:themeColor="text1"/>
          <w:lang w:val="es-ES_tradnl"/>
        </w:rPr>
        <w:lastRenderedPageBreak/>
        <w:t>atendiendo al rango determinado en el numeral segundo del artículo 2.2.1.2.4.2.6 del Decreto 1082 de 2015, adicionado por el Decreto 392 de 2018.</w:t>
      </w:r>
      <w:bookmarkEnd w:id="0"/>
      <w:r w:rsidRPr="0033634D">
        <w:rPr>
          <w:rFonts w:ascii="Verdana" w:eastAsia="Calibri" w:hAnsi="Verdana" w:cs="Arial"/>
          <w:color w:val="000000" w:themeColor="text1"/>
          <w:lang w:val="es-ES_tradnl"/>
        </w:rPr>
        <w:t xml:space="preserve"> </w:t>
      </w:r>
    </w:p>
    <w:p w14:paraId="184C74C6" w14:textId="77777777" w:rsidR="00E864E2" w:rsidRPr="00E864E2" w:rsidRDefault="00E864E2" w:rsidP="00187855">
      <w:pPr>
        <w:pStyle w:val="Prrafodelista"/>
        <w:spacing w:after="0" w:line="276" w:lineRule="auto"/>
        <w:jc w:val="both"/>
        <w:rPr>
          <w:rFonts w:ascii="Verdana" w:eastAsia="Calibri" w:hAnsi="Verdana" w:cs="Arial"/>
          <w:szCs w:val="24"/>
          <w:lang w:val="es-ES" w:eastAsia="es-ES_tradnl"/>
        </w:rPr>
      </w:pPr>
    </w:p>
    <w:p w14:paraId="1AAA8D53" w14:textId="77777777" w:rsidR="00187855" w:rsidRPr="00CC5C68" w:rsidRDefault="00187855" w:rsidP="00187855">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4. Referencias normativas, jurisprudenciales y otras fuentes:</w:t>
      </w:r>
    </w:p>
    <w:p w14:paraId="1BFC5CEE" w14:textId="77777777" w:rsidR="00187855" w:rsidRPr="00CC5C68" w:rsidRDefault="00187855" w:rsidP="0018785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87855" w:rsidRPr="00CC5C68" w14:paraId="12123090" w14:textId="77777777" w:rsidTr="00E075F9">
        <w:trPr>
          <w:trHeight w:val="870"/>
        </w:trPr>
        <w:tc>
          <w:tcPr>
            <w:tcW w:w="8647" w:type="dxa"/>
          </w:tcPr>
          <w:p w14:paraId="209F5523" w14:textId="66ECDF2F" w:rsidR="0038408B" w:rsidRDefault="0038408B" w:rsidP="00042BE1">
            <w:pPr>
              <w:pStyle w:val="Prrafodelista"/>
              <w:widowControl w:val="0"/>
              <w:numPr>
                <w:ilvl w:val="0"/>
                <w:numId w:val="1"/>
              </w:numPr>
              <w:autoSpaceDE w:val="0"/>
              <w:autoSpaceDN w:val="0"/>
              <w:spacing w:after="120" w:line="276" w:lineRule="auto"/>
              <w:jc w:val="both"/>
              <w:rPr>
                <w:rFonts w:ascii="Verdana" w:hAnsi="Verdana" w:cs="Arial"/>
              </w:rPr>
            </w:pPr>
            <w:r>
              <w:rPr>
                <w:rFonts w:ascii="Verdana" w:hAnsi="Verdana" w:cs="Arial"/>
              </w:rPr>
              <w:t>Ley 1618 de 2013, artículo 13.</w:t>
            </w:r>
          </w:p>
          <w:p w14:paraId="0DA1C513" w14:textId="5F677FD1" w:rsidR="00187855" w:rsidRPr="00042BE1" w:rsidRDefault="00187855" w:rsidP="00042BE1">
            <w:pPr>
              <w:pStyle w:val="Prrafodelista"/>
              <w:widowControl w:val="0"/>
              <w:numPr>
                <w:ilvl w:val="0"/>
                <w:numId w:val="1"/>
              </w:numPr>
              <w:autoSpaceDE w:val="0"/>
              <w:autoSpaceDN w:val="0"/>
              <w:spacing w:after="120" w:line="276" w:lineRule="auto"/>
              <w:jc w:val="both"/>
              <w:rPr>
                <w:rFonts w:ascii="Verdana" w:hAnsi="Verdana" w:cs="Arial"/>
              </w:rPr>
            </w:pPr>
            <w:r w:rsidRPr="00042BE1">
              <w:rPr>
                <w:rFonts w:ascii="Verdana" w:hAnsi="Verdana" w:cs="Arial"/>
              </w:rPr>
              <w:t xml:space="preserve">Decreto 1082 de 2015, artículos </w:t>
            </w:r>
            <w:r w:rsidR="00042BE1" w:rsidRPr="00042BE1">
              <w:rPr>
                <w:rFonts w:ascii="Verdana" w:hAnsi="Verdana" w:cs="Arial"/>
              </w:rPr>
              <w:t>2.2.1.2.4.2.6.</w:t>
            </w:r>
            <w:r w:rsidR="00042BE1">
              <w:rPr>
                <w:rFonts w:ascii="Verdana" w:hAnsi="Verdana" w:cs="Arial"/>
              </w:rPr>
              <w:t xml:space="preserve"> y siguientes.</w:t>
            </w:r>
          </w:p>
        </w:tc>
      </w:tr>
    </w:tbl>
    <w:p w14:paraId="5EDDC2CD" w14:textId="77777777" w:rsidR="00187855" w:rsidRPr="00CC5C68" w:rsidRDefault="00187855" w:rsidP="0018785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C871F0A" w14:textId="77777777" w:rsidR="00187855" w:rsidRPr="00CC5C68" w:rsidRDefault="00187855" w:rsidP="0018785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t>5. Doctrina de la Agencia Nacional de Contratación Pública:</w:t>
      </w:r>
    </w:p>
    <w:p w14:paraId="66BECA67" w14:textId="77777777" w:rsidR="00187855" w:rsidRPr="00CC5C68" w:rsidRDefault="00187855" w:rsidP="00187855">
      <w:pPr>
        <w:spacing w:after="0" w:line="276" w:lineRule="auto"/>
        <w:ind w:firstLine="709"/>
        <w:jc w:val="both"/>
        <w:rPr>
          <w:rFonts w:ascii="Verdana" w:eastAsia="Times New Roman" w:hAnsi="Verdana" w:cs="Arial"/>
          <w:szCs w:val="24"/>
          <w:lang w:val="es-ES" w:eastAsia="es-ES_tradnl"/>
        </w:rPr>
      </w:pPr>
    </w:p>
    <w:p w14:paraId="4067B05A" w14:textId="6463414F" w:rsidR="00187855" w:rsidRPr="00CC5C68" w:rsidRDefault="00187855" w:rsidP="00187855">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CC5C68">
        <w:rPr>
          <w:rFonts w:ascii="Verdana" w:eastAsia="Calibri" w:hAnsi="Verdana" w:cs="Arial"/>
          <w:lang w:val="es-ES_tradnl" w:eastAsia="es-ES_tradnl"/>
        </w:rPr>
        <w:t xml:space="preserve">Sobre </w:t>
      </w:r>
      <w:r w:rsidR="005C3ED7">
        <w:rPr>
          <w:rFonts w:ascii="Verdana" w:eastAsia="Calibri" w:hAnsi="Verdana" w:cs="Arial"/>
          <w:lang w:val="es-ES_tradnl" w:eastAsia="es-ES_tradnl"/>
        </w:rPr>
        <w:t>el puntaje para personas con discapacidad</w:t>
      </w:r>
      <w:r w:rsidRPr="00CC5C68">
        <w:rPr>
          <w:rFonts w:ascii="Verdana" w:eastAsia="Calibri" w:hAnsi="Verdana" w:cs="Arial"/>
          <w:lang w:val="es-ES_tradnl" w:eastAsia="es-ES_tradnl"/>
        </w:rPr>
        <w:t xml:space="preserve">, se pronunció esta Subdirección en los </w:t>
      </w:r>
      <w:r w:rsidR="008E7111" w:rsidRPr="008E7111">
        <w:rPr>
          <w:rFonts w:ascii="Verdana" w:eastAsia="Calibri" w:hAnsi="Verdana" w:cs="Arial"/>
          <w:lang w:val="es-ES_tradnl" w:eastAsia="es-ES_tradnl"/>
        </w:rPr>
        <w:t>concepto</w:t>
      </w:r>
      <w:r w:rsidR="005C3ED7">
        <w:rPr>
          <w:rFonts w:ascii="Verdana" w:eastAsia="Calibri" w:hAnsi="Verdana" w:cs="Arial"/>
          <w:lang w:val="es-ES_tradnl" w:eastAsia="es-ES_tradnl"/>
        </w:rPr>
        <w:t>s</w:t>
      </w:r>
      <w:r w:rsidR="008E7111" w:rsidRPr="008E7111">
        <w:rPr>
          <w:rFonts w:ascii="Verdana" w:eastAsia="Calibri" w:hAnsi="Verdana" w:cs="Arial"/>
          <w:lang w:val="es-ES_tradnl" w:eastAsia="es-ES_tradnl"/>
        </w:rPr>
        <w:t xml:space="preserve"> con radicado No. 4201912000004631 de 10 de julio de 2019, 4201913000005084 del 23 de julio de 2019, 201913000004446 del 13 de agosto de 2019, 4201912000005689 del 16 de septiembre de 2019, 4201913000006373 del 18 de septiembre de 2019, 4201912000006258 del 3 de octubre de 2019, 4201913000006154 del 10 de octubre de 2019, 4201912000007756 del 16 de noviembre de 2019, 4201913000007151 del 2 de diciembre de 2019, 4201912000008593 de 27 de diciembre de 2019, C-030 del 28 de enero de 2020, C-026 del 11 de febrero de 2020, C-119 del 18 de marzo de 2020, C-137 del 26 de marzo de 2020,C-196 del 8 de abril de 2020, C-335 del 29 de mayo de 2020, C-302 del 12 de junio de 2020, C-397 del 30 de junio de 2020, C-410 del 26 de junio de 2020, C-429 del 24 de julio de 2020, C-555 del 24 de agosto de 2020, C-629 del 2 de octubre de 2020, C-669 del 20 de noviembre de 2020, C-676 del 27 de noviembre de 2020, C-747 del 15 de diciembre de 2020, C-099 del 24 de marzo de 2021, C-119 del 30 de marzo de 2021, C-248 del 1 de junio de 2021, C-383 del 2 de agosto de 2021</w:t>
      </w:r>
      <w:r w:rsidR="008E7111">
        <w:rPr>
          <w:rFonts w:ascii="Verdana" w:eastAsia="Calibri" w:hAnsi="Verdana" w:cs="Arial"/>
          <w:lang w:val="es-ES_tradnl" w:eastAsia="es-ES_tradnl"/>
        </w:rPr>
        <w:t>,</w:t>
      </w:r>
      <w:r w:rsidR="008E7111" w:rsidRPr="008E7111">
        <w:rPr>
          <w:rFonts w:ascii="Verdana" w:eastAsia="Calibri" w:hAnsi="Verdana" w:cs="Arial"/>
          <w:lang w:val="es-ES_tradnl" w:eastAsia="es-ES_tradnl"/>
        </w:rPr>
        <w:t xml:space="preserve"> C-071 del 7 de febrero de 2022</w:t>
      </w:r>
      <w:r w:rsidR="008E7111">
        <w:rPr>
          <w:rFonts w:ascii="Verdana" w:eastAsia="Calibri" w:hAnsi="Verdana" w:cs="Arial"/>
          <w:lang w:val="es-ES_tradnl" w:eastAsia="es-ES_tradnl"/>
        </w:rPr>
        <w:t>, C-885 del 27 de diciembre de 2022 y C-295 del 20 de agosto de 2024</w:t>
      </w:r>
      <w:r w:rsidRPr="00CC5C68">
        <w:rPr>
          <w:rFonts w:ascii="Verdana" w:eastAsia="Calibri" w:hAnsi="Verdana" w:cs="Arial"/>
          <w:lang w:val="es-ES_tradnl" w:eastAsia="es-ES_tradnl"/>
        </w:rPr>
        <w:t xml:space="preserve">. </w:t>
      </w:r>
      <w:r w:rsidRPr="00CC5C68">
        <w:rPr>
          <w:rFonts w:ascii="Verdana" w:eastAsia="Calibri" w:hAnsi="Verdana" w:cs="Arial"/>
          <w:lang w:val="es-ES" w:eastAsia="es-ES_tradnl"/>
        </w:rPr>
        <w:t>Estos</w:t>
      </w:r>
      <w:r w:rsidRPr="00CC5C68">
        <w:rPr>
          <w:rFonts w:ascii="Verdana" w:hAnsi="Verdana"/>
        </w:rPr>
        <w:t xml:space="preserve"> y otros conceptos se encuentran disponibles para consulta en el Sistema de relatoría de la Agencia, al cual se puede acceder a través del siguiente enlace:</w:t>
      </w:r>
      <w:r w:rsidRPr="00CC5C68">
        <w:rPr>
          <w:rStyle w:val="normaltextrun"/>
          <w:rFonts w:ascii="Verdana" w:hAnsi="Verdana" w:cs="Arial"/>
          <w:shd w:val="clear" w:color="auto" w:fill="FFFFFF"/>
          <w:lang w:val="es-ES"/>
        </w:rPr>
        <w:t xml:space="preserve"> </w:t>
      </w:r>
      <w:hyperlink r:id="rId12" w:history="1">
        <w:r w:rsidRPr="00CC5C68">
          <w:rPr>
            <w:rStyle w:val="Hipervnculo"/>
            <w:rFonts w:ascii="Verdana" w:hAnsi="Verdana" w:cs="Arial"/>
            <w:shd w:val="clear" w:color="auto" w:fill="FFFFFF"/>
            <w:lang w:val="es-ES"/>
          </w:rPr>
          <w:t>https://relatoria.colombiacompra.gov.co/busqueda/conceptos</w:t>
        </w:r>
      </w:hyperlink>
    </w:p>
    <w:p w14:paraId="64E54BDA" w14:textId="77777777" w:rsidR="00187855" w:rsidRPr="00CC5C68" w:rsidRDefault="00187855" w:rsidP="00187855">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6527205E" w14:textId="77777777" w:rsidR="00067BB4" w:rsidRPr="00067BB4" w:rsidRDefault="00067BB4" w:rsidP="00067BB4">
      <w:pPr>
        <w:spacing w:after="0" w:line="276" w:lineRule="auto"/>
        <w:jc w:val="both"/>
        <w:rPr>
          <w:rFonts w:ascii="Verdana" w:hAnsi="Verdana"/>
        </w:rPr>
      </w:pPr>
      <w:r w:rsidRPr="00067BB4">
        <w:rPr>
          <w:rFonts w:ascii="Verdana" w:hAnsi="Verdana"/>
        </w:rPr>
        <w:t>La Agencia Nacional de Contratación Pública – Colombia Compra Eficiente invita a las Entidades Estatales, a los actores del Sistema de Compra Pública y a la ciudadanía en general a conocer y participar en la actualización de la </w:t>
      </w:r>
      <w:r w:rsidRPr="00067BB4">
        <w:rPr>
          <w:rFonts w:ascii="Verdana" w:hAnsi="Verdana"/>
          <w:b/>
          <w:bCs/>
          <w:i/>
          <w:iCs/>
        </w:rPr>
        <w:t>Guía para la Elaboración de Estudios del Sector</w:t>
      </w:r>
      <w:r w:rsidRPr="00067BB4">
        <w:rPr>
          <w:rFonts w:ascii="Verdana" w:hAnsi="Verdana"/>
        </w:rPr>
        <w:t xml:space="preserve">. Esta herramienta orientadora facilita el análisis del mercado del bien, obra o servicio a contratar, y tiene como propósito promover procesos de contratación más eficientes, competitivos, </w:t>
      </w:r>
      <w:r w:rsidRPr="00067BB4">
        <w:rPr>
          <w:rFonts w:ascii="Verdana" w:hAnsi="Verdana"/>
        </w:rPr>
        <w:lastRenderedPageBreak/>
        <w:t>sostenibles e inclusivos. La guía se encuentra disponible para consulta y comentarios hasta el 22 de mayo de 2025, a través del siguiente enlace: </w:t>
      </w:r>
      <w:hyperlink r:id="rId13" w:tgtFrame="_blank" w:tooltip="Dirección URL original: https://www.colombiacompra.gov.co/archivos/convocatoria/participacion-ciudadana-proyecto-de-la-guia-para-la-elaboracion-de-estudios-del-sector. Haga clic o pulse si confía en este vínculo." w:history="1">
        <w:r w:rsidRPr="00067BB4">
          <w:rPr>
            <w:rStyle w:val="Hipervnculo"/>
            <w:rFonts w:ascii="Verdana" w:hAnsi="Verdana"/>
          </w:rPr>
          <w:t>https://www.colombiacompra.gov.co/archivos/convocatoria/participacion-ciudadana-proyecto-de-la-guia-para-la-</w:t>
        </w:r>
      </w:hyperlink>
    </w:p>
    <w:p w14:paraId="29119130" w14:textId="77777777" w:rsidR="00067BB4" w:rsidRPr="00067BB4" w:rsidRDefault="00067BB4" w:rsidP="00067BB4">
      <w:pPr>
        <w:spacing w:after="0" w:line="276" w:lineRule="auto"/>
        <w:jc w:val="both"/>
        <w:rPr>
          <w:rFonts w:ascii="Verdana" w:hAnsi="Verdana"/>
        </w:rPr>
      </w:pPr>
    </w:p>
    <w:p w14:paraId="21FBAC84" w14:textId="77777777" w:rsidR="00067BB4" w:rsidRPr="00067BB4" w:rsidRDefault="00067BB4" w:rsidP="00067BB4">
      <w:pPr>
        <w:spacing w:after="0" w:line="276" w:lineRule="auto"/>
        <w:jc w:val="both"/>
        <w:rPr>
          <w:rFonts w:ascii="Verdana" w:hAnsi="Verdana"/>
        </w:rPr>
      </w:pPr>
      <w:r w:rsidRPr="00067BB4">
        <w:rPr>
          <w:rFonts w:ascii="Verdana" w:hAnsi="Verdana"/>
        </w:rPr>
        <w:t>De otra parte, te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23 de mayo de 2025.  Puede consultar la información en el siguiente enlace: </w:t>
      </w:r>
      <w:hyperlink r:id="rId14" w:tgtFrame="_blank" w:tooltip="Dirección URL original: https://www.colombiacompra.gov.co/normativa-y-relatoria/documentos-tipo. Haga clic o pulse si confía en este vínculo." w:history="1">
        <w:r w:rsidRPr="00067BB4">
          <w:rPr>
            <w:rStyle w:val="Hipervnculo"/>
            <w:rFonts w:ascii="Verdana" w:hAnsi="Verdana"/>
          </w:rPr>
          <w:t>Documentos Tipo – ANCP Colombia Compra Eficiente</w:t>
        </w:r>
      </w:hyperlink>
      <w:r w:rsidRPr="00067BB4">
        <w:rPr>
          <w:rFonts w:ascii="Verdana" w:hAnsi="Verdana"/>
          <w:u w:val="single"/>
        </w:rPr>
        <w:t> </w:t>
      </w:r>
    </w:p>
    <w:p w14:paraId="652BD513" w14:textId="77777777" w:rsidR="00067BB4" w:rsidRDefault="00067BB4" w:rsidP="00067BB4">
      <w:pPr>
        <w:spacing w:after="0" w:line="276" w:lineRule="auto"/>
        <w:jc w:val="both"/>
        <w:rPr>
          <w:rFonts w:ascii="Verdana" w:hAnsi="Verdana"/>
        </w:rPr>
      </w:pPr>
    </w:p>
    <w:p w14:paraId="4F1601C5" w14:textId="6B09771F" w:rsidR="00067BB4" w:rsidRPr="00067BB4" w:rsidRDefault="00067BB4" w:rsidP="00067BB4">
      <w:pPr>
        <w:spacing w:after="0" w:line="276" w:lineRule="auto"/>
        <w:jc w:val="both"/>
        <w:rPr>
          <w:rFonts w:ascii="Verdana" w:hAnsi="Verdana"/>
        </w:rPr>
      </w:pPr>
      <w:r w:rsidRPr="00067BB4">
        <w:rPr>
          <w:rFonts w:ascii="Verdana" w:hAnsi="Verdana"/>
        </w:rPr>
        <w:t>También le contamos que ya se encuentra disponible la </w:t>
      </w:r>
      <w:r w:rsidRPr="00067BB4">
        <w:rPr>
          <w:rFonts w:ascii="Verdana" w:hAnsi="Verdana"/>
          <w:b/>
          <w:bCs/>
        </w:rPr>
        <w:t>Guía de lineamientos de transparencia y selección objetiva para el departamento de La Guajira – Objetivo sexto constitucional de la Sentencia T-302 del 2017. </w:t>
      </w:r>
      <w:r w:rsidRPr="00067BB4">
        <w:rPr>
          <w:rFonts w:ascii="Verdana" w:hAnsi="Verdana"/>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67BB4">
        <w:rPr>
          <w:rFonts w:ascii="Verdana" w:hAnsi="Verdana"/>
        </w:rPr>
        <w:t>Wayúu</w:t>
      </w:r>
      <w:proofErr w:type="spellEnd"/>
      <w:r w:rsidRPr="00067BB4">
        <w:rPr>
          <w:rFonts w:ascii="Verdana" w:hAnsi="Verdana"/>
        </w:rPr>
        <w:t>.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067BB4">
          <w:rPr>
            <w:rStyle w:val="Hipervnculo"/>
            <w:rFonts w:ascii="Verdana" w:hAnsi="Verdana"/>
          </w:rPr>
          <w:t>Guía de lineamientos de transparencia y selección objetiva para el departamento de La Guajira – Objetivo sexto constitucional de la Sentencia T-302 del 2017</w:t>
        </w:r>
      </w:hyperlink>
    </w:p>
    <w:p w14:paraId="0E38C526" w14:textId="77777777" w:rsidR="00CF39CF" w:rsidRPr="00CC5C68" w:rsidRDefault="00CF39CF" w:rsidP="00187855">
      <w:pPr>
        <w:spacing w:after="0" w:line="240" w:lineRule="auto"/>
        <w:jc w:val="both"/>
        <w:rPr>
          <w:rFonts w:ascii="Verdana" w:hAnsi="Verdana"/>
        </w:rPr>
      </w:pPr>
    </w:p>
    <w:p w14:paraId="66D7E2AC" w14:textId="77777777" w:rsidR="00187855" w:rsidRPr="00CC5C68" w:rsidRDefault="00187855" w:rsidP="00187855">
      <w:pPr>
        <w:spacing w:after="0" w:line="240" w:lineRule="auto"/>
        <w:jc w:val="both"/>
        <w:rPr>
          <w:rFonts w:ascii="Verdana" w:hAnsi="Verdana"/>
        </w:rPr>
      </w:pPr>
      <w:r w:rsidRPr="00CC5C68">
        <w:rPr>
          <w:rFonts w:ascii="Verdana" w:hAnsi="Verdana"/>
        </w:rPr>
        <w:t xml:space="preserve">Por último, lo invitamos a seguirnos en las redes sociales en las cuales se difunde información institucional: </w:t>
      </w:r>
    </w:p>
    <w:p w14:paraId="031FBEC0" w14:textId="77777777" w:rsidR="00187855" w:rsidRPr="00CC5C68" w:rsidRDefault="00187855" w:rsidP="00187855">
      <w:pPr>
        <w:spacing w:after="0" w:line="240" w:lineRule="auto"/>
        <w:jc w:val="both"/>
        <w:rPr>
          <w:rFonts w:ascii="Verdana" w:hAnsi="Verdana"/>
        </w:rPr>
      </w:pPr>
    </w:p>
    <w:p w14:paraId="73E56C31" w14:textId="77777777" w:rsidR="00187855" w:rsidRPr="00CC5C68" w:rsidRDefault="00187855" w:rsidP="00187855">
      <w:pPr>
        <w:spacing w:after="0" w:line="240" w:lineRule="auto"/>
        <w:jc w:val="both"/>
        <w:rPr>
          <w:rFonts w:ascii="Verdana" w:hAnsi="Verdana"/>
        </w:rPr>
      </w:pPr>
      <w:r w:rsidRPr="00CC5C68">
        <w:rPr>
          <w:rFonts w:ascii="Verdana" w:hAnsi="Verdana"/>
        </w:rPr>
        <w:t xml:space="preserve">Twitter: </w:t>
      </w:r>
      <w:r w:rsidRPr="00CC5C68">
        <w:rPr>
          <w:rStyle w:val="Hipervnculo"/>
          <w:rFonts w:ascii="Verdana" w:hAnsi="Verdana"/>
          <w:color w:val="4472C4" w:themeColor="accent1"/>
        </w:rPr>
        <w:t>@colombiacompra</w:t>
      </w:r>
      <w:r w:rsidRPr="00CC5C68">
        <w:rPr>
          <w:rFonts w:ascii="Verdana" w:hAnsi="Verdana"/>
          <w:color w:val="4472C4" w:themeColor="accent1"/>
        </w:rPr>
        <w:t xml:space="preserve"> </w:t>
      </w:r>
    </w:p>
    <w:p w14:paraId="43748698" w14:textId="77777777" w:rsidR="00187855" w:rsidRPr="00CC5C68" w:rsidRDefault="00187855" w:rsidP="00187855">
      <w:pPr>
        <w:spacing w:after="0" w:line="240" w:lineRule="auto"/>
        <w:jc w:val="both"/>
        <w:rPr>
          <w:rFonts w:ascii="Verdana" w:hAnsi="Verdana"/>
        </w:rPr>
      </w:pPr>
      <w:r w:rsidRPr="00CC5C68">
        <w:rPr>
          <w:rFonts w:ascii="Verdana" w:hAnsi="Verdana"/>
        </w:rPr>
        <w:t xml:space="preserve">Facebook: </w:t>
      </w:r>
      <w:proofErr w:type="spellStart"/>
      <w:r w:rsidRPr="00CC5C68">
        <w:rPr>
          <w:rStyle w:val="Hipervnculo"/>
          <w:rFonts w:ascii="Verdana" w:hAnsi="Verdana"/>
          <w:color w:val="4472C4" w:themeColor="accent1"/>
        </w:rPr>
        <w:t>ColombiaCompraEficiente</w:t>
      </w:r>
      <w:proofErr w:type="spellEnd"/>
    </w:p>
    <w:p w14:paraId="685C4A43" w14:textId="77777777" w:rsidR="00187855" w:rsidRPr="00CC5C68" w:rsidRDefault="00187855" w:rsidP="00187855">
      <w:pPr>
        <w:spacing w:after="0" w:line="240" w:lineRule="auto"/>
        <w:jc w:val="both"/>
        <w:rPr>
          <w:rFonts w:ascii="Verdana" w:hAnsi="Verdana"/>
        </w:rPr>
      </w:pPr>
      <w:r w:rsidRPr="00CC5C68">
        <w:rPr>
          <w:rFonts w:ascii="Verdana" w:hAnsi="Verdana"/>
        </w:rPr>
        <w:t xml:space="preserve">LinkedIn: </w:t>
      </w:r>
      <w:r w:rsidRPr="00CC5C68">
        <w:rPr>
          <w:rStyle w:val="Hipervnculo"/>
          <w:rFonts w:ascii="Verdana" w:hAnsi="Verdana"/>
          <w:color w:val="4472C4" w:themeColor="accent1"/>
        </w:rPr>
        <w:t>Agencia Nacional de Contratación Pública - Colombia Compra Eficiente</w:t>
      </w:r>
      <w:r w:rsidRPr="00CC5C68">
        <w:rPr>
          <w:rFonts w:ascii="Verdana" w:hAnsi="Verdana"/>
          <w:color w:val="4472C4" w:themeColor="accent1"/>
        </w:rPr>
        <w:t xml:space="preserve"> </w:t>
      </w:r>
      <w:r w:rsidRPr="00CC5C68">
        <w:rPr>
          <w:rFonts w:ascii="Verdana" w:hAnsi="Verdana"/>
        </w:rPr>
        <w:t xml:space="preserve">Instagram: </w:t>
      </w:r>
      <w:r w:rsidRPr="00CC5C68">
        <w:rPr>
          <w:rStyle w:val="Hipervnculo"/>
          <w:rFonts w:ascii="Verdana" w:hAnsi="Verdana"/>
          <w:color w:val="4472C4" w:themeColor="accent1"/>
        </w:rPr>
        <w:t>@colombiacompraeficiente_cce</w:t>
      </w:r>
    </w:p>
    <w:p w14:paraId="3799CC66" w14:textId="77777777" w:rsidR="00187855" w:rsidRPr="0044528D" w:rsidRDefault="00187855" w:rsidP="00187855">
      <w:pPr>
        <w:widowControl w:val="0"/>
        <w:autoSpaceDE w:val="0"/>
        <w:autoSpaceDN w:val="0"/>
        <w:spacing w:after="0" w:line="276" w:lineRule="auto"/>
        <w:jc w:val="both"/>
        <w:rPr>
          <w:rFonts w:ascii="Verdana" w:hAnsi="Verdana"/>
        </w:rPr>
      </w:pPr>
    </w:p>
    <w:p w14:paraId="224339A7" w14:textId="77777777" w:rsidR="00187855" w:rsidRPr="00CC5C68" w:rsidRDefault="00187855" w:rsidP="00187855">
      <w:pPr>
        <w:widowControl w:val="0"/>
        <w:autoSpaceDE w:val="0"/>
        <w:autoSpaceDN w:val="0"/>
        <w:spacing w:after="0" w:line="276" w:lineRule="auto"/>
        <w:jc w:val="both"/>
        <w:rPr>
          <w:rFonts w:ascii="Verdana" w:hAnsi="Verdana" w:cs="Arial"/>
          <w:lang w:val="es-ES_tradnl"/>
        </w:rPr>
      </w:pPr>
      <w:r w:rsidRPr="00CC5C68">
        <w:rPr>
          <w:rFonts w:ascii="Verdana" w:hAnsi="Verdana" w:cs="Arial"/>
        </w:rPr>
        <w:t xml:space="preserve">Este concepto tiene el alcance previsto en el artículo 28 del Código de Procedimiento Administrativo y de lo Contencioso Administrativo </w:t>
      </w:r>
      <w:r w:rsidRPr="00CC5C68">
        <w:rPr>
          <w:rFonts w:ascii="Verdana" w:hAnsi="Verdana" w:cs="Arial"/>
          <w:lang w:val="es-ES_tradnl"/>
        </w:rPr>
        <w:t>y las expresiones aquí utilizadas con mayúscula inicial deben ser entendidas con el significado que les otorga el artículo 2.2.1.1.1.3.1. del Decreto 1082 de 2015.</w:t>
      </w:r>
    </w:p>
    <w:p w14:paraId="080771EB" w14:textId="77777777" w:rsidR="00187855" w:rsidRPr="00CC5C68" w:rsidRDefault="00187855" w:rsidP="00187855">
      <w:pPr>
        <w:spacing w:after="0" w:line="276" w:lineRule="auto"/>
        <w:ind w:firstLine="709"/>
        <w:jc w:val="both"/>
        <w:rPr>
          <w:rFonts w:ascii="Verdana" w:eastAsia="Times New Roman" w:hAnsi="Verdana" w:cs="Arial"/>
          <w:szCs w:val="24"/>
          <w:lang w:val="es-ES_tradnl" w:eastAsia="es-ES_tradnl"/>
        </w:rPr>
      </w:pPr>
    </w:p>
    <w:p w14:paraId="20AA0B55" w14:textId="77777777" w:rsidR="00187855" w:rsidRPr="00CC5C68" w:rsidRDefault="00187855" w:rsidP="00187855">
      <w:pPr>
        <w:spacing w:after="0" w:line="276" w:lineRule="auto"/>
        <w:jc w:val="both"/>
        <w:rPr>
          <w:rFonts w:ascii="Verdana" w:eastAsia="Times New Roman" w:hAnsi="Verdana" w:cs="Arial"/>
          <w:lang w:val="es-ES_tradnl" w:eastAsia="es-CO"/>
        </w:rPr>
      </w:pPr>
      <w:bookmarkStart w:id="1" w:name="_Hlk117695077"/>
      <w:r w:rsidRPr="00CC5C68">
        <w:rPr>
          <w:rFonts w:ascii="Verdana" w:eastAsia="Times New Roman" w:hAnsi="Verdana" w:cs="Arial"/>
          <w:lang w:val="es-ES_tradnl" w:eastAsia="es-CO"/>
        </w:rPr>
        <w:t>Atentamente,</w:t>
      </w:r>
    </w:p>
    <w:bookmarkEnd w:id="1"/>
    <w:p w14:paraId="1EADE6D4" w14:textId="2A5B746F" w:rsidR="00187855" w:rsidRPr="00CC5C68" w:rsidRDefault="004844B3" w:rsidP="00B01786">
      <w:pPr>
        <w:spacing w:after="18" w:line="240" w:lineRule="auto"/>
        <w:jc w:val="center"/>
        <w:rPr>
          <w:rFonts w:ascii="Verdana" w:eastAsia="Times New Roman" w:hAnsi="Verdana" w:cs="Arial"/>
          <w:sz w:val="24"/>
          <w:szCs w:val="24"/>
          <w:lang w:eastAsia="es-CO"/>
        </w:rPr>
      </w:pPr>
      <w:r w:rsidRPr="002C3AD6">
        <w:rPr>
          <w:rFonts w:ascii="Century Gothic" w:hAnsi="Century Gothic"/>
          <w:noProof/>
        </w:rPr>
        <w:lastRenderedPageBreak/>
        <w:drawing>
          <wp:inline distT="0" distB="0" distL="0" distR="0" wp14:anchorId="118E911B" wp14:editId="256176E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187855" w:rsidRPr="00CC5C68" w14:paraId="269CB499" w14:textId="77777777" w:rsidTr="3BB81FFA">
        <w:trPr>
          <w:trHeight w:val="286"/>
        </w:trPr>
        <w:tc>
          <w:tcPr>
            <w:tcW w:w="893" w:type="dxa"/>
            <w:vAlign w:val="center"/>
            <w:hideMark/>
          </w:tcPr>
          <w:p w14:paraId="107D0F90" w14:textId="77777777" w:rsidR="00187855" w:rsidRPr="00CC5C68" w:rsidRDefault="00187855" w:rsidP="00E075F9">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Elaboró:</w:t>
            </w:r>
          </w:p>
        </w:tc>
        <w:tc>
          <w:tcPr>
            <w:tcW w:w="4777" w:type="dxa"/>
            <w:vAlign w:val="center"/>
            <w:hideMark/>
          </w:tcPr>
          <w:p w14:paraId="63F73A9D" w14:textId="6CA46805" w:rsidR="00EC5A97" w:rsidRPr="00CC5C68" w:rsidRDefault="00EC5A97" w:rsidP="00E075F9">
            <w:pPr>
              <w:rPr>
                <w:rFonts w:ascii="Verdana" w:eastAsia="Times New Roman" w:hAnsi="Verdana" w:cs="Arial"/>
                <w:sz w:val="16"/>
                <w:szCs w:val="16"/>
                <w:lang w:val="es-ES_tradnl" w:eastAsia="es-ES"/>
              </w:rPr>
            </w:pPr>
            <w:r w:rsidRPr="00EC5A97">
              <w:rPr>
                <w:rFonts w:ascii="Verdana" w:eastAsia="Times New Roman" w:hAnsi="Verdana" w:cs="Arial"/>
                <w:sz w:val="16"/>
                <w:szCs w:val="16"/>
                <w:lang w:val="es-ES_tradnl" w:eastAsia="es-ES"/>
              </w:rPr>
              <w:t>Ximena Ríos López</w:t>
            </w:r>
          </w:p>
          <w:p w14:paraId="0313B894" w14:textId="48D79FEC" w:rsidR="00187855" w:rsidRPr="00CC5C68" w:rsidRDefault="00EC5A97" w:rsidP="00E075F9">
            <w:pPr>
              <w:rPr>
                <w:rFonts w:ascii="Verdana" w:eastAsia="Times New Roman" w:hAnsi="Verdana" w:cs="Arial"/>
                <w:sz w:val="14"/>
                <w:szCs w:val="14"/>
                <w:lang w:eastAsia="es-ES"/>
              </w:rPr>
            </w:pPr>
            <w:r>
              <w:rPr>
                <w:rFonts w:ascii="Verdana" w:eastAsia="Times New Roman" w:hAnsi="Verdana" w:cs="Arial"/>
                <w:sz w:val="16"/>
                <w:szCs w:val="16"/>
                <w:lang w:eastAsia="es-ES"/>
              </w:rPr>
              <w:t>Gestor</w:t>
            </w:r>
            <w:r w:rsidR="00187855" w:rsidRPr="00CC5C68">
              <w:rPr>
                <w:rFonts w:ascii="Verdana" w:eastAsia="Times New Roman" w:hAnsi="Verdana" w:cs="Arial"/>
                <w:sz w:val="16"/>
                <w:szCs w:val="16"/>
                <w:lang w:eastAsia="es-ES"/>
              </w:rPr>
              <w:t xml:space="preserve"> T</w:t>
            </w:r>
            <w:r>
              <w:rPr>
                <w:rFonts w:ascii="Verdana" w:eastAsia="Times New Roman" w:hAnsi="Verdana" w:cs="Arial"/>
                <w:sz w:val="16"/>
                <w:szCs w:val="16"/>
                <w:lang w:eastAsia="es-ES"/>
              </w:rPr>
              <w:t>1</w:t>
            </w:r>
            <w:r w:rsidR="00187855" w:rsidRPr="00CC5C68">
              <w:rPr>
                <w:rFonts w:ascii="Verdana" w:eastAsia="Times New Roman" w:hAnsi="Verdana" w:cs="Arial"/>
                <w:sz w:val="16"/>
                <w:szCs w:val="16"/>
                <w:lang w:eastAsia="es-ES"/>
              </w:rPr>
              <w:t>-1</w:t>
            </w:r>
            <w:r>
              <w:rPr>
                <w:rFonts w:ascii="Verdana" w:eastAsia="Times New Roman" w:hAnsi="Verdana" w:cs="Arial"/>
                <w:sz w:val="16"/>
                <w:szCs w:val="16"/>
                <w:lang w:eastAsia="es-ES"/>
              </w:rPr>
              <w:t>1</w:t>
            </w:r>
            <w:r w:rsidR="00187855" w:rsidRPr="00CC5C68">
              <w:rPr>
                <w:rFonts w:ascii="Verdana" w:eastAsia="Times New Roman" w:hAnsi="Verdana" w:cs="Arial"/>
                <w:sz w:val="16"/>
                <w:szCs w:val="16"/>
                <w:lang w:eastAsia="es-ES"/>
              </w:rPr>
              <w:t xml:space="preserve"> de la Subdirección de Gestión Contractual</w:t>
            </w:r>
          </w:p>
        </w:tc>
      </w:tr>
      <w:tr w:rsidR="00187855" w:rsidRPr="00CC5C68" w14:paraId="6F0C4FDE" w14:textId="77777777" w:rsidTr="3BB81FFA">
        <w:trPr>
          <w:trHeight w:val="299"/>
        </w:trPr>
        <w:tc>
          <w:tcPr>
            <w:tcW w:w="893" w:type="dxa"/>
            <w:vAlign w:val="center"/>
            <w:hideMark/>
          </w:tcPr>
          <w:p w14:paraId="64C91937" w14:textId="77777777" w:rsidR="00187855" w:rsidRPr="00CC5C68" w:rsidRDefault="00187855" w:rsidP="00E075F9">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Revisó:</w:t>
            </w:r>
          </w:p>
        </w:tc>
        <w:tc>
          <w:tcPr>
            <w:tcW w:w="4777" w:type="dxa"/>
            <w:vAlign w:val="center"/>
            <w:hideMark/>
          </w:tcPr>
          <w:p w14:paraId="11D93657" w14:textId="475D5DCF" w:rsidR="00187855" w:rsidRPr="00CC5C68" w:rsidRDefault="00EC5A97" w:rsidP="3BB81FFA">
            <w:pPr>
              <w:rPr>
                <w:rFonts w:ascii="Verdana" w:eastAsia="Times New Roman" w:hAnsi="Verdana" w:cs="Arial"/>
                <w:sz w:val="16"/>
                <w:szCs w:val="16"/>
                <w:lang w:val="es-ES" w:eastAsia="es-ES"/>
              </w:rPr>
            </w:pPr>
            <w:r w:rsidRPr="3BB81FFA">
              <w:rPr>
                <w:rFonts w:ascii="Verdana" w:eastAsia="Times New Roman" w:hAnsi="Verdana" w:cs="Arial"/>
                <w:sz w:val="16"/>
                <w:szCs w:val="16"/>
                <w:lang w:val="es-ES" w:eastAsia="es-ES"/>
              </w:rPr>
              <w:t xml:space="preserve">Juan Carlos </w:t>
            </w:r>
            <w:proofErr w:type="spellStart"/>
            <w:r w:rsidRPr="3BB81FFA">
              <w:rPr>
                <w:rFonts w:ascii="Verdana" w:eastAsia="Times New Roman" w:hAnsi="Verdana" w:cs="Arial"/>
                <w:sz w:val="16"/>
                <w:szCs w:val="16"/>
                <w:lang w:val="es-ES" w:eastAsia="es-ES"/>
              </w:rPr>
              <w:t>Gonzalez</w:t>
            </w:r>
            <w:proofErr w:type="spellEnd"/>
          </w:p>
          <w:p w14:paraId="55065589" w14:textId="2FB3AD40" w:rsidR="00187855" w:rsidRPr="00CC5C68" w:rsidRDefault="00EC5A97" w:rsidP="00E075F9">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00187855" w:rsidRPr="00CC5C68">
              <w:rPr>
                <w:rFonts w:ascii="Verdana" w:eastAsia="Times New Roman" w:hAnsi="Verdana" w:cs="Arial"/>
                <w:sz w:val="16"/>
                <w:szCs w:val="16"/>
                <w:lang w:eastAsia="es-ES"/>
              </w:rPr>
              <w:t xml:space="preserve"> de la Subdirección de Gestión Contractual</w:t>
            </w:r>
          </w:p>
        </w:tc>
      </w:tr>
      <w:tr w:rsidR="00187855" w:rsidRPr="00CC5C68" w14:paraId="7D1EC642" w14:textId="77777777" w:rsidTr="3BB81FFA">
        <w:trPr>
          <w:trHeight w:val="272"/>
        </w:trPr>
        <w:tc>
          <w:tcPr>
            <w:tcW w:w="893" w:type="dxa"/>
            <w:vAlign w:val="center"/>
            <w:hideMark/>
          </w:tcPr>
          <w:p w14:paraId="4660F574" w14:textId="77777777" w:rsidR="00187855" w:rsidRPr="00CC5C68" w:rsidRDefault="00187855" w:rsidP="00E075F9">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Aprobó:</w:t>
            </w:r>
          </w:p>
        </w:tc>
        <w:tc>
          <w:tcPr>
            <w:tcW w:w="4777" w:type="dxa"/>
            <w:vAlign w:val="center"/>
            <w:hideMark/>
          </w:tcPr>
          <w:p w14:paraId="10B53C15" w14:textId="77777777" w:rsidR="00187855" w:rsidRPr="00CC5C68" w:rsidRDefault="00187855" w:rsidP="00E075F9">
            <w:pPr>
              <w:rPr>
                <w:rFonts w:ascii="Verdana" w:eastAsia="Times New Roman" w:hAnsi="Verdana" w:cs="Arial"/>
                <w:sz w:val="16"/>
                <w:szCs w:val="16"/>
                <w:lang w:eastAsia="es-ES"/>
              </w:rPr>
            </w:pPr>
            <w:r w:rsidRPr="00CC5C68">
              <w:rPr>
                <w:rFonts w:ascii="Verdana" w:eastAsia="Times New Roman" w:hAnsi="Verdana" w:cs="Arial"/>
                <w:sz w:val="16"/>
                <w:szCs w:val="16"/>
                <w:lang w:eastAsia="es-ES"/>
              </w:rPr>
              <w:t xml:space="preserve">Carolina Quintero </w:t>
            </w:r>
            <w:proofErr w:type="spellStart"/>
            <w:r w:rsidRPr="00CC5C68">
              <w:rPr>
                <w:rFonts w:ascii="Verdana" w:eastAsia="Times New Roman" w:hAnsi="Verdana" w:cs="Arial"/>
                <w:sz w:val="16"/>
                <w:szCs w:val="16"/>
                <w:lang w:eastAsia="es-ES"/>
              </w:rPr>
              <w:t>Gacharná</w:t>
            </w:r>
            <w:proofErr w:type="spellEnd"/>
          </w:p>
          <w:p w14:paraId="13CEBC69" w14:textId="77777777" w:rsidR="00187855" w:rsidRPr="00CC5C68" w:rsidRDefault="00187855" w:rsidP="00E075F9">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Subdirectora de Gestión Contractual ANCP – CCE</w:t>
            </w:r>
          </w:p>
        </w:tc>
      </w:tr>
    </w:tbl>
    <w:p w14:paraId="20A8C212" w14:textId="77777777" w:rsidR="00187855" w:rsidRPr="00CC5C68" w:rsidRDefault="00187855" w:rsidP="00187855">
      <w:pPr>
        <w:spacing w:after="0" w:line="276" w:lineRule="auto"/>
        <w:jc w:val="both"/>
        <w:rPr>
          <w:rFonts w:ascii="Verdana" w:eastAsia="Times New Roman" w:hAnsi="Verdana" w:cs="Arial"/>
          <w:lang w:val="es-ES_tradnl"/>
        </w:rPr>
      </w:pPr>
    </w:p>
    <w:p w14:paraId="0529FC31" w14:textId="77777777" w:rsidR="00187855" w:rsidRPr="00CC5C68" w:rsidRDefault="00187855" w:rsidP="00187855">
      <w:pPr>
        <w:spacing w:after="0" w:line="240" w:lineRule="auto"/>
        <w:rPr>
          <w:rFonts w:ascii="Verdana" w:eastAsia="Times New Roman" w:hAnsi="Verdana" w:cs="Arial"/>
          <w:sz w:val="24"/>
          <w:szCs w:val="24"/>
          <w:lang w:eastAsia="es-ES_tradnl"/>
        </w:rPr>
      </w:pPr>
    </w:p>
    <w:p w14:paraId="36BC9A80" w14:textId="77777777" w:rsidR="00187855" w:rsidRPr="00CC5C68" w:rsidRDefault="00187855" w:rsidP="00187855">
      <w:pPr>
        <w:rPr>
          <w:rFonts w:ascii="Verdana" w:hAnsi="Verdana"/>
        </w:rPr>
      </w:pPr>
    </w:p>
    <w:p w14:paraId="7C7FEAE7" w14:textId="77777777" w:rsidR="00187855" w:rsidRPr="002A2C48" w:rsidRDefault="00187855" w:rsidP="00187855"/>
    <w:p w14:paraId="079E8C50" w14:textId="77777777" w:rsidR="00C24FFE" w:rsidRPr="00187855" w:rsidRDefault="00C24FFE" w:rsidP="00187855"/>
    <w:sectPr w:rsidR="00C24FFE" w:rsidRPr="00187855" w:rsidSect="00187855">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08D62" w14:textId="77777777" w:rsidR="008C34A6" w:rsidRDefault="008C34A6" w:rsidP="00187855">
      <w:pPr>
        <w:spacing w:after="0" w:line="240" w:lineRule="auto"/>
      </w:pPr>
      <w:r>
        <w:separator/>
      </w:r>
    </w:p>
  </w:endnote>
  <w:endnote w:type="continuationSeparator" w:id="0">
    <w:p w14:paraId="08D36974" w14:textId="77777777" w:rsidR="008C34A6" w:rsidRDefault="008C34A6" w:rsidP="00187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6DF6F" w14:textId="77777777" w:rsidR="00187855" w:rsidRDefault="00187855">
    <w:pPr>
      <w:pStyle w:val="Piedepgina"/>
    </w:pPr>
  </w:p>
  <w:p w14:paraId="59268395" w14:textId="77777777" w:rsidR="00187855" w:rsidRPr="00174B77" w:rsidRDefault="00187855"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592D84D" w14:textId="77777777" w:rsidR="00187855" w:rsidRDefault="00187855"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5D80CE66" w14:textId="77777777" w:rsidR="00187855" w:rsidRPr="00E41027" w:rsidRDefault="00187855" w:rsidP="00D520D8">
    <w:pPr>
      <w:spacing w:after="0"/>
      <w:jc w:val="both"/>
      <w:rPr>
        <w:rFonts w:ascii="Verdana" w:hAnsi="Verdana"/>
        <w:sz w:val="18"/>
        <w:szCs w:val="18"/>
      </w:rPr>
    </w:pPr>
    <w:r w:rsidRPr="00E41027">
      <w:rPr>
        <w:rFonts w:ascii="Verdana" w:hAnsi="Verdana"/>
        <w:sz w:val="18"/>
        <w:szCs w:val="18"/>
      </w:rPr>
      <w:t>Mesa de servicio: (+57) 601 7456788</w:t>
    </w:r>
  </w:p>
  <w:p w14:paraId="317B0363" w14:textId="77777777" w:rsidR="00187855" w:rsidRDefault="00187855"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90941" w14:textId="77777777" w:rsidR="008C34A6" w:rsidRDefault="008C34A6" w:rsidP="00187855">
      <w:pPr>
        <w:spacing w:after="0" w:line="240" w:lineRule="auto"/>
      </w:pPr>
      <w:r>
        <w:separator/>
      </w:r>
    </w:p>
  </w:footnote>
  <w:footnote w:type="continuationSeparator" w:id="0">
    <w:p w14:paraId="54784500" w14:textId="77777777" w:rsidR="008C34A6" w:rsidRDefault="008C34A6" w:rsidP="00187855">
      <w:pPr>
        <w:spacing w:after="0" w:line="240" w:lineRule="auto"/>
      </w:pPr>
      <w:r>
        <w:continuationSeparator/>
      </w:r>
    </w:p>
  </w:footnote>
  <w:footnote w:id="1">
    <w:p w14:paraId="37D5A5A3" w14:textId="77777777" w:rsidR="00E864E2" w:rsidRPr="00E864E2" w:rsidRDefault="00E864E2" w:rsidP="00E864E2">
      <w:pPr>
        <w:pStyle w:val="Textonotapie"/>
        <w:ind w:firstLine="709"/>
        <w:jc w:val="both"/>
        <w:rPr>
          <w:rFonts w:ascii="Verdana" w:hAnsi="Verdana" w:cs="Arial"/>
          <w:sz w:val="16"/>
          <w:szCs w:val="16"/>
          <w:lang w:val="es-ES"/>
        </w:rPr>
      </w:pPr>
      <w:r w:rsidRPr="00E864E2">
        <w:rPr>
          <w:rStyle w:val="Refdenotaalpie"/>
          <w:rFonts w:ascii="Verdana" w:hAnsi="Verdana" w:cs="Arial"/>
          <w:sz w:val="16"/>
          <w:szCs w:val="16"/>
        </w:rPr>
        <w:footnoteRef/>
      </w:r>
      <w:r w:rsidRPr="00E864E2">
        <w:rPr>
          <w:rFonts w:ascii="Verdana" w:hAnsi="Verdana" w:cs="Arial"/>
          <w:sz w:val="16"/>
          <w:szCs w:val="16"/>
        </w:rPr>
        <w:t xml:space="preserve"> </w:t>
      </w:r>
      <w:r w:rsidRPr="00E864E2">
        <w:rPr>
          <w:rFonts w:ascii="Verdana" w:hAnsi="Verdana" w:cs="Arial"/>
          <w:sz w:val="16"/>
          <w:szCs w:val="16"/>
          <w:lang w:val="es-ES"/>
        </w:rPr>
        <w:t xml:space="preserve">Agencia Nacional de Contratación Pública – Colombia Compra Eficiente, </w:t>
      </w:r>
      <w:r w:rsidRPr="00E864E2">
        <w:rPr>
          <w:rFonts w:ascii="Verdana" w:hAnsi="Verdana" w:cs="Arial"/>
          <w:sz w:val="16"/>
          <w:szCs w:val="16"/>
        </w:rPr>
        <w:t>Concepto C – 629 de 2020.</w:t>
      </w:r>
      <w:r w:rsidRPr="00E864E2">
        <w:rPr>
          <w:rFonts w:ascii="Verdana" w:hAnsi="Verdana" w:cs="Arial"/>
          <w:sz w:val="16"/>
          <w:szCs w:val="16"/>
          <w:lang w:val="es-ES"/>
        </w:rPr>
        <w:t xml:space="preserve"> </w:t>
      </w:r>
    </w:p>
  </w:footnote>
  <w:footnote w:id="2">
    <w:p w14:paraId="2E8C2A96" w14:textId="77777777" w:rsidR="00E864E2" w:rsidRPr="00E864E2" w:rsidRDefault="00E864E2" w:rsidP="00E864E2">
      <w:pPr>
        <w:pStyle w:val="Textonotapie"/>
        <w:ind w:firstLine="709"/>
        <w:jc w:val="both"/>
        <w:rPr>
          <w:rFonts w:ascii="Verdana" w:hAnsi="Verdana" w:cs="Arial"/>
          <w:sz w:val="16"/>
          <w:szCs w:val="16"/>
          <w:lang w:val="es-ES"/>
        </w:rPr>
      </w:pPr>
      <w:r w:rsidRPr="00E864E2">
        <w:rPr>
          <w:rStyle w:val="Refdenotaalpie"/>
          <w:rFonts w:ascii="Verdana" w:hAnsi="Verdana" w:cs="Arial"/>
          <w:sz w:val="16"/>
          <w:szCs w:val="16"/>
        </w:rPr>
        <w:footnoteRef/>
      </w:r>
      <w:r w:rsidRPr="00E864E2">
        <w:rPr>
          <w:rFonts w:ascii="Verdana" w:hAnsi="Verdana" w:cs="Arial"/>
          <w:sz w:val="16"/>
          <w:szCs w:val="16"/>
        </w:rPr>
        <w:t xml:space="preserve"> </w:t>
      </w:r>
      <w:r w:rsidRPr="00E864E2">
        <w:rPr>
          <w:rFonts w:ascii="Verdana" w:hAnsi="Verdana" w:cs="Arial"/>
          <w:i/>
          <w:iCs/>
          <w:sz w:val="16"/>
          <w:szCs w:val="16"/>
        </w:rPr>
        <w:t>Ibidem.</w:t>
      </w:r>
      <w:r w:rsidRPr="00E864E2">
        <w:rPr>
          <w:rFonts w:ascii="Verdana" w:hAnsi="Verdana" w:cs="Arial"/>
          <w:i/>
          <w:iCs/>
          <w:sz w:val="16"/>
          <w:szCs w:val="16"/>
          <w:lang w:val="es-ES"/>
        </w:rPr>
        <w:t xml:space="preserve"> </w:t>
      </w:r>
    </w:p>
    <w:p w14:paraId="524A7570" w14:textId="77777777" w:rsidR="00E864E2" w:rsidRPr="00E864E2" w:rsidRDefault="00E864E2" w:rsidP="00E864E2">
      <w:pPr>
        <w:pStyle w:val="Textonotapie"/>
        <w:ind w:firstLine="709"/>
        <w:jc w:val="both"/>
        <w:rPr>
          <w:rFonts w:ascii="Verdana" w:hAnsi="Verdana" w:cs="Arial"/>
          <w:sz w:val="16"/>
          <w:szCs w:val="16"/>
          <w:lang w:val="es-ES"/>
        </w:rPr>
      </w:pPr>
    </w:p>
  </w:footnote>
  <w:footnote w:id="3">
    <w:p w14:paraId="3B0CC09D" w14:textId="77777777" w:rsidR="00E864E2" w:rsidRPr="00E864E2" w:rsidRDefault="00E864E2" w:rsidP="00E864E2">
      <w:pPr>
        <w:pStyle w:val="Textonotapie"/>
        <w:ind w:firstLine="709"/>
        <w:jc w:val="both"/>
        <w:rPr>
          <w:rFonts w:ascii="Verdana" w:hAnsi="Verdana" w:cs="Arial"/>
          <w:sz w:val="16"/>
          <w:szCs w:val="16"/>
          <w:lang w:val="es-ES"/>
        </w:rPr>
      </w:pPr>
      <w:r w:rsidRPr="00E864E2">
        <w:rPr>
          <w:rStyle w:val="Refdenotaalpie"/>
          <w:rFonts w:ascii="Verdana" w:hAnsi="Verdana" w:cs="Arial"/>
          <w:sz w:val="16"/>
          <w:szCs w:val="16"/>
        </w:rPr>
        <w:footnoteRef/>
      </w:r>
      <w:r w:rsidRPr="00E864E2">
        <w:rPr>
          <w:rFonts w:ascii="Verdana" w:hAnsi="Verdana" w:cs="Arial"/>
          <w:sz w:val="16"/>
          <w:szCs w:val="16"/>
        </w:rPr>
        <w:t xml:space="preserve"> Cfr. </w:t>
      </w:r>
      <w:r w:rsidRPr="00E864E2">
        <w:rPr>
          <w:rFonts w:ascii="Verdana" w:hAnsi="Verdana" w:cs="Arial"/>
          <w:sz w:val="16"/>
          <w:szCs w:val="16"/>
          <w:lang w:val="es-ES"/>
        </w:rPr>
        <w:t>Agencia Nacional de Contratación Pública – Colombia Compra Eficiente, Concepto C – 002 del 12 de febrero de 2020.</w:t>
      </w:r>
    </w:p>
    <w:p w14:paraId="73460A3E" w14:textId="77777777" w:rsidR="00E864E2" w:rsidRPr="00E864E2" w:rsidRDefault="00E864E2" w:rsidP="00E864E2">
      <w:pPr>
        <w:pStyle w:val="Textonotapie"/>
        <w:ind w:firstLine="709"/>
        <w:jc w:val="both"/>
        <w:rPr>
          <w:rFonts w:ascii="Verdana" w:hAnsi="Verdana" w:cs="Arial"/>
          <w:sz w:val="16"/>
          <w:szCs w:val="16"/>
          <w:lang w:val="es-ES"/>
        </w:rPr>
      </w:pPr>
    </w:p>
  </w:footnote>
  <w:footnote w:id="4">
    <w:p w14:paraId="6103EA1A" w14:textId="65645343" w:rsidR="00E864E2" w:rsidRPr="00E864E2" w:rsidRDefault="00E864E2" w:rsidP="00E864E2">
      <w:pPr>
        <w:pStyle w:val="Textonotapie"/>
        <w:ind w:firstLine="567"/>
        <w:jc w:val="both"/>
        <w:rPr>
          <w:rFonts w:ascii="Verdana" w:hAnsi="Verdana" w:cs="Arial"/>
          <w:sz w:val="16"/>
          <w:szCs w:val="16"/>
        </w:rPr>
      </w:pPr>
      <w:r w:rsidRPr="00E864E2">
        <w:rPr>
          <w:rStyle w:val="Refdenotaalpie"/>
          <w:rFonts w:ascii="Verdana" w:hAnsi="Verdana" w:cs="Arial"/>
          <w:sz w:val="16"/>
          <w:szCs w:val="16"/>
        </w:rPr>
        <w:footnoteRef/>
      </w:r>
      <w:r w:rsidRPr="00E864E2">
        <w:rPr>
          <w:rFonts w:ascii="Verdana" w:hAnsi="Verdana" w:cs="Arial"/>
          <w:sz w:val="16"/>
          <w:szCs w:val="16"/>
        </w:rPr>
        <w:t xml:space="preserve"> Decreto 1082 de 2015: “Artículo 2.2.1.1.1.5.3. Requisitos habilitantes contenidos en el RUP. Las cámaras de comercio, con base en la información a la que hace referencia el artículo anterior, deben verificar y certificar los siguientes requisitos habilitantes: </w:t>
      </w:r>
    </w:p>
    <w:p w14:paraId="6E38D1C4" w14:textId="5726D8F9" w:rsidR="00E864E2" w:rsidRPr="00E864E2" w:rsidRDefault="00E864E2" w:rsidP="00E864E2">
      <w:pPr>
        <w:pStyle w:val="Textonotapie"/>
        <w:ind w:firstLine="567"/>
        <w:jc w:val="both"/>
        <w:rPr>
          <w:rFonts w:ascii="Verdana" w:hAnsi="Verdana" w:cs="Arial"/>
          <w:sz w:val="16"/>
          <w:szCs w:val="16"/>
        </w:rPr>
      </w:pPr>
      <w:r w:rsidRPr="00E864E2">
        <w:rPr>
          <w:rFonts w:ascii="Verdana" w:hAnsi="Verdana" w:cs="Arial"/>
          <w:sz w:val="16"/>
          <w:szCs w:val="16"/>
        </w:rPr>
        <w:t xml:space="preserve">“1. Experiencia – Los contratos celebrados por el interesado para cada uno de los bienes, obras y servicios que ofrecerá a las Entidades Estatales, identificados con el Clasificador de Bienes y Servicios en el tercer nivel y su valor expresado en smmlv. </w:t>
      </w:r>
    </w:p>
    <w:p w14:paraId="14D442BE" w14:textId="4802871A" w:rsidR="00E864E2" w:rsidRPr="00E864E2" w:rsidRDefault="00E864E2" w:rsidP="00E864E2">
      <w:pPr>
        <w:pStyle w:val="Textonotapie"/>
        <w:ind w:firstLine="567"/>
        <w:jc w:val="both"/>
        <w:rPr>
          <w:rFonts w:ascii="Verdana" w:hAnsi="Verdana" w:cs="Arial"/>
          <w:sz w:val="16"/>
          <w:szCs w:val="16"/>
        </w:rPr>
      </w:pPr>
      <w:r w:rsidRPr="00E864E2">
        <w:rPr>
          <w:rFonts w:ascii="Verdana" w:hAnsi="Verdana" w:cs="Arial"/>
          <w:sz w:val="16"/>
          <w:szCs w:val="16"/>
        </w:rPr>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 […]”.</w:t>
      </w:r>
    </w:p>
    <w:p w14:paraId="2E11344A" w14:textId="77777777" w:rsidR="00E864E2" w:rsidRPr="00E864E2" w:rsidRDefault="00E864E2" w:rsidP="00E864E2">
      <w:pPr>
        <w:pStyle w:val="Textonotapie"/>
        <w:ind w:firstLine="567"/>
        <w:jc w:val="both"/>
        <w:rPr>
          <w:rFonts w:ascii="Verdana" w:hAnsi="Verdana"/>
          <w:sz w:val="16"/>
          <w:szCs w:val="16"/>
          <w:lang w:val="es-CO"/>
        </w:rPr>
      </w:pPr>
      <w:r w:rsidRPr="00E864E2">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68650" w14:textId="77777777" w:rsidR="00187855" w:rsidRDefault="00187855">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737FF25D" wp14:editId="0E81DC77">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6F36C51" wp14:editId="638F23E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ECB723E" w14:textId="77777777" w:rsidR="00187855" w:rsidRDefault="00187855">
    <w:pPr>
      <w:pStyle w:val="Encabezado"/>
    </w:pPr>
  </w:p>
  <w:p w14:paraId="5DEAA3CA" w14:textId="77777777" w:rsidR="00187855" w:rsidRDefault="00187855" w:rsidP="004A305D">
    <w:pPr>
      <w:spacing w:after="0"/>
      <w:rPr>
        <w:rFonts w:ascii="Verdana" w:hAnsi="Verdana"/>
        <w:b/>
        <w:bCs/>
      </w:rPr>
    </w:pPr>
  </w:p>
  <w:p w14:paraId="0D9A728C" w14:textId="77777777" w:rsidR="00187855" w:rsidRPr="004A305D" w:rsidRDefault="00187855" w:rsidP="00B01B1A">
    <w:pPr>
      <w:spacing w:after="0" w:line="120" w:lineRule="auto"/>
      <w:rPr>
        <w:rFonts w:ascii="Century Gothic" w:eastAsia="Geo" w:hAnsi="Century Gothic" w:cs="Geo"/>
        <w:sz w:val="16"/>
        <w:szCs w:val="16"/>
        <w:lang w:eastAsia="es-CO"/>
      </w:rPr>
    </w:pPr>
  </w:p>
  <w:p w14:paraId="7929297E" w14:textId="77777777" w:rsidR="00187855" w:rsidRDefault="00187855"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855"/>
    <w:rsid w:val="00042BE1"/>
    <w:rsid w:val="00067BB4"/>
    <w:rsid w:val="000C5E23"/>
    <w:rsid w:val="000D4E90"/>
    <w:rsid w:val="00145E4A"/>
    <w:rsid w:val="00187855"/>
    <w:rsid w:val="002E4064"/>
    <w:rsid w:val="002F1920"/>
    <w:rsid w:val="00335270"/>
    <w:rsid w:val="0038408B"/>
    <w:rsid w:val="0038419F"/>
    <w:rsid w:val="003F3067"/>
    <w:rsid w:val="00474DF4"/>
    <w:rsid w:val="004844B3"/>
    <w:rsid w:val="004A41A0"/>
    <w:rsid w:val="004E6460"/>
    <w:rsid w:val="004F471F"/>
    <w:rsid w:val="0055203C"/>
    <w:rsid w:val="005A5FA6"/>
    <w:rsid w:val="005C3ED7"/>
    <w:rsid w:val="005F0171"/>
    <w:rsid w:val="00623DC0"/>
    <w:rsid w:val="00652D1B"/>
    <w:rsid w:val="006D2E98"/>
    <w:rsid w:val="00707ECB"/>
    <w:rsid w:val="00712EBA"/>
    <w:rsid w:val="00745748"/>
    <w:rsid w:val="007D0214"/>
    <w:rsid w:val="007E2C30"/>
    <w:rsid w:val="00896374"/>
    <w:rsid w:val="008B2CEC"/>
    <w:rsid w:val="008C34A6"/>
    <w:rsid w:val="008E7111"/>
    <w:rsid w:val="00916E61"/>
    <w:rsid w:val="00970580"/>
    <w:rsid w:val="00981CAB"/>
    <w:rsid w:val="009E7E15"/>
    <w:rsid w:val="00A05801"/>
    <w:rsid w:val="00A6189F"/>
    <w:rsid w:val="00AA1111"/>
    <w:rsid w:val="00AE30EE"/>
    <w:rsid w:val="00AF6210"/>
    <w:rsid w:val="00B01786"/>
    <w:rsid w:val="00B8312A"/>
    <w:rsid w:val="00C11A8C"/>
    <w:rsid w:val="00C24FFE"/>
    <w:rsid w:val="00C502A9"/>
    <w:rsid w:val="00C73761"/>
    <w:rsid w:val="00CF39CF"/>
    <w:rsid w:val="00D00077"/>
    <w:rsid w:val="00D14F47"/>
    <w:rsid w:val="00D152A2"/>
    <w:rsid w:val="00D42424"/>
    <w:rsid w:val="00D54BEE"/>
    <w:rsid w:val="00D97ED6"/>
    <w:rsid w:val="00DB3CAF"/>
    <w:rsid w:val="00DF4DC5"/>
    <w:rsid w:val="00E864E2"/>
    <w:rsid w:val="00EC5A97"/>
    <w:rsid w:val="00EE57A0"/>
    <w:rsid w:val="00F241D3"/>
    <w:rsid w:val="00F83285"/>
    <w:rsid w:val="00FA1CF5"/>
    <w:rsid w:val="00FE7849"/>
    <w:rsid w:val="3BB81FF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49D5A"/>
  <w15:chartTrackingRefBased/>
  <w15:docId w15:val="{B2C14908-F93E-4943-89D7-E8A625497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855"/>
    <w:rPr>
      <w:kern w:val="0"/>
      <w14:ligatures w14:val="none"/>
    </w:rPr>
  </w:style>
  <w:style w:type="paragraph" w:styleId="Ttulo1">
    <w:name w:val="heading 1"/>
    <w:basedOn w:val="Normal"/>
    <w:next w:val="Normal"/>
    <w:link w:val="Ttulo1Car"/>
    <w:uiPriority w:val="9"/>
    <w:qFormat/>
    <w:rsid w:val="001878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878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8785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8785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8785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8785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8785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8785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8785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8785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8785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8785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8785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8785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8785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8785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8785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87855"/>
    <w:rPr>
      <w:rFonts w:eastAsiaTheme="majorEastAsia" w:cstheme="majorBidi"/>
      <w:color w:val="272727" w:themeColor="text1" w:themeTint="D8"/>
    </w:rPr>
  </w:style>
  <w:style w:type="paragraph" w:styleId="Ttulo">
    <w:name w:val="Title"/>
    <w:basedOn w:val="Normal"/>
    <w:next w:val="Normal"/>
    <w:link w:val="TtuloCar"/>
    <w:uiPriority w:val="10"/>
    <w:qFormat/>
    <w:rsid w:val="001878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8785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8785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8785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87855"/>
    <w:pPr>
      <w:spacing w:before="160"/>
      <w:jc w:val="center"/>
    </w:pPr>
    <w:rPr>
      <w:i/>
      <w:iCs/>
      <w:color w:val="404040" w:themeColor="text1" w:themeTint="BF"/>
    </w:rPr>
  </w:style>
  <w:style w:type="character" w:customStyle="1" w:styleId="CitaCar">
    <w:name w:val="Cita Car"/>
    <w:basedOn w:val="Fuentedeprrafopredeter"/>
    <w:link w:val="Cita"/>
    <w:uiPriority w:val="29"/>
    <w:rsid w:val="00187855"/>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187855"/>
    <w:pPr>
      <w:ind w:left="720"/>
      <w:contextualSpacing/>
    </w:pPr>
  </w:style>
  <w:style w:type="character" w:styleId="nfasisintenso">
    <w:name w:val="Intense Emphasis"/>
    <w:basedOn w:val="Fuentedeprrafopredeter"/>
    <w:uiPriority w:val="21"/>
    <w:qFormat/>
    <w:rsid w:val="00187855"/>
    <w:rPr>
      <w:i/>
      <w:iCs/>
      <w:color w:val="2F5496" w:themeColor="accent1" w:themeShade="BF"/>
    </w:rPr>
  </w:style>
  <w:style w:type="paragraph" w:styleId="Citadestacada">
    <w:name w:val="Intense Quote"/>
    <w:basedOn w:val="Normal"/>
    <w:next w:val="Normal"/>
    <w:link w:val="CitadestacadaCar"/>
    <w:uiPriority w:val="30"/>
    <w:qFormat/>
    <w:rsid w:val="001878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87855"/>
    <w:rPr>
      <w:i/>
      <w:iCs/>
      <w:color w:val="2F5496" w:themeColor="accent1" w:themeShade="BF"/>
    </w:rPr>
  </w:style>
  <w:style w:type="character" w:styleId="Referenciaintensa">
    <w:name w:val="Intense Reference"/>
    <w:basedOn w:val="Fuentedeprrafopredeter"/>
    <w:uiPriority w:val="32"/>
    <w:qFormat/>
    <w:rsid w:val="00187855"/>
    <w:rPr>
      <w:b/>
      <w:bCs/>
      <w:smallCaps/>
      <w:color w:val="2F5496" w:themeColor="accent1" w:themeShade="BF"/>
      <w:spacing w:val="5"/>
    </w:rPr>
  </w:style>
  <w:style w:type="paragraph" w:styleId="Encabezado">
    <w:name w:val="header"/>
    <w:basedOn w:val="Normal"/>
    <w:link w:val="EncabezadoCar"/>
    <w:uiPriority w:val="99"/>
    <w:unhideWhenUsed/>
    <w:rsid w:val="001878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87855"/>
    <w:rPr>
      <w:kern w:val="0"/>
      <w14:ligatures w14:val="none"/>
    </w:rPr>
  </w:style>
  <w:style w:type="paragraph" w:styleId="Piedepgina">
    <w:name w:val="footer"/>
    <w:basedOn w:val="Normal"/>
    <w:link w:val="PiedepginaCar"/>
    <w:uiPriority w:val="99"/>
    <w:unhideWhenUsed/>
    <w:rsid w:val="001878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87855"/>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8785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187855"/>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18785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187855"/>
    <w:rPr>
      <w:vertAlign w:val="superscript"/>
    </w:rPr>
  </w:style>
  <w:style w:type="character" w:customStyle="1" w:styleId="normaltextrun">
    <w:name w:val="normaltextrun"/>
    <w:basedOn w:val="Fuentedeprrafopredeter"/>
    <w:rsid w:val="00187855"/>
  </w:style>
  <w:style w:type="table" w:styleId="Tablaconcuadrcula">
    <w:name w:val="Table Grid"/>
    <w:basedOn w:val="Tablanormal"/>
    <w:uiPriority w:val="39"/>
    <w:qFormat/>
    <w:rsid w:val="0018785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87855"/>
    <w:rPr>
      <w:color w:val="0000FF"/>
      <w:u w:val="single"/>
    </w:rPr>
  </w:style>
  <w:style w:type="paragraph" w:styleId="NormalWeb">
    <w:name w:val="Normal (Web)"/>
    <w:basedOn w:val="Normal"/>
    <w:uiPriority w:val="99"/>
    <w:semiHidden/>
    <w:unhideWhenUsed/>
    <w:rsid w:val="00187855"/>
    <w:pPr>
      <w:spacing w:before="100" w:beforeAutospacing="1" w:after="100" w:afterAutospacing="1" w:line="240" w:lineRule="auto"/>
    </w:pPr>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59"/>
    <w:rsid w:val="00187855"/>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187855"/>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87855"/>
  </w:style>
  <w:style w:type="character" w:styleId="Textoennegrita">
    <w:name w:val="Strong"/>
    <w:basedOn w:val="Fuentedeprrafopredeter"/>
    <w:uiPriority w:val="22"/>
    <w:qFormat/>
    <w:rsid w:val="00187855"/>
    <w:rPr>
      <w:b/>
      <w:bCs/>
    </w:rPr>
  </w:style>
  <w:style w:type="character" w:styleId="nfasis">
    <w:name w:val="Emphasis"/>
    <w:basedOn w:val="Fuentedeprrafopredeter"/>
    <w:uiPriority w:val="20"/>
    <w:qFormat/>
    <w:rsid w:val="00187855"/>
    <w:rPr>
      <w:i/>
      <w:iCs/>
    </w:rPr>
  </w:style>
  <w:style w:type="character" w:styleId="Mencinsinresolver">
    <w:name w:val="Unresolved Mention"/>
    <w:basedOn w:val="Fuentedeprrafopredeter"/>
    <w:uiPriority w:val="99"/>
    <w:semiHidden/>
    <w:unhideWhenUsed/>
    <w:rsid w:val="00067B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610024">
      <w:bodyDiv w:val="1"/>
      <w:marLeft w:val="0"/>
      <w:marRight w:val="0"/>
      <w:marTop w:val="0"/>
      <w:marBottom w:val="0"/>
      <w:divBdr>
        <w:top w:val="none" w:sz="0" w:space="0" w:color="auto"/>
        <w:left w:val="none" w:sz="0" w:space="0" w:color="auto"/>
        <w:bottom w:val="none" w:sz="0" w:space="0" w:color="auto"/>
        <w:right w:val="none" w:sz="0" w:space="0" w:color="auto"/>
      </w:divBdr>
      <w:divsChild>
        <w:div w:id="1350912748">
          <w:marLeft w:val="0"/>
          <w:marRight w:val="0"/>
          <w:marTop w:val="0"/>
          <w:marBottom w:val="0"/>
          <w:divBdr>
            <w:top w:val="none" w:sz="0" w:space="0" w:color="auto"/>
            <w:left w:val="none" w:sz="0" w:space="0" w:color="auto"/>
            <w:bottom w:val="none" w:sz="0" w:space="0" w:color="auto"/>
            <w:right w:val="none" w:sz="0" w:space="0" w:color="auto"/>
          </w:divBdr>
        </w:div>
        <w:div w:id="1865316331">
          <w:marLeft w:val="0"/>
          <w:marRight w:val="0"/>
          <w:marTop w:val="0"/>
          <w:marBottom w:val="0"/>
          <w:divBdr>
            <w:top w:val="none" w:sz="0" w:space="0" w:color="auto"/>
            <w:left w:val="none" w:sz="0" w:space="0" w:color="auto"/>
            <w:bottom w:val="none" w:sz="0" w:space="0" w:color="auto"/>
            <w:right w:val="none" w:sz="0" w:space="0" w:color="auto"/>
          </w:divBdr>
        </w:div>
        <w:div w:id="479149863">
          <w:marLeft w:val="0"/>
          <w:marRight w:val="0"/>
          <w:marTop w:val="0"/>
          <w:marBottom w:val="0"/>
          <w:divBdr>
            <w:top w:val="none" w:sz="0" w:space="0" w:color="auto"/>
            <w:left w:val="none" w:sz="0" w:space="0" w:color="auto"/>
            <w:bottom w:val="none" w:sz="0" w:space="0" w:color="auto"/>
            <w:right w:val="none" w:sz="0" w:space="0" w:color="auto"/>
          </w:divBdr>
        </w:div>
        <w:div w:id="1719697054">
          <w:marLeft w:val="0"/>
          <w:marRight w:val="0"/>
          <w:marTop w:val="240"/>
          <w:marBottom w:val="240"/>
          <w:divBdr>
            <w:top w:val="none" w:sz="0" w:space="0" w:color="auto"/>
            <w:left w:val="none" w:sz="0" w:space="0" w:color="auto"/>
            <w:bottom w:val="none" w:sz="0" w:space="0" w:color="auto"/>
            <w:right w:val="none" w:sz="0" w:space="0" w:color="auto"/>
          </w:divBdr>
        </w:div>
      </w:divsChild>
    </w:div>
    <w:div w:id="825895046">
      <w:bodyDiv w:val="1"/>
      <w:marLeft w:val="0"/>
      <w:marRight w:val="0"/>
      <w:marTop w:val="0"/>
      <w:marBottom w:val="0"/>
      <w:divBdr>
        <w:top w:val="none" w:sz="0" w:space="0" w:color="auto"/>
        <w:left w:val="none" w:sz="0" w:space="0" w:color="auto"/>
        <w:bottom w:val="none" w:sz="0" w:space="0" w:color="auto"/>
        <w:right w:val="none" w:sz="0" w:space="0" w:color="auto"/>
      </w:divBdr>
      <w:divsChild>
        <w:div w:id="1364018733">
          <w:marLeft w:val="0"/>
          <w:marRight w:val="0"/>
          <w:marTop w:val="0"/>
          <w:marBottom w:val="0"/>
          <w:divBdr>
            <w:top w:val="none" w:sz="0" w:space="0" w:color="auto"/>
            <w:left w:val="none" w:sz="0" w:space="0" w:color="auto"/>
            <w:bottom w:val="none" w:sz="0" w:space="0" w:color="auto"/>
            <w:right w:val="none" w:sz="0" w:space="0" w:color="auto"/>
          </w:divBdr>
        </w:div>
        <w:div w:id="1253245680">
          <w:marLeft w:val="0"/>
          <w:marRight w:val="0"/>
          <w:marTop w:val="0"/>
          <w:marBottom w:val="0"/>
          <w:divBdr>
            <w:top w:val="none" w:sz="0" w:space="0" w:color="auto"/>
            <w:left w:val="none" w:sz="0" w:space="0" w:color="auto"/>
            <w:bottom w:val="none" w:sz="0" w:space="0" w:color="auto"/>
            <w:right w:val="none" w:sz="0" w:space="0" w:color="auto"/>
          </w:divBdr>
        </w:div>
        <w:div w:id="1027177716">
          <w:marLeft w:val="0"/>
          <w:marRight w:val="0"/>
          <w:marTop w:val="0"/>
          <w:marBottom w:val="0"/>
          <w:divBdr>
            <w:top w:val="none" w:sz="0" w:space="0" w:color="auto"/>
            <w:left w:val="none" w:sz="0" w:space="0" w:color="auto"/>
            <w:bottom w:val="none" w:sz="0" w:space="0" w:color="auto"/>
            <w:right w:val="none" w:sz="0" w:space="0" w:color="auto"/>
          </w:divBdr>
        </w:div>
        <w:div w:id="1423718732">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convocatoria%2Fparticipacion-ciudadana-proyecto-de-la-guia-para-la-elaboracion-de-estudios-del-sector&amp;data=05%7C02%7Cximena.rios%40colombiacompra.gov.co%7C7cfff6dece924643582c08dd97bfed90%7C7b09041e245149d08cb179d5e3d8c1be%7C0%7C0%7C638833572792096371%7CUnknown%7CTWFpbGZsb3d8eyJFbXB0eU1hcGkiOnRydWUsIlYiOiIwLjAuMDAwMCIsIlAiOiJXaW4zMiIsIkFOIjoiTWFpbCIsIldUIjoyfQ%3D%3D%7C0%7C%7C%7C&amp;sdata=UYgKmSkRyxwQ2g%2FUiv6PgLM66fzh1FmO7VrSbeE%2FGhg%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ustavoandreslima@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normativa-y-relatoria%2Fdocumentos-tipo&amp;data=05%7C02%7Cximena.rios%40colombiacompra.gov.co%7C7cfff6dece924643582c08dd97bfed90%7C7b09041e245149d08cb179d5e3d8c1be%7C0%7C0%7C638833572792139172%7CUnknown%7CTWFpbGZsb3d8eyJFbXB0eU1hcGkiOnRydWUsIlYiOiIwLjAuMDAwMCIsIlAiOiJXaW4zMiIsIkFOIjoiTWFpbCIsIldUIjoyfQ%3D%3D%7C0%7C%7C%7C&amp;sdata=CQCNL%2FWMosZXj6omE9vjPO1mxyYEnVE2DOUQ9Zx1cq0%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421EB2-E3EB-4791-A61F-2EB9EFB17F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E1C687-4089-4A15-A586-DECEF0C2043F}">
  <ds:schemaRefs>
    <ds:schemaRef ds:uri="http://schemas.microsoft.com/sharepoint/v3/contenttype/forms"/>
  </ds:schemaRefs>
</ds:datastoreItem>
</file>

<file path=customXml/itemProps3.xml><?xml version="1.0" encoding="utf-8"?>
<ds:datastoreItem xmlns:ds="http://schemas.openxmlformats.org/officeDocument/2006/customXml" ds:itemID="{415C361A-6820-40D3-943C-42E8D28FD6D4}">
  <ds:schemaRefs>
    <ds:schemaRef ds:uri="http://schemas.microsoft.com/office/infopath/2007/PartnerControls"/>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4548</Words>
  <Characters>24792</Characters>
  <Application>Microsoft Office Word</Application>
  <DocSecurity>0</DocSecurity>
  <Lines>538</Lines>
  <Paragraphs>125</Paragraphs>
  <ScaleCrop>false</ScaleCrop>
  <Company/>
  <LinksUpToDate>false</LinksUpToDate>
  <CharactersWithSpaces>29215</CharactersWithSpaces>
  <SharedDoc>false</SharedDoc>
  <HLinks>
    <vt:vector size="30" baseType="variant">
      <vt:variant>
        <vt:i4>3276900</vt:i4>
      </vt:variant>
      <vt:variant>
        <vt:i4>12</vt:i4>
      </vt:variant>
      <vt:variant>
        <vt:i4>0</vt:i4>
      </vt:variant>
      <vt:variant>
        <vt:i4>5</vt:i4>
      </vt:variant>
      <vt:variant>
        <vt:lpwstr>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vt:lpwstr>
      </vt:variant>
      <vt:variant>
        <vt:lpwstr/>
      </vt:variant>
      <vt:variant>
        <vt:i4>3014696</vt:i4>
      </vt:variant>
      <vt:variant>
        <vt:i4>9</vt:i4>
      </vt:variant>
      <vt:variant>
        <vt:i4>0</vt:i4>
      </vt:variant>
      <vt:variant>
        <vt:i4>5</vt:i4>
      </vt:variant>
      <vt:variant>
        <vt:lpwstr>https://nam02.safelinks.protection.outlook.com/?url=https%3A%2F%2Fwww.colombiacompra.gov.co%2Fnormativa-y-relatoria%2Fdocumentos-tipo&amp;data=05%7C02%7Cximena.rios%40colombiacompra.gov.co%7C7cfff6dece924643582c08dd97bfed90%7C7b09041e245149d08cb179d5e3d8c1be%7C0%7C0%7C638833572792139172%7CUnknown%7CTWFpbGZsb3d8eyJFbXB0eU1hcGkiOnRydWUsIlYiOiIwLjAuMDAwMCIsIlAiOiJXaW4zMiIsIkFOIjoiTWFpbCIsIldUIjoyfQ%3D%3D%7C0%7C%7C%7C&amp;sdata=CQCNL%2FWMosZXj6omE9vjPO1mxyYEnVE2DOUQ9Zx1cq0%3D&amp;reserved=0</vt:lpwstr>
      </vt:variant>
      <vt:variant>
        <vt:lpwstr/>
      </vt:variant>
      <vt:variant>
        <vt:i4>4063266</vt:i4>
      </vt:variant>
      <vt:variant>
        <vt:i4>6</vt:i4>
      </vt:variant>
      <vt:variant>
        <vt:i4>0</vt:i4>
      </vt:variant>
      <vt:variant>
        <vt:i4>5</vt:i4>
      </vt:variant>
      <vt:variant>
        <vt:lpwstr>https://nam02.safelinks.protection.outlook.com/?url=https%3A%2F%2Fwww.colombiacompra.gov.co%2Farchivos%2Fconvocatoria%2Fparticipacion-ciudadana-proyecto-de-la-guia-para-la-elaboracion-de-estudios-del-sector&amp;data=05%7C02%7Cximena.rios%40colombiacompra.gov.co%7C7cfff6dece924643582c08dd97bfed90%7C7b09041e245149d08cb179d5e3d8c1be%7C0%7C0%7C638833572792096371%7CUnknown%7CTWFpbGZsb3d8eyJFbXB0eU1hcGkiOnRydWUsIlYiOiIwLjAuMDAwMCIsIlAiOiJXaW4zMiIsIkFOIjoiTWFpbCIsIldUIjoyfQ%3D%3D%7C0%7C%7C%7C&amp;sdata=UYgKmSkRyxwQ2g%2FUiv6PgLM66fzh1FmO7VrSbeE%2FGhg%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8061017</vt:i4>
      </vt:variant>
      <vt:variant>
        <vt:i4>0</vt:i4>
      </vt:variant>
      <vt:variant>
        <vt:i4>0</vt:i4>
      </vt:variant>
      <vt:variant>
        <vt:i4>5</vt:i4>
      </vt:variant>
      <vt:variant>
        <vt:lpwstr>mailto:gustavoandreslima@gmail.com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Andrés Rivera Cano</cp:lastModifiedBy>
  <cp:revision>2</cp:revision>
  <dcterms:created xsi:type="dcterms:W3CDTF">2025-10-07T18:47:00Z</dcterms:created>
  <dcterms:modified xsi:type="dcterms:W3CDTF">2025-10-07T18:47:00Z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