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4884" w14:textId="77777777" w:rsidR="00FE5496" w:rsidRDefault="00FE5496" w:rsidP="00FE5496">
      <w:pPr>
        <w:spacing w:after="0" w:line="240" w:lineRule="auto"/>
        <w:jc w:val="both"/>
        <w:rPr>
          <w:rFonts w:ascii="Verdana" w:eastAsia="Calibri" w:hAnsi="Verdana" w:cs="Arial"/>
          <w:b/>
          <w:bCs/>
          <w:lang w:val="es-ES_tradnl"/>
        </w:rPr>
      </w:pPr>
      <w:bookmarkStart w:id="0" w:name="_Hlk143780582"/>
      <w:r>
        <w:rPr>
          <w:rFonts w:ascii="Verdana" w:eastAsia="Calibri" w:hAnsi="Verdana" w:cs="Arial"/>
          <w:b/>
          <w:bCs/>
          <w:lang w:val="es-ES_tradnl"/>
        </w:rPr>
        <w:t xml:space="preserve">SISTEMA DE PREFERENCIA PARA PERSONAS CON DISCAPACIDAD </w:t>
      </w:r>
      <w:r w:rsidRPr="004C2794">
        <w:rPr>
          <w:rFonts w:ascii="Verdana" w:eastAsia="Calibri" w:hAnsi="Verdana" w:cs="Arial"/>
          <w:b/>
          <w:bCs/>
          <w:lang w:val="es-ES_tradnl"/>
        </w:rPr>
        <w:t>‒</w:t>
      </w:r>
      <w:r>
        <w:rPr>
          <w:rFonts w:ascii="Verdana" w:eastAsia="Calibri" w:hAnsi="Verdana" w:cs="Arial"/>
          <w:b/>
          <w:bCs/>
          <w:lang w:val="es-ES_tradnl"/>
        </w:rPr>
        <w:t xml:space="preserve"> Constitución Política </w:t>
      </w:r>
      <w:r w:rsidRPr="004C2794">
        <w:rPr>
          <w:rFonts w:ascii="Verdana" w:eastAsia="Calibri" w:hAnsi="Verdana" w:cs="Arial"/>
          <w:b/>
          <w:bCs/>
          <w:lang w:val="es-ES_tradnl"/>
        </w:rPr>
        <w:t>‒</w:t>
      </w:r>
      <w:r>
        <w:rPr>
          <w:rFonts w:ascii="Verdana" w:eastAsia="Calibri" w:hAnsi="Verdana" w:cs="Arial"/>
          <w:b/>
          <w:bCs/>
          <w:lang w:val="es-ES_tradnl"/>
        </w:rPr>
        <w:t xml:space="preserve"> Ley </w:t>
      </w:r>
      <w:r w:rsidRPr="00915323">
        <w:rPr>
          <w:rFonts w:ascii="Verdana" w:eastAsia="Calibri" w:hAnsi="Verdana" w:cs="Arial"/>
          <w:b/>
          <w:bCs/>
          <w:lang w:val="es-ES_tradnl"/>
        </w:rPr>
        <w:t>1618 de 2013</w:t>
      </w:r>
    </w:p>
    <w:p w14:paraId="4BA5A814" w14:textId="77777777" w:rsidR="00FE5496" w:rsidRDefault="00FE5496" w:rsidP="00FE5496">
      <w:pPr>
        <w:spacing w:after="0" w:line="240" w:lineRule="auto"/>
        <w:jc w:val="both"/>
        <w:rPr>
          <w:rFonts w:ascii="Verdana" w:eastAsia="Calibri" w:hAnsi="Verdana" w:cs="Arial"/>
          <w:b/>
          <w:bCs/>
          <w:lang w:val="es-ES_tradnl"/>
        </w:rPr>
      </w:pPr>
    </w:p>
    <w:p w14:paraId="2D2DD39C" w14:textId="77777777" w:rsidR="00FE5496" w:rsidRDefault="00FE5496" w:rsidP="00FE5496">
      <w:pPr>
        <w:spacing w:after="0" w:line="240" w:lineRule="auto"/>
        <w:jc w:val="both"/>
        <w:rPr>
          <w:rFonts w:ascii="Verdana" w:eastAsia="Calibri" w:hAnsi="Verdana" w:cs="Arial"/>
          <w:sz w:val="20"/>
          <w:szCs w:val="20"/>
          <w:lang w:val="es-ES"/>
        </w:rPr>
      </w:pPr>
      <w:r w:rsidRPr="027CD088">
        <w:rPr>
          <w:rFonts w:ascii="Verdana" w:eastAsia="Calibri" w:hAnsi="Verdana" w:cs="Arial"/>
          <w:sz w:val="20"/>
          <w:szCs w:val="20"/>
          <w:lang w:val="es-ES"/>
        </w:rPr>
        <w:t>El fundamento del Sistema de Preferencias para Personas con Discapacidad (PcD) en la contratación pública es el principio de igualdad real y efectiva consagrado en el artículo 13 de la Constitución Política de 1991, que impone al Estado el deber positivo de adoptar acciones afirmativas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p>
    <w:p w14:paraId="521BD5BF" w14:textId="77777777" w:rsidR="00FE5496" w:rsidRDefault="00FE5496" w:rsidP="00FE5496">
      <w:pPr>
        <w:spacing w:after="0" w:line="240" w:lineRule="auto"/>
        <w:jc w:val="both"/>
        <w:rPr>
          <w:rFonts w:ascii="Verdana" w:eastAsia="Calibri" w:hAnsi="Verdana" w:cs="Arial"/>
          <w:sz w:val="20"/>
          <w:szCs w:val="20"/>
          <w:lang w:val="es-ES_tradnl"/>
        </w:rPr>
      </w:pPr>
    </w:p>
    <w:p w14:paraId="4F943E3A" w14:textId="77777777" w:rsidR="0089661E" w:rsidRDefault="0089661E" w:rsidP="0089661E">
      <w:pPr>
        <w:spacing w:after="0" w:line="240" w:lineRule="auto"/>
        <w:jc w:val="both"/>
        <w:rPr>
          <w:rFonts w:ascii="Verdana" w:eastAsia="Calibri" w:hAnsi="Verdana" w:cs="Arial"/>
          <w:color w:val="000000"/>
          <w:kern w:val="2"/>
          <w:sz w:val="20"/>
          <w:szCs w:val="20"/>
          <w14:ligatures w14:val="standardContextual"/>
        </w:rPr>
      </w:pPr>
      <w:r w:rsidRPr="00F119B0">
        <w:rPr>
          <w:rFonts w:ascii="Verdana" w:eastAsia="Calibri" w:hAnsi="Verdana" w:cs="Arial"/>
          <w:color w:val="000000"/>
          <w:kern w:val="2"/>
          <w:sz w:val="20"/>
          <w:szCs w:val="20"/>
          <w14:ligatures w14:val="standardContextual"/>
        </w:rPr>
        <w:t>[</w:t>
      </w:r>
      <w:r>
        <w:rPr>
          <w:rFonts w:ascii="Verdana" w:eastAsia="Calibri" w:hAnsi="Verdana" w:cs="Arial"/>
          <w:color w:val="000000"/>
          <w:kern w:val="2"/>
          <w:sz w:val="20"/>
          <w:szCs w:val="20"/>
          <w14:ligatures w14:val="standardContextual"/>
        </w:rPr>
        <w:t>…</w:t>
      </w:r>
      <w:r w:rsidRPr="00F119B0">
        <w:rPr>
          <w:rFonts w:ascii="Verdana" w:eastAsia="Calibri" w:hAnsi="Verdana" w:cs="Arial"/>
          <w:color w:val="000000"/>
          <w:kern w:val="2"/>
          <w:sz w:val="20"/>
          <w:szCs w:val="20"/>
          <w14:ligatures w14:val="standardContextual"/>
        </w:rPr>
        <w:t>]</w:t>
      </w:r>
    </w:p>
    <w:p w14:paraId="2D812C7B" w14:textId="77777777" w:rsidR="0089661E" w:rsidRDefault="0089661E" w:rsidP="00FE5496">
      <w:pPr>
        <w:spacing w:after="0" w:line="240" w:lineRule="auto"/>
        <w:jc w:val="both"/>
        <w:rPr>
          <w:rFonts w:ascii="Verdana" w:eastAsia="Calibri" w:hAnsi="Verdana" w:cs="Arial"/>
          <w:sz w:val="20"/>
          <w:szCs w:val="20"/>
          <w:lang w:val="es-ES_tradnl"/>
        </w:rPr>
      </w:pPr>
    </w:p>
    <w:p w14:paraId="10E3E492" w14:textId="77777777" w:rsidR="00FE5496" w:rsidRPr="00915323" w:rsidRDefault="00FE5496" w:rsidP="00FE5496">
      <w:pPr>
        <w:spacing w:after="0" w:line="240" w:lineRule="auto"/>
        <w:jc w:val="both"/>
        <w:rPr>
          <w:rFonts w:ascii="Verdana" w:eastAsia="Calibri" w:hAnsi="Verdana" w:cs="Arial"/>
          <w:sz w:val="20"/>
          <w:szCs w:val="20"/>
          <w:lang w:val="es-ES"/>
        </w:rPr>
      </w:pPr>
      <w:r w:rsidRPr="027CD088">
        <w:rPr>
          <w:rFonts w:ascii="Verdana" w:eastAsia="Calibri" w:hAnsi="Verdana" w:cs="Arial"/>
          <w:sz w:val="20"/>
          <w:szCs w:val="20"/>
          <w:lang w:val="es-ES"/>
        </w:rPr>
        <w:t>La Ley Estatutaria 1618 de 2013 representó un salto cualitativo en el marco jurídico de protección de las PcD, al definir a estas como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 .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 Este último mandato fue especialmente significativo porque introdujo el concepto de "sistema de preferencias", que por definición no puede reducirse a una sola medida sino que implica un conjunto estructurado de instrumentos que actúen en las distintas fases del proceso contractual.</w:t>
      </w:r>
    </w:p>
    <w:p w14:paraId="11C462E6" w14:textId="77777777" w:rsidR="00FE5496" w:rsidRPr="001B3C5D" w:rsidRDefault="00FE5496" w:rsidP="00FE5496">
      <w:pPr>
        <w:spacing w:after="0" w:line="240" w:lineRule="auto"/>
        <w:jc w:val="both"/>
        <w:rPr>
          <w:rFonts w:ascii="Aptos" w:eastAsia="Aptos" w:hAnsi="Aptos" w:cs="Times New Roman"/>
          <w:sz w:val="20"/>
          <w:szCs w:val="20"/>
          <w:lang w:val="es-MX"/>
        </w:rPr>
      </w:pPr>
    </w:p>
    <w:p w14:paraId="3612CB53" w14:textId="77777777" w:rsidR="00FE5496" w:rsidRDefault="00FE5496" w:rsidP="00FE5496">
      <w:pPr>
        <w:spacing w:after="0" w:line="240" w:lineRule="auto"/>
        <w:jc w:val="both"/>
        <w:rPr>
          <w:rFonts w:ascii="Verdana" w:eastAsia="Calibri" w:hAnsi="Verdana" w:cs="Arial"/>
          <w:b/>
          <w:bCs/>
          <w:lang w:eastAsia="es-ES"/>
        </w:rPr>
      </w:pPr>
      <w:r w:rsidRPr="00915323">
        <w:rPr>
          <w:rFonts w:ascii="Verdana" w:eastAsia="Calibri" w:hAnsi="Verdana" w:cs="Arial"/>
          <w:b/>
          <w:bCs/>
          <w:lang w:eastAsia="es-ES"/>
        </w:rPr>
        <w:t xml:space="preserve">DECRETO 287 DE 2026 ‒ Antecedentes normativos ‒ Decreto 392 de 2018 </w:t>
      </w:r>
    </w:p>
    <w:p w14:paraId="0A0F0AB8" w14:textId="77777777" w:rsidR="00FE5496" w:rsidRDefault="00FE5496" w:rsidP="00FE5496">
      <w:pPr>
        <w:spacing w:after="0" w:line="240" w:lineRule="auto"/>
        <w:jc w:val="both"/>
        <w:rPr>
          <w:rFonts w:ascii="Verdana" w:eastAsia="Calibri" w:hAnsi="Verdana" w:cs="Arial"/>
          <w:b/>
          <w:bCs/>
          <w:lang w:eastAsia="es-ES"/>
        </w:rPr>
      </w:pPr>
    </w:p>
    <w:p w14:paraId="7E1AE6F8" w14:textId="77777777" w:rsidR="00FE5496" w:rsidRDefault="00FE5496" w:rsidP="00FE5496">
      <w:pPr>
        <w:spacing w:after="0" w:line="240" w:lineRule="auto"/>
        <w:jc w:val="both"/>
        <w:rPr>
          <w:rFonts w:ascii="Verdana" w:eastAsia="Calibri" w:hAnsi="Verdana" w:cs="Arial"/>
          <w:sz w:val="20"/>
          <w:szCs w:val="20"/>
          <w:lang w:eastAsia="es-ES"/>
        </w:rPr>
      </w:pPr>
      <w:r w:rsidRPr="00915323">
        <w:rPr>
          <w:rFonts w:ascii="Verdana" w:eastAsia="Calibri" w:hAnsi="Verdana" w:cs="Arial"/>
          <w:sz w:val="20"/>
          <w:szCs w:val="20"/>
          <w:lang w:eastAsia="es-ES"/>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pues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691BA5C9" w14:textId="77777777" w:rsidR="00FE5496" w:rsidRPr="00915323" w:rsidRDefault="00FE5496" w:rsidP="00FE5496">
      <w:pPr>
        <w:spacing w:after="0" w:line="240" w:lineRule="auto"/>
        <w:jc w:val="both"/>
        <w:rPr>
          <w:rFonts w:ascii="Verdana" w:eastAsia="Calibri" w:hAnsi="Verdana" w:cs="Arial"/>
          <w:sz w:val="20"/>
          <w:szCs w:val="20"/>
          <w:lang w:eastAsia="es-ES"/>
        </w:rPr>
      </w:pPr>
    </w:p>
    <w:p w14:paraId="64B40D39" w14:textId="77777777" w:rsidR="00FE5496" w:rsidRPr="00915323" w:rsidRDefault="00FE5496" w:rsidP="00FE5496">
      <w:pPr>
        <w:spacing w:after="0" w:line="240" w:lineRule="auto"/>
        <w:jc w:val="both"/>
        <w:rPr>
          <w:rFonts w:ascii="Verdana" w:eastAsia="Calibri" w:hAnsi="Verdana" w:cs="Arial"/>
          <w:sz w:val="20"/>
          <w:szCs w:val="20"/>
          <w:lang w:eastAsia="es-ES"/>
        </w:rPr>
      </w:pPr>
      <w:r w:rsidRPr="00915323">
        <w:rPr>
          <w:rFonts w:ascii="Verdana" w:eastAsia="Calibri" w:hAnsi="Verdana" w:cs="Arial"/>
          <w:sz w:val="20"/>
          <w:szCs w:val="20"/>
          <w:lang w:eastAsia="es-ES"/>
        </w:rPr>
        <w:lastRenderedPageBreak/>
        <w:t>Lo anterior fue ratificado por el Consejo de Estado</w:t>
      </w:r>
      <w:r>
        <w:rPr>
          <w:rFonts w:ascii="Verdana" w:eastAsia="Calibri" w:hAnsi="Verdana" w:cs="Arial"/>
          <w:sz w:val="20"/>
          <w:szCs w:val="20"/>
          <w:lang w:eastAsia="es-ES"/>
        </w:rPr>
        <w:t xml:space="preserve"> </w:t>
      </w:r>
      <w:r w:rsidRPr="00915323">
        <w:rPr>
          <w:rFonts w:ascii="Verdana" w:eastAsia="Calibri" w:hAnsi="Verdana" w:cs="Arial"/>
          <w:sz w:val="20"/>
          <w:szCs w:val="20"/>
          <w:lang w:eastAsia="es-ES"/>
        </w:rPr>
        <w:t>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 La Sala calificó la obligación como imperativa, expresa e inobjetable, señalando que el Gobierno Nacional no contaba con margen de discrecionalidad para decidir si reglamentaba o no el sistema de preferencias.</w:t>
      </w:r>
    </w:p>
    <w:p w14:paraId="6A6C318D" w14:textId="77777777" w:rsidR="00FE5496" w:rsidRDefault="00FE5496" w:rsidP="00FE5496">
      <w:pPr>
        <w:spacing w:after="0" w:line="240" w:lineRule="auto"/>
        <w:jc w:val="both"/>
        <w:rPr>
          <w:rFonts w:ascii="Verdana" w:eastAsia="Calibri" w:hAnsi="Verdana" w:cs="Arial"/>
          <w:lang w:eastAsia="es-ES"/>
        </w:rPr>
      </w:pPr>
    </w:p>
    <w:p w14:paraId="53B5D300" w14:textId="77777777" w:rsidR="00FE5496" w:rsidRDefault="00FE5496" w:rsidP="00FE5496">
      <w:pPr>
        <w:spacing w:after="0" w:line="240" w:lineRule="auto"/>
        <w:jc w:val="both"/>
        <w:rPr>
          <w:rFonts w:ascii="Verdana" w:eastAsia="Calibri" w:hAnsi="Verdana" w:cs="Arial"/>
          <w:b/>
          <w:bCs/>
          <w:lang w:val="es-ES_tradnl"/>
        </w:rPr>
      </w:pPr>
      <w:r w:rsidRPr="004C2794">
        <w:rPr>
          <w:rFonts w:ascii="Verdana" w:eastAsia="Calibri" w:hAnsi="Verdana" w:cs="Arial"/>
          <w:b/>
          <w:bCs/>
          <w:lang w:val="es-ES_tradnl"/>
        </w:rPr>
        <w:t xml:space="preserve">DECRETO 0287 DE 2026 ‒ Sistema Integral de Preferencias ‒ Contratación pública inclusiva ‒ Personas con discapacidad </w:t>
      </w:r>
    </w:p>
    <w:p w14:paraId="016C8C9B" w14:textId="77777777" w:rsidR="00FE5496" w:rsidRDefault="00FE5496" w:rsidP="00FE5496">
      <w:pPr>
        <w:spacing w:after="0" w:line="240" w:lineRule="auto"/>
        <w:jc w:val="both"/>
        <w:rPr>
          <w:rFonts w:ascii="Verdana" w:eastAsia="Calibri" w:hAnsi="Verdana" w:cs="Arial"/>
          <w:color w:val="000000"/>
          <w:kern w:val="2"/>
          <w:sz w:val="20"/>
          <w:szCs w:val="20"/>
          <w:lang w:val="es-MX"/>
          <w14:ligatures w14:val="standardContextual"/>
        </w:rPr>
      </w:pPr>
    </w:p>
    <w:p w14:paraId="3C5AD579" w14:textId="77777777" w:rsidR="00FE5496" w:rsidRPr="001B3C5D" w:rsidRDefault="00FE5496" w:rsidP="00FE5496">
      <w:pPr>
        <w:spacing w:after="0" w:line="240" w:lineRule="auto"/>
        <w:jc w:val="both"/>
        <w:rPr>
          <w:rFonts w:ascii="Verdana" w:eastAsia="Calibri" w:hAnsi="Verdana" w:cs="Arial"/>
          <w:color w:val="000000"/>
          <w:kern w:val="2"/>
          <w:sz w:val="20"/>
          <w:szCs w:val="20"/>
          <w:lang w:val="es-MX"/>
          <w14:ligatures w14:val="standardContextual"/>
        </w:rPr>
      </w:pPr>
      <w:r w:rsidRPr="00915323">
        <w:rPr>
          <w:rFonts w:ascii="Verdana" w:eastAsia="Calibri" w:hAnsi="Verdana" w:cs="Arial"/>
          <w:color w:val="000000"/>
          <w:kern w:val="2"/>
          <w:sz w:val="20"/>
          <w:szCs w:val="20"/>
          <w14:ligatures w14:val="standardContextual"/>
        </w:rPr>
        <w:t>En cumplimiento de esa decisión fue expedido el Decreto 0287 de 2026, el cual establece un Sistema Integral de Preferencias compuesto por cinco medidas afirmativas que actúan en todas las fases del proceso contractual, planeación, selección, adjudicación y ejecución, y que benefician a dos sujetos diferenciados: los emprendimientos y empresas de PcD y los empleadores de PcD. Mediante la expedición del mencionado decreto, en aplicación directa de la Constitución Política y para que exista una igualdad material para las personas con discapacidad, se pretende subsanar la falta de acciones afirmativas del Decreto 392 de 2018, modificando los artículos 2.2.1.2.4.2.6, 2.2.1.2.4.2.7. y 2.2.1.2.4.2.8. del Decreto 1082 de 2015</w:t>
      </w:r>
      <w:r>
        <w:rPr>
          <w:rFonts w:ascii="Verdana" w:eastAsia="Calibri" w:hAnsi="Verdana" w:cs="Arial"/>
          <w:color w:val="000000"/>
          <w:kern w:val="2"/>
          <w:sz w:val="20"/>
          <w:szCs w:val="20"/>
          <w14:ligatures w14:val="standardContextual"/>
        </w:rPr>
        <w:t>.</w:t>
      </w:r>
    </w:p>
    <w:p w14:paraId="03BC6186" w14:textId="77777777" w:rsidR="00FE5496" w:rsidRPr="001B3C5D" w:rsidRDefault="00FE5496" w:rsidP="00FE5496">
      <w:pPr>
        <w:spacing w:after="0" w:line="240" w:lineRule="auto"/>
        <w:jc w:val="both"/>
        <w:rPr>
          <w:rFonts w:ascii="Verdana" w:eastAsia="Calibri" w:hAnsi="Verdana" w:cs="Arial"/>
          <w:color w:val="000000"/>
          <w:sz w:val="20"/>
          <w:szCs w:val="20"/>
          <w:lang w:val="es-MX"/>
        </w:rPr>
      </w:pPr>
    </w:p>
    <w:p w14:paraId="6CF5F318" w14:textId="77777777" w:rsidR="00FE5496" w:rsidRDefault="00FE5496" w:rsidP="00FE5496">
      <w:pPr>
        <w:spacing w:after="0" w:line="240" w:lineRule="auto"/>
        <w:jc w:val="both"/>
        <w:rPr>
          <w:rFonts w:ascii="Verdana" w:eastAsia="Calibri" w:hAnsi="Verdana" w:cs="Arial"/>
          <w:b/>
          <w:bCs/>
        </w:rPr>
      </w:pPr>
      <w:r w:rsidRPr="00A72007">
        <w:rPr>
          <w:rFonts w:ascii="Verdana" w:eastAsia="Calibri" w:hAnsi="Verdana" w:cs="Arial"/>
          <w:b/>
          <w:bCs/>
        </w:rPr>
        <w:t>DECRETO 0287 DE 2026 ‒ Emprendimientos y empresas de personas con discapacidad ‒ Personas jurídicas ‒ Nivel directivo ‒</w:t>
      </w:r>
      <w:r>
        <w:rPr>
          <w:rFonts w:ascii="Verdana" w:eastAsia="Calibri" w:hAnsi="Verdana" w:cs="Arial"/>
          <w:b/>
          <w:bCs/>
        </w:rPr>
        <w:t xml:space="preserve"> Certificado de discapacidad</w:t>
      </w:r>
    </w:p>
    <w:p w14:paraId="327BE05F" w14:textId="77777777" w:rsidR="00FE5496" w:rsidRDefault="00FE5496" w:rsidP="00FE5496">
      <w:pPr>
        <w:spacing w:after="0" w:line="240" w:lineRule="auto"/>
        <w:jc w:val="both"/>
        <w:rPr>
          <w:rFonts w:ascii="Verdana" w:eastAsia="Calibri" w:hAnsi="Verdana" w:cs="Arial"/>
          <w:b/>
          <w:bCs/>
        </w:rPr>
      </w:pPr>
    </w:p>
    <w:p w14:paraId="555B71B4" w14:textId="77777777" w:rsidR="00FE5496" w:rsidRDefault="00FE5496" w:rsidP="00FE5496">
      <w:pPr>
        <w:spacing w:after="0" w:line="240" w:lineRule="auto"/>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E</w:t>
      </w:r>
      <w:r w:rsidRPr="00A72007">
        <w:rPr>
          <w:rFonts w:ascii="Verdana" w:eastAsia="Calibri" w:hAnsi="Verdana" w:cs="Arial"/>
          <w:color w:val="000000"/>
          <w:kern w:val="2"/>
          <w:sz w:val="20"/>
          <w:szCs w:val="20"/>
          <w14:ligatures w14:val="standardContextual"/>
        </w:rPr>
        <w:t>l artículo 2.2.1.2.4.2.6 incorpora la definición de emprendimientos y empresas de personas con discapacidad y consagra cuatro criterios alternativos en atención a los cuales una persona natural o jurídica puede acceder a los criterios diferenciales y puntaje adicional en favor de ellos, siendo suficiente la configuración de uno de estos criterios para que se materialice la respectiva definición respecto de sujeto en particular. Uno de estos criterios es el definido en el numeral 4 relacionado con la vinculación laboral de al menos una persona con discapacidad en empleos del nivel directivo de la empresa, al cual se alude en la consulta</w:t>
      </w:r>
      <w:r>
        <w:rPr>
          <w:rFonts w:ascii="Verdana" w:eastAsia="Calibri" w:hAnsi="Verdana" w:cs="Arial"/>
          <w:color w:val="000000"/>
          <w:kern w:val="2"/>
          <w:sz w:val="20"/>
          <w:szCs w:val="20"/>
          <w14:ligatures w14:val="standardContextual"/>
        </w:rPr>
        <w:t xml:space="preserve">. </w:t>
      </w:r>
    </w:p>
    <w:p w14:paraId="3025F463" w14:textId="77777777" w:rsidR="00FE5496" w:rsidRDefault="00FE5496" w:rsidP="00FE5496">
      <w:pPr>
        <w:spacing w:after="0" w:line="240" w:lineRule="auto"/>
        <w:jc w:val="both"/>
        <w:rPr>
          <w:rFonts w:ascii="Verdana" w:eastAsia="Calibri" w:hAnsi="Verdana" w:cs="Arial"/>
          <w:color w:val="000000"/>
          <w:kern w:val="2"/>
          <w:sz w:val="20"/>
          <w:szCs w:val="20"/>
          <w14:ligatures w14:val="standardContextual"/>
        </w:rPr>
      </w:pPr>
    </w:p>
    <w:p w14:paraId="3B1D4651" w14:textId="77777777" w:rsidR="00FE5496" w:rsidRDefault="00FE5496" w:rsidP="00FE5496">
      <w:pPr>
        <w:spacing w:after="0" w:line="240" w:lineRule="auto"/>
        <w:jc w:val="both"/>
        <w:rPr>
          <w:rFonts w:ascii="Verdana" w:eastAsia="Calibri" w:hAnsi="Verdana" w:cs="Arial"/>
          <w:color w:val="000000"/>
          <w:kern w:val="2"/>
          <w:sz w:val="20"/>
          <w:szCs w:val="20"/>
          <w14:ligatures w14:val="standardContextual"/>
        </w:rPr>
      </w:pPr>
      <w:r w:rsidRPr="0050097B">
        <w:rPr>
          <w:rFonts w:ascii="Verdana" w:eastAsia="Calibri" w:hAnsi="Verdana" w:cs="Arial"/>
          <w:color w:val="000000"/>
          <w:kern w:val="2"/>
          <w:sz w:val="20"/>
          <w:szCs w:val="20"/>
          <w14:ligatures w14:val="standardContextual"/>
        </w:rPr>
        <w:t>De acuerdo con el numeral citado, una persona jurídica podrá ser considerada como un emprendimiento o empresa de Personas con Discapacidad cuando tengan vinculadas laboralmente al menos una persona con discapacidad en empleos del nivel directivo. Tales empleos son aquellos relacionados con la dirección de áreas misionales y las decisiones de nivel estratégico de la respectiva empresa.</w:t>
      </w:r>
    </w:p>
    <w:p w14:paraId="6D1F6EC9" w14:textId="77777777" w:rsidR="00FE5496" w:rsidRDefault="00FE5496" w:rsidP="00FE5496">
      <w:pPr>
        <w:spacing w:after="0" w:line="240" w:lineRule="auto"/>
        <w:jc w:val="both"/>
        <w:rPr>
          <w:rFonts w:ascii="Verdana" w:eastAsia="Calibri" w:hAnsi="Verdana" w:cs="Arial"/>
          <w:color w:val="000000"/>
          <w:kern w:val="2"/>
          <w:sz w:val="20"/>
          <w:szCs w:val="20"/>
          <w14:ligatures w14:val="standardContextual"/>
        </w:rPr>
      </w:pPr>
    </w:p>
    <w:p w14:paraId="69E9FB4B" w14:textId="77777777" w:rsidR="00FE5496" w:rsidRDefault="00FE5496" w:rsidP="00FE5496">
      <w:pPr>
        <w:spacing w:after="0" w:line="240" w:lineRule="auto"/>
        <w:jc w:val="both"/>
        <w:rPr>
          <w:rFonts w:ascii="Verdana" w:eastAsia="Calibri" w:hAnsi="Verdana" w:cs="Arial"/>
          <w:color w:val="000000"/>
          <w:kern w:val="2"/>
          <w:sz w:val="20"/>
          <w:szCs w:val="20"/>
          <w14:ligatures w14:val="standardContextual"/>
        </w:rPr>
      </w:pPr>
      <w:r w:rsidRPr="00F119B0">
        <w:rPr>
          <w:rFonts w:ascii="Verdana" w:eastAsia="Calibri" w:hAnsi="Verdana" w:cs="Arial"/>
          <w:color w:val="000000"/>
          <w:kern w:val="2"/>
          <w:sz w:val="20"/>
          <w:szCs w:val="20"/>
          <w14:ligatures w14:val="standardContextual"/>
        </w:rPr>
        <w:t>[</w:t>
      </w:r>
      <w:r>
        <w:rPr>
          <w:rFonts w:ascii="Verdana" w:eastAsia="Calibri" w:hAnsi="Verdana" w:cs="Arial"/>
          <w:color w:val="000000"/>
          <w:kern w:val="2"/>
          <w:sz w:val="20"/>
          <w:szCs w:val="20"/>
          <w14:ligatures w14:val="standardContextual"/>
        </w:rPr>
        <w:t>…</w:t>
      </w:r>
      <w:r w:rsidRPr="00F119B0">
        <w:rPr>
          <w:rFonts w:ascii="Verdana" w:eastAsia="Calibri" w:hAnsi="Verdana" w:cs="Arial"/>
          <w:color w:val="000000"/>
          <w:kern w:val="2"/>
          <w:sz w:val="20"/>
          <w:szCs w:val="20"/>
          <w14:ligatures w14:val="standardContextual"/>
        </w:rPr>
        <w:t>]</w:t>
      </w:r>
    </w:p>
    <w:p w14:paraId="505A6A33" w14:textId="77777777" w:rsidR="00FE5496" w:rsidRDefault="00FE5496" w:rsidP="00FE5496">
      <w:pPr>
        <w:spacing w:after="0" w:line="240" w:lineRule="auto"/>
        <w:jc w:val="both"/>
        <w:rPr>
          <w:rFonts w:ascii="Verdana" w:eastAsia="Calibri" w:hAnsi="Verdana" w:cs="Arial"/>
          <w:color w:val="000000"/>
          <w:kern w:val="2"/>
          <w:sz w:val="20"/>
          <w:szCs w:val="20"/>
          <w14:ligatures w14:val="standardContextual"/>
        </w:rPr>
      </w:pPr>
    </w:p>
    <w:p w14:paraId="37A90D54" w14:textId="77777777" w:rsidR="00FE5496" w:rsidRPr="00A72007" w:rsidRDefault="00FE5496" w:rsidP="00FE5496">
      <w:pPr>
        <w:spacing w:after="0" w:line="240" w:lineRule="auto"/>
        <w:jc w:val="both"/>
        <w:rPr>
          <w:rFonts w:ascii="Verdana" w:eastAsia="Calibri" w:hAnsi="Verdana" w:cs="Arial"/>
          <w:color w:val="000000"/>
          <w:kern w:val="2"/>
          <w:sz w:val="20"/>
          <w:szCs w:val="20"/>
          <w14:ligatures w14:val="standardContextual"/>
        </w:rPr>
      </w:pPr>
      <w:r w:rsidRPr="00F119B0">
        <w:rPr>
          <w:rFonts w:ascii="Verdana" w:eastAsia="Calibri" w:hAnsi="Verdana" w:cs="Arial"/>
          <w:color w:val="000000"/>
          <w:kern w:val="2"/>
          <w:sz w:val="20"/>
          <w:szCs w:val="20"/>
          <w14:ligatures w14:val="standardContextual"/>
        </w:rPr>
        <w:t xml:space="preserve">Respecto del certificado de discapacidad expedido en los términos establecidos por la normativa del Ministerio de Salud y Protección Social requerido para acceder a las </w:t>
      </w:r>
      <w:r w:rsidRPr="00F119B0">
        <w:rPr>
          <w:rFonts w:ascii="Verdana" w:eastAsia="Calibri" w:hAnsi="Verdana" w:cs="Arial"/>
          <w:color w:val="000000"/>
          <w:kern w:val="2"/>
          <w:sz w:val="20"/>
          <w:szCs w:val="20"/>
          <w14:ligatures w14:val="standardContextual"/>
        </w:rPr>
        <w:lastRenderedPageBreak/>
        <w:t>medidas afirmativas señaladas en el Decreto 287 de 2026, se advierte que la disposición normativa no exige la acreditación de un porcentaje mínimo de pérdida de capacidad laboral o funcional. Esta disposición se limita a señalar que deberá aportarse el certificado de discapacidad expedido conforme a la normativa vigente del Ministerio de Salud y Protección Social.</w:t>
      </w:r>
    </w:p>
    <w:p w14:paraId="6B713172" w14:textId="77777777" w:rsidR="00FE5496" w:rsidRDefault="00FE5496" w:rsidP="00FE5496">
      <w:pPr>
        <w:spacing w:after="0" w:line="240" w:lineRule="auto"/>
        <w:jc w:val="both"/>
        <w:rPr>
          <w:rFonts w:ascii="Verdana" w:eastAsia="Calibri" w:hAnsi="Verdana" w:cs="Arial"/>
          <w:b/>
          <w:bCs/>
        </w:rPr>
      </w:pPr>
    </w:p>
    <w:p w14:paraId="7082CBC3" w14:textId="77777777" w:rsidR="00FE5496" w:rsidRPr="0050097B" w:rsidRDefault="00FE5496" w:rsidP="00FE5496">
      <w:pPr>
        <w:spacing w:after="0" w:line="240" w:lineRule="auto"/>
        <w:jc w:val="both"/>
        <w:rPr>
          <w:rFonts w:ascii="Verdana" w:eastAsia="Calibri" w:hAnsi="Verdana" w:cs="Arial"/>
          <w:b/>
          <w:bCs/>
          <w:lang w:eastAsia="es-ES"/>
        </w:rPr>
      </w:pPr>
      <w:r w:rsidRPr="0050097B">
        <w:rPr>
          <w:rFonts w:ascii="Verdana" w:eastAsia="Calibri" w:hAnsi="Verdana" w:cs="Arial"/>
          <w:b/>
          <w:bCs/>
          <w:lang w:eastAsia="es-ES"/>
        </w:rPr>
        <w:t xml:space="preserve">DECRETO 0287 DE 2026 ‒ Puntaje adicional del 2% ‒ No acumulabilidad ‒ Acreditación simultánea de condiciones  </w:t>
      </w:r>
    </w:p>
    <w:p w14:paraId="64CFE0AA" w14:textId="77777777" w:rsidR="00FE5496" w:rsidRPr="001B3C5D" w:rsidRDefault="00FE5496" w:rsidP="00FE5496">
      <w:pPr>
        <w:spacing w:after="0" w:line="276" w:lineRule="auto"/>
        <w:jc w:val="both"/>
        <w:rPr>
          <w:rFonts w:ascii="Verdana" w:eastAsia="Calibri" w:hAnsi="Verdana" w:cs="Arial"/>
          <w:b/>
          <w:bCs/>
          <w:color w:val="000000"/>
          <w:lang w:eastAsia="es-ES_tradnl"/>
        </w:rPr>
      </w:pPr>
    </w:p>
    <w:p w14:paraId="15EAB818" w14:textId="77777777" w:rsidR="00FE5496" w:rsidRDefault="00FE5496" w:rsidP="00FE5496">
      <w:pPr>
        <w:spacing w:after="0" w:line="240" w:lineRule="auto"/>
        <w:jc w:val="both"/>
        <w:rPr>
          <w:rFonts w:ascii="Verdana" w:eastAsia="Calibri" w:hAnsi="Verdana" w:cs="Arial"/>
          <w:color w:val="000000"/>
          <w:kern w:val="2"/>
          <w:sz w:val="20"/>
          <w:szCs w:val="20"/>
          <w:lang w:val="es-MX"/>
          <w14:ligatures w14:val="standardContextual"/>
        </w:rPr>
      </w:pPr>
      <w:r w:rsidRPr="00D66D81">
        <w:rPr>
          <w:rFonts w:ascii="Verdana" w:eastAsia="Calibri" w:hAnsi="Verdana" w:cs="Arial"/>
          <w:color w:val="000000"/>
          <w:kern w:val="2"/>
          <w:sz w:val="20"/>
          <w:szCs w:val="20"/>
          <w:lang w:val="es-MX"/>
          <w14:ligatures w14:val="standardContextual"/>
        </w:rPr>
        <w:t>El artículo 2.1.2.4.2.7.4 del Decreto 287 de 2026 contempla uno de los incentivos centrales en favor de los empleadores de personas con discapacidad y de los emprendimientos y empresas de personas con discapacidad, referente al puntaje adicional del 2%. Este puntaje puede obtenerse acreditando cualquiera de las dos situaciones que la norma contempla: i) ser emprendimiento o empresa de PcD, conforme a las categorías del artículo 2.2.1.2.4.2.6., o ser ii) empleador de PcD que supere los mínimos de vinculación exigidos por la Ley 2466 de 2025 (Reforma Laboral) conforme a la tabla establecida. Sin embargo, el hecho de que ambas condiciones puedan acreditarse simultáneamente no significa que el puntaje sea acumulable</w:t>
      </w:r>
    </w:p>
    <w:p w14:paraId="68A53E7E" w14:textId="77777777" w:rsidR="00FE5496" w:rsidRDefault="00FE5496" w:rsidP="00FE5496">
      <w:pPr>
        <w:spacing w:after="0" w:line="240" w:lineRule="auto"/>
        <w:jc w:val="both"/>
        <w:rPr>
          <w:rFonts w:ascii="Verdana" w:eastAsia="Calibri" w:hAnsi="Verdana" w:cs="Arial"/>
          <w:color w:val="000000"/>
          <w:kern w:val="2"/>
          <w:sz w:val="20"/>
          <w:szCs w:val="20"/>
          <w:lang w:val="es-MX"/>
          <w14:ligatures w14:val="standardContextual"/>
        </w:rPr>
      </w:pPr>
    </w:p>
    <w:p w14:paraId="265B5672" w14:textId="77777777" w:rsidR="00FE5496" w:rsidRPr="00D95793" w:rsidRDefault="00FE5496" w:rsidP="00FE5496">
      <w:pPr>
        <w:spacing w:after="0" w:line="240" w:lineRule="auto"/>
        <w:jc w:val="both"/>
        <w:rPr>
          <w:rFonts w:ascii="Verdana" w:eastAsia="Calibri" w:hAnsi="Verdana" w:cs="Arial"/>
          <w:b/>
          <w:bCs/>
          <w:color w:val="000000"/>
          <w:kern w:val="2"/>
          <w:sz w:val="20"/>
          <w:szCs w:val="20"/>
          <w:lang w:val="es-MX"/>
          <w14:ligatures w14:val="standardContextual"/>
        </w:rPr>
      </w:pPr>
      <w:r w:rsidRPr="00D95793">
        <w:rPr>
          <w:rFonts w:ascii="Verdana" w:eastAsia="Calibri" w:hAnsi="Verdana" w:cs="Arial"/>
          <w:b/>
          <w:bCs/>
          <w:lang w:eastAsia="es-ES"/>
        </w:rPr>
        <w:t>DECRETO 0287 DE 2026 ‒ Vigencia ‒ Resolución de apertura</w:t>
      </w:r>
    </w:p>
    <w:p w14:paraId="191011C2" w14:textId="77777777" w:rsidR="00FE5496" w:rsidRDefault="00FE5496" w:rsidP="00FE5496">
      <w:pPr>
        <w:spacing w:after="0" w:line="240" w:lineRule="auto"/>
        <w:rPr>
          <w:rFonts w:ascii="Verdana" w:eastAsia="Calibri" w:hAnsi="Verdana" w:cs="Arial"/>
          <w:b/>
          <w:bCs/>
          <w:lang w:val="es-ES_tradnl"/>
        </w:rPr>
      </w:pPr>
    </w:p>
    <w:p w14:paraId="1885F7C0" w14:textId="77777777" w:rsidR="00FE5496" w:rsidRPr="00D95793" w:rsidRDefault="00FE5496" w:rsidP="00FE5496">
      <w:pPr>
        <w:spacing w:after="0" w:line="240" w:lineRule="auto"/>
        <w:jc w:val="both"/>
        <w:rPr>
          <w:rFonts w:ascii="Verdana" w:eastAsia="Calibri" w:hAnsi="Verdana" w:cs="Arial"/>
          <w:color w:val="000000"/>
          <w:kern w:val="2"/>
          <w:sz w:val="20"/>
          <w:szCs w:val="20"/>
          <w:lang w:val="es-MX"/>
          <w14:ligatures w14:val="standardContextual"/>
        </w:rPr>
      </w:pPr>
      <w:r>
        <w:rPr>
          <w:rFonts w:ascii="Verdana" w:eastAsia="Calibri" w:hAnsi="Verdana" w:cs="Arial"/>
          <w:color w:val="000000"/>
          <w:kern w:val="2"/>
          <w:sz w:val="20"/>
          <w:szCs w:val="20"/>
          <w:lang w:val="es-MX"/>
          <w14:ligatures w14:val="standardContextual"/>
        </w:rPr>
        <w:t>L</w:t>
      </w:r>
      <w:r w:rsidRPr="00BD2EF9">
        <w:rPr>
          <w:rFonts w:ascii="Verdana" w:eastAsia="Calibri" w:hAnsi="Verdana" w:cs="Arial"/>
          <w:color w:val="000000"/>
          <w:kern w:val="2"/>
          <w:sz w:val="20"/>
          <w:szCs w:val="20"/>
          <w:lang w:val="es-MX"/>
          <w14:ligatures w14:val="standardContextual"/>
        </w:rPr>
        <w:t>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ii)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667E4409" w14:textId="77777777" w:rsidR="00FE5496" w:rsidRDefault="00FE5496" w:rsidP="00FE5496">
      <w:pPr>
        <w:spacing w:after="0" w:line="240" w:lineRule="auto"/>
        <w:rPr>
          <w:rFonts w:ascii="Verdana" w:eastAsia="Geomanist Light" w:hAnsi="Verdana" w:cs="Arial"/>
          <w:color w:val="000000" w:themeColor="text1"/>
          <w:lang w:val="es-MX"/>
        </w:rPr>
      </w:pPr>
    </w:p>
    <w:p w14:paraId="1504EB75" w14:textId="77777777" w:rsidR="00FE5496" w:rsidRDefault="00FE5496" w:rsidP="00FE5496">
      <w:pPr>
        <w:spacing w:after="0" w:line="240" w:lineRule="auto"/>
        <w:rPr>
          <w:rFonts w:ascii="Verdana" w:eastAsia="Geomanist Light" w:hAnsi="Verdana" w:cs="Arial"/>
          <w:color w:val="000000" w:themeColor="text1"/>
          <w:lang w:val="es-MX"/>
        </w:rPr>
      </w:pPr>
    </w:p>
    <w:p w14:paraId="78C9A757" w14:textId="77777777" w:rsidR="00FE5496" w:rsidRDefault="00FE5496" w:rsidP="00FE5496">
      <w:pPr>
        <w:spacing w:after="0" w:line="240" w:lineRule="auto"/>
        <w:rPr>
          <w:rFonts w:ascii="Verdana" w:eastAsia="Geomanist Light" w:hAnsi="Verdana" w:cs="Arial"/>
          <w:color w:val="000000" w:themeColor="text1"/>
          <w:lang w:val="es-MX"/>
        </w:rPr>
      </w:pPr>
    </w:p>
    <w:p w14:paraId="6B25AB84" w14:textId="77777777" w:rsidR="00FE5496" w:rsidRDefault="00FE5496" w:rsidP="00FE5496">
      <w:pPr>
        <w:spacing w:after="0" w:line="240" w:lineRule="auto"/>
        <w:rPr>
          <w:rFonts w:ascii="Verdana" w:eastAsia="Geomanist Light" w:hAnsi="Verdana" w:cs="Arial"/>
          <w:color w:val="000000" w:themeColor="text1"/>
          <w:lang w:val="es-MX"/>
        </w:rPr>
      </w:pPr>
    </w:p>
    <w:p w14:paraId="1F31CAFC" w14:textId="77777777" w:rsidR="00FE5496" w:rsidRDefault="00FE5496" w:rsidP="00FE5496">
      <w:pPr>
        <w:spacing w:after="0" w:line="240" w:lineRule="auto"/>
        <w:rPr>
          <w:rFonts w:ascii="Verdana" w:eastAsia="Geomanist Light" w:hAnsi="Verdana" w:cs="Arial"/>
          <w:color w:val="000000" w:themeColor="text1"/>
          <w:lang w:val="es-MX"/>
        </w:rPr>
      </w:pPr>
    </w:p>
    <w:p w14:paraId="5444EBE7" w14:textId="77777777" w:rsidR="00FE5496" w:rsidRDefault="00FE5496" w:rsidP="00FE5496">
      <w:pPr>
        <w:spacing w:after="0" w:line="240" w:lineRule="auto"/>
        <w:rPr>
          <w:rFonts w:ascii="Verdana" w:eastAsia="Geomanist Light" w:hAnsi="Verdana" w:cs="Arial"/>
          <w:color w:val="000000" w:themeColor="text1"/>
          <w:lang w:val="es-MX"/>
        </w:rPr>
      </w:pPr>
    </w:p>
    <w:p w14:paraId="731AEC42" w14:textId="77777777" w:rsidR="00FE5496" w:rsidRDefault="00FE5496" w:rsidP="00FE5496">
      <w:pPr>
        <w:spacing w:after="0" w:line="240" w:lineRule="auto"/>
        <w:rPr>
          <w:rFonts w:ascii="Verdana" w:eastAsia="Geomanist Light" w:hAnsi="Verdana" w:cs="Arial"/>
          <w:color w:val="000000" w:themeColor="text1"/>
          <w:lang w:val="es-MX"/>
        </w:rPr>
      </w:pPr>
    </w:p>
    <w:p w14:paraId="6AE69D08" w14:textId="77777777" w:rsidR="00FE5496" w:rsidRDefault="00FE5496" w:rsidP="00FE5496">
      <w:pPr>
        <w:spacing w:after="0" w:line="240" w:lineRule="auto"/>
        <w:rPr>
          <w:rFonts w:ascii="Verdana" w:eastAsia="Geomanist Light" w:hAnsi="Verdana" w:cs="Arial"/>
          <w:color w:val="000000" w:themeColor="text1"/>
          <w:lang w:val="es-MX"/>
        </w:rPr>
      </w:pPr>
    </w:p>
    <w:p w14:paraId="2C231BE4" w14:textId="77777777" w:rsidR="00FE5496" w:rsidRDefault="00FE5496" w:rsidP="00FE5496">
      <w:pPr>
        <w:spacing w:after="0" w:line="240" w:lineRule="auto"/>
        <w:rPr>
          <w:rFonts w:ascii="Verdana" w:eastAsia="Geomanist Light" w:hAnsi="Verdana" w:cs="Arial"/>
          <w:color w:val="000000" w:themeColor="text1"/>
          <w:lang w:val="es-MX"/>
        </w:rPr>
      </w:pPr>
    </w:p>
    <w:p w14:paraId="59F1C787" w14:textId="77777777" w:rsidR="00FE5496" w:rsidRDefault="00FE5496" w:rsidP="00FE5496">
      <w:pPr>
        <w:spacing w:after="0" w:line="240" w:lineRule="auto"/>
        <w:rPr>
          <w:rFonts w:ascii="Verdana" w:eastAsia="Geomanist Light" w:hAnsi="Verdana" w:cs="Arial"/>
          <w:color w:val="000000" w:themeColor="text1"/>
          <w:lang w:val="es-MX"/>
        </w:rPr>
      </w:pPr>
    </w:p>
    <w:p w14:paraId="2B806DBF" w14:textId="77777777" w:rsidR="00FE5496" w:rsidRDefault="00FE5496" w:rsidP="00FE5496">
      <w:pPr>
        <w:spacing w:after="0" w:line="240" w:lineRule="auto"/>
        <w:rPr>
          <w:rFonts w:ascii="Verdana" w:eastAsia="Geomanist Light" w:hAnsi="Verdana" w:cs="Arial"/>
          <w:color w:val="000000" w:themeColor="text1"/>
          <w:lang w:val="es-MX"/>
        </w:rPr>
      </w:pPr>
    </w:p>
    <w:p w14:paraId="78FEFAD8" w14:textId="77777777" w:rsidR="00FE5496" w:rsidRDefault="00FE5496" w:rsidP="00FE5496">
      <w:pPr>
        <w:spacing w:after="0" w:line="240" w:lineRule="auto"/>
        <w:rPr>
          <w:rFonts w:ascii="Verdana" w:eastAsia="Geomanist Light" w:hAnsi="Verdana" w:cs="Arial"/>
          <w:color w:val="000000" w:themeColor="text1"/>
          <w:lang w:val="es-MX"/>
        </w:rPr>
      </w:pPr>
    </w:p>
    <w:p w14:paraId="68EA3517" w14:textId="77777777" w:rsidR="00FE5496" w:rsidRDefault="00FE5496" w:rsidP="00FE5496">
      <w:pPr>
        <w:spacing w:after="0" w:line="240" w:lineRule="auto"/>
        <w:rPr>
          <w:rFonts w:ascii="Verdana" w:eastAsia="Geomanist Light" w:hAnsi="Verdana" w:cs="Arial"/>
          <w:color w:val="000000" w:themeColor="text1"/>
          <w:lang w:val="es-MX"/>
        </w:rPr>
      </w:pPr>
    </w:p>
    <w:p w14:paraId="7C03A0AC" w14:textId="77777777" w:rsidR="00FE5496" w:rsidRDefault="00FE5496" w:rsidP="00FE5496">
      <w:pPr>
        <w:spacing w:after="0" w:line="240" w:lineRule="auto"/>
        <w:rPr>
          <w:rFonts w:ascii="Verdana" w:eastAsia="Geomanist Light" w:hAnsi="Verdana" w:cs="Arial"/>
          <w:color w:val="000000" w:themeColor="text1"/>
          <w:lang w:val="es-MX"/>
        </w:rPr>
      </w:pPr>
    </w:p>
    <w:p w14:paraId="3237E736" w14:textId="77777777" w:rsidR="00FE5496" w:rsidRDefault="00FE5496" w:rsidP="00FE5496">
      <w:pPr>
        <w:spacing w:after="0" w:line="240" w:lineRule="auto"/>
        <w:rPr>
          <w:rFonts w:ascii="Verdana" w:eastAsia="Geomanist Light" w:hAnsi="Verdana" w:cs="Arial"/>
          <w:color w:val="000000" w:themeColor="text1"/>
          <w:lang w:val="es-MX"/>
        </w:rPr>
      </w:pPr>
    </w:p>
    <w:p w14:paraId="25ADDEDB" w14:textId="77777777" w:rsidR="00FE5496" w:rsidRDefault="00FE5496" w:rsidP="00FE5496">
      <w:pPr>
        <w:spacing w:after="0" w:line="240" w:lineRule="auto"/>
        <w:rPr>
          <w:rFonts w:ascii="Verdana" w:eastAsia="Geomanist Light" w:hAnsi="Verdana" w:cs="Arial"/>
          <w:color w:val="000000" w:themeColor="text1"/>
          <w:lang w:val="es-MX"/>
        </w:rPr>
      </w:pPr>
    </w:p>
    <w:p w14:paraId="1A4B420A" w14:textId="3A79EBE5" w:rsidR="00FE5496" w:rsidRPr="00241376" w:rsidRDefault="00FE5496" w:rsidP="00FE5496">
      <w:pPr>
        <w:spacing w:after="0" w:line="240" w:lineRule="auto"/>
        <w:rPr>
          <w:rFonts w:ascii="Verdana" w:eastAsia="Geomanist Light" w:hAnsi="Verdana" w:cs="Arial"/>
          <w:color w:val="201F1E"/>
          <w:lang w:val="es-MX"/>
        </w:rPr>
      </w:pPr>
      <w:r w:rsidRPr="00241376">
        <w:rPr>
          <w:rFonts w:ascii="Verdana" w:eastAsia="Geomanist Light" w:hAnsi="Verdana" w:cs="Arial"/>
          <w:color w:val="000000" w:themeColor="text1"/>
          <w:lang w:val="es-MX"/>
        </w:rPr>
        <w:t>Bogotá D.C., </w:t>
      </w:r>
      <w:r w:rsidR="0089661E">
        <w:rPr>
          <w:rFonts w:ascii="Verdana" w:eastAsia="Geomanist Light" w:hAnsi="Verdana" w:cs="Arial"/>
          <w:color w:val="201F1E"/>
        </w:rPr>
        <w:t>11 de mayo de 2026</w:t>
      </w:r>
    </w:p>
    <w:p w14:paraId="5431423D" w14:textId="43DEDA3B" w:rsidR="00FE5496" w:rsidRDefault="00424789" w:rsidP="00FE5496">
      <w:pPr>
        <w:spacing w:after="0" w:line="278" w:lineRule="auto"/>
        <w:rPr>
          <w:rFonts w:ascii="Verdana" w:eastAsia="Aptos" w:hAnsi="Verdana" w:cs="Times New Roman"/>
          <w:kern w:val="2"/>
          <w14:ligatures w14:val="standardContextual"/>
        </w:rPr>
      </w:pPr>
      <w:r w:rsidRPr="0089661E">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2F8B19EE" wp14:editId="628E696C">
            <wp:simplePos x="0" y="0"/>
            <wp:positionH relativeFrom="column">
              <wp:posOffset>3446145</wp:posOffset>
            </wp:positionH>
            <wp:positionV relativeFrom="paragraph">
              <wp:posOffset>198755</wp:posOffset>
            </wp:positionV>
            <wp:extent cx="2164080" cy="876300"/>
            <wp:effectExtent l="0" t="0" r="7620" b="0"/>
            <wp:wrapSquare wrapText="bothSides"/>
            <wp:docPr id="21015202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408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C6F861" w14:textId="59F5C04B" w:rsidR="00FE5496" w:rsidRPr="001B3C5D" w:rsidRDefault="00FE5496" w:rsidP="00FE5496">
      <w:pPr>
        <w:spacing w:after="0" w:line="278" w:lineRule="auto"/>
        <w:jc w:val="right"/>
        <w:rPr>
          <w:rFonts w:ascii="Verdana" w:eastAsia="Aptos" w:hAnsi="Verdana" w:cs="Times New Roman"/>
          <w:kern w:val="2"/>
          <w:sz w:val="24"/>
          <w:szCs w:val="24"/>
          <w14:ligatures w14:val="standardContextual"/>
        </w:rPr>
      </w:pPr>
    </w:p>
    <w:p w14:paraId="6C334906" w14:textId="77777777" w:rsidR="00FE5496" w:rsidRPr="001B3C5D" w:rsidRDefault="00FE5496" w:rsidP="00FE5496">
      <w:pPr>
        <w:spacing w:after="0" w:line="240" w:lineRule="auto"/>
        <w:rPr>
          <w:rFonts w:ascii="Verdana" w:eastAsia="Calibri" w:hAnsi="Verdana" w:cs="Arial"/>
          <w:kern w:val="2"/>
          <w:lang w:val="es-ES" w:eastAsia="es-ES"/>
          <w14:ligatures w14:val="standardContextual"/>
        </w:rPr>
      </w:pPr>
      <w:r w:rsidRPr="001B3C5D">
        <w:rPr>
          <w:rFonts w:ascii="Verdana" w:eastAsia="Calibri" w:hAnsi="Verdana" w:cs="Arial"/>
          <w:kern w:val="2"/>
          <w:lang w:val="es-ES" w:eastAsia="es-ES"/>
          <w14:ligatures w14:val="standardContextual"/>
        </w:rPr>
        <w:t>Señor</w:t>
      </w:r>
      <w:r>
        <w:rPr>
          <w:rFonts w:ascii="Verdana" w:eastAsia="Calibri" w:hAnsi="Verdana" w:cs="Arial"/>
          <w:kern w:val="2"/>
          <w:lang w:val="es-ES" w:eastAsia="es-ES"/>
          <w14:ligatures w14:val="standardContextual"/>
        </w:rPr>
        <w:t>a</w:t>
      </w:r>
    </w:p>
    <w:p w14:paraId="06855655" w14:textId="77777777" w:rsidR="00FE5496" w:rsidRDefault="00FE5496" w:rsidP="00FE5496">
      <w:pPr>
        <w:spacing w:after="0" w:line="240" w:lineRule="auto"/>
        <w:rPr>
          <w:rFonts w:ascii="Verdana" w:eastAsia="Calibri" w:hAnsi="Verdana" w:cs="Arial"/>
          <w:b/>
          <w:bCs/>
          <w:kern w:val="2"/>
          <w:lang w:val="es-ES" w:eastAsia="es-ES"/>
          <w14:ligatures w14:val="standardContextual"/>
        </w:rPr>
      </w:pPr>
      <w:r w:rsidRPr="00D357FA">
        <w:rPr>
          <w:rFonts w:ascii="Verdana" w:eastAsia="Calibri" w:hAnsi="Verdana" w:cs="Arial"/>
          <w:b/>
          <w:bCs/>
          <w:kern w:val="2"/>
          <w:lang w:val="es-ES" w:eastAsia="es-ES"/>
          <w14:ligatures w14:val="standardContextual"/>
        </w:rPr>
        <w:t>Johana Medina</w:t>
      </w:r>
      <w:r>
        <w:rPr>
          <w:rFonts w:ascii="Verdana" w:eastAsia="Calibri" w:hAnsi="Verdana" w:cs="Arial"/>
          <w:b/>
          <w:bCs/>
          <w:kern w:val="2"/>
          <w:lang w:val="es-ES" w:eastAsia="es-ES"/>
          <w14:ligatures w14:val="standardContextual"/>
        </w:rPr>
        <w:t xml:space="preserve"> </w:t>
      </w:r>
    </w:p>
    <w:p w14:paraId="444DB027" w14:textId="77777777" w:rsidR="00FE5496" w:rsidRPr="008B2C76" w:rsidRDefault="00FE5496" w:rsidP="00FE5496">
      <w:pPr>
        <w:spacing w:after="0" w:line="240" w:lineRule="auto"/>
        <w:rPr>
          <w:rFonts w:ascii="Verdana" w:eastAsia="Calibri" w:hAnsi="Verdana" w:cs="Arial"/>
          <w:kern w:val="2"/>
          <w:lang w:val="es-ES" w:eastAsia="es-ES"/>
          <w14:ligatures w14:val="standardContextual"/>
        </w:rPr>
      </w:pPr>
      <w:hyperlink r:id="rId12" w:history="1">
        <w:r w:rsidRPr="00271990">
          <w:rPr>
            <w:rStyle w:val="Hipervnculo"/>
            <w:rFonts w:ascii="Verdana" w:eastAsia="Calibri" w:hAnsi="Verdana" w:cs="Arial"/>
            <w:kern w:val="2"/>
            <w:lang w:val="es-ES" w:eastAsia="es-ES"/>
            <w14:ligatures w14:val="standardContextual"/>
          </w:rPr>
          <w:t>johana.medina@lockton.com</w:t>
        </w:r>
      </w:hyperlink>
      <w:r>
        <w:rPr>
          <w:rFonts w:ascii="Verdana" w:eastAsia="Calibri" w:hAnsi="Verdana" w:cs="Arial"/>
          <w:kern w:val="2"/>
          <w:lang w:val="es-ES" w:eastAsia="es-ES"/>
          <w14:ligatures w14:val="standardContextual"/>
        </w:rPr>
        <w:t xml:space="preserve"> </w:t>
      </w:r>
    </w:p>
    <w:p w14:paraId="736BA7A0" w14:textId="77777777" w:rsidR="00FE5496" w:rsidRPr="001B3C5D" w:rsidRDefault="00FE5496" w:rsidP="00FE5496">
      <w:pPr>
        <w:spacing w:after="0" w:line="240" w:lineRule="auto"/>
        <w:rPr>
          <w:rFonts w:ascii="Verdana" w:eastAsia="Calibri" w:hAnsi="Verdana" w:cs="Arial"/>
          <w:lang w:val="es-ES_tradnl" w:eastAsia="es-ES_tradnl"/>
        </w:rPr>
      </w:pPr>
      <w:r>
        <w:rPr>
          <w:rFonts w:ascii="Verdana" w:eastAsia="Calibri" w:hAnsi="Verdana" w:cs="Arial"/>
          <w:kern w:val="2"/>
          <w:lang w:val="es-ES" w:eastAsia="es-ES"/>
          <w14:ligatures w14:val="standardContextual"/>
        </w:rPr>
        <w:t>Bogotá D.C.</w:t>
      </w:r>
    </w:p>
    <w:p w14:paraId="040A8EB4" w14:textId="77777777" w:rsidR="00FE5496" w:rsidRDefault="00FE5496" w:rsidP="00FE5496">
      <w:pPr>
        <w:spacing w:after="0" w:line="240" w:lineRule="auto"/>
        <w:rPr>
          <w:rFonts w:ascii="Verdana" w:eastAsia="Calibri" w:hAnsi="Verdana" w:cs="Arial"/>
          <w:b/>
          <w:bCs/>
          <w:lang w:val="es-ES_tradnl" w:eastAsia="es-ES_tradnl"/>
        </w:rPr>
      </w:pPr>
    </w:p>
    <w:p w14:paraId="24114052" w14:textId="77777777" w:rsidR="00FE5496" w:rsidRPr="001B3C5D" w:rsidRDefault="00FE5496" w:rsidP="00FE5496">
      <w:pPr>
        <w:spacing w:after="0" w:line="240" w:lineRule="auto"/>
        <w:rPr>
          <w:rFonts w:ascii="Verdana" w:eastAsia="Calibri" w:hAnsi="Verdana" w:cs="Arial"/>
          <w:b/>
          <w:bCs/>
          <w:lang w:val="es-ES_tradnl" w:eastAsia="es-ES_tradnl"/>
        </w:rPr>
      </w:pPr>
    </w:p>
    <w:tbl>
      <w:tblPr>
        <w:tblStyle w:val="Tablaconcuadrcula1"/>
        <w:tblW w:w="8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83"/>
      </w:tblGrid>
      <w:tr w:rsidR="00FE5496" w:rsidRPr="001B3C5D" w14:paraId="3DB69D8B" w14:textId="77777777" w:rsidTr="004B349E">
        <w:trPr>
          <w:trHeight w:val="229"/>
        </w:trPr>
        <w:tc>
          <w:tcPr>
            <w:tcW w:w="2552" w:type="dxa"/>
          </w:tcPr>
          <w:p w14:paraId="44DD54B8" w14:textId="77777777" w:rsidR="00FE5496" w:rsidRPr="001B3C5D" w:rsidRDefault="00FE5496" w:rsidP="004B349E">
            <w:pPr>
              <w:jc w:val="both"/>
              <w:rPr>
                <w:rFonts w:ascii="Verdana" w:eastAsia="Calibri" w:hAnsi="Verdana" w:cs="Arial"/>
                <w:b/>
                <w:bCs/>
                <w:lang w:val="es-ES_tradnl" w:eastAsia="es-ES_tradnl"/>
              </w:rPr>
            </w:pPr>
          </w:p>
        </w:tc>
        <w:tc>
          <w:tcPr>
            <w:tcW w:w="6383" w:type="dxa"/>
          </w:tcPr>
          <w:p w14:paraId="7A07E2E5" w14:textId="77777777" w:rsidR="00FE5496" w:rsidRPr="001B3C5D" w:rsidRDefault="00FE5496" w:rsidP="004B349E">
            <w:pPr>
              <w:jc w:val="both"/>
              <w:rPr>
                <w:rFonts w:ascii="Verdana" w:eastAsia="Calibri" w:hAnsi="Verdana" w:cs="Arial"/>
                <w:b/>
                <w:bCs/>
                <w:lang w:val="es-ES" w:eastAsia="es-ES"/>
              </w:rPr>
            </w:pPr>
            <w:r w:rsidRPr="001B3C5D">
              <w:rPr>
                <w:rFonts w:ascii="Verdana" w:eastAsia="Calibri" w:hAnsi="Verdana" w:cs="Arial"/>
                <w:b/>
                <w:bCs/>
                <w:lang w:val="es-ES" w:eastAsia="es-ES"/>
              </w:rPr>
              <w:t>Concepto C–</w:t>
            </w:r>
            <w:r>
              <w:rPr>
                <w:rFonts w:ascii="Verdana" w:eastAsia="Calibri" w:hAnsi="Verdana" w:cs="Arial"/>
                <w:b/>
                <w:bCs/>
                <w:lang w:val="es-ES" w:eastAsia="es-ES"/>
              </w:rPr>
              <w:t>629</w:t>
            </w:r>
            <w:r w:rsidRPr="001B3C5D">
              <w:rPr>
                <w:rFonts w:ascii="Verdana" w:eastAsia="Calibri" w:hAnsi="Verdana" w:cs="Arial"/>
                <w:b/>
                <w:bCs/>
                <w:lang w:val="es-ES" w:eastAsia="es-ES"/>
              </w:rPr>
              <w:t xml:space="preserve"> de 2026</w:t>
            </w:r>
          </w:p>
          <w:p w14:paraId="1B98530B" w14:textId="77777777" w:rsidR="00FE5496" w:rsidRPr="001B3C5D" w:rsidRDefault="00FE5496" w:rsidP="004B349E">
            <w:pPr>
              <w:jc w:val="both"/>
              <w:rPr>
                <w:rFonts w:ascii="Verdana" w:eastAsia="Calibri" w:hAnsi="Verdana" w:cs="Arial"/>
                <w:b/>
                <w:bCs/>
                <w:lang w:val="es-ES" w:eastAsia="es-ES"/>
              </w:rPr>
            </w:pPr>
          </w:p>
        </w:tc>
      </w:tr>
      <w:tr w:rsidR="00FE5496" w:rsidRPr="001B3C5D" w14:paraId="1F6A4BA8" w14:textId="77777777" w:rsidTr="004B349E">
        <w:trPr>
          <w:trHeight w:val="884"/>
        </w:trPr>
        <w:tc>
          <w:tcPr>
            <w:tcW w:w="2552" w:type="dxa"/>
          </w:tcPr>
          <w:p w14:paraId="21C6C174" w14:textId="77777777" w:rsidR="00FE5496" w:rsidRPr="001B3C5D" w:rsidRDefault="00FE5496" w:rsidP="004B349E">
            <w:pPr>
              <w:jc w:val="both"/>
              <w:rPr>
                <w:rFonts w:ascii="Verdana" w:eastAsia="Calibri" w:hAnsi="Verdana" w:cs="Arial"/>
                <w:lang w:val="es-ES_tradnl" w:eastAsia="es-ES_tradnl"/>
              </w:rPr>
            </w:pPr>
            <w:r w:rsidRPr="001B3C5D">
              <w:rPr>
                <w:rFonts w:ascii="Verdana" w:eastAsia="Calibri" w:hAnsi="Verdana" w:cs="Arial"/>
                <w:b/>
                <w:lang w:val="es-ES_tradnl" w:eastAsia="es-ES_tradnl"/>
              </w:rPr>
              <w:t>Temas:</w:t>
            </w:r>
            <w:r w:rsidRPr="001B3C5D">
              <w:rPr>
                <w:rFonts w:ascii="Verdana" w:eastAsia="Calibri" w:hAnsi="Verdana" w:cs="Arial"/>
                <w:lang w:val="es-ES_tradnl" w:eastAsia="es-ES_tradnl"/>
              </w:rPr>
              <w:t xml:space="preserve">                   </w:t>
            </w:r>
          </w:p>
        </w:tc>
        <w:tc>
          <w:tcPr>
            <w:tcW w:w="6383" w:type="dxa"/>
          </w:tcPr>
          <w:p w14:paraId="60F83E74" w14:textId="77777777" w:rsidR="00FE5496" w:rsidRPr="001B3C5D" w:rsidRDefault="00FE5496" w:rsidP="004B349E">
            <w:pPr>
              <w:widowControl w:val="0"/>
              <w:autoSpaceDE w:val="0"/>
              <w:autoSpaceDN w:val="0"/>
              <w:spacing w:line="276" w:lineRule="auto"/>
              <w:jc w:val="both"/>
              <w:rPr>
                <w:rFonts w:ascii="Verdana" w:eastAsia="Calibri" w:hAnsi="Verdana" w:cs="Times New Roman"/>
                <w:lang w:val="es-ES"/>
              </w:rPr>
            </w:pPr>
            <w:r w:rsidRPr="00915323">
              <w:rPr>
                <w:rFonts w:ascii="Verdana" w:eastAsia="Calibri" w:hAnsi="Verdana" w:cs="Arial"/>
                <w:lang w:eastAsia="es-ES"/>
              </w:rPr>
              <w:t>SISTEMA DE PREFERENCIA PARA PERSONAS CON DISCAPACIDAD ‒ Constitución Política ‒ Ley 1618 de 2013</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Antecedentes normativos ‒ Decreto 392 de 2018 </w:t>
            </w:r>
            <w:r>
              <w:rPr>
                <w:rFonts w:ascii="Verdana" w:eastAsia="Calibri" w:hAnsi="Verdana" w:cs="Arial"/>
                <w:lang w:eastAsia="es-ES"/>
              </w:rPr>
              <w:t xml:space="preserve">/ </w:t>
            </w: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Emprendimientos y empresas de personas con discapacidad ‒ </w:t>
            </w:r>
            <w:r>
              <w:rPr>
                <w:rFonts w:ascii="Verdana" w:eastAsia="Calibri" w:hAnsi="Verdana" w:cs="Arial"/>
                <w:lang w:eastAsia="es-ES"/>
              </w:rPr>
              <w:t xml:space="preserve">Personas jurídicas </w:t>
            </w:r>
            <w:r w:rsidRPr="00777292">
              <w:rPr>
                <w:rFonts w:ascii="Verdana" w:eastAsia="Calibri" w:hAnsi="Verdana" w:cs="Arial"/>
                <w:lang w:eastAsia="es-ES"/>
              </w:rPr>
              <w:t>‒</w:t>
            </w:r>
            <w:r>
              <w:rPr>
                <w:rFonts w:ascii="Verdana" w:eastAsia="Calibri" w:hAnsi="Verdana" w:cs="Arial"/>
                <w:lang w:eastAsia="es-ES"/>
              </w:rPr>
              <w:t xml:space="preserve"> Nivel directivo </w:t>
            </w:r>
            <w:r w:rsidRPr="00777292">
              <w:rPr>
                <w:rFonts w:ascii="Verdana" w:eastAsia="Calibri" w:hAnsi="Verdana" w:cs="Arial"/>
                <w:lang w:eastAsia="es-ES"/>
              </w:rPr>
              <w:t>‒</w:t>
            </w:r>
            <w:r>
              <w:rPr>
                <w:rFonts w:ascii="Verdana" w:eastAsia="Calibri" w:hAnsi="Verdana" w:cs="Arial"/>
                <w:b/>
                <w:bCs/>
              </w:rPr>
              <w:t xml:space="preserve"> </w:t>
            </w:r>
            <w:r w:rsidRPr="000D1CBA">
              <w:rPr>
                <w:rFonts w:ascii="Verdana" w:eastAsia="Calibri" w:hAnsi="Verdana" w:cs="Arial"/>
              </w:rPr>
              <w:t>Certificado de discapacidad</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Puntaje adicional del 2% ‒ No acumulabilidad ‒ Acreditación simultánea de condiciones </w:t>
            </w:r>
            <w:r>
              <w:rPr>
                <w:rFonts w:ascii="Verdana" w:eastAsia="Calibri" w:hAnsi="Verdana" w:cs="Arial"/>
                <w:lang w:eastAsia="es-ES"/>
              </w:rPr>
              <w:t xml:space="preserve">/ </w:t>
            </w:r>
            <w:r w:rsidRPr="00777292">
              <w:rPr>
                <w:rFonts w:ascii="Verdana" w:eastAsia="Calibri" w:hAnsi="Verdana" w:cs="Arial"/>
                <w:lang w:eastAsia="es-ES"/>
              </w:rPr>
              <w:t>DECRETO 0287 DE 2026 ‒ Vigencia ‒ Resolución de apertura</w:t>
            </w:r>
          </w:p>
          <w:p w14:paraId="2E80D4A3" w14:textId="77777777" w:rsidR="00FE5496" w:rsidRPr="001B3C5D" w:rsidRDefault="00FE5496" w:rsidP="004B349E">
            <w:pPr>
              <w:widowControl w:val="0"/>
              <w:autoSpaceDE w:val="0"/>
              <w:autoSpaceDN w:val="0"/>
              <w:jc w:val="both"/>
              <w:rPr>
                <w:rFonts w:ascii="Verdana" w:eastAsia="Calibri" w:hAnsi="Verdana" w:cs="Times New Roman"/>
                <w:highlight w:val="yellow"/>
                <w:lang w:val="es-ES"/>
              </w:rPr>
            </w:pPr>
          </w:p>
        </w:tc>
      </w:tr>
      <w:tr w:rsidR="00FE5496" w:rsidRPr="001B3C5D" w14:paraId="1CD02480" w14:textId="77777777" w:rsidTr="004B349E">
        <w:tc>
          <w:tcPr>
            <w:tcW w:w="2552" w:type="dxa"/>
          </w:tcPr>
          <w:p w14:paraId="4BE528B9" w14:textId="77777777" w:rsidR="00FE5496" w:rsidRPr="001B3C5D" w:rsidRDefault="00FE5496" w:rsidP="004B349E">
            <w:pPr>
              <w:jc w:val="both"/>
              <w:rPr>
                <w:rFonts w:ascii="Verdana" w:eastAsia="Calibri" w:hAnsi="Verdana" w:cs="Arial"/>
                <w:b/>
                <w:lang w:val="es-ES_tradnl" w:eastAsia="es-ES_tradnl"/>
              </w:rPr>
            </w:pPr>
            <w:r w:rsidRPr="001B3C5D">
              <w:rPr>
                <w:rFonts w:ascii="Verdana" w:eastAsia="Calibri" w:hAnsi="Verdana" w:cs="Arial"/>
                <w:b/>
                <w:lang w:val="es-ES_tradnl" w:eastAsia="es-ES_tradnl"/>
              </w:rPr>
              <w:t>Radicación:</w:t>
            </w:r>
            <w:r w:rsidRPr="001B3C5D">
              <w:rPr>
                <w:rFonts w:ascii="Verdana" w:eastAsia="Calibri" w:hAnsi="Verdana" w:cs="Arial"/>
                <w:lang w:val="es-ES_tradnl" w:eastAsia="es-ES_tradnl"/>
              </w:rPr>
              <w:t xml:space="preserve">               </w:t>
            </w:r>
          </w:p>
        </w:tc>
        <w:tc>
          <w:tcPr>
            <w:tcW w:w="6383" w:type="dxa"/>
          </w:tcPr>
          <w:p w14:paraId="31581FFE" w14:textId="77777777" w:rsidR="00FE5496" w:rsidRPr="001B3C5D" w:rsidRDefault="00FE5496" w:rsidP="004B349E">
            <w:pPr>
              <w:ind w:left="3" w:hanging="3"/>
              <w:jc w:val="both"/>
              <w:rPr>
                <w:rFonts w:ascii="Verdana" w:eastAsia="Calibri" w:hAnsi="Verdana" w:cs="Arial"/>
                <w:lang w:val="es-ES_tradnl" w:eastAsia="es-ES_tradnl"/>
              </w:rPr>
            </w:pPr>
            <w:r w:rsidRPr="001B3C5D">
              <w:rPr>
                <w:rFonts w:ascii="Verdana" w:eastAsia="Calibri" w:hAnsi="Verdana" w:cs="Arial"/>
                <w:lang w:val="es-ES_tradnl" w:eastAsia="es-ES_tradnl"/>
              </w:rPr>
              <w:t xml:space="preserve">Respuesta a consulta con radicado No. </w:t>
            </w:r>
            <w:r w:rsidRPr="00152C22">
              <w:rPr>
                <w:rFonts w:ascii="Verdana" w:eastAsia="Calibri" w:hAnsi="Verdana" w:cs="Arial"/>
                <w:lang w:val="es-ES_tradnl" w:eastAsia="es-ES_tradnl"/>
              </w:rPr>
              <w:t>1_2026_04_16_005220</w:t>
            </w:r>
          </w:p>
        </w:tc>
      </w:tr>
    </w:tbl>
    <w:p w14:paraId="7814F214" w14:textId="77777777" w:rsidR="00FE5496" w:rsidRPr="001B3C5D" w:rsidRDefault="00FE5496" w:rsidP="00FE5496">
      <w:pPr>
        <w:spacing w:after="0" w:line="240" w:lineRule="auto"/>
        <w:jc w:val="both"/>
        <w:rPr>
          <w:rFonts w:ascii="Verdana" w:eastAsia="Calibri" w:hAnsi="Verdana" w:cs="Arial"/>
          <w:lang w:val="es-ES_tradnl" w:eastAsia="es-ES_tradnl"/>
        </w:rPr>
      </w:pPr>
    </w:p>
    <w:p w14:paraId="5697D037" w14:textId="77777777" w:rsidR="00FE5496" w:rsidRDefault="00FE5496" w:rsidP="00FE5496">
      <w:pPr>
        <w:spacing w:after="0" w:line="276" w:lineRule="auto"/>
        <w:jc w:val="both"/>
        <w:rPr>
          <w:rFonts w:ascii="Verdana" w:eastAsia="Calibri" w:hAnsi="Verdana" w:cs="Arial"/>
          <w:lang w:val="es-ES" w:eastAsia="es-ES"/>
        </w:rPr>
      </w:pPr>
    </w:p>
    <w:p w14:paraId="191BBE00" w14:textId="77777777" w:rsidR="00FE5496" w:rsidRPr="001B3C5D" w:rsidRDefault="00FE5496" w:rsidP="00FE5496">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Estimad</w:t>
      </w:r>
      <w:r>
        <w:rPr>
          <w:rFonts w:ascii="Verdana" w:eastAsia="Calibri" w:hAnsi="Verdana" w:cs="Arial"/>
          <w:lang w:val="es-ES" w:eastAsia="es-ES"/>
        </w:rPr>
        <w:t xml:space="preserve">a </w:t>
      </w:r>
      <w:r w:rsidRPr="001B3C5D">
        <w:rPr>
          <w:rFonts w:ascii="Verdana" w:eastAsia="Calibri" w:hAnsi="Verdana" w:cs="Arial"/>
          <w:lang w:val="es-ES" w:eastAsia="es-ES"/>
        </w:rPr>
        <w:t>señor</w:t>
      </w:r>
      <w:r>
        <w:rPr>
          <w:rFonts w:ascii="Verdana" w:eastAsia="Calibri" w:hAnsi="Verdana" w:cs="Arial"/>
          <w:lang w:val="es-ES" w:eastAsia="es-ES"/>
        </w:rPr>
        <w:t>a Medina</w:t>
      </w:r>
      <w:r w:rsidRPr="001B3C5D">
        <w:rPr>
          <w:rFonts w:ascii="Verdana" w:eastAsia="Calibri" w:hAnsi="Verdana" w:cs="Arial"/>
          <w:kern w:val="2"/>
          <w:lang w:eastAsia="es-ES_tradnl"/>
          <w14:ligatures w14:val="standardContextual"/>
        </w:rPr>
        <w:t>:</w:t>
      </w:r>
      <w:r w:rsidRPr="001B3C5D">
        <w:rPr>
          <w:rFonts w:ascii="Verdana" w:eastAsia="Calibri" w:hAnsi="Verdana" w:cs="Arial"/>
          <w:lang w:val="es-ES" w:eastAsia="es-ES"/>
        </w:rPr>
        <w:t xml:space="preserve"> </w:t>
      </w:r>
    </w:p>
    <w:p w14:paraId="5854CEAE" w14:textId="77777777" w:rsidR="00FE5496" w:rsidRPr="001B3C5D" w:rsidRDefault="00FE5496" w:rsidP="00FE5496">
      <w:pPr>
        <w:tabs>
          <w:tab w:val="left" w:pos="3768"/>
        </w:tabs>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 xml:space="preserve"> </w:t>
      </w:r>
    </w:p>
    <w:p w14:paraId="4889CA65" w14:textId="77777777" w:rsidR="00FE5496" w:rsidRPr="001B3C5D" w:rsidRDefault="00FE5496" w:rsidP="00FE5496">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En ejercicio de la competencia otorgada por los artículos 3, numeral 5º, y 11, numeral 8º, del Decreto Ley 4170 de 2011,</w:t>
      </w:r>
      <w:r w:rsidRPr="001B3C5D">
        <w:rPr>
          <w:rFonts w:ascii="Verdana" w:eastAsia="Arial MT" w:hAnsi="Verdana" w:cs="Arial MT"/>
          <w:lang w:val="es-ES" w:eastAsia="es-ES"/>
        </w:rPr>
        <w:t xml:space="preserve"> </w:t>
      </w:r>
      <w:r w:rsidRPr="001B3C5D">
        <w:rPr>
          <w:rFonts w:ascii="Verdana" w:eastAsia="Calibri" w:hAnsi="Verdana" w:cs="Arial"/>
        </w:rPr>
        <w:t xml:space="preserve">así como lo establecido en la Resolución No. 469 del 2025 expedida por esta Entidad, </w:t>
      </w:r>
      <w:r w:rsidRPr="001B3C5D">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16</w:t>
      </w:r>
      <w:r w:rsidRPr="001B3C5D">
        <w:rPr>
          <w:rFonts w:ascii="Verdana" w:eastAsia="Calibri" w:hAnsi="Verdana" w:cs="Arial"/>
          <w:lang w:val="es-ES" w:eastAsia="es-ES"/>
        </w:rPr>
        <w:t xml:space="preserve"> de </w:t>
      </w:r>
      <w:r>
        <w:rPr>
          <w:rFonts w:ascii="Verdana" w:eastAsia="Calibri" w:hAnsi="Verdana" w:cs="Arial"/>
          <w:lang w:val="es-ES" w:eastAsia="es-ES"/>
        </w:rPr>
        <w:t>abril</w:t>
      </w:r>
      <w:r w:rsidRPr="001B3C5D">
        <w:rPr>
          <w:rFonts w:ascii="Verdana" w:eastAsia="Calibri" w:hAnsi="Verdana" w:cs="Arial"/>
          <w:lang w:val="es-ES" w:eastAsia="es-ES"/>
        </w:rPr>
        <w:t xml:space="preserve"> de 2026, en la cual</w:t>
      </w:r>
      <w:r>
        <w:rPr>
          <w:rFonts w:ascii="Verdana" w:eastAsia="Calibri" w:hAnsi="Verdana" w:cs="Arial"/>
          <w:lang w:val="es-ES" w:eastAsia="es-ES"/>
        </w:rPr>
        <w:t xml:space="preserve"> </w:t>
      </w:r>
      <w:r w:rsidRPr="001B3C5D">
        <w:rPr>
          <w:rFonts w:ascii="Verdana" w:eastAsia="Calibri" w:hAnsi="Verdana" w:cs="Arial"/>
          <w:lang w:val="es-ES" w:eastAsia="es-ES"/>
        </w:rPr>
        <w:t>manifiesta lo siguiente:</w:t>
      </w:r>
    </w:p>
    <w:p w14:paraId="69264EB8" w14:textId="77777777" w:rsidR="00FE5496" w:rsidRPr="001B3C5D" w:rsidRDefault="00FE5496" w:rsidP="00FE5496">
      <w:pPr>
        <w:spacing w:after="0" w:line="276" w:lineRule="auto"/>
        <w:jc w:val="both"/>
        <w:rPr>
          <w:rFonts w:ascii="Verdana" w:eastAsia="Calibri" w:hAnsi="Verdana" w:cs="Arial"/>
          <w:lang w:val="es-ES" w:eastAsia="es-ES"/>
        </w:rPr>
      </w:pPr>
    </w:p>
    <w:p w14:paraId="7DA6D45D" w14:textId="77777777" w:rsidR="00FE5496" w:rsidRPr="000759FD"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1B3C5D">
        <w:rPr>
          <w:rFonts w:ascii="Verdana" w:eastAsia="Aptos" w:hAnsi="Verdana" w:cs="Helvetica"/>
          <w:color w:val="000000"/>
          <w:sz w:val="20"/>
          <w:szCs w:val="20"/>
          <w14:ligatures w14:val="standardContextual"/>
        </w:rPr>
        <w:lastRenderedPageBreak/>
        <w:t>“</w:t>
      </w:r>
      <w:r w:rsidRPr="000759FD">
        <w:rPr>
          <w:rFonts w:ascii="Verdana" w:eastAsia="Aptos" w:hAnsi="Verdana" w:cs="Helvetica"/>
          <w:color w:val="000000"/>
          <w:sz w:val="20"/>
          <w:szCs w:val="20"/>
          <w14:ligatures w14:val="standardContextual"/>
        </w:rPr>
        <w:t>En nuestra condición de corredor de seguros habilitado y participante habitual en procesos de concurso de méritos adelantados por entidades estatales, nos dirigimos a esta Agencia con el fin de solicitar un concepto orientador sobre la interpretación y aplicación de las disposiciones del Decreto 287 del 19 de marzo de 2026, que modificó los artículos 2.2.1.2.4.2.6., 2.2.1.2.4.2.7. y 2.2.1.2.4.2.8. del Decreto 1082 de 2015.</w:t>
      </w:r>
    </w:p>
    <w:p w14:paraId="042DE6BB" w14:textId="77777777" w:rsidR="00FE5496" w:rsidRPr="000759FD"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p>
    <w:p w14:paraId="6FF9399F" w14:textId="77777777" w:rsidR="00FE5496" w:rsidRPr="000759FD"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0759FD">
        <w:rPr>
          <w:rFonts w:ascii="Verdana" w:eastAsia="Aptos" w:hAnsi="Verdana" w:cs="Helvetica"/>
          <w:color w:val="000000"/>
          <w:sz w:val="20"/>
          <w:szCs w:val="20"/>
          <w14:ligatures w14:val="standardContextual"/>
        </w:rPr>
        <w:t>Las consultas que sometemos a consideración de esa Agencia son las siguientes:</w:t>
      </w:r>
    </w:p>
    <w:p w14:paraId="4724709D" w14:textId="77777777" w:rsidR="00FE5496" w:rsidRPr="000759FD"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p>
    <w:p w14:paraId="5C010795" w14:textId="77777777" w:rsidR="00FE5496"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Pr>
          <w:rFonts w:ascii="Verdana" w:eastAsia="Aptos" w:hAnsi="Verdana" w:cs="Helvetica"/>
          <w:color w:val="000000"/>
          <w:sz w:val="20"/>
          <w:szCs w:val="20"/>
          <w14:ligatures w14:val="standardContextual"/>
        </w:rPr>
        <w:t xml:space="preserve">1. </w:t>
      </w:r>
      <w:r w:rsidRPr="000759FD">
        <w:rPr>
          <w:rFonts w:ascii="Verdana" w:eastAsia="Aptos" w:hAnsi="Verdana" w:cs="Helvetica"/>
          <w:color w:val="000000"/>
          <w:sz w:val="20"/>
          <w:szCs w:val="20"/>
          <w14:ligatures w14:val="standardContextual"/>
        </w:rPr>
        <w:t>Alcance del puntaje del 2% frente a la acreditación simultánea de condiciones</w:t>
      </w:r>
      <w:r>
        <w:rPr>
          <w:rFonts w:ascii="Verdana" w:eastAsia="Aptos" w:hAnsi="Verdana" w:cs="Helvetica"/>
          <w:color w:val="000000"/>
          <w:sz w:val="20"/>
          <w:szCs w:val="20"/>
          <w14:ligatures w14:val="standardContextual"/>
        </w:rPr>
        <w:t xml:space="preserve">. </w:t>
      </w:r>
    </w:p>
    <w:p w14:paraId="2E8CC316" w14:textId="77777777" w:rsidR="00FE5496" w:rsidRPr="000759FD"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0759FD">
        <w:rPr>
          <w:rFonts w:ascii="Verdana" w:eastAsia="Aptos" w:hAnsi="Verdana" w:cs="Helvetica"/>
          <w:color w:val="000000"/>
          <w:sz w:val="20"/>
          <w:szCs w:val="20"/>
          <w14:ligatures w14:val="standardContextual"/>
        </w:rPr>
        <w:t>El artículo 2.2.1.2.4.2.7.4 establece que el proponente podrá acreditar alguna de las situaciones previstas (ser emprendimiento o empresa de persona con discapacidad conforme al art. 2.2.1.2.4.2.6, o ser empleador con trabajadores con discapacidad según la tabla del mismo artículo), y precisa que el puntaje adicional “total y único” será del 2%, sin que sean acumulables. La consulta es: cuando un proponente acredita simultáneamente ambas situaciones (por ejemplo, es a la vez emprendimiento de persona con discapacidad y emplea trabajadores con discapacidad en su planta), la no acumulabilidad implica que el puntaje se mantiene en el 2% en todo caso, con independencia de cuántas condiciones se acrediten? O existe algún efecto diferencial en la evaluación?</w:t>
      </w:r>
    </w:p>
    <w:p w14:paraId="6924E24E" w14:textId="77777777" w:rsidR="00FE5496"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p>
    <w:p w14:paraId="470AB6D5" w14:textId="77777777" w:rsidR="00FE5496" w:rsidRPr="000759FD"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Pr>
          <w:rFonts w:ascii="Verdana" w:eastAsia="Aptos" w:hAnsi="Verdana" w:cs="Helvetica"/>
          <w:color w:val="000000"/>
          <w:sz w:val="20"/>
          <w:szCs w:val="20"/>
          <w14:ligatures w14:val="standardContextual"/>
        </w:rPr>
        <w:t xml:space="preserve">2. </w:t>
      </w:r>
      <w:r w:rsidRPr="000759FD">
        <w:rPr>
          <w:rFonts w:ascii="Verdana" w:eastAsia="Aptos" w:hAnsi="Verdana" w:cs="Helvetica"/>
          <w:color w:val="000000"/>
          <w:sz w:val="20"/>
          <w:szCs w:val="20"/>
          <w14:ligatures w14:val="standardContextual"/>
        </w:rPr>
        <w:t>Alcance de la definición de “nivel directivo” en empresas de servicios profesionales</w:t>
      </w:r>
      <w:r>
        <w:rPr>
          <w:rFonts w:ascii="Verdana" w:eastAsia="Aptos" w:hAnsi="Verdana" w:cs="Helvetica"/>
          <w:color w:val="000000"/>
          <w:sz w:val="20"/>
          <w:szCs w:val="20"/>
          <w14:ligatures w14:val="standardContextual"/>
        </w:rPr>
        <w:t>.</w:t>
      </w:r>
    </w:p>
    <w:p w14:paraId="0114E3D2" w14:textId="77777777" w:rsidR="00FE5496"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0759FD">
        <w:rPr>
          <w:rFonts w:ascii="Verdana" w:eastAsia="Aptos" w:hAnsi="Verdana" w:cs="Helvetica"/>
          <w:color w:val="000000"/>
          <w:sz w:val="20"/>
          <w:szCs w:val="20"/>
          <w14:ligatures w14:val="standardContextual"/>
        </w:rPr>
        <w:t>El artículo 2.2.1.2.4.2.6, condición 4, habilita a personas jurídicas que tengan vinculada laboralmente al menos una persona con discapacidad en “empleos del</w:t>
      </w:r>
      <w:r>
        <w:rPr>
          <w:rFonts w:ascii="Verdana" w:eastAsia="Aptos" w:hAnsi="Verdana" w:cs="Helvetica"/>
          <w:color w:val="000000"/>
          <w:sz w:val="20"/>
          <w:szCs w:val="20"/>
          <w14:ligatures w14:val="standardContextual"/>
        </w:rPr>
        <w:t xml:space="preserve"> </w:t>
      </w:r>
      <w:r w:rsidRPr="008D0043">
        <w:rPr>
          <w:rFonts w:ascii="Verdana" w:eastAsia="Aptos" w:hAnsi="Verdana" w:cs="Helvetica"/>
          <w:color w:val="000000"/>
          <w:sz w:val="20"/>
          <w:szCs w:val="20"/>
          <w14:ligatures w14:val="standardContextual"/>
        </w:rPr>
        <w:t>nivel directivo”. El Decreto define dicho nivel como cargos “relacionados con la dirección de áreas misionales de la empresa y la toma de decisiones a nivel estratégico”, así como cargos encaminados a representar al empleador.</w:t>
      </w:r>
    </w:p>
    <w:p w14:paraId="1974ABFC"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p>
    <w:p w14:paraId="2BF69AF8"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8D0043">
        <w:rPr>
          <w:rFonts w:ascii="Verdana" w:eastAsia="Aptos" w:hAnsi="Verdana" w:cs="Helvetica"/>
          <w:color w:val="000000"/>
          <w:sz w:val="20"/>
          <w:szCs w:val="20"/>
          <w14:ligatures w14:val="standardContextual"/>
        </w:rPr>
        <w:t>En el contexto de empresas de intermediación de seguros y reaseguros, cuya actividad misional es precisamente la gestión, asesoría y colocación de riesgos, se consulta: los cargos de gerencia de área, dirección comercial, o dirección técnica de riesgos, que implican la toma de decisiones sobre la actividad misional, encuadran en la definición de nivel directivo del Decreto? ¿Debe la entidad estatal verificar esa condición con base en la descripción de funciones del contrato laboral, o existe algún estándar adicional?</w:t>
      </w:r>
    </w:p>
    <w:p w14:paraId="2EA3F8D2"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p>
    <w:p w14:paraId="638D4E84"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Pr>
          <w:rFonts w:ascii="Verdana" w:eastAsia="Aptos" w:hAnsi="Verdana" w:cs="Helvetica"/>
          <w:color w:val="000000"/>
          <w:sz w:val="20"/>
          <w:szCs w:val="20"/>
          <w14:ligatures w14:val="standardContextual"/>
        </w:rPr>
        <w:t xml:space="preserve">3. </w:t>
      </w:r>
      <w:r w:rsidRPr="008D0043">
        <w:rPr>
          <w:rFonts w:ascii="Verdana" w:eastAsia="Aptos" w:hAnsi="Verdana" w:cs="Helvetica"/>
          <w:color w:val="000000"/>
          <w:sz w:val="20"/>
          <w:szCs w:val="20"/>
          <w14:ligatures w14:val="standardContextual"/>
        </w:rPr>
        <w:t>Exigencia del certificado de discapacidad - porcentaje mínimo aplicable</w:t>
      </w:r>
    </w:p>
    <w:p w14:paraId="3F0A0551"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8D0043">
        <w:rPr>
          <w:rFonts w:ascii="Verdana" w:eastAsia="Aptos" w:hAnsi="Verdana" w:cs="Helvetica"/>
          <w:color w:val="000000"/>
          <w:sz w:val="20"/>
          <w:szCs w:val="20"/>
          <w14:ligatures w14:val="standardContextual"/>
        </w:rPr>
        <w:t xml:space="preserve">El Decreto exige el certificado de discapacidad expedido conforme a la normativa del Ministerio de Salud y Protección Social, sin fijar en su texto </w:t>
      </w:r>
      <w:r w:rsidRPr="008D0043">
        <w:rPr>
          <w:rFonts w:ascii="Verdana" w:eastAsia="Aptos" w:hAnsi="Verdana" w:cs="Helvetica"/>
          <w:color w:val="000000"/>
          <w:sz w:val="20"/>
          <w:szCs w:val="20"/>
          <w14:ligatures w14:val="standardContextual"/>
        </w:rPr>
        <w:lastRenderedPageBreak/>
        <w:t>un porcentaje mínimo de pérdida de capacidad laboral o funcional. Se consulta: basta la certificación oficial de discapacidad emitida por la entidad competente para efectos de este Decreto, con independencia del porcentaje calificado? O existe remisión a algún umbral establecido en normas del MinSalud que la entidad estatal deba verificar?</w:t>
      </w:r>
    </w:p>
    <w:p w14:paraId="7E7AD109" w14:textId="77777777" w:rsidR="00FE5496" w:rsidRPr="008D0043" w:rsidRDefault="00FE5496" w:rsidP="00FE5496">
      <w:pPr>
        <w:spacing w:after="0" w:line="240" w:lineRule="auto"/>
        <w:ind w:right="709"/>
        <w:jc w:val="both"/>
        <w:rPr>
          <w:rFonts w:ascii="Verdana" w:eastAsia="Aptos" w:hAnsi="Verdana" w:cs="Helvetica"/>
          <w:color w:val="000000"/>
          <w:sz w:val="20"/>
          <w:szCs w:val="20"/>
          <w14:ligatures w14:val="standardContextual"/>
        </w:rPr>
      </w:pPr>
    </w:p>
    <w:p w14:paraId="48B23397" w14:textId="77777777" w:rsidR="00FE5496"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Pr>
          <w:rFonts w:ascii="Verdana" w:eastAsia="Aptos" w:hAnsi="Verdana" w:cs="Helvetica"/>
          <w:color w:val="000000"/>
          <w:sz w:val="20"/>
          <w:szCs w:val="20"/>
          <w14:ligatures w14:val="standardContextual"/>
        </w:rPr>
        <w:t xml:space="preserve">4. </w:t>
      </w:r>
      <w:r w:rsidRPr="008D0043">
        <w:rPr>
          <w:rFonts w:ascii="Verdana" w:eastAsia="Aptos" w:hAnsi="Verdana" w:cs="Helvetica"/>
          <w:color w:val="000000"/>
          <w:sz w:val="20"/>
          <w:szCs w:val="20"/>
          <w14:ligatures w14:val="standardContextual"/>
        </w:rPr>
        <w:t>Compatibilidad y acumulación con puntajes de MiPyme y empresas de mujeres en concurso de méritos</w:t>
      </w:r>
    </w:p>
    <w:p w14:paraId="7772024A"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p>
    <w:p w14:paraId="6BCEDA4D" w14:textId="77777777" w:rsidR="00FE5496" w:rsidRPr="008D0043" w:rsidRDefault="00FE5496" w:rsidP="00FE5496">
      <w:pPr>
        <w:spacing w:after="0" w:line="240" w:lineRule="auto"/>
        <w:ind w:left="709" w:right="709"/>
        <w:jc w:val="both"/>
        <w:rPr>
          <w:rFonts w:ascii="Verdana" w:eastAsia="Aptos" w:hAnsi="Verdana" w:cs="Helvetica"/>
          <w:color w:val="000000"/>
          <w:sz w:val="20"/>
          <w:szCs w:val="20"/>
          <w14:ligatures w14:val="standardContextual"/>
        </w:rPr>
      </w:pPr>
      <w:r w:rsidRPr="008D0043">
        <w:rPr>
          <w:rFonts w:ascii="Verdana" w:eastAsia="Aptos" w:hAnsi="Verdana" w:cs="Helvetica"/>
          <w:color w:val="000000"/>
          <w:sz w:val="20"/>
          <w:szCs w:val="20"/>
          <w14:ligatures w14:val="standardContextual"/>
        </w:rPr>
        <w:t>El parágrafo 2º del artículo 2.2.1.2.4.2.7.4 establece que el puntaje del 2% no excluye los incentivos de MiPymes ni los de emprendimientos y empresas de mujeres. Se consulta: esta compatibilidad opera automáticamente o requiere que los pliegos de condiciones del proceso específico hayan incorporado previamente todos los criterios? En los procesos en los que los pliegos solo contemplaban puntaje de MiPyme y/o mujer, expedidos antes del 19 de marzo de 2026, las entidades estatales tienen obligación de incorporar el puntaje por discapacidad en adendas, dada la vigencia inmediata del Decreto?</w:t>
      </w:r>
      <w:r>
        <w:rPr>
          <w:rFonts w:ascii="Verdana" w:eastAsia="Aptos" w:hAnsi="Verdana" w:cs="Helvetica"/>
          <w:color w:val="000000"/>
          <w:sz w:val="20"/>
          <w:szCs w:val="20"/>
          <w14:ligatures w14:val="standardContextual"/>
        </w:rPr>
        <w:t>”</w:t>
      </w:r>
    </w:p>
    <w:p w14:paraId="79999AE7" w14:textId="77777777" w:rsidR="00FE5496" w:rsidRPr="001B3C5D" w:rsidRDefault="00FE5496" w:rsidP="00FE5496">
      <w:pPr>
        <w:spacing w:after="0" w:line="276" w:lineRule="auto"/>
        <w:jc w:val="both"/>
        <w:rPr>
          <w:rFonts w:ascii="Verdana" w:eastAsia="Calibri" w:hAnsi="Verdana" w:cs="Arial"/>
          <w:lang w:val="es-ES" w:eastAsia="es-ES"/>
        </w:rPr>
      </w:pPr>
    </w:p>
    <w:p w14:paraId="14D89585" w14:textId="77777777" w:rsidR="00FE5496" w:rsidRPr="001B3C5D" w:rsidRDefault="00FE5496" w:rsidP="00FE5496">
      <w:pPr>
        <w:spacing w:after="12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3ECBDB2" w14:textId="77777777" w:rsidR="00FE5496" w:rsidRPr="001B3C5D" w:rsidRDefault="00FE5496" w:rsidP="00FE5496">
      <w:pPr>
        <w:spacing w:after="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problema</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jurídico</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 xml:space="preserve">de su consulta. </w:t>
      </w:r>
    </w:p>
    <w:p w14:paraId="3C364036" w14:textId="77777777" w:rsidR="00FE5496" w:rsidRPr="001B3C5D" w:rsidRDefault="00FE5496" w:rsidP="00FE5496">
      <w:pPr>
        <w:tabs>
          <w:tab w:val="left" w:pos="142"/>
          <w:tab w:val="left" w:pos="284"/>
        </w:tabs>
        <w:spacing w:after="0" w:line="276" w:lineRule="auto"/>
        <w:contextualSpacing/>
        <w:jc w:val="both"/>
        <w:rPr>
          <w:rFonts w:ascii="Verdana" w:eastAsia="Century Gothic" w:hAnsi="Verdana" w:cs="Century Gothic"/>
          <w:b/>
          <w:bCs/>
          <w:lang w:val="es-ES"/>
        </w:rPr>
      </w:pPr>
    </w:p>
    <w:p w14:paraId="084A3CB3" w14:textId="77777777" w:rsidR="00FE5496" w:rsidRPr="001B3C5D" w:rsidRDefault="00FE5496" w:rsidP="00FE5496">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1. Problema planteado:</w:t>
      </w:r>
    </w:p>
    <w:p w14:paraId="230753C7" w14:textId="77777777" w:rsidR="00FE5496" w:rsidRPr="001B3C5D" w:rsidRDefault="00FE5496" w:rsidP="00FE5496">
      <w:pPr>
        <w:tabs>
          <w:tab w:val="left" w:pos="426"/>
        </w:tabs>
        <w:spacing w:after="0" w:line="276" w:lineRule="auto"/>
        <w:jc w:val="both"/>
        <w:rPr>
          <w:rFonts w:ascii="Verdana" w:eastAsia="Century Gothic" w:hAnsi="Verdana" w:cs="Century Gothic"/>
          <w:lang w:val="es-ES"/>
        </w:rPr>
      </w:pPr>
    </w:p>
    <w:p w14:paraId="6B25CE56" w14:textId="2654E752" w:rsidR="00FE5496" w:rsidRPr="001B3C5D" w:rsidRDefault="00FE5496" w:rsidP="00FE5496">
      <w:pPr>
        <w:tabs>
          <w:tab w:val="left" w:pos="0"/>
        </w:tabs>
        <w:spacing w:after="0" w:line="276" w:lineRule="auto"/>
        <w:jc w:val="both"/>
        <w:rPr>
          <w:rFonts w:ascii="Verdana" w:eastAsia="Calibri" w:hAnsi="Verdana" w:cs="Arial"/>
          <w:bCs/>
          <w:lang w:val="es-ES_tradnl" w:eastAsia="es-ES_tradnl"/>
        </w:rPr>
      </w:pPr>
      <w:r w:rsidRPr="001B3C5D">
        <w:rPr>
          <w:rFonts w:ascii="Verdana" w:eastAsia="Century Gothic" w:hAnsi="Verdana" w:cs="Century Gothic"/>
        </w:rPr>
        <w:lastRenderedPageBreak/>
        <w:t>De acuerdo con el contenido de su solicitud, esta Agencia resolverá los siguientes problemas jurídicos:</w:t>
      </w:r>
      <w:r>
        <w:rPr>
          <w:rFonts w:ascii="Verdana" w:eastAsia="Century Gothic" w:hAnsi="Verdana" w:cs="Century Gothic"/>
        </w:rPr>
        <w:t xml:space="preserve">  </w:t>
      </w:r>
      <w:r w:rsidRPr="001B3C5D">
        <w:rPr>
          <w:rFonts w:ascii="Verdana" w:eastAsia="Century Gothic" w:hAnsi="Verdana" w:cs="Century Gothic"/>
        </w:rPr>
        <w:t xml:space="preserve"> i) </w:t>
      </w:r>
      <w:r w:rsidRPr="001B3C5D">
        <w:rPr>
          <w:rFonts w:ascii="Verdana" w:eastAsia="Calibri" w:hAnsi="Verdana" w:cs="Arial"/>
          <w:bCs/>
          <w:lang w:val="es-ES_tradnl" w:eastAsia="es-ES_tradnl"/>
        </w:rPr>
        <w:t>¿</w:t>
      </w:r>
      <w:r w:rsidRPr="00CA640D">
        <w:rPr>
          <w:rFonts w:ascii="Verdana" w:eastAsia="Calibri" w:hAnsi="Verdana" w:cs="Arial"/>
          <w:bCs/>
          <w:lang w:eastAsia="es-ES_tradnl"/>
        </w:rPr>
        <w:t>La acreditación simultánea de varias</w:t>
      </w:r>
      <w:r>
        <w:rPr>
          <w:rFonts w:ascii="Verdana" w:eastAsia="Calibri" w:hAnsi="Verdana" w:cs="Arial"/>
          <w:bCs/>
          <w:lang w:eastAsia="es-ES_tradnl"/>
        </w:rPr>
        <w:t xml:space="preserve"> de las </w:t>
      </w:r>
      <w:r w:rsidRPr="00CA640D">
        <w:rPr>
          <w:rFonts w:ascii="Verdana" w:eastAsia="Calibri" w:hAnsi="Verdana" w:cs="Arial"/>
          <w:bCs/>
          <w:lang w:eastAsia="es-ES_tradnl"/>
        </w:rPr>
        <w:t xml:space="preserve">condiciones previstas en el artículo </w:t>
      </w:r>
      <w:r w:rsidRPr="00201242">
        <w:rPr>
          <w:rFonts w:ascii="Verdana" w:eastAsia="Calibri" w:hAnsi="Verdana" w:cs="Arial"/>
          <w:lang w:eastAsia="es-ES_tradnl"/>
        </w:rPr>
        <w:t>2</w:t>
      </w:r>
      <w:r>
        <w:rPr>
          <w:rFonts w:ascii="Verdana" w:eastAsia="Calibri" w:hAnsi="Verdana" w:cs="Arial"/>
          <w:lang w:eastAsia="es-ES_tradnl"/>
        </w:rPr>
        <w:t>.</w:t>
      </w:r>
      <w:r w:rsidRPr="00201242">
        <w:rPr>
          <w:rFonts w:ascii="Verdana" w:eastAsia="Calibri" w:hAnsi="Verdana" w:cs="Arial"/>
          <w:lang w:eastAsia="es-ES_tradnl"/>
        </w:rPr>
        <w:t>2.1.2.4.2.7.4</w:t>
      </w:r>
      <w:r>
        <w:rPr>
          <w:rFonts w:ascii="Verdana" w:eastAsia="Calibri" w:hAnsi="Verdana" w:cs="Arial"/>
          <w:b/>
          <w:bCs/>
          <w:lang w:eastAsia="es-ES_tradnl"/>
        </w:rPr>
        <w:t xml:space="preserve"> </w:t>
      </w:r>
      <w:r w:rsidRPr="00CA640D">
        <w:rPr>
          <w:rFonts w:ascii="Verdana" w:eastAsia="Calibri" w:hAnsi="Verdana" w:cs="Arial"/>
          <w:bCs/>
          <w:lang w:eastAsia="es-ES_tradnl"/>
        </w:rPr>
        <w:t>del Decreto 1082 de 2015 permite otorgar un puntaje superior al 2%</w:t>
      </w:r>
      <w:r>
        <w:rPr>
          <w:rFonts w:ascii="Verdana" w:eastAsia="Calibri" w:hAnsi="Verdana" w:cs="Arial"/>
          <w:bCs/>
          <w:lang w:eastAsia="es-ES_tradnl"/>
        </w:rPr>
        <w:t xml:space="preserve">?; </w:t>
      </w:r>
      <w:r w:rsidRPr="001B3C5D">
        <w:rPr>
          <w:rFonts w:ascii="Verdana" w:eastAsia="Calibri" w:hAnsi="Verdana" w:cs="Arial"/>
          <w:bCs/>
          <w:lang w:val="es-ES_tradnl" w:eastAsia="es-ES_tradnl"/>
        </w:rPr>
        <w:t>ii)</w:t>
      </w:r>
      <w:r>
        <w:rPr>
          <w:rFonts w:ascii="Verdana" w:eastAsia="Calibri" w:hAnsi="Verdana" w:cs="Arial"/>
          <w:bCs/>
          <w:lang w:val="es-ES_tradnl" w:eastAsia="es-ES_tradnl"/>
        </w:rPr>
        <w:t xml:space="preserve"> </w:t>
      </w:r>
      <w:r w:rsidRPr="001B3C5D">
        <w:rPr>
          <w:rFonts w:ascii="Verdana" w:eastAsia="Calibri" w:hAnsi="Verdana" w:cs="Arial"/>
          <w:bCs/>
          <w:lang w:val="es-ES_tradnl" w:eastAsia="es-ES_tradnl"/>
        </w:rPr>
        <w:t>¿</w:t>
      </w:r>
      <w:r>
        <w:rPr>
          <w:rFonts w:ascii="Verdana" w:eastAsia="Century Gothic" w:hAnsi="Verdana" w:cs="Century Gothic"/>
        </w:rPr>
        <w:t xml:space="preserve">Cuál es el alcance de la definición de </w:t>
      </w:r>
      <w:r w:rsidRPr="00924A77">
        <w:rPr>
          <w:rFonts w:ascii="Verdana" w:eastAsia="Century Gothic" w:hAnsi="Verdana" w:cs="Century Gothic"/>
          <w:i/>
          <w:iCs/>
        </w:rPr>
        <w:t>empleo nivel directivo</w:t>
      </w:r>
      <w:r>
        <w:rPr>
          <w:rFonts w:ascii="Verdana" w:eastAsia="Century Gothic" w:hAnsi="Verdana" w:cs="Century Gothic"/>
        </w:rPr>
        <w:t xml:space="preserve"> a efectos de acreditar la calidad de emprendimiento y empresas de Personas con Discapacidad mujeres establecida </w:t>
      </w:r>
      <w:r w:rsidRPr="006B0744">
        <w:rPr>
          <w:rFonts w:ascii="Verdana" w:eastAsia="Calibri" w:hAnsi="Verdana" w:cs="Arial"/>
          <w:bCs/>
          <w:lang w:val="es-ES_tradnl" w:eastAsia="es-ES_tradnl"/>
        </w:rPr>
        <w:t>el</w:t>
      </w:r>
      <w:r>
        <w:rPr>
          <w:rFonts w:ascii="Verdana" w:eastAsia="Calibri" w:hAnsi="Verdana" w:cs="Arial"/>
          <w:bCs/>
          <w:lang w:val="es-ES_tradnl" w:eastAsia="es-ES_tradnl"/>
        </w:rPr>
        <w:t xml:space="preserve"> numeral 4 del</w:t>
      </w:r>
      <w:r w:rsidRPr="006B0744">
        <w:rPr>
          <w:rFonts w:ascii="Verdana" w:eastAsia="Calibri" w:hAnsi="Verdana" w:cs="Arial"/>
          <w:bCs/>
          <w:lang w:val="es-ES_tradnl" w:eastAsia="es-ES_tradnl"/>
        </w:rPr>
        <w:t xml:space="preserve"> artículo 2?2.1.2.4.2.6 del Decreto 1082 de 2015?</w:t>
      </w:r>
      <w:r>
        <w:rPr>
          <w:rFonts w:ascii="Verdana" w:eastAsia="Calibri" w:hAnsi="Verdana" w:cs="Arial"/>
          <w:bCs/>
          <w:lang w:val="es-ES_tradnl" w:eastAsia="es-ES_tradnl"/>
        </w:rPr>
        <w:t xml:space="preserve">; </w:t>
      </w:r>
      <w:r w:rsidRPr="3EC47442">
        <w:rPr>
          <w:rFonts w:ascii="Verdana" w:eastAsia="Calibri" w:hAnsi="Verdana" w:cs="Arial"/>
          <w:lang w:val="es-ES" w:eastAsia="es-ES"/>
        </w:rPr>
        <w:t xml:space="preserve">iii) ¿El certificado de discapacidad requerido en el Decreto 287 de 2026, debe establecer un porcentaje mínimo de pérdida de capacidad laboral o funcional?; </w:t>
      </w:r>
      <w:r>
        <w:rPr>
          <w:rFonts w:ascii="Verdana" w:eastAsia="Calibri" w:hAnsi="Verdana" w:cs="Arial"/>
          <w:bCs/>
          <w:lang w:val="es-ES_tradnl" w:eastAsia="es-ES_tradnl"/>
        </w:rPr>
        <w:t>iv</w:t>
      </w:r>
      <w:r w:rsidRPr="001B3C5D">
        <w:rPr>
          <w:rFonts w:ascii="Verdana" w:eastAsia="Calibri" w:hAnsi="Verdana" w:cs="Arial"/>
          <w:bCs/>
          <w:lang w:val="es-ES_tradnl" w:eastAsia="es-ES_tradnl"/>
        </w:rPr>
        <w:t xml:space="preserve">) </w:t>
      </w:r>
      <w:r w:rsidRPr="00376DC9">
        <w:rPr>
          <w:rFonts w:ascii="Verdana" w:eastAsia="Calibri" w:hAnsi="Verdana" w:cs="Arial"/>
          <w:bCs/>
          <w:lang w:val="es-ES_tradnl" w:eastAsia="es-ES_tradnl"/>
        </w:rPr>
        <w:t>¿</w:t>
      </w:r>
      <w:r w:rsidRPr="00376DC9">
        <w:rPr>
          <w:rFonts w:ascii="Verdana" w:eastAsia="Century Gothic" w:hAnsi="Verdana" w:cs="Century Gothic"/>
          <w:lang w:val="es-ES"/>
        </w:rPr>
        <w:t>El puntaje del 2% es compatible con los incentivos para MiPymes y para emprendimiento y empresas de mujeres?</w:t>
      </w:r>
      <w:r>
        <w:rPr>
          <w:rFonts w:ascii="Verdana" w:eastAsia="Century Gothic" w:hAnsi="Verdana" w:cs="Century Gothic"/>
          <w:lang w:val="es-ES"/>
        </w:rPr>
        <w:t>;</w:t>
      </w:r>
      <w:r w:rsidR="00AD78E1">
        <w:rPr>
          <w:rFonts w:ascii="Verdana" w:eastAsia="Century Gothic" w:hAnsi="Verdana" w:cs="Century Gothic"/>
          <w:lang w:val="es-ES"/>
        </w:rPr>
        <w:t xml:space="preserve"> </w:t>
      </w:r>
      <w:r>
        <w:rPr>
          <w:rFonts w:ascii="Verdana" w:eastAsia="Calibri" w:hAnsi="Verdana" w:cs="Arial"/>
          <w:bCs/>
          <w:lang w:val="es-ES_tradnl" w:eastAsia="es-ES_tradnl"/>
        </w:rPr>
        <w:t xml:space="preserve">v) </w:t>
      </w:r>
      <w:r w:rsidRPr="001B3C5D">
        <w:rPr>
          <w:rFonts w:ascii="Verdana" w:eastAsia="Calibri" w:hAnsi="Verdana" w:cs="Arial"/>
          <w:bCs/>
          <w:lang w:val="es-ES_tradnl" w:eastAsia="es-ES_tradnl"/>
        </w:rPr>
        <w:t>¿</w:t>
      </w:r>
      <w:r>
        <w:rPr>
          <w:rFonts w:ascii="Verdana" w:eastAsia="Calibri" w:hAnsi="Verdana" w:cs="Arial"/>
          <w:bCs/>
          <w:lang w:val="es-ES_tradnl" w:eastAsia="es-ES_tradnl"/>
        </w:rPr>
        <w:t>L</w:t>
      </w:r>
      <w:r w:rsidRPr="00B33ABB">
        <w:rPr>
          <w:rFonts w:ascii="Verdana" w:eastAsia="Calibri" w:hAnsi="Verdana" w:cs="Arial"/>
          <w:bCs/>
          <w:lang w:val="es-ES_tradnl" w:eastAsia="es-ES_tradnl"/>
        </w:rPr>
        <w:t xml:space="preserve">as entidades estatales tienen obligación de incorporar el puntaje </w:t>
      </w:r>
      <w:r>
        <w:rPr>
          <w:rFonts w:ascii="Verdana" w:eastAsia="Calibri" w:hAnsi="Verdana" w:cs="Arial"/>
          <w:bCs/>
          <w:lang w:val="es-ES_tradnl" w:eastAsia="es-ES_tradnl"/>
        </w:rPr>
        <w:t>adicional</w:t>
      </w:r>
      <w:r w:rsidRPr="00B33ABB">
        <w:rPr>
          <w:rFonts w:ascii="Verdana" w:eastAsia="Calibri" w:hAnsi="Verdana" w:cs="Arial"/>
          <w:bCs/>
          <w:lang w:val="es-ES_tradnl" w:eastAsia="es-ES_tradnl"/>
        </w:rPr>
        <w:t xml:space="preserve"> </w:t>
      </w:r>
      <w:r>
        <w:rPr>
          <w:rFonts w:ascii="Verdana" w:eastAsia="Calibri" w:hAnsi="Verdana" w:cs="Arial"/>
          <w:bCs/>
          <w:lang w:val="es-ES_tradnl" w:eastAsia="es-ES_tradnl"/>
        </w:rPr>
        <w:t>e</w:t>
      </w:r>
      <w:r w:rsidRPr="00B33ABB">
        <w:rPr>
          <w:rFonts w:ascii="Verdana" w:eastAsia="Calibri" w:hAnsi="Verdana" w:cs="Arial"/>
          <w:bCs/>
          <w:lang w:val="es-ES_tradnl" w:eastAsia="es-ES_tradnl"/>
        </w:rPr>
        <w:t>n los procesos</w:t>
      </w:r>
      <w:r>
        <w:rPr>
          <w:rFonts w:ascii="Verdana" w:eastAsia="Calibri" w:hAnsi="Verdana" w:cs="Arial"/>
          <w:bCs/>
          <w:lang w:val="es-ES_tradnl" w:eastAsia="es-ES_tradnl"/>
        </w:rPr>
        <w:t xml:space="preserve"> de contratación cuya resolución de apertura se realizó antes del 19 de marzo de 2026</w:t>
      </w:r>
      <w:r w:rsidRPr="001B3C5D">
        <w:rPr>
          <w:rFonts w:ascii="Verdana" w:eastAsia="Calibri" w:hAnsi="Verdana" w:cs="Arial"/>
          <w:bCs/>
          <w:lang w:val="es-ES_tradnl" w:eastAsia="es-ES_tradnl"/>
        </w:rPr>
        <w:t xml:space="preserve">? </w:t>
      </w:r>
    </w:p>
    <w:p w14:paraId="2469994D" w14:textId="77777777" w:rsidR="00FE5496" w:rsidRPr="001B3C5D" w:rsidRDefault="00FE5496" w:rsidP="00FE5496">
      <w:pPr>
        <w:spacing w:after="0" w:line="276" w:lineRule="auto"/>
        <w:jc w:val="both"/>
        <w:rPr>
          <w:rFonts w:ascii="Verdana" w:eastAsia="Century Gothic" w:hAnsi="Verdana" w:cs="Century Gothic"/>
          <w:lang w:val="es-ES_tradnl"/>
        </w:rPr>
      </w:pPr>
    </w:p>
    <w:p w14:paraId="022AF3B8" w14:textId="77777777" w:rsidR="00FE5496" w:rsidRPr="001B3C5D" w:rsidRDefault="00FE5496" w:rsidP="00FE5496">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2. Respuestas:</w:t>
      </w:r>
    </w:p>
    <w:p w14:paraId="44D49E07" w14:textId="77777777" w:rsidR="00FE5496" w:rsidRPr="001B3C5D" w:rsidRDefault="00FE5496" w:rsidP="00FE549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E5496" w:rsidRPr="001B3C5D" w14:paraId="3D1C99E4" w14:textId="77777777" w:rsidTr="004B349E">
        <w:trPr>
          <w:trHeight w:val="40"/>
        </w:trPr>
        <w:tc>
          <w:tcPr>
            <w:tcW w:w="8828" w:type="dxa"/>
            <w:tcBorders>
              <w:top w:val="dotted" w:sz="4" w:space="0" w:color="auto"/>
              <w:left w:val="dotted" w:sz="4" w:space="0" w:color="auto"/>
              <w:bottom w:val="dotted" w:sz="4" w:space="0" w:color="auto"/>
              <w:right w:val="dotted" w:sz="4" w:space="0" w:color="auto"/>
            </w:tcBorders>
          </w:tcPr>
          <w:p w14:paraId="2BBF57A0" w14:textId="77777777" w:rsidR="00FE5496" w:rsidRPr="00EE6840" w:rsidRDefault="00FE5496" w:rsidP="004B349E">
            <w:pPr>
              <w:spacing w:after="120" w:line="276" w:lineRule="auto"/>
              <w:jc w:val="both"/>
              <w:rPr>
                <w:rFonts w:ascii="Verdana" w:eastAsia="Times New Roman" w:hAnsi="Verdana" w:cs="Times New Roman"/>
                <w:i/>
                <w:iCs/>
              </w:rPr>
            </w:pPr>
            <w:r w:rsidRPr="00B37B67">
              <w:rPr>
                <w:rFonts w:ascii="Verdana" w:eastAsia="Aptos" w:hAnsi="Verdana" w:cs="Times New Roman"/>
              </w:rPr>
              <w:t>i. E</w:t>
            </w:r>
            <w:r w:rsidRPr="00B37B67">
              <w:rPr>
                <w:rFonts w:ascii="Verdana" w:eastAsia="Aptos" w:hAnsi="Verdana" w:cs="Times New Roman"/>
                <w:kern w:val="2"/>
                <w14:ligatures w14:val="standardContextual"/>
              </w:rPr>
              <w:t xml:space="preserve">l artículo 2.1.2.4.2.7.4 del Decreto 287 de 2026 contempla </w:t>
            </w:r>
            <w:r w:rsidRPr="00B37B67">
              <w:rPr>
                <w:rFonts w:ascii="Verdana" w:eastAsia="Times New Roman" w:hAnsi="Verdana" w:cs="Times New Roman"/>
              </w:rPr>
              <w:t xml:space="preserve">uno de los incentivos centrales en favor </w:t>
            </w:r>
            <w:r w:rsidRPr="00B37B67">
              <w:rPr>
                <w:rFonts w:ascii="Verdana" w:eastAsia="Aptos" w:hAnsi="Verdana" w:cs="Times New Roman"/>
                <w:kern w:val="2"/>
                <w14:ligatures w14:val="standardContextual"/>
              </w:rPr>
              <w:t>de los empleadores de personas con discapacidad y de los emprendimientos y empresas de personas con discapacidad</w:t>
            </w:r>
            <w:r w:rsidRPr="00B37B67">
              <w:rPr>
                <w:rFonts w:ascii="Verdana" w:eastAsia="Times New Roman" w:hAnsi="Verdana" w:cs="Times New Roman"/>
              </w:rPr>
              <w:t>, referente al puntaje adicional del 2%. Este puntaje puede obtenerse acreditando cualquiera de las dos situaciones que la norma contempla: i) ser emprendimiento o empresa de PcD, conforme a las categorías del artículo 2.2.1.2.4.2.6., o ser ii) empleador de PcD que supere los mínimos de vinculación exigidos por la Ley 2466 de 2025 (Reforma Laboral) conforme a la tabla establecida. Sin embargo, el hecho de que ambas condiciones puedan acreditarse simultáneamente no significa que el puntaje sea acumulable. El mismo artículo es explícito al disponer que:</w:t>
            </w:r>
            <w:r>
              <w:rPr>
                <w:rFonts w:ascii="Verdana" w:eastAsia="Times New Roman" w:hAnsi="Verdana" w:cs="Times New Roman"/>
              </w:rPr>
              <w:t xml:space="preserve"> </w:t>
            </w:r>
            <w:r w:rsidRPr="00EE6840">
              <w:rPr>
                <w:rFonts w:ascii="Verdana" w:eastAsia="Times New Roman" w:hAnsi="Verdana" w:cs="Times New Roman"/>
                <w:i/>
                <w:iCs/>
              </w:rPr>
              <w:t>"El proponente podrá acreditar alguna de las situaciones mencionadas, y en todo caso el puntaje adicional total y único a otorgar por este criterio será del dos por ciento (2%), sin que sean acumulables a efecto de la evaluación de la oferta."</w:t>
            </w:r>
          </w:p>
          <w:p w14:paraId="669160E0" w14:textId="77777777" w:rsidR="00FE5496" w:rsidRDefault="00FE5496" w:rsidP="004B349E">
            <w:pPr>
              <w:spacing w:after="120" w:line="276" w:lineRule="auto"/>
              <w:ind w:firstLine="743"/>
              <w:jc w:val="both"/>
              <w:rPr>
                <w:rFonts w:ascii="Verdana" w:eastAsia="Aptos" w:hAnsi="Verdana" w:cs="Times New Roman"/>
              </w:rPr>
            </w:pPr>
            <w:r w:rsidRPr="00E727F0">
              <w:rPr>
                <w:rFonts w:ascii="Verdana" w:eastAsia="Times New Roman" w:hAnsi="Verdana" w:cs="Times New Roman"/>
              </w:rPr>
              <w:t xml:space="preserve">Esta decisión normativa responde a </w:t>
            </w:r>
            <w:r>
              <w:rPr>
                <w:rFonts w:ascii="Verdana" w:eastAsia="Times New Roman" w:hAnsi="Verdana" w:cs="Times New Roman"/>
              </w:rPr>
              <w:t>que e</w:t>
            </w:r>
            <w:r w:rsidRPr="00E727F0">
              <w:rPr>
                <w:rFonts w:ascii="Verdana" w:eastAsia="Times New Roman" w:hAnsi="Verdana" w:cs="Times New Roman"/>
              </w:rPr>
              <w:t>l 2%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w:t>
            </w:r>
            <w:r>
              <w:rPr>
                <w:rFonts w:ascii="Verdana" w:eastAsia="Times New Roman" w:hAnsi="Verdana" w:cs="Times New Roman"/>
              </w:rPr>
              <w:t>, ya que</w:t>
            </w:r>
            <w:r w:rsidRPr="00E727F0">
              <w:rPr>
                <w:rFonts w:ascii="Verdana" w:eastAsia="Times New Roman" w:hAnsi="Verdana" w:cs="Times New Roman"/>
              </w:rPr>
              <w:t xml:space="preserve"> el proponente puede acreditar </w:t>
            </w:r>
            <w:r w:rsidRPr="00E727F0">
              <w:rPr>
                <w:rFonts w:ascii="Verdana" w:eastAsia="Times New Roman" w:hAnsi="Verdana" w:cs="Times New Roman"/>
              </w:rPr>
              <w:lastRenderedPageBreak/>
              <w:t>varias condiciones al mismo tiempo, pero el puntaje que recibe siempre será el 2%, sin variación.</w:t>
            </w:r>
          </w:p>
          <w:p w14:paraId="723E63B6" w14:textId="77777777" w:rsidR="00FE5496" w:rsidRDefault="00FE5496" w:rsidP="004B349E">
            <w:pPr>
              <w:spacing w:after="120" w:line="276" w:lineRule="auto"/>
              <w:jc w:val="both"/>
              <w:rPr>
                <w:rFonts w:ascii="Verdana" w:hAnsi="Verdana"/>
              </w:rPr>
            </w:pPr>
            <w:r>
              <w:rPr>
                <w:rFonts w:ascii="Verdana" w:eastAsia="Aptos" w:hAnsi="Verdana" w:cs="Times New Roman"/>
              </w:rPr>
              <w:t>ii. De acuerdo con el numeral 4 d</w:t>
            </w:r>
            <w:r>
              <w:rPr>
                <w:rFonts w:ascii="Verdana" w:eastAsia="Calibri" w:hAnsi="Verdana" w:cs="Arial"/>
                <w:lang w:val="es-ES_tradnl"/>
              </w:rPr>
              <w:t>e</w:t>
            </w:r>
            <w:r w:rsidRPr="001D0D1B">
              <w:rPr>
                <w:rFonts w:ascii="Verdana" w:eastAsia="Calibri" w:hAnsi="Verdana" w:cs="Arial"/>
                <w:lang w:val="es-ES_tradnl"/>
              </w:rPr>
              <w:t xml:space="preserve">l artículo </w:t>
            </w:r>
            <w:r w:rsidRPr="001B3C5D">
              <w:rPr>
                <w:rFonts w:ascii="Verdana" w:eastAsia="Aptos" w:hAnsi="Verdana" w:cs="Times New Roman"/>
                <w:kern w:val="2"/>
                <w14:ligatures w14:val="standardContextual"/>
              </w:rPr>
              <w:t>2.2.1.2.4.2.6</w:t>
            </w:r>
            <w:r w:rsidRPr="00210AEB">
              <w:rPr>
                <w:rFonts w:ascii="Verdana" w:hAnsi="Verdana"/>
              </w:rPr>
              <w:t xml:space="preserve"> una persona jurídica podrá ser considerada como un emprendimiento </w:t>
            </w:r>
            <w:r>
              <w:rPr>
                <w:rFonts w:ascii="Verdana" w:hAnsi="Verdana"/>
              </w:rPr>
              <w:t xml:space="preserve">y empresa </w:t>
            </w:r>
            <w:r w:rsidRPr="001B3C5D">
              <w:rPr>
                <w:rFonts w:ascii="Verdana" w:eastAsia="Aptos" w:hAnsi="Verdana" w:cs="Times New Roman"/>
                <w:kern w:val="2"/>
                <w14:ligatures w14:val="standardContextual"/>
              </w:rPr>
              <w:t>de personas con discapacidad</w:t>
            </w:r>
            <w:r>
              <w:rPr>
                <w:rFonts w:ascii="Verdana" w:eastAsia="Calibri" w:hAnsi="Verdana" w:cs="Arial"/>
                <w:lang w:val="es-ES_tradnl"/>
              </w:rPr>
              <w:t xml:space="preserve"> </w:t>
            </w:r>
            <w:r>
              <w:rPr>
                <w:rFonts w:ascii="Verdana" w:hAnsi="Verdana"/>
              </w:rPr>
              <w:t xml:space="preserve">cuando </w:t>
            </w:r>
            <w:r w:rsidRPr="002E48C0">
              <w:rPr>
                <w:rFonts w:ascii="Verdana" w:hAnsi="Verdana"/>
              </w:rPr>
              <w:t xml:space="preserve">tengan vinculadas laboralmente al menos una persona con discapacidad en </w:t>
            </w:r>
            <w:r w:rsidRPr="00AF1760">
              <w:rPr>
                <w:rFonts w:ascii="Verdana" w:hAnsi="Verdana"/>
                <w:i/>
                <w:iCs/>
              </w:rPr>
              <w:t>empleos del nivel directivo</w:t>
            </w:r>
            <w:r w:rsidRPr="002E48C0">
              <w:rPr>
                <w:rFonts w:ascii="Verdana" w:hAnsi="Verdana"/>
              </w:rPr>
              <w:t xml:space="preserve"> de la empresa durante al menos el último año anterior a la fecha de cierre del Proceso de Selección en el mismo cargo u otro del mismo nivel</w:t>
            </w:r>
            <w:r>
              <w:rPr>
                <w:rFonts w:ascii="Verdana" w:hAnsi="Verdana"/>
              </w:rPr>
              <w:t xml:space="preserve">. </w:t>
            </w:r>
          </w:p>
          <w:p w14:paraId="5E84445C" w14:textId="77777777" w:rsidR="00FE5496" w:rsidRDefault="00FE5496" w:rsidP="004B349E">
            <w:pPr>
              <w:spacing w:after="120" w:line="276" w:lineRule="auto"/>
              <w:ind w:firstLine="743"/>
              <w:jc w:val="both"/>
              <w:rPr>
                <w:rFonts w:ascii="Verdana" w:eastAsia="Aptos" w:hAnsi="Verdana" w:cs="Times New Roman"/>
                <w:kern w:val="2"/>
                <w14:ligatures w14:val="standardContextual"/>
              </w:rPr>
            </w:pPr>
            <w:r>
              <w:rPr>
                <w:rFonts w:ascii="Verdana" w:eastAsia="Arial" w:hAnsi="Verdana" w:cs="Arial"/>
              </w:rPr>
              <w:t>Tales empleos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w:t>
            </w:r>
            <w:r>
              <w:rPr>
                <w:rFonts w:ascii="Verdana" w:eastAsia="Aptos" w:hAnsi="Verdana" w:cs="Times New Roman"/>
                <w:kern w:val="2"/>
                <w14:ligatures w14:val="standardContextual"/>
              </w:rPr>
              <w:t xml:space="preserve">. </w:t>
            </w:r>
            <w:r w:rsidRPr="008D0137">
              <w:rPr>
                <w:rFonts w:ascii="Verdana" w:eastAsia="Aptos" w:hAnsi="Verdana" w:cs="Times New Roman"/>
                <w:kern w:val="2"/>
                <w14:ligatures w14:val="standardContextual"/>
              </w:rPr>
              <w:t>De esta manera los cargos directivos deben identificarse de acuerdo con la definición que para el efecto estableció el mismo numeral 4. En ese sentido, independientemente de la denominación del cargo, su naturaleza será directiva bien porque se encuentra en un nivel especial de mando o, porque de acuerdo con su jerarquía, representa al empleador en los términos del artículo 32 del Código Sustantivo del Trabajo.</w:t>
            </w:r>
          </w:p>
          <w:p w14:paraId="133F7862" w14:textId="77777777" w:rsidR="00FE5496" w:rsidRPr="008D0137" w:rsidRDefault="00FE5496" w:rsidP="004B349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8D0137">
              <w:rPr>
                <w:rFonts w:ascii="Verdana" w:eastAsia="Aptos" w:hAnsi="Verdana" w:cs="Times New Roman"/>
                <w:kern w:val="2"/>
                <w14:ligatures w14:val="standardContextual"/>
              </w:rPr>
              <w:t xml:space="preserve">Para la aplicación de la definición que se comenta, </w:t>
            </w:r>
            <w:r>
              <w:rPr>
                <w:rFonts w:ascii="Verdana" w:eastAsia="Aptos" w:hAnsi="Verdana" w:cs="Times New Roman"/>
                <w:kern w:val="2"/>
                <w14:ligatures w14:val="standardContextual"/>
              </w:rPr>
              <w:t xml:space="preserve">en primer lugar, </w:t>
            </w:r>
            <w:r w:rsidRPr="008D0137">
              <w:rPr>
                <w:rFonts w:ascii="Verdana" w:eastAsia="Aptos" w:hAnsi="Verdana" w:cs="Times New Roman"/>
                <w:kern w:val="2"/>
                <w14:ligatures w14:val="standardContextual"/>
              </w:rPr>
              <w:t xml:space="preserve">debe tenerse en cuenta únicamente a los empleos del nivel directivo, lo que excluye a los demás empleos de planta de personal, como por ejemplo los operativos. </w:t>
            </w:r>
            <w:r>
              <w:rPr>
                <w:rFonts w:ascii="Verdana" w:eastAsia="Arial" w:hAnsi="Verdana" w:cs="Arial"/>
              </w:rPr>
              <w:t>En segundo lugar,</w:t>
            </w:r>
            <w:r>
              <w:rPr>
                <w:rFonts w:ascii="Verdana" w:eastAsia="Arial" w:hAnsi="Verdana" w:cs="Arial"/>
                <w:spacing w:val="1"/>
              </w:rPr>
              <w:t xml:space="preserve"> </w:t>
            </w:r>
            <w:r>
              <w:rPr>
                <w:rFonts w:ascii="Verdana" w:eastAsia="Calibri" w:hAnsi="Verdana" w:cs="Arial"/>
                <w:lang w:val="es-ES_tradnl"/>
              </w:rPr>
              <w:t xml:space="preserve">se excluyen las personas vinculadas mediante </w:t>
            </w:r>
            <w:r>
              <w:rPr>
                <w:rFonts w:ascii="Verdana" w:eastAsia="Calibri" w:hAnsi="Verdana" w:cs="Arial"/>
                <w:color w:val="000000" w:themeColor="text1"/>
                <w:lang w:val="es-ES"/>
              </w:rPr>
              <w:t>figuras jurídicas</w:t>
            </w:r>
            <w:r>
              <w:rPr>
                <w:rFonts w:ascii="Verdana" w:eastAsia="Calibri" w:hAnsi="Verdana" w:cs="Arial"/>
                <w:lang w:val="es-ES_tradnl"/>
              </w:rPr>
              <w:t xml:space="preserve"> diferentes a un contrato de trabajo, como es el caso de los contratos de prestación de servicios. </w:t>
            </w:r>
            <w:r w:rsidRPr="008D0137">
              <w:rPr>
                <w:rFonts w:ascii="Verdana" w:eastAsia="Aptos" w:hAnsi="Verdana" w:cs="Times New Roman"/>
                <w:kern w:val="2"/>
                <w14:ligatures w14:val="standardContextual"/>
              </w:rPr>
              <w:t xml:space="preserve">En </w:t>
            </w:r>
            <w:r>
              <w:rPr>
                <w:rFonts w:ascii="Verdana" w:eastAsia="Aptos" w:hAnsi="Verdana" w:cs="Times New Roman"/>
                <w:kern w:val="2"/>
                <w14:ligatures w14:val="standardContextual"/>
              </w:rPr>
              <w:t>tercer</w:t>
            </w:r>
            <w:r w:rsidRPr="008D0137">
              <w:rPr>
                <w:rFonts w:ascii="Verdana" w:eastAsia="Aptos" w:hAnsi="Verdana" w:cs="Times New Roman"/>
                <w:kern w:val="2"/>
                <w14:ligatures w14:val="standardContextual"/>
              </w:rPr>
              <w:t xml:space="preserve"> lugar, no basta con que </w:t>
            </w:r>
            <w:r w:rsidRPr="009A055B">
              <w:rPr>
                <w:rFonts w:ascii="Verdana" w:eastAsia="Aptos" w:hAnsi="Verdana" w:cs="Times New Roman"/>
                <w:kern w:val="2"/>
                <w14:ligatures w14:val="standardContextual"/>
              </w:rPr>
              <w:t xml:space="preserve">tengan vinculadas laboralmente al menos una persona con discapacidad </w:t>
            </w:r>
            <w:r w:rsidRPr="008D0137">
              <w:rPr>
                <w:rFonts w:ascii="Verdana" w:eastAsia="Aptos" w:hAnsi="Verdana" w:cs="Times New Roman"/>
                <w:kern w:val="2"/>
                <w14:ligatures w14:val="standardContextual"/>
              </w:rPr>
              <w:t>para que sea considerada como empresa o emprendimiento a los que se refiere la norma, sino que además es necesario que dicha vinculación en el mismo cargo</w:t>
            </w:r>
            <w:r>
              <w:rPr>
                <w:rFonts w:ascii="Verdana" w:eastAsia="Aptos" w:hAnsi="Verdana" w:cs="Times New Roman"/>
                <w:kern w:val="2"/>
                <w14:ligatures w14:val="standardContextual"/>
              </w:rPr>
              <w:t xml:space="preserve"> directivo</w:t>
            </w:r>
            <w:r w:rsidRPr="008D0137">
              <w:rPr>
                <w:rFonts w:ascii="Verdana" w:eastAsia="Aptos" w:hAnsi="Verdana" w:cs="Times New Roman"/>
                <w:kern w:val="2"/>
                <w14:ligatures w14:val="standardContextual"/>
              </w:rPr>
              <w:t xml:space="preserve"> u otro del mismo nivel se haya mantenido como mínimo durante el periodo de un año, contado a partir de la fecha de cierre del proceso de selección. De esta manera, el criterio establecido en la norma para definir los emprendimientos y empresas de </w:t>
            </w:r>
            <w:r>
              <w:rPr>
                <w:rFonts w:ascii="Verdana" w:eastAsia="Aptos" w:hAnsi="Verdana" w:cs="Times New Roman"/>
                <w:kern w:val="2"/>
                <w14:ligatures w14:val="standardContextual"/>
              </w:rPr>
              <w:t>p</w:t>
            </w:r>
            <w:r w:rsidRPr="008D0137">
              <w:rPr>
                <w:rFonts w:ascii="Verdana" w:eastAsia="Aptos" w:hAnsi="Verdana" w:cs="Times New Roman"/>
                <w:kern w:val="2"/>
                <w14:ligatures w14:val="standardContextual"/>
              </w:rPr>
              <w:t xml:space="preserve">ersonas con </w:t>
            </w:r>
            <w:r>
              <w:rPr>
                <w:rFonts w:ascii="Verdana" w:eastAsia="Aptos" w:hAnsi="Verdana" w:cs="Times New Roman"/>
                <w:kern w:val="2"/>
                <w14:ligatures w14:val="standardContextual"/>
              </w:rPr>
              <w:t>d</w:t>
            </w:r>
            <w:r w:rsidRPr="008D0137">
              <w:rPr>
                <w:rFonts w:ascii="Verdana" w:eastAsia="Aptos" w:hAnsi="Verdana" w:cs="Times New Roman"/>
                <w:kern w:val="2"/>
                <w14:ligatures w14:val="standardContextual"/>
              </w:rPr>
              <w:t>iscapacidad deja por fuera de dicha categoría a aquellas sociedades que, a pesar de contar con una vinculación labora</w:t>
            </w:r>
            <w:r>
              <w:rPr>
                <w:rFonts w:ascii="Verdana" w:eastAsia="Aptos" w:hAnsi="Verdana" w:cs="Times New Roman"/>
                <w:kern w:val="2"/>
                <w14:ligatures w14:val="standardContextual"/>
              </w:rPr>
              <w:t>l</w:t>
            </w:r>
            <w:r w:rsidRPr="008D0137">
              <w:rPr>
                <w:rFonts w:ascii="Verdana" w:eastAsia="Aptos" w:hAnsi="Verdana" w:cs="Times New Roman"/>
                <w:kern w:val="2"/>
                <w14:ligatures w14:val="standardContextual"/>
              </w:rPr>
              <w:t xml:space="preserve"> de una </w:t>
            </w:r>
            <w:r>
              <w:rPr>
                <w:rFonts w:ascii="Verdana" w:eastAsia="Aptos" w:hAnsi="Verdana" w:cs="Times New Roman"/>
                <w:kern w:val="2"/>
                <w14:ligatures w14:val="standardContextual"/>
              </w:rPr>
              <w:t>p</w:t>
            </w:r>
            <w:r w:rsidRPr="008D0137">
              <w:rPr>
                <w:rFonts w:ascii="Verdana" w:eastAsia="Aptos" w:hAnsi="Verdana" w:cs="Times New Roman"/>
                <w:kern w:val="2"/>
                <w14:ligatures w14:val="standardContextual"/>
              </w:rPr>
              <w:t xml:space="preserve">ersona con </w:t>
            </w:r>
            <w:r>
              <w:rPr>
                <w:rFonts w:ascii="Verdana" w:eastAsia="Aptos" w:hAnsi="Verdana" w:cs="Times New Roman"/>
                <w:kern w:val="2"/>
                <w14:ligatures w14:val="standardContextual"/>
              </w:rPr>
              <w:t>d</w:t>
            </w:r>
            <w:r w:rsidRPr="008D0137">
              <w:rPr>
                <w:rFonts w:ascii="Verdana" w:eastAsia="Aptos" w:hAnsi="Verdana" w:cs="Times New Roman"/>
                <w:kern w:val="2"/>
                <w14:ligatures w14:val="standardContextual"/>
              </w:rPr>
              <w:t>iscapacidad en el nivel directivo, no cuenten con el requerimiento del tiempo mínimo de un año.</w:t>
            </w:r>
          </w:p>
          <w:p w14:paraId="04F9FDDB" w14:textId="77777777" w:rsidR="00FE5496" w:rsidRDefault="00FE5496" w:rsidP="004B349E">
            <w:pPr>
              <w:spacing w:after="120" w:line="276" w:lineRule="auto"/>
              <w:ind w:left="119" w:right="79" w:firstLine="709"/>
              <w:jc w:val="both"/>
              <w:rPr>
                <w:rFonts w:ascii="Verdana" w:eastAsia="Arial" w:hAnsi="Verdana" w:cs="Arial"/>
              </w:rPr>
            </w:pPr>
            <w:r>
              <w:rPr>
                <w:rFonts w:ascii="Verdana" w:eastAsia="Arial" w:hAnsi="Verdana" w:cs="Arial"/>
              </w:rPr>
              <w:t>Con todo, debe advertirse que corresponde a las entidades estatales</w:t>
            </w:r>
            <w:r>
              <w:rPr>
                <w:rFonts w:ascii="Verdana" w:eastAsia="Arial" w:hAnsi="Verdana" w:cs="Arial"/>
                <w:spacing w:val="1"/>
              </w:rPr>
              <w:t xml:space="preserve"> </w:t>
            </w:r>
            <w:r>
              <w:rPr>
                <w:rFonts w:ascii="Verdana" w:eastAsia="Arial" w:hAnsi="Verdana" w:cs="Arial"/>
              </w:rPr>
              <w:t>contratantes determinar</w:t>
            </w:r>
            <w:r>
              <w:rPr>
                <w:rFonts w:ascii="Verdana" w:eastAsia="Arial" w:hAnsi="Verdana" w:cs="Arial"/>
                <w:spacing w:val="1"/>
              </w:rPr>
              <w:t xml:space="preserve"> </w:t>
            </w:r>
            <w:r>
              <w:rPr>
                <w:rFonts w:ascii="Verdana" w:eastAsia="Arial" w:hAnsi="Verdana" w:cs="Arial"/>
              </w:rPr>
              <w:t>en cada caso concreto</w:t>
            </w:r>
            <w:r>
              <w:rPr>
                <w:rFonts w:ascii="Verdana" w:eastAsia="Arial" w:hAnsi="Verdana" w:cs="Arial"/>
                <w:spacing w:val="1"/>
              </w:rPr>
              <w:t xml:space="preserve"> </w:t>
            </w:r>
            <w:r>
              <w:rPr>
                <w:rFonts w:ascii="Verdana" w:eastAsia="Arial" w:hAnsi="Verdana" w:cs="Arial"/>
              </w:rPr>
              <w:t>si en efecto</w:t>
            </w:r>
            <w:r>
              <w:rPr>
                <w:rFonts w:ascii="Verdana" w:eastAsia="Arial" w:hAnsi="Verdana" w:cs="Arial"/>
                <w:spacing w:val="1"/>
              </w:rPr>
              <w:t xml:space="preserve"> </w:t>
            </w:r>
            <w:r>
              <w:rPr>
                <w:rFonts w:ascii="Verdana" w:eastAsia="Arial" w:hAnsi="Verdana" w:cs="Arial"/>
              </w:rPr>
              <w:t>se cumplen las condiciones</w:t>
            </w:r>
            <w:r>
              <w:rPr>
                <w:rFonts w:ascii="Verdana" w:eastAsia="Arial" w:hAnsi="Verdana" w:cs="Arial"/>
                <w:spacing w:val="1"/>
              </w:rPr>
              <w:t xml:space="preserve"> </w:t>
            </w:r>
            <w:r>
              <w:rPr>
                <w:rFonts w:ascii="Verdana" w:eastAsia="Arial" w:hAnsi="Verdana" w:cs="Arial"/>
              </w:rPr>
              <w:t>antes</w:t>
            </w:r>
            <w:r>
              <w:rPr>
                <w:rFonts w:ascii="Verdana" w:eastAsia="Arial" w:hAnsi="Verdana" w:cs="Arial"/>
                <w:spacing w:val="1"/>
              </w:rPr>
              <w:t xml:space="preserve"> </w:t>
            </w:r>
            <w:r>
              <w:rPr>
                <w:rFonts w:ascii="Verdana" w:eastAsia="Arial" w:hAnsi="Verdana" w:cs="Arial"/>
              </w:rPr>
              <w:t>explicadas, verificando</w:t>
            </w:r>
            <w:r>
              <w:rPr>
                <w:rFonts w:ascii="Verdana" w:eastAsia="Arial" w:hAnsi="Verdana" w:cs="Arial"/>
                <w:spacing w:val="-10"/>
              </w:rPr>
              <w:t xml:space="preserve"> </w:t>
            </w:r>
            <w:r>
              <w:rPr>
                <w:rFonts w:ascii="Verdana" w:eastAsia="Arial" w:hAnsi="Verdana" w:cs="Arial"/>
              </w:rPr>
              <w:t>además</w:t>
            </w:r>
            <w:r>
              <w:rPr>
                <w:rFonts w:ascii="Verdana" w:eastAsia="Arial" w:hAnsi="Verdana" w:cs="Arial"/>
                <w:spacing w:val="-10"/>
              </w:rPr>
              <w:t xml:space="preserve"> </w:t>
            </w:r>
            <w:r>
              <w:rPr>
                <w:rFonts w:ascii="Verdana" w:eastAsia="Arial" w:hAnsi="Verdana" w:cs="Arial"/>
              </w:rPr>
              <w:t>que</w:t>
            </w:r>
            <w:r>
              <w:rPr>
                <w:rFonts w:ascii="Verdana" w:eastAsia="Arial" w:hAnsi="Verdana" w:cs="Arial"/>
                <w:spacing w:val="-10"/>
              </w:rPr>
              <w:t xml:space="preserve"> </w:t>
            </w:r>
            <w:r>
              <w:rPr>
                <w:rFonts w:ascii="Verdana" w:eastAsia="Arial" w:hAnsi="Verdana" w:cs="Arial"/>
              </w:rPr>
              <w:t>dicha</w:t>
            </w:r>
            <w:r>
              <w:rPr>
                <w:rFonts w:ascii="Verdana" w:eastAsia="Arial" w:hAnsi="Verdana" w:cs="Arial"/>
                <w:spacing w:val="-10"/>
              </w:rPr>
              <w:t xml:space="preserve"> </w:t>
            </w:r>
            <w:r>
              <w:rPr>
                <w:rFonts w:ascii="Verdana" w:eastAsia="Arial" w:hAnsi="Verdana" w:cs="Arial"/>
              </w:rPr>
              <w:t>acreditación</w:t>
            </w:r>
            <w:r>
              <w:rPr>
                <w:rFonts w:ascii="Verdana" w:eastAsia="Arial" w:hAnsi="Verdana" w:cs="Arial"/>
                <w:spacing w:val="-10"/>
              </w:rPr>
              <w:t xml:space="preserve"> </w:t>
            </w:r>
            <w:r>
              <w:rPr>
                <w:rFonts w:ascii="Verdana" w:eastAsia="Arial" w:hAnsi="Verdana" w:cs="Arial"/>
              </w:rPr>
              <w:t>se</w:t>
            </w:r>
            <w:r>
              <w:rPr>
                <w:rFonts w:ascii="Verdana" w:eastAsia="Arial" w:hAnsi="Verdana" w:cs="Arial"/>
                <w:spacing w:val="-10"/>
              </w:rPr>
              <w:t xml:space="preserve"> </w:t>
            </w:r>
            <w:r>
              <w:rPr>
                <w:rFonts w:ascii="Verdana" w:eastAsia="Arial" w:hAnsi="Verdana" w:cs="Arial"/>
              </w:rPr>
              <w:lastRenderedPageBreak/>
              <w:t>haga</w:t>
            </w:r>
            <w:r>
              <w:rPr>
                <w:rFonts w:ascii="Verdana" w:eastAsia="Arial" w:hAnsi="Verdana" w:cs="Arial"/>
                <w:spacing w:val="-10"/>
              </w:rPr>
              <w:t xml:space="preserve"> </w:t>
            </w:r>
            <w:r>
              <w:rPr>
                <w:rFonts w:ascii="Verdana" w:eastAsia="Arial" w:hAnsi="Verdana" w:cs="Arial"/>
              </w:rPr>
              <w:t>con</w:t>
            </w:r>
            <w:r>
              <w:rPr>
                <w:rFonts w:ascii="Verdana" w:eastAsia="Arial" w:hAnsi="Verdana" w:cs="Arial"/>
                <w:spacing w:val="-10"/>
              </w:rPr>
              <w:t xml:space="preserve"> </w:t>
            </w:r>
            <w:r>
              <w:rPr>
                <w:rFonts w:ascii="Verdana" w:eastAsia="Arial" w:hAnsi="Verdana" w:cs="Arial"/>
              </w:rPr>
              <w:t>sujeción</w:t>
            </w:r>
            <w:r>
              <w:rPr>
                <w:rFonts w:ascii="Verdana" w:eastAsia="Arial" w:hAnsi="Verdana" w:cs="Arial"/>
                <w:spacing w:val="-10"/>
              </w:rPr>
              <w:t xml:space="preserve"> </w:t>
            </w:r>
            <w:r>
              <w:rPr>
                <w:rFonts w:ascii="Verdana" w:eastAsia="Arial" w:hAnsi="Verdana" w:cs="Arial"/>
              </w:rPr>
              <w:t>al</w:t>
            </w:r>
            <w:r>
              <w:rPr>
                <w:rFonts w:ascii="Verdana" w:eastAsia="Arial" w:hAnsi="Verdana" w:cs="Arial"/>
                <w:spacing w:val="-10"/>
              </w:rPr>
              <w:t xml:space="preserve"> </w:t>
            </w:r>
            <w:r>
              <w:rPr>
                <w:rFonts w:ascii="Verdana" w:eastAsia="Arial" w:hAnsi="Verdana" w:cs="Arial"/>
              </w:rPr>
              <w:t>marco</w:t>
            </w:r>
            <w:r>
              <w:rPr>
                <w:rFonts w:ascii="Verdana" w:eastAsia="Arial" w:hAnsi="Verdana" w:cs="Arial"/>
                <w:spacing w:val="-10"/>
              </w:rPr>
              <w:t xml:space="preserve"> </w:t>
            </w:r>
            <w:r>
              <w:rPr>
                <w:rFonts w:ascii="Verdana" w:eastAsia="Arial" w:hAnsi="Verdana" w:cs="Arial"/>
              </w:rPr>
              <w:t>jurídico</w:t>
            </w:r>
            <w:r>
              <w:rPr>
                <w:rFonts w:ascii="Verdana" w:eastAsia="Arial" w:hAnsi="Verdana" w:cs="Arial"/>
                <w:spacing w:val="-10"/>
              </w:rPr>
              <w:t xml:space="preserve"> </w:t>
            </w:r>
            <w:r>
              <w:rPr>
                <w:rFonts w:ascii="Verdana" w:eastAsia="Arial" w:hAnsi="Verdana" w:cs="Arial"/>
              </w:rPr>
              <w:t>aplicable.</w:t>
            </w:r>
            <w:r>
              <w:rPr>
                <w:rFonts w:ascii="Verdana" w:eastAsia="Arial" w:hAnsi="Verdana" w:cs="Arial"/>
                <w:spacing w:val="41"/>
              </w:rPr>
              <w:t xml:space="preserve"> </w:t>
            </w:r>
            <w:r>
              <w:rPr>
                <w:rFonts w:ascii="Verdana" w:eastAsia="Arial" w:hAnsi="Verdana" w:cs="Arial"/>
              </w:rPr>
              <w:t>Para estos efectos deberá realizarse el análisis de cada uno de los empleos certificados para verificar si cada</w:t>
            </w:r>
            <w:r>
              <w:rPr>
                <w:rFonts w:ascii="Verdana" w:eastAsia="Arial" w:hAnsi="Verdana" w:cs="Arial"/>
                <w:spacing w:val="1"/>
              </w:rPr>
              <w:t xml:space="preserve"> </w:t>
            </w:r>
            <w:r>
              <w:rPr>
                <w:rFonts w:ascii="Verdana" w:eastAsia="Arial" w:hAnsi="Verdana" w:cs="Arial"/>
              </w:rPr>
              <w:t>uno</w:t>
            </w:r>
            <w:r>
              <w:rPr>
                <w:rFonts w:ascii="Verdana" w:eastAsia="Arial" w:hAnsi="Verdana" w:cs="Arial"/>
                <w:spacing w:val="1"/>
              </w:rPr>
              <w:t xml:space="preserve"> </w:t>
            </w:r>
            <w:r>
              <w:rPr>
                <w:rFonts w:ascii="Verdana" w:eastAsia="Arial" w:hAnsi="Verdana" w:cs="Arial"/>
              </w:rPr>
              <w:t>de ellos</w:t>
            </w:r>
            <w:r>
              <w:rPr>
                <w:rFonts w:ascii="Verdana" w:eastAsia="Arial" w:hAnsi="Verdana" w:cs="Arial"/>
                <w:spacing w:val="1"/>
              </w:rPr>
              <w:t xml:space="preserve"> </w:t>
            </w:r>
            <w:r>
              <w:rPr>
                <w:rFonts w:ascii="Verdana" w:eastAsia="Arial" w:hAnsi="Verdana" w:cs="Arial"/>
              </w:rPr>
              <w:t>puede</w:t>
            </w:r>
            <w:r>
              <w:rPr>
                <w:rFonts w:ascii="Verdana" w:eastAsia="Arial" w:hAnsi="Verdana" w:cs="Arial"/>
                <w:spacing w:val="1"/>
              </w:rPr>
              <w:t xml:space="preserve"> </w:t>
            </w:r>
            <w:r>
              <w:rPr>
                <w:rFonts w:ascii="Verdana" w:eastAsia="Arial" w:hAnsi="Verdana" w:cs="Arial"/>
              </w:rPr>
              <w:t>ser considerado</w:t>
            </w:r>
            <w:r>
              <w:rPr>
                <w:rFonts w:ascii="Verdana" w:eastAsia="Arial" w:hAnsi="Verdana" w:cs="Arial"/>
                <w:spacing w:val="1"/>
              </w:rPr>
              <w:t xml:space="preserve"> </w:t>
            </w:r>
            <w:r>
              <w:rPr>
                <w:rFonts w:ascii="Verdana" w:eastAsia="Arial" w:hAnsi="Verdana" w:cs="Arial"/>
              </w:rPr>
              <w:t>del</w:t>
            </w:r>
            <w:r>
              <w:rPr>
                <w:rFonts w:ascii="Verdana" w:eastAsia="Arial" w:hAnsi="Verdana" w:cs="Arial"/>
                <w:spacing w:val="1"/>
              </w:rPr>
              <w:t xml:space="preserve"> </w:t>
            </w:r>
            <w:r>
              <w:rPr>
                <w:rFonts w:ascii="Verdana" w:eastAsia="Arial" w:hAnsi="Verdana" w:cs="Arial"/>
              </w:rPr>
              <w:t>nivel</w:t>
            </w:r>
            <w:r>
              <w:rPr>
                <w:rFonts w:ascii="Verdana" w:eastAsia="Arial" w:hAnsi="Verdana" w:cs="Arial"/>
                <w:spacing w:val="1"/>
              </w:rPr>
              <w:t xml:space="preserve"> </w:t>
            </w:r>
            <w:r>
              <w:rPr>
                <w:rFonts w:ascii="Verdana" w:eastAsia="Arial" w:hAnsi="Verdana" w:cs="Arial"/>
              </w:rPr>
              <w:t>directivo</w:t>
            </w:r>
            <w:r>
              <w:rPr>
                <w:rFonts w:ascii="Verdana" w:eastAsia="Arial" w:hAnsi="Verdana" w:cs="Arial"/>
                <w:spacing w:val="1"/>
              </w:rPr>
              <w:t xml:space="preserve"> </w:t>
            </w:r>
            <w:r>
              <w:rPr>
                <w:rFonts w:ascii="Verdana" w:eastAsia="Arial" w:hAnsi="Verdana" w:cs="Arial"/>
              </w:rPr>
              <w:t>en virtud</w:t>
            </w:r>
            <w:r>
              <w:rPr>
                <w:rFonts w:ascii="Verdana" w:eastAsia="Arial" w:hAnsi="Verdana" w:cs="Arial"/>
                <w:spacing w:val="1"/>
              </w:rPr>
              <w:t xml:space="preserve"> </w:t>
            </w:r>
            <w:r>
              <w:rPr>
                <w:rFonts w:ascii="Verdana" w:eastAsia="Arial" w:hAnsi="Verdana" w:cs="Arial"/>
              </w:rPr>
              <w:t>de las funciones</w:t>
            </w:r>
            <w:r>
              <w:rPr>
                <w:rFonts w:ascii="Verdana" w:eastAsia="Arial" w:hAnsi="Verdana" w:cs="Arial"/>
                <w:spacing w:val="1"/>
              </w:rPr>
              <w:t xml:space="preserve"> </w:t>
            </w:r>
            <w:r>
              <w:rPr>
                <w:rFonts w:ascii="Verdana" w:eastAsia="Arial" w:hAnsi="Verdana" w:cs="Arial"/>
              </w:rPr>
              <w:t>que</w:t>
            </w:r>
            <w:r>
              <w:rPr>
                <w:rFonts w:ascii="Verdana" w:eastAsia="Arial" w:hAnsi="Verdana" w:cs="Arial"/>
                <w:spacing w:val="1"/>
              </w:rPr>
              <w:t xml:space="preserve"> </w:t>
            </w:r>
            <w:r>
              <w:rPr>
                <w:rFonts w:ascii="Verdana" w:eastAsia="Arial" w:hAnsi="Verdana" w:cs="Arial"/>
              </w:rPr>
              <w:t>tenga asignadas.</w:t>
            </w:r>
          </w:p>
          <w:p w14:paraId="058C5B28" w14:textId="77777777" w:rsidR="00FE5496" w:rsidRPr="003F2A16" w:rsidRDefault="00FE5496" w:rsidP="004B349E">
            <w:pPr>
              <w:widowControl w:val="0"/>
              <w:autoSpaceDE w:val="0"/>
              <w:autoSpaceDN w:val="0"/>
              <w:spacing w:after="120" w:line="276" w:lineRule="auto"/>
              <w:jc w:val="both"/>
              <w:rPr>
                <w:rFonts w:ascii="Verdana" w:eastAsia="Aptos" w:hAnsi="Verdana" w:cs="Times New Roman"/>
                <w:kern w:val="2"/>
                <w14:ligatures w14:val="standardContextual"/>
              </w:rPr>
            </w:pPr>
            <w:r>
              <w:rPr>
                <w:rFonts w:ascii="Verdana" w:eastAsia="Arial" w:hAnsi="Verdana" w:cs="Arial"/>
              </w:rPr>
              <w:t>iii.</w:t>
            </w:r>
            <w:r w:rsidRPr="003F2A16">
              <w:rPr>
                <w:rFonts w:ascii="Verdana" w:eastAsia="Aptos" w:hAnsi="Verdana" w:cs="Times New Roman"/>
                <w:kern w:val="2"/>
                <w14:ligatures w14:val="standardContextual"/>
              </w:rPr>
              <w:t xml:space="preserve"> Respecto de</w:t>
            </w:r>
            <w:r>
              <w:rPr>
                <w:rFonts w:ascii="Verdana" w:eastAsia="Aptos" w:hAnsi="Verdana" w:cs="Times New Roman"/>
                <w:kern w:val="2"/>
                <w14:ligatures w14:val="standardContextual"/>
              </w:rPr>
              <w:t xml:space="preserve">l certificado de </w:t>
            </w:r>
            <w:r w:rsidRPr="003F2A16">
              <w:rPr>
                <w:rFonts w:ascii="Verdana" w:eastAsia="Aptos" w:hAnsi="Verdana" w:cs="Times New Roman"/>
                <w:kern w:val="2"/>
                <w14:ligatures w14:val="standardContextual"/>
              </w:rPr>
              <w:t>discapacidad</w:t>
            </w:r>
            <w:r>
              <w:rPr>
                <w:rFonts w:ascii="Verdana" w:eastAsia="Aptos" w:hAnsi="Verdana" w:cs="Times New Roman"/>
                <w:kern w:val="2"/>
                <w14:ligatures w14:val="standardContextual"/>
              </w:rPr>
              <w:t xml:space="preserve"> </w:t>
            </w:r>
            <w:r w:rsidRPr="003F2A16">
              <w:rPr>
                <w:rFonts w:ascii="Verdana" w:eastAsia="Aptos" w:hAnsi="Verdana" w:cs="Times New Roman"/>
                <w:kern w:val="2"/>
                <w14:ligatures w14:val="standardContextual"/>
              </w:rPr>
              <w:t xml:space="preserve">expedido en los términos </w:t>
            </w:r>
            <w:r>
              <w:rPr>
                <w:rFonts w:ascii="Verdana" w:eastAsia="Aptos" w:hAnsi="Verdana" w:cs="Times New Roman"/>
                <w:kern w:val="2"/>
                <w14:ligatures w14:val="standardContextual"/>
              </w:rPr>
              <w:t xml:space="preserve">establecidos por la normativa del </w:t>
            </w:r>
            <w:r w:rsidRPr="003F2A16">
              <w:rPr>
                <w:rFonts w:ascii="Verdana" w:eastAsia="Aptos" w:hAnsi="Verdana" w:cs="Times New Roman"/>
                <w:kern w:val="2"/>
                <w14:ligatures w14:val="standardContextual"/>
              </w:rPr>
              <w:t>Ministerio de Salud y Protección Social</w:t>
            </w:r>
            <w:r>
              <w:rPr>
                <w:rFonts w:ascii="Verdana" w:eastAsia="Aptos" w:hAnsi="Verdana" w:cs="Times New Roman"/>
                <w:kern w:val="2"/>
                <w14:ligatures w14:val="standardContextual"/>
              </w:rPr>
              <w:t xml:space="preserve"> requerido para acceder a las medidas afirmativas señaladas en el Decreto 287 de 2026</w:t>
            </w:r>
            <w:r w:rsidRPr="003F2A16">
              <w:rPr>
                <w:rFonts w:ascii="Verdana" w:eastAsia="Aptos" w:hAnsi="Verdana" w:cs="Times New Roman"/>
                <w:kern w:val="2"/>
                <w14:ligatures w14:val="standardContextual"/>
              </w:rPr>
              <w:t xml:space="preserve">, se advierte que la disposición normativa no exige la acreditación de un porcentaje mínimo de pérdida de capacidad laboral o funcional. </w:t>
            </w:r>
            <w:r>
              <w:rPr>
                <w:rFonts w:ascii="Verdana" w:eastAsia="Aptos" w:hAnsi="Verdana" w:cs="Times New Roman"/>
                <w:kern w:val="2"/>
                <w14:ligatures w14:val="standardContextual"/>
              </w:rPr>
              <w:t xml:space="preserve">Esta disposición </w:t>
            </w:r>
            <w:r w:rsidRPr="003F2A16">
              <w:rPr>
                <w:rFonts w:ascii="Verdana" w:eastAsia="Aptos" w:hAnsi="Verdana" w:cs="Times New Roman"/>
                <w:kern w:val="2"/>
                <w14:ligatures w14:val="standardContextual"/>
              </w:rPr>
              <w:t>se limita a señalar que deberá aportarse el certificado de discapacidad expedido conforme a la normativa vigente del Ministerio de Salud y Protección Social.</w:t>
            </w:r>
          </w:p>
          <w:p w14:paraId="7491C187" w14:textId="77777777" w:rsidR="00FE5496" w:rsidRDefault="00FE5496" w:rsidP="004B349E">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F2A16">
              <w:rPr>
                <w:rFonts w:ascii="Verdana" w:eastAsia="Aptos" w:hAnsi="Verdana" w:cs="Times New Roman"/>
                <w:kern w:val="2"/>
                <w14:ligatures w14:val="standardContextual"/>
              </w:rPr>
              <w:t xml:space="preserve">En ese sentido, una interpretación literal y sistemática de la norma permite concluir que no </w:t>
            </w:r>
            <w:r>
              <w:rPr>
                <w:rFonts w:ascii="Verdana" w:eastAsia="Aptos" w:hAnsi="Verdana" w:cs="Times New Roman"/>
                <w:kern w:val="2"/>
                <w14:ligatures w14:val="standardContextual"/>
              </w:rPr>
              <w:t xml:space="preserve">se </w:t>
            </w:r>
            <w:r w:rsidRPr="003F2A16">
              <w:rPr>
                <w:rFonts w:ascii="Verdana" w:eastAsia="Aptos" w:hAnsi="Verdana" w:cs="Times New Roman"/>
                <w:kern w:val="2"/>
                <w14:ligatures w14:val="standardContextual"/>
              </w:rPr>
              <w:t>condicionó el acceso a las medidas afirmativas previstas en el Decreto 287 de 2026 a la verificación de un umbral específico de discapacidad, sino únicamente a la existencia de una certificación válida emitida por la autoridad competente.</w:t>
            </w:r>
            <w:r>
              <w:rPr>
                <w:rFonts w:ascii="Verdana" w:eastAsia="Aptos" w:hAnsi="Verdana" w:cs="Times New Roman"/>
                <w:kern w:val="2"/>
                <w14:ligatures w14:val="standardContextual"/>
              </w:rPr>
              <w:t xml:space="preserve"> </w:t>
            </w:r>
            <w:r w:rsidRPr="00CE5DB0">
              <w:rPr>
                <w:rFonts w:ascii="Verdana" w:eastAsia="Aptos" w:hAnsi="Verdana" w:cs="Times New Roman"/>
                <w:kern w:val="2"/>
                <w14:ligatures w14:val="standardContextual"/>
              </w:rPr>
              <w:t>Esto se refuerza a lo largo del Decreto, en la medida en que ninguna de las disposiciones que regulan la exigencia del certificado de discapacidad hace referencia a la acreditación de un porcentaje específico</w:t>
            </w:r>
            <w:r>
              <w:rPr>
                <w:rFonts w:ascii="Verdana" w:eastAsia="Aptos" w:hAnsi="Verdana" w:cs="Times New Roman"/>
                <w:kern w:val="2"/>
                <w14:ligatures w14:val="standardContextual"/>
              </w:rPr>
              <w:t xml:space="preserve">. </w:t>
            </w:r>
            <w:r w:rsidRPr="003F2A16">
              <w:rPr>
                <w:rFonts w:ascii="Verdana" w:eastAsia="Aptos" w:hAnsi="Verdana" w:cs="Times New Roman"/>
                <w:kern w:val="2"/>
                <w14:ligatures w14:val="standardContextual"/>
              </w:rPr>
              <w:t xml:space="preserve">Así, para efectos de la acreditación del requisito, resulta suficiente que el proponente allegue el certificado de discapacidad expedido en los términos </w:t>
            </w:r>
            <w:r>
              <w:rPr>
                <w:rFonts w:ascii="Verdana" w:eastAsia="Aptos" w:hAnsi="Verdana" w:cs="Times New Roman"/>
                <w:kern w:val="2"/>
                <w14:ligatures w14:val="standardContextual"/>
              </w:rPr>
              <w:t xml:space="preserve">establecidos por la normativa del </w:t>
            </w:r>
            <w:r w:rsidRPr="003F2A16">
              <w:rPr>
                <w:rFonts w:ascii="Verdana" w:eastAsia="Aptos" w:hAnsi="Verdana" w:cs="Times New Roman"/>
                <w:kern w:val="2"/>
                <w14:ligatures w14:val="standardContextual"/>
              </w:rPr>
              <w:t>Ministerio de Salud y Protección Social, sin que sea procedente exigir porcentajes mínimos</w:t>
            </w:r>
            <w:r>
              <w:rPr>
                <w:rFonts w:ascii="Verdana" w:eastAsia="Aptos" w:hAnsi="Verdana" w:cs="Times New Roman"/>
                <w:kern w:val="2"/>
                <w14:ligatures w14:val="standardContextual"/>
              </w:rPr>
              <w:t xml:space="preserve"> de discapacidad</w:t>
            </w:r>
            <w:r w:rsidRPr="003F2A16">
              <w:rPr>
                <w:rFonts w:ascii="Verdana" w:eastAsia="Aptos" w:hAnsi="Verdana" w:cs="Times New Roman"/>
                <w:kern w:val="2"/>
                <w14:ligatures w14:val="standardContextual"/>
              </w:rPr>
              <w:t xml:space="preserve"> no previstos expresamente en la norma</w:t>
            </w:r>
            <w:r>
              <w:rPr>
                <w:rFonts w:ascii="Verdana" w:eastAsia="Aptos" w:hAnsi="Verdana" w:cs="Times New Roman"/>
                <w:kern w:val="2"/>
                <w14:ligatures w14:val="standardContextual"/>
              </w:rPr>
              <w:t xml:space="preserve">. </w:t>
            </w:r>
          </w:p>
          <w:p w14:paraId="16BA5A7F" w14:textId="77777777" w:rsidR="00FE5496" w:rsidRDefault="00FE5496" w:rsidP="004B349E">
            <w:pPr>
              <w:widowControl w:val="0"/>
              <w:autoSpaceDE w:val="0"/>
              <w:autoSpaceDN w:val="0"/>
              <w:spacing w:after="120" w:line="276" w:lineRule="auto"/>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iv. E</w:t>
            </w:r>
            <w:r w:rsidRPr="00782E4A">
              <w:rPr>
                <w:rFonts w:ascii="Verdana" w:eastAsia="Arial" w:hAnsi="Verdana" w:cs="Arial"/>
              </w:rPr>
              <w:t xml:space="preserve">l </w:t>
            </w:r>
            <w:r w:rsidRPr="00D35021">
              <w:rPr>
                <w:rFonts w:ascii="Verdana" w:eastAsia="Aptos" w:hAnsi="Verdana" w:cs="Times New Roman"/>
                <w:kern w:val="2"/>
                <w14:ligatures w14:val="standardContextual"/>
              </w:rPr>
              <w:t xml:space="preserve">parágrafo 2 del artículo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del Decreto 287 de 2026 señala que “</w:t>
            </w:r>
            <w:r w:rsidRPr="00D35021">
              <w:rPr>
                <w:rFonts w:ascii="Verdana" w:eastAsia="Aptos" w:hAnsi="Verdana" w:cs="Times New Roman"/>
                <w:kern w:val="2"/>
                <w14:ligatures w14:val="standardContextual"/>
              </w:rPr>
              <w:t>el puntaje adicional previsto en este artículo no excluye la aplicación de incentivos contractuales ni de criterios diferenciales en favor de las MiPymes y los emprendimientos y empresas de mujeres”. Esto significa que el puntaje aquí previsto es acumulable con el puntaje que favorezca a los proponentes que acrediten la calidad de emprendimiento y empresas de mujeres y los que ostentan la condición de Mipyme, de conformidad con lo dispuesto en el Decreto 1860 de 2021.</w:t>
            </w:r>
          </w:p>
          <w:p w14:paraId="062E76C2" w14:textId="77777777" w:rsidR="00FE5496" w:rsidRPr="00D35021" w:rsidRDefault="00FE5496" w:rsidP="004B349E">
            <w:pPr>
              <w:widowControl w:val="0"/>
              <w:autoSpaceDE w:val="0"/>
              <w:autoSpaceDN w:val="0"/>
              <w:spacing w:after="120" w:line="276" w:lineRule="auto"/>
              <w:ind w:firstLine="743"/>
              <w:jc w:val="both"/>
              <w:rPr>
                <w:rFonts w:ascii="Verdana" w:eastAsia="Aptos" w:hAnsi="Verdana" w:cs="Times New Roman"/>
                <w:kern w:val="2"/>
                <w14:ligatures w14:val="standardContextual"/>
              </w:rPr>
            </w:pPr>
            <w:r w:rsidRPr="00D35021">
              <w:rPr>
                <w:rFonts w:ascii="Verdana" w:eastAsia="Aptos" w:hAnsi="Verdana" w:cs="Times New Roman"/>
                <w:kern w:val="2"/>
                <w14:ligatures w14:val="standardContextual"/>
              </w:rPr>
              <w:t xml:space="preserve">En este sentido, el alcance práctico de lo dispuesto en el parágrafo 2 del artículo 2.2.1.2.4.2.7.4 del Decreto 287 de 2026 consiste en que, en los procedimientos de licitación pública y concurso de méritos, la entidad estatal </w:t>
            </w:r>
            <w:r w:rsidRPr="00D35021">
              <w:rPr>
                <w:rFonts w:ascii="Verdana" w:eastAsia="Aptos" w:hAnsi="Verdana" w:cs="Times New Roman"/>
                <w:kern w:val="2"/>
                <w14:ligatures w14:val="standardContextual"/>
              </w:rPr>
              <w:lastRenderedPageBreak/>
              <w:t xml:space="preserve">deberá otorgar: (i) un puntaje de hasta el 0,25% a los proponentes que acrediten la condición de MiPyme; (ii) un puntaje de hasta el 0,25% a quienes acrediten la calidad de emprendimientos y empresas de mujeres; y (iii) un puntaje adicional de hasta el 2% del total de los puntos previstos en los pliegos de condiciones o documentos equivalentes, a los oferentes que acrediten la calidad de emprendimientos y empresas de personas con discapacidad, o que sean empleadores de personas con discapacidad. Lo anterior, sin perjuicio de los demás requisitos de evaluación que se deben establecer de acuerdo con cada modalidad de selección. </w:t>
            </w:r>
          </w:p>
          <w:p w14:paraId="3F8EA1EE" w14:textId="77777777" w:rsidR="00FE5496" w:rsidRDefault="00FE5496" w:rsidP="004B349E">
            <w:pPr>
              <w:widowControl w:val="0"/>
              <w:autoSpaceDE w:val="0"/>
              <w:autoSpaceDN w:val="0"/>
              <w:spacing w:after="120" w:line="276" w:lineRule="auto"/>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v. </w:t>
            </w:r>
            <w:r>
              <w:rPr>
                <w:rFonts w:ascii="Verdana" w:eastAsia="Arial" w:hAnsi="Verdana" w:cs="Arial"/>
              </w:rPr>
              <w:t>Finalmente, en relación con el inicio de vigencia del Decreto 287 de 2026</w:t>
            </w:r>
            <w:r w:rsidRPr="001B3C5D">
              <w:rPr>
                <w:rFonts w:ascii="Verdana" w:eastAsia="Aptos" w:hAnsi="Verdana" w:cs="Times New Roman"/>
                <w:kern w:val="2"/>
                <w14:ligatures w14:val="standardContextual"/>
              </w:rPr>
              <w:t>, el artículo 2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w:t>
            </w:r>
            <w:r>
              <w:rPr>
                <w:rFonts w:ascii="Verdana" w:eastAsia="Aptos" w:hAnsi="Verdana" w:cs="Times New Roman"/>
                <w:kern w:val="2"/>
                <w14:ligatures w14:val="standardContextual"/>
              </w:rPr>
              <w:t>y</w:t>
            </w:r>
            <w:r w:rsidRPr="001B3C5D">
              <w:rPr>
                <w:rFonts w:ascii="Verdana" w:eastAsia="Aptos" w:hAnsi="Verdana" w:cs="Times New Roman"/>
                <w:kern w:val="2"/>
                <w14:ligatures w14:val="standardContextual"/>
              </w:rPr>
              <w:t xml:space="preserve"> 2.2.1.2.4.2.8. de la Subsección 2 de la Sección 4 del Capítulo 2 del Título 1 de la Parte 2 del Libro 2 del Decreto 1082 de 2015, Único Reglamentario del Sector Administrativo de Planeación, y deroga todas las disposiciones que le sean contrarias”.</w:t>
            </w:r>
            <w:r>
              <w:rPr>
                <w:rFonts w:ascii="Verdana" w:eastAsia="Aptos" w:hAnsi="Verdana" w:cs="Times New Roman"/>
                <w:kern w:val="2"/>
                <w14:ligatures w14:val="standardContextual"/>
              </w:rPr>
              <w:t xml:space="preserve"> Este decreto fue publicado el 19 de marzo de 2026, por lo que empezó a regir a partir del 20 de marzo.</w:t>
            </w:r>
          </w:p>
          <w:p w14:paraId="5DE6FCCE" w14:textId="77777777" w:rsidR="00FE5496" w:rsidRPr="00BD2EF9" w:rsidRDefault="00FE5496" w:rsidP="004B349E">
            <w:pPr>
              <w:widowControl w:val="0"/>
              <w:autoSpaceDE w:val="0"/>
              <w:autoSpaceDN w:val="0"/>
              <w:spacing w:after="120" w:line="276" w:lineRule="auto"/>
              <w:ind w:firstLine="743"/>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Así, l</w:t>
            </w:r>
            <w:r w:rsidRPr="00BD2EF9">
              <w:rPr>
                <w:rFonts w:ascii="Verdana" w:eastAsia="Aptos" w:hAnsi="Verdana" w:cs="Times New Roman"/>
                <w:kern w:val="2"/>
                <w14:ligatures w14:val="standardContextual"/>
              </w:rPr>
              <w:t>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ii)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017D4068" w14:textId="77777777" w:rsidR="00FE5496" w:rsidRPr="001B3C5D" w:rsidRDefault="00FE5496" w:rsidP="004B349E">
            <w:pPr>
              <w:widowControl w:val="0"/>
              <w:autoSpaceDE w:val="0"/>
              <w:autoSpaceDN w:val="0"/>
              <w:spacing w:after="120" w:line="276" w:lineRule="auto"/>
              <w:ind w:firstLine="743"/>
              <w:jc w:val="both"/>
              <w:rPr>
                <w:rFonts w:ascii="Verdana" w:eastAsia="Aptos" w:hAnsi="Verdana" w:cs="Times New Roman"/>
                <w:kern w:val="2"/>
                <w14:ligatures w14:val="standardContextual"/>
              </w:rPr>
            </w:pPr>
            <w:r w:rsidRPr="00BD2EF9">
              <w:rPr>
                <w:rFonts w:ascii="Verdana" w:eastAsia="Aptos" w:hAnsi="Verdana" w:cs="Times New Roman"/>
                <w:kern w:val="2"/>
                <w14:ligatures w14:val="standardContextu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p>
        </w:tc>
      </w:tr>
    </w:tbl>
    <w:p w14:paraId="0D489DF1" w14:textId="77777777" w:rsidR="00FE5496" w:rsidRPr="001B3C5D" w:rsidRDefault="00FE5496" w:rsidP="00FE5496">
      <w:pPr>
        <w:tabs>
          <w:tab w:val="left" w:pos="142"/>
          <w:tab w:val="left" w:pos="284"/>
        </w:tabs>
        <w:spacing w:after="0" w:line="276" w:lineRule="auto"/>
        <w:jc w:val="both"/>
        <w:rPr>
          <w:rFonts w:ascii="Verdana" w:eastAsia="Century Gothic" w:hAnsi="Verdana" w:cs="Century Gothic"/>
          <w:b/>
          <w:bCs/>
          <w:lang w:val="es-ES"/>
        </w:rPr>
      </w:pPr>
    </w:p>
    <w:p w14:paraId="35DFEAE3" w14:textId="77777777" w:rsidR="00FE5496" w:rsidRPr="001B3C5D" w:rsidRDefault="00FE5496" w:rsidP="00FE5496">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entury Gothic" w:hAnsi="Verdana" w:cs="Century Gothic"/>
          <w:b/>
          <w:bCs/>
          <w:lang w:val="es-ES"/>
        </w:rPr>
        <w:t>3. Razones de la respuesta:</w:t>
      </w:r>
    </w:p>
    <w:p w14:paraId="6A42D31D" w14:textId="77777777" w:rsidR="00FE5496" w:rsidRPr="001B3C5D" w:rsidRDefault="00FE5496" w:rsidP="00FE5496">
      <w:pPr>
        <w:spacing w:after="0" w:line="276" w:lineRule="auto"/>
        <w:jc w:val="both"/>
        <w:rPr>
          <w:rFonts w:ascii="Verdana" w:eastAsia="Calibri" w:hAnsi="Verdana" w:cs="Arial"/>
          <w:lang w:val="es-ES"/>
        </w:rPr>
      </w:pPr>
    </w:p>
    <w:p w14:paraId="20A9F8C5" w14:textId="77777777" w:rsidR="00FE5496" w:rsidRPr="001B3C5D" w:rsidRDefault="00FE5496" w:rsidP="00FE5496">
      <w:pPr>
        <w:spacing w:after="0" w:line="276" w:lineRule="auto"/>
        <w:jc w:val="both"/>
        <w:rPr>
          <w:rFonts w:ascii="Verdana" w:eastAsia="Calibri" w:hAnsi="Verdana" w:cs="Arial"/>
          <w:lang w:val="es-ES"/>
        </w:rPr>
      </w:pPr>
      <w:r w:rsidRPr="001B3C5D">
        <w:rPr>
          <w:rFonts w:ascii="Verdana" w:eastAsia="Calibri" w:hAnsi="Verdana" w:cs="Arial"/>
          <w:lang w:val="es-ES"/>
        </w:rPr>
        <w:t xml:space="preserve">Lo anterior se sustenta en las siguientes consideraciones: </w:t>
      </w:r>
    </w:p>
    <w:p w14:paraId="33B9735C" w14:textId="77777777" w:rsidR="00FE5496" w:rsidRPr="001B3C5D" w:rsidRDefault="00FE5496" w:rsidP="00FE5496">
      <w:pPr>
        <w:widowControl w:val="0"/>
        <w:autoSpaceDE w:val="0"/>
        <w:autoSpaceDN w:val="0"/>
        <w:spacing w:after="0" w:line="276" w:lineRule="auto"/>
        <w:jc w:val="both"/>
        <w:rPr>
          <w:rFonts w:ascii="Verdana" w:eastAsia="Aptos" w:hAnsi="Verdana" w:cs="Times New Roman"/>
          <w:kern w:val="2"/>
          <w:sz w:val="24"/>
          <w:szCs w:val="24"/>
          <w14:ligatures w14:val="standardContextual"/>
        </w:rPr>
      </w:pPr>
      <w:bookmarkStart w:id="1" w:name="_Hlk113022941"/>
    </w:p>
    <w:p w14:paraId="6C8B696F" w14:textId="77777777" w:rsidR="00FE5496" w:rsidRPr="00206556" w:rsidRDefault="00FE5496" w:rsidP="00FE5496">
      <w:pPr>
        <w:spacing w:after="120" w:line="276" w:lineRule="auto"/>
        <w:jc w:val="both"/>
        <w:rPr>
          <w:rFonts w:ascii="Verdana" w:hAnsi="Verdana"/>
        </w:rPr>
      </w:pPr>
      <w:r>
        <w:rPr>
          <w:rFonts w:ascii="Verdana" w:eastAsia="Aptos" w:hAnsi="Verdana" w:cs="Times New Roman"/>
          <w:kern w:val="2"/>
          <w14:ligatures w14:val="standardContextual"/>
        </w:rPr>
        <w:t xml:space="preserve">i. </w:t>
      </w:r>
      <w:r w:rsidRPr="00206556">
        <w:rPr>
          <w:rFonts w:ascii="Verdana" w:eastAsia="Times New Roman" w:hAnsi="Verdana" w:cs="Times New Roman"/>
        </w:rPr>
        <w:t>El fundamento del Sistema de Preferencias para P</w:t>
      </w:r>
      <w:r>
        <w:rPr>
          <w:rFonts w:ascii="Verdana" w:eastAsia="Times New Roman" w:hAnsi="Verdana" w:cs="Times New Roman"/>
        </w:rPr>
        <w:t xml:space="preserve">ersonas </w:t>
      </w:r>
      <w:r w:rsidRPr="00206556">
        <w:rPr>
          <w:rFonts w:ascii="Verdana" w:eastAsia="Times New Roman" w:hAnsi="Verdana" w:cs="Times New Roman"/>
        </w:rPr>
        <w:t>c</w:t>
      </w:r>
      <w:r>
        <w:rPr>
          <w:rFonts w:ascii="Verdana" w:eastAsia="Times New Roman" w:hAnsi="Verdana" w:cs="Times New Roman"/>
        </w:rPr>
        <w:t xml:space="preserve">on </w:t>
      </w:r>
      <w:r w:rsidRPr="00206556">
        <w:rPr>
          <w:rFonts w:ascii="Verdana" w:eastAsia="Times New Roman" w:hAnsi="Verdana" w:cs="Times New Roman"/>
        </w:rPr>
        <w:t>D</w:t>
      </w:r>
      <w:r>
        <w:rPr>
          <w:rFonts w:ascii="Verdana" w:eastAsia="Times New Roman" w:hAnsi="Verdana" w:cs="Times New Roman"/>
        </w:rPr>
        <w:t>iscapacidad (PcD)</w:t>
      </w:r>
      <w:r w:rsidRPr="00206556">
        <w:rPr>
          <w:rFonts w:ascii="Verdana" w:eastAsia="Times New Roman" w:hAnsi="Verdana" w:cs="Times New Roman"/>
        </w:rPr>
        <w:t xml:space="preserve">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3B58BF6F" w14:textId="77777777" w:rsidR="00FE5496" w:rsidRPr="00206556" w:rsidRDefault="00FE5496" w:rsidP="00FE5496">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56B4E5C2" w14:textId="77777777" w:rsidR="00FE5496" w:rsidRPr="00206556" w:rsidRDefault="00FE5496" w:rsidP="00FE5496">
      <w:pPr>
        <w:spacing w:after="120" w:line="276" w:lineRule="auto"/>
        <w:jc w:val="both"/>
        <w:rPr>
          <w:rFonts w:ascii="Verdana" w:hAnsi="Verdana"/>
        </w:rPr>
      </w:pPr>
      <w:r w:rsidRPr="00206556">
        <w:rPr>
          <w:rFonts w:ascii="Verdana" w:eastAsia="Times New Roman" w:hAnsi="Verdana" w:cs="Times New Roman"/>
          <w:b/>
          <w:bCs/>
        </w:rPr>
        <w:lastRenderedPageBreak/>
        <w:t xml:space="preserve">        </w:t>
      </w:r>
      <w:r w:rsidRPr="00206556">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74DF148C" w14:textId="77777777" w:rsidR="00FE5496" w:rsidRPr="00206556" w:rsidRDefault="00FE5496" w:rsidP="00FE5496">
      <w:pPr>
        <w:spacing w:after="120" w:line="276" w:lineRule="auto"/>
        <w:ind w:firstLine="709"/>
        <w:jc w:val="both"/>
        <w:rPr>
          <w:rFonts w:ascii="Verdana" w:hAnsi="Verdana"/>
        </w:rPr>
      </w:pPr>
      <w:r w:rsidRPr="00206556">
        <w:rPr>
          <w:rFonts w:ascii="Verdana" w:eastAsia="Times New Roman" w:hAnsi="Verdana" w:cs="Times New Roman"/>
        </w:rPr>
        <w:t xml:space="preserve">La Ley Estatutaria 1618 de 2013 representó un salto cualitativo en el marco jurídico de protección de las PcD, al definir a estas como </w:t>
      </w:r>
      <w:r w:rsidRPr="00670DE8">
        <w:rPr>
          <w:rFonts w:ascii="Verdana" w:eastAsia="Times New Roman" w:hAnsi="Verdana" w:cs="Times New Roman"/>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2D242D3B" w14:textId="77777777" w:rsidR="00FE5496" w:rsidRPr="00E727F0" w:rsidRDefault="00FE5496" w:rsidP="00FE5496">
      <w:pPr>
        <w:spacing w:after="120" w:line="276" w:lineRule="auto"/>
        <w:ind w:firstLine="709"/>
        <w:jc w:val="both"/>
        <w:rPr>
          <w:rFonts w:ascii="Verdana" w:hAnsi="Verdana"/>
        </w:rPr>
      </w:pPr>
      <w:r w:rsidRPr="00E727F0">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w:t>
      </w:r>
      <w:r>
        <w:rPr>
          <w:rFonts w:ascii="Verdana" w:hAnsi="Verdana"/>
        </w:rPr>
        <w:t>, pues</w:t>
      </w:r>
      <w:r w:rsidRPr="00E727F0">
        <w:rPr>
          <w:rFonts w:ascii="Verdana" w:hAnsi="Verdana"/>
        </w:rPr>
        <w:t xml:space="preserve"> solo contempló el 1% de puntaje para empleadores de PcD, sin incluir a las </w:t>
      </w:r>
      <w:r w:rsidRPr="00E727F0">
        <w:rPr>
          <w:rFonts w:ascii="Verdana" w:hAnsi="Verdana"/>
        </w:rPr>
        <w:lastRenderedPageBreak/>
        <w:t>empresas de PcD</w:t>
      </w:r>
      <w:r>
        <w:rPr>
          <w:rFonts w:ascii="Verdana" w:hAnsi="Verdana"/>
        </w:rPr>
        <w:t>,</w:t>
      </w:r>
      <w:r w:rsidRPr="00E727F0">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5FE7F956" w14:textId="77777777" w:rsidR="00FE5496" w:rsidRPr="00DF1F0B" w:rsidRDefault="00FE5496" w:rsidP="00FE5496">
      <w:pPr>
        <w:spacing w:after="120" w:line="276" w:lineRule="auto"/>
        <w:ind w:firstLine="709"/>
        <w:jc w:val="both"/>
        <w:rPr>
          <w:rFonts w:ascii="Verdana" w:eastAsia="Aptos" w:hAnsi="Verdana" w:cs="Times New Roman"/>
          <w:kern w:val="2"/>
          <w14:ligatures w14:val="standardContextual"/>
        </w:rPr>
      </w:pPr>
      <w:r w:rsidRPr="00A420A9">
        <w:rPr>
          <w:rFonts w:ascii="Verdana" w:hAnsi="Verdana"/>
        </w:rPr>
        <w:t>L</w:t>
      </w:r>
      <w:r>
        <w:rPr>
          <w:rFonts w:ascii="Verdana" w:hAnsi="Verdana"/>
        </w:rPr>
        <w:t>o anterior fue ratificado por el Consejo de Estado</w:t>
      </w:r>
      <w:r>
        <w:rPr>
          <w:rStyle w:val="Refdenotaalpie"/>
          <w:rFonts w:ascii="Verdana" w:hAnsi="Verdana"/>
        </w:rPr>
        <w:footnoteReference w:id="9"/>
      </w:r>
      <w:r>
        <w:rPr>
          <w:rFonts w:ascii="Verdana" w:hAnsi="Verdana"/>
        </w:rPr>
        <w:t>,</w:t>
      </w:r>
      <w:r w:rsidRPr="008332CA">
        <w:rPr>
          <w:rFonts w:ascii="Verdana" w:eastAsia="Aptos" w:hAnsi="Verdana" w:cs="Times New Roman"/>
          <w:kern w:val="2"/>
          <w14:ligatures w14:val="standardContextual"/>
        </w:rPr>
        <w:t xml:space="preserve"> </w:t>
      </w:r>
      <w:r w:rsidRPr="001B3C5D">
        <w:rPr>
          <w:rFonts w:ascii="Verdana" w:eastAsia="Aptos" w:hAnsi="Verdana" w:cs="Times New Roman"/>
          <w:kern w:val="2"/>
          <w14:ligatures w14:val="standardContextual"/>
        </w:rPr>
        <w:t>que mediante una acción de cumplimiento</w:t>
      </w:r>
      <w:r>
        <w:rPr>
          <w:rFonts w:ascii="Verdana" w:eastAsia="Aptos" w:hAnsi="Verdana" w:cs="Times New Roman"/>
          <w:kern w:val="2"/>
          <w14:ligatures w14:val="standardContextual"/>
        </w:rPr>
        <w:t xml:space="preserve">, </w:t>
      </w:r>
      <w:r w:rsidRPr="00A420A9">
        <w:rPr>
          <w:rFonts w:ascii="Verdana" w:hAnsi="Verdana"/>
        </w:rPr>
        <w:t xml:space="preserve">declaró el incumplimiento </w:t>
      </w:r>
      <w:r w:rsidRPr="001B3C5D">
        <w:rPr>
          <w:rFonts w:ascii="Verdana" w:eastAsia="Aptos" w:hAnsi="Verdana" w:cs="Times New Roman"/>
          <w:kern w:val="2"/>
          <w14:ligatures w14:val="standardContextual"/>
        </w:rPr>
        <w:t>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r>
        <w:rPr>
          <w:rFonts w:ascii="Verdana" w:eastAsia="Aptos" w:hAnsi="Verdana" w:cs="Times New Roman"/>
          <w:kern w:val="2"/>
          <w14:ligatures w14:val="standardContextual"/>
        </w:rPr>
        <w:t xml:space="preserve"> </w:t>
      </w:r>
      <w:r w:rsidRPr="00A420A9">
        <w:rPr>
          <w:rFonts w:ascii="Verdana" w:hAnsi="Verdana"/>
        </w:rPr>
        <w:t>La Sala calificó la obligación como imperativa, expresa e inobjetable, señalando que el Gobierno Nacional no contaba con margen de discrecionalidad para decidir si reglamentaba o no el sistema de preferencias</w:t>
      </w:r>
      <w:r>
        <w:rPr>
          <w:rFonts w:ascii="Verdana" w:hAnsi="Verdana"/>
        </w:rPr>
        <w:t>.</w:t>
      </w:r>
    </w:p>
    <w:p w14:paraId="61554E54" w14:textId="77777777" w:rsidR="00FE5496" w:rsidRPr="00C42155" w:rsidRDefault="00FE5496" w:rsidP="00FE5496">
      <w:pPr>
        <w:spacing w:after="120" w:line="276" w:lineRule="auto"/>
        <w:ind w:firstLine="709"/>
        <w:jc w:val="both"/>
        <w:rPr>
          <w:rFonts w:ascii="Verdana" w:hAnsi="Verdana"/>
        </w:rPr>
      </w:pPr>
      <w:r w:rsidRPr="00E727F0">
        <w:rPr>
          <w:rFonts w:ascii="Verdana" w:hAnsi="Verdana"/>
        </w:rPr>
        <w:t>En cumplimiento de esa decisión fue expedido el Decreto 0287 de 2026, el cual</w:t>
      </w:r>
      <w:r>
        <w:rPr>
          <w:rFonts w:ascii="Verdana" w:hAnsi="Verdana"/>
        </w:rPr>
        <w:t xml:space="preserve"> </w:t>
      </w:r>
      <w:r w:rsidRPr="00E727F0">
        <w:rPr>
          <w:rFonts w:ascii="Verdana" w:hAnsi="Verdana"/>
        </w:rPr>
        <w:t>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y que benefician a dos sujetos diferenciados: los emprendimientos y empresas de PcD y los empleadores de PcD</w:t>
      </w:r>
      <w:r w:rsidRPr="001B3C5D">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B3C5D">
        <w:rPr>
          <w:rFonts w:ascii="Verdana" w:eastAsia="Aptos" w:hAnsi="Verdana" w:cs="Times New Roman"/>
          <w:kern w:val="2"/>
          <w14:ligatures w14:val="standardContextual"/>
        </w:rPr>
        <w:t xml:space="preserve">ediante la expedición del mencionado decreto, en aplicación directa de la Constitución Política y para que exista una igualdad material para las personas con discapacidad, </w:t>
      </w:r>
      <w:r>
        <w:rPr>
          <w:rFonts w:ascii="Verdana" w:eastAsia="Aptos" w:hAnsi="Verdana" w:cs="Times New Roman"/>
          <w:kern w:val="2"/>
          <w14:ligatures w14:val="standardContextual"/>
        </w:rPr>
        <w:t xml:space="preserve">se </w:t>
      </w:r>
      <w:r w:rsidRPr="001B3C5D">
        <w:rPr>
          <w:rFonts w:ascii="Verdana" w:eastAsia="Aptos" w:hAnsi="Verdana" w:cs="Times New Roman"/>
          <w:kern w:val="2"/>
          <w14:ligatures w14:val="standardContextual"/>
        </w:rPr>
        <w:t xml:space="preserve">pretende subsanar la falta de acciones afirmativas del Decreto 392 de 2018, </w:t>
      </w:r>
      <w:r>
        <w:rPr>
          <w:rFonts w:ascii="Verdana" w:eastAsia="Aptos" w:hAnsi="Verdana" w:cs="Times New Roman"/>
          <w:kern w:val="2"/>
          <w14:ligatures w14:val="standardContextual"/>
        </w:rPr>
        <w:t xml:space="preserve">en el que </w:t>
      </w:r>
      <w:r w:rsidRPr="001B3C5D">
        <w:rPr>
          <w:rFonts w:ascii="Verdana" w:eastAsia="Aptos" w:hAnsi="Verdana" w:cs="Times New Roman"/>
          <w:kern w:val="2"/>
          <w14:ligatures w14:val="standardContextual"/>
        </w:rPr>
        <w:t>modific</w:t>
      </w:r>
      <w:r>
        <w:rPr>
          <w:rFonts w:ascii="Verdana" w:eastAsia="Aptos" w:hAnsi="Verdana" w:cs="Times New Roman"/>
          <w:kern w:val="2"/>
          <w14:ligatures w14:val="standardContextual"/>
        </w:rPr>
        <w:t>ó</w:t>
      </w:r>
      <w:r w:rsidRPr="001B3C5D">
        <w:rPr>
          <w:rFonts w:ascii="Verdana" w:eastAsia="Aptos" w:hAnsi="Verdana" w:cs="Times New Roman"/>
          <w:kern w:val="2"/>
          <w14:ligatures w14:val="standardContextual"/>
        </w:rPr>
        <w:t xml:space="preserve"> los artículos 2.2.1.2.4.2.6, 2.2.1.2.4.2.7. y 2.2.1.2.4.2.8. del Decreto 1082 de 2015</w:t>
      </w:r>
      <w:r>
        <w:rPr>
          <w:rFonts w:ascii="Verdana" w:eastAsia="Aptos" w:hAnsi="Verdana" w:cs="Times New Roman"/>
          <w:kern w:val="2"/>
          <w14:ligatures w14:val="standardContextual"/>
        </w:rPr>
        <w:t xml:space="preserve"> de la siguiente manera</w:t>
      </w:r>
      <w:r w:rsidRPr="001B3C5D">
        <w:rPr>
          <w:rFonts w:ascii="Verdana" w:eastAsia="Aptos" w:hAnsi="Verdana" w:cs="Times New Roman"/>
          <w:kern w:val="2"/>
          <w14:ligatures w14:val="standardContextual"/>
        </w:rPr>
        <w:t xml:space="preserve">: </w:t>
      </w:r>
    </w:p>
    <w:p w14:paraId="20AAD08C"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 i) El artículo 1, modifica el artículo 2.2.1.2.4.2.6. </w:t>
      </w:r>
      <w:r>
        <w:rPr>
          <w:rFonts w:ascii="Verdana" w:eastAsia="Aptos" w:hAnsi="Verdana" w:cs="Times New Roman"/>
          <w:kern w:val="2"/>
          <w14:ligatures w14:val="standardContextual"/>
        </w:rPr>
        <w:t>d</w:t>
      </w:r>
      <w:r w:rsidRPr="001B3C5D">
        <w:rPr>
          <w:rFonts w:ascii="Verdana" w:eastAsia="Aptos" w:hAnsi="Verdana" w:cs="Times New Roman"/>
          <w:kern w:val="2"/>
          <w14:ligatures w14:val="standardContextual"/>
        </w:rPr>
        <w:t>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540F5124"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 xml:space="preserve">ii)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6AA8BA73"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iii).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2.2.1.2.4.2.7.1. del Decreto 1082 de 2015, disponiendo que todas las entidades que manejen recursos públicos están obligadas a garantizar la accesibilidad para personas con discapacidad en sus procesos de contratación. </w:t>
      </w:r>
    </w:p>
    <w:p w14:paraId="6605CEF4"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Aptos" w:eastAsia="Aptos" w:hAnsi="Aptos" w:cs="Times New Roman"/>
          <w:kern w:val="2"/>
          <w:sz w:val="24"/>
          <w:szCs w:val="24"/>
          <w14:ligatures w14:val="standardContextual"/>
        </w:rPr>
        <w:t xml:space="preserve">iv) </w:t>
      </w:r>
      <w:r w:rsidRPr="001B3C5D">
        <w:rPr>
          <w:rFonts w:ascii="Verdana" w:eastAsia="Aptos" w:hAnsi="Verdana" w:cs="Times New Roman"/>
          <w:kern w:val="2"/>
          <w14:ligatures w14:val="standardContextual"/>
        </w:rPr>
        <w:t xml:space="preserve">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07E1462E"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B3C5D">
        <w:rPr>
          <w:rFonts w:ascii="Verdana" w:eastAsia="Aptos" w:hAnsi="Verdana" w:cs="Times New Roman"/>
          <w:kern w:val="2"/>
          <w:vertAlign w:val="superscript"/>
          <w14:ligatures w14:val="standardContextual"/>
        </w:rPr>
        <w:footnoteReference w:id="10"/>
      </w:r>
      <w:r w:rsidRPr="001B3C5D">
        <w:rPr>
          <w:rFonts w:ascii="Verdana" w:eastAsia="Aptos" w:hAnsi="Verdana" w:cs="Times New Roman"/>
          <w:kern w:val="2"/>
          <w14:ligatures w14:val="standardContextual"/>
        </w:rPr>
        <w:t xml:space="preserve">. </w:t>
      </w:r>
    </w:p>
    <w:p w14:paraId="684DF686"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2.1.2.4.2.7.4 del Decreto 1082 de 2015. Así, se establece un puntaje adicional en favor de los empleadores de personas con discapacidad y de los emprendimientos y empresas de personas con </w:t>
      </w:r>
      <w:r w:rsidRPr="001B3C5D">
        <w:rPr>
          <w:rFonts w:ascii="Verdana" w:eastAsia="Aptos" w:hAnsi="Verdana" w:cs="Times New Roman"/>
          <w:kern w:val="2"/>
          <w14:ligatures w14:val="standardContextual"/>
        </w:rPr>
        <w:lastRenderedPageBreak/>
        <w:t xml:space="preserve">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11F76C24"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vii)</w:t>
      </w:r>
      <w:r>
        <w:rPr>
          <w:rFonts w:ascii="Verdana" w:eastAsia="Aptos" w:hAnsi="Verdana" w:cs="Times New Roman"/>
          <w:kern w:val="2"/>
          <w14:ligatures w14:val="standardContextual"/>
        </w:rPr>
        <w:t xml:space="preserve"> </w:t>
      </w:r>
      <w:r w:rsidRPr="001B3C5D">
        <w:rPr>
          <w:rFonts w:ascii="Verdana" w:eastAsia="Aptos" w:hAnsi="Verdana" w:cs="Times New Roman"/>
          <w:kern w:val="2"/>
          <w14:ligatures w14:val="standardContextual"/>
        </w:rPr>
        <w:t xml:space="preserve">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5BFC6569" w14:textId="77777777" w:rsidR="00FE5496" w:rsidRPr="001B3C5D"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viii)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2.2.1.2.4.2.7.6. del Decreto 1082 de 2015, </w:t>
      </w:r>
      <w:r>
        <w:rPr>
          <w:rFonts w:ascii="Verdana" w:eastAsia="Aptos" w:hAnsi="Verdana" w:cs="Times New Roman"/>
          <w:kern w:val="2"/>
          <w14:ligatures w14:val="standardContextual"/>
        </w:rPr>
        <w:t>contemplando</w:t>
      </w:r>
      <w:r w:rsidRPr="001B3C5D">
        <w:rPr>
          <w:rFonts w:ascii="Verdana" w:eastAsia="Aptos" w:hAnsi="Verdana" w:cs="Times New Roman"/>
          <w:kern w:val="2"/>
          <w14:ligatures w14:val="standardContextual"/>
        </w:rPr>
        <w:t xml:space="preserve">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7CCB6028" w14:textId="77777777" w:rsidR="00FE549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ix)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w:t>
      </w:r>
      <w:r>
        <w:rPr>
          <w:rFonts w:ascii="Verdana" w:eastAsia="Aptos" w:hAnsi="Verdana" w:cs="Times New Roman"/>
          <w:kern w:val="2"/>
          <w14:ligatures w14:val="standardContextual"/>
        </w:rPr>
        <w:t>7</w:t>
      </w:r>
      <w:r w:rsidRPr="001B3C5D">
        <w:rPr>
          <w:rFonts w:ascii="Verdana" w:eastAsia="Aptos" w:hAnsi="Verdana" w:cs="Times New Roman"/>
          <w:kern w:val="2"/>
          <w14:ligatures w14:val="standardContextual"/>
        </w:rPr>
        <w:t>. del Decreto 1082 de 2015, que</w:t>
      </w:r>
      <w:r>
        <w:rPr>
          <w:rFonts w:ascii="Verdana" w:eastAsia="Aptos" w:hAnsi="Verdana" w:cs="Times New Roman"/>
          <w:kern w:val="2"/>
          <w14:ligatures w14:val="standardContextual"/>
        </w:rPr>
        <w:t xml:space="preserve"> incorpora el</w:t>
      </w:r>
      <w:r w:rsidRPr="004B7044">
        <w:t xml:space="preserve"> </w:t>
      </w:r>
      <w:r w:rsidRPr="004B7044">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2134D7C4" w14:textId="77777777" w:rsidR="00FE549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 </w:t>
      </w:r>
      <w:r w:rsidRPr="001B3C5D">
        <w:rPr>
          <w:rFonts w:ascii="Verdana" w:eastAsia="Aptos" w:hAnsi="Verdana" w:cs="Times New Roman"/>
          <w:kern w:val="2"/>
          <w14:ligatures w14:val="standardContextual"/>
        </w:rPr>
        <w:t>El artículo 1, modifica el artículo 2.2.1.2.4.2.7.8 del Decreto 1082 de 2015</w:t>
      </w:r>
      <w:r>
        <w:rPr>
          <w:rFonts w:ascii="Verdana" w:eastAsia="Aptos" w:hAnsi="Verdana" w:cs="Times New Roman"/>
          <w:kern w:val="2"/>
          <w14:ligatures w14:val="standardContextual"/>
        </w:rPr>
        <w:t xml:space="preserve"> y</w:t>
      </w:r>
      <w:r w:rsidRPr="001B3C5D">
        <w:rPr>
          <w:rFonts w:ascii="Verdana" w:eastAsia="Aptos" w:hAnsi="Verdana" w:cs="Times New Roman"/>
          <w:kern w:val="2"/>
          <w14:ligatures w14:val="standardContextual"/>
        </w:rPr>
        <w:t xml:space="preserve">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03465026" w14:textId="77777777" w:rsidR="00FE549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xi)</w:t>
      </w:r>
      <w:r w:rsidRPr="007C6E53">
        <w:rPr>
          <w:rFonts w:ascii="Verdana" w:eastAsia="Aptos" w:hAnsi="Verdana" w:cs="Times New Roman"/>
          <w:kern w:val="2"/>
          <w14:ligatures w14:val="standardContextual"/>
        </w:rPr>
        <w:t xml:space="preserve"> </w:t>
      </w:r>
      <w:r w:rsidRPr="0046297E">
        <w:rPr>
          <w:rFonts w:ascii="Verdana" w:eastAsia="Aptos" w:hAnsi="Verdana" w:cs="Times New Roman"/>
          <w:color w:val="000000" w:themeColor="text1"/>
          <w:kern w:val="2"/>
          <w14:ligatures w14:val="standardContextual"/>
        </w:rPr>
        <w:t>El artículo 1, incluye el artículo 2.2.1.2.4.2.7.9 del Decreto 1082 de 2015</w:t>
      </w:r>
      <w:r w:rsidRPr="0046297E">
        <w:rPr>
          <w:rFonts w:ascii="Work Sans" w:hAnsi="Work Sans"/>
          <w:b/>
          <w:bCs/>
          <w:color w:val="000000" w:themeColor="text1"/>
          <w:sz w:val="25"/>
          <w:szCs w:val="25"/>
          <w:shd w:val="clear" w:color="auto" w:fill="FFFFFF"/>
        </w:rPr>
        <w:t xml:space="preserve"> </w:t>
      </w:r>
      <w:r w:rsidRPr="0046297E">
        <w:rPr>
          <w:rFonts w:ascii="Verdana" w:hAnsi="Verdana"/>
          <w:color w:val="000000" w:themeColor="text1"/>
          <w:shd w:val="clear" w:color="auto" w:fill="FFFFFF"/>
        </w:rPr>
        <w:t>que establece lo referente al</w:t>
      </w:r>
      <w:r w:rsidRPr="0046297E">
        <w:rPr>
          <w:rFonts w:ascii="Work Sans" w:hAnsi="Work Sans"/>
          <w:b/>
          <w:bCs/>
          <w:color w:val="000000" w:themeColor="text1"/>
          <w:sz w:val="25"/>
          <w:szCs w:val="25"/>
          <w:shd w:val="clear" w:color="auto" w:fill="FFFFFF"/>
        </w:rPr>
        <w:t xml:space="preserve"> </w:t>
      </w:r>
      <w:r w:rsidRPr="0046297E">
        <w:rPr>
          <w:rFonts w:ascii="Verdana" w:eastAsia="Aptos" w:hAnsi="Verdana" w:cs="Times New Roman"/>
          <w:color w:val="000000" w:themeColor="text1"/>
          <w:kern w:val="2"/>
          <w14:ligatures w14:val="standardContextual"/>
        </w:rPr>
        <w:t>acceso y accesibilidad del sistema electrónico de contratación pública - SECOP. </w:t>
      </w:r>
    </w:p>
    <w:p w14:paraId="3B7D8265" w14:textId="77777777" w:rsidR="00FE5496" w:rsidRDefault="00FE5496" w:rsidP="00FE5496">
      <w:pPr>
        <w:widowControl w:val="0"/>
        <w:autoSpaceDE w:val="0"/>
        <w:autoSpaceDN w:val="0"/>
        <w:spacing w:after="120" w:line="276" w:lineRule="auto"/>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ii. Ahora bien, de acuerdo con las inquietudes planteadas, resulta necesario realizar algunas precisiones en relación con el alcance de lo dispuesto en los artículos </w:t>
      </w:r>
      <w:r w:rsidRPr="001B3C5D">
        <w:rPr>
          <w:rFonts w:ascii="Verdana" w:eastAsia="Aptos" w:hAnsi="Verdana" w:cs="Times New Roman"/>
          <w:kern w:val="2"/>
          <w14:ligatures w14:val="standardContextual"/>
        </w:rPr>
        <w:t>2.2.1.2.4.2.6</w:t>
      </w:r>
      <w:r>
        <w:rPr>
          <w:rFonts w:ascii="Verdana" w:eastAsia="Aptos" w:hAnsi="Verdana" w:cs="Times New Roman"/>
          <w:kern w:val="2"/>
          <w14:ligatures w14:val="standardContextual"/>
        </w:rPr>
        <w:t xml:space="preserve">, numeral 4, y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 xml:space="preserve">del Decreto 287 de 2026.  </w:t>
      </w:r>
    </w:p>
    <w:p w14:paraId="59002632" w14:textId="77777777" w:rsidR="00FE5496" w:rsidRDefault="00FE5496" w:rsidP="00FE5496">
      <w:pPr>
        <w:widowControl w:val="0"/>
        <w:autoSpaceDE w:val="0"/>
        <w:autoSpaceDN w:val="0"/>
        <w:spacing w:after="120" w:line="276" w:lineRule="auto"/>
        <w:ind w:firstLine="709"/>
        <w:jc w:val="both"/>
        <w:rPr>
          <w:rFonts w:ascii="Verdana" w:hAnsi="Verdana"/>
        </w:rPr>
      </w:pPr>
      <w:r>
        <w:rPr>
          <w:rFonts w:ascii="Verdana" w:eastAsia="Calibri" w:hAnsi="Verdana" w:cs="Arial"/>
          <w:lang w:val="es-ES_tradnl"/>
        </w:rPr>
        <w:t>Como se indicó, e</w:t>
      </w:r>
      <w:r w:rsidRPr="001D0D1B">
        <w:rPr>
          <w:rFonts w:ascii="Verdana" w:eastAsia="Calibri" w:hAnsi="Verdana" w:cs="Arial"/>
          <w:lang w:val="es-ES_tradnl"/>
        </w:rPr>
        <w:t xml:space="preserve">l artículo </w:t>
      </w:r>
      <w:r w:rsidRPr="001B3C5D">
        <w:rPr>
          <w:rFonts w:ascii="Verdana" w:eastAsia="Aptos" w:hAnsi="Verdana" w:cs="Times New Roman"/>
          <w:kern w:val="2"/>
          <w14:ligatures w14:val="standardContextual"/>
        </w:rPr>
        <w:t>2.2.1.2.4.2.6</w:t>
      </w:r>
      <w:r>
        <w:rPr>
          <w:rFonts w:ascii="Verdana" w:eastAsia="Aptos" w:hAnsi="Verdana" w:cs="Times New Roman"/>
          <w:kern w:val="2"/>
          <w14:ligatures w14:val="standardContextual"/>
        </w:rPr>
        <w:t xml:space="preserve"> </w:t>
      </w:r>
      <w:r w:rsidRPr="001B3C5D">
        <w:rPr>
          <w:rFonts w:ascii="Verdana" w:eastAsia="Aptos" w:hAnsi="Verdana" w:cs="Times New Roman"/>
          <w:kern w:val="2"/>
          <w14:ligatures w14:val="standardContextual"/>
        </w:rPr>
        <w:t>incorpora la definición de emprendimientos y empresas de personas con discapacidad</w:t>
      </w:r>
      <w:r>
        <w:rPr>
          <w:rFonts w:ascii="Verdana" w:eastAsia="Calibri" w:hAnsi="Verdana" w:cs="Arial"/>
          <w:lang w:val="es-ES_tradnl"/>
        </w:rPr>
        <w:t xml:space="preserve"> y </w:t>
      </w:r>
      <w:r>
        <w:rPr>
          <w:rFonts w:ascii="Verdana" w:hAnsi="Verdana"/>
        </w:rPr>
        <w:t xml:space="preserve">consagra cuatro criterios alternativos en atención a los cuales una persona natural o jurídica </w:t>
      </w:r>
      <w:r>
        <w:rPr>
          <w:rFonts w:ascii="Verdana" w:hAnsi="Verdana"/>
        </w:rPr>
        <w:lastRenderedPageBreak/>
        <w:t>puede acceder a los criterios diferenciales y puntaje adicional en favor de ellos</w:t>
      </w:r>
      <w:r>
        <w:rPr>
          <w:rFonts w:ascii="Verdana" w:eastAsia="Calibri" w:hAnsi="Verdana" w:cs="Arial"/>
          <w:lang w:val="es-ES_tradnl"/>
        </w:rPr>
        <w:t xml:space="preserve">, siendo suficiente la configuración de uno de estos criterios para que se materialice la respectiva definición respecto de sujeto en particular. </w:t>
      </w:r>
      <w:r>
        <w:rPr>
          <w:rFonts w:ascii="Verdana" w:hAnsi="Verdana"/>
        </w:rPr>
        <w:t>Uno de estos criterios es el definido en el numeral 4 relacionado con la vinculación laboral de a</w:t>
      </w:r>
      <w:r w:rsidRPr="006C4B1D">
        <w:rPr>
          <w:rFonts w:ascii="Verdana" w:hAnsi="Verdana"/>
        </w:rPr>
        <w:t>l menos una persona con discapacidad en empleos del nivel directivo de la empresa</w:t>
      </w:r>
      <w:r>
        <w:rPr>
          <w:rFonts w:ascii="Verdana" w:hAnsi="Verdana"/>
        </w:rPr>
        <w:t xml:space="preserve">, al cual se alude en la consulta. Dicha norma indica lo siguiente:  </w:t>
      </w:r>
    </w:p>
    <w:p w14:paraId="75C64445" w14:textId="77777777" w:rsidR="00FE5496" w:rsidRDefault="00FE5496" w:rsidP="00FE5496">
      <w:pPr>
        <w:spacing w:after="0"/>
        <w:ind w:left="709" w:right="709"/>
        <w:jc w:val="both"/>
        <w:rPr>
          <w:rFonts w:ascii="Verdana" w:hAnsi="Verdana"/>
          <w:i/>
          <w:iCs/>
          <w:sz w:val="21"/>
          <w:szCs w:val="21"/>
        </w:rPr>
      </w:pPr>
    </w:p>
    <w:p w14:paraId="523611C9" w14:textId="77777777" w:rsidR="00FE5496"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“ARTÍCULO 2.2.1.2.4.2.6. DEFINICIÓN DE EMPRENDIMIENTOS Y EMPRESAS DE PERSONAS CON DISCAPACIDAD. Con el propósito de adoptar medidas afirmativas que incentiven la participación de las personas con discapacidad en el sistema de compras y contratación Pública, mediante la reglamentación del puntaje al que se refiere el numeral 1 del artículo 13 de la Ley 1618 de 2013 y el desarrollo del sistema de preferencias del numeral 8 del mismo artículo, se entenderán com</w:t>
      </w:r>
      <w:r>
        <w:rPr>
          <w:rFonts w:ascii="Verdana" w:hAnsi="Verdana"/>
          <w:iCs/>
          <w:sz w:val="20"/>
          <w:szCs w:val="20"/>
        </w:rPr>
        <w:t>o</w:t>
      </w:r>
      <w:r w:rsidRPr="008F5EB5">
        <w:rPr>
          <w:rFonts w:ascii="Verdana" w:hAnsi="Verdana"/>
          <w:iCs/>
          <w:sz w:val="20"/>
          <w:szCs w:val="20"/>
        </w:rPr>
        <w:t xml:space="preserve"> emprendimientos y empresas de personas con discapacidad aquellos que cumplan con alguna de las siguientes condiciones:</w:t>
      </w:r>
    </w:p>
    <w:p w14:paraId="7F553CA2" w14:textId="77777777" w:rsidR="00FE5496" w:rsidRPr="008F5EB5" w:rsidRDefault="00FE5496" w:rsidP="00FE5496">
      <w:pPr>
        <w:spacing w:after="0" w:line="240" w:lineRule="auto"/>
        <w:ind w:left="709" w:right="709"/>
        <w:jc w:val="both"/>
        <w:rPr>
          <w:rFonts w:ascii="Verdana" w:hAnsi="Verdana"/>
          <w:iCs/>
          <w:sz w:val="20"/>
          <w:szCs w:val="20"/>
        </w:rPr>
      </w:pPr>
    </w:p>
    <w:p w14:paraId="04041348" w14:textId="77777777" w:rsidR="00FE5496" w:rsidRPr="008F5EB5"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w:t>
      </w:r>
    </w:p>
    <w:p w14:paraId="2B647185" w14:textId="77777777" w:rsidR="00FE5496" w:rsidRPr="008F5EB5" w:rsidRDefault="00FE5496" w:rsidP="00FE5496">
      <w:pPr>
        <w:spacing w:after="0" w:line="240" w:lineRule="auto"/>
        <w:ind w:left="709" w:right="709"/>
        <w:jc w:val="both"/>
        <w:rPr>
          <w:rFonts w:ascii="Verdana" w:hAnsi="Verdana"/>
          <w:iCs/>
          <w:sz w:val="20"/>
          <w:szCs w:val="20"/>
        </w:rPr>
      </w:pPr>
    </w:p>
    <w:p w14:paraId="4763D647" w14:textId="77777777" w:rsidR="00FE5496" w:rsidRPr="008F5EB5"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4) Personas jurídicas que tengan vinculadas laboralmente al menos una persona con discapacidad en empleos del nivel directivo de la empresa durante al menos el último año anterior a la fecha de cierre del Proceso de Selección en el mismo cargo u otro del mismo nivel.</w:t>
      </w:r>
    </w:p>
    <w:p w14:paraId="5C204F43" w14:textId="77777777" w:rsidR="00FE5496" w:rsidRPr="008F5EB5" w:rsidRDefault="00FE5496" w:rsidP="00FE5496">
      <w:pPr>
        <w:spacing w:after="0" w:line="240" w:lineRule="auto"/>
        <w:ind w:left="709" w:right="709"/>
        <w:jc w:val="both"/>
        <w:rPr>
          <w:rFonts w:ascii="Verdana" w:hAnsi="Verdana"/>
          <w:iCs/>
          <w:sz w:val="20"/>
          <w:szCs w:val="20"/>
        </w:rPr>
      </w:pPr>
    </w:p>
    <w:p w14:paraId="5E8DA5A3" w14:textId="77777777" w:rsidR="00FE5496" w:rsidRPr="008F5EB5"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Por otra parte, 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B18586B" w14:textId="77777777" w:rsidR="00FE5496" w:rsidRPr="008F5EB5" w:rsidRDefault="00FE5496" w:rsidP="00FE5496">
      <w:pPr>
        <w:spacing w:after="0" w:line="240" w:lineRule="auto"/>
        <w:ind w:left="709" w:right="709"/>
        <w:jc w:val="both"/>
        <w:rPr>
          <w:rFonts w:ascii="Verdana" w:hAnsi="Verdana"/>
          <w:iCs/>
          <w:sz w:val="20"/>
          <w:szCs w:val="20"/>
        </w:rPr>
      </w:pPr>
    </w:p>
    <w:p w14:paraId="70050AE3" w14:textId="77777777" w:rsidR="00FE5496" w:rsidRPr="008F5EB5"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Esta circunstancia se acreditará mediante certificación expedida por el representante legal y el revisor fiscal, cuando exista de acuerdo con los requerimientos de ley, o el contador, donde se señale de manera detallada las personas con discapacidad que ocupan cargos de nivel directivo del proponente y el tiempo de vinculación.</w:t>
      </w:r>
    </w:p>
    <w:p w14:paraId="0C7F96C9" w14:textId="77777777" w:rsidR="00FE5496" w:rsidRPr="008F5EB5" w:rsidRDefault="00FE5496" w:rsidP="00FE5496">
      <w:pPr>
        <w:spacing w:after="0" w:line="240" w:lineRule="auto"/>
        <w:ind w:right="709"/>
        <w:jc w:val="both"/>
        <w:rPr>
          <w:rFonts w:ascii="Verdana" w:hAnsi="Verdana"/>
          <w:iCs/>
          <w:sz w:val="20"/>
          <w:szCs w:val="20"/>
        </w:rPr>
      </w:pPr>
    </w:p>
    <w:p w14:paraId="15C85B4A" w14:textId="77777777" w:rsidR="00FE5496" w:rsidRPr="008F5EB5"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 xml:space="preserve">La certificación deberá relacionar el nombre completo y el número de documento de identidad de las personas con discapacidad que ocupan cargos de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w:t>
      </w:r>
      <w:r w:rsidRPr="008F5EB5">
        <w:rPr>
          <w:rFonts w:ascii="Verdana" w:hAnsi="Verdana"/>
          <w:iCs/>
          <w:sz w:val="20"/>
          <w:szCs w:val="20"/>
        </w:rPr>
        <w:lastRenderedPageBreak/>
        <w:t>pagos realizados por el empleador, y el certificado de discapacidad expedido de acuerdo con la normativa del Ministerio de Salud y Protección Social</w:t>
      </w:r>
    </w:p>
    <w:p w14:paraId="4262D730" w14:textId="77777777" w:rsidR="00FE5496" w:rsidRPr="008F5EB5" w:rsidRDefault="00FE5496" w:rsidP="00FE5496">
      <w:pPr>
        <w:spacing w:after="0" w:line="240" w:lineRule="auto"/>
        <w:ind w:left="709" w:right="709"/>
        <w:jc w:val="both"/>
        <w:rPr>
          <w:rFonts w:ascii="Verdana" w:hAnsi="Verdana"/>
          <w:iCs/>
          <w:sz w:val="20"/>
          <w:szCs w:val="20"/>
        </w:rPr>
      </w:pPr>
    </w:p>
    <w:p w14:paraId="64E613D8" w14:textId="77777777" w:rsidR="00FE5496" w:rsidRPr="008F5EB5" w:rsidRDefault="00FE5496" w:rsidP="00FE5496">
      <w:pPr>
        <w:spacing w:after="0" w:line="240" w:lineRule="auto"/>
        <w:ind w:left="709" w:right="709"/>
        <w:jc w:val="both"/>
        <w:rPr>
          <w:rFonts w:ascii="Verdana" w:hAnsi="Verdana"/>
          <w:iCs/>
          <w:sz w:val="20"/>
          <w:szCs w:val="20"/>
        </w:rPr>
      </w:pPr>
      <w:r w:rsidRPr="008F5EB5">
        <w:rPr>
          <w:rFonts w:ascii="Verdana" w:hAnsi="Verdana"/>
          <w:iCs/>
          <w:sz w:val="20"/>
          <w:szCs w:val="20"/>
        </w:rPr>
        <w:t>PARÁGRAFO. Respecto de los incentivos contractuales para los emprendimientos y empresas de personas con discapacidad, las certificaciones de que trata el presente artículo deben expedirse bajo la gravedad de juramento con una fecha de máxima treinta (30) días calendario anteriores a la prevista para el cierre del procedimiento de selección.</w:t>
      </w:r>
    </w:p>
    <w:p w14:paraId="69942347" w14:textId="77777777" w:rsidR="00FE5496" w:rsidRDefault="00FE5496" w:rsidP="00FE5496">
      <w:pPr>
        <w:spacing w:after="0"/>
        <w:ind w:left="709" w:right="709"/>
        <w:jc w:val="both"/>
        <w:rPr>
          <w:rFonts w:ascii="Verdana" w:hAnsi="Verdana"/>
          <w:i/>
          <w:iCs/>
          <w:sz w:val="21"/>
          <w:szCs w:val="21"/>
        </w:rPr>
      </w:pPr>
    </w:p>
    <w:p w14:paraId="731A4484" w14:textId="77777777" w:rsidR="00FE5496" w:rsidRPr="008D0137"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7C3182">
        <w:rPr>
          <w:rFonts w:ascii="Verdana" w:hAnsi="Verdana"/>
        </w:rPr>
        <w:t xml:space="preserve">De acuerdo con el numeral citado, una persona jurídica podrá ser considerada como un </w:t>
      </w:r>
      <w:r w:rsidRPr="008D0137">
        <w:rPr>
          <w:rFonts w:ascii="Verdana" w:eastAsia="Aptos" w:hAnsi="Verdana" w:cs="Times New Roman"/>
          <w:kern w:val="2"/>
          <w14:ligatures w14:val="standardContextual"/>
        </w:rPr>
        <w:t xml:space="preserve">emprendimiento o empresa de </w:t>
      </w:r>
      <w:r>
        <w:rPr>
          <w:rFonts w:ascii="Verdana" w:eastAsia="Aptos" w:hAnsi="Verdana" w:cs="Times New Roman"/>
          <w:kern w:val="2"/>
          <w14:ligatures w14:val="standardContextual"/>
        </w:rPr>
        <w:t xml:space="preserve">PcD </w:t>
      </w:r>
      <w:r w:rsidRPr="008D0137">
        <w:rPr>
          <w:rFonts w:ascii="Verdana" w:eastAsia="Aptos" w:hAnsi="Verdana" w:cs="Times New Roman"/>
          <w:kern w:val="2"/>
          <w14:ligatures w14:val="standardContextual"/>
        </w:rPr>
        <w:t xml:space="preserve">cuando tengan vinculadas laboralmente al menos una persona con discapacidad en empleos del nivel directivo. </w:t>
      </w:r>
      <w:r>
        <w:rPr>
          <w:rFonts w:ascii="Verdana" w:eastAsia="Arial" w:hAnsi="Verdana" w:cs="Arial"/>
        </w:rPr>
        <w:t>Tales empleos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w:t>
      </w:r>
      <w:r>
        <w:rPr>
          <w:rFonts w:ascii="Verdana" w:eastAsia="Aptos" w:hAnsi="Verdana" w:cs="Times New Roman"/>
          <w:kern w:val="2"/>
          <w14:ligatures w14:val="standardContextual"/>
        </w:rPr>
        <w:t xml:space="preserve">. </w:t>
      </w:r>
      <w:r w:rsidRPr="008D0137">
        <w:rPr>
          <w:rFonts w:ascii="Verdana" w:eastAsia="Aptos" w:hAnsi="Verdana" w:cs="Times New Roman"/>
          <w:kern w:val="2"/>
          <w14:ligatures w14:val="standardContextual"/>
        </w:rPr>
        <w:t>De esta manera los cargos directivos deben identificarse de acuerdo con la definición que para el efecto estableció el mismo numeral 4. En ese sentido, independientemente de la denominación del cargo, su naturaleza será directiva bien porque se encuentra en un nivel especial de mando o, porque de acuerdo con su jerarquía, representa al empleador en los términos del artículo 32 del Código Sustantivo del Trabajo</w:t>
      </w:r>
      <w:r w:rsidRPr="006351FC">
        <w:rPr>
          <w:rFonts w:eastAsia="Aptos" w:cs="Times New Roman"/>
          <w:kern w:val="2"/>
          <w:vertAlign w:val="superscript"/>
          <w14:ligatures w14:val="standardContextual"/>
        </w:rPr>
        <w:footnoteReference w:id="11"/>
      </w:r>
      <w:r w:rsidRPr="008D0137">
        <w:rPr>
          <w:rFonts w:ascii="Verdana" w:eastAsia="Aptos" w:hAnsi="Verdana" w:cs="Times New Roman"/>
          <w:kern w:val="2"/>
          <w14:ligatures w14:val="standardContextual"/>
        </w:rPr>
        <w:t>.</w:t>
      </w:r>
    </w:p>
    <w:p w14:paraId="51C3611B" w14:textId="77777777" w:rsidR="00FE5496" w:rsidRPr="008D0137"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8D0137">
        <w:rPr>
          <w:rFonts w:ascii="Verdana" w:eastAsia="Aptos" w:hAnsi="Verdana" w:cs="Times New Roman"/>
          <w:kern w:val="2"/>
          <w14:ligatures w14:val="standardContextual"/>
        </w:rPr>
        <w:t xml:space="preserve">Para la aplicación de la definición que se comenta, </w:t>
      </w:r>
      <w:r>
        <w:rPr>
          <w:rFonts w:ascii="Verdana" w:eastAsia="Aptos" w:hAnsi="Verdana" w:cs="Times New Roman"/>
          <w:kern w:val="2"/>
          <w14:ligatures w14:val="standardContextual"/>
        </w:rPr>
        <w:t xml:space="preserve">en primer lugar, </w:t>
      </w:r>
      <w:r w:rsidRPr="008D0137">
        <w:rPr>
          <w:rFonts w:ascii="Verdana" w:eastAsia="Aptos" w:hAnsi="Verdana" w:cs="Times New Roman"/>
          <w:kern w:val="2"/>
          <w14:ligatures w14:val="standardContextual"/>
        </w:rPr>
        <w:t xml:space="preserve">debe tenerse en cuenta únicamente a los empleos del nivel directivo, lo que excluye a los demás empleos de planta de personal, como por ejemplo los operativos. </w:t>
      </w:r>
      <w:r>
        <w:rPr>
          <w:rFonts w:ascii="Verdana" w:eastAsia="Arial" w:hAnsi="Verdana" w:cs="Arial"/>
        </w:rPr>
        <w:t>En segundo lugar,</w:t>
      </w:r>
      <w:r>
        <w:rPr>
          <w:rFonts w:ascii="Verdana" w:eastAsia="Arial" w:hAnsi="Verdana" w:cs="Arial"/>
          <w:spacing w:val="1"/>
        </w:rPr>
        <w:t xml:space="preserve"> </w:t>
      </w:r>
      <w:r>
        <w:rPr>
          <w:rFonts w:ascii="Verdana" w:eastAsia="Calibri" w:hAnsi="Verdana" w:cs="Arial"/>
          <w:lang w:val="es-ES_tradnl"/>
        </w:rPr>
        <w:t xml:space="preserve">se excluyen las personas vinculadas mediante </w:t>
      </w:r>
      <w:r>
        <w:rPr>
          <w:rFonts w:ascii="Verdana" w:eastAsia="Calibri" w:hAnsi="Verdana" w:cs="Arial"/>
          <w:color w:val="000000" w:themeColor="text1"/>
          <w:lang w:val="es-ES"/>
        </w:rPr>
        <w:t>figuras jurídicas</w:t>
      </w:r>
      <w:r>
        <w:rPr>
          <w:rFonts w:ascii="Verdana" w:eastAsia="Calibri" w:hAnsi="Verdana" w:cs="Arial"/>
          <w:lang w:val="es-ES_tradnl"/>
        </w:rPr>
        <w:t xml:space="preserve"> diferentes a un contrato de trabajo, como es el caso de los contratos de prestación de servicios. </w:t>
      </w:r>
      <w:r w:rsidRPr="008D0137">
        <w:rPr>
          <w:rFonts w:ascii="Verdana" w:eastAsia="Aptos" w:hAnsi="Verdana" w:cs="Times New Roman"/>
          <w:kern w:val="2"/>
          <w14:ligatures w14:val="standardContextual"/>
        </w:rPr>
        <w:t xml:space="preserve">En </w:t>
      </w:r>
      <w:r>
        <w:rPr>
          <w:rFonts w:ascii="Verdana" w:eastAsia="Aptos" w:hAnsi="Verdana" w:cs="Times New Roman"/>
          <w:kern w:val="2"/>
          <w14:ligatures w14:val="standardContextual"/>
        </w:rPr>
        <w:t>tercer</w:t>
      </w:r>
      <w:r w:rsidRPr="008D0137">
        <w:rPr>
          <w:rFonts w:ascii="Verdana" w:eastAsia="Aptos" w:hAnsi="Verdana" w:cs="Times New Roman"/>
          <w:kern w:val="2"/>
          <w14:ligatures w14:val="standardContextual"/>
        </w:rPr>
        <w:t xml:space="preserve"> lugar, no basta con que </w:t>
      </w:r>
      <w:r w:rsidRPr="009A055B">
        <w:rPr>
          <w:rFonts w:ascii="Verdana" w:eastAsia="Aptos" w:hAnsi="Verdana" w:cs="Times New Roman"/>
          <w:kern w:val="2"/>
          <w14:ligatures w14:val="standardContextual"/>
        </w:rPr>
        <w:t xml:space="preserve">tengan vinculadas laboralmente al menos una persona con discapacidad </w:t>
      </w:r>
      <w:r w:rsidRPr="008D0137">
        <w:rPr>
          <w:rFonts w:ascii="Verdana" w:eastAsia="Aptos" w:hAnsi="Verdana" w:cs="Times New Roman"/>
          <w:kern w:val="2"/>
          <w14:ligatures w14:val="standardContextual"/>
        </w:rPr>
        <w:t>para que sea considerada como empresa o emprendimiento a los que se refiere la norma, sino que además es necesario que dicha vinculación en el mismo cargo</w:t>
      </w:r>
      <w:r>
        <w:rPr>
          <w:rFonts w:ascii="Verdana" w:eastAsia="Aptos" w:hAnsi="Verdana" w:cs="Times New Roman"/>
          <w:kern w:val="2"/>
          <w14:ligatures w14:val="standardContextual"/>
        </w:rPr>
        <w:t xml:space="preserve"> directivo</w:t>
      </w:r>
      <w:r w:rsidRPr="008D0137">
        <w:rPr>
          <w:rFonts w:ascii="Verdana" w:eastAsia="Aptos" w:hAnsi="Verdana" w:cs="Times New Roman"/>
          <w:kern w:val="2"/>
          <w14:ligatures w14:val="standardContextual"/>
        </w:rPr>
        <w:t xml:space="preserve"> u otro del mismo nivel se haya mantenido como mínimo durante el periodo de un año, contado a partir de la fecha de cierre del proceso de selección. De esta manera, el criterio </w:t>
      </w:r>
      <w:r w:rsidRPr="008D0137">
        <w:rPr>
          <w:rFonts w:ascii="Verdana" w:eastAsia="Aptos" w:hAnsi="Verdana" w:cs="Times New Roman"/>
          <w:kern w:val="2"/>
          <w14:ligatures w14:val="standardContextual"/>
        </w:rPr>
        <w:lastRenderedPageBreak/>
        <w:t xml:space="preserve">establecido en la norma para definir los emprendimientos y empresas de </w:t>
      </w:r>
      <w:r>
        <w:rPr>
          <w:rFonts w:ascii="Verdana" w:eastAsia="Aptos" w:hAnsi="Verdana" w:cs="Times New Roman"/>
          <w:kern w:val="2"/>
          <w14:ligatures w14:val="standardContextual"/>
        </w:rPr>
        <w:t>p</w:t>
      </w:r>
      <w:r w:rsidRPr="008D0137">
        <w:rPr>
          <w:rFonts w:ascii="Verdana" w:eastAsia="Aptos" w:hAnsi="Verdana" w:cs="Times New Roman"/>
          <w:kern w:val="2"/>
          <w14:ligatures w14:val="standardContextual"/>
        </w:rPr>
        <w:t xml:space="preserve">ersonas con </w:t>
      </w:r>
      <w:r>
        <w:rPr>
          <w:rFonts w:ascii="Verdana" w:eastAsia="Aptos" w:hAnsi="Verdana" w:cs="Times New Roman"/>
          <w:kern w:val="2"/>
          <w14:ligatures w14:val="standardContextual"/>
        </w:rPr>
        <w:t>d</w:t>
      </w:r>
      <w:r w:rsidRPr="008D0137">
        <w:rPr>
          <w:rFonts w:ascii="Verdana" w:eastAsia="Aptos" w:hAnsi="Verdana" w:cs="Times New Roman"/>
          <w:kern w:val="2"/>
          <w14:ligatures w14:val="standardContextual"/>
        </w:rPr>
        <w:t>iscapacidad deja por fuera de dicha categoría a aquellas sociedades que, a pesar de contar con una vinculación labora</w:t>
      </w:r>
      <w:r>
        <w:rPr>
          <w:rFonts w:ascii="Verdana" w:eastAsia="Aptos" w:hAnsi="Verdana" w:cs="Times New Roman"/>
          <w:kern w:val="2"/>
          <w14:ligatures w14:val="standardContextual"/>
        </w:rPr>
        <w:t>l</w:t>
      </w:r>
      <w:r w:rsidRPr="008D0137">
        <w:rPr>
          <w:rFonts w:ascii="Verdana" w:eastAsia="Aptos" w:hAnsi="Verdana" w:cs="Times New Roman"/>
          <w:kern w:val="2"/>
          <w14:ligatures w14:val="standardContextual"/>
        </w:rPr>
        <w:t xml:space="preserve"> de una </w:t>
      </w:r>
      <w:r>
        <w:rPr>
          <w:rFonts w:ascii="Verdana" w:eastAsia="Aptos" w:hAnsi="Verdana" w:cs="Times New Roman"/>
          <w:kern w:val="2"/>
          <w14:ligatures w14:val="standardContextual"/>
        </w:rPr>
        <w:t>p</w:t>
      </w:r>
      <w:r w:rsidRPr="008D0137">
        <w:rPr>
          <w:rFonts w:ascii="Verdana" w:eastAsia="Aptos" w:hAnsi="Verdana" w:cs="Times New Roman"/>
          <w:kern w:val="2"/>
          <w14:ligatures w14:val="standardContextual"/>
        </w:rPr>
        <w:t xml:space="preserve">ersona con </w:t>
      </w:r>
      <w:r>
        <w:rPr>
          <w:rFonts w:ascii="Verdana" w:eastAsia="Aptos" w:hAnsi="Verdana" w:cs="Times New Roman"/>
          <w:kern w:val="2"/>
          <w14:ligatures w14:val="standardContextual"/>
        </w:rPr>
        <w:t>d</w:t>
      </w:r>
      <w:r w:rsidRPr="008D0137">
        <w:rPr>
          <w:rFonts w:ascii="Verdana" w:eastAsia="Aptos" w:hAnsi="Verdana" w:cs="Times New Roman"/>
          <w:kern w:val="2"/>
          <w14:ligatures w14:val="standardContextual"/>
        </w:rPr>
        <w:t>iscapacidad en el nivel directivo, no cuenten con el requerimiento del tiempo mínimo de un año.</w:t>
      </w:r>
    </w:p>
    <w:p w14:paraId="4F712B0A" w14:textId="77777777" w:rsidR="00FE549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8D0137">
        <w:rPr>
          <w:rFonts w:ascii="Verdana" w:eastAsia="Aptos" w:hAnsi="Verdana" w:cs="Times New Roman"/>
          <w:kern w:val="2"/>
          <w14:ligatures w14:val="standardContextual"/>
        </w:rPr>
        <w:t>Como medio para la acreditación de la condición en comento, la disposición en cita establece una certificación expedida por el representante legal y el revisor fiscal</w:t>
      </w:r>
      <w:r>
        <w:rPr>
          <w:rFonts w:ascii="Verdana" w:eastAsia="Aptos" w:hAnsi="Verdana" w:cs="Times New Roman"/>
          <w:kern w:val="2"/>
          <w14:ligatures w14:val="standardContextual"/>
        </w:rPr>
        <w:t xml:space="preserve">, cuando exista, en la cual </w:t>
      </w:r>
      <w:r w:rsidRPr="00856DA9">
        <w:rPr>
          <w:rFonts w:ascii="Verdana" w:eastAsia="Aptos" w:hAnsi="Verdana" w:cs="Times New Roman"/>
          <w:kern w:val="2"/>
          <w14:ligatures w14:val="standardContextual"/>
        </w:rPr>
        <w:t>se señale de manera detallada las personas con discapacidad que ocupan cargos de nivel directivo del proponente y el tiempo de vinculación.</w:t>
      </w:r>
      <w:r>
        <w:rPr>
          <w:rFonts w:ascii="Verdana" w:eastAsia="Aptos" w:hAnsi="Verdana" w:cs="Times New Roman"/>
          <w:kern w:val="2"/>
          <w14:ligatures w14:val="standardContextual"/>
        </w:rPr>
        <w:t xml:space="preserve"> </w:t>
      </w:r>
      <w:r w:rsidRPr="008D0137">
        <w:rPr>
          <w:rFonts w:ascii="Verdana" w:eastAsia="Aptos" w:hAnsi="Verdana" w:cs="Times New Roman"/>
          <w:kern w:val="2"/>
          <w14:ligatures w14:val="standardContextual"/>
        </w:rPr>
        <w:t xml:space="preserve">Dicho documento además debe relacionar </w:t>
      </w:r>
      <w:r w:rsidRPr="00D73C8C">
        <w:rPr>
          <w:rFonts w:ascii="Verdana" w:eastAsia="Aptos" w:hAnsi="Verdana" w:cs="Times New Roman"/>
          <w:kern w:val="2"/>
          <w14:ligatures w14:val="standardContextual"/>
        </w:rPr>
        <w:t>el nombre completo y el número de documento de identidad de las personas con discapacidad que ocupan cargos de nivel directivo del proponente</w:t>
      </w:r>
      <w:r w:rsidRPr="008D0137">
        <w:rPr>
          <w:rFonts w:ascii="Verdana" w:eastAsia="Aptos" w:hAnsi="Verdana" w:cs="Times New Roman"/>
          <w:kern w:val="2"/>
          <w14:ligatures w14:val="standardContextual"/>
        </w:rPr>
        <w:t xml:space="preserve">. Adicionalmente, la norma dispone </w:t>
      </w:r>
      <w:r>
        <w:rPr>
          <w:rFonts w:ascii="Verdana" w:eastAsia="Aptos" w:hAnsi="Verdana" w:cs="Times New Roman"/>
          <w:kern w:val="2"/>
          <w14:ligatures w14:val="standardContextual"/>
        </w:rPr>
        <w:t xml:space="preserve">que </w:t>
      </w:r>
      <w:r w:rsidRPr="008D0137">
        <w:rPr>
          <w:rFonts w:ascii="Verdana" w:eastAsia="Aptos" w:hAnsi="Verdana" w:cs="Times New Roman"/>
          <w:kern w:val="2"/>
          <w14:ligatures w14:val="standardContextual"/>
        </w:rPr>
        <w:t>la mencionada certificación de</w:t>
      </w:r>
      <w:r>
        <w:rPr>
          <w:rFonts w:ascii="Verdana" w:eastAsia="Aptos" w:hAnsi="Verdana" w:cs="Times New Roman"/>
          <w:kern w:val="2"/>
          <w14:ligatures w14:val="standardContextual"/>
        </w:rPr>
        <w:t>be</w:t>
      </w:r>
      <w:r w:rsidRPr="008D0137">
        <w:rPr>
          <w:rFonts w:ascii="Verdana" w:eastAsia="Aptos" w:hAnsi="Verdana" w:cs="Times New Roman"/>
          <w:kern w:val="2"/>
          <w14:ligatures w14:val="standardContextual"/>
        </w:rPr>
        <w:t xml:space="preserv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r w:rsidRPr="0034693C">
        <w:rPr>
          <w:rFonts w:ascii="Verdana" w:eastAsia="Aptos" w:hAnsi="Verdana" w:cs="Times New Roman"/>
          <w:kern w:val="2"/>
          <w14:ligatures w14:val="standardContextual"/>
        </w:rPr>
        <w:t>y el certificado de discapacidad expedido de acuerdo con la normativa del Ministerio de Salud y Protección Social</w:t>
      </w:r>
      <w:r>
        <w:rPr>
          <w:rFonts w:ascii="Verdana" w:eastAsia="Aptos" w:hAnsi="Verdana" w:cs="Times New Roman"/>
          <w:kern w:val="2"/>
          <w14:ligatures w14:val="standardContextual"/>
        </w:rPr>
        <w:t xml:space="preserve">. </w:t>
      </w:r>
    </w:p>
    <w:p w14:paraId="438CFD7E" w14:textId="77777777" w:rsidR="00FE5496" w:rsidRPr="003F2A1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F2A16">
        <w:rPr>
          <w:rFonts w:ascii="Verdana" w:eastAsia="Aptos" w:hAnsi="Verdana" w:cs="Times New Roman"/>
          <w:kern w:val="2"/>
          <w14:ligatures w14:val="standardContextual"/>
        </w:rPr>
        <w:t>Respecto de este último requisito, se advierte que la disposición normativa no exige la acreditación de un porcentaje mínimo de pérdida de capacidad laboral o funcional para efectos de</w:t>
      </w:r>
      <w:r>
        <w:rPr>
          <w:rFonts w:ascii="Verdana" w:eastAsia="Aptos" w:hAnsi="Verdana" w:cs="Times New Roman"/>
          <w:kern w:val="2"/>
          <w14:ligatures w14:val="standardContextual"/>
        </w:rPr>
        <w:t xml:space="preserve"> acceder a las medidas afirmativas del Decreto 287 de 2026</w:t>
      </w:r>
      <w:r w:rsidRPr="003F2A16">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 xml:space="preserve">Esta disposición </w:t>
      </w:r>
      <w:r w:rsidRPr="003F2A16">
        <w:rPr>
          <w:rFonts w:ascii="Verdana" w:eastAsia="Aptos" w:hAnsi="Verdana" w:cs="Times New Roman"/>
          <w:kern w:val="2"/>
          <w14:ligatures w14:val="standardContextual"/>
        </w:rPr>
        <w:t>se limita a señalar que deberá aportarse el certificado de discapacidad expedido conforme a la normativa vigente del Ministerio de Salud y Protección Social.</w:t>
      </w:r>
    </w:p>
    <w:p w14:paraId="12E5A2F8" w14:textId="77777777" w:rsidR="00FE549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F2A16">
        <w:rPr>
          <w:rFonts w:ascii="Verdana" w:eastAsia="Aptos" w:hAnsi="Verdana" w:cs="Times New Roman"/>
          <w:kern w:val="2"/>
          <w14:ligatures w14:val="standardContextual"/>
        </w:rPr>
        <w:t xml:space="preserve">En ese sentido, una interpretación literal y sistemática de la norma permite concluir que no </w:t>
      </w:r>
      <w:r>
        <w:rPr>
          <w:rFonts w:ascii="Verdana" w:eastAsia="Aptos" w:hAnsi="Verdana" w:cs="Times New Roman"/>
          <w:kern w:val="2"/>
          <w14:ligatures w14:val="standardContextual"/>
        </w:rPr>
        <w:t xml:space="preserve">se </w:t>
      </w:r>
      <w:r w:rsidRPr="003F2A16">
        <w:rPr>
          <w:rFonts w:ascii="Verdana" w:eastAsia="Aptos" w:hAnsi="Verdana" w:cs="Times New Roman"/>
          <w:kern w:val="2"/>
          <w14:ligatures w14:val="standardContextual"/>
        </w:rPr>
        <w:t>condicionó el acceso a las medidas afirmativas previstas en el Decreto 287 de 2026 a la verificación de un umbral específico de discapacidad, sino únicamente a la existencia de una certificación válida emitida por la autoridad competente.</w:t>
      </w:r>
      <w:r>
        <w:rPr>
          <w:rFonts w:ascii="Verdana" w:eastAsia="Aptos" w:hAnsi="Verdana" w:cs="Times New Roman"/>
          <w:kern w:val="2"/>
          <w14:ligatures w14:val="standardContextual"/>
        </w:rPr>
        <w:t xml:space="preserve"> </w:t>
      </w:r>
      <w:r w:rsidRPr="00CE5DB0">
        <w:rPr>
          <w:rFonts w:ascii="Verdana" w:eastAsia="Aptos" w:hAnsi="Verdana" w:cs="Times New Roman"/>
          <w:kern w:val="2"/>
          <w14:ligatures w14:val="standardContextual"/>
        </w:rPr>
        <w:t>Esto se refuerza a lo largo del Decreto, en la medida en que ninguna de las disposiciones que regulan la exigencia del certificado de discapacidad hace referencia a la acreditación de un porcentaje específico</w:t>
      </w:r>
      <w:r>
        <w:rPr>
          <w:rFonts w:ascii="Verdana" w:eastAsia="Aptos" w:hAnsi="Verdana" w:cs="Times New Roman"/>
          <w:kern w:val="2"/>
          <w14:ligatures w14:val="standardContextual"/>
        </w:rPr>
        <w:t xml:space="preserve">. </w:t>
      </w:r>
      <w:r w:rsidRPr="003F2A16">
        <w:rPr>
          <w:rFonts w:ascii="Verdana" w:eastAsia="Aptos" w:hAnsi="Verdana" w:cs="Times New Roman"/>
          <w:kern w:val="2"/>
          <w14:ligatures w14:val="standardContextual"/>
        </w:rPr>
        <w:t xml:space="preserve">Así, para efectos de la acreditación del requisito, resulta suficiente que el proponente allegue el certificado de discapacidad expedido en los términos </w:t>
      </w:r>
      <w:r>
        <w:rPr>
          <w:rFonts w:ascii="Verdana" w:eastAsia="Aptos" w:hAnsi="Verdana" w:cs="Times New Roman"/>
          <w:kern w:val="2"/>
          <w14:ligatures w14:val="standardContextual"/>
        </w:rPr>
        <w:t xml:space="preserve">establecidos por la normativa del </w:t>
      </w:r>
      <w:r w:rsidRPr="003F2A16">
        <w:rPr>
          <w:rFonts w:ascii="Verdana" w:eastAsia="Aptos" w:hAnsi="Verdana" w:cs="Times New Roman"/>
          <w:kern w:val="2"/>
          <w14:ligatures w14:val="standardContextual"/>
        </w:rPr>
        <w:t xml:space="preserve">Ministerio de Salud y Protección </w:t>
      </w:r>
      <w:r w:rsidRPr="003F2A16">
        <w:rPr>
          <w:rFonts w:ascii="Verdana" w:eastAsia="Aptos" w:hAnsi="Verdana" w:cs="Times New Roman"/>
          <w:kern w:val="2"/>
          <w14:ligatures w14:val="standardContextual"/>
        </w:rPr>
        <w:lastRenderedPageBreak/>
        <w:t>Social, sin que sea procedente exigir porcentajes mínimos</w:t>
      </w:r>
      <w:r>
        <w:rPr>
          <w:rFonts w:ascii="Verdana" w:eastAsia="Aptos" w:hAnsi="Verdana" w:cs="Times New Roman"/>
          <w:kern w:val="2"/>
          <w14:ligatures w14:val="standardContextual"/>
        </w:rPr>
        <w:t xml:space="preserve"> de discapacidad</w:t>
      </w:r>
      <w:r w:rsidRPr="003F2A16">
        <w:rPr>
          <w:rFonts w:ascii="Verdana" w:eastAsia="Aptos" w:hAnsi="Verdana" w:cs="Times New Roman"/>
          <w:kern w:val="2"/>
          <w14:ligatures w14:val="standardContextual"/>
        </w:rPr>
        <w:t xml:space="preserve"> no previstos expresamente en la norma</w:t>
      </w:r>
      <w:r>
        <w:rPr>
          <w:rFonts w:ascii="Verdana" w:eastAsia="Aptos" w:hAnsi="Verdana" w:cs="Times New Roman"/>
          <w:kern w:val="2"/>
          <w14:ligatures w14:val="standardContextual"/>
        </w:rPr>
        <w:t xml:space="preserve">. </w:t>
      </w:r>
    </w:p>
    <w:p w14:paraId="0EA9AF8E" w14:textId="77777777" w:rsidR="00FE5496" w:rsidRPr="008D0137"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Sin perjuicio de lo anterior</w:t>
      </w:r>
      <w:r w:rsidRPr="008D0137">
        <w:rPr>
          <w:rFonts w:ascii="Verdana" w:eastAsia="Aptos" w:hAnsi="Verdana" w:cs="Times New Roman"/>
          <w:kern w:val="2"/>
          <w14:ligatures w14:val="standardContextual"/>
        </w:rPr>
        <w:t>,</w:t>
      </w:r>
      <w:r>
        <w:rPr>
          <w:rFonts w:ascii="Verdana" w:eastAsia="Aptos" w:hAnsi="Verdana" w:cs="Times New Roman"/>
          <w:kern w:val="2"/>
          <w14:ligatures w14:val="standardContextual"/>
        </w:rPr>
        <w:t xml:space="preserve"> es pertinente señalar que</w:t>
      </w:r>
      <w:r w:rsidRPr="008D0137">
        <w:rPr>
          <w:rFonts w:ascii="Verdana" w:eastAsia="Aptos" w:hAnsi="Verdana" w:cs="Times New Roman"/>
          <w:kern w:val="2"/>
          <w14:ligatures w14:val="standardContextual"/>
        </w:rPr>
        <w:t xml:space="preserve"> la sola presentación de </w:t>
      </w:r>
      <w:r>
        <w:rPr>
          <w:rFonts w:ascii="Verdana" w:eastAsia="Aptos" w:hAnsi="Verdana" w:cs="Times New Roman"/>
          <w:kern w:val="2"/>
          <w14:ligatures w14:val="standardContextual"/>
        </w:rPr>
        <w:t>dicha documentación</w:t>
      </w:r>
      <w:r w:rsidRPr="008D0137">
        <w:rPr>
          <w:rFonts w:ascii="Verdana" w:eastAsia="Aptos" w:hAnsi="Verdana" w:cs="Times New Roman"/>
          <w:kern w:val="2"/>
          <w14:ligatures w14:val="standardContextual"/>
        </w:rPr>
        <w:t xml:space="preserve"> no confiere automáticamente el acceso a criterios diferenciales</w:t>
      </w:r>
      <w:r>
        <w:rPr>
          <w:rFonts w:ascii="Verdana" w:eastAsia="Aptos" w:hAnsi="Verdana" w:cs="Times New Roman"/>
          <w:kern w:val="2"/>
          <w14:ligatures w14:val="standardContextual"/>
        </w:rPr>
        <w:t xml:space="preserve"> y al puntaje, puesto que </w:t>
      </w:r>
      <w:r w:rsidRPr="008D0137">
        <w:rPr>
          <w:rFonts w:ascii="Verdana" w:eastAsia="Aptos" w:hAnsi="Verdana" w:cs="Times New Roman"/>
          <w:kern w:val="2"/>
          <w14:ligatures w14:val="standardContextual"/>
        </w:rPr>
        <w:t xml:space="preserve">la entidad debe establecer si en efecto </w:t>
      </w:r>
      <w:r>
        <w:rPr>
          <w:rFonts w:ascii="Verdana" w:eastAsia="Aptos" w:hAnsi="Verdana" w:cs="Times New Roman"/>
          <w:kern w:val="2"/>
          <w14:ligatures w14:val="standardContextual"/>
        </w:rPr>
        <w:t xml:space="preserve">las personas con discapacidad vinculadas con contrato laboral </w:t>
      </w:r>
      <w:r w:rsidRPr="008D0137">
        <w:rPr>
          <w:rFonts w:ascii="Verdana" w:eastAsia="Aptos" w:hAnsi="Verdana" w:cs="Times New Roman"/>
          <w:kern w:val="2"/>
          <w14:ligatures w14:val="standardContextual"/>
        </w:rPr>
        <w:t>se ha</w:t>
      </w:r>
      <w:r>
        <w:rPr>
          <w:rFonts w:ascii="Verdana" w:eastAsia="Aptos" w:hAnsi="Verdana" w:cs="Times New Roman"/>
          <w:kern w:val="2"/>
          <w14:ligatures w14:val="standardContextual"/>
        </w:rPr>
        <w:t>n</w:t>
      </w:r>
      <w:r w:rsidRPr="008D0137">
        <w:rPr>
          <w:rFonts w:ascii="Verdana" w:eastAsia="Aptos" w:hAnsi="Verdana" w:cs="Times New Roman"/>
          <w:kern w:val="2"/>
          <w14:ligatures w14:val="standardContextual"/>
        </w:rPr>
        <w:t xml:space="preserve"> mantenido durante al menos un año, contando hasta la fecha de cierre, para lo que son útiles la certificación laboral, el contrato de trabajo y los certificados de aportes a seguridad social. También deberá establecerse si los empleos que ocupan las personas relacionadas en la certificación efectivamente son </w:t>
      </w:r>
      <w:r>
        <w:rPr>
          <w:rFonts w:ascii="Verdana" w:eastAsia="Aptos" w:hAnsi="Verdana" w:cs="Times New Roman"/>
          <w:kern w:val="2"/>
          <w14:ligatures w14:val="standardContextual"/>
        </w:rPr>
        <w:t>en el mismo cargo u otro del</w:t>
      </w:r>
      <w:r w:rsidRPr="008D0137">
        <w:rPr>
          <w:rFonts w:ascii="Verdana" w:eastAsia="Aptos" w:hAnsi="Verdana" w:cs="Times New Roman"/>
          <w:kern w:val="2"/>
          <w14:ligatures w14:val="standardContextual"/>
        </w:rPr>
        <w:t xml:space="preserve"> nivel directivo, para lo que deberá analizarse si las funciones descritas en el contrato o certificación aportada se subsumen en la noción establecida en el segundo inciso</w:t>
      </w:r>
      <w:r>
        <w:rPr>
          <w:rFonts w:ascii="Verdana" w:eastAsia="Aptos" w:hAnsi="Verdana" w:cs="Times New Roman"/>
          <w:kern w:val="2"/>
          <w14:ligatures w14:val="standardContextual"/>
        </w:rPr>
        <w:t xml:space="preserve"> segundo</w:t>
      </w:r>
      <w:r w:rsidRPr="008D0137">
        <w:rPr>
          <w:rFonts w:ascii="Verdana" w:eastAsia="Aptos" w:hAnsi="Verdana" w:cs="Times New Roman"/>
          <w:kern w:val="2"/>
          <w14:ligatures w14:val="standardContextual"/>
        </w:rPr>
        <w:t xml:space="preserve"> del numeral </w:t>
      </w:r>
      <w:r>
        <w:rPr>
          <w:rFonts w:ascii="Verdana" w:eastAsia="Aptos" w:hAnsi="Verdana" w:cs="Times New Roman"/>
          <w:kern w:val="2"/>
          <w14:ligatures w14:val="standardContextual"/>
        </w:rPr>
        <w:t xml:space="preserve">4 </w:t>
      </w:r>
      <w:r w:rsidRPr="008D0137">
        <w:rPr>
          <w:rFonts w:ascii="Verdana" w:eastAsia="Aptos" w:hAnsi="Verdana" w:cs="Times New Roman"/>
          <w:kern w:val="2"/>
          <w14:ligatures w14:val="standardContextual"/>
        </w:rPr>
        <w:t xml:space="preserve">del artículo </w:t>
      </w:r>
      <w:r w:rsidRPr="001B3C5D">
        <w:rPr>
          <w:rFonts w:ascii="Verdana" w:eastAsia="Aptos" w:hAnsi="Verdana" w:cs="Times New Roman"/>
          <w:kern w:val="2"/>
          <w14:ligatures w14:val="standardContextual"/>
        </w:rPr>
        <w:t>2.2.1.2.4.2.6</w:t>
      </w:r>
      <w:r>
        <w:rPr>
          <w:rFonts w:ascii="Verdana" w:eastAsia="Aptos" w:hAnsi="Verdana" w:cs="Times New Roman"/>
          <w:kern w:val="2"/>
          <w14:ligatures w14:val="standardContextual"/>
        </w:rPr>
        <w:t xml:space="preserve"> </w:t>
      </w:r>
      <w:r w:rsidRPr="008D0137">
        <w:rPr>
          <w:rFonts w:ascii="Verdana" w:eastAsia="Aptos" w:hAnsi="Verdana" w:cs="Times New Roman"/>
          <w:kern w:val="2"/>
          <w14:ligatures w14:val="standardContextual"/>
        </w:rPr>
        <w:t>del Decreto 1082 de 2015.</w:t>
      </w:r>
    </w:p>
    <w:p w14:paraId="1EC09B8D" w14:textId="77777777" w:rsidR="00FE5496" w:rsidRDefault="00FE5496" w:rsidP="00FE54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8D0137">
        <w:rPr>
          <w:rFonts w:ascii="Verdana" w:eastAsia="Aptos" w:hAnsi="Verdana" w:cs="Times New Roman"/>
          <w:kern w:val="2"/>
          <w14:ligatures w14:val="standardContextual"/>
        </w:rPr>
        <w:t>Conforme a lo anterior, en el evento en que un proponente presenta la referida certificación con los respectivos soportes, pero se encuentre que los mismos no acreditan las condiciones descritas, la entidad deberá tener por no acreditada la condición de emprendimiento o empresa de</w:t>
      </w:r>
      <w:r>
        <w:rPr>
          <w:rFonts w:ascii="Verdana" w:eastAsia="Aptos" w:hAnsi="Verdana" w:cs="Times New Roman"/>
          <w:kern w:val="2"/>
          <w14:ligatures w14:val="standardContextual"/>
        </w:rPr>
        <w:t xml:space="preserve"> Personas con Discapacidad</w:t>
      </w:r>
      <w:r w:rsidRPr="008D0137">
        <w:rPr>
          <w:rFonts w:ascii="Verdana" w:eastAsia="Aptos" w:hAnsi="Verdana" w:cs="Times New Roman"/>
          <w:kern w:val="2"/>
          <w14:ligatures w14:val="standardContextual"/>
        </w:rPr>
        <w:t xml:space="preserve"> y, en consecuencia, abstenerse de aplicar criterios diferenciales</w:t>
      </w:r>
      <w:r>
        <w:rPr>
          <w:rFonts w:ascii="Verdana" w:eastAsia="Aptos" w:hAnsi="Verdana" w:cs="Times New Roman"/>
          <w:kern w:val="2"/>
          <w14:ligatures w14:val="standardContextual"/>
        </w:rPr>
        <w:t xml:space="preserve"> y puntaje</w:t>
      </w:r>
      <w:r w:rsidRPr="008D0137">
        <w:rPr>
          <w:rFonts w:ascii="Verdana" w:eastAsia="Aptos" w:hAnsi="Verdana" w:cs="Times New Roman"/>
          <w:kern w:val="2"/>
          <w14:ligatures w14:val="standardContextual"/>
        </w:rPr>
        <w:t xml:space="preserve"> en favor de este oferente. De esta manera, si, por ejemplo, analizados los documentos presentados la entidad advierte que </w:t>
      </w:r>
      <w:r>
        <w:rPr>
          <w:rFonts w:ascii="Verdana" w:eastAsia="Aptos" w:hAnsi="Verdana" w:cs="Times New Roman"/>
          <w:kern w:val="2"/>
          <w14:ligatures w14:val="standardContextual"/>
        </w:rPr>
        <w:t xml:space="preserve">la vinculación laboral de la persona con discapacidad </w:t>
      </w:r>
      <w:r w:rsidRPr="008D0137">
        <w:rPr>
          <w:rFonts w:ascii="Verdana" w:eastAsia="Aptos" w:hAnsi="Verdana" w:cs="Times New Roman"/>
          <w:kern w:val="2"/>
          <w14:ligatures w14:val="standardContextual"/>
        </w:rPr>
        <w:t>en</w:t>
      </w:r>
      <w:r>
        <w:rPr>
          <w:rFonts w:ascii="Verdana" w:eastAsia="Aptos" w:hAnsi="Verdana" w:cs="Times New Roman"/>
          <w:kern w:val="2"/>
          <w14:ligatures w14:val="standardContextual"/>
        </w:rPr>
        <w:t xml:space="preserve"> un</w:t>
      </w:r>
      <w:r w:rsidRPr="008D0137">
        <w:rPr>
          <w:rFonts w:ascii="Verdana" w:eastAsia="Aptos" w:hAnsi="Verdana" w:cs="Times New Roman"/>
          <w:kern w:val="2"/>
          <w14:ligatures w14:val="standardContextual"/>
        </w:rPr>
        <w:t xml:space="preserve"> empleo del nivel directivo no se ha mantenido durante al meno</w:t>
      </w:r>
      <w:r>
        <w:rPr>
          <w:rFonts w:ascii="Verdana" w:eastAsia="Aptos" w:hAnsi="Verdana" w:cs="Times New Roman"/>
          <w:kern w:val="2"/>
          <w14:ligatures w14:val="standardContextual"/>
        </w:rPr>
        <w:t>s</w:t>
      </w:r>
      <w:r w:rsidRPr="008D0137">
        <w:rPr>
          <w:rFonts w:ascii="Verdana" w:eastAsia="Aptos" w:hAnsi="Verdana" w:cs="Times New Roman"/>
          <w:kern w:val="2"/>
          <w14:ligatures w14:val="standardContextual"/>
        </w:rPr>
        <w:t xml:space="preserve"> el año anterior a la fecha del cierre del proceso de selección, no sería viable aplicar la mencionada definición. La misma consecuencia aplica al supuesto en el que se determine que las funciones de </w:t>
      </w:r>
      <w:r>
        <w:rPr>
          <w:rFonts w:ascii="Verdana" w:eastAsia="Aptos" w:hAnsi="Verdana" w:cs="Times New Roman"/>
          <w:kern w:val="2"/>
          <w14:ligatures w14:val="standardContextual"/>
        </w:rPr>
        <w:t xml:space="preserve">este trabajador </w:t>
      </w:r>
      <w:r w:rsidRPr="008D0137">
        <w:rPr>
          <w:rFonts w:ascii="Verdana" w:eastAsia="Aptos" w:hAnsi="Verdana" w:cs="Times New Roman"/>
          <w:kern w:val="2"/>
          <w14:ligatures w14:val="standardContextual"/>
        </w:rPr>
        <w:t>presuntamente vinculad</w:t>
      </w:r>
      <w:r>
        <w:rPr>
          <w:rFonts w:ascii="Verdana" w:eastAsia="Aptos" w:hAnsi="Verdana" w:cs="Times New Roman"/>
          <w:kern w:val="2"/>
          <w14:ligatures w14:val="standardContextual"/>
        </w:rPr>
        <w:t>o</w:t>
      </w:r>
      <w:r w:rsidRPr="008D0137">
        <w:rPr>
          <w:rFonts w:ascii="Verdana" w:eastAsia="Aptos" w:hAnsi="Verdana" w:cs="Times New Roman"/>
          <w:kern w:val="2"/>
          <w14:ligatures w14:val="standardContextual"/>
        </w:rPr>
        <w:t xml:space="preserve"> a</w:t>
      </w:r>
      <w:r>
        <w:rPr>
          <w:rFonts w:ascii="Verdana" w:eastAsia="Aptos" w:hAnsi="Verdana" w:cs="Times New Roman"/>
          <w:kern w:val="2"/>
          <w14:ligatures w14:val="standardContextual"/>
        </w:rPr>
        <w:t>l</w:t>
      </w:r>
      <w:r w:rsidRPr="008D0137">
        <w:rPr>
          <w:rFonts w:ascii="Verdana" w:eastAsia="Aptos" w:hAnsi="Verdana" w:cs="Times New Roman"/>
          <w:kern w:val="2"/>
          <w14:ligatures w14:val="standardContextual"/>
        </w:rPr>
        <w:t xml:space="preserve"> empleo del nivel directivo no corresponden con las atribuida a ese tipo de cargos de conformidad con lo señalado en la norma.</w:t>
      </w:r>
    </w:p>
    <w:p w14:paraId="5E1C3634" w14:textId="77777777" w:rsidR="00FE5496" w:rsidRDefault="00FE5496" w:rsidP="00FE5496">
      <w:pPr>
        <w:spacing w:after="120" w:line="276" w:lineRule="auto"/>
        <w:ind w:left="119" w:right="79" w:firstLine="709"/>
        <w:jc w:val="both"/>
        <w:rPr>
          <w:rFonts w:ascii="Verdana" w:eastAsia="Arial" w:hAnsi="Verdana" w:cs="Arial"/>
        </w:rPr>
      </w:pPr>
      <w:r>
        <w:rPr>
          <w:rFonts w:ascii="Verdana" w:eastAsia="Arial" w:hAnsi="Verdana" w:cs="Arial"/>
        </w:rPr>
        <w:t>Con todo, debe advertirse que corresponde a las entidades estatales</w:t>
      </w:r>
      <w:r>
        <w:rPr>
          <w:rFonts w:ascii="Verdana" w:eastAsia="Arial" w:hAnsi="Verdana" w:cs="Arial"/>
          <w:spacing w:val="1"/>
        </w:rPr>
        <w:t xml:space="preserve"> </w:t>
      </w:r>
      <w:r>
        <w:rPr>
          <w:rFonts w:ascii="Verdana" w:eastAsia="Arial" w:hAnsi="Verdana" w:cs="Arial"/>
        </w:rPr>
        <w:t>contratantes determinar</w:t>
      </w:r>
      <w:r>
        <w:rPr>
          <w:rFonts w:ascii="Verdana" w:eastAsia="Arial" w:hAnsi="Verdana" w:cs="Arial"/>
          <w:spacing w:val="1"/>
        </w:rPr>
        <w:t xml:space="preserve"> </w:t>
      </w:r>
      <w:r>
        <w:rPr>
          <w:rFonts w:ascii="Verdana" w:eastAsia="Arial" w:hAnsi="Verdana" w:cs="Arial"/>
        </w:rPr>
        <w:t>en cada caso concreto</w:t>
      </w:r>
      <w:r>
        <w:rPr>
          <w:rFonts w:ascii="Verdana" w:eastAsia="Arial" w:hAnsi="Verdana" w:cs="Arial"/>
          <w:spacing w:val="1"/>
        </w:rPr>
        <w:t xml:space="preserve"> </w:t>
      </w:r>
      <w:r>
        <w:rPr>
          <w:rFonts w:ascii="Verdana" w:eastAsia="Arial" w:hAnsi="Verdana" w:cs="Arial"/>
        </w:rPr>
        <w:t>si en efecto</w:t>
      </w:r>
      <w:r>
        <w:rPr>
          <w:rFonts w:ascii="Verdana" w:eastAsia="Arial" w:hAnsi="Verdana" w:cs="Arial"/>
          <w:spacing w:val="1"/>
        </w:rPr>
        <w:t xml:space="preserve"> </w:t>
      </w:r>
      <w:r>
        <w:rPr>
          <w:rFonts w:ascii="Verdana" w:eastAsia="Arial" w:hAnsi="Verdana" w:cs="Arial"/>
        </w:rPr>
        <w:t>se cumplen las condiciones</w:t>
      </w:r>
      <w:r>
        <w:rPr>
          <w:rFonts w:ascii="Verdana" w:eastAsia="Arial" w:hAnsi="Verdana" w:cs="Arial"/>
          <w:spacing w:val="1"/>
        </w:rPr>
        <w:t xml:space="preserve"> </w:t>
      </w:r>
      <w:r>
        <w:rPr>
          <w:rFonts w:ascii="Verdana" w:eastAsia="Arial" w:hAnsi="Verdana" w:cs="Arial"/>
        </w:rPr>
        <w:t>antes</w:t>
      </w:r>
      <w:r>
        <w:rPr>
          <w:rFonts w:ascii="Verdana" w:eastAsia="Arial" w:hAnsi="Verdana" w:cs="Arial"/>
          <w:spacing w:val="1"/>
        </w:rPr>
        <w:t xml:space="preserve"> </w:t>
      </w:r>
      <w:r>
        <w:rPr>
          <w:rFonts w:ascii="Verdana" w:eastAsia="Arial" w:hAnsi="Verdana" w:cs="Arial"/>
        </w:rPr>
        <w:t>explicadas, verificando</w:t>
      </w:r>
      <w:r>
        <w:rPr>
          <w:rFonts w:ascii="Verdana" w:eastAsia="Arial" w:hAnsi="Verdana" w:cs="Arial"/>
          <w:spacing w:val="-10"/>
        </w:rPr>
        <w:t xml:space="preserve"> </w:t>
      </w:r>
      <w:r>
        <w:rPr>
          <w:rFonts w:ascii="Verdana" w:eastAsia="Arial" w:hAnsi="Verdana" w:cs="Arial"/>
        </w:rPr>
        <w:t>además</w:t>
      </w:r>
      <w:r>
        <w:rPr>
          <w:rFonts w:ascii="Verdana" w:eastAsia="Arial" w:hAnsi="Verdana" w:cs="Arial"/>
          <w:spacing w:val="-10"/>
        </w:rPr>
        <w:t xml:space="preserve"> </w:t>
      </w:r>
      <w:r>
        <w:rPr>
          <w:rFonts w:ascii="Verdana" w:eastAsia="Arial" w:hAnsi="Verdana" w:cs="Arial"/>
        </w:rPr>
        <w:t>que</w:t>
      </w:r>
      <w:r>
        <w:rPr>
          <w:rFonts w:ascii="Verdana" w:eastAsia="Arial" w:hAnsi="Verdana" w:cs="Arial"/>
          <w:spacing w:val="-10"/>
        </w:rPr>
        <w:t xml:space="preserve"> </w:t>
      </w:r>
      <w:r>
        <w:rPr>
          <w:rFonts w:ascii="Verdana" w:eastAsia="Arial" w:hAnsi="Verdana" w:cs="Arial"/>
        </w:rPr>
        <w:t>dicha</w:t>
      </w:r>
      <w:r>
        <w:rPr>
          <w:rFonts w:ascii="Verdana" w:eastAsia="Arial" w:hAnsi="Verdana" w:cs="Arial"/>
          <w:spacing w:val="-10"/>
        </w:rPr>
        <w:t xml:space="preserve"> </w:t>
      </w:r>
      <w:r>
        <w:rPr>
          <w:rFonts w:ascii="Verdana" w:eastAsia="Arial" w:hAnsi="Verdana" w:cs="Arial"/>
        </w:rPr>
        <w:t>acreditación</w:t>
      </w:r>
      <w:r>
        <w:rPr>
          <w:rFonts w:ascii="Verdana" w:eastAsia="Arial" w:hAnsi="Verdana" w:cs="Arial"/>
          <w:spacing w:val="-10"/>
        </w:rPr>
        <w:t xml:space="preserve"> </w:t>
      </w:r>
      <w:r>
        <w:rPr>
          <w:rFonts w:ascii="Verdana" w:eastAsia="Arial" w:hAnsi="Verdana" w:cs="Arial"/>
        </w:rPr>
        <w:t>se</w:t>
      </w:r>
      <w:r>
        <w:rPr>
          <w:rFonts w:ascii="Verdana" w:eastAsia="Arial" w:hAnsi="Verdana" w:cs="Arial"/>
          <w:spacing w:val="-10"/>
        </w:rPr>
        <w:t xml:space="preserve"> </w:t>
      </w:r>
      <w:r>
        <w:rPr>
          <w:rFonts w:ascii="Verdana" w:eastAsia="Arial" w:hAnsi="Verdana" w:cs="Arial"/>
        </w:rPr>
        <w:t>haga</w:t>
      </w:r>
      <w:r>
        <w:rPr>
          <w:rFonts w:ascii="Verdana" w:eastAsia="Arial" w:hAnsi="Verdana" w:cs="Arial"/>
          <w:spacing w:val="-10"/>
        </w:rPr>
        <w:t xml:space="preserve"> </w:t>
      </w:r>
      <w:r>
        <w:rPr>
          <w:rFonts w:ascii="Verdana" w:eastAsia="Arial" w:hAnsi="Verdana" w:cs="Arial"/>
        </w:rPr>
        <w:t>con</w:t>
      </w:r>
      <w:r>
        <w:rPr>
          <w:rFonts w:ascii="Verdana" w:eastAsia="Arial" w:hAnsi="Verdana" w:cs="Arial"/>
          <w:spacing w:val="-10"/>
        </w:rPr>
        <w:t xml:space="preserve"> </w:t>
      </w:r>
      <w:r>
        <w:rPr>
          <w:rFonts w:ascii="Verdana" w:eastAsia="Arial" w:hAnsi="Verdana" w:cs="Arial"/>
        </w:rPr>
        <w:t>sujeción</w:t>
      </w:r>
      <w:r>
        <w:rPr>
          <w:rFonts w:ascii="Verdana" w:eastAsia="Arial" w:hAnsi="Verdana" w:cs="Arial"/>
          <w:spacing w:val="-10"/>
        </w:rPr>
        <w:t xml:space="preserve"> </w:t>
      </w:r>
      <w:r>
        <w:rPr>
          <w:rFonts w:ascii="Verdana" w:eastAsia="Arial" w:hAnsi="Verdana" w:cs="Arial"/>
        </w:rPr>
        <w:t>al</w:t>
      </w:r>
      <w:r>
        <w:rPr>
          <w:rFonts w:ascii="Verdana" w:eastAsia="Arial" w:hAnsi="Verdana" w:cs="Arial"/>
          <w:spacing w:val="-10"/>
        </w:rPr>
        <w:t xml:space="preserve"> </w:t>
      </w:r>
      <w:r>
        <w:rPr>
          <w:rFonts w:ascii="Verdana" w:eastAsia="Arial" w:hAnsi="Verdana" w:cs="Arial"/>
        </w:rPr>
        <w:t>marco</w:t>
      </w:r>
      <w:r>
        <w:rPr>
          <w:rFonts w:ascii="Verdana" w:eastAsia="Arial" w:hAnsi="Verdana" w:cs="Arial"/>
          <w:spacing w:val="-10"/>
        </w:rPr>
        <w:t xml:space="preserve"> </w:t>
      </w:r>
      <w:r>
        <w:rPr>
          <w:rFonts w:ascii="Verdana" w:eastAsia="Arial" w:hAnsi="Verdana" w:cs="Arial"/>
        </w:rPr>
        <w:t>jurídico</w:t>
      </w:r>
      <w:r>
        <w:rPr>
          <w:rFonts w:ascii="Verdana" w:eastAsia="Arial" w:hAnsi="Verdana" w:cs="Arial"/>
          <w:spacing w:val="-10"/>
        </w:rPr>
        <w:t xml:space="preserve"> </w:t>
      </w:r>
      <w:r>
        <w:rPr>
          <w:rFonts w:ascii="Verdana" w:eastAsia="Arial" w:hAnsi="Verdana" w:cs="Arial"/>
        </w:rPr>
        <w:t>aplicable.</w:t>
      </w:r>
      <w:r>
        <w:rPr>
          <w:rFonts w:ascii="Verdana" w:eastAsia="Arial" w:hAnsi="Verdana" w:cs="Arial"/>
          <w:spacing w:val="41"/>
        </w:rPr>
        <w:t xml:space="preserve"> </w:t>
      </w:r>
      <w:r>
        <w:rPr>
          <w:rFonts w:ascii="Verdana" w:eastAsia="Arial" w:hAnsi="Verdana" w:cs="Arial"/>
        </w:rPr>
        <w:t>Para estos efectos deberá realizarse el análisis de cada uno de los empleos certificados para verificar si cada</w:t>
      </w:r>
      <w:r>
        <w:rPr>
          <w:rFonts w:ascii="Verdana" w:eastAsia="Arial" w:hAnsi="Verdana" w:cs="Arial"/>
          <w:spacing w:val="1"/>
        </w:rPr>
        <w:t xml:space="preserve"> </w:t>
      </w:r>
      <w:r>
        <w:rPr>
          <w:rFonts w:ascii="Verdana" w:eastAsia="Arial" w:hAnsi="Verdana" w:cs="Arial"/>
        </w:rPr>
        <w:t>uno</w:t>
      </w:r>
      <w:r>
        <w:rPr>
          <w:rFonts w:ascii="Verdana" w:eastAsia="Arial" w:hAnsi="Verdana" w:cs="Arial"/>
          <w:spacing w:val="1"/>
        </w:rPr>
        <w:t xml:space="preserve"> </w:t>
      </w:r>
      <w:r>
        <w:rPr>
          <w:rFonts w:ascii="Verdana" w:eastAsia="Arial" w:hAnsi="Verdana" w:cs="Arial"/>
        </w:rPr>
        <w:t>de ellos</w:t>
      </w:r>
      <w:r>
        <w:rPr>
          <w:rFonts w:ascii="Verdana" w:eastAsia="Arial" w:hAnsi="Verdana" w:cs="Arial"/>
          <w:spacing w:val="1"/>
        </w:rPr>
        <w:t xml:space="preserve"> </w:t>
      </w:r>
      <w:r>
        <w:rPr>
          <w:rFonts w:ascii="Verdana" w:eastAsia="Arial" w:hAnsi="Verdana" w:cs="Arial"/>
        </w:rPr>
        <w:t>puede</w:t>
      </w:r>
      <w:r>
        <w:rPr>
          <w:rFonts w:ascii="Verdana" w:eastAsia="Arial" w:hAnsi="Verdana" w:cs="Arial"/>
          <w:spacing w:val="1"/>
        </w:rPr>
        <w:t xml:space="preserve"> </w:t>
      </w:r>
      <w:r>
        <w:rPr>
          <w:rFonts w:ascii="Verdana" w:eastAsia="Arial" w:hAnsi="Verdana" w:cs="Arial"/>
        </w:rPr>
        <w:t>ser considerado</w:t>
      </w:r>
      <w:r>
        <w:rPr>
          <w:rFonts w:ascii="Verdana" w:eastAsia="Arial" w:hAnsi="Verdana" w:cs="Arial"/>
          <w:spacing w:val="1"/>
        </w:rPr>
        <w:t xml:space="preserve"> </w:t>
      </w:r>
      <w:r>
        <w:rPr>
          <w:rFonts w:ascii="Verdana" w:eastAsia="Arial" w:hAnsi="Verdana" w:cs="Arial"/>
        </w:rPr>
        <w:t>del</w:t>
      </w:r>
      <w:r>
        <w:rPr>
          <w:rFonts w:ascii="Verdana" w:eastAsia="Arial" w:hAnsi="Verdana" w:cs="Arial"/>
          <w:spacing w:val="1"/>
        </w:rPr>
        <w:t xml:space="preserve"> </w:t>
      </w:r>
      <w:r>
        <w:rPr>
          <w:rFonts w:ascii="Verdana" w:eastAsia="Arial" w:hAnsi="Verdana" w:cs="Arial"/>
        </w:rPr>
        <w:t>nivel</w:t>
      </w:r>
      <w:r>
        <w:rPr>
          <w:rFonts w:ascii="Verdana" w:eastAsia="Arial" w:hAnsi="Verdana" w:cs="Arial"/>
          <w:spacing w:val="1"/>
        </w:rPr>
        <w:t xml:space="preserve"> </w:t>
      </w:r>
      <w:r>
        <w:rPr>
          <w:rFonts w:ascii="Verdana" w:eastAsia="Arial" w:hAnsi="Verdana" w:cs="Arial"/>
        </w:rPr>
        <w:t>directivo</w:t>
      </w:r>
      <w:r>
        <w:rPr>
          <w:rFonts w:ascii="Verdana" w:eastAsia="Arial" w:hAnsi="Verdana" w:cs="Arial"/>
          <w:spacing w:val="1"/>
        </w:rPr>
        <w:t xml:space="preserve"> </w:t>
      </w:r>
      <w:r>
        <w:rPr>
          <w:rFonts w:ascii="Verdana" w:eastAsia="Arial" w:hAnsi="Verdana" w:cs="Arial"/>
        </w:rPr>
        <w:t>en virtud</w:t>
      </w:r>
      <w:r>
        <w:rPr>
          <w:rFonts w:ascii="Verdana" w:eastAsia="Arial" w:hAnsi="Verdana" w:cs="Arial"/>
          <w:spacing w:val="1"/>
        </w:rPr>
        <w:t xml:space="preserve"> </w:t>
      </w:r>
      <w:r>
        <w:rPr>
          <w:rFonts w:ascii="Verdana" w:eastAsia="Arial" w:hAnsi="Verdana" w:cs="Arial"/>
        </w:rPr>
        <w:t>de las funciones</w:t>
      </w:r>
      <w:r>
        <w:rPr>
          <w:rFonts w:ascii="Verdana" w:eastAsia="Arial" w:hAnsi="Verdana" w:cs="Arial"/>
          <w:spacing w:val="1"/>
        </w:rPr>
        <w:t xml:space="preserve"> </w:t>
      </w:r>
      <w:r>
        <w:rPr>
          <w:rFonts w:ascii="Verdana" w:eastAsia="Arial" w:hAnsi="Verdana" w:cs="Arial"/>
        </w:rPr>
        <w:t>que</w:t>
      </w:r>
      <w:r>
        <w:rPr>
          <w:rFonts w:ascii="Verdana" w:eastAsia="Arial" w:hAnsi="Verdana" w:cs="Arial"/>
          <w:spacing w:val="1"/>
        </w:rPr>
        <w:t xml:space="preserve"> </w:t>
      </w:r>
      <w:r>
        <w:rPr>
          <w:rFonts w:ascii="Verdana" w:eastAsia="Arial" w:hAnsi="Verdana" w:cs="Arial"/>
        </w:rPr>
        <w:t>tenga asignadas.</w:t>
      </w:r>
    </w:p>
    <w:p w14:paraId="7B585BC1" w14:textId="77777777" w:rsidR="00FE5496" w:rsidRDefault="00FE5496" w:rsidP="00FE5496">
      <w:pPr>
        <w:spacing w:after="120" w:line="276" w:lineRule="auto"/>
        <w:jc w:val="both"/>
        <w:rPr>
          <w:rFonts w:ascii="Verdana" w:eastAsia="Times New Roman" w:hAnsi="Verdana" w:cs="Times New Roman"/>
        </w:rPr>
      </w:pPr>
      <w:r>
        <w:rPr>
          <w:rFonts w:ascii="Verdana" w:eastAsia="Aptos" w:hAnsi="Verdana" w:cs="Times New Roman"/>
          <w:kern w:val="2"/>
          <w14:ligatures w14:val="standardContextual"/>
        </w:rPr>
        <w:lastRenderedPageBreak/>
        <w:t xml:space="preserve">iii. Por otro lado, el artículo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 xml:space="preserve">del Decreto 287 de 2026 contempla </w:t>
      </w:r>
      <w:r>
        <w:rPr>
          <w:rFonts w:ascii="Verdana" w:eastAsia="Times New Roman" w:hAnsi="Verdana" w:cs="Times New Roman"/>
        </w:rPr>
        <w:t>u</w:t>
      </w:r>
      <w:r w:rsidRPr="00E727F0">
        <w:rPr>
          <w:rFonts w:ascii="Verdana" w:eastAsia="Times New Roman" w:hAnsi="Verdana" w:cs="Times New Roman"/>
        </w:rPr>
        <w:t xml:space="preserve">no de los incentivos centrales en favor </w:t>
      </w:r>
      <w:r w:rsidRPr="00916967">
        <w:rPr>
          <w:rFonts w:ascii="Verdana" w:eastAsia="Aptos" w:hAnsi="Verdana" w:cs="Times New Roman"/>
          <w:kern w:val="2"/>
          <w14:ligatures w14:val="standardContextual"/>
        </w:rPr>
        <w:t>de los empleadores de personas con discapacidad y de los emprendimientos y empresas de personas con discapacidad</w:t>
      </w:r>
      <w:r>
        <w:rPr>
          <w:rFonts w:ascii="Verdana" w:eastAsia="Times New Roman" w:hAnsi="Verdana" w:cs="Times New Roman"/>
        </w:rPr>
        <w:t>, referente a</w:t>
      </w:r>
      <w:r w:rsidRPr="00E727F0">
        <w:rPr>
          <w:rFonts w:ascii="Verdana" w:eastAsia="Times New Roman" w:hAnsi="Verdana" w:cs="Times New Roman"/>
        </w:rPr>
        <w:t>l puntaje adicional del 2%</w:t>
      </w:r>
      <w:r>
        <w:rPr>
          <w:rFonts w:ascii="Verdana" w:eastAsia="Times New Roman" w:hAnsi="Verdana" w:cs="Times New Roman"/>
        </w:rPr>
        <w:t xml:space="preserve">. </w:t>
      </w:r>
      <w:r w:rsidRPr="00E727F0">
        <w:rPr>
          <w:rFonts w:ascii="Verdana" w:eastAsia="Times New Roman" w:hAnsi="Verdana" w:cs="Times New Roman"/>
        </w:rPr>
        <w:t xml:space="preserve">Este puntaje puede obtenerse acreditando cualquiera de las dos </w:t>
      </w:r>
      <w:r>
        <w:rPr>
          <w:rFonts w:ascii="Verdana" w:eastAsia="Times New Roman" w:hAnsi="Verdana" w:cs="Times New Roman"/>
        </w:rPr>
        <w:t>situaciones</w:t>
      </w:r>
      <w:r w:rsidRPr="00E727F0">
        <w:rPr>
          <w:rFonts w:ascii="Verdana" w:eastAsia="Times New Roman" w:hAnsi="Verdana" w:cs="Times New Roman"/>
        </w:rPr>
        <w:t xml:space="preserve"> que la norma contempla: </w:t>
      </w:r>
      <w:r>
        <w:rPr>
          <w:rFonts w:ascii="Verdana" w:eastAsia="Times New Roman" w:hAnsi="Verdana" w:cs="Times New Roman"/>
        </w:rPr>
        <w:t xml:space="preserve">i) </w:t>
      </w:r>
      <w:r w:rsidRPr="00E727F0">
        <w:rPr>
          <w:rFonts w:ascii="Verdana" w:eastAsia="Times New Roman" w:hAnsi="Verdana" w:cs="Times New Roman"/>
        </w:rPr>
        <w:t xml:space="preserve">ser emprendimiento o empresa de PcD, conforme a las categorías del artículo 2.2.1.2.4.2.6., o ser </w:t>
      </w:r>
      <w:r>
        <w:rPr>
          <w:rFonts w:ascii="Verdana" w:eastAsia="Times New Roman" w:hAnsi="Verdana" w:cs="Times New Roman"/>
        </w:rPr>
        <w:t xml:space="preserve">ii) </w:t>
      </w:r>
      <w:r w:rsidRPr="00E727F0">
        <w:rPr>
          <w:rFonts w:ascii="Verdana" w:eastAsia="Times New Roman" w:hAnsi="Verdana" w:cs="Times New Roman"/>
        </w:rPr>
        <w:t>empleador de PcD que supere los mínimos de vinculación exigidos por la Ley 2466 de 2025 (Reforma Laboral)</w:t>
      </w:r>
      <w:r>
        <w:rPr>
          <w:rFonts w:ascii="Verdana" w:eastAsia="Times New Roman" w:hAnsi="Verdana" w:cs="Times New Roman"/>
        </w:rPr>
        <w:t xml:space="preserve"> conforme a la tabla establecida</w:t>
      </w:r>
      <w:r w:rsidRPr="00E727F0">
        <w:rPr>
          <w:rFonts w:ascii="Verdana" w:eastAsia="Times New Roman" w:hAnsi="Verdana" w:cs="Times New Roman"/>
        </w:rPr>
        <w:t>. Sin embargo, el hecho de que ambas condiciones puedan acreditarse simultáneamente no significa que el puntaje sea acumulable. El mismo artículo es explícito al disponer que:</w:t>
      </w:r>
    </w:p>
    <w:p w14:paraId="07C4E66A" w14:textId="77777777" w:rsidR="00FE5496" w:rsidRPr="00BA6536" w:rsidRDefault="00FE5496" w:rsidP="00FE5496">
      <w:pPr>
        <w:spacing w:after="0" w:line="240" w:lineRule="auto"/>
        <w:jc w:val="both"/>
        <w:rPr>
          <w:rFonts w:ascii="Verdana" w:eastAsia="Times New Roman" w:hAnsi="Verdana" w:cs="Times New Roman"/>
        </w:rPr>
      </w:pPr>
    </w:p>
    <w:p w14:paraId="27C8282E" w14:textId="77777777" w:rsidR="00FE5496" w:rsidRPr="00B53264" w:rsidRDefault="00FE5496" w:rsidP="00FE5496">
      <w:pPr>
        <w:spacing w:after="0" w:line="240" w:lineRule="auto"/>
        <w:ind w:left="720" w:right="720"/>
        <w:jc w:val="both"/>
        <w:rPr>
          <w:rFonts w:ascii="Verdana" w:eastAsia="Times New Roman" w:hAnsi="Verdana" w:cs="Times New Roman"/>
          <w:sz w:val="20"/>
          <w:szCs w:val="20"/>
        </w:rPr>
      </w:pPr>
      <w:r w:rsidRPr="00B53264">
        <w:rPr>
          <w:rFonts w:ascii="Verdana" w:eastAsia="Times New Roman" w:hAnsi="Verdana" w:cs="Times New Roman"/>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44BA44FA" w14:textId="77777777" w:rsidR="00FE5496" w:rsidRPr="00E727F0" w:rsidRDefault="00FE5496" w:rsidP="00FE5496">
      <w:pPr>
        <w:spacing w:after="0" w:line="240" w:lineRule="auto"/>
        <w:ind w:left="720" w:right="720"/>
        <w:jc w:val="both"/>
        <w:rPr>
          <w:rFonts w:ascii="Verdana" w:hAnsi="Verdana"/>
          <w:sz w:val="20"/>
          <w:szCs w:val="20"/>
        </w:rPr>
      </w:pPr>
    </w:p>
    <w:p w14:paraId="38F5039C" w14:textId="77777777" w:rsidR="00FE5496" w:rsidRPr="00221C61" w:rsidRDefault="00FE5496" w:rsidP="00FE5496">
      <w:pPr>
        <w:spacing w:after="120" w:line="276" w:lineRule="auto"/>
        <w:ind w:firstLine="709"/>
        <w:jc w:val="both"/>
        <w:rPr>
          <w:rFonts w:ascii="Verdana" w:eastAsia="Times New Roman" w:hAnsi="Verdana" w:cs="Times New Roman"/>
        </w:rPr>
      </w:pPr>
      <w:r w:rsidRPr="00E727F0">
        <w:rPr>
          <w:rFonts w:ascii="Verdana" w:eastAsia="Times New Roman" w:hAnsi="Verdana" w:cs="Times New Roman"/>
        </w:rPr>
        <w:t xml:space="preserve">Esta decisión normativa responde a </w:t>
      </w:r>
      <w:r>
        <w:rPr>
          <w:rFonts w:ascii="Verdana" w:eastAsia="Times New Roman" w:hAnsi="Verdana" w:cs="Times New Roman"/>
        </w:rPr>
        <w:t>que e</w:t>
      </w:r>
      <w:r w:rsidRPr="00E727F0">
        <w:rPr>
          <w:rFonts w:ascii="Verdana" w:eastAsia="Times New Roman" w:hAnsi="Verdana" w:cs="Times New Roman"/>
        </w:rPr>
        <w:t>l 2%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w:t>
      </w:r>
      <w:r>
        <w:rPr>
          <w:rFonts w:ascii="Verdana" w:eastAsia="Times New Roman" w:hAnsi="Verdana" w:cs="Times New Roman"/>
        </w:rPr>
        <w:t>, ya que</w:t>
      </w:r>
      <w:r w:rsidRPr="00E727F0">
        <w:rPr>
          <w:rFonts w:ascii="Verdana" w:eastAsia="Times New Roman" w:hAnsi="Verdana" w:cs="Times New Roman"/>
        </w:rPr>
        <w:t xml:space="preserv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2A985AE1" w14:textId="77777777" w:rsidR="00FE5496" w:rsidRDefault="00FE5496" w:rsidP="00FE5496">
      <w:pPr>
        <w:spacing w:after="120" w:line="276" w:lineRule="auto"/>
        <w:ind w:firstLine="709"/>
        <w:jc w:val="both"/>
        <w:rPr>
          <w:rFonts w:ascii="Verdana" w:hAnsi="Verdana"/>
        </w:rPr>
      </w:pPr>
      <w:r>
        <w:rPr>
          <w:rFonts w:ascii="Verdana" w:eastAsia="Times New Roman" w:hAnsi="Verdana" w:cs="Times New Roman"/>
        </w:rPr>
        <w:t xml:space="preserve">Para acceder a este puntaje </w:t>
      </w:r>
      <w:r w:rsidRPr="007B01BA">
        <w:rPr>
          <w:rFonts w:ascii="Verdana" w:eastAsia="Times New Roman" w:hAnsi="Verdana" w:cs="Times New Roman"/>
        </w:rPr>
        <w:t xml:space="preserve">debe destacarse </w:t>
      </w:r>
      <w:r>
        <w:rPr>
          <w:rFonts w:ascii="Verdana" w:eastAsia="Times New Roman" w:hAnsi="Verdana" w:cs="Times New Roman"/>
        </w:rPr>
        <w:t>que los requisitos a acreditar se diferencian en atención a</w:t>
      </w:r>
      <w:r w:rsidRPr="007B01BA">
        <w:rPr>
          <w:rFonts w:ascii="Verdana" w:eastAsia="Times New Roman" w:hAnsi="Verdana" w:cs="Times New Roman"/>
        </w:rPr>
        <w:t>l sujeto</w:t>
      </w:r>
      <w:r>
        <w:rPr>
          <w:rFonts w:ascii="Verdana" w:eastAsia="Times New Roman" w:hAnsi="Verdana" w:cs="Times New Roman"/>
        </w:rPr>
        <w:t>. Por un lado,</w:t>
      </w:r>
      <w:r w:rsidRPr="007B01BA">
        <w:rPr>
          <w:rFonts w:ascii="Verdana" w:eastAsia="Times New Roman" w:hAnsi="Verdana" w:cs="Times New Roman"/>
        </w:rPr>
        <w:t xml:space="preserve"> cuando se trata de un empleador de PcD, </w:t>
      </w:r>
      <w:r w:rsidRPr="00D22B7C">
        <w:rPr>
          <w:rFonts w:ascii="Verdana" w:eastAsia="Times New Roman" w:hAnsi="Verdana" w:cs="Times New Roman"/>
        </w:rPr>
        <w:t>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31E33019" w14:textId="77777777" w:rsidR="00FE5496" w:rsidRPr="00D22B7C" w:rsidRDefault="00FE5496" w:rsidP="00FE5496">
      <w:pPr>
        <w:spacing w:after="120" w:line="276" w:lineRule="auto"/>
        <w:ind w:firstLine="709"/>
        <w:jc w:val="both"/>
        <w:rPr>
          <w:rFonts w:ascii="Verdana" w:hAnsi="Verdana"/>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56"/>
        <w:gridCol w:w="3107"/>
      </w:tblGrid>
      <w:tr w:rsidR="00FE5496" w:rsidRPr="00D22B7C" w14:paraId="25E3B8D9"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B8F80F"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b/>
                <w:bCs/>
                <w:sz w:val="20"/>
                <w:szCs w:val="20"/>
              </w:rPr>
              <w:lastRenderedPageBreak/>
              <w:t>Número total de trabajadores de la planta de personal del proponente</w:t>
            </w:r>
          </w:p>
        </w:tc>
        <w:tc>
          <w:tcPr>
            <w:tcW w:w="310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115482"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b/>
                <w:bCs/>
                <w:sz w:val="20"/>
                <w:szCs w:val="20"/>
              </w:rPr>
              <w:t>Número mínimo de trabajadores con discapacidad requerido</w:t>
            </w:r>
          </w:p>
        </w:tc>
      </w:tr>
      <w:tr w:rsidR="00FE5496" w:rsidRPr="00D22B7C" w14:paraId="400A09BE"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C372A76"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1 y 30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B64AB3C"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2</w:t>
            </w:r>
          </w:p>
        </w:tc>
      </w:tr>
      <w:tr w:rsidR="00FE5496" w:rsidRPr="00D22B7C" w14:paraId="146B487E"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C249BE8"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31 y 100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7E03FA"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3</w:t>
            </w:r>
          </w:p>
        </w:tc>
      </w:tr>
      <w:tr w:rsidR="00FE5496" w:rsidRPr="00D22B7C" w14:paraId="258AF5A1"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2C8C5DD"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101 y 150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5BA30D"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4</w:t>
            </w:r>
          </w:p>
        </w:tc>
      </w:tr>
      <w:tr w:rsidR="00FE5496" w:rsidRPr="00D22B7C" w14:paraId="76EA87B2"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EFDD50A"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151 y 200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E2B946"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5</w:t>
            </w:r>
          </w:p>
        </w:tc>
      </w:tr>
      <w:tr w:rsidR="00FE5496" w:rsidRPr="00D22B7C" w14:paraId="760AA472"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64ACA1"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201 y 300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73F64CC"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7</w:t>
            </w:r>
          </w:p>
        </w:tc>
      </w:tr>
      <w:tr w:rsidR="00FE5496" w:rsidRPr="00D22B7C" w14:paraId="693DB8CD"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53AE6A"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301 y 400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56DBDE"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10</w:t>
            </w:r>
          </w:p>
        </w:tc>
      </w:tr>
      <w:tr w:rsidR="00FE5496" w:rsidRPr="00D22B7C" w14:paraId="5FF595A8"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FE7728D"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401 y 500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228282"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12</w:t>
            </w:r>
          </w:p>
        </w:tc>
      </w:tr>
      <w:tr w:rsidR="00FE5496" w:rsidRPr="00D22B7C" w14:paraId="55434AD1"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B7B458A"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501 y 600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327B478"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14</w:t>
            </w:r>
          </w:p>
        </w:tc>
      </w:tr>
      <w:tr w:rsidR="00FE5496" w:rsidRPr="00D22B7C" w14:paraId="7B482BB3"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9A0B12"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Entre 601 y 700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DA76E87"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16</w:t>
            </w:r>
          </w:p>
        </w:tc>
      </w:tr>
      <w:tr w:rsidR="00FE5496" w:rsidRPr="00D22B7C" w14:paraId="3BED3AD4" w14:textId="77777777" w:rsidTr="004B349E">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AC15922"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Más de 700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6851E6F" w14:textId="77777777" w:rsidR="00FE5496" w:rsidRPr="00854BD3" w:rsidRDefault="00FE5496" w:rsidP="004B349E">
            <w:pPr>
              <w:jc w:val="center"/>
              <w:rPr>
                <w:rFonts w:ascii="Verdana" w:hAnsi="Verdana"/>
                <w:sz w:val="20"/>
                <w:szCs w:val="20"/>
              </w:rPr>
            </w:pPr>
            <w:r w:rsidRPr="00854BD3">
              <w:rPr>
                <w:rFonts w:ascii="Verdana" w:eastAsia="Times New Roman" w:hAnsi="Verdana" w:cs="Times New Roman"/>
                <w:sz w:val="20"/>
                <w:szCs w:val="20"/>
              </w:rPr>
              <w:t>Por cada 100 trabajadores adicionales, se suman 2 trabajadores con discapacidad</w:t>
            </w:r>
          </w:p>
        </w:tc>
      </w:tr>
    </w:tbl>
    <w:p w14:paraId="16F69AD4" w14:textId="77777777" w:rsidR="00FE5496" w:rsidRPr="00D22B7C" w:rsidRDefault="00FE5496" w:rsidP="00FE5496">
      <w:pPr>
        <w:spacing w:after="0" w:line="276" w:lineRule="auto"/>
        <w:rPr>
          <w:rFonts w:ascii="Verdana" w:hAnsi="Verdana"/>
        </w:rPr>
      </w:pPr>
    </w:p>
    <w:p w14:paraId="0D9E7941" w14:textId="77777777" w:rsidR="00FE5496" w:rsidRPr="003E2BDD" w:rsidRDefault="00FE5496" w:rsidP="00FE5496">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w:t>
      </w:r>
      <w:r>
        <w:rPr>
          <w:rFonts w:ascii="Verdana" w:eastAsia="Times New Roman" w:hAnsi="Verdana" w:cs="Times New Roman"/>
        </w:rPr>
        <w:t>, pues</w:t>
      </w:r>
      <w:r w:rsidRPr="00D22B7C">
        <w:rPr>
          <w:rFonts w:ascii="Verdana" w:eastAsia="Times New Roman" w:hAnsi="Verdana" w:cs="Times New Roman"/>
        </w:rPr>
        <w:t xml:space="preserve">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139E7BF9" w14:textId="77777777" w:rsidR="00FE5496" w:rsidRDefault="00FE5496" w:rsidP="00FE5496">
      <w:pPr>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Para tales efectos, el proponente deberá presentar </w:t>
      </w:r>
      <w:r w:rsidRPr="007B01BA">
        <w:rPr>
          <w:rFonts w:ascii="Verdana" w:eastAsia="Times New Roman" w:hAnsi="Verdana" w:cs="Times New Roman"/>
        </w:rPr>
        <w:t xml:space="preserve">los documentos requeridos en el artículo 2.2.1.2.4.2.7.4., que incluye </w:t>
      </w:r>
      <w:r>
        <w:rPr>
          <w:rFonts w:ascii="Verdana" w:eastAsia="Times New Roman" w:hAnsi="Verdana" w:cs="Times New Roman"/>
        </w:rPr>
        <w:t>c</w:t>
      </w:r>
      <w:r w:rsidRPr="00196708">
        <w:rPr>
          <w:rFonts w:ascii="Verdana" w:eastAsia="Times New Roman" w:hAnsi="Verdana" w:cs="Times New Roman"/>
        </w:rPr>
        <w:t>ertificación</w:t>
      </w:r>
      <w:r>
        <w:rPr>
          <w:rFonts w:ascii="Verdana" w:eastAsia="Times New Roman" w:hAnsi="Verdana" w:cs="Times New Roman"/>
        </w:rPr>
        <w:t xml:space="preserve"> </w:t>
      </w:r>
      <w:r w:rsidRPr="00196708">
        <w:rPr>
          <w:rFonts w:ascii="Verdana" w:eastAsia="Times New Roman" w:hAnsi="Verdana" w:cs="Times New Roman"/>
        </w:rPr>
        <w:t xml:space="preserve">suscrita por el representante legal del proponente y el revisor fiscal, cuando exista, o el </w:t>
      </w:r>
      <w:r w:rsidRPr="00196708">
        <w:rPr>
          <w:rFonts w:ascii="Verdana" w:eastAsia="Times New Roman" w:hAnsi="Verdana" w:cs="Times New Roman"/>
        </w:rPr>
        <w:lastRenderedPageBreak/>
        <w:t>contador, en la que conste el número de personas con discapacidad que conforman su planta de personal</w:t>
      </w:r>
      <w:r>
        <w:rPr>
          <w:rFonts w:ascii="Verdana" w:eastAsia="Times New Roman" w:hAnsi="Verdana" w:cs="Times New Roman"/>
        </w:rPr>
        <w:t xml:space="preserve">, con los respectivos soportes que allí se determinan, así como </w:t>
      </w:r>
      <w:r w:rsidRPr="007B01BA">
        <w:rPr>
          <w:rFonts w:ascii="Verdana" w:eastAsia="Times New Roman" w:hAnsi="Verdana" w:cs="Times New Roman"/>
        </w:rPr>
        <w:t xml:space="preserve">el certificado </w:t>
      </w:r>
      <w:r>
        <w:rPr>
          <w:rFonts w:ascii="Verdana" w:eastAsia="Times New Roman" w:hAnsi="Verdana" w:cs="Times New Roman"/>
        </w:rPr>
        <w:t xml:space="preserve">que para el efecto expide </w:t>
      </w:r>
      <w:r w:rsidRPr="007B01BA">
        <w:rPr>
          <w:rFonts w:ascii="Verdana" w:eastAsia="Times New Roman" w:hAnsi="Verdana" w:cs="Times New Roman"/>
        </w:rPr>
        <w:t>el Ministerio del Trabajo</w:t>
      </w:r>
      <w:r>
        <w:rPr>
          <w:rFonts w:ascii="Verdana" w:eastAsia="Times New Roman" w:hAnsi="Verdana" w:cs="Times New Roman"/>
        </w:rPr>
        <w:t xml:space="preserve">. </w:t>
      </w:r>
    </w:p>
    <w:p w14:paraId="4206AC44" w14:textId="77777777" w:rsidR="00FE5496" w:rsidRDefault="00FE5496" w:rsidP="00FE5496">
      <w:pPr>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Por su parte, </w:t>
      </w:r>
      <w:r w:rsidRPr="007B01BA">
        <w:rPr>
          <w:rFonts w:ascii="Verdana" w:eastAsia="Times New Roman" w:hAnsi="Verdana" w:cs="Times New Roman"/>
        </w:rPr>
        <w:t xml:space="preserve">cuando se trata de un emprendimiento o empresa de PcD, los documentos requeridos son los establecidos en el artículo 2.2.1.2.4.2.6., que varían según la categoría que se acredite. En ningún caso los documentos del artículo 2.2.1.2.4.2.7.4. </w:t>
      </w:r>
      <w:r>
        <w:rPr>
          <w:rFonts w:ascii="Verdana" w:eastAsia="Times New Roman" w:hAnsi="Verdana" w:cs="Times New Roman"/>
        </w:rPr>
        <w:t xml:space="preserve">respecto de los empleadores de PcD </w:t>
      </w:r>
      <w:r w:rsidRPr="007B01BA">
        <w:rPr>
          <w:rFonts w:ascii="Verdana" w:eastAsia="Times New Roman" w:hAnsi="Verdana" w:cs="Times New Roman"/>
        </w:rPr>
        <w:t>son exigibles a los emprendimientos y empresas de PcD, ni viceversa</w:t>
      </w:r>
      <w:r>
        <w:rPr>
          <w:rFonts w:ascii="Verdana" w:eastAsia="Times New Roman" w:hAnsi="Verdana" w:cs="Times New Roman"/>
        </w:rPr>
        <w:t xml:space="preserve">. </w:t>
      </w:r>
    </w:p>
    <w:p w14:paraId="150B7802" w14:textId="77777777" w:rsidR="00FE5496" w:rsidRPr="00B53264" w:rsidRDefault="00FE5496" w:rsidP="00FE5496">
      <w:pPr>
        <w:spacing w:after="120" w:line="276" w:lineRule="auto"/>
        <w:ind w:firstLine="708"/>
        <w:jc w:val="both"/>
        <w:rPr>
          <w:rFonts w:ascii="Verdana" w:eastAsia="Times New Roman" w:hAnsi="Verdana" w:cs="Times New Roman"/>
        </w:rPr>
      </w:pPr>
      <w:r w:rsidRPr="00206556">
        <w:rPr>
          <w:rFonts w:ascii="Verdana" w:hAnsi="Verdana"/>
        </w:rPr>
        <w:t xml:space="preserve">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7407AD41" w14:textId="77777777" w:rsidR="00FE5496" w:rsidRDefault="00FE5496" w:rsidP="00FE5496">
      <w:pPr>
        <w:spacing w:after="120" w:line="276" w:lineRule="auto"/>
        <w:ind w:left="119" w:right="79" w:firstLine="590"/>
        <w:jc w:val="both"/>
        <w:rPr>
          <w:rFonts w:ascii="Verdana" w:eastAsia="Arial" w:hAnsi="Verdana" w:cs="Arial"/>
        </w:rPr>
      </w:pPr>
      <w:r w:rsidRPr="00782E4A">
        <w:rPr>
          <w:rFonts w:ascii="Verdana" w:eastAsia="Arial" w:hAnsi="Verdana" w:cs="Arial"/>
        </w:rPr>
        <w:t>Ahora bien, el parágrafo 2 del artículo</w:t>
      </w:r>
      <w:r>
        <w:rPr>
          <w:rFonts w:ascii="Verdana" w:eastAsia="Arial" w:hAnsi="Verdana" w:cs="Arial"/>
          <w:b/>
          <w:bCs/>
        </w:rPr>
        <w:t xml:space="preserve">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del Decreto 287 de 2026 señala que “</w:t>
      </w:r>
      <w:r>
        <w:rPr>
          <w:rFonts w:ascii="Verdana" w:eastAsia="Arial" w:hAnsi="Verdana" w:cs="Arial"/>
        </w:rPr>
        <w:t>e</w:t>
      </w:r>
      <w:r w:rsidRPr="00064699">
        <w:rPr>
          <w:rFonts w:ascii="Verdana" w:eastAsia="Arial" w:hAnsi="Verdana" w:cs="Arial"/>
        </w:rPr>
        <w:t>l puntaje adicional previsto en este artículo no excluye la aplicación de incentivos contractuales ni de criterios diferenciales en favor de las MiPymes y los emprendimientos y empresas de mujeres</w:t>
      </w:r>
      <w:r>
        <w:rPr>
          <w:rFonts w:ascii="Verdana" w:eastAsia="Arial" w:hAnsi="Verdana" w:cs="Arial"/>
        </w:rPr>
        <w:t>”</w:t>
      </w:r>
      <w:r w:rsidRPr="00064699">
        <w:rPr>
          <w:rFonts w:ascii="Verdana" w:eastAsia="Arial" w:hAnsi="Verdana" w:cs="Arial"/>
        </w:rPr>
        <w:t>.</w:t>
      </w:r>
      <w:r>
        <w:rPr>
          <w:rFonts w:ascii="Verdana" w:eastAsia="Arial" w:hAnsi="Verdana" w:cs="Arial"/>
        </w:rPr>
        <w:t xml:space="preserve"> Esto significa que el puntaje aquí previsto es acumulable con el puntaje </w:t>
      </w:r>
      <w:r w:rsidRPr="00561A43">
        <w:rPr>
          <w:rFonts w:ascii="Verdana" w:eastAsia="Arial" w:hAnsi="Verdana" w:cs="Arial"/>
        </w:rPr>
        <w:t>que</w:t>
      </w:r>
      <w:r>
        <w:rPr>
          <w:rFonts w:ascii="Verdana" w:eastAsia="Arial" w:hAnsi="Verdana" w:cs="Arial"/>
        </w:rPr>
        <w:t xml:space="preserve"> </w:t>
      </w:r>
      <w:r w:rsidRPr="00561A43">
        <w:rPr>
          <w:rFonts w:ascii="Verdana" w:eastAsia="Arial" w:hAnsi="Verdana" w:cs="Arial"/>
        </w:rPr>
        <w:t>favorezca a los proponentes que acrediten la calidad de emprendimiento y empresas</w:t>
      </w:r>
      <w:r>
        <w:rPr>
          <w:rFonts w:ascii="Verdana" w:eastAsia="Arial" w:hAnsi="Verdana" w:cs="Arial"/>
        </w:rPr>
        <w:t xml:space="preserve"> </w:t>
      </w:r>
      <w:r w:rsidRPr="00561A43">
        <w:rPr>
          <w:rFonts w:ascii="Verdana" w:eastAsia="Arial" w:hAnsi="Verdana" w:cs="Arial"/>
        </w:rPr>
        <w:t>de mujeres</w:t>
      </w:r>
      <w:r>
        <w:rPr>
          <w:rFonts w:ascii="Verdana" w:eastAsia="Arial" w:hAnsi="Verdana" w:cs="Arial"/>
        </w:rPr>
        <w:t xml:space="preserve"> y los que ostentan la condición de </w:t>
      </w:r>
      <w:r w:rsidRPr="00561A43">
        <w:rPr>
          <w:rFonts w:ascii="Verdana" w:eastAsia="Arial" w:hAnsi="Verdana" w:cs="Arial"/>
        </w:rPr>
        <w:t>Mipyme</w:t>
      </w:r>
      <w:r>
        <w:rPr>
          <w:rFonts w:ascii="Verdana" w:eastAsia="Arial" w:hAnsi="Verdana" w:cs="Arial"/>
        </w:rPr>
        <w:t>, de conformidad con lo dispuesto en el Decreto 1860 de 2021.</w:t>
      </w:r>
    </w:p>
    <w:p w14:paraId="658E9038" w14:textId="77777777" w:rsidR="00FE5496" w:rsidRDefault="00FE5496" w:rsidP="00FE5496">
      <w:pPr>
        <w:spacing w:after="120" w:line="276" w:lineRule="auto"/>
        <w:ind w:left="119" w:right="79" w:firstLine="590"/>
        <w:jc w:val="both"/>
        <w:rPr>
          <w:rFonts w:ascii="Verdana" w:hAnsi="Verdana" w:cs="Arial"/>
          <w:bCs/>
        </w:rPr>
      </w:pPr>
      <w:r>
        <w:rPr>
          <w:rFonts w:ascii="Verdana" w:eastAsia="Arial" w:hAnsi="Verdana" w:cs="Arial"/>
        </w:rPr>
        <w:t xml:space="preserve">Para tales efectos, es importante recordar que </w:t>
      </w:r>
      <w:r>
        <w:rPr>
          <w:rFonts w:ascii="Verdana" w:hAnsi="Verdana" w:cs="Arial"/>
          <w:bCs/>
        </w:rPr>
        <w:t xml:space="preserve">los artículos 2.2.1.2.4.2.15 y el 2.2.1.2.4.2.18 del Decreto 1082 de 2015, adicionados por el artículo 3 del Decreto 1860 de 2021, también disponen de un puntaje adicional de hasta el cero punto veinticinco (0,25%) del valor total de los puntos establecidos en el pliego de condiciones o documentos equivalentes a los proponentes que </w:t>
      </w:r>
      <w:r>
        <w:rPr>
          <w:rFonts w:ascii="Verdana" w:hAnsi="Verdana" w:cs="Arial"/>
          <w:bCs/>
        </w:rPr>
        <w:lastRenderedPageBreak/>
        <w:t xml:space="preserve">acrediten su condición de Mipymes y/o emprendimiento o empresa de mujeres. Así, respecto del puntaje adicional para Mipymes, el inciso tercero del artículo 2.2.1.2.4.2.18 señala que </w:t>
      </w:r>
      <w:r w:rsidRPr="00664617">
        <w:rPr>
          <w:rFonts w:ascii="Verdana" w:hAnsi="Verdana" w:cs="Arial"/>
          <w:bCs/>
        </w:rPr>
        <w:t>las entidades sometidas al Estatuto General de Contratación de la Administración Pública</w:t>
      </w:r>
      <w:r>
        <w:rPr>
          <w:rFonts w:ascii="Verdana" w:hAnsi="Verdana" w:cs="Arial"/>
          <w:bCs/>
        </w:rPr>
        <w:t xml:space="preserve"> podrán establecer este puntaje adicional en los procedimientos de selección con excepción de la selección </w:t>
      </w:r>
      <w:r w:rsidRPr="00664617">
        <w:rPr>
          <w:rFonts w:ascii="Verdana" w:hAnsi="Verdana" w:cs="Arial"/>
          <w:bCs/>
        </w:rPr>
        <w:t>abreviada por subasta inversa y de mínima cuantía</w:t>
      </w:r>
      <w:r>
        <w:rPr>
          <w:rFonts w:ascii="Verdana" w:hAnsi="Verdana" w:cs="Arial"/>
          <w:bCs/>
        </w:rPr>
        <w:t xml:space="preserve">. A su vez, el artículo </w:t>
      </w:r>
      <w:r w:rsidRPr="008E0213">
        <w:rPr>
          <w:rFonts w:ascii="Verdana" w:hAnsi="Verdana" w:cs="Arial"/>
          <w:bCs/>
        </w:rPr>
        <w:t>2.2.1.2.4.2.15</w:t>
      </w:r>
      <w:r>
        <w:rPr>
          <w:rFonts w:ascii="Verdana" w:hAnsi="Verdana" w:cs="Arial"/>
          <w:bCs/>
        </w:rPr>
        <w:t xml:space="preserve"> indica que, </w:t>
      </w:r>
      <w:r w:rsidRPr="00924DB5">
        <w:rPr>
          <w:rFonts w:ascii="Verdana" w:hAnsi="Verdana" w:cs="Arial"/>
          <w:bCs/>
        </w:rPr>
        <w:t xml:space="preserve">con excepción de los procedimientos donde el menor precio ofrecido sea el único factor de evaluación, las </w:t>
      </w:r>
      <w:r>
        <w:rPr>
          <w:rFonts w:ascii="Verdana" w:hAnsi="Verdana" w:cs="Arial"/>
          <w:bCs/>
        </w:rPr>
        <w:t>e</w:t>
      </w:r>
      <w:r w:rsidRPr="00924DB5">
        <w:rPr>
          <w:rFonts w:ascii="Verdana" w:hAnsi="Verdana" w:cs="Arial"/>
          <w:bCs/>
        </w:rPr>
        <w:t xml:space="preserve">ntidades otorgarán </w:t>
      </w:r>
      <w:r>
        <w:rPr>
          <w:rFonts w:ascii="Verdana" w:hAnsi="Verdana" w:cs="Arial"/>
          <w:bCs/>
        </w:rPr>
        <w:t>el</w:t>
      </w:r>
      <w:r w:rsidRPr="00924DB5">
        <w:rPr>
          <w:rFonts w:ascii="Verdana" w:hAnsi="Verdana" w:cs="Arial"/>
          <w:bCs/>
        </w:rPr>
        <w:t xml:space="preserve"> puntaje, a los proponentes que acrediten alguno de los supuestos del artículo 2.2.1.2.4.2.14 del Decreto</w:t>
      </w:r>
      <w:r>
        <w:rPr>
          <w:rFonts w:ascii="Verdana" w:hAnsi="Verdana" w:cs="Arial"/>
          <w:bCs/>
        </w:rPr>
        <w:t xml:space="preserve"> 1082 de 2015</w:t>
      </w:r>
      <w:r w:rsidRPr="00924DB5">
        <w:rPr>
          <w:rFonts w:ascii="Verdana" w:hAnsi="Verdana" w:cs="Arial"/>
          <w:bCs/>
        </w:rPr>
        <w:t>.</w:t>
      </w:r>
      <w:r>
        <w:rPr>
          <w:rFonts w:ascii="Verdana" w:hAnsi="Verdana" w:cs="Arial"/>
          <w:bCs/>
        </w:rPr>
        <w:t xml:space="preserve"> </w:t>
      </w:r>
    </w:p>
    <w:p w14:paraId="293FAD0E" w14:textId="77777777" w:rsidR="00FE5496" w:rsidRDefault="00FE5496" w:rsidP="00FE5496">
      <w:pPr>
        <w:spacing w:after="120" w:line="276" w:lineRule="auto"/>
        <w:ind w:left="119" w:right="79" w:firstLine="590"/>
        <w:jc w:val="both"/>
        <w:rPr>
          <w:rFonts w:ascii="Verdana" w:eastAsia="Arial" w:hAnsi="Verdana" w:cs="Arial"/>
        </w:rPr>
      </w:pPr>
      <w:r w:rsidRPr="00B976A2">
        <w:rPr>
          <w:rFonts w:ascii="Verdana" w:hAnsi="Verdana" w:cs="Arial"/>
          <w:bCs/>
        </w:rPr>
        <w:t xml:space="preserve">En este sentido, el alcance práctico de lo dispuesto en el parágrafo 2 del artículo 2.2.1.2.4.2.7.4 del Decreto 287 de 2026 consiste en que, en los procedimientos de licitación pública y concurso de méritos, la entidad estatal deberá otorgar: (i) un puntaje de hasta el 0,25% a los proponentes que acrediten la condición de MiPyme; (ii) un puntaje de hasta el 0,25% a quienes acrediten la calidad de emprendimientos </w:t>
      </w:r>
      <w:r>
        <w:rPr>
          <w:rFonts w:ascii="Verdana" w:hAnsi="Verdana" w:cs="Arial"/>
          <w:bCs/>
        </w:rPr>
        <w:t>y</w:t>
      </w:r>
      <w:r w:rsidRPr="00B976A2">
        <w:rPr>
          <w:rFonts w:ascii="Verdana" w:hAnsi="Verdana" w:cs="Arial"/>
          <w:bCs/>
        </w:rPr>
        <w:t xml:space="preserve"> empresas de mujeres; y (iii) un puntaje adicional de hasta el 2% del total de los puntos previstos en los pliegos de condiciones o documentos equivalentes, a los oferentes que acrediten la calidad de emprendimientos </w:t>
      </w:r>
      <w:r>
        <w:rPr>
          <w:rFonts w:ascii="Verdana" w:hAnsi="Verdana" w:cs="Arial"/>
          <w:bCs/>
        </w:rPr>
        <w:t xml:space="preserve">y </w:t>
      </w:r>
      <w:r w:rsidRPr="00B976A2">
        <w:rPr>
          <w:rFonts w:ascii="Verdana" w:hAnsi="Verdana" w:cs="Arial"/>
          <w:bCs/>
        </w:rPr>
        <w:t>empresas de personas con discapacidad, o que sean empleadores de personas con discapacidad</w:t>
      </w:r>
      <w:r>
        <w:rPr>
          <w:rFonts w:ascii="Verdana" w:eastAsia="Arial" w:hAnsi="Verdana" w:cs="Arial"/>
        </w:rPr>
        <w:t xml:space="preserve">. Lo anterior, sin perjuicio de los demás requisitos de evaluación que se deben establecer de acuerdo con cada modalidad de selección.  </w:t>
      </w:r>
    </w:p>
    <w:p w14:paraId="0ADEBD78" w14:textId="77777777" w:rsidR="00FE5496" w:rsidRPr="006332FF" w:rsidRDefault="00FE5496" w:rsidP="00FE5496">
      <w:pPr>
        <w:spacing w:after="120" w:line="276" w:lineRule="auto"/>
        <w:ind w:left="119" w:right="79" w:firstLine="590"/>
        <w:jc w:val="both"/>
        <w:rPr>
          <w:rFonts w:ascii="Verdana" w:eastAsia="Arial" w:hAnsi="Verdana" w:cs="Arial"/>
        </w:rPr>
      </w:pPr>
      <w:r>
        <w:rPr>
          <w:rFonts w:ascii="Verdana" w:eastAsia="Arial" w:hAnsi="Verdana" w:cs="Arial"/>
        </w:rPr>
        <w:t>Finalmente, en relación con el inicio de vigencia del Decreto 287 de 2026</w:t>
      </w:r>
      <w:r w:rsidRPr="001B3C5D">
        <w:rPr>
          <w:rFonts w:ascii="Verdana" w:eastAsia="Aptos" w:hAnsi="Verdana" w:cs="Times New Roman"/>
          <w:kern w:val="2"/>
          <w14:ligatures w14:val="standardContextual"/>
        </w:rPr>
        <w:t>, el artículo 2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w:t>
      </w:r>
      <w:r>
        <w:rPr>
          <w:rFonts w:ascii="Verdana" w:eastAsia="Aptos" w:hAnsi="Verdana" w:cs="Times New Roman"/>
          <w:kern w:val="2"/>
          <w14:ligatures w14:val="standardContextual"/>
        </w:rPr>
        <w:t>y</w:t>
      </w:r>
      <w:r w:rsidRPr="001B3C5D">
        <w:rPr>
          <w:rFonts w:ascii="Verdana" w:eastAsia="Aptos" w:hAnsi="Verdana" w:cs="Times New Roman"/>
          <w:kern w:val="2"/>
          <w14:ligatures w14:val="standardContextual"/>
        </w:rPr>
        <w:t xml:space="preserve"> 2.2.1.2.4.2.8. de la Subsección 2 de la Sección 4 del Capítulo 2 del Título 1 de la Parte 2 del Libro 2 del Decreto 1082 de 2015, Único Reglamentario del Sector Administrativo de Planeación, y deroga todas las disposiciones que le sean contrarias”.</w:t>
      </w:r>
      <w:r>
        <w:rPr>
          <w:rFonts w:ascii="Verdana" w:eastAsia="Aptos" w:hAnsi="Verdana" w:cs="Times New Roman"/>
          <w:kern w:val="2"/>
          <w14:ligatures w14:val="standardContextual"/>
        </w:rPr>
        <w:t xml:space="preserve"> Este decreto fue publicado el 19 de marzo de 2026, por lo que empezó a regir a partir del 20 de marzo.</w:t>
      </w:r>
    </w:p>
    <w:p w14:paraId="1E174DBB" w14:textId="77777777" w:rsidR="00FE5496" w:rsidRPr="00BD2EF9" w:rsidRDefault="00FE5496" w:rsidP="00FE5496">
      <w:pPr>
        <w:widowControl w:val="0"/>
        <w:autoSpaceDE w:val="0"/>
        <w:autoSpaceDN w:val="0"/>
        <w:spacing w:after="120" w:line="276" w:lineRule="auto"/>
        <w:ind w:firstLine="743"/>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Así, l</w:t>
      </w:r>
      <w:r w:rsidRPr="00BD2EF9">
        <w:rPr>
          <w:rFonts w:ascii="Verdana" w:eastAsia="Aptos" w:hAnsi="Verdana" w:cs="Times New Roman"/>
          <w:kern w:val="2"/>
          <w14:ligatures w14:val="standardContextual"/>
        </w:rPr>
        <w:t xml:space="preserve">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w:t>
      </w:r>
      <w:r w:rsidRPr="00BD2EF9">
        <w:rPr>
          <w:rFonts w:ascii="Verdana" w:eastAsia="Aptos" w:hAnsi="Verdana" w:cs="Times New Roman"/>
          <w:kern w:val="2"/>
          <w14:ligatures w14:val="standardContextual"/>
        </w:rPr>
        <w:lastRenderedPageBreak/>
        <w:t>las reglas originales sin aplicar el Decreto 287 de 2026; y ii)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7F0DCE0E" w14:textId="77777777" w:rsidR="00FE5496" w:rsidRDefault="00FE5496" w:rsidP="00FE5496">
      <w:pPr>
        <w:widowControl w:val="0"/>
        <w:autoSpaceDE w:val="0"/>
        <w:autoSpaceDN w:val="0"/>
        <w:spacing w:after="120" w:line="276" w:lineRule="auto"/>
        <w:ind w:firstLine="709"/>
        <w:jc w:val="both"/>
        <w:rPr>
          <w:rFonts w:ascii="Verdana" w:eastAsia="Aptos" w:hAnsi="Verdana" w:cs="Times New Roman"/>
          <w:kern w:val="2"/>
          <w14:ligatures w14:val="standardContextual"/>
        </w:rPr>
      </w:pPr>
      <w:r w:rsidRPr="00BD2EF9">
        <w:rPr>
          <w:rFonts w:ascii="Verdana" w:eastAsia="Aptos" w:hAnsi="Verdana" w:cs="Times New Roman"/>
          <w:kern w:val="2"/>
          <w14:ligatures w14:val="standardContextu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bookmarkEnd w:id="1"/>
      <w:r>
        <w:rPr>
          <w:rFonts w:ascii="Verdana" w:eastAsia="Aptos" w:hAnsi="Verdana" w:cs="Times New Roman"/>
          <w:kern w:val="2"/>
          <w14:ligatures w14:val="standardContextual"/>
        </w:rPr>
        <w:t>.</w:t>
      </w:r>
    </w:p>
    <w:p w14:paraId="4FA6E818" w14:textId="77777777" w:rsidR="00FE5496" w:rsidRPr="001B3C5D" w:rsidRDefault="00FE5496" w:rsidP="00FE5496">
      <w:pPr>
        <w:widowControl w:val="0"/>
        <w:autoSpaceDE w:val="0"/>
        <w:autoSpaceDN w:val="0"/>
        <w:spacing w:after="0" w:line="276" w:lineRule="auto"/>
        <w:ind w:firstLine="709"/>
        <w:jc w:val="both"/>
        <w:rPr>
          <w:rFonts w:ascii="Verdana" w:eastAsia="Century Gothic" w:hAnsi="Verdana" w:cs="Century Gothic"/>
          <w:lang w:val="es-ES_tradnl"/>
        </w:rPr>
      </w:pPr>
    </w:p>
    <w:p w14:paraId="5122C80B" w14:textId="77777777" w:rsidR="00FE5496" w:rsidRPr="001B3C5D" w:rsidRDefault="00FE5496" w:rsidP="00FE5496">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3E613A58" w14:textId="77777777" w:rsidR="00FE5496" w:rsidRPr="001B3C5D" w:rsidRDefault="00FE5496" w:rsidP="00FE5496">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E5496" w:rsidRPr="001B3C5D" w14:paraId="3AAD8C04" w14:textId="77777777" w:rsidTr="004B349E">
        <w:trPr>
          <w:trHeight w:val="870"/>
        </w:trPr>
        <w:tc>
          <w:tcPr>
            <w:tcW w:w="8647" w:type="dxa"/>
            <w:tcBorders>
              <w:top w:val="dotted" w:sz="4" w:space="0" w:color="auto"/>
              <w:left w:val="dotted" w:sz="4" w:space="0" w:color="auto"/>
              <w:bottom w:val="dotted" w:sz="4" w:space="0" w:color="auto"/>
              <w:right w:val="dotted" w:sz="4" w:space="0" w:color="auto"/>
            </w:tcBorders>
          </w:tcPr>
          <w:p w14:paraId="4BEAAC6B" w14:textId="77777777" w:rsidR="00A64619" w:rsidRPr="00F82E0D" w:rsidRDefault="00A64619" w:rsidP="00A64619">
            <w:pPr>
              <w:widowControl w:val="0"/>
              <w:numPr>
                <w:ilvl w:val="0"/>
                <w:numId w:val="17"/>
              </w:numPr>
              <w:autoSpaceDE w:val="0"/>
              <w:autoSpaceDN w:val="0"/>
              <w:spacing w:line="276" w:lineRule="auto"/>
              <w:contextualSpacing/>
              <w:jc w:val="both"/>
              <w:rPr>
                <w:rFonts w:ascii="Verdana" w:eastAsia="Calibri" w:hAnsi="Verdana" w:cs="Arial"/>
              </w:rPr>
            </w:pPr>
            <w:r w:rsidRPr="00F82E0D">
              <w:rPr>
                <w:rFonts w:ascii="Verdana" w:eastAsia="Calibri" w:hAnsi="Verdana" w:cs="Arial"/>
              </w:rPr>
              <w:t>Ley 1618 de 2013</w:t>
            </w:r>
          </w:p>
          <w:p w14:paraId="04E56AEB" w14:textId="77777777" w:rsidR="00A64619" w:rsidRPr="00F82E0D" w:rsidRDefault="00A64619" w:rsidP="00A64619">
            <w:pPr>
              <w:widowControl w:val="0"/>
              <w:numPr>
                <w:ilvl w:val="0"/>
                <w:numId w:val="16"/>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p w14:paraId="5E6BB02B" w14:textId="77777777" w:rsidR="00A64619" w:rsidRDefault="00A64619" w:rsidP="00A64619">
            <w:pPr>
              <w:pStyle w:val="Prrafodelista"/>
              <w:numPr>
                <w:ilvl w:val="0"/>
                <w:numId w:val="16"/>
              </w:numPr>
              <w:jc w:val="both"/>
              <w:rPr>
                <w:rFonts w:ascii="Verdana" w:eastAsia="Calibri" w:hAnsi="Verdana" w:cs="Arial"/>
                <w:lang w:val="es-CO"/>
              </w:rPr>
            </w:pPr>
            <w:r w:rsidRPr="00F82E0D">
              <w:rPr>
                <w:rFonts w:ascii="Verdana" w:eastAsia="Calibri" w:hAnsi="Verdana" w:cs="Arial"/>
                <w:lang w:val="es-CO"/>
              </w:rPr>
              <w:t>Consejo de Estado, Sección Quinta, del 12 de diciembre de 2024 (Rad. 05001-23-33-000-2024-00847-01, M.P. Omar Joaquín Barreto Suárez)</w:t>
            </w:r>
          </w:p>
          <w:p w14:paraId="7F9CBA8C" w14:textId="1BD89227" w:rsidR="00FE5496" w:rsidRPr="00A64619" w:rsidRDefault="00A64619" w:rsidP="00A64619">
            <w:pPr>
              <w:pStyle w:val="Prrafodelista"/>
              <w:numPr>
                <w:ilvl w:val="0"/>
                <w:numId w:val="16"/>
              </w:numPr>
              <w:jc w:val="both"/>
              <w:rPr>
                <w:rFonts w:ascii="Verdana" w:eastAsia="Calibri" w:hAnsi="Verdana" w:cs="Arial"/>
                <w:lang w:val="es-CO"/>
              </w:rPr>
            </w:pPr>
            <w:r w:rsidRPr="00A64619">
              <w:rPr>
                <w:rFonts w:ascii="Verdana" w:eastAsia="Aptos" w:hAnsi="Verdana" w:cs="Times New Roman"/>
                <w:kern w:val="2"/>
                <w14:ligatures w14:val="standardContextual"/>
              </w:rPr>
              <w:t xml:space="preserve">ABC del Decreto 0287 de 2026 “Contratación pública inclusiva para personas con discapacidad” disponible en: </w:t>
            </w:r>
            <w:hyperlink r:id="rId13" w:history="1">
              <w:r w:rsidRPr="00A64619">
                <w:rPr>
                  <w:rStyle w:val="Hipervnculo"/>
                  <w:rFonts w:ascii="Verdana" w:hAnsi="Verdana"/>
                  <w:sz w:val="16"/>
                  <w:szCs w:val="16"/>
                </w:rPr>
                <w:t>https://www.colombiacompra.gov.co/wp-content/uploads/2026/04/ABC-Decreto-0287-de-2026-1.pdf</w:t>
              </w:r>
            </w:hyperlink>
          </w:p>
        </w:tc>
      </w:tr>
    </w:tbl>
    <w:p w14:paraId="2EE13DE9" w14:textId="77777777" w:rsidR="00FE5496" w:rsidRPr="001B3C5D" w:rsidRDefault="00FE5496" w:rsidP="00FE5496">
      <w:pPr>
        <w:tabs>
          <w:tab w:val="left" w:pos="142"/>
          <w:tab w:val="left" w:pos="284"/>
        </w:tabs>
        <w:spacing w:after="0" w:line="276" w:lineRule="auto"/>
        <w:jc w:val="both"/>
        <w:rPr>
          <w:rFonts w:ascii="Verdana" w:eastAsia="Calibri" w:hAnsi="Verdana" w:cs="Arial"/>
        </w:rPr>
      </w:pPr>
    </w:p>
    <w:p w14:paraId="1210DFED" w14:textId="77777777" w:rsidR="00FE5496" w:rsidRPr="001B3C5D" w:rsidRDefault="00FE5496" w:rsidP="00FE5496">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2C6B3721" w14:textId="77777777" w:rsidR="00FE5496" w:rsidRPr="001B3C5D" w:rsidRDefault="00FE5496" w:rsidP="00FE5496">
      <w:pPr>
        <w:widowControl w:val="0"/>
        <w:autoSpaceDE w:val="0"/>
        <w:autoSpaceDN w:val="0"/>
        <w:spacing w:after="0" w:line="276" w:lineRule="auto"/>
        <w:jc w:val="both"/>
        <w:rPr>
          <w:rFonts w:ascii="Verdana" w:eastAsia="Calibri" w:hAnsi="Verdana" w:cs="Arial"/>
        </w:rPr>
      </w:pPr>
    </w:p>
    <w:p w14:paraId="282EB106" w14:textId="77777777" w:rsidR="00FE5496" w:rsidRPr="001B3C5D" w:rsidRDefault="00FE5496" w:rsidP="00FE5496">
      <w:pPr>
        <w:widowControl w:val="0"/>
        <w:autoSpaceDE w:val="0"/>
        <w:autoSpaceDN w:val="0"/>
        <w:spacing w:after="0" w:line="276" w:lineRule="auto"/>
        <w:jc w:val="both"/>
        <w:rPr>
          <w:rFonts w:ascii="Verdana" w:eastAsia="Times New Roman" w:hAnsi="Verdana" w:cs="Arial"/>
          <w:shd w:val="clear" w:color="auto" w:fill="FFFFFF"/>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Pr>
          <w:rFonts w:ascii="Verdana" w:hAnsi="Verdana" w:cs="Arial"/>
          <w:shd w:val="clear" w:color="auto" w:fill="FFFFFF"/>
          <w:lang w:val="es-ES"/>
        </w:rPr>
        <w:t xml:space="preserve">este </w:t>
      </w:r>
      <w:r w:rsidRPr="00206556">
        <w:rPr>
          <w:rFonts w:ascii="Verdana" w:hAnsi="Verdana" w:cs="Arial"/>
          <w:shd w:val="clear" w:color="auto" w:fill="FFFFFF"/>
          <w:lang w:val="es-ES"/>
        </w:rPr>
        <w:t>concepto</w:t>
      </w:r>
      <w:r>
        <w:rPr>
          <w:rFonts w:ascii="Verdana" w:hAnsi="Verdana" w:cs="Arial"/>
          <w:shd w:val="clear" w:color="auto" w:fill="FFFFFF"/>
          <w:lang w:val="es-ES"/>
        </w:rPr>
        <w:t xml:space="preserve">. </w:t>
      </w:r>
      <w:r>
        <w:rPr>
          <w:rFonts w:ascii="Verdana" w:eastAsia="Calibri" w:hAnsi="Verdana" w:cs="Arial"/>
          <w:color w:val="000000"/>
          <w:shd w:val="clear" w:color="auto" w:fill="FFFFFF"/>
        </w:rPr>
        <w:t xml:space="preserve">Los </w:t>
      </w:r>
      <w:r w:rsidRPr="001B3C5D">
        <w:rPr>
          <w:rFonts w:ascii="Verdana" w:eastAsia="Calibri" w:hAnsi="Verdana" w:cs="Arial"/>
          <w:color w:val="000000"/>
          <w:shd w:val="clear" w:color="auto" w:fill="FFFFFF"/>
        </w:rPr>
        <w:t xml:space="preserve">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1B3C5D">
          <w:rPr>
            <w:rFonts w:ascii="Verdana" w:eastAsia="Aptos" w:hAnsi="Verdana" w:cs="Arial"/>
            <w:color w:val="0000FF"/>
            <w:kern w:val="2"/>
            <w:u w:val="single"/>
            <w:shd w:val="clear" w:color="auto" w:fill="FFFFFF"/>
            <w14:ligatures w14:val="standardContextual"/>
          </w:rPr>
          <w:t>https://relatoria.colombiacompra.gov.co/busqueda/conceptos</w:t>
        </w:r>
      </w:hyperlink>
      <w:r w:rsidRPr="001B3C5D">
        <w:rPr>
          <w:rFonts w:ascii="Verdana" w:eastAsia="Aptos" w:hAnsi="Verdana" w:cs="Arial"/>
          <w:kern w:val="2"/>
          <w:shd w:val="clear" w:color="auto" w:fill="FFFFFF"/>
          <w14:ligatures w14:val="standardContextual"/>
        </w:rPr>
        <w:t xml:space="preserve">. </w:t>
      </w:r>
      <w:r w:rsidRPr="001B3C5D">
        <w:rPr>
          <w:rFonts w:ascii="Verdana" w:eastAsia="Aptos" w:hAnsi="Verdana" w:cs="Arial"/>
          <w:color w:val="FF0000"/>
          <w:kern w:val="2"/>
          <w:shd w:val="clear" w:color="auto" w:fill="FFFFFF"/>
          <w:lang w:val="es-ES"/>
          <w14:ligatures w14:val="standardContextual"/>
        </w:rPr>
        <w:t xml:space="preserve">  </w:t>
      </w:r>
    </w:p>
    <w:p w14:paraId="224A0A53" w14:textId="77777777" w:rsidR="00FE5496" w:rsidRPr="001B3C5D" w:rsidRDefault="00FE5496" w:rsidP="00FE5496">
      <w:pPr>
        <w:spacing w:after="0" w:line="240" w:lineRule="auto"/>
        <w:jc w:val="both"/>
        <w:rPr>
          <w:rFonts w:ascii="Verdana" w:eastAsia="Calibri" w:hAnsi="Verdana" w:cs="Arial"/>
          <w:color w:val="000000"/>
          <w:shd w:val="clear" w:color="auto" w:fill="FFFFFF"/>
        </w:rPr>
      </w:pPr>
    </w:p>
    <w:p w14:paraId="0D7ACF26" w14:textId="77777777" w:rsidR="00FE5496" w:rsidRPr="001B3C5D" w:rsidRDefault="00FE5496" w:rsidP="00FE5496">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B3C5D">
        <w:rPr>
          <w:rFonts w:ascii="Verdana" w:eastAsia="Times New Roman" w:hAnsi="Verdana" w:cs="Arial"/>
          <w:b/>
          <w:bCs/>
          <w:lang w:eastAsia="es-MX"/>
        </w:rPr>
        <w:t xml:space="preserve">Curso de Contratación Pública Sostenible y Socialmente </w:t>
      </w:r>
      <w:r w:rsidRPr="001B3C5D">
        <w:rPr>
          <w:rFonts w:ascii="Verdana" w:eastAsia="Times New Roman" w:hAnsi="Verdana" w:cs="Arial"/>
          <w:b/>
          <w:bCs/>
          <w:lang w:eastAsia="es-MX"/>
        </w:rPr>
        <w:lastRenderedPageBreak/>
        <w:t>Responsable</w:t>
      </w:r>
      <w:r w:rsidRPr="001B3C5D">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3C5D">
        <w:rPr>
          <w:rFonts w:ascii="Verdana" w:eastAsia="Times New Roman" w:hAnsi="Verdana" w:cs="Arial"/>
          <w:lang w:eastAsia="es-MX"/>
        </w:rPr>
        <w:br/>
      </w:r>
      <w:hyperlink r:id="rId15" w:tgtFrame="_new" w:history="1">
        <w:r w:rsidRPr="001B3C5D">
          <w:rPr>
            <w:rFonts w:ascii="Verdana" w:eastAsia="Times New Roman" w:hAnsi="Verdana" w:cs="Arial"/>
            <w:color w:val="0000FF"/>
            <w:u w:val="single"/>
            <w:lang w:eastAsia="es-MX"/>
          </w:rPr>
          <w:t>https://formacionvirtual.colombiacompra.gov.co/mod/page/view.php?id=3718</w:t>
        </w:r>
      </w:hyperlink>
    </w:p>
    <w:p w14:paraId="3B6992BD" w14:textId="77777777" w:rsidR="00FE5496" w:rsidRPr="001B3C5D" w:rsidRDefault="00FE5496" w:rsidP="00FE5496">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De otro lado, te contamos que esta Agencia ha da un paso decisivo en la estandarización y modernización del </w:t>
      </w:r>
      <w:r w:rsidRPr="001B3C5D">
        <w:rPr>
          <w:rFonts w:ascii="Verdana" w:eastAsia="Times New Roman" w:hAnsi="Verdana" w:cs="Arial"/>
          <w:b/>
          <w:bCs/>
          <w:lang w:eastAsia="es-MX"/>
        </w:rPr>
        <w:t>sector  social</w:t>
      </w:r>
      <w:r w:rsidRPr="001B3C5D">
        <w:rPr>
          <w:rFonts w:ascii="Verdana" w:eastAsia="Times New Roman" w:hAnsi="Verdana" w:cs="Arial"/>
          <w:lang w:eastAsia="es-MX"/>
        </w:rPr>
        <w:t xml:space="preserve"> con la expedición de las </w:t>
      </w:r>
      <w:r w:rsidRPr="001B3C5D">
        <w:rPr>
          <w:rFonts w:ascii="Verdana" w:eastAsia="Times New Roman" w:hAnsi="Verdana" w:cs="Arial"/>
          <w:b/>
          <w:bCs/>
          <w:lang w:eastAsia="es-MX"/>
        </w:rPr>
        <w:t>Resoluciones 539, 540, 541, 952 y 953 de 2025</w:t>
      </w:r>
      <w:r w:rsidRPr="001B3C5D">
        <w:rPr>
          <w:rFonts w:ascii="Verdana" w:eastAsia="Times New Roman" w:hAnsi="Verdana" w:cs="Arial"/>
          <w:lang w:eastAsia="es-MX"/>
        </w:rPr>
        <w:t xml:space="preserve">, </w:t>
      </w:r>
      <w:r w:rsidRPr="001B3C5D">
        <w:rPr>
          <w:rFonts w:ascii="Verdana" w:eastAsia="Times New Roman" w:hAnsi="Verdana" w:cs="Arial"/>
          <w:b/>
          <w:bCs/>
          <w:lang w:eastAsia="es-MX"/>
        </w:rPr>
        <w:t>mediante las cuales adoptó Documentos Tipo</w:t>
      </w:r>
      <w:r w:rsidRPr="001B3C5D">
        <w:rPr>
          <w:rFonts w:ascii="Verdana" w:eastAsia="Times New Roman" w:hAnsi="Verdana" w:cs="Arial"/>
          <w:lang w:eastAsia="es-MX"/>
        </w:rPr>
        <w:t xml:space="preserve"> para las modalidades de selección de</w:t>
      </w:r>
      <w:r w:rsidRPr="001B3C5D">
        <w:rPr>
          <w:rFonts w:ascii="Verdana" w:eastAsia="Times New Roman" w:hAnsi="Verdana" w:cs="Arial"/>
          <w:b/>
          <w:bCs/>
          <w:lang w:eastAsia="es-MX"/>
        </w:rPr>
        <w:t xml:space="preserve"> licitación pública (versión 2), selección abreviada de menor cuantía, mínima cuantía, consultoría e interventoría</w:t>
      </w:r>
      <w:r w:rsidRPr="001B3C5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1B3C5D">
          <w:rPr>
            <w:rFonts w:ascii="Verdana" w:eastAsia="Times New Roman" w:hAnsi="Verdana" w:cs="Arial"/>
            <w:color w:val="0000FF"/>
            <w:u w:val="single"/>
            <w:lang w:eastAsia="es-MX"/>
          </w:rPr>
          <w:t>https://www.colombiacompra.gov.co/normativa-y-relatoria/documentos-tipo</w:t>
        </w:r>
      </w:hyperlink>
    </w:p>
    <w:p w14:paraId="5C2F1D66" w14:textId="77777777" w:rsidR="00FE5496" w:rsidRPr="001B3C5D" w:rsidRDefault="00FE5496" w:rsidP="00FE5496">
      <w:pPr>
        <w:spacing w:after="0" w:line="276" w:lineRule="auto"/>
        <w:jc w:val="both"/>
        <w:rPr>
          <w:rFonts w:ascii="Verdana" w:eastAsia="Times New Roman" w:hAnsi="Verdana" w:cs="Arial"/>
          <w:lang w:eastAsia="es-MX"/>
        </w:rPr>
      </w:pPr>
    </w:p>
    <w:p w14:paraId="1687A980" w14:textId="77777777" w:rsidR="00FE5496" w:rsidRPr="001B3C5D" w:rsidRDefault="00FE5496" w:rsidP="00FE5496">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Si quieres conocer más sobre la aplicación de Documentos Tipo puedes consultar la última versión de la </w:t>
      </w:r>
      <w:r w:rsidRPr="001B3C5D">
        <w:rPr>
          <w:rFonts w:ascii="Verdana" w:eastAsia="Times New Roman" w:hAnsi="Verdana" w:cs="Arial"/>
          <w:b/>
          <w:bCs/>
          <w:lang w:eastAsia="es-MX"/>
        </w:rPr>
        <w:t>Guía para la comprensión e implementación de los Documentos Tipo de obra pública de infraestructura de transporte</w:t>
      </w:r>
      <w:r w:rsidRPr="001B3C5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3C5D">
        <w:rPr>
          <w:rFonts w:ascii="Verdana" w:eastAsia="Times New Roman" w:hAnsi="Verdana" w:cs="Arial"/>
          <w:lang w:eastAsia="es-MX"/>
        </w:rPr>
        <w:br/>
      </w:r>
      <w:hyperlink r:id="rId17" w:tgtFrame="_new" w:history="1">
        <w:r w:rsidRPr="001B3C5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6D7E4600" w14:textId="77777777" w:rsidR="00FE5496" w:rsidRPr="001B3C5D" w:rsidRDefault="00FE5496" w:rsidP="00FE5496">
      <w:pPr>
        <w:spacing w:after="0"/>
        <w:jc w:val="both"/>
        <w:rPr>
          <w:rFonts w:ascii="Verdana" w:eastAsia="Aptos" w:hAnsi="Verdana" w:cs="Times New Roman"/>
          <w:color w:val="212121"/>
          <w:lang w:eastAsia="es-MX"/>
        </w:rPr>
      </w:pPr>
    </w:p>
    <w:p w14:paraId="2050582D" w14:textId="77777777" w:rsidR="00FE5496" w:rsidRPr="001B3C5D" w:rsidRDefault="00FE5496" w:rsidP="00FE5496">
      <w:pPr>
        <w:spacing w:after="0" w:line="240" w:lineRule="auto"/>
        <w:jc w:val="both"/>
        <w:rPr>
          <w:rFonts w:ascii="Verdana" w:eastAsia="Calibri" w:hAnsi="Verdana" w:cs="Times New Roman"/>
          <w:lang w:eastAsia="es-MX"/>
        </w:rPr>
      </w:pPr>
      <w:r w:rsidRPr="001B3C5D">
        <w:rPr>
          <w:rFonts w:ascii="Verdana" w:eastAsia="Aptos" w:hAnsi="Verdana" w:cs="Times New Roman"/>
          <w:lang w:eastAsia="es-MX"/>
        </w:rPr>
        <w:t xml:space="preserve">Por último, lo invitamos a seguirnos en las redes sociales en las cuales se difunde información institucional: </w:t>
      </w:r>
    </w:p>
    <w:p w14:paraId="455378A9" w14:textId="77777777" w:rsidR="00FE5496" w:rsidRPr="001B3C5D" w:rsidRDefault="00FE5496" w:rsidP="00FE5496">
      <w:pPr>
        <w:spacing w:after="0" w:line="240" w:lineRule="auto"/>
        <w:jc w:val="both"/>
        <w:rPr>
          <w:rFonts w:ascii="Verdana" w:eastAsia="Aptos" w:hAnsi="Verdana" w:cs="Times New Roman"/>
          <w:lang w:eastAsia="es-MX"/>
        </w:rPr>
      </w:pPr>
    </w:p>
    <w:p w14:paraId="2E48BBB8" w14:textId="77777777" w:rsidR="00FE5496" w:rsidRPr="001B3C5D" w:rsidRDefault="00FE5496" w:rsidP="00FE5496">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Twitter: </w:t>
      </w:r>
      <w:r w:rsidRPr="001B3C5D">
        <w:rPr>
          <w:rFonts w:ascii="Verdana" w:eastAsia="Calibri" w:hAnsi="Verdana" w:cs="Times New Roman"/>
          <w:color w:val="156082"/>
          <w:u w:val="single"/>
          <w:lang w:eastAsia="es-MX"/>
        </w:rPr>
        <w:t>@colombiacompra</w:t>
      </w:r>
      <w:r w:rsidRPr="001B3C5D">
        <w:rPr>
          <w:rFonts w:ascii="Verdana" w:eastAsia="Calibri" w:hAnsi="Verdana" w:cs="Times New Roman"/>
          <w:color w:val="156082"/>
          <w:lang w:eastAsia="es-MX"/>
        </w:rPr>
        <w:t xml:space="preserve"> </w:t>
      </w:r>
    </w:p>
    <w:p w14:paraId="375650E5" w14:textId="77777777" w:rsidR="00FE5496" w:rsidRPr="001B3C5D" w:rsidRDefault="00FE5496" w:rsidP="00FE5496">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Facebook: </w:t>
      </w:r>
      <w:r w:rsidRPr="001B3C5D">
        <w:rPr>
          <w:rFonts w:ascii="Verdana" w:eastAsia="Calibri" w:hAnsi="Verdana" w:cs="Times New Roman"/>
          <w:color w:val="156082"/>
          <w:u w:val="single"/>
          <w:lang w:eastAsia="es-MX"/>
        </w:rPr>
        <w:t>ColombiaCompraEficiente</w:t>
      </w:r>
    </w:p>
    <w:p w14:paraId="056A2CDF" w14:textId="77777777" w:rsidR="00FE5496" w:rsidRPr="001B3C5D" w:rsidRDefault="00FE5496" w:rsidP="00FE5496">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LinkedIn: </w:t>
      </w:r>
      <w:r w:rsidRPr="001B3C5D">
        <w:rPr>
          <w:rFonts w:ascii="Verdana" w:eastAsia="Calibri" w:hAnsi="Verdana" w:cs="Times New Roman"/>
          <w:color w:val="156082"/>
          <w:u w:val="single"/>
          <w:lang w:eastAsia="es-MX"/>
        </w:rPr>
        <w:t>Agencia Nacional de Contratación Pública - Colombia Compra Eficiente</w:t>
      </w:r>
      <w:r w:rsidRPr="001B3C5D">
        <w:rPr>
          <w:rFonts w:ascii="Verdana" w:eastAsia="Calibri" w:hAnsi="Verdana" w:cs="Times New Roman"/>
          <w:color w:val="156082"/>
          <w:lang w:eastAsia="es-MX"/>
        </w:rPr>
        <w:t xml:space="preserve"> </w:t>
      </w:r>
      <w:r w:rsidRPr="001B3C5D">
        <w:rPr>
          <w:rFonts w:ascii="Verdana" w:eastAsia="Aptos" w:hAnsi="Verdana" w:cs="Times New Roman"/>
          <w:lang w:eastAsia="es-MX"/>
        </w:rPr>
        <w:t xml:space="preserve">Instagram: </w:t>
      </w:r>
      <w:r w:rsidRPr="001B3C5D">
        <w:rPr>
          <w:rFonts w:ascii="Verdana" w:eastAsia="Calibri" w:hAnsi="Verdana" w:cs="Times New Roman"/>
          <w:color w:val="156082"/>
          <w:u w:val="single"/>
          <w:lang w:eastAsia="es-MX"/>
        </w:rPr>
        <w:t>@colombiacompraeficiente_cce</w:t>
      </w:r>
    </w:p>
    <w:p w14:paraId="55482C05" w14:textId="77777777" w:rsidR="00FE5496" w:rsidRPr="001B3C5D" w:rsidRDefault="00FE5496" w:rsidP="00FE5496">
      <w:pPr>
        <w:spacing w:after="0" w:line="276" w:lineRule="auto"/>
        <w:jc w:val="both"/>
        <w:rPr>
          <w:rFonts w:ascii="Verdana" w:eastAsia="Aptos" w:hAnsi="Verdana" w:cs="Times New Roman"/>
          <w:lang w:eastAsia="es-MX"/>
        </w:rPr>
      </w:pPr>
    </w:p>
    <w:p w14:paraId="4CCDA0D2" w14:textId="77777777" w:rsidR="00FE5496" w:rsidRPr="001B3C5D" w:rsidRDefault="00FE5496" w:rsidP="00FE5496">
      <w:pPr>
        <w:spacing w:after="0" w:line="276" w:lineRule="auto"/>
        <w:jc w:val="both"/>
        <w:rPr>
          <w:rFonts w:ascii="Verdana" w:eastAsia="Calibri" w:hAnsi="Verdana" w:cs="Times New Roman"/>
          <w:bCs/>
          <w:lang w:val="es-ES_tradnl" w:eastAsia="es-MX"/>
        </w:rPr>
      </w:pPr>
      <w:r w:rsidRPr="001B3C5D">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79F6C70" w14:textId="77777777" w:rsidR="00FE5496" w:rsidRPr="001B3C5D" w:rsidRDefault="00FE5496" w:rsidP="00FE5496">
      <w:pPr>
        <w:spacing w:after="0" w:line="276" w:lineRule="auto"/>
        <w:jc w:val="both"/>
        <w:rPr>
          <w:rFonts w:ascii="Verdana" w:eastAsia="Calibri" w:hAnsi="Verdana" w:cs="Times New Roman"/>
          <w:lang w:eastAsia="es-MX"/>
        </w:rPr>
      </w:pPr>
    </w:p>
    <w:p w14:paraId="0A0FB77E" w14:textId="77777777" w:rsidR="00FE5496" w:rsidRPr="001B3C5D" w:rsidRDefault="00FE5496" w:rsidP="00FE5496">
      <w:pPr>
        <w:spacing w:after="0" w:line="276" w:lineRule="auto"/>
        <w:jc w:val="both"/>
        <w:rPr>
          <w:rFonts w:ascii="Verdana" w:eastAsia="Calibri" w:hAnsi="Verdana" w:cs="Times New Roman"/>
          <w:lang w:eastAsia="es-MX"/>
        </w:rPr>
      </w:pPr>
      <w:r w:rsidRPr="001B3C5D">
        <w:rPr>
          <w:rFonts w:ascii="Verdana" w:eastAsia="Calibri" w:hAnsi="Verdana" w:cs="Times New Roman"/>
          <w:lang w:eastAsia="es-MX"/>
        </w:rPr>
        <w:t>Atentamente,</w:t>
      </w:r>
    </w:p>
    <w:p w14:paraId="17FF1619" w14:textId="77777777" w:rsidR="00FE5496" w:rsidRPr="001B3C5D" w:rsidRDefault="00FE5496" w:rsidP="00FE5496">
      <w:pPr>
        <w:tabs>
          <w:tab w:val="left" w:pos="1320"/>
        </w:tabs>
        <w:spacing w:after="0"/>
        <w:jc w:val="center"/>
        <w:rPr>
          <w:rFonts w:ascii="Verdana" w:eastAsia="Calibri" w:hAnsi="Verdana" w:cs="Times New Roman"/>
          <w:lang w:eastAsia="es-MX"/>
        </w:rPr>
      </w:pPr>
    </w:p>
    <w:p w14:paraId="2FFF6ED6" w14:textId="5B3C8267" w:rsidR="00FE5496" w:rsidRPr="00A27102" w:rsidRDefault="00697550" w:rsidP="00FE5496">
      <w:pPr>
        <w:spacing w:line="276" w:lineRule="auto"/>
        <w:jc w:val="center"/>
        <w:rPr>
          <w:rFonts w:ascii="Verdana" w:hAnsi="Verdana" w:cs="Arial"/>
          <w:color w:val="000000"/>
          <w:lang w:val="es-ES_tradnl" w:eastAsia="es-CO"/>
        </w:rPr>
      </w:pPr>
      <w:r w:rsidRPr="00F21F0B">
        <w:rPr>
          <w:rFonts w:ascii="Century Gothic" w:hAnsi="Century Gothic"/>
          <w:noProof/>
        </w:rPr>
        <w:drawing>
          <wp:inline distT="0" distB="0" distL="0" distR="0" wp14:anchorId="3B6389C7" wp14:editId="74A96165">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E5496" w:rsidRPr="00A27102" w14:paraId="3F1B22C6" w14:textId="77777777" w:rsidTr="004B349E">
        <w:trPr>
          <w:trHeight w:val="315"/>
        </w:trPr>
        <w:tc>
          <w:tcPr>
            <w:tcW w:w="893" w:type="dxa"/>
            <w:vAlign w:val="center"/>
            <w:hideMark/>
          </w:tcPr>
          <w:p w14:paraId="754BD298" w14:textId="77777777" w:rsidR="00FE5496" w:rsidRPr="00A27102" w:rsidRDefault="00FE5496" w:rsidP="004B349E">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8DAFCAA" w14:textId="77777777" w:rsidR="00FE5496" w:rsidRPr="00A27102" w:rsidRDefault="00FE5496" w:rsidP="004B349E">
            <w:pPr>
              <w:contextualSpacing/>
              <w:rPr>
                <w:rFonts w:ascii="Verdana" w:hAnsi="Verdana"/>
                <w:sz w:val="16"/>
                <w:szCs w:val="16"/>
              </w:rPr>
            </w:pPr>
            <w:r w:rsidRPr="00A27102">
              <w:rPr>
                <w:rFonts w:ascii="Verdana" w:hAnsi="Verdana"/>
                <w:sz w:val="16"/>
                <w:szCs w:val="16"/>
              </w:rPr>
              <w:t>Tatiana Baquero Iguarán</w:t>
            </w:r>
          </w:p>
          <w:p w14:paraId="041BF1E2" w14:textId="77777777" w:rsidR="00FE5496" w:rsidRPr="00A27102" w:rsidRDefault="00FE5496" w:rsidP="004B349E">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FE5496" w:rsidRPr="00A27102" w14:paraId="7E74EE30" w14:textId="77777777" w:rsidTr="004B349E">
        <w:trPr>
          <w:trHeight w:val="330"/>
        </w:trPr>
        <w:tc>
          <w:tcPr>
            <w:tcW w:w="893" w:type="dxa"/>
            <w:vAlign w:val="center"/>
            <w:hideMark/>
          </w:tcPr>
          <w:p w14:paraId="0F11DE33" w14:textId="77777777" w:rsidR="00FE5496" w:rsidRPr="00A27102" w:rsidRDefault="00FE5496" w:rsidP="004B349E">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85FCF4" w14:textId="77777777" w:rsidR="00FE5496" w:rsidRPr="00A27102" w:rsidRDefault="00FE5496" w:rsidP="004B349E">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1E45FFD9" w14:textId="77777777" w:rsidR="00FE5496" w:rsidRPr="00A27102" w:rsidRDefault="00FE5496" w:rsidP="004B349E">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FE5496" w:rsidRPr="00A27102" w14:paraId="3E38F7F6" w14:textId="77777777" w:rsidTr="004B349E">
        <w:trPr>
          <w:trHeight w:val="300"/>
        </w:trPr>
        <w:tc>
          <w:tcPr>
            <w:tcW w:w="893" w:type="dxa"/>
            <w:vAlign w:val="center"/>
          </w:tcPr>
          <w:p w14:paraId="66E296C7" w14:textId="77777777" w:rsidR="00FE5496" w:rsidRPr="00A27102" w:rsidRDefault="00FE5496" w:rsidP="004B349E">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BF4D80" w14:textId="77777777" w:rsidR="00FE5496" w:rsidRPr="00A27102" w:rsidRDefault="00FE5496" w:rsidP="004B349E">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Carolina Quintero Gacharná</w:t>
            </w:r>
          </w:p>
          <w:p w14:paraId="4F0CEEFB" w14:textId="77777777" w:rsidR="00FE5496" w:rsidRPr="00A27102" w:rsidRDefault="00FE5496" w:rsidP="004B349E">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2A8D7DF9" w14:textId="77777777" w:rsidR="00FE5496" w:rsidRPr="00E02524" w:rsidRDefault="00FE5496" w:rsidP="00FE5496">
      <w:pPr>
        <w:spacing w:after="0" w:line="240" w:lineRule="auto"/>
        <w:jc w:val="both"/>
        <w:rPr>
          <w:rFonts w:ascii="Verdana" w:eastAsia="Verdana" w:hAnsi="Verdana" w:cs="Verdana"/>
          <w:b/>
          <w:bCs/>
          <w:lang w:val="es-MX"/>
        </w:rPr>
      </w:pPr>
    </w:p>
    <w:p w14:paraId="112678A0" w14:textId="77777777" w:rsidR="00FE5496" w:rsidRPr="000E2B93" w:rsidRDefault="00FE5496" w:rsidP="00FE5496">
      <w:pPr>
        <w:spacing w:after="0" w:line="240" w:lineRule="auto"/>
        <w:jc w:val="both"/>
        <w:textAlignment w:val="baseline"/>
        <w:rPr>
          <w:rFonts w:ascii="Verdana" w:eastAsia="Verdana" w:hAnsi="Verdana" w:cs="Verdana"/>
          <w:lang w:eastAsia="es-CO"/>
        </w:rPr>
      </w:pPr>
    </w:p>
    <w:p w14:paraId="0BEE4A53" w14:textId="454F4736" w:rsidR="00FE5496" w:rsidRPr="000E2B93" w:rsidRDefault="00FE5496" w:rsidP="00FE549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4FA60E78" w14:textId="77777777" w:rsidR="00FE5496" w:rsidRPr="0015699B" w:rsidRDefault="00FE5496" w:rsidP="00FE5496">
      <w:pPr>
        <w:spacing w:after="0" w:line="240" w:lineRule="auto"/>
        <w:jc w:val="both"/>
        <w:textAlignment w:val="baseline"/>
        <w:rPr>
          <w:rFonts w:ascii="Verdana" w:eastAsia="Verdana" w:hAnsi="Verdana" w:cs="Verdana"/>
          <w:lang w:eastAsia="es-CO"/>
        </w:rPr>
      </w:pPr>
    </w:p>
    <w:p w14:paraId="0F293BF4" w14:textId="5EE29D61" w:rsidR="00127233" w:rsidRPr="00FE5496" w:rsidRDefault="00127233" w:rsidP="00FE5496"/>
    <w:sectPr w:rsidR="00127233" w:rsidRPr="00FE549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F0CDA" w14:textId="77777777" w:rsidR="00925F99" w:rsidRDefault="00925F99" w:rsidP="004A1847">
      <w:pPr>
        <w:spacing w:after="0" w:line="240" w:lineRule="auto"/>
      </w:pPr>
      <w:r>
        <w:separator/>
      </w:r>
    </w:p>
  </w:endnote>
  <w:endnote w:type="continuationSeparator" w:id="0">
    <w:p w14:paraId="4F61761D" w14:textId="77777777" w:rsidR="00925F99" w:rsidRDefault="00925F9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charset w:val="01"/>
    <w:family w:val="swiss"/>
    <w:pitch w:val="variable"/>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Work Sans">
    <w:charset w:val="00"/>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F16D67"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F16D67">
      <w:rPr>
        <w:rFonts w:ascii="Verdana" w:eastAsia="Verdana" w:hAnsi="Verdana" w:cs="Verdana"/>
        <w:b/>
        <w:bCs/>
        <w:color w:val="000000"/>
        <w:sz w:val="18"/>
        <w:szCs w:val="18"/>
        <w:lang w:val="pt-BR" w:eastAsia="es-CO"/>
      </w:rPr>
      <w:t xml:space="preserve">Código: </w:t>
    </w:r>
    <w:r w:rsidRPr="00F16D67">
      <w:rPr>
        <w:rFonts w:ascii="Verdana" w:eastAsia="Verdana" w:hAnsi="Verdana" w:cs="Verdana"/>
        <w:color w:val="000000"/>
        <w:sz w:val="18"/>
        <w:szCs w:val="18"/>
        <w:lang w:val="pt-BR" w:eastAsia="es-CO"/>
      </w:rPr>
      <w:t xml:space="preserve">CCE-REC-FM-17 </w:t>
    </w:r>
    <w:r w:rsidRPr="00F16D67">
      <w:rPr>
        <w:rFonts w:ascii="Verdana" w:eastAsia="Verdana" w:hAnsi="Verdana" w:cs="Verdana"/>
        <w:b/>
        <w:bCs/>
        <w:color w:val="000000"/>
        <w:sz w:val="18"/>
        <w:szCs w:val="18"/>
        <w:lang w:val="pt-BR" w:eastAsia="es-CO"/>
      </w:rPr>
      <w:t xml:space="preserve">V: </w:t>
    </w:r>
    <w:r w:rsidRPr="00F16D67">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3B4F6" w14:textId="77777777" w:rsidR="00925F99" w:rsidRDefault="00925F99" w:rsidP="004A1847">
      <w:pPr>
        <w:spacing w:after="0" w:line="240" w:lineRule="auto"/>
      </w:pPr>
      <w:r>
        <w:separator/>
      </w:r>
    </w:p>
  </w:footnote>
  <w:footnote w:type="continuationSeparator" w:id="0">
    <w:p w14:paraId="74FF7A04" w14:textId="77777777" w:rsidR="00925F99" w:rsidRDefault="00925F99" w:rsidP="004A1847">
      <w:pPr>
        <w:spacing w:after="0" w:line="240" w:lineRule="auto"/>
      </w:pPr>
      <w:r>
        <w:continuationSeparator/>
      </w:r>
    </w:p>
  </w:footnote>
  <w:footnote w:id="1">
    <w:p w14:paraId="19C23E05" w14:textId="77777777" w:rsidR="00FE5496" w:rsidRPr="00206556" w:rsidRDefault="00FE5496" w:rsidP="00FE5496">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4BD1F732" w14:textId="77777777" w:rsidR="00FE5496" w:rsidRPr="00206556" w:rsidRDefault="00FE5496" w:rsidP="00FE5496">
      <w:pPr>
        <w:spacing w:after="80" w:line="240" w:lineRule="auto"/>
        <w:ind w:firstLine="708"/>
        <w:jc w:val="both"/>
        <w:rPr>
          <w:rFonts w:ascii="Verdana" w:hAnsi="Verdana"/>
          <w:sz w:val="16"/>
          <w:szCs w:val="16"/>
        </w:rPr>
      </w:pPr>
    </w:p>
  </w:footnote>
  <w:footnote w:id="2">
    <w:p w14:paraId="5105078A" w14:textId="77777777" w:rsidR="00FE5496" w:rsidRPr="00206556" w:rsidRDefault="00FE5496" w:rsidP="00FE5496">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48FF12D2" w14:textId="77777777" w:rsidR="00FE5496" w:rsidRPr="00206556" w:rsidRDefault="00FE5496" w:rsidP="00FE5496">
      <w:pPr>
        <w:pStyle w:val="Textonotapie"/>
        <w:ind w:firstLine="708"/>
        <w:jc w:val="both"/>
        <w:rPr>
          <w:rFonts w:ascii="Verdana" w:hAnsi="Verdana"/>
          <w:sz w:val="16"/>
          <w:szCs w:val="16"/>
          <w:lang w:val="es-ES"/>
        </w:rPr>
      </w:pPr>
    </w:p>
  </w:footnote>
  <w:footnote w:id="3">
    <w:p w14:paraId="7C81EC62" w14:textId="77777777" w:rsidR="00FE5496" w:rsidRPr="00206556" w:rsidRDefault="00FE5496" w:rsidP="00FE5496">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1F567399" w14:textId="77777777" w:rsidR="00FE5496" w:rsidRPr="00206556" w:rsidRDefault="00FE5496" w:rsidP="00FE5496">
      <w:pPr>
        <w:spacing w:after="80" w:line="240" w:lineRule="auto"/>
        <w:ind w:firstLine="708"/>
        <w:jc w:val="both"/>
        <w:rPr>
          <w:rFonts w:ascii="Verdana" w:hAnsi="Verdana"/>
          <w:sz w:val="16"/>
          <w:szCs w:val="16"/>
        </w:rPr>
      </w:pPr>
    </w:p>
  </w:footnote>
  <w:footnote w:id="4">
    <w:p w14:paraId="529D8222" w14:textId="77777777" w:rsidR="00FE5496" w:rsidRPr="00206556" w:rsidRDefault="00FE5496" w:rsidP="00FE5496">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7F962C1D" w14:textId="77777777" w:rsidR="00FE5496" w:rsidRPr="00206556" w:rsidRDefault="00FE5496" w:rsidP="00FE5496">
      <w:pPr>
        <w:pStyle w:val="Textonotapie"/>
        <w:ind w:firstLine="708"/>
        <w:jc w:val="both"/>
        <w:rPr>
          <w:rFonts w:ascii="Verdana" w:hAnsi="Verdana"/>
          <w:sz w:val="16"/>
          <w:szCs w:val="16"/>
          <w:lang w:val="es-ES"/>
        </w:rPr>
      </w:pPr>
    </w:p>
  </w:footnote>
  <w:footnote w:id="5">
    <w:p w14:paraId="3F27459A" w14:textId="77777777" w:rsidR="00FE5496" w:rsidRPr="00206556" w:rsidRDefault="00FE5496" w:rsidP="00FE5496">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60A60287" w14:textId="77777777" w:rsidR="00FE5496" w:rsidRPr="00206556" w:rsidRDefault="00FE5496" w:rsidP="00FE5496">
      <w:pPr>
        <w:pStyle w:val="Textonotapie"/>
        <w:ind w:firstLine="708"/>
        <w:jc w:val="both"/>
        <w:rPr>
          <w:rFonts w:ascii="Verdana" w:hAnsi="Verdana"/>
          <w:sz w:val="16"/>
          <w:szCs w:val="16"/>
          <w:lang w:val="es-ES"/>
        </w:rPr>
      </w:pPr>
    </w:p>
  </w:footnote>
  <w:footnote w:id="6">
    <w:p w14:paraId="5BBBF039" w14:textId="77777777" w:rsidR="00FE5496" w:rsidRPr="00206556" w:rsidRDefault="00FE5496" w:rsidP="00FE5496">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53FBAC39" w14:textId="77777777" w:rsidR="00FE5496" w:rsidRPr="00206556" w:rsidRDefault="00FE5496" w:rsidP="00FE5496">
      <w:pPr>
        <w:pStyle w:val="Textonotapie"/>
        <w:ind w:firstLine="708"/>
        <w:rPr>
          <w:rFonts w:ascii="Verdana" w:hAnsi="Verdana"/>
          <w:sz w:val="16"/>
          <w:szCs w:val="16"/>
          <w:lang w:val="es-ES"/>
        </w:rPr>
      </w:pPr>
    </w:p>
  </w:footnote>
  <w:footnote w:id="7">
    <w:p w14:paraId="790AE7A9" w14:textId="77777777" w:rsidR="00FE5496" w:rsidRPr="00206556" w:rsidRDefault="00FE5496" w:rsidP="00FE5496">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3266403F" w14:textId="77777777" w:rsidR="00FE5496" w:rsidRPr="00206556" w:rsidRDefault="00FE5496" w:rsidP="00FE5496">
      <w:pPr>
        <w:pStyle w:val="Textonotapie"/>
        <w:ind w:firstLine="708"/>
        <w:rPr>
          <w:rFonts w:ascii="Verdana" w:hAnsi="Verdana"/>
          <w:sz w:val="16"/>
          <w:szCs w:val="16"/>
          <w:lang w:val="es-ES"/>
        </w:rPr>
      </w:pPr>
    </w:p>
  </w:footnote>
  <w:footnote w:id="8">
    <w:p w14:paraId="17BB827D" w14:textId="77777777" w:rsidR="00FE5496" w:rsidRPr="00206556" w:rsidRDefault="00FE5496" w:rsidP="00FE5496">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0F89A179" w14:textId="77777777" w:rsidR="00FE5496" w:rsidRPr="00F82E0D" w:rsidRDefault="00FE5496" w:rsidP="00FE5496">
      <w:pPr>
        <w:pStyle w:val="Textonotapie"/>
        <w:ind w:firstLine="708"/>
        <w:jc w:val="both"/>
        <w:rPr>
          <w:rFonts w:ascii="Verdana" w:hAnsi="Verdana"/>
          <w:sz w:val="16"/>
          <w:szCs w:val="16"/>
        </w:rPr>
      </w:pPr>
      <w:r>
        <w:rPr>
          <w:rStyle w:val="Refdenotaalpie"/>
        </w:rPr>
        <w:footnoteRef/>
      </w:r>
      <w:r>
        <w:t xml:space="preserve"> </w:t>
      </w:r>
      <w:r w:rsidRPr="00F82E0D">
        <w:rPr>
          <w:rFonts w:ascii="Verdana" w:hAnsi="Verdana"/>
          <w:sz w:val="16"/>
          <w:szCs w:val="16"/>
        </w:rPr>
        <w:t>Consejo de Estado, Sección Quinta, del 12 de diciembre de 2024 (Rad. 05001-23-33-000-2024-00847-01, M.P. Omar Joaquín Barreto Suárez)</w:t>
      </w:r>
    </w:p>
    <w:p w14:paraId="2E044AF1" w14:textId="77777777" w:rsidR="00FE5496" w:rsidRPr="00B31F9B" w:rsidRDefault="00FE5496" w:rsidP="00FE5496">
      <w:pPr>
        <w:pStyle w:val="Textonotapie"/>
        <w:rPr>
          <w:lang w:val="es-CO"/>
        </w:rPr>
      </w:pPr>
    </w:p>
  </w:footnote>
  <w:footnote w:id="10">
    <w:p w14:paraId="75BBCAED" w14:textId="77777777" w:rsidR="00FE5496" w:rsidRPr="00861BF3" w:rsidRDefault="00FE5496" w:rsidP="00FE5496">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w:t>
      </w:r>
      <w:r w:rsidRPr="00F82E0D">
        <w:rPr>
          <w:rFonts w:ascii="Verdana" w:hAnsi="Verdana"/>
          <w:sz w:val="16"/>
          <w:szCs w:val="16"/>
        </w:rPr>
        <w:t>Parte considerativa del Decreto 287 de 2026.</w:t>
      </w:r>
    </w:p>
  </w:footnote>
  <w:footnote w:id="11">
    <w:p w14:paraId="4064DBF6" w14:textId="77777777" w:rsidR="00FE5496" w:rsidRDefault="00FE5496" w:rsidP="00FE5496">
      <w:pPr>
        <w:pStyle w:val="Textonotapie"/>
        <w:ind w:firstLine="709"/>
        <w:jc w:val="both"/>
        <w:rPr>
          <w:rFonts w:ascii="Verdana" w:hAnsi="Verdana"/>
          <w:sz w:val="16"/>
          <w:szCs w:val="16"/>
        </w:rPr>
      </w:pPr>
      <w:r w:rsidRPr="008C26F1">
        <w:rPr>
          <w:rStyle w:val="Refdenotaalpie"/>
          <w:rFonts w:ascii="Verdana" w:hAnsi="Verdana"/>
          <w:sz w:val="16"/>
          <w:szCs w:val="16"/>
        </w:rPr>
        <w:footnoteRef/>
      </w:r>
      <w:r w:rsidRPr="008C26F1">
        <w:rPr>
          <w:rFonts w:ascii="Verdana" w:hAnsi="Verdana"/>
          <w:sz w:val="16"/>
          <w:szCs w:val="16"/>
        </w:rPr>
        <w:t xml:space="preserve"> </w:t>
      </w:r>
      <w:r>
        <w:rPr>
          <w:rFonts w:ascii="Verdana" w:hAnsi="Verdana"/>
          <w:sz w:val="16"/>
          <w:szCs w:val="16"/>
        </w:rPr>
        <w:t xml:space="preserve">Código Sustantivo del Trabajo: “Son representantes del [empleador] y como tales lo obligan frente a sus trabajadores además de quienes tiene ese carácter según la ley, la convención o el reglamento de trabajo, las siguientes personas: </w:t>
      </w:r>
    </w:p>
    <w:p w14:paraId="78573B90" w14:textId="77777777" w:rsidR="00FE5496" w:rsidRDefault="00FE5496" w:rsidP="00FE5496">
      <w:pPr>
        <w:pStyle w:val="Textonotapie"/>
        <w:numPr>
          <w:ilvl w:val="0"/>
          <w:numId w:val="21"/>
        </w:numPr>
        <w:rPr>
          <w:rFonts w:ascii="Verdana" w:hAnsi="Verdana"/>
          <w:sz w:val="16"/>
          <w:szCs w:val="16"/>
        </w:rPr>
      </w:pPr>
      <w:r>
        <w:rPr>
          <w:rFonts w:ascii="Verdana" w:hAnsi="Verdana"/>
          <w:sz w:val="16"/>
          <w:szCs w:val="16"/>
        </w:rPr>
        <w:t>Las que ejerzan funciones de dirección o administración, tales como directores, gerentes, administradores, síndicos o liquidadores, mayordomos y capitanes de barco, y quienes ejercitan actos de representación con la aquiescencia expresa o tácita del [empleador];</w:t>
      </w:r>
    </w:p>
    <w:p w14:paraId="4595034A" w14:textId="77777777" w:rsidR="00FE5496" w:rsidRPr="008C26F1" w:rsidRDefault="00FE5496" w:rsidP="00FE5496">
      <w:pPr>
        <w:pStyle w:val="Textonotapie"/>
        <w:numPr>
          <w:ilvl w:val="0"/>
          <w:numId w:val="21"/>
        </w:numPr>
        <w:rPr>
          <w:rFonts w:ascii="Verdana" w:hAnsi="Verdana"/>
          <w:sz w:val="16"/>
          <w:szCs w:val="16"/>
        </w:rPr>
      </w:pPr>
      <w:r>
        <w:rPr>
          <w:rFonts w:ascii="Verdana" w:hAnsi="Verdana"/>
          <w:sz w:val="16"/>
          <w:szCs w:val="16"/>
        </w:rPr>
        <w:t>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AC42B45"/>
    <w:multiLevelType w:val="hybridMultilevel"/>
    <w:tmpl w:val="7760FC0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0"/>
  </w:num>
  <w:num w:numId="13" w16cid:durableId="1512908409">
    <w:abstractNumId w:val="3"/>
  </w:num>
  <w:num w:numId="14" w16cid:durableId="895897244">
    <w:abstractNumId w:val="18"/>
  </w:num>
  <w:num w:numId="15" w16cid:durableId="390349800">
    <w:abstractNumId w:val="13"/>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 w:numId="21" w16cid:durableId="13486763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56"/>
    <w:rsid w:val="000044E0"/>
    <w:rsid w:val="00004800"/>
    <w:rsid w:val="000059C7"/>
    <w:rsid w:val="0001207A"/>
    <w:rsid w:val="000129BD"/>
    <w:rsid w:val="00014503"/>
    <w:rsid w:val="00015B0F"/>
    <w:rsid w:val="00016F78"/>
    <w:rsid w:val="00024309"/>
    <w:rsid w:val="00025026"/>
    <w:rsid w:val="000272FE"/>
    <w:rsid w:val="000305F3"/>
    <w:rsid w:val="00031FA0"/>
    <w:rsid w:val="0003312C"/>
    <w:rsid w:val="0003557B"/>
    <w:rsid w:val="0003697D"/>
    <w:rsid w:val="00043D1A"/>
    <w:rsid w:val="00046945"/>
    <w:rsid w:val="000603C6"/>
    <w:rsid w:val="00061B2A"/>
    <w:rsid w:val="00064699"/>
    <w:rsid w:val="000705EB"/>
    <w:rsid w:val="00073825"/>
    <w:rsid w:val="000759FD"/>
    <w:rsid w:val="00082362"/>
    <w:rsid w:val="000978B2"/>
    <w:rsid w:val="000A604B"/>
    <w:rsid w:val="000A683E"/>
    <w:rsid w:val="000B19B9"/>
    <w:rsid w:val="000B4777"/>
    <w:rsid w:val="000C0DDC"/>
    <w:rsid w:val="000C2918"/>
    <w:rsid w:val="000C79DC"/>
    <w:rsid w:val="000D0334"/>
    <w:rsid w:val="000D1CBA"/>
    <w:rsid w:val="000D5DA7"/>
    <w:rsid w:val="000F6486"/>
    <w:rsid w:val="000F72D2"/>
    <w:rsid w:val="00100FCF"/>
    <w:rsid w:val="0010264D"/>
    <w:rsid w:val="00116940"/>
    <w:rsid w:val="00125105"/>
    <w:rsid w:val="00127233"/>
    <w:rsid w:val="00152253"/>
    <w:rsid w:val="00152C22"/>
    <w:rsid w:val="00152EFE"/>
    <w:rsid w:val="001540AF"/>
    <w:rsid w:val="00155335"/>
    <w:rsid w:val="0015699B"/>
    <w:rsid w:val="00156D43"/>
    <w:rsid w:val="001642BF"/>
    <w:rsid w:val="00185D51"/>
    <w:rsid w:val="00196708"/>
    <w:rsid w:val="001A33BF"/>
    <w:rsid w:val="001A4B17"/>
    <w:rsid w:val="001B3C5D"/>
    <w:rsid w:val="001B65B7"/>
    <w:rsid w:val="001E091C"/>
    <w:rsid w:val="001E166A"/>
    <w:rsid w:val="001E4177"/>
    <w:rsid w:val="001F0B24"/>
    <w:rsid w:val="001F6AE7"/>
    <w:rsid w:val="001F7DC6"/>
    <w:rsid w:val="00201242"/>
    <w:rsid w:val="00201758"/>
    <w:rsid w:val="00207570"/>
    <w:rsid w:val="00212160"/>
    <w:rsid w:val="00221C61"/>
    <w:rsid w:val="0022343A"/>
    <w:rsid w:val="00223F0A"/>
    <w:rsid w:val="0022400B"/>
    <w:rsid w:val="00241423"/>
    <w:rsid w:val="002421BB"/>
    <w:rsid w:val="00242C03"/>
    <w:rsid w:val="002508EF"/>
    <w:rsid w:val="00252F69"/>
    <w:rsid w:val="00256F70"/>
    <w:rsid w:val="0025796E"/>
    <w:rsid w:val="00267922"/>
    <w:rsid w:val="002707A2"/>
    <w:rsid w:val="00270BA0"/>
    <w:rsid w:val="00270D03"/>
    <w:rsid w:val="00285AB0"/>
    <w:rsid w:val="00291ABB"/>
    <w:rsid w:val="002923D2"/>
    <w:rsid w:val="002951A0"/>
    <w:rsid w:val="002962BC"/>
    <w:rsid w:val="002A093D"/>
    <w:rsid w:val="002A0DD0"/>
    <w:rsid w:val="002A3E74"/>
    <w:rsid w:val="002A4029"/>
    <w:rsid w:val="002A49AC"/>
    <w:rsid w:val="002A5618"/>
    <w:rsid w:val="002A64FD"/>
    <w:rsid w:val="002C0C08"/>
    <w:rsid w:val="002C207B"/>
    <w:rsid w:val="002C4576"/>
    <w:rsid w:val="002C7A84"/>
    <w:rsid w:val="002D76BC"/>
    <w:rsid w:val="002E2BF8"/>
    <w:rsid w:val="002E48C0"/>
    <w:rsid w:val="002E4FD9"/>
    <w:rsid w:val="002F22AD"/>
    <w:rsid w:val="00300FF2"/>
    <w:rsid w:val="0030657A"/>
    <w:rsid w:val="003174B9"/>
    <w:rsid w:val="0031759C"/>
    <w:rsid w:val="00322A85"/>
    <w:rsid w:val="0032386A"/>
    <w:rsid w:val="00324168"/>
    <w:rsid w:val="00325197"/>
    <w:rsid w:val="003270EB"/>
    <w:rsid w:val="00330834"/>
    <w:rsid w:val="00331D08"/>
    <w:rsid w:val="00333E92"/>
    <w:rsid w:val="003402DD"/>
    <w:rsid w:val="003448F4"/>
    <w:rsid w:val="00344C7B"/>
    <w:rsid w:val="0034693C"/>
    <w:rsid w:val="003530D8"/>
    <w:rsid w:val="00353C74"/>
    <w:rsid w:val="00366CCF"/>
    <w:rsid w:val="00370640"/>
    <w:rsid w:val="003724A1"/>
    <w:rsid w:val="00374F5E"/>
    <w:rsid w:val="00374FD2"/>
    <w:rsid w:val="00376358"/>
    <w:rsid w:val="00376DC9"/>
    <w:rsid w:val="00377E3E"/>
    <w:rsid w:val="00394B90"/>
    <w:rsid w:val="003A2AAB"/>
    <w:rsid w:val="003A779E"/>
    <w:rsid w:val="003C458F"/>
    <w:rsid w:val="003C5D1C"/>
    <w:rsid w:val="003D0F4D"/>
    <w:rsid w:val="003D5B0D"/>
    <w:rsid w:val="003D5CF1"/>
    <w:rsid w:val="003E0499"/>
    <w:rsid w:val="003E2BDD"/>
    <w:rsid w:val="003E4F80"/>
    <w:rsid w:val="003E6439"/>
    <w:rsid w:val="003F2A16"/>
    <w:rsid w:val="003F3941"/>
    <w:rsid w:val="00406575"/>
    <w:rsid w:val="00406C62"/>
    <w:rsid w:val="00411C79"/>
    <w:rsid w:val="0041216B"/>
    <w:rsid w:val="00412A0D"/>
    <w:rsid w:val="00414C74"/>
    <w:rsid w:val="00415096"/>
    <w:rsid w:val="00415772"/>
    <w:rsid w:val="004243CF"/>
    <w:rsid w:val="00424789"/>
    <w:rsid w:val="0042722E"/>
    <w:rsid w:val="00431CED"/>
    <w:rsid w:val="0043267F"/>
    <w:rsid w:val="0044528D"/>
    <w:rsid w:val="00446CCD"/>
    <w:rsid w:val="00446E9F"/>
    <w:rsid w:val="00454524"/>
    <w:rsid w:val="0046297E"/>
    <w:rsid w:val="00466E39"/>
    <w:rsid w:val="004675C3"/>
    <w:rsid w:val="00482194"/>
    <w:rsid w:val="00490D98"/>
    <w:rsid w:val="004A1847"/>
    <w:rsid w:val="004A305D"/>
    <w:rsid w:val="004B7044"/>
    <w:rsid w:val="004C2794"/>
    <w:rsid w:val="004C2BC6"/>
    <w:rsid w:val="004C6D25"/>
    <w:rsid w:val="004C7CF0"/>
    <w:rsid w:val="004D2107"/>
    <w:rsid w:val="004D4F05"/>
    <w:rsid w:val="004D5DD8"/>
    <w:rsid w:val="004D6032"/>
    <w:rsid w:val="004F21C4"/>
    <w:rsid w:val="004F441B"/>
    <w:rsid w:val="004F685F"/>
    <w:rsid w:val="0050097B"/>
    <w:rsid w:val="005018A2"/>
    <w:rsid w:val="0050712A"/>
    <w:rsid w:val="00512C05"/>
    <w:rsid w:val="0053024B"/>
    <w:rsid w:val="00533C31"/>
    <w:rsid w:val="0053524F"/>
    <w:rsid w:val="0055082D"/>
    <w:rsid w:val="005566E8"/>
    <w:rsid w:val="00561A43"/>
    <w:rsid w:val="00574867"/>
    <w:rsid w:val="005862D4"/>
    <w:rsid w:val="00591460"/>
    <w:rsid w:val="005A24AF"/>
    <w:rsid w:val="005A65E0"/>
    <w:rsid w:val="005B4DB5"/>
    <w:rsid w:val="005C3777"/>
    <w:rsid w:val="005C4DC4"/>
    <w:rsid w:val="005C5CDC"/>
    <w:rsid w:val="005D476C"/>
    <w:rsid w:val="005D5C24"/>
    <w:rsid w:val="005E40D6"/>
    <w:rsid w:val="005F1413"/>
    <w:rsid w:val="00602BB9"/>
    <w:rsid w:val="00610AC3"/>
    <w:rsid w:val="00617608"/>
    <w:rsid w:val="006200BF"/>
    <w:rsid w:val="006219F8"/>
    <w:rsid w:val="006227C1"/>
    <w:rsid w:val="00624C07"/>
    <w:rsid w:val="00625A5D"/>
    <w:rsid w:val="006302F7"/>
    <w:rsid w:val="006332FF"/>
    <w:rsid w:val="00633FB4"/>
    <w:rsid w:val="006351FC"/>
    <w:rsid w:val="006358B8"/>
    <w:rsid w:val="0064233F"/>
    <w:rsid w:val="00646B9F"/>
    <w:rsid w:val="006534ED"/>
    <w:rsid w:val="006547FD"/>
    <w:rsid w:val="00660B7B"/>
    <w:rsid w:val="00663328"/>
    <w:rsid w:val="00664617"/>
    <w:rsid w:val="00665D70"/>
    <w:rsid w:val="0066789E"/>
    <w:rsid w:val="00670DE8"/>
    <w:rsid w:val="0067223D"/>
    <w:rsid w:val="00675C12"/>
    <w:rsid w:val="006836FE"/>
    <w:rsid w:val="00684BAF"/>
    <w:rsid w:val="00685A0A"/>
    <w:rsid w:val="006900D9"/>
    <w:rsid w:val="006936F3"/>
    <w:rsid w:val="00697080"/>
    <w:rsid w:val="00697550"/>
    <w:rsid w:val="006A0406"/>
    <w:rsid w:val="006B0744"/>
    <w:rsid w:val="006B5C6C"/>
    <w:rsid w:val="006B6A2B"/>
    <w:rsid w:val="006C4B1D"/>
    <w:rsid w:val="006C5904"/>
    <w:rsid w:val="006E12FC"/>
    <w:rsid w:val="00706C16"/>
    <w:rsid w:val="007073AA"/>
    <w:rsid w:val="00713BC1"/>
    <w:rsid w:val="007340C3"/>
    <w:rsid w:val="007452FF"/>
    <w:rsid w:val="0075235A"/>
    <w:rsid w:val="00752B17"/>
    <w:rsid w:val="00756841"/>
    <w:rsid w:val="00757A63"/>
    <w:rsid w:val="007649AB"/>
    <w:rsid w:val="00765262"/>
    <w:rsid w:val="0077000C"/>
    <w:rsid w:val="00771D0C"/>
    <w:rsid w:val="007735DE"/>
    <w:rsid w:val="00776EA9"/>
    <w:rsid w:val="00782E4A"/>
    <w:rsid w:val="007833AC"/>
    <w:rsid w:val="00792A37"/>
    <w:rsid w:val="00793BD3"/>
    <w:rsid w:val="007A07C2"/>
    <w:rsid w:val="007A6AC8"/>
    <w:rsid w:val="007B268C"/>
    <w:rsid w:val="007B31F5"/>
    <w:rsid w:val="007B62D4"/>
    <w:rsid w:val="007B7171"/>
    <w:rsid w:val="007B75F9"/>
    <w:rsid w:val="007C0C0F"/>
    <w:rsid w:val="007C3DC2"/>
    <w:rsid w:val="007C6E53"/>
    <w:rsid w:val="007D02EF"/>
    <w:rsid w:val="007D3E3D"/>
    <w:rsid w:val="007E2223"/>
    <w:rsid w:val="007E5497"/>
    <w:rsid w:val="008007D9"/>
    <w:rsid w:val="00804AD3"/>
    <w:rsid w:val="00806F5F"/>
    <w:rsid w:val="00811E15"/>
    <w:rsid w:val="00820278"/>
    <w:rsid w:val="00820A1B"/>
    <w:rsid w:val="0082229D"/>
    <w:rsid w:val="008258C9"/>
    <w:rsid w:val="00826017"/>
    <w:rsid w:val="008332CA"/>
    <w:rsid w:val="00844AE9"/>
    <w:rsid w:val="00851566"/>
    <w:rsid w:val="00854BD3"/>
    <w:rsid w:val="00856DA9"/>
    <w:rsid w:val="008571B9"/>
    <w:rsid w:val="008576BF"/>
    <w:rsid w:val="00867F95"/>
    <w:rsid w:val="00881C41"/>
    <w:rsid w:val="008834D7"/>
    <w:rsid w:val="008843B6"/>
    <w:rsid w:val="00885569"/>
    <w:rsid w:val="00886F85"/>
    <w:rsid w:val="00891928"/>
    <w:rsid w:val="0089661E"/>
    <w:rsid w:val="008969AF"/>
    <w:rsid w:val="00897B13"/>
    <w:rsid w:val="008A446D"/>
    <w:rsid w:val="008B25F1"/>
    <w:rsid w:val="008B2C76"/>
    <w:rsid w:val="008D0043"/>
    <w:rsid w:val="008D0137"/>
    <w:rsid w:val="008D180B"/>
    <w:rsid w:val="008E0213"/>
    <w:rsid w:val="008E5128"/>
    <w:rsid w:val="008F0EA7"/>
    <w:rsid w:val="008F54B0"/>
    <w:rsid w:val="008F5EB5"/>
    <w:rsid w:val="00901496"/>
    <w:rsid w:val="00901EF5"/>
    <w:rsid w:val="00903F61"/>
    <w:rsid w:val="0090650D"/>
    <w:rsid w:val="00910CD1"/>
    <w:rsid w:val="009110D3"/>
    <w:rsid w:val="00915323"/>
    <w:rsid w:val="00916967"/>
    <w:rsid w:val="009179FE"/>
    <w:rsid w:val="00923A97"/>
    <w:rsid w:val="00923EEF"/>
    <w:rsid w:val="00924DB5"/>
    <w:rsid w:val="00925F99"/>
    <w:rsid w:val="009419F9"/>
    <w:rsid w:val="0094469E"/>
    <w:rsid w:val="009450CD"/>
    <w:rsid w:val="0095685E"/>
    <w:rsid w:val="00961B09"/>
    <w:rsid w:val="009637DF"/>
    <w:rsid w:val="00963C82"/>
    <w:rsid w:val="00964A8C"/>
    <w:rsid w:val="00965334"/>
    <w:rsid w:val="0096590E"/>
    <w:rsid w:val="0097093E"/>
    <w:rsid w:val="00987C13"/>
    <w:rsid w:val="009927E8"/>
    <w:rsid w:val="009967A3"/>
    <w:rsid w:val="009A055B"/>
    <w:rsid w:val="009A0AA5"/>
    <w:rsid w:val="009A0DFA"/>
    <w:rsid w:val="009A1C6F"/>
    <w:rsid w:val="009A7AFB"/>
    <w:rsid w:val="009B2D26"/>
    <w:rsid w:val="009B6C40"/>
    <w:rsid w:val="009C02AD"/>
    <w:rsid w:val="009C71FA"/>
    <w:rsid w:val="009C72E7"/>
    <w:rsid w:val="009C7F7E"/>
    <w:rsid w:val="009D042A"/>
    <w:rsid w:val="009D3058"/>
    <w:rsid w:val="009E20FB"/>
    <w:rsid w:val="009F3A13"/>
    <w:rsid w:val="00A122D3"/>
    <w:rsid w:val="00A13A93"/>
    <w:rsid w:val="00A14468"/>
    <w:rsid w:val="00A17F13"/>
    <w:rsid w:val="00A20739"/>
    <w:rsid w:val="00A23AF9"/>
    <w:rsid w:val="00A33C78"/>
    <w:rsid w:val="00A410E9"/>
    <w:rsid w:val="00A426E7"/>
    <w:rsid w:val="00A52269"/>
    <w:rsid w:val="00A53E5C"/>
    <w:rsid w:val="00A560D5"/>
    <w:rsid w:val="00A62F8E"/>
    <w:rsid w:val="00A63419"/>
    <w:rsid w:val="00A64619"/>
    <w:rsid w:val="00A66049"/>
    <w:rsid w:val="00A72007"/>
    <w:rsid w:val="00A74B30"/>
    <w:rsid w:val="00A825CF"/>
    <w:rsid w:val="00A84C29"/>
    <w:rsid w:val="00A86033"/>
    <w:rsid w:val="00A93044"/>
    <w:rsid w:val="00AA3D12"/>
    <w:rsid w:val="00AB0ADB"/>
    <w:rsid w:val="00AC0754"/>
    <w:rsid w:val="00AC3513"/>
    <w:rsid w:val="00AD20E6"/>
    <w:rsid w:val="00AD229F"/>
    <w:rsid w:val="00AD323B"/>
    <w:rsid w:val="00AD58FD"/>
    <w:rsid w:val="00AD78E1"/>
    <w:rsid w:val="00AE626F"/>
    <w:rsid w:val="00AF0656"/>
    <w:rsid w:val="00AF1760"/>
    <w:rsid w:val="00B00C0E"/>
    <w:rsid w:val="00B00C5F"/>
    <w:rsid w:val="00B01B1A"/>
    <w:rsid w:val="00B0381D"/>
    <w:rsid w:val="00B05831"/>
    <w:rsid w:val="00B25B10"/>
    <w:rsid w:val="00B3133A"/>
    <w:rsid w:val="00B31F9B"/>
    <w:rsid w:val="00B33ABB"/>
    <w:rsid w:val="00B36620"/>
    <w:rsid w:val="00B372C3"/>
    <w:rsid w:val="00B41E9A"/>
    <w:rsid w:val="00B44A47"/>
    <w:rsid w:val="00B44AC0"/>
    <w:rsid w:val="00B46620"/>
    <w:rsid w:val="00B46ED1"/>
    <w:rsid w:val="00B52F1C"/>
    <w:rsid w:val="00B53264"/>
    <w:rsid w:val="00B57BC2"/>
    <w:rsid w:val="00B64BB4"/>
    <w:rsid w:val="00B72CD3"/>
    <w:rsid w:val="00B72FFF"/>
    <w:rsid w:val="00B73617"/>
    <w:rsid w:val="00B774A7"/>
    <w:rsid w:val="00B8542D"/>
    <w:rsid w:val="00B92A85"/>
    <w:rsid w:val="00B976A2"/>
    <w:rsid w:val="00BA0E9F"/>
    <w:rsid w:val="00BA6536"/>
    <w:rsid w:val="00BA67FD"/>
    <w:rsid w:val="00BB26E9"/>
    <w:rsid w:val="00BC3D36"/>
    <w:rsid w:val="00BC6EEA"/>
    <w:rsid w:val="00BD0AE2"/>
    <w:rsid w:val="00BD2EF9"/>
    <w:rsid w:val="00BD3F1C"/>
    <w:rsid w:val="00BD54A6"/>
    <w:rsid w:val="00BD7F72"/>
    <w:rsid w:val="00BE5525"/>
    <w:rsid w:val="00BE7E5F"/>
    <w:rsid w:val="00BF4213"/>
    <w:rsid w:val="00BF7425"/>
    <w:rsid w:val="00C02240"/>
    <w:rsid w:val="00C04FB3"/>
    <w:rsid w:val="00C07BA5"/>
    <w:rsid w:val="00C11D8B"/>
    <w:rsid w:val="00C15139"/>
    <w:rsid w:val="00C26D25"/>
    <w:rsid w:val="00C330EB"/>
    <w:rsid w:val="00C368AA"/>
    <w:rsid w:val="00C37A9C"/>
    <w:rsid w:val="00C42155"/>
    <w:rsid w:val="00C432C3"/>
    <w:rsid w:val="00C50D69"/>
    <w:rsid w:val="00C5365C"/>
    <w:rsid w:val="00C54C43"/>
    <w:rsid w:val="00C6718E"/>
    <w:rsid w:val="00C754BE"/>
    <w:rsid w:val="00C76B1C"/>
    <w:rsid w:val="00C80535"/>
    <w:rsid w:val="00C925AC"/>
    <w:rsid w:val="00C92A6B"/>
    <w:rsid w:val="00C97E3A"/>
    <w:rsid w:val="00CA640D"/>
    <w:rsid w:val="00CB49AB"/>
    <w:rsid w:val="00CB6357"/>
    <w:rsid w:val="00CB7CAA"/>
    <w:rsid w:val="00CC182C"/>
    <w:rsid w:val="00CC1B26"/>
    <w:rsid w:val="00CC5886"/>
    <w:rsid w:val="00CD3A52"/>
    <w:rsid w:val="00CD6353"/>
    <w:rsid w:val="00CE0CD6"/>
    <w:rsid w:val="00CE5DB0"/>
    <w:rsid w:val="00CF1EE0"/>
    <w:rsid w:val="00CF4A16"/>
    <w:rsid w:val="00CF7370"/>
    <w:rsid w:val="00D05048"/>
    <w:rsid w:val="00D10509"/>
    <w:rsid w:val="00D25885"/>
    <w:rsid w:val="00D2749F"/>
    <w:rsid w:val="00D31406"/>
    <w:rsid w:val="00D35021"/>
    <w:rsid w:val="00D357FA"/>
    <w:rsid w:val="00D361FD"/>
    <w:rsid w:val="00D40887"/>
    <w:rsid w:val="00D423A2"/>
    <w:rsid w:val="00D44E26"/>
    <w:rsid w:val="00D5189B"/>
    <w:rsid w:val="00D520D8"/>
    <w:rsid w:val="00D5412B"/>
    <w:rsid w:val="00D558A8"/>
    <w:rsid w:val="00D60C18"/>
    <w:rsid w:val="00D63AC2"/>
    <w:rsid w:val="00D66D81"/>
    <w:rsid w:val="00D7383B"/>
    <w:rsid w:val="00D73C8C"/>
    <w:rsid w:val="00D7788A"/>
    <w:rsid w:val="00D84F30"/>
    <w:rsid w:val="00D91BB2"/>
    <w:rsid w:val="00D95793"/>
    <w:rsid w:val="00DA231B"/>
    <w:rsid w:val="00DA4CB6"/>
    <w:rsid w:val="00DA7750"/>
    <w:rsid w:val="00DB0CC7"/>
    <w:rsid w:val="00DC39FC"/>
    <w:rsid w:val="00DC62CC"/>
    <w:rsid w:val="00DD0A15"/>
    <w:rsid w:val="00DF1F0B"/>
    <w:rsid w:val="00DF5254"/>
    <w:rsid w:val="00E02524"/>
    <w:rsid w:val="00E16408"/>
    <w:rsid w:val="00E20894"/>
    <w:rsid w:val="00E21B47"/>
    <w:rsid w:val="00E245AB"/>
    <w:rsid w:val="00E2764C"/>
    <w:rsid w:val="00E27F2E"/>
    <w:rsid w:val="00E401E6"/>
    <w:rsid w:val="00E404F6"/>
    <w:rsid w:val="00E50AFE"/>
    <w:rsid w:val="00E513DB"/>
    <w:rsid w:val="00E60FF9"/>
    <w:rsid w:val="00E63384"/>
    <w:rsid w:val="00E63921"/>
    <w:rsid w:val="00E66891"/>
    <w:rsid w:val="00E75C92"/>
    <w:rsid w:val="00E771DC"/>
    <w:rsid w:val="00E84709"/>
    <w:rsid w:val="00E8772A"/>
    <w:rsid w:val="00E90F6B"/>
    <w:rsid w:val="00E92C27"/>
    <w:rsid w:val="00E9436F"/>
    <w:rsid w:val="00EA09E7"/>
    <w:rsid w:val="00EA0E3D"/>
    <w:rsid w:val="00EA2384"/>
    <w:rsid w:val="00EC38A7"/>
    <w:rsid w:val="00EC439B"/>
    <w:rsid w:val="00EE1966"/>
    <w:rsid w:val="00EE1AA8"/>
    <w:rsid w:val="00EE6D78"/>
    <w:rsid w:val="00F115C2"/>
    <w:rsid w:val="00F119B0"/>
    <w:rsid w:val="00F16D67"/>
    <w:rsid w:val="00F23FEA"/>
    <w:rsid w:val="00F31EDC"/>
    <w:rsid w:val="00F462B3"/>
    <w:rsid w:val="00F51A1A"/>
    <w:rsid w:val="00F5664F"/>
    <w:rsid w:val="00F60365"/>
    <w:rsid w:val="00F666C4"/>
    <w:rsid w:val="00F678F4"/>
    <w:rsid w:val="00F71369"/>
    <w:rsid w:val="00F72D67"/>
    <w:rsid w:val="00F7517A"/>
    <w:rsid w:val="00F7669A"/>
    <w:rsid w:val="00F76AFC"/>
    <w:rsid w:val="00F801E8"/>
    <w:rsid w:val="00F82E0D"/>
    <w:rsid w:val="00F83493"/>
    <w:rsid w:val="00F85C9B"/>
    <w:rsid w:val="00F874E9"/>
    <w:rsid w:val="00F92A88"/>
    <w:rsid w:val="00F92B63"/>
    <w:rsid w:val="00F93844"/>
    <w:rsid w:val="00F93B72"/>
    <w:rsid w:val="00F954F7"/>
    <w:rsid w:val="00F95702"/>
    <w:rsid w:val="00F9668D"/>
    <w:rsid w:val="00FA47C0"/>
    <w:rsid w:val="00FB0230"/>
    <w:rsid w:val="00FB45DF"/>
    <w:rsid w:val="00FB5DD1"/>
    <w:rsid w:val="00FC2B5D"/>
    <w:rsid w:val="00FD67A8"/>
    <w:rsid w:val="00FD74CB"/>
    <w:rsid w:val="00FE5496"/>
    <w:rsid w:val="00FF1449"/>
    <w:rsid w:val="00FF35D0"/>
    <w:rsid w:val="00FF40FE"/>
    <w:rsid w:val="00FF4BE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BD5AF39-1E4D-43B2-A996-DC12C9E8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1B3C5D"/>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1B3C5D"/>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1B3C5D"/>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1B3C5D"/>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1B3C5D"/>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1B3C5D"/>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1B3C5D"/>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1B3C5D"/>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1B3C5D"/>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1B3C5D"/>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1B3C5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1B3C5D"/>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1B3C5D"/>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1B3C5D"/>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1B3C5D"/>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1B3C5D"/>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1B3C5D"/>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1B3C5D"/>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1B3C5D"/>
  </w:style>
  <w:style w:type="character" w:customStyle="1" w:styleId="Ttulo1Car">
    <w:name w:val="Título 1 Car"/>
    <w:basedOn w:val="Fuentedeprrafopredeter"/>
    <w:link w:val="Ttulo1"/>
    <w:uiPriority w:val="9"/>
    <w:rsid w:val="001B3C5D"/>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1B3C5D"/>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1B3C5D"/>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1B3C5D"/>
    <w:rPr>
      <w:rFonts w:eastAsia="Times New Roman" w:cs="Times New Roman"/>
      <w:i/>
      <w:iCs/>
      <w:color w:val="0F4761"/>
    </w:rPr>
  </w:style>
  <w:style w:type="character" w:customStyle="1" w:styleId="Ttulo5Car">
    <w:name w:val="Título 5 Car"/>
    <w:basedOn w:val="Fuentedeprrafopredeter"/>
    <w:link w:val="Ttulo5"/>
    <w:uiPriority w:val="9"/>
    <w:semiHidden/>
    <w:rsid w:val="001B3C5D"/>
    <w:rPr>
      <w:rFonts w:eastAsia="Times New Roman" w:cs="Times New Roman"/>
      <w:color w:val="0F4761"/>
    </w:rPr>
  </w:style>
  <w:style w:type="character" w:customStyle="1" w:styleId="Ttulo6Car">
    <w:name w:val="Título 6 Car"/>
    <w:basedOn w:val="Fuentedeprrafopredeter"/>
    <w:link w:val="Ttulo6"/>
    <w:uiPriority w:val="9"/>
    <w:semiHidden/>
    <w:rsid w:val="001B3C5D"/>
    <w:rPr>
      <w:rFonts w:eastAsia="Times New Roman" w:cs="Times New Roman"/>
      <w:i/>
      <w:iCs/>
      <w:color w:val="595959"/>
    </w:rPr>
  </w:style>
  <w:style w:type="character" w:customStyle="1" w:styleId="Ttulo7Car">
    <w:name w:val="Título 7 Car"/>
    <w:basedOn w:val="Fuentedeprrafopredeter"/>
    <w:link w:val="Ttulo7"/>
    <w:uiPriority w:val="9"/>
    <w:semiHidden/>
    <w:rsid w:val="001B3C5D"/>
    <w:rPr>
      <w:rFonts w:eastAsia="Times New Roman" w:cs="Times New Roman"/>
      <w:color w:val="595959"/>
    </w:rPr>
  </w:style>
  <w:style w:type="character" w:customStyle="1" w:styleId="Ttulo8Car">
    <w:name w:val="Título 8 Car"/>
    <w:basedOn w:val="Fuentedeprrafopredeter"/>
    <w:link w:val="Ttulo8"/>
    <w:uiPriority w:val="9"/>
    <w:semiHidden/>
    <w:rsid w:val="001B3C5D"/>
    <w:rPr>
      <w:rFonts w:eastAsia="Times New Roman" w:cs="Times New Roman"/>
      <w:i/>
      <w:iCs/>
      <w:color w:val="272727"/>
    </w:rPr>
  </w:style>
  <w:style w:type="character" w:customStyle="1" w:styleId="Ttulo9Car">
    <w:name w:val="Título 9 Car"/>
    <w:basedOn w:val="Fuentedeprrafopredeter"/>
    <w:link w:val="Ttulo9"/>
    <w:uiPriority w:val="9"/>
    <w:semiHidden/>
    <w:rsid w:val="001B3C5D"/>
    <w:rPr>
      <w:rFonts w:eastAsia="Times New Roman" w:cs="Times New Roman"/>
      <w:color w:val="272727"/>
    </w:rPr>
  </w:style>
  <w:style w:type="paragraph" w:customStyle="1" w:styleId="Subttulo1">
    <w:name w:val="Subtítulo1"/>
    <w:basedOn w:val="Normal"/>
    <w:next w:val="Normal"/>
    <w:uiPriority w:val="11"/>
    <w:qFormat/>
    <w:rsid w:val="001B3C5D"/>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1B3C5D"/>
    <w:rPr>
      <w:rFonts w:eastAsia="Times New Roman" w:cs="Times New Roman"/>
      <w:color w:val="595959"/>
      <w:spacing w:val="15"/>
      <w:sz w:val="28"/>
      <w:szCs w:val="28"/>
    </w:rPr>
  </w:style>
  <w:style w:type="paragraph" w:customStyle="1" w:styleId="Cita1">
    <w:name w:val="Cita1"/>
    <w:basedOn w:val="Normal"/>
    <w:next w:val="Normal"/>
    <w:uiPriority w:val="29"/>
    <w:qFormat/>
    <w:rsid w:val="001B3C5D"/>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1B3C5D"/>
    <w:rPr>
      <w:i/>
      <w:iCs/>
      <w:color w:val="404040"/>
    </w:rPr>
  </w:style>
  <w:style w:type="character" w:customStyle="1" w:styleId="nfasisintenso1">
    <w:name w:val="Énfasis intenso1"/>
    <w:basedOn w:val="Fuentedeprrafopredeter"/>
    <w:uiPriority w:val="21"/>
    <w:qFormat/>
    <w:rsid w:val="001B3C5D"/>
    <w:rPr>
      <w:i/>
      <w:iCs/>
      <w:color w:val="0F4761"/>
    </w:rPr>
  </w:style>
  <w:style w:type="paragraph" w:customStyle="1" w:styleId="Citadestacada1">
    <w:name w:val="Cita destacada1"/>
    <w:basedOn w:val="Normal"/>
    <w:next w:val="Normal"/>
    <w:uiPriority w:val="30"/>
    <w:qFormat/>
    <w:rsid w:val="001B3C5D"/>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1B3C5D"/>
    <w:rPr>
      <w:i/>
      <w:iCs/>
      <w:color w:val="0F4761"/>
    </w:rPr>
  </w:style>
  <w:style w:type="character" w:customStyle="1" w:styleId="Referenciaintensa1">
    <w:name w:val="Referencia intensa1"/>
    <w:basedOn w:val="Fuentedeprrafopredeter"/>
    <w:uiPriority w:val="32"/>
    <w:qFormat/>
    <w:rsid w:val="001B3C5D"/>
    <w:rPr>
      <w:b/>
      <w:bCs/>
      <w:smallCaps/>
      <w:color w:val="0F4761"/>
      <w:spacing w:val="5"/>
    </w:rPr>
  </w:style>
  <w:style w:type="paragraph" w:customStyle="1" w:styleId="Encabezado1">
    <w:name w:val="Encabezado1"/>
    <w:basedOn w:val="Normal"/>
    <w:next w:val="Encabezado"/>
    <w:uiPriority w:val="99"/>
    <w:unhideWhenUsed/>
    <w:rsid w:val="001B3C5D"/>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1B3C5D"/>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1B3C5D"/>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1B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B3C5D"/>
    <w:pPr>
      <w:spacing w:line="240" w:lineRule="exact"/>
    </w:pPr>
    <w:rPr>
      <w:vertAlign w:val="superscript"/>
    </w:rPr>
  </w:style>
  <w:style w:type="table" w:customStyle="1" w:styleId="Tablaconcuadrcula2">
    <w:name w:val="Tabla con cuadrícula2"/>
    <w:basedOn w:val="Tablanormal"/>
    <w:next w:val="Tablaconcuadrcula"/>
    <w:uiPriority w:val="39"/>
    <w:qFormat/>
    <w:rsid w:val="001B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1B3C5D"/>
  </w:style>
  <w:style w:type="character" w:customStyle="1" w:styleId="PiedepginaCar1">
    <w:name w:val="Pie de página Car1"/>
    <w:basedOn w:val="Fuentedeprrafopredeter"/>
    <w:uiPriority w:val="99"/>
    <w:semiHidden/>
    <w:rsid w:val="001B3C5D"/>
  </w:style>
  <w:style w:type="table" w:customStyle="1" w:styleId="Tablaconcuadrcula3">
    <w:name w:val="Tabla con cuadrícula3"/>
    <w:basedOn w:val="Tablanormal"/>
    <w:next w:val="Tablaconcuadrcula"/>
    <w:uiPriority w:val="39"/>
    <w:rsid w:val="001B3C5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1B3C5D"/>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1B3C5D"/>
    <w:rPr>
      <w:b/>
      <w:bCs/>
    </w:rPr>
  </w:style>
  <w:style w:type="character" w:styleId="Textodelmarcadordeposicin">
    <w:name w:val="Placeholder Text"/>
    <w:basedOn w:val="Fuentedeprrafopredeter"/>
    <w:uiPriority w:val="99"/>
    <w:semiHidden/>
    <w:rsid w:val="001B3C5D"/>
    <w:rPr>
      <w:color w:val="666666"/>
    </w:rPr>
  </w:style>
  <w:style w:type="paragraph" w:customStyle="1" w:styleId="Sinespaciado1">
    <w:name w:val="Sin espaciado1"/>
    <w:next w:val="Sinespaciado"/>
    <w:uiPriority w:val="1"/>
    <w:qFormat/>
    <w:rsid w:val="001B3C5D"/>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1B3C5D"/>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1B3C5D"/>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1B3C5D"/>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1B3C5D"/>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1B3C5D"/>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1B3C5D"/>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1B3C5D"/>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1B3C5D"/>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1B3C5D"/>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1B3C5D"/>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1B3C5D"/>
    <w:rPr>
      <w:rFonts w:eastAsiaTheme="minorEastAsia"/>
      <w:color w:val="5A5A5A" w:themeColor="text1" w:themeTint="A5"/>
      <w:spacing w:val="15"/>
    </w:rPr>
  </w:style>
  <w:style w:type="paragraph" w:styleId="Cita">
    <w:name w:val="Quote"/>
    <w:basedOn w:val="Normal"/>
    <w:next w:val="Normal"/>
    <w:link w:val="CitaCar"/>
    <w:uiPriority w:val="29"/>
    <w:qFormat/>
    <w:rsid w:val="001B3C5D"/>
    <w:pPr>
      <w:spacing w:before="200"/>
      <w:ind w:left="864" w:right="864"/>
      <w:jc w:val="center"/>
    </w:pPr>
    <w:rPr>
      <w:i/>
      <w:iCs/>
      <w:color w:val="404040"/>
    </w:rPr>
  </w:style>
  <w:style w:type="character" w:customStyle="1" w:styleId="CitaCar1">
    <w:name w:val="Cita Car1"/>
    <w:basedOn w:val="Fuentedeprrafopredeter"/>
    <w:uiPriority w:val="29"/>
    <w:rsid w:val="001B3C5D"/>
    <w:rPr>
      <w:i/>
      <w:iCs/>
      <w:color w:val="404040" w:themeColor="text1" w:themeTint="BF"/>
    </w:rPr>
  </w:style>
  <w:style w:type="character" w:styleId="nfasisintenso">
    <w:name w:val="Intense Emphasis"/>
    <w:basedOn w:val="Fuentedeprrafopredeter"/>
    <w:uiPriority w:val="21"/>
    <w:qFormat/>
    <w:rsid w:val="001B3C5D"/>
    <w:rPr>
      <w:i/>
      <w:iCs/>
      <w:color w:val="4472C4" w:themeColor="accent1"/>
    </w:rPr>
  </w:style>
  <w:style w:type="paragraph" w:styleId="Citadestacada">
    <w:name w:val="Intense Quote"/>
    <w:basedOn w:val="Normal"/>
    <w:next w:val="Normal"/>
    <w:link w:val="CitadestacadaCar"/>
    <w:uiPriority w:val="30"/>
    <w:qFormat/>
    <w:rsid w:val="001B3C5D"/>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1B3C5D"/>
    <w:rPr>
      <w:i/>
      <w:iCs/>
      <w:color w:val="4472C4" w:themeColor="accent1"/>
    </w:rPr>
  </w:style>
  <w:style w:type="character" w:styleId="Referenciaintensa">
    <w:name w:val="Intense Reference"/>
    <w:basedOn w:val="Fuentedeprrafopredeter"/>
    <w:uiPriority w:val="32"/>
    <w:qFormat/>
    <w:rsid w:val="001B3C5D"/>
    <w:rPr>
      <w:b/>
      <w:bCs/>
      <w:smallCaps/>
      <w:color w:val="4472C4" w:themeColor="accent1"/>
      <w:spacing w:val="5"/>
    </w:rPr>
  </w:style>
  <w:style w:type="paragraph" w:styleId="Sinespaciado">
    <w:name w:val="No Spacing"/>
    <w:uiPriority w:val="1"/>
    <w:qFormat/>
    <w:rsid w:val="001B3C5D"/>
    <w:pPr>
      <w:spacing w:after="0" w:line="240" w:lineRule="auto"/>
    </w:pPr>
  </w:style>
  <w:style w:type="character" w:styleId="Refdecomentario">
    <w:name w:val="annotation reference"/>
    <w:basedOn w:val="Fuentedeprrafopredeter"/>
    <w:uiPriority w:val="99"/>
    <w:semiHidden/>
    <w:unhideWhenUsed/>
    <w:rsid w:val="00CC182C"/>
    <w:rPr>
      <w:sz w:val="16"/>
      <w:szCs w:val="16"/>
    </w:rPr>
  </w:style>
  <w:style w:type="paragraph" w:styleId="Textocomentario">
    <w:name w:val="annotation text"/>
    <w:basedOn w:val="Normal"/>
    <w:link w:val="TextocomentarioCar"/>
    <w:uiPriority w:val="99"/>
    <w:unhideWhenUsed/>
    <w:rsid w:val="00CC182C"/>
    <w:pPr>
      <w:spacing w:line="240" w:lineRule="auto"/>
    </w:pPr>
    <w:rPr>
      <w:sz w:val="20"/>
      <w:szCs w:val="20"/>
    </w:rPr>
  </w:style>
  <w:style w:type="character" w:customStyle="1" w:styleId="TextocomentarioCar">
    <w:name w:val="Texto comentario Car"/>
    <w:basedOn w:val="Fuentedeprrafopredeter"/>
    <w:link w:val="Textocomentario"/>
    <w:uiPriority w:val="99"/>
    <w:rsid w:val="00CC182C"/>
    <w:rPr>
      <w:sz w:val="20"/>
      <w:szCs w:val="20"/>
    </w:rPr>
  </w:style>
  <w:style w:type="paragraph" w:styleId="Asuntodelcomentario">
    <w:name w:val="annotation subject"/>
    <w:basedOn w:val="Textocomentario"/>
    <w:next w:val="Textocomentario"/>
    <w:link w:val="AsuntodelcomentarioCar"/>
    <w:uiPriority w:val="99"/>
    <w:semiHidden/>
    <w:unhideWhenUsed/>
    <w:rsid w:val="00CC182C"/>
    <w:rPr>
      <w:b/>
      <w:bCs/>
    </w:rPr>
  </w:style>
  <w:style w:type="character" w:customStyle="1" w:styleId="AsuntodelcomentarioCar">
    <w:name w:val="Asunto del comentario Car"/>
    <w:basedOn w:val="TextocomentarioCar"/>
    <w:link w:val="Asuntodelcomentario"/>
    <w:uiPriority w:val="99"/>
    <w:semiHidden/>
    <w:rsid w:val="00CC182C"/>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5D5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6/04/ABC-Decreto-0287-de-2026-1.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hana.medina@lockton.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B9DF7-1B82-4762-BAA1-D3D33E984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FF738AF-1971-45E9-9B42-26B230511F4F}">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8919</Words>
  <Characters>49060</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cp:lastModifiedBy>
  <cp:revision>4</cp:revision>
  <cp:lastPrinted>2023-01-10T18:18:00Z</cp:lastPrinted>
  <dcterms:created xsi:type="dcterms:W3CDTF">2026-05-11T14:18:00Z</dcterms:created>
  <dcterms:modified xsi:type="dcterms:W3CDTF">2026-05-11T14:19:00Z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