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E45AC" w14:textId="77777777" w:rsidR="000E5743" w:rsidRPr="000E5743" w:rsidRDefault="000E5743" w:rsidP="000E5743">
      <w:pPr>
        <w:jc w:val="both"/>
        <w:rPr>
          <w:rFonts w:ascii="Verdana" w:eastAsia="Calibri" w:hAnsi="Verdana" w:cs="Arial"/>
          <w:b/>
          <w:bCs/>
          <w:lang w:val="es-ES" w:eastAsia="es-ES"/>
        </w:rPr>
      </w:pPr>
      <w:r w:rsidRPr="000E5743">
        <w:rPr>
          <w:rFonts w:ascii="Verdana" w:eastAsia="Calibri" w:hAnsi="Verdana" w:cs="Arial"/>
          <w:b/>
          <w:bCs/>
          <w:lang w:val="es-ES" w:eastAsia="es-ES"/>
        </w:rPr>
        <w:t xml:space="preserve">RÉGIMEN DE INHABILIDADES E INCOMPATIBILIDADES – Carácter restrictivo </w:t>
      </w:r>
    </w:p>
    <w:p w14:paraId="3CFD8EF4" w14:textId="085A0E45" w:rsidR="000E5743" w:rsidRDefault="000E5743" w:rsidP="000E5743">
      <w:pPr>
        <w:jc w:val="both"/>
        <w:rPr>
          <w:rFonts w:ascii="Verdana" w:eastAsia="Calibri" w:hAnsi="Verdana" w:cs="Arial"/>
          <w:lang w:val="es-ES" w:eastAsia="es-ES"/>
        </w:rPr>
      </w:pPr>
      <w:r w:rsidRPr="00BE021E">
        <w:rPr>
          <w:rFonts w:ascii="Verdana" w:eastAsia="Calibri" w:hAnsi="Verdana" w:cs="Arial"/>
          <w:lang w:val="es-ES"/>
        </w:rPr>
        <w:t>Debido a las restricciones que impone el régimen de inhabilidades e incompatibilidades, este se tipifica en la Ley expresamente y su interpretación debe ser restrictiva. Es decir, las causales de inhabilidad e i</w:t>
      </w:r>
      <w:r>
        <w:rPr>
          <w:rFonts w:ascii="Verdana" w:eastAsia="Calibri" w:hAnsi="Verdana" w:cs="Arial"/>
          <w:lang w:val="es-ES"/>
        </w:rPr>
        <w:t xml:space="preserve">ncompatibilidad </w:t>
      </w:r>
      <w:r w:rsidRPr="00BE021E">
        <w:rPr>
          <w:rFonts w:ascii="Verdana" w:eastAsia="Calibri" w:hAnsi="Verdana" w:cs="Arial"/>
          <w:lang w:val="es-ES"/>
        </w:rPr>
        <w:t>deben estar enunciadas en las normas de forma taxativa y al aplicarse en una situación particular su interpretación debe ser restrictiva, de tal forma que no se admita una interpretación amplia o extensiva que permita contemplar supuestos indeterminados como causales de inhabilidad o impedimentos.</w:t>
      </w:r>
    </w:p>
    <w:p w14:paraId="2463F0D7" w14:textId="455DB292" w:rsidR="000E5743" w:rsidRPr="000E5743" w:rsidRDefault="000E5743" w:rsidP="000E5743">
      <w:pPr>
        <w:jc w:val="both"/>
        <w:rPr>
          <w:rFonts w:ascii="Verdana" w:eastAsia="Calibri" w:hAnsi="Verdana" w:cs="Arial"/>
          <w:b/>
          <w:bCs/>
          <w:lang w:val="es-ES" w:eastAsia="es-ES"/>
        </w:rPr>
      </w:pPr>
      <w:r w:rsidRPr="000E5743">
        <w:rPr>
          <w:rFonts w:ascii="Verdana" w:eastAsia="Calibri" w:hAnsi="Verdana" w:cs="Arial"/>
          <w:b/>
          <w:bCs/>
          <w:lang w:val="es-ES" w:eastAsia="es-ES"/>
        </w:rPr>
        <w:t>RÉGIMEN DE INHABILIDADES E INCOMPATIBILIDADES – Contrato de prestación de servicios – Servidor público – Posibilidad de ejercer de forma simultanea</w:t>
      </w:r>
    </w:p>
    <w:p w14:paraId="66F2467A" w14:textId="77777777" w:rsidR="000E5743" w:rsidRDefault="000E5743" w:rsidP="000E5743">
      <w:pPr>
        <w:widowControl w:val="0"/>
        <w:autoSpaceDE w:val="0"/>
        <w:autoSpaceDN w:val="0"/>
        <w:spacing w:after="120" w:line="276" w:lineRule="auto"/>
        <w:jc w:val="both"/>
        <w:rPr>
          <w:rFonts w:ascii="Verdana" w:eastAsia="Arial MT" w:hAnsi="Verdana" w:cs="Arial"/>
          <w:lang w:eastAsia="es-ES" w:bidi="es-ES"/>
        </w:rPr>
      </w:pPr>
      <w:r>
        <w:rPr>
          <w:rFonts w:ascii="Verdana" w:eastAsia="Arial MT" w:hAnsi="Verdana" w:cs="Arial"/>
          <w:lang w:eastAsia="es-ES" w:bidi="es-ES"/>
        </w:rPr>
        <w:t>Así, al analizar las causales de inhabilidad e incompatibilidad contenidas en el artículo 8 de la Ley 80 de 1993, para el objeto preciso de esta consulta, se resalta la enunciada en el literal f) del numeral 1, que dispone a los servidores públicos como inhábiles para celebrar contratos con las entidades estatales. La restricción a la capacidad contractual que deviene de esta causal encuentra fundamento en la prohibición de orden constitucional consagrada en el artículo 127 superior, que establece que “</w:t>
      </w:r>
      <w:r w:rsidRPr="00C63B1C">
        <w:rPr>
          <w:rFonts w:ascii="Verdana" w:eastAsia="Arial MT" w:hAnsi="Verdana" w:cs="Arial"/>
          <w:i/>
          <w:iCs/>
          <w:lang w:eastAsia="es-ES" w:bidi="es-ES"/>
        </w:rPr>
        <w:t>los servidores públicos no podrán celebrar, por sí o por interpuesta persona, o en representación de otro, contrato alguno con entidades públicas o con personas privadas que manejen o administren recursos públicos, salvo las excepciones legales</w:t>
      </w:r>
      <w:r w:rsidRPr="00C63B1C">
        <w:rPr>
          <w:rFonts w:ascii="Verdana" w:eastAsia="Arial MT" w:hAnsi="Verdana" w:cs="Arial"/>
          <w:lang w:eastAsia="es-ES" w:bidi="es-ES"/>
        </w:rPr>
        <w:t>”.</w:t>
      </w:r>
      <w:r>
        <w:rPr>
          <w:rFonts w:ascii="Verdana" w:eastAsia="Arial MT" w:hAnsi="Verdana" w:cs="Arial"/>
          <w:lang w:eastAsia="es-ES" w:bidi="es-ES"/>
        </w:rPr>
        <w:t xml:space="preserve"> </w:t>
      </w:r>
    </w:p>
    <w:p w14:paraId="778692DB" w14:textId="77777777" w:rsidR="000E5743" w:rsidRDefault="000E5743" w:rsidP="000E5743">
      <w:pPr>
        <w:widowControl w:val="0"/>
        <w:autoSpaceDE w:val="0"/>
        <w:autoSpaceDN w:val="0"/>
        <w:spacing w:after="120" w:line="276" w:lineRule="auto"/>
        <w:jc w:val="both"/>
        <w:rPr>
          <w:rFonts w:ascii="Verdana" w:eastAsia="Arial MT" w:hAnsi="Verdana" w:cs="Arial"/>
          <w:lang w:eastAsia="es-ES" w:bidi="es-ES"/>
        </w:rPr>
      </w:pPr>
      <w:r>
        <w:rPr>
          <w:rFonts w:ascii="Verdana" w:eastAsia="Arial MT" w:hAnsi="Verdana" w:cs="Arial"/>
          <w:lang w:eastAsia="es-ES" w:bidi="es-ES"/>
        </w:rPr>
        <w:t>Más adelante</w:t>
      </w:r>
      <w:r w:rsidRPr="00BC030C">
        <w:rPr>
          <w:rFonts w:ascii="Verdana" w:eastAsia="Arial MT" w:hAnsi="Verdana" w:cs="Arial"/>
          <w:lang w:eastAsia="es-ES" w:bidi="es-ES"/>
        </w:rPr>
        <w:t xml:space="preserve">, el artículo 128 de la Constitución Política establece que nadie podrá desempeñar simultáneamente más de un empleo público ni recibir más de una asignación que provenga del tesoro público, o de empresas o de instituciones en las que tenga parte mayoritaria el Estado, salvo los casos expresamente determinados por la </w:t>
      </w:r>
      <w:r>
        <w:rPr>
          <w:rFonts w:ascii="Verdana" w:eastAsia="Arial MT" w:hAnsi="Verdana" w:cs="Arial"/>
          <w:lang w:eastAsia="es-ES" w:bidi="es-ES"/>
        </w:rPr>
        <w:t>L</w:t>
      </w:r>
      <w:r w:rsidRPr="00BC030C">
        <w:rPr>
          <w:rFonts w:ascii="Verdana" w:eastAsia="Arial MT" w:hAnsi="Verdana" w:cs="Arial"/>
          <w:lang w:eastAsia="es-ES" w:bidi="es-ES"/>
        </w:rPr>
        <w:t>ey.</w:t>
      </w:r>
    </w:p>
    <w:p w14:paraId="71F6E8C3" w14:textId="6467E647" w:rsidR="000E5743" w:rsidRDefault="000E5743" w:rsidP="000E5743">
      <w:pPr>
        <w:spacing w:after="0" w:line="240" w:lineRule="auto"/>
        <w:jc w:val="both"/>
        <w:rPr>
          <w:rFonts w:ascii="Verdana" w:eastAsia="Geomanist Light" w:hAnsi="Verdana" w:cs="Arial"/>
          <w:color w:val="000000" w:themeColor="text1"/>
          <w:lang w:val="es-MX"/>
        </w:rPr>
      </w:pPr>
      <w:r>
        <w:rPr>
          <w:rFonts w:ascii="Verdana" w:eastAsia="Arial MT" w:hAnsi="Verdana" w:cs="Arial"/>
          <w:lang w:eastAsia="es-ES" w:bidi="es-ES"/>
        </w:rPr>
        <w:t>No obstante, aun cuando los</w:t>
      </w:r>
      <w:r w:rsidRPr="00034D8F">
        <w:rPr>
          <w:rFonts w:ascii="Verdana" w:eastAsia="Arial MT" w:hAnsi="Verdana" w:cs="Arial"/>
          <w:lang w:eastAsia="es-ES" w:bidi="es-ES"/>
        </w:rPr>
        <w:t xml:space="preserve"> servidores públicos, por regla general, no pueden celebrar contratos con las entidades públicas, ni con entidades privadas que administren recursos públicos, </w:t>
      </w:r>
      <w:r>
        <w:rPr>
          <w:rFonts w:ascii="Verdana" w:eastAsia="Arial MT" w:hAnsi="Verdana" w:cs="Arial"/>
          <w:lang w:eastAsia="es-ES" w:bidi="es-ES"/>
        </w:rPr>
        <w:t>existen excepciones que consagra el artículo 10 de la Ley 80 de 1993, bajo los siguiente supuestos: i)</w:t>
      </w:r>
      <w:r w:rsidRPr="00034D8F">
        <w:rPr>
          <w:rFonts w:ascii="Verdana" w:eastAsia="Arial MT" w:hAnsi="Verdana" w:cs="Arial"/>
          <w:lang w:eastAsia="es-ES" w:bidi="es-ES"/>
        </w:rPr>
        <w:t xml:space="preserve"> cuando lo hagan por obligación legal, o </w:t>
      </w:r>
      <w:r>
        <w:rPr>
          <w:rFonts w:ascii="Verdana" w:eastAsia="Arial MT" w:hAnsi="Verdana" w:cs="Arial"/>
          <w:lang w:eastAsia="es-ES" w:bidi="es-ES"/>
        </w:rPr>
        <w:t xml:space="preserve">ii) </w:t>
      </w:r>
      <w:r w:rsidRPr="00034D8F">
        <w:rPr>
          <w:rFonts w:ascii="Verdana" w:eastAsia="Arial MT" w:hAnsi="Verdana" w:cs="Arial"/>
          <w:lang w:eastAsia="es-ES" w:bidi="es-ES"/>
        </w:rPr>
        <w:t xml:space="preserve">para usar bienes o servicios que las entidades ofrezcan al público en condiciones comunes a quienes lo soliciten, o </w:t>
      </w:r>
      <w:r>
        <w:rPr>
          <w:rFonts w:ascii="Verdana" w:eastAsia="Arial MT" w:hAnsi="Verdana" w:cs="Arial"/>
          <w:lang w:eastAsia="es-ES" w:bidi="es-ES"/>
        </w:rPr>
        <w:t xml:space="preserve">iii) </w:t>
      </w:r>
      <w:r w:rsidRPr="00034D8F">
        <w:rPr>
          <w:rFonts w:ascii="Verdana" w:eastAsia="Arial MT" w:hAnsi="Verdana" w:cs="Arial"/>
          <w:lang w:eastAsia="es-ES" w:bidi="es-ES"/>
        </w:rPr>
        <w:t>para adquirir la propiedad accionaria del Estado</w:t>
      </w:r>
      <w:r>
        <w:rPr>
          <w:rFonts w:ascii="Verdana" w:eastAsia="Arial MT" w:hAnsi="Verdana" w:cs="Arial"/>
          <w:lang w:eastAsia="es-ES" w:bidi="es-ES"/>
        </w:rPr>
        <w:t>.</w:t>
      </w:r>
    </w:p>
    <w:p w14:paraId="19475D06" w14:textId="5A0A518C" w:rsidR="000E5743" w:rsidRDefault="000E5743" w:rsidP="000E5743">
      <w:pPr>
        <w:tabs>
          <w:tab w:val="left" w:pos="1351"/>
        </w:tabs>
        <w:spacing w:after="0" w:line="240" w:lineRule="auto"/>
        <w:rPr>
          <w:rFonts w:ascii="Verdana" w:eastAsia="Geomanist Light" w:hAnsi="Verdana" w:cs="Arial"/>
          <w:color w:val="000000" w:themeColor="text1"/>
          <w:lang w:val="es-MX"/>
        </w:rPr>
      </w:pPr>
    </w:p>
    <w:p w14:paraId="5FBFB5BA" w14:textId="77777777" w:rsidR="000E5743" w:rsidRDefault="000E5743" w:rsidP="007926EE">
      <w:pPr>
        <w:spacing w:after="0" w:line="240" w:lineRule="auto"/>
        <w:rPr>
          <w:rFonts w:ascii="Verdana" w:eastAsia="Geomanist Light" w:hAnsi="Verdana" w:cs="Arial"/>
          <w:color w:val="000000" w:themeColor="text1"/>
          <w:lang w:val="es-MX"/>
        </w:rPr>
      </w:pPr>
    </w:p>
    <w:p w14:paraId="487D9D8B" w14:textId="77777777" w:rsidR="000E5743" w:rsidRDefault="000E5743" w:rsidP="007926EE">
      <w:pPr>
        <w:spacing w:after="0" w:line="240" w:lineRule="auto"/>
        <w:rPr>
          <w:rFonts w:ascii="Verdana" w:eastAsia="Geomanist Light" w:hAnsi="Verdana" w:cs="Arial"/>
          <w:color w:val="000000" w:themeColor="text1"/>
          <w:lang w:val="es-MX"/>
        </w:rPr>
      </w:pPr>
    </w:p>
    <w:p w14:paraId="43B2AD62" w14:textId="77777777" w:rsidR="000E5743" w:rsidRDefault="000E5743" w:rsidP="007926EE">
      <w:pPr>
        <w:spacing w:after="0" w:line="240" w:lineRule="auto"/>
        <w:rPr>
          <w:rFonts w:ascii="Verdana" w:eastAsia="Geomanist Light" w:hAnsi="Verdana" w:cs="Arial"/>
          <w:color w:val="000000" w:themeColor="text1"/>
          <w:lang w:val="es-MX"/>
        </w:rPr>
      </w:pPr>
    </w:p>
    <w:p w14:paraId="0DE19FF2" w14:textId="5E30C7BE" w:rsidR="007926EE" w:rsidRPr="00593A5F" w:rsidRDefault="007926EE" w:rsidP="007926EE">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t>Bogotá D.C., </w:t>
      </w:r>
      <w:r w:rsidR="000E5743">
        <w:rPr>
          <w:rFonts w:ascii="Verdana" w:eastAsia="Geomanist Light" w:hAnsi="Verdana" w:cs="Arial"/>
          <w:color w:val="201F1E"/>
          <w:lang w:val="es-MX"/>
        </w:rPr>
        <w:t>02 de julio de 2025</w:t>
      </w:r>
    </w:p>
    <w:p w14:paraId="23C1C183" w14:textId="763D974B" w:rsidR="007926EE" w:rsidRPr="00593A5F" w:rsidRDefault="000E5743" w:rsidP="007926EE">
      <w:pPr>
        <w:spacing w:after="0" w:line="240" w:lineRule="auto"/>
        <w:jc w:val="both"/>
        <w:rPr>
          <w:rFonts w:ascii="Verdana" w:eastAsia="Calibri" w:hAnsi="Verdana" w:cs="Arial"/>
          <w:color w:val="000000"/>
          <w:lang w:val="es-ES"/>
        </w:rPr>
      </w:pPr>
      <w:r>
        <w:rPr>
          <w:rFonts w:ascii="Verdana" w:eastAsia="Calibri" w:hAnsi="Verdana" w:cs="Arial"/>
          <w:b/>
          <w:noProof/>
          <w:lang w:val="es-ES_tradnl" w:eastAsia="es-ES_tradnl"/>
        </w:rPr>
        <w:drawing>
          <wp:anchor distT="0" distB="0" distL="114300" distR="114300" simplePos="0" relativeHeight="251658240" behindDoc="0" locked="0" layoutInCell="1" allowOverlap="1" wp14:anchorId="34E9F52E" wp14:editId="464BAF87">
            <wp:simplePos x="0" y="0"/>
            <wp:positionH relativeFrom="column">
              <wp:posOffset>2436349</wp:posOffset>
            </wp:positionH>
            <wp:positionV relativeFrom="paragraph">
              <wp:posOffset>169643</wp:posOffset>
            </wp:positionV>
            <wp:extent cx="2735580" cy="905510"/>
            <wp:effectExtent l="0" t="0" r="7620" b="889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735580" cy="905510"/>
                    </a:xfrm>
                    <a:prstGeom prst="rect">
                      <a:avLst/>
                    </a:prstGeom>
                  </pic:spPr>
                </pic:pic>
              </a:graphicData>
            </a:graphic>
            <wp14:sizeRelH relativeFrom="page">
              <wp14:pctWidth>0</wp14:pctWidth>
            </wp14:sizeRelH>
            <wp14:sizeRelV relativeFrom="page">
              <wp14:pctHeight>0</wp14:pctHeight>
            </wp14:sizeRelV>
          </wp:anchor>
        </w:drawing>
      </w:r>
    </w:p>
    <w:p w14:paraId="5B2973B6" w14:textId="460292E1" w:rsidR="007926EE" w:rsidRDefault="007926EE" w:rsidP="007926EE">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r>
        <w:rPr>
          <w:rFonts w:ascii="Verdana" w:eastAsia="Calibri" w:hAnsi="Verdana" w:cs="Arial"/>
          <w:lang w:val="es-ES" w:eastAsia="es-ES"/>
        </w:rPr>
        <w:t>a</w:t>
      </w:r>
    </w:p>
    <w:p w14:paraId="60490500" w14:textId="2A50BBB3" w:rsidR="007926EE" w:rsidRPr="00B96799" w:rsidRDefault="007926EE" w:rsidP="007926EE">
      <w:pPr>
        <w:spacing w:after="0" w:line="240" w:lineRule="auto"/>
        <w:jc w:val="both"/>
        <w:rPr>
          <w:rFonts w:ascii="Verdana" w:eastAsia="Calibri" w:hAnsi="Verdana" w:cs="Arial"/>
          <w:b/>
          <w:lang w:val="es-ES_tradnl" w:eastAsia="es-ES_tradnl"/>
        </w:rPr>
      </w:pPr>
      <w:r>
        <w:rPr>
          <w:rFonts w:ascii="Verdana" w:eastAsia="Calibri" w:hAnsi="Verdana" w:cs="Arial"/>
          <w:b/>
          <w:lang w:val="es-ES_tradnl" w:eastAsia="es-ES_tradnl"/>
        </w:rPr>
        <w:t xml:space="preserve">Ana María Pabón Castillo </w:t>
      </w:r>
    </w:p>
    <w:p w14:paraId="6C51C2D0" w14:textId="77777777" w:rsidR="007926EE" w:rsidRPr="00B96799" w:rsidRDefault="007926EE" w:rsidP="007926EE">
      <w:pPr>
        <w:spacing w:after="0" w:line="240" w:lineRule="auto"/>
        <w:rPr>
          <w:rFonts w:ascii="Verdana" w:eastAsia="Calibri" w:hAnsi="Verdana" w:cs="Arial"/>
          <w:u w:val="single"/>
          <w:lang w:val="es-ES" w:eastAsia="es-ES"/>
        </w:rPr>
      </w:pPr>
      <w:hyperlink r:id="rId11" w:history="1">
        <w:r w:rsidRPr="00920676">
          <w:rPr>
            <w:rStyle w:val="Hipervnculo"/>
            <w:rFonts w:ascii="Verdana" w:eastAsia="Calibri" w:hAnsi="Verdana" w:cs="Arial"/>
            <w:lang w:val="es-ES" w:eastAsia="es-ES"/>
          </w:rPr>
          <w:t>Amar0915@gmail.com</w:t>
        </w:r>
      </w:hyperlink>
      <w:r w:rsidRPr="00920676">
        <w:rPr>
          <w:rFonts w:ascii="Verdana" w:eastAsia="Calibri" w:hAnsi="Verdana" w:cs="Arial"/>
          <w:u w:val="single"/>
          <w:lang w:val="es-ES" w:eastAsia="es-ES"/>
        </w:rPr>
        <w:t xml:space="preserve"> </w:t>
      </w:r>
    </w:p>
    <w:p w14:paraId="17ABA265" w14:textId="77777777" w:rsidR="007926EE" w:rsidRPr="00B96799" w:rsidRDefault="007926EE" w:rsidP="007926EE">
      <w:pPr>
        <w:spacing w:after="0" w:line="240" w:lineRule="auto"/>
        <w:rPr>
          <w:rFonts w:ascii="Verdana" w:eastAsia="Calibri" w:hAnsi="Verdana" w:cs="Arial"/>
          <w:b/>
          <w:bCs/>
          <w:lang w:val="es-ES" w:eastAsia="es-ES"/>
        </w:rPr>
      </w:pPr>
      <w:r>
        <w:rPr>
          <w:rFonts w:ascii="Verdana" w:eastAsia="Calibri" w:hAnsi="Verdana" w:cs="Arial"/>
          <w:lang w:val="es-ES" w:eastAsia="es-ES"/>
        </w:rPr>
        <w:t>Bogotá D.C.</w:t>
      </w:r>
    </w:p>
    <w:p w14:paraId="2E81C7D9" w14:textId="77777777" w:rsidR="007926EE" w:rsidRPr="00593A5F" w:rsidRDefault="007926EE" w:rsidP="007926EE">
      <w:pPr>
        <w:spacing w:after="0" w:line="240" w:lineRule="auto"/>
        <w:rPr>
          <w:rFonts w:ascii="Verdana" w:eastAsia="Calibri" w:hAnsi="Verdana" w:cs="Arial"/>
          <w:b/>
          <w:bCs/>
          <w:color w:val="000000"/>
          <w:lang w:val="es-ES_tradnl" w:eastAsia="es-ES_tradnl"/>
        </w:rPr>
      </w:pPr>
    </w:p>
    <w:p w14:paraId="43DC8A6D" w14:textId="77777777" w:rsidR="007926EE" w:rsidRPr="00593A5F" w:rsidRDefault="007926EE" w:rsidP="007926EE">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926EE" w:rsidRPr="00593A5F" w14:paraId="17804769" w14:textId="77777777" w:rsidTr="00424E14">
        <w:trPr>
          <w:trHeight w:val="190"/>
        </w:trPr>
        <w:tc>
          <w:tcPr>
            <w:tcW w:w="2689" w:type="dxa"/>
          </w:tcPr>
          <w:p w14:paraId="7EB75315" w14:textId="77777777" w:rsidR="007926EE" w:rsidRPr="00C00976" w:rsidRDefault="007926EE" w:rsidP="00C63F53">
            <w:pPr>
              <w:jc w:val="both"/>
              <w:rPr>
                <w:rFonts w:ascii="Verdana" w:eastAsia="Calibri" w:hAnsi="Verdana" w:cs="Arial"/>
                <w:b/>
                <w:bCs/>
                <w:color w:val="7030A0"/>
                <w:lang w:val="es-ES_tradnl" w:eastAsia="es-ES_tradnl"/>
              </w:rPr>
            </w:pPr>
          </w:p>
        </w:tc>
        <w:tc>
          <w:tcPr>
            <w:tcW w:w="6100" w:type="dxa"/>
          </w:tcPr>
          <w:p w14:paraId="2B0E063B" w14:textId="77777777" w:rsidR="007926EE" w:rsidRPr="00920676" w:rsidRDefault="007926EE" w:rsidP="00920676">
            <w:pPr>
              <w:jc w:val="both"/>
              <w:rPr>
                <w:rFonts w:ascii="Verdana" w:eastAsia="Calibri" w:hAnsi="Verdana" w:cs="Arial"/>
                <w:b/>
                <w:bCs/>
                <w:lang w:val="es-ES" w:eastAsia="es-ES"/>
              </w:rPr>
            </w:pPr>
            <w:r w:rsidRPr="00247BDE">
              <w:rPr>
                <w:rFonts w:ascii="Verdana" w:eastAsia="Calibri" w:hAnsi="Verdana" w:cs="Arial"/>
                <w:b/>
                <w:bCs/>
                <w:lang w:val="es-ES" w:eastAsia="es-ES"/>
              </w:rPr>
              <w:t>Concepto C-</w:t>
            </w:r>
            <w:r>
              <w:rPr>
                <w:rFonts w:ascii="Verdana" w:eastAsia="Calibri" w:hAnsi="Verdana" w:cs="Arial"/>
                <w:b/>
                <w:bCs/>
                <w:lang w:val="es-ES" w:eastAsia="es-ES"/>
              </w:rPr>
              <w:t>632</w:t>
            </w:r>
            <w:r w:rsidRPr="00C00976">
              <w:rPr>
                <w:rFonts w:ascii="Verdana" w:eastAsia="Calibri" w:hAnsi="Verdana" w:cs="Arial"/>
                <w:b/>
                <w:bCs/>
                <w:color w:val="7030A0"/>
                <w:lang w:val="es-ES" w:eastAsia="es-ES"/>
              </w:rPr>
              <w:t xml:space="preserve"> </w:t>
            </w:r>
            <w:r w:rsidRPr="008E06BF">
              <w:rPr>
                <w:rFonts w:ascii="Verdana" w:eastAsia="Calibri" w:hAnsi="Verdana" w:cs="Arial"/>
                <w:b/>
                <w:bCs/>
                <w:lang w:val="es-ES" w:eastAsia="es-ES"/>
              </w:rPr>
              <w:t>de 2025</w:t>
            </w:r>
          </w:p>
          <w:p w14:paraId="59FB4483" w14:textId="77777777" w:rsidR="007926EE" w:rsidRPr="00C00976" w:rsidRDefault="007926EE" w:rsidP="00C63F53">
            <w:pPr>
              <w:jc w:val="both"/>
              <w:rPr>
                <w:rFonts w:ascii="Verdana" w:eastAsia="Calibri" w:hAnsi="Verdana" w:cs="Arial"/>
                <w:b/>
                <w:bCs/>
                <w:color w:val="7030A0"/>
                <w:lang w:val="es-ES" w:eastAsia="es-ES"/>
              </w:rPr>
            </w:pPr>
          </w:p>
        </w:tc>
      </w:tr>
      <w:tr w:rsidR="007926EE" w:rsidRPr="00593A5F" w14:paraId="20DD7F95" w14:textId="77777777" w:rsidTr="00C63F53">
        <w:trPr>
          <w:trHeight w:val="884"/>
        </w:trPr>
        <w:tc>
          <w:tcPr>
            <w:tcW w:w="2689" w:type="dxa"/>
          </w:tcPr>
          <w:p w14:paraId="2F403740" w14:textId="77777777" w:rsidR="007926EE" w:rsidRPr="00593A5F" w:rsidRDefault="007926EE" w:rsidP="00C63F53">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4D945D41" w14:textId="792B7EB0" w:rsidR="007926EE" w:rsidRPr="008E06BF" w:rsidRDefault="007926EE" w:rsidP="00424E14">
            <w:pPr>
              <w:jc w:val="both"/>
              <w:rPr>
                <w:rFonts w:ascii="Verdana" w:eastAsia="Calibri" w:hAnsi="Verdana" w:cs="Arial"/>
                <w:lang w:val="es-ES" w:eastAsia="es-ES"/>
              </w:rPr>
            </w:pPr>
            <w:r w:rsidRPr="008E06BF">
              <w:rPr>
                <w:rFonts w:ascii="Verdana" w:eastAsia="Calibri" w:hAnsi="Verdana" w:cs="Arial"/>
                <w:lang w:val="es-ES" w:eastAsia="es-ES"/>
              </w:rPr>
              <w:t xml:space="preserve">RÉGIMEN DE INHABILIDADES E INCOMPATIBILIDADES – Carácter restrictivo </w:t>
            </w:r>
            <w:r w:rsidR="008C12CE">
              <w:rPr>
                <w:rFonts w:ascii="Verdana" w:eastAsia="Calibri" w:hAnsi="Verdana" w:cs="Arial"/>
                <w:lang w:val="es-ES" w:eastAsia="es-ES"/>
              </w:rPr>
              <w:t xml:space="preserve">/ </w:t>
            </w:r>
            <w:r w:rsidR="008C12CE" w:rsidRPr="00920676">
              <w:rPr>
                <w:rFonts w:ascii="Verdana" w:eastAsia="Calibri" w:hAnsi="Verdana" w:cs="Arial"/>
                <w:lang w:val="es-ES" w:eastAsia="es-ES"/>
              </w:rPr>
              <w:t xml:space="preserve">RÉGIMEN DE INHABILIDADES E INCOMPATIBILIDADES </w:t>
            </w:r>
            <w:r w:rsidR="0050767E">
              <w:rPr>
                <w:rFonts w:ascii="Verdana" w:eastAsia="Calibri" w:hAnsi="Verdana" w:cs="Arial"/>
                <w:lang w:val="es-ES" w:eastAsia="es-ES"/>
              </w:rPr>
              <w:t>–</w:t>
            </w:r>
            <w:r w:rsidR="008C12CE">
              <w:rPr>
                <w:rFonts w:ascii="Verdana" w:eastAsia="Calibri" w:hAnsi="Verdana" w:cs="Arial"/>
                <w:lang w:val="es-ES" w:eastAsia="es-ES"/>
              </w:rPr>
              <w:t xml:space="preserve"> </w:t>
            </w:r>
            <w:r w:rsidR="0050767E">
              <w:rPr>
                <w:rFonts w:ascii="Verdana" w:eastAsia="Calibri" w:hAnsi="Verdana" w:cs="Arial"/>
                <w:lang w:val="es-ES" w:eastAsia="es-ES"/>
              </w:rPr>
              <w:t xml:space="preserve">Contrato de prestación de servicios </w:t>
            </w:r>
            <w:r w:rsidRPr="008E06BF">
              <w:rPr>
                <w:rFonts w:ascii="Verdana" w:eastAsia="Calibri" w:hAnsi="Verdana" w:cs="Arial"/>
                <w:lang w:val="es-ES" w:eastAsia="es-ES"/>
              </w:rPr>
              <w:t xml:space="preserve">– Servidor público </w:t>
            </w:r>
            <w:r w:rsidR="0050767E">
              <w:rPr>
                <w:rFonts w:ascii="Verdana" w:eastAsia="Calibri" w:hAnsi="Verdana" w:cs="Arial"/>
                <w:lang w:val="es-ES" w:eastAsia="es-ES"/>
              </w:rPr>
              <w:t>– Posibilidad de ejercer de forma simultanea</w:t>
            </w:r>
          </w:p>
          <w:p w14:paraId="4FCA59A2" w14:textId="77777777" w:rsidR="007926EE" w:rsidRPr="00593A5F" w:rsidRDefault="007926EE" w:rsidP="00424E14">
            <w:pPr>
              <w:jc w:val="both"/>
              <w:rPr>
                <w:rFonts w:ascii="Verdana" w:eastAsia="Calibri" w:hAnsi="Verdana" w:cs="Arial"/>
                <w:lang w:val="es-ES" w:eastAsia="es-ES"/>
              </w:rPr>
            </w:pPr>
          </w:p>
        </w:tc>
      </w:tr>
      <w:tr w:rsidR="007926EE" w:rsidRPr="00593A5F" w14:paraId="7EAF2AE5" w14:textId="77777777" w:rsidTr="00C63F53">
        <w:tc>
          <w:tcPr>
            <w:tcW w:w="2689" w:type="dxa"/>
          </w:tcPr>
          <w:p w14:paraId="6C7447E6" w14:textId="77777777" w:rsidR="007926EE" w:rsidRPr="008E06BF" w:rsidRDefault="007926EE" w:rsidP="00C63F53">
            <w:pPr>
              <w:jc w:val="both"/>
              <w:rPr>
                <w:rFonts w:ascii="Verdana" w:eastAsia="Calibri" w:hAnsi="Verdana" w:cs="Arial"/>
                <w:b/>
                <w:lang w:val="es-ES_tradnl" w:eastAsia="es-ES_tradnl"/>
              </w:rPr>
            </w:pPr>
            <w:r w:rsidRPr="008E06BF">
              <w:rPr>
                <w:rFonts w:ascii="Verdana" w:eastAsia="Calibri" w:hAnsi="Verdana" w:cs="Arial"/>
                <w:b/>
                <w:lang w:val="es-ES_tradnl" w:eastAsia="es-ES_tradnl"/>
              </w:rPr>
              <w:t>Radicación:</w:t>
            </w:r>
            <w:r w:rsidRPr="008E06BF">
              <w:rPr>
                <w:rFonts w:ascii="Verdana" w:eastAsia="Calibri" w:hAnsi="Verdana" w:cs="Arial"/>
                <w:lang w:val="es-ES_tradnl" w:eastAsia="es-ES_tradnl"/>
              </w:rPr>
              <w:t xml:space="preserve">               </w:t>
            </w:r>
          </w:p>
        </w:tc>
        <w:tc>
          <w:tcPr>
            <w:tcW w:w="6100" w:type="dxa"/>
          </w:tcPr>
          <w:p w14:paraId="43F73B6A" w14:textId="77777777" w:rsidR="007926EE" w:rsidRPr="008E06BF" w:rsidRDefault="007926EE" w:rsidP="00C63F53">
            <w:pPr>
              <w:jc w:val="both"/>
              <w:rPr>
                <w:rFonts w:ascii="Verdana" w:eastAsia="Calibri" w:hAnsi="Verdana" w:cs="Arial"/>
                <w:lang w:val="es-ES_tradnl" w:eastAsia="es-ES_tradnl"/>
              </w:rPr>
            </w:pPr>
            <w:r w:rsidRPr="008E06BF">
              <w:rPr>
                <w:rFonts w:ascii="Verdana" w:eastAsia="Calibri" w:hAnsi="Verdana" w:cs="Arial"/>
                <w:lang w:val="es-ES_tradnl" w:eastAsia="es-ES_tradnl"/>
              </w:rPr>
              <w:t>Respuesta a consulta con radicado No. P20250520004866</w:t>
            </w:r>
          </w:p>
        </w:tc>
      </w:tr>
    </w:tbl>
    <w:p w14:paraId="210D87C8" w14:textId="77777777" w:rsidR="007926EE" w:rsidRPr="00593A5F" w:rsidRDefault="007926EE" w:rsidP="007926EE">
      <w:pPr>
        <w:spacing w:after="0" w:line="240" w:lineRule="auto"/>
        <w:jc w:val="both"/>
        <w:rPr>
          <w:rFonts w:ascii="Verdana" w:eastAsia="Calibri" w:hAnsi="Verdana" w:cs="Arial"/>
          <w:color w:val="000000"/>
          <w:lang w:val="es-ES_tradnl" w:eastAsia="es-ES_tradnl"/>
        </w:rPr>
      </w:pPr>
    </w:p>
    <w:p w14:paraId="1F1ECF69" w14:textId="77777777" w:rsidR="007926EE" w:rsidRPr="00593A5F" w:rsidRDefault="007926EE" w:rsidP="007926EE">
      <w:pPr>
        <w:spacing w:after="0" w:line="240" w:lineRule="auto"/>
        <w:jc w:val="both"/>
        <w:rPr>
          <w:rFonts w:ascii="Verdana" w:eastAsia="Calibri" w:hAnsi="Verdana" w:cs="Arial"/>
          <w:color w:val="000000"/>
          <w:lang w:val="es-ES_tradnl" w:eastAsia="es-ES_tradnl"/>
        </w:rPr>
      </w:pPr>
    </w:p>
    <w:p w14:paraId="7C07BB1E" w14:textId="77777777" w:rsidR="007926EE" w:rsidRDefault="007926EE" w:rsidP="007926EE">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 xml:space="preserve">Estimado </w:t>
      </w:r>
      <w:r w:rsidRPr="000B3285">
        <w:rPr>
          <w:rFonts w:ascii="Verdana" w:eastAsia="Calibri" w:hAnsi="Verdana" w:cs="Arial"/>
          <w:lang w:val="es-ES" w:eastAsia="es-ES"/>
        </w:rPr>
        <w:t xml:space="preserve">señora Pabón: </w:t>
      </w:r>
    </w:p>
    <w:p w14:paraId="4FA27525" w14:textId="77777777" w:rsidR="007926EE" w:rsidRDefault="007926EE" w:rsidP="007926EE">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674E10A" w14:textId="3BE92E42" w:rsidR="007926EE" w:rsidRPr="00593A5F" w:rsidRDefault="007926EE" w:rsidP="007926EE">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w:t>
      </w:r>
      <w:r>
        <w:rPr>
          <w:rFonts w:ascii="Verdana" w:eastAsia="Calibri" w:hAnsi="Verdana" w:cs="Arial"/>
          <w:color w:val="000000" w:themeColor="text1"/>
          <w:lang w:val="es-ES" w:eastAsia="es-ES"/>
        </w:rPr>
        <w:t>,</w:t>
      </w:r>
      <w:r w:rsidRPr="00593A5F">
        <w:rPr>
          <w:rFonts w:ascii="Verdana" w:eastAsia="Calibri" w:hAnsi="Verdana" w:cs="Arial"/>
          <w:color w:val="000000" w:themeColor="text1"/>
          <w:lang w:val="es-ES" w:eastAsia="es-ES"/>
        </w:rPr>
        <w:t xml:space="preserve"> </w:t>
      </w:r>
      <w:r w:rsidRPr="009F42FC">
        <w:rPr>
          <w:rFonts w:ascii="Verdana" w:eastAsia="Calibri" w:hAnsi="Verdana" w:cs="Arial"/>
          <w:lang w:val="es-ES" w:eastAsia="es-ES"/>
        </w:rPr>
        <w:t xml:space="preserve">responde su solicitud de consulta de fecha 9 de mayo de 2025, </w:t>
      </w:r>
      <w:r w:rsidR="0082468C">
        <w:rPr>
          <w:rFonts w:ascii="Verdana" w:eastAsia="Calibri" w:hAnsi="Verdana" w:cs="Arial"/>
          <w:color w:val="000000" w:themeColor="text1"/>
          <w:lang w:val="es-ES" w:eastAsia="es-ES"/>
        </w:rPr>
        <w:t xml:space="preserve">trasladada por el Departamento Nacional de la Función Pública el 20 de mayo </w:t>
      </w:r>
      <w:r w:rsidR="0082468C" w:rsidRPr="009F42FC">
        <w:rPr>
          <w:rFonts w:ascii="Verdana" w:eastAsia="Calibri" w:hAnsi="Verdana" w:cs="Arial"/>
          <w:lang w:val="es-ES" w:eastAsia="es-ES"/>
        </w:rPr>
        <w:t>de 2025</w:t>
      </w:r>
      <w:r w:rsidR="0082468C">
        <w:rPr>
          <w:rFonts w:ascii="Verdana" w:eastAsia="Calibri" w:hAnsi="Verdana" w:cs="Arial"/>
          <w:lang w:val="es-ES" w:eastAsia="es-ES"/>
        </w:rPr>
        <w:t xml:space="preserve">, </w:t>
      </w:r>
      <w:r w:rsidRPr="009F42FC">
        <w:rPr>
          <w:rFonts w:ascii="Verdana" w:eastAsia="Calibri" w:hAnsi="Verdana" w:cs="Arial"/>
          <w:lang w:val="es-ES" w:eastAsia="es-ES"/>
        </w:rPr>
        <w:t xml:space="preserve">en la cual manifiesta lo siguiente: </w:t>
      </w:r>
    </w:p>
    <w:p w14:paraId="6CE9F2E1" w14:textId="77777777" w:rsidR="007926EE" w:rsidRPr="00424E14" w:rsidRDefault="007926EE" w:rsidP="00424E14">
      <w:pPr>
        <w:pStyle w:val="Prrafodelista"/>
        <w:tabs>
          <w:tab w:val="left" w:pos="142"/>
          <w:tab w:val="left" w:pos="284"/>
        </w:tabs>
        <w:spacing w:after="0" w:line="240" w:lineRule="auto"/>
        <w:ind w:left="0"/>
        <w:contextualSpacing w:val="0"/>
        <w:jc w:val="both"/>
        <w:rPr>
          <w:rFonts w:ascii="Verdana" w:eastAsia="Century Gothic" w:hAnsi="Verdana" w:cs="Century Gothic"/>
          <w:b/>
          <w:sz w:val="20"/>
          <w:szCs w:val="20"/>
        </w:rPr>
      </w:pPr>
    </w:p>
    <w:p w14:paraId="66178F0F" w14:textId="77777777" w:rsidR="007926EE" w:rsidRPr="00424E14" w:rsidRDefault="007926EE" w:rsidP="007926EE">
      <w:pPr>
        <w:spacing w:after="0" w:line="240" w:lineRule="auto"/>
        <w:ind w:left="709" w:right="709"/>
        <w:jc w:val="both"/>
        <w:rPr>
          <w:rStyle w:val="normaltextrun"/>
          <w:rFonts w:ascii="Verdana" w:hAnsi="Verdana" w:cs="Arial"/>
          <w:sz w:val="20"/>
          <w:szCs w:val="20"/>
          <w:shd w:val="clear" w:color="auto" w:fill="FFFFFF"/>
        </w:rPr>
      </w:pPr>
      <w:bookmarkStart w:id="0" w:name="_Hlk95313578"/>
      <w:r w:rsidRPr="008E06BF">
        <w:rPr>
          <w:rFonts w:ascii="Verdana" w:eastAsia="Century Gothic" w:hAnsi="Verdana" w:cs="Century Gothic"/>
          <w:sz w:val="20"/>
          <w:szCs w:val="20"/>
          <w:lang w:val="es-ES"/>
        </w:rPr>
        <w:t>“</w:t>
      </w:r>
      <w:bookmarkEnd w:id="0"/>
      <w:r w:rsidRPr="00424E14">
        <w:rPr>
          <w:rStyle w:val="normaltextrun"/>
          <w:rFonts w:ascii="Verdana" w:hAnsi="Verdana" w:cs="Arial"/>
          <w:sz w:val="20"/>
          <w:szCs w:val="20"/>
          <w:shd w:val="clear" w:color="auto" w:fill="FFFFFF"/>
        </w:rPr>
        <w:t xml:space="preserve">Actualmente me encuentro ejecutando un contrato de prestación de servicios profesionales con la Agencia Nacional de Tierras, entidad del orden nacional, en el cual no existe cláusula de exclusividad ni subordinación, y cuya ejecución se realiza conforme al cumplimiento de actividades técnicas definidas en el objeto contractual, contrato que está en ejecución y que se encuentra debidamente formalizado y reportado en el SECOP. </w:t>
      </w:r>
    </w:p>
    <w:p w14:paraId="30D80CE4" w14:textId="77777777" w:rsidR="007926EE" w:rsidRDefault="007926EE" w:rsidP="007926EE">
      <w:pPr>
        <w:spacing w:after="0" w:line="240" w:lineRule="auto"/>
        <w:ind w:left="709" w:right="709"/>
        <w:jc w:val="both"/>
        <w:rPr>
          <w:rFonts w:ascii="Verdana" w:eastAsia="Century Gothic" w:hAnsi="Verdana" w:cs="Century Gothic"/>
          <w:color w:val="7030A0"/>
          <w:sz w:val="20"/>
          <w:szCs w:val="20"/>
          <w:lang w:val="es-ES"/>
        </w:rPr>
      </w:pPr>
    </w:p>
    <w:p w14:paraId="6B734385" w14:textId="77777777" w:rsidR="007926EE" w:rsidRPr="000B3285" w:rsidRDefault="007926EE" w:rsidP="007926EE">
      <w:pPr>
        <w:spacing w:after="0" w:line="240" w:lineRule="auto"/>
        <w:ind w:left="709" w:right="709"/>
        <w:jc w:val="both"/>
        <w:rPr>
          <w:rFonts w:ascii="Verdana" w:eastAsia="Century Gothic" w:hAnsi="Verdana" w:cs="Century Gothic"/>
          <w:sz w:val="20"/>
          <w:szCs w:val="20"/>
          <w:lang w:val="es-ES"/>
        </w:rPr>
      </w:pPr>
      <w:r w:rsidRPr="000B3285">
        <w:rPr>
          <w:rFonts w:ascii="Verdana" w:eastAsia="Century Gothic" w:hAnsi="Verdana" w:cs="Century Gothic"/>
          <w:sz w:val="20"/>
          <w:szCs w:val="20"/>
          <w:lang w:val="es-ES"/>
        </w:rPr>
        <w:t>Paralelamente, he sido seleccionada para ocupar el cargo de Profesional Especializado en la Planta temporal del Hospital Universitario Departamental de Nariño (ESE pública), con sede en San Juan de Pasto, Nariño.</w:t>
      </w:r>
    </w:p>
    <w:p w14:paraId="6306087D" w14:textId="77777777" w:rsidR="0082468C" w:rsidRPr="0082468C" w:rsidRDefault="0082468C" w:rsidP="0082468C">
      <w:pPr>
        <w:spacing w:after="0" w:line="240" w:lineRule="auto"/>
        <w:ind w:left="709" w:right="709"/>
        <w:jc w:val="both"/>
        <w:rPr>
          <w:rFonts w:ascii="Verdana" w:eastAsia="Century Gothic" w:hAnsi="Verdana" w:cs="Century Gothic"/>
          <w:sz w:val="20"/>
          <w:szCs w:val="20"/>
          <w:lang w:val="es-ES"/>
        </w:rPr>
      </w:pPr>
    </w:p>
    <w:p w14:paraId="3FF2241A" w14:textId="77777777" w:rsidR="007926EE" w:rsidRPr="000B3285" w:rsidRDefault="007926EE" w:rsidP="007926EE">
      <w:pPr>
        <w:spacing w:after="0" w:line="240" w:lineRule="auto"/>
        <w:ind w:left="709" w:right="709"/>
        <w:jc w:val="both"/>
        <w:rPr>
          <w:rFonts w:ascii="Verdana" w:eastAsia="Century Gothic" w:hAnsi="Verdana" w:cs="Century Gothic"/>
          <w:sz w:val="20"/>
          <w:szCs w:val="20"/>
          <w:lang w:val="es-ES"/>
        </w:rPr>
      </w:pPr>
      <w:r w:rsidRPr="000B3285">
        <w:rPr>
          <w:rFonts w:ascii="Verdana" w:eastAsia="Century Gothic" w:hAnsi="Verdana" w:cs="Century Gothic"/>
          <w:sz w:val="20"/>
          <w:szCs w:val="20"/>
          <w:lang w:val="es-ES"/>
        </w:rPr>
        <w:lastRenderedPageBreak/>
        <w:t>Dado que el vínculo con el hospital corresponde a un empleo público y el contrato con la Agencia Nacional de Tierras es de carácter Civil, y con el propósito de evitar cualquier posible transgresión al ordenamiento jurídico, solicito su orientación respecto a la viabilidad de ejercer simultáneamente ambos vínculos, a la luz de las normas establecidas en la Ley 80 de 1993, la Ley 1952 de 2019 ( Código General Disciplinario), y demás normas relacionadas con el régimen de inhabilidades, incompatibilidades y conflictos de intereses aplicables a los servidores públicos y contratistas del estado […]”</w:t>
      </w:r>
    </w:p>
    <w:p w14:paraId="475FCABE" w14:textId="77777777" w:rsidR="007926EE" w:rsidRPr="00593A5F" w:rsidRDefault="007926EE" w:rsidP="00424E14">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0F1B7EF" w14:textId="7BA07623" w:rsidR="007926EE" w:rsidRDefault="007926EE" w:rsidP="007926EE">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82468C">
        <w:rPr>
          <w:rFonts w:ascii="Verdana" w:eastAsia="Calibri" w:hAnsi="Verdana" w:cs="Arial"/>
          <w:color w:val="000000"/>
          <w:lang w:val="es-ES" w:eastAsia="es-ES"/>
        </w:rPr>
        <w:t xml:space="preserve">la Agencia Nacional de Contratación Pública – </w:t>
      </w:r>
      <w:r w:rsidRPr="00593A5F">
        <w:rPr>
          <w:rFonts w:ascii="Verdana" w:eastAsia="Calibri" w:hAnsi="Verdana" w:cs="Arial"/>
          <w:color w:val="000000"/>
          <w:lang w:val="es-ES" w:eastAsia="es-ES"/>
        </w:rPr>
        <w:t>Colombia</w:t>
      </w:r>
      <w:r w:rsidR="0082468C">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42A2EA8" w14:textId="77777777" w:rsidR="007926EE" w:rsidRDefault="007926EE" w:rsidP="007926EE">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314CACE9" w14:textId="77777777" w:rsidR="007926EE" w:rsidRPr="00593A5F" w:rsidRDefault="007926EE" w:rsidP="007926EE">
      <w:pPr>
        <w:spacing w:after="0" w:line="276" w:lineRule="auto"/>
        <w:ind w:firstLine="709"/>
        <w:jc w:val="both"/>
        <w:rPr>
          <w:rFonts w:ascii="Verdana" w:eastAsia="Calibri" w:hAnsi="Verdana" w:cs="Arial"/>
          <w:color w:val="000000"/>
          <w:lang w:val="es-ES" w:eastAsia="es-ES"/>
        </w:rPr>
      </w:pPr>
    </w:p>
    <w:p w14:paraId="6592443A" w14:textId="77777777" w:rsidR="007926EE" w:rsidRPr="00593A5F" w:rsidRDefault="007926EE" w:rsidP="007926E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Problema planteado:</w:t>
      </w:r>
    </w:p>
    <w:p w14:paraId="37506041" w14:textId="77777777" w:rsidR="007926EE" w:rsidRPr="00593A5F" w:rsidRDefault="007926EE" w:rsidP="007926EE">
      <w:pPr>
        <w:tabs>
          <w:tab w:val="left" w:pos="426"/>
        </w:tabs>
        <w:spacing w:after="0" w:line="276" w:lineRule="auto"/>
        <w:jc w:val="both"/>
        <w:rPr>
          <w:rFonts w:ascii="Verdana" w:eastAsia="Century Gothic" w:hAnsi="Verdana" w:cs="Century Gothic"/>
          <w:lang w:val="es-ES"/>
        </w:rPr>
      </w:pPr>
    </w:p>
    <w:p w14:paraId="218968C5" w14:textId="253C92E0" w:rsidR="007926EE" w:rsidRPr="00593A5F" w:rsidRDefault="007926EE" w:rsidP="007926EE">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 el siguiente problema jurídico</w:t>
      </w:r>
      <w:r w:rsidRPr="00585E47">
        <w:rPr>
          <w:rFonts w:ascii="Verdana" w:eastAsia="Century Gothic" w:hAnsi="Verdana" w:cs="Century Gothic"/>
        </w:rPr>
        <w:t xml:space="preserve">: Teniendo en cuenta el régimen de inhabilidades e incompatibilidades consagrado en el Estatuto General de Contratación </w:t>
      </w:r>
      <w:r w:rsidR="006B66AB" w:rsidRPr="003621B1">
        <w:rPr>
          <w:rFonts w:ascii="Verdana" w:eastAsia="Century Gothic" w:hAnsi="Verdana" w:cs="Century Gothic"/>
        </w:rPr>
        <w:t xml:space="preserve">de la Administración Pública </w:t>
      </w:r>
      <w:r w:rsidRPr="003621B1">
        <w:rPr>
          <w:rFonts w:ascii="Verdana" w:eastAsia="Century Gothic" w:hAnsi="Verdana" w:cs="Century Gothic"/>
        </w:rPr>
        <w:t>¿</w:t>
      </w:r>
      <w:r w:rsidR="009748DA" w:rsidRPr="009B780A">
        <w:rPr>
          <w:rFonts w:ascii="Verdana" w:eastAsia="Century Gothic" w:hAnsi="Verdana" w:cs="Century Gothic"/>
        </w:rPr>
        <w:t>Existe</w:t>
      </w:r>
      <w:r w:rsidRPr="00E04C6E">
        <w:rPr>
          <w:rFonts w:ascii="Verdana" w:eastAsia="Century Gothic" w:hAnsi="Verdana" w:cs="Century Gothic"/>
        </w:rPr>
        <w:t xml:space="preserve"> </w:t>
      </w:r>
      <w:r w:rsidRPr="00585E47">
        <w:rPr>
          <w:rFonts w:ascii="Verdana" w:eastAsia="Century Gothic" w:hAnsi="Verdana" w:cs="Century Gothic"/>
        </w:rPr>
        <w:t xml:space="preserve">alguna inhabilidad o incompatibilidad </w:t>
      </w:r>
      <w:r w:rsidR="009748DA" w:rsidRPr="009B780A">
        <w:rPr>
          <w:rFonts w:ascii="Verdana" w:eastAsia="Century Gothic" w:hAnsi="Verdana" w:cs="Century Gothic"/>
        </w:rPr>
        <w:t xml:space="preserve">para que una persona </w:t>
      </w:r>
      <w:r w:rsidR="00D528B3" w:rsidRPr="009B780A">
        <w:rPr>
          <w:rFonts w:ascii="Verdana" w:eastAsia="Century Gothic" w:hAnsi="Verdana" w:cs="Century Gothic"/>
        </w:rPr>
        <w:t>natural pueda, de forma simultánea</w:t>
      </w:r>
      <w:r w:rsidR="003621B1" w:rsidRPr="009B780A">
        <w:rPr>
          <w:rFonts w:ascii="Verdana" w:eastAsia="Century Gothic" w:hAnsi="Verdana" w:cs="Century Gothic"/>
        </w:rPr>
        <w:t>,</w:t>
      </w:r>
      <w:r w:rsidR="00D528B3" w:rsidRPr="009B780A">
        <w:rPr>
          <w:rFonts w:ascii="Verdana" w:eastAsia="Century Gothic" w:hAnsi="Verdana" w:cs="Century Gothic"/>
        </w:rPr>
        <w:t xml:space="preserve"> </w:t>
      </w:r>
      <w:r w:rsidR="003621B1" w:rsidRPr="009B780A">
        <w:rPr>
          <w:rFonts w:ascii="Verdana" w:eastAsia="Century Gothic" w:hAnsi="Verdana" w:cs="Century Gothic"/>
        </w:rPr>
        <w:t>suscribir un contrato de prestación de servicios con</w:t>
      </w:r>
      <w:r w:rsidR="009748DA" w:rsidRPr="003621B1">
        <w:rPr>
          <w:rFonts w:ascii="Verdana" w:eastAsia="Century Gothic" w:hAnsi="Verdana" w:cs="Century Gothic"/>
        </w:rPr>
        <w:t xml:space="preserve"> </w:t>
      </w:r>
      <w:r w:rsidRPr="00585E47">
        <w:rPr>
          <w:rFonts w:ascii="Verdana" w:eastAsia="Century Gothic" w:hAnsi="Verdana" w:cs="Century Gothic"/>
        </w:rPr>
        <w:t xml:space="preserve">el Estado </w:t>
      </w:r>
      <w:r w:rsidR="003621B1" w:rsidRPr="008258D9">
        <w:rPr>
          <w:rFonts w:ascii="Verdana" w:eastAsia="Century Gothic" w:hAnsi="Verdana" w:cs="Century Gothic"/>
        </w:rPr>
        <w:t xml:space="preserve">y </w:t>
      </w:r>
      <w:r w:rsidRPr="00585E47">
        <w:rPr>
          <w:rFonts w:ascii="Verdana" w:eastAsia="Century Gothic" w:hAnsi="Verdana" w:cs="Century Gothic"/>
        </w:rPr>
        <w:t>vincularse como empleado público en una Empresa Social del Estado (ESE)?</w:t>
      </w:r>
    </w:p>
    <w:p w14:paraId="2F850829" w14:textId="77777777" w:rsidR="007926EE" w:rsidRPr="00593A5F" w:rsidRDefault="007926EE" w:rsidP="007926EE">
      <w:pPr>
        <w:spacing w:after="0" w:line="276" w:lineRule="auto"/>
        <w:jc w:val="both"/>
        <w:rPr>
          <w:rFonts w:ascii="Verdana" w:eastAsia="Calibri" w:hAnsi="Verdana" w:cs="Arial"/>
          <w:color w:val="7030A0"/>
          <w:lang w:val="es-ES"/>
        </w:rPr>
      </w:pPr>
    </w:p>
    <w:p w14:paraId="1D96E862" w14:textId="77777777" w:rsidR="007926EE" w:rsidRPr="00593A5F" w:rsidRDefault="007926EE" w:rsidP="007926E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lastRenderedPageBreak/>
        <w:t>Respuesta:</w:t>
      </w:r>
    </w:p>
    <w:p w14:paraId="415DC920" w14:textId="77777777" w:rsidR="007926EE" w:rsidRPr="00593A5F" w:rsidRDefault="007926EE" w:rsidP="007926E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926EE" w:rsidRPr="00593A5F" w14:paraId="45DDFB23" w14:textId="77777777" w:rsidTr="00F404BC">
        <w:tc>
          <w:tcPr>
            <w:tcW w:w="8828" w:type="dxa"/>
          </w:tcPr>
          <w:p w14:paraId="2D674B72" w14:textId="17CA3014" w:rsidR="00824932" w:rsidRPr="008B1081" w:rsidRDefault="00824932" w:rsidP="008B1081">
            <w:pPr>
              <w:widowControl w:val="0"/>
              <w:autoSpaceDE w:val="0"/>
              <w:autoSpaceDN w:val="0"/>
              <w:spacing w:after="120" w:line="276" w:lineRule="auto"/>
              <w:jc w:val="both"/>
              <w:rPr>
                <w:rFonts w:ascii="Verdana" w:eastAsia="Arial MT" w:hAnsi="Verdana" w:cs="Arial"/>
                <w:lang w:eastAsia="es-ES" w:bidi="es-ES"/>
              </w:rPr>
            </w:pPr>
            <w:r w:rsidRPr="008B1081">
              <w:rPr>
                <w:rFonts w:ascii="Verdana" w:eastAsia="Arial MT" w:hAnsi="Verdana" w:cs="Arial"/>
                <w:lang w:eastAsia="es-ES" w:bidi="es-ES"/>
              </w:rPr>
              <w:t xml:space="preserve">En el ordenamiento jurídico colombiano, las inhabilidades e incompatibilidades para contratar con el Estado o ejercer cargos públicos están reguladas de manera taxativa y restrictiva, lo que significa que solo pueden aplicarse en los casos expresamente previstos por la ley. </w:t>
            </w:r>
            <w:r w:rsidR="007926EE">
              <w:rPr>
                <w:rFonts w:ascii="Verdana" w:eastAsia="Arial MT" w:hAnsi="Verdana" w:cs="Arial"/>
                <w:lang w:eastAsia="es-ES" w:bidi="es-ES"/>
              </w:rPr>
              <w:t>Al analizar las causales de inhabilidad e incompatibilidad establecidas en el artículo 8 de la Ley 80 de 1993</w:t>
            </w:r>
            <w:r w:rsidR="00492DB8" w:rsidRPr="008B1081">
              <w:rPr>
                <w:rFonts w:ascii="Verdana" w:eastAsia="Arial MT" w:hAnsi="Verdana" w:cs="Arial"/>
                <w:lang w:eastAsia="es-ES" w:bidi="es-ES"/>
              </w:rPr>
              <w:t>,</w:t>
            </w:r>
            <w:r w:rsidR="007926EE">
              <w:rPr>
                <w:rFonts w:ascii="Verdana" w:eastAsia="Arial MT" w:hAnsi="Verdana" w:cs="Arial"/>
                <w:lang w:eastAsia="es-ES" w:bidi="es-ES"/>
              </w:rPr>
              <w:t xml:space="preserve"> </w:t>
            </w:r>
            <w:r w:rsidR="00F0089A" w:rsidRPr="008B1081">
              <w:rPr>
                <w:rFonts w:ascii="Verdana" w:eastAsia="Arial MT" w:hAnsi="Verdana" w:cs="Arial"/>
                <w:lang w:eastAsia="es-ES" w:bidi="es-ES"/>
              </w:rPr>
              <w:t>se observa que</w:t>
            </w:r>
            <w:r w:rsidR="007926EE" w:rsidRPr="008B1081">
              <w:rPr>
                <w:rFonts w:ascii="Verdana" w:eastAsia="Arial MT" w:hAnsi="Verdana" w:cs="Arial"/>
                <w:lang w:eastAsia="es-ES" w:bidi="es-ES"/>
              </w:rPr>
              <w:t xml:space="preserve"> </w:t>
            </w:r>
            <w:r w:rsidR="007926EE">
              <w:rPr>
                <w:rFonts w:ascii="Verdana" w:eastAsia="Arial MT" w:hAnsi="Verdana" w:cs="Arial"/>
                <w:lang w:eastAsia="es-ES" w:bidi="es-ES"/>
              </w:rPr>
              <w:t xml:space="preserve">el literal f) del numeral 1 </w:t>
            </w:r>
            <w:r w:rsidR="00492DB8" w:rsidRPr="008B1081">
              <w:rPr>
                <w:rFonts w:ascii="Verdana" w:eastAsia="Arial MT" w:hAnsi="Verdana" w:cs="Arial"/>
                <w:lang w:eastAsia="es-ES" w:bidi="es-ES"/>
              </w:rPr>
              <w:t>establece que los servidores públicos están inhabilitados para celebrar contratos con entidades estatales </w:t>
            </w:r>
            <w:r w:rsidR="007926EE">
              <w:rPr>
                <w:rFonts w:ascii="Verdana" w:eastAsia="Arial MT" w:hAnsi="Verdana" w:cs="Arial"/>
                <w:lang w:eastAsia="es-ES" w:bidi="es-ES"/>
              </w:rPr>
              <w:t xml:space="preserve">s. </w:t>
            </w:r>
          </w:p>
          <w:p w14:paraId="275EFB09" w14:textId="42A33566" w:rsidR="003013CD" w:rsidRPr="008B1081" w:rsidRDefault="00492DB8" w:rsidP="008B1081">
            <w:pPr>
              <w:widowControl w:val="0"/>
              <w:autoSpaceDE w:val="0"/>
              <w:autoSpaceDN w:val="0"/>
              <w:spacing w:after="120" w:line="276" w:lineRule="auto"/>
              <w:ind w:firstLine="709"/>
              <w:jc w:val="both"/>
              <w:rPr>
                <w:rFonts w:ascii="Verdana" w:eastAsia="Arial MT" w:hAnsi="Verdana" w:cs="Arial"/>
                <w:lang w:eastAsia="es-ES" w:bidi="es-ES"/>
              </w:rPr>
            </w:pPr>
            <w:r w:rsidRPr="008B1081">
              <w:rPr>
                <w:rFonts w:ascii="Verdana" w:eastAsia="Arial MT" w:hAnsi="Verdana" w:cs="Arial"/>
                <w:lang w:eastAsia="es-ES" w:bidi="es-ES"/>
              </w:rPr>
              <w:t>Esta</w:t>
            </w:r>
            <w:r w:rsidR="007926EE">
              <w:rPr>
                <w:rFonts w:ascii="Verdana" w:eastAsia="Arial MT" w:hAnsi="Verdana" w:cs="Arial"/>
                <w:lang w:eastAsia="es-ES" w:bidi="es-ES"/>
              </w:rPr>
              <w:t xml:space="preserve"> restricción a la capacidad contractual que deviene de esta causal encuentra fundamento en la prohibición de orden constitucional consagrada en el artículo 127 superior, que establece que “</w:t>
            </w:r>
            <w:r w:rsidR="007926EE" w:rsidRPr="00C63B1C">
              <w:rPr>
                <w:rFonts w:ascii="Verdana" w:eastAsia="Arial MT" w:hAnsi="Verdana" w:cs="Arial"/>
                <w:i/>
                <w:iCs/>
                <w:lang w:eastAsia="es-ES" w:bidi="es-ES"/>
              </w:rPr>
              <w:t>los servidores públicos no podrán celebrar, por sí o por interpuesta persona, o en representación de otro, contrato alguno con entidades públicas o con personas privadas que manejen o administren recursos públicos, salvo las excepciones legales</w:t>
            </w:r>
            <w:r w:rsidR="007926EE" w:rsidRPr="00C63B1C">
              <w:rPr>
                <w:rFonts w:ascii="Verdana" w:eastAsia="Arial MT" w:hAnsi="Verdana" w:cs="Arial"/>
                <w:lang w:eastAsia="es-ES" w:bidi="es-ES"/>
              </w:rPr>
              <w:t>”.</w:t>
            </w:r>
            <w:r w:rsidRPr="008B1081">
              <w:rPr>
                <w:rFonts w:ascii="Verdana" w:eastAsia="Arial MT" w:hAnsi="Verdana" w:cs="Arial"/>
                <w:lang w:eastAsia="es-ES" w:bidi="es-ES"/>
              </w:rPr>
              <w:t xml:space="preserve"> </w:t>
            </w:r>
            <w:r w:rsidR="003013CD" w:rsidRPr="008B1081">
              <w:rPr>
                <w:rFonts w:ascii="Verdana" w:eastAsia="Arial MT" w:hAnsi="Verdana" w:cs="Arial"/>
                <w:lang w:eastAsia="es-ES" w:bidi="es-ES"/>
              </w:rPr>
              <w:t>Más adelante, el artículo 128 de la Constitución Política establece que nadie podrá desempeñar simultáneamente más de un empleo público ni recibir más de una asignación que provenga del tesoro público, o de empresas o de instituciones en las que tenga parte mayoritaria el Estado, salvo los casos expresamente determinados por la Ley.</w:t>
            </w:r>
          </w:p>
          <w:p w14:paraId="2666E8FD" w14:textId="5A374803" w:rsidR="007926EE" w:rsidRPr="00773889" w:rsidRDefault="007926EE" w:rsidP="00C63F53">
            <w:pPr>
              <w:widowControl w:val="0"/>
              <w:autoSpaceDE w:val="0"/>
              <w:autoSpaceDN w:val="0"/>
              <w:spacing w:after="120" w:line="276" w:lineRule="auto"/>
              <w:ind w:firstLine="709"/>
              <w:jc w:val="both"/>
              <w:rPr>
                <w:rFonts w:ascii="Verdana" w:hAnsi="Verdana"/>
              </w:rPr>
            </w:pPr>
            <w:r>
              <w:rPr>
                <w:rFonts w:ascii="Verdana" w:eastAsia="Arial MT" w:hAnsi="Verdana" w:cs="Arial"/>
                <w:lang w:eastAsia="es-ES" w:bidi="es-ES"/>
              </w:rPr>
              <w:t>No obstante, aun cuando los</w:t>
            </w:r>
            <w:r w:rsidRPr="00034D8F">
              <w:rPr>
                <w:rFonts w:ascii="Verdana" w:eastAsia="Arial MT" w:hAnsi="Verdana" w:cs="Arial"/>
                <w:lang w:eastAsia="es-ES" w:bidi="es-ES"/>
              </w:rPr>
              <w:t xml:space="preserve"> servidores públicos, por regla general, no pueden celebrar contratos con las entidades públicas, ni con entidades privadas que administren recursos públicos, </w:t>
            </w:r>
            <w:r>
              <w:rPr>
                <w:rFonts w:ascii="Verdana" w:eastAsia="Arial MT" w:hAnsi="Verdana" w:cs="Arial"/>
                <w:lang w:eastAsia="es-ES" w:bidi="es-ES"/>
              </w:rPr>
              <w:t>existen excepciones que consagra el artículo 10 de la Ley 80 de 1993, bajo los siguiente supuestos: i)</w:t>
            </w:r>
            <w:r w:rsidRPr="00034D8F">
              <w:rPr>
                <w:rFonts w:ascii="Verdana" w:eastAsia="Arial MT" w:hAnsi="Verdana" w:cs="Arial"/>
                <w:lang w:eastAsia="es-ES" w:bidi="es-ES"/>
              </w:rPr>
              <w:t xml:space="preserve"> cuando lo hagan por obligación legal, o </w:t>
            </w:r>
            <w:r>
              <w:rPr>
                <w:rFonts w:ascii="Verdana" w:eastAsia="Arial MT" w:hAnsi="Verdana" w:cs="Arial"/>
                <w:lang w:eastAsia="es-ES" w:bidi="es-ES"/>
              </w:rPr>
              <w:t xml:space="preserve">ii) </w:t>
            </w:r>
            <w:r w:rsidRPr="00034D8F">
              <w:rPr>
                <w:rFonts w:ascii="Verdana" w:eastAsia="Arial MT" w:hAnsi="Verdana" w:cs="Arial"/>
                <w:lang w:eastAsia="es-ES" w:bidi="es-ES"/>
              </w:rPr>
              <w:t xml:space="preserve">para usar bienes o servicios que las entidades ofrezcan al público en condiciones comunes a quienes lo soliciten, o </w:t>
            </w:r>
            <w:r>
              <w:rPr>
                <w:rFonts w:ascii="Verdana" w:eastAsia="Arial MT" w:hAnsi="Verdana" w:cs="Arial"/>
                <w:lang w:eastAsia="es-ES" w:bidi="es-ES"/>
              </w:rPr>
              <w:t xml:space="preserve">iii) </w:t>
            </w:r>
            <w:r w:rsidRPr="00034D8F">
              <w:rPr>
                <w:rFonts w:ascii="Verdana" w:eastAsia="Arial MT" w:hAnsi="Verdana" w:cs="Arial"/>
                <w:lang w:eastAsia="es-ES" w:bidi="es-ES"/>
              </w:rPr>
              <w:t>para adquirir la propiedad accionaria del Estado</w:t>
            </w:r>
            <w:r w:rsidRPr="00773889">
              <w:rPr>
                <w:rFonts w:ascii="Verdana" w:hAnsi="Verdana"/>
              </w:rPr>
              <w:t>.</w:t>
            </w:r>
          </w:p>
          <w:p w14:paraId="6E7CD400" w14:textId="74A9BF07" w:rsidR="007926EE" w:rsidRPr="00E85DF2" w:rsidRDefault="008253A1" w:rsidP="008258D9">
            <w:pPr>
              <w:widowControl w:val="0"/>
              <w:autoSpaceDE w:val="0"/>
              <w:autoSpaceDN w:val="0"/>
              <w:spacing w:line="276" w:lineRule="auto"/>
              <w:ind w:firstLine="709"/>
              <w:jc w:val="both"/>
              <w:rPr>
                <w:rFonts w:ascii="Verdana" w:eastAsia="Arial MT" w:hAnsi="Verdana" w:cs="Arial"/>
                <w:lang w:eastAsia="es-ES" w:bidi="es-ES"/>
              </w:rPr>
            </w:pPr>
            <w:r w:rsidRPr="00773889">
              <w:rPr>
                <w:rFonts w:ascii="Verdana" w:hAnsi="Verdana"/>
              </w:rPr>
              <w:t>Conforme a lo expuesto</w:t>
            </w:r>
            <w:r w:rsidR="00C54EDD" w:rsidRPr="00773889">
              <w:rPr>
                <w:rFonts w:ascii="Verdana" w:hAnsi="Verdana"/>
              </w:rPr>
              <w:t>, existe una inhabilidad para que una persona natural pueda ser contratista del Estado y, al mismo tiempo, ostente la calidad de servidor público de una Em</w:t>
            </w:r>
            <w:r w:rsidR="00010CCD" w:rsidRPr="00773889">
              <w:rPr>
                <w:rFonts w:ascii="Verdana" w:hAnsi="Verdana"/>
              </w:rPr>
              <w:t xml:space="preserve">presa Social del Estado. No obstante, </w:t>
            </w:r>
            <w:r w:rsidR="007926EE">
              <w:rPr>
                <w:rFonts w:ascii="Verdana" w:eastAsia="Arial MT" w:hAnsi="Verdana" w:cs="Arial"/>
                <w:lang w:eastAsia="es-ES" w:bidi="es-ES"/>
              </w:rPr>
              <w:t>en el marco de la</w:t>
            </w:r>
            <w:r w:rsidR="007926EE" w:rsidRPr="006A09D6">
              <w:rPr>
                <w:rFonts w:ascii="Verdana" w:eastAsia="Arial MT" w:hAnsi="Verdana" w:cs="Arial"/>
                <w:lang w:eastAsia="es-ES" w:bidi="es-ES"/>
              </w:rPr>
              <w:t xml:space="preserve"> facultad consultiva</w:t>
            </w:r>
            <w:r w:rsidR="007926EE">
              <w:rPr>
                <w:rFonts w:ascii="Verdana" w:eastAsia="Arial MT" w:hAnsi="Verdana" w:cs="Arial"/>
                <w:lang w:eastAsia="es-ES" w:bidi="es-ES"/>
              </w:rPr>
              <w:t xml:space="preserve"> que tiene esta Agencia</w:t>
            </w:r>
            <w:r w:rsidR="007926EE" w:rsidRPr="006A09D6">
              <w:rPr>
                <w:rFonts w:ascii="Verdana" w:eastAsia="Arial MT" w:hAnsi="Verdana" w:cs="Arial"/>
                <w:lang w:eastAsia="es-ES" w:bidi="es-ES"/>
              </w:rPr>
              <w:t xml:space="preserve">, </w:t>
            </w:r>
            <w:r w:rsidR="007926EE">
              <w:rPr>
                <w:rFonts w:ascii="Verdana" w:eastAsia="Arial MT" w:hAnsi="Verdana" w:cs="Arial"/>
                <w:lang w:eastAsia="es-ES" w:bidi="es-ES"/>
              </w:rPr>
              <w:t xml:space="preserve">se advierte que corresponde a la entidad estatal contratante determinar en cada caso concreto si se cumplen o no los supuestos de hecho y condiciones que dan lugar a la configuración de la referida </w:t>
            </w:r>
            <w:r w:rsidR="008B1081" w:rsidRPr="008B1081">
              <w:rPr>
                <w:rFonts w:ascii="Verdana" w:eastAsia="Arial MT" w:hAnsi="Verdana" w:cs="Arial"/>
                <w:lang w:eastAsia="es-ES" w:bidi="es-ES"/>
              </w:rPr>
              <w:t>restricción.</w:t>
            </w:r>
            <w:r w:rsidR="007926EE" w:rsidRPr="008B1081">
              <w:rPr>
                <w:rFonts w:ascii="Verdana" w:eastAsia="Arial MT" w:hAnsi="Verdana" w:cs="Arial"/>
                <w:lang w:eastAsia="es-ES" w:bidi="es-ES"/>
              </w:rPr>
              <w:t xml:space="preserve"> </w:t>
            </w:r>
            <w:r w:rsidR="007926EE">
              <w:rPr>
                <w:rFonts w:ascii="Verdana" w:eastAsia="Arial MT" w:hAnsi="Verdana" w:cs="Arial"/>
                <w:lang w:eastAsia="es-ES" w:bidi="es-ES"/>
              </w:rPr>
              <w:t>Así, será necesario evaluar para cada caso concreto la</w:t>
            </w:r>
            <w:r w:rsidR="007926EE" w:rsidRPr="006A09D6">
              <w:rPr>
                <w:rFonts w:ascii="Verdana" w:eastAsia="Arial MT" w:hAnsi="Verdana" w:cs="Arial"/>
                <w:lang w:eastAsia="es-ES" w:bidi="es-ES"/>
              </w:rPr>
              <w:t xml:space="preserve"> naturaleza de la vinculación </w:t>
            </w:r>
            <w:r w:rsidR="007926EE">
              <w:rPr>
                <w:rFonts w:ascii="Verdana" w:eastAsia="Arial MT" w:hAnsi="Verdana" w:cs="Arial"/>
                <w:lang w:eastAsia="es-ES" w:bidi="es-ES"/>
              </w:rPr>
              <w:t>del profesional especializado y establecer</w:t>
            </w:r>
            <w:r w:rsidR="007926EE" w:rsidRPr="006A09D6">
              <w:rPr>
                <w:rFonts w:ascii="Verdana" w:eastAsia="Arial MT" w:hAnsi="Verdana" w:cs="Arial"/>
                <w:lang w:eastAsia="es-ES" w:bidi="es-ES"/>
              </w:rPr>
              <w:t xml:space="preserve"> </w:t>
            </w:r>
            <w:r w:rsidR="007926EE">
              <w:rPr>
                <w:rFonts w:ascii="Verdana" w:eastAsia="Arial MT" w:hAnsi="Verdana" w:cs="Arial"/>
                <w:lang w:eastAsia="es-ES" w:bidi="es-ES"/>
              </w:rPr>
              <w:t xml:space="preserve">si </w:t>
            </w:r>
            <w:r w:rsidR="007926EE" w:rsidRPr="006A09D6">
              <w:rPr>
                <w:rFonts w:ascii="Verdana" w:eastAsia="Arial MT" w:hAnsi="Verdana" w:cs="Arial"/>
                <w:lang w:eastAsia="es-ES" w:bidi="es-ES"/>
              </w:rPr>
              <w:t xml:space="preserve">se puede configurar alguna de las causales de inhabilidad e </w:t>
            </w:r>
            <w:r w:rsidR="007926EE" w:rsidRPr="006A09D6">
              <w:rPr>
                <w:rFonts w:ascii="Verdana" w:eastAsia="Arial MT" w:hAnsi="Verdana" w:cs="Arial"/>
                <w:lang w:eastAsia="es-ES" w:bidi="es-ES"/>
              </w:rPr>
              <w:lastRenderedPageBreak/>
              <w:t>incompatibilidad en el contrato estatal en ejecución, más allá del pronunciamiento que amerite la materia relacionada con inhabilidades e incompatibilidades que recaigan sobre los servidores públicos, circunstancia que deberá resolverse ante las autoridades competentes como el Departamento Administrativo de la Función Pública – DAFP y, en lo referente a la materia del derecho disciplinario, la misma Procuraduría General de la Nación – PGN.</w:t>
            </w:r>
          </w:p>
        </w:tc>
      </w:tr>
    </w:tbl>
    <w:p w14:paraId="6FF8405C" w14:textId="77777777" w:rsidR="007926EE" w:rsidRPr="00593A5F" w:rsidRDefault="007926EE" w:rsidP="007926EE">
      <w:pPr>
        <w:tabs>
          <w:tab w:val="left" w:pos="142"/>
          <w:tab w:val="left" w:pos="284"/>
        </w:tabs>
        <w:spacing w:after="0" w:line="276" w:lineRule="auto"/>
        <w:jc w:val="both"/>
        <w:rPr>
          <w:rFonts w:ascii="Verdana" w:eastAsia="Century Gothic" w:hAnsi="Verdana" w:cs="Century Gothic"/>
          <w:b/>
          <w:bCs/>
          <w:lang w:val="es-ES"/>
        </w:rPr>
      </w:pPr>
    </w:p>
    <w:p w14:paraId="21C9F0AD" w14:textId="77777777" w:rsidR="007926EE" w:rsidRPr="00593A5F" w:rsidRDefault="007926EE" w:rsidP="007926E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5B22DC03" w14:textId="77777777" w:rsidR="007926EE" w:rsidRPr="00593A5F" w:rsidRDefault="007926EE" w:rsidP="007926EE">
      <w:pPr>
        <w:spacing w:after="0" w:line="276" w:lineRule="auto"/>
        <w:jc w:val="both"/>
        <w:rPr>
          <w:rFonts w:ascii="Verdana" w:eastAsia="Calibri" w:hAnsi="Verdana" w:cs="Arial"/>
          <w:color w:val="7030A0"/>
          <w:lang w:val="es-ES"/>
        </w:rPr>
      </w:pPr>
    </w:p>
    <w:p w14:paraId="635F3DA6" w14:textId="77777777" w:rsidR="007926EE" w:rsidRPr="00B96799" w:rsidRDefault="007926EE" w:rsidP="007926EE">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57CCEBFC" w14:textId="77777777" w:rsidR="007926EE" w:rsidRDefault="007926EE" w:rsidP="007926EE">
      <w:pPr>
        <w:spacing w:after="0" w:line="276" w:lineRule="auto"/>
        <w:jc w:val="both"/>
        <w:rPr>
          <w:rFonts w:ascii="Verdana" w:eastAsia="Calibri" w:hAnsi="Verdana" w:cs="Arial"/>
          <w:color w:val="7030A0"/>
          <w:lang w:val="es-ES"/>
        </w:rPr>
      </w:pPr>
    </w:p>
    <w:p w14:paraId="6B8604DA" w14:textId="2F1272BE" w:rsidR="007926EE" w:rsidRPr="00BE021E" w:rsidRDefault="007926EE" w:rsidP="007926EE">
      <w:pPr>
        <w:widowControl w:val="0"/>
        <w:autoSpaceDE w:val="0"/>
        <w:autoSpaceDN w:val="0"/>
        <w:spacing w:after="120" w:line="276" w:lineRule="auto"/>
        <w:jc w:val="both"/>
        <w:rPr>
          <w:rFonts w:ascii="Verdana" w:eastAsia="Calibri" w:hAnsi="Verdana" w:cs="Arial"/>
          <w:lang w:val="es-ES"/>
        </w:rPr>
      </w:pPr>
      <w:r>
        <w:rPr>
          <w:rFonts w:ascii="Verdana" w:eastAsia="Calibri" w:hAnsi="Verdana" w:cs="Arial"/>
          <w:lang w:val="es-ES"/>
        </w:rPr>
        <w:t xml:space="preserve">Teniendo en cuenta que en la contratación estatal la capacidad </w:t>
      </w:r>
      <w:r w:rsidR="00D05058">
        <w:rPr>
          <w:rFonts w:ascii="Verdana" w:eastAsia="Calibri" w:hAnsi="Verdana" w:cs="Arial"/>
          <w:lang w:val="es-ES"/>
        </w:rPr>
        <w:t xml:space="preserve">juridica </w:t>
      </w:r>
      <w:r>
        <w:rPr>
          <w:rFonts w:ascii="Verdana" w:eastAsia="Calibri" w:hAnsi="Verdana" w:cs="Arial"/>
          <w:lang w:val="es-ES"/>
        </w:rPr>
        <w:t>es un requisito de validez de los contratos, se destaca el régimen de inhabilidades e incompatibilidades como</w:t>
      </w:r>
      <w:r w:rsidRPr="00BE021E">
        <w:rPr>
          <w:rFonts w:ascii="Verdana" w:eastAsia="Calibri" w:hAnsi="Verdana" w:cs="Arial"/>
          <w:lang w:val="es-ES"/>
        </w:rPr>
        <w:t xml:space="preserve"> un conjunto de normas que impone</w:t>
      </w:r>
      <w:r w:rsidR="00425561">
        <w:rPr>
          <w:rFonts w:ascii="Verdana" w:eastAsia="Calibri" w:hAnsi="Verdana" w:cs="Arial"/>
          <w:lang w:val="es-ES"/>
        </w:rPr>
        <w:t>n</w:t>
      </w:r>
      <w:r w:rsidRPr="00BE021E">
        <w:rPr>
          <w:rFonts w:ascii="Verdana" w:eastAsia="Calibri" w:hAnsi="Verdana" w:cs="Arial"/>
          <w:lang w:val="es-ES"/>
        </w:rPr>
        <w:t xml:space="preserve"> restricciones para los sujetos que</w:t>
      </w:r>
      <w:r w:rsidR="0000762D">
        <w:rPr>
          <w:rFonts w:ascii="Verdana" w:eastAsia="Calibri" w:hAnsi="Verdana" w:cs="Arial"/>
          <w:lang w:val="es-ES"/>
        </w:rPr>
        <w:t>,</w:t>
      </w:r>
      <w:r w:rsidRPr="00BE021E">
        <w:rPr>
          <w:rFonts w:ascii="Verdana" w:eastAsia="Calibri" w:hAnsi="Verdana" w:cs="Arial"/>
          <w:lang w:val="es-ES"/>
        </w:rPr>
        <w:t xml:space="preserve"> eventualmente</w:t>
      </w:r>
      <w:r w:rsidR="0000762D">
        <w:rPr>
          <w:rFonts w:ascii="Verdana" w:eastAsia="Calibri" w:hAnsi="Verdana" w:cs="Arial"/>
          <w:lang w:val="es-ES"/>
        </w:rPr>
        <w:t>,</w:t>
      </w:r>
      <w:r w:rsidRPr="00BE021E">
        <w:rPr>
          <w:rFonts w:ascii="Verdana" w:eastAsia="Calibri" w:hAnsi="Verdana" w:cs="Arial"/>
          <w:lang w:val="es-ES"/>
        </w:rPr>
        <w:t xml:space="preserve"> pretendan participar en los procedimientos de selección o en la celebración de contratos con las entidades estatales, constituyendo “</w:t>
      </w:r>
      <w:r w:rsidRPr="00BE021E">
        <w:rPr>
          <w:rFonts w:ascii="Verdana" w:eastAsia="Calibri" w:hAnsi="Verdana" w:cs="Arial"/>
          <w:i/>
          <w:iCs/>
          <w:lang w:val="es-ES"/>
        </w:rPr>
        <w:t>prohibiciones que restringen la capacidad y la libertad de un contratista para acceder a la contratación</w:t>
      </w:r>
      <w:r w:rsidRPr="00BE021E">
        <w:rPr>
          <w:rFonts w:ascii="Verdana" w:eastAsia="Calibri" w:hAnsi="Verdana" w:cs="Arial"/>
          <w:lang w:val="es-ES"/>
        </w:rPr>
        <w:t>”</w:t>
      </w:r>
      <w:r w:rsidRPr="00BE021E">
        <w:rPr>
          <w:rStyle w:val="Refdenotaalpie"/>
          <w:rFonts w:ascii="Verdana" w:eastAsia="Calibri" w:hAnsi="Verdana" w:cs="Arial"/>
          <w:lang w:val="es-ES"/>
        </w:rPr>
        <w:footnoteReference w:id="2"/>
      </w:r>
      <w:r w:rsidRPr="00BE021E">
        <w:rPr>
          <w:rFonts w:ascii="Verdana" w:eastAsia="Calibri" w:hAnsi="Verdana" w:cs="Arial"/>
          <w:lang w:val="es-ES"/>
        </w:rPr>
        <w:t xml:space="preserve">. </w:t>
      </w:r>
    </w:p>
    <w:p w14:paraId="0F750507" w14:textId="3D52B856" w:rsidR="007926EE" w:rsidRPr="00BE021E" w:rsidRDefault="007926EE" w:rsidP="007926EE">
      <w:pPr>
        <w:widowControl w:val="0"/>
        <w:autoSpaceDE w:val="0"/>
        <w:autoSpaceDN w:val="0"/>
        <w:spacing w:after="120" w:line="276" w:lineRule="auto"/>
        <w:ind w:firstLine="708"/>
        <w:jc w:val="both"/>
        <w:rPr>
          <w:rFonts w:ascii="Verdana" w:eastAsia="Calibri" w:hAnsi="Verdana" w:cs="Arial"/>
          <w:lang w:val="es-ES"/>
        </w:rPr>
      </w:pPr>
      <w:r w:rsidRPr="00BE021E">
        <w:rPr>
          <w:rFonts w:ascii="Verdana" w:eastAsia="Calibri" w:hAnsi="Verdana" w:cs="Arial"/>
          <w:lang w:val="es-ES"/>
        </w:rPr>
        <w:t xml:space="preserve">De una parte, las inhabilidades son prohibiciones para concurrir a los procedimientos de selección y para contratar con el Estado, que se derivan i) de la existencia de comportamientos reprochables o de sanciones anteriormente </w:t>
      </w:r>
      <w:r w:rsidRPr="00BE021E">
        <w:rPr>
          <w:rFonts w:ascii="Verdana" w:eastAsia="Calibri" w:hAnsi="Verdana" w:cs="Arial"/>
          <w:lang w:val="es-ES"/>
        </w:rPr>
        <w:lastRenderedPageBreak/>
        <w:t>impuestas</w:t>
      </w:r>
      <w:r w:rsidRPr="00BE021E">
        <w:rPr>
          <w:rFonts w:ascii="Verdana" w:eastAsia="Calibri" w:hAnsi="Verdana" w:cs="Arial"/>
          <w:vertAlign w:val="superscript"/>
          <w:lang w:val="es-ES"/>
        </w:rPr>
        <w:footnoteReference w:id="3"/>
      </w:r>
      <w:r w:rsidRPr="00BE021E">
        <w:rPr>
          <w:rFonts w:ascii="Verdana" w:eastAsia="Calibri" w:hAnsi="Verdana" w:cs="Arial"/>
          <w:lang w:val="es-ES"/>
        </w:rPr>
        <w:t>, ii) de vínculos personales relativos al parentesco o al estado civil</w:t>
      </w:r>
      <w:r w:rsidRPr="00BE021E">
        <w:rPr>
          <w:rFonts w:ascii="Verdana" w:eastAsia="Calibri" w:hAnsi="Verdana" w:cs="Arial"/>
          <w:vertAlign w:val="superscript"/>
          <w:lang w:val="es-ES"/>
        </w:rPr>
        <w:footnoteReference w:id="4"/>
      </w:r>
      <w:r w:rsidRPr="00BE021E">
        <w:rPr>
          <w:rFonts w:ascii="Verdana" w:eastAsia="Calibri" w:hAnsi="Verdana" w:cs="Arial"/>
          <w:lang w:val="es-ES"/>
        </w:rPr>
        <w:t xml:space="preserve"> o iii) de una actividad u oficio que se desempeñó en el pasado</w:t>
      </w:r>
      <w:r w:rsidRPr="00BE021E">
        <w:rPr>
          <w:rFonts w:ascii="Verdana" w:eastAsia="Calibri" w:hAnsi="Verdana" w:cs="Arial"/>
          <w:vertAlign w:val="superscript"/>
          <w:lang w:val="es-ES"/>
        </w:rPr>
        <w:footnoteReference w:id="5"/>
      </w:r>
      <w:r w:rsidRPr="00BE021E">
        <w:rPr>
          <w:rFonts w:ascii="Verdana" w:eastAsia="Calibri" w:hAnsi="Verdana" w:cs="Arial"/>
          <w:lang w:val="es-ES"/>
        </w:rPr>
        <w:t xml:space="preserve">. De otra, las </w:t>
      </w:r>
      <w:r w:rsidRPr="00BE021E">
        <w:rPr>
          <w:rFonts w:ascii="Verdana" w:eastAsia="Calibri" w:hAnsi="Verdana" w:cs="Arial"/>
          <w:lang w:val="es-ES"/>
        </w:rPr>
        <w:lastRenderedPageBreak/>
        <w:t>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BE021E">
        <w:rPr>
          <w:rFonts w:ascii="Verdana" w:eastAsia="Calibri" w:hAnsi="Verdana" w:cs="Arial"/>
          <w:vertAlign w:val="superscript"/>
          <w:lang w:val="es-ES"/>
        </w:rPr>
        <w:footnoteReference w:id="6"/>
      </w:r>
      <w:r w:rsidRPr="00BE021E">
        <w:rPr>
          <w:rFonts w:ascii="Verdana" w:eastAsia="Calibri" w:hAnsi="Verdana" w:cs="Arial"/>
          <w:lang w:val="es-ES"/>
        </w:rPr>
        <w:t>.</w:t>
      </w:r>
      <w:r w:rsidR="00EF5664">
        <w:rPr>
          <w:rFonts w:ascii="Verdana" w:eastAsia="Calibri" w:hAnsi="Verdana" w:cs="Arial"/>
          <w:lang w:val="es-ES"/>
        </w:rPr>
        <w:t xml:space="preserve"> Tanto las inhabilidades como las incompatibilidades se encuentran principalmente en el artículo 8 de la Ley 80 de 1993.</w:t>
      </w:r>
    </w:p>
    <w:p w14:paraId="174E8B54" w14:textId="452B1956" w:rsidR="007926EE" w:rsidRDefault="007926EE" w:rsidP="00773889">
      <w:pPr>
        <w:widowControl w:val="0"/>
        <w:autoSpaceDE w:val="0"/>
        <w:autoSpaceDN w:val="0"/>
        <w:spacing w:after="120" w:line="276" w:lineRule="auto"/>
        <w:jc w:val="both"/>
        <w:rPr>
          <w:rFonts w:ascii="Verdana" w:eastAsia="Calibri" w:hAnsi="Verdana" w:cs="Arial"/>
          <w:color w:val="7030A0"/>
          <w:lang w:val="es-ES"/>
        </w:rPr>
      </w:pPr>
      <w:r w:rsidRPr="00BE021E">
        <w:rPr>
          <w:rFonts w:ascii="Verdana" w:eastAsia="Calibri" w:hAnsi="Verdana" w:cs="Arial"/>
          <w:lang w:val="es-ES"/>
        </w:rPr>
        <w:tab/>
        <w:t xml:space="preserve">Debido a las restricciones que impone el régimen de inhabilidades e incompatibilidades, este se tipifica en la Ley expresamente y su interpretación debe ser restrictiva. Es decir, las causales de inhabilidad e </w:t>
      </w:r>
      <w:r w:rsidR="005A229A" w:rsidRPr="00BE021E">
        <w:rPr>
          <w:rFonts w:ascii="Verdana" w:eastAsia="Calibri" w:hAnsi="Verdana" w:cs="Arial"/>
          <w:lang w:val="es-ES"/>
        </w:rPr>
        <w:t>i</w:t>
      </w:r>
      <w:r w:rsidR="005A229A">
        <w:rPr>
          <w:rFonts w:ascii="Verdana" w:eastAsia="Calibri" w:hAnsi="Verdana" w:cs="Arial"/>
          <w:lang w:val="es-ES"/>
        </w:rPr>
        <w:t xml:space="preserve">ncompatibilidad </w:t>
      </w:r>
      <w:r w:rsidRPr="00BE021E">
        <w:rPr>
          <w:rFonts w:ascii="Verdana" w:eastAsia="Calibri" w:hAnsi="Verdana" w:cs="Arial"/>
          <w:lang w:val="es-ES"/>
        </w:rPr>
        <w:t>deben estar enunciadas en las normas de forma taxativa y al aplicarse en una situación particular su interpretación debe ser restrictiva, de tal forma que no se admita una interpretación amplia o extensiva que permita contemplar supuestos indeterminados como causales de inhabilidad o impedimentos.</w:t>
      </w:r>
    </w:p>
    <w:p w14:paraId="332FB2A2" w14:textId="77777777" w:rsidR="006251A4" w:rsidRDefault="007926EE" w:rsidP="00773889">
      <w:pPr>
        <w:widowControl w:val="0"/>
        <w:autoSpaceDE w:val="0"/>
        <w:autoSpaceDN w:val="0"/>
        <w:spacing w:after="120" w:line="276" w:lineRule="auto"/>
        <w:ind w:firstLine="708"/>
        <w:jc w:val="both"/>
        <w:rPr>
          <w:rFonts w:ascii="Verdana" w:eastAsia="Arial MT" w:hAnsi="Verdana" w:cs="Arial"/>
        </w:rPr>
      </w:pPr>
      <w:r>
        <w:rPr>
          <w:rFonts w:ascii="Verdana" w:eastAsia="Arial MT" w:hAnsi="Verdana" w:cs="Arial"/>
        </w:rPr>
        <w:t>E</w:t>
      </w:r>
      <w:r w:rsidRPr="006A09D6">
        <w:rPr>
          <w:rFonts w:ascii="Verdana" w:eastAsia="Arial MT" w:hAnsi="Verdana" w:cs="Arial"/>
        </w:rPr>
        <w:t>l</w:t>
      </w:r>
      <w:r w:rsidRPr="006A09D6">
        <w:rPr>
          <w:rFonts w:ascii="Verdana" w:eastAsia="Arial MT" w:hAnsi="Verdana" w:cs="Arial"/>
          <w:spacing w:val="-10"/>
        </w:rPr>
        <w:t xml:space="preserve"> </w:t>
      </w:r>
      <w:r w:rsidRPr="006A09D6">
        <w:rPr>
          <w:rFonts w:ascii="Verdana" w:eastAsia="Arial MT" w:hAnsi="Verdana" w:cs="Arial"/>
        </w:rPr>
        <w:t>máximo</w:t>
      </w:r>
      <w:r w:rsidRPr="006A09D6">
        <w:rPr>
          <w:rFonts w:ascii="Verdana" w:eastAsia="Arial MT" w:hAnsi="Verdana" w:cs="Arial"/>
          <w:spacing w:val="-10"/>
        </w:rPr>
        <w:t xml:space="preserve"> </w:t>
      </w:r>
      <w:r w:rsidRPr="006A09D6">
        <w:rPr>
          <w:rFonts w:ascii="Verdana" w:eastAsia="Arial MT" w:hAnsi="Verdana" w:cs="Arial"/>
        </w:rPr>
        <w:t>tribunal</w:t>
      </w:r>
      <w:r w:rsidRPr="006A09D6">
        <w:rPr>
          <w:rFonts w:ascii="Verdana" w:eastAsia="Arial MT" w:hAnsi="Verdana" w:cs="Arial"/>
          <w:spacing w:val="-9"/>
        </w:rPr>
        <w:t xml:space="preserve"> </w:t>
      </w:r>
      <w:r w:rsidRPr="006A09D6">
        <w:rPr>
          <w:rFonts w:ascii="Verdana" w:eastAsia="Arial MT" w:hAnsi="Verdana" w:cs="Arial"/>
        </w:rPr>
        <w:t>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6A09D6">
        <w:rPr>
          <w:rFonts w:ascii="Verdana" w:eastAsia="Arial MT" w:hAnsi="Verdana" w:cs="Arial"/>
          <w:vertAlign w:val="superscript"/>
        </w:rPr>
        <w:footnoteReference w:id="7"/>
      </w:r>
      <w:r w:rsidRPr="006A09D6">
        <w:rPr>
          <w:rFonts w:ascii="Verdana" w:eastAsia="Arial MT" w:hAnsi="Verdana" w:cs="Arial"/>
        </w:rPr>
        <w:t xml:space="preserve">. </w:t>
      </w:r>
    </w:p>
    <w:p w14:paraId="3B43C851" w14:textId="57354F4A" w:rsidR="007926EE" w:rsidRPr="006A09D6" w:rsidRDefault="007926EE" w:rsidP="007926EE">
      <w:pPr>
        <w:widowControl w:val="0"/>
        <w:autoSpaceDE w:val="0"/>
        <w:autoSpaceDN w:val="0"/>
        <w:spacing w:before="120" w:after="0" w:line="276" w:lineRule="auto"/>
        <w:ind w:firstLine="708"/>
        <w:jc w:val="both"/>
        <w:rPr>
          <w:rFonts w:ascii="Verdana" w:eastAsia="Arial MT" w:hAnsi="Verdana" w:cs="Arial"/>
        </w:rPr>
      </w:pPr>
      <w:r w:rsidRPr="006A09D6">
        <w:rPr>
          <w:rFonts w:ascii="Verdana" w:eastAsia="Arial MT" w:hAnsi="Verdana" w:cs="Arial"/>
        </w:rPr>
        <w:lastRenderedPageBreak/>
        <w:t>Por su parte, el Consejo de Estado también ha acogido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6A09D6">
        <w:rPr>
          <w:rFonts w:ascii="Verdana" w:eastAsia="Arial MT" w:hAnsi="Verdana" w:cs="Arial"/>
          <w:vertAlign w:val="superscript"/>
        </w:rPr>
        <w:footnoteReference w:id="8"/>
      </w:r>
      <w:r w:rsidRPr="006A09D6">
        <w:rPr>
          <w:rFonts w:ascii="Verdana" w:eastAsia="Arial MT" w:hAnsi="Verdana" w:cs="Arial"/>
        </w:rPr>
        <w:t>. En tal sentido, la Sección Tercera ha señalado que:</w:t>
      </w:r>
    </w:p>
    <w:p w14:paraId="3268AB1C" w14:textId="77777777" w:rsidR="007926EE" w:rsidRPr="006A09D6" w:rsidRDefault="007926EE" w:rsidP="007926EE">
      <w:pPr>
        <w:widowControl w:val="0"/>
        <w:autoSpaceDE w:val="0"/>
        <w:autoSpaceDN w:val="0"/>
        <w:spacing w:after="0" w:line="276" w:lineRule="auto"/>
        <w:ind w:firstLine="708"/>
        <w:jc w:val="both"/>
        <w:rPr>
          <w:rFonts w:ascii="Verdana" w:eastAsia="Arial MT" w:hAnsi="Verdana" w:cs="Arial"/>
          <w:sz w:val="25"/>
        </w:rPr>
      </w:pPr>
    </w:p>
    <w:p w14:paraId="74792949" w14:textId="77777777" w:rsidR="007926EE" w:rsidRPr="006A09D6" w:rsidRDefault="007926EE" w:rsidP="007926EE">
      <w:pPr>
        <w:widowControl w:val="0"/>
        <w:autoSpaceDE w:val="0"/>
        <w:autoSpaceDN w:val="0"/>
        <w:spacing w:after="0" w:line="240" w:lineRule="auto"/>
        <w:ind w:left="709" w:right="709"/>
        <w:jc w:val="both"/>
        <w:rPr>
          <w:rFonts w:ascii="Verdana" w:eastAsia="Calibri" w:hAnsi="Verdana" w:cs="Arial"/>
          <w:sz w:val="20"/>
          <w:szCs w:val="20"/>
        </w:rPr>
      </w:pPr>
      <w:r w:rsidRPr="006A09D6">
        <w:rPr>
          <w:rFonts w:ascii="Verdana" w:eastAsia="Arial MT" w:hAnsi="Verdana" w:cs="Arial"/>
          <w:sz w:val="20"/>
          <w:szCs w:val="20"/>
        </w:rPr>
        <w:t>“[…]</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de</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conformidad</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con</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la</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jurisprudencia</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uniforme</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y</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reiterada</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de</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esta</w:t>
      </w:r>
      <w:r w:rsidRPr="006A09D6">
        <w:rPr>
          <w:rFonts w:ascii="Verdana" w:eastAsia="Arial MT" w:hAnsi="Verdana" w:cs="Arial"/>
          <w:spacing w:val="-56"/>
          <w:sz w:val="20"/>
          <w:szCs w:val="20"/>
        </w:rPr>
        <w:t xml:space="preserve"> </w:t>
      </w:r>
      <w:r w:rsidRPr="006A09D6">
        <w:rPr>
          <w:rFonts w:ascii="Verdana" w:eastAsia="Arial MT" w:hAnsi="Verdana" w:cs="Arial"/>
          <w:sz w:val="20"/>
          <w:szCs w:val="20"/>
        </w:rPr>
        <w:t>Corporación, la aplicación de las normas que contemplan inhabilidades e</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incompatibilidades,</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como</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en</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general</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de</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todas</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aquellas</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que</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comportan</w:t>
      </w:r>
      <w:r w:rsidRPr="006A09D6">
        <w:rPr>
          <w:rFonts w:ascii="Verdana" w:eastAsia="Arial MT" w:hAnsi="Verdana" w:cs="Arial"/>
          <w:spacing w:val="-56"/>
          <w:sz w:val="20"/>
          <w:szCs w:val="20"/>
        </w:rPr>
        <w:t xml:space="preserve"> </w:t>
      </w:r>
      <w:r w:rsidRPr="006A09D6">
        <w:rPr>
          <w:rFonts w:ascii="Verdana" w:eastAsia="Arial MT" w:hAnsi="Verdana" w:cs="Arial"/>
          <w:sz w:val="20"/>
          <w:szCs w:val="20"/>
        </w:rPr>
        <w:t>prohibiciones</w:t>
      </w:r>
      <w:r w:rsidRPr="006A09D6">
        <w:rPr>
          <w:rFonts w:ascii="Verdana" w:eastAsia="Arial MT" w:hAnsi="Verdana" w:cs="Arial"/>
          <w:spacing w:val="-12"/>
          <w:sz w:val="20"/>
          <w:szCs w:val="20"/>
        </w:rPr>
        <w:t xml:space="preserve"> </w:t>
      </w:r>
      <w:r w:rsidRPr="006A09D6">
        <w:rPr>
          <w:rFonts w:ascii="Verdana" w:eastAsia="Arial MT" w:hAnsi="Verdana" w:cs="Arial"/>
          <w:sz w:val="20"/>
          <w:szCs w:val="20"/>
        </w:rPr>
        <w:t>o</w:t>
      </w:r>
      <w:r w:rsidRPr="006A09D6">
        <w:rPr>
          <w:rFonts w:ascii="Verdana" w:eastAsia="Arial MT" w:hAnsi="Verdana" w:cs="Arial"/>
          <w:spacing w:val="-13"/>
          <w:sz w:val="20"/>
          <w:szCs w:val="20"/>
        </w:rPr>
        <w:t xml:space="preserve"> </w:t>
      </w:r>
      <w:r w:rsidRPr="006A09D6">
        <w:rPr>
          <w:rFonts w:ascii="Verdana" w:eastAsia="Arial MT" w:hAnsi="Verdana" w:cs="Arial"/>
          <w:sz w:val="20"/>
          <w:szCs w:val="20"/>
        </w:rPr>
        <w:t>limitaciones,</w:t>
      </w:r>
      <w:r w:rsidRPr="006A09D6">
        <w:rPr>
          <w:rFonts w:ascii="Verdana" w:eastAsia="Arial MT" w:hAnsi="Verdana" w:cs="Arial"/>
          <w:spacing w:val="-12"/>
          <w:sz w:val="20"/>
          <w:szCs w:val="20"/>
        </w:rPr>
        <w:t xml:space="preserve"> </w:t>
      </w:r>
      <w:r w:rsidRPr="006A09D6">
        <w:rPr>
          <w:rFonts w:ascii="Verdana" w:eastAsia="Arial MT" w:hAnsi="Verdana" w:cs="Arial"/>
          <w:sz w:val="20"/>
          <w:szCs w:val="20"/>
        </w:rPr>
        <w:t>deben</w:t>
      </w:r>
      <w:r w:rsidRPr="006A09D6">
        <w:rPr>
          <w:rFonts w:ascii="Verdana" w:eastAsia="Arial MT" w:hAnsi="Verdana" w:cs="Arial"/>
          <w:spacing w:val="-13"/>
          <w:sz w:val="20"/>
          <w:szCs w:val="20"/>
        </w:rPr>
        <w:t xml:space="preserve"> </w:t>
      </w:r>
      <w:r w:rsidRPr="006A09D6">
        <w:rPr>
          <w:rFonts w:ascii="Verdana" w:eastAsia="Arial MT" w:hAnsi="Verdana" w:cs="Arial"/>
          <w:sz w:val="20"/>
          <w:szCs w:val="20"/>
        </w:rPr>
        <w:t>responder</w:t>
      </w:r>
      <w:r w:rsidRPr="006A09D6">
        <w:rPr>
          <w:rFonts w:ascii="Verdana" w:eastAsia="Arial MT" w:hAnsi="Verdana" w:cs="Arial"/>
          <w:spacing w:val="-13"/>
          <w:sz w:val="20"/>
          <w:szCs w:val="20"/>
        </w:rPr>
        <w:t xml:space="preserve"> </w:t>
      </w:r>
      <w:r w:rsidRPr="006A09D6">
        <w:rPr>
          <w:rFonts w:ascii="Verdana" w:eastAsia="Arial MT" w:hAnsi="Verdana" w:cs="Arial"/>
          <w:sz w:val="20"/>
          <w:szCs w:val="20"/>
        </w:rPr>
        <w:t>a</w:t>
      </w:r>
      <w:r w:rsidRPr="006A09D6">
        <w:rPr>
          <w:rFonts w:ascii="Verdana" w:eastAsia="Arial MT" w:hAnsi="Verdana" w:cs="Arial"/>
          <w:spacing w:val="-12"/>
          <w:sz w:val="20"/>
          <w:szCs w:val="20"/>
        </w:rPr>
        <w:t xml:space="preserve"> </w:t>
      </w:r>
      <w:r w:rsidRPr="006A09D6">
        <w:rPr>
          <w:rFonts w:ascii="Verdana" w:eastAsia="Arial MT" w:hAnsi="Verdana" w:cs="Arial"/>
          <w:sz w:val="20"/>
          <w:szCs w:val="20"/>
        </w:rPr>
        <w:t>una</w:t>
      </w:r>
      <w:r w:rsidRPr="006A09D6">
        <w:rPr>
          <w:rFonts w:ascii="Verdana" w:eastAsia="Arial MT" w:hAnsi="Verdana" w:cs="Arial"/>
          <w:spacing w:val="-13"/>
          <w:sz w:val="20"/>
          <w:szCs w:val="20"/>
        </w:rPr>
        <w:t xml:space="preserve"> </w:t>
      </w:r>
      <w:r w:rsidRPr="006A09D6">
        <w:rPr>
          <w:rFonts w:ascii="Verdana" w:eastAsia="Arial MT" w:hAnsi="Verdana" w:cs="Arial"/>
          <w:sz w:val="20"/>
          <w:szCs w:val="20"/>
        </w:rPr>
        <w:t>interpretación</w:t>
      </w:r>
      <w:r w:rsidRPr="006A09D6">
        <w:rPr>
          <w:rFonts w:ascii="Verdana" w:eastAsia="Arial MT" w:hAnsi="Verdana" w:cs="Arial"/>
          <w:spacing w:val="-12"/>
          <w:sz w:val="20"/>
          <w:szCs w:val="20"/>
        </w:rPr>
        <w:t xml:space="preserve"> </w:t>
      </w:r>
      <w:r w:rsidRPr="006A09D6">
        <w:rPr>
          <w:rFonts w:ascii="Verdana" w:eastAsia="Arial MT" w:hAnsi="Verdana" w:cs="Arial"/>
          <w:sz w:val="20"/>
          <w:szCs w:val="20"/>
        </w:rPr>
        <w:t xml:space="preserve">restrictiva </w:t>
      </w:r>
      <w:r w:rsidRPr="006A09D6">
        <w:rPr>
          <w:rFonts w:ascii="Verdana" w:eastAsia="Calibri" w:hAnsi="Verdana" w:cs="Arial"/>
          <w:sz w:val="20"/>
          <w:szCs w:val="20"/>
        </w:rPr>
        <w:t>que</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no</w:t>
      </w:r>
      <w:r w:rsidRPr="006A09D6">
        <w:rPr>
          <w:rFonts w:ascii="Verdana" w:eastAsia="Calibri" w:hAnsi="Verdana" w:cs="Arial"/>
          <w:spacing w:val="-5"/>
          <w:sz w:val="20"/>
          <w:szCs w:val="20"/>
        </w:rPr>
        <w:t xml:space="preserve"> </w:t>
      </w:r>
      <w:r w:rsidRPr="006A09D6">
        <w:rPr>
          <w:rFonts w:ascii="Verdana" w:eastAsia="Calibri" w:hAnsi="Verdana" w:cs="Arial"/>
          <w:sz w:val="20"/>
          <w:szCs w:val="20"/>
        </w:rPr>
        <w:t>permite</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su</w:t>
      </w:r>
      <w:r w:rsidRPr="006A09D6">
        <w:rPr>
          <w:rFonts w:ascii="Verdana" w:eastAsia="Calibri" w:hAnsi="Verdana" w:cs="Arial"/>
          <w:spacing w:val="-5"/>
          <w:sz w:val="20"/>
          <w:szCs w:val="20"/>
        </w:rPr>
        <w:t xml:space="preserve"> </w:t>
      </w:r>
      <w:r w:rsidRPr="006A09D6">
        <w:rPr>
          <w:rFonts w:ascii="Verdana" w:eastAsia="Calibri" w:hAnsi="Verdana" w:cs="Arial"/>
          <w:sz w:val="20"/>
          <w:szCs w:val="20"/>
        </w:rPr>
        <w:t>extensión,</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por</w:t>
      </w:r>
      <w:r w:rsidRPr="006A09D6">
        <w:rPr>
          <w:rFonts w:ascii="Verdana" w:eastAsia="Calibri" w:hAnsi="Verdana" w:cs="Arial"/>
          <w:spacing w:val="-5"/>
          <w:sz w:val="20"/>
          <w:szCs w:val="20"/>
        </w:rPr>
        <w:t xml:space="preserve"> </w:t>
      </w:r>
      <w:r w:rsidRPr="006A09D6">
        <w:rPr>
          <w:rFonts w:ascii="Verdana" w:eastAsia="Calibri" w:hAnsi="Verdana" w:cs="Arial"/>
          <w:sz w:val="20"/>
          <w:szCs w:val="20"/>
        </w:rPr>
        <w:t>vía</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de</w:t>
      </w:r>
      <w:r w:rsidRPr="006A09D6">
        <w:rPr>
          <w:rFonts w:ascii="Verdana" w:eastAsia="Calibri" w:hAnsi="Verdana" w:cs="Arial"/>
          <w:spacing w:val="-5"/>
          <w:sz w:val="20"/>
          <w:szCs w:val="20"/>
        </w:rPr>
        <w:t xml:space="preserve"> </w:t>
      </w:r>
      <w:r w:rsidRPr="006A09D6">
        <w:rPr>
          <w:rFonts w:ascii="Verdana" w:eastAsia="Calibri" w:hAnsi="Verdana" w:cs="Arial"/>
          <w:sz w:val="20"/>
          <w:szCs w:val="20"/>
        </w:rPr>
        <w:t>la</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figura</w:t>
      </w:r>
      <w:r w:rsidRPr="006A09D6">
        <w:rPr>
          <w:rFonts w:ascii="Verdana" w:eastAsia="Calibri" w:hAnsi="Verdana" w:cs="Arial"/>
          <w:spacing w:val="-4"/>
          <w:sz w:val="20"/>
          <w:szCs w:val="20"/>
        </w:rPr>
        <w:t xml:space="preserve"> </w:t>
      </w:r>
      <w:r w:rsidRPr="006A09D6">
        <w:rPr>
          <w:rFonts w:ascii="Verdana" w:eastAsia="Calibri" w:hAnsi="Verdana" w:cs="Arial"/>
          <w:sz w:val="20"/>
          <w:szCs w:val="20"/>
        </w:rPr>
        <w:t>de</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la</w:t>
      </w:r>
      <w:r w:rsidRPr="006A09D6">
        <w:rPr>
          <w:rFonts w:ascii="Verdana" w:eastAsia="Calibri" w:hAnsi="Verdana" w:cs="Arial"/>
          <w:spacing w:val="-5"/>
          <w:sz w:val="20"/>
          <w:szCs w:val="20"/>
        </w:rPr>
        <w:t xml:space="preserve"> </w:t>
      </w:r>
      <w:r w:rsidRPr="006A09D6">
        <w:rPr>
          <w:rFonts w:ascii="Verdana" w:eastAsia="Calibri" w:hAnsi="Verdana" w:cs="Arial"/>
          <w:sz w:val="20"/>
          <w:szCs w:val="20"/>
        </w:rPr>
        <w:t>analogía,</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a</w:t>
      </w:r>
      <w:r w:rsidRPr="006A09D6">
        <w:rPr>
          <w:rFonts w:ascii="Verdana" w:eastAsia="Calibri" w:hAnsi="Verdana" w:cs="Arial"/>
          <w:spacing w:val="-5"/>
          <w:sz w:val="20"/>
          <w:szCs w:val="20"/>
        </w:rPr>
        <w:t xml:space="preserve"> </w:t>
      </w:r>
      <w:r w:rsidRPr="006A09D6">
        <w:rPr>
          <w:rFonts w:ascii="Verdana" w:eastAsia="Arial MT" w:hAnsi="Verdana" w:cs="Arial"/>
          <w:sz w:val="20"/>
          <w:szCs w:val="20"/>
        </w:rPr>
        <w:t>supuestos no contemplados</w:t>
      </w:r>
      <w:r w:rsidRPr="006A09D6">
        <w:rPr>
          <w:rFonts w:ascii="Verdana" w:eastAsia="Calibri" w:hAnsi="Verdana" w:cs="Arial"/>
          <w:spacing w:val="-1"/>
          <w:sz w:val="20"/>
          <w:szCs w:val="20"/>
        </w:rPr>
        <w:t xml:space="preserve"> </w:t>
      </w:r>
      <w:r w:rsidRPr="006A09D6">
        <w:rPr>
          <w:rFonts w:ascii="Verdana" w:eastAsia="Calibri" w:hAnsi="Verdana" w:cs="Arial"/>
          <w:sz w:val="20"/>
          <w:szCs w:val="20"/>
        </w:rPr>
        <w:t>por</w:t>
      </w:r>
      <w:r w:rsidRPr="006A09D6">
        <w:rPr>
          <w:rFonts w:ascii="Verdana" w:eastAsia="Calibri" w:hAnsi="Verdana" w:cs="Arial"/>
          <w:spacing w:val="-1"/>
          <w:sz w:val="20"/>
          <w:szCs w:val="20"/>
        </w:rPr>
        <w:t xml:space="preserve"> </w:t>
      </w:r>
      <w:r w:rsidRPr="006A09D6">
        <w:rPr>
          <w:rFonts w:ascii="Verdana" w:eastAsia="Calibri" w:hAnsi="Verdana" w:cs="Arial"/>
          <w:sz w:val="20"/>
          <w:szCs w:val="20"/>
        </w:rPr>
        <w:t>el</w:t>
      </w:r>
      <w:r w:rsidRPr="006A09D6">
        <w:rPr>
          <w:rFonts w:ascii="Verdana" w:eastAsia="Calibri" w:hAnsi="Verdana" w:cs="Arial"/>
          <w:spacing w:val="-1"/>
          <w:sz w:val="20"/>
          <w:szCs w:val="20"/>
        </w:rPr>
        <w:t xml:space="preserve"> </w:t>
      </w:r>
      <w:r w:rsidRPr="006A09D6">
        <w:rPr>
          <w:rFonts w:ascii="Verdana" w:eastAsia="Calibri" w:hAnsi="Verdana" w:cs="Arial"/>
          <w:sz w:val="20"/>
          <w:szCs w:val="20"/>
        </w:rPr>
        <w:t>ordenamiento”</w:t>
      </w:r>
      <w:r w:rsidRPr="006A09D6">
        <w:rPr>
          <w:rFonts w:ascii="Verdana" w:eastAsia="Calibri" w:hAnsi="Verdana" w:cs="Arial"/>
          <w:sz w:val="20"/>
          <w:szCs w:val="20"/>
          <w:vertAlign w:val="superscript"/>
        </w:rPr>
        <w:footnoteReference w:id="9"/>
      </w:r>
      <w:r w:rsidRPr="006A09D6">
        <w:rPr>
          <w:rFonts w:ascii="Verdana" w:eastAsia="Calibri" w:hAnsi="Verdana" w:cs="Arial"/>
          <w:sz w:val="20"/>
          <w:szCs w:val="20"/>
        </w:rPr>
        <w:t>.</w:t>
      </w:r>
    </w:p>
    <w:p w14:paraId="6731C6BC" w14:textId="77777777" w:rsidR="007926EE" w:rsidRPr="00773889" w:rsidRDefault="007926EE" w:rsidP="00773889">
      <w:pPr>
        <w:widowControl w:val="0"/>
        <w:autoSpaceDE w:val="0"/>
        <w:autoSpaceDN w:val="0"/>
        <w:spacing w:after="0" w:line="276" w:lineRule="auto"/>
        <w:ind w:left="709" w:right="709"/>
        <w:jc w:val="both"/>
        <w:rPr>
          <w:rFonts w:ascii="Verdana" w:eastAsia="Arial MT" w:hAnsi="Verdana" w:cs="Arial"/>
        </w:rPr>
      </w:pPr>
    </w:p>
    <w:p w14:paraId="7BA205D1" w14:textId="77777777" w:rsidR="007926EE" w:rsidRPr="006A09D6" w:rsidRDefault="007926EE" w:rsidP="00773889">
      <w:pPr>
        <w:widowControl w:val="0"/>
        <w:autoSpaceDE w:val="0"/>
        <w:autoSpaceDN w:val="0"/>
        <w:spacing w:after="0" w:line="276" w:lineRule="auto"/>
        <w:ind w:right="709" w:firstLine="708"/>
        <w:jc w:val="both"/>
        <w:rPr>
          <w:rFonts w:ascii="Verdana" w:eastAsia="Arial MT" w:hAnsi="Verdana" w:cs="Arial"/>
        </w:rPr>
      </w:pPr>
      <w:r w:rsidRPr="006A09D6">
        <w:rPr>
          <w:rFonts w:ascii="Verdana" w:eastAsia="Arial MT" w:hAnsi="Verdana" w:cs="Arial"/>
        </w:rPr>
        <w:t>En el mismo sentido ha expuesto que:</w:t>
      </w:r>
    </w:p>
    <w:p w14:paraId="11C615DE" w14:textId="77777777" w:rsidR="007926EE" w:rsidRPr="006A09D6" w:rsidRDefault="007926EE" w:rsidP="00773889">
      <w:pPr>
        <w:widowControl w:val="0"/>
        <w:autoSpaceDE w:val="0"/>
        <w:autoSpaceDN w:val="0"/>
        <w:spacing w:after="0" w:line="276" w:lineRule="auto"/>
        <w:ind w:right="709"/>
        <w:jc w:val="both"/>
        <w:rPr>
          <w:rFonts w:ascii="Verdana" w:eastAsia="Arial MT" w:hAnsi="Verdana" w:cs="Arial"/>
        </w:rPr>
      </w:pPr>
    </w:p>
    <w:p w14:paraId="7741B1B3" w14:textId="77777777" w:rsidR="007926EE" w:rsidRPr="006A09D6" w:rsidRDefault="007926EE" w:rsidP="007926EE">
      <w:pPr>
        <w:widowControl w:val="0"/>
        <w:autoSpaceDE w:val="0"/>
        <w:autoSpaceDN w:val="0"/>
        <w:spacing w:after="0" w:line="240" w:lineRule="auto"/>
        <w:ind w:left="709" w:right="709"/>
        <w:jc w:val="both"/>
        <w:rPr>
          <w:rFonts w:ascii="Verdana" w:eastAsia="Arial MT" w:hAnsi="Verdana" w:cs="Arial"/>
          <w:sz w:val="20"/>
          <w:szCs w:val="20"/>
        </w:rPr>
      </w:pPr>
      <w:r w:rsidRPr="006A09D6">
        <w:rPr>
          <w:rFonts w:ascii="Verdana" w:eastAsia="Arial MT" w:hAnsi="Verdana" w:cs="Arial"/>
          <w:sz w:val="20"/>
          <w:szCs w:val="20"/>
        </w:rPr>
        <w:t>“[…] la aplicación de estos preceptos exige una interpretación restrictiva, dado que según el principio hermenéutico pro libertate,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6A09D6">
        <w:rPr>
          <w:rFonts w:ascii="Verdana" w:eastAsia="Arial MT" w:hAnsi="Verdana" w:cs="Arial"/>
          <w:sz w:val="20"/>
          <w:szCs w:val="20"/>
          <w:vertAlign w:val="superscript"/>
        </w:rPr>
        <w:footnoteReference w:id="10"/>
      </w:r>
      <w:r w:rsidRPr="006A09D6">
        <w:rPr>
          <w:rFonts w:ascii="Verdana" w:eastAsia="Arial MT" w:hAnsi="Verdana" w:cs="Arial"/>
          <w:sz w:val="20"/>
          <w:szCs w:val="20"/>
        </w:rPr>
        <w:t>.</w:t>
      </w:r>
    </w:p>
    <w:p w14:paraId="2E4B07E1" w14:textId="77777777" w:rsidR="007926EE" w:rsidRDefault="007926EE" w:rsidP="007926EE">
      <w:pPr>
        <w:widowControl w:val="0"/>
        <w:autoSpaceDE w:val="0"/>
        <w:autoSpaceDN w:val="0"/>
        <w:spacing w:after="0" w:line="276" w:lineRule="auto"/>
        <w:jc w:val="both"/>
        <w:rPr>
          <w:rFonts w:ascii="Verdana" w:eastAsia="Calibri" w:hAnsi="Verdana" w:cs="Arial"/>
          <w:color w:val="7030A0"/>
          <w:lang w:val="es-ES"/>
        </w:rPr>
      </w:pPr>
    </w:p>
    <w:p w14:paraId="0F7A134A" w14:textId="186BE4FF" w:rsidR="007926EE" w:rsidRDefault="006251A4" w:rsidP="007926EE">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Ahora bien, en</w:t>
      </w:r>
      <w:r w:rsidRPr="006A09D6">
        <w:rPr>
          <w:rFonts w:ascii="Verdana" w:eastAsia="Arial MT" w:hAnsi="Verdana" w:cs="Arial"/>
          <w:lang w:eastAsia="es-ES" w:bidi="es-ES"/>
        </w:rPr>
        <w:t xml:space="preserve"> </w:t>
      </w:r>
      <w:r w:rsidR="007926EE" w:rsidRPr="006A09D6">
        <w:rPr>
          <w:rFonts w:ascii="Verdana" w:eastAsia="Arial MT" w:hAnsi="Verdana" w:cs="Arial"/>
          <w:lang w:eastAsia="es-ES" w:bidi="es-ES"/>
        </w:rPr>
        <w:t xml:space="preserve">relación </w:t>
      </w:r>
      <w:r>
        <w:rPr>
          <w:rFonts w:ascii="Verdana" w:eastAsia="Arial MT" w:hAnsi="Verdana" w:cs="Arial"/>
          <w:lang w:eastAsia="es-ES" w:bidi="es-ES"/>
        </w:rPr>
        <w:t>con e</w:t>
      </w:r>
      <w:r w:rsidR="007926EE" w:rsidRPr="006A09D6">
        <w:rPr>
          <w:rFonts w:ascii="Verdana" w:eastAsia="Arial MT" w:hAnsi="Verdana" w:cs="Arial"/>
          <w:lang w:eastAsia="es-ES" w:bidi="es-ES"/>
        </w:rPr>
        <w:t xml:space="preserve">l objeto de la consulta, </w:t>
      </w:r>
      <w:r>
        <w:rPr>
          <w:rFonts w:ascii="Verdana" w:eastAsia="Arial MT" w:hAnsi="Verdana" w:cs="Arial"/>
          <w:lang w:eastAsia="es-ES" w:bidi="es-ES"/>
        </w:rPr>
        <w:t>dado</w:t>
      </w:r>
      <w:r w:rsidR="007926EE" w:rsidRPr="006A09D6">
        <w:rPr>
          <w:rFonts w:ascii="Verdana" w:eastAsia="Arial MT" w:hAnsi="Verdana" w:cs="Arial"/>
          <w:lang w:eastAsia="es-ES" w:bidi="es-ES"/>
        </w:rPr>
        <w:t xml:space="preserve"> que lo que se pretende a través de los interrogantes planteados es establecer si existe alguna restricción y si se configura alguna inhabilidad o incompatibilidad para el contratista del Estado que pretenda vincularse como </w:t>
      </w:r>
      <w:r>
        <w:rPr>
          <w:rFonts w:ascii="Verdana" w:eastAsia="Arial MT" w:hAnsi="Verdana" w:cs="Arial"/>
          <w:lang w:eastAsia="es-ES" w:bidi="es-ES"/>
        </w:rPr>
        <w:t xml:space="preserve">empleado público </w:t>
      </w:r>
      <w:r w:rsidR="007926EE" w:rsidRPr="006A09D6">
        <w:rPr>
          <w:rFonts w:ascii="Verdana" w:eastAsia="Arial MT" w:hAnsi="Verdana" w:cs="Arial"/>
          <w:lang w:eastAsia="es-ES" w:bidi="es-ES"/>
        </w:rPr>
        <w:t xml:space="preserve">en una </w:t>
      </w:r>
      <w:r w:rsidR="007926EE">
        <w:rPr>
          <w:rFonts w:ascii="Verdana" w:eastAsia="Arial MT" w:hAnsi="Verdana" w:cs="Arial"/>
          <w:lang w:eastAsia="es-ES" w:bidi="es-ES"/>
        </w:rPr>
        <w:t>Empresa Social del Estado (ESE)</w:t>
      </w:r>
      <w:r w:rsidR="007926EE" w:rsidRPr="006A09D6">
        <w:rPr>
          <w:rFonts w:ascii="Verdana" w:eastAsia="Arial MT" w:hAnsi="Verdana" w:cs="Arial"/>
          <w:lang w:eastAsia="es-ES" w:bidi="es-ES"/>
        </w:rPr>
        <w:t xml:space="preserve">, </w:t>
      </w:r>
      <w:r w:rsidR="007926EE">
        <w:rPr>
          <w:rFonts w:ascii="Verdana" w:eastAsia="Arial MT" w:hAnsi="Verdana" w:cs="Arial"/>
          <w:lang w:eastAsia="es-ES" w:bidi="es-ES"/>
        </w:rPr>
        <w:t>se precisa que</w:t>
      </w:r>
      <w:r w:rsidR="007926EE" w:rsidRPr="006A09D6">
        <w:rPr>
          <w:rFonts w:ascii="Verdana" w:eastAsia="Arial MT" w:hAnsi="Verdana" w:cs="Arial"/>
          <w:lang w:eastAsia="es-ES" w:bidi="es-ES"/>
        </w:rPr>
        <w:t xml:space="preserve"> en virtud del artículo 3.5 del </w:t>
      </w:r>
      <w:r w:rsidR="007926EE" w:rsidRPr="006A09D6">
        <w:rPr>
          <w:rFonts w:ascii="Verdana" w:eastAsia="Arial MT" w:hAnsi="Verdana" w:cs="Arial"/>
          <w:lang w:eastAsia="es-ES" w:bidi="es-ES"/>
        </w:rPr>
        <w:lastRenderedPageBreak/>
        <w:t xml:space="preserve">Decreto </w:t>
      </w:r>
      <w:r>
        <w:rPr>
          <w:rFonts w:ascii="Verdana" w:eastAsia="Arial MT" w:hAnsi="Verdana" w:cs="Arial"/>
          <w:lang w:eastAsia="es-ES" w:bidi="es-ES"/>
        </w:rPr>
        <w:t xml:space="preserve">Ley </w:t>
      </w:r>
      <w:r w:rsidR="007926EE" w:rsidRPr="006A09D6">
        <w:rPr>
          <w:rFonts w:ascii="Verdana" w:eastAsia="Arial MT" w:hAnsi="Verdana" w:cs="Arial"/>
          <w:lang w:eastAsia="es-ES" w:bidi="es-ES"/>
        </w:rPr>
        <w:t>4170 de 2011, esta Agencia tiene competencia para absolver consultas sobre la aplicación de normas de carácter general en materia de compras y contrastación pública, de manera que la interpretación de normas que no hagan parte de dicha materia desborda las facultades y competencias consultivas que otorgó la disposición en cita.</w:t>
      </w:r>
    </w:p>
    <w:p w14:paraId="162CE8F0" w14:textId="7FBCFD82" w:rsidR="00E76E09" w:rsidRDefault="007926EE" w:rsidP="007926EE">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 xml:space="preserve">Así, al analizar las causales de inhabilidad e incompatibilidad </w:t>
      </w:r>
      <w:r w:rsidR="001F66C3">
        <w:rPr>
          <w:rFonts w:ascii="Verdana" w:eastAsia="Arial MT" w:hAnsi="Verdana" w:cs="Arial"/>
          <w:lang w:eastAsia="es-ES" w:bidi="es-ES"/>
        </w:rPr>
        <w:t xml:space="preserve">contenidas en </w:t>
      </w:r>
      <w:r>
        <w:rPr>
          <w:rFonts w:ascii="Verdana" w:eastAsia="Arial MT" w:hAnsi="Verdana" w:cs="Arial"/>
          <w:lang w:eastAsia="es-ES" w:bidi="es-ES"/>
        </w:rPr>
        <w:t xml:space="preserve">el artículo 8 de la Ley 80 de 1993, para el objeto </w:t>
      </w:r>
      <w:r w:rsidR="00DA2229">
        <w:rPr>
          <w:rFonts w:ascii="Verdana" w:eastAsia="Arial MT" w:hAnsi="Verdana" w:cs="Arial"/>
          <w:lang w:eastAsia="es-ES" w:bidi="es-ES"/>
        </w:rPr>
        <w:t>preciso</w:t>
      </w:r>
      <w:r>
        <w:rPr>
          <w:rFonts w:ascii="Verdana" w:eastAsia="Arial MT" w:hAnsi="Verdana" w:cs="Arial"/>
          <w:lang w:eastAsia="es-ES" w:bidi="es-ES"/>
        </w:rPr>
        <w:t xml:space="preserve"> de esta consulta</w:t>
      </w:r>
      <w:r w:rsidR="00DA2229">
        <w:rPr>
          <w:rFonts w:ascii="Verdana" w:eastAsia="Arial MT" w:hAnsi="Verdana" w:cs="Arial"/>
          <w:lang w:eastAsia="es-ES" w:bidi="es-ES"/>
        </w:rPr>
        <w:t>,</w:t>
      </w:r>
      <w:r>
        <w:rPr>
          <w:rFonts w:ascii="Verdana" w:eastAsia="Arial MT" w:hAnsi="Verdana" w:cs="Arial"/>
          <w:lang w:eastAsia="es-ES" w:bidi="es-ES"/>
        </w:rPr>
        <w:t xml:space="preserve"> se resalta </w:t>
      </w:r>
      <w:r w:rsidR="00DA2229">
        <w:rPr>
          <w:rFonts w:ascii="Verdana" w:eastAsia="Arial MT" w:hAnsi="Verdana" w:cs="Arial"/>
          <w:lang w:eastAsia="es-ES" w:bidi="es-ES"/>
        </w:rPr>
        <w:t>la enunciada en</w:t>
      </w:r>
      <w:r>
        <w:rPr>
          <w:rFonts w:ascii="Verdana" w:eastAsia="Arial MT" w:hAnsi="Verdana" w:cs="Arial"/>
          <w:lang w:eastAsia="es-ES" w:bidi="es-ES"/>
        </w:rPr>
        <w:t xml:space="preserve"> el literal f) del numeral 1, que dispone a los servidores públicos como inhábiles para celebrar contratos con las entidades estatales. La restricción a la capacidad contractual que deviene de esta causal encuentra fundamento en la prohibición de orden constitucional consagrada en el artículo 127 superior, que establece que “</w:t>
      </w:r>
      <w:r w:rsidRPr="00C63B1C">
        <w:rPr>
          <w:rFonts w:ascii="Verdana" w:eastAsia="Arial MT" w:hAnsi="Verdana" w:cs="Arial"/>
          <w:i/>
          <w:iCs/>
          <w:lang w:eastAsia="es-ES" w:bidi="es-ES"/>
        </w:rPr>
        <w:t>los servidores públicos no podrán celebrar, por sí o por interpuesta persona, o en representación de otro, contrato alguno con entidades públicas o con personas privadas que manejen o administren recursos públicos, salvo las excepciones legales</w:t>
      </w:r>
      <w:r w:rsidRPr="00C63B1C">
        <w:rPr>
          <w:rFonts w:ascii="Verdana" w:eastAsia="Arial MT" w:hAnsi="Verdana" w:cs="Arial"/>
          <w:lang w:eastAsia="es-ES" w:bidi="es-ES"/>
        </w:rPr>
        <w:t>”.</w:t>
      </w:r>
      <w:r w:rsidR="00BC030C">
        <w:rPr>
          <w:rFonts w:ascii="Verdana" w:eastAsia="Arial MT" w:hAnsi="Verdana" w:cs="Arial"/>
          <w:lang w:eastAsia="es-ES" w:bidi="es-ES"/>
        </w:rPr>
        <w:t xml:space="preserve"> </w:t>
      </w:r>
    </w:p>
    <w:p w14:paraId="5942BB79" w14:textId="567787FC" w:rsidR="007926EE" w:rsidRDefault="000F58F0" w:rsidP="007926EE">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Más adelante</w:t>
      </w:r>
      <w:r w:rsidR="00BC030C" w:rsidRPr="00BC030C">
        <w:rPr>
          <w:rFonts w:ascii="Verdana" w:eastAsia="Arial MT" w:hAnsi="Verdana" w:cs="Arial"/>
          <w:lang w:eastAsia="es-ES" w:bidi="es-ES"/>
        </w:rPr>
        <w:t xml:space="preserve">, el artículo 128 de la Constitución Política establece que nadie podrá desempeñar simultáneamente más de un empleo público ni recibir más de una asignación que provenga del tesoro público, o de empresas o de instituciones en las que tenga parte mayoritaria el Estado, salvo los casos expresamente determinados por la </w:t>
      </w:r>
      <w:r w:rsidR="003468D6">
        <w:rPr>
          <w:rFonts w:ascii="Verdana" w:eastAsia="Arial MT" w:hAnsi="Verdana" w:cs="Arial"/>
          <w:lang w:eastAsia="es-ES" w:bidi="es-ES"/>
        </w:rPr>
        <w:t>L</w:t>
      </w:r>
      <w:r w:rsidR="00BC030C" w:rsidRPr="00BC030C">
        <w:rPr>
          <w:rFonts w:ascii="Verdana" w:eastAsia="Arial MT" w:hAnsi="Verdana" w:cs="Arial"/>
          <w:lang w:eastAsia="es-ES" w:bidi="es-ES"/>
        </w:rPr>
        <w:t>ey.</w:t>
      </w:r>
    </w:p>
    <w:p w14:paraId="701EF6A2" w14:textId="24FC1241" w:rsidR="007926EE" w:rsidRDefault="007926EE" w:rsidP="007926EE">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No obstante, aun cuando los</w:t>
      </w:r>
      <w:r w:rsidRPr="00034D8F">
        <w:rPr>
          <w:rFonts w:ascii="Verdana" w:eastAsia="Arial MT" w:hAnsi="Verdana" w:cs="Arial"/>
          <w:lang w:eastAsia="es-ES" w:bidi="es-ES"/>
        </w:rPr>
        <w:t xml:space="preserve"> servidores públicos, por regla general, no pueden celebrar contratos con las entidades públicas, ni con entidades privadas que administren recursos públicos, </w:t>
      </w:r>
      <w:r>
        <w:rPr>
          <w:rFonts w:ascii="Verdana" w:eastAsia="Arial MT" w:hAnsi="Verdana" w:cs="Arial"/>
          <w:lang w:eastAsia="es-ES" w:bidi="es-ES"/>
        </w:rPr>
        <w:t>existen excepciones que consagra el artículo 10 de la Ley 80 de 1993, bajo los siguiente supuestos: i)</w:t>
      </w:r>
      <w:r w:rsidRPr="00034D8F">
        <w:rPr>
          <w:rFonts w:ascii="Verdana" w:eastAsia="Arial MT" w:hAnsi="Verdana" w:cs="Arial"/>
          <w:lang w:eastAsia="es-ES" w:bidi="es-ES"/>
        </w:rPr>
        <w:t xml:space="preserve"> cuando lo hagan por obligación legal, o </w:t>
      </w:r>
      <w:r>
        <w:rPr>
          <w:rFonts w:ascii="Verdana" w:eastAsia="Arial MT" w:hAnsi="Verdana" w:cs="Arial"/>
          <w:lang w:eastAsia="es-ES" w:bidi="es-ES"/>
        </w:rPr>
        <w:t xml:space="preserve">ii) </w:t>
      </w:r>
      <w:r w:rsidRPr="00034D8F">
        <w:rPr>
          <w:rFonts w:ascii="Verdana" w:eastAsia="Arial MT" w:hAnsi="Verdana" w:cs="Arial"/>
          <w:lang w:eastAsia="es-ES" w:bidi="es-ES"/>
        </w:rPr>
        <w:t xml:space="preserve">para usar bienes o servicios que las entidades ofrezcan al público en condiciones comunes a quienes lo soliciten, o </w:t>
      </w:r>
      <w:r>
        <w:rPr>
          <w:rFonts w:ascii="Verdana" w:eastAsia="Arial MT" w:hAnsi="Verdana" w:cs="Arial"/>
          <w:lang w:eastAsia="es-ES" w:bidi="es-ES"/>
        </w:rPr>
        <w:t xml:space="preserve">iii) </w:t>
      </w:r>
      <w:r w:rsidRPr="00034D8F">
        <w:rPr>
          <w:rFonts w:ascii="Verdana" w:eastAsia="Arial MT" w:hAnsi="Verdana" w:cs="Arial"/>
          <w:lang w:eastAsia="es-ES" w:bidi="es-ES"/>
        </w:rPr>
        <w:t>para adquirir la propiedad accionaria del Estado</w:t>
      </w:r>
      <w:r>
        <w:rPr>
          <w:rStyle w:val="Refdenotaalpie"/>
          <w:rFonts w:ascii="Verdana" w:eastAsia="Arial MT" w:hAnsi="Verdana" w:cs="Arial"/>
          <w:lang w:eastAsia="es-ES" w:bidi="es-ES"/>
        </w:rPr>
        <w:footnoteReference w:id="11"/>
      </w:r>
      <w:r w:rsidR="000F58F0">
        <w:rPr>
          <w:rFonts w:ascii="Verdana" w:eastAsia="Arial MT" w:hAnsi="Verdana" w:cs="Arial"/>
          <w:lang w:eastAsia="es-ES" w:bidi="es-ES"/>
        </w:rPr>
        <w:t>.</w:t>
      </w:r>
    </w:p>
    <w:p w14:paraId="4D74B1B2" w14:textId="71E65E80" w:rsidR="007926EE" w:rsidRPr="00585E47" w:rsidRDefault="003468D6" w:rsidP="005E6C56">
      <w:pPr>
        <w:widowControl w:val="0"/>
        <w:autoSpaceDE w:val="0"/>
        <w:autoSpaceDN w:val="0"/>
        <w:spacing w:after="0" w:line="276" w:lineRule="auto"/>
        <w:jc w:val="both"/>
        <w:rPr>
          <w:rFonts w:ascii="Verdana" w:eastAsia="Arial MT" w:hAnsi="Verdana" w:cs="Arial"/>
          <w:lang w:eastAsia="es-ES" w:bidi="es-ES"/>
        </w:rPr>
      </w:pPr>
      <w:r>
        <w:rPr>
          <w:rFonts w:ascii="Verdana" w:eastAsia="Arial MT" w:hAnsi="Verdana" w:cs="Arial"/>
          <w:lang w:eastAsia="es-ES" w:bidi="es-ES"/>
        </w:rPr>
        <w:tab/>
      </w:r>
      <w:r w:rsidR="007926EE">
        <w:rPr>
          <w:rFonts w:ascii="Verdana" w:eastAsia="Arial MT" w:hAnsi="Verdana" w:cs="Arial"/>
          <w:lang w:eastAsia="es-ES" w:bidi="es-ES"/>
        </w:rPr>
        <w:t>Por último, en el marco de la</w:t>
      </w:r>
      <w:r w:rsidR="007926EE" w:rsidRPr="006A09D6">
        <w:rPr>
          <w:rFonts w:ascii="Verdana" w:eastAsia="Arial MT" w:hAnsi="Verdana" w:cs="Arial"/>
          <w:lang w:eastAsia="es-ES" w:bidi="es-ES"/>
        </w:rPr>
        <w:t xml:space="preserve"> facultad consultiva</w:t>
      </w:r>
      <w:r w:rsidR="007926EE">
        <w:rPr>
          <w:rFonts w:ascii="Verdana" w:eastAsia="Arial MT" w:hAnsi="Verdana" w:cs="Arial"/>
          <w:lang w:eastAsia="es-ES" w:bidi="es-ES"/>
        </w:rPr>
        <w:t xml:space="preserve"> que tiene esta Agencia</w:t>
      </w:r>
      <w:r w:rsidR="007926EE" w:rsidRPr="006A09D6">
        <w:rPr>
          <w:rFonts w:ascii="Verdana" w:eastAsia="Arial MT" w:hAnsi="Verdana" w:cs="Arial"/>
          <w:lang w:eastAsia="es-ES" w:bidi="es-ES"/>
        </w:rPr>
        <w:t xml:space="preserve">, </w:t>
      </w:r>
      <w:r w:rsidR="007926EE">
        <w:rPr>
          <w:rFonts w:ascii="Verdana" w:eastAsia="Arial MT" w:hAnsi="Verdana" w:cs="Arial"/>
          <w:lang w:eastAsia="es-ES" w:bidi="es-ES"/>
        </w:rPr>
        <w:t xml:space="preserve">se advierte que corresponde a la entidad estatal contratante determinar en cada caso concreto si se cumplen o no los supuestos de hecho y condiciones que dan lugar a la configuración de las referidas incompatibilidades. Así, será necesario </w:t>
      </w:r>
      <w:r w:rsidR="007926EE">
        <w:rPr>
          <w:rFonts w:ascii="Verdana" w:eastAsia="Arial MT" w:hAnsi="Verdana" w:cs="Arial"/>
          <w:lang w:eastAsia="es-ES" w:bidi="es-ES"/>
        </w:rPr>
        <w:lastRenderedPageBreak/>
        <w:t>evaluar para cada caso concreto la</w:t>
      </w:r>
      <w:r w:rsidR="007926EE" w:rsidRPr="006A09D6">
        <w:rPr>
          <w:rFonts w:ascii="Verdana" w:eastAsia="Arial MT" w:hAnsi="Verdana" w:cs="Arial"/>
          <w:lang w:eastAsia="es-ES" w:bidi="es-ES"/>
        </w:rPr>
        <w:t xml:space="preserve"> naturaleza de la vinculación </w:t>
      </w:r>
      <w:r w:rsidR="007926EE">
        <w:rPr>
          <w:rFonts w:ascii="Verdana" w:eastAsia="Arial MT" w:hAnsi="Verdana" w:cs="Arial"/>
          <w:lang w:eastAsia="es-ES" w:bidi="es-ES"/>
        </w:rPr>
        <w:t>del profesional especializado y establecer</w:t>
      </w:r>
      <w:r w:rsidR="007926EE" w:rsidRPr="006A09D6">
        <w:rPr>
          <w:rFonts w:ascii="Verdana" w:eastAsia="Arial MT" w:hAnsi="Verdana" w:cs="Arial"/>
          <w:lang w:eastAsia="es-ES" w:bidi="es-ES"/>
        </w:rPr>
        <w:t xml:space="preserve"> </w:t>
      </w:r>
      <w:r w:rsidR="007926EE">
        <w:rPr>
          <w:rFonts w:ascii="Verdana" w:eastAsia="Arial MT" w:hAnsi="Verdana" w:cs="Arial"/>
          <w:lang w:eastAsia="es-ES" w:bidi="es-ES"/>
        </w:rPr>
        <w:t xml:space="preserve">si </w:t>
      </w:r>
      <w:r w:rsidR="007926EE" w:rsidRPr="006A09D6">
        <w:rPr>
          <w:rFonts w:ascii="Verdana" w:eastAsia="Arial MT" w:hAnsi="Verdana" w:cs="Arial"/>
          <w:lang w:eastAsia="es-ES" w:bidi="es-ES"/>
        </w:rPr>
        <w:t>se puede configurar alguna de las causales de inhabilidad e incompatibilidad en el contrato estatal, más allá del pronunciamiento que amerite la materia relacionada con inhabilidades e incompatibilidades que recaigan sobre los servidores públicos, circunstancia que deberá resolverse ante las autoridades competentes como el Departamento Administrativo de la Función Pública – DAFP y, en lo referente a la materia del derecho disciplinario, la misma Procuraduría General de la Nación – PGN.</w:t>
      </w:r>
    </w:p>
    <w:p w14:paraId="15D45733" w14:textId="77777777" w:rsidR="005E6C56" w:rsidRPr="005E6C56" w:rsidRDefault="005E6C56" w:rsidP="008258D9">
      <w:pPr>
        <w:widowControl w:val="0"/>
        <w:autoSpaceDE w:val="0"/>
        <w:autoSpaceDN w:val="0"/>
        <w:spacing w:after="0" w:line="276" w:lineRule="auto"/>
        <w:jc w:val="both"/>
        <w:rPr>
          <w:rFonts w:ascii="Verdana" w:eastAsia="Arial MT" w:hAnsi="Verdana" w:cs="Arial"/>
          <w:lang w:eastAsia="es-ES" w:bidi="es-ES"/>
        </w:rPr>
      </w:pPr>
    </w:p>
    <w:p w14:paraId="10D1DF7F" w14:textId="77777777" w:rsidR="007926EE" w:rsidRPr="00593A5F" w:rsidRDefault="007926EE" w:rsidP="007926E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5E77B8D7" w14:textId="77777777" w:rsidR="007926EE" w:rsidRPr="00593A5F" w:rsidRDefault="007926EE" w:rsidP="007926E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926EE" w:rsidRPr="00593A5F" w14:paraId="4EB769AF" w14:textId="77777777" w:rsidTr="00C63F53">
        <w:trPr>
          <w:trHeight w:val="870"/>
        </w:trPr>
        <w:tc>
          <w:tcPr>
            <w:tcW w:w="8647" w:type="dxa"/>
          </w:tcPr>
          <w:p w14:paraId="1555C9BC" w14:textId="77777777" w:rsidR="005E6C56" w:rsidRPr="005E6C56" w:rsidRDefault="005E6C56" w:rsidP="005E6C56">
            <w:pPr>
              <w:pStyle w:val="Prrafodelista"/>
              <w:numPr>
                <w:ilvl w:val="0"/>
                <w:numId w:val="17"/>
              </w:numPr>
              <w:spacing w:line="276" w:lineRule="auto"/>
              <w:contextualSpacing w:val="0"/>
              <w:rPr>
                <w:rFonts w:ascii="Verdana" w:hAnsi="Verdana"/>
              </w:rPr>
            </w:pPr>
            <w:r w:rsidRPr="005E6C56">
              <w:rPr>
                <w:rFonts w:ascii="Verdana" w:hAnsi="Verdana"/>
              </w:rPr>
              <w:t>Constitución Política de Colombia de 1991. Artículo 127</w:t>
            </w:r>
          </w:p>
          <w:p w14:paraId="31FB08AB" w14:textId="77777777" w:rsidR="007926EE" w:rsidRPr="00340535" w:rsidRDefault="007926EE" w:rsidP="008258D9">
            <w:pPr>
              <w:pStyle w:val="Prrafodelista"/>
              <w:numPr>
                <w:ilvl w:val="0"/>
                <w:numId w:val="17"/>
              </w:numPr>
              <w:spacing w:line="276" w:lineRule="auto"/>
              <w:contextualSpacing w:val="0"/>
              <w:rPr>
                <w:rFonts w:ascii="Verdana" w:hAnsi="Verdana"/>
              </w:rPr>
            </w:pPr>
            <w:r w:rsidRPr="00340535">
              <w:rPr>
                <w:rFonts w:ascii="Verdana" w:hAnsi="Verdana"/>
              </w:rPr>
              <w:t>Ley 80 de 1993. Artículos 8, 9 y 10</w:t>
            </w:r>
          </w:p>
          <w:p w14:paraId="34E17D0E" w14:textId="77777777" w:rsidR="007926EE" w:rsidRPr="008258D9" w:rsidRDefault="007926EE" w:rsidP="008258D9">
            <w:pPr>
              <w:pStyle w:val="Textonotapie"/>
              <w:numPr>
                <w:ilvl w:val="0"/>
                <w:numId w:val="17"/>
              </w:numPr>
              <w:spacing w:line="276" w:lineRule="auto"/>
              <w:jc w:val="both"/>
              <w:rPr>
                <w:rFonts w:ascii="Verdana" w:hAnsi="Verdana" w:cs="Arial"/>
                <w:color w:val="000000"/>
                <w:sz w:val="22"/>
                <w:szCs w:val="22"/>
                <w:lang w:val="it-IT"/>
              </w:rPr>
            </w:pPr>
            <w:r w:rsidRPr="00340535">
              <w:rPr>
                <w:rFonts w:ascii="Verdana" w:hAnsi="Verdana" w:cs="Arial"/>
                <w:color w:val="000000"/>
                <w:sz w:val="22"/>
                <w:szCs w:val="22"/>
                <w:lang w:val="es-CO"/>
              </w:rPr>
              <w:t xml:space="preserve">Corte Constitucional. Sentencia T-1039 de 2006. </w:t>
            </w:r>
            <w:r w:rsidRPr="008258D9">
              <w:rPr>
                <w:rFonts w:ascii="Verdana" w:hAnsi="Verdana" w:cs="Arial"/>
                <w:color w:val="000000"/>
                <w:sz w:val="22"/>
                <w:szCs w:val="22"/>
                <w:lang w:val="it-IT"/>
              </w:rPr>
              <w:t xml:space="preserve">Magistrado Ponente: Humberto Sierra Porto. </w:t>
            </w:r>
          </w:p>
          <w:p w14:paraId="49875076" w14:textId="77777777" w:rsidR="007926EE" w:rsidRPr="00340535" w:rsidRDefault="007926EE" w:rsidP="008258D9">
            <w:pPr>
              <w:pStyle w:val="Textonotapie"/>
              <w:numPr>
                <w:ilvl w:val="0"/>
                <w:numId w:val="17"/>
              </w:numPr>
              <w:spacing w:line="276" w:lineRule="auto"/>
              <w:jc w:val="both"/>
              <w:rPr>
                <w:rFonts w:ascii="Verdana" w:hAnsi="Verdana" w:cs="Arial"/>
                <w:color w:val="000000"/>
                <w:sz w:val="22"/>
                <w:szCs w:val="22"/>
                <w:lang w:val="es-CO"/>
              </w:rPr>
            </w:pPr>
            <w:r w:rsidRPr="00340535">
              <w:rPr>
                <w:rFonts w:ascii="Verdana" w:hAnsi="Verdana" w:cs="Arial"/>
                <w:color w:val="000000"/>
                <w:sz w:val="22"/>
                <w:szCs w:val="22"/>
                <w:lang w:val="es-CO"/>
              </w:rPr>
              <w:t>Consejo de Estado. Sala de Consulta y Servicio Civil. Concepto del 30 de abril de 2015. Expediente: 2251. Consejero Ponente: Álvaro Namén Vargas.</w:t>
            </w:r>
          </w:p>
          <w:p w14:paraId="6726988E" w14:textId="77777777" w:rsidR="007926EE" w:rsidRPr="00340535" w:rsidRDefault="007926EE" w:rsidP="008258D9">
            <w:pPr>
              <w:pStyle w:val="Prrafodelista"/>
              <w:numPr>
                <w:ilvl w:val="0"/>
                <w:numId w:val="17"/>
              </w:numPr>
              <w:spacing w:line="276" w:lineRule="auto"/>
              <w:contextualSpacing w:val="0"/>
              <w:jc w:val="both"/>
              <w:rPr>
                <w:rFonts w:ascii="Verdana" w:hAnsi="Verdana" w:cs="Arial"/>
                <w:color w:val="000000"/>
                <w:sz w:val="20"/>
                <w:szCs w:val="20"/>
              </w:rPr>
            </w:pPr>
            <w:r w:rsidRPr="00340535">
              <w:rPr>
                <w:rFonts w:ascii="Verdana" w:hAnsi="Verdana" w:cs="Arial"/>
                <w:color w:val="000000"/>
              </w:rPr>
              <w:t>Consejo</w:t>
            </w:r>
            <w:r w:rsidRPr="00340535">
              <w:rPr>
                <w:rFonts w:ascii="Verdana" w:hAnsi="Verdana" w:cs="Arial"/>
                <w:color w:val="000000"/>
                <w:spacing w:val="12"/>
              </w:rPr>
              <w:t xml:space="preserve"> </w:t>
            </w:r>
            <w:r w:rsidRPr="00340535">
              <w:rPr>
                <w:rFonts w:ascii="Verdana" w:hAnsi="Verdana" w:cs="Arial"/>
                <w:color w:val="000000"/>
              </w:rPr>
              <w:t>de</w:t>
            </w:r>
            <w:r w:rsidRPr="00340535">
              <w:rPr>
                <w:rFonts w:ascii="Verdana" w:hAnsi="Verdana" w:cs="Arial"/>
                <w:color w:val="000000"/>
                <w:spacing w:val="11"/>
              </w:rPr>
              <w:t xml:space="preserve"> </w:t>
            </w:r>
            <w:r w:rsidRPr="00340535">
              <w:rPr>
                <w:rFonts w:ascii="Verdana" w:hAnsi="Verdana" w:cs="Arial"/>
                <w:color w:val="000000"/>
              </w:rPr>
              <w:t>Estado.</w:t>
            </w:r>
            <w:r w:rsidRPr="00340535">
              <w:rPr>
                <w:rFonts w:ascii="Verdana" w:hAnsi="Verdana" w:cs="Arial"/>
                <w:color w:val="000000"/>
                <w:spacing w:val="12"/>
              </w:rPr>
              <w:t xml:space="preserve"> </w:t>
            </w:r>
            <w:r w:rsidRPr="00340535">
              <w:rPr>
                <w:rFonts w:ascii="Verdana" w:hAnsi="Verdana" w:cs="Arial"/>
                <w:color w:val="000000"/>
              </w:rPr>
              <w:t>Sección</w:t>
            </w:r>
            <w:r w:rsidRPr="00340535">
              <w:rPr>
                <w:rFonts w:ascii="Verdana" w:hAnsi="Verdana" w:cs="Arial"/>
                <w:color w:val="000000"/>
                <w:spacing w:val="12"/>
              </w:rPr>
              <w:t xml:space="preserve"> </w:t>
            </w:r>
            <w:r w:rsidRPr="00340535">
              <w:rPr>
                <w:rFonts w:ascii="Verdana" w:hAnsi="Verdana" w:cs="Arial"/>
                <w:color w:val="000000"/>
              </w:rPr>
              <w:t>Tercera.</w:t>
            </w:r>
            <w:r w:rsidRPr="00340535">
              <w:rPr>
                <w:rFonts w:ascii="Verdana" w:hAnsi="Verdana" w:cs="Arial"/>
                <w:color w:val="000000"/>
                <w:spacing w:val="12"/>
              </w:rPr>
              <w:t xml:space="preserve"> </w:t>
            </w:r>
            <w:r w:rsidRPr="00340535">
              <w:rPr>
                <w:rFonts w:ascii="Verdana" w:hAnsi="Verdana" w:cs="Arial"/>
                <w:color w:val="000000"/>
              </w:rPr>
              <w:t>Subsección</w:t>
            </w:r>
            <w:r w:rsidRPr="00340535">
              <w:rPr>
                <w:rFonts w:ascii="Verdana" w:hAnsi="Verdana" w:cs="Arial"/>
                <w:color w:val="000000"/>
                <w:spacing w:val="13"/>
              </w:rPr>
              <w:t xml:space="preserve"> </w:t>
            </w:r>
            <w:r w:rsidRPr="00340535">
              <w:rPr>
                <w:rFonts w:ascii="Verdana" w:hAnsi="Verdana" w:cs="Arial"/>
                <w:color w:val="000000"/>
              </w:rPr>
              <w:t>A.</w:t>
            </w:r>
            <w:r w:rsidRPr="00340535">
              <w:rPr>
                <w:rFonts w:ascii="Verdana" w:hAnsi="Verdana" w:cs="Arial"/>
                <w:color w:val="000000"/>
                <w:spacing w:val="12"/>
              </w:rPr>
              <w:t xml:space="preserve"> </w:t>
            </w:r>
            <w:r w:rsidRPr="00340535">
              <w:rPr>
                <w:rFonts w:ascii="Verdana" w:hAnsi="Verdana" w:cs="Arial"/>
                <w:color w:val="000000"/>
              </w:rPr>
              <w:t>Sentencia</w:t>
            </w:r>
            <w:r w:rsidRPr="00340535">
              <w:rPr>
                <w:rFonts w:ascii="Verdana" w:hAnsi="Verdana" w:cs="Arial"/>
                <w:color w:val="000000"/>
                <w:spacing w:val="13"/>
              </w:rPr>
              <w:t xml:space="preserve"> </w:t>
            </w:r>
            <w:r w:rsidRPr="00340535">
              <w:rPr>
                <w:rFonts w:ascii="Verdana" w:hAnsi="Verdana" w:cs="Arial"/>
                <w:color w:val="000000"/>
              </w:rPr>
              <w:t>del</w:t>
            </w:r>
            <w:r w:rsidRPr="00340535">
              <w:rPr>
                <w:rFonts w:ascii="Verdana" w:hAnsi="Verdana" w:cs="Arial"/>
                <w:color w:val="000000"/>
                <w:spacing w:val="11"/>
              </w:rPr>
              <w:t xml:space="preserve"> </w:t>
            </w:r>
            <w:r w:rsidRPr="00340535">
              <w:rPr>
                <w:rFonts w:ascii="Verdana" w:hAnsi="Verdana" w:cs="Arial"/>
                <w:color w:val="000000"/>
              </w:rPr>
              <w:t>24</w:t>
            </w:r>
            <w:r w:rsidRPr="00340535">
              <w:rPr>
                <w:rFonts w:ascii="Verdana" w:hAnsi="Verdana" w:cs="Arial"/>
                <w:color w:val="000000"/>
                <w:spacing w:val="11"/>
              </w:rPr>
              <w:t xml:space="preserve"> </w:t>
            </w:r>
            <w:r w:rsidRPr="00340535">
              <w:rPr>
                <w:rFonts w:ascii="Verdana" w:hAnsi="Verdana" w:cs="Arial"/>
                <w:color w:val="000000"/>
              </w:rPr>
              <w:t>de</w:t>
            </w:r>
            <w:r w:rsidRPr="00340535">
              <w:rPr>
                <w:rFonts w:ascii="Verdana" w:hAnsi="Verdana" w:cs="Arial"/>
                <w:color w:val="000000"/>
                <w:spacing w:val="11"/>
              </w:rPr>
              <w:t xml:space="preserve"> </w:t>
            </w:r>
            <w:r w:rsidRPr="00340535">
              <w:rPr>
                <w:rFonts w:ascii="Verdana" w:hAnsi="Verdana" w:cs="Arial"/>
                <w:color w:val="000000"/>
              </w:rPr>
              <w:t>junio</w:t>
            </w:r>
            <w:r w:rsidRPr="00340535">
              <w:rPr>
                <w:rFonts w:ascii="Verdana" w:hAnsi="Verdana" w:cs="Arial"/>
                <w:color w:val="000000"/>
                <w:spacing w:val="11"/>
              </w:rPr>
              <w:t xml:space="preserve"> </w:t>
            </w:r>
            <w:r w:rsidRPr="00340535">
              <w:rPr>
                <w:rFonts w:ascii="Verdana" w:hAnsi="Verdana" w:cs="Arial"/>
                <w:color w:val="000000"/>
              </w:rPr>
              <w:t>de</w:t>
            </w:r>
            <w:r w:rsidRPr="00340535">
              <w:rPr>
                <w:rFonts w:ascii="Verdana" w:hAnsi="Verdana" w:cs="Arial"/>
                <w:color w:val="000000"/>
                <w:spacing w:val="11"/>
              </w:rPr>
              <w:t xml:space="preserve"> </w:t>
            </w:r>
            <w:r w:rsidRPr="00340535">
              <w:rPr>
                <w:rFonts w:ascii="Verdana" w:hAnsi="Verdana" w:cs="Arial"/>
                <w:color w:val="000000"/>
              </w:rPr>
              <w:t>2015.</w:t>
            </w:r>
            <w:r w:rsidRPr="00340535">
              <w:rPr>
                <w:rFonts w:ascii="Verdana" w:hAnsi="Verdana" w:cs="Arial"/>
                <w:color w:val="000000"/>
                <w:spacing w:val="1"/>
              </w:rPr>
              <w:t xml:space="preserve"> </w:t>
            </w:r>
            <w:r w:rsidRPr="00340535">
              <w:rPr>
                <w:rFonts w:ascii="Verdana" w:hAnsi="Verdana" w:cs="Arial"/>
                <w:color w:val="000000"/>
              </w:rPr>
              <w:t>Exp.</w:t>
            </w:r>
            <w:r w:rsidRPr="00340535">
              <w:rPr>
                <w:rFonts w:ascii="Verdana" w:hAnsi="Verdana" w:cs="Arial"/>
                <w:color w:val="000000"/>
                <w:spacing w:val="-2"/>
              </w:rPr>
              <w:t xml:space="preserve"> </w:t>
            </w:r>
            <w:r w:rsidRPr="00340535">
              <w:rPr>
                <w:rFonts w:ascii="Verdana" w:hAnsi="Verdana" w:cs="Arial"/>
                <w:color w:val="000000"/>
              </w:rPr>
              <w:t>40.635.</w:t>
            </w:r>
            <w:r w:rsidRPr="00340535">
              <w:rPr>
                <w:rFonts w:ascii="Verdana" w:hAnsi="Verdana" w:cs="Arial"/>
                <w:color w:val="000000"/>
                <w:spacing w:val="-2"/>
              </w:rPr>
              <w:t xml:space="preserve"> </w:t>
            </w:r>
            <w:r w:rsidRPr="00340535">
              <w:rPr>
                <w:rFonts w:ascii="Verdana" w:hAnsi="Verdana" w:cs="Arial"/>
                <w:color w:val="000000"/>
              </w:rPr>
              <w:t>Consejero</w:t>
            </w:r>
            <w:r w:rsidRPr="00340535">
              <w:rPr>
                <w:rFonts w:ascii="Verdana" w:hAnsi="Verdana" w:cs="Arial"/>
                <w:color w:val="000000"/>
                <w:spacing w:val="-1"/>
              </w:rPr>
              <w:t xml:space="preserve"> </w:t>
            </w:r>
            <w:r w:rsidRPr="00340535">
              <w:rPr>
                <w:rFonts w:ascii="Verdana" w:hAnsi="Verdana" w:cs="Arial"/>
                <w:color w:val="000000"/>
              </w:rPr>
              <w:t>Ponente:</w:t>
            </w:r>
            <w:r w:rsidRPr="00340535">
              <w:rPr>
                <w:rFonts w:ascii="Verdana" w:hAnsi="Verdana" w:cs="Arial"/>
                <w:color w:val="000000"/>
                <w:spacing w:val="-2"/>
              </w:rPr>
              <w:t xml:space="preserve"> </w:t>
            </w:r>
            <w:r w:rsidRPr="00340535">
              <w:rPr>
                <w:rFonts w:ascii="Verdana" w:hAnsi="Verdana" w:cs="Arial"/>
                <w:color w:val="000000"/>
              </w:rPr>
              <w:t>Hernán</w:t>
            </w:r>
            <w:r w:rsidRPr="00340535">
              <w:rPr>
                <w:rFonts w:ascii="Verdana" w:hAnsi="Verdana" w:cs="Arial"/>
                <w:color w:val="000000"/>
                <w:spacing w:val="-1"/>
              </w:rPr>
              <w:t xml:space="preserve"> </w:t>
            </w:r>
            <w:r w:rsidRPr="00340535">
              <w:rPr>
                <w:rFonts w:ascii="Verdana" w:hAnsi="Verdana" w:cs="Arial"/>
                <w:color w:val="000000"/>
              </w:rPr>
              <w:t>Andrade</w:t>
            </w:r>
            <w:r w:rsidRPr="00340535">
              <w:rPr>
                <w:rFonts w:ascii="Verdana" w:hAnsi="Verdana" w:cs="Arial"/>
                <w:color w:val="000000"/>
                <w:spacing w:val="-2"/>
              </w:rPr>
              <w:t xml:space="preserve"> </w:t>
            </w:r>
            <w:r w:rsidRPr="00340535">
              <w:rPr>
                <w:rFonts w:ascii="Verdana" w:hAnsi="Verdana" w:cs="Arial"/>
                <w:color w:val="000000"/>
              </w:rPr>
              <w:t>Rincón</w:t>
            </w:r>
            <w:r w:rsidRPr="00340535">
              <w:rPr>
                <w:rFonts w:ascii="Verdana" w:hAnsi="Verdana" w:cs="Arial"/>
                <w:color w:val="000000"/>
                <w:spacing w:val="-1"/>
              </w:rPr>
              <w:t xml:space="preserve"> </w:t>
            </w:r>
            <w:r w:rsidRPr="00340535">
              <w:rPr>
                <w:rFonts w:ascii="Verdana" w:hAnsi="Verdana" w:cs="Arial"/>
                <w:color w:val="000000"/>
              </w:rPr>
              <w:t>(E).</w:t>
            </w:r>
          </w:p>
        </w:tc>
      </w:tr>
    </w:tbl>
    <w:p w14:paraId="6D5E4034" w14:textId="77777777" w:rsidR="007926EE" w:rsidRPr="00593A5F" w:rsidRDefault="007926EE" w:rsidP="007926EE">
      <w:pPr>
        <w:widowControl w:val="0"/>
        <w:autoSpaceDE w:val="0"/>
        <w:autoSpaceDN w:val="0"/>
        <w:spacing w:after="0" w:line="276" w:lineRule="auto"/>
        <w:jc w:val="both"/>
        <w:rPr>
          <w:rFonts w:ascii="Verdana" w:hAnsi="Verdana" w:cs="Arial"/>
        </w:rPr>
      </w:pPr>
    </w:p>
    <w:p w14:paraId="53D1FEBB" w14:textId="77777777" w:rsidR="007926EE" w:rsidRPr="00593A5F" w:rsidRDefault="007926EE" w:rsidP="007926E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A261EE1" w14:textId="77777777" w:rsidR="007926EE" w:rsidRDefault="007926EE" w:rsidP="007926EE">
      <w:pPr>
        <w:widowControl w:val="0"/>
        <w:autoSpaceDE w:val="0"/>
        <w:autoSpaceDN w:val="0"/>
        <w:spacing w:after="0" w:line="276" w:lineRule="auto"/>
        <w:jc w:val="both"/>
        <w:rPr>
          <w:rFonts w:ascii="Verdana" w:eastAsia="Calibri" w:hAnsi="Verdana" w:cs="Arial"/>
          <w:lang w:val="es-ES_tradnl" w:eastAsia="es-ES_tradnl"/>
        </w:rPr>
      </w:pPr>
    </w:p>
    <w:p w14:paraId="637B7A7F" w14:textId="77777777" w:rsidR="007926EE" w:rsidRDefault="007926EE" w:rsidP="007926EE">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BA1192">
        <w:rPr>
          <w:rFonts w:ascii="Verdana" w:eastAsia="Calibri" w:hAnsi="Verdana" w:cs="Arial"/>
          <w:lang w:val="es-ES_tradnl" w:eastAsia="es-ES_tradnl"/>
        </w:rPr>
        <w:t>Sobre el régimen de inhabilidades e incompatibilidades esta Subdirección se pronunció en los</w:t>
      </w:r>
      <w:r w:rsidRPr="00BA1192">
        <w:rPr>
          <w:rFonts w:ascii="Verdana" w:eastAsia="Calibri" w:hAnsi="Verdana" w:cs="Arial"/>
          <w:lang w:val="es-MX"/>
        </w:rPr>
        <w:t xml:space="preserve"> C−410 del 7 de julio de 2021, C−491 del 14 de septiembre de 2021, C−522 del 1 de octubre de 2021, C−128 del 25 de marzo de 2022, C−252 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 la respuesta </w:t>
      </w:r>
      <w:r w:rsidRPr="00BA1192">
        <w:rPr>
          <w:rFonts w:ascii="Verdana" w:hAnsi="Verdana" w:cs="Arial"/>
        </w:rPr>
        <w:t xml:space="preserve">al radicado </w:t>
      </w:r>
      <w:r w:rsidRPr="00BA1192">
        <w:rPr>
          <w:rFonts w:ascii="Verdana" w:eastAsia="Aptos" w:hAnsi="Verdana" w:cs="Calibri"/>
        </w:rPr>
        <w:t>P20240308002646 del 24 de abril de 2024,</w:t>
      </w:r>
      <w:r w:rsidRPr="00BA1192">
        <w:rPr>
          <w:rFonts w:ascii="Verdana" w:eastAsia="Calibri" w:hAnsi="Verdana" w:cs="Arial"/>
          <w:lang w:val="es-MX"/>
        </w:rPr>
        <w:t xml:space="preserve"> el C-039 del 23 de abril de 2024, </w:t>
      </w:r>
      <w:r w:rsidRPr="00BA1192">
        <w:rPr>
          <w:rFonts w:ascii="Verdana" w:hAnsi="Verdana" w:cs="Arial"/>
        </w:rPr>
        <w:t>C-085 del 3 de marzo de 2025</w:t>
      </w:r>
      <w:r>
        <w:rPr>
          <w:rFonts w:ascii="Verdana" w:hAnsi="Verdana" w:cs="Arial"/>
        </w:rPr>
        <w:t xml:space="preserve">, </w:t>
      </w:r>
      <w:r w:rsidRPr="00BA1192">
        <w:rPr>
          <w:rFonts w:ascii="Verdana" w:eastAsia="Aptos" w:hAnsi="Verdana" w:cs="Calibri"/>
        </w:rPr>
        <w:t>C-170 del 19 de marzo de 2025</w:t>
      </w:r>
      <w:r>
        <w:rPr>
          <w:rFonts w:ascii="Verdana" w:eastAsia="Aptos" w:hAnsi="Verdana" w:cs="Calibri"/>
        </w:rPr>
        <w:t xml:space="preserve">, </w:t>
      </w:r>
      <w:r>
        <w:rPr>
          <w:rFonts w:ascii="Verdana" w:hAnsi="Verdana" w:cs="Arial"/>
        </w:rPr>
        <w:t xml:space="preserve">C-061 del 25 de febrero de 2025, C-026 del 24 de febrero de 2025.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2" w:history="1">
        <w:r w:rsidRPr="005E6C56">
          <w:rPr>
            <w:rStyle w:val="Hipervnculo"/>
            <w:rFonts w:ascii="Verdana" w:hAnsi="Verdana" w:cs="Arial"/>
            <w:shd w:val="clear" w:color="auto" w:fill="FFFFFF"/>
            <w:lang w:val="es-ES"/>
          </w:rPr>
          <w:t>https://relatoria.colombiacompra.gov.co/busqueda/conceptos</w:t>
        </w:r>
      </w:hyperlink>
      <w:r w:rsidRPr="005E6C56">
        <w:rPr>
          <w:rStyle w:val="normaltextrun"/>
          <w:rFonts w:ascii="Verdana" w:hAnsi="Verdana" w:cs="Arial"/>
          <w:color w:val="FF0000"/>
          <w:shd w:val="clear" w:color="auto" w:fill="FFFFFF"/>
          <w:lang w:val="es-ES"/>
        </w:rPr>
        <w:t xml:space="preserve"> </w:t>
      </w:r>
    </w:p>
    <w:p w14:paraId="0133D5D1" w14:textId="77777777" w:rsidR="007926EE" w:rsidRPr="00791C6B" w:rsidRDefault="007926EE" w:rsidP="008258D9">
      <w:pPr>
        <w:shd w:val="clear" w:color="auto" w:fill="FFFFFF"/>
        <w:spacing w:after="0" w:line="276" w:lineRule="auto"/>
        <w:jc w:val="both"/>
        <w:textAlignment w:val="baseline"/>
        <w:rPr>
          <w:rFonts w:ascii="Verdana" w:hAnsi="Verdana"/>
          <w:color w:val="242424"/>
        </w:rPr>
      </w:pPr>
      <w:r>
        <w:rPr>
          <w:rFonts w:ascii="Verdana" w:hAnsi="Verdana"/>
          <w:color w:val="000000"/>
          <w:bdr w:val="none" w:sz="0" w:space="0" w:color="auto" w:frame="1"/>
        </w:rPr>
        <w:lastRenderedPageBreak/>
        <w:t>L</w:t>
      </w:r>
      <w:r w:rsidRPr="00791C6B">
        <w:rPr>
          <w:rFonts w:ascii="Verdana" w:hAnsi="Verdana"/>
          <w:color w:val="000000"/>
          <w:bdr w:val="none" w:sz="0" w:space="0" w:color="auto" w:frame="1"/>
        </w:rPr>
        <w:t>e contamos que ya se encuentra disponible la </w:t>
      </w:r>
      <w:r w:rsidRPr="00791C6B">
        <w:rPr>
          <w:rFonts w:ascii="Verdana" w:hAnsi="Verdana"/>
          <w:b/>
          <w:bCs/>
          <w:color w:val="000000"/>
          <w:bdr w:val="none" w:sz="0" w:space="0" w:color="auto" w:frame="1"/>
        </w:rPr>
        <w:t>Guía de lineamientos de transparencia y selección objetiva para el departamento de La Guajira – Objetivo sexto constitucional de la Sentencia T-302 del 2017. </w:t>
      </w:r>
      <w:r w:rsidRPr="00791C6B">
        <w:rPr>
          <w:rFonts w:ascii="Verdana" w:hAnsi="Verdana"/>
          <w:color w:val="000000"/>
          <w:bdr w:val="none" w:sz="0" w:space="0" w:color="auto" w:frame="1"/>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w:t>
      </w:r>
      <w:r w:rsidRPr="005E6C56">
        <w:rPr>
          <w:rFonts w:ascii="Verdana" w:hAnsi="Verdana"/>
          <w:color w:val="000000"/>
          <w:bdr w:val="none" w:sz="0" w:space="0" w:color="auto" w:frame="1"/>
        </w:rPr>
        <w:t>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5E6C56">
          <w:rPr>
            <w:rStyle w:val="Hipervnculo"/>
            <w:rFonts w:ascii="Verdana" w:hAnsi="Verdana"/>
            <w:color w:val="467886"/>
            <w:bdr w:val="none" w:sz="0" w:space="0" w:color="auto" w:frame="1"/>
          </w:rPr>
          <w:t>Guía de lineamientos de transparencia y selección objetiva para el departamento de La Guajira – Objetivo sexto constitucional de la Sentencia T-302 del 2017</w:t>
        </w:r>
      </w:hyperlink>
      <w:r w:rsidRPr="005E6C56">
        <w:rPr>
          <w:rFonts w:ascii="Verdana" w:hAnsi="Verdana"/>
          <w:color w:val="467886"/>
          <w:u w:val="single"/>
          <w:bdr w:val="none" w:sz="0" w:space="0" w:color="auto" w:frame="1"/>
        </w:rPr>
        <w:t>"</w:t>
      </w:r>
    </w:p>
    <w:p w14:paraId="3C9E6966" w14:textId="77777777" w:rsidR="007926EE" w:rsidRPr="003E2460" w:rsidRDefault="007926EE" w:rsidP="008258D9">
      <w:pPr>
        <w:spacing w:after="0" w:line="276"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243E49EC" w14:textId="77777777" w:rsidR="007926EE" w:rsidRPr="003E2460" w:rsidRDefault="007926EE" w:rsidP="008258D9">
      <w:pPr>
        <w:spacing w:after="0" w:line="276" w:lineRule="auto"/>
        <w:jc w:val="both"/>
        <w:rPr>
          <w:rFonts w:ascii="Verdana" w:hAnsi="Verdana"/>
        </w:rPr>
      </w:pPr>
    </w:p>
    <w:p w14:paraId="04A695D7" w14:textId="77777777" w:rsidR="007926EE" w:rsidRPr="003E2460" w:rsidRDefault="007926EE" w:rsidP="008258D9">
      <w:pPr>
        <w:spacing w:after="0" w:line="276"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05CF07F1" w14:textId="77777777" w:rsidR="007926EE" w:rsidRPr="003E2460" w:rsidRDefault="007926EE" w:rsidP="008258D9">
      <w:pPr>
        <w:spacing w:after="0" w:line="276"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727049D1" w14:textId="77777777" w:rsidR="007926EE" w:rsidRPr="003E2460" w:rsidRDefault="007926EE" w:rsidP="008258D9">
      <w:pPr>
        <w:spacing w:after="0" w:line="276"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58CCC9A4" w14:textId="77777777" w:rsidR="007926EE" w:rsidRPr="00593A5F" w:rsidRDefault="007926EE" w:rsidP="007926EE">
      <w:pPr>
        <w:widowControl w:val="0"/>
        <w:autoSpaceDE w:val="0"/>
        <w:autoSpaceDN w:val="0"/>
        <w:spacing w:after="0" w:line="276" w:lineRule="auto"/>
        <w:jc w:val="both"/>
        <w:rPr>
          <w:rFonts w:ascii="Verdana" w:hAnsi="Verdana" w:cs="Arial"/>
        </w:rPr>
      </w:pPr>
    </w:p>
    <w:p w14:paraId="43607604" w14:textId="77777777" w:rsidR="007926EE" w:rsidRPr="00593A5F" w:rsidRDefault="007926EE" w:rsidP="007926EE">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669C3E55" w14:textId="77777777" w:rsidR="007926EE" w:rsidRPr="00593A5F" w:rsidRDefault="007926EE" w:rsidP="007926EE">
      <w:pPr>
        <w:widowControl w:val="0"/>
        <w:autoSpaceDE w:val="0"/>
        <w:autoSpaceDN w:val="0"/>
        <w:spacing w:after="0" w:line="276" w:lineRule="auto"/>
        <w:jc w:val="both"/>
        <w:rPr>
          <w:rFonts w:ascii="Verdana" w:hAnsi="Verdana" w:cs="Arial"/>
        </w:rPr>
      </w:pPr>
    </w:p>
    <w:p w14:paraId="13103CA4" w14:textId="77777777" w:rsidR="007926EE" w:rsidRPr="00593A5F" w:rsidRDefault="007926EE" w:rsidP="008258D9">
      <w:pPr>
        <w:spacing w:after="0" w:line="276"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0F3196C" w14:textId="0EDE7AC8" w:rsidR="007926EE" w:rsidRPr="00593A5F" w:rsidRDefault="000E5743" w:rsidP="007926EE">
      <w:pPr>
        <w:spacing w:line="276" w:lineRule="auto"/>
        <w:jc w:val="center"/>
        <w:rPr>
          <w:rFonts w:ascii="Verdana" w:hAnsi="Verdana" w:cs="Arial"/>
          <w:color w:val="000000"/>
          <w:lang w:val="es-ES_tradnl" w:eastAsia="es-CO"/>
        </w:rPr>
      </w:pPr>
      <w:r>
        <w:rPr>
          <w:noProof/>
        </w:rPr>
        <w:drawing>
          <wp:inline distT="0" distB="0" distL="0" distR="0" wp14:anchorId="0818F8BE" wp14:editId="410B3956">
            <wp:extent cx="3768725" cy="1399540"/>
            <wp:effectExtent l="0" t="0" r="3175" b="0"/>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926EE" w:rsidRPr="00593A5F" w14:paraId="7DDF6B61" w14:textId="77777777" w:rsidTr="00C63F53">
        <w:trPr>
          <w:trHeight w:val="315"/>
        </w:trPr>
        <w:tc>
          <w:tcPr>
            <w:tcW w:w="893" w:type="dxa"/>
            <w:vAlign w:val="center"/>
            <w:hideMark/>
          </w:tcPr>
          <w:p w14:paraId="392326C4" w14:textId="77777777" w:rsidR="007926EE" w:rsidRPr="003751C7" w:rsidRDefault="007926EE" w:rsidP="00C63F53">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49301A6" w14:textId="77777777" w:rsidR="007926EE" w:rsidRPr="008E06BF" w:rsidRDefault="007926EE" w:rsidP="00C63F53">
            <w:pPr>
              <w:contextualSpacing/>
              <w:rPr>
                <w:rFonts w:ascii="Verdana" w:eastAsia="Arial" w:hAnsi="Verdana" w:cs="Arial"/>
                <w:sz w:val="16"/>
                <w:szCs w:val="16"/>
              </w:rPr>
            </w:pPr>
            <w:r w:rsidRPr="008E06BF">
              <w:rPr>
                <w:rStyle w:val="normaltextrun"/>
                <w:rFonts w:ascii="Verdana" w:hAnsi="Verdana"/>
                <w:sz w:val="16"/>
                <w:szCs w:val="16"/>
              </w:rPr>
              <w:t>Catalina Cubides Estupiñan</w:t>
            </w:r>
          </w:p>
          <w:p w14:paraId="66B30BFA" w14:textId="77777777" w:rsidR="007926EE" w:rsidRPr="008E06BF" w:rsidRDefault="007926EE" w:rsidP="00C63F53">
            <w:pPr>
              <w:contextualSpacing/>
              <w:rPr>
                <w:rFonts w:ascii="Verdana" w:eastAsia="Arial" w:hAnsi="Verdana" w:cs="Arial"/>
                <w:sz w:val="16"/>
                <w:szCs w:val="16"/>
              </w:rPr>
            </w:pPr>
            <w:r w:rsidRPr="008E06BF">
              <w:rPr>
                <w:rStyle w:val="normaltextrun"/>
                <w:rFonts w:ascii="Verdana" w:eastAsia="Arial" w:hAnsi="Verdana" w:cs="Arial"/>
                <w:sz w:val="16"/>
                <w:szCs w:val="16"/>
              </w:rPr>
              <w:t>C</w:t>
            </w:r>
            <w:r w:rsidRPr="008E06BF">
              <w:rPr>
                <w:rStyle w:val="normaltextrun"/>
                <w:rFonts w:ascii="Verdana" w:eastAsia="Arial" w:hAnsi="Verdana"/>
                <w:sz w:val="16"/>
                <w:szCs w:val="16"/>
              </w:rPr>
              <w:t>ontratista d</w:t>
            </w:r>
            <w:r w:rsidRPr="008E06BF">
              <w:rPr>
                <w:rStyle w:val="normaltextrun"/>
                <w:rFonts w:ascii="Verdana" w:eastAsia="Arial" w:hAnsi="Verdana" w:cs="Arial"/>
                <w:sz w:val="16"/>
                <w:szCs w:val="16"/>
              </w:rPr>
              <w:t>e la Subdirección de Gestión Contractual</w:t>
            </w:r>
          </w:p>
        </w:tc>
      </w:tr>
      <w:tr w:rsidR="007926EE" w:rsidRPr="00593A5F" w14:paraId="72CB7D11" w14:textId="77777777" w:rsidTr="00C63F53">
        <w:trPr>
          <w:trHeight w:val="330"/>
        </w:trPr>
        <w:tc>
          <w:tcPr>
            <w:tcW w:w="893" w:type="dxa"/>
            <w:vAlign w:val="center"/>
            <w:hideMark/>
          </w:tcPr>
          <w:p w14:paraId="7F276836" w14:textId="77777777" w:rsidR="007926EE" w:rsidRPr="003751C7" w:rsidRDefault="007926EE" w:rsidP="00C63F53">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5D5E91D" w14:textId="0CD449C9" w:rsidR="007926EE" w:rsidRPr="008E06BF" w:rsidRDefault="007926EE" w:rsidP="00C63F53">
            <w:pPr>
              <w:pStyle w:val="paragraph"/>
              <w:spacing w:before="0" w:beforeAutospacing="0" w:after="0" w:afterAutospacing="0"/>
              <w:contextualSpacing/>
              <w:textAlignment w:val="baseline"/>
              <w:rPr>
                <w:rFonts w:ascii="Verdana" w:hAnsi="Verdana" w:cs="Segoe UI"/>
                <w:sz w:val="16"/>
                <w:szCs w:val="16"/>
              </w:rPr>
            </w:pPr>
            <w:r w:rsidRPr="008E06BF">
              <w:rPr>
                <w:rFonts w:ascii="Verdana" w:hAnsi="Verdana" w:cs="Segoe UI"/>
                <w:sz w:val="16"/>
                <w:szCs w:val="16"/>
              </w:rPr>
              <w:t>Diana Lucía Saavedra</w:t>
            </w:r>
            <w:r w:rsidR="005E6C56">
              <w:rPr>
                <w:rFonts w:ascii="Verdana" w:hAnsi="Verdana" w:cs="Segoe UI"/>
                <w:sz w:val="16"/>
                <w:szCs w:val="16"/>
              </w:rPr>
              <w:t xml:space="preserve"> Castañed</w:t>
            </w:r>
            <w:r w:rsidRPr="008E06BF">
              <w:rPr>
                <w:rFonts w:ascii="Verdana" w:hAnsi="Verdana" w:cs="Segoe UI"/>
                <w:sz w:val="16"/>
                <w:szCs w:val="16"/>
              </w:rPr>
              <w:t>a</w:t>
            </w:r>
          </w:p>
          <w:p w14:paraId="1A5CBD01" w14:textId="77777777" w:rsidR="007926EE" w:rsidRPr="008E06BF" w:rsidRDefault="007926EE" w:rsidP="00C63F53">
            <w:pPr>
              <w:pStyle w:val="paragraph"/>
              <w:spacing w:before="0" w:beforeAutospacing="0" w:after="0" w:afterAutospacing="0"/>
              <w:contextualSpacing/>
              <w:textAlignment w:val="baseline"/>
              <w:rPr>
                <w:rFonts w:ascii="Verdana" w:hAnsi="Verdana" w:cs="Segoe UI"/>
                <w:sz w:val="16"/>
                <w:szCs w:val="16"/>
              </w:rPr>
            </w:pPr>
            <w:r w:rsidRPr="008E06BF">
              <w:rPr>
                <w:rStyle w:val="normaltextrun"/>
                <w:rFonts w:ascii="Verdana" w:hAnsi="Verdana" w:cs="Arial"/>
                <w:sz w:val="16"/>
                <w:szCs w:val="16"/>
                <w:lang w:val="es-ES"/>
              </w:rPr>
              <w:t>Contratista de la Subdirección de Gestión Contractual</w:t>
            </w:r>
            <w:r w:rsidRPr="008E06BF">
              <w:rPr>
                <w:rStyle w:val="eop"/>
                <w:rFonts w:ascii="Verdana" w:hAnsi="Verdana" w:cs="Arial"/>
                <w:sz w:val="16"/>
                <w:szCs w:val="16"/>
              </w:rPr>
              <w:t> </w:t>
            </w:r>
          </w:p>
        </w:tc>
      </w:tr>
      <w:tr w:rsidR="007926EE" w:rsidRPr="00593A5F" w14:paraId="186443B5" w14:textId="77777777" w:rsidTr="00C63F53">
        <w:trPr>
          <w:trHeight w:val="300"/>
        </w:trPr>
        <w:tc>
          <w:tcPr>
            <w:tcW w:w="893" w:type="dxa"/>
            <w:vAlign w:val="center"/>
          </w:tcPr>
          <w:p w14:paraId="0389EDBD" w14:textId="77777777" w:rsidR="007926EE" w:rsidRPr="003751C7" w:rsidRDefault="007926EE" w:rsidP="00C63F53">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D72292D" w14:textId="77777777" w:rsidR="007926EE" w:rsidRPr="003751C7" w:rsidRDefault="007926EE" w:rsidP="00C63F53">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7FA2820E" w14:textId="77777777" w:rsidR="007926EE" w:rsidRPr="003751C7" w:rsidRDefault="007926EE" w:rsidP="00C63F53">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3900974D" w14:textId="77777777" w:rsidR="003D5B0D" w:rsidRPr="000C4D38" w:rsidRDefault="003D5B0D" w:rsidP="008258D9"/>
    <w:sectPr w:rsidR="003D5B0D" w:rsidRPr="000C4D38"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53070" w14:textId="77777777" w:rsidR="00C85D46" w:rsidRDefault="00C85D46" w:rsidP="004A1847">
      <w:pPr>
        <w:spacing w:after="0" w:line="240" w:lineRule="auto"/>
      </w:pPr>
      <w:r>
        <w:separator/>
      </w:r>
    </w:p>
  </w:endnote>
  <w:endnote w:type="continuationSeparator" w:id="0">
    <w:p w14:paraId="5EF8E47A" w14:textId="77777777" w:rsidR="00C85D46" w:rsidRDefault="00C85D46" w:rsidP="004A1847">
      <w:pPr>
        <w:spacing w:after="0" w:line="240" w:lineRule="auto"/>
      </w:pPr>
      <w:r>
        <w:continuationSeparator/>
      </w:r>
    </w:p>
  </w:endnote>
  <w:endnote w:type="continuationNotice" w:id="1">
    <w:p w14:paraId="07043CD5" w14:textId="77777777" w:rsidR="00C85D46" w:rsidRDefault="00C85D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6DDE3" w14:textId="77777777" w:rsidR="00C85D46" w:rsidRDefault="00C85D46" w:rsidP="004A1847">
      <w:pPr>
        <w:spacing w:after="0" w:line="240" w:lineRule="auto"/>
      </w:pPr>
      <w:r>
        <w:separator/>
      </w:r>
    </w:p>
  </w:footnote>
  <w:footnote w:type="continuationSeparator" w:id="0">
    <w:p w14:paraId="7D941EDE" w14:textId="77777777" w:rsidR="00C85D46" w:rsidRDefault="00C85D46" w:rsidP="004A1847">
      <w:pPr>
        <w:spacing w:after="0" w:line="240" w:lineRule="auto"/>
      </w:pPr>
      <w:r>
        <w:continuationSeparator/>
      </w:r>
    </w:p>
  </w:footnote>
  <w:footnote w:type="continuationNotice" w:id="1">
    <w:p w14:paraId="2E719FC6" w14:textId="77777777" w:rsidR="00C85D46" w:rsidRDefault="00C85D46">
      <w:pPr>
        <w:spacing w:after="0" w:line="240" w:lineRule="auto"/>
      </w:pPr>
    </w:p>
  </w:footnote>
  <w:footnote w:id="2">
    <w:p w14:paraId="393DE358" w14:textId="77777777" w:rsidR="007926EE" w:rsidRPr="008258D9" w:rsidRDefault="007926EE" w:rsidP="008B1081">
      <w:pPr>
        <w:pStyle w:val="Textonotapie"/>
        <w:ind w:firstLine="708"/>
        <w:rPr>
          <w:rFonts w:ascii="Verdana" w:hAnsi="Verdana"/>
          <w:sz w:val="16"/>
          <w:szCs w:val="16"/>
          <w:lang w:val="es-ES"/>
        </w:rPr>
      </w:pPr>
      <w:bookmarkStart w:id="1" w:name="_Hlk194585808"/>
      <w:r w:rsidRPr="008258D9">
        <w:rPr>
          <w:rStyle w:val="Refdenotaalpie"/>
          <w:rFonts w:ascii="Verdana" w:hAnsi="Verdana"/>
          <w:sz w:val="16"/>
          <w:szCs w:val="16"/>
        </w:rPr>
        <w:footnoteRef/>
      </w:r>
      <w:r w:rsidRPr="008258D9">
        <w:rPr>
          <w:rFonts w:ascii="Verdana" w:hAnsi="Verdana"/>
          <w:sz w:val="16"/>
          <w:szCs w:val="16"/>
        </w:rPr>
        <w:t xml:space="preserve"> </w:t>
      </w:r>
      <w:r w:rsidRPr="008258D9">
        <w:rPr>
          <w:rFonts w:ascii="Verdana" w:hAnsi="Verdana"/>
          <w:sz w:val="16"/>
          <w:szCs w:val="16"/>
          <w:lang w:val="es-ES"/>
        </w:rPr>
        <w:t>Corte Constitucional. Sentencia C-489/96. M.P: Antonio Barrera Carbonell</w:t>
      </w:r>
      <w:bookmarkEnd w:id="1"/>
    </w:p>
    <w:p w14:paraId="37EA2BA6" w14:textId="77777777" w:rsidR="007926EE" w:rsidRPr="008258D9" w:rsidRDefault="007926EE" w:rsidP="00424E14">
      <w:pPr>
        <w:pStyle w:val="Textonotapie"/>
        <w:ind w:firstLine="708"/>
        <w:rPr>
          <w:rFonts w:ascii="Verdana" w:hAnsi="Verdana"/>
          <w:sz w:val="16"/>
          <w:szCs w:val="16"/>
          <w:lang w:val="es-ES"/>
        </w:rPr>
      </w:pPr>
    </w:p>
  </w:footnote>
  <w:footnote w:id="3">
    <w:p w14:paraId="16476D41" w14:textId="77777777" w:rsidR="007926EE" w:rsidRPr="001A625A" w:rsidRDefault="007926EE" w:rsidP="007926EE">
      <w:pPr>
        <w:spacing w:after="0" w:line="240" w:lineRule="auto"/>
        <w:ind w:firstLine="709"/>
        <w:jc w:val="both"/>
        <w:rPr>
          <w:rFonts w:ascii="Verdana" w:hAnsi="Verdana" w:cs="Arial"/>
          <w:color w:val="000000" w:themeColor="text1"/>
          <w:sz w:val="16"/>
          <w:szCs w:val="16"/>
          <w:lang w:val="es-ES"/>
        </w:rPr>
      </w:pPr>
      <w:r w:rsidRPr="001A625A">
        <w:rPr>
          <w:rStyle w:val="Refdenotaalpie"/>
          <w:rFonts w:ascii="Verdana" w:hAnsi="Verdana" w:cs="Arial"/>
          <w:color w:val="000000" w:themeColor="text1"/>
          <w:sz w:val="16"/>
          <w:szCs w:val="16"/>
        </w:rPr>
        <w:footnoteRef/>
      </w:r>
      <w:r w:rsidRPr="001A625A">
        <w:rPr>
          <w:rFonts w:ascii="Verdana" w:hAnsi="Verdana" w:cs="Arial"/>
          <w:color w:val="000000" w:themeColor="text1"/>
          <w:sz w:val="16"/>
          <w:szCs w:val="16"/>
        </w:rPr>
        <w:t xml:space="preserve"> </w:t>
      </w:r>
      <w:r w:rsidRPr="001A625A">
        <w:rPr>
          <w:rFonts w:ascii="Verdana" w:hAnsi="Verdana" w:cs="Arial"/>
          <w:color w:val="000000" w:themeColor="text1"/>
          <w:sz w:val="16"/>
          <w:szCs w:val="16"/>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4D3718A0" w14:textId="77777777" w:rsidR="007926EE" w:rsidRPr="001A625A" w:rsidRDefault="007926EE" w:rsidP="007926EE">
      <w:pPr>
        <w:spacing w:after="0" w:line="240" w:lineRule="auto"/>
        <w:ind w:firstLine="709"/>
        <w:jc w:val="both"/>
        <w:rPr>
          <w:rFonts w:ascii="Verdana" w:hAnsi="Verdana" w:cs="Arial"/>
          <w:color w:val="000000" w:themeColor="text1"/>
          <w:sz w:val="16"/>
          <w:szCs w:val="16"/>
          <w:lang w:val="es-ES"/>
        </w:rPr>
      </w:pPr>
    </w:p>
  </w:footnote>
  <w:footnote w:id="4">
    <w:p w14:paraId="55B88CF0" w14:textId="77777777" w:rsidR="007926EE" w:rsidRPr="001A625A" w:rsidRDefault="007926EE" w:rsidP="007926EE">
      <w:pPr>
        <w:pStyle w:val="Textonotapie"/>
        <w:ind w:firstLine="709"/>
        <w:jc w:val="both"/>
        <w:rPr>
          <w:rFonts w:ascii="Verdana" w:hAnsi="Verdana" w:cs="Arial"/>
          <w:color w:val="000000" w:themeColor="text1"/>
          <w:sz w:val="16"/>
          <w:szCs w:val="16"/>
          <w:lang w:val="es-ES"/>
        </w:rPr>
      </w:pPr>
      <w:r w:rsidRPr="001A625A">
        <w:rPr>
          <w:rStyle w:val="Refdenotaalpie"/>
          <w:rFonts w:ascii="Verdana" w:hAnsi="Verdana" w:cs="Arial"/>
          <w:color w:val="000000" w:themeColor="text1"/>
          <w:sz w:val="16"/>
          <w:szCs w:val="16"/>
        </w:rPr>
        <w:footnoteRef/>
      </w:r>
      <w:r w:rsidRPr="001A625A">
        <w:rPr>
          <w:rFonts w:ascii="Verdana" w:hAnsi="Verdana" w:cs="Arial"/>
          <w:color w:val="000000" w:themeColor="text1"/>
          <w:sz w:val="16"/>
          <w:szCs w:val="16"/>
        </w:rPr>
        <w:t xml:space="preserve"> </w:t>
      </w:r>
      <w:r w:rsidRPr="001A625A">
        <w:rPr>
          <w:rFonts w:ascii="Verdana" w:hAnsi="Verdana" w:cs="Arial"/>
          <w:color w:val="000000" w:themeColor="text1"/>
          <w:sz w:val="16"/>
          <w:szCs w:val="16"/>
          <w:lang w:val="es-ES"/>
        </w:rPr>
        <w:t>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2403B2B9" w14:textId="77777777" w:rsidR="007926EE" w:rsidRPr="001A625A" w:rsidRDefault="007926EE" w:rsidP="007926EE">
      <w:pPr>
        <w:pStyle w:val="Textonotapie"/>
        <w:ind w:firstLine="709"/>
        <w:jc w:val="both"/>
        <w:rPr>
          <w:rFonts w:ascii="Verdana" w:hAnsi="Verdana" w:cs="Arial"/>
          <w:color w:val="000000" w:themeColor="text1"/>
          <w:sz w:val="16"/>
          <w:szCs w:val="16"/>
          <w:lang w:val="es-CO"/>
        </w:rPr>
      </w:pPr>
    </w:p>
  </w:footnote>
  <w:footnote w:id="5">
    <w:p w14:paraId="3CEC2D63" w14:textId="77777777" w:rsidR="007926EE" w:rsidRPr="001A625A" w:rsidRDefault="007926EE" w:rsidP="007926EE">
      <w:pPr>
        <w:pStyle w:val="Textonotapie"/>
        <w:ind w:firstLine="709"/>
        <w:jc w:val="both"/>
        <w:rPr>
          <w:rFonts w:ascii="Verdana" w:hAnsi="Verdana" w:cs="Arial"/>
          <w:color w:val="000000" w:themeColor="text1"/>
          <w:sz w:val="16"/>
          <w:szCs w:val="16"/>
          <w:lang w:val="es-ES"/>
        </w:rPr>
      </w:pPr>
      <w:r w:rsidRPr="001A625A">
        <w:rPr>
          <w:rStyle w:val="Refdenotaalpie"/>
          <w:rFonts w:ascii="Verdana" w:hAnsi="Verdana" w:cs="Arial"/>
          <w:color w:val="000000" w:themeColor="text1"/>
          <w:sz w:val="16"/>
          <w:szCs w:val="16"/>
        </w:rPr>
        <w:footnoteRef/>
      </w:r>
      <w:r w:rsidRPr="001A625A">
        <w:rPr>
          <w:rFonts w:ascii="Verdana" w:hAnsi="Verdana" w:cs="Arial"/>
          <w:color w:val="000000" w:themeColor="text1"/>
          <w:sz w:val="16"/>
          <w:szCs w:val="16"/>
        </w:rPr>
        <w:t xml:space="preserve"> </w:t>
      </w:r>
      <w:r w:rsidRPr="001A625A">
        <w:rPr>
          <w:rFonts w:ascii="Verdana" w:hAnsi="Verdana" w:cs="Arial"/>
          <w:color w:val="000000" w:themeColor="text1"/>
          <w:sz w:val="16"/>
          <w:szCs w:val="16"/>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p w14:paraId="4B96020F" w14:textId="77777777" w:rsidR="007926EE" w:rsidRPr="001A625A" w:rsidRDefault="007926EE" w:rsidP="007926EE">
      <w:pPr>
        <w:pStyle w:val="Textonotapie"/>
        <w:ind w:firstLine="709"/>
        <w:jc w:val="both"/>
        <w:rPr>
          <w:rFonts w:ascii="Verdana" w:hAnsi="Verdana" w:cs="Arial"/>
          <w:color w:val="000000" w:themeColor="text1"/>
          <w:sz w:val="16"/>
          <w:szCs w:val="16"/>
          <w:lang w:val="es-CO"/>
        </w:rPr>
      </w:pPr>
      <w:r w:rsidRPr="001A625A">
        <w:rPr>
          <w:rFonts w:ascii="Verdana" w:hAnsi="Verdana" w:cs="Arial"/>
          <w:color w:val="000000" w:themeColor="text1"/>
          <w:sz w:val="16"/>
          <w:szCs w:val="16"/>
          <w:lang w:val="es-ES"/>
        </w:rPr>
        <w:t xml:space="preserve">  </w:t>
      </w:r>
    </w:p>
  </w:footnote>
  <w:footnote w:id="6">
    <w:p w14:paraId="54D9E425" w14:textId="77777777" w:rsidR="007926EE" w:rsidRPr="001A625A" w:rsidRDefault="007926EE" w:rsidP="007926EE">
      <w:pPr>
        <w:spacing w:after="0" w:line="240" w:lineRule="auto"/>
        <w:ind w:firstLine="709"/>
        <w:jc w:val="both"/>
        <w:rPr>
          <w:rFonts w:ascii="Verdana" w:hAnsi="Verdana" w:cs="Arial"/>
          <w:color w:val="000000" w:themeColor="text1"/>
          <w:sz w:val="16"/>
          <w:szCs w:val="16"/>
          <w:lang w:val="es-ES"/>
        </w:rPr>
      </w:pPr>
      <w:r w:rsidRPr="001A625A">
        <w:rPr>
          <w:rStyle w:val="Refdenotaalpie"/>
          <w:rFonts w:ascii="Verdana" w:hAnsi="Verdana" w:cs="Arial"/>
          <w:color w:val="000000" w:themeColor="text1"/>
          <w:sz w:val="16"/>
          <w:szCs w:val="16"/>
        </w:rPr>
        <w:footnoteRef/>
      </w:r>
      <w:r w:rsidRPr="001A625A">
        <w:rPr>
          <w:rFonts w:ascii="Verdana" w:hAnsi="Verdana" w:cs="Arial"/>
          <w:color w:val="000000" w:themeColor="text1"/>
          <w:sz w:val="16"/>
          <w:szCs w:val="16"/>
        </w:rPr>
        <w:t xml:space="preserve"> </w:t>
      </w:r>
      <w:r w:rsidRPr="001A625A">
        <w:rPr>
          <w:rFonts w:ascii="Verdana" w:hAnsi="Verdana" w:cs="Arial"/>
          <w:color w:val="000000" w:themeColor="text1"/>
          <w:sz w:val="16"/>
          <w:szCs w:val="16"/>
          <w:lang w:val="es-ES"/>
        </w:rPr>
        <w:t xml:space="preserve">Como las señaladas a continuación: “Los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46125275" w14:textId="77777777" w:rsidR="007926EE" w:rsidRPr="001A625A" w:rsidRDefault="007926EE" w:rsidP="007926EE">
      <w:pPr>
        <w:spacing w:after="0" w:line="240" w:lineRule="auto"/>
        <w:ind w:firstLine="709"/>
        <w:jc w:val="both"/>
        <w:rPr>
          <w:rFonts w:ascii="Verdana" w:hAnsi="Verdana" w:cs="Arial"/>
          <w:color w:val="000000" w:themeColor="text1"/>
          <w:sz w:val="16"/>
          <w:szCs w:val="16"/>
          <w:lang w:val="es-ES"/>
        </w:rPr>
      </w:pPr>
    </w:p>
  </w:footnote>
  <w:footnote w:id="7">
    <w:p w14:paraId="47F22560" w14:textId="77777777" w:rsidR="007926EE" w:rsidRPr="008258D9" w:rsidRDefault="007926EE" w:rsidP="007926EE">
      <w:pPr>
        <w:pStyle w:val="Textonotapie"/>
        <w:ind w:firstLine="709"/>
        <w:jc w:val="both"/>
        <w:rPr>
          <w:rFonts w:ascii="Verdana" w:hAnsi="Verdana" w:cs="Arial"/>
          <w:color w:val="000000"/>
          <w:sz w:val="16"/>
          <w:szCs w:val="16"/>
          <w:lang w:val="es-CO"/>
        </w:rPr>
      </w:pPr>
      <w:r w:rsidRPr="008258D9">
        <w:rPr>
          <w:rStyle w:val="Refdenotaalpie"/>
          <w:rFonts w:ascii="Verdana" w:hAnsi="Verdana" w:cs="Arial"/>
          <w:color w:val="000000"/>
          <w:sz w:val="16"/>
          <w:szCs w:val="16"/>
          <w:lang w:val="es-CO"/>
        </w:rPr>
        <w:footnoteRef/>
      </w:r>
      <w:r w:rsidRPr="008258D9">
        <w:rPr>
          <w:rFonts w:ascii="Verdana" w:hAnsi="Verdana" w:cs="Arial"/>
          <w:color w:val="000000"/>
          <w:sz w:val="16"/>
          <w:szCs w:val="16"/>
          <w:lang w:val="es-CO"/>
        </w:rPr>
        <w:t xml:space="preserve"> Corte Constitucional. Sentencia T-1039 de 2006. </w:t>
      </w:r>
      <w:r w:rsidRPr="008258D9">
        <w:rPr>
          <w:rFonts w:ascii="Verdana" w:hAnsi="Verdana" w:cs="Arial"/>
          <w:color w:val="000000"/>
          <w:sz w:val="16"/>
          <w:szCs w:val="16"/>
          <w:lang w:val="it-IT"/>
        </w:rPr>
        <w:t xml:space="preserve">Magistrado Ponente: Humberto Sierra Porto. </w:t>
      </w:r>
      <w:r w:rsidRPr="008258D9">
        <w:rPr>
          <w:rFonts w:ascii="Verdana" w:hAnsi="Verdana" w:cs="Arial"/>
          <w:color w:val="000000"/>
          <w:sz w:val="16"/>
          <w:szCs w:val="16"/>
          <w:lang w:val="es-CO"/>
        </w:rPr>
        <w:t>La Corte ha mantenido este criterio en las sentencias: C-903 de 2008. Magistrado Ponente: Jaime Araujo Rentería; C-101 de 2018. Magistrada Ponente Gloria Stella Ortiz Delgado; entre otras.</w:t>
      </w:r>
    </w:p>
    <w:p w14:paraId="2F90A9AB" w14:textId="77777777" w:rsidR="007926EE" w:rsidRPr="008258D9" w:rsidRDefault="007926EE" w:rsidP="007926EE">
      <w:pPr>
        <w:pStyle w:val="Textonotapie"/>
        <w:ind w:firstLine="709"/>
        <w:jc w:val="both"/>
        <w:rPr>
          <w:rFonts w:ascii="Verdana" w:hAnsi="Verdana" w:cs="Arial"/>
          <w:color w:val="000000"/>
          <w:sz w:val="16"/>
          <w:szCs w:val="16"/>
          <w:lang w:val="es-CO"/>
        </w:rPr>
      </w:pPr>
    </w:p>
  </w:footnote>
  <w:footnote w:id="8">
    <w:p w14:paraId="5BC9DE22" w14:textId="77777777" w:rsidR="007926EE" w:rsidRPr="008258D9" w:rsidRDefault="007926EE" w:rsidP="007926EE">
      <w:pPr>
        <w:pStyle w:val="Textonotapie"/>
        <w:ind w:firstLine="709"/>
        <w:jc w:val="both"/>
        <w:rPr>
          <w:rFonts w:ascii="Verdana" w:hAnsi="Verdana" w:cs="Arial"/>
          <w:color w:val="000000"/>
          <w:sz w:val="16"/>
          <w:szCs w:val="16"/>
          <w:lang w:val="es-CO"/>
        </w:rPr>
      </w:pPr>
      <w:r w:rsidRPr="008258D9">
        <w:rPr>
          <w:rStyle w:val="Refdenotaalpie"/>
          <w:rFonts w:ascii="Verdana" w:hAnsi="Verdana" w:cs="Arial"/>
          <w:color w:val="000000"/>
          <w:sz w:val="16"/>
          <w:szCs w:val="16"/>
          <w:lang w:val="es-CO"/>
        </w:rPr>
        <w:footnoteRef/>
      </w:r>
      <w:r w:rsidRPr="008258D9">
        <w:rPr>
          <w:rFonts w:ascii="Verdana" w:hAnsi="Verdana" w:cs="Arial"/>
          <w:color w:val="000000"/>
          <w:sz w:val="16"/>
          <w:szCs w:val="16"/>
          <w:lang w:val="es-CO"/>
        </w:rPr>
        <w:t xml:space="preserve"> Consejo de Estado. Sala de Consulta y Servicio Civil. Concepto del 30 de abril de 2015. Expediente: 2251. Consejero Ponente: Álvaro Namén Vargas.</w:t>
      </w:r>
    </w:p>
    <w:p w14:paraId="6A5BB676" w14:textId="77777777" w:rsidR="007926EE" w:rsidRPr="008258D9" w:rsidRDefault="007926EE" w:rsidP="007926EE">
      <w:pPr>
        <w:pStyle w:val="Textonotapie"/>
        <w:ind w:firstLine="709"/>
        <w:jc w:val="both"/>
        <w:rPr>
          <w:rFonts w:ascii="Verdana" w:hAnsi="Verdana" w:cs="Arial"/>
          <w:color w:val="000000"/>
          <w:sz w:val="16"/>
          <w:szCs w:val="16"/>
          <w:lang w:val="es-CO"/>
        </w:rPr>
      </w:pPr>
    </w:p>
  </w:footnote>
  <w:footnote w:id="9">
    <w:p w14:paraId="5B73AD39" w14:textId="77777777" w:rsidR="007926EE" w:rsidRPr="008258D9" w:rsidRDefault="007926EE" w:rsidP="007926EE">
      <w:pPr>
        <w:spacing w:after="0" w:line="240" w:lineRule="auto"/>
        <w:ind w:firstLine="709"/>
        <w:jc w:val="both"/>
        <w:rPr>
          <w:rFonts w:ascii="Verdana" w:hAnsi="Verdana" w:cs="Arial"/>
          <w:color w:val="000000"/>
          <w:sz w:val="16"/>
          <w:szCs w:val="16"/>
        </w:rPr>
      </w:pPr>
      <w:r w:rsidRPr="008258D9">
        <w:rPr>
          <w:rStyle w:val="Refdenotaalpie"/>
          <w:rFonts w:ascii="Verdana" w:hAnsi="Verdana" w:cs="Arial"/>
          <w:color w:val="000000"/>
          <w:sz w:val="16"/>
          <w:szCs w:val="16"/>
        </w:rPr>
        <w:footnoteRef/>
      </w:r>
      <w:r w:rsidRPr="008258D9">
        <w:rPr>
          <w:rFonts w:ascii="Verdana" w:hAnsi="Verdana" w:cs="Arial"/>
          <w:color w:val="000000"/>
          <w:sz w:val="16"/>
          <w:szCs w:val="16"/>
        </w:rPr>
        <w:t xml:space="preserve"> Consejo</w:t>
      </w:r>
      <w:r w:rsidRPr="008258D9">
        <w:rPr>
          <w:rFonts w:ascii="Verdana" w:hAnsi="Verdana" w:cs="Arial"/>
          <w:color w:val="000000"/>
          <w:spacing w:val="12"/>
          <w:sz w:val="16"/>
          <w:szCs w:val="16"/>
        </w:rPr>
        <w:t xml:space="preserve"> </w:t>
      </w:r>
      <w:r w:rsidRPr="008258D9">
        <w:rPr>
          <w:rFonts w:ascii="Verdana" w:hAnsi="Verdana" w:cs="Arial"/>
          <w:color w:val="000000"/>
          <w:sz w:val="16"/>
          <w:szCs w:val="16"/>
        </w:rPr>
        <w:t>de</w:t>
      </w:r>
      <w:r w:rsidRPr="008258D9">
        <w:rPr>
          <w:rFonts w:ascii="Verdana" w:hAnsi="Verdana" w:cs="Arial"/>
          <w:color w:val="000000"/>
          <w:spacing w:val="11"/>
          <w:sz w:val="16"/>
          <w:szCs w:val="16"/>
        </w:rPr>
        <w:t xml:space="preserve"> </w:t>
      </w:r>
      <w:r w:rsidRPr="008258D9">
        <w:rPr>
          <w:rFonts w:ascii="Verdana" w:hAnsi="Verdana" w:cs="Arial"/>
          <w:color w:val="000000"/>
          <w:sz w:val="16"/>
          <w:szCs w:val="16"/>
        </w:rPr>
        <w:t>Estado.</w:t>
      </w:r>
      <w:r w:rsidRPr="008258D9">
        <w:rPr>
          <w:rFonts w:ascii="Verdana" w:hAnsi="Verdana" w:cs="Arial"/>
          <w:color w:val="000000"/>
          <w:spacing w:val="12"/>
          <w:sz w:val="16"/>
          <w:szCs w:val="16"/>
        </w:rPr>
        <w:t xml:space="preserve"> </w:t>
      </w:r>
      <w:r w:rsidRPr="008258D9">
        <w:rPr>
          <w:rFonts w:ascii="Verdana" w:hAnsi="Verdana" w:cs="Arial"/>
          <w:color w:val="000000"/>
          <w:sz w:val="16"/>
          <w:szCs w:val="16"/>
        </w:rPr>
        <w:t>Sección</w:t>
      </w:r>
      <w:r w:rsidRPr="008258D9">
        <w:rPr>
          <w:rFonts w:ascii="Verdana" w:hAnsi="Verdana" w:cs="Arial"/>
          <w:color w:val="000000"/>
          <w:spacing w:val="12"/>
          <w:sz w:val="16"/>
          <w:szCs w:val="16"/>
        </w:rPr>
        <w:t xml:space="preserve"> </w:t>
      </w:r>
      <w:r w:rsidRPr="008258D9">
        <w:rPr>
          <w:rFonts w:ascii="Verdana" w:hAnsi="Verdana" w:cs="Arial"/>
          <w:color w:val="000000"/>
          <w:sz w:val="16"/>
          <w:szCs w:val="16"/>
        </w:rPr>
        <w:t>Tercera.</w:t>
      </w:r>
      <w:r w:rsidRPr="008258D9">
        <w:rPr>
          <w:rFonts w:ascii="Verdana" w:hAnsi="Verdana" w:cs="Arial"/>
          <w:color w:val="000000"/>
          <w:spacing w:val="12"/>
          <w:sz w:val="16"/>
          <w:szCs w:val="16"/>
        </w:rPr>
        <w:t xml:space="preserve"> </w:t>
      </w:r>
      <w:r w:rsidRPr="008258D9">
        <w:rPr>
          <w:rFonts w:ascii="Verdana" w:hAnsi="Verdana" w:cs="Arial"/>
          <w:color w:val="000000"/>
          <w:sz w:val="16"/>
          <w:szCs w:val="16"/>
        </w:rPr>
        <w:t>Subsección</w:t>
      </w:r>
      <w:r w:rsidRPr="008258D9">
        <w:rPr>
          <w:rFonts w:ascii="Verdana" w:hAnsi="Verdana" w:cs="Arial"/>
          <w:color w:val="000000"/>
          <w:spacing w:val="13"/>
          <w:sz w:val="16"/>
          <w:szCs w:val="16"/>
        </w:rPr>
        <w:t xml:space="preserve"> </w:t>
      </w:r>
      <w:r w:rsidRPr="008258D9">
        <w:rPr>
          <w:rFonts w:ascii="Verdana" w:hAnsi="Verdana" w:cs="Arial"/>
          <w:color w:val="000000"/>
          <w:sz w:val="16"/>
          <w:szCs w:val="16"/>
        </w:rPr>
        <w:t>A.</w:t>
      </w:r>
      <w:r w:rsidRPr="008258D9">
        <w:rPr>
          <w:rFonts w:ascii="Verdana" w:hAnsi="Verdana" w:cs="Arial"/>
          <w:color w:val="000000"/>
          <w:spacing w:val="12"/>
          <w:sz w:val="16"/>
          <w:szCs w:val="16"/>
        </w:rPr>
        <w:t xml:space="preserve"> </w:t>
      </w:r>
      <w:r w:rsidRPr="008258D9">
        <w:rPr>
          <w:rFonts w:ascii="Verdana" w:hAnsi="Verdana" w:cs="Arial"/>
          <w:color w:val="000000"/>
          <w:sz w:val="16"/>
          <w:szCs w:val="16"/>
        </w:rPr>
        <w:t>Sentencia</w:t>
      </w:r>
      <w:r w:rsidRPr="008258D9">
        <w:rPr>
          <w:rFonts w:ascii="Verdana" w:hAnsi="Verdana" w:cs="Arial"/>
          <w:color w:val="000000"/>
          <w:spacing w:val="13"/>
          <w:sz w:val="16"/>
          <w:szCs w:val="16"/>
        </w:rPr>
        <w:t xml:space="preserve"> </w:t>
      </w:r>
      <w:r w:rsidRPr="008258D9">
        <w:rPr>
          <w:rFonts w:ascii="Verdana" w:hAnsi="Verdana" w:cs="Arial"/>
          <w:color w:val="000000"/>
          <w:sz w:val="16"/>
          <w:szCs w:val="16"/>
        </w:rPr>
        <w:t>del</w:t>
      </w:r>
      <w:r w:rsidRPr="008258D9">
        <w:rPr>
          <w:rFonts w:ascii="Verdana" w:hAnsi="Verdana" w:cs="Arial"/>
          <w:color w:val="000000"/>
          <w:spacing w:val="11"/>
          <w:sz w:val="16"/>
          <w:szCs w:val="16"/>
        </w:rPr>
        <w:t xml:space="preserve"> </w:t>
      </w:r>
      <w:r w:rsidRPr="008258D9">
        <w:rPr>
          <w:rFonts w:ascii="Verdana" w:hAnsi="Verdana" w:cs="Arial"/>
          <w:color w:val="000000"/>
          <w:sz w:val="16"/>
          <w:szCs w:val="16"/>
        </w:rPr>
        <w:t>24</w:t>
      </w:r>
      <w:r w:rsidRPr="008258D9">
        <w:rPr>
          <w:rFonts w:ascii="Verdana" w:hAnsi="Verdana" w:cs="Arial"/>
          <w:color w:val="000000"/>
          <w:spacing w:val="11"/>
          <w:sz w:val="16"/>
          <w:szCs w:val="16"/>
        </w:rPr>
        <w:t xml:space="preserve"> </w:t>
      </w:r>
      <w:r w:rsidRPr="008258D9">
        <w:rPr>
          <w:rFonts w:ascii="Verdana" w:hAnsi="Verdana" w:cs="Arial"/>
          <w:color w:val="000000"/>
          <w:sz w:val="16"/>
          <w:szCs w:val="16"/>
        </w:rPr>
        <w:t>de</w:t>
      </w:r>
      <w:r w:rsidRPr="008258D9">
        <w:rPr>
          <w:rFonts w:ascii="Verdana" w:hAnsi="Verdana" w:cs="Arial"/>
          <w:color w:val="000000"/>
          <w:spacing w:val="11"/>
          <w:sz w:val="16"/>
          <w:szCs w:val="16"/>
        </w:rPr>
        <w:t xml:space="preserve"> </w:t>
      </w:r>
      <w:r w:rsidRPr="008258D9">
        <w:rPr>
          <w:rFonts w:ascii="Verdana" w:hAnsi="Verdana" w:cs="Arial"/>
          <w:color w:val="000000"/>
          <w:sz w:val="16"/>
          <w:szCs w:val="16"/>
        </w:rPr>
        <w:t>junio</w:t>
      </w:r>
      <w:r w:rsidRPr="008258D9">
        <w:rPr>
          <w:rFonts w:ascii="Verdana" w:hAnsi="Verdana" w:cs="Arial"/>
          <w:color w:val="000000"/>
          <w:spacing w:val="11"/>
          <w:sz w:val="16"/>
          <w:szCs w:val="16"/>
        </w:rPr>
        <w:t xml:space="preserve"> </w:t>
      </w:r>
      <w:r w:rsidRPr="008258D9">
        <w:rPr>
          <w:rFonts w:ascii="Verdana" w:hAnsi="Verdana" w:cs="Arial"/>
          <w:color w:val="000000"/>
          <w:sz w:val="16"/>
          <w:szCs w:val="16"/>
        </w:rPr>
        <w:t>de</w:t>
      </w:r>
      <w:r w:rsidRPr="008258D9">
        <w:rPr>
          <w:rFonts w:ascii="Verdana" w:hAnsi="Verdana" w:cs="Arial"/>
          <w:color w:val="000000"/>
          <w:spacing w:val="11"/>
          <w:sz w:val="16"/>
          <w:szCs w:val="16"/>
        </w:rPr>
        <w:t xml:space="preserve"> </w:t>
      </w:r>
      <w:r w:rsidRPr="008258D9">
        <w:rPr>
          <w:rFonts w:ascii="Verdana" w:hAnsi="Verdana" w:cs="Arial"/>
          <w:color w:val="000000"/>
          <w:sz w:val="16"/>
          <w:szCs w:val="16"/>
        </w:rPr>
        <w:t>2015.</w:t>
      </w:r>
      <w:r w:rsidRPr="008258D9">
        <w:rPr>
          <w:rFonts w:ascii="Verdana" w:hAnsi="Verdana" w:cs="Arial"/>
          <w:color w:val="000000"/>
          <w:spacing w:val="1"/>
          <w:sz w:val="16"/>
          <w:szCs w:val="16"/>
        </w:rPr>
        <w:t xml:space="preserve"> </w:t>
      </w:r>
      <w:r w:rsidRPr="008258D9">
        <w:rPr>
          <w:rFonts w:ascii="Verdana" w:hAnsi="Verdana" w:cs="Arial"/>
          <w:color w:val="000000"/>
          <w:sz w:val="16"/>
          <w:szCs w:val="16"/>
        </w:rPr>
        <w:t>Exp.</w:t>
      </w:r>
      <w:r w:rsidRPr="008258D9">
        <w:rPr>
          <w:rFonts w:ascii="Verdana" w:hAnsi="Verdana" w:cs="Arial"/>
          <w:color w:val="000000"/>
          <w:spacing w:val="-2"/>
          <w:sz w:val="16"/>
          <w:szCs w:val="16"/>
        </w:rPr>
        <w:t xml:space="preserve"> </w:t>
      </w:r>
      <w:r w:rsidRPr="008258D9">
        <w:rPr>
          <w:rFonts w:ascii="Verdana" w:hAnsi="Verdana" w:cs="Arial"/>
          <w:color w:val="000000"/>
          <w:sz w:val="16"/>
          <w:szCs w:val="16"/>
        </w:rPr>
        <w:t>40.635.</w:t>
      </w:r>
      <w:r w:rsidRPr="008258D9">
        <w:rPr>
          <w:rFonts w:ascii="Verdana" w:hAnsi="Verdana" w:cs="Arial"/>
          <w:color w:val="000000"/>
          <w:spacing w:val="-2"/>
          <w:sz w:val="16"/>
          <w:szCs w:val="16"/>
        </w:rPr>
        <w:t xml:space="preserve"> </w:t>
      </w:r>
      <w:r w:rsidRPr="008258D9">
        <w:rPr>
          <w:rFonts w:ascii="Verdana" w:hAnsi="Verdana" w:cs="Arial"/>
          <w:color w:val="000000"/>
          <w:sz w:val="16"/>
          <w:szCs w:val="16"/>
        </w:rPr>
        <w:t>Consejero</w:t>
      </w:r>
      <w:r w:rsidRPr="008258D9">
        <w:rPr>
          <w:rFonts w:ascii="Verdana" w:hAnsi="Verdana" w:cs="Arial"/>
          <w:color w:val="000000"/>
          <w:spacing w:val="-1"/>
          <w:sz w:val="16"/>
          <w:szCs w:val="16"/>
        </w:rPr>
        <w:t xml:space="preserve"> </w:t>
      </w:r>
      <w:r w:rsidRPr="008258D9">
        <w:rPr>
          <w:rFonts w:ascii="Verdana" w:hAnsi="Verdana" w:cs="Arial"/>
          <w:color w:val="000000"/>
          <w:sz w:val="16"/>
          <w:szCs w:val="16"/>
        </w:rPr>
        <w:t>Ponente:</w:t>
      </w:r>
      <w:r w:rsidRPr="008258D9">
        <w:rPr>
          <w:rFonts w:ascii="Verdana" w:hAnsi="Verdana" w:cs="Arial"/>
          <w:color w:val="000000"/>
          <w:spacing w:val="-2"/>
          <w:sz w:val="16"/>
          <w:szCs w:val="16"/>
        </w:rPr>
        <w:t xml:space="preserve"> </w:t>
      </w:r>
      <w:r w:rsidRPr="008258D9">
        <w:rPr>
          <w:rFonts w:ascii="Verdana" w:hAnsi="Verdana" w:cs="Arial"/>
          <w:color w:val="000000"/>
          <w:sz w:val="16"/>
          <w:szCs w:val="16"/>
        </w:rPr>
        <w:t>Hernán</w:t>
      </w:r>
      <w:r w:rsidRPr="008258D9">
        <w:rPr>
          <w:rFonts w:ascii="Verdana" w:hAnsi="Verdana" w:cs="Arial"/>
          <w:color w:val="000000"/>
          <w:spacing w:val="-1"/>
          <w:sz w:val="16"/>
          <w:szCs w:val="16"/>
        </w:rPr>
        <w:t xml:space="preserve"> </w:t>
      </w:r>
      <w:r w:rsidRPr="008258D9">
        <w:rPr>
          <w:rFonts w:ascii="Verdana" w:hAnsi="Verdana" w:cs="Arial"/>
          <w:color w:val="000000"/>
          <w:sz w:val="16"/>
          <w:szCs w:val="16"/>
        </w:rPr>
        <w:t>Andrade</w:t>
      </w:r>
      <w:r w:rsidRPr="008258D9">
        <w:rPr>
          <w:rFonts w:ascii="Verdana" w:hAnsi="Verdana" w:cs="Arial"/>
          <w:color w:val="000000"/>
          <w:spacing w:val="-2"/>
          <w:sz w:val="16"/>
          <w:szCs w:val="16"/>
        </w:rPr>
        <w:t xml:space="preserve"> </w:t>
      </w:r>
      <w:r w:rsidRPr="008258D9">
        <w:rPr>
          <w:rFonts w:ascii="Verdana" w:hAnsi="Verdana" w:cs="Arial"/>
          <w:color w:val="000000"/>
          <w:sz w:val="16"/>
          <w:szCs w:val="16"/>
        </w:rPr>
        <w:t>Rincón</w:t>
      </w:r>
      <w:r w:rsidRPr="008258D9">
        <w:rPr>
          <w:rFonts w:ascii="Verdana" w:hAnsi="Verdana" w:cs="Arial"/>
          <w:color w:val="000000"/>
          <w:spacing w:val="-1"/>
          <w:sz w:val="16"/>
          <w:szCs w:val="16"/>
        </w:rPr>
        <w:t xml:space="preserve"> </w:t>
      </w:r>
      <w:r w:rsidRPr="008258D9">
        <w:rPr>
          <w:rFonts w:ascii="Verdana" w:hAnsi="Verdana" w:cs="Arial"/>
          <w:color w:val="000000"/>
          <w:sz w:val="16"/>
          <w:szCs w:val="16"/>
        </w:rPr>
        <w:t>(E).</w:t>
      </w:r>
    </w:p>
    <w:p w14:paraId="7FC9542C" w14:textId="77777777" w:rsidR="007926EE" w:rsidRPr="008258D9" w:rsidRDefault="007926EE" w:rsidP="007926EE">
      <w:pPr>
        <w:spacing w:after="0" w:line="240" w:lineRule="auto"/>
        <w:ind w:firstLine="709"/>
        <w:jc w:val="both"/>
        <w:rPr>
          <w:rFonts w:ascii="Verdana" w:hAnsi="Verdana" w:cs="Arial"/>
          <w:color w:val="000000"/>
          <w:sz w:val="16"/>
          <w:szCs w:val="16"/>
        </w:rPr>
      </w:pPr>
    </w:p>
  </w:footnote>
  <w:footnote w:id="10">
    <w:p w14:paraId="69AF0E79" w14:textId="77777777" w:rsidR="007926EE" w:rsidRPr="008258D9" w:rsidRDefault="007926EE" w:rsidP="007926EE">
      <w:pPr>
        <w:pStyle w:val="Textonotapie"/>
        <w:ind w:firstLine="709"/>
        <w:jc w:val="both"/>
        <w:rPr>
          <w:rFonts w:ascii="Verdana" w:hAnsi="Verdana" w:cs="Arial"/>
          <w:color w:val="000000"/>
          <w:sz w:val="16"/>
          <w:szCs w:val="16"/>
          <w:lang w:val="es-CO"/>
        </w:rPr>
      </w:pPr>
      <w:r w:rsidRPr="008258D9">
        <w:rPr>
          <w:rStyle w:val="Refdenotaalpie"/>
          <w:rFonts w:ascii="Verdana" w:hAnsi="Verdana" w:cs="Arial"/>
          <w:color w:val="000000"/>
          <w:sz w:val="16"/>
          <w:szCs w:val="16"/>
          <w:lang w:val="es-CO"/>
        </w:rPr>
        <w:footnoteRef/>
      </w:r>
      <w:r w:rsidRPr="008258D9">
        <w:rPr>
          <w:rFonts w:ascii="Verdana" w:hAnsi="Verdana" w:cs="Arial"/>
          <w:color w:val="000000"/>
          <w:sz w:val="16"/>
          <w:szCs w:val="16"/>
          <w:lang w:val="es-CO"/>
        </w:rPr>
        <w:t xml:space="preserve"> Consejo de Estado. Sección Tercera. Subsección C. Sentencia del 22 de mayo de 2013. Exp. 24.057. C.P. Olga Melida Valle De La Hoz.</w:t>
      </w:r>
    </w:p>
    <w:p w14:paraId="7BCB26C6" w14:textId="77777777" w:rsidR="007926EE" w:rsidRPr="008258D9" w:rsidRDefault="007926EE" w:rsidP="007926EE">
      <w:pPr>
        <w:pStyle w:val="Textonotapie"/>
        <w:ind w:firstLine="709"/>
        <w:jc w:val="both"/>
        <w:rPr>
          <w:rFonts w:ascii="Verdana" w:hAnsi="Verdana" w:cs="Arial"/>
          <w:color w:val="000000"/>
          <w:sz w:val="16"/>
          <w:szCs w:val="16"/>
          <w:lang w:val="es-CO"/>
        </w:rPr>
      </w:pPr>
    </w:p>
  </w:footnote>
  <w:footnote w:id="11">
    <w:p w14:paraId="3B9B6C92" w14:textId="77777777" w:rsidR="007926EE" w:rsidRPr="00841FB3" w:rsidRDefault="007926EE" w:rsidP="008258D9">
      <w:pPr>
        <w:pStyle w:val="Textonotapie"/>
        <w:ind w:firstLine="708"/>
        <w:jc w:val="both"/>
        <w:rPr>
          <w:rFonts w:ascii="Verdana" w:hAnsi="Verdana"/>
          <w:sz w:val="16"/>
          <w:szCs w:val="16"/>
          <w:lang w:val="es-ES"/>
        </w:rPr>
      </w:pPr>
      <w:r w:rsidRPr="00841FB3">
        <w:rPr>
          <w:rStyle w:val="Refdenotaalpie"/>
          <w:rFonts w:ascii="Verdana" w:hAnsi="Verdana"/>
          <w:sz w:val="16"/>
          <w:szCs w:val="16"/>
        </w:rPr>
        <w:footnoteRef/>
      </w:r>
      <w:r w:rsidRPr="00841FB3">
        <w:rPr>
          <w:rFonts w:ascii="Verdana" w:hAnsi="Verdana"/>
          <w:sz w:val="16"/>
          <w:szCs w:val="16"/>
        </w:rPr>
        <w:t xml:space="preserve"> </w:t>
      </w:r>
      <w:r w:rsidRPr="00841FB3">
        <w:rPr>
          <w:rFonts w:ascii="Verdana" w:hAnsi="Verdana"/>
          <w:sz w:val="16"/>
          <w:szCs w:val="16"/>
          <w:lang w:val="es-ES"/>
        </w:rPr>
        <w:t>Ley 80 de 1993. Artículo 10. “No quedan cobijadas por las inhabilidades e incompatibilidades de que tratan los artículos anteriores, las personas que contraten por obligación legal o lo hagan para usar los bienes o servicios que las entidades a que se refiere el presente estatuto ofrezcan al público en condiciones comunes a quienes los soliciten, ni las personas jurídicas sin ánimo de lucro cuyos representantes legales hagan parte de las juntas o consejos directivos en virtud de su cargo o por mandato legal o estatutario, ni quienes celebren contratos en desarrollo de lo previsto en el artículo 60 de la Constitución Política.”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5E001C8"/>
    <w:multiLevelType w:val="hybridMultilevel"/>
    <w:tmpl w:val="57B88D6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9264834">
    <w:abstractNumId w:val="6"/>
  </w:num>
  <w:num w:numId="2" w16cid:durableId="1495796359">
    <w:abstractNumId w:val="2"/>
  </w:num>
  <w:num w:numId="3" w16cid:durableId="255947151">
    <w:abstractNumId w:val="4"/>
  </w:num>
  <w:num w:numId="4" w16cid:durableId="19965632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9929464">
    <w:abstractNumId w:val="2"/>
  </w:num>
  <w:num w:numId="6" w16cid:durableId="611941088">
    <w:abstractNumId w:val="13"/>
  </w:num>
  <w:num w:numId="7" w16cid:durableId="1502358246">
    <w:abstractNumId w:val="5"/>
  </w:num>
  <w:num w:numId="8" w16cid:durableId="212692151">
    <w:abstractNumId w:val="12"/>
  </w:num>
  <w:num w:numId="9" w16cid:durableId="1078483581">
    <w:abstractNumId w:val="8"/>
  </w:num>
  <w:num w:numId="10" w16cid:durableId="114839508">
    <w:abstractNumId w:val="11"/>
  </w:num>
  <w:num w:numId="11" w16cid:durableId="921522434">
    <w:abstractNumId w:val="9"/>
  </w:num>
  <w:num w:numId="12" w16cid:durableId="659432206">
    <w:abstractNumId w:val="1"/>
  </w:num>
  <w:num w:numId="13" w16cid:durableId="845897461">
    <w:abstractNumId w:val="3"/>
  </w:num>
  <w:num w:numId="14" w16cid:durableId="730662416">
    <w:abstractNumId w:val="14"/>
  </w:num>
  <w:num w:numId="15" w16cid:durableId="1492023970">
    <w:abstractNumId w:val="10"/>
  </w:num>
  <w:num w:numId="16" w16cid:durableId="530916232">
    <w:abstractNumId w:val="0"/>
  </w:num>
  <w:num w:numId="17" w16cid:durableId="19618356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62D"/>
    <w:rsid w:val="00010230"/>
    <w:rsid w:val="00010CCD"/>
    <w:rsid w:val="00016F78"/>
    <w:rsid w:val="00046945"/>
    <w:rsid w:val="00061B2A"/>
    <w:rsid w:val="00082362"/>
    <w:rsid w:val="000A683E"/>
    <w:rsid w:val="000B19B9"/>
    <w:rsid w:val="000C4D38"/>
    <w:rsid w:val="000D0334"/>
    <w:rsid w:val="000D1704"/>
    <w:rsid w:val="000E5743"/>
    <w:rsid w:val="000F0579"/>
    <w:rsid w:val="000F58F0"/>
    <w:rsid w:val="000F6486"/>
    <w:rsid w:val="00125105"/>
    <w:rsid w:val="00127233"/>
    <w:rsid w:val="001511A0"/>
    <w:rsid w:val="0016208A"/>
    <w:rsid w:val="001E4177"/>
    <w:rsid w:val="001F66C3"/>
    <w:rsid w:val="001F7DC6"/>
    <w:rsid w:val="002421BB"/>
    <w:rsid w:val="0025796E"/>
    <w:rsid w:val="002707A2"/>
    <w:rsid w:val="00271C6C"/>
    <w:rsid w:val="002951A0"/>
    <w:rsid w:val="002962BC"/>
    <w:rsid w:val="002A093D"/>
    <w:rsid w:val="002A0DD0"/>
    <w:rsid w:val="002A49AC"/>
    <w:rsid w:val="002A64FD"/>
    <w:rsid w:val="002B7FE6"/>
    <w:rsid w:val="002C7A84"/>
    <w:rsid w:val="002E4FD9"/>
    <w:rsid w:val="003013CD"/>
    <w:rsid w:val="003214FE"/>
    <w:rsid w:val="00322A85"/>
    <w:rsid w:val="00324168"/>
    <w:rsid w:val="003448F4"/>
    <w:rsid w:val="003468D6"/>
    <w:rsid w:val="003621B1"/>
    <w:rsid w:val="00374F5E"/>
    <w:rsid w:val="00377E3E"/>
    <w:rsid w:val="003A779E"/>
    <w:rsid w:val="003D0F4D"/>
    <w:rsid w:val="003D5B0D"/>
    <w:rsid w:val="003E0499"/>
    <w:rsid w:val="003F3941"/>
    <w:rsid w:val="00406575"/>
    <w:rsid w:val="00414C74"/>
    <w:rsid w:val="00424E14"/>
    <w:rsid w:val="00425561"/>
    <w:rsid w:val="0042722E"/>
    <w:rsid w:val="0044528D"/>
    <w:rsid w:val="00492DB8"/>
    <w:rsid w:val="004A1847"/>
    <w:rsid w:val="004A305D"/>
    <w:rsid w:val="004F21C4"/>
    <w:rsid w:val="004F685F"/>
    <w:rsid w:val="0050767E"/>
    <w:rsid w:val="005566E8"/>
    <w:rsid w:val="0056266F"/>
    <w:rsid w:val="00574867"/>
    <w:rsid w:val="00591460"/>
    <w:rsid w:val="005A229A"/>
    <w:rsid w:val="005B3816"/>
    <w:rsid w:val="005C3777"/>
    <w:rsid w:val="005C5CDC"/>
    <w:rsid w:val="005D476C"/>
    <w:rsid w:val="005E6C56"/>
    <w:rsid w:val="006219F8"/>
    <w:rsid w:val="006251A4"/>
    <w:rsid w:val="006530E7"/>
    <w:rsid w:val="00665D70"/>
    <w:rsid w:val="006900D9"/>
    <w:rsid w:val="006A0875"/>
    <w:rsid w:val="006B66AB"/>
    <w:rsid w:val="00706C16"/>
    <w:rsid w:val="00714CE7"/>
    <w:rsid w:val="00715EF5"/>
    <w:rsid w:val="0071686C"/>
    <w:rsid w:val="00756841"/>
    <w:rsid w:val="007649AB"/>
    <w:rsid w:val="00764E90"/>
    <w:rsid w:val="00771D0C"/>
    <w:rsid w:val="00773889"/>
    <w:rsid w:val="007833AC"/>
    <w:rsid w:val="007926EE"/>
    <w:rsid w:val="007B268C"/>
    <w:rsid w:val="007B7171"/>
    <w:rsid w:val="007C0C0F"/>
    <w:rsid w:val="007C3DC2"/>
    <w:rsid w:val="007E5497"/>
    <w:rsid w:val="007F2BCE"/>
    <w:rsid w:val="00806F5F"/>
    <w:rsid w:val="00820278"/>
    <w:rsid w:val="0082468C"/>
    <w:rsid w:val="00824932"/>
    <w:rsid w:val="008253A1"/>
    <w:rsid w:val="008258D9"/>
    <w:rsid w:val="00867F95"/>
    <w:rsid w:val="008843B6"/>
    <w:rsid w:val="0088553D"/>
    <w:rsid w:val="00891928"/>
    <w:rsid w:val="008A446D"/>
    <w:rsid w:val="008B1081"/>
    <w:rsid w:val="008C12CE"/>
    <w:rsid w:val="008D180B"/>
    <w:rsid w:val="008F0EA7"/>
    <w:rsid w:val="00920676"/>
    <w:rsid w:val="00923EEF"/>
    <w:rsid w:val="009419F9"/>
    <w:rsid w:val="0095685E"/>
    <w:rsid w:val="00961B09"/>
    <w:rsid w:val="00965334"/>
    <w:rsid w:val="0097093E"/>
    <w:rsid w:val="009748DA"/>
    <w:rsid w:val="00986AC5"/>
    <w:rsid w:val="009A0DFA"/>
    <w:rsid w:val="009B2D26"/>
    <w:rsid w:val="009B780A"/>
    <w:rsid w:val="009C71FA"/>
    <w:rsid w:val="009C72E7"/>
    <w:rsid w:val="009D3058"/>
    <w:rsid w:val="009F3A13"/>
    <w:rsid w:val="00A122D3"/>
    <w:rsid w:val="00A17F13"/>
    <w:rsid w:val="00A20739"/>
    <w:rsid w:val="00A33C78"/>
    <w:rsid w:val="00AB0ADB"/>
    <w:rsid w:val="00B01B1A"/>
    <w:rsid w:val="00B66319"/>
    <w:rsid w:val="00B72CD3"/>
    <w:rsid w:val="00B72FFF"/>
    <w:rsid w:val="00BC030C"/>
    <w:rsid w:val="00BC3D36"/>
    <w:rsid w:val="00BD7F72"/>
    <w:rsid w:val="00C04FB3"/>
    <w:rsid w:val="00C330EB"/>
    <w:rsid w:val="00C36736"/>
    <w:rsid w:val="00C41061"/>
    <w:rsid w:val="00C54EDD"/>
    <w:rsid w:val="00C754BE"/>
    <w:rsid w:val="00C76B1C"/>
    <w:rsid w:val="00C806A7"/>
    <w:rsid w:val="00C85D46"/>
    <w:rsid w:val="00C92A3A"/>
    <w:rsid w:val="00CB6357"/>
    <w:rsid w:val="00CC1B26"/>
    <w:rsid w:val="00CC603C"/>
    <w:rsid w:val="00D05058"/>
    <w:rsid w:val="00D31FF6"/>
    <w:rsid w:val="00D35D83"/>
    <w:rsid w:val="00D423A2"/>
    <w:rsid w:val="00D520D8"/>
    <w:rsid w:val="00D528B3"/>
    <w:rsid w:val="00D63AC2"/>
    <w:rsid w:val="00D7383B"/>
    <w:rsid w:val="00DA2229"/>
    <w:rsid w:val="00DA231B"/>
    <w:rsid w:val="00DC39FC"/>
    <w:rsid w:val="00DF5254"/>
    <w:rsid w:val="00E04C6E"/>
    <w:rsid w:val="00E16408"/>
    <w:rsid w:val="00E20894"/>
    <w:rsid w:val="00E245AB"/>
    <w:rsid w:val="00E2764C"/>
    <w:rsid w:val="00E27F2E"/>
    <w:rsid w:val="00E50AFE"/>
    <w:rsid w:val="00E75C92"/>
    <w:rsid w:val="00E76E09"/>
    <w:rsid w:val="00E771DC"/>
    <w:rsid w:val="00E8772A"/>
    <w:rsid w:val="00E90F6B"/>
    <w:rsid w:val="00E92C27"/>
    <w:rsid w:val="00EA0E3D"/>
    <w:rsid w:val="00EC38A7"/>
    <w:rsid w:val="00ED7384"/>
    <w:rsid w:val="00EE1AA8"/>
    <w:rsid w:val="00EF5664"/>
    <w:rsid w:val="00F0089A"/>
    <w:rsid w:val="00F31EDC"/>
    <w:rsid w:val="00F404BC"/>
    <w:rsid w:val="00F462B3"/>
    <w:rsid w:val="00F5664F"/>
    <w:rsid w:val="00F666C4"/>
    <w:rsid w:val="00F76AFC"/>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6E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7926E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926EE"/>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920017284">
      <w:bodyDiv w:val="1"/>
      <w:marLeft w:val="0"/>
      <w:marRight w:val="0"/>
      <w:marTop w:val="0"/>
      <w:marBottom w:val="0"/>
      <w:divBdr>
        <w:top w:val="none" w:sz="0" w:space="0" w:color="auto"/>
        <w:left w:val="none" w:sz="0" w:space="0" w:color="auto"/>
        <w:bottom w:val="none" w:sz="0" w:space="0" w:color="auto"/>
        <w:right w:val="none" w:sz="0" w:space="0" w:color="auto"/>
      </w:divBdr>
      <w:divsChild>
        <w:div w:id="1059287211">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talina.cubides%40colombiacompra.gov.co%7C7cfff6dece924643582c08dd97bfed90%7C7b09041e245149d08cb179d5e3d8c1be%7C0%7C0%7C638833572789617407%7CUnknown%7CTWFpbGZsb3d8eyJFbXB0eU1hcGkiOnRydWUsIlYiOiIwLjAuMDAwMCIsIlAiOiJXaW4zMiIsIkFOIjoiTWFpbCIsIldUIjoyfQ%3D%3D%7C0%7C%7C%7C&amp;sdata=9uKHGs1CT3BZvajf54ettWU83zMQL5yVTuUSLWeSBxw%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mar0915@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tmp"/><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66ADBD71-67BF-4304-93D3-7F4BB54931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592fe157-d5c2-474d-aeb4-2e8e8fcba8d3"/>
    <ds:schemaRef ds:uri="8ae15d26-076e-464e-81a7-6f76a0fb3917"/>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12</Pages>
  <Words>3205</Words>
  <Characters>17630</Characters>
  <Application>Microsoft Office Word</Application>
  <DocSecurity>0</DocSecurity>
  <Lines>146</Lines>
  <Paragraphs>41</Paragraphs>
  <ScaleCrop>false</ScaleCrop>
  <Company/>
  <LinksUpToDate>false</LinksUpToDate>
  <CharactersWithSpaces>20794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2</cp:revision>
  <cp:lastPrinted>2023-01-10T21:18:00Z</cp:lastPrinted>
  <dcterms:created xsi:type="dcterms:W3CDTF">2025-07-07T18:58:00Z</dcterms:created>
  <dcterms:modified xsi:type="dcterms:W3CDTF">2025-07-07T18:58:00Z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