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CA90B" w14:textId="16D906F6" w:rsidR="00460695" w:rsidRPr="00304599" w:rsidRDefault="00460695" w:rsidP="00460695">
      <w:pPr>
        <w:jc w:val="both"/>
        <w:rPr>
          <w:rFonts w:ascii="Arial" w:eastAsia="Calibri" w:hAnsi="Arial" w:cs="Arial"/>
          <w:b/>
          <w:color w:val="0D0D0D"/>
          <w:sz w:val="22"/>
          <w:szCs w:val="22"/>
          <w:bdr w:val="none" w:sz="0" w:space="0" w:color="auto" w:frame="1"/>
          <w:lang w:val="es-MX" w:eastAsia="es-CO"/>
        </w:rPr>
      </w:pPr>
      <w:r w:rsidRPr="00304599">
        <w:rPr>
          <w:rFonts w:ascii="Arial" w:eastAsia="Calibri" w:hAnsi="Arial" w:cs="Arial"/>
          <w:b/>
          <w:color w:val="0D0D0D"/>
          <w:sz w:val="22"/>
          <w:szCs w:val="22"/>
          <w:bdr w:val="none" w:sz="0" w:space="0" w:color="auto" w:frame="1"/>
          <w:lang w:val="es-MX" w:eastAsia="es-CO"/>
        </w:rPr>
        <w:t>DOCUMENTOS TIPO - Infraestructura social-Interpretación</w:t>
      </w:r>
    </w:p>
    <w:p w14:paraId="760DF7CA" w14:textId="77777777" w:rsidR="00460695" w:rsidRPr="00304599" w:rsidRDefault="00460695" w:rsidP="00460695">
      <w:pPr>
        <w:jc w:val="both"/>
        <w:rPr>
          <w:rFonts w:ascii="Arial" w:eastAsia="Calibri" w:hAnsi="Arial" w:cs="Arial"/>
          <w:b/>
          <w:color w:val="0D0D0D"/>
          <w:sz w:val="22"/>
          <w:szCs w:val="22"/>
          <w:bdr w:val="none" w:sz="0" w:space="0" w:color="auto" w:frame="1"/>
          <w:lang w:val="es-MX" w:eastAsia="es-CO"/>
        </w:rPr>
      </w:pPr>
    </w:p>
    <w:p w14:paraId="10E7F6B3" w14:textId="77777777" w:rsidR="00460695" w:rsidRPr="00304599" w:rsidRDefault="00460695" w:rsidP="00460695">
      <w:pPr>
        <w:jc w:val="both"/>
        <w:textAlignment w:val="baseline"/>
        <w:rPr>
          <w:rFonts w:ascii="Arial" w:eastAsia="Calibri" w:hAnsi="Arial" w:cs="Arial"/>
          <w:sz w:val="20"/>
          <w:szCs w:val="20"/>
          <w:lang w:eastAsia="es-ES_tradnl"/>
        </w:rPr>
      </w:pPr>
      <w:r w:rsidRPr="00304599">
        <w:rPr>
          <w:rFonts w:ascii="Arial" w:hAnsi="Arial" w:cs="Arial"/>
          <w:bCs/>
          <w:color w:val="000000"/>
          <w:sz w:val="20"/>
          <w:szCs w:val="20"/>
          <w:lang w:eastAsia="es-CO"/>
        </w:rPr>
        <w:t xml:space="preserve">[…] la Agencia Nacional de Contratación Pública – Colombia Compra Eficiente expidió la Resolución </w:t>
      </w:r>
      <w:r w:rsidRPr="00304599">
        <w:rPr>
          <w:rFonts w:ascii="Arial" w:eastAsia="Calibri" w:hAnsi="Arial" w:cs="Arial"/>
          <w:sz w:val="20"/>
          <w:szCs w:val="20"/>
          <w:lang w:eastAsia="es-ES_tradnl"/>
        </w:rPr>
        <w:t>No. 219 de 2021 mediante la cual se adoptó los documentos tipo que aplican de forma transversal a los proyectos de infraestructura social en los sectores educativo, salud, cultura, recreación y deporte.  Estos documentos son el documento base, los anexos, los formatos, los formularios y las matrices, lo cuales se irán complementando con cada una de las resoluciones que adoptan las matrices de experiencia y los anexos de glosario para cada sector, definiendo así su alcance y vigencia y la Resolución No. 220 de 2021</w:t>
      </w:r>
      <w:r w:rsidRPr="00304599">
        <w:rPr>
          <w:rFonts w:ascii="Arial" w:hAnsi="Arial" w:cs="Arial"/>
          <w:bCs/>
          <w:color w:val="000000"/>
          <w:sz w:val="20"/>
          <w:szCs w:val="20"/>
          <w:lang w:eastAsia="es-CO"/>
        </w:rPr>
        <w:t xml:space="preserve">, mediante la cual </w:t>
      </w:r>
      <w:r w:rsidRPr="00304599">
        <w:rPr>
          <w:rFonts w:ascii="Arial" w:eastAsia="Calibri" w:hAnsi="Arial" w:cs="Arial"/>
          <w:sz w:val="20"/>
          <w:szCs w:val="20"/>
          <w:lang w:eastAsia="es-ES_tradnl"/>
        </w:rPr>
        <w:t>desarrolla el «Anexo -Glosario sector Educativo» y la «Matriz -Experiencia sector Educativo»</w:t>
      </w:r>
    </w:p>
    <w:p w14:paraId="2DEFDD50" w14:textId="77777777" w:rsidR="00460695" w:rsidRPr="00304599" w:rsidRDefault="00460695" w:rsidP="00460695">
      <w:pPr>
        <w:jc w:val="both"/>
        <w:textAlignment w:val="baseline"/>
        <w:rPr>
          <w:rFonts w:ascii="Arial" w:eastAsia="Calibri" w:hAnsi="Arial" w:cs="Arial"/>
          <w:sz w:val="20"/>
          <w:szCs w:val="20"/>
          <w:lang w:val="es-MX" w:eastAsia="es-ES_tradnl"/>
        </w:rPr>
      </w:pPr>
    </w:p>
    <w:p w14:paraId="660A06F3" w14:textId="51930BFC" w:rsidR="00460695" w:rsidRPr="00304599" w:rsidRDefault="00460695" w:rsidP="00460695">
      <w:pPr>
        <w:jc w:val="both"/>
        <w:textAlignment w:val="baseline"/>
        <w:rPr>
          <w:rFonts w:ascii="Arial" w:eastAsia="Calibri" w:hAnsi="Arial" w:cs="Arial"/>
          <w:sz w:val="20"/>
          <w:szCs w:val="20"/>
          <w:lang w:val="es-MX" w:eastAsia="es-ES_tradnl"/>
        </w:rPr>
      </w:pPr>
      <w:r w:rsidRPr="00304599">
        <w:rPr>
          <w:rFonts w:ascii="Arial" w:eastAsia="Calibri" w:hAnsi="Arial" w:cs="Arial"/>
          <w:sz w:val="20"/>
          <w:szCs w:val="20"/>
          <w:lang w:val="es-MX" w:eastAsia="es-ES_tradnl"/>
        </w:rPr>
        <w:t xml:space="preserve">En relación con los documentos tipo de licitación pública de obra de infraestructura social debe precisarse que, ante una contradicción entre la información que incorporó la entidad en el SECOP II y la información contenida en los documentos anexos de los documentos tipo, en principio, la entidad deberá acudir a las normas de interpretación de los pliegos de condiciones definidas en el numeral 1.17 del documento base </w:t>
      </w:r>
      <w:r w:rsidR="008757BA" w:rsidRPr="00D31483">
        <w:rPr>
          <w:rFonts w:ascii="Arial" w:hAnsi="Arial" w:cs="Arial"/>
          <w:bCs/>
          <w:color w:val="000000"/>
          <w:sz w:val="20"/>
          <w:szCs w:val="20"/>
          <w:lang w:eastAsia="es-CO"/>
        </w:rPr>
        <w:t>[…]</w:t>
      </w:r>
    </w:p>
    <w:p w14:paraId="29B97DA8" w14:textId="77777777" w:rsidR="00460695" w:rsidRPr="00304599" w:rsidRDefault="00460695" w:rsidP="00460695">
      <w:pPr>
        <w:jc w:val="both"/>
        <w:textAlignment w:val="baseline"/>
        <w:rPr>
          <w:rFonts w:ascii="Arial" w:eastAsia="Calibri" w:hAnsi="Arial" w:cs="Arial"/>
          <w:sz w:val="20"/>
          <w:szCs w:val="20"/>
          <w:lang w:eastAsia="es-ES_tradnl"/>
        </w:rPr>
      </w:pPr>
    </w:p>
    <w:p w14:paraId="4C1666A7" w14:textId="77777777" w:rsidR="00460695" w:rsidRPr="00304599" w:rsidRDefault="00460695" w:rsidP="00460695">
      <w:pPr>
        <w:jc w:val="both"/>
        <w:textAlignment w:val="baseline"/>
        <w:rPr>
          <w:rFonts w:ascii="Arial" w:hAnsi="Arial" w:cs="Arial"/>
          <w:bCs/>
          <w:color w:val="000000"/>
          <w:sz w:val="20"/>
          <w:szCs w:val="20"/>
          <w:lang w:eastAsia="es-CO"/>
        </w:rPr>
      </w:pPr>
    </w:p>
    <w:p w14:paraId="126CFF98" w14:textId="77777777" w:rsidR="00460695" w:rsidRPr="00304599" w:rsidRDefault="00460695" w:rsidP="00460695">
      <w:pPr>
        <w:jc w:val="both"/>
        <w:rPr>
          <w:rFonts w:ascii="Arial" w:eastAsia="Calibri" w:hAnsi="Arial" w:cs="Arial"/>
          <w:b/>
          <w:sz w:val="22"/>
          <w:lang w:eastAsia="es-ES_tradnl"/>
        </w:rPr>
      </w:pPr>
      <w:r w:rsidRPr="00304599">
        <w:rPr>
          <w:rFonts w:ascii="Arial" w:eastAsia="Calibri" w:hAnsi="Arial" w:cs="Arial"/>
          <w:b/>
          <w:sz w:val="22"/>
          <w:lang w:eastAsia="es-ES_tradnl"/>
        </w:rPr>
        <w:t>DOCUMENTOS TIPO – Obligatoriedad – Inalterabilidad</w:t>
      </w:r>
    </w:p>
    <w:p w14:paraId="7A962569" w14:textId="77777777" w:rsidR="00460695" w:rsidRPr="00304599" w:rsidRDefault="00460695" w:rsidP="00460695">
      <w:pPr>
        <w:jc w:val="both"/>
        <w:rPr>
          <w:rFonts w:ascii="Arial" w:eastAsia="Calibri" w:hAnsi="Arial" w:cs="Arial"/>
          <w:b/>
          <w:sz w:val="22"/>
          <w:lang w:eastAsia="es-ES_tradnl"/>
        </w:rPr>
      </w:pPr>
    </w:p>
    <w:p w14:paraId="6D261A03" w14:textId="77777777" w:rsidR="00460695" w:rsidRPr="00304599" w:rsidRDefault="00460695" w:rsidP="00460695">
      <w:pPr>
        <w:jc w:val="both"/>
        <w:textAlignment w:val="baseline"/>
        <w:rPr>
          <w:rFonts w:ascii="Arial" w:hAnsi="Arial" w:cs="Arial"/>
          <w:bCs/>
          <w:color w:val="000000"/>
          <w:sz w:val="20"/>
          <w:szCs w:val="20"/>
          <w:lang w:val="es-MX" w:eastAsia="es-CO"/>
        </w:rPr>
      </w:pPr>
      <w:r w:rsidRPr="00304599">
        <w:rPr>
          <w:rFonts w:ascii="Arial" w:hAnsi="Arial" w:cs="Arial"/>
          <w:bCs/>
          <w:color w:val="000000"/>
          <w:sz w:val="20"/>
          <w:szCs w:val="20"/>
          <w:lang w:val="es-MX" w:eastAsia="es-CO"/>
        </w:rPr>
        <w:t xml:space="preserve">Además, la Ley 2022 de 2020 señala que los documentos tipo adoptados por la Agencia Nacional de Contratación Pública son de </w:t>
      </w:r>
      <w:r w:rsidRPr="00304599">
        <w:rPr>
          <w:rFonts w:ascii="Arial" w:hAnsi="Arial" w:cs="Arial"/>
          <w:bCs/>
          <w:i/>
          <w:color w:val="000000"/>
          <w:sz w:val="20"/>
          <w:szCs w:val="20"/>
          <w:lang w:val="es-MX" w:eastAsia="es-CO"/>
        </w:rPr>
        <w:t>obligatorio</w:t>
      </w:r>
      <w:r w:rsidRPr="00304599">
        <w:rPr>
          <w:rFonts w:ascii="Arial" w:hAnsi="Arial" w:cs="Arial"/>
          <w:bCs/>
          <w:color w:val="000000"/>
          <w:sz w:val="20"/>
          <w:szCs w:val="20"/>
          <w:lang w:val="es-MX" w:eastAsia="es-CO"/>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también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 </w:t>
      </w:r>
    </w:p>
    <w:p w14:paraId="69C0E271" w14:textId="77777777" w:rsidR="00460695" w:rsidRPr="00304599" w:rsidRDefault="00460695" w:rsidP="00460695">
      <w:pPr>
        <w:jc w:val="both"/>
        <w:textAlignment w:val="baseline"/>
        <w:rPr>
          <w:rFonts w:ascii="Arial" w:hAnsi="Arial" w:cs="Arial"/>
          <w:b/>
          <w:bCs/>
          <w:color w:val="000000"/>
          <w:sz w:val="20"/>
          <w:szCs w:val="20"/>
          <w:lang w:val="es-MX" w:eastAsia="es-CO"/>
        </w:rPr>
      </w:pPr>
    </w:p>
    <w:p w14:paraId="27BC04E9" w14:textId="77777777" w:rsidR="00460695" w:rsidRPr="00304599" w:rsidRDefault="00460695" w:rsidP="00460695">
      <w:pPr>
        <w:jc w:val="both"/>
        <w:rPr>
          <w:rFonts w:ascii="Arial" w:eastAsia="Calibri" w:hAnsi="Arial" w:cs="Arial"/>
          <w:b/>
          <w:sz w:val="22"/>
          <w:lang w:eastAsia="es-ES_tradnl"/>
        </w:rPr>
      </w:pPr>
      <w:r w:rsidRPr="00304599">
        <w:rPr>
          <w:rFonts w:ascii="Arial" w:eastAsia="Calibri" w:hAnsi="Arial" w:cs="Arial"/>
          <w:b/>
          <w:sz w:val="22"/>
          <w:lang w:eastAsia="es-ES_tradnl"/>
        </w:rPr>
        <w:t>REVOCATORIA DIRECTA – Actos Administrativos</w:t>
      </w:r>
    </w:p>
    <w:p w14:paraId="73151BC9" w14:textId="77777777" w:rsidR="00460695" w:rsidRPr="00304599" w:rsidRDefault="00460695" w:rsidP="00460695">
      <w:pPr>
        <w:jc w:val="both"/>
        <w:rPr>
          <w:rFonts w:ascii="Arial" w:hAnsi="Arial" w:cs="Arial"/>
          <w:bCs/>
          <w:color w:val="000000"/>
          <w:sz w:val="20"/>
          <w:szCs w:val="20"/>
          <w:lang w:val="es-MX" w:eastAsia="es-CO"/>
        </w:rPr>
      </w:pPr>
    </w:p>
    <w:p w14:paraId="0BD7D041" w14:textId="77777777" w:rsidR="00460695" w:rsidRPr="00304599" w:rsidRDefault="00460695" w:rsidP="00460695">
      <w:pPr>
        <w:jc w:val="both"/>
        <w:rPr>
          <w:rFonts w:ascii="Arial" w:hAnsi="Arial" w:cs="Arial"/>
          <w:bCs/>
          <w:color w:val="000000"/>
          <w:sz w:val="20"/>
          <w:szCs w:val="20"/>
          <w:lang w:val="es-ES" w:eastAsia="es-CO"/>
        </w:rPr>
      </w:pPr>
      <w:r w:rsidRPr="00304599">
        <w:rPr>
          <w:rFonts w:ascii="Arial" w:hAnsi="Arial" w:cs="Arial"/>
          <w:bCs/>
          <w:color w:val="000000"/>
          <w:sz w:val="20"/>
          <w:szCs w:val="20"/>
          <w:lang w:val="es-ES" w:eastAsia="es-CO"/>
        </w:rPr>
        <w:t>La revocación directa puede ser definida como una de las especies de extinción de los actos administrativos en sede administrativa</w:t>
      </w:r>
      <w:r w:rsidRPr="00304599">
        <w:rPr>
          <w:rFonts w:ascii="Arial" w:hAnsi="Arial" w:cs="Arial"/>
          <w:bCs/>
          <w:color w:val="000000"/>
          <w:sz w:val="20"/>
          <w:szCs w:val="20"/>
          <w:vertAlign w:val="superscript"/>
          <w:lang w:val="es-ES" w:eastAsia="es-CO"/>
        </w:rPr>
        <w:footnoteReference w:id="1"/>
      </w:r>
      <w:r w:rsidRPr="00304599">
        <w:rPr>
          <w:rFonts w:ascii="Arial" w:hAnsi="Arial" w:cs="Arial"/>
          <w:bCs/>
          <w:color w:val="000000"/>
          <w:sz w:val="20"/>
          <w:szCs w:val="20"/>
          <w:lang w:val="es-ES" w:eastAsia="es-CO"/>
        </w:rPr>
        <w:t xml:space="preserve">. Esta especie de extinción se diferencia de otras, pues «se trata de un mecanismo de extinción del acto administrativo y de sus efectos que opera por la voluntad de la propia administración. […] Esta figura debe distinguirse […] de la </w:t>
      </w:r>
      <w:r w:rsidRPr="00304599">
        <w:rPr>
          <w:rFonts w:ascii="Arial" w:hAnsi="Arial" w:cs="Arial"/>
          <w:bCs/>
          <w:i/>
          <w:iCs/>
          <w:color w:val="000000"/>
          <w:sz w:val="20"/>
          <w:szCs w:val="20"/>
          <w:lang w:val="es-ES" w:eastAsia="es-CO"/>
        </w:rPr>
        <w:t xml:space="preserve">anulación, </w:t>
      </w:r>
      <w:r w:rsidRPr="00304599">
        <w:rPr>
          <w:rFonts w:ascii="Arial" w:hAnsi="Arial" w:cs="Arial"/>
          <w:bCs/>
          <w:color w:val="000000"/>
          <w:sz w:val="20"/>
          <w:szCs w:val="20"/>
          <w:lang w:val="es-ES" w:eastAsia="es-CO"/>
        </w:rPr>
        <w:t>que es la desaparición o extinción del acto por decisión de autoridad jurisdiccional.</w:t>
      </w:r>
    </w:p>
    <w:p w14:paraId="715D062E" w14:textId="77777777" w:rsidR="00460695" w:rsidRPr="00304599" w:rsidRDefault="00460695" w:rsidP="00460695">
      <w:pPr>
        <w:jc w:val="both"/>
        <w:rPr>
          <w:rFonts w:ascii="Arial" w:hAnsi="Arial" w:cs="Arial"/>
          <w:bCs/>
          <w:color w:val="000000"/>
          <w:sz w:val="20"/>
          <w:szCs w:val="20"/>
          <w:lang w:val="es-ES" w:eastAsia="es-CO"/>
        </w:rPr>
      </w:pPr>
    </w:p>
    <w:p w14:paraId="18C3183C" w14:textId="77777777" w:rsidR="00460695" w:rsidRPr="00304599" w:rsidRDefault="00460695" w:rsidP="00460695">
      <w:pPr>
        <w:jc w:val="both"/>
        <w:rPr>
          <w:rFonts w:ascii="Arial" w:eastAsia="Calibri" w:hAnsi="Arial" w:cs="Arial"/>
          <w:b/>
          <w:bCs/>
          <w:sz w:val="22"/>
          <w:lang w:val="es-ES" w:eastAsia="es-ES_tradnl"/>
        </w:rPr>
      </w:pPr>
    </w:p>
    <w:p w14:paraId="0F8583A7" w14:textId="77777777" w:rsidR="00460695" w:rsidRPr="00304599" w:rsidRDefault="00460695" w:rsidP="00460695">
      <w:pPr>
        <w:jc w:val="both"/>
        <w:rPr>
          <w:rFonts w:ascii="Arial" w:eastAsia="Calibri" w:hAnsi="Arial" w:cs="Arial"/>
          <w:b/>
          <w:sz w:val="22"/>
          <w:lang w:eastAsia="es-ES_tradnl"/>
        </w:rPr>
      </w:pPr>
      <w:r w:rsidRPr="00304599">
        <w:rPr>
          <w:rFonts w:ascii="Arial" w:eastAsia="Calibri" w:hAnsi="Arial" w:cs="Arial"/>
          <w:b/>
          <w:sz w:val="22"/>
          <w:lang w:eastAsia="es-ES_tradnl"/>
        </w:rPr>
        <w:t>DECLARATORIA DESIERTA – Causas</w:t>
      </w:r>
    </w:p>
    <w:p w14:paraId="10184695" w14:textId="77777777" w:rsidR="00460695" w:rsidRPr="00304599" w:rsidRDefault="00460695" w:rsidP="00460695">
      <w:pPr>
        <w:jc w:val="both"/>
        <w:rPr>
          <w:rFonts w:ascii="Arial" w:eastAsia="Calibri" w:hAnsi="Arial" w:cs="Arial"/>
          <w:b/>
          <w:sz w:val="22"/>
          <w:lang w:eastAsia="es-ES_tradnl"/>
        </w:rPr>
      </w:pPr>
    </w:p>
    <w:p w14:paraId="0E587C5A" w14:textId="77777777" w:rsidR="00460695" w:rsidRPr="00304599" w:rsidRDefault="00460695" w:rsidP="00460695">
      <w:pPr>
        <w:jc w:val="both"/>
        <w:rPr>
          <w:rFonts w:ascii="Arial" w:hAnsi="Arial" w:cs="Arial"/>
          <w:bCs/>
          <w:color w:val="000000"/>
          <w:sz w:val="20"/>
          <w:szCs w:val="20"/>
          <w:lang w:val="es-ES" w:eastAsia="es-CO"/>
        </w:rPr>
      </w:pPr>
      <w:r w:rsidRPr="00304599">
        <w:rPr>
          <w:rFonts w:ascii="Arial" w:hAnsi="Arial" w:cs="Arial"/>
          <w:bCs/>
          <w:color w:val="000000"/>
          <w:sz w:val="20"/>
          <w:szCs w:val="20"/>
          <w:lang w:val="es-ES" w:eastAsia="es-CO"/>
        </w:rPr>
        <w:t xml:space="preserve">Así las cosas, es acertado decir, que el proceso licitatorio se pone en marcha con el objeto de celebrar un contrato, con quien presente la propuesta más favorable a la Administración, pues así lo </w:t>
      </w:r>
      <w:r w:rsidRPr="00304599">
        <w:rPr>
          <w:rFonts w:ascii="Arial" w:hAnsi="Arial" w:cs="Arial"/>
          <w:bCs/>
          <w:color w:val="000000"/>
          <w:sz w:val="20"/>
          <w:szCs w:val="20"/>
          <w:lang w:val="es-ES" w:eastAsia="es-CO"/>
        </w:rPr>
        <w:lastRenderedPageBreak/>
        <w:t>demanda el deber de selección objetiva</w:t>
      </w:r>
      <w:r w:rsidRPr="00304599">
        <w:rPr>
          <w:rFonts w:ascii="Arial" w:hAnsi="Arial" w:cs="Arial"/>
          <w:bCs/>
          <w:color w:val="000000"/>
          <w:sz w:val="20"/>
          <w:szCs w:val="20"/>
          <w:vertAlign w:val="superscript"/>
          <w:lang w:val="es-ES" w:eastAsia="es-CO"/>
        </w:rPr>
        <w:footnoteReference w:id="2"/>
      </w:r>
      <w:r w:rsidRPr="00304599">
        <w:rPr>
          <w:rFonts w:ascii="Arial" w:hAnsi="Arial" w:cs="Arial"/>
          <w:bCs/>
          <w:color w:val="000000"/>
          <w:sz w:val="20"/>
          <w:szCs w:val="20"/>
          <w:lang w:val="es-ES" w:eastAsia="es-CO"/>
        </w:rPr>
        <w:t>; deber que se desprendía de los artículos 24.7 y 30.11 de la Ley 80 de 1993; y fue concretado con el artículo 5º de la Ley 1150 de 2007, referido anteriormente. La Sección Tercera del Consejo de Estado ha considerado que la norma en comento constituye una regla compulsoria, que rige el procedimiento licitatorio.</w:t>
      </w:r>
    </w:p>
    <w:p w14:paraId="73A74157" w14:textId="77777777" w:rsidR="00460695" w:rsidRPr="00304599" w:rsidRDefault="00460695" w:rsidP="00460695">
      <w:pPr>
        <w:jc w:val="both"/>
        <w:rPr>
          <w:rFonts w:ascii="Arial" w:hAnsi="Arial" w:cs="Arial"/>
          <w:bCs/>
          <w:color w:val="000000"/>
          <w:sz w:val="20"/>
          <w:szCs w:val="20"/>
          <w:lang w:val="es-ES" w:eastAsia="es-CO"/>
        </w:rPr>
      </w:pPr>
      <w:r w:rsidRPr="00304599">
        <w:rPr>
          <w:rFonts w:ascii="Arial" w:hAnsi="Arial" w:cs="Arial"/>
          <w:bCs/>
          <w:color w:val="000000"/>
          <w:sz w:val="20"/>
          <w:szCs w:val="20"/>
          <w:lang w:val="es-ES" w:eastAsia="es-CO"/>
        </w:rPr>
        <w:br/>
      </w:r>
    </w:p>
    <w:p w14:paraId="72828CBB" w14:textId="77777777" w:rsidR="00460695" w:rsidRPr="00304599" w:rsidRDefault="00460695" w:rsidP="00460695">
      <w:pPr>
        <w:jc w:val="both"/>
        <w:rPr>
          <w:rFonts w:ascii="Arial" w:hAnsi="Arial" w:cs="Arial"/>
          <w:bCs/>
          <w:color w:val="000000"/>
          <w:sz w:val="20"/>
          <w:szCs w:val="20"/>
          <w:lang w:val="es-ES" w:eastAsia="es-CO"/>
        </w:rPr>
      </w:pPr>
      <w:r w:rsidRPr="00304599">
        <w:rPr>
          <w:rFonts w:ascii="Arial" w:hAnsi="Arial" w:cs="Arial"/>
          <w:bCs/>
          <w:color w:val="000000"/>
          <w:sz w:val="20"/>
          <w:szCs w:val="20"/>
          <w:lang w:val="es-ES" w:eastAsia="es-CO"/>
        </w:rPr>
        <w:t>En razón a lo anterior, los procesos licitatorios deben culminar con la</w:t>
      </w:r>
      <w:r w:rsidRPr="00304599">
        <w:rPr>
          <w:rFonts w:ascii="Arial" w:hAnsi="Arial" w:cs="Arial"/>
          <w:bCs/>
          <w:color w:val="000000"/>
          <w:sz w:val="20"/>
          <w:szCs w:val="20"/>
          <w:lang w:val="es-ES" w:eastAsia="es-CO"/>
        </w:rPr>
        <w:br/>
        <w:t>selección de una propuesta, bajo circunstancias excepcionales que trunquen o</w:t>
      </w:r>
      <w:r w:rsidRPr="00304599">
        <w:rPr>
          <w:rFonts w:ascii="Arial" w:hAnsi="Arial" w:cs="Arial"/>
          <w:bCs/>
          <w:color w:val="000000"/>
          <w:sz w:val="20"/>
          <w:szCs w:val="20"/>
          <w:lang w:val="es-ES" w:eastAsia="es-CO"/>
        </w:rPr>
        <w:br/>
        <w:t>imposibiliten la selección objetiva, es procedente la declaración de desierta; entonces, esta última es una excepción a la regla compulsoria de selección objetiva, que gobierna el proceso administrativo de adjudicación, que, por tanto, procede, como ya se dijo bajo circunstancias excepcionales que deberán consignarse de forma expresa en la motivación del acto administrativo a través del cual se declara desierto el respectivo proceso.</w:t>
      </w:r>
    </w:p>
    <w:p w14:paraId="155DD1F4" w14:textId="77777777" w:rsidR="00460695" w:rsidRPr="00304599" w:rsidRDefault="00460695" w:rsidP="00460695">
      <w:pPr>
        <w:jc w:val="both"/>
        <w:rPr>
          <w:rFonts w:ascii="Arial" w:hAnsi="Arial" w:cs="Arial"/>
          <w:bCs/>
          <w:color w:val="000000"/>
          <w:sz w:val="20"/>
          <w:szCs w:val="20"/>
          <w:lang w:val="es-ES" w:eastAsia="es-CO"/>
        </w:rPr>
      </w:pPr>
    </w:p>
    <w:p w14:paraId="4B4C4665" w14:textId="77777777" w:rsidR="00460695" w:rsidRPr="00304599" w:rsidRDefault="00460695" w:rsidP="00460695">
      <w:pPr>
        <w:jc w:val="both"/>
        <w:rPr>
          <w:rFonts w:ascii="Arial" w:hAnsi="Arial" w:cs="Arial"/>
          <w:bCs/>
          <w:color w:val="000000"/>
          <w:sz w:val="20"/>
          <w:szCs w:val="20"/>
          <w:lang w:val="es-MX" w:eastAsia="es-CO"/>
        </w:rPr>
      </w:pPr>
    </w:p>
    <w:p w14:paraId="483578D7" w14:textId="77777777" w:rsidR="00460695" w:rsidRPr="00304599" w:rsidRDefault="00460695" w:rsidP="00460695">
      <w:pPr>
        <w:jc w:val="both"/>
        <w:rPr>
          <w:rFonts w:ascii="Arial" w:hAnsi="Arial" w:cs="Arial"/>
          <w:b/>
          <w:color w:val="000000"/>
          <w:sz w:val="20"/>
          <w:szCs w:val="20"/>
          <w:lang w:val="es-MX" w:eastAsia="es-CO"/>
        </w:rPr>
      </w:pPr>
      <w:r w:rsidRPr="00304599">
        <w:rPr>
          <w:rFonts w:ascii="Arial" w:hAnsi="Arial" w:cs="Arial"/>
          <w:b/>
          <w:color w:val="000000"/>
          <w:sz w:val="20"/>
          <w:szCs w:val="20"/>
          <w:lang w:val="es-MX" w:eastAsia="es-CO"/>
        </w:rPr>
        <w:t>PRINCIPION DE SELECCIÓN OBJETIVA – Noción</w:t>
      </w:r>
    </w:p>
    <w:p w14:paraId="4669BC60" w14:textId="77777777" w:rsidR="00460695" w:rsidRPr="00304599" w:rsidRDefault="00460695" w:rsidP="00460695">
      <w:pPr>
        <w:jc w:val="both"/>
        <w:rPr>
          <w:rFonts w:ascii="Arial" w:hAnsi="Arial" w:cs="Arial"/>
          <w:b/>
          <w:color w:val="000000"/>
          <w:sz w:val="20"/>
          <w:szCs w:val="20"/>
          <w:lang w:val="es-MX" w:eastAsia="es-CO"/>
        </w:rPr>
      </w:pPr>
    </w:p>
    <w:p w14:paraId="616C9AC5" w14:textId="77777777" w:rsidR="00460695" w:rsidRPr="00304599" w:rsidRDefault="00460695" w:rsidP="00460695">
      <w:pPr>
        <w:jc w:val="both"/>
        <w:textAlignment w:val="baseline"/>
        <w:rPr>
          <w:rFonts w:ascii="Arial" w:hAnsi="Arial" w:cs="Arial"/>
          <w:bCs/>
          <w:color w:val="000000"/>
          <w:sz w:val="20"/>
          <w:szCs w:val="20"/>
          <w:lang w:val="es-ES" w:eastAsia="es-CO"/>
        </w:rPr>
      </w:pPr>
      <w:r w:rsidRPr="00304599">
        <w:rPr>
          <w:rFonts w:ascii="Arial" w:hAnsi="Arial" w:cs="Arial"/>
          <w:bCs/>
          <w:color w:val="000000"/>
          <w:sz w:val="20"/>
          <w:szCs w:val="20"/>
          <w:lang w:val="es-ES" w:eastAsia="es-CO"/>
        </w:rPr>
        <w:t xml:space="preserve">la  Ley 80  de 1993, en su artículo 29, posteriormente derogado e incluido en el artículo 5 de la Ley 1150 de 2007, consagró el deber de selección objetiva de los contratistas como expresión del interés general o interés público, como fin de la actividad contractual del Estado, el cual debe estar presente cuando la selección del contratista se adelante mediante cualquiera de los procedimientos administrativos de selección, como también cuando la ley permita hacerlo mediante el sistema de contratación directa.  Con base en esta disposición, se concluye que la objetividad  en la selección de los contratistas del Estado, implica: i) que la escogencia del contratista debe estar desprovista de todo tipo de consideración subjetiva, afecto o interés; </w:t>
      </w:r>
      <w:proofErr w:type="spellStart"/>
      <w:r w:rsidRPr="00304599">
        <w:rPr>
          <w:rFonts w:ascii="Arial" w:hAnsi="Arial" w:cs="Arial"/>
          <w:bCs/>
          <w:color w:val="000000"/>
          <w:sz w:val="20"/>
          <w:szCs w:val="20"/>
          <w:lang w:val="es-ES" w:eastAsia="es-CO"/>
        </w:rPr>
        <w:t>ii</w:t>
      </w:r>
      <w:proofErr w:type="spellEnd"/>
      <w:r w:rsidRPr="00304599">
        <w:rPr>
          <w:rFonts w:ascii="Arial" w:hAnsi="Arial" w:cs="Arial"/>
          <w:bCs/>
          <w:color w:val="000000"/>
          <w:sz w:val="20"/>
          <w:szCs w:val="20"/>
          <w:lang w:val="es-ES" w:eastAsia="es-CO"/>
        </w:rPr>
        <w:t xml:space="preserve">) que la propuesta más favorable se debe determinar exclusivamente con arreglo a los diversos factores de selección previamente establecidos por la Administración, así como por la ponderación precisa y detallada de tales criterios de selección; </w:t>
      </w:r>
      <w:proofErr w:type="spellStart"/>
      <w:r w:rsidRPr="00304599">
        <w:rPr>
          <w:rFonts w:ascii="Arial" w:hAnsi="Arial" w:cs="Arial"/>
          <w:bCs/>
          <w:color w:val="000000"/>
          <w:sz w:val="20"/>
          <w:szCs w:val="20"/>
          <w:lang w:val="es-ES" w:eastAsia="es-CO"/>
        </w:rPr>
        <w:t>iii</w:t>
      </w:r>
      <w:proofErr w:type="spellEnd"/>
      <w:r w:rsidRPr="00304599">
        <w:rPr>
          <w:rFonts w:ascii="Arial" w:hAnsi="Arial" w:cs="Arial"/>
          <w:bCs/>
          <w:color w:val="000000"/>
          <w:sz w:val="20"/>
          <w:szCs w:val="20"/>
          <w:lang w:val="es-ES" w:eastAsia="es-CO"/>
        </w:rPr>
        <w:t xml:space="preserve">) que la ponderación de cada uno de dichos criterios o factores de escogencia se debe establecer de manera precisa, detallada y concreta en el respectivo pliego de condiciones y, </w:t>
      </w:r>
      <w:proofErr w:type="spellStart"/>
      <w:r w:rsidRPr="00304599">
        <w:rPr>
          <w:rFonts w:ascii="Arial" w:hAnsi="Arial" w:cs="Arial"/>
          <w:bCs/>
          <w:color w:val="000000"/>
          <w:sz w:val="20"/>
          <w:szCs w:val="20"/>
          <w:lang w:val="es-ES" w:eastAsia="es-CO"/>
        </w:rPr>
        <w:t>iv</w:t>
      </w:r>
      <w:proofErr w:type="spellEnd"/>
      <w:r w:rsidRPr="00304599">
        <w:rPr>
          <w:rFonts w:ascii="Arial" w:hAnsi="Arial" w:cs="Arial"/>
          <w:bCs/>
          <w:color w:val="000000"/>
          <w:sz w:val="20"/>
          <w:szCs w:val="20"/>
          <w:lang w:val="es-ES" w:eastAsia="es-CO"/>
        </w:rPr>
        <w:t>) que la adjudicación hecha por la entidad pública esté precedida del examen y comparación objetiva de las propuestas presentadas, la consulta de precios o condiciones del mercado y los estudios y deducciones hechos por la entidad o sus consultores o asesores. Naturalmente que esta norma legal, cuyo contenido concreta el principio de selección objetiva en la contratación estatal.</w:t>
      </w:r>
    </w:p>
    <w:p w14:paraId="1E7A66FD" w14:textId="77777777" w:rsidR="00460695" w:rsidRPr="00304599" w:rsidRDefault="00460695" w:rsidP="00460695">
      <w:pPr>
        <w:jc w:val="both"/>
        <w:textAlignment w:val="baseline"/>
        <w:rPr>
          <w:rFonts w:ascii="Arial" w:hAnsi="Arial" w:cs="Arial"/>
          <w:b/>
          <w:bCs/>
          <w:color w:val="000000"/>
          <w:sz w:val="20"/>
          <w:szCs w:val="20"/>
          <w:lang w:val="es-MX" w:eastAsia="es-CO"/>
        </w:rPr>
      </w:pPr>
    </w:p>
    <w:p w14:paraId="58CDAF35" w14:textId="77777777" w:rsidR="00460695" w:rsidRPr="00304599" w:rsidRDefault="00460695" w:rsidP="00460695">
      <w:pPr>
        <w:jc w:val="both"/>
        <w:textAlignment w:val="baseline"/>
        <w:rPr>
          <w:rFonts w:ascii="Arial" w:hAnsi="Arial" w:cs="Arial"/>
          <w:bCs/>
          <w:color w:val="000000"/>
          <w:sz w:val="20"/>
          <w:szCs w:val="20"/>
          <w:lang w:val="es-MX" w:eastAsia="es-CO"/>
        </w:rPr>
      </w:pPr>
    </w:p>
    <w:p w14:paraId="65C7600A" w14:textId="77777777" w:rsidR="00460695" w:rsidRPr="00304599" w:rsidRDefault="00460695" w:rsidP="00460695">
      <w:pPr>
        <w:jc w:val="both"/>
        <w:textAlignment w:val="baseline"/>
        <w:rPr>
          <w:rFonts w:ascii="Arial" w:hAnsi="Arial" w:cs="Arial"/>
          <w:bCs/>
          <w:color w:val="000000"/>
          <w:sz w:val="20"/>
          <w:szCs w:val="20"/>
          <w:lang w:val="es-MX" w:eastAsia="es-CO"/>
        </w:rPr>
      </w:pPr>
    </w:p>
    <w:p w14:paraId="2CBC4D08" w14:textId="77777777" w:rsidR="00460695" w:rsidRPr="00304599" w:rsidRDefault="00460695" w:rsidP="00460695">
      <w:pPr>
        <w:jc w:val="both"/>
        <w:textAlignment w:val="baseline"/>
        <w:rPr>
          <w:rFonts w:ascii="Arial" w:hAnsi="Arial" w:cs="Arial"/>
          <w:bCs/>
          <w:color w:val="000000"/>
          <w:sz w:val="20"/>
          <w:szCs w:val="20"/>
          <w:lang w:val="es-MX" w:eastAsia="es-CO"/>
        </w:rPr>
      </w:pPr>
    </w:p>
    <w:p w14:paraId="4EE3E6E0" w14:textId="77777777" w:rsidR="00460695" w:rsidRPr="00304599" w:rsidRDefault="00460695" w:rsidP="00460695">
      <w:pPr>
        <w:jc w:val="both"/>
        <w:textAlignment w:val="baseline"/>
        <w:rPr>
          <w:rFonts w:ascii="Arial" w:hAnsi="Arial" w:cs="Arial"/>
          <w:bCs/>
          <w:color w:val="000000"/>
          <w:sz w:val="20"/>
          <w:szCs w:val="20"/>
          <w:lang w:val="es-MX" w:eastAsia="es-CO"/>
        </w:rPr>
      </w:pPr>
    </w:p>
    <w:p w14:paraId="181CF758" w14:textId="77777777" w:rsidR="00460695" w:rsidRPr="00304599" w:rsidRDefault="00460695" w:rsidP="00460695">
      <w:pPr>
        <w:spacing w:line="276" w:lineRule="auto"/>
        <w:jc w:val="both"/>
        <w:textAlignment w:val="baseline"/>
        <w:rPr>
          <w:rFonts w:ascii="Arial" w:hAnsi="Arial" w:cs="Arial"/>
          <w:bCs/>
          <w:color w:val="000000"/>
          <w:sz w:val="20"/>
          <w:szCs w:val="20"/>
          <w:lang w:val="es-MX" w:eastAsia="es-CO"/>
        </w:rPr>
      </w:pPr>
    </w:p>
    <w:p w14:paraId="2A49A7E3" w14:textId="77777777" w:rsidR="00460695" w:rsidRPr="00304599" w:rsidRDefault="00460695" w:rsidP="00460695">
      <w:pPr>
        <w:spacing w:line="276" w:lineRule="auto"/>
        <w:jc w:val="both"/>
        <w:textAlignment w:val="baseline"/>
        <w:rPr>
          <w:rFonts w:ascii="Arial" w:hAnsi="Arial" w:cs="Arial"/>
          <w:bCs/>
          <w:color w:val="000000"/>
          <w:sz w:val="20"/>
          <w:szCs w:val="20"/>
          <w:lang w:val="es-MX" w:eastAsia="es-CO"/>
        </w:rPr>
      </w:pPr>
    </w:p>
    <w:p w14:paraId="66BA7CCA" w14:textId="7EB3E122" w:rsidR="00460695" w:rsidRDefault="00460695" w:rsidP="00460695">
      <w:pPr>
        <w:spacing w:line="276" w:lineRule="auto"/>
        <w:jc w:val="both"/>
        <w:textAlignment w:val="baseline"/>
        <w:rPr>
          <w:rFonts w:ascii="Arial" w:hAnsi="Arial" w:cs="Arial"/>
          <w:bCs/>
          <w:color w:val="000000"/>
          <w:sz w:val="20"/>
          <w:szCs w:val="20"/>
          <w:lang w:val="es-MX" w:eastAsia="es-CO"/>
        </w:rPr>
      </w:pPr>
    </w:p>
    <w:p w14:paraId="55D0CDE9" w14:textId="0C1A539F" w:rsidR="00DB4983" w:rsidRDefault="00DB4983" w:rsidP="00460695">
      <w:pPr>
        <w:spacing w:line="276" w:lineRule="auto"/>
        <w:jc w:val="both"/>
        <w:textAlignment w:val="baseline"/>
        <w:rPr>
          <w:rFonts w:ascii="Arial" w:hAnsi="Arial" w:cs="Arial"/>
          <w:bCs/>
          <w:color w:val="000000"/>
          <w:sz w:val="20"/>
          <w:szCs w:val="20"/>
          <w:lang w:val="es-MX" w:eastAsia="es-CO"/>
        </w:rPr>
      </w:pPr>
    </w:p>
    <w:p w14:paraId="6906A458" w14:textId="77777777" w:rsidR="00DB4983" w:rsidRPr="00304599" w:rsidRDefault="00DB4983" w:rsidP="00460695">
      <w:pPr>
        <w:spacing w:line="276" w:lineRule="auto"/>
        <w:jc w:val="both"/>
        <w:textAlignment w:val="baseline"/>
        <w:rPr>
          <w:rFonts w:ascii="Arial" w:hAnsi="Arial" w:cs="Arial"/>
          <w:bCs/>
          <w:color w:val="000000"/>
          <w:sz w:val="20"/>
          <w:szCs w:val="20"/>
          <w:lang w:val="es-MX" w:eastAsia="es-CO"/>
        </w:rPr>
      </w:pPr>
    </w:p>
    <w:p w14:paraId="1B523C9C" w14:textId="77777777" w:rsidR="00460695" w:rsidRPr="00304599" w:rsidRDefault="00460695" w:rsidP="00460695">
      <w:pPr>
        <w:spacing w:line="276" w:lineRule="auto"/>
        <w:jc w:val="both"/>
        <w:textAlignment w:val="baseline"/>
        <w:rPr>
          <w:rFonts w:ascii="Arial" w:hAnsi="Arial" w:cs="Arial"/>
          <w:bCs/>
          <w:color w:val="000000"/>
          <w:sz w:val="20"/>
          <w:szCs w:val="20"/>
          <w:lang w:val="es-MX" w:eastAsia="es-CO"/>
        </w:rPr>
      </w:pPr>
    </w:p>
    <w:p w14:paraId="36B90651" w14:textId="77777777" w:rsidR="00460695" w:rsidRPr="00304599" w:rsidRDefault="00460695" w:rsidP="00460695">
      <w:pPr>
        <w:spacing w:line="276" w:lineRule="auto"/>
        <w:jc w:val="both"/>
        <w:textAlignment w:val="baseline"/>
        <w:rPr>
          <w:rFonts w:ascii="Arial" w:hAnsi="Arial" w:cs="Arial"/>
          <w:bCs/>
          <w:color w:val="000000"/>
          <w:sz w:val="20"/>
          <w:szCs w:val="20"/>
          <w:lang w:val="es-MX" w:eastAsia="es-CO"/>
        </w:rPr>
      </w:pPr>
    </w:p>
    <w:p w14:paraId="760BC394" w14:textId="4FB4190C" w:rsidR="00DA6BFF" w:rsidRDefault="00DA6BFF" w:rsidP="00DA6BFF">
      <w:pPr>
        <w:spacing w:line="276" w:lineRule="auto"/>
        <w:jc w:val="right"/>
        <w:rPr>
          <w:rFonts w:ascii="Arial" w:eastAsia="Arial" w:hAnsi="Arial" w:cs="Arial"/>
          <w:color w:val="000000"/>
          <w:sz w:val="22"/>
          <w:szCs w:val="22"/>
          <w:lang w:val="es-MX" w:eastAsia="es-ES_tradnl"/>
        </w:rPr>
      </w:pPr>
      <w:r w:rsidRPr="00DA6BFF">
        <w:rPr>
          <w:rFonts w:ascii="Arial" w:eastAsia="Arial" w:hAnsi="Arial" w:cs="Arial"/>
          <w:color w:val="000000"/>
          <w:sz w:val="22"/>
          <w:szCs w:val="22"/>
          <w:lang w:val="es-MX" w:eastAsia="es-ES_tradnl"/>
        </w:rPr>
        <w:lastRenderedPageBreak/>
        <w:drawing>
          <wp:inline distT="0" distB="0" distL="0" distR="0" wp14:anchorId="4B31C863" wp14:editId="32A2CEB9">
            <wp:extent cx="2720340" cy="99508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33558" cy="999918"/>
                    </a:xfrm>
                    <a:prstGeom prst="rect">
                      <a:avLst/>
                    </a:prstGeom>
                  </pic:spPr>
                </pic:pic>
              </a:graphicData>
            </a:graphic>
          </wp:inline>
        </w:drawing>
      </w:r>
    </w:p>
    <w:p w14:paraId="0B280C6D" w14:textId="77777777" w:rsidR="00DA6BFF" w:rsidRDefault="00DA6BFF" w:rsidP="00460695">
      <w:pPr>
        <w:spacing w:line="276" w:lineRule="auto"/>
        <w:jc w:val="both"/>
        <w:rPr>
          <w:rFonts w:ascii="Arial" w:eastAsia="Arial" w:hAnsi="Arial" w:cs="Arial"/>
          <w:color w:val="000000"/>
          <w:sz w:val="22"/>
          <w:szCs w:val="22"/>
          <w:lang w:val="es-MX" w:eastAsia="es-ES_tradnl"/>
        </w:rPr>
      </w:pPr>
    </w:p>
    <w:p w14:paraId="0DD75DB4" w14:textId="77777777" w:rsidR="00DA6BFF" w:rsidRDefault="00DA6BFF" w:rsidP="00460695">
      <w:pPr>
        <w:spacing w:line="276" w:lineRule="auto"/>
        <w:jc w:val="both"/>
        <w:rPr>
          <w:rFonts w:ascii="Arial" w:eastAsia="Arial" w:hAnsi="Arial" w:cs="Arial"/>
          <w:color w:val="000000"/>
          <w:sz w:val="22"/>
          <w:szCs w:val="22"/>
          <w:lang w:val="es-MX" w:eastAsia="es-ES_tradnl"/>
        </w:rPr>
      </w:pPr>
    </w:p>
    <w:p w14:paraId="1DE06BD0" w14:textId="77777777" w:rsidR="00DA6BFF" w:rsidRDefault="00DA6BFF" w:rsidP="00460695">
      <w:pPr>
        <w:spacing w:line="276" w:lineRule="auto"/>
        <w:jc w:val="both"/>
        <w:rPr>
          <w:rFonts w:ascii="Arial" w:eastAsia="Arial" w:hAnsi="Arial" w:cs="Arial"/>
          <w:color w:val="000000"/>
          <w:sz w:val="22"/>
          <w:szCs w:val="22"/>
          <w:lang w:val="es-MX" w:eastAsia="es-ES_tradnl"/>
        </w:rPr>
      </w:pPr>
    </w:p>
    <w:p w14:paraId="7B93B4B2" w14:textId="1A327C8A" w:rsidR="00460695" w:rsidRPr="00304599" w:rsidRDefault="00460695" w:rsidP="00460695">
      <w:pPr>
        <w:spacing w:line="276" w:lineRule="auto"/>
        <w:jc w:val="both"/>
        <w:rPr>
          <w:rFonts w:ascii="Arial" w:eastAsia="Arial" w:hAnsi="Arial" w:cs="Arial"/>
          <w:color w:val="000000"/>
          <w:sz w:val="22"/>
          <w:szCs w:val="22"/>
          <w:lang w:val="es-MX" w:eastAsia="es-ES_tradnl"/>
        </w:rPr>
      </w:pPr>
      <w:r w:rsidRPr="00304599">
        <w:rPr>
          <w:rFonts w:ascii="Arial" w:eastAsia="Arial" w:hAnsi="Arial" w:cs="Arial"/>
          <w:color w:val="000000"/>
          <w:sz w:val="22"/>
          <w:szCs w:val="22"/>
          <w:lang w:val="es-MX" w:eastAsia="es-ES_tradnl"/>
        </w:rPr>
        <w:t>Bogotá D.C</w:t>
      </w:r>
    </w:p>
    <w:p w14:paraId="6C880A1F" w14:textId="77777777" w:rsidR="00460695" w:rsidRPr="00304599" w:rsidRDefault="00460695" w:rsidP="00460695">
      <w:pPr>
        <w:spacing w:line="276" w:lineRule="auto"/>
        <w:jc w:val="both"/>
        <w:rPr>
          <w:rFonts w:ascii="Arial" w:eastAsia="Arial" w:hAnsi="Arial" w:cs="Arial"/>
          <w:color w:val="000000"/>
          <w:sz w:val="22"/>
          <w:szCs w:val="22"/>
          <w:lang w:val="es-MX" w:eastAsia="es-ES_tradnl"/>
        </w:rPr>
      </w:pPr>
    </w:p>
    <w:p w14:paraId="2F3B0AAC" w14:textId="77777777" w:rsidR="00DD3CBA" w:rsidRPr="00304599" w:rsidRDefault="00DD3CBA" w:rsidP="00460695">
      <w:pPr>
        <w:spacing w:line="276" w:lineRule="auto"/>
        <w:jc w:val="both"/>
        <w:rPr>
          <w:rFonts w:ascii="Arial" w:eastAsia="Arial" w:hAnsi="Arial" w:cs="Arial"/>
          <w:color w:val="000000"/>
          <w:sz w:val="22"/>
          <w:szCs w:val="22"/>
          <w:lang w:val="es-MX" w:eastAsia="es-ES_tradnl"/>
        </w:rPr>
      </w:pPr>
    </w:p>
    <w:p w14:paraId="5276802A" w14:textId="77777777" w:rsidR="00DD3CBA" w:rsidRPr="00304599" w:rsidRDefault="00DD3CBA" w:rsidP="00460695">
      <w:pPr>
        <w:spacing w:line="276" w:lineRule="auto"/>
        <w:jc w:val="both"/>
        <w:rPr>
          <w:rFonts w:ascii="Arial" w:eastAsia="Arial" w:hAnsi="Arial" w:cs="Arial"/>
          <w:color w:val="000000"/>
          <w:sz w:val="22"/>
          <w:szCs w:val="22"/>
          <w:lang w:val="es-MX" w:eastAsia="es-ES_tradnl"/>
        </w:rPr>
      </w:pPr>
    </w:p>
    <w:p w14:paraId="39F93209" w14:textId="07152D46" w:rsidR="00460695" w:rsidRPr="00304599" w:rsidRDefault="00460695" w:rsidP="00460695">
      <w:pPr>
        <w:spacing w:line="276" w:lineRule="auto"/>
        <w:jc w:val="both"/>
        <w:rPr>
          <w:rFonts w:ascii="Arial" w:eastAsia="Arial" w:hAnsi="Arial" w:cs="Arial"/>
          <w:color w:val="000000"/>
          <w:sz w:val="22"/>
          <w:szCs w:val="22"/>
          <w:lang w:val="es-MX" w:eastAsia="es-ES_tradnl"/>
        </w:rPr>
      </w:pPr>
      <w:r w:rsidRPr="00304599">
        <w:rPr>
          <w:rFonts w:ascii="Arial" w:eastAsia="Arial" w:hAnsi="Arial" w:cs="Arial"/>
          <w:color w:val="000000"/>
          <w:sz w:val="22"/>
          <w:szCs w:val="22"/>
          <w:lang w:val="es-MX" w:eastAsia="es-ES_tradnl"/>
        </w:rPr>
        <w:t>Señor:</w:t>
      </w:r>
    </w:p>
    <w:p w14:paraId="280156F7" w14:textId="77777777" w:rsidR="00460695" w:rsidRPr="00304599" w:rsidRDefault="00460695" w:rsidP="00460695">
      <w:pPr>
        <w:spacing w:line="276" w:lineRule="auto"/>
        <w:jc w:val="both"/>
        <w:rPr>
          <w:rFonts w:ascii="Arial" w:eastAsia="Arial" w:hAnsi="Arial" w:cs="Arial"/>
          <w:b/>
          <w:color w:val="000000"/>
          <w:sz w:val="22"/>
          <w:szCs w:val="22"/>
          <w:lang w:val="es-MX" w:eastAsia="es-ES_tradnl"/>
        </w:rPr>
      </w:pPr>
      <w:r w:rsidRPr="00304599">
        <w:rPr>
          <w:rFonts w:ascii="Arial" w:eastAsia="Arial" w:hAnsi="Arial" w:cs="Arial"/>
          <w:b/>
          <w:color w:val="000000"/>
          <w:sz w:val="22"/>
          <w:szCs w:val="22"/>
          <w:lang w:val="es-MX" w:eastAsia="es-ES_tradnl"/>
        </w:rPr>
        <w:t>Santiago Andrés Sánchez Mantilla</w:t>
      </w:r>
    </w:p>
    <w:p w14:paraId="56721773" w14:textId="77777777" w:rsidR="00460695" w:rsidRPr="00304599" w:rsidRDefault="00460695" w:rsidP="00460695">
      <w:pPr>
        <w:spacing w:line="276" w:lineRule="auto"/>
        <w:jc w:val="both"/>
        <w:rPr>
          <w:rFonts w:ascii="Arial" w:eastAsia="Arial" w:hAnsi="Arial" w:cs="Arial"/>
          <w:color w:val="000000"/>
          <w:sz w:val="22"/>
          <w:szCs w:val="22"/>
          <w:lang w:val="es-MX" w:eastAsia="es-ES_tradnl"/>
        </w:rPr>
      </w:pPr>
      <w:r w:rsidRPr="00304599">
        <w:rPr>
          <w:rFonts w:ascii="Arial" w:eastAsia="Arial" w:hAnsi="Arial" w:cs="Arial"/>
          <w:color w:val="000000"/>
          <w:sz w:val="22"/>
          <w:szCs w:val="22"/>
          <w:lang w:val="es-MX" w:eastAsia="es-ES_tradnl"/>
        </w:rPr>
        <w:t>Gerente INFRAESTRUCTURA Y VIAS S.A.S</w:t>
      </w:r>
    </w:p>
    <w:p w14:paraId="71FA68D2" w14:textId="77777777" w:rsidR="00460695" w:rsidRPr="00304599" w:rsidRDefault="00460695" w:rsidP="00460695">
      <w:pPr>
        <w:spacing w:line="276" w:lineRule="auto"/>
        <w:jc w:val="both"/>
        <w:rPr>
          <w:rFonts w:ascii="Arial" w:eastAsia="Arial" w:hAnsi="Arial" w:cs="Arial"/>
          <w:color w:val="000000"/>
          <w:sz w:val="22"/>
          <w:szCs w:val="22"/>
          <w:lang w:val="es-MX" w:eastAsia="es-ES_tradnl"/>
        </w:rPr>
      </w:pPr>
      <w:r w:rsidRPr="00304599">
        <w:rPr>
          <w:rFonts w:ascii="Arial" w:eastAsia="Arial" w:hAnsi="Arial" w:cs="Arial"/>
          <w:color w:val="000000"/>
          <w:sz w:val="22"/>
          <w:szCs w:val="22"/>
          <w:lang w:val="es-MX" w:eastAsia="es-ES_tradnl"/>
        </w:rPr>
        <w:t>Carrera 29 No. 45-45 OF. 1612 Metropolitan</w:t>
      </w:r>
    </w:p>
    <w:p w14:paraId="07E29A74" w14:textId="73F7F44A" w:rsidR="00460695" w:rsidRPr="00304599" w:rsidRDefault="00460695" w:rsidP="00460695">
      <w:pPr>
        <w:spacing w:line="276" w:lineRule="auto"/>
        <w:jc w:val="both"/>
        <w:rPr>
          <w:rFonts w:ascii="Arial" w:eastAsia="Arial" w:hAnsi="Arial" w:cs="Arial"/>
          <w:color w:val="000000"/>
          <w:sz w:val="22"/>
          <w:szCs w:val="22"/>
          <w:lang w:val="es-MX" w:eastAsia="es-ES_tradnl"/>
        </w:rPr>
      </w:pPr>
      <w:r w:rsidRPr="00304599">
        <w:rPr>
          <w:rFonts w:ascii="Arial" w:eastAsia="Arial" w:hAnsi="Arial" w:cs="Arial"/>
          <w:color w:val="000000"/>
          <w:sz w:val="22"/>
          <w:szCs w:val="22"/>
          <w:lang w:val="es-MX" w:eastAsia="es-ES_tradnl"/>
        </w:rPr>
        <w:t>Bucaramanga - Santander</w:t>
      </w:r>
    </w:p>
    <w:p w14:paraId="1B4C0958" w14:textId="77777777" w:rsidR="00460695" w:rsidRPr="00304599" w:rsidRDefault="00460695" w:rsidP="00460695">
      <w:pPr>
        <w:spacing w:line="276" w:lineRule="auto"/>
        <w:jc w:val="both"/>
        <w:rPr>
          <w:rFonts w:ascii="Arial" w:eastAsia="Arial" w:hAnsi="Arial" w:cs="Arial"/>
          <w:color w:val="000000"/>
          <w:sz w:val="22"/>
          <w:szCs w:val="22"/>
          <w:lang w:val="es-MX" w:eastAsia="es-ES_tradnl"/>
        </w:rPr>
      </w:pPr>
    </w:p>
    <w:p w14:paraId="4F0F2718" w14:textId="77777777" w:rsidR="00460695" w:rsidRPr="00304599" w:rsidRDefault="00460695" w:rsidP="00460695">
      <w:pPr>
        <w:spacing w:line="276" w:lineRule="auto"/>
        <w:jc w:val="center"/>
        <w:rPr>
          <w:rFonts w:ascii="Arial" w:eastAsia="Arial" w:hAnsi="Arial" w:cs="Arial"/>
          <w:color w:val="000000"/>
          <w:sz w:val="20"/>
          <w:szCs w:val="20"/>
          <w:lang w:val="es-MX" w:eastAsia="es-ES_tradnl"/>
        </w:rPr>
      </w:pPr>
      <w:r w:rsidRPr="00304599">
        <w:rPr>
          <w:rFonts w:ascii="Arial" w:eastAsia="Calibri" w:hAnsi="Arial" w:cs="Arial"/>
          <w:b/>
          <w:sz w:val="22"/>
          <w:szCs w:val="22"/>
          <w:lang w:val="es-MX" w:eastAsia="es-ES_tradnl"/>
        </w:rPr>
        <w:t xml:space="preserve">Concepto C –633 </w:t>
      </w:r>
    </w:p>
    <w:p w14:paraId="135BB16B" w14:textId="77777777" w:rsidR="00460695" w:rsidRPr="00304599" w:rsidRDefault="00460695" w:rsidP="00460695">
      <w:pPr>
        <w:spacing w:line="276" w:lineRule="auto"/>
        <w:jc w:val="both"/>
        <w:rPr>
          <w:rFonts w:ascii="Arial" w:eastAsia="Arial" w:hAnsi="Arial" w:cs="Arial"/>
          <w:color w:val="000000"/>
          <w:sz w:val="22"/>
          <w:szCs w:val="22"/>
          <w:lang w:val="es-MX" w:eastAsia="es-ES_tradnl"/>
        </w:rPr>
      </w:pPr>
      <w:r w:rsidRPr="00304599">
        <w:rPr>
          <w:rFonts w:ascii="Arial" w:eastAsia="Arial" w:hAnsi="Arial" w:cs="Arial"/>
          <w:color w:val="000000"/>
          <w:sz w:val="22"/>
          <w:szCs w:val="22"/>
          <w:lang w:val="es-MX" w:eastAsia="es-ES_tradnl"/>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460695" w:rsidRPr="00304599" w14:paraId="08636A3B" w14:textId="77777777" w:rsidTr="007E2425">
        <w:trPr>
          <w:trHeight w:val="1038"/>
        </w:trPr>
        <w:tc>
          <w:tcPr>
            <w:tcW w:w="2689" w:type="dxa"/>
          </w:tcPr>
          <w:p w14:paraId="3FB2065A" w14:textId="77777777" w:rsidR="00460695" w:rsidRPr="00304599" w:rsidRDefault="00460695" w:rsidP="00460695">
            <w:pPr>
              <w:spacing w:line="276" w:lineRule="auto"/>
              <w:jc w:val="both"/>
              <w:rPr>
                <w:rFonts w:ascii="Arial" w:eastAsia="Arial" w:hAnsi="Arial" w:cs="Arial"/>
                <w:color w:val="000000"/>
                <w:lang w:val="es-MX" w:eastAsia="es-ES_tradnl"/>
              </w:rPr>
            </w:pPr>
            <w:r w:rsidRPr="00304599">
              <w:rPr>
                <w:rFonts w:ascii="Arial" w:eastAsia="Arial" w:hAnsi="Arial" w:cs="Arial"/>
                <w:color w:val="000000"/>
                <w:lang w:val="es-MX" w:eastAsia="es-ES_tradnl"/>
              </w:rPr>
              <w:t xml:space="preserve">Temas:        </w:t>
            </w:r>
          </w:p>
        </w:tc>
        <w:tc>
          <w:tcPr>
            <w:tcW w:w="6237" w:type="dxa"/>
          </w:tcPr>
          <w:p w14:paraId="2BAA722E" w14:textId="77777777" w:rsidR="00460695" w:rsidRPr="00304599" w:rsidRDefault="00460695" w:rsidP="00460695">
            <w:pPr>
              <w:spacing w:line="276" w:lineRule="auto"/>
              <w:jc w:val="both"/>
              <w:rPr>
                <w:rFonts w:ascii="Arial" w:eastAsia="Arial" w:hAnsi="Arial" w:cs="Arial"/>
                <w:color w:val="000000"/>
                <w:sz w:val="22"/>
                <w:szCs w:val="22"/>
                <w:lang w:val="es-MX" w:eastAsia="es-ES_tradnl"/>
              </w:rPr>
            </w:pPr>
            <w:r w:rsidRPr="00304599">
              <w:rPr>
                <w:rFonts w:ascii="Arial" w:eastAsia="Arial" w:hAnsi="Arial" w:cs="Arial"/>
                <w:color w:val="000000"/>
                <w:sz w:val="22"/>
                <w:szCs w:val="22"/>
                <w:lang w:val="es-MX" w:eastAsia="es-ES_tradnl"/>
              </w:rPr>
              <w:t>DOCUMENTOS TIPO- infraestructura Social/ DOCUMENTOS TIPO</w:t>
            </w:r>
            <w:r w:rsidRPr="00304599">
              <w:rPr>
                <w:rFonts w:ascii="Arial" w:eastAsia="Calibri" w:hAnsi="Arial" w:cs="Arial"/>
                <w:bCs/>
                <w:sz w:val="22"/>
                <w:lang w:eastAsia="es-ES_tradnl"/>
              </w:rPr>
              <w:t>– Obligatoriedad – Inalterabilidad</w:t>
            </w:r>
            <w:r w:rsidRPr="00304599">
              <w:rPr>
                <w:rFonts w:ascii="Arial" w:eastAsia="Arial" w:hAnsi="Arial" w:cs="Arial"/>
                <w:color w:val="000000"/>
                <w:sz w:val="22"/>
                <w:szCs w:val="22"/>
                <w:lang w:val="es-MX" w:eastAsia="es-ES_tradnl"/>
              </w:rPr>
              <w:t>. - REVOCATORIA DIRECTA ACTO DE APERTURA – DECLARATORIA DESIERTA- Selección objetiva</w:t>
            </w:r>
          </w:p>
          <w:p w14:paraId="44EB0D20" w14:textId="77777777" w:rsidR="00460695" w:rsidRPr="00304599" w:rsidRDefault="00460695" w:rsidP="00460695">
            <w:pPr>
              <w:spacing w:line="276" w:lineRule="auto"/>
              <w:jc w:val="both"/>
              <w:rPr>
                <w:rFonts w:ascii="Arial" w:eastAsia="Arial" w:hAnsi="Arial" w:cs="Arial"/>
                <w:color w:val="000000"/>
                <w:lang w:val="es-MX" w:eastAsia="es-ES_tradnl"/>
              </w:rPr>
            </w:pPr>
          </w:p>
        </w:tc>
      </w:tr>
      <w:tr w:rsidR="00460695" w:rsidRPr="00304599" w14:paraId="6D52D57B" w14:textId="77777777" w:rsidTr="007E2425">
        <w:tc>
          <w:tcPr>
            <w:tcW w:w="2689" w:type="dxa"/>
          </w:tcPr>
          <w:p w14:paraId="68EF1899" w14:textId="77777777" w:rsidR="00460695" w:rsidRPr="00304599" w:rsidRDefault="00460695" w:rsidP="00460695">
            <w:pPr>
              <w:spacing w:line="276" w:lineRule="auto"/>
              <w:rPr>
                <w:rFonts w:ascii="Arial" w:eastAsia="Arial" w:hAnsi="Arial" w:cs="Arial"/>
                <w:b/>
                <w:color w:val="000000"/>
                <w:sz w:val="22"/>
                <w:szCs w:val="22"/>
                <w:lang w:val="es-MX" w:eastAsia="es-ES_tradnl"/>
              </w:rPr>
            </w:pPr>
          </w:p>
          <w:p w14:paraId="378F8424" w14:textId="77777777" w:rsidR="00460695" w:rsidRPr="00304599" w:rsidRDefault="00460695" w:rsidP="00460695">
            <w:pPr>
              <w:spacing w:line="276" w:lineRule="auto"/>
              <w:rPr>
                <w:rFonts w:ascii="Arial" w:eastAsia="Arial" w:hAnsi="Arial" w:cs="Arial"/>
                <w:b/>
                <w:color w:val="000000"/>
                <w:sz w:val="22"/>
                <w:szCs w:val="22"/>
                <w:lang w:val="es-MX" w:eastAsia="es-ES_tradnl"/>
              </w:rPr>
            </w:pPr>
            <w:r w:rsidRPr="00304599">
              <w:rPr>
                <w:rFonts w:ascii="Arial" w:eastAsia="Arial" w:hAnsi="Arial" w:cs="Arial"/>
                <w:b/>
                <w:color w:val="000000"/>
                <w:sz w:val="22"/>
                <w:szCs w:val="22"/>
                <w:lang w:val="es-MX" w:eastAsia="es-ES_tradnl"/>
              </w:rPr>
              <w:t>Radicación:</w:t>
            </w:r>
            <w:r w:rsidRPr="00304599">
              <w:rPr>
                <w:rFonts w:ascii="Arial" w:eastAsia="Arial" w:hAnsi="Arial" w:cs="Arial"/>
                <w:color w:val="000000"/>
                <w:sz w:val="22"/>
                <w:szCs w:val="22"/>
                <w:lang w:val="es-MX" w:eastAsia="es-ES_tradnl"/>
              </w:rPr>
              <w:t xml:space="preserve">                              </w:t>
            </w:r>
          </w:p>
        </w:tc>
        <w:tc>
          <w:tcPr>
            <w:tcW w:w="6237" w:type="dxa"/>
          </w:tcPr>
          <w:p w14:paraId="17CD3BC3" w14:textId="77777777" w:rsidR="00460695" w:rsidRPr="00304599" w:rsidRDefault="00460695" w:rsidP="00460695">
            <w:pPr>
              <w:spacing w:line="276" w:lineRule="auto"/>
              <w:jc w:val="both"/>
              <w:rPr>
                <w:rFonts w:ascii="Arial" w:eastAsia="Arial" w:hAnsi="Arial" w:cs="Arial"/>
                <w:color w:val="000000"/>
                <w:sz w:val="22"/>
                <w:szCs w:val="22"/>
                <w:lang w:val="es-MX" w:eastAsia="es-ES_tradnl"/>
              </w:rPr>
            </w:pPr>
          </w:p>
          <w:p w14:paraId="377A63C9" w14:textId="77777777" w:rsidR="00460695" w:rsidRPr="00DB4983" w:rsidRDefault="00460695" w:rsidP="00460695">
            <w:pPr>
              <w:spacing w:line="276" w:lineRule="auto"/>
              <w:jc w:val="both"/>
              <w:rPr>
                <w:rFonts w:ascii="Arial" w:eastAsia="Arial" w:hAnsi="Arial" w:cs="Arial"/>
                <w:color w:val="000000"/>
                <w:sz w:val="22"/>
                <w:szCs w:val="22"/>
                <w:lang w:val="es-MX" w:eastAsia="es-ES_tradnl"/>
              </w:rPr>
            </w:pPr>
            <w:r w:rsidRPr="00304599">
              <w:rPr>
                <w:rFonts w:ascii="Arial" w:eastAsia="Arial" w:hAnsi="Arial" w:cs="Arial"/>
                <w:color w:val="000000"/>
                <w:sz w:val="22"/>
                <w:szCs w:val="22"/>
                <w:lang w:val="es-MX" w:eastAsia="es-ES_tradnl"/>
              </w:rPr>
              <w:t>Respuesta a consulta 20220905008875</w:t>
            </w:r>
          </w:p>
        </w:tc>
      </w:tr>
      <w:tr w:rsidR="00460695" w:rsidRPr="00304599" w14:paraId="3D9B4344" w14:textId="77777777" w:rsidTr="007E2425">
        <w:tc>
          <w:tcPr>
            <w:tcW w:w="2689" w:type="dxa"/>
          </w:tcPr>
          <w:p w14:paraId="1DD4CA1E" w14:textId="77777777" w:rsidR="00460695" w:rsidRPr="00304599" w:rsidRDefault="00460695" w:rsidP="00460695">
            <w:pPr>
              <w:spacing w:line="276" w:lineRule="auto"/>
              <w:rPr>
                <w:rFonts w:ascii="Arial" w:eastAsia="Arial" w:hAnsi="Arial" w:cs="Arial"/>
                <w:b/>
                <w:color w:val="000000"/>
                <w:sz w:val="22"/>
                <w:szCs w:val="22"/>
                <w:lang w:val="es-MX" w:eastAsia="es-ES_tradnl"/>
              </w:rPr>
            </w:pPr>
          </w:p>
        </w:tc>
        <w:tc>
          <w:tcPr>
            <w:tcW w:w="6237" w:type="dxa"/>
          </w:tcPr>
          <w:p w14:paraId="075AB340" w14:textId="77777777" w:rsidR="00460695" w:rsidRPr="00304599" w:rsidRDefault="00460695" w:rsidP="00460695">
            <w:pPr>
              <w:spacing w:line="276" w:lineRule="auto"/>
              <w:rPr>
                <w:rFonts w:ascii="Arial" w:eastAsia="Arial" w:hAnsi="Arial" w:cs="Arial"/>
                <w:color w:val="000000"/>
                <w:sz w:val="22"/>
                <w:szCs w:val="22"/>
                <w:lang w:val="es-MX" w:eastAsia="es-ES_tradnl"/>
              </w:rPr>
            </w:pPr>
          </w:p>
        </w:tc>
      </w:tr>
    </w:tbl>
    <w:p w14:paraId="08705735" w14:textId="77777777" w:rsidR="00460695" w:rsidRPr="00304599" w:rsidRDefault="00460695" w:rsidP="00460695">
      <w:pPr>
        <w:spacing w:line="276" w:lineRule="auto"/>
        <w:jc w:val="both"/>
        <w:rPr>
          <w:rFonts w:ascii="Calibri" w:eastAsia="Calibri" w:hAnsi="Calibri" w:cs="Calibri"/>
          <w:color w:val="000000"/>
          <w:sz w:val="22"/>
          <w:szCs w:val="22"/>
          <w:lang w:val="es-MX" w:eastAsia="es-ES_tradnl"/>
        </w:rPr>
      </w:pPr>
    </w:p>
    <w:p w14:paraId="58CE3504" w14:textId="77777777" w:rsidR="00460695" w:rsidRPr="00304599" w:rsidRDefault="00460695" w:rsidP="00460695">
      <w:pPr>
        <w:spacing w:line="276" w:lineRule="auto"/>
        <w:jc w:val="both"/>
        <w:rPr>
          <w:rFonts w:ascii="Arial" w:eastAsia="Arial" w:hAnsi="Arial" w:cs="Arial"/>
          <w:color w:val="000000"/>
          <w:sz w:val="22"/>
          <w:szCs w:val="22"/>
          <w:lang w:val="es-MX" w:eastAsia="es-ES_tradnl"/>
        </w:rPr>
      </w:pPr>
    </w:p>
    <w:p w14:paraId="79D4AD19" w14:textId="77777777" w:rsidR="00460695" w:rsidRPr="00304599" w:rsidRDefault="00460695" w:rsidP="00460695">
      <w:pPr>
        <w:spacing w:line="276" w:lineRule="auto"/>
        <w:jc w:val="both"/>
        <w:rPr>
          <w:rFonts w:ascii="Arial" w:eastAsia="Arial" w:hAnsi="Arial" w:cs="Arial"/>
          <w:color w:val="000000"/>
          <w:sz w:val="22"/>
          <w:szCs w:val="22"/>
          <w:lang w:val="es-MX" w:eastAsia="es-ES_tradnl"/>
        </w:rPr>
      </w:pPr>
      <w:r w:rsidRPr="00304599">
        <w:rPr>
          <w:rFonts w:ascii="Arial" w:eastAsia="Arial" w:hAnsi="Arial" w:cs="Arial"/>
          <w:color w:val="000000"/>
          <w:sz w:val="22"/>
          <w:szCs w:val="22"/>
          <w:lang w:val="es-MX" w:eastAsia="es-ES_tradnl"/>
        </w:rPr>
        <w:t>Estimado señor Sánchez:</w:t>
      </w:r>
    </w:p>
    <w:p w14:paraId="6F017F55" w14:textId="77777777" w:rsidR="00460695" w:rsidRPr="00304599" w:rsidRDefault="00460695" w:rsidP="00460695">
      <w:pPr>
        <w:spacing w:line="276" w:lineRule="auto"/>
        <w:ind w:firstLine="709"/>
        <w:jc w:val="both"/>
        <w:rPr>
          <w:rFonts w:ascii="Arial" w:eastAsia="Arial" w:hAnsi="Arial" w:cs="Arial"/>
          <w:color w:val="000000"/>
          <w:sz w:val="22"/>
          <w:szCs w:val="22"/>
          <w:lang w:val="es-MX" w:eastAsia="es-ES_tradnl"/>
        </w:rPr>
      </w:pPr>
    </w:p>
    <w:p w14:paraId="277EC569" w14:textId="5F9270F3" w:rsidR="00460695" w:rsidRPr="00304599" w:rsidRDefault="00460695" w:rsidP="00460695">
      <w:pPr>
        <w:spacing w:line="276" w:lineRule="auto"/>
        <w:ind w:right="51"/>
        <w:jc w:val="both"/>
        <w:rPr>
          <w:rFonts w:ascii="Arial" w:eastAsia="Arial" w:hAnsi="Arial" w:cs="Arial"/>
          <w:color w:val="000000"/>
          <w:sz w:val="22"/>
          <w:szCs w:val="22"/>
          <w:lang w:val="es-MX" w:eastAsia="es-ES_tradnl"/>
        </w:rPr>
      </w:pPr>
      <w:r w:rsidRPr="00304599">
        <w:rPr>
          <w:rFonts w:ascii="Arial" w:eastAsia="Arial" w:hAnsi="Arial" w:cs="Arial"/>
          <w:color w:val="000000"/>
          <w:sz w:val="22"/>
          <w:szCs w:val="22"/>
          <w:lang w:val="es-MX" w:eastAsia="es-ES_tradnl"/>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753925" w:rsidRPr="00304599">
        <w:rPr>
          <w:rFonts w:ascii="Arial" w:eastAsia="Arial" w:hAnsi="Arial" w:cs="Arial"/>
          <w:color w:val="000000"/>
          <w:sz w:val="22"/>
          <w:szCs w:val="22"/>
          <w:lang w:val="es-MX" w:eastAsia="es-ES_tradnl"/>
        </w:rPr>
        <w:t xml:space="preserve">5 </w:t>
      </w:r>
      <w:r w:rsidRPr="00304599">
        <w:rPr>
          <w:rFonts w:ascii="Arial" w:eastAsia="Arial" w:hAnsi="Arial" w:cs="Arial"/>
          <w:color w:val="000000"/>
          <w:sz w:val="22"/>
          <w:szCs w:val="22"/>
          <w:lang w:val="es-MX" w:eastAsia="es-ES_tradnl"/>
        </w:rPr>
        <w:t xml:space="preserve">de septiembre de 2022. </w:t>
      </w:r>
    </w:p>
    <w:p w14:paraId="4568056A" w14:textId="77777777" w:rsidR="00460695" w:rsidRPr="00304599" w:rsidRDefault="00460695" w:rsidP="00460695">
      <w:pPr>
        <w:spacing w:line="276" w:lineRule="auto"/>
        <w:jc w:val="both"/>
        <w:rPr>
          <w:rFonts w:ascii="Arial" w:eastAsia="Arial" w:hAnsi="Arial" w:cs="Arial"/>
          <w:color w:val="000000"/>
          <w:sz w:val="22"/>
          <w:szCs w:val="22"/>
          <w:lang w:val="es-MX" w:eastAsia="es-ES_tradnl"/>
        </w:rPr>
      </w:pPr>
    </w:p>
    <w:p w14:paraId="42A49D28" w14:textId="77777777" w:rsidR="00460695" w:rsidRPr="00304599" w:rsidRDefault="00460695" w:rsidP="00460695">
      <w:pPr>
        <w:tabs>
          <w:tab w:val="left" w:pos="284"/>
        </w:tabs>
        <w:spacing w:line="276" w:lineRule="auto"/>
        <w:jc w:val="both"/>
        <w:rPr>
          <w:rFonts w:ascii="Arial" w:eastAsia="Arial" w:hAnsi="Arial" w:cs="Arial"/>
          <w:b/>
          <w:color w:val="000000"/>
          <w:sz w:val="22"/>
          <w:szCs w:val="22"/>
          <w:lang w:val="es-MX" w:eastAsia="es-ES_tradnl"/>
        </w:rPr>
      </w:pPr>
      <w:r w:rsidRPr="00304599">
        <w:rPr>
          <w:rFonts w:ascii="Arial" w:eastAsia="Arial" w:hAnsi="Arial" w:cs="Arial"/>
          <w:b/>
          <w:color w:val="000000"/>
          <w:sz w:val="22"/>
          <w:szCs w:val="22"/>
          <w:lang w:val="es-MX" w:eastAsia="es-ES_tradnl"/>
        </w:rPr>
        <w:t xml:space="preserve">1. Problema planteado </w:t>
      </w:r>
    </w:p>
    <w:p w14:paraId="402DE5B7" w14:textId="77777777" w:rsidR="00460695" w:rsidRPr="00304599" w:rsidRDefault="00460695" w:rsidP="00460695">
      <w:pPr>
        <w:pBdr>
          <w:top w:val="nil"/>
          <w:left w:val="nil"/>
          <w:bottom w:val="nil"/>
          <w:right w:val="nil"/>
          <w:between w:val="nil"/>
        </w:pBdr>
        <w:spacing w:line="276" w:lineRule="auto"/>
        <w:jc w:val="both"/>
        <w:rPr>
          <w:rFonts w:ascii="Arial" w:eastAsia="Arial" w:hAnsi="Arial" w:cs="Arial"/>
          <w:color w:val="000000"/>
          <w:sz w:val="22"/>
          <w:szCs w:val="22"/>
          <w:lang w:val="es-MX" w:eastAsia="es-ES_tradnl"/>
        </w:rPr>
      </w:pPr>
      <w:bookmarkStart w:id="0" w:name="_17dp8vu" w:colFirst="0" w:colLast="0"/>
      <w:bookmarkEnd w:id="0"/>
    </w:p>
    <w:p w14:paraId="3BD283AF" w14:textId="6E3F5F09" w:rsidR="00460695" w:rsidRPr="00304599" w:rsidRDefault="00460695" w:rsidP="00460695">
      <w:pPr>
        <w:spacing w:line="276" w:lineRule="auto"/>
        <w:ind w:right="49"/>
        <w:jc w:val="both"/>
        <w:rPr>
          <w:rFonts w:ascii="Arial" w:hAnsi="Arial" w:cs="Arial"/>
          <w:bCs/>
          <w:sz w:val="22"/>
          <w:lang w:val="es-MX" w:eastAsia="es-ES_tradnl"/>
        </w:rPr>
      </w:pPr>
      <w:r w:rsidRPr="00304599">
        <w:rPr>
          <w:rFonts w:ascii="Arial" w:hAnsi="Arial" w:cs="Arial"/>
          <w:bCs/>
          <w:sz w:val="22"/>
          <w:lang w:val="es-MX" w:eastAsia="es-ES_tradnl"/>
        </w:rPr>
        <w:t xml:space="preserve">En la consulta identificada previamente </w:t>
      </w:r>
      <w:r w:rsidR="00D94B75" w:rsidRPr="00304599">
        <w:rPr>
          <w:rFonts w:ascii="Arial" w:hAnsi="Arial" w:cs="Arial"/>
          <w:bCs/>
          <w:sz w:val="22"/>
          <w:lang w:val="es-MX" w:eastAsia="es-ES_tradnl"/>
        </w:rPr>
        <w:t>U</w:t>
      </w:r>
      <w:r w:rsidRPr="00304599">
        <w:rPr>
          <w:rFonts w:ascii="Arial" w:hAnsi="Arial" w:cs="Arial"/>
          <w:bCs/>
          <w:sz w:val="22"/>
          <w:lang w:val="es-MX" w:eastAsia="es-ES_tradnl"/>
        </w:rPr>
        <w:t xml:space="preserve">sted solicita a la Agencia resolver los siguientes interrogantes, todos los cuales guardan relación con la interpretación de las reglas consagradas en los pliegos tipo. En particular, se formulan los siguientes </w:t>
      </w:r>
      <w:r w:rsidR="00725828" w:rsidRPr="00304599">
        <w:rPr>
          <w:rFonts w:ascii="Arial" w:hAnsi="Arial" w:cs="Arial"/>
          <w:bCs/>
          <w:sz w:val="22"/>
          <w:lang w:val="es-MX" w:eastAsia="es-ES_tradnl"/>
        </w:rPr>
        <w:t>interrogantes, junto</w:t>
      </w:r>
      <w:r w:rsidRPr="00304599">
        <w:rPr>
          <w:rFonts w:ascii="Arial" w:hAnsi="Arial" w:cs="Arial"/>
          <w:bCs/>
          <w:sz w:val="22"/>
          <w:lang w:val="es-MX" w:eastAsia="es-ES_tradnl"/>
        </w:rPr>
        <w:t xml:space="preserve"> con el siguiente contexto fáctico:</w:t>
      </w:r>
    </w:p>
    <w:p w14:paraId="1612A120" w14:textId="77777777" w:rsidR="00460695" w:rsidRPr="00304599" w:rsidRDefault="00460695" w:rsidP="00460695">
      <w:pPr>
        <w:spacing w:line="276" w:lineRule="auto"/>
        <w:ind w:right="49"/>
        <w:jc w:val="both"/>
        <w:rPr>
          <w:rFonts w:ascii="Arial" w:hAnsi="Arial" w:cs="Arial"/>
          <w:bCs/>
          <w:sz w:val="22"/>
          <w:lang w:val="es-MX" w:eastAsia="es-ES_tradnl"/>
        </w:rPr>
      </w:pPr>
    </w:p>
    <w:p w14:paraId="63BC0637" w14:textId="0647C7FF" w:rsidR="00460695" w:rsidRPr="00DB4983" w:rsidRDefault="00A812FC"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r w:rsidRPr="00DB4983">
        <w:rPr>
          <w:rFonts w:ascii="Arial" w:eastAsia="Calibri" w:hAnsi="Arial" w:cs="Arial"/>
          <w:i/>
          <w:iCs/>
          <w:color w:val="0D0D0D"/>
          <w:sz w:val="21"/>
          <w:szCs w:val="21"/>
          <w:bdr w:val="none" w:sz="0" w:space="0" w:color="auto" w:frame="1"/>
          <w:lang w:val="es-MX" w:eastAsia="es-CO"/>
        </w:rPr>
        <w:t>«</w:t>
      </w:r>
      <w:r w:rsidR="00460695" w:rsidRPr="00DB4983">
        <w:rPr>
          <w:rFonts w:ascii="Arial" w:eastAsia="Calibri" w:hAnsi="Arial" w:cs="Arial"/>
          <w:i/>
          <w:iCs/>
          <w:color w:val="0D0D0D"/>
          <w:sz w:val="21"/>
          <w:szCs w:val="21"/>
          <w:bdr w:val="none" w:sz="0" w:space="0" w:color="auto" w:frame="1"/>
          <w:lang w:val="es-MX" w:eastAsia="es-CO"/>
        </w:rPr>
        <w:t xml:space="preserve">En los documentos tipo de infraestructura de transporte y saneamiento básico, en el numeral 1.17 NORMAS DE INTERPRETACION DEL PLIEGO DE CONDICIONES, incisos E y F, se establece lo siguiente: </w:t>
      </w:r>
    </w:p>
    <w:p w14:paraId="3F4751A9" w14:textId="7777777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p>
    <w:p w14:paraId="2E148687" w14:textId="7777777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r w:rsidRPr="00DB4983">
        <w:rPr>
          <w:rFonts w:ascii="Arial" w:eastAsia="Calibri" w:hAnsi="Arial" w:cs="Arial"/>
          <w:i/>
          <w:iCs/>
          <w:color w:val="0D0D0D"/>
          <w:sz w:val="21"/>
          <w:szCs w:val="21"/>
          <w:bdr w:val="none" w:sz="0" w:space="0" w:color="auto" w:frame="1"/>
          <w:lang w:val="es-MX" w:eastAsia="es-CO"/>
        </w:rPr>
        <w:t xml:space="preserve">E. En caso de contradicción entre el contenido establecido en los Documentos Tipo y el incluido por la entidad, proponentes o contratista en los documentos del proceso, primará lo señalado en los Documentos Tipo. </w:t>
      </w:r>
    </w:p>
    <w:p w14:paraId="6479C37B" w14:textId="7777777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p>
    <w:p w14:paraId="2E4D28BD" w14:textId="7777777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r w:rsidRPr="00DB4983">
        <w:rPr>
          <w:rFonts w:ascii="Arial" w:eastAsia="Calibri" w:hAnsi="Arial" w:cs="Arial"/>
          <w:i/>
          <w:iCs/>
          <w:color w:val="0D0D0D"/>
          <w:sz w:val="21"/>
          <w:szCs w:val="21"/>
          <w:bdr w:val="none" w:sz="0" w:space="0" w:color="auto" w:frame="1"/>
          <w:lang w:val="es-MX" w:eastAsia="es-CO"/>
        </w:rPr>
        <w:t xml:space="preserve">F. Las entidades estatales contratantes no podrán incluir o modificar dentro de los documentos del proceso, las condiciones habilitantes, factores técnicos y económicos de escogencia y sistemas de ponderación distintos a los señalados en los Documentos Tipo. </w:t>
      </w:r>
    </w:p>
    <w:p w14:paraId="6120B971" w14:textId="7777777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p>
    <w:p w14:paraId="3F771BA3" w14:textId="77777777" w:rsidR="00460695" w:rsidRPr="00DB4983" w:rsidRDefault="00460695" w:rsidP="00460695">
      <w:pPr>
        <w:shd w:val="clear" w:color="auto" w:fill="FFFFFF"/>
        <w:spacing w:line="276" w:lineRule="auto"/>
        <w:ind w:left="709" w:right="709"/>
        <w:jc w:val="both"/>
        <w:rPr>
          <w:rFonts w:ascii="Arial" w:hAnsi="Arial" w:cs="Arial"/>
          <w:bCs/>
          <w:i/>
          <w:iCs/>
          <w:sz w:val="22"/>
          <w:lang w:val="es-CO" w:eastAsia="es-ES_tradnl"/>
        </w:rPr>
      </w:pPr>
      <w:r w:rsidRPr="00DB4983">
        <w:rPr>
          <w:rFonts w:ascii="Arial" w:eastAsia="Calibri" w:hAnsi="Arial" w:cs="Arial"/>
          <w:i/>
          <w:iCs/>
          <w:color w:val="0D0D0D"/>
          <w:sz w:val="21"/>
          <w:szCs w:val="21"/>
          <w:bdr w:val="none" w:sz="0" w:space="0" w:color="auto" w:frame="1"/>
          <w:lang w:val="es-MX" w:eastAsia="es-CO"/>
        </w:rPr>
        <w:t>Sin embargo, los documentos tipo de infraestructura social fueron modificados, y en el mismo numeral no quedo de forma explícita como proceder</w:t>
      </w:r>
      <w:r w:rsidRPr="00DB4983">
        <w:rPr>
          <w:rFonts w:ascii="Arial" w:hAnsi="Arial" w:cs="Arial"/>
          <w:bCs/>
          <w:i/>
          <w:iCs/>
          <w:sz w:val="22"/>
          <w:lang w:val="es-CO" w:eastAsia="es-ES_tradnl"/>
        </w:rPr>
        <w:t xml:space="preserve"> ante diferencias entre lo solicitado y lo establecido en los documentos tipo.</w:t>
      </w:r>
    </w:p>
    <w:p w14:paraId="576C1228" w14:textId="77777777" w:rsidR="00460695" w:rsidRPr="00DB4983" w:rsidRDefault="00460695" w:rsidP="00460695">
      <w:pPr>
        <w:shd w:val="clear" w:color="auto" w:fill="FFFFFF"/>
        <w:spacing w:line="276" w:lineRule="auto"/>
        <w:ind w:left="709" w:right="709"/>
        <w:jc w:val="both"/>
        <w:rPr>
          <w:rFonts w:ascii="Arial" w:hAnsi="Arial" w:cs="Arial"/>
          <w:bCs/>
          <w:i/>
          <w:iCs/>
          <w:sz w:val="22"/>
          <w:lang w:val="es-CO" w:eastAsia="es-ES_tradnl"/>
        </w:rPr>
      </w:pPr>
    </w:p>
    <w:p w14:paraId="68016F7B" w14:textId="7777777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r w:rsidRPr="00DB4983">
        <w:rPr>
          <w:rFonts w:ascii="Arial" w:eastAsia="Calibri" w:hAnsi="Arial" w:cs="Arial"/>
          <w:i/>
          <w:iCs/>
          <w:color w:val="0D0D0D"/>
          <w:sz w:val="21"/>
          <w:szCs w:val="21"/>
          <w:bdr w:val="none" w:sz="0" w:space="0" w:color="auto" w:frame="1"/>
          <w:lang w:val="es-MX" w:eastAsia="es-CO"/>
        </w:rPr>
        <w:t>Preguntas:</w:t>
      </w:r>
    </w:p>
    <w:p w14:paraId="1A1EB18E" w14:textId="7777777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p>
    <w:p w14:paraId="268E4F55" w14:textId="7777777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r w:rsidRPr="00DB4983">
        <w:rPr>
          <w:rFonts w:ascii="Arial" w:eastAsia="Calibri" w:hAnsi="Arial" w:cs="Arial"/>
          <w:i/>
          <w:iCs/>
          <w:color w:val="0D0D0D"/>
          <w:sz w:val="21"/>
          <w:szCs w:val="21"/>
          <w:bdr w:val="none" w:sz="0" w:space="0" w:color="auto" w:frame="1"/>
          <w:lang w:val="es-MX" w:eastAsia="es-CO"/>
        </w:rPr>
        <w:t xml:space="preserve">A. Para proyectos de infraestructura social aplica la misma regla, en caso que de diferencia o contradicciones entre lo solicitado y lo establecido en los documentos tipo. </w:t>
      </w:r>
    </w:p>
    <w:p w14:paraId="3C8632F1" w14:textId="7777777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p>
    <w:p w14:paraId="035D10D6" w14:textId="7777777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r w:rsidRPr="00DB4983">
        <w:rPr>
          <w:rFonts w:ascii="Arial" w:eastAsia="Calibri" w:hAnsi="Arial" w:cs="Arial"/>
          <w:i/>
          <w:iCs/>
          <w:color w:val="0D0D0D"/>
          <w:sz w:val="21"/>
          <w:szCs w:val="21"/>
          <w:bdr w:val="none" w:sz="0" w:space="0" w:color="auto" w:frame="1"/>
          <w:lang w:val="es-MX" w:eastAsia="es-CO"/>
        </w:rPr>
        <w:t xml:space="preserve">B. Que sucede si mediante la respuesta a una observación a los pliegos de condiciones, la cuales entendemos son vinculantes, la entidad modifica la forma de evaluación de experiencia definida en los pliegos tipo. Esto nuevamente genera una contradicción entre lo establecido en los documentos tipo y lo solicitado, por lo que primara lo reglamentado en los documentos tipo, desconociendo la observación? </w:t>
      </w:r>
    </w:p>
    <w:p w14:paraId="245B8795" w14:textId="7777777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p>
    <w:p w14:paraId="666D2E8D" w14:textId="7777777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r w:rsidRPr="00DB4983">
        <w:rPr>
          <w:rFonts w:ascii="Arial" w:eastAsia="Calibri" w:hAnsi="Arial" w:cs="Arial"/>
          <w:i/>
          <w:iCs/>
          <w:color w:val="0D0D0D"/>
          <w:sz w:val="21"/>
          <w:szCs w:val="21"/>
          <w:bdr w:val="none" w:sz="0" w:space="0" w:color="auto" w:frame="1"/>
          <w:lang w:val="es-MX" w:eastAsia="es-CO"/>
        </w:rPr>
        <w:lastRenderedPageBreak/>
        <w:t xml:space="preserve">C. Un proceso de licitación pública puede ser revocado su acto de apertura, después de la presentación de las propuestas sin autorización de los proponentes? </w:t>
      </w:r>
    </w:p>
    <w:p w14:paraId="059FC5BF" w14:textId="7777777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p>
    <w:p w14:paraId="5D71E0CA" w14:textId="16888AC7" w:rsidR="00460695" w:rsidRPr="00DB4983" w:rsidRDefault="00460695" w:rsidP="00460695">
      <w:pPr>
        <w:shd w:val="clear" w:color="auto" w:fill="FFFFFF"/>
        <w:spacing w:line="276" w:lineRule="auto"/>
        <w:ind w:left="709" w:right="709"/>
        <w:jc w:val="both"/>
        <w:rPr>
          <w:rFonts w:ascii="Arial" w:eastAsia="Calibri" w:hAnsi="Arial" w:cs="Arial"/>
          <w:i/>
          <w:iCs/>
          <w:color w:val="0D0D0D"/>
          <w:sz w:val="21"/>
          <w:szCs w:val="21"/>
          <w:bdr w:val="none" w:sz="0" w:space="0" w:color="auto" w:frame="1"/>
          <w:lang w:val="es-MX" w:eastAsia="es-CO"/>
        </w:rPr>
      </w:pPr>
      <w:r w:rsidRPr="00DB4983">
        <w:rPr>
          <w:rFonts w:ascii="Arial" w:eastAsia="Calibri" w:hAnsi="Arial" w:cs="Arial"/>
          <w:i/>
          <w:iCs/>
          <w:color w:val="0D0D0D"/>
          <w:sz w:val="21"/>
          <w:szCs w:val="21"/>
          <w:bdr w:val="none" w:sz="0" w:space="0" w:color="auto" w:frame="1"/>
          <w:lang w:val="es-MX" w:eastAsia="es-CO"/>
        </w:rPr>
        <w:t>D. Un proceso de licitación pública puede ser declarado desierto, bajo el argumento que hubo un</w:t>
      </w:r>
      <w:r w:rsidR="00B621A5" w:rsidRPr="00DB4983">
        <w:rPr>
          <w:rFonts w:ascii="Arial" w:eastAsia="Calibri" w:hAnsi="Arial" w:cs="Arial"/>
          <w:i/>
          <w:iCs/>
          <w:color w:val="0D0D0D"/>
          <w:sz w:val="21"/>
          <w:szCs w:val="21"/>
          <w:bdr w:val="none" w:sz="0" w:space="0" w:color="auto" w:frame="1"/>
          <w:lang w:val="es-MX" w:eastAsia="es-CO"/>
        </w:rPr>
        <w:t>a</w:t>
      </w:r>
      <w:r w:rsidRPr="00DB4983">
        <w:rPr>
          <w:rFonts w:ascii="Arial" w:eastAsia="Calibri" w:hAnsi="Arial" w:cs="Arial"/>
          <w:i/>
          <w:iCs/>
          <w:color w:val="0D0D0D"/>
          <w:sz w:val="21"/>
          <w:szCs w:val="21"/>
          <w:bdr w:val="none" w:sz="0" w:space="0" w:color="auto" w:frame="1"/>
          <w:lang w:val="es-MX" w:eastAsia="es-CO"/>
        </w:rPr>
        <w:t xml:space="preserve"> respuesta a una observación que contradecía las reglas de participación de los pliegos tipo.</w:t>
      </w:r>
      <w:r w:rsidR="00A812FC" w:rsidRPr="00DB4983">
        <w:rPr>
          <w:rFonts w:ascii="Arial" w:eastAsia="Calibri" w:hAnsi="Arial" w:cs="Arial"/>
          <w:i/>
          <w:iCs/>
          <w:color w:val="0D0D0D"/>
          <w:sz w:val="21"/>
          <w:szCs w:val="21"/>
          <w:bdr w:val="none" w:sz="0" w:space="0" w:color="auto" w:frame="1"/>
          <w:lang w:val="es-MX" w:eastAsia="es-CO"/>
        </w:rPr>
        <w:t>»</w:t>
      </w:r>
    </w:p>
    <w:p w14:paraId="74C98C42" w14:textId="77777777" w:rsidR="00460695" w:rsidRPr="00304599" w:rsidRDefault="00460695" w:rsidP="00460695">
      <w:pPr>
        <w:shd w:val="clear" w:color="auto" w:fill="FFFFFF"/>
        <w:spacing w:line="276" w:lineRule="auto"/>
        <w:ind w:left="709" w:right="709"/>
        <w:jc w:val="both"/>
        <w:rPr>
          <w:rFonts w:ascii="Arial" w:hAnsi="Arial" w:cs="Arial"/>
          <w:bCs/>
          <w:sz w:val="22"/>
          <w:lang w:val="es-CO" w:eastAsia="es-ES_tradnl"/>
        </w:rPr>
      </w:pPr>
    </w:p>
    <w:p w14:paraId="7316A8E0" w14:textId="77777777" w:rsidR="00460695" w:rsidRPr="00304599" w:rsidRDefault="00460695" w:rsidP="00460695">
      <w:pPr>
        <w:spacing w:line="276" w:lineRule="auto"/>
        <w:ind w:right="709"/>
        <w:jc w:val="both"/>
        <w:rPr>
          <w:rFonts w:ascii="Arial" w:eastAsia="Arial" w:hAnsi="Arial" w:cs="Arial"/>
          <w:b/>
          <w:color w:val="000000"/>
          <w:sz w:val="22"/>
          <w:szCs w:val="22"/>
          <w:lang w:val="es-MX" w:eastAsia="es-ES_tradnl"/>
        </w:rPr>
      </w:pPr>
      <w:r w:rsidRPr="00304599">
        <w:rPr>
          <w:rFonts w:ascii="Arial" w:eastAsia="Arial" w:hAnsi="Arial" w:cs="Arial"/>
          <w:b/>
          <w:color w:val="000000"/>
          <w:sz w:val="22"/>
          <w:szCs w:val="22"/>
          <w:lang w:val="es-MX" w:eastAsia="es-ES_tradnl"/>
        </w:rPr>
        <w:t xml:space="preserve">2. Consideraciones: </w:t>
      </w:r>
    </w:p>
    <w:p w14:paraId="47597E9A" w14:textId="77777777" w:rsidR="00460695" w:rsidRPr="00304599" w:rsidRDefault="00460695" w:rsidP="00460695">
      <w:pPr>
        <w:spacing w:line="276" w:lineRule="auto"/>
        <w:ind w:right="709"/>
        <w:jc w:val="both"/>
        <w:rPr>
          <w:rFonts w:ascii="Arial" w:eastAsia="Arial" w:hAnsi="Arial" w:cs="Arial"/>
          <w:b/>
          <w:color w:val="000000"/>
          <w:sz w:val="22"/>
          <w:szCs w:val="22"/>
          <w:lang w:val="es-MX" w:eastAsia="es-ES_tradnl"/>
        </w:rPr>
      </w:pPr>
    </w:p>
    <w:p w14:paraId="4F5AC312" w14:textId="77777777" w:rsidR="00460695" w:rsidRPr="00304599" w:rsidRDefault="00460695" w:rsidP="000921DA">
      <w:pPr>
        <w:spacing w:line="276" w:lineRule="auto"/>
        <w:jc w:val="both"/>
        <w:rPr>
          <w:rFonts w:ascii="Arial" w:hAnsi="Arial" w:cs="Arial"/>
          <w:bCs/>
          <w:sz w:val="22"/>
          <w:lang w:val="es-CO" w:eastAsia="es-ES_tradnl"/>
        </w:rPr>
      </w:pPr>
      <w:r w:rsidRPr="00304599">
        <w:rPr>
          <w:rFonts w:ascii="Arial" w:hAnsi="Arial" w:cs="Arial"/>
          <w:bCs/>
          <w:sz w:val="22"/>
          <w:lang w:val="es-CO"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304599">
        <w:rPr>
          <w:rFonts w:ascii="Arial" w:hAnsi="Arial" w:cs="Arial"/>
          <w:bCs/>
          <w:sz w:val="22"/>
          <w:lang w:val="es-CO" w:eastAsia="es-ES_tradnl"/>
        </w:rPr>
        <w:t xml:space="preserve"> </w:t>
      </w:r>
      <w:r w:rsidRPr="00304599">
        <w:rPr>
          <w:rFonts w:ascii="Arial" w:hAnsi="Arial" w:cs="Arial"/>
          <w:sz w:val="22"/>
          <w:lang w:val="es-ES" w:eastAsia="es-ES_tradnl"/>
        </w:rPr>
        <w:t xml:space="preserve">Es necesario tener en cuenta que </w:t>
      </w:r>
      <w:bookmarkStart w:id="3" w:name="_Hlk61026958"/>
      <w:r w:rsidRPr="00304599">
        <w:rPr>
          <w:rFonts w:ascii="Arial" w:hAnsi="Arial" w:cs="Arial"/>
          <w:sz w:val="22"/>
          <w:lang w:val="es-ES" w:eastAsia="es-ES_tradnl"/>
        </w:rPr>
        <w:t>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304599">
        <w:rPr>
          <w:rFonts w:ascii="Arial" w:hAnsi="Arial" w:cs="Arial"/>
          <w:bCs/>
          <w:sz w:val="22"/>
          <w:lang w:val="es-CO" w:eastAsia="es-ES_tradnl"/>
        </w:rPr>
        <w:t xml:space="preserve"> de todos los partícipes de la contratación estatal.</w:t>
      </w:r>
    </w:p>
    <w:p w14:paraId="67FA5D4F" w14:textId="77777777" w:rsidR="00460695" w:rsidRPr="00304599" w:rsidRDefault="00460695" w:rsidP="00DB4983">
      <w:pPr>
        <w:spacing w:line="276" w:lineRule="auto"/>
        <w:ind w:left="709" w:hanging="709"/>
        <w:jc w:val="both"/>
        <w:rPr>
          <w:rFonts w:ascii="Arial" w:hAnsi="Arial" w:cs="Arial"/>
          <w:bCs/>
          <w:sz w:val="22"/>
          <w:lang w:val="es-CO" w:eastAsia="es-ES_tradnl"/>
        </w:rPr>
      </w:pPr>
    </w:p>
    <w:p w14:paraId="0ADA7C64" w14:textId="463DF011" w:rsidR="00460695" w:rsidRPr="00304599" w:rsidRDefault="00460695" w:rsidP="000921DA">
      <w:pPr>
        <w:spacing w:line="276" w:lineRule="auto"/>
        <w:ind w:firstLine="708"/>
        <w:jc w:val="both"/>
        <w:rPr>
          <w:rFonts w:ascii="Arial" w:eastAsia="Calibri" w:hAnsi="Arial" w:cs="Arial"/>
          <w:color w:val="000000"/>
          <w:sz w:val="22"/>
          <w:lang w:eastAsia="es-ES_tradnl"/>
        </w:rPr>
      </w:pPr>
      <w:bookmarkStart w:id="4" w:name="_Hlk117604847"/>
      <w:r w:rsidRPr="00304599">
        <w:rPr>
          <w:rFonts w:ascii="Arial" w:hAnsi="Arial" w:cs="Arial"/>
          <w:sz w:val="22"/>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04599">
        <w:rPr>
          <w:rFonts w:ascii="Arial" w:hAnsi="Arial" w:cs="Arial"/>
          <w:sz w:val="22"/>
          <w:vertAlign w:val="superscript"/>
          <w:lang w:val="es-ES" w:eastAsia="es-ES_tradnl"/>
        </w:rPr>
        <w:footnoteReference w:id="3"/>
      </w:r>
      <w:r w:rsidRPr="00304599">
        <w:rPr>
          <w:rFonts w:ascii="Arial" w:hAnsi="Arial" w:cs="Arial"/>
          <w:sz w:val="22"/>
          <w:lang w:val="es-ES" w:eastAsia="es-ES_tradnl"/>
        </w:rPr>
        <w:t>. Esta competencia de interpretación de normas generales, por definición, no puede extenderse a la resolución de controversias, ni a brindar asesorías sobre casos puntuales</w:t>
      </w:r>
      <w:bookmarkEnd w:id="3"/>
      <w:r w:rsidRPr="00304599">
        <w:rPr>
          <w:rFonts w:ascii="Arial" w:hAnsi="Arial" w:cs="Arial"/>
          <w:sz w:val="22"/>
          <w:lang w:val="es-ES" w:eastAsia="es-ES_tradnl"/>
        </w:rPr>
        <w:t>.</w:t>
      </w:r>
      <w:bookmarkEnd w:id="1"/>
      <w:bookmarkEnd w:id="2"/>
      <w:r w:rsidRPr="00304599">
        <w:rPr>
          <w:rFonts w:ascii="Arial" w:hAnsi="Arial" w:cs="Arial"/>
          <w:sz w:val="22"/>
          <w:lang w:val="es-ES" w:eastAsia="es-ES_tradnl"/>
        </w:rPr>
        <w:t xml:space="preserve"> </w:t>
      </w:r>
      <w:r w:rsidRPr="00304599">
        <w:rPr>
          <w:rFonts w:ascii="Arial" w:eastAsia="Calibri" w:hAnsi="Arial" w:cs="Arial"/>
          <w:color w:val="000000"/>
          <w:sz w:val="22"/>
          <w:lang w:val="es-CO" w:eastAsia="es-ES_tradnl"/>
        </w:rPr>
        <w:t xml:space="preserve">De esta manera, </w:t>
      </w:r>
      <w:r w:rsidRPr="00304599">
        <w:rPr>
          <w:rFonts w:ascii="Arial" w:eastAsia="Calibri" w:hAnsi="Arial" w:cs="Arial"/>
          <w:color w:val="000000"/>
          <w:sz w:val="22"/>
          <w:lang w:val="es-ES" w:eastAsia="es-ES_tradnl"/>
        </w:rPr>
        <w:t>la Subdirección resolverá la consulta conforme a las normas generales en materia de contratación estatal</w:t>
      </w:r>
      <w:bookmarkEnd w:id="4"/>
      <w:r w:rsidRPr="00304599">
        <w:rPr>
          <w:rFonts w:ascii="Arial" w:eastAsia="Calibri" w:hAnsi="Arial" w:cs="Arial"/>
          <w:color w:val="000000"/>
          <w:sz w:val="22"/>
          <w:lang w:val="es-ES" w:eastAsia="es-ES_tradnl"/>
        </w:rPr>
        <w:t xml:space="preserve">, para lo </w:t>
      </w:r>
      <w:r w:rsidR="00725828" w:rsidRPr="00304599">
        <w:rPr>
          <w:rFonts w:ascii="Arial" w:eastAsia="Calibri" w:hAnsi="Arial" w:cs="Arial"/>
          <w:color w:val="000000"/>
          <w:sz w:val="22"/>
          <w:lang w:val="es-ES" w:eastAsia="es-ES_tradnl"/>
        </w:rPr>
        <w:t>cual,</w:t>
      </w:r>
      <w:r w:rsidR="00725828" w:rsidRPr="00304599">
        <w:rPr>
          <w:rFonts w:ascii="Arial" w:eastAsia="Calibri" w:hAnsi="Arial" w:cs="Arial"/>
          <w:color w:val="000000"/>
          <w:sz w:val="22"/>
          <w:lang w:val="es-MX" w:eastAsia="es-ES_tradnl"/>
        </w:rPr>
        <w:t xml:space="preserve"> –</w:t>
      </w:r>
      <w:r w:rsidRPr="00304599">
        <w:rPr>
          <w:rFonts w:ascii="Arial" w:eastAsia="Calibri" w:hAnsi="Arial" w:cs="Arial"/>
          <w:color w:val="000000"/>
          <w:sz w:val="22"/>
          <w:lang w:val="es-MX" w:eastAsia="es-ES_tradnl"/>
        </w:rPr>
        <w:t>dentro de los límites de sus atribuciones</w:t>
      </w:r>
      <w:r w:rsidRPr="00304599">
        <w:rPr>
          <w:rFonts w:ascii="Arial" w:eastAsia="Calibri" w:hAnsi="Arial" w:cs="Arial"/>
          <w:color w:val="000000"/>
          <w:sz w:val="22"/>
          <w:vertAlign w:val="superscript"/>
          <w:lang w:val="es-MX" w:eastAsia="es-ES_tradnl"/>
        </w:rPr>
        <w:footnoteReference w:id="4"/>
      </w:r>
      <w:r w:rsidRPr="00304599">
        <w:rPr>
          <w:rFonts w:ascii="Arial" w:eastAsia="Calibri" w:hAnsi="Arial" w:cs="Arial"/>
          <w:color w:val="000000"/>
          <w:sz w:val="22"/>
          <w:lang w:val="es-MX" w:eastAsia="es-ES_tradnl"/>
        </w:rPr>
        <w:t xml:space="preserve">– se </w:t>
      </w:r>
      <w:r w:rsidRPr="00304599">
        <w:rPr>
          <w:rFonts w:ascii="Arial" w:eastAsia="Calibri" w:hAnsi="Arial" w:cs="Arial"/>
          <w:color w:val="000000"/>
          <w:sz w:val="22"/>
          <w:lang w:val="es-MX" w:eastAsia="es-ES_tradnl"/>
        </w:rPr>
        <w:lastRenderedPageBreak/>
        <w:t>analizarán los siguientes temas i</w:t>
      </w:r>
      <w:r w:rsidRPr="00304599">
        <w:rPr>
          <w:rFonts w:ascii="Arial" w:eastAsia="Calibri" w:hAnsi="Arial" w:cs="Arial"/>
          <w:color w:val="000000"/>
          <w:sz w:val="22"/>
          <w:lang w:eastAsia="es-ES_tradnl"/>
        </w:rPr>
        <w:t xml:space="preserve">) ámbito de aplicación y obligatoriedad de los documentos tipo; </w:t>
      </w:r>
      <w:proofErr w:type="spellStart"/>
      <w:r w:rsidRPr="00304599">
        <w:rPr>
          <w:rFonts w:ascii="Arial" w:eastAsia="Calibri" w:hAnsi="Arial" w:cs="Arial"/>
          <w:color w:val="000000"/>
          <w:sz w:val="22"/>
          <w:lang w:eastAsia="es-ES_tradnl"/>
        </w:rPr>
        <w:t>ii</w:t>
      </w:r>
      <w:proofErr w:type="spellEnd"/>
      <w:r w:rsidRPr="00304599">
        <w:rPr>
          <w:rFonts w:ascii="Arial" w:eastAsia="Calibri" w:hAnsi="Arial" w:cs="Arial"/>
          <w:color w:val="000000"/>
          <w:sz w:val="22"/>
          <w:lang w:eastAsia="es-ES_tradnl"/>
        </w:rPr>
        <w:t>) inalterabilidad de los documento</w:t>
      </w:r>
      <w:r w:rsidRPr="00304599">
        <w:rPr>
          <w:rFonts w:ascii="Arial" w:eastAsia="Calibri" w:hAnsi="Arial" w:cs="Arial"/>
          <w:sz w:val="22"/>
          <w:lang w:eastAsia="es-ES_tradnl"/>
        </w:rPr>
        <w:t xml:space="preserve">s tipo; </w:t>
      </w:r>
      <w:proofErr w:type="spellStart"/>
      <w:r w:rsidRPr="00304599">
        <w:rPr>
          <w:rFonts w:ascii="Arial" w:eastAsia="Calibri" w:hAnsi="Arial" w:cs="Arial"/>
          <w:sz w:val="22"/>
          <w:lang w:eastAsia="es-ES_tradnl"/>
        </w:rPr>
        <w:t>iii</w:t>
      </w:r>
      <w:proofErr w:type="spellEnd"/>
      <w:r w:rsidRPr="00304599">
        <w:rPr>
          <w:rFonts w:ascii="Arial" w:eastAsia="Calibri" w:hAnsi="Arial" w:cs="Arial"/>
          <w:sz w:val="22"/>
          <w:lang w:eastAsia="es-ES_tradnl"/>
        </w:rPr>
        <w:t xml:space="preserve">) inconsistencias documentos tipo; </w:t>
      </w:r>
      <w:proofErr w:type="spellStart"/>
      <w:r w:rsidRPr="00304599">
        <w:rPr>
          <w:rFonts w:ascii="Arial" w:eastAsia="Calibri" w:hAnsi="Arial" w:cs="Arial"/>
          <w:sz w:val="22"/>
          <w:lang w:eastAsia="es-ES_tradnl"/>
        </w:rPr>
        <w:t>iv</w:t>
      </w:r>
      <w:proofErr w:type="spellEnd"/>
      <w:r w:rsidRPr="00304599">
        <w:rPr>
          <w:rFonts w:ascii="Arial" w:eastAsia="Calibri" w:hAnsi="Arial" w:cs="Arial"/>
          <w:sz w:val="22"/>
          <w:lang w:eastAsia="es-ES_tradnl"/>
        </w:rPr>
        <w:t xml:space="preserve">) revocatoria directa del acto de apertura; v) declaratoria de desierta de los procesos de selección;  </w:t>
      </w:r>
    </w:p>
    <w:p w14:paraId="7AE2AFE3" w14:textId="77777777" w:rsidR="00460695" w:rsidRPr="00304599" w:rsidRDefault="00460695" w:rsidP="00460695">
      <w:pPr>
        <w:spacing w:line="276" w:lineRule="auto"/>
        <w:ind w:firstLine="708"/>
        <w:jc w:val="both"/>
        <w:rPr>
          <w:rFonts w:ascii="Arial" w:eastAsia="Calibri" w:hAnsi="Arial" w:cs="Arial"/>
          <w:color w:val="000000"/>
          <w:sz w:val="22"/>
          <w:lang w:val="es-ES" w:eastAsia="es-ES_tradnl"/>
        </w:rPr>
      </w:pPr>
    </w:p>
    <w:p w14:paraId="65829412" w14:textId="77777777" w:rsidR="00460695" w:rsidRPr="00304599" w:rsidRDefault="00460695" w:rsidP="00460695">
      <w:pPr>
        <w:spacing w:line="276" w:lineRule="auto"/>
        <w:ind w:firstLine="708"/>
        <w:jc w:val="both"/>
        <w:rPr>
          <w:rFonts w:ascii="Arial" w:eastAsia="Calibri" w:hAnsi="Arial" w:cs="Arial"/>
          <w:bCs/>
          <w:color w:val="000000"/>
          <w:sz w:val="22"/>
          <w:szCs w:val="22"/>
          <w:lang w:val="es-ES" w:eastAsia="en-US"/>
        </w:rPr>
      </w:pPr>
      <w:r w:rsidRPr="00304599">
        <w:rPr>
          <w:rFonts w:ascii="Arial" w:eastAsia="Calibri" w:hAnsi="Arial" w:cs="Arial"/>
          <w:color w:val="000000"/>
          <w:sz w:val="22"/>
          <w:lang w:eastAsia="es-ES_tradnl"/>
        </w:rPr>
        <w:t xml:space="preserve">La Agencia Nacional de Contratación Pública – Colombia Compra Eficiente ha estudiado 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 C-370 del 28 de julio de 2021,  C-380 del 29 de julio de 2021 y C-493 del 14 de septiembre de 2021, entre otros. </w:t>
      </w:r>
      <w:r w:rsidRPr="00304599">
        <w:rPr>
          <w:rFonts w:ascii="Arial" w:eastAsia="Calibri" w:hAnsi="Arial" w:cs="Arial"/>
          <w:bCs/>
          <w:color w:val="000000"/>
          <w:sz w:val="22"/>
          <w:szCs w:val="22"/>
          <w:lang w:val="es-ES" w:eastAsia="en-US"/>
        </w:rPr>
        <w:t>Asimismo, en los conceptos C-306 del 4 de junio de 2020 y C-303 del 15 de junio de 2021 y C-030 de 022 se pronunció sobre el tratamiento que debe dársele a los documentos electrónicos y manuscritos cuando la información contenida en estos es diferente. De otra parte, en el Concepto C – 524 de 2020 se pronuncio acerca de la revocatoria directa de los actos administrativos de carácter particular. La tesis y argumentos expuestos en dicho concepto se reiteran a continuación y se complementan en lo pertinente.</w:t>
      </w:r>
    </w:p>
    <w:p w14:paraId="5D775313" w14:textId="77777777" w:rsidR="00460695" w:rsidRPr="00304599" w:rsidRDefault="00460695" w:rsidP="00460695">
      <w:pPr>
        <w:spacing w:line="276" w:lineRule="auto"/>
        <w:ind w:firstLine="708"/>
        <w:jc w:val="both"/>
        <w:rPr>
          <w:rFonts w:ascii="Arial" w:eastAsia="Calibri" w:hAnsi="Arial" w:cs="Arial"/>
          <w:bCs/>
          <w:color w:val="000000"/>
          <w:sz w:val="22"/>
          <w:szCs w:val="22"/>
          <w:lang w:val="es-ES" w:eastAsia="en-US"/>
        </w:rPr>
      </w:pPr>
    </w:p>
    <w:p w14:paraId="45BAE641" w14:textId="77777777" w:rsidR="00460695" w:rsidRPr="00304599" w:rsidRDefault="00460695" w:rsidP="00460695">
      <w:pPr>
        <w:spacing w:line="276" w:lineRule="auto"/>
        <w:jc w:val="both"/>
        <w:rPr>
          <w:rFonts w:ascii="Arial" w:eastAsia="Calibri" w:hAnsi="Arial" w:cs="Arial"/>
          <w:b/>
          <w:sz w:val="22"/>
          <w:lang w:val="es-MX" w:eastAsia="es-ES_tradnl"/>
        </w:rPr>
      </w:pPr>
      <w:r w:rsidRPr="00304599">
        <w:rPr>
          <w:rFonts w:ascii="Arial" w:eastAsia="Calibri" w:hAnsi="Arial" w:cs="Arial"/>
          <w:b/>
          <w:sz w:val="22"/>
          <w:lang w:val="es-MX" w:eastAsia="es-ES_tradnl"/>
        </w:rPr>
        <w:t xml:space="preserve">2.1. Ámbito de aplicación y obligatoriedad de los Documentos Tipo </w:t>
      </w:r>
    </w:p>
    <w:p w14:paraId="2E202A19" w14:textId="77777777" w:rsidR="00460695" w:rsidRPr="00304599" w:rsidRDefault="00460695" w:rsidP="00460695">
      <w:pPr>
        <w:shd w:val="clear" w:color="auto" w:fill="FFFFFF"/>
        <w:spacing w:line="276" w:lineRule="auto"/>
        <w:jc w:val="both"/>
        <w:rPr>
          <w:rFonts w:ascii="Arial" w:eastAsia="Calibri" w:hAnsi="Arial" w:cs="Arial"/>
          <w:color w:val="0D0D0D"/>
          <w:sz w:val="22"/>
          <w:bdr w:val="none" w:sz="0" w:space="0" w:color="auto" w:frame="1"/>
          <w:lang w:val="es-MX" w:eastAsia="es-CO"/>
        </w:rPr>
      </w:pPr>
    </w:p>
    <w:p w14:paraId="22FBDCCC" w14:textId="77777777" w:rsidR="00460695" w:rsidRPr="00304599" w:rsidRDefault="00460695" w:rsidP="00460695">
      <w:pPr>
        <w:shd w:val="clear" w:color="auto" w:fill="FFFFFF"/>
        <w:spacing w:line="276" w:lineRule="auto"/>
        <w:jc w:val="both"/>
        <w:rPr>
          <w:rFonts w:ascii="Arial" w:eastAsia="Calibri" w:hAnsi="Arial" w:cs="Arial"/>
          <w:color w:val="0D0D0D"/>
          <w:sz w:val="22"/>
          <w:bdr w:val="none" w:sz="0" w:space="0" w:color="auto" w:frame="1"/>
          <w:lang w:val="es-MX" w:eastAsia="es-CO"/>
        </w:rPr>
      </w:pPr>
      <w:r w:rsidRPr="00304599">
        <w:rPr>
          <w:rFonts w:ascii="Arial" w:eastAsia="Calibri" w:hAnsi="Arial" w:cs="Arial"/>
          <w:color w:val="0D0D0D"/>
          <w:sz w:val="22"/>
          <w:bdr w:val="none" w:sz="0" w:space="0" w:color="auto" w:frame="1"/>
          <w:lang w:val="es-MX" w:eastAsia="es-CO"/>
        </w:rPr>
        <w:t>Los pliegos tipo surgen en el año 2007 cuando el legislador facultó al Gobierno Nacional para adoptarlos en la compra o suministro de bienes y servicios de características técnicas uniformes</w:t>
      </w:r>
      <w:r w:rsidRPr="00304599">
        <w:rPr>
          <w:rFonts w:ascii="Arial" w:eastAsia="Calibri" w:hAnsi="Arial" w:cs="Arial"/>
          <w:color w:val="0D0D0D"/>
          <w:sz w:val="22"/>
          <w:bdr w:val="none" w:sz="0" w:space="0" w:color="auto" w:frame="1"/>
          <w:vertAlign w:val="superscript"/>
          <w:lang w:val="es-MX" w:eastAsia="es-CO"/>
        </w:rPr>
        <w:footnoteReference w:id="5"/>
      </w:r>
      <w:r w:rsidRPr="00304599">
        <w:rPr>
          <w:rFonts w:ascii="Arial" w:eastAsia="Calibri" w:hAnsi="Arial" w:cs="Arial"/>
          <w:color w:val="0D0D0D"/>
          <w:sz w:val="22"/>
          <w:bdr w:val="none" w:sz="0" w:space="0" w:color="auto" w:frame="1"/>
          <w:lang w:val="es-MX"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304599">
        <w:rPr>
          <w:rFonts w:ascii="Arial" w:eastAsia="Calibri" w:hAnsi="Arial" w:cs="Arial"/>
          <w:color w:val="0D0D0D"/>
          <w:sz w:val="22"/>
          <w:bdr w:val="none" w:sz="0" w:space="0" w:color="auto" w:frame="1"/>
          <w:vertAlign w:val="superscript"/>
          <w:lang w:val="es-MX" w:eastAsia="es-CO"/>
        </w:rPr>
        <w:footnoteReference w:id="6"/>
      </w:r>
      <w:r w:rsidRPr="00304599">
        <w:rPr>
          <w:rFonts w:ascii="Arial" w:eastAsia="Calibri" w:hAnsi="Arial" w:cs="Arial"/>
          <w:color w:val="0D0D0D"/>
          <w:sz w:val="22"/>
          <w:bdr w:val="none" w:sz="0" w:space="0" w:color="auto" w:frame="1"/>
          <w:lang w:val="es-MX" w:eastAsia="es-CO"/>
        </w:rPr>
        <w:t>. </w:t>
      </w:r>
    </w:p>
    <w:p w14:paraId="33523E2D" w14:textId="77777777" w:rsidR="00460695" w:rsidRPr="00304599" w:rsidRDefault="00460695" w:rsidP="00460695">
      <w:pPr>
        <w:shd w:val="clear" w:color="auto" w:fill="FFFFFF"/>
        <w:spacing w:line="276" w:lineRule="auto"/>
        <w:jc w:val="both"/>
        <w:rPr>
          <w:rFonts w:ascii="Arial" w:eastAsia="Calibri" w:hAnsi="Arial" w:cs="Arial"/>
          <w:color w:val="0D0D0D"/>
          <w:sz w:val="22"/>
          <w:bdr w:val="none" w:sz="0" w:space="0" w:color="auto" w:frame="1"/>
          <w:lang w:val="es-MX" w:eastAsia="es-CO"/>
        </w:rPr>
      </w:pPr>
    </w:p>
    <w:p w14:paraId="7528036F" w14:textId="77777777" w:rsidR="00460695" w:rsidRPr="00304599" w:rsidRDefault="00460695" w:rsidP="00460695">
      <w:pPr>
        <w:shd w:val="clear" w:color="auto" w:fill="FFFFFF"/>
        <w:spacing w:line="276" w:lineRule="auto"/>
        <w:ind w:firstLine="708"/>
        <w:jc w:val="both"/>
        <w:rPr>
          <w:rFonts w:ascii="Arial" w:eastAsia="Calibri" w:hAnsi="Arial" w:cs="Arial"/>
          <w:color w:val="0D0D0D"/>
          <w:sz w:val="22"/>
          <w:bdr w:val="none" w:sz="0" w:space="0" w:color="auto" w:frame="1"/>
          <w:lang w:val="es-MX" w:eastAsia="es-CO"/>
        </w:rPr>
      </w:pPr>
      <w:r w:rsidRPr="00304599">
        <w:rPr>
          <w:rFonts w:ascii="Arial" w:eastAsia="Calibri" w:hAnsi="Arial" w:cs="Arial"/>
          <w:color w:val="0D0D0D"/>
          <w:sz w:val="22"/>
          <w:bdr w:val="none" w:sz="0" w:space="0" w:color="auto" w:frame="1"/>
          <w:lang w:val="es-MX" w:eastAsia="es-CO"/>
        </w:rPr>
        <w:lastRenderedPageBreak/>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304599">
        <w:rPr>
          <w:rFonts w:ascii="Arial" w:eastAsia="Calibri" w:hAnsi="Arial" w:cs="Arial"/>
          <w:color w:val="0D0D0D"/>
          <w:sz w:val="22"/>
          <w:bdr w:val="none" w:sz="0" w:space="0" w:color="auto" w:frame="1"/>
          <w:vertAlign w:val="superscript"/>
          <w:lang w:val="es-MX" w:eastAsia="es-CO"/>
        </w:rPr>
        <w:footnoteReference w:id="7"/>
      </w:r>
      <w:r w:rsidRPr="00304599">
        <w:rPr>
          <w:rFonts w:ascii="Arial" w:eastAsia="Calibri" w:hAnsi="Arial" w:cs="Arial"/>
          <w:color w:val="0D0D0D"/>
          <w:sz w:val="22"/>
          <w:bdr w:val="none" w:sz="0" w:space="0" w:color="auto" w:frame="1"/>
          <w:lang w:val="es-MX" w:eastAsia="es-CO"/>
        </w:rPr>
        <w:t>. Sin embargo, en el texto aprobado, los pliegos tipo se limitaron a la adquisición o suministro de bienes de características técnicas uniformes</w:t>
      </w:r>
      <w:r w:rsidRPr="00304599">
        <w:rPr>
          <w:rFonts w:ascii="Arial" w:eastAsia="Calibri" w:hAnsi="Arial" w:cs="Arial"/>
          <w:color w:val="0D0D0D"/>
          <w:sz w:val="22"/>
          <w:bdr w:val="none" w:sz="0" w:space="0" w:color="auto" w:frame="1"/>
          <w:vertAlign w:val="superscript"/>
          <w:lang w:val="es-MX" w:eastAsia="es-CO"/>
        </w:rPr>
        <w:footnoteReference w:id="8"/>
      </w:r>
      <w:r w:rsidRPr="00304599">
        <w:rPr>
          <w:rFonts w:ascii="Arial" w:eastAsia="Calibri" w:hAnsi="Arial" w:cs="Arial"/>
          <w:color w:val="0D0D0D"/>
          <w:sz w:val="22"/>
          <w:bdr w:val="none" w:sz="0" w:space="0" w:color="auto" w:frame="1"/>
          <w:lang w:val="es-MX" w:eastAsia="es-CO"/>
        </w:rPr>
        <w:t>. </w:t>
      </w:r>
    </w:p>
    <w:p w14:paraId="1B18B748" w14:textId="77777777" w:rsidR="00460695" w:rsidRPr="00304599" w:rsidRDefault="00460695" w:rsidP="00460695">
      <w:pPr>
        <w:shd w:val="clear" w:color="auto" w:fill="FFFFFF"/>
        <w:spacing w:line="276" w:lineRule="auto"/>
        <w:ind w:firstLine="708"/>
        <w:jc w:val="both"/>
        <w:rPr>
          <w:rFonts w:ascii="Arial" w:eastAsia="Calibri" w:hAnsi="Arial" w:cs="Arial"/>
          <w:color w:val="0D0D0D"/>
          <w:sz w:val="22"/>
          <w:bdr w:val="none" w:sz="0" w:space="0" w:color="auto" w:frame="1"/>
          <w:lang w:val="es-MX" w:eastAsia="es-CO"/>
        </w:rPr>
      </w:pPr>
    </w:p>
    <w:p w14:paraId="1E3C05AC" w14:textId="77777777" w:rsidR="00460695" w:rsidRPr="00304599" w:rsidRDefault="00460695" w:rsidP="00460695">
      <w:pPr>
        <w:shd w:val="clear" w:color="auto" w:fill="FFFFFF"/>
        <w:spacing w:line="276" w:lineRule="auto"/>
        <w:ind w:firstLine="709"/>
        <w:jc w:val="both"/>
        <w:rPr>
          <w:rFonts w:ascii="Arial" w:eastAsia="Calibri" w:hAnsi="Arial" w:cs="Arial"/>
          <w:color w:val="0D0D0D"/>
          <w:sz w:val="22"/>
          <w:bdr w:val="none" w:sz="0" w:space="0" w:color="auto" w:frame="1"/>
          <w:lang w:val="es-MX" w:eastAsia="es-CO"/>
        </w:rPr>
      </w:pPr>
      <w:r w:rsidRPr="00304599">
        <w:rPr>
          <w:rFonts w:ascii="Arial" w:eastAsia="Calibri" w:hAnsi="Arial" w:cs="Arial"/>
          <w:color w:val="0D0D0D"/>
          <w:sz w:val="22"/>
          <w:bdr w:val="none" w:sz="0" w:space="0" w:color="auto" w:frame="1"/>
          <w:lang w:val="es-MX" w:eastAsia="es-CO"/>
        </w:rPr>
        <w:t>Posteriormente, la Ley 1882 de 2018 en el artículo 4, adiciona el parágrafo 7º al artículo 2 de la Ley 1150 de 2007, y establece la obligatoriedad de la adopción de documentos tipo para algunos contratos, en los siguientes términos: </w:t>
      </w:r>
    </w:p>
    <w:p w14:paraId="7FB25A04" w14:textId="77777777" w:rsidR="00460695" w:rsidRPr="00304599" w:rsidRDefault="00460695" w:rsidP="00460695">
      <w:pPr>
        <w:shd w:val="clear" w:color="auto" w:fill="FFFFFF"/>
        <w:spacing w:line="276" w:lineRule="auto"/>
        <w:ind w:left="709" w:right="709"/>
        <w:jc w:val="both"/>
        <w:rPr>
          <w:rFonts w:ascii="Arial" w:eastAsia="Calibri" w:hAnsi="Arial" w:cs="Arial"/>
          <w:color w:val="0D0D0D"/>
          <w:sz w:val="21"/>
          <w:szCs w:val="21"/>
          <w:bdr w:val="none" w:sz="0" w:space="0" w:color="auto" w:frame="1"/>
          <w:lang w:val="es-MX" w:eastAsia="es-CO"/>
        </w:rPr>
      </w:pPr>
    </w:p>
    <w:p w14:paraId="7834570B" w14:textId="512FA02B" w:rsidR="00460695" w:rsidRPr="00304599" w:rsidRDefault="00460695" w:rsidP="00460695">
      <w:pPr>
        <w:shd w:val="clear" w:color="auto" w:fill="FFFFFF"/>
        <w:spacing w:line="276" w:lineRule="auto"/>
        <w:ind w:left="709" w:right="709"/>
        <w:jc w:val="both"/>
        <w:rPr>
          <w:rFonts w:ascii="Arial" w:eastAsia="Calibri" w:hAnsi="Arial" w:cs="Arial"/>
          <w:color w:val="0D0D0D"/>
          <w:sz w:val="21"/>
          <w:szCs w:val="21"/>
          <w:bdr w:val="none" w:sz="0" w:space="0" w:color="auto" w:frame="1"/>
          <w:lang w:val="es-MX" w:eastAsia="es-CO"/>
        </w:rPr>
      </w:pPr>
      <w:r w:rsidRPr="00304599">
        <w:rPr>
          <w:rFonts w:ascii="Arial" w:eastAsia="Calibri" w:hAnsi="Arial" w:cs="Arial"/>
          <w:color w:val="0D0D0D"/>
          <w:sz w:val="21"/>
          <w:szCs w:val="21"/>
          <w:bdr w:val="none" w:sz="0" w:space="0" w:color="auto" w:frame="1"/>
          <w:lang w:val="es-MX"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DB4983">
        <w:rPr>
          <w:rFonts w:ascii="Arial" w:eastAsia="Calibri" w:hAnsi="Arial" w:cs="Arial"/>
          <w:color w:val="0D0D0D"/>
          <w:sz w:val="21"/>
          <w:szCs w:val="21"/>
          <w:bdr w:val="none" w:sz="0" w:space="0" w:color="auto" w:frame="1"/>
          <w:lang w:val="es-MX"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304599">
        <w:rPr>
          <w:rFonts w:ascii="Arial" w:eastAsia="Calibri" w:hAnsi="Arial" w:cs="Arial"/>
          <w:color w:val="0D0D0D"/>
          <w:sz w:val="21"/>
          <w:szCs w:val="21"/>
          <w:bdr w:val="none" w:sz="0" w:space="0" w:color="auto" w:frame="1"/>
          <w:lang w:val="es-MX" w:eastAsia="es-CO"/>
        </w:rPr>
        <w:t> […] </w:t>
      </w:r>
      <w:r w:rsidRPr="00DB4983">
        <w:rPr>
          <w:rFonts w:ascii="Arial" w:eastAsia="Calibri" w:hAnsi="Arial" w:cs="Arial"/>
          <w:color w:val="0D0D0D"/>
          <w:sz w:val="21"/>
          <w:szCs w:val="21"/>
          <w:bdr w:val="none" w:sz="0" w:space="0" w:color="auto" w:frame="1"/>
          <w:lang w:val="es-MX" w:eastAsia="es-CO"/>
        </w:rPr>
        <w:t>teniendo en cuenta la naturaleza y cuantía de los contratos</w:t>
      </w:r>
      <w:r w:rsidRPr="00304599">
        <w:rPr>
          <w:rFonts w:ascii="Arial" w:eastAsia="Calibri" w:hAnsi="Arial" w:cs="Arial"/>
          <w:color w:val="0D0D0D"/>
          <w:sz w:val="21"/>
          <w:szCs w:val="21"/>
          <w:bdr w:val="none" w:sz="0" w:space="0" w:color="auto" w:frame="1"/>
          <w:lang w:val="es-MX" w:eastAsia="es-CO"/>
        </w:rPr>
        <w:t> […].</w:t>
      </w:r>
    </w:p>
    <w:p w14:paraId="0AFC2A20" w14:textId="77777777" w:rsidR="00460695" w:rsidRPr="00304599" w:rsidRDefault="00460695" w:rsidP="00460695">
      <w:pPr>
        <w:spacing w:line="276" w:lineRule="auto"/>
        <w:jc w:val="both"/>
        <w:rPr>
          <w:rFonts w:ascii="Arial" w:eastAsia="Calibri" w:hAnsi="Arial" w:cs="Arial"/>
          <w:sz w:val="22"/>
          <w:lang w:val="es-ES" w:eastAsia="es-ES_tradnl"/>
        </w:rPr>
      </w:pPr>
      <w:r w:rsidRPr="00304599">
        <w:rPr>
          <w:rFonts w:ascii="Arial" w:eastAsia="Calibri" w:hAnsi="Arial" w:cs="Arial"/>
          <w:sz w:val="22"/>
          <w:lang w:val="es-ES" w:eastAsia="es-ES_tradnl"/>
        </w:rPr>
        <w:tab/>
      </w:r>
    </w:p>
    <w:p w14:paraId="06E8BB1C" w14:textId="77777777" w:rsidR="00460695" w:rsidRPr="00304599" w:rsidRDefault="00460695" w:rsidP="00460695">
      <w:pPr>
        <w:spacing w:line="276" w:lineRule="auto"/>
        <w:ind w:firstLine="709"/>
        <w:jc w:val="both"/>
        <w:rPr>
          <w:rFonts w:ascii="Arial" w:eastAsia="Calibri" w:hAnsi="Arial" w:cs="Arial"/>
          <w:color w:val="0D0D0D"/>
          <w:sz w:val="22"/>
          <w:lang w:val="es-ES" w:eastAsia="es-ES_tradnl"/>
        </w:rPr>
      </w:pPr>
      <w:r w:rsidRPr="00304599">
        <w:rPr>
          <w:rFonts w:ascii="Arial" w:eastAsia="Calibri" w:hAnsi="Arial" w:cs="Arial"/>
          <w:sz w:val="22"/>
          <w:lang w:val="es-ES" w:eastAsia="es-ES_tradnl"/>
        </w:rPr>
        <w:t>La redacción original del artículo 4 de la Ley 1882 de 2018 establecía que al Gobierno Nacional le correspondía adoptar los documentos tipo, pero p</w:t>
      </w:r>
      <w:r w:rsidRPr="00304599">
        <w:rPr>
          <w:rFonts w:ascii="Arial" w:eastAsia="Calibri" w:hAnsi="Arial" w:cs="Arial"/>
          <w:color w:val="0D0D0D"/>
          <w:sz w:val="22"/>
          <w:lang w:val="es-ES" w:eastAsia="es-ES_tradnl"/>
        </w:rPr>
        <w:t xml:space="preserve">osteriormente, la Ley 2022 de del 22 de julio de 2020 otorgó esta competencia a la Agencia Nacional de Contratación Pública – Colombia Compra Eficiente.  Así, el artículo 1 de esta Ley modificó el artículo 4 de la Ley 1882 de 2018 en relación con: i) el sujeto encargado de la adopción de los documentos tipo. Esto, ya que, como se mencionó, la competencia había sido otorgada al Gobierno Nacional, pero ahora la entidad encargada directamente por la ley es la Agencia Nacional de Contratación Pública – Colombia Compra Eficiente, o quien haga sus veces; </w:t>
      </w:r>
      <w:proofErr w:type="spellStart"/>
      <w:r w:rsidRPr="00304599">
        <w:rPr>
          <w:rFonts w:ascii="Arial" w:eastAsia="Calibri" w:hAnsi="Arial" w:cs="Arial"/>
          <w:color w:val="0D0D0D"/>
          <w:sz w:val="22"/>
          <w:lang w:val="es-ES" w:eastAsia="es-ES_tradnl"/>
        </w:rPr>
        <w:t>ii</w:t>
      </w:r>
      <w:proofErr w:type="spellEnd"/>
      <w:r w:rsidRPr="00304599">
        <w:rPr>
          <w:rFonts w:ascii="Arial" w:eastAsia="Calibri" w:hAnsi="Arial" w:cs="Arial"/>
          <w:color w:val="0D0D0D"/>
          <w:sz w:val="22"/>
          <w:lang w:val="es-ES" w:eastAsia="es-ES_tradnl"/>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304599">
        <w:rPr>
          <w:rFonts w:ascii="Arial" w:eastAsia="Calibri" w:hAnsi="Arial" w:cs="Arial"/>
          <w:color w:val="0D0D0D"/>
          <w:sz w:val="22"/>
          <w:lang w:val="es-ES" w:eastAsia="es-ES_tradnl"/>
        </w:rPr>
        <w:t>iii</w:t>
      </w:r>
      <w:proofErr w:type="spellEnd"/>
      <w:r w:rsidRPr="00304599">
        <w:rPr>
          <w:rFonts w:ascii="Arial" w:eastAsia="Calibri" w:hAnsi="Arial" w:cs="Arial"/>
          <w:color w:val="0D0D0D"/>
          <w:sz w:val="22"/>
          <w:lang w:val="es-ES" w:eastAsia="es-ES_tradnl"/>
        </w:rPr>
        <w:t xml:space="preserve">) la implementación </w:t>
      </w:r>
      <w:r w:rsidRPr="00304599">
        <w:rPr>
          <w:rFonts w:ascii="Arial" w:eastAsia="Calibri" w:hAnsi="Arial" w:cs="Arial"/>
          <w:color w:val="0D0D0D"/>
          <w:sz w:val="22"/>
          <w:lang w:val="es-ES" w:eastAsia="es-ES_tradnl"/>
        </w:rPr>
        <w:lastRenderedPageBreak/>
        <w:t xml:space="preserve">de procesos de capacitación en los municipios para la utilización de los documentos tipo buscando el desarrollo de la economía local; y </w:t>
      </w:r>
      <w:proofErr w:type="spellStart"/>
      <w:r w:rsidRPr="00304599">
        <w:rPr>
          <w:rFonts w:ascii="Arial" w:eastAsia="Calibri" w:hAnsi="Arial" w:cs="Arial"/>
          <w:color w:val="0D0D0D"/>
          <w:sz w:val="22"/>
          <w:lang w:val="es-ES" w:eastAsia="es-ES_tradnl"/>
        </w:rPr>
        <w:t>iv</w:t>
      </w:r>
      <w:proofErr w:type="spellEnd"/>
      <w:r w:rsidRPr="00304599">
        <w:rPr>
          <w:rFonts w:ascii="Arial" w:eastAsia="Calibri" w:hAnsi="Arial" w:cs="Arial"/>
          <w:color w:val="0D0D0D"/>
          <w:sz w:val="22"/>
          <w:lang w:val="es-ES" w:eastAsia="es-ES_tradnl"/>
        </w:rPr>
        <w:t>) la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304599">
        <w:rPr>
          <w:rFonts w:ascii="Arial" w:eastAsia="Calibri" w:hAnsi="Arial" w:cs="Arial"/>
          <w:color w:val="0D0D0D"/>
          <w:sz w:val="22"/>
          <w:vertAlign w:val="superscript"/>
          <w:lang w:val="es-ES" w:eastAsia="es-ES_tradnl"/>
        </w:rPr>
        <w:footnoteReference w:id="9"/>
      </w:r>
      <w:r w:rsidRPr="00304599">
        <w:rPr>
          <w:rFonts w:ascii="Arial" w:eastAsia="Calibri" w:hAnsi="Arial" w:cs="Arial"/>
          <w:color w:val="0D0D0D"/>
          <w:sz w:val="22"/>
          <w:lang w:val="es-ES" w:eastAsia="es-ES_tradnl"/>
        </w:rPr>
        <w:t xml:space="preserve">. </w:t>
      </w:r>
    </w:p>
    <w:p w14:paraId="295EDE77" w14:textId="77777777" w:rsidR="00460695" w:rsidRPr="00304599" w:rsidRDefault="00460695" w:rsidP="00460695">
      <w:pPr>
        <w:spacing w:line="276" w:lineRule="auto"/>
        <w:ind w:firstLine="708"/>
        <w:jc w:val="both"/>
        <w:rPr>
          <w:rFonts w:ascii="Arial" w:eastAsia="Calibri" w:hAnsi="Arial" w:cs="Arial"/>
          <w:sz w:val="22"/>
          <w:lang w:val="es-MX" w:eastAsia="es-ES_tradnl"/>
        </w:rPr>
      </w:pPr>
    </w:p>
    <w:p w14:paraId="37894509" w14:textId="77777777" w:rsidR="00460695" w:rsidRPr="00304599" w:rsidRDefault="00460695" w:rsidP="00460695">
      <w:pPr>
        <w:spacing w:line="276" w:lineRule="auto"/>
        <w:ind w:firstLine="708"/>
        <w:jc w:val="both"/>
        <w:rPr>
          <w:rFonts w:ascii="Arial" w:eastAsia="Calibri" w:hAnsi="Arial" w:cs="Arial"/>
          <w:sz w:val="22"/>
          <w:lang w:val="es-MX" w:eastAsia="es-ES_tradnl"/>
        </w:rPr>
      </w:pPr>
      <w:r w:rsidRPr="00304599">
        <w:rPr>
          <w:rFonts w:ascii="Arial" w:eastAsia="Calibri" w:hAnsi="Arial" w:cs="Arial"/>
          <w:sz w:val="22"/>
          <w:lang w:val="es-MX" w:eastAsia="es-ES_tradnl"/>
        </w:rPr>
        <w:t xml:space="preserve">Además, la Ley 2022 de 2020 señala que los documentos tipo adoptados por la Agencia Nacional de Contratación Pública son de </w:t>
      </w:r>
      <w:r w:rsidRPr="00304599">
        <w:rPr>
          <w:rFonts w:ascii="Arial" w:eastAsia="Calibri" w:hAnsi="Arial" w:cs="Arial"/>
          <w:i/>
          <w:sz w:val="22"/>
          <w:lang w:val="es-MX" w:eastAsia="es-ES_tradnl"/>
        </w:rPr>
        <w:t>obligatorio</w:t>
      </w:r>
      <w:r w:rsidRPr="00304599">
        <w:rPr>
          <w:rFonts w:ascii="Arial" w:eastAsia="Calibri" w:hAnsi="Arial" w:cs="Arial"/>
          <w:sz w:val="22"/>
          <w:lang w:val="es-MX" w:eastAsia="es-ES_tradnl"/>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también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 </w:t>
      </w:r>
    </w:p>
    <w:p w14:paraId="282A40E3" w14:textId="77777777" w:rsidR="00460695" w:rsidRPr="00304599" w:rsidRDefault="00460695" w:rsidP="00460695">
      <w:pPr>
        <w:spacing w:line="276" w:lineRule="auto"/>
        <w:ind w:firstLine="708"/>
        <w:jc w:val="both"/>
        <w:rPr>
          <w:rFonts w:ascii="Arial" w:eastAsia="Calibri" w:hAnsi="Arial" w:cs="Arial"/>
          <w:sz w:val="22"/>
          <w:lang w:val="es-MX" w:eastAsia="es-ES_tradnl"/>
        </w:rPr>
      </w:pPr>
    </w:p>
    <w:p w14:paraId="78081D67" w14:textId="77777777" w:rsidR="00460695" w:rsidRPr="00304599" w:rsidRDefault="00460695" w:rsidP="00460695">
      <w:pPr>
        <w:spacing w:line="276" w:lineRule="auto"/>
        <w:ind w:firstLine="708"/>
        <w:jc w:val="both"/>
        <w:rPr>
          <w:rFonts w:ascii="Arial" w:eastAsia="Calibri" w:hAnsi="Arial" w:cs="Arial"/>
          <w:color w:val="000000"/>
          <w:sz w:val="22"/>
          <w:lang w:eastAsia="es-ES_tradnl"/>
        </w:rPr>
      </w:pPr>
      <w:r w:rsidRPr="00304599">
        <w:rPr>
          <w:rFonts w:ascii="Arial" w:eastAsia="Calibri" w:hAnsi="Arial" w:cs="Arial"/>
          <w:color w:val="000000"/>
          <w:sz w:val="22"/>
          <w:lang w:val="es-MX" w:eastAsia="es-ES_tradnl"/>
        </w:rPr>
        <w:t>Esta es una regla que está consagrada en la</w:t>
      </w:r>
      <w:r w:rsidRPr="00304599">
        <w:rPr>
          <w:rFonts w:ascii="Arial" w:eastAsia="Calibri" w:hAnsi="Arial" w:cs="Arial"/>
          <w:color w:val="000000"/>
          <w:sz w:val="22"/>
          <w:lang w:eastAsia="es-ES_tradnl"/>
        </w:rPr>
        <w:t xml:space="preserve">s resoluciones expedidas por la Agencia Nacional de Contratación Pública – Colombia Compra Eficiente, mediante las cuales se han adoptado los distintos documentos o pliegos tipo. De tal manera, la inalterabilidad es una </w:t>
      </w:r>
      <w:r w:rsidRPr="00304599">
        <w:rPr>
          <w:rFonts w:ascii="Arial" w:eastAsia="Calibri" w:hAnsi="Arial" w:cs="Arial"/>
          <w:color w:val="000000"/>
          <w:sz w:val="22"/>
          <w:lang w:eastAsia="es-ES_tradnl"/>
        </w:rPr>
        <w:lastRenderedPageBreak/>
        <w:t xml:space="preserve">prohibición que consiste en que las entidades estatales no pueden incluir o modificar en los </w:t>
      </w:r>
      <w:r w:rsidRPr="00304599">
        <w:rPr>
          <w:rFonts w:ascii="Arial" w:eastAsia="Calibri" w:hAnsi="Arial" w:cs="Arial"/>
          <w:i/>
          <w:iCs/>
          <w:color w:val="000000"/>
          <w:sz w:val="22"/>
          <w:lang w:eastAsia="es-ES_tradnl"/>
        </w:rPr>
        <w:t>Documentos del Proceso</w:t>
      </w:r>
      <w:r w:rsidRPr="00304599">
        <w:rPr>
          <w:rFonts w:ascii="Arial" w:eastAsia="Calibri" w:hAnsi="Arial" w:cs="Arial"/>
          <w:color w:val="000000"/>
          <w:sz w:val="22"/>
          <w:lang w:eastAsia="es-ES_tradnl"/>
        </w:rPr>
        <w:t xml:space="preserve"> las condiciones habilitantes, los factores técnicos y económicos de escogencia y los sistemas de ponderación distintos a los señalados en los documentos tipo. </w:t>
      </w:r>
    </w:p>
    <w:p w14:paraId="6A5CE98F" w14:textId="77777777" w:rsidR="00460695" w:rsidRPr="00304599" w:rsidRDefault="00460695" w:rsidP="00460695">
      <w:pPr>
        <w:spacing w:line="276" w:lineRule="auto"/>
        <w:ind w:firstLine="708"/>
        <w:jc w:val="both"/>
        <w:rPr>
          <w:rFonts w:ascii="Arial" w:eastAsia="Calibri" w:hAnsi="Arial" w:cs="Arial"/>
          <w:color w:val="000000"/>
          <w:sz w:val="22"/>
          <w:lang w:eastAsia="es-ES_tradnl"/>
        </w:rPr>
      </w:pPr>
    </w:p>
    <w:p w14:paraId="0978F795" w14:textId="77777777" w:rsidR="00460695" w:rsidRPr="00304599" w:rsidRDefault="00460695" w:rsidP="00460695">
      <w:pPr>
        <w:spacing w:line="276" w:lineRule="auto"/>
        <w:jc w:val="both"/>
        <w:rPr>
          <w:rFonts w:ascii="Arial" w:eastAsia="Calibri" w:hAnsi="Arial" w:cs="Arial"/>
          <w:b/>
          <w:sz w:val="22"/>
          <w:szCs w:val="22"/>
          <w:lang w:eastAsia="en-US"/>
        </w:rPr>
      </w:pPr>
      <w:r w:rsidRPr="00304599">
        <w:rPr>
          <w:rFonts w:ascii="Arial" w:eastAsia="Calibri" w:hAnsi="Arial" w:cs="Arial"/>
          <w:b/>
          <w:bCs/>
          <w:color w:val="000000"/>
          <w:sz w:val="22"/>
          <w:lang w:val="es-MX" w:eastAsia="en-GB"/>
        </w:rPr>
        <w:t>2.2. Inalterabilidad de los documentos tipo</w:t>
      </w:r>
      <w:r w:rsidRPr="00304599">
        <w:rPr>
          <w:rFonts w:ascii="Arial" w:eastAsia="Calibri" w:hAnsi="Arial" w:cs="Arial"/>
          <w:b/>
          <w:sz w:val="22"/>
          <w:szCs w:val="22"/>
          <w:lang w:eastAsia="en-US"/>
        </w:rPr>
        <w:t xml:space="preserve"> </w:t>
      </w:r>
    </w:p>
    <w:p w14:paraId="00BEC070" w14:textId="77777777" w:rsidR="00460695" w:rsidRPr="00304599" w:rsidRDefault="00460695" w:rsidP="00460695">
      <w:pPr>
        <w:spacing w:line="276" w:lineRule="auto"/>
        <w:jc w:val="both"/>
        <w:rPr>
          <w:rFonts w:ascii="Arial" w:eastAsia="Calibri" w:hAnsi="Arial" w:cs="Arial"/>
          <w:b/>
          <w:bCs/>
          <w:color w:val="000000"/>
          <w:sz w:val="22"/>
          <w:lang w:val="es-MX" w:eastAsia="en-GB"/>
        </w:rPr>
      </w:pPr>
    </w:p>
    <w:p w14:paraId="30E929BB" w14:textId="77777777" w:rsidR="00460695" w:rsidRPr="00304599" w:rsidRDefault="00460695" w:rsidP="00460695">
      <w:pPr>
        <w:spacing w:line="276" w:lineRule="auto"/>
        <w:jc w:val="both"/>
        <w:rPr>
          <w:rFonts w:ascii="Arial" w:eastAsia="Cambria" w:hAnsi="Arial" w:cs="Arial"/>
          <w:color w:val="000000"/>
          <w:sz w:val="22"/>
          <w:szCs w:val="22"/>
          <w:lang w:eastAsia="en-US"/>
        </w:rPr>
      </w:pPr>
      <w:r w:rsidRPr="00304599">
        <w:rPr>
          <w:rFonts w:ascii="Arial" w:eastAsia="Cambria" w:hAnsi="Arial" w:cs="Arial"/>
          <w:color w:val="000000"/>
          <w:sz w:val="22"/>
          <w:szCs w:val="22"/>
          <w:lang w:eastAsia="en-US"/>
        </w:rPr>
        <w:t>Todas las resoluciones expedidas por la Agencia Nacional de Contratación Pública – Colombia Compra Eficiente, mediante las cuales se han adoptado los documentos tipo, consagran la regla de la inalterabilidad</w:t>
      </w:r>
      <w:r w:rsidRPr="00304599">
        <w:rPr>
          <w:rFonts w:ascii="Arial" w:eastAsia="Cambria" w:hAnsi="Arial" w:cs="Arial"/>
          <w:color w:val="000000"/>
          <w:sz w:val="22"/>
          <w:szCs w:val="22"/>
          <w:vertAlign w:val="superscript"/>
          <w:lang w:eastAsia="en-US"/>
        </w:rPr>
        <w:footnoteReference w:id="10"/>
      </w:r>
      <w:r w:rsidRPr="00304599">
        <w:rPr>
          <w:rFonts w:ascii="Arial" w:eastAsia="Cambria" w:hAnsi="Arial" w:cs="Arial"/>
          <w:color w:val="000000"/>
          <w:sz w:val="22"/>
          <w:szCs w:val="22"/>
          <w:lang w:eastAsia="en-US"/>
        </w:rPr>
        <w:t xml:space="preserve">. Esta prohibición consiste en que </w:t>
      </w:r>
      <w:bookmarkStart w:id="5" w:name="_Hlk79403115"/>
      <w:r w:rsidRPr="00304599">
        <w:rPr>
          <w:rFonts w:ascii="Arial" w:eastAsia="Cambria" w:hAnsi="Arial" w:cs="Arial"/>
          <w:color w:val="000000"/>
          <w:sz w:val="22"/>
          <w:szCs w:val="22"/>
          <w:lang w:eastAsia="en-US"/>
        </w:rPr>
        <w:t xml:space="preserve">las entidades estatales no pueden incluir o modificar en los </w:t>
      </w:r>
      <w:r w:rsidRPr="00304599">
        <w:rPr>
          <w:rFonts w:ascii="Arial" w:eastAsia="Cambria" w:hAnsi="Arial" w:cs="Arial"/>
          <w:i/>
          <w:iCs/>
          <w:color w:val="000000"/>
          <w:sz w:val="22"/>
          <w:szCs w:val="22"/>
          <w:lang w:eastAsia="en-US"/>
        </w:rPr>
        <w:t>Documentos del Proceso</w:t>
      </w:r>
      <w:r w:rsidRPr="00304599">
        <w:rPr>
          <w:rFonts w:ascii="Arial" w:eastAsia="Cambria" w:hAnsi="Arial" w:cs="Arial"/>
          <w:color w:val="000000"/>
          <w:sz w:val="22"/>
          <w:szCs w:val="22"/>
          <w:lang w:eastAsia="en-US"/>
        </w:rPr>
        <w:t xml:space="preserve"> las condiciones habilitantes, los factores técnicos y económicos de escogencia y los sistemas de ponderación distintos a los señalados en los documentos tipo</w:t>
      </w:r>
      <w:bookmarkEnd w:id="5"/>
      <w:r w:rsidRPr="00304599">
        <w:rPr>
          <w:rFonts w:ascii="Arial" w:eastAsia="Cambria" w:hAnsi="Arial" w:cs="Arial"/>
          <w:color w:val="000000"/>
          <w:sz w:val="22"/>
          <w:szCs w:val="22"/>
          <w:lang w:eastAsia="en-US"/>
        </w:rPr>
        <w:t>.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BF2C8BE" w14:textId="77777777" w:rsidR="00460695" w:rsidRPr="00304599" w:rsidRDefault="00460695" w:rsidP="00460695">
      <w:pPr>
        <w:spacing w:line="276" w:lineRule="auto"/>
        <w:jc w:val="both"/>
        <w:rPr>
          <w:rFonts w:ascii="Arial" w:eastAsia="Cambria" w:hAnsi="Arial" w:cs="Arial"/>
          <w:color w:val="000000"/>
          <w:sz w:val="22"/>
          <w:szCs w:val="22"/>
          <w:lang w:eastAsia="en-US"/>
        </w:rPr>
      </w:pPr>
    </w:p>
    <w:p w14:paraId="2C0C1640" w14:textId="77777777" w:rsidR="00460695" w:rsidRPr="00304599" w:rsidRDefault="00460695" w:rsidP="00460695">
      <w:pPr>
        <w:spacing w:line="276" w:lineRule="auto"/>
        <w:ind w:firstLine="709"/>
        <w:jc w:val="both"/>
        <w:rPr>
          <w:rFonts w:ascii="Arial" w:eastAsia="Cambria" w:hAnsi="Arial" w:cs="Arial"/>
          <w:color w:val="000000"/>
          <w:sz w:val="22"/>
          <w:szCs w:val="22"/>
          <w:lang w:eastAsia="en-US"/>
        </w:rPr>
      </w:pPr>
      <w:r w:rsidRPr="00304599">
        <w:rPr>
          <w:rFonts w:ascii="Arial" w:eastAsia="Cambria" w:hAnsi="Arial" w:cs="Arial"/>
          <w:color w:val="000000"/>
          <w:sz w:val="22"/>
          <w:szCs w:val="22"/>
          <w:lang w:eastAsia="en-US"/>
        </w:rPr>
        <w:t xml:space="preserve">El fundamento legal vigente de la regla de la inalterabilidad está en </w:t>
      </w:r>
      <w:bookmarkStart w:id="6" w:name="_Hlk79402315"/>
      <w:r w:rsidRPr="00304599">
        <w:rPr>
          <w:rFonts w:ascii="Arial" w:eastAsia="Cambria" w:hAnsi="Arial" w:cs="Arial"/>
          <w:color w:val="000000"/>
          <w:sz w:val="22"/>
          <w:szCs w:val="22"/>
          <w:lang w:eastAsia="en-US"/>
        </w:rPr>
        <w:t xml:space="preserve">el artículo 1 de la </w:t>
      </w:r>
      <w:bookmarkEnd w:id="6"/>
      <w:r w:rsidRPr="00304599">
        <w:rPr>
          <w:rFonts w:ascii="Arial" w:eastAsia="Cambria" w:hAnsi="Arial" w:cs="Arial"/>
          <w:color w:val="000000"/>
          <w:sz w:val="22"/>
          <w:szCs w:val="22"/>
          <w:lang w:eastAsia="en-US"/>
        </w:rPr>
        <w:t xml:space="preserve">Ley 2022 de 2020, según el cual </w:t>
      </w:r>
      <w:r w:rsidRPr="00DB4983">
        <w:rPr>
          <w:rFonts w:ascii="Arial" w:eastAsia="Cambria" w:hAnsi="Arial" w:cs="Arial"/>
          <w:i/>
          <w:iCs/>
          <w:color w:val="000000"/>
          <w:sz w:val="22"/>
          <w:szCs w:val="22"/>
          <w:lang w:eastAsia="en-US"/>
        </w:rPr>
        <w:t>«[…] serán de obligatorio cumplimiento en la actividad contractual de todas las entidades sometidas al Estatuto General de Contratación de la Administración Pública».</w:t>
      </w:r>
      <w:r w:rsidRPr="00304599">
        <w:rPr>
          <w:rFonts w:ascii="Arial" w:eastAsia="Cambria" w:hAnsi="Arial" w:cs="Arial"/>
          <w:color w:val="000000"/>
          <w:sz w:val="22"/>
          <w:szCs w:val="22"/>
          <w:lang w:eastAsia="en-US"/>
        </w:rPr>
        <w:t xml:space="preserve">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w:t>
      </w:r>
    </w:p>
    <w:p w14:paraId="66BE62CC" w14:textId="77777777" w:rsidR="00460695" w:rsidRPr="00304599" w:rsidRDefault="00460695" w:rsidP="00460695">
      <w:pPr>
        <w:spacing w:line="276" w:lineRule="auto"/>
        <w:ind w:firstLine="709"/>
        <w:jc w:val="both"/>
        <w:rPr>
          <w:rFonts w:ascii="Arial" w:eastAsia="Cambria" w:hAnsi="Arial" w:cs="Arial"/>
          <w:color w:val="000000"/>
          <w:sz w:val="22"/>
          <w:szCs w:val="22"/>
          <w:lang w:eastAsia="en-US"/>
        </w:rPr>
      </w:pPr>
    </w:p>
    <w:p w14:paraId="30E12C3D" w14:textId="2B2067A4" w:rsidR="00460695" w:rsidRPr="00304599" w:rsidRDefault="00460695" w:rsidP="00460695">
      <w:pPr>
        <w:spacing w:line="276" w:lineRule="auto"/>
        <w:ind w:firstLine="709"/>
        <w:jc w:val="both"/>
        <w:rPr>
          <w:rFonts w:ascii="Arial" w:eastAsia="Cambria" w:hAnsi="Arial" w:cs="Arial"/>
          <w:bCs/>
          <w:color w:val="000000"/>
          <w:sz w:val="22"/>
          <w:szCs w:val="22"/>
          <w:lang w:eastAsia="en-US"/>
        </w:rPr>
      </w:pPr>
      <w:r w:rsidRPr="00304599">
        <w:rPr>
          <w:rFonts w:ascii="Arial" w:eastAsia="Cambria" w:hAnsi="Arial" w:cs="Arial"/>
          <w:bCs/>
          <w:color w:val="000000"/>
          <w:sz w:val="22"/>
          <w:szCs w:val="22"/>
          <w:lang w:eastAsia="en-US"/>
        </w:rPr>
        <w:t xml:space="preserve">Además, las entidades estatales deben garantizar el </w:t>
      </w:r>
      <w:r w:rsidRPr="00304599">
        <w:rPr>
          <w:rFonts w:ascii="Arial" w:eastAsia="Cambria" w:hAnsi="Arial" w:cs="Arial"/>
          <w:bCs/>
          <w:i/>
          <w:iCs/>
          <w:color w:val="000000"/>
          <w:sz w:val="22"/>
          <w:szCs w:val="22"/>
          <w:lang w:eastAsia="en-US"/>
        </w:rPr>
        <w:t>principio de economía</w:t>
      </w:r>
      <w:r w:rsidRPr="00304599">
        <w:rPr>
          <w:rFonts w:ascii="Arial" w:eastAsia="Cambria" w:hAnsi="Arial" w:cs="Arial"/>
          <w:bCs/>
          <w:color w:val="000000"/>
          <w:sz w:val="22"/>
          <w:szCs w:val="22"/>
          <w:lang w:eastAsia="en-US"/>
        </w:rPr>
        <w:t xml:space="preserve">, del cual se desprende que no pueden exigir documentos o requisitos más allá de los que permitan la Constitución, la ley y los reglamentos. Este postulado ha sido recogido no solo en la </w:t>
      </w:r>
      <w:r w:rsidRPr="00304599">
        <w:rPr>
          <w:rFonts w:ascii="Arial" w:eastAsia="Cambria" w:hAnsi="Arial" w:cs="Arial"/>
          <w:bCs/>
          <w:color w:val="000000"/>
          <w:sz w:val="22"/>
          <w:szCs w:val="22"/>
          <w:lang w:eastAsia="en-US"/>
        </w:rPr>
        <w:lastRenderedPageBreak/>
        <w:t>contratación estatal</w:t>
      </w:r>
      <w:r w:rsidRPr="00304599">
        <w:rPr>
          <w:rFonts w:ascii="Arial" w:eastAsia="Cambria" w:hAnsi="Arial" w:cs="Arial"/>
          <w:bCs/>
          <w:color w:val="000000"/>
          <w:sz w:val="22"/>
          <w:szCs w:val="22"/>
          <w:vertAlign w:val="superscript"/>
          <w:lang w:eastAsia="en-US"/>
        </w:rPr>
        <w:footnoteReference w:id="11"/>
      </w:r>
      <w:r w:rsidRPr="00304599">
        <w:rPr>
          <w:rFonts w:ascii="Arial" w:eastAsia="Cambria" w:hAnsi="Arial" w:cs="Arial"/>
          <w:bCs/>
          <w:color w:val="000000"/>
          <w:sz w:val="22"/>
          <w:szCs w:val="22"/>
          <w:lang w:eastAsia="en-US"/>
        </w:rPr>
        <w:t xml:space="preserve"> sino además en la normativa </w:t>
      </w:r>
      <w:r w:rsidR="002A471D" w:rsidRPr="00304599">
        <w:rPr>
          <w:rFonts w:ascii="Arial" w:eastAsia="Cambria" w:hAnsi="Arial" w:cs="Arial"/>
          <w:bCs/>
          <w:color w:val="000000"/>
          <w:sz w:val="22"/>
          <w:szCs w:val="22"/>
          <w:lang w:eastAsia="en-US"/>
        </w:rPr>
        <w:t>anti</w:t>
      </w:r>
      <w:r w:rsidR="003B54AF" w:rsidRPr="00304599">
        <w:rPr>
          <w:rFonts w:ascii="Arial" w:eastAsia="Cambria" w:hAnsi="Arial" w:cs="Arial"/>
          <w:bCs/>
          <w:color w:val="000000"/>
          <w:sz w:val="22"/>
          <w:szCs w:val="22"/>
          <w:lang w:eastAsia="en-US"/>
        </w:rPr>
        <w:t>-</w:t>
      </w:r>
      <w:r w:rsidR="002A471D" w:rsidRPr="00304599">
        <w:rPr>
          <w:rFonts w:ascii="Arial" w:eastAsia="Cambria" w:hAnsi="Arial" w:cs="Arial"/>
          <w:bCs/>
          <w:color w:val="000000"/>
          <w:sz w:val="22"/>
          <w:szCs w:val="22"/>
          <w:lang w:eastAsia="en-US"/>
        </w:rPr>
        <w:t>trámites</w:t>
      </w:r>
      <w:r w:rsidRPr="00304599">
        <w:rPr>
          <w:rFonts w:ascii="Arial" w:eastAsia="Cambria" w:hAnsi="Arial" w:cs="Arial"/>
          <w:bCs/>
          <w:color w:val="000000"/>
          <w:sz w:val="22"/>
          <w:szCs w:val="22"/>
          <w:vertAlign w:val="superscript"/>
          <w:lang w:eastAsia="en-US"/>
        </w:rPr>
        <w:footnoteReference w:id="12"/>
      </w:r>
      <w:r w:rsidRPr="00304599">
        <w:rPr>
          <w:rFonts w:ascii="Arial" w:eastAsia="Cambria" w:hAnsi="Arial" w:cs="Arial"/>
          <w:bCs/>
          <w:color w:val="000000"/>
          <w:sz w:val="22"/>
          <w:szCs w:val="22"/>
          <w:lang w:eastAsia="en-US"/>
        </w:rPr>
        <w:t>; pues se inscribe dentro de la tendencia de simplificación y racionalización de los procedimientos administrativos. De ahí que cuando las autoridades solicitan la entrega de documentación innecesaria, desconocen el principio de economía.</w:t>
      </w:r>
    </w:p>
    <w:p w14:paraId="496AEADD" w14:textId="77777777" w:rsidR="00460695" w:rsidRPr="00304599" w:rsidRDefault="00460695" w:rsidP="00460695">
      <w:pPr>
        <w:spacing w:line="276" w:lineRule="auto"/>
        <w:ind w:firstLine="709"/>
        <w:jc w:val="both"/>
        <w:rPr>
          <w:rFonts w:ascii="Arial" w:eastAsia="Cambria" w:hAnsi="Arial" w:cs="Arial"/>
          <w:bCs/>
          <w:color w:val="000000"/>
          <w:sz w:val="22"/>
          <w:szCs w:val="22"/>
          <w:lang w:eastAsia="en-US"/>
        </w:rPr>
      </w:pPr>
    </w:p>
    <w:p w14:paraId="25C0FDCC" w14:textId="77777777" w:rsidR="00460695" w:rsidRPr="00304599" w:rsidRDefault="00460695" w:rsidP="00460695">
      <w:pPr>
        <w:spacing w:line="276" w:lineRule="auto"/>
        <w:ind w:firstLine="709"/>
        <w:jc w:val="both"/>
        <w:rPr>
          <w:rFonts w:ascii="Arial" w:eastAsia="Cambria" w:hAnsi="Arial" w:cs="Arial"/>
          <w:color w:val="000000"/>
          <w:sz w:val="22"/>
          <w:szCs w:val="22"/>
          <w:lang w:val="es-MX" w:eastAsia="en-US"/>
        </w:rPr>
      </w:pPr>
      <w:bookmarkStart w:id="7" w:name="_Hlk117604423"/>
      <w:r w:rsidRPr="00304599">
        <w:rPr>
          <w:rFonts w:ascii="Arial" w:eastAsia="Cambria" w:hAnsi="Arial" w:cs="Arial"/>
          <w:color w:val="000000"/>
          <w:sz w:val="22"/>
          <w:szCs w:val="22"/>
          <w:lang w:val="es-MX" w:eastAsia="en-US"/>
        </w:rPr>
        <w:t xml:space="preserve">Adicionalmente, la parte introductoria de los documentos tipo dispone que los aspectos incluidos en corchetes y resaltado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de condiciones. </w:t>
      </w:r>
    </w:p>
    <w:p w14:paraId="77D548F5" w14:textId="77777777" w:rsidR="00460695" w:rsidRPr="00304599" w:rsidRDefault="00460695" w:rsidP="00460695">
      <w:pPr>
        <w:spacing w:line="276" w:lineRule="auto"/>
        <w:ind w:firstLine="709"/>
        <w:jc w:val="both"/>
        <w:rPr>
          <w:rFonts w:ascii="Arial" w:eastAsia="Cambria" w:hAnsi="Arial" w:cs="Arial"/>
          <w:color w:val="000000"/>
          <w:sz w:val="22"/>
          <w:szCs w:val="22"/>
          <w:lang w:val="es-MX" w:eastAsia="en-US"/>
        </w:rPr>
      </w:pPr>
    </w:p>
    <w:p w14:paraId="4C5CD4A4" w14:textId="77777777" w:rsidR="00460695" w:rsidRPr="00304599" w:rsidRDefault="00460695" w:rsidP="00460695">
      <w:pPr>
        <w:spacing w:line="276" w:lineRule="auto"/>
        <w:ind w:firstLine="709"/>
        <w:jc w:val="both"/>
        <w:rPr>
          <w:rFonts w:ascii="Arial" w:eastAsia="Calibri" w:hAnsi="Arial" w:cs="Arial"/>
          <w:sz w:val="22"/>
          <w:szCs w:val="22"/>
          <w:lang w:val="es-MX" w:eastAsia="en-US"/>
        </w:rPr>
      </w:pPr>
      <w:r w:rsidRPr="00304599">
        <w:rPr>
          <w:rFonts w:ascii="Arial" w:eastAsia="Calibri" w:hAnsi="Arial" w:cs="Arial"/>
          <w:sz w:val="22"/>
          <w:szCs w:val="22"/>
          <w:lang w:val="es-MX" w:eastAsia="en-US"/>
        </w:rPr>
        <w:t xml:space="preserve">Un supuesto especial establecido en los documentos tipo, mediante los cuales se admite la modificación del contenido de los documentos del proceso se prevé en los eventos en los que el objeto contractual incluye bienes o servicios adicionales a la obra pública estandarizada en los documentos tipo.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w:t>
      </w:r>
      <w:r w:rsidRPr="00304599">
        <w:rPr>
          <w:rFonts w:ascii="Arial" w:eastAsia="Calibri" w:hAnsi="Arial" w:cs="Arial"/>
          <w:sz w:val="22"/>
          <w:szCs w:val="22"/>
          <w:lang w:val="es-MX" w:eastAsia="en-US"/>
        </w:rPr>
        <w:lastRenderedPageBreak/>
        <w:t xml:space="preserve">entidades estatales, experiencia previa en un territorio específico, limitada en el tiempo o que incluya volúmenes o cantidades de obra específica, y iv) clasificar la experiencia requerida solo hasta el tercer nivel del Clasificador de Bienes y Servicios e incluir exclusivamente los códigos que estén relacionados directamente con el objeto a contratar. </w:t>
      </w:r>
    </w:p>
    <w:p w14:paraId="20567850" w14:textId="77777777" w:rsidR="00460695" w:rsidRPr="00304599" w:rsidRDefault="00460695" w:rsidP="00460695">
      <w:pPr>
        <w:spacing w:line="276" w:lineRule="auto"/>
        <w:ind w:firstLine="709"/>
        <w:jc w:val="both"/>
        <w:rPr>
          <w:rFonts w:ascii="Arial" w:eastAsia="Calibri" w:hAnsi="Arial" w:cs="Arial"/>
          <w:sz w:val="22"/>
          <w:szCs w:val="22"/>
          <w:lang w:val="es-MX" w:eastAsia="en-US"/>
        </w:rPr>
      </w:pPr>
    </w:p>
    <w:p w14:paraId="30525BA5" w14:textId="77777777" w:rsidR="00460695" w:rsidRPr="00304599" w:rsidRDefault="00460695" w:rsidP="00460695">
      <w:pPr>
        <w:spacing w:line="276" w:lineRule="auto"/>
        <w:ind w:firstLine="709"/>
        <w:jc w:val="both"/>
        <w:rPr>
          <w:rFonts w:ascii="Arial" w:eastAsia="Calibri" w:hAnsi="Arial" w:cs="Arial"/>
          <w:bCs/>
          <w:sz w:val="22"/>
          <w:szCs w:val="22"/>
          <w:lang w:val="es-MX" w:eastAsia="en-US"/>
        </w:rPr>
      </w:pPr>
      <w:r w:rsidRPr="00304599">
        <w:rPr>
          <w:rFonts w:ascii="Arial" w:eastAsia="Calibri" w:hAnsi="Arial" w:cs="Arial"/>
          <w:bCs/>
          <w:sz w:val="22"/>
          <w:szCs w:val="22"/>
          <w:lang w:val="es-MX" w:eastAsia="en-US"/>
        </w:rPr>
        <w:t>En suma, la regla general frente la aplicación del «Documento Base» y en general de los documentos tipo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caso en el que se podrá incluir experiencia adicional; y, además, cuando el pliego tipo de forma expresa lo incluya, es decir, en los aspectos incluidos en corchetes y resaltados en gris.</w:t>
      </w:r>
    </w:p>
    <w:p w14:paraId="6292A6D3" w14:textId="77777777" w:rsidR="00460695" w:rsidRPr="00304599" w:rsidRDefault="00460695" w:rsidP="00460695">
      <w:pPr>
        <w:spacing w:line="276" w:lineRule="auto"/>
        <w:ind w:firstLine="709"/>
        <w:jc w:val="both"/>
        <w:rPr>
          <w:rFonts w:ascii="Arial" w:eastAsia="Calibri" w:hAnsi="Arial" w:cs="Arial"/>
          <w:sz w:val="22"/>
          <w:szCs w:val="22"/>
          <w:lang w:val="es-MX" w:eastAsia="en-US"/>
        </w:rPr>
      </w:pPr>
    </w:p>
    <w:p w14:paraId="2F16DD59" w14:textId="77777777" w:rsidR="00460695" w:rsidRPr="00304599" w:rsidRDefault="00460695" w:rsidP="00460695">
      <w:pPr>
        <w:spacing w:line="276" w:lineRule="auto"/>
        <w:ind w:firstLine="709"/>
        <w:jc w:val="both"/>
        <w:rPr>
          <w:rFonts w:ascii="Arial" w:eastAsia="Calibri" w:hAnsi="Arial" w:cs="Arial"/>
          <w:bCs/>
          <w:sz w:val="22"/>
          <w:szCs w:val="22"/>
          <w:lang w:val="es-MX" w:eastAsia="en-US"/>
        </w:rPr>
      </w:pPr>
      <w:r w:rsidRPr="00304599">
        <w:rPr>
          <w:rFonts w:ascii="Arial" w:eastAsia="Calibri" w:hAnsi="Arial" w:cs="Arial"/>
          <w:bCs/>
          <w:sz w:val="22"/>
          <w:szCs w:val="22"/>
          <w:lang w:val="es-MX" w:eastAsia="en-US"/>
        </w:rPr>
        <w:t xml:space="preserve">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bookmarkEnd w:id="7"/>
    <w:p w14:paraId="1B365A01" w14:textId="77777777" w:rsidR="00460695" w:rsidRPr="00304599" w:rsidRDefault="00460695" w:rsidP="00460695">
      <w:pPr>
        <w:spacing w:line="276" w:lineRule="auto"/>
        <w:ind w:firstLine="709"/>
        <w:jc w:val="both"/>
        <w:rPr>
          <w:rFonts w:ascii="Arial" w:eastAsia="Calibri" w:hAnsi="Arial" w:cs="Arial"/>
          <w:bCs/>
          <w:sz w:val="22"/>
          <w:szCs w:val="22"/>
          <w:lang w:val="es-MX" w:eastAsia="en-US"/>
        </w:rPr>
      </w:pPr>
    </w:p>
    <w:p w14:paraId="0F279476" w14:textId="77777777" w:rsidR="00460695" w:rsidRPr="00304599" w:rsidRDefault="00460695" w:rsidP="00460695">
      <w:pPr>
        <w:spacing w:line="276" w:lineRule="auto"/>
        <w:ind w:firstLine="709"/>
        <w:jc w:val="both"/>
        <w:rPr>
          <w:rFonts w:ascii="Arial" w:eastAsia="Cambria" w:hAnsi="Arial" w:cs="Arial"/>
          <w:sz w:val="22"/>
          <w:szCs w:val="22"/>
          <w:lang w:val="es-MX" w:eastAsia="en-US"/>
        </w:rPr>
      </w:pPr>
      <w:r w:rsidRPr="00304599">
        <w:rPr>
          <w:rFonts w:ascii="Arial" w:eastAsia="Cambria" w:hAnsi="Arial" w:cs="Arial"/>
          <w:sz w:val="22"/>
          <w:szCs w:val="22"/>
          <w:lang w:val="es-MX" w:eastAsia="en-US"/>
        </w:rPr>
        <w:t xml:space="preserve">Con todo, 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7C7719E7" w14:textId="77777777" w:rsidR="00460695" w:rsidRPr="00304599" w:rsidRDefault="00460695" w:rsidP="00460695">
      <w:pPr>
        <w:spacing w:line="276" w:lineRule="auto"/>
        <w:ind w:firstLine="709"/>
        <w:jc w:val="both"/>
        <w:rPr>
          <w:rFonts w:ascii="Arial" w:eastAsia="Cambria" w:hAnsi="Arial" w:cs="Arial"/>
          <w:sz w:val="22"/>
          <w:szCs w:val="22"/>
          <w:lang w:val="es-MX" w:eastAsia="en-US"/>
        </w:rPr>
      </w:pPr>
    </w:p>
    <w:p w14:paraId="0029A51D" w14:textId="77777777" w:rsidR="00460695" w:rsidRPr="00304599" w:rsidRDefault="00460695" w:rsidP="00460695">
      <w:pPr>
        <w:spacing w:line="276" w:lineRule="auto"/>
        <w:ind w:firstLine="709"/>
        <w:jc w:val="both"/>
        <w:rPr>
          <w:rFonts w:ascii="Arial" w:eastAsia="Cambria" w:hAnsi="Arial" w:cs="Arial"/>
          <w:sz w:val="22"/>
          <w:szCs w:val="22"/>
          <w:lang w:val="es-MX" w:eastAsia="en-US"/>
        </w:rPr>
      </w:pPr>
      <w:r w:rsidRPr="00304599">
        <w:rPr>
          <w:rFonts w:ascii="Arial" w:eastAsia="Cambria" w:hAnsi="Arial" w:cs="Arial"/>
          <w:sz w:val="22"/>
          <w:szCs w:val="22"/>
          <w:lang w:val="es-MX" w:eastAsia="en-US"/>
        </w:rPr>
        <w:t xml:space="preserve">En relación con el principio constitucional </w:t>
      </w:r>
      <w:r w:rsidRPr="00304599">
        <w:rPr>
          <w:rFonts w:ascii="Arial" w:eastAsia="Cambria" w:hAnsi="Arial" w:cs="Arial"/>
          <w:i/>
          <w:iCs/>
          <w:sz w:val="22"/>
          <w:szCs w:val="22"/>
          <w:lang w:val="es-MX" w:eastAsia="en-US"/>
        </w:rPr>
        <w:t>sub examine</w:t>
      </w:r>
      <w:r w:rsidRPr="00304599">
        <w:rPr>
          <w:rFonts w:ascii="Arial" w:eastAsia="Cambria" w:hAnsi="Arial" w:cs="Arial"/>
          <w:sz w:val="22"/>
          <w:szCs w:val="22"/>
          <w:lang w:val="es-MX" w:eastAsia="en-US"/>
        </w:rPr>
        <w:t xml:space="preserve">, la Corte Constitucional explica que </w:t>
      </w:r>
      <w:r w:rsidRPr="00DB4983">
        <w:rPr>
          <w:rFonts w:ascii="Arial" w:eastAsia="Cambria" w:hAnsi="Arial" w:cs="Arial"/>
          <w:i/>
          <w:iCs/>
          <w:sz w:val="22"/>
          <w:szCs w:val="22"/>
          <w:lang w:val="es-MX" w:eastAsia="en-US"/>
        </w:rPr>
        <w:t>«[…]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DB4983">
        <w:rPr>
          <w:rFonts w:ascii="Arial" w:eastAsia="Cambria" w:hAnsi="Arial" w:cs="Arial"/>
          <w:i/>
          <w:iCs/>
          <w:sz w:val="22"/>
          <w:szCs w:val="22"/>
          <w:vertAlign w:val="superscript"/>
          <w:lang w:val="es-MX" w:eastAsia="en-US"/>
        </w:rPr>
        <w:footnoteReference w:id="13"/>
      </w:r>
      <w:r w:rsidRPr="00DB4983">
        <w:rPr>
          <w:rFonts w:ascii="Arial" w:eastAsia="Cambria" w:hAnsi="Arial" w:cs="Arial"/>
          <w:i/>
          <w:iCs/>
          <w:sz w:val="22"/>
          <w:szCs w:val="22"/>
          <w:lang w:val="es-MX" w:eastAsia="en-US"/>
        </w:rPr>
        <w:t>.</w:t>
      </w:r>
      <w:r w:rsidRPr="00304599">
        <w:rPr>
          <w:rFonts w:ascii="Arial" w:eastAsia="Cambria" w:hAnsi="Arial" w:cs="Arial"/>
          <w:sz w:val="22"/>
          <w:szCs w:val="22"/>
          <w:lang w:val="es-MX" w:eastAsia="en-US"/>
        </w:rPr>
        <w:t xml:space="preserve"> </w:t>
      </w:r>
    </w:p>
    <w:p w14:paraId="58AFF61E" w14:textId="77777777" w:rsidR="00460695" w:rsidRPr="00304599" w:rsidRDefault="00460695" w:rsidP="00460695">
      <w:pPr>
        <w:spacing w:line="276" w:lineRule="auto"/>
        <w:ind w:firstLine="709"/>
        <w:jc w:val="both"/>
        <w:rPr>
          <w:rFonts w:ascii="Arial" w:eastAsia="Cambria" w:hAnsi="Arial" w:cs="Arial"/>
          <w:sz w:val="22"/>
          <w:szCs w:val="22"/>
          <w:lang w:val="es-MX" w:eastAsia="en-US"/>
        </w:rPr>
      </w:pPr>
    </w:p>
    <w:p w14:paraId="7181B9A9" w14:textId="77777777" w:rsidR="00460695" w:rsidRPr="00304599" w:rsidRDefault="00460695" w:rsidP="00460695">
      <w:pPr>
        <w:spacing w:line="276" w:lineRule="auto"/>
        <w:ind w:firstLine="709"/>
        <w:jc w:val="both"/>
        <w:rPr>
          <w:rFonts w:ascii="Arial" w:eastAsia="Calibri" w:hAnsi="Arial" w:cs="Arial"/>
          <w:sz w:val="22"/>
          <w:lang w:val="es-MX" w:eastAsia="es-ES_tradnl"/>
        </w:rPr>
      </w:pPr>
      <w:r w:rsidRPr="00304599">
        <w:rPr>
          <w:rFonts w:ascii="Arial" w:eastAsia="Cambria" w:hAnsi="Arial" w:cs="Arial"/>
          <w:sz w:val="22"/>
          <w:szCs w:val="22"/>
          <w:lang w:val="es-MX" w:eastAsia="en-US"/>
        </w:rPr>
        <w:t>El carácter inalterable de los documentos tipo no puede, entonces, hacerse extensivo a los aspectos eminentemente formales de tales documentos, esto es, el tamaño y tipo de letra, las márgenes o las expresiones que pretenden hacer más comprensible el documento, como es el caso de aquellas que informan que una expresión larga será referida con otra similar pero más corta. Todo porque estos aspectos en nada afectan la aplicación y alcance de los documentos tipos; en otras palabras, porque no afectan su contenido esencial y, mucho menos, las obligaciones, deberes y derechos que se derivan para los partícipes del proceso contractual.</w:t>
      </w:r>
    </w:p>
    <w:p w14:paraId="18BC6BAD" w14:textId="77777777" w:rsidR="00460695" w:rsidRPr="00304599" w:rsidRDefault="00460695" w:rsidP="00460695">
      <w:pPr>
        <w:spacing w:line="276" w:lineRule="auto"/>
        <w:jc w:val="both"/>
        <w:rPr>
          <w:rFonts w:ascii="Arial" w:eastAsia="Calibri" w:hAnsi="Arial" w:cs="Arial"/>
          <w:b/>
          <w:bCs/>
          <w:color w:val="000000"/>
          <w:sz w:val="22"/>
          <w:szCs w:val="22"/>
          <w:lang w:val="es-MX" w:eastAsia="en-US"/>
        </w:rPr>
      </w:pPr>
    </w:p>
    <w:p w14:paraId="0F7B9940" w14:textId="4AB88C07" w:rsidR="00460695" w:rsidRPr="00304599" w:rsidRDefault="00460695" w:rsidP="00460695">
      <w:pPr>
        <w:spacing w:line="276" w:lineRule="auto"/>
        <w:jc w:val="both"/>
        <w:rPr>
          <w:rFonts w:ascii="Arial" w:eastAsia="Calibri" w:hAnsi="Arial" w:cs="Arial"/>
          <w:b/>
          <w:bCs/>
          <w:color w:val="000000"/>
          <w:sz w:val="22"/>
          <w:szCs w:val="22"/>
          <w:lang w:val="es-MX" w:eastAsia="en-US"/>
        </w:rPr>
      </w:pPr>
      <w:r w:rsidRPr="00304599">
        <w:rPr>
          <w:rFonts w:ascii="Arial" w:eastAsia="Calibri" w:hAnsi="Arial" w:cs="Arial"/>
          <w:b/>
          <w:bCs/>
          <w:color w:val="000000"/>
          <w:sz w:val="22"/>
          <w:szCs w:val="22"/>
          <w:lang w:val="es-MX" w:eastAsia="en-US"/>
        </w:rPr>
        <w:t>2.3. Inconsistencias documentos tipo</w:t>
      </w:r>
    </w:p>
    <w:p w14:paraId="13B2F815" w14:textId="77777777" w:rsidR="00460695" w:rsidRPr="00304599" w:rsidRDefault="00460695" w:rsidP="00460695">
      <w:pPr>
        <w:spacing w:line="276" w:lineRule="auto"/>
        <w:jc w:val="both"/>
        <w:rPr>
          <w:rFonts w:ascii="Arial" w:eastAsia="Calibri" w:hAnsi="Arial" w:cs="Arial"/>
          <w:b/>
          <w:bCs/>
          <w:color w:val="000000"/>
          <w:sz w:val="22"/>
          <w:szCs w:val="22"/>
          <w:lang w:val="es-MX" w:eastAsia="en-US"/>
        </w:rPr>
      </w:pPr>
    </w:p>
    <w:p w14:paraId="53E3EA36" w14:textId="77777777" w:rsidR="00460695" w:rsidRPr="00304599" w:rsidRDefault="00460695" w:rsidP="00460695">
      <w:pPr>
        <w:spacing w:line="276" w:lineRule="auto"/>
        <w:ind w:firstLine="708"/>
        <w:jc w:val="both"/>
        <w:rPr>
          <w:rFonts w:ascii="Arial" w:eastAsia="Calibri" w:hAnsi="Arial" w:cs="Arial"/>
          <w:sz w:val="22"/>
          <w:szCs w:val="22"/>
          <w:lang w:eastAsia="en-US"/>
        </w:rPr>
      </w:pPr>
      <w:r w:rsidRPr="00304599">
        <w:rPr>
          <w:rFonts w:ascii="Arial" w:eastAsia="Calibri" w:hAnsi="Arial" w:cs="Arial"/>
          <w:bCs/>
          <w:sz w:val="22"/>
          <w:szCs w:val="22"/>
          <w:lang w:eastAsia="en-US"/>
        </w:rPr>
        <w:t xml:space="preserve">La Agencia Nacional de Contratación Pública – Colombia Compra Eficiente expidió la Resolución </w:t>
      </w:r>
      <w:r w:rsidRPr="00304599">
        <w:rPr>
          <w:rFonts w:ascii="Arial" w:eastAsia="Calibri" w:hAnsi="Arial" w:cs="Arial"/>
          <w:sz w:val="22"/>
          <w:szCs w:val="22"/>
          <w:lang w:eastAsia="en-US"/>
        </w:rPr>
        <w:t>No. 219 de 2021 mediante la cual se adoptó los documentos tipo que aplican de forma transversal a los proyectos de infraestructura social en los sectores educativo, salud, cultura, recreación y deporte.  Estos documentos son el documento base, los anexos, los formatos, los formularios y las matrices, lo cuales se irán complementando con cada una de las resoluciones que adoptan las matrices de experiencia y los anexos de glosario para cada sector, definiendo así su alcance y vigencia y la Resolución No. 220 de 2021</w:t>
      </w:r>
      <w:r w:rsidRPr="00304599">
        <w:rPr>
          <w:rFonts w:ascii="Arial" w:eastAsia="Calibri" w:hAnsi="Arial" w:cs="Arial"/>
          <w:bCs/>
          <w:sz w:val="22"/>
          <w:szCs w:val="22"/>
          <w:lang w:eastAsia="en-US"/>
        </w:rPr>
        <w:t xml:space="preserve">, mediante la cual </w:t>
      </w:r>
      <w:r w:rsidRPr="00304599">
        <w:rPr>
          <w:rFonts w:ascii="Arial" w:eastAsia="Calibri" w:hAnsi="Arial" w:cs="Arial"/>
          <w:sz w:val="22"/>
          <w:szCs w:val="22"/>
          <w:lang w:eastAsia="en-US"/>
        </w:rPr>
        <w:t>desarrolla el «Anexo -Glosario sector Educativo» y la «Matriz -Experiencia sector Educativo»</w:t>
      </w:r>
    </w:p>
    <w:p w14:paraId="699CF660" w14:textId="77777777" w:rsidR="00460695" w:rsidRPr="00304599" w:rsidRDefault="00460695" w:rsidP="00460695">
      <w:pPr>
        <w:spacing w:line="276" w:lineRule="auto"/>
        <w:ind w:firstLine="708"/>
        <w:jc w:val="both"/>
        <w:rPr>
          <w:rFonts w:ascii="Arial" w:eastAsia="Calibri" w:hAnsi="Arial" w:cs="Arial"/>
          <w:sz w:val="22"/>
          <w:szCs w:val="22"/>
          <w:lang w:val="es-MX" w:eastAsia="en-US"/>
        </w:rPr>
      </w:pPr>
    </w:p>
    <w:p w14:paraId="45A4BC22" w14:textId="77777777" w:rsidR="00460695" w:rsidRPr="00304599" w:rsidRDefault="00460695" w:rsidP="00460695">
      <w:pPr>
        <w:spacing w:line="276" w:lineRule="auto"/>
        <w:ind w:firstLine="708"/>
        <w:jc w:val="both"/>
        <w:rPr>
          <w:rFonts w:ascii="Arial" w:eastAsia="Calibri" w:hAnsi="Arial" w:cs="Arial"/>
          <w:sz w:val="22"/>
          <w:szCs w:val="22"/>
          <w:lang w:val="es-MX" w:eastAsia="en-US"/>
        </w:rPr>
      </w:pPr>
      <w:r w:rsidRPr="00304599">
        <w:rPr>
          <w:rFonts w:ascii="Arial" w:eastAsia="Calibri" w:hAnsi="Arial" w:cs="Arial"/>
          <w:sz w:val="22"/>
          <w:szCs w:val="22"/>
          <w:lang w:val="es-MX" w:eastAsia="en-US"/>
        </w:rPr>
        <w:t>En relación con los documentos</w:t>
      </w:r>
      <w:r w:rsidRPr="00304599">
        <w:rPr>
          <w:rFonts w:ascii="Arial" w:eastAsia="Calibri" w:hAnsi="Arial" w:cs="Arial"/>
          <w:color w:val="000000"/>
          <w:sz w:val="22"/>
          <w:szCs w:val="22"/>
          <w:lang w:val="es-MX" w:eastAsia="en-US"/>
        </w:rPr>
        <w:t xml:space="preserve"> tipo de licitación pública de obra de infraestructura social</w:t>
      </w:r>
      <w:r w:rsidRPr="00304599">
        <w:rPr>
          <w:rFonts w:ascii="Arial" w:eastAsia="Calibri" w:hAnsi="Arial" w:cs="Arial"/>
          <w:sz w:val="22"/>
          <w:szCs w:val="22"/>
          <w:lang w:val="es-MX" w:eastAsia="en-US"/>
        </w:rPr>
        <w:t xml:space="preserve"> debe precisarse que, ante una contradicción entre la información que incorporó la entidad en el SECOP II y la información contenida en los documentos anexos de los documentos tipo, en principio, la entidad deberá acudir a las normas de interpretación de los pliegos de condiciones definidas en el numeral 1.17 del documento base que dispone lo siguiente: </w:t>
      </w:r>
    </w:p>
    <w:p w14:paraId="5BD23679" w14:textId="77777777" w:rsidR="00460695" w:rsidRPr="00304599" w:rsidRDefault="00460695" w:rsidP="00460695">
      <w:pPr>
        <w:spacing w:line="276" w:lineRule="auto"/>
        <w:ind w:firstLine="708"/>
        <w:jc w:val="both"/>
        <w:rPr>
          <w:rFonts w:ascii="Arial" w:eastAsia="Calibri" w:hAnsi="Arial" w:cs="Arial"/>
          <w:sz w:val="22"/>
          <w:szCs w:val="22"/>
          <w:lang w:val="es-MX" w:eastAsia="en-US"/>
        </w:rPr>
      </w:pPr>
    </w:p>
    <w:p w14:paraId="230BF39C" w14:textId="1534C623" w:rsidR="00460695" w:rsidRPr="00304599" w:rsidRDefault="00460695" w:rsidP="00A812FC">
      <w:pPr>
        <w:spacing w:line="276" w:lineRule="auto"/>
        <w:ind w:left="709" w:right="709" w:firstLine="1"/>
        <w:jc w:val="both"/>
        <w:rPr>
          <w:rFonts w:ascii="Arial" w:eastAsia="Calibri" w:hAnsi="Arial" w:cs="Arial"/>
          <w:i/>
          <w:iCs/>
          <w:color w:val="000000"/>
          <w:sz w:val="21"/>
          <w:szCs w:val="21"/>
          <w:lang w:val="es-MX" w:eastAsia="es-ES_tradnl"/>
        </w:rPr>
      </w:pPr>
      <w:bookmarkStart w:id="8" w:name="_Toc84411294"/>
      <w:r w:rsidRPr="00304599">
        <w:rPr>
          <w:rFonts w:ascii="Arial" w:eastAsia="Calibri" w:hAnsi="Arial" w:cs="Arial"/>
          <w:bCs/>
          <w:sz w:val="21"/>
          <w:szCs w:val="21"/>
          <w:lang w:eastAsia="en-US"/>
        </w:rPr>
        <w:t>«</w:t>
      </w:r>
      <w:r w:rsidRPr="00DB4983">
        <w:rPr>
          <w:rFonts w:ascii="Arial" w:eastAsia="Calibri" w:hAnsi="Arial" w:cs="Arial"/>
          <w:bCs/>
          <w:i/>
          <w:iCs/>
          <w:sz w:val="21"/>
          <w:szCs w:val="21"/>
          <w:lang w:val="es-MX" w:eastAsia="en-US"/>
        </w:rPr>
        <w:t>1.17 NORMAS DE INTERPRETACIÓN DEL PLIEGO DE CONDICIONES</w:t>
      </w:r>
      <w:bookmarkEnd w:id="8"/>
      <w:r w:rsidR="00A812FC" w:rsidRPr="00DB4983">
        <w:rPr>
          <w:rFonts w:ascii="Arial" w:eastAsia="Calibri" w:hAnsi="Arial" w:cs="Arial"/>
          <w:bCs/>
          <w:i/>
          <w:iCs/>
          <w:sz w:val="21"/>
          <w:szCs w:val="21"/>
          <w:lang w:val="es-MX" w:eastAsia="en-US"/>
        </w:rPr>
        <w:t xml:space="preserve">. </w:t>
      </w:r>
      <w:r w:rsidRPr="00DB4983">
        <w:rPr>
          <w:rFonts w:ascii="Arial" w:eastAsia="Calibri" w:hAnsi="Arial" w:cs="Arial"/>
          <w:i/>
          <w:iCs/>
          <w:color w:val="000000"/>
          <w:sz w:val="21"/>
          <w:szCs w:val="21"/>
          <w:lang w:val="es-MX" w:eastAsia="es-ES_tradnl"/>
        </w:rPr>
        <w:t>Este Pliego de Condiciones debe interpretarse como un todo y sus disposiciones no deben entenderse de manera separada de lo que indica su contexto general</w:t>
      </w:r>
      <w:r w:rsidRPr="00304599">
        <w:rPr>
          <w:rFonts w:ascii="Arial" w:eastAsia="Calibri" w:hAnsi="Arial" w:cs="Arial"/>
          <w:color w:val="000000"/>
          <w:sz w:val="21"/>
          <w:szCs w:val="21"/>
          <w:lang w:val="es-MX" w:eastAsia="es-ES_tradnl"/>
        </w:rPr>
        <w:t xml:space="preserve">. Por lo </w:t>
      </w:r>
      <w:r w:rsidRPr="00DB4983">
        <w:rPr>
          <w:rFonts w:ascii="Arial" w:eastAsia="Calibri" w:hAnsi="Arial" w:cs="Arial"/>
          <w:i/>
          <w:iCs/>
          <w:color w:val="000000"/>
          <w:sz w:val="21"/>
          <w:szCs w:val="21"/>
          <w:lang w:val="es-MX" w:eastAsia="es-ES_tradnl"/>
        </w:rPr>
        <w:t>tanto, se considera integrada la información incluida en los Documentos del Proceso que lo acompañan y las Adendas que se expidan.</w:t>
      </w:r>
    </w:p>
    <w:p w14:paraId="0B28D773" w14:textId="77777777" w:rsidR="00175B0F" w:rsidRPr="00DB4983" w:rsidRDefault="00175B0F" w:rsidP="00DB4983">
      <w:pPr>
        <w:spacing w:line="276" w:lineRule="auto"/>
        <w:ind w:left="709" w:right="709" w:firstLine="1"/>
        <w:jc w:val="both"/>
        <w:rPr>
          <w:rFonts w:ascii="Arial" w:eastAsia="Calibri" w:hAnsi="Arial" w:cs="Arial"/>
          <w:i/>
          <w:iCs/>
          <w:color w:val="000000"/>
          <w:sz w:val="21"/>
          <w:szCs w:val="21"/>
          <w:lang w:val="es-MX" w:eastAsia="es-ES_tradnl"/>
        </w:rPr>
      </w:pPr>
    </w:p>
    <w:p w14:paraId="1C8D75AD" w14:textId="1B30195C" w:rsidR="00460695" w:rsidRPr="00304599" w:rsidRDefault="00460695" w:rsidP="00A812FC">
      <w:pPr>
        <w:tabs>
          <w:tab w:val="left" w:pos="993"/>
        </w:tabs>
        <w:spacing w:line="276" w:lineRule="auto"/>
        <w:ind w:left="709" w:right="709"/>
        <w:jc w:val="both"/>
        <w:rPr>
          <w:rFonts w:ascii="Arial" w:eastAsia="Calibri" w:hAnsi="Arial" w:cs="Arial"/>
          <w:i/>
          <w:iCs/>
          <w:color w:val="000000"/>
          <w:sz w:val="21"/>
          <w:szCs w:val="21"/>
          <w:lang w:val="es-MX" w:eastAsia="es-ES_tradnl"/>
        </w:rPr>
      </w:pPr>
      <w:r w:rsidRPr="00DB4983">
        <w:rPr>
          <w:rFonts w:ascii="Arial" w:eastAsia="Calibri" w:hAnsi="Arial" w:cs="Arial"/>
          <w:i/>
          <w:iCs/>
          <w:color w:val="000000"/>
          <w:sz w:val="21"/>
          <w:szCs w:val="21"/>
          <w:lang w:val="es-MX" w:eastAsia="es-ES_tradnl"/>
        </w:rPr>
        <w:t>Además, se seguirán los siguientes criterios para la interpretación y entendimiento del Pliego de Condiciones:</w:t>
      </w:r>
    </w:p>
    <w:p w14:paraId="1F499A5E" w14:textId="77777777" w:rsidR="00175B0F" w:rsidRPr="00DB4983" w:rsidRDefault="00175B0F">
      <w:pPr>
        <w:tabs>
          <w:tab w:val="left" w:pos="993"/>
        </w:tabs>
        <w:spacing w:line="276" w:lineRule="auto"/>
        <w:ind w:left="709" w:right="709"/>
        <w:jc w:val="both"/>
        <w:rPr>
          <w:rFonts w:ascii="Arial" w:eastAsia="Calibri" w:hAnsi="Arial" w:cs="Arial"/>
          <w:i/>
          <w:iCs/>
          <w:color w:val="000000"/>
          <w:sz w:val="21"/>
          <w:szCs w:val="21"/>
          <w:lang w:val="es-MX" w:eastAsia="es-ES_tradnl"/>
        </w:rPr>
      </w:pPr>
    </w:p>
    <w:p w14:paraId="79E824B1" w14:textId="77777777" w:rsidR="00460695" w:rsidRPr="00DB4983" w:rsidRDefault="00460695" w:rsidP="00DB4983">
      <w:pPr>
        <w:numPr>
          <w:ilvl w:val="0"/>
          <w:numId w:val="10"/>
        </w:numPr>
        <w:tabs>
          <w:tab w:val="left" w:pos="993"/>
        </w:tabs>
        <w:spacing w:after="200" w:line="276" w:lineRule="auto"/>
        <w:ind w:left="709" w:right="709"/>
        <w:jc w:val="both"/>
        <w:rPr>
          <w:rFonts w:ascii="Arial" w:eastAsia="Calibri" w:hAnsi="Arial" w:cs="Arial"/>
          <w:i/>
          <w:iCs/>
          <w:color w:val="000000"/>
          <w:sz w:val="21"/>
          <w:szCs w:val="21"/>
          <w:lang w:val="es-MX" w:eastAsia="es-ES_tradnl"/>
        </w:rPr>
      </w:pPr>
      <w:r w:rsidRPr="00DB4983">
        <w:rPr>
          <w:rFonts w:ascii="Arial" w:eastAsia="Calibri" w:hAnsi="Arial" w:cs="Arial"/>
          <w:i/>
          <w:iCs/>
          <w:color w:val="000000"/>
          <w:sz w:val="21"/>
          <w:szCs w:val="21"/>
          <w:lang w:val="es-MX" w:eastAsia="es-ES_tradnl"/>
        </w:rPr>
        <w:t>El orden de los numerales, capítulos y cláusulas de este Pliego de Condiciones no deben interpretarse como un grado de prelación entre los mismos.</w:t>
      </w:r>
    </w:p>
    <w:p w14:paraId="59D49901" w14:textId="77777777" w:rsidR="00460695" w:rsidRPr="00DB4983" w:rsidRDefault="00460695" w:rsidP="00DB4983">
      <w:pPr>
        <w:numPr>
          <w:ilvl w:val="0"/>
          <w:numId w:val="10"/>
        </w:numPr>
        <w:tabs>
          <w:tab w:val="left" w:pos="993"/>
        </w:tabs>
        <w:spacing w:after="200" w:line="276" w:lineRule="auto"/>
        <w:ind w:left="709" w:right="709"/>
        <w:jc w:val="both"/>
        <w:rPr>
          <w:rFonts w:ascii="Arial" w:eastAsia="Calibri" w:hAnsi="Arial" w:cs="Arial"/>
          <w:i/>
          <w:iCs/>
          <w:color w:val="000000"/>
          <w:sz w:val="21"/>
          <w:szCs w:val="21"/>
          <w:lang w:val="es-MX" w:eastAsia="es-ES_tradnl"/>
        </w:rPr>
      </w:pPr>
      <w:r w:rsidRPr="00DB4983">
        <w:rPr>
          <w:rFonts w:ascii="Arial" w:eastAsia="Calibri" w:hAnsi="Arial" w:cs="Arial"/>
          <w:i/>
          <w:iCs/>
          <w:color w:val="000000"/>
          <w:sz w:val="21"/>
          <w:szCs w:val="21"/>
          <w:lang w:val="es-MX" w:eastAsia="es-ES_tradnl"/>
        </w:rPr>
        <w:t>Los títulos de los numerales y capítulos utilizados en este pliego solo sirven como referencia y no afectan la interpretación de su contenido.</w:t>
      </w:r>
    </w:p>
    <w:p w14:paraId="4BFE9B32" w14:textId="77777777" w:rsidR="00460695" w:rsidRPr="00DB4983" w:rsidRDefault="00460695" w:rsidP="00DB4983">
      <w:pPr>
        <w:numPr>
          <w:ilvl w:val="0"/>
          <w:numId w:val="10"/>
        </w:numPr>
        <w:tabs>
          <w:tab w:val="left" w:pos="993"/>
        </w:tabs>
        <w:spacing w:after="200" w:line="276" w:lineRule="auto"/>
        <w:ind w:left="709" w:right="709"/>
        <w:jc w:val="both"/>
        <w:rPr>
          <w:rFonts w:ascii="Arial" w:eastAsia="Calibri" w:hAnsi="Arial" w:cs="Arial"/>
          <w:i/>
          <w:iCs/>
          <w:color w:val="000000"/>
          <w:sz w:val="21"/>
          <w:szCs w:val="21"/>
          <w:lang w:val="es-MX" w:eastAsia="es-ES_tradnl"/>
        </w:rPr>
      </w:pPr>
      <w:r w:rsidRPr="00DB4983">
        <w:rPr>
          <w:rFonts w:ascii="Arial" w:eastAsia="Calibri" w:hAnsi="Arial" w:cs="Arial"/>
          <w:i/>
          <w:iCs/>
          <w:color w:val="000000"/>
          <w:sz w:val="21"/>
          <w:szCs w:val="21"/>
          <w:lang w:val="es-MX" w:eastAsia="es-ES_tradnl"/>
        </w:rPr>
        <w:t>Las palabras en singular se entenderán también en plural y viceversa, cuando lo exija el contexto; y las palabras en género femenino, se entenderán en género masculino y viceversa, cuando el contexto lo requiera.</w:t>
      </w:r>
    </w:p>
    <w:p w14:paraId="0194B338" w14:textId="77777777" w:rsidR="00460695" w:rsidRPr="00DB4983" w:rsidRDefault="00460695" w:rsidP="00DB4983">
      <w:pPr>
        <w:numPr>
          <w:ilvl w:val="0"/>
          <w:numId w:val="10"/>
        </w:numPr>
        <w:tabs>
          <w:tab w:val="left" w:pos="993"/>
        </w:tabs>
        <w:spacing w:after="200" w:line="276" w:lineRule="auto"/>
        <w:ind w:left="709" w:right="709"/>
        <w:jc w:val="both"/>
        <w:rPr>
          <w:rFonts w:ascii="Arial" w:eastAsia="Calibri" w:hAnsi="Arial" w:cs="Arial"/>
          <w:i/>
          <w:iCs/>
          <w:color w:val="000000"/>
          <w:sz w:val="21"/>
          <w:szCs w:val="21"/>
          <w:lang w:val="es-MX" w:eastAsia="es-ES_tradnl"/>
        </w:rPr>
      </w:pPr>
      <w:r w:rsidRPr="00DB4983">
        <w:rPr>
          <w:rFonts w:ascii="Arial" w:eastAsia="Calibri" w:hAnsi="Arial" w:cs="Arial"/>
          <w:i/>
          <w:iCs/>
          <w:color w:val="000000"/>
          <w:sz w:val="21"/>
          <w:szCs w:val="21"/>
          <w:lang w:val="es-MX" w:eastAsia="es-ES_tradnl"/>
        </w:rPr>
        <w:t xml:space="preserve">Los plazos en días establecidos en este Pliego de Condiciones se entienden como hábiles, salvo que de manera expresa la ley o la Entidad indique que se trata de calendario o de meses. Cuando el vencimiento de un plazo corresponda a un día no hábil o no laboral para la Entidad este se trasladará al día hábil siguiente. </w:t>
      </w:r>
    </w:p>
    <w:p w14:paraId="40AC2DF5" w14:textId="77777777" w:rsidR="00460695" w:rsidRPr="00DB4983" w:rsidRDefault="00460695" w:rsidP="00DB4983">
      <w:pPr>
        <w:numPr>
          <w:ilvl w:val="0"/>
          <w:numId w:val="10"/>
        </w:numPr>
        <w:tabs>
          <w:tab w:val="left" w:pos="993"/>
        </w:tabs>
        <w:spacing w:after="200" w:line="276" w:lineRule="auto"/>
        <w:ind w:left="709" w:right="709"/>
        <w:jc w:val="both"/>
        <w:rPr>
          <w:rFonts w:ascii="Arial" w:eastAsia="Calibri" w:hAnsi="Arial" w:cs="Arial"/>
          <w:i/>
          <w:iCs/>
          <w:color w:val="000000"/>
          <w:sz w:val="21"/>
          <w:szCs w:val="21"/>
          <w:lang w:val="es-MX" w:eastAsia="es-ES_tradnl"/>
        </w:rPr>
      </w:pPr>
      <w:r w:rsidRPr="00DB4983">
        <w:rPr>
          <w:rFonts w:ascii="Arial" w:eastAsia="Calibri" w:hAnsi="Arial" w:cs="Arial"/>
          <w:i/>
          <w:iCs/>
          <w:color w:val="000000"/>
          <w:sz w:val="21"/>
          <w:szCs w:val="21"/>
          <w:lang w:val="es-MX" w:eastAsia="es-ES_tradnl"/>
        </w:rPr>
        <w:t>Las palabras definidas en este Pliego de Condiciones deben entenderse en dicho sentido.</w:t>
      </w:r>
    </w:p>
    <w:p w14:paraId="286BD5D7" w14:textId="77777777" w:rsidR="00460695" w:rsidRPr="00DB4983" w:rsidRDefault="00460695" w:rsidP="00DB4983">
      <w:pPr>
        <w:numPr>
          <w:ilvl w:val="0"/>
          <w:numId w:val="10"/>
        </w:numPr>
        <w:tabs>
          <w:tab w:val="left" w:pos="993"/>
        </w:tabs>
        <w:spacing w:after="200" w:line="276" w:lineRule="auto"/>
        <w:ind w:left="709" w:right="709"/>
        <w:jc w:val="both"/>
        <w:rPr>
          <w:rFonts w:ascii="Arial" w:eastAsia="Calibri" w:hAnsi="Arial" w:cs="Arial"/>
          <w:i/>
          <w:iCs/>
          <w:color w:val="000000"/>
          <w:sz w:val="21"/>
          <w:szCs w:val="21"/>
          <w:lang w:val="es-MX" w:eastAsia="es-ES_tradnl"/>
        </w:rPr>
      </w:pPr>
      <w:r w:rsidRPr="00DB4983">
        <w:rPr>
          <w:rFonts w:ascii="Arial" w:eastAsia="Calibri" w:hAnsi="Arial" w:cs="Arial"/>
          <w:i/>
          <w:iCs/>
          <w:color w:val="000000"/>
          <w:sz w:val="21"/>
          <w:szCs w:val="21"/>
          <w:lang w:val="es-MX" w:eastAsia="es-ES_tradnl"/>
        </w:rPr>
        <w:t>Las referencias a normas jurídicas incluyen las disposiciones que las modifiquen, adicionen, sustituyan o complementen.</w:t>
      </w:r>
    </w:p>
    <w:p w14:paraId="4BF76322" w14:textId="77777777" w:rsidR="00460695" w:rsidRPr="00DB4983" w:rsidRDefault="00460695" w:rsidP="00DB4983">
      <w:pPr>
        <w:numPr>
          <w:ilvl w:val="0"/>
          <w:numId w:val="10"/>
        </w:numPr>
        <w:tabs>
          <w:tab w:val="left" w:pos="993"/>
        </w:tabs>
        <w:spacing w:after="200" w:line="276" w:lineRule="auto"/>
        <w:ind w:left="709" w:right="709"/>
        <w:jc w:val="both"/>
        <w:rPr>
          <w:rFonts w:ascii="Arial" w:eastAsia="Calibri" w:hAnsi="Arial" w:cs="Arial"/>
          <w:i/>
          <w:iCs/>
          <w:color w:val="000000"/>
          <w:sz w:val="21"/>
          <w:szCs w:val="21"/>
          <w:lang w:val="es-MX" w:eastAsia="es-ES_tradnl"/>
        </w:rPr>
      </w:pPr>
      <w:r w:rsidRPr="00DB4983">
        <w:rPr>
          <w:rFonts w:ascii="Arial" w:eastAsia="Calibri" w:hAnsi="Arial" w:cs="Arial"/>
          <w:i/>
          <w:iCs/>
          <w:color w:val="000000"/>
          <w:sz w:val="21"/>
          <w:szCs w:val="21"/>
          <w:lang w:val="es-MX" w:eastAsia="es-ES_tradnl"/>
        </w:rPr>
        <w:t>Este pliego se interpretará, además, en lo pertinente, de conformidad con las reglas del Código Civil definidas en los artículos 1618 a 1624».</w:t>
      </w:r>
    </w:p>
    <w:p w14:paraId="6CA2FADF" w14:textId="77777777" w:rsidR="00460695" w:rsidRPr="00304599" w:rsidRDefault="00460695" w:rsidP="00460695">
      <w:pPr>
        <w:tabs>
          <w:tab w:val="left" w:pos="993"/>
        </w:tabs>
        <w:spacing w:line="276" w:lineRule="auto"/>
        <w:ind w:left="720" w:right="709"/>
        <w:jc w:val="both"/>
        <w:rPr>
          <w:rFonts w:ascii="Arial" w:eastAsia="Calibri" w:hAnsi="Arial" w:cs="Arial"/>
          <w:color w:val="000000"/>
          <w:sz w:val="21"/>
          <w:szCs w:val="21"/>
          <w:lang w:val="es-MX" w:eastAsia="es-ES_tradnl"/>
        </w:rPr>
      </w:pPr>
    </w:p>
    <w:p w14:paraId="437F2FF4" w14:textId="77777777" w:rsidR="00460695" w:rsidRPr="00304599" w:rsidRDefault="00460695" w:rsidP="00460695">
      <w:pPr>
        <w:spacing w:line="276" w:lineRule="auto"/>
        <w:ind w:firstLine="708"/>
        <w:jc w:val="both"/>
        <w:rPr>
          <w:rFonts w:ascii="Arial" w:eastAsia="Batang" w:hAnsi="Arial" w:cs="Arial"/>
          <w:sz w:val="22"/>
          <w:szCs w:val="22"/>
          <w:lang w:eastAsia="en-US"/>
        </w:rPr>
      </w:pPr>
      <w:r w:rsidRPr="00304599">
        <w:rPr>
          <w:rFonts w:ascii="Arial" w:eastAsia="Calibri" w:hAnsi="Arial" w:cs="Arial"/>
          <w:sz w:val="22"/>
          <w:szCs w:val="22"/>
          <w:lang w:val="es-MX" w:eastAsia="en-US"/>
        </w:rPr>
        <w:t xml:space="preserve"> </w:t>
      </w:r>
      <w:bookmarkStart w:id="9" w:name="_Hlk97104192"/>
      <w:r w:rsidRPr="00304599">
        <w:rPr>
          <w:rFonts w:ascii="Arial" w:eastAsia="Batang" w:hAnsi="Arial" w:cs="Arial"/>
          <w:sz w:val="22"/>
          <w:szCs w:val="22"/>
          <w:lang w:val="es-MX" w:eastAsia="en-US"/>
        </w:rPr>
        <w:t xml:space="preserve">De acuerdo con las reglas mencionadas, el pliego de condiciones debe interpretarse como un todo, incluyendo los documentos anexos que hacen parte de este, así como todos aquellos documentos que lo fundamentan, como los estudios previos. En tal sentido, acudiendo a estas reglas de interpretación es posible establecer, por ejemplo, que </w:t>
      </w:r>
      <w:r w:rsidRPr="00304599">
        <w:rPr>
          <w:rFonts w:ascii="Arial" w:eastAsia="Batang" w:hAnsi="Arial" w:cs="Arial"/>
          <w:sz w:val="22"/>
          <w:szCs w:val="22"/>
          <w:lang w:eastAsia="en-US"/>
        </w:rPr>
        <w:t xml:space="preserve">en caso de contradicción entre el contenido establecido en los documentos tipo y el incluido por la entidad, proponentes o contratista en los documentos del proceso, primará lo señalado en los Documentos Tipo. </w:t>
      </w:r>
    </w:p>
    <w:p w14:paraId="015F6FB2" w14:textId="77777777" w:rsidR="00460695" w:rsidRPr="00304599" w:rsidRDefault="00460695" w:rsidP="00460695">
      <w:pPr>
        <w:spacing w:line="276" w:lineRule="auto"/>
        <w:ind w:firstLine="708"/>
        <w:jc w:val="both"/>
        <w:rPr>
          <w:rFonts w:ascii="Arial" w:eastAsia="Batang" w:hAnsi="Arial" w:cs="Arial"/>
          <w:sz w:val="22"/>
          <w:szCs w:val="22"/>
          <w:lang w:val="es-MX" w:eastAsia="en-US"/>
        </w:rPr>
      </w:pPr>
      <w:r w:rsidRPr="00304599">
        <w:rPr>
          <w:rFonts w:ascii="Arial" w:eastAsia="Batang" w:hAnsi="Arial" w:cs="Arial"/>
          <w:sz w:val="22"/>
          <w:szCs w:val="22"/>
          <w:lang w:eastAsia="en-US"/>
        </w:rPr>
        <w:t xml:space="preserve">También se podrá acudir, en lo pertinente, a las reglas de interpretación </w:t>
      </w:r>
      <w:r w:rsidRPr="00304599">
        <w:rPr>
          <w:rFonts w:ascii="Arial" w:eastAsia="Batang" w:hAnsi="Arial" w:cs="Arial"/>
          <w:sz w:val="22"/>
          <w:szCs w:val="22"/>
          <w:lang w:val="es-MX" w:eastAsia="en-US"/>
        </w:rPr>
        <w:t>objetivas y subjetivas</w:t>
      </w:r>
      <w:r w:rsidRPr="00304599">
        <w:rPr>
          <w:rFonts w:ascii="Arial" w:eastAsia="Batang" w:hAnsi="Arial" w:cs="Arial"/>
          <w:sz w:val="22"/>
          <w:szCs w:val="22"/>
          <w:vertAlign w:val="superscript"/>
          <w:lang w:val="es-MX" w:eastAsia="en-US"/>
        </w:rPr>
        <w:footnoteReference w:id="14"/>
      </w:r>
      <w:r w:rsidRPr="00304599">
        <w:rPr>
          <w:rFonts w:ascii="Arial" w:eastAsia="Batang" w:hAnsi="Arial" w:cs="Arial"/>
          <w:sz w:val="22"/>
          <w:szCs w:val="22"/>
          <w:lang w:val="es-MX" w:eastAsia="en-US"/>
        </w:rPr>
        <w:t xml:space="preserve"> conforme a los artículos 1618 a 1624 del Código Civil. Las primeras son las siguientes: i) una vez conocida la intención de los contratantes ha de estarse más a ella que a lo literal de las palabras (artículo 1618 del Código Civil); ii) </w:t>
      </w:r>
      <w:r w:rsidRPr="00304599">
        <w:rPr>
          <w:rFonts w:ascii="Arial" w:eastAsia="Batang" w:hAnsi="Arial" w:cs="Arial"/>
          <w:sz w:val="22"/>
          <w:szCs w:val="22"/>
          <w:lang w:eastAsia="en-US"/>
        </w:rPr>
        <w:t xml:space="preserve">las estipulaciones de un </w:t>
      </w:r>
      <w:r w:rsidRPr="00304599">
        <w:rPr>
          <w:rFonts w:ascii="Arial" w:eastAsia="Batang" w:hAnsi="Arial" w:cs="Arial"/>
          <w:sz w:val="22"/>
          <w:szCs w:val="22"/>
          <w:lang w:eastAsia="en-US"/>
        </w:rPr>
        <w:lastRenderedPageBreak/>
        <w:t xml:space="preserve">contrato pueden interpretarse por la de otro que las partes hayan celebrado sobre la misma materia o por la aplicación práctica que de ellas hayan hecho (artículo 1622, incisos 2 y 3 </w:t>
      </w:r>
      <w:proofErr w:type="spellStart"/>
      <w:r w:rsidRPr="00304599">
        <w:rPr>
          <w:rFonts w:ascii="Arial" w:eastAsia="Batang" w:hAnsi="Arial" w:cs="Arial"/>
          <w:i/>
          <w:iCs/>
          <w:sz w:val="22"/>
          <w:szCs w:val="22"/>
          <w:lang w:eastAsia="en-US"/>
        </w:rPr>
        <w:t>ibídem</w:t>
      </w:r>
      <w:bookmarkStart w:id="10" w:name="_Hlk96265254"/>
      <w:proofErr w:type="spellEnd"/>
      <w:r w:rsidRPr="00304599">
        <w:rPr>
          <w:rFonts w:ascii="Arial" w:eastAsia="Batang" w:hAnsi="Arial" w:cs="Arial"/>
          <w:sz w:val="22"/>
          <w:szCs w:val="22"/>
          <w:lang w:eastAsia="en-US"/>
        </w:rPr>
        <w:t xml:space="preserve">); </w:t>
      </w:r>
      <w:proofErr w:type="spellStart"/>
      <w:r w:rsidRPr="00304599">
        <w:rPr>
          <w:rFonts w:ascii="Arial" w:eastAsia="Batang" w:hAnsi="Arial" w:cs="Arial"/>
          <w:sz w:val="22"/>
          <w:szCs w:val="22"/>
          <w:lang w:eastAsia="en-US"/>
        </w:rPr>
        <w:t>iii</w:t>
      </w:r>
      <w:proofErr w:type="spellEnd"/>
      <w:r w:rsidRPr="00304599">
        <w:rPr>
          <w:rFonts w:ascii="Arial" w:eastAsia="Batang" w:hAnsi="Arial" w:cs="Arial"/>
          <w:sz w:val="22"/>
          <w:szCs w:val="22"/>
          <w:lang w:eastAsia="en-US"/>
        </w:rPr>
        <w:t xml:space="preserve">) las cláusulas deben interpretarse unas por otras, dándole a cada una el sentido que más convenga al contrato en su totalidad (artículo 1622, inciso 1 </w:t>
      </w:r>
      <w:proofErr w:type="spellStart"/>
      <w:r w:rsidRPr="00304599">
        <w:rPr>
          <w:rFonts w:ascii="Arial" w:eastAsia="Batang" w:hAnsi="Arial" w:cs="Arial"/>
          <w:i/>
          <w:iCs/>
          <w:sz w:val="22"/>
          <w:szCs w:val="22"/>
          <w:lang w:eastAsia="en-US"/>
        </w:rPr>
        <w:t>ibídem</w:t>
      </w:r>
      <w:proofErr w:type="spellEnd"/>
      <w:r w:rsidRPr="00304599">
        <w:rPr>
          <w:rFonts w:ascii="Arial" w:eastAsia="Batang" w:hAnsi="Arial" w:cs="Arial"/>
          <w:sz w:val="22"/>
          <w:szCs w:val="22"/>
          <w:lang w:eastAsia="en-US"/>
        </w:rPr>
        <w:t xml:space="preserve">); </w:t>
      </w:r>
      <w:proofErr w:type="spellStart"/>
      <w:r w:rsidRPr="00304599">
        <w:rPr>
          <w:rFonts w:ascii="Arial" w:eastAsia="Batang" w:hAnsi="Arial" w:cs="Arial"/>
          <w:sz w:val="22"/>
          <w:szCs w:val="22"/>
          <w:lang w:eastAsia="en-US"/>
        </w:rPr>
        <w:t>iv</w:t>
      </w:r>
      <w:proofErr w:type="spellEnd"/>
      <w:r w:rsidRPr="00304599">
        <w:rPr>
          <w:rFonts w:ascii="Arial" w:eastAsia="Batang" w:hAnsi="Arial" w:cs="Arial"/>
          <w:sz w:val="22"/>
          <w:szCs w:val="22"/>
          <w:lang w:eastAsia="en-US"/>
        </w:rPr>
        <w:t xml:space="preserve">) si en un contrato se expresa un caso para explicar la obligación se entiende que esa mención no es restrictiva sino ejemplificativa (artículo 1623 </w:t>
      </w:r>
      <w:proofErr w:type="spellStart"/>
      <w:r w:rsidRPr="00304599">
        <w:rPr>
          <w:rFonts w:ascii="Arial" w:eastAsia="Batang" w:hAnsi="Arial" w:cs="Arial"/>
          <w:i/>
          <w:iCs/>
          <w:sz w:val="22"/>
          <w:szCs w:val="22"/>
          <w:lang w:eastAsia="en-US"/>
        </w:rPr>
        <w:t>ibídem</w:t>
      </w:r>
      <w:proofErr w:type="spellEnd"/>
      <w:r w:rsidRPr="00304599">
        <w:rPr>
          <w:rFonts w:ascii="Arial" w:eastAsia="Batang" w:hAnsi="Arial" w:cs="Arial"/>
          <w:sz w:val="22"/>
          <w:szCs w:val="22"/>
          <w:lang w:eastAsia="en-US"/>
        </w:rPr>
        <w:t xml:space="preserve">); y v) se entiende que las expresiones generales contenidas en el negocio únicamente se aplican a la materia sobre la que se ha contratado (artículo 1619, inciso 2 </w:t>
      </w:r>
      <w:proofErr w:type="spellStart"/>
      <w:r w:rsidRPr="00304599">
        <w:rPr>
          <w:rFonts w:ascii="Arial" w:eastAsia="Batang" w:hAnsi="Arial" w:cs="Arial"/>
          <w:i/>
          <w:iCs/>
          <w:sz w:val="22"/>
          <w:szCs w:val="22"/>
          <w:lang w:eastAsia="en-US"/>
        </w:rPr>
        <w:t>ibídem</w:t>
      </w:r>
      <w:proofErr w:type="spellEnd"/>
      <w:r w:rsidRPr="00304599">
        <w:rPr>
          <w:rFonts w:ascii="Arial" w:eastAsia="Batang" w:hAnsi="Arial" w:cs="Arial"/>
          <w:sz w:val="22"/>
          <w:szCs w:val="22"/>
          <w:lang w:eastAsia="en-US"/>
        </w:rPr>
        <w:t xml:space="preserve">). Las segundas son estas: vi) </w:t>
      </w:r>
      <w:r w:rsidRPr="00304599">
        <w:rPr>
          <w:rFonts w:ascii="Arial" w:eastAsia="Batang" w:hAnsi="Arial" w:cs="Arial"/>
          <w:sz w:val="22"/>
          <w:szCs w:val="22"/>
          <w:lang w:val="es-MX" w:eastAsia="en-US"/>
        </w:rPr>
        <w:t xml:space="preserve">el sentido en que una cláusula pueda producir algún efecto deberá preferirse a aquel en que no produzca efecto alguno </w:t>
      </w:r>
      <w:r w:rsidRPr="00304599">
        <w:rPr>
          <w:rFonts w:ascii="Arial" w:eastAsia="Batang" w:hAnsi="Arial" w:cs="Arial"/>
          <w:sz w:val="22"/>
          <w:szCs w:val="22"/>
          <w:lang w:eastAsia="en-US"/>
        </w:rPr>
        <w:t xml:space="preserve">(artículo 1620 </w:t>
      </w:r>
      <w:proofErr w:type="spellStart"/>
      <w:r w:rsidRPr="00304599">
        <w:rPr>
          <w:rFonts w:ascii="Arial" w:eastAsia="Batang" w:hAnsi="Arial" w:cs="Arial"/>
          <w:i/>
          <w:iCs/>
          <w:sz w:val="22"/>
          <w:szCs w:val="22"/>
          <w:lang w:eastAsia="en-US"/>
        </w:rPr>
        <w:t>ibídem</w:t>
      </w:r>
      <w:proofErr w:type="spellEnd"/>
      <w:r w:rsidRPr="00304599">
        <w:rPr>
          <w:rFonts w:ascii="Arial" w:eastAsia="Batang" w:hAnsi="Arial" w:cs="Arial"/>
          <w:sz w:val="22"/>
          <w:szCs w:val="22"/>
          <w:lang w:eastAsia="en-US"/>
        </w:rPr>
        <w:t xml:space="preserve">); </w:t>
      </w:r>
      <w:proofErr w:type="spellStart"/>
      <w:r w:rsidRPr="00304599">
        <w:rPr>
          <w:rFonts w:ascii="Arial" w:eastAsia="Batang" w:hAnsi="Arial" w:cs="Arial"/>
          <w:sz w:val="22"/>
          <w:szCs w:val="22"/>
          <w:lang w:eastAsia="en-US"/>
        </w:rPr>
        <w:t>vii</w:t>
      </w:r>
      <w:proofErr w:type="spellEnd"/>
      <w:r w:rsidRPr="00304599">
        <w:rPr>
          <w:rFonts w:ascii="Arial" w:eastAsia="Batang" w:hAnsi="Arial" w:cs="Arial"/>
          <w:sz w:val="22"/>
          <w:szCs w:val="22"/>
          <w:lang w:eastAsia="en-US"/>
        </w:rPr>
        <w:t>)</w:t>
      </w:r>
      <w:r w:rsidRPr="00304599">
        <w:rPr>
          <w:rFonts w:ascii="Arial" w:eastAsia="Batang" w:hAnsi="Arial" w:cs="Arial"/>
          <w:sz w:val="22"/>
          <w:szCs w:val="22"/>
          <w:lang w:val="es-MX" w:eastAsia="en-US"/>
        </w:rPr>
        <w:t xml:space="preserve"> deberá estarse a la interpretación que mejor cuadre con la naturaleza del contrato </w:t>
      </w:r>
      <w:r w:rsidRPr="00304599">
        <w:rPr>
          <w:rFonts w:ascii="Arial" w:eastAsia="Batang" w:hAnsi="Arial" w:cs="Arial"/>
          <w:sz w:val="22"/>
          <w:szCs w:val="22"/>
          <w:lang w:eastAsia="en-US"/>
        </w:rPr>
        <w:t xml:space="preserve">(artículo 1621 </w:t>
      </w:r>
      <w:proofErr w:type="spellStart"/>
      <w:r w:rsidRPr="00304599">
        <w:rPr>
          <w:rFonts w:ascii="Arial" w:eastAsia="Batang" w:hAnsi="Arial" w:cs="Arial"/>
          <w:i/>
          <w:iCs/>
          <w:sz w:val="22"/>
          <w:szCs w:val="22"/>
          <w:lang w:eastAsia="en-US"/>
        </w:rPr>
        <w:t>ibídem</w:t>
      </w:r>
      <w:proofErr w:type="spellEnd"/>
      <w:r w:rsidRPr="00304599">
        <w:rPr>
          <w:rFonts w:ascii="Arial" w:eastAsia="Batang" w:hAnsi="Arial" w:cs="Arial"/>
          <w:sz w:val="22"/>
          <w:szCs w:val="22"/>
          <w:lang w:eastAsia="en-US"/>
        </w:rPr>
        <w:t>)</w:t>
      </w:r>
      <w:r w:rsidRPr="00304599">
        <w:rPr>
          <w:rFonts w:ascii="Arial" w:eastAsia="Batang" w:hAnsi="Arial" w:cs="Arial"/>
          <w:sz w:val="22"/>
          <w:szCs w:val="22"/>
          <w:lang w:val="es-MX" w:eastAsia="en-US"/>
        </w:rPr>
        <w:t xml:space="preserve">; viii) las cláusulas ambiguas se interpretan a favor del deudor </w:t>
      </w:r>
      <w:r w:rsidRPr="00304599">
        <w:rPr>
          <w:rFonts w:ascii="Arial" w:eastAsia="Batang" w:hAnsi="Arial" w:cs="Arial"/>
          <w:sz w:val="22"/>
          <w:szCs w:val="22"/>
          <w:lang w:eastAsia="en-US"/>
        </w:rPr>
        <w:t xml:space="preserve">(artículo 1624, inciso 1 </w:t>
      </w:r>
      <w:proofErr w:type="spellStart"/>
      <w:r w:rsidRPr="00304599">
        <w:rPr>
          <w:rFonts w:ascii="Arial" w:eastAsia="Batang" w:hAnsi="Arial" w:cs="Arial"/>
          <w:i/>
          <w:iCs/>
          <w:sz w:val="22"/>
          <w:szCs w:val="22"/>
          <w:lang w:eastAsia="en-US"/>
        </w:rPr>
        <w:t>ibídem</w:t>
      </w:r>
      <w:proofErr w:type="spellEnd"/>
      <w:r w:rsidRPr="00304599">
        <w:rPr>
          <w:rFonts w:ascii="Arial" w:eastAsia="Batang" w:hAnsi="Arial" w:cs="Arial"/>
          <w:sz w:val="22"/>
          <w:szCs w:val="22"/>
          <w:lang w:eastAsia="en-US"/>
        </w:rPr>
        <w:t xml:space="preserve">); y </w:t>
      </w:r>
      <w:proofErr w:type="spellStart"/>
      <w:r w:rsidRPr="00304599">
        <w:rPr>
          <w:rFonts w:ascii="Arial" w:eastAsia="Batang" w:hAnsi="Arial" w:cs="Arial"/>
          <w:sz w:val="22"/>
          <w:szCs w:val="22"/>
          <w:lang w:eastAsia="en-US"/>
        </w:rPr>
        <w:t>ix</w:t>
      </w:r>
      <w:proofErr w:type="spellEnd"/>
      <w:r w:rsidRPr="00304599">
        <w:rPr>
          <w:rFonts w:ascii="Arial" w:eastAsia="Batang" w:hAnsi="Arial" w:cs="Arial"/>
          <w:sz w:val="22"/>
          <w:szCs w:val="22"/>
          <w:lang w:eastAsia="en-US"/>
        </w:rPr>
        <w:t>)</w:t>
      </w:r>
      <w:r w:rsidRPr="00304599">
        <w:rPr>
          <w:rFonts w:ascii="Arial" w:eastAsia="Batang" w:hAnsi="Arial" w:cs="Arial"/>
          <w:sz w:val="22"/>
          <w:szCs w:val="22"/>
          <w:lang w:val="es-MX" w:eastAsia="en-US"/>
        </w:rPr>
        <w:t xml:space="preserve"> las cláusulas oscuras que hayan sido extendidas o dictadas por una parte se interpretarán contra ella si la ambigüedad proviene de una explicación que ésta ha debido dar </w:t>
      </w:r>
      <w:r w:rsidRPr="00304599">
        <w:rPr>
          <w:rFonts w:ascii="Arial" w:eastAsia="Batang" w:hAnsi="Arial" w:cs="Arial"/>
          <w:sz w:val="22"/>
          <w:szCs w:val="22"/>
          <w:lang w:eastAsia="en-US"/>
        </w:rPr>
        <w:t xml:space="preserve">(artículo 1624, inciso 2 </w:t>
      </w:r>
      <w:proofErr w:type="spellStart"/>
      <w:r w:rsidRPr="00304599">
        <w:rPr>
          <w:rFonts w:ascii="Arial" w:eastAsia="Batang" w:hAnsi="Arial" w:cs="Arial"/>
          <w:i/>
          <w:iCs/>
          <w:sz w:val="22"/>
          <w:szCs w:val="22"/>
          <w:lang w:eastAsia="en-US"/>
        </w:rPr>
        <w:t>ibídem</w:t>
      </w:r>
      <w:proofErr w:type="spellEnd"/>
      <w:r w:rsidRPr="00304599">
        <w:rPr>
          <w:rFonts w:ascii="Arial" w:eastAsia="Batang" w:hAnsi="Arial" w:cs="Arial"/>
          <w:sz w:val="22"/>
          <w:szCs w:val="22"/>
          <w:lang w:eastAsia="en-US"/>
        </w:rPr>
        <w:t>)</w:t>
      </w:r>
      <w:r w:rsidRPr="00304599">
        <w:rPr>
          <w:rFonts w:ascii="Arial" w:eastAsia="Batang" w:hAnsi="Arial" w:cs="Arial"/>
          <w:sz w:val="22"/>
          <w:szCs w:val="22"/>
          <w:lang w:val="es-MX" w:eastAsia="en-US"/>
        </w:rPr>
        <w:t xml:space="preserve">. </w:t>
      </w:r>
      <w:bookmarkEnd w:id="10"/>
    </w:p>
    <w:p w14:paraId="454CC127" w14:textId="77777777" w:rsidR="00460695" w:rsidRPr="00304599" w:rsidRDefault="00460695" w:rsidP="00460695">
      <w:pPr>
        <w:spacing w:line="276" w:lineRule="auto"/>
        <w:ind w:firstLine="708"/>
        <w:jc w:val="both"/>
        <w:rPr>
          <w:rFonts w:ascii="Arial" w:eastAsia="Batang" w:hAnsi="Arial" w:cs="Arial"/>
          <w:sz w:val="22"/>
          <w:szCs w:val="22"/>
          <w:lang w:val="es-MX" w:eastAsia="en-US"/>
        </w:rPr>
      </w:pPr>
    </w:p>
    <w:p w14:paraId="2C9AC592" w14:textId="77777777" w:rsidR="00460695" w:rsidRPr="00304599" w:rsidRDefault="00460695" w:rsidP="00460695">
      <w:pPr>
        <w:spacing w:line="276" w:lineRule="auto"/>
        <w:ind w:firstLine="708"/>
        <w:jc w:val="both"/>
        <w:rPr>
          <w:rFonts w:ascii="Arial" w:eastAsia="Batang" w:hAnsi="Arial" w:cs="Arial"/>
          <w:sz w:val="22"/>
          <w:szCs w:val="22"/>
          <w:lang w:val="es-MX" w:eastAsia="en-US"/>
        </w:rPr>
      </w:pPr>
      <w:r w:rsidRPr="00304599">
        <w:rPr>
          <w:rFonts w:ascii="Arial" w:eastAsia="Batang" w:hAnsi="Arial" w:cs="Arial"/>
          <w:sz w:val="22"/>
          <w:szCs w:val="22"/>
          <w:lang w:eastAsia="en-US"/>
        </w:rPr>
        <w:t xml:space="preserve">Sin embargo, </w:t>
      </w:r>
      <w:bookmarkStart w:id="11" w:name="_Hlk96265891"/>
      <w:r w:rsidRPr="00304599">
        <w:rPr>
          <w:rFonts w:ascii="Arial" w:eastAsia="Batang" w:hAnsi="Arial" w:cs="Arial"/>
          <w:sz w:val="22"/>
          <w:szCs w:val="22"/>
          <w:lang w:eastAsia="en-US"/>
        </w:rPr>
        <w:t xml:space="preserve">la aplicación de estos criterios siempre deberá tener en cuenta las circunstancias concretas de cada caso en particular, de manera que la entidad pueda optar por la interpretación que más se adecúe a la finalidad que persigue con el documento y sus anexos. </w:t>
      </w:r>
      <w:r w:rsidRPr="00304599">
        <w:rPr>
          <w:rFonts w:ascii="Arial" w:eastAsia="Batang" w:hAnsi="Arial" w:cs="Arial"/>
          <w:sz w:val="22"/>
          <w:szCs w:val="22"/>
          <w:lang w:val="es-MX" w:eastAsia="en-US"/>
        </w:rPr>
        <w:t xml:space="preserve">De todos modos, en caso de que el desacuerdo sobre el sentido o alcance de los documentos del proceso de contratación persista una vez aplicada las pautas anteriores, corresponde a los jueces de lo contencioso administrativo interpretar cuál de los documentos prevalece. Por tanto, es necesario señalar en que no es posible establecer </w:t>
      </w:r>
      <w:r w:rsidRPr="00304599">
        <w:rPr>
          <w:rFonts w:ascii="Arial" w:eastAsia="Batang" w:hAnsi="Arial" w:cs="Arial"/>
          <w:i/>
          <w:iCs/>
          <w:sz w:val="22"/>
          <w:szCs w:val="22"/>
          <w:lang w:val="es-MX" w:eastAsia="en-US"/>
        </w:rPr>
        <w:t xml:space="preserve">ex ante </w:t>
      </w:r>
      <w:r w:rsidRPr="00304599">
        <w:rPr>
          <w:rFonts w:ascii="Arial" w:eastAsia="Batang" w:hAnsi="Arial" w:cs="Arial"/>
          <w:sz w:val="22"/>
          <w:szCs w:val="22"/>
          <w:lang w:val="es-MX" w:eastAsia="en-US"/>
        </w:rPr>
        <w:t>la validez o prevalencia jurídica de los documentos contractuales, pues estos deben valorarse integralmente, de acuerdo con las reglas anteriormente expuestas</w:t>
      </w:r>
      <w:bookmarkEnd w:id="11"/>
      <w:r w:rsidRPr="00304599">
        <w:rPr>
          <w:rFonts w:ascii="Arial" w:eastAsia="Batang" w:hAnsi="Arial" w:cs="Arial"/>
          <w:sz w:val="22"/>
          <w:szCs w:val="22"/>
          <w:lang w:val="es-MX" w:eastAsia="en-US"/>
        </w:rPr>
        <w:t xml:space="preserve"> </w:t>
      </w:r>
      <w:r w:rsidRPr="00304599">
        <w:rPr>
          <w:rFonts w:ascii="Arial" w:eastAsia="Calibri" w:hAnsi="Arial" w:cs="Arial"/>
          <w:sz w:val="22"/>
          <w:szCs w:val="22"/>
          <w:lang w:val="es-MX" w:eastAsia="en-US"/>
        </w:rPr>
        <w:t>y atendiendo a las circunstancias adicionales de cada proceso</w:t>
      </w:r>
      <w:r w:rsidRPr="00304599">
        <w:rPr>
          <w:rFonts w:ascii="Arial" w:eastAsia="Batang" w:hAnsi="Arial" w:cs="Arial"/>
          <w:sz w:val="22"/>
          <w:szCs w:val="22"/>
          <w:vertAlign w:val="superscript"/>
          <w:lang w:val="es-MX" w:eastAsia="en-US"/>
        </w:rPr>
        <w:footnoteReference w:id="15"/>
      </w:r>
      <w:r w:rsidRPr="00304599">
        <w:rPr>
          <w:rFonts w:ascii="Arial" w:eastAsia="Batang" w:hAnsi="Arial" w:cs="Arial"/>
          <w:sz w:val="22"/>
          <w:szCs w:val="22"/>
          <w:lang w:val="es-MX" w:eastAsia="en-US"/>
        </w:rPr>
        <w:t>.</w:t>
      </w:r>
    </w:p>
    <w:p w14:paraId="489A2D28" w14:textId="77777777" w:rsidR="00460695" w:rsidRPr="00304599" w:rsidRDefault="00460695" w:rsidP="00460695">
      <w:pPr>
        <w:spacing w:line="276" w:lineRule="auto"/>
        <w:ind w:firstLine="708"/>
        <w:jc w:val="both"/>
        <w:rPr>
          <w:rFonts w:ascii="Arial" w:eastAsia="Batang" w:hAnsi="Arial" w:cs="Arial"/>
          <w:sz w:val="22"/>
          <w:szCs w:val="22"/>
          <w:lang w:val="es-MX" w:eastAsia="en-US"/>
        </w:rPr>
      </w:pPr>
    </w:p>
    <w:p w14:paraId="5DC33D6F" w14:textId="77777777" w:rsidR="00460695" w:rsidRPr="00DB4983" w:rsidRDefault="00460695" w:rsidP="00460695">
      <w:pPr>
        <w:spacing w:line="276" w:lineRule="auto"/>
        <w:ind w:firstLine="708"/>
        <w:jc w:val="both"/>
        <w:rPr>
          <w:rFonts w:ascii="Arial" w:eastAsia="Calibri" w:hAnsi="Arial" w:cs="Arial"/>
          <w:i/>
          <w:iCs/>
          <w:sz w:val="22"/>
          <w:szCs w:val="22"/>
          <w:lang w:val="es-MX" w:eastAsia="en-US"/>
        </w:rPr>
      </w:pPr>
      <w:r w:rsidRPr="00304599">
        <w:rPr>
          <w:rFonts w:ascii="Arial" w:eastAsia="Calibri" w:hAnsi="Arial" w:cs="Arial"/>
          <w:sz w:val="22"/>
          <w:szCs w:val="22"/>
          <w:lang w:val="es-MX" w:eastAsia="en-US"/>
        </w:rPr>
        <w:t xml:space="preserve">En esta medida es necesario acudir a las reglas de interpretación de los contratos e identificar el «querer negocial» de las partes, pues la jurisprudencia explica que: </w:t>
      </w:r>
      <w:r w:rsidRPr="00DB4983">
        <w:rPr>
          <w:rFonts w:ascii="Arial" w:eastAsia="Calibri" w:hAnsi="Arial" w:cs="Arial"/>
          <w:i/>
          <w:iCs/>
          <w:sz w:val="22"/>
          <w:szCs w:val="22"/>
          <w:lang w:val="es-MX" w:eastAsia="en-US"/>
        </w:rPr>
        <w:t>«La interpretación del negocio jurídico, cuando de contratos se trata, no tiene como objeto primario el establecer el querer dispositivo de cada uno de los contratantes individualmente considerado sino la intención común de todos ellos toda vez que el contrato es en últimas el resultado de la convergencia de sus designios negociales».</w:t>
      </w:r>
    </w:p>
    <w:p w14:paraId="2618A65D" w14:textId="77777777" w:rsidR="00460695" w:rsidRPr="00304599" w:rsidRDefault="00460695" w:rsidP="00460695">
      <w:pPr>
        <w:spacing w:line="276" w:lineRule="auto"/>
        <w:ind w:firstLine="708"/>
        <w:jc w:val="both"/>
        <w:rPr>
          <w:rFonts w:ascii="Arial" w:eastAsia="Calibri" w:hAnsi="Arial" w:cs="Arial"/>
          <w:sz w:val="22"/>
          <w:szCs w:val="22"/>
          <w:lang w:val="es-MX" w:eastAsia="en-US"/>
        </w:rPr>
      </w:pPr>
    </w:p>
    <w:p w14:paraId="1AB30BDD" w14:textId="24E0C409" w:rsidR="00460695" w:rsidRPr="00304599" w:rsidRDefault="00460695" w:rsidP="00460695">
      <w:pPr>
        <w:spacing w:line="276" w:lineRule="auto"/>
        <w:ind w:firstLine="708"/>
        <w:jc w:val="both"/>
        <w:rPr>
          <w:rFonts w:ascii="Arial" w:eastAsia="Calibri" w:hAnsi="Arial" w:cs="Arial"/>
          <w:sz w:val="22"/>
          <w:szCs w:val="22"/>
          <w:lang w:val="es-MX" w:eastAsia="en-US"/>
        </w:rPr>
      </w:pPr>
      <w:r w:rsidRPr="00304599">
        <w:rPr>
          <w:rFonts w:ascii="Arial" w:eastAsia="Calibri" w:hAnsi="Arial" w:cs="Arial"/>
          <w:sz w:val="22"/>
          <w:szCs w:val="22"/>
          <w:lang w:val="es-MX" w:eastAsia="en-US"/>
        </w:rPr>
        <w:t>Así las cosas, ante una contradicción entre la información contemplada en</w:t>
      </w:r>
      <w:r w:rsidRPr="00304599">
        <w:rPr>
          <w:rFonts w:ascii="Arial" w:eastAsia="Calibri" w:hAnsi="Arial" w:cs="Arial"/>
          <w:color w:val="000000"/>
          <w:sz w:val="22"/>
          <w:szCs w:val="22"/>
          <w:lang w:val="es-ES" w:eastAsia="en-US" w:bidi="es-ES"/>
        </w:rPr>
        <w:t xml:space="preserve"> </w:t>
      </w:r>
      <w:r w:rsidRPr="00304599">
        <w:rPr>
          <w:rFonts w:ascii="Arial" w:eastAsia="Calibri" w:hAnsi="Arial" w:cs="Arial"/>
          <w:color w:val="000000"/>
          <w:sz w:val="22"/>
          <w:szCs w:val="22"/>
          <w:lang w:val="es-MX" w:eastAsia="en-US"/>
        </w:rPr>
        <w:t xml:space="preserve">la información suministrada por la Entidad o alguna de las respuestas a las observaciones </w:t>
      </w:r>
      <w:r w:rsidRPr="00304599">
        <w:rPr>
          <w:rFonts w:ascii="Arial" w:eastAsia="Calibri" w:hAnsi="Arial" w:cs="Arial"/>
          <w:color w:val="000000"/>
          <w:sz w:val="22"/>
          <w:szCs w:val="22"/>
          <w:lang w:val="es-MX" w:eastAsia="en-US"/>
        </w:rPr>
        <w:lastRenderedPageBreak/>
        <w:t xml:space="preserve">presentadas en el curso del proceso </w:t>
      </w:r>
      <w:r w:rsidRPr="00304599">
        <w:rPr>
          <w:rFonts w:ascii="Arial" w:eastAsia="Calibri" w:hAnsi="Arial" w:cs="Arial"/>
          <w:sz w:val="22"/>
          <w:szCs w:val="22"/>
          <w:lang w:val="es-MX" w:eastAsia="en-US"/>
        </w:rPr>
        <w:t xml:space="preserve">y la información contenida en el documento tipo base los proceso de infraestructura social, se analizarán las circunstancias en concreto de cara a los principios de la contratación estatal, de manera que la entidad adoptará la decisión que más se ajuste a la finalidad del proceso de contratación teniendo en cuenta las pautas interpretativas del numeral 1.17. del documento tipo. Lo anterior, sin perjuicio de la eventual responsabilidad en caso de vulnerar la regla de inalterabilidad de los documentos tipo. </w:t>
      </w:r>
    </w:p>
    <w:p w14:paraId="61DADB19" w14:textId="77777777" w:rsidR="00460695" w:rsidRPr="00304599" w:rsidRDefault="00460695" w:rsidP="00460695">
      <w:pPr>
        <w:spacing w:line="276" w:lineRule="auto"/>
        <w:ind w:firstLine="708"/>
        <w:jc w:val="both"/>
        <w:rPr>
          <w:rFonts w:ascii="Arial" w:eastAsia="Calibri" w:hAnsi="Arial" w:cs="Arial"/>
          <w:sz w:val="22"/>
          <w:szCs w:val="22"/>
          <w:lang w:val="es-MX" w:eastAsia="en-US"/>
        </w:rPr>
      </w:pPr>
    </w:p>
    <w:bookmarkEnd w:id="9"/>
    <w:p w14:paraId="241448AB" w14:textId="77777777" w:rsidR="00460695" w:rsidRPr="00304599" w:rsidRDefault="00460695" w:rsidP="00460695">
      <w:pPr>
        <w:spacing w:line="276" w:lineRule="auto"/>
        <w:jc w:val="both"/>
        <w:rPr>
          <w:rFonts w:ascii="Arial" w:eastAsia="Calibri" w:hAnsi="Arial" w:cs="Arial"/>
          <w:b/>
          <w:bCs/>
          <w:color w:val="000000"/>
          <w:sz w:val="22"/>
          <w:szCs w:val="22"/>
          <w:lang w:val="es-MX" w:eastAsia="en-US"/>
        </w:rPr>
      </w:pPr>
      <w:r w:rsidRPr="00304599">
        <w:rPr>
          <w:rFonts w:ascii="Arial" w:eastAsia="Calibri" w:hAnsi="Arial" w:cs="Arial"/>
          <w:b/>
          <w:bCs/>
          <w:color w:val="000000"/>
          <w:sz w:val="22"/>
          <w:szCs w:val="22"/>
          <w:lang w:val="es-MX" w:eastAsia="en-US"/>
        </w:rPr>
        <w:t>2.4 Revocatoria Directa -Acto de Apertura</w:t>
      </w:r>
    </w:p>
    <w:p w14:paraId="393481E4" w14:textId="77777777" w:rsidR="00460695" w:rsidRPr="00304599" w:rsidRDefault="00460695" w:rsidP="00460695">
      <w:pPr>
        <w:spacing w:line="276" w:lineRule="auto"/>
        <w:jc w:val="both"/>
        <w:rPr>
          <w:rFonts w:ascii="Arial" w:eastAsia="Calibri" w:hAnsi="Arial" w:cs="Arial"/>
          <w:b/>
          <w:bCs/>
          <w:color w:val="000000"/>
          <w:sz w:val="22"/>
          <w:szCs w:val="22"/>
          <w:lang w:val="es-MX" w:eastAsia="en-US"/>
        </w:rPr>
      </w:pPr>
    </w:p>
    <w:p w14:paraId="61CA81CD" w14:textId="77777777" w:rsidR="0035378D" w:rsidRPr="00B220B9" w:rsidRDefault="0035378D" w:rsidP="0035378D">
      <w:pPr>
        <w:suppressAutoHyphens/>
        <w:jc w:val="both"/>
        <w:textDirection w:val="btLr"/>
        <w:textAlignment w:val="top"/>
        <w:rPr>
          <w:rFonts w:ascii="Arial" w:hAnsi="Arial" w:cs="Arial"/>
          <w:sz w:val="22"/>
          <w:szCs w:val="22"/>
          <w:lang w:eastAsia="es-CO"/>
        </w:rPr>
      </w:pPr>
      <w:r w:rsidRPr="00B220B9">
        <w:rPr>
          <w:rFonts w:ascii="Arial" w:hAnsi="Arial" w:cs="Arial"/>
          <w:sz w:val="22"/>
          <w:szCs w:val="22"/>
          <w:lang w:eastAsia="es-CO"/>
        </w:rPr>
        <w:t xml:space="preserve">El acto administrativo de apertura del proceso de licitación agota sus efectos con la adjudicación o la declaratoria de desierta del proceso, según lo previsto en el Estatuto General de Contratación. Sin embargo, este último cuerpo normativo guardó silencio respecto a la posibilidad de revocarlo. </w:t>
      </w:r>
    </w:p>
    <w:p w14:paraId="30E28CAF" w14:textId="77777777" w:rsidR="0035378D" w:rsidRPr="00B220B9" w:rsidRDefault="0035378D" w:rsidP="0035378D">
      <w:pPr>
        <w:suppressAutoHyphens/>
        <w:jc w:val="both"/>
        <w:textDirection w:val="btLr"/>
        <w:textAlignment w:val="top"/>
        <w:rPr>
          <w:rFonts w:ascii="Arial" w:hAnsi="Arial" w:cs="Arial"/>
          <w:sz w:val="22"/>
          <w:szCs w:val="22"/>
          <w:lang w:eastAsia="es-CO"/>
        </w:rPr>
      </w:pPr>
    </w:p>
    <w:p w14:paraId="7E3BEF09" w14:textId="77777777" w:rsidR="0035378D" w:rsidRPr="00B220B9" w:rsidRDefault="0035378D" w:rsidP="0035378D">
      <w:pPr>
        <w:suppressAutoHyphens/>
        <w:jc w:val="both"/>
        <w:textDirection w:val="btLr"/>
        <w:textAlignment w:val="top"/>
        <w:rPr>
          <w:rFonts w:ascii="Arial" w:hAnsi="Arial" w:cs="Arial"/>
          <w:sz w:val="22"/>
          <w:szCs w:val="22"/>
          <w:lang w:eastAsia="es-CO"/>
        </w:rPr>
      </w:pPr>
      <w:r w:rsidRPr="00B220B9">
        <w:rPr>
          <w:rFonts w:ascii="Arial" w:hAnsi="Arial" w:cs="Arial"/>
          <w:sz w:val="22"/>
          <w:szCs w:val="22"/>
          <w:lang w:eastAsia="es-CO"/>
        </w:rPr>
        <w:t>Teniendo en cuenta lo anterior, los Decretos Reglamentarios 066 de 2008, 2474 de 2008 y 734 de 2012 habían previsto la posibilidad de que las Entidades Públicas revocaran el acto administrativo de apertura bajo la condición de que se verificara alguna de las causales contempladas en el artículo 69 del Código Contencioso Administrativo.</w:t>
      </w:r>
    </w:p>
    <w:p w14:paraId="5C4E27D3" w14:textId="77777777" w:rsidR="0035378D" w:rsidRPr="00B220B9" w:rsidRDefault="0035378D" w:rsidP="0035378D">
      <w:pPr>
        <w:suppressAutoHyphens/>
        <w:jc w:val="both"/>
        <w:textDirection w:val="btLr"/>
        <w:textAlignment w:val="top"/>
        <w:rPr>
          <w:rFonts w:ascii="Arial" w:hAnsi="Arial" w:cs="Arial"/>
          <w:sz w:val="22"/>
          <w:szCs w:val="22"/>
          <w:lang w:eastAsia="es-CO"/>
        </w:rPr>
      </w:pPr>
    </w:p>
    <w:p w14:paraId="3D5AB7B9" w14:textId="77777777" w:rsidR="0035378D" w:rsidRPr="00B220B9" w:rsidRDefault="0035378D" w:rsidP="0035378D">
      <w:pPr>
        <w:suppressAutoHyphens/>
        <w:jc w:val="both"/>
        <w:textDirection w:val="btLr"/>
        <w:textAlignment w:val="top"/>
        <w:rPr>
          <w:rFonts w:ascii="Arial" w:hAnsi="Arial" w:cs="Arial"/>
          <w:color w:val="000000"/>
          <w:sz w:val="22"/>
          <w:szCs w:val="22"/>
        </w:rPr>
      </w:pPr>
      <w:r w:rsidRPr="00B220B9">
        <w:rPr>
          <w:rFonts w:ascii="Arial" w:hAnsi="Arial" w:cs="Arial"/>
          <w:sz w:val="22"/>
          <w:szCs w:val="22"/>
          <w:lang w:eastAsia="es-CO"/>
        </w:rPr>
        <w:t xml:space="preserve">Posteriormente con la expedición del Decreto 1510 de 2013, que derogó el decreto 734 de 2012 y actualmente se encuentra compilado en el Decreto 1082 de 2015, </w:t>
      </w:r>
      <w:r w:rsidRPr="00B220B9">
        <w:rPr>
          <w:rFonts w:ascii="Arial" w:hAnsi="Arial" w:cs="Arial"/>
          <w:color w:val="000000"/>
          <w:sz w:val="22"/>
          <w:szCs w:val="22"/>
        </w:rPr>
        <w:t xml:space="preserve">no se reguló la revocatoria del acto de apertura, quedando el tema en estado de incertidumbre. </w:t>
      </w:r>
    </w:p>
    <w:p w14:paraId="5C470787" w14:textId="77777777" w:rsidR="0035378D" w:rsidRPr="00B220B9" w:rsidRDefault="0035378D" w:rsidP="0035378D">
      <w:pPr>
        <w:suppressAutoHyphens/>
        <w:jc w:val="both"/>
        <w:textDirection w:val="btLr"/>
        <w:textAlignment w:val="top"/>
        <w:outlineLvl w:val="0"/>
        <w:rPr>
          <w:rFonts w:ascii="Arial" w:hAnsi="Arial" w:cs="Arial"/>
          <w:color w:val="000000"/>
          <w:sz w:val="22"/>
          <w:szCs w:val="22"/>
        </w:rPr>
      </w:pPr>
    </w:p>
    <w:p w14:paraId="2BF89F49" w14:textId="77777777" w:rsidR="0035378D" w:rsidRPr="00B220B9" w:rsidRDefault="0035378D" w:rsidP="0035378D">
      <w:pPr>
        <w:suppressAutoHyphens/>
        <w:jc w:val="both"/>
        <w:textDirection w:val="btLr"/>
        <w:textAlignment w:val="top"/>
        <w:outlineLvl w:val="0"/>
        <w:rPr>
          <w:rFonts w:ascii="Arial" w:hAnsi="Arial" w:cs="Arial"/>
          <w:color w:val="000000"/>
          <w:sz w:val="22"/>
          <w:szCs w:val="22"/>
        </w:rPr>
      </w:pPr>
      <w:r w:rsidRPr="00B220B9">
        <w:rPr>
          <w:rFonts w:ascii="Arial" w:hAnsi="Arial" w:cs="Arial"/>
          <w:color w:val="000000"/>
          <w:sz w:val="22"/>
          <w:szCs w:val="22"/>
        </w:rPr>
        <w:t>Teniendo en cuenta el contexto descrito, la jurisprudencia de la Sección Tercera del Consejo de Estado ha distinguido 2 momentos para efectos de examinar la posibilidad de revocar de manera unilateral el acto de apertura:</w:t>
      </w:r>
    </w:p>
    <w:p w14:paraId="7C0373CE" w14:textId="77777777" w:rsidR="0035378D" w:rsidRPr="00B220B9" w:rsidRDefault="0035378D" w:rsidP="0035378D">
      <w:pPr>
        <w:suppressAutoHyphens/>
        <w:jc w:val="both"/>
        <w:textDirection w:val="btLr"/>
        <w:textAlignment w:val="top"/>
        <w:outlineLvl w:val="0"/>
        <w:rPr>
          <w:rFonts w:ascii="Arial" w:hAnsi="Arial" w:cs="Arial"/>
          <w:color w:val="000000"/>
          <w:sz w:val="22"/>
          <w:szCs w:val="22"/>
        </w:rPr>
      </w:pPr>
    </w:p>
    <w:p w14:paraId="2B7EA032" w14:textId="77777777" w:rsidR="0035378D" w:rsidRPr="00B220B9" w:rsidRDefault="0035378D" w:rsidP="0035378D">
      <w:pPr>
        <w:pStyle w:val="Prrafodelista"/>
        <w:numPr>
          <w:ilvl w:val="0"/>
          <w:numId w:val="11"/>
        </w:numPr>
        <w:suppressAutoHyphens/>
        <w:spacing w:line="276" w:lineRule="auto"/>
        <w:jc w:val="both"/>
        <w:textDirection w:val="btLr"/>
        <w:textAlignment w:val="top"/>
        <w:outlineLvl w:val="0"/>
        <w:rPr>
          <w:rFonts w:ascii="Arial" w:hAnsi="Arial" w:cs="Arial"/>
          <w:color w:val="000000"/>
          <w:sz w:val="22"/>
        </w:rPr>
      </w:pPr>
      <w:r w:rsidRPr="00B220B9">
        <w:rPr>
          <w:rFonts w:ascii="Arial" w:hAnsi="Arial" w:cs="Arial"/>
          <w:color w:val="000000"/>
          <w:sz w:val="22"/>
        </w:rPr>
        <w:t xml:space="preserve">El primer momento es antes de que se presenten ofertas, en el cual hay unanimidad de criterio respecto a la posibilidad de revocarlo unilateralmente, </w:t>
      </w:r>
      <w:r w:rsidRPr="00B220B9">
        <w:rPr>
          <w:rFonts w:ascii="Arial" w:hAnsi="Arial" w:cs="Arial"/>
          <w:color w:val="000000"/>
          <w:sz w:val="22"/>
          <w:lang w:eastAsia="es-CO"/>
        </w:rPr>
        <w:t>porque no se ha configurado ninguna situación particular</w:t>
      </w:r>
      <w:r w:rsidRPr="00B220B9">
        <w:rPr>
          <w:rFonts w:ascii="Arial" w:hAnsi="Arial" w:cs="Arial"/>
          <w:color w:val="000000"/>
          <w:sz w:val="22"/>
        </w:rPr>
        <w:t xml:space="preserve">. </w:t>
      </w:r>
    </w:p>
    <w:p w14:paraId="33D46978" w14:textId="77777777" w:rsidR="0035378D" w:rsidRPr="00B220B9" w:rsidRDefault="0035378D" w:rsidP="0035378D">
      <w:pPr>
        <w:suppressAutoHyphens/>
        <w:jc w:val="both"/>
        <w:textDirection w:val="btLr"/>
        <w:textAlignment w:val="top"/>
        <w:outlineLvl w:val="0"/>
        <w:rPr>
          <w:rFonts w:ascii="Arial" w:hAnsi="Arial" w:cs="Arial"/>
          <w:color w:val="000000"/>
          <w:sz w:val="22"/>
          <w:szCs w:val="22"/>
        </w:rPr>
      </w:pPr>
    </w:p>
    <w:p w14:paraId="7FD258CC" w14:textId="1EB0EB5F" w:rsidR="0035378D" w:rsidRPr="00DB4983" w:rsidRDefault="0035378D" w:rsidP="00DB4983">
      <w:pPr>
        <w:pStyle w:val="Prrafodelista"/>
        <w:numPr>
          <w:ilvl w:val="0"/>
          <w:numId w:val="11"/>
        </w:numPr>
        <w:suppressAutoHyphens/>
        <w:spacing w:line="276" w:lineRule="auto"/>
        <w:jc w:val="both"/>
        <w:textDirection w:val="btLr"/>
        <w:textAlignment w:val="top"/>
        <w:outlineLvl w:val="0"/>
        <w:rPr>
          <w:rFonts w:ascii="Arial" w:hAnsi="Arial" w:cs="Arial"/>
          <w:color w:val="000000"/>
          <w:sz w:val="22"/>
        </w:rPr>
      </w:pPr>
      <w:r w:rsidRPr="00B220B9">
        <w:rPr>
          <w:rFonts w:ascii="Arial" w:hAnsi="Arial" w:cs="Arial"/>
          <w:color w:val="000000"/>
          <w:sz w:val="22"/>
        </w:rPr>
        <w:t xml:space="preserve">El segundo momento es cuando se presentan las ofertas en el proceso de selección, caso en el cual la jurisprudencia ha planteado 4 tesis, que resuelven el siguiente problema jurídico: </w:t>
      </w:r>
      <w:r w:rsidRPr="00B220B9">
        <w:rPr>
          <w:rFonts w:ascii="Arial" w:hAnsi="Arial" w:cs="Arial"/>
          <w:sz w:val="22"/>
          <w:lang w:eastAsia="es-CO"/>
        </w:rPr>
        <w:t>¿Es revocable de forma unilateral el acto administrativo de apertura cuando se han presentado propuestas en un proceso de selección?</w:t>
      </w:r>
    </w:p>
    <w:p w14:paraId="3B6E0328" w14:textId="77777777" w:rsidR="0035378D" w:rsidRPr="00B220B9" w:rsidRDefault="0035378D" w:rsidP="0035378D">
      <w:pPr>
        <w:suppressAutoHyphens/>
        <w:jc w:val="both"/>
        <w:textDirection w:val="btLr"/>
        <w:textAlignment w:val="top"/>
        <w:outlineLvl w:val="0"/>
        <w:rPr>
          <w:rFonts w:ascii="Arial" w:hAnsi="Arial" w:cs="Arial"/>
          <w:b/>
          <w:bCs/>
          <w:color w:val="000000"/>
          <w:sz w:val="22"/>
          <w:szCs w:val="22"/>
        </w:rPr>
      </w:pPr>
    </w:p>
    <w:p w14:paraId="43A57FF9" w14:textId="77777777" w:rsidR="0035378D" w:rsidRPr="00B220B9" w:rsidRDefault="0035378D" w:rsidP="0035378D">
      <w:pPr>
        <w:suppressAutoHyphens/>
        <w:jc w:val="both"/>
        <w:textDirection w:val="btLr"/>
        <w:textAlignment w:val="top"/>
        <w:outlineLvl w:val="0"/>
        <w:rPr>
          <w:rFonts w:ascii="Arial" w:hAnsi="Arial" w:cs="Arial"/>
          <w:color w:val="000000"/>
          <w:sz w:val="22"/>
          <w:szCs w:val="22"/>
        </w:rPr>
      </w:pPr>
      <w:r w:rsidRPr="00B220B9">
        <w:rPr>
          <w:rFonts w:ascii="Arial" w:hAnsi="Arial" w:cs="Arial"/>
          <w:b/>
          <w:bCs/>
          <w:color w:val="000000"/>
          <w:sz w:val="22"/>
          <w:szCs w:val="22"/>
        </w:rPr>
        <w:t>TESIS 1.</w:t>
      </w:r>
      <w:r w:rsidRPr="00B220B9">
        <w:rPr>
          <w:rFonts w:ascii="Arial" w:hAnsi="Arial" w:cs="Arial"/>
          <w:color w:val="000000"/>
          <w:sz w:val="22"/>
          <w:szCs w:val="22"/>
        </w:rPr>
        <w:t xml:space="preserve"> Antes de adjudicar un proceso de contratación, es revocable de manera unilateral el acto de apertura, siempre </w:t>
      </w:r>
      <w:r w:rsidRPr="00B220B9">
        <w:rPr>
          <w:rFonts w:ascii="Arial" w:hAnsi="Arial" w:cs="Arial"/>
          <w:sz w:val="22"/>
          <w:szCs w:val="22"/>
        </w:rPr>
        <w:t>que concurra alguna causal prevista en el CCA</w:t>
      </w:r>
      <w:r w:rsidRPr="00B220B9">
        <w:rPr>
          <w:rFonts w:ascii="Arial" w:hAnsi="Arial" w:cs="Arial"/>
          <w:color w:val="000000"/>
          <w:sz w:val="22"/>
          <w:szCs w:val="22"/>
        </w:rPr>
        <w:t>.</w:t>
      </w:r>
    </w:p>
    <w:p w14:paraId="3F2B42A8" w14:textId="77777777" w:rsidR="0035378D" w:rsidRPr="00B220B9" w:rsidRDefault="0035378D" w:rsidP="0035378D">
      <w:pPr>
        <w:suppressAutoHyphens/>
        <w:jc w:val="both"/>
        <w:textDirection w:val="btLr"/>
        <w:textAlignment w:val="top"/>
        <w:outlineLvl w:val="0"/>
        <w:rPr>
          <w:rFonts w:ascii="Arial" w:eastAsia="Arial" w:hAnsi="Arial" w:cs="Arial"/>
          <w:sz w:val="22"/>
          <w:szCs w:val="22"/>
        </w:rPr>
      </w:pPr>
    </w:p>
    <w:p w14:paraId="79A900A4" w14:textId="4944613F" w:rsidR="0035378D" w:rsidRPr="00B220B9" w:rsidRDefault="0035378D" w:rsidP="0035378D">
      <w:pPr>
        <w:tabs>
          <w:tab w:val="left" w:pos="142"/>
          <w:tab w:val="left" w:pos="9214"/>
        </w:tabs>
        <w:autoSpaceDE w:val="0"/>
        <w:autoSpaceDN w:val="0"/>
        <w:adjustRightInd w:val="0"/>
        <w:jc w:val="both"/>
        <w:rPr>
          <w:rFonts w:ascii="Arial" w:hAnsi="Arial" w:cs="Arial"/>
          <w:sz w:val="22"/>
          <w:szCs w:val="22"/>
        </w:rPr>
      </w:pPr>
      <w:r w:rsidRPr="00B220B9">
        <w:rPr>
          <w:rFonts w:ascii="Arial" w:eastAsia="Arial" w:hAnsi="Arial" w:cs="Arial"/>
          <w:sz w:val="22"/>
          <w:szCs w:val="22"/>
        </w:rPr>
        <w:t xml:space="preserve">Lo anterior en atención a que, ante la falta de una norma que regule aspectos como la </w:t>
      </w:r>
      <w:r w:rsidRPr="00B220B9">
        <w:rPr>
          <w:rFonts w:ascii="Arial" w:eastAsia="Arial" w:hAnsi="Arial" w:cs="Arial"/>
          <w:sz w:val="22"/>
          <w:szCs w:val="22"/>
          <w:lang w:val="es-ES"/>
        </w:rPr>
        <w:t xml:space="preserve">revocabilidad de los actos administrativos expedidos durante la etapa precontractual, </w:t>
      </w:r>
      <w:r w:rsidRPr="00B220B9">
        <w:rPr>
          <w:rFonts w:ascii="Arial" w:eastAsia="Arial" w:hAnsi="Arial" w:cs="Arial"/>
          <w:sz w:val="22"/>
          <w:szCs w:val="22"/>
          <w:lang w:val="es-ES"/>
        </w:rPr>
        <w:lastRenderedPageBreak/>
        <w:t xml:space="preserve">contractual o </w:t>
      </w:r>
      <w:proofErr w:type="spellStart"/>
      <w:r w:rsidRPr="00B220B9">
        <w:rPr>
          <w:rFonts w:ascii="Arial" w:eastAsia="Arial" w:hAnsi="Arial" w:cs="Arial"/>
          <w:sz w:val="22"/>
          <w:szCs w:val="22"/>
          <w:lang w:val="es-ES"/>
        </w:rPr>
        <w:t>pos</w:t>
      </w:r>
      <w:proofErr w:type="spellEnd"/>
      <w:r w:rsidRPr="00B220B9">
        <w:rPr>
          <w:rFonts w:ascii="Arial" w:eastAsia="Arial" w:hAnsi="Arial" w:cs="Arial"/>
          <w:sz w:val="22"/>
          <w:szCs w:val="22"/>
          <w:lang w:val="es-ES"/>
        </w:rPr>
        <w:t>-contractual</w:t>
      </w:r>
      <w:r w:rsidRPr="00B220B9">
        <w:rPr>
          <w:rFonts w:ascii="Arial" w:eastAsia="Arial" w:hAnsi="Arial" w:cs="Arial"/>
          <w:sz w:val="22"/>
          <w:szCs w:val="22"/>
        </w:rPr>
        <w:t xml:space="preserve"> -salvo el acto administrativo de adjudicación que sí tiene una norma expresa que determina su irrevocabilidad-, resulta aplicable el régimen general previsto en el CCA, por remisión expresa del artículo </w:t>
      </w:r>
      <w:r w:rsidRPr="00B220B9">
        <w:rPr>
          <w:rFonts w:ascii="Arial" w:hAnsi="Arial" w:cs="Arial"/>
          <w:sz w:val="22"/>
          <w:szCs w:val="22"/>
          <w:lang w:eastAsia="es-CO"/>
        </w:rPr>
        <w:t xml:space="preserve">77 de la Ley 80 de 1993, el cual señala que: </w:t>
      </w:r>
      <w:r w:rsidRPr="00DB4983">
        <w:rPr>
          <w:rFonts w:ascii="Arial" w:hAnsi="Arial" w:cs="Arial"/>
          <w:i/>
          <w:sz w:val="22"/>
          <w:szCs w:val="22"/>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r w:rsidRPr="00DB4983">
        <w:rPr>
          <w:rStyle w:val="Refdenotaalpie"/>
          <w:rFonts w:ascii="Arial" w:hAnsi="Arial" w:cs="Arial"/>
          <w:i/>
          <w:sz w:val="22"/>
          <w:szCs w:val="22"/>
        </w:rPr>
        <w:footnoteReference w:id="16"/>
      </w:r>
      <w:r w:rsidRPr="00DB4983">
        <w:rPr>
          <w:rFonts w:ascii="Arial" w:hAnsi="Arial" w:cs="Arial"/>
          <w:i/>
          <w:sz w:val="22"/>
          <w:szCs w:val="22"/>
        </w:rPr>
        <w:t>.</w:t>
      </w:r>
      <w:r w:rsidRPr="00B220B9">
        <w:rPr>
          <w:rFonts w:ascii="Arial" w:hAnsi="Arial" w:cs="Arial"/>
          <w:sz w:val="22"/>
          <w:szCs w:val="22"/>
        </w:rPr>
        <w:t xml:space="preserve"> </w:t>
      </w:r>
    </w:p>
    <w:p w14:paraId="638A9D12" w14:textId="77777777" w:rsidR="0035378D" w:rsidRPr="00B220B9" w:rsidRDefault="0035378D" w:rsidP="0035378D">
      <w:pPr>
        <w:suppressAutoHyphens/>
        <w:jc w:val="both"/>
        <w:textDirection w:val="btLr"/>
        <w:textAlignment w:val="top"/>
        <w:outlineLvl w:val="0"/>
        <w:rPr>
          <w:rFonts w:ascii="Arial" w:hAnsi="Arial" w:cs="Arial"/>
          <w:b/>
          <w:bCs/>
          <w:color w:val="000000"/>
          <w:sz w:val="22"/>
          <w:szCs w:val="22"/>
        </w:rPr>
      </w:pPr>
    </w:p>
    <w:p w14:paraId="57B8A15E" w14:textId="4712F420" w:rsidR="0035378D" w:rsidRPr="00B220B9" w:rsidRDefault="0035378D" w:rsidP="0035378D">
      <w:pPr>
        <w:suppressAutoHyphens/>
        <w:jc w:val="both"/>
        <w:textDirection w:val="btLr"/>
        <w:textAlignment w:val="top"/>
        <w:outlineLvl w:val="0"/>
        <w:rPr>
          <w:rFonts w:ascii="Arial" w:hAnsi="Arial" w:cs="Arial"/>
          <w:sz w:val="22"/>
          <w:szCs w:val="22"/>
        </w:rPr>
      </w:pPr>
      <w:r w:rsidRPr="00B220B9">
        <w:rPr>
          <w:rFonts w:ascii="Arial" w:hAnsi="Arial" w:cs="Arial"/>
          <w:color w:val="000000"/>
          <w:sz w:val="22"/>
          <w:szCs w:val="22"/>
        </w:rPr>
        <w:t>Sin embargo, en la medida en que esté más avanzado el proceso de selección se irán consolidando</w:t>
      </w:r>
      <w:r w:rsidRPr="00B220B9">
        <w:rPr>
          <w:rFonts w:ascii="Arial" w:hAnsi="Arial" w:cs="Arial"/>
          <w:b/>
          <w:bCs/>
          <w:color w:val="000000"/>
          <w:sz w:val="22"/>
          <w:szCs w:val="22"/>
        </w:rPr>
        <w:t xml:space="preserve"> </w:t>
      </w:r>
      <w:r w:rsidRPr="00B220B9">
        <w:rPr>
          <w:rFonts w:ascii="Arial" w:hAnsi="Arial" w:cs="Arial"/>
          <w:sz w:val="22"/>
          <w:szCs w:val="22"/>
        </w:rPr>
        <w:t xml:space="preserve">“expectativas” jurídicas y económicas de los participantes, y en esa misma medida se incrementan los riesgos de causar daños ciertos y personales, que en caso de proferirse una revocatoria, podrán ser objeto de indemnización por parte de la administración, siempre y cuando exista prueba de su configuración. Sin </w:t>
      </w:r>
      <w:r w:rsidR="00725828" w:rsidRPr="00B220B9">
        <w:rPr>
          <w:rFonts w:ascii="Arial" w:hAnsi="Arial" w:cs="Arial"/>
          <w:sz w:val="22"/>
          <w:szCs w:val="22"/>
        </w:rPr>
        <w:t>embargo,</w:t>
      </w:r>
      <w:r w:rsidRPr="00B220B9">
        <w:rPr>
          <w:rFonts w:ascii="Arial" w:hAnsi="Arial" w:cs="Arial"/>
          <w:sz w:val="22"/>
          <w:szCs w:val="22"/>
        </w:rPr>
        <w:t xml:space="preserve"> esta situación no afecta la validez del acto administrativo.</w:t>
      </w:r>
    </w:p>
    <w:p w14:paraId="7C210EEF" w14:textId="77777777" w:rsidR="0035378D" w:rsidRPr="00B220B9" w:rsidRDefault="0035378D" w:rsidP="0035378D">
      <w:pPr>
        <w:suppressAutoHyphens/>
        <w:jc w:val="both"/>
        <w:textDirection w:val="btLr"/>
        <w:textAlignment w:val="top"/>
        <w:outlineLvl w:val="0"/>
        <w:rPr>
          <w:rFonts w:ascii="Arial" w:hAnsi="Arial" w:cs="Arial"/>
          <w:color w:val="000000"/>
          <w:sz w:val="22"/>
          <w:szCs w:val="22"/>
        </w:rPr>
      </w:pPr>
    </w:p>
    <w:p w14:paraId="1B46E4EE" w14:textId="77777777" w:rsidR="0035378D" w:rsidRPr="00B220B9" w:rsidRDefault="0035378D" w:rsidP="0035378D">
      <w:pPr>
        <w:suppressAutoHyphens/>
        <w:jc w:val="both"/>
        <w:textDirection w:val="btLr"/>
        <w:textAlignment w:val="top"/>
        <w:outlineLvl w:val="0"/>
        <w:rPr>
          <w:rFonts w:ascii="Arial" w:hAnsi="Arial" w:cs="Arial"/>
          <w:color w:val="000000"/>
          <w:sz w:val="22"/>
          <w:szCs w:val="22"/>
        </w:rPr>
      </w:pPr>
      <w:r w:rsidRPr="00B220B9">
        <w:rPr>
          <w:rFonts w:ascii="Arial" w:hAnsi="Arial" w:cs="Arial"/>
          <w:b/>
          <w:bCs/>
          <w:color w:val="000000"/>
          <w:sz w:val="22"/>
          <w:szCs w:val="22"/>
        </w:rPr>
        <w:t>TESIS 2.</w:t>
      </w:r>
      <w:r w:rsidRPr="00B220B9">
        <w:rPr>
          <w:rFonts w:ascii="Arial" w:hAnsi="Arial" w:cs="Arial"/>
          <w:color w:val="000000"/>
          <w:sz w:val="22"/>
          <w:szCs w:val="22"/>
        </w:rPr>
        <w:t xml:space="preserve"> No es posible revocar unilateralmente el acto de apertura, por cuanto la administración </w:t>
      </w:r>
      <w:r w:rsidRPr="00B220B9">
        <w:rPr>
          <w:rFonts w:ascii="Arial" w:eastAsia="Arial" w:hAnsi="Arial" w:cs="Arial"/>
          <w:bCs/>
          <w:sz w:val="22"/>
          <w:szCs w:val="22"/>
        </w:rPr>
        <w:t>debe iniciar la actuación de que trata el artículo 28 del C.C.A. y solicitar el consentimiento de quien o quienes hayan presentado ofertas dentro del plazo previsto en los pliegos de condiciones.</w:t>
      </w:r>
    </w:p>
    <w:p w14:paraId="09C94CEA" w14:textId="77777777" w:rsidR="0035378D" w:rsidRPr="00B220B9" w:rsidRDefault="0035378D" w:rsidP="0035378D">
      <w:pPr>
        <w:suppressAutoHyphens/>
        <w:jc w:val="both"/>
        <w:textDirection w:val="btLr"/>
        <w:textAlignment w:val="top"/>
        <w:outlineLvl w:val="0"/>
        <w:rPr>
          <w:rFonts w:ascii="Arial" w:hAnsi="Arial" w:cs="Arial"/>
          <w:sz w:val="22"/>
          <w:szCs w:val="22"/>
          <w:lang w:eastAsia="es-CO"/>
        </w:rPr>
      </w:pPr>
    </w:p>
    <w:p w14:paraId="0A98674E" w14:textId="77777777" w:rsidR="0035378D" w:rsidRPr="00B220B9" w:rsidRDefault="0035378D" w:rsidP="0035378D">
      <w:pPr>
        <w:suppressAutoHyphens/>
        <w:jc w:val="both"/>
        <w:textDirection w:val="btLr"/>
        <w:textAlignment w:val="top"/>
        <w:outlineLvl w:val="0"/>
        <w:rPr>
          <w:rFonts w:ascii="Arial" w:hAnsi="Arial" w:cs="Arial"/>
          <w:color w:val="000000"/>
          <w:sz w:val="22"/>
          <w:szCs w:val="22"/>
          <w:lang w:eastAsia="es-CO"/>
        </w:rPr>
      </w:pPr>
      <w:r w:rsidRPr="00B220B9">
        <w:rPr>
          <w:rFonts w:ascii="Arial" w:hAnsi="Arial" w:cs="Arial"/>
          <w:color w:val="000000"/>
          <w:sz w:val="22"/>
          <w:szCs w:val="22"/>
          <w:lang w:eastAsia="es-CO"/>
        </w:rPr>
        <w:t>Lo anterior por cuanto una vez los interesados presentan sus respectivas ofertas, se genera la legítima expectativa de que su propuesta sea considerada y, en ese momento, la oferta pública de la administración, contenida en el acto de apertura del proceso de selección, se particulariza y se convierte en irrevocable.</w:t>
      </w:r>
    </w:p>
    <w:p w14:paraId="13BFDAF4" w14:textId="77777777" w:rsidR="0035378D" w:rsidRPr="00B220B9" w:rsidRDefault="0035378D" w:rsidP="0035378D">
      <w:pPr>
        <w:suppressAutoHyphens/>
        <w:jc w:val="both"/>
        <w:textDirection w:val="btLr"/>
        <w:textAlignment w:val="top"/>
        <w:outlineLvl w:val="0"/>
        <w:rPr>
          <w:rFonts w:ascii="Arial" w:hAnsi="Arial" w:cs="Arial"/>
          <w:sz w:val="22"/>
          <w:szCs w:val="22"/>
          <w:lang w:eastAsia="es-CO"/>
        </w:rPr>
      </w:pPr>
    </w:p>
    <w:p w14:paraId="423F7E49" w14:textId="497FE8A2" w:rsidR="0035378D" w:rsidRPr="00B220B9" w:rsidRDefault="0035378D" w:rsidP="0035378D">
      <w:pPr>
        <w:suppressAutoHyphens/>
        <w:jc w:val="both"/>
        <w:textDirection w:val="btLr"/>
        <w:textAlignment w:val="top"/>
        <w:outlineLvl w:val="0"/>
        <w:rPr>
          <w:rFonts w:ascii="Arial" w:hAnsi="Arial" w:cs="Arial"/>
          <w:color w:val="000000"/>
          <w:sz w:val="22"/>
          <w:szCs w:val="22"/>
          <w:lang w:eastAsia="es-CO"/>
        </w:rPr>
      </w:pPr>
      <w:r w:rsidRPr="00B220B9">
        <w:rPr>
          <w:rFonts w:ascii="Arial" w:hAnsi="Arial" w:cs="Arial"/>
          <w:color w:val="000000"/>
          <w:sz w:val="22"/>
          <w:szCs w:val="22"/>
          <w:lang w:eastAsia="es-CO"/>
        </w:rPr>
        <w:t>De no contarse con tal consentimiento y si se produce la revocatoria, el acto surge viciado de nulidad por expedición irregular, a menos que se presente el supuesto previsto en la parte final del inciso segundo del artículo 73 del C.C.A. (que el acto haya ocurrido “por medios ilegales”), caso en el cual la administración puede revocarlo directamente, en cualquier estado del proceso de selección (hasta antes de la adjudicación o de la declaratoria de desierto), sin que entonces requiera el consentimiento expreso de los participantes</w:t>
      </w:r>
      <w:r w:rsidRPr="00B220B9">
        <w:rPr>
          <w:rStyle w:val="Refdenotaalpie"/>
          <w:rFonts w:ascii="Arial" w:hAnsi="Arial" w:cs="Arial"/>
          <w:color w:val="000000"/>
          <w:sz w:val="22"/>
          <w:szCs w:val="22"/>
          <w:lang w:eastAsia="es-CO"/>
        </w:rPr>
        <w:footnoteReference w:id="17"/>
      </w:r>
      <w:r w:rsidRPr="00B220B9">
        <w:rPr>
          <w:rFonts w:ascii="Arial" w:hAnsi="Arial" w:cs="Arial"/>
          <w:color w:val="000000"/>
          <w:sz w:val="22"/>
          <w:szCs w:val="22"/>
          <w:lang w:eastAsia="es-CO"/>
        </w:rPr>
        <w:t>.</w:t>
      </w:r>
    </w:p>
    <w:p w14:paraId="5FEA2049" w14:textId="77777777" w:rsidR="0035378D" w:rsidRPr="00B220B9" w:rsidRDefault="0035378D" w:rsidP="0035378D">
      <w:pPr>
        <w:jc w:val="both"/>
        <w:rPr>
          <w:rFonts w:ascii="Arial" w:hAnsi="Arial" w:cs="Arial"/>
          <w:iCs/>
          <w:sz w:val="22"/>
          <w:szCs w:val="22"/>
        </w:rPr>
      </w:pPr>
    </w:p>
    <w:p w14:paraId="33E58269" w14:textId="77777777" w:rsidR="0035378D" w:rsidRPr="00B220B9" w:rsidRDefault="0035378D" w:rsidP="0035378D">
      <w:pPr>
        <w:jc w:val="both"/>
        <w:rPr>
          <w:rFonts w:ascii="Arial" w:eastAsia="Arial" w:hAnsi="Arial" w:cs="Arial"/>
          <w:bCs/>
          <w:iCs/>
          <w:sz w:val="22"/>
          <w:szCs w:val="22"/>
          <w:lang w:val="es-ES"/>
        </w:rPr>
      </w:pPr>
      <w:r w:rsidRPr="00B220B9">
        <w:rPr>
          <w:rFonts w:ascii="Arial" w:hAnsi="Arial" w:cs="Arial"/>
          <w:b/>
          <w:bCs/>
          <w:iCs/>
          <w:sz w:val="22"/>
          <w:szCs w:val="22"/>
        </w:rPr>
        <w:t>TESIS 3.</w:t>
      </w:r>
      <w:r w:rsidRPr="00B220B9">
        <w:rPr>
          <w:rFonts w:ascii="Arial" w:hAnsi="Arial" w:cs="Arial"/>
          <w:iCs/>
          <w:sz w:val="22"/>
          <w:szCs w:val="22"/>
        </w:rPr>
        <w:t xml:space="preserve"> </w:t>
      </w:r>
      <w:r w:rsidRPr="00B220B9">
        <w:rPr>
          <w:rFonts w:ascii="Arial" w:eastAsia="Arial" w:hAnsi="Arial" w:cs="Arial"/>
          <w:bCs/>
          <w:iCs/>
          <w:sz w:val="22"/>
          <w:szCs w:val="22"/>
          <w:lang w:val="es-ES"/>
        </w:rPr>
        <w:t xml:space="preserve">Una vez se han recibido las propuestas, el acto de apertura no puede ser objeto de revocatoria directa en forma unilateral por parte de la Administración, sin el consentimiento expreso del mejor proponente, toda vez que este tiene en su haber la posición jurídica que se deriva de las reglas de la propia convocatoria -que no es otra que </w:t>
      </w:r>
      <w:r w:rsidRPr="00B220B9">
        <w:rPr>
          <w:rFonts w:ascii="Arial" w:eastAsia="Arial" w:hAnsi="Arial" w:cs="Arial"/>
          <w:bCs/>
          <w:iCs/>
          <w:sz w:val="22"/>
          <w:szCs w:val="22"/>
          <w:lang w:val="es-ES"/>
        </w:rPr>
        <w:lastRenderedPageBreak/>
        <w:t>la de la oferta mercantil aceptada-, la cual se concreta en el derecho a suscribir el contrato estatal.</w:t>
      </w:r>
    </w:p>
    <w:p w14:paraId="06C8D395" w14:textId="77777777" w:rsidR="0035378D" w:rsidRPr="00B220B9" w:rsidRDefault="0035378D" w:rsidP="0035378D">
      <w:pPr>
        <w:jc w:val="both"/>
        <w:rPr>
          <w:rFonts w:ascii="Arial" w:eastAsia="Arial" w:hAnsi="Arial" w:cs="Arial"/>
          <w:bCs/>
          <w:sz w:val="22"/>
          <w:szCs w:val="22"/>
          <w:lang w:val="es-ES"/>
        </w:rPr>
      </w:pPr>
    </w:p>
    <w:p w14:paraId="6169C202" w14:textId="00ECECB2" w:rsidR="0035378D" w:rsidRPr="00B220B9" w:rsidRDefault="0035378D" w:rsidP="0035378D">
      <w:pPr>
        <w:jc w:val="both"/>
        <w:rPr>
          <w:rFonts w:ascii="Arial" w:hAnsi="Arial" w:cs="Arial"/>
          <w:bCs/>
          <w:color w:val="000000"/>
          <w:sz w:val="22"/>
          <w:szCs w:val="22"/>
        </w:rPr>
      </w:pPr>
      <w:r w:rsidRPr="00B220B9">
        <w:rPr>
          <w:rFonts w:ascii="Arial" w:eastAsia="Arial" w:hAnsi="Arial" w:cs="Arial"/>
          <w:bCs/>
          <w:sz w:val="22"/>
          <w:szCs w:val="22"/>
          <w:lang w:val="es-ES"/>
        </w:rPr>
        <w:t xml:space="preserve">Lo anterior por cuanto </w:t>
      </w:r>
      <w:r w:rsidRPr="00B220B9">
        <w:rPr>
          <w:rFonts w:ascii="Arial" w:hAnsi="Arial" w:cs="Arial"/>
          <w:bCs/>
          <w:color w:val="000000"/>
          <w:sz w:val="22"/>
          <w:szCs w:val="22"/>
        </w:rPr>
        <w:t>desde el momento en que la Administración recibe las ofertas de los proponentes y se cierra la presentación de propuestas, el pliego de condiciones -que en principio era un acto de carácter general- se convierte en un acto de alcance particular, del cual se genera dos derechos, uno para los proponentes de ser evaluados y otro para aquel que tenga la mejor propuesta el cual consiste en ser seleccionado y a ejecutar el contrato estatal que le debe ser adjudicado</w:t>
      </w:r>
      <w:r w:rsidR="00E46AEF" w:rsidRPr="00B220B9">
        <w:rPr>
          <w:rStyle w:val="Refdenotaalpie"/>
          <w:rFonts w:ascii="Arial" w:hAnsi="Arial" w:cs="Arial"/>
          <w:bCs/>
          <w:color w:val="000000"/>
          <w:sz w:val="22"/>
          <w:szCs w:val="22"/>
        </w:rPr>
        <w:footnoteReference w:id="18"/>
      </w:r>
      <w:r w:rsidRPr="00B220B9">
        <w:rPr>
          <w:rFonts w:ascii="Arial" w:hAnsi="Arial" w:cs="Arial"/>
          <w:bCs/>
          <w:color w:val="000000"/>
          <w:sz w:val="22"/>
          <w:szCs w:val="22"/>
        </w:rPr>
        <w:t>.</w:t>
      </w:r>
    </w:p>
    <w:p w14:paraId="519CE125" w14:textId="77777777" w:rsidR="0035378D" w:rsidRPr="00B220B9" w:rsidRDefault="0035378D" w:rsidP="0035378D">
      <w:pPr>
        <w:jc w:val="both"/>
        <w:rPr>
          <w:rFonts w:ascii="Arial" w:hAnsi="Arial" w:cs="Arial"/>
          <w:bCs/>
          <w:color w:val="000000"/>
          <w:sz w:val="22"/>
          <w:szCs w:val="22"/>
        </w:rPr>
      </w:pPr>
    </w:p>
    <w:p w14:paraId="0A761CD0" w14:textId="77777777" w:rsidR="0035378D" w:rsidRPr="00B220B9" w:rsidRDefault="0035378D" w:rsidP="0035378D">
      <w:pPr>
        <w:jc w:val="both"/>
        <w:rPr>
          <w:rFonts w:ascii="Arial" w:eastAsia="Arial" w:hAnsi="Arial" w:cs="Arial"/>
          <w:sz w:val="22"/>
          <w:szCs w:val="22"/>
        </w:rPr>
      </w:pPr>
      <w:r w:rsidRPr="00B220B9">
        <w:rPr>
          <w:rFonts w:ascii="Arial" w:hAnsi="Arial" w:cs="Arial"/>
          <w:b/>
          <w:color w:val="000000"/>
          <w:sz w:val="22"/>
          <w:szCs w:val="22"/>
        </w:rPr>
        <w:t>TESIS 4.</w:t>
      </w:r>
      <w:r w:rsidRPr="00B220B9">
        <w:rPr>
          <w:rFonts w:ascii="Arial" w:hAnsi="Arial" w:cs="Arial"/>
          <w:bCs/>
          <w:color w:val="000000"/>
          <w:sz w:val="22"/>
          <w:szCs w:val="22"/>
        </w:rPr>
        <w:t xml:space="preserve"> </w:t>
      </w:r>
      <w:r w:rsidRPr="00B220B9">
        <w:rPr>
          <w:rFonts w:ascii="Arial" w:eastAsia="Arial" w:hAnsi="Arial" w:cs="Arial"/>
          <w:sz w:val="22"/>
          <w:szCs w:val="22"/>
        </w:rPr>
        <w:t>Se puede revocar unilateralmente el acto de apertura del proceso de selección, si se advierte la configuración de alguna de las causales y demás requisitos que dan paso a su procedencia, toda vez que al ser un acto administrativo de carácter general se torna evidente que la Administración no está condicionada a obtener el consentimiento previo y expreso de los proponentes o del mejor proponente para revocarlo; además, la revocabilidad procede por cuanto es primordial y tiene preferencia la constatación del interés de la contratación, que no es otro que la garantía de las necesidades públicas frente a las expectativas negociales que nacieron respecto de los proponentes.</w:t>
      </w:r>
    </w:p>
    <w:p w14:paraId="703C1F44" w14:textId="77777777" w:rsidR="0035378D" w:rsidRPr="00B220B9" w:rsidRDefault="0035378D" w:rsidP="0035378D">
      <w:pPr>
        <w:jc w:val="both"/>
        <w:rPr>
          <w:rFonts w:ascii="Arial" w:eastAsia="Arial" w:hAnsi="Arial" w:cs="Arial"/>
          <w:sz w:val="22"/>
          <w:szCs w:val="22"/>
        </w:rPr>
      </w:pPr>
    </w:p>
    <w:p w14:paraId="4D886D63" w14:textId="4ADDD71B" w:rsidR="0035378D" w:rsidRPr="00B220B9" w:rsidRDefault="0035378D" w:rsidP="0035378D">
      <w:pPr>
        <w:suppressAutoHyphens/>
        <w:jc w:val="both"/>
        <w:textDirection w:val="btLr"/>
        <w:textAlignment w:val="top"/>
        <w:outlineLvl w:val="0"/>
        <w:rPr>
          <w:rFonts w:ascii="Arial" w:eastAsia="Arial" w:hAnsi="Arial" w:cs="Arial"/>
          <w:sz w:val="22"/>
          <w:szCs w:val="22"/>
        </w:rPr>
      </w:pPr>
      <w:r w:rsidRPr="00B220B9">
        <w:rPr>
          <w:rFonts w:ascii="Arial" w:eastAsia="Arial" w:hAnsi="Arial" w:cs="Arial"/>
          <w:sz w:val="22"/>
          <w:szCs w:val="22"/>
        </w:rPr>
        <w:t>Finalmente se advierte que previo a la expedición del acto administrativo de adjudicación, no se consolidan derechos a favor de los proponentes, toda vez que hasta ese momento solo existen “</w:t>
      </w:r>
      <w:r w:rsidRPr="00B220B9">
        <w:rPr>
          <w:rFonts w:ascii="Arial" w:eastAsia="Arial" w:hAnsi="Arial" w:cs="Arial"/>
          <w:i/>
          <w:iCs/>
          <w:sz w:val="22"/>
          <w:szCs w:val="22"/>
        </w:rPr>
        <w:t>meras expectativas”</w:t>
      </w:r>
      <w:r w:rsidRPr="00B220B9">
        <w:rPr>
          <w:rFonts w:ascii="Arial" w:eastAsia="Arial" w:hAnsi="Arial" w:cs="Arial"/>
          <w:sz w:val="22"/>
          <w:szCs w:val="22"/>
        </w:rPr>
        <w:t xml:space="preserve"> y, en algunas circunstancias, </w:t>
      </w:r>
      <w:r w:rsidRPr="00B220B9">
        <w:rPr>
          <w:rFonts w:ascii="Arial" w:eastAsia="Arial" w:hAnsi="Arial" w:cs="Arial"/>
          <w:i/>
          <w:iCs/>
          <w:sz w:val="22"/>
          <w:szCs w:val="22"/>
        </w:rPr>
        <w:t>expectativas legítimas</w:t>
      </w:r>
      <w:r w:rsidRPr="00B220B9">
        <w:rPr>
          <w:rFonts w:ascii="Arial" w:eastAsia="Arial" w:hAnsi="Arial" w:cs="Arial"/>
          <w:sz w:val="22"/>
          <w:szCs w:val="22"/>
        </w:rPr>
        <w:t xml:space="preserve"> a favor de algún participante; conceptos jurídicos que alinderan tanto la existencia y alcance de un eventual derecho o expectativa, y el punto límite de proyección del atributo de la revocatoria del acto administrativo</w:t>
      </w:r>
      <w:r w:rsidR="00E46AEF" w:rsidRPr="00B220B9">
        <w:rPr>
          <w:rStyle w:val="Refdenotaalpie"/>
          <w:rFonts w:ascii="Arial" w:eastAsia="Arial" w:hAnsi="Arial" w:cs="Arial"/>
          <w:sz w:val="22"/>
          <w:szCs w:val="22"/>
        </w:rPr>
        <w:footnoteReference w:id="19"/>
      </w:r>
      <w:r w:rsidRPr="00B220B9">
        <w:rPr>
          <w:rFonts w:ascii="Arial" w:eastAsia="Arial" w:hAnsi="Arial" w:cs="Arial"/>
          <w:sz w:val="22"/>
          <w:szCs w:val="22"/>
        </w:rPr>
        <w:t>.</w:t>
      </w:r>
    </w:p>
    <w:p w14:paraId="4B69BA84" w14:textId="77777777" w:rsidR="0035378D" w:rsidRPr="00B220B9" w:rsidRDefault="0035378D" w:rsidP="00460695">
      <w:pPr>
        <w:spacing w:line="276" w:lineRule="auto"/>
        <w:jc w:val="both"/>
        <w:rPr>
          <w:rFonts w:ascii="Arial" w:eastAsia="Calibri" w:hAnsi="Arial" w:cs="Arial"/>
          <w:sz w:val="22"/>
          <w:szCs w:val="22"/>
          <w:lang w:val="es-ES" w:eastAsia="es-ES_tradnl"/>
        </w:rPr>
      </w:pPr>
    </w:p>
    <w:p w14:paraId="02110304" w14:textId="77777777" w:rsidR="00E46AEF" w:rsidRPr="00DB4983" w:rsidRDefault="00E46AEF" w:rsidP="00DB4983">
      <w:pPr>
        <w:suppressAutoHyphens/>
        <w:spacing w:line="276" w:lineRule="auto"/>
        <w:jc w:val="both"/>
        <w:textDirection w:val="btLr"/>
        <w:textAlignment w:val="top"/>
        <w:outlineLvl w:val="0"/>
        <w:rPr>
          <w:rFonts w:ascii="Arial" w:hAnsi="Arial" w:cs="Arial"/>
          <w:sz w:val="22"/>
          <w:shd w:val="clear" w:color="auto" w:fill="FFFFFF"/>
        </w:rPr>
      </w:pPr>
      <w:r w:rsidRPr="00DB4983">
        <w:rPr>
          <w:rFonts w:ascii="Arial" w:hAnsi="Arial" w:cs="Arial"/>
          <w:sz w:val="22"/>
          <w:szCs w:val="22"/>
          <w:shd w:val="clear" w:color="auto" w:fill="FFFFFF"/>
        </w:rPr>
        <w:t>Para la tesis 1 y 4 la naturaleza jurídica del acto de apertura es la de un acto administrativo general por lo que resulta posible revocarlo de manera unilateral. Se diferencian en que, para la primera, una vez se han presentado las ofertas y conforme avanza el proceso de elección, se irán consolidando</w:t>
      </w:r>
      <w:r w:rsidRPr="00DB4983">
        <w:rPr>
          <w:rFonts w:ascii="Arial" w:hAnsi="Arial" w:cs="Arial"/>
          <w:color w:val="000000"/>
          <w:sz w:val="22"/>
          <w:szCs w:val="22"/>
        </w:rPr>
        <w:t xml:space="preserve"> </w:t>
      </w:r>
      <w:r w:rsidRPr="00DB4983">
        <w:rPr>
          <w:rFonts w:ascii="Arial" w:hAnsi="Arial" w:cs="Arial"/>
          <w:sz w:val="22"/>
          <w:szCs w:val="22"/>
        </w:rPr>
        <w:t xml:space="preserve">“expectativas” jurídicas y económicas de los participantes; mientras que para la tesis 4, </w:t>
      </w:r>
      <w:r w:rsidRPr="00DB4983">
        <w:rPr>
          <w:rFonts w:ascii="Arial" w:eastAsia="Arial" w:hAnsi="Arial" w:cs="Arial"/>
          <w:sz w:val="22"/>
          <w:szCs w:val="22"/>
        </w:rPr>
        <w:t>previo a la expedición del acto administrativo de adjudicación, no se consolidan derechos a favor de los proponentes, toda vez que hasta ese momento solo existen meras expectativas que se consolidan una vez se selecciona la mejor oferta.</w:t>
      </w:r>
    </w:p>
    <w:p w14:paraId="61AD4F2C" w14:textId="77777777" w:rsidR="00E46AEF" w:rsidRPr="00B220B9" w:rsidRDefault="00E46AEF" w:rsidP="00E46AEF">
      <w:pPr>
        <w:pStyle w:val="Prrafodelista"/>
        <w:rPr>
          <w:rFonts w:ascii="Arial" w:hAnsi="Arial" w:cs="Arial"/>
          <w:b/>
          <w:bCs/>
          <w:sz w:val="22"/>
          <w:shd w:val="clear" w:color="auto" w:fill="FFFFFF"/>
        </w:rPr>
      </w:pPr>
    </w:p>
    <w:p w14:paraId="50C336F5" w14:textId="25D506B2" w:rsidR="00E46AEF" w:rsidRPr="00DB4983" w:rsidRDefault="00E46AEF" w:rsidP="00DB4983">
      <w:pPr>
        <w:suppressAutoHyphens/>
        <w:spacing w:line="276" w:lineRule="auto"/>
        <w:jc w:val="both"/>
        <w:textDirection w:val="btLr"/>
        <w:textAlignment w:val="top"/>
        <w:outlineLvl w:val="0"/>
        <w:rPr>
          <w:rFonts w:ascii="Arial" w:hAnsi="Arial" w:cs="Arial"/>
          <w:sz w:val="22"/>
          <w:shd w:val="clear" w:color="auto" w:fill="FFFFFF"/>
        </w:rPr>
      </w:pPr>
      <w:r w:rsidRPr="00DB4983">
        <w:rPr>
          <w:rFonts w:ascii="Arial" w:hAnsi="Arial" w:cs="Arial"/>
          <w:sz w:val="22"/>
          <w:szCs w:val="22"/>
          <w:shd w:val="clear" w:color="auto" w:fill="FFFFFF"/>
        </w:rPr>
        <w:t xml:space="preserve">Para la tesis 2 y 3, una vez se presentan las propuestas en los procesos de selección, el acto de apertura se transforma en un acto administrativo de carácter particular, lo cual hace </w:t>
      </w:r>
      <w:r w:rsidRPr="00DB4983">
        <w:rPr>
          <w:rFonts w:ascii="Arial" w:hAnsi="Arial" w:cs="Arial"/>
          <w:sz w:val="22"/>
          <w:szCs w:val="22"/>
          <w:shd w:val="clear" w:color="auto" w:fill="FFFFFF"/>
        </w:rPr>
        <w:lastRenderedPageBreak/>
        <w:t xml:space="preserve">que adquiera el carácter de irrevocable. La diferencia </w:t>
      </w:r>
      <w:r w:rsidR="00B220B9" w:rsidRPr="00B220B9">
        <w:rPr>
          <w:rFonts w:ascii="Arial" w:hAnsi="Arial" w:cs="Arial"/>
          <w:sz w:val="22"/>
          <w:szCs w:val="22"/>
          <w:shd w:val="clear" w:color="auto" w:fill="FFFFFF"/>
        </w:rPr>
        <w:t>está</w:t>
      </w:r>
      <w:r w:rsidRPr="00DB4983">
        <w:rPr>
          <w:rFonts w:ascii="Arial" w:hAnsi="Arial" w:cs="Arial"/>
          <w:sz w:val="22"/>
          <w:szCs w:val="22"/>
          <w:shd w:val="clear" w:color="auto" w:fill="FFFFFF"/>
        </w:rPr>
        <w:t xml:space="preserve"> en que para la tesis 2, el acto se transforma en particular para todos los oferentes que presentaron propuesta en tiempo, razón por la cual se requiere de su aquiescencia para la revocatoria del acto de apertura; mientras que para la tesis 3 el acto de apertura se convierte en particular para el proponente que tenga la mejor oferta, razón por la cual se requiere de la aceptación de este último para poder proceder a la revocatoria del acto de apertura.</w:t>
      </w:r>
    </w:p>
    <w:p w14:paraId="0C94C58D" w14:textId="77777777" w:rsidR="00E46AEF" w:rsidRPr="00B220B9" w:rsidRDefault="00E46AEF" w:rsidP="00DB4983">
      <w:pPr>
        <w:jc w:val="both"/>
        <w:rPr>
          <w:rFonts w:ascii="Arial" w:hAnsi="Arial" w:cs="Arial"/>
          <w:b/>
          <w:bCs/>
          <w:sz w:val="22"/>
          <w:szCs w:val="22"/>
          <w:shd w:val="clear" w:color="auto" w:fill="FFFFFF"/>
        </w:rPr>
      </w:pPr>
    </w:p>
    <w:p w14:paraId="319B48C7" w14:textId="3D2C40C6" w:rsidR="00C530AF" w:rsidRDefault="00E46AEF" w:rsidP="00C530AF">
      <w:pPr>
        <w:jc w:val="both"/>
        <w:rPr>
          <w:rFonts w:ascii="Arial" w:hAnsi="Arial" w:cs="Arial"/>
          <w:sz w:val="22"/>
          <w:szCs w:val="22"/>
          <w:shd w:val="clear" w:color="auto" w:fill="FFFFFF"/>
        </w:rPr>
      </w:pPr>
      <w:r w:rsidRPr="00DB4983">
        <w:rPr>
          <w:rFonts w:ascii="Arial" w:hAnsi="Arial" w:cs="Arial"/>
          <w:sz w:val="22"/>
          <w:szCs w:val="22"/>
          <w:shd w:val="clear" w:color="auto" w:fill="FFFFFF"/>
        </w:rPr>
        <w:t>En criterio de esta Subdirección, la interpretación que mejor se ajusta a</w:t>
      </w:r>
      <w:r w:rsidR="00BC0ACD">
        <w:rPr>
          <w:rFonts w:ascii="Arial" w:hAnsi="Arial" w:cs="Arial"/>
          <w:sz w:val="22"/>
          <w:szCs w:val="22"/>
          <w:shd w:val="clear" w:color="auto" w:fill="FFFFFF"/>
        </w:rPr>
        <w:t>l cumplimiento de los fines de la contratación estatal es la tesis 4</w:t>
      </w:r>
      <w:r w:rsidRPr="00DB4983">
        <w:rPr>
          <w:rFonts w:ascii="Arial" w:hAnsi="Arial" w:cs="Arial"/>
          <w:sz w:val="22"/>
          <w:szCs w:val="22"/>
          <w:shd w:val="clear" w:color="auto" w:fill="FFFFFF"/>
        </w:rPr>
        <w:t xml:space="preserve">, </w:t>
      </w:r>
      <w:r w:rsidR="00BC0ACD">
        <w:rPr>
          <w:rFonts w:ascii="Arial" w:hAnsi="Arial" w:cs="Arial"/>
          <w:sz w:val="22"/>
          <w:szCs w:val="22"/>
          <w:shd w:val="clear" w:color="auto" w:fill="FFFFFF"/>
        </w:rPr>
        <w:t xml:space="preserve">en tanto que </w:t>
      </w:r>
      <w:r w:rsidR="00C530AF">
        <w:rPr>
          <w:rFonts w:ascii="Arial" w:hAnsi="Arial" w:cs="Arial"/>
          <w:sz w:val="22"/>
          <w:szCs w:val="22"/>
          <w:shd w:val="clear" w:color="auto" w:fill="FFFFFF"/>
        </w:rPr>
        <w:t>l</w:t>
      </w:r>
      <w:r w:rsidR="00C530AF" w:rsidRPr="00C530AF">
        <w:rPr>
          <w:rFonts w:ascii="Arial" w:hAnsi="Arial" w:cs="Arial"/>
          <w:sz w:val="22"/>
          <w:szCs w:val="22"/>
          <w:shd w:val="clear" w:color="auto" w:fill="FFFFFF"/>
        </w:rPr>
        <w:t>a presentación de las propuestas e incluso la</w:t>
      </w:r>
      <w:r w:rsidR="00C530AF">
        <w:rPr>
          <w:rFonts w:ascii="Arial" w:hAnsi="Arial" w:cs="Arial"/>
          <w:sz w:val="22"/>
          <w:szCs w:val="22"/>
          <w:shd w:val="clear" w:color="auto" w:fill="FFFFFF"/>
        </w:rPr>
        <w:t xml:space="preserve"> publicación</w:t>
      </w:r>
      <w:r w:rsidR="00C530AF" w:rsidRPr="00C530AF">
        <w:rPr>
          <w:rFonts w:ascii="Arial" w:hAnsi="Arial" w:cs="Arial"/>
          <w:sz w:val="22"/>
          <w:szCs w:val="22"/>
          <w:shd w:val="clear" w:color="auto" w:fill="FFFFFF"/>
        </w:rPr>
        <w:t xml:space="preserve"> del informe de evaluación no muta ni transforma el carácter general que ostenta el acto de apertura del proceso de selección</w:t>
      </w:r>
      <w:r w:rsidR="00C530AF">
        <w:rPr>
          <w:rFonts w:ascii="Arial" w:hAnsi="Arial" w:cs="Arial"/>
          <w:sz w:val="22"/>
          <w:szCs w:val="22"/>
          <w:shd w:val="clear" w:color="auto" w:fill="FFFFFF"/>
        </w:rPr>
        <w:t xml:space="preserve"> contractual</w:t>
      </w:r>
      <w:r w:rsidR="00C530AF" w:rsidRPr="00C530AF">
        <w:rPr>
          <w:rFonts w:ascii="Arial" w:hAnsi="Arial" w:cs="Arial"/>
          <w:sz w:val="22"/>
          <w:szCs w:val="22"/>
          <w:shd w:val="clear" w:color="auto" w:fill="FFFFFF"/>
        </w:rPr>
        <w:t xml:space="preserve">, pues quien concurre al llamado a presentar una propuesta o manifestar interés en presentarla, reconoce que de por medio está la realización de los fines de la contratación esperada, sin poder esgrimir expectativa alguna que se oponga a esa realización del interés general derivada de su participación y el cumplimiento de los requisitos que le hagan merecedor de una determinación definitiva, </w:t>
      </w:r>
      <w:r w:rsidR="00C530AF">
        <w:rPr>
          <w:rFonts w:ascii="Arial" w:hAnsi="Arial" w:cs="Arial"/>
          <w:sz w:val="22"/>
          <w:szCs w:val="22"/>
          <w:shd w:val="clear" w:color="auto" w:fill="FFFFFF"/>
        </w:rPr>
        <w:t xml:space="preserve">y </w:t>
      </w:r>
      <w:r w:rsidR="00C530AF" w:rsidRPr="00C530AF">
        <w:rPr>
          <w:rFonts w:ascii="Arial" w:hAnsi="Arial" w:cs="Arial"/>
          <w:sz w:val="22"/>
          <w:szCs w:val="22"/>
          <w:shd w:val="clear" w:color="auto" w:fill="FFFFFF"/>
        </w:rPr>
        <w:t xml:space="preserve">a sabiendas </w:t>
      </w:r>
      <w:r w:rsidR="00C530AF">
        <w:rPr>
          <w:rFonts w:ascii="Arial" w:hAnsi="Arial" w:cs="Arial"/>
          <w:sz w:val="22"/>
          <w:szCs w:val="22"/>
          <w:shd w:val="clear" w:color="auto" w:fill="FFFFFF"/>
        </w:rPr>
        <w:t>de ello presenta la propuesta, por lo tanto</w:t>
      </w:r>
      <w:r w:rsidR="00C530AF" w:rsidRPr="00C530AF">
        <w:rPr>
          <w:rFonts w:ascii="Arial" w:hAnsi="Arial" w:cs="Arial"/>
          <w:sz w:val="22"/>
          <w:szCs w:val="22"/>
          <w:shd w:val="clear" w:color="auto" w:fill="FFFFFF"/>
        </w:rPr>
        <w:t>, la revocabilidad procede por cuanto es primordial y tiene preferencia la constatación del interés de la contratación, que no es otro que la garantía de las necesidades públicas frente a las expectativas negociales que nacieron respecto de los proponentes</w:t>
      </w:r>
      <w:r w:rsidR="00C530AF">
        <w:rPr>
          <w:rFonts w:ascii="Arial" w:hAnsi="Arial" w:cs="Arial"/>
          <w:sz w:val="22"/>
          <w:szCs w:val="22"/>
          <w:shd w:val="clear" w:color="auto" w:fill="FFFFFF"/>
        </w:rPr>
        <w:t>.</w:t>
      </w:r>
    </w:p>
    <w:p w14:paraId="7341F7AB" w14:textId="77777777" w:rsidR="00C530AF" w:rsidRDefault="00C530AF" w:rsidP="00C530AF">
      <w:pPr>
        <w:jc w:val="both"/>
        <w:rPr>
          <w:rFonts w:ascii="Arial" w:hAnsi="Arial" w:cs="Arial"/>
          <w:sz w:val="22"/>
          <w:szCs w:val="22"/>
          <w:shd w:val="clear" w:color="auto" w:fill="FFFFFF"/>
        </w:rPr>
      </w:pPr>
    </w:p>
    <w:p w14:paraId="3AACF3B8" w14:textId="3AB81AFE" w:rsidR="00BC0ACD" w:rsidRDefault="00C530AF" w:rsidP="00B220B9">
      <w:pPr>
        <w:jc w:val="both"/>
        <w:rPr>
          <w:rFonts w:ascii="Arial" w:hAnsi="Arial" w:cs="Arial"/>
          <w:sz w:val="22"/>
          <w:szCs w:val="22"/>
          <w:shd w:val="clear" w:color="auto" w:fill="FFFFFF"/>
        </w:rPr>
      </w:pPr>
      <w:r>
        <w:rPr>
          <w:rFonts w:ascii="Arial" w:hAnsi="Arial" w:cs="Arial"/>
          <w:sz w:val="22"/>
          <w:szCs w:val="22"/>
          <w:shd w:val="clear" w:color="auto" w:fill="FFFFFF"/>
        </w:rPr>
        <w:t xml:space="preserve">En ese orden de ideas las Entidades Estatales </w:t>
      </w:r>
      <w:r w:rsidRPr="00C530AF">
        <w:rPr>
          <w:rFonts w:ascii="Arial" w:hAnsi="Arial" w:cs="Arial"/>
          <w:sz w:val="22"/>
          <w:szCs w:val="22"/>
          <w:shd w:val="clear" w:color="auto" w:fill="FFFFFF"/>
        </w:rPr>
        <w:t>no est</w:t>
      </w:r>
      <w:r>
        <w:rPr>
          <w:rFonts w:ascii="Arial" w:hAnsi="Arial" w:cs="Arial"/>
          <w:sz w:val="22"/>
          <w:szCs w:val="22"/>
          <w:shd w:val="clear" w:color="auto" w:fill="FFFFFF"/>
        </w:rPr>
        <w:t>án</w:t>
      </w:r>
      <w:r w:rsidRPr="00C530AF">
        <w:rPr>
          <w:rFonts w:ascii="Arial" w:hAnsi="Arial" w:cs="Arial"/>
          <w:sz w:val="22"/>
          <w:szCs w:val="22"/>
          <w:shd w:val="clear" w:color="auto" w:fill="FFFFFF"/>
        </w:rPr>
        <w:t xml:space="preserve"> condicionada</w:t>
      </w:r>
      <w:r>
        <w:rPr>
          <w:rFonts w:ascii="Arial" w:hAnsi="Arial" w:cs="Arial"/>
          <w:sz w:val="22"/>
          <w:szCs w:val="22"/>
          <w:shd w:val="clear" w:color="auto" w:fill="FFFFFF"/>
        </w:rPr>
        <w:t>s</w:t>
      </w:r>
      <w:r w:rsidRPr="00C530AF">
        <w:rPr>
          <w:rFonts w:ascii="Arial" w:hAnsi="Arial" w:cs="Arial"/>
          <w:sz w:val="22"/>
          <w:szCs w:val="22"/>
          <w:shd w:val="clear" w:color="auto" w:fill="FFFFFF"/>
        </w:rPr>
        <w:t xml:space="preserve"> a obtener el consentimiento previo y expreso de los proponentes o del mejor proponente para revocar</w:t>
      </w:r>
      <w:r>
        <w:rPr>
          <w:rFonts w:ascii="Arial" w:hAnsi="Arial" w:cs="Arial"/>
          <w:sz w:val="22"/>
          <w:szCs w:val="22"/>
          <w:shd w:val="clear" w:color="auto" w:fill="FFFFFF"/>
        </w:rPr>
        <w:t xml:space="preserve"> el acto administrativo de apertura </w:t>
      </w:r>
      <w:r w:rsidRPr="00C530AF">
        <w:rPr>
          <w:rFonts w:ascii="Arial" w:hAnsi="Arial" w:cs="Arial"/>
          <w:sz w:val="22"/>
          <w:szCs w:val="22"/>
          <w:shd w:val="clear" w:color="auto" w:fill="FFFFFF"/>
        </w:rPr>
        <w:t>como la facultad que tiene la Administración, de oficio o a petición de parte, de modificar, reformar, sustituir o extinguir los efectos jurídicos del acto con miras a su enmienda o corrección, en tanto se advierta que la decisión administrativa representada en el acto trasgrede el ordenamiento jurídico o va en contra del interés general</w:t>
      </w:r>
      <w:r>
        <w:rPr>
          <w:rFonts w:ascii="Arial" w:hAnsi="Arial" w:cs="Arial"/>
          <w:sz w:val="22"/>
          <w:szCs w:val="22"/>
          <w:shd w:val="clear" w:color="auto" w:fill="FFFFFF"/>
        </w:rPr>
        <w:t xml:space="preserve"> de conformidad con los requisitos dispuestos en el </w:t>
      </w:r>
      <w:r w:rsidR="00A62666">
        <w:rPr>
          <w:rFonts w:ascii="Arial" w:hAnsi="Arial" w:cs="Arial"/>
          <w:sz w:val="22"/>
          <w:szCs w:val="22"/>
          <w:shd w:val="clear" w:color="auto" w:fill="FFFFFF"/>
        </w:rPr>
        <w:t xml:space="preserve">artículo 97 del </w:t>
      </w:r>
      <w:r>
        <w:rPr>
          <w:rFonts w:ascii="Arial" w:hAnsi="Arial" w:cs="Arial"/>
          <w:sz w:val="22"/>
          <w:szCs w:val="22"/>
          <w:shd w:val="clear" w:color="auto" w:fill="FFFFFF"/>
        </w:rPr>
        <w:t>CPACA,</w:t>
      </w:r>
      <w:r w:rsidRPr="00C530AF">
        <w:rPr>
          <w:rFonts w:ascii="Arial" w:hAnsi="Arial" w:cs="Arial"/>
          <w:sz w:val="22"/>
          <w:szCs w:val="22"/>
          <w:shd w:val="clear" w:color="auto" w:fill="FFFFFF"/>
        </w:rPr>
        <w:t xml:space="preserve"> haciendo prevalecer el imperio de la ley, el interés público y la protección de los derechos.</w:t>
      </w:r>
    </w:p>
    <w:p w14:paraId="7097D82C" w14:textId="77777777" w:rsidR="00BC0ACD" w:rsidRDefault="00BC0ACD" w:rsidP="00B220B9">
      <w:pPr>
        <w:jc w:val="both"/>
        <w:rPr>
          <w:rFonts w:ascii="Arial" w:hAnsi="Arial" w:cs="Arial"/>
          <w:sz w:val="22"/>
          <w:szCs w:val="22"/>
          <w:shd w:val="clear" w:color="auto" w:fill="FFFFFF"/>
        </w:rPr>
      </w:pPr>
    </w:p>
    <w:p w14:paraId="358CA01A" w14:textId="77777777" w:rsidR="00BC0ACD" w:rsidRDefault="00BC0ACD" w:rsidP="00B220B9">
      <w:pPr>
        <w:jc w:val="both"/>
        <w:rPr>
          <w:rFonts w:ascii="Arial" w:hAnsi="Arial" w:cs="Arial"/>
          <w:sz w:val="22"/>
          <w:szCs w:val="22"/>
          <w:shd w:val="clear" w:color="auto" w:fill="FFFFFF"/>
        </w:rPr>
      </w:pPr>
    </w:p>
    <w:p w14:paraId="5B1803B2" w14:textId="73731F85" w:rsidR="0035378D" w:rsidRDefault="0035378D" w:rsidP="00460695">
      <w:pPr>
        <w:spacing w:line="276" w:lineRule="auto"/>
        <w:jc w:val="both"/>
        <w:rPr>
          <w:rFonts w:ascii="Arial" w:eastAsia="Calibri" w:hAnsi="Arial" w:cs="Arial"/>
          <w:sz w:val="22"/>
          <w:lang w:val="es-ES" w:eastAsia="es-ES_tradnl"/>
        </w:rPr>
      </w:pPr>
    </w:p>
    <w:p w14:paraId="228D2874" w14:textId="1C55BCCA" w:rsidR="00E46AEF" w:rsidRDefault="00E46AEF" w:rsidP="00460695">
      <w:pPr>
        <w:spacing w:line="276" w:lineRule="auto"/>
        <w:jc w:val="both"/>
        <w:rPr>
          <w:rFonts w:ascii="Arial" w:eastAsia="Calibri" w:hAnsi="Arial" w:cs="Arial"/>
          <w:sz w:val="22"/>
          <w:lang w:val="es-ES" w:eastAsia="es-ES_tradnl"/>
        </w:rPr>
      </w:pPr>
    </w:p>
    <w:p w14:paraId="24770BAB" w14:textId="77777777" w:rsidR="00460695" w:rsidRPr="00304599" w:rsidRDefault="00460695" w:rsidP="00460695">
      <w:pPr>
        <w:spacing w:line="276" w:lineRule="auto"/>
        <w:jc w:val="both"/>
        <w:rPr>
          <w:rFonts w:ascii="Arial" w:eastAsia="Calibri" w:hAnsi="Arial" w:cs="Arial"/>
          <w:sz w:val="22"/>
          <w:lang w:val="es-ES" w:eastAsia="es-ES_tradnl"/>
        </w:rPr>
      </w:pPr>
    </w:p>
    <w:p w14:paraId="0607561F" w14:textId="77777777" w:rsidR="00460695" w:rsidRPr="00304599" w:rsidRDefault="00460695" w:rsidP="00460695">
      <w:pPr>
        <w:spacing w:line="276" w:lineRule="auto"/>
        <w:jc w:val="both"/>
        <w:rPr>
          <w:rFonts w:ascii="Arial" w:eastAsia="Calibri" w:hAnsi="Arial" w:cs="Arial"/>
          <w:b/>
          <w:bCs/>
          <w:color w:val="000000"/>
          <w:sz w:val="22"/>
          <w:szCs w:val="22"/>
          <w:lang w:val="es-MX" w:eastAsia="en-US"/>
        </w:rPr>
      </w:pPr>
      <w:r w:rsidRPr="00304599">
        <w:rPr>
          <w:rFonts w:ascii="Arial" w:eastAsia="Calibri" w:hAnsi="Arial" w:cs="Arial"/>
          <w:b/>
          <w:bCs/>
          <w:color w:val="000000"/>
          <w:sz w:val="22"/>
          <w:szCs w:val="22"/>
          <w:lang w:val="es-MX" w:eastAsia="en-US"/>
        </w:rPr>
        <w:t>2.5 Declaratoria desierta – Selección objetiva</w:t>
      </w:r>
    </w:p>
    <w:p w14:paraId="627FA32C" w14:textId="77777777" w:rsidR="00460695" w:rsidRPr="00304599" w:rsidRDefault="00460695" w:rsidP="00460695">
      <w:pPr>
        <w:spacing w:line="276" w:lineRule="auto"/>
        <w:jc w:val="both"/>
        <w:rPr>
          <w:rFonts w:ascii="Arial" w:eastAsia="Calibri" w:hAnsi="Arial" w:cs="Arial"/>
          <w:sz w:val="22"/>
          <w:lang w:val="es-ES" w:eastAsia="es-ES_tradnl"/>
        </w:rPr>
      </w:pPr>
    </w:p>
    <w:p w14:paraId="07F71A1F" w14:textId="01149C32" w:rsidR="00460695" w:rsidRPr="00304599" w:rsidRDefault="00460695" w:rsidP="00460695">
      <w:pPr>
        <w:spacing w:line="276" w:lineRule="auto"/>
        <w:jc w:val="both"/>
        <w:rPr>
          <w:rFonts w:ascii="Arial" w:eastAsia="Calibri" w:hAnsi="Arial" w:cs="Arial"/>
          <w:i/>
          <w:iCs/>
          <w:sz w:val="22"/>
          <w:lang w:val="es-ES" w:eastAsia="es-ES_tradnl"/>
        </w:rPr>
      </w:pPr>
      <w:r w:rsidRPr="00304599">
        <w:rPr>
          <w:rFonts w:ascii="Arial" w:eastAsia="Calibri" w:hAnsi="Arial" w:cs="Arial"/>
          <w:sz w:val="22"/>
          <w:lang w:val="es-ES" w:eastAsia="es-ES_tradnl"/>
        </w:rPr>
        <w:t xml:space="preserve">De conformidad con el artículo 25.18 de la Ley 80 de 1993, la declaratoria de desierta de un proceso licitatorio </w:t>
      </w:r>
      <w:r w:rsidRPr="00304599">
        <w:rPr>
          <w:rFonts w:ascii="Arial" w:eastAsia="Calibri" w:hAnsi="Arial" w:cs="Arial"/>
          <w:sz w:val="22"/>
          <w:lang w:val="es-MX" w:eastAsia="es-ES_tradnl"/>
        </w:rPr>
        <w:t>«</w:t>
      </w:r>
      <w:r w:rsidRPr="00304599">
        <w:rPr>
          <w:rFonts w:ascii="Arial" w:eastAsia="Calibri" w:hAnsi="Arial" w:cs="Arial"/>
          <w:i/>
          <w:iCs/>
          <w:sz w:val="22"/>
          <w:lang w:val="es-ES" w:eastAsia="es-ES_tradnl"/>
        </w:rPr>
        <w:t xml:space="preserve">únicamente procederá por motivos o causas que impidan </w:t>
      </w:r>
      <w:r w:rsidRPr="00304599">
        <w:rPr>
          <w:rFonts w:ascii="Arial" w:eastAsia="Calibri" w:hAnsi="Arial" w:cs="Arial"/>
          <w:b/>
          <w:bCs/>
          <w:i/>
          <w:iCs/>
          <w:sz w:val="22"/>
          <w:u w:val="single"/>
          <w:lang w:val="es-ES" w:eastAsia="es-ES_tradnl"/>
        </w:rPr>
        <w:t>la escogencia objetiva</w:t>
      </w:r>
      <w:r w:rsidRPr="00304599">
        <w:rPr>
          <w:rFonts w:ascii="Arial" w:eastAsia="Calibri" w:hAnsi="Arial" w:cs="Arial"/>
          <w:i/>
          <w:iCs/>
          <w:sz w:val="22"/>
          <w:lang w:val="es-ES" w:eastAsia="es-ES_tradnl"/>
        </w:rPr>
        <w:t xml:space="preserve"> y se declarará en acto administrativo en el que se señalarán en forma expresa y detallada las razones que han conducido a esa decisión» (subrayado fuera de texto).</w:t>
      </w:r>
    </w:p>
    <w:p w14:paraId="2DB1D6F4" w14:textId="77777777" w:rsidR="00460695" w:rsidRPr="00304599" w:rsidRDefault="00460695" w:rsidP="00460695">
      <w:pPr>
        <w:spacing w:line="276" w:lineRule="auto"/>
        <w:ind w:firstLine="720"/>
        <w:jc w:val="both"/>
        <w:rPr>
          <w:rFonts w:ascii="Arial" w:eastAsia="Calibri" w:hAnsi="Arial" w:cs="Arial"/>
          <w:i/>
          <w:sz w:val="22"/>
          <w:lang w:val="es-ES" w:eastAsia="es-ES_tradnl"/>
        </w:rPr>
      </w:pPr>
      <w:r w:rsidRPr="00304599">
        <w:rPr>
          <w:rFonts w:ascii="Arial" w:eastAsia="Calibri" w:hAnsi="Arial" w:cs="Arial"/>
          <w:sz w:val="22"/>
          <w:lang w:val="es-ES" w:eastAsia="es-ES_tradnl"/>
        </w:rPr>
        <w:lastRenderedPageBreak/>
        <w:t>Ahora bien, sobre la selección objetiva, el artículo 5º de la Ley 1150 de</w:t>
      </w:r>
      <w:r w:rsidRPr="00304599">
        <w:rPr>
          <w:rFonts w:ascii="Arial" w:eastAsia="Calibri" w:hAnsi="Arial" w:cs="Arial"/>
          <w:sz w:val="22"/>
          <w:lang w:val="es-ES" w:eastAsia="es-ES_tradnl"/>
        </w:rPr>
        <w:br/>
        <w:t xml:space="preserve">2007 dispone que </w:t>
      </w:r>
      <w:r w:rsidRPr="00304599">
        <w:rPr>
          <w:rFonts w:ascii="Arial" w:eastAsia="Calibri" w:hAnsi="Arial" w:cs="Arial"/>
          <w:i/>
          <w:sz w:val="22"/>
          <w:lang w:val="es-MX" w:eastAsia="es-ES_tradnl"/>
        </w:rPr>
        <w:t>«</w:t>
      </w:r>
      <w:r w:rsidRPr="00304599">
        <w:rPr>
          <w:rFonts w:ascii="Arial" w:eastAsia="Calibri" w:hAnsi="Arial" w:cs="Arial"/>
          <w:i/>
          <w:sz w:val="22"/>
          <w:lang w:val="es-ES" w:eastAsia="es-ES_tradnl"/>
        </w:rPr>
        <w:t>es objetiva la selección en la cual la escogencia se haga al ofrecimiento más favorable a la entidad y a los fines que ella busca, sin tener en consideración factores de afecto o de interés y, en general cualquier clase de motivación subjetiva</w:t>
      </w:r>
      <w:r w:rsidRPr="00304599">
        <w:rPr>
          <w:rFonts w:ascii="Arial" w:eastAsia="Calibri" w:hAnsi="Arial" w:cs="Arial"/>
          <w:i/>
          <w:iCs/>
          <w:sz w:val="22"/>
          <w:lang w:val="es-ES" w:eastAsia="es-ES_tradnl"/>
        </w:rPr>
        <w:t>».</w:t>
      </w:r>
    </w:p>
    <w:p w14:paraId="1A901141" w14:textId="77777777" w:rsidR="00460695" w:rsidRPr="00304599" w:rsidRDefault="00460695" w:rsidP="00460695">
      <w:pPr>
        <w:spacing w:line="276" w:lineRule="auto"/>
        <w:jc w:val="both"/>
        <w:rPr>
          <w:rFonts w:ascii="Arial" w:eastAsia="Calibri" w:hAnsi="Arial" w:cs="Arial"/>
          <w:sz w:val="22"/>
          <w:lang w:val="es-ES" w:eastAsia="es-ES_tradnl"/>
        </w:rPr>
      </w:pPr>
    </w:p>
    <w:p w14:paraId="23F2B073" w14:textId="0EB8CC09" w:rsidR="00460695" w:rsidRPr="00304599" w:rsidRDefault="00460695" w:rsidP="00460695">
      <w:pPr>
        <w:spacing w:line="276" w:lineRule="auto"/>
        <w:ind w:firstLine="720"/>
        <w:jc w:val="both"/>
        <w:rPr>
          <w:rFonts w:ascii="Arial" w:eastAsia="Calibri" w:hAnsi="Arial" w:cs="Arial"/>
          <w:sz w:val="22"/>
          <w:lang w:val="es-ES" w:eastAsia="es-ES_tradnl"/>
        </w:rPr>
      </w:pPr>
      <w:r w:rsidRPr="00304599">
        <w:rPr>
          <w:rFonts w:ascii="Arial" w:eastAsia="Calibri" w:hAnsi="Arial" w:cs="Arial"/>
          <w:sz w:val="22"/>
          <w:lang w:val="es-ES" w:eastAsia="es-ES_tradnl"/>
        </w:rPr>
        <w:t xml:space="preserve">Así las cosas, es acertado decir, que el proceso licitatorio se pone en marcha con el objeto de celebrar un contrato, con quien presente la </w:t>
      </w:r>
      <w:r w:rsidRPr="00304599">
        <w:rPr>
          <w:rFonts w:ascii="Arial" w:eastAsia="Calibri" w:hAnsi="Arial" w:cs="Arial"/>
          <w:sz w:val="22"/>
          <w:szCs w:val="22"/>
          <w:lang w:val="es-ES" w:eastAsia="es-ES_tradnl"/>
        </w:rPr>
        <w:t>propuesta más favorable a la Administración, pues así lo demanda el deber de selección objetiva</w:t>
      </w:r>
      <w:r w:rsidRPr="00304599">
        <w:rPr>
          <w:rFonts w:ascii="Arial" w:eastAsia="Calibri" w:hAnsi="Arial" w:cs="Arial"/>
          <w:sz w:val="16"/>
          <w:szCs w:val="16"/>
          <w:lang w:val="es-ES" w:eastAsia="es-ES_tradnl"/>
        </w:rPr>
        <w:footnoteReference w:id="20"/>
      </w:r>
      <w:r w:rsidRPr="00304599">
        <w:rPr>
          <w:rFonts w:ascii="Arial" w:eastAsia="Calibri" w:hAnsi="Arial" w:cs="Arial"/>
          <w:sz w:val="16"/>
          <w:szCs w:val="16"/>
          <w:lang w:val="es-ES" w:eastAsia="es-ES_tradnl"/>
        </w:rPr>
        <w:t>;</w:t>
      </w:r>
      <w:r w:rsidRPr="00304599">
        <w:rPr>
          <w:rFonts w:ascii="Arial" w:eastAsia="Calibri" w:hAnsi="Arial" w:cs="Arial"/>
          <w:sz w:val="22"/>
          <w:lang w:val="es-ES" w:eastAsia="es-ES_tradnl"/>
        </w:rPr>
        <w:t xml:space="preserve"> deber que se desprendía de los artículos 24.7 y 30.11 de la </w:t>
      </w:r>
      <w:r w:rsidRPr="00304599">
        <w:rPr>
          <w:rFonts w:ascii="Arial" w:eastAsia="Calibri" w:hAnsi="Arial" w:cs="Arial"/>
          <w:sz w:val="22"/>
          <w:szCs w:val="22"/>
          <w:lang w:val="es-ES" w:eastAsia="es-ES_tradnl"/>
        </w:rPr>
        <w:t>Ley 80 de 1993</w:t>
      </w:r>
      <w:r w:rsidRPr="00304599">
        <w:rPr>
          <w:rFonts w:ascii="Arial" w:eastAsia="Calibri" w:hAnsi="Arial" w:cs="Arial"/>
          <w:sz w:val="16"/>
          <w:szCs w:val="16"/>
          <w:lang w:val="es-ES" w:eastAsia="es-ES_tradnl"/>
        </w:rPr>
        <w:t xml:space="preserve"> </w:t>
      </w:r>
      <w:r w:rsidRPr="00304599">
        <w:rPr>
          <w:rFonts w:ascii="Arial" w:eastAsia="Calibri" w:hAnsi="Arial" w:cs="Arial"/>
          <w:sz w:val="16"/>
          <w:szCs w:val="16"/>
          <w:lang w:val="es-ES" w:eastAsia="es-ES_tradnl"/>
        </w:rPr>
        <w:footnoteReference w:id="21"/>
      </w:r>
      <w:r w:rsidRPr="00304599">
        <w:rPr>
          <w:rFonts w:ascii="Arial" w:eastAsia="Calibri" w:hAnsi="Arial" w:cs="Arial"/>
          <w:sz w:val="16"/>
          <w:szCs w:val="16"/>
          <w:lang w:val="es-ES" w:eastAsia="es-ES_tradnl"/>
        </w:rPr>
        <w:t xml:space="preserve">; </w:t>
      </w:r>
      <w:r w:rsidRPr="00304599">
        <w:rPr>
          <w:rFonts w:ascii="Arial" w:eastAsia="Calibri" w:hAnsi="Arial" w:cs="Arial"/>
          <w:sz w:val="22"/>
          <w:szCs w:val="22"/>
          <w:lang w:val="es-ES" w:eastAsia="es-ES_tradnl"/>
        </w:rPr>
        <w:t>y fue</w:t>
      </w:r>
      <w:r w:rsidRPr="00304599">
        <w:rPr>
          <w:rFonts w:ascii="Arial" w:eastAsia="Calibri" w:hAnsi="Arial" w:cs="Arial"/>
          <w:sz w:val="22"/>
          <w:lang w:val="es-ES" w:eastAsia="es-ES_tradnl"/>
        </w:rPr>
        <w:t xml:space="preserve"> concretado con el artículo 5º de la Ley 1150 de 2007, referido anteriormente. La Sección Tercera del Consejo de Estado ha considerado que la norma en comento constituye una regla compulsoria, que rige el procedimiento licitatorio.</w:t>
      </w:r>
    </w:p>
    <w:p w14:paraId="3067EA58" w14:textId="2CDAEB5A" w:rsidR="00460695" w:rsidRPr="00304599" w:rsidRDefault="00460695" w:rsidP="00460695">
      <w:pPr>
        <w:spacing w:line="276" w:lineRule="auto"/>
        <w:ind w:firstLine="720"/>
        <w:jc w:val="both"/>
        <w:rPr>
          <w:rFonts w:ascii="Arial" w:eastAsia="Calibri" w:hAnsi="Arial" w:cs="Arial"/>
          <w:sz w:val="22"/>
          <w:lang w:val="es-ES" w:eastAsia="es-ES_tradnl"/>
        </w:rPr>
      </w:pPr>
    </w:p>
    <w:p w14:paraId="1D95FF26" w14:textId="77777777" w:rsidR="00460695" w:rsidRPr="00304599" w:rsidRDefault="00460695" w:rsidP="00460695">
      <w:pPr>
        <w:spacing w:line="276" w:lineRule="auto"/>
        <w:ind w:firstLine="567"/>
        <w:jc w:val="both"/>
        <w:rPr>
          <w:rFonts w:ascii="Arial" w:eastAsia="Calibri" w:hAnsi="Arial" w:cs="Arial"/>
          <w:sz w:val="22"/>
          <w:lang w:val="es-ES" w:eastAsia="es-ES_tradnl"/>
        </w:rPr>
      </w:pPr>
      <w:r w:rsidRPr="00304599">
        <w:rPr>
          <w:rFonts w:ascii="Arial" w:eastAsia="Calibri" w:hAnsi="Arial" w:cs="Arial"/>
          <w:sz w:val="22"/>
          <w:lang w:val="es-ES" w:eastAsia="es-ES_tradnl"/>
        </w:rPr>
        <w:t>En razón a lo anterior, los procesos licitatorios deben culminar con la</w:t>
      </w:r>
      <w:r w:rsidRPr="00304599">
        <w:rPr>
          <w:rFonts w:ascii="Arial" w:eastAsia="Calibri" w:hAnsi="Arial" w:cs="Arial"/>
          <w:sz w:val="22"/>
          <w:lang w:val="es-ES" w:eastAsia="es-ES_tradnl"/>
        </w:rPr>
        <w:br/>
        <w:t>selección de una propuesta, bajo circunstancias excepcionales que trunquen o</w:t>
      </w:r>
      <w:r w:rsidRPr="00304599">
        <w:rPr>
          <w:rFonts w:ascii="Arial" w:eastAsia="Calibri" w:hAnsi="Arial" w:cs="Arial"/>
          <w:sz w:val="22"/>
          <w:lang w:val="es-ES" w:eastAsia="es-ES_tradnl"/>
        </w:rPr>
        <w:br/>
        <w:t>imposibiliten la selección objetiva, es procedente la declaración de desierta; entonces, esta última es una excepción a la regla compulsoria de selección objetiva, que gobierna el proceso administrativo de adjudicación, que, por tanto, procede, como ya se dijo bajo circunstancias excepcionales que deberán consignar se de forma expresa en la motivación del acto administrativo a través del cual se declara desierto el respectivo proceso</w:t>
      </w:r>
      <w:r w:rsidRPr="00304599">
        <w:rPr>
          <w:rFonts w:ascii="Arial" w:eastAsia="Calibri" w:hAnsi="Arial" w:cs="Arial"/>
          <w:sz w:val="22"/>
          <w:vertAlign w:val="superscript"/>
          <w:lang w:val="es-ES" w:eastAsia="es-ES_tradnl"/>
        </w:rPr>
        <w:footnoteReference w:id="22"/>
      </w:r>
      <w:r w:rsidRPr="00304599">
        <w:rPr>
          <w:rFonts w:ascii="Arial" w:eastAsia="Calibri" w:hAnsi="Arial" w:cs="Arial"/>
          <w:sz w:val="22"/>
          <w:lang w:val="es-ES" w:eastAsia="es-ES_tradnl"/>
        </w:rPr>
        <w:t>.</w:t>
      </w:r>
    </w:p>
    <w:p w14:paraId="1E6A0BBB" w14:textId="77777777" w:rsidR="00460695" w:rsidRPr="00304599" w:rsidRDefault="00460695" w:rsidP="00460695">
      <w:pPr>
        <w:spacing w:line="276" w:lineRule="auto"/>
        <w:ind w:firstLine="567"/>
        <w:jc w:val="both"/>
        <w:rPr>
          <w:rFonts w:ascii="Arial" w:eastAsia="Calibri" w:hAnsi="Arial" w:cs="Arial"/>
          <w:sz w:val="22"/>
          <w:lang w:val="es-ES" w:eastAsia="es-ES_tradnl"/>
        </w:rPr>
      </w:pPr>
    </w:p>
    <w:p w14:paraId="6550BDE1" w14:textId="77777777" w:rsidR="00460695" w:rsidRPr="00304599" w:rsidRDefault="00460695" w:rsidP="00460695">
      <w:pPr>
        <w:spacing w:line="276" w:lineRule="auto"/>
        <w:ind w:firstLine="709"/>
        <w:jc w:val="both"/>
        <w:rPr>
          <w:rFonts w:ascii="Arial" w:eastAsia="Calibri" w:hAnsi="Arial" w:cs="Arial"/>
          <w:sz w:val="22"/>
          <w:lang w:val="es-ES" w:eastAsia="es-ES_tradnl"/>
        </w:rPr>
      </w:pPr>
      <w:r w:rsidRPr="00304599">
        <w:rPr>
          <w:rFonts w:ascii="Arial" w:eastAsia="Calibri" w:hAnsi="Arial" w:cs="Arial"/>
          <w:sz w:val="22"/>
          <w:lang w:val="es-ES" w:eastAsia="es-ES_tradnl"/>
        </w:rPr>
        <w:t xml:space="preserve">Por supuesto, la selección objetiva de la oferta más favorable a los fines de la entidad excluye cualquier tipo de consideraciones subjetivas. Atendiendo a la proscripción de tales consideraciones, la adjudicación, como todo juicio jurídico objetivo, debe pues </w:t>
      </w:r>
      <w:r w:rsidRPr="00304599">
        <w:rPr>
          <w:rFonts w:ascii="Arial" w:eastAsia="Calibri" w:hAnsi="Arial" w:cs="Arial"/>
          <w:sz w:val="22"/>
          <w:szCs w:val="22"/>
          <w:lang w:val="es-ES" w:eastAsia="es-ES_tradnl"/>
        </w:rPr>
        <w:t>basarse en dos elementos: i) las normas generales o concretas —como las que exigen experiencia, organización, equipos, plazo, precio, etc.</w:t>
      </w:r>
      <w:r w:rsidRPr="00304599">
        <w:rPr>
          <w:rFonts w:ascii="Arial" w:eastAsia="Calibri" w:hAnsi="Arial" w:cs="Arial"/>
          <w:sz w:val="16"/>
          <w:szCs w:val="16"/>
          <w:lang w:val="es-ES" w:eastAsia="es-ES_tradnl"/>
        </w:rPr>
        <w:t>.</w:t>
      </w:r>
      <w:r w:rsidRPr="00304599">
        <w:rPr>
          <w:rFonts w:ascii="Calibri" w:eastAsia="Calibri" w:hAnsi="Calibri" w:cs="Calibri"/>
          <w:sz w:val="16"/>
          <w:szCs w:val="16"/>
          <w:lang w:val="es-MX" w:eastAsia="es-ES_tradnl"/>
        </w:rPr>
        <w:footnoteReference w:id="23"/>
      </w:r>
      <w:r w:rsidRPr="00304599">
        <w:rPr>
          <w:rFonts w:ascii="Arial" w:eastAsia="Calibri" w:hAnsi="Arial" w:cs="Arial"/>
          <w:sz w:val="16"/>
          <w:szCs w:val="16"/>
          <w:lang w:val="es-ES" w:eastAsia="es-ES_tradnl"/>
        </w:rPr>
        <w:t>;—</w:t>
      </w:r>
      <w:r w:rsidRPr="00304599">
        <w:rPr>
          <w:rFonts w:ascii="Arial" w:eastAsia="Calibri" w:hAnsi="Arial" w:cs="Arial"/>
          <w:sz w:val="22"/>
          <w:lang w:val="es-ES" w:eastAsia="es-ES_tradnl"/>
        </w:rPr>
        <w:t xml:space="preserve"> aplicadas a </w:t>
      </w:r>
      <w:proofErr w:type="spellStart"/>
      <w:r w:rsidRPr="00304599">
        <w:rPr>
          <w:rFonts w:ascii="Arial" w:eastAsia="Calibri" w:hAnsi="Arial" w:cs="Arial"/>
          <w:sz w:val="22"/>
          <w:lang w:val="es-ES" w:eastAsia="es-ES_tradnl"/>
        </w:rPr>
        <w:t>ii</w:t>
      </w:r>
      <w:proofErr w:type="spellEnd"/>
      <w:r w:rsidRPr="00304599">
        <w:rPr>
          <w:rFonts w:ascii="Arial" w:eastAsia="Calibri" w:hAnsi="Arial" w:cs="Arial"/>
          <w:sz w:val="22"/>
          <w:lang w:val="es-ES" w:eastAsia="es-ES_tradnl"/>
        </w:rPr>
        <w:t>) los hechos acreditados en el proceso administrativo licitatorio. Tales normas jurídicas pueden revestir la forma de reglas o principios, según su estructura lógica y, en concreto, al carácter abierto o cerrado del supuesto fáctico.</w:t>
      </w:r>
    </w:p>
    <w:p w14:paraId="65913C60" w14:textId="77777777" w:rsidR="00460695" w:rsidRPr="00304599" w:rsidRDefault="00460695" w:rsidP="00460695">
      <w:pPr>
        <w:spacing w:line="276" w:lineRule="auto"/>
        <w:jc w:val="both"/>
        <w:rPr>
          <w:rFonts w:ascii="Arial" w:eastAsia="Calibri" w:hAnsi="Arial" w:cs="Arial"/>
          <w:sz w:val="22"/>
          <w:lang w:val="es-ES" w:eastAsia="es-ES_tradnl"/>
        </w:rPr>
      </w:pPr>
    </w:p>
    <w:p w14:paraId="0FC60E56" w14:textId="7F402D21" w:rsidR="00460695" w:rsidRDefault="00A96B78" w:rsidP="00460695">
      <w:pPr>
        <w:spacing w:line="276" w:lineRule="auto"/>
        <w:ind w:firstLine="709"/>
        <w:jc w:val="both"/>
        <w:rPr>
          <w:rFonts w:ascii="Arial" w:eastAsia="Calibri" w:hAnsi="Arial" w:cs="Arial"/>
          <w:sz w:val="22"/>
          <w:lang w:val="es-ES" w:eastAsia="es-ES_tradnl"/>
        </w:rPr>
      </w:pPr>
      <w:r w:rsidRPr="00304599">
        <w:rPr>
          <w:rFonts w:ascii="Arial" w:eastAsia="Calibri" w:hAnsi="Arial" w:cs="Arial"/>
          <w:sz w:val="22"/>
          <w:lang w:val="es-ES" w:eastAsia="es-ES_tradnl"/>
        </w:rPr>
        <w:t>P</w:t>
      </w:r>
      <w:r w:rsidR="00460695" w:rsidRPr="00304599">
        <w:rPr>
          <w:rFonts w:ascii="Arial" w:eastAsia="Calibri" w:hAnsi="Arial" w:cs="Arial"/>
          <w:sz w:val="22"/>
          <w:lang w:val="es-ES" w:eastAsia="es-ES_tradnl"/>
        </w:rPr>
        <w:t>or eso</w:t>
      </w:r>
      <w:r w:rsidRPr="00304599">
        <w:rPr>
          <w:rFonts w:ascii="Arial" w:eastAsia="Calibri" w:hAnsi="Arial" w:cs="Arial"/>
          <w:sz w:val="22"/>
          <w:lang w:val="es-ES" w:eastAsia="es-ES_tradnl"/>
        </w:rPr>
        <w:t xml:space="preserve">, </w:t>
      </w:r>
      <w:r w:rsidR="00460695" w:rsidRPr="00304599">
        <w:rPr>
          <w:rFonts w:ascii="Arial" w:eastAsia="Calibri" w:hAnsi="Arial" w:cs="Arial"/>
          <w:sz w:val="22"/>
          <w:lang w:val="es-ES" w:eastAsia="es-ES_tradnl"/>
        </w:rPr>
        <w:t>la Sección Tercera del Consejo de Estado ha dicho que</w:t>
      </w:r>
      <w:r w:rsidR="00460695" w:rsidRPr="00304599">
        <w:rPr>
          <w:rFonts w:ascii="Arial" w:eastAsia="Calibri" w:hAnsi="Arial" w:cs="Arial"/>
          <w:sz w:val="22"/>
          <w:vertAlign w:val="superscript"/>
          <w:lang w:val="es-ES" w:eastAsia="es-ES_tradnl"/>
        </w:rPr>
        <w:footnoteReference w:id="24"/>
      </w:r>
      <w:r w:rsidRPr="00304599">
        <w:rPr>
          <w:rFonts w:ascii="Arial" w:eastAsia="Calibri" w:hAnsi="Arial" w:cs="Arial"/>
          <w:sz w:val="22"/>
          <w:lang w:val="es-ES" w:eastAsia="es-ES_tradnl"/>
        </w:rPr>
        <w:t>,</w:t>
      </w:r>
      <w:r w:rsidR="00460695" w:rsidRPr="00304599">
        <w:rPr>
          <w:rFonts w:ascii="Arial" w:eastAsia="Calibri" w:hAnsi="Arial" w:cs="Arial"/>
          <w:sz w:val="22"/>
          <w:lang w:val="es-ES" w:eastAsia="es-ES_tradnl"/>
        </w:rPr>
        <w:t xml:space="preserve"> en el evento en que las reglas contenidas en los pliegos adolezcan de falencias por vacíos el operador jurídico</w:t>
      </w:r>
      <w:r w:rsidRPr="00304599">
        <w:rPr>
          <w:rFonts w:ascii="Arial" w:eastAsia="Calibri" w:hAnsi="Arial" w:cs="Arial"/>
          <w:sz w:val="22"/>
          <w:lang w:val="es-ES" w:eastAsia="es-ES_tradnl"/>
        </w:rPr>
        <w:t>,</w:t>
      </w:r>
      <w:r w:rsidR="00460695" w:rsidRPr="00304599">
        <w:rPr>
          <w:rFonts w:ascii="Arial" w:eastAsia="Calibri" w:hAnsi="Arial" w:cs="Arial"/>
          <w:sz w:val="22"/>
          <w:lang w:val="es-ES" w:eastAsia="es-ES_tradnl"/>
        </w:rPr>
        <w:t xml:space="preserve"> ha de remitirse a los principios generales del derecho (público y privado) y a los de la función administrativa, atendiendo a la finalidad del pliego y la protección del interés general; todo ello, al tenor de lo prescrito por el artículo 23 de la Ley 80 de 1993.</w:t>
      </w:r>
    </w:p>
    <w:p w14:paraId="5C103B9B" w14:textId="77777777" w:rsidR="00B220B9" w:rsidRPr="00304599" w:rsidRDefault="00B220B9" w:rsidP="00460695">
      <w:pPr>
        <w:spacing w:line="276" w:lineRule="auto"/>
        <w:ind w:firstLine="709"/>
        <w:jc w:val="both"/>
        <w:rPr>
          <w:rFonts w:ascii="Arial" w:eastAsia="Calibri" w:hAnsi="Arial" w:cs="Arial"/>
          <w:sz w:val="22"/>
          <w:lang w:val="es-ES" w:eastAsia="es-ES_tradnl"/>
        </w:rPr>
      </w:pPr>
    </w:p>
    <w:p w14:paraId="3C20BC74" w14:textId="3AE106FB" w:rsidR="00460695" w:rsidRPr="00304599" w:rsidRDefault="00460695" w:rsidP="00460695">
      <w:pPr>
        <w:spacing w:line="276" w:lineRule="auto"/>
        <w:ind w:firstLine="709"/>
        <w:jc w:val="both"/>
        <w:rPr>
          <w:rFonts w:ascii="Arial" w:eastAsia="Calibri" w:hAnsi="Arial" w:cs="Arial"/>
          <w:sz w:val="16"/>
          <w:szCs w:val="16"/>
          <w:lang w:val="es-ES" w:eastAsia="es-ES_tradnl"/>
        </w:rPr>
      </w:pPr>
      <w:r w:rsidRPr="00304599">
        <w:rPr>
          <w:rFonts w:ascii="Arial" w:eastAsia="Calibri" w:hAnsi="Arial" w:cs="Arial"/>
          <w:sz w:val="22"/>
          <w:lang w:val="es-ES" w:eastAsia="es-ES_tradnl"/>
        </w:rPr>
        <w:t>Así las cosas, es deber de las entidades estatales dar cabal cumplimiento al principio de selección objetiva siempre que cumplan el deber legal de aplicar rigurosamente los criterios de selección y su respectiva ponderación, los cuales, a su vez, deben haber sido establecidos en forma clara, precisa y detallada en el pliego de condiciones; s</w:t>
      </w:r>
      <w:r w:rsidR="00A96B78" w:rsidRPr="00304599">
        <w:rPr>
          <w:rFonts w:ascii="Arial" w:eastAsia="Calibri" w:hAnsi="Arial" w:cs="Arial"/>
          <w:sz w:val="22"/>
          <w:lang w:val="es-ES" w:eastAsia="es-ES_tradnl"/>
        </w:rPr>
        <w:t>o</w:t>
      </w:r>
      <w:r w:rsidRPr="00304599">
        <w:rPr>
          <w:rFonts w:ascii="Arial" w:eastAsia="Calibri" w:hAnsi="Arial" w:cs="Arial"/>
          <w:sz w:val="22"/>
          <w:lang w:val="es-ES" w:eastAsia="es-ES_tradnl"/>
        </w:rPr>
        <w:t xml:space="preserve">lo de esta manera podrá elegirse la propuesta que, atendidos los fines que ella busca y obtenido el </w:t>
      </w:r>
      <w:r w:rsidRPr="00304599">
        <w:rPr>
          <w:rFonts w:ascii="Arial" w:eastAsia="Calibri" w:hAnsi="Arial" w:cs="Arial"/>
          <w:sz w:val="22"/>
          <w:lang w:val="es-ES" w:eastAsia="es-ES_tradnl"/>
        </w:rPr>
        <w:lastRenderedPageBreak/>
        <w:t>mayor puntaje de la aplicación estricta de tales factores, resulte ser la más favorable para la entidad</w:t>
      </w:r>
      <w:r w:rsidRPr="00304599">
        <w:rPr>
          <w:rFonts w:ascii="Arial" w:eastAsia="Calibri" w:hAnsi="Arial" w:cs="Arial"/>
          <w:sz w:val="16"/>
          <w:szCs w:val="16"/>
          <w:lang w:val="es-ES" w:eastAsia="es-ES_tradnl"/>
        </w:rPr>
        <w:t>.</w:t>
      </w:r>
      <w:r w:rsidRPr="00304599">
        <w:rPr>
          <w:rFonts w:ascii="Calibri" w:eastAsia="Calibri" w:hAnsi="Calibri" w:cs="Calibri"/>
          <w:sz w:val="16"/>
          <w:szCs w:val="16"/>
          <w:lang w:val="es-MX" w:eastAsia="es-ES_tradnl"/>
        </w:rPr>
        <w:footnoteReference w:id="25"/>
      </w:r>
      <w:r w:rsidRPr="00304599">
        <w:rPr>
          <w:rFonts w:ascii="Arial" w:eastAsia="Calibri" w:hAnsi="Arial" w:cs="Arial"/>
          <w:sz w:val="16"/>
          <w:szCs w:val="16"/>
          <w:lang w:val="es-ES" w:eastAsia="es-ES_tradnl"/>
        </w:rPr>
        <w:t xml:space="preserve">. </w:t>
      </w:r>
    </w:p>
    <w:p w14:paraId="4EEA855B" w14:textId="77777777" w:rsidR="00460695" w:rsidRPr="00304599" w:rsidRDefault="00460695" w:rsidP="00460695">
      <w:pPr>
        <w:spacing w:line="276" w:lineRule="auto"/>
        <w:jc w:val="both"/>
        <w:rPr>
          <w:rFonts w:ascii="Arial" w:eastAsia="Arial" w:hAnsi="Arial" w:cs="Arial"/>
          <w:b/>
          <w:color w:val="000000"/>
          <w:sz w:val="16"/>
          <w:szCs w:val="16"/>
          <w:lang w:val="es-MX" w:eastAsia="es-ES_tradnl"/>
        </w:rPr>
      </w:pPr>
      <w:bookmarkStart w:id="12" w:name="_Hlk22106167"/>
    </w:p>
    <w:p w14:paraId="160ADE62" w14:textId="65D5A026" w:rsidR="00460695" w:rsidRPr="00304599" w:rsidRDefault="00460695" w:rsidP="00460695">
      <w:pPr>
        <w:spacing w:line="276" w:lineRule="auto"/>
        <w:ind w:firstLine="709"/>
        <w:jc w:val="both"/>
        <w:rPr>
          <w:rFonts w:ascii="Arial" w:eastAsia="Calibri" w:hAnsi="Arial" w:cs="Arial"/>
          <w:sz w:val="22"/>
          <w:lang w:val="es-ES" w:eastAsia="es-ES_tradnl"/>
        </w:rPr>
      </w:pPr>
      <w:r w:rsidRPr="00304599">
        <w:rPr>
          <w:rFonts w:ascii="Arial" w:eastAsia="Calibri" w:hAnsi="Arial" w:cs="Arial"/>
          <w:sz w:val="22"/>
          <w:lang w:val="es-ES" w:eastAsia="es-ES_tradnl"/>
        </w:rPr>
        <w:t xml:space="preserve">En conclusión, la  Ley 80 </w:t>
      </w:r>
      <w:bookmarkEnd w:id="12"/>
      <w:r w:rsidRPr="00304599">
        <w:rPr>
          <w:rFonts w:ascii="Arial" w:eastAsia="Calibri" w:hAnsi="Arial" w:cs="Arial"/>
          <w:sz w:val="22"/>
          <w:lang w:val="es-ES" w:eastAsia="es-ES_tradnl"/>
        </w:rPr>
        <w:t xml:space="preserve"> de 1993, en su artículo 29, posteriormente derogado e incluido en el artículo 5 de la Ley 1150 de 2007, consagró el deber de selección objetiva de los contratistas como expresión del interés general o interés público, como fin de la actividad contractual del Estado, el cual debe estar presente cuando la selección del contratista se adelante mediante cualquiera de los procedimientos administrativos de selección, como también cuando la ley permita hacerlo mediante el sistema de contratación directa. Con base en esta disposición, se concluye que la objetividad  en la selección de los contratistas del Estado, implica: i) que la escogencia del contratista debe estar desprovista de todo tipo de consideración subjetiva, afecto o interés; </w:t>
      </w:r>
      <w:proofErr w:type="spellStart"/>
      <w:r w:rsidRPr="00304599">
        <w:rPr>
          <w:rFonts w:ascii="Arial" w:eastAsia="Calibri" w:hAnsi="Arial" w:cs="Arial"/>
          <w:sz w:val="22"/>
          <w:lang w:val="es-ES" w:eastAsia="es-ES_tradnl"/>
        </w:rPr>
        <w:t>ii</w:t>
      </w:r>
      <w:proofErr w:type="spellEnd"/>
      <w:r w:rsidRPr="00304599">
        <w:rPr>
          <w:rFonts w:ascii="Arial" w:eastAsia="Calibri" w:hAnsi="Arial" w:cs="Arial"/>
          <w:sz w:val="22"/>
          <w:lang w:val="es-ES" w:eastAsia="es-ES_tradnl"/>
        </w:rPr>
        <w:t xml:space="preserve">) que la propuesta más favorable se debe determinar exclusivamente con arreglo a los diversos factores de selección previamente establecidos por la Administración, así como por la ponderación precisa y detallada de tales criterios de selección; </w:t>
      </w:r>
      <w:proofErr w:type="spellStart"/>
      <w:r w:rsidRPr="00304599">
        <w:rPr>
          <w:rFonts w:ascii="Arial" w:eastAsia="Calibri" w:hAnsi="Arial" w:cs="Arial"/>
          <w:sz w:val="22"/>
          <w:lang w:val="es-ES" w:eastAsia="es-ES_tradnl"/>
        </w:rPr>
        <w:t>iii</w:t>
      </w:r>
      <w:proofErr w:type="spellEnd"/>
      <w:r w:rsidRPr="00304599">
        <w:rPr>
          <w:rFonts w:ascii="Arial" w:eastAsia="Calibri" w:hAnsi="Arial" w:cs="Arial"/>
          <w:sz w:val="22"/>
          <w:lang w:val="es-ES" w:eastAsia="es-ES_tradnl"/>
        </w:rPr>
        <w:t xml:space="preserve">) que la ponderación de cada uno de dichos criterios o factores de escogencia se debe establecer de manera precisa, detallada y concreta en el respectivo pliego de condiciones y, </w:t>
      </w:r>
      <w:proofErr w:type="spellStart"/>
      <w:r w:rsidRPr="00304599">
        <w:rPr>
          <w:rFonts w:ascii="Arial" w:eastAsia="Calibri" w:hAnsi="Arial" w:cs="Arial"/>
          <w:sz w:val="22"/>
          <w:lang w:val="es-ES" w:eastAsia="es-ES_tradnl"/>
        </w:rPr>
        <w:t>iv</w:t>
      </w:r>
      <w:proofErr w:type="spellEnd"/>
      <w:r w:rsidRPr="00304599">
        <w:rPr>
          <w:rFonts w:ascii="Arial" w:eastAsia="Calibri" w:hAnsi="Arial" w:cs="Arial"/>
          <w:sz w:val="22"/>
          <w:lang w:val="es-ES" w:eastAsia="es-ES_tradnl"/>
        </w:rPr>
        <w:t>) que la adjudicación hecha por la entidad pública esté precedida del examen y comparación objetiva de las propuestas presentadas, la consulta de precios o condiciones del mercado y los estudios y deducciones hechos por la entidad o sus consultores o asesores. Naturalmente que esta norma legal, cuyo contenido concreta el principio de selección objetiva en la contratación estatal</w:t>
      </w:r>
      <w:r w:rsidRPr="00304599">
        <w:rPr>
          <w:rFonts w:ascii="Calibri" w:eastAsia="Calibri" w:hAnsi="Calibri" w:cs="Calibri"/>
          <w:sz w:val="16"/>
          <w:szCs w:val="16"/>
          <w:lang w:val="es-MX" w:eastAsia="es-ES_tradnl"/>
        </w:rPr>
        <w:footnoteReference w:id="26"/>
      </w:r>
      <w:r w:rsidRPr="00304599">
        <w:rPr>
          <w:rFonts w:ascii="Arial" w:eastAsia="Calibri" w:hAnsi="Arial" w:cs="Arial"/>
          <w:sz w:val="16"/>
          <w:szCs w:val="16"/>
          <w:lang w:val="es-ES" w:eastAsia="es-ES_tradnl"/>
        </w:rPr>
        <w:t>.</w:t>
      </w:r>
    </w:p>
    <w:p w14:paraId="3A0225C7" w14:textId="77777777" w:rsidR="00460695" w:rsidRPr="00304599" w:rsidRDefault="00460695" w:rsidP="00460695">
      <w:pPr>
        <w:tabs>
          <w:tab w:val="left" w:pos="284"/>
        </w:tabs>
        <w:spacing w:line="276" w:lineRule="auto"/>
        <w:jc w:val="both"/>
        <w:rPr>
          <w:rFonts w:ascii="Arial" w:eastAsia="Arial" w:hAnsi="Arial" w:cs="Arial"/>
          <w:b/>
          <w:color w:val="000000"/>
          <w:sz w:val="22"/>
          <w:szCs w:val="22"/>
          <w:lang w:val="es-MX" w:eastAsia="es-ES_tradnl"/>
        </w:rPr>
      </w:pPr>
    </w:p>
    <w:p w14:paraId="7F700467" w14:textId="77777777" w:rsidR="00460695" w:rsidRPr="00304599" w:rsidRDefault="00460695" w:rsidP="00460695">
      <w:pPr>
        <w:tabs>
          <w:tab w:val="left" w:pos="284"/>
        </w:tabs>
        <w:spacing w:line="276" w:lineRule="auto"/>
        <w:jc w:val="both"/>
        <w:rPr>
          <w:rFonts w:ascii="Arial" w:eastAsia="Arial" w:hAnsi="Arial" w:cs="Arial"/>
          <w:b/>
          <w:color w:val="000000"/>
          <w:sz w:val="22"/>
          <w:szCs w:val="22"/>
          <w:lang w:val="es-MX" w:eastAsia="es-ES_tradnl"/>
        </w:rPr>
      </w:pPr>
      <w:r w:rsidRPr="00304599">
        <w:rPr>
          <w:rFonts w:ascii="Arial" w:eastAsia="Arial" w:hAnsi="Arial" w:cs="Arial"/>
          <w:b/>
          <w:color w:val="000000"/>
          <w:sz w:val="22"/>
          <w:szCs w:val="22"/>
          <w:lang w:val="es-MX" w:eastAsia="es-ES_tradnl"/>
        </w:rPr>
        <w:t>3. Respuesta</w:t>
      </w:r>
    </w:p>
    <w:p w14:paraId="0765DDB4" w14:textId="77777777" w:rsidR="00460695" w:rsidRPr="00304599" w:rsidRDefault="00460695" w:rsidP="00460695">
      <w:pPr>
        <w:tabs>
          <w:tab w:val="left" w:pos="284"/>
        </w:tabs>
        <w:spacing w:line="276" w:lineRule="auto"/>
        <w:jc w:val="both"/>
        <w:rPr>
          <w:rFonts w:ascii="Arial" w:eastAsia="Arial" w:hAnsi="Arial" w:cs="Arial"/>
          <w:b/>
          <w:color w:val="000000"/>
          <w:sz w:val="22"/>
          <w:szCs w:val="22"/>
          <w:lang w:val="es-MX" w:eastAsia="es-ES_tradnl"/>
        </w:rPr>
      </w:pPr>
    </w:p>
    <w:p w14:paraId="69F706A6" w14:textId="77777777" w:rsidR="00460695" w:rsidRPr="00304599" w:rsidRDefault="00460695" w:rsidP="00460695">
      <w:pPr>
        <w:tabs>
          <w:tab w:val="left" w:pos="284"/>
        </w:tabs>
        <w:spacing w:line="276" w:lineRule="auto"/>
        <w:jc w:val="both"/>
        <w:rPr>
          <w:rFonts w:ascii="Arial" w:eastAsia="Arial" w:hAnsi="Arial" w:cs="Arial"/>
          <w:color w:val="000000"/>
          <w:sz w:val="22"/>
          <w:szCs w:val="22"/>
          <w:lang w:val="es-MX" w:eastAsia="es-ES_tradnl"/>
        </w:rPr>
      </w:pPr>
      <w:r w:rsidRPr="00304599">
        <w:rPr>
          <w:rFonts w:ascii="Arial" w:eastAsia="Arial" w:hAnsi="Arial" w:cs="Arial"/>
          <w:color w:val="000000"/>
          <w:sz w:val="22"/>
          <w:szCs w:val="22"/>
          <w:lang w:val="es-MX" w:eastAsia="es-ES_tradnl"/>
        </w:rPr>
        <w:t>Dado que son varias las preguntas formuladas en la consulta, a continuación, se responderá cada de una de éstas de forma separada, con fundamento en las consideraciones expuestas en los párrafos precedentes:</w:t>
      </w:r>
    </w:p>
    <w:p w14:paraId="44C6FA5A" w14:textId="77777777" w:rsidR="00460695" w:rsidRPr="00304599" w:rsidRDefault="00460695" w:rsidP="00460695">
      <w:pPr>
        <w:spacing w:line="276" w:lineRule="auto"/>
        <w:ind w:left="709" w:right="709"/>
        <w:jc w:val="both"/>
        <w:rPr>
          <w:rFonts w:ascii="Arial" w:eastAsia="Arial" w:hAnsi="Arial" w:cs="Arial"/>
          <w:color w:val="000000"/>
          <w:sz w:val="21"/>
          <w:szCs w:val="21"/>
          <w:lang w:val="es-MX" w:eastAsia="es-ES_tradnl"/>
        </w:rPr>
      </w:pPr>
    </w:p>
    <w:p w14:paraId="207F25B0" w14:textId="77777777" w:rsidR="00460695" w:rsidRPr="00304599" w:rsidRDefault="00460695" w:rsidP="00460695">
      <w:pPr>
        <w:spacing w:line="276" w:lineRule="auto"/>
        <w:ind w:left="709" w:right="709"/>
        <w:jc w:val="both"/>
        <w:rPr>
          <w:rFonts w:ascii="Arial" w:eastAsia="Arial" w:hAnsi="Arial" w:cs="Arial"/>
          <w:color w:val="000000"/>
          <w:sz w:val="21"/>
          <w:szCs w:val="21"/>
          <w:lang w:val="es-MX" w:eastAsia="es-ES_tradnl"/>
        </w:rPr>
      </w:pPr>
    </w:p>
    <w:p w14:paraId="48D5A65B" w14:textId="77777777" w:rsidR="00460695" w:rsidRPr="00304599" w:rsidRDefault="00460695" w:rsidP="00460695">
      <w:pPr>
        <w:spacing w:line="276" w:lineRule="auto"/>
        <w:ind w:left="709" w:right="709"/>
        <w:jc w:val="both"/>
        <w:rPr>
          <w:rFonts w:ascii="Arial" w:eastAsia="Arial" w:hAnsi="Arial" w:cs="Arial"/>
          <w:color w:val="000000"/>
          <w:sz w:val="21"/>
          <w:szCs w:val="21"/>
          <w:lang w:val="es-MX" w:eastAsia="es-ES_tradnl"/>
        </w:rPr>
      </w:pPr>
    </w:p>
    <w:p w14:paraId="475BCD98" w14:textId="77777777" w:rsidR="00460695" w:rsidRPr="00304599" w:rsidRDefault="00460695" w:rsidP="00460695">
      <w:pPr>
        <w:spacing w:line="276" w:lineRule="auto"/>
        <w:ind w:left="709" w:right="709"/>
        <w:jc w:val="both"/>
        <w:rPr>
          <w:rFonts w:ascii="Arial" w:eastAsia="Arial" w:hAnsi="Arial" w:cs="Arial"/>
          <w:color w:val="000000"/>
          <w:sz w:val="21"/>
          <w:szCs w:val="21"/>
          <w:lang w:val="es-MX" w:eastAsia="es-ES_tradnl"/>
        </w:rPr>
      </w:pPr>
      <w:r w:rsidRPr="00304599">
        <w:rPr>
          <w:rFonts w:ascii="Arial" w:eastAsia="Arial" w:hAnsi="Arial" w:cs="Arial"/>
          <w:color w:val="000000"/>
          <w:sz w:val="21"/>
          <w:szCs w:val="21"/>
          <w:lang w:val="es-MX" w:eastAsia="es-ES_tradnl"/>
        </w:rPr>
        <w:t xml:space="preserve">PRIMERA INQUIETUD </w:t>
      </w:r>
    </w:p>
    <w:p w14:paraId="27EB2693" w14:textId="77777777" w:rsidR="00460695" w:rsidRPr="00304599" w:rsidRDefault="00460695" w:rsidP="00460695">
      <w:pPr>
        <w:spacing w:line="276" w:lineRule="auto"/>
        <w:ind w:left="709" w:right="709"/>
        <w:jc w:val="both"/>
        <w:rPr>
          <w:rFonts w:ascii="Arial" w:hAnsi="Arial" w:cs="Arial"/>
          <w:bCs/>
          <w:i/>
          <w:iCs/>
          <w:sz w:val="22"/>
          <w:lang w:val="es-CO" w:eastAsia="es-ES_tradnl"/>
        </w:rPr>
      </w:pPr>
      <w:r w:rsidRPr="00304599">
        <w:rPr>
          <w:rFonts w:ascii="Arial" w:hAnsi="Arial" w:cs="Arial"/>
          <w:bCs/>
          <w:i/>
          <w:iCs/>
          <w:sz w:val="21"/>
          <w:szCs w:val="21"/>
          <w:lang w:val="es-MX" w:eastAsia="es-ES_tradnl"/>
        </w:rPr>
        <w:t>«</w:t>
      </w:r>
      <w:r w:rsidRPr="00304599">
        <w:rPr>
          <w:rFonts w:ascii="Arial" w:hAnsi="Arial" w:cs="Arial"/>
          <w:bCs/>
          <w:i/>
          <w:iCs/>
          <w:sz w:val="21"/>
          <w:szCs w:val="21"/>
          <w:lang w:val="es-CO" w:eastAsia="es-ES_tradnl"/>
        </w:rPr>
        <w:t>A. Para proyectos de infraestructura social aplica la misma regla, en caso que de diferencia o contradicciones entre lo solicitado y lo establecido en los documentos tipo</w:t>
      </w:r>
      <w:r w:rsidRPr="00304599">
        <w:rPr>
          <w:rFonts w:ascii="Arial" w:hAnsi="Arial" w:cs="Arial"/>
          <w:bCs/>
          <w:i/>
          <w:iCs/>
          <w:sz w:val="22"/>
          <w:lang w:val="es-CO" w:eastAsia="es-ES_tradnl"/>
        </w:rPr>
        <w:t>.</w:t>
      </w:r>
    </w:p>
    <w:p w14:paraId="03338D87" w14:textId="77777777" w:rsidR="00460695" w:rsidRPr="00304599" w:rsidRDefault="00460695" w:rsidP="00460695">
      <w:pPr>
        <w:spacing w:line="276" w:lineRule="auto"/>
        <w:jc w:val="both"/>
        <w:rPr>
          <w:rFonts w:ascii="Arial" w:eastAsia="Arial" w:hAnsi="Arial" w:cs="Arial"/>
          <w:bCs/>
          <w:color w:val="000000"/>
          <w:sz w:val="21"/>
          <w:szCs w:val="21"/>
          <w:lang w:val="es-MX" w:eastAsia="es-ES_tradnl"/>
        </w:rPr>
      </w:pPr>
    </w:p>
    <w:p w14:paraId="6BC92964" w14:textId="3E0EC39D" w:rsidR="00460695" w:rsidRPr="00304599" w:rsidRDefault="00460695" w:rsidP="00460695">
      <w:pPr>
        <w:spacing w:line="276" w:lineRule="auto"/>
        <w:ind w:firstLine="709"/>
        <w:jc w:val="both"/>
        <w:rPr>
          <w:rFonts w:ascii="Arial" w:eastAsia="Calibri" w:hAnsi="Arial" w:cs="Arial"/>
          <w:sz w:val="22"/>
          <w:szCs w:val="22"/>
          <w:lang w:val="es-MX" w:eastAsia="en-US"/>
        </w:rPr>
      </w:pPr>
      <w:r w:rsidRPr="00304599">
        <w:rPr>
          <w:rFonts w:ascii="Arial" w:eastAsia="Arial" w:hAnsi="Arial" w:cs="Arial"/>
          <w:bCs/>
          <w:color w:val="000000"/>
          <w:sz w:val="22"/>
          <w:szCs w:val="22"/>
          <w:lang w:val="es-MX" w:eastAsia="es-ES_tradnl"/>
        </w:rPr>
        <w:lastRenderedPageBreak/>
        <w:t>De acuerdo con las consideraciones de este concepto y con el análisis que esta Subdirección ha realizado en ocasiones pasada, se concluye que, en cualquier proyecto regido por documentos tipo, aplica como regla general el carácter inalterable de la reglas consignadas en e</w:t>
      </w:r>
      <w:r w:rsidRPr="00304599">
        <w:rPr>
          <w:rFonts w:ascii="Arial" w:eastAsia="Calibri" w:hAnsi="Arial" w:cs="Arial"/>
          <w:bCs/>
          <w:sz w:val="22"/>
          <w:szCs w:val="22"/>
          <w:lang w:val="es-MX" w:eastAsia="en-US"/>
        </w:rPr>
        <w:t>l «Documento Base»</w:t>
      </w:r>
      <w:r w:rsidR="00A96B78" w:rsidRPr="00304599">
        <w:rPr>
          <w:rFonts w:ascii="Arial" w:eastAsia="Calibri" w:hAnsi="Arial" w:cs="Arial"/>
          <w:bCs/>
          <w:sz w:val="22"/>
          <w:szCs w:val="22"/>
          <w:lang w:val="es-MX" w:eastAsia="en-US"/>
        </w:rPr>
        <w:t>.</w:t>
      </w:r>
      <w:r w:rsidRPr="00304599">
        <w:rPr>
          <w:rFonts w:ascii="Arial" w:eastAsia="Calibri" w:hAnsi="Arial" w:cs="Arial"/>
          <w:bCs/>
          <w:sz w:val="22"/>
          <w:szCs w:val="22"/>
          <w:lang w:val="es-MX" w:eastAsia="en-US"/>
        </w:rPr>
        <w:t xml:space="preserve"> </w:t>
      </w:r>
      <w:r w:rsidR="00A96B78" w:rsidRPr="00304599">
        <w:rPr>
          <w:rFonts w:ascii="Arial" w:eastAsia="Calibri" w:hAnsi="Arial" w:cs="Arial"/>
          <w:bCs/>
          <w:sz w:val="22"/>
          <w:szCs w:val="22"/>
          <w:lang w:val="es-MX" w:eastAsia="en-US"/>
        </w:rPr>
        <w:t>P</w:t>
      </w:r>
      <w:r w:rsidRPr="00304599">
        <w:rPr>
          <w:rFonts w:ascii="Arial" w:eastAsia="Calibri" w:hAnsi="Arial" w:cs="Arial"/>
          <w:bCs/>
          <w:sz w:val="22"/>
          <w:szCs w:val="22"/>
          <w:lang w:val="es-MX" w:eastAsia="en-US"/>
        </w:rPr>
        <w:t>or lo tanto,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caso en el que se podrá incluir experiencia adicional; y, además, cuando el pliego tipo de forma expresa lo incluya, es decir, en los aspectos incluidos en corchetes y resaltados en gris.</w:t>
      </w:r>
    </w:p>
    <w:p w14:paraId="1F45C7C2" w14:textId="77777777" w:rsidR="00460695" w:rsidRPr="00304599" w:rsidRDefault="00460695" w:rsidP="00460695">
      <w:pPr>
        <w:spacing w:line="276" w:lineRule="auto"/>
        <w:ind w:firstLine="708"/>
        <w:jc w:val="both"/>
        <w:rPr>
          <w:rFonts w:ascii="Arial" w:eastAsia="Batang" w:hAnsi="Arial" w:cs="Arial"/>
          <w:sz w:val="22"/>
          <w:szCs w:val="22"/>
          <w:lang w:val="es-MX" w:eastAsia="en-US"/>
        </w:rPr>
      </w:pPr>
    </w:p>
    <w:p w14:paraId="530D3391" w14:textId="77777777" w:rsidR="00460695" w:rsidRPr="00304599" w:rsidRDefault="00460695" w:rsidP="00460695">
      <w:pPr>
        <w:spacing w:line="276" w:lineRule="auto"/>
        <w:ind w:firstLine="708"/>
        <w:jc w:val="both"/>
        <w:rPr>
          <w:rFonts w:ascii="Arial" w:eastAsia="Batang" w:hAnsi="Arial" w:cs="Arial"/>
          <w:sz w:val="22"/>
          <w:szCs w:val="22"/>
          <w:lang w:eastAsia="en-US"/>
        </w:rPr>
      </w:pPr>
      <w:r w:rsidRPr="00304599">
        <w:rPr>
          <w:rFonts w:ascii="Arial" w:eastAsia="Batang" w:hAnsi="Arial" w:cs="Arial"/>
          <w:sz w:val="22"/>
          <w:szCs w:val="22"/>
          <w:lang w:val="es-MX" w:eastAsia="en-US"/>
        </w:rPr>
        <w:t xml:space="preserve">A lo anterior, debe añadirse que, conforme a la doctrina de esta Subdirección, el pliego de condiciones debe interpretarse como un todo, incluyendo los documentos anexos que hacen parte de este, así como todos aquellos documentos que lo fundamentan, como los estudios previos. En tal sentido, acudiendo a estas reglas de interpretación es posible establecer, por ejemplo, que </w:t>
      </w:r>
      <w:r w:rsidRPr="00304599">
        <w:rPr>
          <w:rFonts w:ascii="Arial" w:eastAsia="Batang" w:hAnsi="Arial" w:cs="Arial"/>
          <w:sz w:val="22"/>
          <w:szCs w:val="22"/>
          <w:lang w:eastAsia="en-US"/>
        </w:rPr>
        <w:t>en caso de contradicción entre el contenido establecido en los documentos tipo y el incluido por la entidad, proponente o contratista en los documentos del proceso, primará lo señalado en los Documentos Tipo.</w:t>
      </w:r>
    </w:p>
    <w:p w14:paraId="3C803690" w14:textId="77777777" w:rsidR="00460695" w:rsidRPr="00304599" w:rsidRDefault="00460695" w:rsidP="00460695">
      <w:pPr>
        <w:spacing w:line="276" w:lineRule="auto"/>
        <w:ind w:firstLine="708"/>
        <w:jc w:val="both"/>
        <w:rPr>
          <w:rFonts w:ascii="Arial" w:eastAsia="Batang" w:hAnsi="Arial" w:cs="Arial"/>
          <w:sz w:val="22"/>
          <w:szCs w:val="22"/>
          <w:lang w:eastAsia="en-US"/>
        </w:rPr>
      </w:pPr>
    </w:p>
    <w:p w14:paraId="1DBA19F1" w14:textId="77777777" w:rsidR="00460695" w:rsidRPr="00304599" w:rsidRDefault="00460695" w:rsidP="00460695">
      <w:pPr>
        <w:spacing w:line="276" w:lineRule="auto"/>
        <w:ind w:firstLine="708"/>
        <w:jc w:val="both"/>
        <w:rPr>
          <w:rFonts w:ascii="Arial" w:eastAsia="Batang" w:hAnsi="Arial" w:cs="Arial"/>
          <w:sz w:val="22"/>
          <w:szCs w:val="22"/>
          <w:lang w:val="es-MX" w:eastAsia="en-US"/>
        </w:rPr>
      </w:pPr>
      <w:r w:rsidRPr="00304599">
        <w:rPr>
          <w:rFonts w:ascii="Arial" w:eastAsia="Batang" w:hAnsi="Arial" w:cs="Arial"/>
          <w:sz w:val="22"/>
          <w:szCs w:val="22"/>
          <w:lang w:eastAsia="en-US"/>
        </w:rPr>
        <w:t xml:space="preserve">Sin embargo, la aplicación de estos criterios siempre deberá tener en cuenta las circunstancias concretas de cada caso en particular, de manera que la entidad pueda optar por la interpretación que más se adecúe a la finalidad que persigue con el documento y sus anexos. </w:t>
      </w:r>
      <w:r w:rsidRPr="00304599">
        <w:rPr>
          <w:rFonts w:ascii="Arial" w:eastAsia="Batang" w:hAnsi="Arial" w:cs="Arial"/>
          <w:sz w:val="22"/>
          <w:szCs w:val="22"/>
          <w:lang w:val="es-MX" w:eastAsia="en-US"/>
        </w:rPr>
        <w:t xml:space="preserve">De todos modos, en caso de que el desacuerdo sobre el sentido o alcance de los documentos del proceso de contratación persista una vez aplicada las pautas anteriores, corresponde a los jueces de lo contencioso administrativo interpretar cuál de los documentos prevalece. Por tanto, es necesario señalar en que no es posible establecer </w:t>
      </w:r>
      <w:r w:rsidRPr="00304599">
        <w:rPr>
          <w:rFonts w:ascii="Arial" w:eastAsia="Batang" w:hAnsi="Arial" w:cs="Arial"/>
          <w:i/>
          <w:iCs/>
          <w:sz w:val="22"/>
          <w:szCs w:val="22"/>
          <w:lang w:val="es-MX" w:eastAsia="en-US"/>
        </w:rPr>
        <w:t xml:space="preserve">ex ante </w:t>
      </w:r>
      <w:r w:rsidRPr="00304599">
        <w:rPr>
          <w:rFonts w:ascii="Arial" w:eastAsia="Batang" w:hAnsi="Arial" w:cs="Arial"/>
          <w:sz w:val="22"/>
          <w:szCs w:val="22"/>
          <w:lang w:val="es-MX" w:eastAsia="en-US"/>
        </w:rPr>
        <w:t xml:space="preserve">la validez o prevalencia jurídica de los documentos contractuales, pues estos deben valorarse integralmente, de acuerdo con las reglas anteriormente expuestas </w:t>
      </w:r>
      <w:r w:rsidRPr="00304599">
        <w:rPr>
          <w:rFonts w:ascii="Arial" w:eastAsia="Calibri" w:hAnsi="Arial" w:cs="Arial"/>
          <w:sz w:val="22"/>
          <w:szCs w:val="22"/>
          <w:lang w:val="es-MX" w:eastAsia="en-US"/>
        </w:rPr>
        <w:t>y atendiendo a las circunstancias adicionales de cada proceso</w:t>
      </w:r>
      <w:r w:rsidRPr="00304599">
        <w:rPr>
          <w:rFonts w:ascii="Arial" w:eastAsia="Batang" w:hAnsi="Arial" w:cs="Arial"/>
          <w:sz w:val="22"/>
          <w:szCs w:val="22"/>
          <w:vertAlign w:val="superscript"/>
          <w:lang w:val="es-MX" w:eastAsia="en-US"/>
        </w:rPr>
        <w:footnoteReference w:id="27"/>
      </w:r>
      <w:r w:rsidRPr="00304599">
        <w:rPr>
          <w:rFonts w:ascii="Arial" w:eastAsia="Batang" w:hAnsi="Arial" w:cs="Arial"/>
          <w:sz w:val="22"/>
          <w:szCs w:val="22"/>
          <w:lang w:val="es-MX" w:eastAsia="en-US"/>
        </w:rPr>
        <w:t>.</w:t>
      </w:r>
    </w:p>
    <w:p w14:paraId="0781EE0C" w14:textId="77777777" w:rsidR="00460695" w:rsidRPr="00304599" w:rsidRDefault="00460695" w:rsidP="00460695">
      <w:pPr>
        <w:spacing w:line="276" w:lineRule="auto"/>
        <w:ind w:firstLine="708"/>
        <w:jc w:val="both"/>
        <w:rPr>
          <w:rFonts w:ascii="Arial" w:eastAsia="Batang" w:hAnsi="Arial" w:cs="Arial"/>
          <w:sz w:val="22"/>
          <w:szCs w:val="22"/>
          <w:lang w:val="es-MX" w:eastAsia="en-US"/>
        </w:rPr>
      </w:pPr>
    </w:p>
    <w:p w14:paraId="1E95FE61" w14:textId="77777777" w:rsidR="00460695" w:rsidRPr="00304599" w:rsidRDefault="00460695" w:rsidP="00460695">
      <w:pPr>
        <w:spacing w:line="276" w:lineRule="auto"/>
        <w:ind w:firstLine="708"/>
        <w:jc w:val="both"/>
        <w:rPr>
          <w:rFonts w:ascii="Arial" w:eastAsia="Calibri" w:hAnsi="Arial" w:cs="Arial"/>
          <w:sz w:val="22"/>
          <w:szCs w:val="22"/>
          <w:lang w:val="es-MX" w:eastAsia="en-US"/>
        </w:rPr>
      </w:pPr>
      <w:r w:rsidRPr="00304599">
        <w:rPr>
          <w:rFonts w:ascii="Arial" w:eastAsia="Calibri" w:hAnsi="Arial" w:cs="Arial"/>
          <w:sz w:val="22"/>
          <w:szCs w:val="22"/>
          <w:lang w:val="es-MX" w:eastAsia="en-US"/>
        </w:rPr>
        <w:t xml:space="preserve"> </w:t>
      </w:r>
    </w:p>
    <w:p w14:paraId="7B4C95AB" w14:textId="77777777" w:rsidR="00460695" w:rsidRPr="00304599" w:rsidRDefault="00460695" w:rsidP="00460695">
      <w:pPr>
        <w:spacing w:line="276" w:lineRule="auto"/>
        <w:ind w:firstLine="708"/>
        <w:jc w:val="both"/>
        <w:rPr>
          <w:rFonts w:ascii="Arial" w:eastAsia="Calibri" w:hAnsi="Arial" w:cs="Arial"/>
          <w:sz w:val="22"/>
          <w:szCs w:val="22"/>
          <w:lang w:val="es-MX" w:eastAsia="en-US"/>
        </w:rPr>
      </w:pPr>
    </w:p>
    <w:p w14:paraId="4416B76F" w14:textId="77777777" w:rsidR="00460695" w:rsidRPr="00304599" w:rsidRDefault="00460695" w:rsidP="00460695">
      <w:pPr>
        <w:spacing w:line="276" w:lineRule="auto"/>
        <w:ind w:left="709" w:right="709"/>
        <w:jc w:val="both"/>
        <w:rPr>
          <w:rFonts w:ascii="Arial" w:eastAsia="Arial" w:hAnsi="Arial" w:cs="Arial"/>
          <w:color w:val="000000"/>
          <w:sz w:val="21"/>
          <w:szCs w:val="21"/>
          <w:lang w:val="es-MX" w:eastAsia="es-ES_tradnl"/>
        </w:rPr>
      </w:pPr>
      <w:r w:rsidRPr="00304599">
        <w:rPr>
          <w:rFonts w:ascii="Arial" w:eastAsia="Arial" w:hAnsi="Arial" w:cs="Arial"/>
          <w:bCs/>
          <w:color w:val="000000"/>
          <w:sz w:val="22"/>
          <w:szCs w:val="22"/>
          <w:lang w:val="es-MX" w:eastAsia="es-ES_tradnl"/>
        </w:rPr>
        <w:t xml:space="preserve">    </w:t>
      </w:r>
      <w:r w:rsidRPr="00304599">
        <w:rPr>
          <w:rFonts w:ascii="Arial" w:eastAsia="Arial" w:hAnsi="Arial" w:cs="Arial"/>
          <w:color w:val="000000"/>
          <w:sz w:val="21"/>
          <w:szCs w:val="21"/>
          <w:lang w:val="es-MX" w:eastAsia="es-ES_tradnl"/>
        </w:rPr>
        <w:t xml:space="preserve">SEGUNDA INQUIETUD </w:t>
      </w:r>
    </w:p>
    <w:p w14:paraId="3687EFF9" w14:textId="77777777" w:rsidR="00460695" w:rsidRPr="00304599" w:rsidRDefault="00460695" w:rsidP="00460695">
      <w:pPr>
        <w:spacing w:line="276" w:lineRule="auto"/>
        <w:ind w:left="709" w:right="709"/>
        <w:jc w:val="both"/>
        <w:rPr>
          <w:rFonts w:ascii="Arial" w:hAnsi="Arial" w:cs="Arial"/>
          <w:bCs/>
          <w:i/>
          <w:iCs/>
          <w:sz w:val="21"/>
          <w:szCs w:val="21"/>
          <w:lang w:val="es-CO" w:eastAsia="es-ES_tradnl"/>
        </w:rPr>
      </w:pPr>
      <w:r w:rsidRPr="00304599">
        <w:rPr>
          <w:rFonts w:ascii="Arial" w:hAnsi="Arial" w:cs="Arial"/>
          <w:bCs/>
          <w:i/>
          <w:iCs/>
          <w:sz w:val="21"/>
          <w:szCs w:val="21"/>
          <w:lang w:val="es-CO" w:eastAsia="es-ES_tradnl"/>
        </w:rPr>
        <w:t xml:space="preserve">B. Que sucede si mediante la respuesta a una observación a los pliegos de condiciones, la cuales entendemos son vinculantes, la entidad modifica la forma de evaluación de experiencia definida en los pliegos tipo. Esto nuevamente </w:t>
      </w:r>
      <w:r w:rsidRPr="00304599">
        <w:rPr>
          <w:rFonts w:ascii="Arial" w:hAnsi="Arial" w:cs="Arial"/>
          <w:bCs/>
          <w:i/>
          <w:iCs/>
          <w:sz w:val="21"/>
          <w:szCs w:val="21"/>
          <w:lang w:val="es-CO" w:eastAsia="es-ES_tradnl"/>
        </w:rPr>
        <w:lastRenderedPageBreak/>
        <w:t>genera una contradicción entre lo establecido en los documentos tipo y lo solicitado, por lo que primara lo reglamentado en los documentos tipo, ¿desconociendo la observación?</w:t>
      </w:r>
    </w:p>
    <w:p w14:paraId="180DE459" w14:textId="77777777" w:rsidR="00460695" w:rsidRPr="00304599" w:rsidRDefault="00460695" w:rsidP="00460695">
      <w:pPr>
        <w:spacing w:line="276" w:lineRule="auto"/>
        <w:ind w:right="709"/>
        <w:jc w:val="both"/>
        <w:rPr>
          <w:rFonts w:ascii="Arial" w:hAnsi="Arial" w:cs="Arial"/>
          <w:bCs/>
          <w:sz w:val="22"/>
          <w:lang w:val="es-CO" w:eastAsia="es-ES_tradnl"/>
        </w:rPr>
      </w:pPr>
    </w:p>
    <w:p w14:paraId="67FDE958" w14:textId="77777777" w:rsidR="00460695" w:rsidRPr="00304599" w:rsidRDefault="00460695" w:rsidP="00460695">
      <w:pPr>
        <w:spacing w:line="276" w:lineRule="auto"/>
        <w:ind w:firstLine="709"/>
        <w:jc w:val="both"/>
        <w:rPr>
          <w:rFonts w:ascii="Arial" w:eastAsia="Calibri" w:hAnsi="Arial" w:cs="Arial"/>
          <w:sz w:val="22"/>
          <w:szCs w:val="22"/>
          <w:lang w:val="es-MX" w:eastAsia="en-US"/>
        </w:rPr>
      </w:pPr>
      <w:r w:rsidRPr="00304599">
        <w:rPr>
          <w:rFonts w:ascii="Arial" w:eastAsia="Arial" w:hAnsi="Arial" w:cs="Arial"/>
          <w:bCs/>
          <w:color w:val="000000"/>
          <w:sz w:val="22"/>
          <w:szCs w:val="22"/>
          <w:lang w:val="es-MX" w:eastAsia="es-ES_tradnl"/>
        </w:rPr>
        <w:t xml:space="preserve">Tal como se desprende de la respuesta a la primera inquietud, </w:t>
      </w:r>
      <w:r w:rsidRPr="00304599">
        <w:rPr>
          <w:rFonts w:ascii="Arial" w:eastAsia="Calibri" w:hAnsi="Arial" w:cs="Arial"/>
          <w:sz w:val="22"/>
          <w:szCs w:val="22"/>
          <w:lang w:val="es-MX" w:eastAsia="en-US"/>
        </w:rPr>
        <w:t xml:space="preserve"> ante una contradicción entre la información contemplada en</w:t>
      </w:r>
      <w:r w:rsidRPr="00304599">
        <w:rPr>
          <w:rFonts w:ascii="Arial" w:eastAsia="Calibri" w:hAnsi="Arial" w:cs="Arial"/>
          <w:color w:val="000000"/>
          <w:sz w:val="22"/>
          <w:szCs w:val="22"/>
          <w:lang w:val="es-ES" w:eastAsia="en-US" w:bidi="es-ES"/>
        </w:rPr>
        <w:t xml:space="preserve"> </w:t>
      </w:r>
      <w:r w:rsidRPr="00304599">
        <w:rPr>
          <w:rFonts w:ascii="Arial" w:eastAsia="Calibri" w:hAnsi="Arial" w:cs="Arial"/>
          <w:color w:val="000000"/>
          <w:sz w:val="22"/>
          <w:szCs w:val="22"/>
          <w:lang w:val="es-MX" w:eastAsia="en-US"/>
        </w:rPr>
        <w:t xml:space="preserve">la información suministrada por la Entidad o alguna de las respuestas a las observaciones presentadas en el curso del proceso </w:t>
      </w:r>
      <w:r w:rsidRPr="00304599">
        <w:rPr>
          <w:rFonts w:ascii="Arial" w:eastAsia="Calibri" w:hAnsi="Arial" w:cs="Arial"/>
          <w:sz w:val="22"/>
          <w:szCs w:val="22"/>
          <w:lang w:val="es-MX" w:eastAsia="en-US"/>
        </w:rPr>
        <w:t xml:space="preserve"> y la información contenida en el documento tipo base los proceso de infraestructura social, se deben analizarán las circunstancias en concreto, de cara a los principios de la contratación estatal, de manera que la entidad adoptará la decisión que más se ajuste a la finalidad del proceso de contratación teniendo en cuenta las pautas interpretativas del numeral 1.17. del documento tipo. Lo anterior, sin perjuicio de la eventual responsabilidad en caso de vulnerar la regla de inalterabilidad de los documentos tipo.</w:t>
      </w:r>
    </w:p>
    <w:p w14:paraId="12EDCBF5" w14:textId="77777777" w:rsidR="00460695" w:rsidRPr="00DB4983" w:rsidRDefault="00460695" w:rsidP="00460695">
      <w:pPr>
        <w:spacing w:line="276" w:lineRule="auto"/>
        <w:jc w:val="both"/>
        <w:rPr>
          <w:rFonts w:ascii="Arial" w:eastAsia="Arial" w:hAnsi="Arial" w:cs="Arial"/>
          <w:bCs/>
          <w:color w:val="000000"/>
          <w:sz w:val="22"/>
          <w:szCs w:val="22"/>
          <w:lang w:val="es-CO" w:eastAsia="es-ES_tradnl"/>
        </w:rPr>
      </w:pPr>
    </w:p>
    <w:p w14:paraId="47B63A90" w14:textId="77777777" w:rsidR="00460695" w:rsidRPr="00304599" w:rsidRDefault="00460695" w:rsidP="00460695">
      <w:pPr>
        <w:spacing w:line="276" w:lineRule="auto"/>
        <w:ind w:left="709" w:right="709"/>
        <w:jc w:val="both"/>
        <w:rPr>
          <w:rFonts w:ascii="Arial" w:eastAsia="Arial" w:hAnsi="Arial" w:cs="Arial"/>
          <w:bCs/>
          <w:color w:val="000000"/>
          <w:sz w:val="21"/>
          <w:szCs w:val="21"/>
          <w:lang w:val="es-MX" w:eastAsia="es-ES_tradnl"/>
        </w:rPr>
      </w:pPr>
      <w:r w:rsidRPr="00304599">
        <w:rPr>
          <w:rFonts w:ascii="Arial" w:eastAsia="Arial" w:hAnsi="Arial" w:cs="Arial"/>
          <w:bCs/>
          <w:color w:val="000000"/>
          <w:sz w:val="21"/>
          <w:szCs w:val="21"/>
          <w:lang w:val="es-MX" w:eastAsia="es-ES_tradnl"/>
        </w:rPr>
        <w:tab/>
        <w:t>TERCERA INQUIETUD</w:t>
      </w:r>
    </w:p>
    <w:p w14:paraId="34F187DF" w14:textId="77777777" w:rsidR="00460695" w:rsidRPr="00304599" w:rsidRDefault="00460695" w:rsidP="00460695">
      <w:pPr>
        <w:spacing w:line="276" w:lineRule="auto"/>
        <w:ind w:left="709" w:right="709"/>
        <w:jc w:val="both"/>
        <w:rPr>
          <w:rFonts w:ascii="Arial" w:eastAsia="Arial" w:hAnsi="Arial" w:cs="Arial"/>
          <w:bCs/>
          <w:color w:val="000000"/>
          <w:sz w:val="21"/>
          <w:szCs w:val="21"/>
          <w:lang w:val="es-MX" w:eastAsia="es-ES_tradnl"/>
        </w:rPr>
      </w:pPr>
      <w:r w:rsidRPr="00304599">
        <w:rPr>
          <w:rFonts w:ascii="Arial" w:eastAsia="Arial" w:hAnsi="Arial" w:cs="Arial"/>
          <w:bCs/>
          <w:color w:val="000000"/>
          <w:sz w:val="21"/>
          <w:szCs w:val="21"/>
          <w:lang w:val="es-MX" w:eastAsia="es-ES_tradnl"/>
        </w:rPr>
        <w:t>C. Un proceso de licitación pública puede ser revocado su acto de apertura, después de la presentación de las propuestas sin autorización de los proponentes?</w:t>
      </w:r>
    </w:p>
    <w:p w14:paraId="30F63C85" w14:textId="77777777" w:rsidR="00460695" w:rsidRPr="00304599" w:rsidRDefault="00460695" w:rsidP="00460695">
      <w:pPr>
        <w:spacing w:line="276" w:lineRule="auto"/>
        <w:ind w:left="709" w:right="709"/>
        <w:jc w:val="both"/>
        <w:rPr>
          <w:rFonts w:ascii="Arial" w:eastAsia="Arial" w:hAnsi="Arial" w:cs="Arial"/>
          <w:bCs/>
          <w:color w:val="000000"/>
          <w:sz w:val="22"/>
          <w:szCs w:val="22"/>
          <w:lang w:val="es-MX" w:eastAsia="es-ES_tradnl"/>
        </w:rPr>
      </w:pPr>
    </w:p>
    <w:p w14:paraId="59F11B12" w14:textId="261EB393" w:rsidR="00C530AF" w:rsidRDefault="00460695" w:rsidP="00C530AF">
      <w:pPr>
        <w:jc w:val="both"/>
        <w:rPr>
          <w:rFonts w:ascii="Arial" w:hAnsi="Arial" w:cs="Arial"/>
          <w:sz w:val="22"/>
          <w:szCs w:val="22"/>
          <w:shd w:val="clear" w:color="auto" w:fill="FFFFFF"/>
        </w:rPr>
      </w:pPr>
      <w:r w:rsidRPr="00304599">
        <w:rPr>
          <w:rFonts w:ascii="Arial" w:eastAsia="Arial" w:hAnsi="Arial" w:cs="Arial"/>
          <w:bCs/>
          <w:color w:val="000000"/>
          <w:sz w:val="22"/>
          <w:szCs w:val="22"/>
          <w:lang w:val="es-MX" w:eastAsia="es-ES_tradnl"/>
        </w:rPr>
        <w:t xml:space="preserve">De acuerdo con las consideraciones señaladas en </w:t>
      </w:r>
      <w:r w:rsidR="0098129C" w:rsidRPr="00304599">
        <w:rPr>
          <w:rFonts w:ascii="Arial" w:eastAsia="Arial" w:hAnsi="Arial" w:cs="Arial"/>
          <w:bCs/>
          <w:color w:val="000000"/>
          <w:sz w:val="22"/>
          <w:szCs w:val="22"/>
          <w:lang w:val="es-MX" w:eastAsia="es-ES_tradnl"/>
        </w:rPr>
        <w:t xml:space="preserve">el </w:t>
      </w:r>
      <w:r w:rsidRPr="00304599">
        <w:rPr>
          <w:rFonts w:ascii="Arial" w:eastAsia="Arial" w:hAnsi="Arial" w:cs="Arial"/>
          <w:bCs/>
          <w:color w:val="000000"/>
          <w:sz w:val="22"/>
          <w:szCs w:val="22"/>
          <w:lang w:val="es-MX" w:eastAsia="es-ES_tradnl"/>
        </w:rPr>
        <w:t xml:space="preserve">presente documento, </w:t>
      </w:r>
      <w:r w:rsidRPr="00304599">
        <w:rPr>
          <w:rFonts w:ascii="Arial" w:eastAsia="Calibri" w:hAnsi="Arial" w:cs="Arial"/>
          <w:sz w:val="22"/>
          <w:szCs w:val="22"/>
          <w:lang w:val="es-ES" w:eastAsia="es-ES_tradnl"/>
        </w:rPr>
        <w:t xml:space="preserve">para revocar el acto administrativo de apertura de un proceso público de selección, con posterioridad a la fecha de cierre del mismo prevista en el cronograma correspondiente, es decir cuando ya existan propuestas, se debe tener presente que </w:t>
      </w:r>
      <w:r w:rsidR="005B3B2B">
        <w:rPr>
          <w:rFonts w:ascii="Arial" w:eastAsia="Calibri" w:hAnsi="Arial" w:cs="Arial"/>
          <w:sz w:val="22"/>
          <w:szCs w:val="22"/>
          <w:lang w:val="es-ES" w:eastAsia="es-ES_tradnl"/>
        </w:rPr>
        <w:t xml:space="preserve">frente a dicho caso, las posturas del Consejo de Estado han sido variadas, sin embargo, la última postura </w:t>
      </w:r>
      <w:r w:rsidR="00C530AF">
        <w:rPr>
          <w:rFonts w:ascii="Arial" w:eastAsia="Calibri" w:hAnsi="Arial" w:cs="Arial"/>
          <w:sz w:val="22"/>
          <w:szCs w:val="22"/>
          <w:lang w:val="es-ES" w:eastAsia="es-ES_tradnl"/>
        </w:rPr>
        <w:t>ha señalado</w:t>
      </w:r>
      <w:r w:rsidR="005B3B2B">
        <w:rPr>
          <w:rFonts w:ascii="Arial" w:eastAsia="Calibri" w:hAnsi="Arial" w:cs="Arial"/>
          <w:sz w:val="22"/>
          <w:szCs w:val="22"/>
          <w:lang w:val="es-ES" w:eastAsia="es-ES_tradnl"/>
        </w:rPr>
        <w:t xml:space="preserve"> que </w:t>
      </w:r>
      <w:r w:rsidR="005B3B2B">
        <w:rPr>
          <w:rFonts w:ascii="Arial" w:eastAsia="Calibri" w:hAnsi="Arial" w:cs="Arial"/>
          <w:sz w:val="22"/>
          <w:lang w:val="es-ES" w:eastAsia="es-ES_tradnl"/>
        </w:rPr>
        <w:t>es posible revocar el acto administrativo de apertura</w:t>
      </w:r>
      <w:r w:rsidR="005B3B2B" w:rsidRPr="00304599">
        <w:rPr>
          <w:rFonts w:ascii="Arial" w:eastAsia="Calibri" w:hAnsi="Arial" w:cs="Arial"/>
          <w:sz w:val="22"/>
          <w:lang w:val="es-ES" w:eastAsia="es-ES_tradnl"/>
        </w:rPr>
        <w:t xml:space="preserve"> posterior al cierre del proceso, es decir cuando ya existan propuestas, </w:t>
      </w:r>
      <w:r w:rsidR="005B3B2B">
        <w:rPr>
          <w:rFonts w:ascii="Arial" w:eastAsia="Calibri" w:hAnsi="Arial" w:cs="Arial"/>
          <w:sz w:val="22"/>
          <w:lang w:val="es-ES" w:eastAsia="es-ES_tradnl"/>
        </w:rPr>
        <w:t xml:space="preserve">y no es </w:t>
      </w:r>
      <w:r w:rsidR="005B3B2B" w:rsidRPr="00304599">
        <w:rPr>
          <w:rFonts w:ascii="Arial" w:eastAsia="Calibri" w:hAnsi="Arial" w:cs="Arial"/>
          <w:sz w:val="22"/>
          <w:lang w:val="es-ES" w:eastAsia="es-ES_tradnl"/>
        </w:rPr>
        <w:t xml:space="preserve"> necesario obtener </w:t>
      </w:r>
      <w:r w:rsidR="005B3B2B" w:rsidRPr="00820D48">
        <w:rPr>
          <w:rFonts w:ascii="Arial" w:eastAsia="Calibri" w:hAnsi="Arial" w:cs="Arial"/>
          <w:i/>
          <w:iCs/>
          <w:sz w:val="22"/>
          <w:lang w:val="es-ES" w:eastAsia="es-ES_tradnl"/>
        </w:rPr>
        <w:t>«consentimiento previo, expreso y escrito de los respectivos»</w:t>
      </w:r>
      <w:r w:rsidR="005B3B2B" w:rsidRPr="00304599">
        <w:rPr>
          <w:rFonts w:ascii="Arial" w:eastAsia="Calibri" w:hAnsi="Arial" w:cs="Arial"/>
          <w:sz w:val="22"/>
          <w:lang w:val="es-ES" w:eastAsia="es-ES_tradnl"/>
        </w:rPr>
        <w:t xml:space="preserve"> proponentes, como lo ordena el artículo 97 del CPACA</w:t>
      </w:r>
      <w:r w:rsidR="005B3B2B">
        <w:rPr>
          <w:rFonts w:ascii="Arial" w:eastAsia="Calibri" w:hAnsi="Arial" w:cs="Arial"/>
          <w:sz w:val="22"/>
          <w:lang w:val="es-ES" w:eastAsia="es-ES_tradnl"/>
        </w:rPr>
        <w:t xml:space="preserve">, al ser considerado este un acto administrativo de carácter general, </w:t>
      </w:r>
      <w:r w:rsidR="005B3B2B">
        <w:rPr>
          <w:rFonts w:ascii="Arial" w:eastAsia="Calibri" w:hAnsi="Arial" w:cs="Arial"/>
          <w:sz w:val="22"/>
          <w:szCs w:val="22"/>
          <w:lang w:val="es-ES" w:eastAsia="es-ES_tradnl"/>
        </w:rPr>
        <w:t xml:space="preserve">y como tal, procede la aplicación de lo regulado en el </w:t>
      </w:r>
      <w:r w:rsidRPr="00304599">
        <w:rPr>
          <w:rFonts w:ascii="Arial" w:eastAsia="Calibri" w:hAnsi="Arial" w:cs="Arial"/>
          <w:sz w:val="22"/>
          <w:szCs w:val="22"/>
          <w:lang w:val="es-ES" w:eastAsia="es-ES_tradnl"/>
        </w:rPr>
        <w:t>artículo 97 del CPACA.</w:t>
      </w:r>
      <w:r w:rsidR="00C530AF">
        <w:rPr>
          <w:rFonts w:ascii="Arial" w:eastAsia="Calibri" w:hAnsi="Arial" w:cs="Arial"/>
          <w:sz w:val="22"/>
          <w:szCs w:val="22"/>
          <w:lang w:val="es-ES" w:eastAsia="es-ES_tradnl"/>
        </w:rPr>
        <w:t xml:space="preserve"> Postura que es acogida por </w:t>
      </w:r>
      <w:r w:rsidR="00C530AF" w:rsidRPr="00820D48">
        <w:rPr>
          <w:rFonts w:ascii="Arial" w:hAnsi="Arial" w:cs="Arial"/>
          <w:sz w:val="22"/>
          <w:szCs w:val="22"/>
          <w:shd w:val="clear" w:color="auto" w:fill="FFFFFF"/>
        </w:rPr>
        <w:t xml:space="preserve">esta Subdirección, </w:t>
      </w:r>
      <w:r w:rsidR="00C530AF">
        <w:rPr>
          <w:rFonts w:ascii="Arial" w:hAnsi="Arial" w:cs="Arial"/>
          <w:sz w:val="22"/>
          <w:szCs w:val="22"/>
          <w:shd w:val="clear" w:color="auto" w:fill="FFFFFF"/>
        </w:rPr>
        <w:t xml:space="preserve">al considerar que es </w:t>
      </w:r>
      <w:r w:rsidR="00C530AF" w:rsidRPr="00820D48">
        <w:rPr>
          <w:rFonts w:ascii="Arial" w:hAnsi="Arial" w:cs="Arial"/>
          <w:sz w:val="22"/>
          <w:szCs w:val="22"/>
          <w:shd w:val="clear" w:color="auto" w:fill="FFFFFF"/>
        </w:rPr>
        <w:t>la interpretación que mejor se ajusta a</w:t>
      </w:r>
      <w:r w:rsidR="00C530AF">
        <w:rPr>
          <w:rFonts w:ascii="Arial" w:hAnsi="Arial" w:cs="Arial"/>
          <w:sz w:val="22"/>
          <w:szCs w:val="22"/>
          <w:shd w:val="clear" w:color="auto" w:fill="FFFFFF"/>
        </w:rPr>
        <w:t>l cumplimiento de los fines de la contratación estatal</w:t>
      </w:r>
      <w:r w:rsidR="00C530AF" w:rsidRPr="00820D48">
        <w:rPr>
          <w:rFonts w:ascii="Arial" w:hAnsi="Arial" w:cs="Arial"/>
          <w:sz w:val="22"/>
          <w:szCs w:val="22"/>
          <w:shd w:val="clear" w:color="auto" w:fill="FFFFFF"/>
        </w:rPr>
        <w:t xml:space="preserve">, </w:t>
      </w:r>
      <w:r w:rsidR="00C530AF">
        <w:rPr>
          <w:rFonts w:ascii="Arial" w:hAnsi="Arial" w:cs="Arial"/>
          <w:sz w:val="22"/>
          <w:szCs w:val="22"/>
          <w:shd w:val="clear" w:color="auto" w:fill="FFFFFF"/>
        </w:rPr>
        <w:t>en tanto que l</w:t>
      </w:r>
      <w:r w:rsidR="00C530AF" w:rsidRPr="00C530AF">
        <w:rPr>
          <w:rFonts w:ascii="Arial" w:hAnsi="Arial" w:cs="Arial"/>
          <w:sz w:val="22"/>
          <w:szCs w:val="22"/>
          <w:shd w:val="clear" w:color="auto" w:fill="FFFFFF"/>
        </w:rPr>
        <w:t>a presentación de las propuestas e incluso la</w:t>
      </w:r>
      <w:r w:rsidR="00C530AF">
        <w:rPr>
          <w:rFonts w:ascii="Arial" w:hAnsi="Arial" w:cs="Arial"/>
          <w:sz w:val="22"/>
          <w:szCs w:val="22"/>
          <w:shd w:val="clear" w:color="auto" w:fill="FFFFFF"/>
        </w:rPr>
        <w:t xml:space="preserve"> publicación</w:t>
      </w:r>
      <w:r w:rsidR="00C530AF" w:rsidRPr="00C530AF">
        <w:rPr>
          <w:rFonts w:ascii="Arial" w:hAnsi="Arial" w:cs="Arial"/>
          <w:sz w:val="22"/>
          <w:szCs w:val="22"/>
          <w:shd w:val="clear" w:color="auto" w:fill="FFFFFF"/>
        </w:rPr>
        <w:t xml:space="preserve"> del informe de evaluación no muta ni transforma el carácter general que ostenta el acto de apertura del proceso de selección</w:t>
      </w:r>
      <w:r w:rsidR="00C530AF">
        <w:rPr>
          <w:rFonts w:ascii="Arial" w:hAnsi="Arial" w:cs="Arial"/>
          <w:sz w:val="22"/>
          <w:szCs w:val="22"/>
          <w:shd w:val="clear" w:color="auto" w:fill="FFFFFF"/>
        </w:rPr>
        <w:t xml:space="preserve"> contractual</w:t>
      </w:r>
      <w:r w:rsidR="00C530AF" w:rsidRPr="00C530AF">
        <w:rPr>
          <w:rFonts w:ascii="Arial" w:hAnsi="Arial" w:cs="Arial"/>
          <w:sz w:val="22"/>
          <w:szCs w:val="22"/>
          <w:shd w:val="clear" w:color="auto" w:fill="FFFFFF"/>
        </w:rPr>
        <w:t>, pues quien concurre al llamado a presentar una propuesta o manifestar interés en presentarla, reconoce que de por medio está la realización de los fines de la contratación esperada, sin poder esgrimir expectativa alguna que se oponga a esa realización del interés general derivada de su participación y el cumplimiento de los requisitos que le hagan merecedor de una determinación definitiva</w:t>
      </w:r>
      <w:r w:rsidR="00C530AF">
        <w:rPr>
          <w:rFonts w:ascii="Arial" w:hAnsi="Arial" w:cs="Arial"/>
          <w:sz w:val="22"/>
          <w:szCs w:val="22"/>
          <w:shd w:val="clear" w:color="auto" w:fill="FFFFFF"/>
        </w:rPr>
        <w:t xml:space="preserve"> (como si sucede con el acto administrativo de adjudicación),</w:t>
      </w:r>
      <w:r w:rsidR="00C530AF" w:rsidRPr="00C530AF">
        <w:rPr>
          <w:rFonts w:ascii="Arial" w:hAnsi="Arial" w:cs="Arial"/>
          <w:sz w:val="22"/>
          <w:szCs w:val="22"/>
          <w:shd w:val="clear" w:color="auto" w:fill="FFFFFF"/>
        </w:rPr>
        <w:t xml:space="preserve"> </w:t>
      </w:r>
      <w:r w:rsidR="00C530AF">
        <w:rPr>
          <w:rFonts w:ascii="Arial" w:hAnsi="Arial" w:cs="Arial"/>
          <w:sz w:val="22"/>
          <w:szCs w:val="22"/>
          <w:shd w:val="clear" w:color="auto" w:fill="FFFFFF"/>
        </w:rPr>
        <w:t xml:space="preserve">y, </w:t>
      </w:r>
      <w:r w:rsidR="00C530AF" w:rsidRPr="00C530AF">
        <w:rPr>
          <w:rFonts w:ascii="Arial" w:hAnsi="Arial" w:cs="Arial"/>
          <w:sz w:val="22"/>
          <w:szCs w:val="22"/>
          <w:shd w:val="clear" w:color="auto" w:fill="FFFFFF"/>
        </w:rPr>
        <w:t xml:space="preserve">a sabiendas </w:t>
      </w:r>
      <w:r w:rsidR="00C530AF">
        <w:rPr>
          <w:rFonts w:ascii="Arial" w:hAnsi="Arial" w:cs="Arial"/>
          <w:sz w:val="22"/>
          <w:szCs w:val="22"/>
          <w:shd w:val="clear" w:color="auto" w:fill="FFFFFF"/>
        </w:rPr>
        <w:t>de ello presenta la propuesta, por lo tanto</w:t>
      </w:r>
      <w:r w:rsidR="00C530AF" w:rsidRPr="00C530AF">
        <w:rPr>
          <w:rFonts w:ascii="Arial" w:hAnsi="Arial" w:cs="Arial"/>
          <w:sz w:val="22"/>
          <w:szCs w:val="22"/>
          <w:shd w:val="clear" w:color="auto" w:fill="FFFFFF"/>
        </w:rPr>
        <w:t xml:space="preserve">, la revocabilidad procede por cuanto es primordial y tiene preferencia la constatación del interés de la contratación, que no es </w:t>
      </w:r>
      <w:r w:rsidR="00C530AF" w:rsidRPr="00C530AF">
        <w:rPr>
          <w:rFonts w:ascii="Arial" w:hAnsi="Arial" w:cs="Arial"/>
          <w:sz w:val="22"/>
          <w:szCs w:val="22"/>
          <w:shd w:val="clear" w:color="auto" w:fill="FFFFFF"/>
        </w:rPr>
        <w:lastRenderedPageBreak/>
        <w:t>otro que la garantía de las necesidades públicas frente a las expectativas negociales que nacieron respecto de los proponentes</w:t>
      </w:r>
      <w:r w:rsidR="00C530AF">
        <w:rPr>
          <w:rFonts w:ascii="Arial" w:hAnsi="Arial" w:cs="Arial"/>
          <w:sz w:val="22"/>
          <w:szCs w:val="22"/>
          <w:shd w:val="clear" w:color="auto" w:fill="FFFFFF"/>
        </w:rPr>
        <w:t>.</w:t>
      </w:r>
    </w:p>
    <w:p w14:paraId="11A86A24" w14:textId="77777777" w:rsidR="00C530AF" w:rsidRDefault="00C530AF" w:rsidP="00C530AF">
      <w:pPr>
        <w:jc w:val="both"/>
        <w:rPr>
          <w:rFonts w:ascii="Arial" w:hAnsi="Arial" w:cs="Arial"/>
          <w:sz w:val="22"/>
          <w:szCs w:val="22"/>
          <w:shd w:val="clear" w:color="auto" w:fill="FFFFFF"/>
        </w:rPr>
      </w:pPr>
    </w:p>
    <w:p w14:paraId="04FCB070" w14:textId="70874EBD" w:rsidR="00C530AF" w:rsidRDefault="00C530AF" w:rsidP="00C530AF">
      <w:pPr>
        <w:jc w:val="both"/>
        <w:rPr>
          <w:rFonts w:ascii="Arial" w:hAnsi="Arial" w:cs="Arial"/>
          <w:sz w:val="22"/>
          <w:szCs w:val="22"/>
          <w:shd w:val="clear" w:color="auto" w:fill="FFFFFF"/>
        </w:rPr>
      </w:pPr>
      <w:r>
        <w:rPr>
          <w:rFonts w:ascii="Arial" w:hAnsi="Arial" w:cs="Arial"/>
          <w:sz w:val="22"/>
          <w:szCs w:val="22"/>
          <w:shd w:val="clear" w:color="auto" w:fill="FFFFFF"/>
        </w:rPr>
        <w:t>En ese orden de ideas</w:t>
      </w:r>
      <w:r w:rsidR="00725828">
        <w:rPr>
          <w:rFonts w:ascii="Arial" w:hAnsi="Arial" w:cs="Arial"/>
          <w:sz w:val="22"/>
          <w:szCs w:val="22"/>
          <w:shd w:val="clear" w:color="auto" w:fill="FFFFFF"/>
        </w:rPr>
        <w:t>,</w:t>
      </w:r>
      <w:r>
        <w:rPr>
          <w:rFonts w:ascii="Arial" w:hAnsi="Arial" w:cs="Arial"/>
          <w:sz w:val="22"/>
          <w:szCs w:val="22"/>
          <w:shd w:val="clear" w:color="auto" w:fill="FFFFFF"/>
        </w:rPr>
        <w:t xml:space="preserve"> las Entidades Estatales </w:t>
      </w:r>
      <w:r w:rsidRPr="00C530AF">
        <w:rPr>
          <w:rFonts w:ascii="Arial" w:hAnsi="Arial" w:cs="Arial"/>
          <w:sz w:val="22"/>
          <w:szCs w:val="22"/>
          <w:shd w:val="clear" w:color="auto" w:fill="FFFFFF"/>
        </w:rPr>
        <w:t>no est</w:t>
      </w:r>
      <w:r>
        <w:rPr>
          <w:rFonts w:ascii="Arial" w:hAnsi="Arial" w:cs="Arial"/>
          <w:sz w:val="22"/>
          <w:szCs w:val="22"/>
          <w:shd w:val="clear" w:color="auto" w:fill="FFFFFF"/>
        </w:rPr>
        <w:t>án</w:t>
      </w:r>
      <w:r w:rsidRPr="00C530AF">
        <w:rPr>
          <w:rFonts w:ascii="Arial" w:hAnsi="Arial" w:cs="Arial"/>
          <w:sz w:val="22"/>
          <w:szCs w:val="22"/>
          <w:shd w:val="clear" w:color="auto" w:fill="FFFFFF"/>
        </w:rPr>
        <w:t xml:space="preserve"> condicionada</w:t>
      </w:r>
      <w:r>
        <w:rPr>
          <w:rFonts w:ascii="Arial" w:hAnsi="Arial" w:cs="Arial"/>
          <w:sz w:val="22"/>
          <w:szCs w:val="22"/>
          <w:shd w:val="clear" w:color="auto" w:fill="FFFFFF"/>
        </w:rPr>
        <w:t>s</w:t>
      </w:r>
      <w:r w:rsidRPr="00C530AF">
        <w:rPr>
          <w:rFonts w:ascii="Arial" w:hAnsi="Arial" w:cs="Arial"/>
          <w:sz w:val="22"/>
          <w:szCs w:val="22"/>
          <w:shd w:val="clear" w:color="auto" w:fill="FFFFFF"/>
        </w:rPr>
        <w:t xml:space="preserve"> a obtener el consentimiento previo y expreso de los proponentes o del mejor proponente para revocar</w:t>
      </w:r>
      <w:r>
        <w:rPr>
          <w:rFonts w:ascii="Arial" w:hAnsi="Arial" w:cs="Arial"/>
          <w:sz w:val="22"/>
          <w:szCs w:val="22"/>
          <w:shd w:val="clear" w:color="auto" w:fill="FFFFFF"/>
        </w:rPr>
        <w:t xml:space="preserve"> el acto administrativo de apertura </w:t>
      </w:r>
      <w:r w:rsidRPr="00C530AF">
        <w:rPr>
          <w:rFonts w:ascii="Arial" w:hAnsi="Arial" w:cs="Arial"/>
          <w:sz w:val="22"/>
          <w:szCs w:val="22"/>
          <w:shd w:val="clear" w:color="auto" w:fill="FFFFFF"/>
        </w:rPr>
        <w:t>como la facultad que tiene la Administración, de oficio o a petición de parte, de modificar, reformar, sustituir o extinguir los efectos jurídicos del acto con miras a su enmienda o corrección, en tanto se advierta que la decisión administrativa representada en el acto trasgrede el ordenamiento jurídico o va en contra del interés general</w:t>
      </w:r>
      <w:r>
        <w:rPr>
          <w:rFonts w:ascii="Arial" w:hAnsi="Arial" w:cs="Arial"/>
          <w:sz w:val="22"/>
          <w:szCs w:val="22"/>
          <w:shd w:val="clear" w:color="auto" w:fill="FFFFFF"/>
        </w:rPr>
        <w:t xml:space="preserve"> de conformidad con los requisitos dispuestos en el </w:t>
      </w:r>
      <w:r w:rsidR="00A62666">
        <w:rPr>
          <w:rFonts w:ascii="Arial" w:hAnsi="Arial" w:cs="Arial"/>
          <w:sz w:val="22"/>
          <w:szCs w:val="22"/>
          <w:shd w:val="clear" w:color="auto" w:fill="FFFFFF"/>
        </w:rPr>
        <w:t xml:space="preserve">artículo 97 del </w:t>
      </w:r>
      <w:r>
        <w:rPr>
          <w:rFonts w:ascii="Arial" w:hAnsi="Arial" w:cs="Arial"/>
          <w:sz w:val="22"/>
          <w:szCs w:val="22"/>
          <w:shd w:val="clear" w:color="auto" w:fill="FFFFFF"/>
        </w:rPr>
        <w:t>CPACA,</w:t>
      </w:r>
      <w:r w:rsidRPr="00C530AF">
        <w:rPr>
          <w:rFonts w:ascii="Arial" w:hAnsi="Arial" w:cs="Arial"/>
          <w:sz w:val="22"/>
          <w:szCs w:val="22"/>
          <w:shd w:val="clear" w:color="auto" w:fill="FFFFFF"/>
        </w:rPr>
        <w:t xml:space="preserve"> haciendo prevalecer el imperio de la ley, el interés público y la protección de los derechos.</w:t>
      </w:r>
    </w:p>
    <w:p w14:paraId="717C913B" w14:textId="6D09657E" w:rsidR="00460695" w:rsidRPr="00304599" w:rsidRDefault="00460695" w:rsidP="00460695">
      <w:pPr>
        <w:spacing w:line="276" w:lineRule="auto"/>
        <w:ind w:firstLine="720"/>
        <w:jc w:val="both"/>
        <w:rPr>
          <w:rFonts w:ascii="Arial" w:eastAsia="Calibri" w:hAnsi="Arial" w:cs="Arial"/>
          <w:sz w:val="22"/>
          <w:szCs w:val="22"/>
          <w:lang w:val="es-ES" w:eastAsia="es-ES_tradnl"/>
        </w:rPr>
      </w:pPr>
    </w:p>
    <w:p w14:paraId="52DC793F" w14:textId="77777777" w:rsidR="00460695" w:rsidRPr="00304599" w:rsidRDefault="00460695" w:rsidP="00460695">
      <w:pPr>
        <w:spacing w:line="276" w:lineRule="auto"/>
        <w:ind w:firstLine="720"/>
        <w:jc w:val="both"/>
        <w:rPr>
          <w:rFonts w:ascii="Arial" w:eastAsia="Calibri" w:hAnsi="Arial" w:cs="Arial"/>
          <w:sz w:val="22"/>
          <w:szCs w:val="22"/>
          <w:lang w:val="es-ES" w:eastAsia="es-ES_tradnl"/>
        </w:rPr>
      </w:pPr>
    </w:p>
    <w:p w14:paraId="5DB60858" w14:textId="77777777" w:rsidR="00460695" w:rsidRPr="00304599" w:rsidRDefault="00460695" w:rsidP="00460695">
      <w:pPr>
        <w:spacing w:line="276" w:lineRule="auto"/>
        <w:jc w:val="both"/>
        <w:rPr>
          <w:rFonts w:ascii="Arial" w:eastAsia="Arial" w:hAnsi="Arial" w:cs="Arial"/>
          <w:bCs/>
          <w:color w:val="000000"/>
          <w:sz w:val="21"/>
          <w:szCs w:val="21"/>
          <w:lang w:val="es-MX" w:eastAsia="es-ES_tradnl"/>
        </w:rPr>
      </w:pPr>
    </w:p>
    <w:p w14:paraId="2B6AF601" w14:textId="77777777" w:rsidR="00460695" w:rsidRPr="00304599" w:rsidRDefault="00460695" w:rsidP="00460695">
      <w:pPr>
        <w:spacing w:line="276" w:lineRule="auto"/>
        <w:ind w:left="709" w:firstLine="11"/>
        <w:jc w:val="both"/>
        <w:rPr>
          <w:rFonts w:ascii="Arial" w:eastAsia="Arial" w:hAnsi="Arial" w:cs="Arial"/>
          <w:bCs/>
          <w:color w:val="000000"/>
          <w:sz w:val="21"/>
          <w:szCs w:val="21"/>
          <w:lang w:val="es-MX" w:eastAsia="es-ES_tradnl"/>
        </w:rPr>
      </w:pPr>
      <w:r w:rsidRPr="00304599">
        <w:rPr>
          <w:rFonts w:ascii="Arial" w:eastAsia="Arial" w:hAnsi="Arial" w:cs="Arial"/>
          <w:bCs/>
          <w:color w:val="000000"/>
          <w:sz w:val="21"/>
          <w:szCs w:val="21"/>
          <w:lang w:val="es-MX" w:eastAsia="es-ES_tradnl"/>
        </w:rPr>
        <w:t>CUARTA INQUIETUD</w:t>
      </w:r>
      <w:r w:rsidRPr="00304599">
        <w:rPr>
          <w:rFonts w:ascii="Arial" w:eastAsia="Arial" w:hAnsi="Arial" w:cs="Arial"/>
          <w:bCs/>
          <w:color w:val="000000"/>
          <w:sz w:val="21"/>
          <w:szCs w:val="21"/>
          <w:lang w:val="es-MX" w:eastAsia="es-ES_tradnl"/>
        </w:rPr>
        <w:tab/>
      </w:r>
    </w:p>
    <w:p w14:paraId="416C5CA1" w14:textId="77777777" w:rsidR="00460695" w:rsidRPr="00304599" w:rsidRDefault="00460695" w:rsidP="00460695">
      <w:pPr>
        <w:spacing w:line="276" w:lineRule="auto"/>
        <w:ind w:left="709" w:firstLine="11"/>
        <w:jc w:val="both"/>
        <w:rPr>
          <w:rFonts w:ascii="Arial" w:eastAsia="Arial" w:hAnsi="Arial" w:cs="Arial"/>
          <w:bCs/>
          <w:i/>
          <w:iCs/>
          <w:color w:val="000000"/>
          <w:sz w:val="21"/>
          <w:szCs w:val="21"/>
          <w:lang w:val="es-MX" w:eastAsia="es-ES_tradnl"/>
        </w:rPr>
      </w:pPr>
      <w:r w:rsidRPr="00304599">
        <w:rPr>
          <w:rFonts w:ascii="Arial" w:hAnsi="Arial" w:cs="Arial"/>
          <w:bCs/>
          <w:i/>
          <w:iCs/>
          <w:sz w:val="21"/>
          <w:szCs w:val="21"/>
          <w:lang w:val="es-CO" w:eastAsia="es-ES_tradnl"/>
        </w:rPr>
        <w:t>D. Un proceso de licitación pública puede ser declarado desierto, bajo el argumento que hubo un respuesta a una observación que contradecía las reglas de participación de los pliegos tipo</w:t>
      </w:r>
    </w:p>
    <w:p w14:paraId="752A6546" w14:textId="77777777" w:rsidR="00460695" w:rsidRPr="00304599" w:rsidRDefault="00460695" w:rsidP="00460695">
      <w:pPr>
        <w:spacing w:line="276" w:lineRule="auto"/>
        <w:ind w:left="720"/>
        <w:jc w:val="both"/>
        <w:rPr>
          <w:rFonts w:ascii="Arial" w:eastAsia="Arial" w:hAnsi="Arial" w:cs="Arial"/>
          <w:bCs/>
          <w:color w:val="000000"/>
          <w:sz w:val="21"/>
          <w:szCs w:val="21"/>
          <w:lang w:val="es-MX" w:eastAsia="es-ES_tradnl"/>
        </w:rPr>
      </w:pPr>
    </w:p>
    <w:p w14:paraId="767C37FF" w14:textId="3932EBDA" w:rsidR="00460695" w:rsidRPr="00304599" w:rsidRDefault="00460695" w:rsidP="00460695">
      <w:pPr>
        <w:spacing w:line="276" w:lineRule="auto"/>
        <w:ind w:firstLine="709"/>
        <w:jc w:val="both"/>
        <w:rPr>
          <w:rFonts w:ascii="Arial" w:eastAsia="Calibri" w:hAnsi="Arial" w:cs="Arial"/>
          <w:sz w:val="22"/>
          <w:lang w:val="es-ES" w:eastAsia="es-ES_tradnl"/>
        </w:rPr>
      </w:pPr>
      <w:r w:rsidRPr="00304599">
        <w:rPr>
          <w:rFonts w:ascii="Arial" w:eastAsia="Calibri" w:hAnsi="Arial" w:cs="Arial"/>
          <w:sz w:val="22"/>
          <w:lang w:val="es-ES" w:eastAsia="es-ES_tradnl"/>
        </w:rPr>
        <w:t xml:space="preserve">Por regla general y en cumplimiento de los fines del Estado, los procesos de </w:t>
      </w:r>
      <w:r w:rsidR="00D52BF4" w:rsidRPr="00304599">
        <w:rPr>
          <w:rFonts w:ascii="Arial" w:eastAsia="Calibri" w:hAnsi="Arial" w:cs="Arial"/>
          <w:sz w:val="22"/>
          <w:lang w:val="es-ES" w:eastAsia="es-ES_tradnl"/>
        </w:rPr>
        <w:t>selección deben</w:t>
      </w:r>
      <w:r w:rsidRPr="00304599">
        <w:rPr>
          <w:rFonts w:ascii="Arial" w:eastAsia="Calibri" w:hAnsi="Arial" w:cs="Arial"/>
          <w:sz w:val="22"/>
          <w:lang w:val="es-ES" w:eastAsia="es-ES_tradnl"/>
        </w:rPr>
        <w:t xml:space="preserve"> culminar con la adjudicación del proceso y la selección de una propuesta, y solo</w:t>
      </w:r>
      <w:r w:rsidRPr="00304599">
        <w:rPr>
          <w:rFonts w:ascii="Arial" w:eastAsia="Calibri" w:hAnsi="Arial" w:cs="Arial"/>
          <w:b/>
          <w:bCs/>
          <w:sz w:val="22"/>
          <w:lang w:val="es-ES" w:eastAsia="es-ES_tradnl"/>
        </w:rPr>
        <w:t xml:space="preserve"> </w:t>
      </w:r>
      <w:r w:rsidRPr="00304599">
        <w:rPr>
          <w:rFonts w:ascii="Arial" w:eastAsia="Calibri" w:hAnsi="Arial" w:cs="Arial"/>
          <w:sz w:val="22"/>
          <w:lang w:val="es-ES" w:eastAsia="es-ES_tradnl"/>
        </w:rPr>
        <w:t xml:space="preserve">bajo circunstancias excepcionales, que trunquen o imposibiliten la selección objetiva, es procedente la declaración de desierta. La declaración de desierta es así una excepción a la regla compulsoria de selección objetiva y por ello, es deber de las entidades incluir en la motivación del acto de declaratoria de desierta, de forma </w:t>
      </w:r>
      <w:r w:rsidR="00D52BF4" w:rsidRPr="00304599">
        <w:rPr>
          <w:rFonts w:ascii="Arial" w:eastAsia="Calibri" w:hAnsi="Arial" w:cs="Arial"/>
          <w:sz w:val="22"/>
          <w:lang w:val="es-ES" w:eastAsia="es-ES_tradnl"/>
        </w:rPr>
        <w:t>expresa, detallada</w:t>
      </w:r>
      <w:r w:rsidRPr="00304599">
        <w:rPr>
          <w:rFonts w:ascii="Arial" w:eastAsia="Calibri" w:hAnsi="Arial" w:cs="Arial"/>
          <w:sz w:val="22"/>
          <w:lang w:val="es-ES" w:eastAsia="es-ES_tradnl"/>
        </w:rPr>
        <w:t xml:space="preserve"> y precisa de las razones que imposibilitaron la selección objetiva (artículo 24.7 y .8), en caso determinado. </w:t>
      </w:r>
    </w:p>
    <w:p w14:paraId="167D1E5C" w14:textId="77777777" w:rsidR="00460695" w:rsidRPr="00304599" w:rsidRDefault="00460695" w:rsidP="00460695">
      <w:pPr>
        <w:spacing w:line="276" w:lineRule="auto"/>
        <w:ind w:firstLine="709"/>
        <w:jc w:val="both"/>
        <w:rPr>
          <w:rFonts w:ascii="Arial" w:eastAsia="Calibri" w:hAnsi="Arial" w:cs="Arial"/>
          <w:sz w:val="22"/>
          <w:lang w:val="es-ES" w:eastAsia="es-ES_tradnl"/>
        </w:rPr>
      </w:pPr>
    </w:p>
    <w:p w14:paraId="5902787A" w14:textId="77777777" w:rsidR="00460695" w:rsidRPr="00304599" w:rsidRDefault="00460695" w:rsidP="00460695">
      <w:pPr>
        <w:spacing w:line="276" w:lineRule="auto"/>
        <w:ind w:firstLine="709"/>
        <w:jc w:val="both"/>
        <w:rPr>
          <w:rFonts w:ascii="Arial" w:eastAsia="Calibri" w:hAnsi="Arial" w:cs="Arial"/>
          <w:sz w:val="22"/>
          <w:lang w:val="es-ES" w:eastAsia="es-ES_tradnl"/>
        </w:rPr>
      </w:pPr>
      <w:r w:rsidRPr="00304599">
        <w:rPr>
          <w:rFonts w:ascii="Arial" w:eastAsia="Calibri" w:hAnsi="Arial" w:cs="Arial"/>
          <w:sz w:val="22"/>
          <w:lang w:val="es-ES" w:eastAsia="es-ES_tradnl"/>
        </w:rPr>
        <w:t xml:space="preserve">La circunstancia fáctica descrita en la pregunta requiere el análisis de las particularidades ocurridas en un proceso de selección particular, asunto que desborda la competencia de esta Subdirección. En cada caso, las entidades deben establecer si una situación como la descrita justifica la declaratoria de desierta en los términos regulados en la Ley, </w:t>
      </w:r>
    </w:p>
    <w:p w14:paraId="4ED4BDFB" w14:textId="718EE1A2" w:rsidR="00460695" w:rsidRPr="00304599" w:rsidRDefault="00460695" w:rsidP="00460695">
      <w:pPr>
        <w:spacing w:line="276" w:lineRule="auto"/>
        <w:jc w:val="both"/>
        <w:rPr>
          <w:rFonts w:ascii="Arial" w:eastAsia="Arial" w:hAnsi="Arial" w:cs="Arial"/>
          <w:bCs/>
          <w:color w:val="000000"/>
          <w:sz w:val="21"/>
          <w:szCs w:val="21"/>
          <w:lang w:val="es-MX" w:eastAsia="es-ES_tradnl"/>
        </w:rPr>
      </w:pPr>
    </w:p>
    <w:p w14:paraId="528921F8" w14:textId="77777777" w:rsidR="00460695" w:rsidRPr="00304599" w:rsidRDefault="00460695" w:rsidP="00460695">
      <w:pPr>
        <w:spacing w:line="276" w:lineRule="auto"/>
        <w:jc w:val="both"/>
        <w:rPr>
          <w:rFonts w:ascii="Arial" w:eastAsia="Arial" w:hAnsi="Arial" w:cs="Arial"/>
          <w:color w:val="000000"/>
          <w:sz w:val="22"/>
          <w:szCs w:val="22"/>
          <w:lang w:val="es-MX" w:eastAsia="es-ES_tradnl"/>
        </w:rPr>
      </w:pPr>
      <w:bookmarkStart w:id="13" w:name="_2grqrue" w:colFirst="0" w:colLast="0"/>
      <w:bookmarkEnd w:id="13"/>
      <w:r w:rsidRPr="00304599">
        <w:rPr>
          <w:rFonts w:ascii="Arial" w:eastAsia="Arial" w:hAnsi="Arial" w:cs="Arial"/>
          <w:color w:val="000000"/>
          <w:sz w:val="22"/>
          <w:szCs w:val="22"/>
          <w:lang w:val="es-MX" w:eastAsia="es-ES_tradnl"/>
        </w:rPr>
        <w:t>Este concepto tiene el alcance previsto en el artículo 28 del Código de Procedimiento Administrativo y de lo Contencioso Administrativo.</w:t>
      </w:r>
    </w:p>
    <w:p w14:paraId="71E9147D" w14:textId="77777777" w:rsidR="00460695" w:rsidRPr="00304599" w:rsidRDefault="00460695" w:rsidP="00460695">
      <w:pPr>
        <w:spacing w:line="276" w:lineRule="auto"/>
        <w:jc w:val="both"/>
        <w:rPr>
          <w:rFonts w:ascii="Arial" w:eastAsia="Arial" w:hAnsi="Arial" w:cs="Arial"/>
          <w:color w:val="000000"/>
          <w:sz w:val="22"/>
          <w:szCs w:val="22"/>
          <w:lang w:val="es-MX" w:eastAsia="es-ES_tradnl"/>
        </w:rPr>
      </w:pPr>
    </w:p>
    <w:p w14:paraId="15C3E0BF" w14:textId="77777777" w:rsidR="00460695" w:rsidRPr="00304599" w:rsidRDefault="00460695" w:rsidP="00460695">
      <w:pPr>
        <w:spacing w:line="276" w:lineRule="auto"/>
        <w:jc w:val="both"/>
        <w:rPr>
          <w:rFonts w:ascii="Arial" w:eastAsia="Arial" w:hAnsi="Arial" w:cs="Arial"/>
          <w:color w:val="000000"/>
          <w:sz w:val="22"/>
          <w:szCs w:val="22"/>
          <w:lang w:val="es-MX" w:eastAsia="es-ES_tradnl"/>
        </w:rPr>
      </w:pPr>
      <w:r w:rsidRPr="00304599">
        <w:rPr>
          <w:rFonts w:ascii="Arial" w:eastAsia="Arial" w:hAnsi="Arial" w:cs="Arial"/>
          <w:color w:val="000000"/>
          <w:sz w:val="22"/>
          <w:szCs w:val="22"/>
          <w:lang w:val="es-MX" w:eastAsia="es-ES_tradnl"/>
        </w:rPr>
        <w:t>Atentamente,</w:t>
      </w:r>
    </w:p>
    <w:p w14:paraId="2AB97B06" w14:textId="390038E0" w:rsidR="0015100A" w:rsidRPr="00304599" w:rsidRDefault="00B64B7E" w:rsidP="006C16B7">
      <w:pPr>
        <w:spacing w:line="276" w:lineRule="auto"/>
        <w:jc w:val="center"/>
        <w:rPr>
          <w:rFonts w:ascii="Arial" w:hAnsi="Arial" w:cs="Arial"/>
          <w:sz w:val="22"/>
          <w:szCs w:val="22"/>
          <w:lang w:eastAsia="es-ES_tradnl"/>
        </w:rPr>
      </w:pPr>
      <w:r>
        <w:rPr>
          <w:noProof/>
          <w:lang w:val="es-ES"/>
        </w:rPr>
        <w:lastRenderedPageBreak/>
        <w:drawing>
          <wp:inline distT="0" distB="0" distL="0" distR="0" wp14:anchorId="5892A9F6" wp14:editId="17FA5D9A">
            <wp:extent cx="2845586" cy="1111624"/>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3729" cy="1118711"/>
                    </a:xfrm>
                    <a:prstGeom prst="rect">
                      <a:avLst/>
                    </a:prstGeom>
                    <a:noFill/>
                    <a:ln>
                      <a:noFill/>
                    </a:ln>
                  </pic:spPr>
                </pic:pic>
              </a:graphicData>
            </a:graphic>
          </wp:inline>
        </w:drawing>
      </w:r>
    </w:p>
    <w:p w14:paraId="3E76BAB0" w14:textId="77777777" w:rsidR="00457483" w:rsidRPr="00304599" w:rsidRDefault="00457483" w:rsidP="00550397">
      <w:pPr>
        <w:spacing w:line="276" w:lineRule="auto"/>
        <w:jc w:val="center"/>
        <w:rPr>
          <w:rFonts w:ascii="Arial" w:hAnsi="Arial" w:cs="Arial"/>
          <w:sz w:val="22"/>
          <w:szCs w:val="22"/>
          <w:lang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717"/>
      </w:tblGrid>
      <w:tr w:rsidR="00C06297" w:rsidRPr="00304599" w14:paraId="116D3F91" w14:textId="77777777" w:rsidTr="00177317">
        <w:trPr>
          <w:trHeight w:val="315"/>
        </w:trPr>
        <w:tc>
          <w:tcPr>
            <w:tcW w:w="812" w:type="dxa"/>
            <w:vAlign w:val="center"/>
            <w:hideMark/>
          </w:tcPr>
          <w:p w14:paraId="76BB6601" w14:textId="77777777" w:rsidR="00C06297" w:rsidRPr="00304599" w:rsidRDefault="00C06297" w:rsidP="00423E96">
            <w:pPr>
              <w:jc w:val="both"/>
              <w:rPr>
                <w:rFonts w:ascii="Arial" w:hAnsi="Arial" w:cs="Arial"/>
                <w:sz w:val="16"/>
                <w:szCs w:val="16"/>
                <w:lang w:eastAsia="es-ES"/>
              </w:rPr>
            </w:pPr>
            <w:r w:rsidRPr="00304599">
              <w:rPr>
                <w:rFonts w:ascii="Arial" w:hAnsi="Arial" w:cs="Arial"/>
                <w:sz w:val="16"/>
                <w:szCs w:val="16"/>
                <w:lang w:eastAsia="es-ES"/>
              </w:rPr>
              <w:t>Elaboró:</w:t>
            </w:r>
          </w:p>
        </w:tc>
        <w:tc>
          <w:tcPr>
            <w:tcW w:w="4717" w:type="dxa"/>
            <w:tcBorders>
              <w:top w:val="nil"/>
              <w:left w:val="nil"/>
              <w:bottom w:val="dotted" w:sz="4" w:space="0" w:color="7F7F7F" w:themeColor="text1" w:themeTint="80"/>
              <w:right w:val="nil"/>
            </w:tcBorders>
            <w:vAlign w:val="center"/>
            <w:hideMark/>
          </w:tcPr>
          <w:p w14:paraId="0E453CD0" w14:textId="77777777" w:rsidR="00C06297" w:rsidRPr="00304599" w:rsidRDefault="00C06297" w:rsidP="00423E96">
            <w:pPr>
              <w:rPr>
                <w:rFonts w:ascii="Arial" w:hAnsi="Arial" w:cs="Arial"/>
                <w:sz w:val="16"/>
                <w:szCs w:val="16"/>
                <w:lang w:eastAsia="es-ES"/>
              </w:rPr>
            </w:pPr>
            <w:r w:rsidRPr="00304599">
              <w:rPr>
                <w:rFonts w:ascii="Arial" w:hAnsi="Arial" w:cs="Arial"/>
                <w:sz w:val="16"/>
                <w:szCs w:val="16"/>
                <w:lang w:eastAsia="es-ES"/>
              </w:rPr>
              <w:t xml:space="preserve">Álvaro </w:t>
            </w:r>
            <w:proofErr w:type="spellStart"/>
            <w:r w:rsidRPr="00304599">
              <w:rPr>
                <w:rFonts w:ascii="Arial" w:hAnsi="Arial" w:cs="Arial"/>
                <w:sz w:val="16"/>
                <w:szCs w:val="16"/>
                <w:lang w:eastAsia="es-ES"/>
              </w:rPr>
              <w:t>Namén</w:t>
            </w:r>
            <w:proofErr w:type="spellEnd"/>
            <w:r w:rsidRPr="00304599">
              <w:rPr>
                <w:rFonts w:ascii="Arial" w:hAnsi="Arial" w:cs="Arial"/>
                <w:sz w:val="16"/>
                <w:szCs w:val="16"/>
                <w:lang w:eastAsia="es-ES"/>
              </w:rPr>
              <w:t xml:space="preserve"> Vargas</w:t>
            </w:r>
          </w:p>
          <w:p w14:paraId="113AA233" w14:textId="77777777" w:rsidR="00C06297" w:rsidRPr="00304599" w:rsidRDefault="00C06297" w:rsidP="00423E96">
            <w:pPr>
              <w:jc w:val="both"/>
              <w:rPr>
                <w:rFonts w:ascii="Arial" w:hAnsi="Arial" w:cs="Arial"/>
                <w:sz w:val="16"/>
                <w:szCs w:val="16"/>
                <w:lang w:eastAsia="es-ES"/>
              </w:rPr>
            </w:pPr>
            <w:r w:rsidRPr="00304599">
              <w:rPr>
                <w:rFonts w:ascii="Arial" w:hAnsi="Arial" w:cs="Arial"/>
                <w:sz w:val="16"/>
                <w:szCs w:val="16"/>
                <w:lang w:eastAsia="es-ES"/>
              </w:rPr>
              <w:t xml:space="preserve">Contratista de la Subdirección de Gestión Contractual  </w:t>
            </w:r>
          </w:p>
        </w:tc>
      </w:tr>
      <w:tr w:rsidR="00C06297" w:rsidRPr="00304599" w14:paraId="51F0CE60" w14:textId="77777777" w:rsidTr="00177317">
        <w:trPr>
          <w:trHeight w:val="330"/>
        </w:trPr>
        <w:tc>
          <w:tcPr>
            <w:tcW w:w="812" w:type="dxa"/>
            <w:vAlign w:val="center"/>
            <w:hideMark/>
          </w:tcPr>
          <w:p w14:paraId="272C6AA1" w14:textId="77777777" w:rsidR="00C06297" w:rsidRPr="00304599" w:rsidRDefault="00C06297" w:rsidP="00423E96">
            <w:pPr>
              <w:jc w:val="both"/>
              <w:rPr>
                <w:rFonts w:ascii="Arial" w:hAnsi="Arial" w:cs="Arial"/>
                <w:sz w:val="16"/>
                <w:szCs w:val="16"/>
                <w:lang w:eastAsia="es-ES"/>
              </w:rPr>
            </w:pPr>
            <w:r w:rsidRPr="00304599">
              <w:rPr>
                <w:rFonts w:ascii="Arial" w:hAnsi="Arial" w:cs="Arial"/>
                <w:sz w:val="16"/>
                <w:szCs w:val="16"/>
                <w:lang w:eastAsia="es-ES"/>
              </w:rPr>
              <w:t>Revisó: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6E036ADE" w14:textId="42B06B43" w:rsidR="00C06297" w:rsidRPr="00304599" w:rsidRDefault="00DD3CBA" w:rsidP="00423E96">
            <w:pPr>
              <w:jc w:val="both"/>
              <w:rPr>
                <w:rFonts w:ascii="Arial" w:hAnsi="Arial" w:cs="Arial"/>
                <w:sz w:val="16"/>
                <w:szCs w:val="16"/>
                <w:lang w:eastAsia="es-ES"/>
              </w:rPr>
            </w:pPr>
            <w:r w:rsidRPr="00304599">
              <w:rPr>
                <w:rFonts w:ascii="Arial" w:hAnsi="Arial" w:cs="Arial"/>
                <w:sz w:val="16"/>
                <w:szCs w:val="16"/>
                <w:lang w:eastAsia="es-ES"/>
              </w:rPr>
              <w:t xml:space="preserve">Any </w:t>
            </w:r>
            <w:r w:rsidR="00C530AF">
              <w:rPr>
                <w:rFonts w:ascii="Arial" w:hAnsi="Arial" w:cs="Arial"/>
                <w:sz w:val="16"/>
                <w:szCs w:val="16"/>
                <w:lang w:eastAsia="es-ES"/>
              </w:rPr>
              <w:t xml:space="preserve">Alejandra </w:t>
            </w:r>
            <w:r w:rsidRPr="00304599">
              <w:rPr>
                <w:rFonts w:ascii="Arial" w:hAnsi="Arial" w:cs="Arial"/>
                <w:sz w:val="16"/>
                <w:szCs w:val="16"/>
                <w:lang w:eastAsia="es-ES"/>
              </w:rPr>
              <w:t xml:space="preserve">Tovar Castillo </w:t>
            </w:r>
          </w:p>
          <w:p w14:paraId="1427B253" w14:textId="0AF25927" w:rsidR="00C06297" w:rsidRPr="00304599" w:rsidRDefault="00C530AF" w:rsidP="00423E96">
            <w:pPr>
              <w:jc w:val="both"/>
              <w:rPr>
                <w:rFonts w:ascii="Arial" w:hAnsi="Arial" w:cs="Arial"/>
                <w:sz w:val="16"/>
                <w:szCs w:val="16"/>
                <w:lang w:eastAsia="es-ES"/>
              </w:rPr>
            </w:pPr>
            <w:r>
              <w:rPr>
                <w:rFonts w:ascii="Arial" w:hAnsi="Arial" w:cs="Arial"/>
                <w:sz w:val="16"/>
                <w:szCs w:val="16"/>
                <w:lang w:eastAsia="es-ES"/>
              </w:rPr>
              <w:t>Contratista de la</w:t>
            </w:r>
            <w:r w:rsidR="00C06297" w:rsidRPr="00304599">
              <w:rPr>
                <w:rFonts w:ascii="Arial" w:hAnsi="Arial" w:cs="Arial"/>
                <w:sz w:val="16"/>
                <w:szCs w:val="16"/>
                <w:lang w:eastAsia="es-ES"/>
              </w:rPr>
              <w:t xml:space="preserve"> Subdirección de Gestión Contractual</w:t>
            </w:r>
          </w:p>
        </w:tc>
      </w:tr>
      <w:tr w:rsidR="00C06297" w:rsidRPr="004F507C" w14:paraId="47905FD4" w14:textId="77777777" w:rsidTr="00177317">
        <w:trPr>
          <w:trHeight w:val="300"/>
        </w:trPr>
        <w:tc>
          <w:tcPr>
            <w:tcW w:w="812" w:type="dxa"/>
            <w:vAlign w:val="center"/>
            <w:hideMark/>
          </w:tcPr>
          <w:p w14:paraId="1E2A29DF" w14:textId="77777777" w:rsidR="00C06297" w:rsidRPr="00304599" w:rsidRDefault="00C06297" w:rsidP="00423E96">
            <w:pPr>
              <w:jc w:val="both"/>
              <w:rPr>
                <w:rFonts w:ascii="Arial" w:hAnsi="Arial" w:cs="Arial"/>
                <w:sz w:val="16"/>
                <w:szCs w:val="16"/>
                <w:lang w:eastAsia="es-ES"/>
              </w:rPr>
            </w:pPr>
            <w:r w:rsidRPr="00304599">
              <w:rPr>
                <w:rFonts w:ascii="Arial" w:hAnsi="Arial" w:cs="Arial"/>
                <w:sz w:val="16"/>
                <w:szCs w:val="16"/>
                <w:lang w:eastAsia="es-ES"/>
              </w:rPr>
              <w:t>Aprobó: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52950031" w14:textId="77777777" w:rsidR="00C06297" w:rsidRPr="00304599" w:rsidRDefault="00C06297" w:rsidP="00423E96">
            <w:pPr>
              <w:jc w:val="both"/>
              <w:rPr>
                <w:rFonts w:ascii="Arial" w:hAnsi="Arial" w:cs="Arial"/>
                <w:sz w:val="16"/>
                <w:szCs w:val="16"/>
                <w:lang w:eastAsia="es-ES"/>
              </w:rPr>
            </w:pPr>
            <w:r w:rsidRPr="00304599">
              <w:rPr>
                <w:rFonts w:ascii="Arial" w:hAnsi="Arial" w:cs="Arial"/>
                <w:sz w:val="16"/>
                <w:szCs w:val="16"/>
                <w:lang w:eastAsia="es-ES"/>
              </w:rPr>
              <w:t>Juan David Marín López</w:t>
            </w:r>
          </w:p>
          <w:p w14:paraId="393529C6" w14:textId="77777777" w:rsidR="00C06297" w:rsidRPr="00177317" w:rsidRDefault="00C06297" w:rsidP="00423E96">
            <w:pPr>
              <w:jc w:val="both"/>
              <w:rPr>
                <w:rFonts w:ascii="Arial" w:hAnsi="Arial" w:cs="Arial"/>
                <w:sz w:val="16"/>
                <w:szCs w:val="16"/>
                <w:lang w:eastAsia="es-ES"/>
              </w:rPr>
            </w:pPr>
            <w:r w:rsidRPr="00304599">
              <w:rPr>
                <w:rFonts w:ascii="Arial" w:hAnsi="Arial" w:cs="Arial"/>
                <w:sz w:val="16"/>
                <w:szCs w:val="16"/>
                <w:lang w:eastAsia="es-ES"/>
              </w:rPr>
              <w:t>Subdirector de Gestión Contractual (E)</w:t>
            </w:r>
          </w:p>
        </w:tc>
      </w:tr>
    </w:tbl>
    <w:p w14:paraId="019B7BEC" w14:textId="2669F477" w:rsidR="003C7067" w:rsidRDefault="003C7067" w:rsidP="00550397">
      <w:pPr>
        <w:spacing w:after="120" w:line="276" w:lineRule="auto"/>
        <w:jc w:val="both"/>
      </w:pPr>
    </w:p>
    <w:p w14:paraId="49D4532E" w14:textId="7187FB04" w:rsidR="00560087" w:rsidRDefault="00560087" w:rsidP="00550397">
      <w:pPr>
        <w:spacing w:after="120" w:line="276" w:lineRule="auto"/>
        <w:jc w:val="both"/>
      </w:pPr>
    </w:p>
    <w:sectPr w:rsidR="00560087" w:rsidSect="00D81E5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9DD80" w14:textId="77777777" w:rsidR="004B52B1" w:rsidRDefault="004B52B1" w:rsidP="003C7067">
      <w:r>
        <w:separator/>
      </w:r>
    </w:p>
  </w:endnote>
  <w:endnote w:type="continuationSeparator" w:id="0">
    <w:p w14:paraId="16DE07E9" w14:textId="77777777" w:rsidR="004B52B1" w:rsidRDefault="004B52B1"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Light">
    <w:altName w:val="Calibri"/>
    <w:panose1 w:val="020B06040202020202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lang w:val="es-CO" w:eastAsia="es-CO"/>
      </w:rPr>
      <w:drawing>
        <wp:inline distT="0" distB="0" distL="0" distR="0" wp14:anchorId="6A306E23" wp14:editId="5EFE231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460695" w:rsidRPr="00080DA3" w14:paraId="27B94BCF" w14:textId="77777777" w:rsidTr="00460695">
      <w:trPr>
        <w:trHeight w:val="198"/>
        <w:jc w:val="center"/>
      </w:trPr>
      <w:tc>
        <w:tcPr>
          <w:tcW w:w="838" w:type="dxa"/>
          <w:tcBorders>
            <w:top w:val="dotted" w:sz="4" w:space="0" w:color="808080"/>
            <w:left w:val="dotted" w:sz="4" w:space="0" w:color="808080"/>
            <w:bottom w:val="dotted" w:sz="4" w:space="0" w:color="8080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left w:val="dotted" w:sz="4" w:space="0" w:color="808080"/>
            <w:bottom w:val="dotted" w:sz="4" w:space="0" w:color="8080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left w:val="dotted" w:sz="4" w:space="0" w:color="808080"/>
            <w:bottom w:val="dotted" w:sz="4" w:space="0" w:color="8080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22</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9B1BD" w14:textId="77777777" w:rsidR="004B52B1" w:rsidRDefault="004B52B1" w:rsidP="003C7067">
      <w:r>
        <w:separator/>
      </w:r>
    </w:p>
  </w:footnote>
  <w:footnote w:type="continuationSeparator" w:id="0">
    <w:p w14:paraId="1B82480E" w14:textId="77777777" w:rsidR="004B52B1" w:rsidRDefault="004B52B1" w:rsidP="003C7067">
      <w:r>
        <w:continuationSeparator/>
      </w:r>
    </w:p>
  </w:footnote>
  <w:footnote w:id="1">
    <w:p w14:paraId="73342C3C" w14:textId="77777777" w:rsidR="00460695" w:rsidRPr="00DB4983" w:rsidRDefault="00460695" w:rsidP="0030614C">
      <w:pPr>
        <w:pStyle w:val="Textonotapie"/>
        <w:ind w:firstLine="708"/>
        <w:jc w:val="both"/>
        <w:rPr>
          <w:rFonts w:ascii="Arial" w:hAnsi="Arial" w:cs="Arial"/>
          <w:sz w:val="18"/>
          <w:szCs w:val="18"/>
          <w:lang w:val="es-ES"/>
        </w:rPr>
      </w:pPr>
      <w:r w:rsidRPr="00DB4983">
        <w:rPr>
          <w:rStyle w:val="Refdenotaalpie"/>
          <w:rFonts w:ascii="Arial" w:hAnsi="Arial" w:cs="Arial"/>
          <w:sz w:val="18"/>
          <w:szCs w:val="18"/>
        </w:rPr>
        <w:footnoteRef/>
      </w:r>
      <w:r w:rsidRPr="00DB4983">
        <w:rPr>
          <w:rFonts w:ascii="Arial" w:hAnsi="Arial" w:cs="Arial"/>
          <w:sz w:val="18"/>
          <w:szCs w:val="18"/>
        </w:rPr>
        <w:t xml:space="preserve"> </w:t>
      </w:r>
      <w:r w:rsidRPr="00DB4983">
        <w:rPr>
          <w:rFonts w:ascii="Arial" w:hAnsi="Arial" w:cs="Arial"/>
          <w:sz w:val="18"/>
          <w:szCs w:val="18"/>
          <w:lang w:val="es-ES"/>
        </w:rPr>
        <w:t xml:space="preserve">SANTOS RODRÍGUEZ. Jorge Enrique. Construcción doctrinaria de la revocación del acto administrativo ilegal. Universidad Externado de Colombia, 2005. p. 27. </w:t>
      </w:r>
    </w:p>
    <w:p w14:paraId="3391FFB2" w14:textId="77777777" w:rsidR="00460695" w:rsidRPr="00DB4983" w:rsidRDefault="00460695" w:rsidP="0030614C">
      <w:pPr>
        <w:pStyle w:val="Textonotapie"/>
        <w:ind w:firstLine="708"/>
        <w:jc w:val="both"/>
        <w:rPr>
          <w:rFonts w:ascii="Arial" w:hAnsi="Arial" w:cs="Arial"/>
          <w:sz w:val="18"/>
          <w:szCs w:val="18"/>
        </w:rPr>
      </w:pPr>
    </w:p>
  </w:footnote>
  <w:footnote w:id="2">
    <w:p w14:paraId="030B19EC" w14:textId="77777777" w:rsidR="00460695" w:rsidRPr="00DB4983" w:rsidRDefault="00460695" w:rsidP="0030614C">
      <w:pPr>
        <w:pStyle w:val="Textonotapie"/>
        <w:ind w:firstLine="708"/>
        <w:jc w:val="both"/>
        <w:rPr>
          <w:rFonts w:ascii="Arial" w:hAnsi="Arial" w:cs="Arial"/>
          <w:sz w:val="18"/>
          <w:szCs w:val="18"/>
          <w:lang w:val="es-ES"/>
        </w:rPr>
      </w:pPr>
      <w:r w:rsidRPr="00DB4983">
        <w:rPr>
          <w:rStyle w:val="Refdenotaalpie"/>
          <w:rFonts w:ascii="Arial" w:hAnsi="Arial" w:cs="Arial"/>
          <w:sz w:val="18"/>
          <w:szCs w:val="18"/>
        </w:rPr>
        <w:footnoteRef/>
      </w:r>
      <w:r w:rsidRPr="00DB4983">
        <w:rPr>
          <w:rFonts w:ascii="Arial" w:hAnsi="Arial" w:cs="Arial"/>
          <w:sz w:val="18"/>
          <w:szCs w:val="18"/>
        </w:rPr>
        <w:t xml:space="preserve"> C</w:t>
      </w:r>
      <w:r w:rsidRPr="00DB4983">
        <w:rPr>
          <w:rFonts w:ascii="Arial" w:hAnsi="Arial" w:cs="Arial"/>
          <w:color w:val="000000"/>
          <w:sz w:val="18"/>
          <w:szCs w:val="18"/>
          <w:lang w:val="es-ES"/>
        </w:rPr>
        <w:t xml:space="preserve">ONSEJO DE ESTADO, Sección Tercera, sentencia del 11 de julio de 1996, </w:t>
      </w:r>
      <w:proofErr w:type="spellStart"/>
      <w:r w:rsidRPr="00DB4983">
        <w:rPr>
          <w:rFonts w:ascii="Arial" w:hAnsi="Arial" w:cs="Arial"/>
          <w:color w:val="000000"/>
          <w:sz w:val="18"/>
          <w:szCs w:val="18"/>
          <w:lang w:val="es-ES"/>
        </w:rPr>
        <w:t>exp</w:t>
      </w:r>
      <w:proofErr w:type="spellEnd"/>
      <w:r w:rsidRPr="00DB4983">
        <w:rPr>
          <w:rFonts w:ascii="Arial" w:hAnsi="Arial" w:cs="Arial"/>
          <w:color w:val="000000"/>
          <w:sz w:val="18"/>
          <w:szCs w:val="18"/>
          <w:lang w:val="es-ES"/>
        </w:rPr>
        <w:t>. 10483</w:t>
      </w:r>
    </w:p>
  </w:footnote>
  <w:footnote w:id="3">
    <w:p w14:paraId="1691B111" w14:textId="77777777" w:rsidR="00460695" w:rsidRPr="00DB4983" w:rsidRDefault="00460695" w:rsidP="0030614C">
      <w:pPr>
        <w:pStyle w:val="Textonotapie"/>
        <w:ind w:firstLine="708"/>
        <w:jc w:val="both"/>
        <w:rPr>
          <w:rFonts w:ascii="Arial" w:hAnsi="Arial" w:cs="Arial"/>
          <w:sz w:val="18"/>
          <w:szCs w:val="18"/>
          <w:lang w:val="es-ES"/>
        </w:rPr>
      </w:pPr>
      <w:r w:rsidRPr="00DB4983">
        <w:rPr>
          <w:rStyle w:val="Refdenotaalpie"/>
          <w:rFonts w:ascii="Arial" w:hAnsi="Arial" w:cs="Arial"/>
          <w:sz w:val="18"/>
          <w:szCs w:val="18"/>
        </w:rPr>
        <w:footnoteRef/>
      </w:r>
      <w:r w:rsidRPr="00DB4983">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DB4983">
        <w:rPr>
          <w:rFonts w:ascii="Arial" w:hAnsi="Arial" w:cs="Arial"/>
          <w:i/>
          <w:iCs/>
          <w:sz w:val="18"/>
          <w:szCs w:val="18"/>
        </w:rPr>
        <w:t xml:space="preserve">ibídem </w:t>
      </w:r>
      <w:r w:rsidRPr="00DB4983">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ibídem señala que es función de la Subdirección de Gestión Contractual: «[a]bsolver consultas sobre la aplicación de normas de carácter general».</w:t>
      </w:r>
    </w:p>
  </w:footnote>
  <w:footnote w:id="4">
    <w:p w14:paraId="6E429D0F" w14:textId="77777777" w:rsidR="00460695" w:rsidRPr="00DB4983" w:rsidRDefault="00460695" w:rsidP="0030614C">
      <w:pPr>
        <w:pBdr>
          <w:top w:val="nil"/>
          <w:left w:val="nil"/>
          <w:bottom w:val="nil"/>
          <w:right w:val="nil"/>
          <w:between w:val="nil"/>
        </w:pBdr>
        <w:ind w:firstLine="709"/>
        <w:jc w:val="both"/>
        <w:rPr>
          <w:rFonts w:ascii="Arial" w:eastAsia="Arial" w:hAnsi="Arial" w:cs="Arial"/>
          <w:color w:val="000000"/>
          <w:sz w:val="18"/>
          <w:szCs w:val="18"/>
        </w:rPr>
      </w:pPr>
      <w:r w:rsidRPr="00DB4983">
        <w:rPr>
          <w:sz w:val="18"/>
          <w:szCs w:val="18"/>
          <w:vertAlign w:val="superscript"/>
        </w:rPr>
        <w:footnoteRef/>
      </w:r>
      <w:r w:rsidRPr="00DB4983">
        <w:rPr>
          <w:rFonts w:ascii="Arial" w:eastAsia="Arial" w:hAnsi="Arial" w:cs="Arial"/>
          <w:color w:val="000000"/>
          <w:sz w:val="18"/>
          <w:szCs w:val="18"/>
        </w:rPr>
        <w:t xml:space="preserve"> Seguidamente, el numeral 8º del artículo 11 Decreto Ley 4170 de 2011 señala que es función de la Subdirección de Gestión Contractual: </w:t>
      </w:r>
      <w:proofErr w:type="gramStart"/>
      <w:r w:rsidRPr="00DB4983">
        <w:rPr>
          <w:rFonts w:ascii="Arial" w:eastAsia="Arial" w:hAnsi="Arial" w:cs="Arial"/>
          <w:color w:val="000000"/>
          <w:sz w:val="18"/>
          <w:szCs w:val="18"/>
        </w:rPr>
        <w:t>« [</w:t>
      </w:r>
      <w:proofErr w:type="gramEnd"/>
      <w:r w:rsidRPr="00DB4983">
        <w:rPr>
          <w:rFonts w:ascii="Arial" w:eastAsia="Arial" w:hAnsi="Arial" w:cs="Arial"/>
          <w:color w:val="000000"/>
          <w:sz w:val="18"/>
          <w:szCs w:val="18"/>
        </w:rPr>
        <w:t>a]</w:t>
      </w:r>
      <w:proofErr w:type="spellStart"/>
      <w:r w:rsidRPr="00DB4983">
        <w:rPr>
          <w:rFonts w:ascii="Arial" w:eastAsia="Arial" w:hAnsi="Arial" w:cs="Arial"/>
          <w:color w:val="000000"/>
          <w:sz w:val="18"/>
          <w:szCs w:val="18"/>
        </w:rPr>
        <w:t>bsolver</w:t>
      </w:r>
      <w:proofErr w:type="spellEnd"/>
      <w:r w:rsidRPr="00DB4983">
        <w:rPr>
          <w:rFonts w:ascii="Arial" w:eastAsia="Arial" w:hAnsi="Arial" w:cs="Arial"/>
          <w:color w:val="000000"/>
          <w:sz w:val="18"/>
          <w:szCs w:val="18"/>
        </w:rPr>
        <w:t xml:space="preserve"> consultas sobre la aplicación de normas de carácter general». Es necesario tener en cuenta que esta entidad solo tiene competencia para responder solicitudes sobre la aplicación de normas de carácter general en materia de compras y contratación pública.</w:t>
      </w:r>
    </w:p>
  </w:footnote>
  <w:footnote w:id="5">
    <w:p w14:paraId="0C903805" w14:textId="77777777" w:rsidR="00460695" w:rsidRPr="00DB4983" w:rsidRDefault="00460695" w:rsidP="0030614C">
      <w:pPr>
        <w:pStyle w:val="Textonotapie"/>
        <w:ind w:firstLine="709"/>
        <w:jc w:val="both"/>
        <w:rPr>
          <w:rFonts w:ascii="Arial" w:eastAsia="Times New Roman" w:hAnsi="Arial" w:cs="Arial"/>
          <w:color w:val="000000"/>
          <w:sz w:val="18"/>
          <w:szCs w:val="18"/>
          <w:bdr w:val="none" w:sz="0" w:space="0" w:color="auto" w:frame="1"/>
          <w:lang w:eastAsia="es-CO"/>
        </w:rPr>
      </w:pPr>
      <w:r w:rsidRPr="00DB4983">
        <w:rPr>
          <w:rStyle w:val="Refdenotaalpie"/>
          <w:rFonts w:ascii="Arial" w:hAnsi="Arial" w:cs="Arial"/>
          <w:sz w:val="18"/>
          <w:szCs w:val="18"/>
        </w:rPr>
        <w:footnoteRef/>
      </w:r>
      <w:r w:rsidRPr="00DB4983">
        <w:rPr>
          <w:rFonts w:ascii="Arial" w:hAnsi="Arial" w:cs="Arial"/>
          <w:sz w:val="18"/>
          <w:szCs w:val="18"/>
        </w:rPr>
        <w:t xml:space="preserve"> </w:t>
      </w:r>
      <w:r w:rsidRPr="00DB4983">
        <w:rPr>
          <w:rFonts w:ascii="Arial" w:eastAsia="Times New Roman" w:hAnsi="Arial" w:cs="Arial"/>
          <w:color w:val="000000"/>
          <w:sz w:val="18"/>
          <w:szCs w:val="18"/>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13C1DD21" w14:textId="77777777" w:rsidR="00460695" w:rsidRPr="00DB4983" w:rsidRDefault="00460695" w:rsidP="0030614C">
      <w:pPr>
        <w:pStyle w:val="Textonotapie"/>
        <w:ind w:firstLine="709"/>
        <w:jc w:val="both"/>
        <w:rPr>
          <w:rFonts w:ascii="Arial" w:hAnsi="Arial" w:cs="Arial"/>
          <w:sz w:val="18"/>
          <w:szCs w:val="18"/>
        </w:rPr>
      </w:pPr>
    </w:p>
  </w:footnote>
  <w:footnote w:id="6">
    <w:p w14:paraId="0F4CEF24" w14:textId="77777777" w:rsidR="00460695" w:rsidRPr="00DB4983" w:rsidRDefault="00460695" w:rsidP="0030614C">
      <w:pPr>
        <w:pStyle w:val="Textonotapie"/>
        <w:ind w:firstLine="709"/>
        <w:jc w:val="both"/>
        <w:rPr>
          <w:rFonts w:ascii="Arial" w:eastAsia="Times New Roman" w:hAnsi="Arial" w:cs="Arial"/>
          <w:color w:val="000000"/>
          <w:sz w:val="18"/>
          <w:szCs w:val="18"/>
          <w:bdr w:val="none" w:sz="0" w:space="0" w:color="auto" w:frame="1"/>
          <w:lang w:eastAsia="es-CO"/>
        </w:rPr>
      </w:pPr>
      <w:r w:rsidRPr="00DB4983">
        <w:rPr>
          <w:rStyle w:val="Refdenotaalpie"/>
          <w:rFonts w:ascii="Arial" w:hAnsi="Arial" w:cs="Arial"/>
          <w:sz w:val="18"/>
          <w:szCs w:val="18"/>
        </w:rPr>
        <w:footnoteRef/>
      </w:r>
      <w:r w:rsidRPr="00DB4983">
        <w:rPr>
          <w:rFonts w:ascii="Arial" w:hAnsi="Arial" w:cs="Arial"/>
          <w:sz w:val="18"/>
          <w:szCs w:val="18"/>
        </w:rPr>
        <w:t xml:space="preserve"> </w:t>
      </w:r>
      <w:r w:rsidRPr="00DB4983">
        <w:rPr>
          <w:rFonts w:ascii="Arial" w:eastAsia="Times New Roman" w:hAnsi="Arial" w:cs="Arial"/>
          <w:color w:val="000000"/>
          <w:sz w:val="18"/>
          <w:szCs w:val="18"/>
          <w:bdr w:val="none" w:sz="0" w:space="0" w:color="auto" w:frame="1"/>
          <w:lang w:eastAsia="es-CO"/>
        </w:rPr>
        <w:t>Diario Oficial. Gaceta del Congreso 458 de 2005.  </w:t>
      </w:r>
    </w:p>
    <w:p w14:paraId="157EFBBE" w14:textId="77777777" w:rsidR="00460695" w:rsidRPr="00DB4983" w:rsidRDefault="00460695" w:rsidP="0030614C">
      <w:pPr>
        <w:pStyle w:val="Textonotapie"/>
        <w:ind w:firstLine="709"/>
        <w:jc w:val="both"/>
        <w:rPr>
          <w:rFonts w:ascii="Arial" w:hAnsi="Arial" w:cs="Arial"/>
          <w:sz w:val="18"/>
          <w:szCs w:val="18"/>
        </w:rPr>
      </w:pPr>
    </w:p>
  </w:footnote>
  <w:footnote w:id="7">
    <w:p w14:paraId="438C5C53" w14:textId="77777777" w:rsidR="00460695" w:rsidRPr="00DB4983" w:rsidRDefault="00460695" w:rsidP="0030614C">
      <w:pPr>
        <w:pStyle w:val="Textonotapie"/>
        <w:ind w:firstLine="709"/>
        <w:jc w:val="both"/>
        <w:rPr>
          <w:rFonts w:ascii="Arial" w:hAnsi="Arial" w:cs="Arial"/>
          <w:sz w:val="18"/>
          <w:szCs w:val="18"/>
        </w:rPr>
      </w:pPr>
      <w:r w:rsidRPr="00DB4983">
        <w:rPr>
          <w:rStyle w:val="Refdenotaalpie"/>
          <w:rFonts w:ascii="Arial" w:hAnsi="Arial" w:cs="Arial"/>
          <w:sz w:val="18"/>
          <w:szCs w:val="18"/>
        </w:rPr>
        <w:footnoteRef/>
      </w:r>
      <w:r w:rsidRPr="00DB4983">
        <w:rPr>
          <w:rFonts w:ascii="Arial" w:hAnsi="Arial" w:cs="Arial"/>
          <w:sz w:val="18"/>
          <w:szCs w:val="18"/>
        </w:rPr>
        <w:t xml:space="preserve"> Ibídem.  </w:t>
      </w:r>
    </w:p>
    <w:p w14:paraId="7ABEADBF" w14:textId="77777777" w:rsidR="00460695" w:rsidRPr="00DB4983" w:rsidRDefault="00460695" w:rsidP="0030614C">
      <w:pPr>
        <w:pStyle w:val="Textonotapie"/>
        <w:ind w:firstLine="709"/>
        <w:jc w:val="both"/>
        <w:rPr>
          <w:rFonts w:ascii="Arial" w:hAnsi="Arial" w:cs="Arial"/>
          <w:sz w:val="18"/>
          <w:szCs w:val="18"/>
        </w:rPr>
      </w:pPr>
    </w:p>
  </w:footnote>
  <w:footnote w:id="8">
    <w:p w14:paraId="001C712D" w14:textId="77777777" w:rsidR="00460695" w:rsidRPr="00DB4983" w:rsidRDefault="00460695" w:rsidP="0030614C">
      <w:pPr>
        <w:shd w:val="clear" w:color="auto" w:fill="FFFFFF"/>
        <w:ind w:firstLine="709"/>
        <w:jc w:val="both"/>
        <w:textAlignment w:val="baseline"/>
        <w:rPr>
          <w:rFonts w:ascii="Arial" w:hAnsi="Arial" w:cs="Arial"/>
          <w:color w:val="000000"/>
          <w:sz w:val="18"/>
          <w:szCs w:val="18"/>
          <w:bdr w:val="none" w:sz="0" w:space="0" w:color="auto" w:frame="1"/>
          <w:lang w:eastAsia="es-CO"/>
        </w:rPr>
      </w:pPr>
      <w:r w:rsidRPr="00DB4983">
        <w:rPr>
          <w:rStyle w:val="Refdenotaalpie"/>
          <w:rFonts w:ascii="Arial" w:hAnsi="Arial" w:cs="Arial"/>
          <w:sz w:val="18"/>
          <w:szCs w:val="18"/>
        </w:rPr>
        <w:footnoteRef/>
      </w:r>
      <w:r w:rsidRPr="00DB4983">
        <w:rPr>
          <w:rFonts w:ascii="Arial" w:hAnsi="Arial" w:cs="Arial"/>
          <w:sz w:val="18"/>
          <w:szCs w:val="18"/>
        </w:rPr>
        <w:t xml:space="preserve"> </w:t>
      </w:r>
      <w:r w:rsidRPr="00DB4983">
        <w:rPr>
          <w:rFonts w:ascii="Arial" w:hAnsi="Arial" w:cs="Arial"/>
          <w:color w:val="000000"/>
          <w:sz w:val="18"/>
          <w:szCs w:val="18"/>
          <w:bdr w:val="none" w:sz="0" w:space="0" w:color="auto" w:frame="1"/>
          <w:lang w:eastAsia="es-CO"/>
        </w:rPr>
        <w:t>Diario Oficial. Gaceta del Congreso 416 de 2007, Informe de Conciliación Senado. </w:t>
      </w:r>
    </w:p>
    <w:p w14:paraId="5E2E7754" w14:textId="77777777" w:rsidR="00460695" w:rsidRPr="00DB4983" w:rsidRDefault="00460695" w:rsidP="0030614C">
      <w:pPr>
        <w:shd w:val="clear" w:color="auto" w:fill="FFFFFF"/>
        <w:ind w:firstLine="709"/>
        <w:jc w:val="both"/>
        <w:textAlignment w:val="baseline"/>
        <w:rPr>
          <w:rFonts w:ascii="Arial" w:hAnsi="Arial" w:cs="Arial"/>
          <w:color w:val="000000"/>
          <w:sz w:val="18"/>
          <w:szCs w:val="18"/>
          <w:lang w:eastAsia="es-CO"/>
        </w:rPr>
      </w:pPr>
    </w:p>
  </w:footnote>
  <w:footnote w:id="9">
    <w:p w14:paraId="37A4C342" w14:textId="77777777" w:rsidR="00460695" w:rsidRPr="00DB4983" w:rsidRDefault="00460695" w:rsidP="0030614C">
      <w:pPr>
        <w:pStyle w:val="Textonotapie"/>
        <w:ind w:firstLine="708"/>
        <w:jc w:val="both"/>
        <w:rPr>
          <w:rFonts w:ascii="Arial" w:hAnsi="Arial" w:cs="Arial"/>
          <w:sz w:val="18"/>
          <w:szCs w:val="18"/>
        </w:rPr>
      </w:pPr>
      <w:r w:rsidRPr="00DB4983">
        <w:rPr>
          <w:rStyle w:val="Refdenotaalpie"/>
          <w:rFonts w:ascii="Arial" w:hAnsi="Arial" w:cs="Arial"/>
          <w:sz w:val="18"/>
          <w:szCs w:val="18"/>
        </w:rPr>
        <w:footnoteRef/>
      </w:r>
      <w:r w:rsidRPr="00DB4983">
        <w:rPr>
          <w:rFonts w:ascii="Arial" w:hAnsi="Arial" w:cs="Arial"/>
          <w:sz w:val="18"/>
          <w:szCs w:val="18"/>
        </w:rPr>
        <w:t xml:space="preserve"> El artículo 1 de la Ley 2022 de 2020 modifica el artículo 4 de la Ley 1882 de 2018, el cual adicionó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6E398DD" w14:textId="77777777" w:rsidR="00460695" w:rsidRPr="00DB4983" w:rsidRDefault="00460695" w:rsidP="0030614C">
      <w:pPr>
        <w:pStyle w:val="Textonotapie"/>
        <w:ind w:firstLine="708"/>
        <w:jc w:val="both"/>
        <w:rPr>
          <w:rFonts w:ascii="Arial" w:hAnsi="Arial" w:cs="Arial"/>
          <w:sz w:val="18"/>
          <w:szCs w:val="18"/>
        </w:rPr>
      </w:pPr>
      <w:r w:rsidRPr="00DB4983">
        <w:rPr>
          <w:rFonts w:ascii="Arial" w:hAnsi="Arial" w:cs="Arial"/>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46C209E" w14:textId="77777777" w:rsidR="00460695" w:rsidRPr="00DB4983" w:rsidRDefault="00460695" w:rsidP="0030614C">
      <w:pPr>
        <w:pStyle w:val="Textonotapie"/>
        <w:ind w:firstLine="708"/>
        <w:jc w:val="both"/>
        <w:rPr>
          <w:rFonts w:ascii="Arial" w:hAnsi="Arial" w:cs="Arial"/>
          <w:sz w:val="18"/>
          <w:szCs w:val="18"/>
        </w:rPr>
      </w:pPr>
      <w:r w:rsidRPr="00DB4983">
        <w:rPr>
          <w:rFonts w:ascii="Arial" w:hAnsi="Arial" w:cs="Arial"/>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32C0811" w14:textId="77777777" w:rsidR="00460695" w:rsidRPr="00DB4983" w:rsidRDefault="00460695" w:rsidP="0030614C">
      <w:pPr>
        <w:pStyle w:val="Textonotapie"/>
        <w:ind w:firstLine="708"/>
        <w:jc w:val="both"/>
        <w:rPr>
          <w:rFonts w:ascii="Arial" w:hAnsi="Arial" w:cs="Arial"/>
          <w:sz w:val="18"/>
          <w:szCs w:val="18"/>
        </w:rPr>
      </w:pPr>
      <w:r w:rsidRPr="00DB4983">
        <w:rPr>
          <w:rFonts w:ascii="Arial" w:hAnsi="Arial" w:cs="Arial"/>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B3E56A2" w14:textId="77777777" w:rsidR="00460695" w:rsidRPr="00DB4983" w:rsidRDefault="00460695" w:rsidP="0030614C">
      <w:pPr>
        <w:pStyle w:val="Textonotapie"/>
        <w:ind w:firstLine="708"/>
        <w:jc w:val="both"/>
        <w:rPr>
          <w:rFonts w:ascii="Arial" w:hAnsi="Arial" w:cs="Arial"/>
          <w:sz w:val="18"/>
          <w:szCs w:val="18"/>
          <w:lang w:val="es-ES"/>
        </w:rPr>
      </w:pPr>
      <w:r w:rsidRPr="00DB4983">
        <w:rPr>
          <w:rFonts w:ascii="Arial" w:hAnsi="Arial" w:cs="Arial"/>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0">
    <w:p w14:paraId="118E5241" w14:textId="77777777" w:rsidR="00460695" w:rsidRPr="00DB4983" w:rsidRDefault="00460695" w:rsidP="0030614C">
      <w:pPr>
        <w:pStyle w:val="Textonotapie"/>
        <w:ind w:firstLine="709"/>
        <w:jc w:val="both"/>
        <w:rPr>
          <w:rFonts w:ascii="Arial" w:hAnsi="Arial" w:cs="Arial"/>
          <w:sz w:val="18"/>
          <w:szCs w:val="18"/>
          <w:lang w:val="es-ES"/>
        </w:rPr>
      </w:pPr>
      <w:r w:rsidRPr="00DB4983">
        <w:rPr>
          <w:rStyle w:val="Refdenotaalpie"/>
          <w:rFonts w:ascii="Arial" w:hAnsi="Arial" w:cs="Arial"/>
          <w:sz w:val="18"/>
          <w:szCs w:val="18"/>
        </w:rPr>
        <w:footnoteRef/>
      </w:r>
      <w:r w:rsidRPr="00DB4983">
        <w:rPr>
          <w:rFonts w:ascii="Arial" w:hAnsi="Arial" w:cs="Arial"/>
          <w:sz w:val="18"/>
          <w:szCs w:val="18"/>
        </w:rPr>
        <w:t xml:space="preserve"> </w:t>
      </w:r>
      <w:r w:rsidRPr="00DB4983">
        <w:rPr>
          <w:rFonts w:ascii="Arial" w:hAnsi="Arial" w:cs="Arial"/>
          <w:sz w:val="18"/>
          <w:szCs w:val="18"/>
          <w:lang w:val="es-ES"/>
        </w:rPr>
        <w:t>En cuanto a las resoluciones vigentes, dicha regla se observa en el artículo 3 de las Resoluciones 240, 241, 248, 249, 256 y 269 de 2020 y Resoluciones 193, 219, 2020 y 392 de 2021. Así como en el artículo 2 de la Resolución 094 de 2020.</w:t>
      </w:r>
    </w:p>
  </w:footnote>
  <w:footnote w:id="11">
    <w:p w14:paraId="1BF65371" w14:textId="77777777" w:rsidR="00460695" w:rsidRPr="00DB4983" w:rsidRDefault="00460695" w:rsidP="0030614C">
      <w:pPr>
        <w:pStyle w:val="Textonotapie"/>
        <w:ind w:firstLine="709"/>
        <w:jc w:val="both"/>
        <w:rPr>
          <w:rFonts w:ascii="Arial" w:hAnsi="Arial" w:cs="Arial"/>
          <w:color w:val="000000"/>
          <w:sz w:val="18"/>
          <w:szCs w:val="18"/>
        </w:rPr>
      </w:pPr>
      <w:r w:rsidRPr="00DB4983">
        <w:rPr>
          <w:rStyle w:val="Refdenotaalpie"/>
          <w:rFonts w:ascii="Arial" w:hAnsi="Arial" w:cs="Arial"/>
          <w:color w:val="000000"/>
          <w:sz w:val="18"/>
          <w:szCs w:val="18"/>
        </w:rPr>
        <w:footnoteRef/>
      </w:r>
      <w:r w:rsidRPr="00DB4983">
        <w:rPr>
          <w:rFonts w:ascii="Arial" w:hAnsi="Arial" w:cs="Arial"/>
          <w:color w:val="000000"/>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3EBE8FF" w14:textId="77777777" w:rsidR="00460695" w:rsidRPr="00DB4983" w:rsidRDefault="00460695" w:rsidP="0030614C">
      <w:pPr>
        <w:pStyle w:val="Textonotapie"/>
        <w:ind w:firstLine="709"/>
        <w:jc w:val="both"/>
        <w:rPr>
          <w:rFonts w:ascii="Arial" w:hAnsi="Arial" w:cs="Arial"/>
          <w:color w:val="000000"/>
          <w:sz w:val="18"/>
          <w:szCs w:val="18"/>
        </w:rPr>
      </w:pPr>
      <w:r w:rsidRPr="00DB4983">
        <w:rPr>
          <w:rFonts w:ascii="Arial" w:hAnsi="Arial" w:cs="Arial"/>
          <w:color w:val="000000"/>
          <w:sz w:val="18"/>
          <w:szCs w:val="18"/>
        </w:rPr>
        <w:t>En línea con lo anterior, el numeral 15 del mismo artículo prescribe: «15.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1C565B67" w14:textId="77777777" w:rsidR="00460695" w:rsidRPr="00DB4983" w:rsidRDefault="00460695" w:rsidP="0030614C">
      <w:pPr>
        <w:pStyle w:val="Textonotapie"/>
        <w:ind w:firstLine="709"/>
        <w:jc w:val="both"/>
        <w:rPr>
          <w:rFonts w:ascii="Arial" w:hAnsi="Arial" w:cs="Arial"/>
          <w:color w:val="000000"/>
          <w:sz w:val="18"/>
          <w:szCs w:val="18"/>
        </w:rPr>
      </w:pPr>
    </w:p>
  </w:footnote>
  <w:footnote w:id="12">
    <w:p w14:paraId="37FD2CF3" w14:textId="77777777" w:rsidR="00460695" w:rsidRPr="00DB4983" w:rsidRDefault="00460695" w:rsidP="0030614C">
      <w:pPr>
        <w:ind w:firstLine="709"/>
        <w:jc w:val="both"/>
        <w:rPr>
          <w:rFonts w:ascii="Arial" w:hAnsi="Arial" w:cs="Arial"/>
          <w:color w:val="000000"/>
          <w:sz w:val="18"/>
          <w:szCs w:val="18"/>
          <w:lang w:val="es-ES"/>
        </w:rPr>
      </w:pPr>
      <w:r w:rsidRPr="00DB4983">
        <w:rPr>
          <w:rStyle w:val="Refdenotaalpie"/>
          <w:rFonts w:ascii="Arial" w:hAnsi="Arial" w:cs="Arial"/>
          <w:color w:val="000000"/>
          <w:sz w:val="18"/>
          <w:szCs w:val="18"/>
        </w:rPr>
        <w:footnoteRef/>
      </w:r>
      <w:r w:rsidRPr="00DB4983">
        <w:rPr>
          <w:rFonts w:ascii="Arial" w:hAnsi="Arial" w:cs="Arial"/>
          <w:color w:val="000000"/>
          <w:sz w:val="18"/>
          <w:szCs w:val="18"/>
        </w:rPr>
        <w:t xml:space="preserve"> </w:t>
      </w:r>
      <w:r w:rsidRPr="00DB4983">
        <w:rPr>
          <w:rFonts w:ascii="Arial" w:hAnsi="Arial" w:cs="Arial"/>
          <w:color w:val="000000"/>
          <w:sz w:val="18"/>
          <w:szCs w:val="18"/>
          <w:lang w:val="es-ES"/>
        </w:rPr>
        <w:t>En efecto, el artículo 5 del Decreto-Ley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13">
    <w:p w14:paraId="06B23867" w14:textId="77777777" w:rsidR="00460695" w:rsidRPr="00DB4983" w:rsidRDefault="00460695" w:rsidP="0030614C">
      <w:pPr>
        <w:ind w:firstLine="708"/>
        <w:jc w:val="both"/>
        <w:rPr>
          <w:rFonts w:ascii="Arial" w:hAnsi="Arial" w:cs="Arial"/>
          <w:color w:val="000000"/>
          <w:sz w:val="18"/>
          <w:szCs w:val="18"/>
        </w:rPr>
      </w:pPr>
      <w:r w:rsidRPr="00DB4983">
        <w:rPr>
          <w:rStyle w:val="Refdenotaalpie"/>
          <w:rFonts w:ascii="Arial" w:hAnsi="Arial" w:cs="Arial"/>
          <w:color w:val="000000"/>
          <w:sz w:val="18"/>
          <w:szCs w:val="18"/>
        </w:rPr>
        <w:footnoteRef/>
      </w:r>
      <w:r w:rsidRPr="00DB4983">
        <w:rPr>
          <w:rFonts w:ascii="Arial" w:hAnsi="Arial" w:cs="Arial"/>
          <w:color w:val="000000"/>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7E2A7DE3" w14:textId="77777777" w:rsidR="00460695" w:rsidRPr="00DB4983" w:rsidRDefault="00460695" w:rsidP="0030614C">
      <w:pPr>
        <w:ind w:firstLine="708"/>
        <w:jc w:val="both"/>
        <w:rPr>
          <w:rFonts w:ascii="Arial" w:hAnsi="Arial" w:cs="Arial"/>
          <w:color w:val="000000"/>
          <w:sz w:val="18"/>
          <w:szCs w:val="18"/>
        </w:rPr>
      </w:pPr>
    </w:p>
  </w:footnote>
  <w:footnote w:id="14">
    <w:p w14:paraId="3F2C6FB1" w14:textId="77777777" w:rsidR="00460695" w:rsidRPr="00DB4983" w:rsidRDefault="00460695" w:rsidP="0030614C">
      <w:pPr>
        <w:pStyle w:val="Textonotapie"/>
        <w:ind w:firstLine="708"/>
        <w:jc w:val="both"/>
        <w:rPr>
          <w:rFonts w:ascii="Arial" w:hAnsi="Arial" w:cs="Arial"/>
          <w:sz w:val="18"/>
          <w:szCs w:val="18"/>
        </w:rPr>
      </w:pPr>
      <w:r w:rsidRPr="00DB4983">
        <w:rPr>
          <w:rStyle w:val="Refdenotaalpie"/>
          <w:rFonts w:ascii="Arial" w:hAnsi="Arial" w:cs="Arial"/>
          <w:sz w:val="18"/>
          <w:szCs w:val="18"/>
        </w:rPr>
        <w:footnoteRef/>
      </w:r>
      <w:r w:rsidRPr="00DB4983">
        <w:rPr>
          <w:rFonts w:ascii="Arial" w:hAnsi="Arial" w:cs="Arial"/>
          <w:sz w:val="18"/>
          <w:szCs w:val="18"/>
        </w:rPr>
        <w:t xml:space="preserve"> SANTOFIMIO GAMBÓA, Jaime Orlando. Compendio de Derecho Administrativo. Editorial Universidad Externado de Colombia. Págs. 672-673. Bogotá, 2017.</w:t>
      </w:r>
    </w:p>
    <w:p w14:paraId="26C5A774" w14:textId="77777777" w:rsidR="00460695" w:rsidRPr="00DB4983" w:rsidRDefault="00460695" w:rsidP="0030614C">
      <w:pPr>
        <w:pStyle w:val="Textonotapie"/>
        <w:ind w:firstLine="708"/>
        <w:jc w:val="both"/>
        <w:rPr>
          <w:rFonts w:ascii="Arial" w:hAnsi="Arial" w:cs="Arial"/>
          <w:sz w:val="18"/>
          <w:szCs w:val="18"/>
        </w:rPr>
      </w:pPr>
    </w:p>
  </w:footnote>
  <w:footnote w:id="15">
    <w:p w14:paraId="07B5D1EE" w14:textId="77777777" w:rsidR="00460695" w:rsidRPr="00DB4983" w:rsidRDefault="00460695" w:rsidP="0030614C">
      <w:pPr>
        <w:pStyle w:val="Textonotapie"/>
        <w:ind w:firstLine="708"/>
        <w:jc w:val="both"/>
        <w:rPr>
          <w:rFonts w:ascii="Arial" w:hAnsi="Arial" w:cs="Arial"/>
          <w:sz w:val="18"/>
          <w:szCs w:val="18"/>
        </w:rPr>
      </w:pPr>
      <w:r w:rsidRPr="00DB4983">
        <w:rPr>
          <w:rStyle w:val="Refdenotaalpie"/>
          <w:rFonts w:ascii="Arial" w:hAnsi="Arial" w:cs="Arial"/>
          <w:sz w:val="18"/>
          <w:szCs w:val="18"/>
        </w:rPr>
        <w:footnoteRef/>
      </w:r>
      <w:r w:rsidRPr="00DB4983">
        <w:rPr>
          <w:rFonts w:ascii="Arial" w:hAnsi="Arial" w:cs="Arial"/>
          <w:sz w:val="18"/>
          <w:szCs w:val="18"/>
        </w:rPr>
        <w:t xml:space="preserve"> Concepto Colombia Compra Eficiente </w:t>
      </w:r>
      <w:r w:rsidRPr="00DB4983">
        <w:rPr>
          <w:rFonts w:ascii="Arial" w:hAnsi="Arial" w:cs="Arial"/>
          <w:bCs/>
          <w:color w:val="000000"/>
          <w:sz w:val="18"/>
          <w:szCs w:val="18"/>
          <w:lang w:val="es-ES"/>
        </w:rPr>
        <w:t>C-030 de 022</w:t>
      </w:r>
    </w:p>
    <w:p w14:paraId="65434132" w14:textId="77777777" w:rsidR="00460695" w:rsidRPr="00DB4983" w:rsidRDefault="00460695" w:rsidP="0030614C">
      <w:pPr>
        <w:pStyle w:val="Textonotapie"/>
        <w:ind w:firstLine="708"/>
        <w:jc w:val="both"/>
        <w:rPr>
          <w:rFonts w:ascii="Arial" w:hAnsi="Arial" w:cs="Arial"/>
          <w:sz w:val="18"/>
          <w:szCs w:val="18"/>
        </w:rPr>
      </w:pPr>
    </w:p>
  </w:footnote>
  <w:footnote w:id="16">
    <w:p w14:paraId="5F537D4F" w14:textId="27468072" w:rsidR="0035378D" w:rsidRDefault="0035378D">
      <w:pPr>
        <w:pStyle w:val="Textonotapie"/>
      </w:pPr>
      <w:r>
        <w:rPr>
          <w:rStyle w:val="Refdenotaalpie"/>
        </w:rPr>
        <w:footnoteRef/>
      </w:r>
      <w:r>
        <w:t xml:space="preserve"> </w:t>
      </w:r>
      <w:r w:rsidRPr="00295E8C">
        <w:rPr>
          <w:rFonts w:ascii="Arial" w:hAnsi="Arial" w:cs="Arial"/>
          <w:sz w:val="22"/>
          <w:lang w:val="es-ES_tradnl"/>
        </w:rPr>
        <w:t xml:space="preserve">Consejo de Estado, Sala de lo Contencioso Administrativo, Sección Tercera, Subsección C, sentencia del 26 de marzo de 2014, radicación </w:t>
      </w:r>
      <w:r w:rsidRPr="00295E8C">
        <w:rPr>
          <w:rFonts w:ascii="Arial" w:hAnsi="Arial" w:cs="Arial"/>
          <w:iCs/>
          <w:sz w:val="22"/>
        </w:rPr>
        <w:t>05001-23-31-000-1998-01503-01 (25.750).</w:t>
      </w:r>
    </w:p>
  </w:footnote>
  <w:footnote w:id="17">
    <w:p w14:paraId="4B0C7102" w14:textId="609B177B" w:rsidR="0035378D" w:rsidRPr="00DB4983" w:rsidRDefault="0035378D" w:rsidP="00DB4983">
      <w:pPr>
        <w:jc w:val="both"/>
        <w:rPr>
          <w:rFonts w:ascii="Arial" w:hAnsi="Arial" w:cs="Arial"/>
          <w:iCs/>
          <w:sz w:val="22"/>
        </w:rPr>
      </w:pPr>
      <w:r>
        <w:rPr>
          <w:rStyle w:val="Refdenotaalpie"/>
        </w:rPr>
        <w:footnoteRef/>
      </w:r>
      <w:r>
        <w:t xml:space="preserve"> </w:t>
      </w:r>
      <w:r w:rsidRPr="00295E8C">
        <w:rPr>
          <w:rFonts w:ascii="Arial" w:hAnsi="Arial" w:cs="Arial"/>
          <w:sz w:val="22"/>
        </w:rPr>
        <w:t xml:space="preserve">Consejo de Estado, Sala de lo Contencioso Administrativo, Sección Tercera, Subsección A, sentencia del 26 de noviembre de 2014, radicación </w:t>
      </w:r>
      <w:r w:rsidRPr="00295E8C">
        <w:rPr>
          <w:rFonts w:ascii="Arial" w:hAnsi="Arial" w:cs="Arial"/>
          <w:bCs/>
          <w:sz w:val="22"/>
        </w:rPr>
        <w:t>760012331000199801093 01 (31.297)</w:t>
      </w:r>
      <w:r>
        <w:rPr>
          <w:rFonts w:ascii="Arial" w:hAnsi="Arial" w:cs="Arial"/>
          <w:bCs/>
          <w:sz w:val="22"/>
        </w:rPr>
        <w:t>.</w:t>
      </w:r>
    </w:p>
  </w:footnote>
  <w:footnote w:id="18">
    <w:p w14:paraId="1C411B2B" w14:textId="67AAF3CD" w:rsidR="00E46AEF" w:rsidRDefault="00E46AEF">
      <w:pPr>
        <w:pStyle w:val="Textonotapie"/>
      </w:pPr>
      <w:r>
        <w:rPr>
          <w:rStyle w:val="Refdenotaalpie"/>
        </w:rPr>
        <w:footnoteRef/>
      </w:r>
      <w:r>
        <w:t xml:space="preserve"> </w:t>
      </w:r>
      <w:r w:rsidRPr="00295E8C">
        <w:rPr>
          <w:rFonts w:ascii="Arial" w:hAnsi="Arial" w:cs="Arial"/>
          <w:sz w:val="22"/>
          <w:lang w:val="es-ES_tradnl"/>
        </w:rPr>
        <w:t xml:space="preserve">Consejo de Estado, Sala de lo Contencioso Administrativo, Sección Tercera, Subsección A, sentencia del 27 de abril de 2016, radicación </w:t>
      </w:r>
      <w:r w:rsidRPr="00295E8C">
        <w:rPr>
          <w:rFonts w:ascii="Arial" w:hAnsi="Arial" w:cs="Arial"/>
          <w:sz w:val="22"/>
        </w:rPr>
        <w:t>2500-23-26-000-2007-00664-01(46818),</w:t>
      </w:r>
    </w:p>
  </w:footnote>
  <w:footnote w:id="19">
    <w:p w14:paraId="3B9206F1" w14:textId="18347730" w:rsidR="00E46AEF" w:rsidRPr="00DB4983" w:rsidRDefault="00E46AEF" w:rsidP="00DB4983">
      <w:pPr>
        <w:pStyle w:val="Textonotapie"/>
        <w:jc w:val="both"/>
        <w:rPr>
          <w:rFonts w:ascii="Arial" w:hAnsi="Arial" w:cs="Arial"/>
          <w:sz w:val="22"/>
          <w:szCs w:val="22"/>
        </w:rPr>
      </w:pPr>
      <w:r w:rsidRPr="00DB4983">
        <w:rPr>
          <w:rStyle w:val="Refdenotaalpie"/>
          <w:rFonts w:ascii="Arial" w:hAnsi="Arial" w:cs="Arial"/>
          <w:sz w:val="22"/>
          <w:szCs w:val="22"/>
        </w:rPr>
        <w:footnoteRef/>
      </w:r>
      <w:r w:rsidRPr="00DB4983">
        <w:rPr>
          <w:rFonts w:ascii="Arial" w:hAnsi="Arial" w:cs="Arial"/>
          <w:sz w:val="22"/>
          <w:szCs w:val="22"/>
        </w:rPr>
        <w:t xml:space="preserve"> </w:t>
      </w:r>
      <w:r w:rsidR="00B220B9" w:rsidRPr="00DB4983">
        <w:rPr>
          <w:rFonts w:ascii="Arial" w:eastAsia="Times New Roman" w:hAnsi="Arial" w:cs="Arial"/>
          <w:color w:val="000000"/>
          <w:sz w:val="22"/>
          <w:szCs w:val="22"/>
        </w:rPr>
        <w:t>Consejo de Estado, Sala de lo Contencioso Administrativo, Sección Tercera, Subsección A, en sentencia del 2 de julio de 2021 de Exp. 58372.</w:t>
      </w:r>
    </w:p>
  </w:footnote>
  <w:footnote w:id="20">
    <w:p w14:paraId="6A6EC59A" w14:textId="77777777" w:rsidR="00460695" w:rsidRPr="00DB4983" w:rsidRDefault="00460695" w:rsidP="0030614C">
      <w:pPr>
        <w:pStyle w:val="Textonotapie"/>
        <w:ind w:firstLine="708"/>
        <w:jc w:val="both"/>
        <w:rPr>
          <w:rFonts w:ascii="Arial" w:hAnsi="Arial" w:cs="Arial"/>
          <w:sz w:val="18"/>
          <w:szCs w:val="18"/>
          <w:lang w:val="es-ES"/>
        </w:rPr>
      </w:pPr>
      <w:r w:rsidRPr="00DB4983">
        <w:rPr>
          <w:rStyle w:val="Refdenotaalpie"/>
          <w:rFonts w:ascii="Arial" w:hAnsi="Arial" w:cs="Arial"/>
          <w:sz w:val="18"/>
          <w:szCs w:val="18"/>
        </w:rPr>
        <w:footnoteRef/>
      </w:r>
      <w:r w:rsidRPr="00DB4983">
        <w:rPr>
          <w:rFonts w:ascii="Arial" w:hAnsi="Arial" w:cs="Arial"/>
          <w:sz w:val="18"/>
          <w:szCs w:val="18"/>
        </w:rPr>
        <w:t xml:space="preserve"> C</w:t>
      </w:r>
      <w:r w:rsidRPr="00DB4983">
        <w:rPr>
          <w:rFonts w:ascii="Arial" w:hAnsi="Arial" w:cs="Arial"/>
          <w:color w:val="000000"/>
          <w:sz w:val="18"/>
          <w:szCs w:val="18"/>
          <w:lang w:val="es-ES"/>
        </w:rPr>
        <w:t xml:space="preserve">ONSEJO DE ESTADO, Sección Tercera, sentencia del 11 de julio de 1996, </w:t>
      </w:r>
      <w:proofErr w:type="spellStart"/>
      <w:r w:rsidRPr="00DB4983">
        <w:rPr>
          <w:rFonts w:ascii="Arial" w:hAnsi="Arial" w:cs="Arial"/>
          <w:color w:val="000000"/>
          <w:sz w:val="18"/>
          <w:szCs w:val="18"/>
          <w:lang w:val="es-ES"/>
        </w:rPr>
        <w:t>exp</w:t>
      </w:r>
      <w:proofErr w:type="spellEnd"/>
      <w:r w:rsidRPr="00DB4983">
        <w:rPr>
          <w:rFonts w:ascii="Arial" w:hAnsi="Arial" w:cs="Arial"/>
          <w:color w:val="000000"/>
          <w:sz w:val="18"/>
          <w:szCs w:val="18"/>
          <w:lang w:val="es-ES"/>
        </w:rPr>
        <w:t>. 10483</w:t>
      </w:r>
    </w:p>
  </w:footnote>
  <w:footnote w:id="21">
    <w:p w14:paraId="369F9317" w14:textId="77777777" w:rsidR="00460695" w:rsidRPr="00DB4983" w:rsidRDefault="00460695" w:rsidP="0030614C">
      <w:pPr>
        <w:pStyle w:val="Textonotapie"/>
        <w:ind w:firstLine="708"/>
        <w:jc w:val="both"/>
        <w:rPr>
          <w:rFonts w:ascii="Arial" w:hAnsi="Arial" w:cs="Arial"/>
          <w:sz w:val="18"/>
          <w:szCs w:val="18"/>
        </w:rPr>
      </w:pPr>
      <w:r w:rsidRPr="00DB4983">
        <w:rPr>
          <w:rStyle w:val="Refdenotaalpie"/>
          <w:rFonts w:ascii="Arial" w:hAnsi="Arial" w:cs="Arial"/>
          <w:sz w:val="18"/>
          <w:szCs w:val="18"/>
        </w:rPr>
        <w:footnoteRef/>
      </w:r>
      <w:r w:rsidRPr="00DB4983">
        <w:rPr>
          <w:rFonts w:ascii="Arial" w:hAnsi="Arial" w:cs="Arial"/>
          <w:sz w:val="18"/>
          <w:szCs w:val="18"/>
        </w:rPr>
        <w:t xml:space="preserve"> CONSEJO DE ESTADO, SecciónTercera, Subsección B, sentencia del 27 de abril de 2011, exp. 18293.</w:t>
      </w:r>
    </w:p>
  </w:footnote>
  <w:footnote w:id="22">
    <w:p w14:paraId="22DAB3A5" w14:textId="77777777" w:rsidR="00460695" w:rsidRPr="00DB4983" w:rsidRDefault="00460695" w:rsidP="0030614C">
      <w:pPr>
        <w:pStyle w:val="Textonotapie"/>
        <w:ind w:firstLine="708"/>
        <w:jc w:val="both"/>
        <w:rPr>
          <w:rFonts w:ascii="Arial" w:hAnsi="Arial" w:cs="Arial"/>
          <w:sz w:val="18"/>
          <w:szCs w:val="18"/>
          <w:lang w:val="es-ES"/>
        </w:rPr>
      </w:pPr>
      <w:r w:rsidRPr="00DB4983">
        <w:rPr>
          <w:rStyle w:val="Refdenotaalpie"/>
          <w:rFonts w:ascii="Arial" w:hAnsi="Arial" w:cs="Arial"/>
          <w:sz w:val="18"/>
          <w:szCs w:val="18"/>
        </w:rPr>
        <w:footnoteRef/>
      </w:r>
      <w:r w:rsidRPr="00DB4983">
        <w:rPr>
          <w:rFonts w:ascii="Arial" w:hAnsi="Arial" w:cs="Arial"/>
          <w:sz w:val="18"/>
          <w:szCs w:val="18"/>
        </w:rPr>
        <w:t xml:space="preserve"> C</w:t>
      </w:r>
      <w:r w:rsidRPr="00DB4983">
        <w:rPr>
          <w:rFonts w:ascii="Arial" w:hAnsi="Arial" w:cs="Arial"/>
          <w:color w:val="000000"/>
          <w:sz w:val="18"/>
          <w:szCs w:val="18"/>
          <w:lang w:val="es-ES"/>
        </w:rPr>
        <w:t>ONSEJO DE ESTADO, Sección Tercera, Radicado: 08001-23-31-000-2010-00365-01 (54482) de 2022</w:t>
      </w:r>
    </w:p>
  </w:footnote>
  <w:footnote w:id="23">
    <w:p w14:paraId="3B2A9610" w14:textId="3A345654" w:rsidR="00460695" w:rsidRPr="00DB4983" w:rsidRDefault="00460695" w:rsidP="0030614C">
      <w:pPr>
        <w:pStyle w:val="Textonotapie"/>
        <w:ind w:firstLine="708"/>
        <w:jc w:val="both"/>
        <w:rPr>
          <w:rFonts w:ascii="Arial" w:hAnsi="Arial" w:cs="Arial"/>
          <w:sz w:val="18"/>
          <w:szCs w:val="18"/>
          <w:lang w:val="es-ES"/>
        </w:rPr>
      </w:pPr>
      <w:r w:rsidRPr="00DB4983">
        <w:rPr>
          <w:rStyle w:val="Refdenotaalpie"/>
          <w:rFonts w:ascii="Arial" w:hAnsi="Arial" w:cs="Arial"/>
          <w:sz w:val="18"/>
          <w:szCs w:val="18"/>
        </w:rPr>
        <w:footnoteRef/>
      </w:r>
      <w:r w:rsidRPr="00DB4983">
        <w:rPr>
          <w:rFonts w:ascii="Arial" w:hAnsi="Arial" w:cs="Arial"/>
          <w:sz w:val="18"/>
          <w:szCs w:val="18"/>
        </w:rPr>
        <w:t xml:space="preserve"> CONSEJO DE ESTADO, Sección Tercer</w:t>
      </w:r>
      <w:r w:rsidR="00A96B78" w:rsidRPr="00DB4983">
        <w:rPr>
          <w:rFonts w:ascii="Arial" w:hAnsi="Arial" w:cs="Arial"/>
          <w:sz w:val="18"/>
          <w:szCs w:val="18"/>
        </w:rPr>
        <w:t>a</w:t>
      </w:r>
      <w:r w:rsidRPr="00DB4983">
        <w:rPr>
          <w:rFonts w:ascii="Arial" w:hAnsi="Arial" w:cs="Arial"/>
          <w:sz w:val="18"/>
          <w:szCs w:val="18"/>
        </w:rPr>
        <w:t>, sentencia del 3 de diciembre de 2007, exp. 24715</w:t>
      </w:r>
    </w:p>
  </w:footnote>
  <w:footnote w:id="24">
    <w:p w14:paraId="6BCBA479" w14:textId="77777777" w:rsidR="00460695" w:rsidRPr="00DB4983" w:rsidRDefault="00460695" w:rsidP="0030614C">
      <w:pPr>
        <w:pStyle w:val="Textonotapie"/>
        <w:ind w:firstLine="708"/>
        <w:jc w:val="both"/>
        <w:rPr>
          <w:rFonts w:ascii="Arial" w:hAnsi="Arial" w:cs="Arial"/>
          <w:sz w:val="18"/>
          <w:szCs w:val="18"/>
        </w:rPr>
      </w:pPr>
      <w:r w:rsidRPr="00DB4983">
        <w:rPr>
          <w:rStyle w:val="Refdenotaalpie"/>
          <w:rFonts w:ascii="Arial" w:hAnsi="Arial" w:cs="Arial"/>
          <w:sz w:val="18"/>
          <w:szCs w:val="18"/>
        </w:rPr>
        <w:footnoteRef/>
      </w:r>
      <w:r w:rsidRPr="00DB4983">
        <w:rPr>
          <w:rFonts w:ascii="Arial" w:hAnsi="Arial" w:cs="Arial"/>
          <w:sz w:val="18"/>
          <w:szCs w:val="18"/>
        </w:rPr>
        <w:t xml:space="preserve"> CONSEJO DE ESTADO, Sección Tercera, Subsección C, sentencia del 24 de julio de 2013,</w:t>
      </w:r>
    </w:p>
    <w:p w14:paraId="7E71ACCA" w14:textId="77777777" w:rsidR="00460695" w:rsidRPr="00DB4983" w:rsidRDefault="00460695" w:rsidP="0030614C">
      <w:pPr>
        <w:pStyle w:val="Textonotapie"/>
        <w:ind w:firstLine="708"/>
        <w:jc w:val="both"/>
        <w:rPr>
          <w:rFonts w:ascii="Arial" w:hAnsi="Arial" w:cs="Arial"/>
          <w:sz w:val="18"/>
          <w:szCs w:val="18"/>
          <w:lang w:val="es-ES"/>
        </w:rPr>
      </w:pPr>
      <w:r w:rsidRPr="00DB4983">
        <w:rPr>
          <w:rFonts w:ascii="Arial" w:hAnsi="Arial" w:cs="Arial"/>
          <w:sz w:val="18"/>
          <w:szCs w:val="18"/>
        </w:rPr>
        <w:t>expediente 25642.</w:t>
      </w:r>
    </w:p>
  </w:footnote>
  <w:footnote w:id="25">
    <w:p w14:paraId="69FEC4E1" w14:textId="77777777" w:rsidR="00460695" w:rsidRPr="00DB4983" w:rsidRDefault="00460695" w:rsidP="0030614C">
      <w:pPr>
        <w:pStyle w:val="Textonotapie"/>
        <w:ind w:firstLine="708"/>
        <w:jc w:val="both"/>
        <w:rPr>
          <w:rFonts w:ascii="Arial" w:hAnsi="Arial" w:cs="Arial"/>
          <w:sz w:val="18"/>
          <w:szCs w:val="18"/>
          <w:lang w:val="es-ES"/>
        </w:rPr>
      </w:pPr>
      <w:r w:rsidRPr="00DB4983">
        <w:rPr>
          <w:rStyle w:val="Refdenotaalpie"/>
          <w:rFonts w:ascii="Arial" w:hAnsi="Arial" w:cs="Arial"/>
          <w:sz w:val="18"/>
          <w:szCs w:val="18"/>
        </w:rPr>
        <w:footnoteRef/>
      </w:r>
      <w:r w:rsidRPr="00DB4983">
        <w:rPr>
          <w:rFonts w:ascii="Arial" w:hAnsi="Arial" w:cs="Arial"/>
          <w:sz w:val="18"/>
          <w:szCs w:val="18"/>
        </w:rPr>
        <w:t xml:space="preserve"> CONSEJO DE ESTADO, Sección Tercera, Radicación número: 25000-23-26-000-1996-13326-01(26967)</w:t>
      </w:r>
    </w:p>
  </w:footnote>
  <w:footnote w:id="26">
    <w:p w14:paraId="6DD3E38C" w14:textId="77777777" w:rsidR="00460695" w:rsidRPr="00DB4983" w:rsidRDefault="00460695" w:rsidP="0030614C">
      <w:pPr>
        <w:pStyle w:val="Textonotapie"/>
        <w:ind w:left="709"/>
        <w:jc w:val="both"/>
        <w:rPr>
          <w:rFonts w:ascii="Arial" w:hAnsi="Arial" w:cs="Arial"/>
          <w:sz w:val="18"/>
          <w:szCs w:val="18"/>
          <w:lang w:val="es-ES"/>
        </w:rPr>
      </w:pPr>
      <w:r w:rsidRPr="00DB4983">
        <w:rPr>
          <w:rStyle w:val="Refdenotaalpie"/>
          <w:rFonts w:ascii="Arial" w:hAnsi="Arial" w:cs="Arial"/>
          <w:sz w:val="18"/>
          <w:szCs w:val="18"/>
        </w:rPr>
        <w:footnoteRef/>
      </w:r>
      <w:r w:rsidRPr="00DB4983">
        <w:rPr>
          <w:rFonts w:ascii="Arial" w:hAnsi="Arial" w:cs="Arial"/>
          <w:sz w:val="18"/>
          <w:szCs w:val="18"/>
        </w:rPr>
        <w:t xml:space="preserve"> CONSEJO DE ESTADO, Sección Tercera, Radicación número: 25000-23-26-000-1996-13326-01(26967)</w:t>
      </w:r>
    </w:p>
  </w:footnote>
  <w:footnote w:id="27">
    <w:p w14:paraId="74CD5CB4" w14:textId="555FB899" w:rsidR="00460695" w:rsidRPr="00DB4983" w:rsidRDefault="00460695" w:rsidP="0030614C">
      <w:pPr>
        <w:pStyle w:val="Textonotapie"/>
        <w:ind w:firstLine="708"/>
        <w:jc w:val="both"/>
        <w:rPr>
          <w:rFonts w:ascii="Arial" w:hAnsi="Arial" w:cs="Arial"/>
          <w:sz w:val="18"/>
          <w:szCs w:val="18"/>
        </w:rPr>
      </w:pPr>
      <w:r w:rsidRPr="00DB4983">
        <w:rPr>
          <w:rStyle w:val="Refdenotaalpie"/>
          <w:rFonts w:ascii="Arial" w:hAnsi="Arial" w:cs="Arial"/>
          <w:sz w:val="18"/>
          <w:szCs w:val="18"/>
        </w:rPr>
        <w:footnoteRef/>
      </w:r>
      <w:r w:rsidRPr="00DB4983">
        <w:rPr>
          <w:rFonts w:ascii="Arial" w:hAnsi="Arial" w:cs="Arial"/>
          <w:sz w:val="18"/>
          <w:szCs w:val="18"/>
        </w:rPr>
        <w:t xml:space="preserve"> Concepto Colombia Compra Eficiente </w:t>
      </w:r>
      <w:r w:rsidRPr="00DB4983">
        <w:rPr>
          <w:rFonts w:ascii="Arial" w:hAnsi="Arial" w:cs="Arial"/>
          <w:bCs/>
          <w:color w:val="000000"/>
          <w:sz w:val="18"/>
          <w:szCs w:val="18"/>
          <w:lang w:val="es-ES"/>
        </w:rPr>
        <w:t>C-030 de 022</w:t>
      </w:r>
      <w:r w:rsidR="006E0A1E" w:rsidRPr="00DB4983">
        <w:rPr>
          <w:rFonts w:ascii="Arial" w:hAnsi="Arial" w:cs="Arial"/>
          <w:bCs/>
          <w:color w:val="000000"/>
          <w:sz w:val="18"/>
          <w:szCs w:val="18"/>
          <w:lang w:val="es-ES"/>
        </w:rPr>
        <w:t>.</w:t>
      </w:r>
    </w:p>
    <w:p w14:paraId="056A667F" w14:textId="77777777" w:rsidR="00460695" w:rsidRPr="00DB4983" w:rsidRDefault="00460695" w:rsidP="0030614C">
      <w:pPr>
        <w:pStyle w:val="Textonotapie"/>
        <w:ind w:firstLine="708"/>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val="es-CO" w:eastAsia="es-CO"/>
      </w:rPr>
      <w:drawing>
        <wp:anchor distT="0" distB="0" distL="0" distR="0" simplePos="0" relativeHeight="251659264"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367110" w14:paraId="5ED9DEE1" w14:textId="77777777" w:rsidTr="005C12A3">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460695" w:rsidRDefault="00FF547A" w:rsidP="00FF547A">
    <w:pPr>
      <w:pStyle w:val="Encabezado"/>
      <w:ind w:left="3545" w:firstLine="709"/>
      <w:rPr>
        <w:b/>
        <w:bCs/>
        <w:color w:val="9BBB59"/>
        <w:sz w:val="18"/>
        <w:szCs w:val="18"/>
      </w:rPr>
    </w:pPr>
    <w:r w:rsidRPr="00367110">
      <w:rPr>
        <w:rFonts w:eastAsia="Arial Nova" w:cs="Arial Nova"/>
        <w:noProof/>
        <w:color w:val="000000"/>
        <w:lang w:val="es-CO" w:eastAsia="es-CO"/>
      </w:rPr>
      <w:drawing>
        <wp:anchor distT="0" distB="0" distL="114300" distR="114300" simplePos="0" relativeHeight="251660288"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26D4A"/>
    <w:multiLevelType w:val="hybridMultilevel"/>
    <w:tmpl w:val="1270C7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B360E5"/>
    <w:multiLevelType w:val="hybridMultilevel"/>
    <w:tmpl w:val="D39C906C"/>
    <w:lvl w:ilvl="0" w:tplc="D5F84DD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4"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6"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9584D70"/>
    <w:multiLevelType w:val="hybridMultilevel"/>
    <w:tmpl w:val="A8FC7D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1857FE1"/>
    <w:multiLevelType w:val="hybridMultilevel"/>
    <w:tmpl w:val="22081502"/>
    <w:lvl w:ilvl="0" w:tplc="01C08F3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79050F22"/>
    <w:multiLevelType w:val="hybridMultilevel"/>
    <w:tmpl w:val="775CA8A8"/>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142574823">
    <w:abstractNumId w:val="4"/>
  </w:num>
  <w:num w:numId="2" w16cid:durableId="65035669">
    <w:abstractNumId w:val="10"/>
  </w:num>
  <w:num w:numId="3" w16cid:durableId="1981837625">
    <w:abstractNumId w:val="3"/>
  </w:num>
  <w:num w:numId="4" w16cid:durableId="2016421018">
    <w:abstractNumId w:val="5"/>
  </w:num>
  <w:num w:numId="5" w16cid:durableId="1591770257">
    <w:abstractNumId w:val="8"/>
  </w:num>
  <w:num w:numId="6" w16cid:durableId="2088962858">
    <w:abstractNumId w:val="1"/>
  </w:num>
  <w:num w:numId="7" w16cid:durableId="1670130527">
    <w:abstractNumId w:val="2"/>
  </w:num>
  <w:num w:numId="8" w16cid:durableId="102699815">
    <w:abstractNumId w:val="9"/>
  </w:num>
  <w:num w:numId="9" w16cid:durableId="219436960">
    <w:abstractNumId w:val="6"/>
  </w:num>
  <w:num w:numId="10" w16cid:durableId="1706367420">
    <w:abstractNumId w:val="11"/>
  </w:num>
  <w:num w:numId="11" w16cid:durableId="313072970">
    <w:abstractNumId w:val="7"/>
  </w:num>
  <w:num w:numId="12" w16cid:durableId="876552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67"/>
    <w:rsid w:val="0000246D"/>
    <w:rsid w:val="000027AC"/>
    <w:rsid w:val="0000290E"/>
    <w:rsid w:val="0001350A"/>
    <w:rsid w:val="00013A32"/>
    <w:rsid w:val="00015285"/>
    <w:rsid w:val="000160CE"/>
    <w:rsid w:val="00027E00"/>
    <w:rsid w:val="00034765"/>
    <w:rsid w:val="00041D4B"/>
    <w:rsid w:val="0004470C"/>
    <w:rsid w:val="00047939"/>
    <w:rsid w:val="00051DF9"/>
    <w:rsid w:val="00061670"/>
    <w:rsid w:val="000621A9"/>
    <w:rsid w:val="00063E22"/>
    <w:rsid w:val="00064617"/>
    <w:rsid w:val="00066403"/>
    <w:rsid w:val="000714BA"/>
    <w:rsid w:val="000770A6"/>
    <w:rsid w:val="000801E4"/>
    <w:rsid w:val="00081366"/>
    <w:rsid w:val="000815BD"/>
    <w:rsid w:val="000921DA"/>
    <w:rsid w:val="00093ECC"/>
    <w:rsid w:val="000965D3"/>
    <w:rsid w:val="000A1A65"/>
    <w:rsid w:val="000A22E0"/>
    <w:rsid w:val="000A2429"/>
    <w:rsid w:val="000A2922"/>
    <w:rsid w:val="000A6950"/>
    <w:rsid w:val="000A71F8"/>
    <w:rsid w:val="000B322A"/>
    <w:rsid w:val="000B38F9"/>
    <w:rsid w:val="000B6B23"/>
    <w:rsid w:val="000B7A2F"/>
    <w:rsid w:val="000C0C5A"/>
    <w:rsid w:val="000C176A"/>
    <w:rsid w:val="000C232E"/>
    <w:rsid w:val="000C2E65"/>
    <w:rsid w:val="000C41FF"/>
    <w:rsid w:val="000C7DC5"/>
    <w:rsid w:val="000D17CE"/>
    <w:rsid w:val="000D31AF"/>
    <w:rsid w:val="000E22E1"/>
    <w:rsid w:val="000E4BCC"/>
    <w:rsid w:val="000E6606"/>
    <w:rsid w:val="000F1274"/>
    <w:rsid w:val="000F16C3"/>
    <w:rsid w:val="000F20D6"/>
    <w:rsid w:val="000F2455"/>
    <w:rsid w:val="000F416D"/>
    <w:rsid w:val="001005DA"/>
    <w:rsid w:val="00100AC8"/>
    <w:rsid w:val="0010115C"/>
    <w:rsid w:val="0010340C"/>
    <w:rsid w:val="00103ECD"/>
    <w:rsid w:val="001048AE"/>
    <w:rsid w:val="00110547"/>
    <w:rsid w:val="001221E5"/>
    <w:rsid w:val="00122D5C"/>
    <w:rsid w:val="00130B50"/>
    <w:rsid w:val="00132DAD"/>
    <w:rsid w:val="0014048E"/>
    <w:rsid w:val="00140BF5"/>
    <w:rsid w:val="0014294A"/>
    <w:rsid w:val="0014312B"/>
    <w:rsid w:val="00144885"/>
    <w:rsid w:val="00145CEA"/>
    <w:rsid w:val="0015100A"/>
    <w:rsid w:val="00152E53"/>
    <w:rsid w:val="001542F1"/>
    <w:rsid w:val="00155176"/>
    <w:rsid w:val="00155A6A"/>
    <w:rsid w:val="00156332"/>
    <w:rsid w:val="00156426"/>
    <w:rsid w:val="00160025"/>
    <w:rsid w:val="00160EA4"/>
    <w:rsid w:val="0016321F"/>
    <w:rsid w:val="00166895"/>
    <w:rsid w:val="001701CA"/>
    <w:rsid w:val="00172E23"/>
    <w:rsid w:val="0017361B"/>
    <w:rsid w:val="00175B0F"/>
    <w:rsid w:val="00177317"/>
    <w:rsid w:val="00181D50"/>
    <w:rsid w:val="00192273"/>
    <w:rsid w:val="0019286E"/>
    <w:rsid w:val="0019347C"/>
    <w:rsid w:val="0019577D"/>
    <w:rsid w:val="00196387"/>
    <w:rsid w:val="00197239"/>
    <w:rsid w:val="001973D3"/>
    <w:rsid w:val="001A1FE0"/>
    <w:rsid w:val="001A3646"/>
    <w:rsid w:val="001A7515"/>
    <w:rsid w:val="001B1ED3"/>
    <w:rsid w:val="001B5043"/>
    <w:rsid w:val="001C668B"/>
    <w:rsid w:val="001C7F1C"/>
    <w:rsid w:val="001D014E"/>
    <w:rsid w:val="001D169F"/>
    <w:rsid w:val="001D579D"/>
    <w:rsid w:val="001E00A3"/>
    <w:rsid w:val="001E0D8E"/>
    <w:rsid w:val="001E3285"/>
    <w:rsid w:val="001E51C7"/>
    <w:rsid w:val="001E55F8"/>
    <w:rsid w:val="001F0BA1"/>
    <w:rsid w:val="001F1036"/>
    <w:rsid w:val="001F2112"/>
    <w:rsid w:val="001F21CD"/>
    <w:rsid w:val="001F2FE7"/>
    <w:rsid w:val="001F4A87"/>
    <w:rsid w:val="0020413F"/>
    <w:rsid w:val="0020666F"/>
    <w:rsid w:val="00206E4E"/>
    <w:rsid w:val="0022027A"/>
    <w:rsid w:val="002203D9"/>
    <w:rsid w:val="00222FE7"/>
    <w:rsid w:val="00230299"/>
    <w:rsid w:val="0023114E"/>
    <w:rsid w:val="00234C96"/>
    <w:rsid w:val="00236169"/>
    <w:rsid w:val="002370E0"/>
    <w:rsid w:val="002410B7"/>
    <w:rsid w:val="00244285"/>
    <w:rsid w:val="00244D23"/>
    <w:rsid w:val="002465BD"/>
    <w:rsid w:val="00247860"/>
    <w:rsid w:val="002546FB"/>
    <w:rsid w:val="0025667C"/>
    <w:rsid w:val="002621C0"/>
    <w:rsid w:val="00262A58"/>
    <w:rsid w:val="0026380C"/>
    <w:rsid w:val="002650A2"/>
    <w:rsid w:val="00266469"/>
    <w:rsid w:val="00266CCA"/>
    <w:rsid w:val="00267994"/>
    <w:rsid w:val="0027042F"/>
    <w:rsid w:val="00273DB1"/>
    <w:rsid w:val="00274FF8"/>
    <w:rsid w:val="00276E87"/>
    <w:rsid w:val="00276F1D"/>
    <w:rsid w:val="0027789E"/>
    <w:rsid w:val="002835D0"/>
    <w:rsid w:val="0028433E"/>
    <w:rsid w:val="002867FC"/>
    <w:rsid w:val="00290872"/>
    <w:rsid w:val="00292A75"/>
    <w:rsid w:val="00294A56"/>
    <w:rsid w:val="002A092A"/>
    <w:rsid w:val="002A471D"/>
    <w:rsid w:val="002A75C7"/>
    <w:rsid w:val="002B2085"/>
    <w:rsid w:val="002B5D94"/>
    <w:rsid w:val="002B6EDD"/>
    <w:rsid w:val="002C18C8"/>
    <w:rsid w:val="002C3DC8"/>
    <w:rsid w:val="002D09CD"/>
    <w:rsid w:val="002D55E0"/>
    <w:rsid w:val="002D6662"/>
    <w:rsid w:val="002D6DB8"/>
    <w:rsid w:val="002D7CBD"/>
    <w:rsid w:val="002E0539"/>
    <w:rsid w:val="002E272B"/>
    <w:rsid w:val="002E4878"/>
    <w:rsid w:val="002F1D1C"/>
    <w:rsid w:val="002F339A"/>
    <w:rsid w:val="002F3B48"/>
    <w:rsid w:val="002F5437"/>
    <w:rsid w:val="002F5CAB"/>
    <w:rsid w:val="002F7C27"/>
    <w:rsid w:val="00303F37"/>
    <w:rsid w:val="00304599"/>
    <w:rsid w:val="00305DDD"/>
    <w:rsid w:val="0030614C"/>
    <w:rsid w:val="00307D38"/>
    <w:rsid w:val="003104CB"/>
    <w:rsid w:val="00311E48"/>
    <w:rsid w:val="00313EFB"/>
    <w:rsid w:val="003142AF"/>
    <w:rsid w:val="00316157"/>
    <w:rsid w:val="0031755A"/>
    <w:rsid w:val="00320859"/>
    <w:rsid w:val="003210B5"/>
    <w:rsid w:val="003258E3"/>
    <w:rsid w:val="00325CA9"/>
    <w:rsid w:val="00326110"/>
    <w:rsid w:val="00326F82"/>
    <w:rsid w:val="00332D6E"/>
    <w:rsid w:val="00333088"/>
    <w:rsid w:val="00333656"/>
    <w:rsid w:val="00334B19"/>
    <w:rsid w:val="003362C8"/>
    <w:rsid w:val="00337918"/>
    <w:rsid w:val="00341302"/>
    <w:rsid w:val="003415D7"/>
    <w:rsid w:val="0034176C"/>
    <w:rsid w:val="0035088F"/>
    <w:rsid w:val="0035241D"/>
    <w:rsid w:val="0035378D"/>
    <w:rsid w:val="0035529C"/>
    <w:rsid w:val="00355937"/>
    <w:rsid w:val="00356696"/>
    <w:rsid w:val="003610F4"/>
    <w:rsid w:val="00364D51"/>
    <w:rsid w:val="003702AD"/>
    <w:rsid w:val="0037154B"/>
    <w:rsid w:val="00372146"/>
    <w:rsid w:val="00372518"/>
    <w:rsid w:val="0037367E"/>
    <w:rsid w:val="00375947"/>
    <w:rsid w:val="00377829"/>
    <w:rsid w:val="00377837"/>
    <w:rsid w:val="00382463"/>
    <w:rsid w:val="0038422A"/>
    <w:rsid w:val="00385A96"/>
    <w:rsid w:val="00385B3E"/>
    <w:rsid w:val="003867C5"/>
    <w:rsid w:val="003870E4"/>
    <w:rsid w:val="00391B62"/>
    <w:rsid w:val="00393B89"/>
    <w:rsid w:val="00395260"/>
    <w:rsid w:val="003953A4"/>
    <w:rsid w:val="00396BF2"/>
    <w:rsid w:val="003A235D"/>
    <w:rsid w:val="003A279E"/>
    <w:rsid w:val="003A6173"/>
    <w:rsid w:val="003A7C69"/>
    <w:rsid w:val="003B42A6"/>
    <w:rsid w:val="003B54AF"/>
    <w:rsid w:val="003B76F3"/>
    <w:rsid w:val="003C0050"/>
    <w:rsid w:val="003C1B39"/>
    <w:rsid w:val="003C350F"/>
    <w:rsid w:val="003C4644"/>
    <w:rsid w:val="003C6B38"/>
    <w:rsid w:val="003C7067"/>
    <w:rsid w:val="003D01B8"/>
    <w:rsid w:val="003D24F8"/>
    <w:rsid w:val="003E023D"/>
    <w:rsid w:val="003E060B"/>
    <w:rsid w:val="003E0862"/>
    <w:rsid w:val="003E4620"/>
    <w:rsid w:val="003E64A2"/>
    <w:rsid w:val="003F0A0C"/>
    <w:rsid w:val="003F0A31"/>
    <w:rsid w:val="003F1077"/>
    <w:rsid w:val="003F1CF4"/>
    <w:rsid w:val="003F2CA6"/>
    <w:rsid w:val="004007FB"/>
    <w:rsid w:val="00400B3F"/>
    <w:rsid w:val="00400C77"/>
    <w:rsid w:val="0040411F"/>
    <w:rsid w:val="004073F3"/>
    <w:rsid w:val="00407B88"/>
    <w:rsid w:val="004116D9"/>
    <w:rsid w:val="00412728"/>
    <w:rsid w:val="004137EC"/>
    <w:rsid w:val="00413C3B"/>
    <w:rsid w:val="00425CA0"/>
    <w:rsid w:val="00427639"/>
    <w:rsid w:val="004317CE"/>
    <w:rsid w:val="0043199D"/>
    <w:rsid w:val="00433947"/>
    <w:rsid w:val="0043465F"/>
    <w:rsid w:val="004449CC"/>
    <w:rsid w:val="00450297"/>
    <w:rsid w:val="00450F52"/>
    <w:rsid w:val="004514C3"/>
    <w:rsid w:val="004515DC"/>
    <w:rsid w:val="00452B6D"/>
    <w:rsid w:val="00452C65"/>
    <w:rsid w:val="004530B5"/>
    <w:rsid w:val="004530DC"/>
    <w:rsid w:val="004541BB"/>
    <w:rsid w:val="00454C1E"/>
    <w:rsid w:val="00457483"/>
    <w:rsid w:val="00460695"/>
    <w:rsid w:val="00461578"/>
    <w:rsid w:val="004636E0"/>
    <w:rsid w:val="00463A00"/>
    <w:rsid w:val="004662C1"/>
    <w:rsid w:val="004665D9"/>
    <w:rsid w:val="004708A3"/>
    <w:rsid w:val="00472517"/>
    <w:rsid w:val="00474FA1"/>
    <w:rsid w:val="00481474"/>
    <w:rsid w:val="004963B0"/>
    <w:rsid w:val="004A0C2B"/>
    <w:rsid w:val="004A2FA1"/>
    <w:rsid w:val="004A33E3"/>
    <w:rsid w:val="004A6DF7"/>
    <w:rsid w:val="004B2DEB"/>
    <w:rsid w:val="004B3167"/>
    <w:rsid w:val="004B3476"/>
    <w:rsid w:val="004B52B1"/>
    <w:rsid w:val="004B569C"/>
    <w:rsid w:val="004B7BD5"/>
    <w:rsid w:val="004C1C33"/>
    <w:rsid w:val="004C27EC"/>
    <w:rsid w:val="004C4C02"/>
    <w:rsid w:val="004C59A9"/>
    <w:rsid w:val="004D4519"/>
    <w:rsid w:val="004D76E8"/>
    <w:rsid w:val="004E3799"/>
    <w:rsid w:val="004E43C1"/>
    <w:rsid w:val="004E5663"/>
    <w:rsid w:val="004E587A"/>
    <w:rsid w:val="004E76CB"/>
    <w:rsid w:val="004F1086"/>
    <w:rsid w:val="004F507C"/>
    <w:rsid w:val="004F654F"/>
    <w:rsid w:val="005058EF"/>
    <w:rsid w:val="005069B7"/>
    <w:rsid w:val="0051003B"/>
    <w:rsid w:val="005121D0"/>
    <w:rsid w:val="005134AE"/>
    <w:rsid w:val="00513F21"/>
    <w:rsid w:val="00517622"/>
    <w:rsid w:val="00521AC0"/>
    <w:rsid w:val="00525649"/>
    <w:rsid w:val="005278E3"/>
    <w:rsid w:val="0053012B"/>
    <w:rsid w:val="005313ED"/>
    <w:rsid w:val="005334E6"/>
    <w:rsid w:val="00543797"/>
    <w:rsid w:val="00545362"/>
    <w:rsid w:val="00545832"/>
    <w:rsid w:val="005463B4"/>
    <w:rsid w:val="00546A01"/>
    <w:rsid w:val="00546BD3"/>
    <w:rsid w:val="00550397"/>
    <w:rsid w:val="005537BE"/>
    <w:rsid w:val="00554FCF"/>
    <w:rsid w:val="00556AB7"/>
    <w:rsid w:val="00560087"/>
    <w:rsid w:val="00562968"/>
    <w:rsid w:val="00564FB9"/>
    <w:rsid w:val="00567662"/>
    <w:rsid w:val="005728E1"/>
    <w:rsid w:val="00573E27"/>
    <w:rsid w:val="005745BF"/>
    <w:rsid w:val="005752B3"/>
    <w:rsid w:val="00584231"/>
    <w:rsid w:val="005867C9"/>
    <w:rsid w:val="00594698"/>
    <w:rsid w:val="00596212"/>
    <w:rsid w:val="005A1C22"/>
    <w:rsid w:val="005A43E5"/>
    <w:rsid w:val="005B14B2"/>
    <w:rsid w:val="005B384E"/>
    <w:rsid w:val="005B39BF"/>
    <w:rsid w:val="005B3B2B"/>
    <w:rsid w:val="005B3CB1"/>
    <w:rsid w:val="005B441F"/>
    <w:rsid w:val="005C00F9"/>
    <w:rsid w:val="005C100F"/>
    <w:rsid w:val="005C6135"/>
    <w:rsid w:val="005D2019"/>
    <w:rsid w:val="005D20C7"/>
    <w:rsid w:val="005D539E"/>
    <w:rsid w:val="005E57D6"/>
    <w:rsid w:val="005F3331"/>
    <w:rsid w:val="00604DB8"/>
    <w:rsid w:val="00607049"/>
    <w:rsid w:val="00611C84"/>
    <w:rsid w:val="00614569"/>
    <w:rsid w:val="0061555F"/>
    <w:rsid w:val="006169DA"/>
    <w:rsid w:val="00626DC2"/>
    <w:rsid w:val="00643074"/>
    <w:rsid w:val="00644AD1"/>
    <w:rsid w:val="00645FB0"/>
    <w:rsid w:val="006465AC"/>
    <w:rsid w:val="00646C99"/>
    <w:rsid w:val="0064789F"/>
    <w:rsid w:val="00652125"/>
    <w:rsid w:val="006534EE"/>
    <w:rsid w:val="00657CB5"/>
    <w:rsid w:val="00660C19"/>
    <w:rsid w:val="006610BD"/>
    <w:rsid w:val="00663EA4"/>
    <w:rsid w:val="00664E56"/>
    <w:rsid w:val="00676C2D"/>
    <w:rsid w:val="00677721"/>
    <w:rsid w:val="006908AF"/>
    <w:rsid w:val="00696C59"/>
    <w:rsid w:val="0069743E"/>
    <w:rsid w:val="00697780"/>
    <w:rsid w:val="006A2383"/>
    <w:rsid w:val="006B040D"/>
    <w:rsid w:val="006B0534"/>
    <w:rsid w:val="006B06C7"/>
    <w:rsid w:val="006B205F"/>
    <w:rsid w:val="006B2DE3"/>
    <w:rsid w:val="006B5BAD"/>
    <w:rsid w:val="006B698E"/>
    <w:rsid w:val="006C0631"/>
    <w:rsid w:val="006C16B7"/>
    <w:rsid w:val="006C25DE"/>
    <w:rsid w:val="006C67CE"/>
    <w:rsid w:val="006C730C"/>
    <w:rsid w:val="006D1233"/>
    <w:rsid w:val="006D16C0"/>
    <w:rsid w:val="006D1DF5"/>
    <w:rsid w:val="006D42CA"/>
    <w:rsid w:val="006D43D6"/>
    <w:rsid w:val="006D4B52"/>
    <w:rsid w:val="006D4E4D"/>
    <w:rsid w:val="006D66D3"/>
    <w:rsid w:val="006D7111"/>
    <w:rsid w:val="006E01E2"/>
    <w:rsid w:val="006E0A1E"/>
    <w:rsid w:val="006E280E"/>
    <w:rsid w:val="006E2E59"/>
    <w:rsid w:val="006E3684"/>
    <w:rsid w:val="006E599A"/>
    <w:rsid w:val="006E6B7C"/>
    <w:rsid w:val="006E716B"/>
    <w:rsid w:val="006F12B4"/>
    <w:rsid w:val="006F628A"/>
    <w:rsid w:val="006F6C29"/>
    <w:rsid w:val="007007D0"/>
    <w:rsid w:val="0070319B"/>
    <w:rsid w:val="00703305"/>
    <w:rsid w:val="00703E2A"/>
    <w:rsid w:val="007101DE"/>
    <w:rsid w:val="0071057D"/>
    <w:rsid w:val="007135B5"/>
    <w:rsid w:val="00714D49"/>
    <w:rsid w:val="00715151"/>
    <w:rsid w:val="0071587F"/>
    <w:rsid w:val="00716EA5"/>
    <w:rsid w:val="00717176"/>
    <w:rsid w:val="00717AA6"/>
    <w:rsid w:val="00725828"/>
    <w:rsid w:val="00726BB2"/>
    <w:rsid w:val="007301A5"/>
    <w:rsid w:val="00731374"/>
    <w:rsid w:val="00734358"/>
    <w:rsid w:val="00736654"/>
    <w:rsid w:val="007374F5"/>
    <w:rsid w:val="007402D6"/>
    <w:rsid w:val="0074401A"/>
    <w:rsid w:val="007444BB"/>
    <w:rsid w:val="007477FE"/>
    <w:rsid w:val="00750136"/>
    <w:rsid w:val="007533F2"/>
    <w:rsid w:val="00753925"/>
    <w:rsid w:val="007566AD"/>
    <w:rsid w:val="007568B5"/>
    <w:rsid w:val="007620D3"/>
    <w:rsid w:val="00763584"/>
    <w:rsid w:val="00766606"/>
    <w:rsid w:val="007704C1"/>
    <w:rsid w:val="00771994"/>
    <w:rsid w:val="00774750"/>
    <w:rsid w:val="007748BD"/>
    <w:rsid w:val="00774EA0"/>
    <w:rsid w:val="00780EF8"/>
    <w:rsid w:val="00781A67"/>
    <w:rsid w:val="0079555C"/>
    <w:rsid w:val="007A07E6"/>
    <w:rsid w:val="007A09E8"/>
    <w:rsid w:val="007A13A0"/>
    <w:rsid w:val="007A48A1"/>
    <w:rsid w:val="007A52B4"/>
    <w:rsid w:val="007A5F2D"/>
    <w:rsid w:val="007A6F08"/>
    <w:rsid w:val="007A7DDB"/>
    <w:rsid w:val="007B017F"/>
    <w:rsid w:val="007B0517"/>
    <w:rsid w:val="007B4AAC"/>
    <w:rsid w:val="007B4CC3"/>
    <w:rsid w:val="007B6D7A"/>
    <w:rsid w:val="007C14A7"/>
    <w:rsid w:val="007C18F9"/>
    <w:rsid w:val="007C285C"/>
    <w:rsid w:val="007D12CD"/>
    <w:rsid w:val="007D476C"/>
    <w:rsid w:val="007D5580"/>
    <w:rsid w:val="007D648E"/>
    <w:rsid w:val="007E3FC4"/>
    <w:rsid w:val="007E48AE"/>
    <w:rsid w:val="007E5291"/>
    <w:rsid w:val="007E52AC"/>
    <w:rsid w:val="007E7488"/>
    <w:rsid w:val="007F1DEE"/>
    <w:rsid w:val="007F22B5"/>
    <w:rsid w:val="007F3872"/>
    <w:rsid w:val="007F4036"/>
    <w:rsid w:val="007F55F8"/>
    <w:rsid w:val="007F6F80"/>
    <w:rsid w:val="007F737A"/>
    <w:rsid w:val="00802CD1"/>
    <w:rsid w:val="00806F7D"/>
    <w:rsid w:val="00812BB2"/>
    <w:rsid w:val="00814E8F"/>
    <w:rsid w:val="00817CCE"/>
    <w:rsid w:val="00821B1D"/>
    <w:rsid w:val="00823B9F"/>
    <w:rsid w:val="00826A17"/>
    <w:rsid w:val="0082778E"/>
    <w:rsid w:val="0083524B"/>
    <w:rsid w:val="008353CA"/>
    <w:rsid w:val="008402CD"/>
    <w:rsid w:val="00841BDF"/>
    <w:rsid w:val="00843CDF"/>
    <w:rsid w:val="00844316"/>
    <w:rsid w:val="008443B3"/>
    <w:rsid w:val="00847A78"/>
    <w:rsid w:val="008541B6"/>
    <w:rsid w:val="008542DD"/>
    <w:rsid w:val="00854A55"/>
    <w:rsid w:val="008559E5"/>
    <w:rsid w:val="00860639"/>
    <w:rsid w:val="00862579"/>
    <w:rsid w:val="00863607"/>
    <w:rsid w:val="0087011C"/>
    <w:rsid w:val="008702BA"/>
    <w:rsid w:val="008708B7"/>
    <w:rsid w:val="00872D96"/>
    <w:rsid w:val="008735D0"/>
    <w:rsid w:val="008757BA"/>
    <w:rsid w:val="0087674C"/>
    <w:rsid w:val="00876B78"/>
    <w:rsid w:val="00880E37"/>
    <w:rsid w:val="00887EAD"/>
    <w:rsid w:val="00890AB8"/>
    <w:rsid w:val="00890D5F"/>
    <w:rsid w:val="0089254A"/>
    <w:rsid w:val="00893807"/>
    <w:rsid w:val="00893FDF"/>
    <w:rsid w:val="008951CE"/>
    <w:rsid w:val="008958AC"/>
    <w:rsid w:val="00896007"/>
    <w:rsid w:val="00897990"/>
    <w:rsid w:val="00897B51"/>
    <w:rsid w:val="008A0C05"/>
    <w:rsid w:val="008A2551"/>
    <w:rsid w:val="008A2F7B"/>
    <w:rsid w:val="008A3050"/>
    <w:rsid w:val="008A5F02"/>
    <w:rsid w:val="008A6295"/>
    <w:rsid w:val="008B0F92"/>
    <w:rsid w:val="008C1D44"/>
    <w:rsid w:val="008C34D4"/>
    <w:rsid w:val="008C368A"/>
    <w:rsid w:val="008D2933"/>
    <w:rsid w:val="008D35A4"/>
    <w:rsid w:val="008D6FD8"/>
    <w:rsid w:val="008E33F5"/>
    <w:rsid w:val="008E4FC5"/>
    <w:rsid w:val="008E518E"/>
    <w:rsid w:val="008E6740"/>
    <w:rsid w:val="008F10C7"/>
    <w:rsid w:val="008F6E0C"/>
    <w:rsid w:val="00900252"/>
    <w:rsid w:val="009040A2"/>
    <w:rsid w:val="0090501B"/>
    <w:rsid w:val="0090557C"/>
    <w:rsid w:val="00913406"/>
    <w:rsid w:val="0091442D"/>
    <w:rsid w:val="0091503C"/>
    <w:rsid w:val="00915041"/>
    <w:rsid w:val="00920086"/>
    <w:rsid w:val="0092073B"/>
    <w:rsid w:val="0092111A"/>
    <w:rsid w:val="009212E1"/>
    <w:rsid w:val="00924576"/>
    <w:rsid w:val="00926BCC"/>
    <w:rsid w:val="00931650"/>
    <w:rsid w:val="009346BA"/>
    <w:rsid w:val="009365AC"/>
    <w:rsid w:val="00937386"/>
    <w:rsid w:val="009418A5"/>
    <w:rsid w:val="0094506A"/>
    <w:rsid w:val="009470FC"/>
    <w:rsid w:val="009527E4"/>
    <w:rsid w:val="009540D3"/>
    <w:rsid w:val="00957674"/>
    <w:rsid w:val="00961511"/>
    <w:rsid w:val="00962D13"/>
    <w:rsid w:val="00965B3A"/>
    <w:rsid w:val="009705BB"/>
    <w:rsid w:val="00973B51"/>
    <w:rsid w:val="00975452"/>
    <w:rsid w:val="00977BC1"/>
    <w:rsid w:val="009805DC"/>
    <w:rsid w:val="0098129C"/>
    <w:rsid w:val="00984D8B"/>
    <w:rsid w:val="00987493"/>
    <w:rsid w:val="00987861"/>
    <w:rsid w:val="0098798B"/>
    <w:rsid w:val="009916A6"/>
    <w:rsid w:val="0099278D"/>
    <w:rsid w:val="009930E3"/>
    <w:rsid w:val="0099407E"/>
    <w:rsid w:val="00994D39"/>
    <w:rsid w:val="00995CAD"/>
    <w:rsid w:val="00996366"/>
    <w:rsid w:val="0099787B"/>
    <w:rsid w:val="009A246D"/>
    <w:rsid w:val="009A4017"/>
    <w:rsid w:val="009A4188"/>
    <w:rsid w:val="009B1112"/>
    <w:rsid w:val="009B20DB"/>
    <w:rsid w:val="009B2C35"/>
    <w:rsid w:val="009B5641"/>
    <w:rsid w:val="009B5F97"/>
    <w:rsid w:val="009B6276"/>
    <w:rsid w:val="009C0BE5"/>
    <w:rsid w:val="009C0DBA"/>
    <w:rsid w:val="009C1414"/>
    <w:rsid w:val="009C16B3"/>
    <w:rsid w:val="009C38C7"/>
    <w:rsid w:val="009C3E55"/>
    <w:rsid w:val="009C5E1C"/>
    <w:rsid w:val="009C5E76"/>
    <w:rsid w:val="009C7BBC"/>
    <w:rsid w:val="009D408A"/>
    <w:rsid w:val="009D66B9"/>
    <w:rsid w:val="009D6BD7"/>
    <w:rsid w:val="009F0A44"/>
    <w:rsid w:val="009F4002"/>
    <w:rsid w:val="009F4296"/>
    <w:rsid w:val="009F532D"/>
    <w:rsid w:val="009F5860"/>
    <w:rsid w:val="009F5A81"/>
    <w:rsid w:val="009F5CFA"/>
    <w:rsid w:val="009F6AF3"/>
    <w:rsid w:val="009F7627"/>
    <w:rsid w:val="00A0046D"/>
    <w:rsid w:val="00A007E0"/>
    <w:rsid w:val="00A009D4"/>
    <w:rsid w:val="00A00FCB"/>
    <w:rsid w:val="00A0194F"/>
    <w:rsid w:val="00A02727"/>
    <w:rsid w:val="00A03998"/>
    <w:rsid w:val="00A04819"/>
    <w:rsid w:val="00A053C7"/>
    <w:rsid w:val="00A061EC"/>
    <w:rsid w:val="00A10CAC"/>
    <w:rsid w:val="00A1657C"/>
    <w:rsid w:val="00A16F59"/>
    <w:rsid w:val="00A201B3"/>
    <w:rsid w:val="00A21241"/>
    <w:rsid w:val="00A21B3D"/>
    <w:rsid w:val="00A2369A"/>
    <w:rsid w:val="00A23905"/>
    <w:rsid w:val="00A304AD"/>
    <w:rsid w:val="00A412E5"/>
    <w:rsid w:val="00A55358"/>
    <w:rsid w:val="00A55366"/>
    <w:rsid w:val="00A56676"/>
    <w:rsid w:val="00A57C30"/>
    <w:rsid w:val="00A57E21"/>
    <w:rsid w:val="00A62666"/>
    <w:rsid w:val="00A62877"/>
    <w:rsid w:val="00A63DA3"/>
    <w:rsid w:val="00A72632"/>
    <w:rsid w:val="00A812FC"/>
    <w:rsid w:val="00A83C01"/>
    <w:rsid w:val="00A844C4"/>
    <w:rsid w:val="00A86314"/>
    <w:rsid w:val="00A9003D"/>
    <w:rsid w:val="00A9127E"/>
    <w:rsid w:val="00A94591"/>
    <w:rsid w:val="00A96B78"/>
    <w:rsid w:val="00A977C8"/>
    <w:rsid w:val="00AB36B6"/>
    <w:rsid w:val="00AB60D9"/>
    <w:rsid w:val="00AC4174"/>
    <w:rsid w:val="00AC4FE9"/>
    <w:rsid w:val="00AC5A39"/>
    <w:rsid w:val="00AD027E"/>
    <w:rsid w:val="00AD17DB"/>
    <w:rsid w:val="00AD1AB6"/>
    <w:rsid w:val="00AD41E4"/>
    <w:rsid w:val="00AE28AE"/>
    <w:rsid w:val="00AE3552"/>
    <w:rsid w:val="00AE3B13"/>
    <w:rsid w:val="00AE485F"/>
    <w:rsid w:val="00AF0612"/>
    <w:rsid w:val="00AF2BAE"/>
    <w:rsid w:val="00AF4235"/>
    <w:rsid w:val="00AF632D"/>
    <w:rsid w:val="00AF664B"/>
    <w:rsid w:val="00B0166A"/>
    <w:rsid w:val="00B0338C"/>
    <w:rsid w:val="00B036EA"/>
    <w:rsid w:val="00B05ACC"/>
    <w:rsid w:val="00B12676"/>
    <w:rsid w:val="00B139B2"/>
    <w:rsid w:val="00B203A3"/>
    <w:rsid w:val="00B204B3"/>
    <w:rsid w:val="00B213A1"/>
    <w:rsid w:val="00B220B9"/>
    <w:rsid w:val="00B24B11"/>
    <w:rsid w:val="00B325AF"/>
    <w:rsid w:val="00B32CC3"/>
    <w:rsid w:val="00B347CE"/>
    <w:rsid w:val="00B36B48"/>
    <w:rsid w:val="00B40B39"/>
    <w:rsid w:val="00B41C7A"/>
    <w:rsid w:val="00B44948"/>
    <w:rsid w:val="00B44A82"/>
    <w:rsid w:val="00B44C63"/>
    <w:rsid w:val="00B46CB5"/>
    <w:rsid w:val="00B470BB"/>
    <w:rsid w:val="00B621A5"/>
    <w:rsid w:val="00B64B7E"/>
    <w:rsid w:val="00B67F77"/>
    <w:rsid w:val="00B70E91"/>
    <w:rsid w:val="00B71F0A"/>
    <w:rsid w:val="00B726EB"/>
    <w:rsid w:val="00B742C2"/>
    <w:rsid w:val="00B74E3B"/>
    <w:rsid w:val="00B76F53"/>
    <w:rsid w:val="00B82D1D"/>
    <w:rsid w:val="00B864D6"/>
    <w:rsid w:val="00B930C5"/>
    <w:rsid w:val="00B93A8D"/>
    <w:rsid w:val="00B97CE2"/>
    <w:rsid w:val="00BA0AE4"/>
    <w:rsid w:val="00BA187E"/>
    <w:rsid w:val="00BA4004"/>
    <w:rsid w:val="00BA6801"/>
    <w:rsid w:val="00BA6AA2"/>
    <w:rsid w:val="00BB32B1"/>
    <w:rsid w:val="00BB5FFC"/>
    <w:rsid w:val="00BC0ACD"/>
    <w:rsid w:val="00BC51F1"/>
    <w:rsid w:val="00BD5A6F"/>
    <w:rsid w:val="00BD5ED5"/>
    <w:rsid w:val="00BD6A2B"/>
    <w:rsid w:val="00BD777F"/>
    <w:rsid w:val="00BD7B31"/>
    <w:rsid w:val="00BE065B"/>
    <w:rsid w:val="00BE260D"/>
    <w:rsid w:val="00BF021D"/>
    <w:rsid w:val="00BF25F4"/>
    <w:rsid w:val="00BF4336"/>
    <w:rsid w:val="00C007D7"/>
    <w:rsid w:val="00C01A8D"/>
    <w:rsid w:val="00C032FA"/>
    <w:rsid w:val="00C04F58"/>
    <w:rsid w:val="00C06297"/>
    <w:rsid w:val="00C06CEC"/>
    <w:rsid w:val="00C1122A"/>
    <w:rsid w:val="00C12608"/>
    <w:rsid w:val="00C15092"/>
    <w:rsid w:val="00C15870"/>
    <w:rsid w:val="00C167F8"/>
    <w:rsid w:val="00C20A90"/>
    <w:rsid w:val="00C21998"/>
    <w:rsid w:val="00C24E6D"/>
    <w:rsid w:val="00C30F2F"/>
    <w:rsid w:val="00C37069"/>
    <w:rsid w:val="00C43F7C"/>
    <w:rsid w:val="00C45EFF"/>
    <w:rsid w:val="00C46B18"/>
    <w:rsid w:val="00C5071C"/>
    <w:rsid w:val="00C52029"/>
    <w:rsid w:val="00C52A57"/>
    <w:rsid w:val="00C52F53"/>
    <w:rsid w:val="00C530AF"/>
    <w:rsid w:val="00C559FC"/>
    <w:rsid w:val="00C55E13"/>
    <w:rsid w:val="00C602CB"/>
    <w:rsid w:val="00C60930"/>
    <w:rsid w:val="00C63119"/>
    <w:rsid w:val="00C63632"/>
    <w:rsid w:val="00C667F5"/>
    <w:rsid w:val="00C67F8C"/>
    <w:rsid w:val="00C71F83"/>
    <w:rsid w:val="00C756E0"/>
    <w:rsid w:val="00C76716"/>
    <w:rsid w:val="00C807B0"/>
    <w:rsid w:val="00C81076"/>
    <w:rsid w:val="00C81CF0"/>
    <w:rsid w:val="00C85E83"/>
    <w:rsid w:val="00C9043C"/>
    <w:rsid w:val="00C93063"/>
    <w:rsid w:val="00C9506B"/>
    <w:rsid w:val="00C95355"/>
    <w:rsid w:val="00C967B4"/>
    <w:rsid w:val="00C97555"/>
    <w:rsid w:val="00CB0C0E"/>
    <w:rsid w:val="00CB0E51"/>
    <w:rsid w:val="00CB1595"/>
    <w:rsid w:val="00CC3129"/>
    <w:rsid w:val="00CC4815"/>
    <w:rsid w:val="00CC714B"/>
    <w:rsid w:val="00CC747F"/>
    <w:rsid w:val="00CD1FFB"/>
    <w:rsid w:val="00CD23C7"/>
    <w:rsid w:val="00CD5952"/>
    <w:rsid w:val="00CD683B"/>
    <w:rsid w:val="00CF21BD"/>
    <w:rsid w:val="00CF4D94"/>
    <w:rsid w:val="00D025EC"/>
    <w:rsid w:val="00D05326"/>
    <w:rsid w:val="00D05D53"/>
    <w:rsid w:val="00D06B51"/>
    <w:rsid w:val="00D13E49"/>
    <w:rsid w:val="00D14CB4"/>
    <w:rsid w:val="00D17F43"/>
    <w:rsid w:val="00D20437"/>
    <w:rsid w:val="00D2190E"/>
    <w:rsid w:val="00D21B76"/>
    <w:rsid w:val="00D26A0D"/>
    <w:rsid w:val="00D34A5D"/>
    <w:rsid w:val="00D354FA"/>
    <w:rsid w:val="00D371F4"/>
    <w:rsid w:val="00D419AF"/>
    <w:rsid w:val="00D43237"/>
    <w:rsid w:val="00D4411E"/>
    <w:rsid w:val="00D45FFD"/>
    <w:rsid w:val="00D50AFB"/>
    <w:rsid w:val="00D52BF4"/>
    <w:rsid w:val="00D5474B"/>
    <w:rsid w:val="00D5574A"/>
    <w:rsid w:val="00D56CA2"/>
    <w:rsid w:val="00D6088A"/>
    <w:rsid w:val="00D62647"/>
    <w:rsid w:val="00D62C94"/>
    <w:rsid w:val="00D73FBC"/>
    <w:rsid w:val="00D7400F"/>
    <w:rsid w:val="00D74DB3"/>
    <w:rsid w:val="00D81E5B"/>
    <w:rsid w:val="00D8604C"/>
    <w:rsid w:val="00D94B75"/>
    <w:rsid w:val="00D95F6B"/>
    <w:rsid w:val="00D97105"/>
    <w:rsid w:val="00D97FF7"/>
    <w:rsid w:val="00DA07F3"/>
    <w:rsid w:val="00DA13D9"/>
    <w:rsid w:val="00DA318B"/>
    <w:rsid w:val="00DA5241"/>
    <w:rsid w:val="00DA6BFF"/>
    <w:rsid w:val="00DB16A5"/>
    <w:rsid w:val="00DB45DC"/>
    <w:rsid w:val="00DB4983"/>
    <w:rsid w:val="00DB51CA"/>
    <w:rsid w:val="00DB5576"/>
    <w:rsid w:val="00DB587E"/>
    <w:rsid w:val="00DC1453"/>
    <w:rsid w:val="00DC7CC6"/>
    <w:rsid w:val="00DD3CBA"/>
    <w:rsid w:val="00DD50DE"/>
    <w:rsid w:val="00DD686B"/>
    <w:rsid w:val="00DE1D4C"/>
    <w:rsid w:val="00DE29EB"/>
    <w:rsid w:val="00DE60E9"/>
    <w:rsid w:val="00DE6D2B"/>
    <w:rsid w:val="00DE7249"/>
    <w:rsid w:val="00DF02C5"/>
    <w:rsid w:val="00DF3130"/>
    <w:rsid w:val="00DF4665"/>
    <w:rsid w:val="00DF5BB0"/>
    <w:rsid w:val="00DF6DE0"/>
    <w:rsid w:val="00E006F1"/>
    <w:rsid w:val="00E02864"/>
    <w:rsid w:val="00E06A3D"/>
    <w:rsid w:val="00E073F4"/>
    <w:rsid w:val="00E07540"/>
    <w:rsid w:val="00E14B0C"/>
    <w:rsid w:val="00E1744A"/>
    <w:rsid w:val="00E17DD1"/>
    <w:rsid w:val="00E213E1"/>
    <w:rsid w:val="00E22184"/>
    <w:rsid w:val="00E23067"/>
    <w:rsid w:val="00E23264"/>
    <w:rsid w:val="00E2364B"/>
    <w:rsid w:val="00E2370B"/>
    <w:rsid w:val="00E30F24"/>
    <w:rsid w:val="00E36420"/>
    <w:rsid w:val="00E432E8"/>
    <w:rsid w:val="00E457BB"/>
    <w:rsid w:val="00E46AEF"/>
    <w:rsid w:val="00E5054B"/>
    <w:rsid w:val="00E5158E"/>
    <w:rsid w:val="00E5202C"/>
    <w:rsid w:val="00E522CD"/>
    <w:rsid w:val="00E534BB"/>
    <w:rsid w:val="00E55AA2"/>
    <w:rsid w:val="00E56A40"/>
    <w:rsid w:val="00E60868"/>
    <w:rsid w:val="00E62B07"/>
    <w:rsid w:val="00E63A0E"/>
    <w:rsid w:val="00E63B8B"/>
    <w:rsid w:val="00E6439F"/>
    <w:rsid w:val="00E667D8"/>
    <w:rsid w:val="00E6723D"/>
    <w:rsid w:val="00E74412"/>
    <w:rsid w:val="00E76F02"/>
    <w:rsid w:val="00E84094"/>
    <w:rsid w:val="00E93DD3"/>
    <w:rsid w:val="00E94838"/>
    <w:rsid w:val="00E94A99"/>
    <w:rsid w:val="00E9754D"/>
    <w:rsid w:val="00EA003C"/>
    <w:rsid w:val="00EA575F"/>
    <w:rsid w:val="00EB0E04"/>
    <w:rsid w:val="00EB161C"/>
    <w:rsid w:val="00EB1DBF"/>
    <w:rsid w:val="00EB2411"/>
    <w:rsid w:val="00EB32BF"/>
    <w:rsid w:val="00EB66C4"/>
    <w:rsid w:val="00EC0083"/>
    <w:rsid w:val="00EC11DC"/>
    <w:rsid w:val="00EC429E"/>
    <w:rsid w:val="00EC5476"/>
    <w:rsid w:val="00ED2577"/>
    <w:rsid w:val="00ED55F2"/>
    <w:rsid w:val="00EE1EA1"/>
    <w:rsid w:val="00EE6D46"/>
    <w:rsid w:val="00EE7141"/>
    <w:rsid w:val="00EF0999"/>
    <w:rsid w:val="00EF19AD"/>
    <w:rsid w:val="00EF2C3C"/>
    <w:rsid w:val="00EF432A"/>
    <w:rsid w:val="00EF57A8"/>
    <w:rsid w:val="00F00588"/>
    <w:rsid w:val="00F05314"/>
    <w:rsid w:val="00F06CDD"/>
    <w:rsid w:val="00F128A6"/>
    <w:rsid w:val="00F13E1E"/>
    <w:rsid w:val="00F14E3E"/>
    <w:rsid w:val="00F16C48"/>
    <w:rsid w:val="00F17E55"/>
    <w:rsid w:val="00F21F79"/>
    <w:rsid w:val="00F2234C"/>
    <w:rsid w:val="00F22795"/>
    <w:rsid w:val="00F2691F"/>
    <w:rsid w:val="00F2752E"/>
    <w:rsid w:val="00F27A54"/>
    <w:rsid w:val="00F30C0A"/>
    <w:rsid w:val="00F33EBD"/>
    <w:rsid w:val="00F37E69"/>
    <w:rsid w:val="00F37FFA"/>
    <w:rsid w:val="00F40435"/>
    <w:rsid w:val="00F4282D"/>
    <w:rsid w:val="00F42A6F"/>
    <w:rsid w:val="00F44924"/>
    <w:rsid w:val="00F44EDE"/>
    <w:rsid w:val="00F4666D"/>
    <w:rsid w:val="00F46AE1"/>
    <w:rsid w:val="00F52583"/>
    <w:rsid w:val="00F53387"/>
    <w:rsid w:val="00F537D7"/>
    <w:rsid w:val="00F646A8"/>
    <w:rsid w:val="00F66F1C"/>
    <w:rsid w:val="00F71872"/>
    <w:rsid w:val="00F7482E"/>
    <w:rsid w:val="00F90F70"/>
    <w:rsid w:val="00F967CA"/>
    <w:rsid w:val="00FA06C3"/>
    <w:rsid w:val="00FA1A45"/>
    <w:rsid w:val="00FA1DEA"/>
    <w:rsid w:val="00FA3596"/>
    <w:rsid w:val="00FA4397"/>
    <w:rsid w:val="00FA6BCA"/>
    <w:rsid w:val="00FB1ED8"/>
    <w:rsid w:val="00FB2D69"/>
    <w:rsid w:val="00FB3415"/>
    <w:rsid w:val="00FB4302"/>
    <w:rsid w:val="00FB4A99"/>
    <w:rsid w:val="00FB59B1"/>
    <w:rsid w:val="00FB5F56"/>
    <w:rsid w:val="00FC0382"/>
    <w:rsid w:val="00FC0CA5"/>
    <w:rsid w:val="00FC460F"/>
    <w:rsid w:val="00FC52E5"/>
    <w:rsid w:val="00FC53A0"/>
    <w:rsid w:val="00FC76EE"/>
    <w:rsid w:val="00FD29DC"/>
    <w:rsid w:val="00FD2E94"/>
    <w:rsid w:val="00FD300E"/>
    <w:rsid w:val="00FD3F49"/>
    <w:rsid w:val="00FD6FC7"/>
    <w:rsid w:val="00FE1E54"/>
    <w:rsid w:val="00FE3D9D"/>
    <w:rsid w:val="00FF2096"/>
    <w:rsid w:val="00FF236A"/>
    <w:rsid w:val="00FF4B2A"/>
    <w:rsid w:val="00FF547A"/>
    <w:rsid w:val="00FF5495"/>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19"/>
    <w:rPr>
      <w:rFonts w:ascii="Times New Roman" w:eastAsia="Times New Roman" w:hAnsi="Times New Roman" w:cs="Times New Roman"/>
      <w:lang w:val="es-ES_tradnl"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paragraph" w:styleId="Ttulo4">
    <w:name w:val="heading 4"/>
    <w:basedOn w:val="Normal"/>
    <w:next w:val="Normal"/>
    <w:link w:val="Ttulo4Car"/>
    <w:uiPriority w:val="9"/>
    <w:semiHidden/>
    <w:unhideWhenUsed/>
    <w:qFormat/>
    <w:rsid w:val="00A027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customStyle="1" w:styleId="Mencinsinresolver1">
    <w:name w:val="Mención sin resolver1"/>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303F37"/>
  </w:style>
  <w:style w:type="character" w:customStyle="1" w:styleId="Ttulo4Car">
    <w:name w:val="Título 4 Car"/>
    <w:basedOn w:val="Fuentedeprrafopredeter"/>
    <w:link w:val="Ttulo4"/>
    <w:uiPriority w:val="9"/>
    <w:semiHidden/>
    <w:rsid w:val="00A02727"/>
    <w:rPr>
      <w:rFonts w:asciiTheme="majorHAnsi" w:eastAsiaTheme="majorEastAsia" w:hAnsiTheme="majorHAnsi" w:cstheme="majorBidi"/>
      <w:i/>
      <w:iCs/>
      <w:color w:val="2F5496" w:themeColor="accent1" w:themeShade="BF"/>
      <w:lang w:val="es-ES_tradnl" w:eastAsia="es-MX"/>
    </w:rPr>
  </w:style>
  <w:style w:type="character" w:styleId="Hipervnculovisitado">
    <w:name w:val="FollowedHyperlink"/>
    <w:basedOn w:val="Fuentedeprrafopredeter"/>
    <w:uiPriority w:val="99"/>
    <w:semiHidden/>
    <w:unhideWhenUsed/>
    <w:rsid w:val="00C63632"/>
    <w:rPr>
      <w:color w:val="954F72" w:themeColor="followedHyperlink"/>
      <w:u w:val="single"/>
    </w:rPr>
  </w:style>
  <w:style w:type="paragraph" w:customStyle="1" w:styleId="Default">
    <w:name w:val="Default"/>
    <w:rsid w:val="00D26A0D"/>
    <w:pPr>
      <w:autoSpaceDE w:val="0"/>
      <w:autoSpaceDN w:val="0"/>
      <w:adjustRightInd w:val="0"/>
    </w:pPr>
    <w:rPr>
      <w:rFonts w:ascii="Arial" w:hAnsi="Arial" w:cs="Arial"/>
      <w:color w:val="000000"/>
      <w:lang w:val="es-MX"/>
    </w:rPr>
  </w:style>
  <w:style w:type="table" w:customStyle="1" w:styleId="2">
    <w:name w:val="2"/>
    <w:basedOn w:val="Tablanormal"/>
    <w:rsid w:val="00460695"/>
    <w:pPr>
      <w:spacing w:before="120"/>
    </w:pPr>
    <w:rPr>
      <w:rFonts w:ascii="Calibri" w:eastAsia="Calibri" w:hAnsi="Calibri" w:cs="Calibri"/>
      <w:lang w:val="es-MX" w:eastAsia="es-ES_tradnl"/>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98">
      <w:bodyDiv w:val="1"/>
      <w:marLeft w:val="0"/>
      <w:marRight w:val="0"/>
      <w:marTop w:val="0"/>
      <w:marBottom w:val="0"/>
      <w:divBdr>
        <w:top w:val="none" w:sz="0" w:space="0" w:color="auto"/>
        <w:left w:val="none" w:sz="0" w:space="0" w:color="auto"/>
        <w:bottom w:val="none" w:sz="0" w:space="0" w:color="auto"/>
        <w:right w:val="none" w:sz="0" w:space="0" w:color="auto"/>
      </w:divBdr>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108859970">
      <w:bodyDiv w:val="1"/>
      <w:marLeft w:val="0"/>
      <w:marRight w:val="0"/>
      <w:marTop w:val="0"/>
      <w:marBottom w:val="0"/>
      <w:divBdr>
        <w:top w:val="none" w:sz="0" w:space="0" w:color="auto"/>
        <w:left w:val="none" w:sz="0" w:space="0" w:color="auto"/>
        <w:bottom w:val="none" w:sz="0" w:space="0" w:color="auto"/>
        <w:right w:val="none" w:sz="0" w:space="0" w:color="auto"/>
      </w:divBdr>
    </w:div>
    <w:div w:id="146285508">
      <w:bodyDiv w:val="1"/>
      <w:marLeft w:val="0"/>
      <w:marRight w:val="0"/>
      <w:marTop w:val="0"/>
      <w:marBottom w:val="0"/>
      <w:divBdr>
        <w:top w:val="none" w:sz="0" w:space="0" w:color="auto"/>
        <w:left w:val="none" w:sz="0" w:space="0" w:color="auto"/>
        <w:bottom w:val="none" w:sz="0" w:space="0" w:color="auto"/>
        <w:right w:val="none" w:sz="0" w:space="0" w:color="auto"/>
      </w:divBdr>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37074326">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433718327">
      <w:bodyDiv w:val="1"/>
      <w:marLeft w:val="0"/>
      <w:marRight w:val="0"/>
      <w:marTop w:val="0"/>
      <w:marBottom w:val="0"/>
      <w:divBdr>
        <w:top w:val="none" w:sz="0" w:space="0" w:color="auto"/>
        <w:left w:val="none" w:sz="0" w:space="0" w:color="auto"/>
        <w:bottom w:val="none" w:sz="0" w:space="0" w:color="auto"/>
        <w:right w:val="none" w:sz="0" w:space="0" w:color="auto"/>
      </w:divBdr>
      <w:divsChild>
        <w:div w:id="1906069724">
          <w:marLeft w:val="0"/>
          <w:marRight w:val="0"/>
          <w:marTop w:val="0"/>
          <w:marBottom w:val="0"/>
          <w:divBdr>
            <w:top w:val="none" w:sz="0" w:space="0" w:color="auto"/>
            <w:left w:val="none" w:sz="0" w:space="0" w:color="auto"/>
            <w:bottom w:val="none" w:sz="0" w:space="0" w:color="auto"/>
            <w:right w:val="none" w:sz="0" w:space="0" w:color="auto"/>
          </w:divBdr>
          <w:divsChild>
            <w:div w:id="976883789">
              <w:marLeft w:val="0"/>
              <w:marRight w:val="0"/>
              <w:marTop w:val="0"/>
              <w:marBottom w:val="0"/>
              <w:divBdr>
                <w:top w:val="none" w:sz="0" w:space="0" w:color="auto"/>
                <w:left w:val="none" w:sz="0" w:space="0" w:color="auto"/>
                <w:bottom w:val="none" w:sz="0" w:space="0" w:color="auto"/>
                <w:right w:val="none" w:sz="0" w:space="0" w:color="auto"/>
              </w:divBdr>
              <w:divsChild>
                <w:div w:id="384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587084021">
      <w:bodyDiv w:val="1"/>
      <w:marLeft w:val="0"/>
      <w:marRight w:val="0"/>
      <w:marTop w:val="0"/>
      <w:marBottom w:val="0"/>
      <w:divBdr>
        <w:top w:val="none" w:sz="0" w:space="0" w:color="auto"/>
        <w:left w:val="none" w:sz="0" w:space="0" w:color="auto"/>
        <w:bottom w:val="none" w:sz="0" w:space="0" w:color="auto"/>
        <w:right w:val="none" w:sz="0" w:space="0" w:color="auto"/>
      </w:divBdr>
    </w:div>
    <w:div w:id="609052755">
      <w:bodyDiv w:val="1"/>
      <w:marLeft w:val="0"/>
      <w:marRight w:val="0"/>
      <w:marTop w:val="0"/>
      <w:marBottom w:val="0"/>
      <w:divBdr>
        <w:top w:val="none" w:sz="0" w:space="0" w:color="auto"/>
        <w:left w:val="none" w:sz="0" w:space="0" w:color="auto"/>
        <w:bottom w:val="none" w:sz="0" w:space="0" w:color="auto"/>
        <w:right w:val="none" w:sz="0" w:space="0" w:color="auto"/>
      </w:divBdr>
      <w:divsChild>
        <w:div w:id="632098825">
          <w:marLeft w:val="0"/>
          <w:marRight w:val="0"/>
          <w:marTop w:val="0"/>
          <w:marBottom w:val="0"/>
          <w:divBdr>
            <w:top w:val="none" w:sz="0" w:space="0" w:color="auto"/>
            <w:left w:val="none" w:sz="0" w:space="0" w:color="auto"/>
            <w:bottom w:val="none" w:sz="0" w:space="0" w:color="auto"/>
            <w:right w:val="none" w:sz="0" w:space="0" w:color="auto"/>
          </w:divBdr>
          <w:divsChild>
            <w:div w:id="1516073896">
              <w:marLeft w:val="0"/>
              <w:marRight w:val="0"/>
              <w:marTop w:val="0"/>
              <w:marBottom w:val="0"/>
              <w:divBdr>
                <w:top w:val="none" w:sz="0" w:space="0" w:color="auto"/>
                <w:left w:val="none" w:sz="0" w:space="0" w:color="auto"/>
                <w:bottom w:val="none" w:sz="0" w:space="0" w:color="auto"/>
                <w:right w:val="none" w:sz="0" w:space="0" w:color="auto"/>
              </w:divBdr>
              <w:divsChild>
                <w:div w:id="18765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83442">
      <w:bodyDiv w:val="1"/>
      <w:marLeft w:val="0"/>
      <w:marRight w:val="0"/>
      <w:marTop w:val="0"/>
      <w:marBottom w:val="0"/>
      <w:divBdr>
        <w:top w:val="none" w:sz="0" w:space="0" w:color="auto"/>
        <w:left w:val="none" w:sz="0" w:space="0" w:color="auto"/>
        <w:bottom w:val="none" w:sz="0" w:space="0" w:color="auto"/>
        <w:right w:val="none" w:sz="0" w:space="0" w:color="auto"/>
      </w:divBdr>
      <w:divsChild>
        <w:div w:id="347830034">
          <w:marLeft w:val="0"/>
          <w:marRight w:val="0"/>
          <w:marTop w:val="0"/>
          <w:marBottom w:val="0"/>
          <w:divBdr>
            <w:top w:val="none" w:sz="0" w:space="0" w:color="auto"/>
            <w:left w:val="none" w:sz="0" w:space="0" w:color="auto"/>
            <w:bottom w:val="none" w:sz="0" w:space="0" w:color="auto"/>
            <w:right w:val="none" w:sz="0" w:space="0" w:color="auto"/>
          </w:divBdr>
          <w:divsChild>
            <w:div w:id="1119496435">
              <w:marLeft w:val="0"/>
              <w:marRight w:val="0"/>
              <w:marTop w:val="0"/>
              <w:marBottom w:val="0"/>
              <w:divBdr>
                <w:top w:val="none" w:sz="0" w:space="0" w:color="auto"/>
                <w:left w:val="none" w:sz="0" w:space="0" w:color="auto"/>
                <w:bottom w:val="none" w:sz="0" w:space="0" w:color="auto"/>
                <w:right w:val="none" w:sz="0" w:space="0" w:color="auto"/>
              </w:divBdr>
              <w:divsChild>
                <w:div w:id="1223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886841932">
      <w:bodyDiv w:val="1"/>
      <w:marLeft w:val="0"/>
      <w:marRight w:val="0"/>
      <w:marTop w:val="0"/>
      <w:marBottom w:val="0"/>
      <w:divBdr>
        <w:top w:val="none" w:sz="0" w:space="0" w:color="auto"/>
        <w:left w:val="none" w:sz="0" w:space="0" w:color="auto"/>
        <w:bottom w:val="none" w:sz="0" w:space="0" w:color="auto"/>
        <w:right w:val="none" w:sz="0" w:space="0" w:color="auto"/>
      </w:divBdr>
      <w:divsChild>
        <w:div w:id="659425936">
          <w:marLeft w:val="0"/>
          <w:marRight w:val="0"/>
          <w:marTop w:val="0"/>
          <w:marBottom w:val="0"/>
          <w:divBdr>
            <w:top w:val="none" w:sz="0" w:space="0" w:color="auto"/>
            <w:left w:val="none" w:sz="0" w:space="0" w:color="auto"/>
            <w:bottom w:val="none" w:sz="0" w:space="0" w:color="auto"/>
            <w:right w:val="none" w:sz="0" w:space="0" w:color="auto"/>
          </w:divBdr>
          <w:divsChild>
            <w:div w:id="1237932363">
              <w:marLeft w:val="0"/>
              <w:marRight w:val="0"/>
              <w:marTop w:val="0"/>
              <w:marBottom w:val="0"/>
              <w:divBdr>
                <w:top w:val="none" w:sz="0" w:space="0" w:color="auto"/>
                <w:left w:val="none" w:sz="0" w:space="0" w:color="auto"/>
                <w:bottom w:val="none" w:sz="0" w:space="0" w:color="auto"/>
                <w:right w:val="none" w:sz="0" w:space="0" w:color="auto"/>
              </w:divBdr>
              <w:divsChild>
                <w:div w:id="19794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14450">
      <w:bodyDiv w:val="1"/>
      <w:marLeft w:val="0"/>
      <w:marRight w:val="0"/>
      <w:marTop w:val="0"/>
      <w:marBottom w:val="0"/>
      <w:divBdr>
        <w:top w:val="none" w:sz="0" w:space="0" w:color="auto"/>
        <w:left w:val="none" w:sz="0" w:space="0" w:color="auto"/>
        <w:bottom w:val="none" w:sz="0" w:space="0" w:color="auto"/>
        <w:right w:val="none" w:sz="0" w:space="0" w:color="auto"/>
      </w:divBdr>
    </w:div>
    <w:div w:id="951012285">
      <w:bodyDiv w:val="1"/>
      <w:marLeft w:val="0"/>
      <w:marRight w:val="0"/>
      <w:marTop w:val="0"/>
      <w:marBottom w:val="0"/>
      <w:divBdr>
        <w:top w:val="none" w:sz="0" w:space="0" w:color="auto"/>
        <w:left w:val="none" w:sz="0" w:space="0" w:color="auto"/>
        <w:bottom w:val="none" w:sz="0" w:space="0" w:color="auto"/>
        <w:right w:val="none" w:sz="0" w:space="0" w:color="auto"/>
      </w:divBdr>
    </w:div>
    <w:div w:id="994911990">
      <w:bodyDiv w:val="1"/>
      <w:marLeft w:val="0"/>
      <w:marRight w:val="0"/>
      <w:marTop w:val="0"/>
      <w:marBottom w:val="0"/>
      <w:divBdr>
        <w:top w:val="none" w:sz="0" w:space="0" w:color="auto"/>
        <w:left w:val="none" w:sz="0" w:space="0" w:color="auto"/>
        <w:bottom w:val="none" w:sz="0" w:space="0" w:color="auto"/>
        <w:right w:val="none" w:sz="0" w:space="0" w:color="auto"/>
      </w:divBdr>
      <w:divsChild>
        <w:div w:id="724837066">
          <w:marLeft w:val="0"/>
          <w:marRight w:val="0"/>
          <w:marTop w:val="0"/>
          <w:marBottom w:val="0"/>
          <w:divBdr>
            <w:top w:val="none" w:sz="0" w:space="0" w:color="auto"/>
            <w:left w:val="none" w:sz="0" w:space="0" w:color="auto"/>
            <w:bottom w:val="none" w:sz="0" w:space="0" w:color="auto"/>
            <w:right w:val="none" w:sz="0" w:space="0" w:color="auto"/>
          </w:divBdr>
          <w:divsChild>
            <w:div w:id="519853884">
              <w:marLeft w:val="0"/>
              <w:marRight w:val="0"/>
              <w:marTop w:val="0"/>
              <w:marBottom w:val="0"/>
              <w:divBdr>
                <w:top w:val="none" w:sz="0" w:space="0" w:color="auto"/>
                <w:left w:val="none" w:sz="0" w:space="0" w:color="auto"/>
                <w:bottom w:val="none" w:sz="0" w:space="0" w:color="auto"/>
                <w:right w:val="none" w:sz="0" w:space="0" w:color="auto"/>
              </w:divBdr>
              <w:divsChild>
                <w:div w:id="9276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45984">
      <w:bodyDiv w:val="1"/>
      <w:marLeft w:val="0"/>
      <w:marRight w:val="0"/>
      <w:marTop w:val="0"/>
      <w:marBottom w:val="0"/>
      <w:divBdr>
        <w:top w:val="none" w:sz="0" w:space="0" w:color="auto"/>
        <w:left w:val="none" w:sz="0" w:space="0" w:color="auto"/>
        <w:bottom w:val="none" w:sz="0" w:space="0" w:color="auto"/>
        <w:right w:val="none" w:sz="0" w:space="0" w:color="auto"/>
      </w:divBdr>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381832082">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151066584">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5248">
      <w:bodyDiv w:val="1"/>
      <w:marLeft w:val="0"/>
      <w:marRight w:val="0"/>
      <w:marTop w:val="0"/>
      <w:marBottom w:val="0"/>
      <w:divBdr>
        <w:top w:val="none" w:sz="0" w:space="0" w:color="auto"/>
        <w:left w:val="none" w:sz="0" w:space="0" w:color="auto"/>
        <w:bottom w:val="none" w:sz="0" w:space="0" w:color="auto"/>
        <w:right w:val="none" w:sz="0" w:space="0" w:color="auto"/>
      </w:divBdr>
      <w:divsChild>
        <w:div w:id="1541093712">
          <w:marLeft w:val="0"/>
          <w:marRight w:val="0"/>
          <w:marTop w:val="0"/>
          <w:marBottom w:val="0"/>
          <w:divBdr>
            <w:top w:val="none" w:sz="0" w:space="0" w:color="auto"/>
            <w:left w:val="none" w:sz="0" w:space="0" w:color="auto"/>
            <w:bottom w:val="none" w:sz="0" w:space="0" w:color="auto"/>
            <w:right w:val="none" w:sz="0" w:space="0" w:color="auto"/>
          </w:divBdr>
          <w:divsChild>
            <w:div w:id="928268909">
              <w:marLeft w:val="0"/>
              <w:marRight w:val="0"/>
              <w:marTop w:val="0"/>
              <w:marBottom w:val="0"/>
              <w:divBdr>
                <w:top w:val="none" w:sz="0" w:space="0" w:color="auto"/>
                <w:left w:val="none" w:sz="0" w:space="0" w:color="auto"/>
                <w:bottom w:val="none" w:sz="0" w:space="0" w:color="auto"/>
                <w:right w:val="none" w:sz="0" w:space="0" w:color="auto"/>
              </w:divBdr>
              <w:divsChild>
                <w:div w:id="581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031244">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560088786">
      <w:bodyDiv w:val="1"/>
      <w:marLeft w:val="0"/>
      <w:marRight w:val="0"/>
      <w:marTop w:val="0"/>
      <w:marBottom w:val="0"/>
      <w:divBdr>
        <w:top w:val="none" w:sz="0" w:space="0" w:color="auto"/>
        <w:left w:val="none" w:sz="0" w:space="0" w:color="auto"/>
        <w:bottom w:val="none" w:sz="0" w:space="0" w:color="auto"/>
        <w:right w:val="none" w:sz="0" w:space="0" w:color="auto"/>
      </w:divBdr>
      <w:divsChild>
        <w:div w:id="526336664">
          <w:marLeft w:val="0"/>
          <w:marRight w:val="0"/>
          <w:marTop w:val="0"/>
          <w:marBottom w:val="0"/>
          <w:divBdr>
            <w:top w:val="none" w:sz="0" w:space="0" w:color="auto"/>
            <w:left w:val="none" w:sz="0" w:space="0" w:color="auto"/>
            <w:bottom w:val="none" w:sz="0" w:space="0" w:color="auto"/>
            <w:right w:val="none" w:sz="0" w:space="0" w:color="auto"/>
          </w:divBdr>
          <w:divsChild>
            <w:div w:id="2057464757">
              <w:marLeft w:val="0"/>
              <w:marRight w:val="0"/>
              <w:marTop w:val="0"/>
              <w:marBottom w:val="0"/>
              <w:divBdr>
                <w:top w:val="none" w:sz="0" w:space="0" w:color="auto"/>
                <w:left w:val="none" w:sz="0" w:space="0" w:color="auto"/>
                <w:bottom w:val="none" w:sz="0" w:space="0" w:color="auto"/>
                <w:right w:val="none" w:sz="0" w:space="0" w:color="auto"/>
              </w:divBdr>
              <w:divsChild>
                <w:div w:id="9079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650090261">
      <w:bodyDiv w:val="1"/>
      <w:marLeft w:val="0"/>
      <w:marRight w:val="0"/>
      <w:marTop w:val="0"/>
      <w:marBottom w:val="0"/>
      <w:divBdr>
        <w:top w:val="none" w:sz="0" w:space="0" w:color="auto"/>
        <w:left w:val="none" w:sz="0" w:space="0" w:color="auto"/>
        <w:bottom w:val="none" w:sz="0" w:space="0" w:color="auto"/>
        <w:right w:val="none" w:sz="0" w:space="0" w:color="auto"/>
      </w:divBdr>
      <w:divsChild>
        <w:div w:id="228663037">
          <w:marLeft w:val="0"/>
          <w:marRight w:val="0"/>
          <w:marTop w:val="0"/>
          <w:marBottom w:val="0"/>
          <w:divBdr>
            <w:top w:val="none" w:sz="0" w:space="0" w:color="auto"/>
            <w:left w:val="none" w:sz="0" w:space="0" w:color="auto"/>
            <w:bottom w:val="none" w:sz="0" w:space="0" w:color="auto"/>
            <w:right w:val="none" w:sz="0" w:space="0" w:color="auto"/>
          </w:divBdr>
          <w:divsChild>
            <w:div w:id="997659273">
              <w:marLeft w:val="0"/>
              <w:marRight w:val="0"/>
              <w:marTop w:val="0"/>
              <w:marBottom w:val="0"/>
              <w:divBdr>
                <w:top w:val="none" w:sz="0" w:space="0" w:color="auto"/>
                <w:left w:val="none" w:sz="0" w:space="0" w:color="auto"/>
                <w:bottom w:val="none" w:sz="0" w:space="0" w:color="auto"/>
                <w:right w:val="none" w:sz="0" w:space="0" w:color="auto"/>
              </w:divBdr>
              <w:divsChild>
                <w:div w:id="7747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36345">
      <w:bodyDiv w:val="1"/>
      <w:marLeft w:val="0"/>
      <w:marRight w:val="0"/>
      <w:marTop w:val="0"/>
      <w:marBottom w:val="0"/>
      <w:divBdr>
        <w:top w:val="none" w:sz="0" w:space="0" w:color="auto"/>
        <w:left w:val="none" w:sz="0" w:space="0" w:color="auto"/>
        <w:bottom w:val="none" w:sz="0" w:space="0" w:color="auto"/>
        <w:right w:val="none" w:sz="0" w:space="0" w:color="auto"/>
      </w:divBdr>
    </w:div>
    <w:div w:id="1705908602">
      <w:bodyDiv w:val="1"/>
      <w:marLeft w:val="0"/>
      <w:marRight w:val="0"/>
      <w:marTop w:val="0"/>
      <w:marBottom w:val="0"/>
      <w:divBdr>
        <w:top w:val="none" w:sz="0" w:space="0" w:color="auto"/>
        <w:left w:val="none" w:sz="0" w:space="0" w:color="auto"/>
        <w:bottom w:val="none" w:sz="0" w:space="0" w:color="auto"/>
        <w:right w:val="none" w:sz="0" w:space="0" w:color="auto"/>
      </w:divBdr>
    </w:div>
    <w:div w:id="1730685673">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80875609">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2018271483">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C9C184F-03D0-4DA7-9E5D-996292418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B7F1C0-1756-4140-9A45-94FD109DB406}">
  <ds:schemaRefs>
    <ds:schemaRef ds:uri="http://schemas.microsoft.com/sharepoint/v3/contenttype/forms"/>
  </ds:schemaRefs>
</ds:datastoreItem>
</file>

<file path=customXml/itemProps4.xml><?xml version="1.0" encoding="utf-8"?>
<ds:datastoreItem xmlns:ds="http://schemas.openxmlformats.org/officeDocument/2006/customXml" ds:itemID="{39CFA380-6E12-4B69-B07B-03C392286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24</Pages>
  <Words>8194</Words>
  <Characters>45068</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Luisa Fernanda Pascuaza Cabrera</cp:lastModifiedBy>
  <cp:revision>5</cp:revision>
  <cp:lastPrinted>2022-09-23T06:38:00Z</cp:lastPrinted>
  <dcterms:created xsi:type="dcterms:W3CDTF">2022-10-26T01:30:00Z</dcterms:created>
  <dcterms:modified xsi:type="dcterms:W3CDTF">2022-11-09T22:44:00Z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