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17894" w14:textId="77777777" w:rsidR="004C11DC" w:rsidRPr="00F57B81" w:rsidRDefault="004C11DC" w:rsidP="004C11DC">
      <w:pPr>
        <w:spacing w:after="0" w:line="240" w:lineRule="auto"/>
        <w:jc w:val="both"/>
        <w:rPr>
          <w:rFonts w:ascii="Verdana" w:eastAsia="Arial" w:hAnsi="Verdana" w:cs="Arial"/>
          <w:color w:val="000000"/>
        </w:rPr>
      </w:pPr>
      <w:bookmarkStart w:id="0" w:name="_Hlk186494164"/>
      <w:r w:rsidRPr="00F57B81">
        <w:rPr>
          <w:rFonts w:ascii="Verdana" w:eastAsia="Arial" w:hAnsi="Verdana" w:cs="Arial"/>
          <w:b/>
          <w:color w:val="000000"/>
        </w:rPr>
        <w:t>PRINCIPIO DE SELECCIÓN OBJETIVA – Fundamento – Alcance</w:t>
      </w:r>
    </w:p>
    <w:p w14:paraId="6C3BAAB1" w14:textId="77777777" w:rsidR="004C11DC" w:rsidRPr="00F57B81" w:rsidRDefault="004C11DC" w:rsidP="004C11DC">
      <w:pPr>
        <w:spacing w:after="0" w:line="240" w:lineRule="auto"/>
        <w:jc w:val="both"/>
        <w:rPr>
          <w:rFonts w:ascii="Verdana" w:eastAsia="Arial" w:hAnsi="Verdana" w:cs="Arial"/>
          <w:color w:val="000000"/>
          <w:sz w:val="20"/>
          <w:szCs w:val="20"/>
        </w:rPr>
      </w:pPr>
    </w:p>
    <w:p w14:paraId="48103BEA" w14:textId="77777777" w:rsidR="004C11DC" w:rsidRPr="00F57B81" w:rsidRDefault="004C11DC" w:rsidP="004C11DC">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F57B81">
        <w:rPr>
          <w:rFonts w:ascii="Verdana" w:eastAsia="Arial" w:hAnsi="Verdana" w:cs="Arial"/>
          <w:color w:val="000000"/>
          <w:sz w:val="20"/>
          <w:szCs w:val="20"/>
        </w:rPr>
        <w:tab/>
      </w:r>
    </w:p>
    <w:p w14:paraId="31D76457" w14:textId="77777777" w:rsidR="004C11DC" w:rsidRPr="00F57B81" w:rsidRDefault="004C11DC" w:rsidP="004C11DC">
      <w:pPr>
        <w:spacing w:after="0" w:line="240" w:lineRule="auto"/>
        <w:jc w:val="both"/>
        <w:rPr>
          <w:rFonts w:ascii="Verdana" w:eastAsia="Arial" w:hAnsi="Verdana" w:cs="Arial"/>
          <w:color w:val="000000"/>
          <w:sz w:val="20"/>
          <w:szCs w:val="20"/>
        </w:rPr>
      </w:pPr>
    </w:p>
    <w:p w14:paraId="2F311966" w14:textId="77777777" w:rsidR="004C11DC" w:rsidRPr="00F57B81" w:rsidRDefault="004C11DC" w:rsidP="004C11DC">
      <w:pPr>
        <w:spacing w:after="0" w:line="240" w:lineRule="auto"/>
        <w:jc w:val="both"/>
        <w:rPr>
          <w:rFonts w:ascii="Verdana" w:eastAsia="Arial" w:hAnsi="Verdana" w:cs="Arial"/>
          <w:b/>
          <w:color w:val="000000"/>
        </w:rPr>
      </w:pPr>
      <w:r w:rsidRPr="00F57B81">
        <w:rPr>
          <w:rFonts w:ascii="Verdana" w:eastAsia="Arial" w:hAnsi="Verdana" w:cs="Arial"/>
          <w:b/>
          <w:color w:val="000000"/>
        </w:rPr>
        <w:t>SUBSANABILIDAD – Concepto de unificación – Aplicación – Improcedencia – Circunstancias posteriores – Cierre del proceso</w:t>
      </w:r>
    </w:p>
    <w:p w14:paraId="09A835F3" w14:textId="77777777" w:rsidR="004C11DC" w:rsidRPr="00F57B81" w:rsidRDefault="004C11DC" w:rsidP="004C11DC">
      <w:pPr>
        <w:spacing w:after="0" w:line="240" w:lineRule="auto"/>
        <w:jc w:val="both"/>
        <w:rPr>
          <w:rFonts w:ascii="Verdana" w:eastAsia="Arial" w:hAnsi="Verdana" w:cs="Arial"/>
          <w:color w:val="000000"/>
          <w:sz w:val="20"/>
          <w:szCs w:val="20"/>
        </w:rPr>
      </w:pPr>
    </w:p>
    <w:p w14:paraId="152A613B" w14:textId="77777777" w:rsidR="004C11DC" w:rsidRPr="00F57B81" w:rsidRDefault="004C11DC" w:rsidP="004C11DC">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w:t>
      </w:r>
      <w:r w:rsidRPr="00F57B81">
        <w:rPr>
          <w:rFonts w:ascii="Verdana" w:eastAsia="Arial" w:hAnsi="Verdana" w:cs="Arial"/>
          <w:color w:val="000000"/>
          <w:sz w:val="20"/>
          <w:szCs w:val="20"/>
        </w:rPr>
        <w:lastRenderedPageBreak/>
        <w:t>con la propuesta no será subsanable y será causal de rechazo de la misma”, lo cierto es que la subsanabilidad de las ofertas debe interpretarse como una regla general en relación con la falta de entrega o con los defectos de los requisitos habilitantes.</w:t>
      </w:r>
    </w:p>
    <w:p w14:paraId="15E0BF85" w14:textId="77777777" w:rsidR="004C11DC" w:rsidRPr="00F57B81" w:rsidRDefault="004C11DC" w:rsidP="004C11DC">
      <w:pPr>
        <w:spacing w:after="0" w:line="240" w:lineRule="auto"/>
        <w:jc w:val="both"/>
        <w:rPr>
          <w:rFonts w:ascii="Verdana" w:eastAsia="Arial" w:hAnsi="Verdana" w:cs="Arial"/>
          <w:color w:val="000000"/>
          <w:sz w:val="20"/>
          <w:szCs w:val="20"/>
        </w:rPr>
      </w:pPr>
    </w:p>
    <w:p w14:paraId="6A2015CC" w14:textId="77777777" w:rsidR="004C11DC" w:rsidRPr="00F57B81" w:rsidRDefault="004C11DC" w:rsidP="004C11DC">
      <w:pPr>
        <w:spacing w:after="0" w:line="240" w:lineRule="auto"/>
        <w:jc w:val="both"/>
        <w:rPr>
          <w:rFonts w:ascii="Verdana" w:eastAsia="Arial" w:hAnsi="Verdana" w:cs="Arial"/>
          <w:color w:val="000000"/>
        </w:rPr>
      </w:pPr>
      <w:r w:rsidRPr="00F57B81">
        <w:rPr>
          <w:rFonts w:ascii="Verdana" w:eastAsia="Arial" w:hAnsi="Verdana" w:cs="Arial"/>
          <w:b/>
          <w:color w:val="000000"/>
        </w:rPr>
        <w:t xml:space="preserve">SUBSANABILIDAD – Oportunidad – Traslado – Informe de evaluación </w:t>
      </w:r>
    </w:p>
    <w:p w14:paraId="6BF1340F" w14:textId="77777777" w:rsidR="004C11DC" w:rsidRPr="00F57B81" w:rsidRDefault="004C11DC" w:rsidP="004C11DC">
      <w:pPr>
        <w:spacing w:after="0" w:line="240" w:lineRule="auto"/>
        <w:jc w:val="both"/>
        <w:rPr>
          <w:rFonts w:ascii="Verdana" w:eastAsia="Arial" w:hAnsi="Verdana" w:cs="Arial"/>
          <w:color w:val="000000"/>
          <w:sz w:val="20"/>
          <w:szCs w:val="20"/>
        </w:rPr>
      </w:pPr>
    </w:p>
    <w:p w14:paraId="1F671472" w14:textId="77777777" w:rsidR="004C11DC" w:rsidRPr="00F57B81" w:rsidRDefault="004C11DC" w:rsidP="004C11DC">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50880998" w14:textId="77777777" w:rsidR="004C11DC" w:rsidRPr="00F57B81" w:rsidRDefault="004C11DC" w:rsidP="004C11DC">
      <w:pPr>
        <w:spacing w:after="0" w:line="240" w:lineRule="auto"/>
        <w:rPr>
          <w:rFonts w:ascii="Verdana" w:eastAsia="Geomanist Light" w:hAnsi="Verdana" w:cs="Arial"/>
          <w:color w:val="000000" w:themeColor="text1"/>
        </w:rPr>
      </w:pPr>
    </w:p>
    <w:p w14:paraId="0DE4DE32" w14:textId="77777777" w:rsidR="004C11DC" w:rsidRDefault="004C11DC" w:rsidP="004C11DC">
      <w:pPr>
        <w:spacing w:after="0" w:line="240" w:lineRule="auto"/>
        <w:rPr>
          <w:rFonts w:ascii="Verdana" w:eastAsia="Geomanist Light" w:hAnsi="Verdana" w:cs="Arial"/>
          <w:color w:val="000000" w:themeColor="text1"/>
          <w:lang w:val="es-MX"/>
        </w:rPr>
      </w:pPr>
    </w:p>
    <w:p w14:paraId="202CCCB4" w14:textId="77777777" w:rsidR="004C11DC" w:rsidRPr="004B3E2D" w:rsidRDefault="004C11DC" w:rsidP="004C11DC">
      <w:pPr>
        <w:spacing w:after="0" w:line="240" w:lineRule="auto"/>
        <w:rPr>
          <w:rFonts w:ascii="Verdana" w:hAnsi="Verdana"/>
          <w:b/>
          <w:bCs/>
          <w:sz w:val="20"/>
          <w:szCs w:val="20"/>
          <w:lang w:val="es-MX"/>
        </w:rPr>
      </w:pPr>
    </w:p>
    <w:p w14:paraId="71B5D321" w14:textId="77777777" w:rsidR="004C11DC" w:rsidRPr="00526681" w:rsidRDefault="004C11DC" w:rsidP="004C11DC">
      <w:pPr>
        <w:spacing w:after="0" w:line="240" w:lineRule="auto"/>
        <w:rPr>
          <w:rFonts w:ascii="Verdana" w:hAnsi="Verdana"/>
          <w:b/>
          <w:bCs/>
          <w:sz w:val="20"/>
          <w:szCs w:val="20"/>
        </w:rPr>
      </w:pPr>
    </w:p>
    <w:p w14:paraId="67718C9A" w14:textId="77777777" w:rsidR="004C11DC" w:rsidRPr="00526681" w:rsidRDefault="004C11DC" w:rsidP="004C11DC">
      <w:pPr>
        <w:spacing w:after="0" w:line="240" w:lineRule="auto"/>
        <w:rPr>
          <w:rFonts w:ascii="Verdana" w:hAnsi="Verdana"/>
          <w:b/>
          <w:bCs/>
          <w:sz w:val="20"/>
          <w:szCs w:val="20"/>
        </w:rPr>
      </w:pPr>
    </w:p>
    <w:p w14:paraId="0A2BD447" w14:textId="77777777" w:rsidR="004C11DC" w:rsidRPr="00526681" w:rsidRDefault="004C11DC" w:rsidP="004C11DC">
      <w:pPr>
        <w:spacing w:after="0" w:line="240" w:lineRule="auto"/>
        <w:rPr>
          <w:rFonts w:ascii="Verdana" w:hAnsi="Verdana"/>
          <w:b/>
          <w:bCs/>
          <w:sz w:val="20"/>
          <w:szCs w:val="20"/>
        </w:rPr>
      </w:pPr>
    </w:p>
    <w:p w14:paraId="4E7B6396" w14:textId="77777777" w:rsidR="004C11DC" w:rsidRPr="00526681" w:rsidRDefault="004C11DC" w:rsidP="004C11DC">
      <w:pPr>
        <w:spacing w:after="0" w:line="240" w:lineRule="auto"/>
        <w:rPr>
          <w:rFonts w:ascii="Verdana" w:hAnsi="Verdana"/>
          <w:b/>
          <w:bCs/>
          <w:sz w:val="20"/>
          <w:szCs w:val="20"/>
        </w:rPr>
      </w:pPr>
    </w:p>
    <w:p w14:paraId="6EA84961" w14:textId="77777777" w:rsidR="004C11DC" w:rsidRPr="00526681" w:rsidRDefault="004C11DC" w:rsidP="004C11DC">
      <w:pPr>
        <w:spacing w:after="0" w:line="240" w:lineRule="auto"/>
        <w:rPr>
          <w:rFonts w:ascii="Verdana" w:hAnsi="Verdana"/>
          <w:b/>
          <w:bCs/>
          <w:sz w:val="20"/>
          <w:szCs w:val="20"/>
        </w:rPr>
      </w:pPr>
    </w:p>
    <w:p w14:paraId="491410EA" w14:textId="77777777" w:rsidR="004C11DC" w:rsidRPr="00526681" w:rsidRDefault="004C11DC" w:rsidP="004C11DC">
      <w:pPr>
        <w:spacing w:after="0" w:line="240" w:lineRule="auto"/>
        <w:rPr>
          <w:rFonts w:ascii="Verdana" w:hAnsi="Verdana"/>
          <w:b/>
          <w:bCs/>
          <w:sz w:val="20"/>
          <w:szCs w:val="20"/>
        </w:rPr>
      </w:pPr>
    </w:p>
    <w:p w14:paraId="21D9B275" w14:textId="77777777" w:rsidR="004C11DC" w:rsidRPr="00526681" w:rsidRDefault="004C11DC" w:rsidP="004C11DC">
      <w:pPr>
        <w:spacing w:after="0" w:line="240" w:lineRule="auto"/>
        <w:rPr>
          <w:rFonts w:ascii="Verdana" w:hAnsi="Verdana"/>
          <w:b/>
          <w:bCs/>
          <w:sz w:val="20"/>
          <w:szCs w:val="20"/>
        </w:rPr>
      </w:pPr>
    </w:p>
    <w:p w14:paraId="379FF6FD" w14:textId="77777777" w:rsidR="004C11DC" w:rsidRPr="00526681" w:rsidRDefault="004C11DC" w:rsidP="004C11DC">
      <w:pPr>
        <w:spacing w:after="0" w:line="240" w:lineRule="auto"/>
        <w:rPr>
          <w:rFonts w:ascii="Verdana" w:hAnsi="Verdana"/>
          <w:b/>
          <w:bCs/>
          <w:sz w:val="20"/>
          <w:szCs w:val="20"/>
        </w:rPr>
      </w:pPr>
    </w:p>
    <w:p w14:paraId="0ED32280" w14:textId="77777777" w:rsidR="004C11DC" w:rsidRPr="00526681" w:rsidRDefault="004C11DC" w:rsidP="004C11DC">
      <w:pPr>
        <w:spacing w:after="0" w:line="240" w:lineRule="auto"/>
        <w:rPr>
          <w:rFonts w:ascii="Verdana" w:hAnsi="Verdana"/>
          <w:b/>
          <w:bCs/>
          <w:sz w:val="20"/>
          <w:szCs w:val="20"/>
        </w:rPr>
      </w:pPr>
    </w:p>
    <w:p w14:paraId="54DF5321" w14:textId="77777777" w:rsidR="004C11DC" w:rsidRPr="00526681" w:rsidRDefault="004C11DC" w:rsidP="004C11DC">
      <w:pPr>
        <w:spacing w:after="0" w:line="240" w:lineRule="auto"/>
        <w:rPr>
          <w:rFonts w:ascii="Verdana" w:hAnsi="Verdana"/>
          <w:b/>
          <w:bCs/>
          <w:sz w:val="20"/>
          <w:szCs w:val="20"/>
        </w:rPr>
      </w:pPr>
    </w:p>
    <w:p w14:paraId="1684EF89" w14:textId="77777777" w:rsidR="004C11DC" w:rsidRDefault="004C11DC" w:rsidP="004C11DC">
      <w:pPr>
        <w:spacing w:after="0" w:line="240" w:lineRule="auto"/>
        <w:rPr>
          <w:rFonts w:ascii="Verdana" w:eastAsia="Geomanist Light" w:hAnsi="Verdana" w:cs="Arial"/>
          <w:color w:val="000000" w:themeColor="text1"/>
        </w:rPr>
      </w:pPr>
    </w:p>
    <w:p w14:paraId="04E60662" w14:textId="77777777" w:rsidR="004C11DC" w:rsidRDefault="004C11DC" w:rsidP="004C11DC">
      <w:pPr>
        <w:spacing w:after="0" w:line="240" w:lineRule="auto"/>
        <w:rPr>
          <w:rFonts w:ascii="Verdana" w:eastAsia="Geomanist Light" w:hAnsi="Verdana" w:cs="Arial"/>
          <w:color w:val="000000" w:themeColor="text1"/>
        </w:rPr>
      </w:pPr>
    </w:p>
    <w:p w14:paraId="078F8624" w14:textId="77777777" w:rsidR="004C11DC" w:rsidRDefault="004C11DC" w:rsidP="004C11DC">
      <w:pPr>
        <w:spacing w:after="0" w:line="240" w:lineRule="auto"/>
        <w:rPr>
          <w:rFonts w:ascii="Verdana" w:eastAsia="Geomanist Light" w:hAnsi="Verdana" w:cs="Arial"/>
          <w:color w:val="000000" w:themeColor="text1"/>
        </w:rPr>
      </w:pPr>
    </w:p>
    <w:p w14:paraId="2819D0D2" w14:textId="77777777" w:rsidR="004C11DC" w:rsidRDefault="004C11DC" w:rsidP="004C11DC">
      <w:pPr>
        <w:spacing w:after="0" w:line="240" w:lineRule="auto"/>
        <w:rPr>
          <w:rFonts w:ascii="Verdana" w:eastAsia="Geomanist Light" w:hAnsi="Verdana" w:cs="Arial"/>
          <w:color w:val="000000" w:themeColor="text1"/>
        </w:rPr>
      </w:pPr>
    </w:p>
    <w:p w14:paraId="016CD58B" w14:textId="77777777" w:rsidR="004C11DC" w:rsidRPr="00526681" w:rsidRDefault="004C11DC" w:rsidP="004C11DC">
      <w:pPr>
        <w:spacing w:after="0" w:line="240" w:lineRule="auto"/>
        <w:rPr>
          <w:rFonts w:ascii="Verdana" w:eastAsia="Calibri" w:hAnsi="Verdana" w:cs="Arial"/>
          <w:color w:val="000000"/>
        </w:rPr>
      </w:pPr>
      <w:r w:rsidRPr="00526681">
        <w:rPr>
          <w:rFonts w:ascii="Verdana" w:eastAsia="Geomanist Light" w:hAnsi="Verdana" w:cs="Arial"/>
          <w:color w:val="000000" w:themeColor="text1"/>
        </w:rPr>
        <w:t>Bogotá D.C., </w:t>
      </w:r>
      <w:r w:rsidRPr="00526681">
        <w:rPr>
          <w:rFonts w:ascii="Verdana" w:eastAsia="Geomanist Light" w:hAnsi="Verdana" w:cs="Arial"/>
          <w:color w:val="201F1E"/>
        </w:rPr>
        <w:t>[Día] de [Mes.NombreCapitalizado] de [Año]</w:t>
      </w:r>
    </w:p>
    <w:p w14:paraId="4748F363" w14:textId="77777777" w:rsidR="004C11DC" w:rsidRPr="00526681" w:rsidRDefault="004C11DC" w:rsidP="004C11DC">
      <w:pPr>
        <w:spacing w:after="0" w:line="240" w:lineRule="auto"/>
        <w:jc w:val="right"/>
        <w:rPr>
          <w:rFonts w:ascii="Verdana" w:eastAsia="Calibri" w:hAnsi="Verdana" w:cs="Arial"/>
          <w:color w:val="000000"/>
        </w:rPr>
      </w:pPr>
    </w:p>
    <w:p w14:paraId="54ADF827" w14:textId="56428AF4" w:rsidR="004C11DC" w:rsidRPr="00526681" w:rsidRDefault="008C5DDE" w:rsidP="004C11DC">
      <w:pPr>
        <w:spacing w:after="0" w:line="240" w:lineRule="auto"/>
        <w:jc w:val="right"/>
        <w:rPr>
          <w:rFonts w:ascii="Verdana" w:eastAsia="Calibri" w:hAnsi="Verdana" w:cs="Arial"/>
          <w:color w:val="000000"/>
        </w:rPr>
      </w:pPr>
      <w:r w:rsidRPr="008C5DDE">
        <w:rPr>
          <w:rFonts w:ascii="Verdana" w:eastAsia="Calibri" w:hAnsi="Verdana" w:cs="Arial"/>
          <w:color w:val="000000"/>
        </w:rPr>
        <w:drawing>
          <wp:inline distT="0" distB="0" distL="0" distR="0" wp14:anchorId="51D99AF1" wp14:editId="0A4DFA17">
            <wp:extent cx="3386363" cy="889313"/>
            <wp:effectExtent l="0" t="0" r="5080" b="6350"/>
            <wp:docPr id="656530247"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30247" name="Imagen 1" descr="Interfaz de usuario gráfica, Texto&#10;&#10;El contenido generado por IA puede ser incorrecto."/>
                    <pic:cNvPicPr/>
                  </pic:nvPicPr>
                  <pic:blipFill>
                    <a:blip r:embed="rId7"/>
                    <a:stretch>
                      <a:fillRect/>
                    </a:stretch>
                  </pic:blipFill>
                  <pic:spPr>
                    <a:xfrm>
                      <a:off x="0" y="0"/>
                      <a:ext cx="3406624" cy="894634"/>
                    </a:xfrm>
                    <a:prstGeom prst="rect">
                      <a:avLst/>
                    </a:prstGeom>
                  </pic:spPr>
                </pic:pic>
              </a:graphicData>
            </a:graphic>
          </wp:inline>
        </w:drawing>
      </w:r>
    </w:p>
    <w:p w14:paraId="3115D7A5" w14:textId="77777777" w:rsidR="004C11DC" w:rsidRPr="00526681" w:rsidRDefault="004C11DC" w:rsidP="004C11DC">
      <w:pPr>
        <w:spacing w:after="0" w:line="240" w:lineRule="auto"/>
        <w:jc w:val="both"/>
        <w:rPr>
          <w:rFonts w:ascii="Verdana" w:eastAsia="Calibri" w:hAnsi="Verdana" w:cs="Arial"/>
          <w:lang w:eastAsia="es-ES"/>
        </w:rPr>
      </w:pPr>
    </w:p>
    <w:p w14:paraId="2DFEA8DD" w14:textId="77777777" w:rsidR="004C11DC" w:rsidRPr="00526681" w:rsidRDefault="004C11DC" w:rsidP="004C11DC">
      <w:pPr>
        <w:spacing w:after="0" w:line="240" w:lineRule="auto"/>
        <w:jc w:val="both"/>
        <w:rPr>
          <w:rFonts w:ascii="Verdana" w:eastAsia="Calibri" w:hAnsi="Verdana" w:cs="Arial"/>
          <w:lang w:eastAsia="es-ES"/>
        </w:rPr>
      </w:pPr>
      <w:r w:rsidRPr="00526681">
        <w:rPr>
          <w:rFonts w:ascii="Verdana" w:eastAsia="Calibri" w:hAnsi="Verdana" w:cs="Arial"/>
          <w:lang w:eastAsia="es-ES"/>
        </w:rPr>
        <w:t>Señor</w:t>
      </w:r>
    </w:p>
    <w:p w14:paraId="1DA0EA8C" w14:textId="77777777" w:rsidR="004C11DC" w:rsidRDefault="004C11DC" w:rsidP="004C11DC">
      <w:pPr>
        <w:spacing w:after="0" w:line="240" w:lineRule="auto"/>
        <w:rPr>
          <w:rFonts w:ascii="Verdana" w:eastAsia="Calibri" w:hAnsi="Verdana" w:cs="Arial"/>
          <w:b/>
          <w:lang w:eastAsia="es-ES"/>
        </w:rPr>
      </w:pPr>
      <w:r w:rsidRPr="00827F38">
        <w:rPr>
          <w:rFonts w:ascii="Verdana" w:eastAsia="Calibri" w:hAnsi="Verdana" w:cs="Arial"/>
          <w:b/>
          <w:lang w:eastAsia="es-ES"/>
        </w:rPr>
        <w:t>Julián Andrés</w:t>
      </w:r>
      <w:r>
        <w:rPr>
          <w:rFonts w:ascii="Verdana" w:eastAsia="Calibri" w:hAnsi="Verdana" w:cs="Arial"/>
          <w:b/>
          <w:lang w:eastAsia="es-ES"/>
        </w:rPr>
        <w:t xml:space="preserve"> </w:t>
      </w:r>
      <w:r w:rsidRPr="00C239F8">
        <w:rPr>
          <w:rFonts w:ascii="Verdana" w:eastAsia="Calibri" w:hAnsi="Verdana" w:cs="Arial"/>
          <w:b/>
          <w:lang w:eastAsia="es-ES"/>
        </w:rPr>
        <w:t>Mar</w:t>
      </w:r>
      <w:r>
        <w:rPr>
          <w:rFonts w:ascii="Verdana" w:eastAsia="Calibri" w:hAnsi="Verdana" w:cs="Arial"/>
          <w:b/>
          <w:lang w:eastAsia="es-ES"/>
        </w:rPr>
        <w:t>í</w:t>
      </w:r>
      <w:r w:rsidRPr="00C239F8">
        <w:rPr>
          <w:rFonts w:ascii="Verdana" w:eastAsia="Calibri" w:hAnsi="Verdana" w:cs="Arial"/>
          <w:b/>
          <w:lang w:eastAsia="es-ES"/>
        </w:rPr>
        <w:t>n Ramos</w:t>
      </w:r>
    </w:p>
    <w:p w14:paraId="4152C28B" w14:textId="77777777" w:rsidR="004C11DC" w:rsidRPr="00C239F8" w:rsidRDefault="004C11DC" w:rsidP="004C11DC">
      <w:pPr>
        <w:spacing w:after="0" w:line="240" w:lineRule="auto"/>
        <w:rPr>
          <w:rFonts w:ascii="Verdana" w:hAnsi="Verdana"/>
        </w:rPr>
      </w:pPr>
      <w:hyperlink r:id="rId8" w:history="1">
        <w:r w:rsidRPr="00064B16">
          <w:rPr>
            <w:rStyle w:val="Hipervnculo"/>
            <w:rFonts w:ascii="Verdana" w:hAnsi="Verdana"/>
          </w:rPr>
          <w:t>eljuli05@hotmail.com</w:t>
        </w:r>
      </w:hyperlink>
      <w:r>
        <w:rPr>
          <w:rFonts w:ascii="Verdana" w:hAnsi="Verdana"/>
        </w:rPr>
        <w:t xml:space="preserve">  </w:t>
      </w:r>
    </w:p>
    <w:p w14:paraId="1EFE257D" w14:textId="77777777" w:rsidR="004C11DC" w:rsidRPr="00526681" w:rsidRDefault="004C11DC" w:rsidP="004C11DC">
      <w:pPr>
        <w:spacing w:after="0" w:line="240" w:lineRule="auto"/>
        <w:rPr>
          <w:rFonts w:ascii="Verdana" w:eastAsia="Calibri" w:hAnsi="Verdana" w:cs="Arial"/>
          <w:lang w:eastAsia="es-ES"/>
        </w:rPr>
      </w:pPr>
      <w:r>
        <w:rPr>
          <w:rFonts w:ascii="Verdana" w:hAnsi="Verdana"/>
        </w:rPr>
        <w:t>Cali, Valle del Cauca</w:t>
      </w:r>
    </w:p>
    <w:p w14:paraId="16F101D5" w14:textId="77777777" w:rsidR="004C11DC" w:rsidRPr="00526681" w:rsidRDefault="004C11DC" w:rsidP="004C11DC">
      <w:pPr>
        <w:spacing w:after="0" w:line="240" w:lineRule="auto"/>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4C11DC" w:rsidRPr="00526681" w14:paraId="79EDDEE2" w14:textId="77777777" w:rsidTr="00DB0313">
        <w:trPr>
          <w:trHeight w:val="360"/>
        </w:trPr>
        <w:tc>
          <w:tcPr>
            <w:tcW w:w="2689" w:type="dxa"/>
          </w:tcPr>
          <w:p w14:paraId="36DFFE8E" w14:textId="77777777" w:rsidR="004C11DC" w:rsidRPr="00526681" w:rsidRDefault="004C11DC" w:rsidP="00DB0313">
            <w:pPr>
              <w:jc w:val="both"/>
              <w:rPr>
                <w:rFonts w:ascii="Verdana" w:eastAsia="Calibri" w:hAnsi="Verdana" w:cs="Arial"/>
                <w:b/>
                <w:bCs/>
                <w:color w:val="7030A0"/>
                <w:lang w:eastAsia="es-ES_tradnl"/>
              </w:rPr>
            </w:pPr>
          </w:p>
        </w:tc>
        <w:tc>
          <w:tcPr>
            <w:tcW w:w="6242" w:type="dxa"/>
          </w:tcPr>
          <w:p w14:paraId="4A354D93" w14:textId="77777777" w:rsidR="004C11DC" w:rsidRPr="00526681" w:rsidRDefault="004C11DC" w:rsidP="00DB0313">
            <w:pPr>
              <w:jc w:val="both"/>
              <w:rPr>
                <w:rFonts w:ascii="Verdana" w:eastAsia="Calibri" w:hAnsi="Verdana" w:cs="Arial"/>
                <w:b/>
                <w:bCs/>
                <w:lang w:eastAsia="es-ES"/>
              </w:rPr>
            </w:pPr>
            <w:r w:rsidRPr="00526681">
              <w:rPr>
                <w:rFonts w:ascii="Verdana" w:eastAsia="Calibri" w:hAnsi="Verdana" w:cs="Arial"/>
                <w:b/>
                <w:bCs/>
                <w:lang w:eastAsia="es-ES"/>
              </w:rPr>
              <w:t xml:space="preserve">Concepto C – </w:t>
            </w:r>
            <w:r>
              <w:rPr>
                <w:rFonts w:ascii="Verdana" w:eastAsia="Calibri" w:hAnsi="Verdana" w:cs="Arial"/>
                <w:b/>
                <w:bCs/>
                <w:lang w:eastAsia="es-ES"/>
              </w:rPr>
              <w:t>633</w:t>
            </w:r>
            <w:r w:rsidRPr="00526681">
              <w:rPr>
                <w:rFonts w:ascii="Verdana" w:eastAsia="Calibri" w:hAnsi="Verdana" w:cs="Arial"/>
                <w:b/>
                <w:bCs/>
                <w:lang w:eastAsia="es-ES"/>
              </w:rPr>
              <w:t xml:space="preserve"> de 2025</w:t>
            </w:r>
          </w:p>
        </w:tc>
      </w:tr>
      <w:tr w:rsidR="004C11DC" w:rsidRPr="00526681" w14:paraId="1FE85B63" w14:textId="77777777" w:rsidTr="00DB0313">
        <w:trPr>
          <w:trHeight w:val="1432"/>
        </w:trPr>
        <w:tc>
          <w:tcPr>
            <w:tcW w:w="2689" w:type="dxa"/>
          </w:tcPr>
          <w:p w14:paraId="358C862E" w14:textId="77777777" w:rsidR="004C11DC" w:rsidRPr="00526681" w:rsidRDefault="004C11DC" w:rsidP="00DB0313">
            <w:pPr>
              <w:jc w:val="both"/>
              <w:rPr>
                <w:rFonts w:ascii="Verdana" w:eastAsia="Calibri" w:hAnsi="Verdana" w:cs="Arial"/>
                <w:color w:val="000000"/>
                <w:lang w:eastAsia="es-ES_tradnl"/>
              </w:rPr>
            </w:pPr>
            <w:r w:rsidRPr="00526681">
              <w:rPr>
                <w:rFonts w:ascii="Verdana" w:eastAsia="Calibri" w:hAnsi="Verdana" w:cs="Arial"/>
                <w:b/>
                <w:color w:val="000000"/>
                <w:lang w:eastAsia="es-ES_tradnl"/>
              </w:rPr>
              <w:t>Temas:</w:t>
            </w:r>
            <w:r w:rsidRPr="00526681">
              <w:rPr>
                <w:rFonts w:ascii="Verdana" w:eastAsia="Calibri" w:hAnsi="Verdana" w:cs="Arial"/>
                <w:color w:val="000000"/>
                <w:lang w:eastAsia="es-ES_tradnl"/>
              </w:rPr>
              <w:t xml:space="preserve">                   </w:t>
            </w:r>
          </w:p>
        </w:tc>
        <w:tc>
          <w:tcPr>
            <w:tcW w:w="6242" w:type="dxa"/>
            <w:shd w:val="clear" w:color="auto" w:fill="auto"/>
          </w:tcPr>
          <w:p w14:paraId="6B0452C6" w14:textId="77777777" w:rsidR="004C11DC" w:rsidRPr="00CB50CA" w:rsidRDefault="004C11DC" w:rsidP="00DB0313">
            <w:pPr>
              <w:jc w:val="both"/>
              <w:rPr>
                <w:rFonts w:ascii="Verdana" w:eastAsia="Calibri" w:hAnsi="Verdana" w:cs="Arial"/>
                <w:lang w:val="es-ES" w:eastAsia="es-ES"/>
              </w:rPr>
            </w:pPr>
            <w:r w:rsidRPr="00CB50CA">
              <w:rPr>
                <w:rFonts w:ascii="Verdana" w:eastAsia="Calibri" w:hAnsi="Verdana" w:cs="Arial"/>
                <w:lang w:eastAsia="es-ES_tradnl"/>
              </w:rPr>
              <w:t>PRINCIPIO DE SELECCIÓN OBJETIVA – Fundamento – Alcance / SUBSANABILIDAD – Concepto de unificación – Aplicación – Improcedencia – Circunstancias posteriores – Cierre del proceso / SUBSANABILIDAD – Oportunidad – Traslado – Informe de evaluación</w:t>
            </w:r>
          </w:p>
        </w:tc>
      </w:tr>
      <w:tr w:rsidR="004C11DC" w:rsidRPr="00526681" w14:paraId="4B2915A8" w14:textId="77777777" w:rsidTr="00DB0313">
        <w:tc>
          <w:tcPr>
            <w:tcW w:w="2689" w:type="dxa"/>
          </w:tcPr>
          <w:p w14:paraId="30069658" w14:textId="77777777" w:rsidR="004C11DC" w:rsidRPr="00526681" w:rsidRDefault="004C11DC" w:rsidP="00DB0313">
            <w:pPr>
              <w:jc w:val="both"/>
              <w:rPr>
                <w:rFonts w:ascii="Verdana" w:eastAsia="Calibri" w:hAnsi="Verdana" w:cs="Arial"/>
                <w:b/>
                <w:lang w:eastAsia="es-ES_tradnl"/>
              </w:rPr>
            </w:pPr>
            <w:r w:rsidRPr="00526681">
              <w:rPr>
                <w:rFonts w:ascii="Verdana" w:eastAsia="Calibri" w:hAnsi="Verdana" w:cs="Arial"/>
                <w:b/>
                <w:lang w:eastAsia="es-ES_tradnl"/>
              </w:rPr>
              <w:t>Radicación:</w:t>
            </w:r>
            <w:r w:rsidRPr="00526681">
              <w:rPr>
                <w:rFonts w:ascii="Verdana" w:eastAsia="Calibri" w:hAnsi="Verdana" w:cs="Arial"/>
                <w:lang w:eastAsia="es-ES_tradnl"/>
              </w:rPr>
              <w:t xml:space="preserve">               </w:t>
            </w:r>
          </w:p>
        </w:tc>
        <w:tc>
          <w:tcPr>
            <w:tcW w:w="6242" w:type="dxa"/>
          </w:tcPr>
          <w:p w14:paraId="07C27C59" w14:textId="77777777" w:rsidR="004C11DC" w:rsidRPr="00526681" w:rsidRDefault="004C11DC" w:rsidP="00DB0313">
            <w:pPr>
              <w:jc w:val="both"/>
              <w:rPr>
                <w:rFonts w:ascii="Verdana" w:eastAsia="Calibri" w:hAnsi="Verdana" w:cs="Arial"/>
                <w:lang w:eastAsia="es-ES_tradnl"/>
              </w:rPr>
            </w:pPr>
            <w:r w:rsidRPr="00526681">
              <w:rPr>
                <w:rFonts w:ascii="Verdana" w:eastAsia="Calibri" w:hAnsi="Verdana" w:cs="Arial"/>
                <w:lang w:eastAsia="es-ES_tradnl"/>
              </w:rPr>
              <w:t xml:space="preserve">Respuesta a la consulta con radicado No.  </w:t>
            </w:r>
            <w:r w:rsidRPr="009105A4">
              <w:rPr>
                <w:rFonts w:ascii="Verdana" w:eastAsia="Calibri" w:hAnsi="Verdana" w:cs="Arial"/>
                <w:lang w:eastAsia="es-ES_tradnl"/>
              </w:rPr>
              <w:t>P20250520004876</w:t>
            </w:r>
          </w:p>
        </w:tc>
      </w:tr>
    </w:tbl>
    <w:p w14:paraId="0230B822" w14:textId="77777777" w:rsidR="004C11DC" w:rsidRPr="00526681" w:rsidRDefault="004C11DC" w:rsidP="004C11DC">
      <w:pPr>
        <w:spacing w:after="0" w:line="240" w:lineRule="auto"/>
        <w:jc w:val="both"/>
        <w:rPr>
          <w:rFonts w:ascii="Verdana" w:eastAsia="Calibri" w:hAnsi="Verdana" w:cs="Arial"/>
          <w:color w:val="000000"/>
          <w:lang w:eastAsia="es-ES_tradnl"/>
        </w:rPr>
      </w:pPr>
    </w:p>
    <w:p w14:paraId="2214AB9F" w14:textId="77777777" w:rsidR="004C11DC" w:rsidRPr="00526681" w:rsidRDefault="004C11DC" w:rsidP="004C11DC">
      <w:pPr>
        <w:spacing w:after="0" w:line="240" w:lineRule="auto"/>
        <w:jc w:val="both"/>
        <w:rPr>
          <w:rFonts w:ascii="Verdana" w:eastAsia="Calibri" w:hAnsi="Verdana" w:cs="Arial"/>
          <w:color w:val="000000"/>
          <w:lang w:eastAsia="es-ES_tradnl"/>
        </w:rPr>
      </w:pPr>
    </w:p>
    <w:p w14:paraId="0E08C03E" w14:textId="77777777" w:rsidR="004C11DC" w:rsidRPr="00526681" w:rsidRDefault="004C11DC" w:rsidP="004C11DC">
      <w:pPr>
        <w:spacing w:after="0" w:line="276" w:lineRule="auto"/>
        <w:jc w:val="both"/>
        <w:rPr>
          <w:rFonts w:ascii="Verdana" w:eastAsia="Calibri" w:hAnsi="Verdana" w:cs="Arial"/>
          <w:lang w:eastAsia="es-ES"/>
        </w:rPr>
      </w:pPr>
      <w:r w:rsidRPr="00526681">
        <w:rPr>
          <w:rFonts w:ascii="Verdana" w:eastAsia="Calibri" w:hAnsi="Verdana" w:cs="Arial"/>
          <w:lang w:eastAsia="es-ES"/>
        </w:rPr>
        <w:t>Estimad</w:t>
      </w:r>
      <w:r>
        <w:rPr>
          <w:rFonts w:ascii="Verdana" w:eastAsia="Calibri" w:hAnsi="Verdana" w:cs="Arial"/>
          <w:lang w:eastAsia="es-ES"/>
        </w:rPr>
        <w:t>o</w:t>
      </w:r>
      <w:r w:rsidRPr="00526681">
        <w:rPr>
          <w:rFonts w:ascii="Verdana" w:eastAsia="Calibri" w:hAnsi="Verdana" w:cs="Arial"/>
          <w:lang w:eastAsia="es-ES"/>
        </w:rPr>
        <w:t xml:space="preserve"> señor </w:t>
      </w:r>
      <w:r>
        <w:rPr>
          <w:rFonts w:ascii="Verdana" w:eastAsia="Calibri" w:hAnsi="Verdana" w:cs="Arial"/>
          <w:lang w:eastAsia="es-ES"/>
        </w:rPr>
        <w:t>Marín Ramos</w:t>
      </w:r>
      <w:r w:rsidRPr="00526681">
        <w:rPr>
          <w:rFonts w:ascii="Verdana" w:eastAsia="Calibri" w:hAnsi="Verdana" w:cs="Arial"/>
          <w:lang w:eastAsia="es-ES"/>
        </w:rPr>
        <w:t xml:space="preserve">: </w:t>
      </w:r>
    </w:p>
    <w:p w14:paraId="00C3CDF7" w14:textId="77777777" w:rsidR="004C11DC" w:rsidRPr="00526681" w:rsidRDefault="004C11DC" w:rsidP="004C11DC">
      <w:pPr>
        <w:tabs>
          <w:tab w:val="left" w:pos="3768"/>
        </w:tabs>
        <w:spacing w:after="0" w:line="276" w:lineRule="auto"/>
        <w:jc w:val="both"/>
        <w:rPr>
          <w:rFonts w:ascii="Verdana" w:eastAsia="Calibri" w:hAnsi="Verdana" w:cs="Arial"/>
          <w:color w:val="000000" w:themeColor="text1"/>
          <w:lang w:eastAsia="es-ES"/>
        </w:rPr>
      </w:pPr>
      <w:r w:rsidRPr="00526681">
        <w:rPr>
          <w:rFonts w:ascii="Verdana" w:eastAsia="Calibri" w:hAnsi="Verdana" w:cs="Arial"/>
          <w:color w:val="000000" w:themeColor="text1"/>
          <w:lang w:eastAsia="es-ES"/>
        </w:rPr>
        <w:tab/>
      </w:r>
    </w:p>
    <w:p w14:paraId="72C11C1F" w14:textId="77777777" w:rsidR="004C11DC" w:rsidRPr="00526681" w:rsidRDefault="004C11DC" w:rsidP="004C11DC">
      <w:pPr>
        <w:spacing w:after="120" w:line="276" w:lineRule="auto"/>
        <w:jc w:val="both"/>
        <w:rPr>
          <w:rFonts w:ascii="Verdana" w:eastAsia="Calibri" w:hAnsi="Verdana" w:cs="Arial"/>
          <w:i/>
          <w:iCs/>
          <w:lang w:eastAsia="es-ES"/>
        </w:rPr>
      </w:pPr>
      <w:r w:rsidRPr="00526681">
        <w:rPr>
          <w:rFonts w:ascii="Verdana" w:eastAsia="Calibri" w:hAnsi="Verdana" w:cs="Arial"/>
          <w:color w:val="000000" w:themeColor="text1"/>
          <w:lang w:eastAsia="es-ES"/>
        </w:rPr>
        <w:t>En ejercicio de la competencia otorgada por los artículos 3, numeral 5º, y 11, numeral 8º, del Decreto Ley 4170 de 2011,</w:t>
      </w:r>
      <w:r w:rsidRPr="00526681">
        <w:rPr>
          <w:rFonts w:ascii="Verdana" w:eastAsia="Arial MT" w:hAnsi="Verdana" w:cs="Arial MT"/>
          <w:lang w:eastAsia="es-ES"/>
        </w:rPr>
        <w:t xml:space="preserve"> </w:t>
      </w:r>
      <w:r w:rsidRPr="00526681">
        <w:rPr>
          <w:rFonts w:ascii="Verdana" w:hAnsi="Verdana" w:cs="Arial"/>
        </w:rPr>
        <w:t xml:space="preserve">así como lo establecido en el artículo 4 de la Resolución 1707 de 2018 expedida por esta Entidad, </w:t>
      </w:r>
      <w:r w:rsidRPr="00526681">
        <w:rPr>
          <w:rFonts w:ascii="Verdana" w:eastAsia="Calibri" w:hAnsi="Verdana" w:cs="Arial"/>
          <w:color w:val="000000" w:themeColor="text1"/>
          <w:lang w:eastAsia="es-ES"/>
        </w:rPr>
        <w:t xml:space="preserve">la Agencia Nacional de Contratación Pública – Colombia Compra Eficiente responde su </w:t>
      </w:r>
      <w:r>
        <w:rPr>
          <w:rFonts w:ascii="Verdana" w:eastAsia="Calibri" w:hAnsi="Verdana" w:cs="Arial"/>
          <w:color w:val="000000" w:themeColor="text1"/>
          <w:lang w:eastAsia="es-ES"/>
        </w:rPr>
        <w:t>consulta</w:t>
      </w:r>
      <w:r w:rsidRPr="00526681">
        <w:rPr>
          <w:rFonts w:ascii="Verdana" w:eastAsia="Calibri" w:hAnsi="Verdana" w:cs="Arial"/>
          <w:color w:val="000000" w:themeColor="text1"/>
          <w:lang w:eastAsia="es-ES"/>
        </w:rPr>
        <w:t xml:space="preserve"> del </w:t>
      </w:r>
      <w:r>
        <w:rPr>
          <w:rFonts w:ascii="Verdana" w:eastAsia="Calibri" w:hAnsi="Verdana" w:cs="Arial"/>
          <w:color w:val="000000" w:themeColor="text1"/>
          <w:lang w:eastAsia="es-ES"/>
        </w:rPr>
        <w:t>20</w:t>
      </w:r>
      <w:r w:rsidRPr="00526681">
        <w:rPr>
          <w:rFonts w:ascii="Verdana" w:eastAsia="Calibri" w:hAnsi="Verdana" w:cs="Arial"/>
          <w:lang w:eastAsia="es-ES"/>
        </w:rPr>
        <w:t xml:space="preserve"> de mayo de 2025, en la cual </w:t>
      </w:r>
      <w:r>
        <w:rPr>
          <w:rFonts w:ascii="Verdana" w:eastAsia="Calibri" w:hAnsi="Verdana" w:cs="Arial"/>
          <w:lang w:eastAsia="es-ES"/>
        </w:rPr>
        <w:t xml:space="preserve">solicita lo </w:t>
      </w:r>
      <w:r w:rsidRPr="00526681">
        <w:rPr>
          <w:rFonts w:ascii="Verdana" w:eastAsia="Calibri" w:hAnsi="Verdana" w:cs="Arial"/>
          <w:lang w:eastAsia="es-ES"/>
        </w:rPr>
        <w:t>siguiente:</w:t>
      </w:r>
      <w:r w:rsidRPr="00526681">
        <w:rPr>
          <w:rFonts w:ascii="Verdana" w:eastAsia="Calibri" w:hAnsi="Verdana" w:cs="Arial"/>
          <w:i/>
          <w:iCs/>
          <w:lang w:eastAsia="es-ES"/>
        </w:rPr>
        <w:t xml:space="preserve"> </w:t>
      </w:r>
      <w:bookmarkStart w:id="1" w:name="_Hlk95313578"/>
    </w:p>
    <w:p w14:paraId="7560D595" w14:textId="77777777" w:rsidR="004C11DC" w:rsidRPr="00526681" w:rsidRDefault="004C11DC" w:rsidP="004C11DC">
      <w:pPr>
        <w:spacing w:after="0" w:line="276" w:lineRule="auto"/>
        <w:jc w:val="both"/>
        <w:rPr>
          <w:rFonts w:ascii="Verdana" w:eastAsia="Calibri" w:hAnsi="Verdana" w:cs="Arial"/>
          <w:i/>
          <w:iCs/>
          <w:lang w:eastAsia="es-ES"/>
        </w:rPr>
      </w:pPr>
    </w:p>
    <w:bookmarkEnd w:id="1"/>
    <w:p w14:paraId="1EEEB855" w14:textId="77777777" w:rsidR="004C11DC" w:rsidRPr="00526681" w:rsidRDefault="004C11DC" w:rsidP="004C11DC">
      <w:pPr>
        <w:spacing w:after="0" w:line="240" w:lineRule="auto"/>
        <w:ind w:left="709" w:right="618"/>
        <w:jc w:val="both"/>
        <w:rPr>
          <w:rFonts w:ascii="Verdana" w:hAnsi="Verdana"/>
          <w:sz w:val="20"/>
          <w:szCs w:val="20"/>
        </w:rPr>
      </w:pPr>
      <w:r w:rsidRPr="00526681">
        <w:rPr>
          <w:rFonts w:ascii="Verdana" w:eastAsia="Arial" w:hAnsi="Verdana" w:cs="Arial"/>
          <w:i/>
          <w:iCs/>
          <w:color w:val="000000"/>
          <w:sz w:val="20"/>
          <w:szCs w:val="20"/>
        </w:rPr>
        <w:t>“</w:t>
      </w:r>
      <w:r w:rsidRPr="005976DD">
        <w:rPr>
          <w:rFonts w:ascii="Verdana" w:eastAsia="Arial" w:hAnsi="Verdana" w:cs="Arial"/>
          <w:i/>
          <w:iCs/>
          <w:color w:val="000000"/>
          <w:sz w:val="20"/>
          <w:szCs w:val="20"/>
        </w:rPr>
        <w:t xml:space="preserve">requiero pronunciamiento de la entidad COLOMBIA COMPRA frente a la siguiente situación hipotética: uno o varios oferentes presentan en sus ofertas en proceso de contratación estatal donde se requieren unas hojas de vida de personal técnico y profesional como factor habilitante, sin embargo los oferentes no entregan la totalidad de hojas de vida del personal profesional y técnico requerido en el pliego y las que entregan no cumplen los requisitos mínimos establecidos por el mismo pliego, de acuerdo con la respuesta al radicado N° Radicado: 2201913000003209 donde ( Por lo tanto, lo subsanable es aquello que a pesar de que se tiene, no está claramente acreditado).... bajo esta premisa ¿la subsanibilidad del </w:t>
      </w:r>
      <w:r w:rsidRPr="005976DD">
        <w:rPr>
          <w:rFonts w:ascii="Verdana" w:eastAsia="Arial" w:hAnsi="Verdana" w:cs="Arial"/>
          <w:i/>
          <w:iCs/>
          <w:color w:val="000000"/>
          <w:sz w:val="20"/>
          <w:szCs w:val="20"/>
        </w:rPr>
        <w:lastRenderedPageBreak/>
        <w:t>personal no acreditado no correspondería a subsanara sino que corresponde efectivamente a una mejora de la propuesta? agradezco respuesta a la presente</w:t>
      </w:r>
      <w:r w:rsidRPr="00526681">
        <w:rPr>
          <w:rFonts w:ascii="Verdana" w:hAnsi="Verdana"/>
          <w:sz w:val="20"/>
          <w:szCs w:val="20"/>
        </w:rPr>
        <w:t>”</w:t>
      </w:r>
    </w:p>
    <w:p w14:paraId="47224A74" w14:textId="77777777" w:rsidR="004C11DC" w:rsidRPr="00526681" w:rsidRDefault="004C11DC" w:rsidP="004C11DC">
      <w:pPr>
        <w:spacing w:after="0" w:line="276" w:lineRule="auto"/>
        <w:ind w:left="709" w:right="618"/>
        <w:jc w:val="both"/>
        <w:rPr>
          <w:rFonts w:ascii="Verdana" w:hAnsi="Verdana"/>
          <w:sz w:val="20"/>
          <w:szCs w:val="20"/>
        </w:rPr>
      </w:pPr>
    </w:p>
    <w:p w14:paraId="098F191D" w14:textId="77777777" w:rsidR="004C11DC" w:rsidRPr="00526681" w:rsidRDefault="004C11DC" w:rsidP="004C11DC">
      <w:pPr>
        <w:spacing w:after="120" w:line="276" w:lineRule="auto"/>
        <w:ind w:firstLine="709"/>
        <w:jc w:val="both"/>
        <w:rPr>
          <w:rFonts w:ascii="Verdana" w:eastAsia="Calibri" w:hAnsi="Verdana" w:cs="Arial"/>
          <w:color w:val="000000"/>
          <w:lang w:eastAsia="es-ES"/>
        </w:rPr>
      </w:pPr>
      <w:r w:rsidRPr="0052668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26681">
        <w:rPr>
          <w:rFonts w:ascii="Verdana" w:eastAsia="Calibri" w:hAnsi="Verdana" w:cs="Arial"/>
          <w:color w:val="000000"/>
          <w:szCs w:val="24"/>
          <w:lang w:eastAsia="es-ES_tradnl"/>
        </w:rPr>
        <w:tab/>
      </w:r>
    </w:p>
    <w:p w14:paraId="51C32043" w14:textId="77777777" w:rsidR="004C11DC" w:rsidRPr="00526681" w:rsidRDefault="004C11DC" w:rsidP="004C11DC">
      <w:pPr>
        <w:spacing w:after="0" w:line="276" w:lineRule="auto"/>
        <w:ind w:firstLine="709"/>
        <w:jc w:val="both"/>
        <w:rPr>
          <w:rFonts w:ascii="Verdana" w:eastAsia="Calibri" w:hAnsi="Verdana" w:cs="Arial"/>
          <w:lang w:eastAsia="es-ES"/>
        </w:rPr>
      </w:pPr>
      <w:r w:rsidRPr="00526681">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w:t>
      </w:r>
      <w:r w:rsidRPr="00526681">
        <w:rPr>
          <w:rFonts w:ascii="Verdana" w:eastAsia="Calibri" w:hAnsi="Verdana" w:cs="Arial"/>
          <w:lang w:eastAsia="es-ES"/>
        </w:rPr>
        <w:t xml:space="preserve">esto es, haciendo abstracción de las circunstancias particulares y concretas mencionadas en su petición, pero exponiendo algunas consideraciones sobre las normas generales relacionadas con el problema jurídico propuesto. </w:t>
      </w:r>
    </w:p>
    <w:p w14:paraId="45B9830E" w14:textId="77777777" w:rsidR="004C11DC" w:rsidRPr="00526681" w:rsidRDefault="004C11DC" w:rsidP="004C11DC">
      <w:pPr>
        <w:spacing w:after="0" w:line="276" w:lineRule="auto"/>
        <w:ind w:firstLine="709"/>
        <w:jc w:val="both"/>
        <w:rPr>
          <w:rFonts w:ascii="Verdana" w:eastAsia="Calibri" w:hAnsi="Verdana" w:cs="Arial"/>
          <w:color w:val="000000"/>
          <w:lang w:eastAsia="es-ES"/>
        </w:rPr>
      </w:pPr>
    </w:p>
    <w:p w14:paraId="78E58C52" w14:textId="77777777" w:rsidR="004C11DC" w:rsidRPr="00526681" w:rsidRDefault="004C11DC" w:rsidP="004C11DC">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526681">
        <w:rPr>
          <w:rFonts w:ascii="Verdana" w:eastAsia="Century Gothic" w:hAnsi="Verdana" w:cs="Century Gothic"/>
          <w:b/>
          <w:bCs/>
        </w:rPr>
        <w:t>Problemas planteados:</w:t>
      </w:r>
    </w:p>
    <w:p w14:paraId="194516A2" w14:textId="77777777" w:rsidR="004C11DC" w:rsidRPr="00526681" w:rsidRDefault="004C11DC" w:rsidP="004C11DC">
      <w:pPr>
        <w:tabs>
          <w:tab w:val="left" w:pos="426"/>
        </w:tabs>
        <w:spacing w:after="0" w:line="276" w:lineRule="auto"/>
        <w:jc w:val="both"/>
        <w:rPr>
          <w:rFonts w:ascii="Verdana" w:eastAsia="Century Gothic" w:hAnsi="Verdana" w:cs="Century Gothic"/>
        </w:rPr>
      </w:pPr>
    </w:p>
    <w:p w14:paraId="0A820D9C" w14:textId="77777777" w:rsidR="004C11DC" w:rsidRPr="00526681" w:rsidRDefault="004C11DC" w:rsidP="004C11DC">
      <w:pPr>
        <w:spacing w:after="0" w:line="276" w:lineRule="auto"/>
        <w:jc w:val="both"/>
        <w:rPr>
          <w:rFonts w:ascii="Verdana" w:eastAsia="Century Gothic" w:hAnsi="Verdana" w:cs="Century Gothic"/>
        </w:rPr>
      </w:pPr>
      <w:r w:rsidRPr="00526681">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526681">
        <w:rPr>
          <w:rFonts w:ascii="Verdana" w:eastAsia="Century Gothic" w:hAnsi="Verdana" w:cs="Century Gothic"/>
        </w:rPr>
        <w:t xml:space="preserve"> siguiente interrogante: </w:t>
      </w:r>
      <w:r w:rsidRPr="00277E26">
        <w:rPr>
          <w:rFonts w:ascii="Verdana" w:eastAsia="Century Gothic" w:hAnsi="Verdana" w:cs="Century Gothic"/>
        </w:rPr>
        <w:t>¿</w:t>
      </w:r>
      <w:r>
        <w:rPr>
          <w:rFonts w:ascii="Verdana" w:eastAsia="Century Gothic" w:hAnsi="Verdana" w:cs="Century Gothic"/>
        </w:rPr>
        <w:t>C</w:t>
      </w:r>
      <w:r w:rsidRPr="00277E26">
        <w:rPr>
          <w:rFonts w:ascii="Verdana" w:eastAsia="Century Gothic" w:hAnsi="Verdana" w:cs="Century Gothic"/>
        </w:rPr>
        <w:t xml:space="preserve">uál </w:t>
      </w:r>
      <w:r>
        <w:rPr>
          <w:rFonts w:ascii="Verdana" w:eastAsia="Century Gothic" w:hAnsi="Verdana" w:cs="Century Gothic"/>
        </w:rPr>
        <w:t>es el régimen de subsanabilidad en los procedimientos de selección</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3A50DB76" w14:textId="77777777" w:rsidR="004C11DC" w:rsidRPr="00526681" w:rsidRDefault="004C11DC" w:rsidP="004C11DC">
      <w:pPr>
        <w:spacing w:after="0" w:line="276" w:lineRule="auto"/>
        <w:jc w:val="both"/>
        <w:rPr>
          <w:rFonts w:ascii="Verdana" w:eastAsia="Century Gothic" w:hAnsi="Verdana" w:cs="Century Gothic"/>
        </w:rPr>
      </w:pPr>
    </w:p>
    <w:p w14:paraId="4B0003C6" w14:textId="77777777" w:rsidR="004C11DC" w:rsidRPr="00526681" w:rsidRDefault="004C11DC" w:rsidP="004C11DC">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Respuestas:</w:t>
      </w:r>
    </w:p>
    <w:p w14:paraId="5A9DAED3" w14:textId="77777777" w:rsidR="004C11DC" w:rsidRPr="00526681" w:rsidRDefault="004C11DC" w:rsidP="004C11D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11DC" w:rsidRPr="00526681" w14:paraId="56585701" w14:textId="77777777" w:rsidTr="00DB0313">
        <w:trPr>
          <w:jc w:val="center"/>
        </w:trPr>
        <w:tc>
          <w:tcPr>
            <w:tcW w:w="8828" w:type="dxa"/>
            <w:shd w:val="clear" w:color="auto" w:fill="auto"/>
          </w:tcPr>
          <w:p w14:paraId="6E48C411" w14:textId="77777777" w:rsidR="004C11DC" w:rsidRDefault="004C11DC" w:rsidP="00DB0313">
            <w:pPr>
              <w:pStyle w:val="NormalWeb"/>
              <w:spacing w:before="0" w:beforeAutospacing="0" w:after="120" w:afterAutospacing="0" w:line="276" w:lineRule="auto"/>
              <w:jc w:val="both"/>
              <w:rPr>
                <w:rFonts w:ascii="Verdana" w:eastAsia="Arial" w:hAnsi="Verdana" w:cs="Arial"/>
                <w:color w:val="000000"/>
                <w:sz w:val="22"/>
                <w:szCs w:val="22"/>
              </w:rPr>
            </w:pPr>
            <w:bookmarkStart w:id="2" w:name="_Hlk171694685"/>
            <w:r w:rsidRPr="00277E26">
              <w:rPr>
                <w:rFonts w:ascii="Verdana" w:eastAsia="Century Gothic" w:hAnsi="Verdana" w:cs="Century Gothic"/>
                <w:sz w:val="22"/>
                <w:szCs w:val="22"/>
              </w:rPr>
              <w:t>Conforme a la interpretación de las normas generales del sistema de compras públicas,</w:t>
            </w:r>
            <w:r>
              <w:rPr>
                <w:rFonts w:ascii="Verdana" w:eastAsia="Century Gothic" w:hAnsi="Verdana" w:cs="Century Gothic"/>
                <w:sz w:val="22"/>
                <w:szCs w:val="22"/>
              </w:rPr>
              <w:t xml:space="preserve"> para garantizar </w:t>
            </w:r>
            <w:r w:rsidRPr="00B13ED7">
              <w:rPr>
                <w:rFonts w:ascii="Verdana" w:eastAsia="Arial" w:hAnsi="Verdana" w:cs="Arial"/>
                <w:color w:val="000000"/>
                <w:sz w:val="22"/>
                <w:szCs w:val="22"/>
              </w:rPr>
              <w:t xml:space="preserve">el principio de selección objetiva,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w:t>
            </w:r>
            <w:r w:rsidRPr="00B13ED7">
              <w:rPr>
                <w:rFonts w:ascii="Verdana" w:eastAsia="Arial" w:hAnsi="Verdana" w:cs="Arial"/>
                <w:color w:val="000000"/>
                <w:sz w:val="22"/>
                <w:szCs w:val="22"/>
              </w:rPr>
              <w:lastRenderedPageBreak/>
              <w:t>indicadas en la ley, antes de tomar la decisión de rechazar las propuestas que hayan omitido la observancia de los requisitos habilitantes</w:t>
            </w:r>
            <w:r>
              <w:rPr>
                <w:rFonts w:ascii="Verdana" w:eastAsia="Arial" w:hAnsi="Verdana" w:cs="Arial"/>
                <w:color w:val="000000"/>
                <w:sz w:val="22"/>
                <w:szCs w:val="22"/>
              </w:rPr>
              <w:t>.</w:t>
            </w:r>
          </w:p>
          <w:p w14:paraId="7896C432" w14:textId="77777777" w:rsidR="004C11DC" w:rsidRDefault="004C11DC" w:rsidP="00DB0313">
            <w:pPr>
              <w:pStyle w:val="NormalWeb"/>
              <w:spacing w:before="0" w:beforeAutospacing="0" w:after="120" w:afterAutospacing="0" w:line="276" w:lineRule="auto"/>
              <w:ind w:firstLine="709"/>
              <w:jc w:val="both"/>
              <w:rPr>
                <w:rFonts w:ascii="Verdana" w:eastAsia="Century Gothic" w:hAnsi="Verdana" w:cs="Century Gothic"/>
                <w:sz w:val="22"/>
                <w:szCs w:val="22"/>
                <w:lang w:val="es-ES"/>
              </w:rPr>
            </w:pPr>
            <w:r>
              <w:rPr>
                <w:rFonts w:ascii="Verdana" w:eastAsia="Century Gothic" w:hAnsi="Verdana" w:cs="Century Gothic"/>
                <w:sz w:val="22"/>
                <w:szCs w:val="22"/>
                <w:lang w:val="es-ES"/>
              </w:rPr>
              <w:t>T</w:t>
            </w:r>
            <w:r w:rsidRPr="000C523A">
              <w:rPr>
                <w:rFonts w:ascii="Verdana" w:eastAsia="Century Gothic" w:hAnsi="Verdana" w:cs="Century Gothic"/>
                <w:sz w:val="22"/>
                <w:szCs w:val="22"/>
                <w:lang w:val="es-ES"/>
              </w:rPr>
              <w:t xml:space="preserve">eniendo en cuenta las reglas dispuestas en la Ley 1882 de 2018, todo lo que no sea necesario para la comparación de propuestas no es argumento suficiente para su rechazo en las diferentes modalidades de selección. </w:t>
            </w:r>
            <w:r>
              <w:rPr>
                <w:rFonts w:ascii="Verdana" w:eastAsia="Century Gothic" w:hAnsi="Verdana" w:cs="Century Gothic"/>
                <w:sz w:val="22"/>
                <w:szCs w:val="22"/>
                <w:lang w:val="es-ES"/>
              </w:rPr>
              <w:t>De esta manera</w:t>
            </w:r>
            <w:r w:rsidRPr="000C523A">
              <w:rPr>
                <w:rFonts w:ascii="Verdana" w:eastAsia="Century Gothic" w:hAnsi="Verdana" w:cs="Century Gothic"/>
                <w:sz w:val="22"/>
                <w:szCs w:val="22"/>
                <w:lang w:val="es-ES"/>
              </w:rPr>
              <w:t>,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4AF1B477" w14:textId="77777777" w:rsidR="004C11DC" w:rsidRDefault="004C11DC" w:rsidP="00DB0313">
            <w:pPr>
              <w:pStyle w:val="NormalWeb"/>
              <w:spacing w:before="0" w:beforeAutospacing="0" w:after="120" w:afterAutospacing="0" w:line="276" w:lineRule="auto"/>
              <w:ind w:firstLine="709"/>
              <w:jc w:val="both"/>
              <w:rPr>
                <w:rFonts w:ascii="Verdana" w:eastAsia="Century Gothic" w:hAnsi="Verdana" w:cs="Century Gothic"/>
                <w:sz w:val="22"/>
                <w:szCs w:val="22"/>
              </w:rPr>
            </w:pPr>
            <w:r w:rsidRPr="000C523A">
              <w:rPr>
                <w:rFonts w:ascii="Verdana" w:eastAsia="Century Gothic" w:hAnsi="Verdana" w:cs="Century Gothic"/>
                <w:sz w:val="22"/>
                <w:szCs w:val="22"/>
              </w:rPr>
              <w:t xml:space="preserve">En resumen,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w:t>
            </w:r>
            <w:r>
              <w:rPr>
                <w:rFonts w:ascii="Verdana" w:eastAsia="Century Gothic" w:hAnsi="Verdana" w:cs="Century Gothic"/>
                <w:sz w:val="22"/>
                <w:szCs w:val="22"/>
              </w:rPr>
              <w:t>la imposibilidad de acreditar</w:t>
            </w:r>
            <w:r w:rsidRPr="000C523A">
              <w:rPr>
                <w:rFonts w:ascii="Verdana" w:eastAsia="Century Gothic" w:hAnsi="Verdana" w:cs="Century Gothic"/>
                <w:sz w:val="22"/>
                <w:szCs w:val="22"/>
              </w:rPr>
              <w:t xml:space="preserve"> circunstancias ocurridas con posterioridad al cierre del proceso.</w:t>
            </w:r>
          </w:p>
          <w:p w14:paraId="35A50E46" w14:textId="77777777" w:rsidR="004C11DC" w:rsidRDefault="004C11DC" w:rsidP="00DB0313">
            <w:pPr>
              <w:pStyle w:val="NormalWeb"/>
              <w:spacing w:before="0" w:beforeAutospacing="0" w:after="120" w:afterAutospacing="0" w:line="276" w:lineRule="auto"/>
              <w:ind w:firstLine="709"/>
              <w:jc w:val="both"/>
              <w:rPr>
                <w:rFonts w:ascii="Verdana" w:eastAsia="Arial" w:hAnsi="Verdana" w:cs="Arial"/>
                <w:color w:val="000000"/>
                <w:sz w:val="22"/>
                <w:szCs w:val="22"/>
              </w:rPr>
            </w:pPr>
            <w:r>
              <w:rPr>
                <w:rFonts w:ascii="Verdana" w:eastAsia="Century Gothic" w:hAnsi="Verdana" w:cs="Century Gothic"/>
                <w:sz w:val="22"/>
                <w:szCs w:val="22"/>
              </w:rPr>
              <w:t>Por lo demás</w:t>
            </w:r>
            <w:r w:rsidRPr="00B13ED7">
              <w:rPr>
                <w:rFonts w:ascii="Verdana" w:eastAsia="Arial" w:hAnsi="Verdana" w:cs="Arial"/>
                <w:color w:val="000000"/>
                <w:sz w:val="22"/>
                <w:szCs w:val="22"/>
              </w:rPr>
              <w:t xml:space="preserve">,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13ED7">
              <w:rPr>
                <w:rFonts w:ascii="Verdana" w:eastAsia="Arial" w:hAnsi="Verdana" w:cs="Arial"/>
                <w:i/>
                <w:color w:val="000000"/>
                <w:sz w:val="22"/>
                <w:szCs w:val="22"/>
              </w:rPr>
              <w:t xml:space="preserve">habilitantes </w:t>
            </w:r>
            <w:r w:rsidRPr="00B13ED7">
              <w:rPr>
                <w:rFonts w:ascii="Verdana" w:eastAsia="Arial" w:hAnsi="Verdana" w:cs="Arial"/>
                <w:color w:val="000000"/>
                <w:sz w:val="22"/>
                <w:szCs w:val="22"/>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1821737E" w14:textId="77777777" w:rsidR="004C11DC" w:rsidRPr="00526681" w:rsidRDefault="004C11DC" w:rsidP="00DB0313">
            <w:pPr>
              <w:pStyle w:val="NormalWeb"/>
              <w:spacing w:before="0" w:beforeAutospacing="0" w:after="120" w:afterAutospacing="0" w:line="276" w:lineRule="auto"/>
              <w:ind w:firstLine="709"/>
              <w:jc w:val="both"/>
              <w:rPr>
                <w:rFonts w:ascii="Verdana" w:eastAsia="Calibri" w:hAnsi="Verdana" w:cs="Arial"/>
                <w:b/>
                <w:color w:val="000000"/>
              </w:rPr>
            </w:pPr>
            <w:r>
              <w:rPr>
                <w:rFonts w:ascii="Verdana" w:hAnsi="Verdana" w:cs="Arial"/>
                <w:iCs/>
                <w:color w:val="000000" w:themeColor="text1"/>
                <w:sz w:val="22"/>
                <w:szCs w:val="22"/>
              </w:rPr>
              <w:t>En ese sentido</w:t>
            </w:r>
            <w:r w:rsidRPr="00277E26">
              <w:rPr>
                <w:rFonts w:ascii="Verdana" w:hAnsi="Verdana" w:cs="Arial"/>
                <w:iCs/>
                <w:color w:val="000000" w:themeColor="text1"/>
                <w:sz w:val="22"/>
                <w:szCs w:val="22"/>
              </w:rPr>
              <w:t xml:space="preserve">, </w:t>
            </w:r>
            <w:r w:rsidRPr="00277E26">
              <w:rPr>
                <w:rFonts w:ascii="Verdana" w:hAnsi="Verdana" w:cs="Arial"/>
                <w:sz w:val="22"/>
                <w:szCs w:val="22"/>
              </w:rPr>
              <w:t xml:space="preserve">debe advertirse que el análisis </w:t>
            </w:r>
            <w:r>
              <w:rPr>
                <w:rFonts w:ascii="Verdana" w:hAnsi="Verdana" w:cs="Arial"/>
                <w:sz w:val="22"/>
                <w:szCs w:val="22"/>
              </w:rPr>
              <w:t>sobre la subsanación o el rechazo de las ofertas al interior de los procedimientos de selección</w:t>
            </w:r>
            <w:r w:rsidRPr="00277E26">
              <w:rPr>
                <w:rFonts w:ascii="Verdana" w:hAnsi="Verdana" w:cs="Arial"/>
                <w:sz w:val="22"/>
                <w:szCs w:val="22"/>
              </w:rPr>
              <w:t xml:space="preserve"> debe ser realizado por quienes tengan interés en ello, de acuerdo con lo </w:t>
            </w:r>
            <w:r>
              <w:rPr>
                <w:rFonts w:ascii="Verdana" w:hAnsi="Verdana" w:cs="Arial"/>
                <w:sz w:val="22"/>
                <w:szCs w:val="22"/>
              </w:rPr>
              <w:t xml:space="preserve">expuesto en la parte considerativa </w:t>
            </w:r>
            <w:r w:rsidRPr="00277E26">
              <w:rPr>
                <w:rFonts w:ascii="Verdana" w:hAnsi="Verdana" w:cs="Arial"/>
                <w:sz w:val="22"/>
                <w:szCs w:val="22"/>
              </w:rPr>
              <w:t>del presente oficio.</w:t>
            </w:r>
            <w:r>
              <w:rPr>
                <w:rFonts w:ascii="Verdana" w:hAnsi="Verdana" w:cs="Arial"/>
                <w:sz w:val="22"/>
                <w:szCs w:val="22"/>
              </w:rPr>
              <w:t xml:space="preserve"> </w:t>
            </w:r>
            <w:r w:rsidRPr="00277E26">
              <w:rPr>
                <w:rFonts w:ascii="Verdana" w:hAnsi="Verdana" w:cs="Arial"/>
                <w:sz w:val="22"/>
                <w:szCs w:val="22"/>
              </w:rPr>
              <w:t xml:space="preserve">Al tratarse de un análisis que </w:t>
            </w:r>
            <w:r w:rsidRPr="00277E26">
              <w:rPr>
                <w:rFonts w:ascii="Verdana" w:hAnsi="Verdana" w:cs="Arial"/>
                <w:sz w:val="22"/>
                <w:szCs w:val="22"/>
              </w:rPr>
              <w:lastRenderedPageBreak/>
              <w:t xml:space="preserve">debe realizarse en el procedimiento contractual específico, la Agencia sólo brinda elementos de carácter general para que los partícipes del sistema de compras y contratación pública adopten la decisión que corresponda, lo cual es acorde con el principio de juridicidad. </w:t>
            </w:r>
            <w:r>
              <w:rPr>
                <w:rFonts w:ascii="Verdana" w:hAnsi="Verdana" w:cs="Arial"/>
                <w:sz w:val="22"/>
                <w:szCs w:val="22"/>
              </w:rPr>
              <w:t>Así</w:t>
            </w:r>
            <w:r w:rsidRPr="00277E26">
              <w:rPr>
                <w:rFonts w:ascii="Verdana" w:hAnsi="Verdana" w:cs="Arial"/>
                <w:sz w:val="22"/>
                <w:szCs w:val="22"/>
              </w:rPr>
              <w:t>, cada entidad definirá la forma de adelantar su gestión contractual, sin que sea atribución de Colombia Compra Eficiente validar sus actuaciones.</w:t>
            </w:r>
          </w:p>
        </w:tc>
      </w:tr>
    </w:tbl>
    <w:p w14:paraId="160E9DFA" w14:textId="77777777" w:rsidR="004C11DC" w:rsidRPr="00526681" w:rsidRDefault="004C11DC" w:rsidP="004C11DC">
      <w:pPr>
        <w:tabs>
          <w:tab w:val="left" w:pos="142"/>
          <w:tab w:val="left" w:pos="284"/>
        </w:tabs>
        <w:spacing w:after="0" w:line="276" w:lineRule="auto"/>
        <w:jc w:val="both"/>
        <w:rPr>
          <w:rFonts w:ascii="Verdana" w:eastAsia="Century Gothic" w:hAnsi="Verdana" w:cs="Century Gothic"/>
          <w:b/>
          <w:bCs/>
        </w:rPr>
      </w:pPr>
    </w:p>
    <w:bookmarkEnd w:id="2"/>
    <w:p w14:paraId="49CF46C7" w14:textId="77777777" w:rsidR="004C11DC" w:rsidRPr="00526681" w:rsidRDefault="004C11DC" w:rsidP="004C11DC">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Razones de las respuestas:</w:t>
      </w:r>
    </w:p>
    <w:p w14:paraId="2FDB1AA8" w14:textId="77777777" w:rsidR="004C11DC" w:rsidRPr="00526681" w:rsidRDefault="004C11DC" w:rsidP="004C11DC">
      <w:pPr>
        <w:spacing w:after="0" w:line="276" w:lineRule="auto"/>
        <w:jc w:val="both"/>
        <w:rPr>
          <w:rFonts w:ascii="Verdana" w:eastAsia="Calibri" w:hAnsi="Verdana" w:cs="Arial"/>
          <w:color w:val="7030A0"/>
        </w:rPr>
      </w:pPr>
    </w:p>
    <w:p w14:paraId="039A7B1F" w14:textId="77777777" w:rsidR="004C11DC" w:rsidRPr="00526681" w:rsidRDefault="004C11DC" w:rsidP="004C11DC">
      <w:pPr>
        <w:spacing w:after="0" w:line="276" w:lineRule="auto"/>
        <w:jc w:val="both"/>
        <w:rPr>
          <w:rFonts w:ascii="Verdana" w:eastAsia="Calibri" w:hAnsi="Verdana" w:cs="Arial"/>
        </w:rPr>
      </w:pPr>
      <w:r w:rsidRPr="00526681">
        <w:rPr>
          <w:rFonts w:ascii="Verdana" w:eastAsia="Calibri" w:hAnsi="Verdana" w:cs="Arial"/>
        </w:rPr>
        <w:t>Lo anterior se sustenta en las siguientes consideraciones:</w:t>
      </w:r>
    </w:p>
    <w:p w14:paraId="587210CD" w14:textId="77777777" w:rsidR="004C11DC" w:rsidRPr="00526681" w:rsidRDefault="004C11DC" w:rsidP="004C11DC">
      <w:pPr>
        <w:widowControl w:val="0"/>
        <w:autoSpaceDE w:val="0"/>
        <w:autoSpaceDN w:val="0"/>
        <w:spacing w:after="0" w:line="276" w:lineRule="auto"/>
        <w:jc w:val="both"/>
        <w:rPr>
          <w:rFonts w:ascii="Verdana" w:eastAsia="Calibri" w:hAnsi="Verdana" w:cs="Arial"/>
        </w:rPr>
      </w:pPr>
    </w:p>
    <w:p w14:paraId="2AFB7FAF" w14:textId="77777777" w:rsidR="004C11DC" w:rsidRPr="00B13ED7" w:rsidRDefault="004C11DC" w:rsidP="004C11DC">
      <w:pPr>
        <w:spacing w:after="0" w:line="276" w:lineRule="auto"/>
        <w:jc w:val="both"/>
        <w:rPr>
          <w:rFonts w:ascii="Verdana" w:eastAsia="Arial" w:hAnsi="Verdana" w:cs="Arial"/>
          <w:color w:val="000000"/>
        </w:rPr>
      </w:pPr>
      <w:r w:rsidRPr="00B13ED7">
        <w:rPr>
          <w:rFonts w:ascii="Verdana" w:hAnsi="Verdana" w:cs="Arial"/>
          <w:color w:val="000000" w:themeColor="text1"/>
        </w:rPr>
        <w:t>U</w:t>
      </w:r>
      <w:r w:rsidRPr="00B13ED7">
        <w:rPr>
          <w:rFonts w:ascii="Verdana" w:eastAsia="Arial" w:hAnsi="Verdana" w:cs="Arial"/>
          <w:color w:val="000000"/>
        </w:rPr>
        <w:t xml:space="preserve">no de los principios transversales de los procedimientos de selección es el de </w:t>
      </w:r>
      <w:r w:rsidRPr="00B13ED7">
        <w:rPr>
          <w:rFonts w:ascii="Verdana" w:eastAsia="Arial" w:hAnsi="Verdana" w:cs="Arial"/>
          <w:i/>
          <w:color w:val="000000"/>
        </w:rPr>
        <w:t>selección objetiva</w:t>
      </w:r>
      <w:r w:rsidRPr="00B13ED7">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B13ED7">
        <w:rPr>
          <w:rFonts w:ascii="Verdana" w:eastAsia="Arial" w:hAnsi="Verdana" w:cs="Arial"/>
          <w:color w:val="000000"/>
          <w:vertAlign w:val="superscript"/>
        </w:rPr>
        <w:footnoteReference w:id="1"/>
      </w:r>
      <w:r w:rsidRPr="00B13ED7">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0D5E360B" w14:textId="77777777" w:rsidR="004C11DC" w:rsidRPr="00B13ED7" w:rsidRDefault="004C11DC" w:rsidP="004C11DC">
      <w:pPr>
        <w:spacing w:after="0" w:line="276" w:lineRule="auto"/>
        <w:jc w:val="both"/>
        <w:rPr>
          <w:rFonts w:ascii="Verdana" w:eastAsia="Arial" w:hAnsi="Verdana" w:cs="Arial"/>
          <w:color w:val="000000"/>
        </w:rPr>
      </w:pPr>
    </w:p>
    <w:p w14:paraId="724BF2D3"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themeColor="text1"/>
          <w:sz w:val="21"/>
          <w:szCs w:val="21"/>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w:t>
      </w:r>
      <w:r w:rsidRPr="002D57F6">
        <w:rPr>
          <w:rFonts w:ascii="Verdana" w:eastAsia="Arial" w:hAnsi="Verdana" w:cs="Arial"/>
          <w:color w:val="000000" w:themeColor="text1"/>
          <w:sz w:val="21"/>
          <w:szCs w:val="21"/>
        </w:rPr>
        <w:lastRenderedPageBreak/>
        <w:t>que establezcan las entidades en los pliegos de condiciones o sus equivalentes, tendrán en cuenta los siguientes criterios:</w:t>
      </w:r>
    </w:p>
    <w:p w14:paraId="66AF76A5"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4678AA7"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33F2C64"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En los procesos de selección en los que se tenga en cuenta los factores técnicos y económicos, la oferta más ventajosa será la que resulte de aplicar alguna de las siguientes alternativas:</w:t>
      </w:r>
    </w:p>
    <w:p w14:paraId="6996DEC1"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a) La ponderación de los elementos de calidad y precio soportados en puntajes o fórmulas señaladas en el pliego de condiciones; o</w:t>
      </w:r>
    </w:p>
    <w:p w14:paraId="5BEC7791"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b) La ponderación de los elementos de calidad y precio que representen la mejor relación de costo-beneficio para la entidad.</w:t>
      </w:r>
    </w:p>
    <w:p w14:paraId="19B3CD45"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21D69082"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F7286CB"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lastRenderedPageBreak/>
        <w:t>En ningún caso se podrá incluir el precio, como factor de escogencia para la selección de consultores.</w:t>
      </w:r>
    </w:p>
    <w:p w14:paraId="27AA0319"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0459865"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Durante el término otorgado para subsanar las ofertas, los proponentes no podrán acreditar circunstancias ocurridas con posterioridad al cierre del proceso.</w:t>
      </w:r>
    </w:p>
    <w:p w14:paraId="48F42B04"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2o. Las certificaciones de sistemas de gestión de calidad no serán objeto de calificación, ni podrán establecerse como documento habilitante para participar en licitaciones o concursos.</w:t>
      </w:r>
    </w:p>
    <w:p w14:paraId="5A230780"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3o. &lt;Parágrafo adicionado por el artículo 5 de la Ley 1882 de 2018. El nuevo texto es el siguiente:&gt; La no entrega de la garantía de seriedad junto con la propuesta no será subsanable y será causal de rechazo de la misma.</w:t>
      </w:r>
    </w:p>
    <w:p w14:paraId="0CE3AB8B"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1538B882" w14:textId="77777777" w:rsidR="004C11DC" w:rsidRPr="002D57F6" w:rsidRDefault="004C11DC" w:rsidP="004C11DC">
      <w:pPr>
        <w:spacing w:after="0" w:line="240" w:lineRule="auto"/>
        <w:ind w:left="709" w:right="709"/>
        <w:jc w:val="both"/>
        <w:rPr>
          <w:rFonts w:ascii="Verdana" w:eastAsia="Arial" w:hAnsi="Verdana" w:cs="Arial"/>
          <w:color w:val="000000"/>
        </w:rPr>
      </w:pPr>
      <w:r w:rsidRPr="002D57F6">
        <w:rPr>
          <w:rFonts w:ascii="Verdana" w:eastAsia="Arial" w:hAnsi="Verdana" w:cs="Arial"/>
          <w:color w:val="000000" w:themeColor="text1"/>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2D57F6">
        <w:rPr>
          <w:rFonts w:ascii="Verdana" w:eastAsia="Arial" w:hAnsi="Verdana" w:cs="Arial"/>
          <w:color w:val="000000" w:themeColor="text1"/>
        </w:rPr>
        <w:t xml:space="preserve"> </w:t>
      </w:r>
    </w:p>
    <w:p w14:paraId="3C0B11DE" w14:textId="77777777" w:rsidR="004C11DC" w:rsidRPr="00B13ED7" w:rsidRDefault="004C11DC" w:rsidP="004C11DC">
      <w:pPr>
        <w:spacing w:after="0" w:line="276" w:lineRule="auto"/>
        <w:jc w:val="both"/>
        <w:rPr>
          <w:rFonts w:ascii="Verdana" w:eastAsia="Arial" w:hAnsi="Verdana" w:cs="Arial"/>
          <w:color w:val="000000"/>
        </w:rPr>
      </w:pPr>
    </w:p>
    <w:p w14:paraId="0FB945CC" w14:textId="77777777" w:rsidR="004C11DC" w:rsidRPr="00B13ED7" w:rsidRDefault="004C11DC" w:rsidP="004C11DC">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De acuerdo con el artículo 5 de la Ley 1150 de 2007, el deber de selección objetiva supone que las entidades escojan en los procesos de selección el “[…] ofrecimiento más favorable a la entidad y a los fines que ella busca […]”. Tal favorabilidad debe determinarse a partir de criterios que pueden variar de </w:t>
      </w:r>
      <w:r w:rsidRPr="00B13ED7">
        <w:rPr>
          <w:rFonts w:ascii="Verdana" w:eastAsia="Arial" w:hAnsi="Verdana" w:cs="Arial"/>
          <w:color w:val="000000"/>
        </w:rPr>
        <w:lastRenderedPageBreak/>
        <w:t xml:space="preserve">acuerdo con el objeto contractual o la modalidad de selección aplicable, los cuales, en todo caso, para que la selección sea objetiva, deben señalarse en el pliego de condiciones o documento equivalente. </w:t>
      </w:r>
    </w:p>
    <w:p w14:paraId="51B755E9" w14:textId="77777777" w:rsidR="004C11DC" w:rsidRPr="00B13ED7" w:rsidRDefault="004C11DC" w:rsidP="004C11DC">
      <w:pPr>
        <w:tabs>
          <w:tab w:val="left" w:pos="0"/>
        </w:tabs>
        <w:spacing w:after="120" w:line="276" w:lineRule="auto"/>
        <w:jc w:val="both"/>
        <w:rPr>
          <w:rFonts w:ascii="Verdana" w:eastAsia="Arial" w:hAnsi="Verdana" w:cs="Arial"/>
          <w:color w:val="000000"/>
        </w:rPr>
      </w:pPr>
      <w:bookmarkStart w:id="3" w:name="_1fob9te" w:colFirst="0" w:colLast="0"/>
      <w:bookmarkEnd w:id="3"/>
      <w:r w:rsidRPr="00B13ED7">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B13ED7">
        <w:rPr>
          <w:rFonts w:ascii="Verdana" w:eastAsia="Arial" w:hAnsi="Verdana" w:cs="Arial"/>
          <w:color w:val="000000"/>
          <w:vertAlign w:val="superscript"/>
        </w:rPr>
        <w:footnoteReference w:id="2"/>
      </w:r>
      <w:r w:rsidRPr="00B13ED7">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13ED7">
        <w:rPr>
          <w:rFonts w:ascii="Verdana" w:eastAsia="Arial" w:hAnsi="Verdana" w:cs="Arial"/>
          <w:i/>
          <w:color w:val="000000"/>
        </w:rPr>
        <w:t xml:space="preserve">habilitantes </w:t>
      </w:r>
      <w:r w:rsidRPr="00B13ED7">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0167AB55" w14:textId="77777777" w:rsidR="004C11DC" w:rsidRPr="00B13ED7" w:rsidRDefault="004C11DC" w:rsidP="004C11DC">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01248DA3" w14:textId="77777777" w:rsidR="004C11DC" w:rsidRPr="00B13ED7" w:rsidRDefault="004C11DC" w:rsidP="004C11DC">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lastRenderedPageBreak/>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725A4AB4" w14:textId="77777777" w:rsidR="004C11DC" w:rsidRPr="00B13ED7" w:rsidRDefault="004C11DC" w:rsidP="004C11DC">
      <w:pPr>
        <w:tabs>
          <w:tab w:val="left" w:pos="0"/>
        </w:tabs>
        <w:spacing w:after="0" w:line="276" w:lineRule="auto"/>
        <w:jc w:val="both"/>
        <w:rPr>
          <w:rFonts w:ascii="Verdana" w:eastAsia="Arial" w:hAnsi="Verdana" w:cs="Arial"/>
          <w:color w:val="000000"/>
        </w:rPr>
      </w:pPr>
      <w:r w:rsidRPr="00B13ED7">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w:t>
      </w:r>
      <w:r w:rsidRPr="00B13ED7">
        <w:rPr>
          <w:rFonts w:ascii="Verdana" w:eastAsia="Arial" w:hAnsi="Verdana" w:cs="Arial"/>
          <w:color w:val="000000"/>
          <w:vertAlign w:val="superscript"/>
        </w:rPr>
        <w:footnoteReference w:id="3"/>
      </w:r>
      <w:r w:rsidRPr="00B13ED7">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B13ED7">
        <w:rPr>
          <w:rFonts w:ascii="Verdana" w:eastAsia="Arial" w:hAnsi="Verdana" w:cs="Arial"/>
          <w:color w:val="000000"/>
          <w:vertAlign w:val="superscript"/>
        </w:rPr>
        <w:footnoteReference w:id="4"/>
      </w:r>
      <w:r w:rsidRPr="00B13ED7">
        <w:rPr>
          <w:rFonts w:ascii="Verdana" w:eastAsia="Arial" w:hAnsi="Verdana" w:cs="Arial"/>
          <w:color w:val="000000"/>
        </w:rPr>
        <w:t>. Conforme a esto, la doctrina explica que:</w:t>
      </w:r>
    </w:p>
    <w:p w14:paraId="0CF0D257" w14:textId="77777777" w:rsidR="004C11DC" w:rsidRPr="00B13ED7" w:rsidRDefault="004C11DC" w:rsidP="004C11DC">
      <w:pPr>
        <w:tabs>
          <w:tab w:val="left" w:pos="0"/>
        </w:tabs>
        <w:spacing w:after="0" w:line="276" w:lineRule="auto"/>
        <w:ind w:left="709" w:right="709"/>
        <w:jc w:val="both"/>
        <w:rPr>
          <w:rFonts w:ascii="Verdana" w:eastAsia="Arial" w:hAnsi="Verdana" w:cs="Arial"/>
          <w:color w:val="000000"/>
        </w:rPr>
      </w:pPr>
    </w:p>
    <w:p w14:paraId="0DC210FA" w14:textId="77777777" w:rsidR="004C11DC" w:rsidRPr="002D57F6" w:rsidRDefault="004C11DC" w:rsidP="004C11DC">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themeColor="text1"/>
          <w:sz w:val="21"/>
          <w:szCs w:val="21"/>
        </w:rPr>
        <w:t xml:space="preserve">“De acuerdo con ese entendimiento, el numeral 2 del artículo 5.° de la Ley  1150 de 2007, modificado por el artículo 88 de la Ley 1474 de 2011, comienza por señalar que </w:t>
      </w:r>
      <w:r>
        <w:rPr>
          <w:rFonts w:ascii="Verdana" w:eastAsia="Arial" w:hAnsi="Verdana" w:cs="Arial"/>
          <w:color w:val="000000" w:themeColor="text1"/>
          <w:sz w:val="23"/>
          <w:szCs w:val="23"/>
        </w:rPr>
        <w:t>‘</w:t>
      </w:r>
      <w:r w:rsidRPr="002D57F6">
        <w:rPr>
          <w:rFonts w:ascii="Verdana" w:eastAsia="Arial" w:hAnsi="Verdana" w:cs="Arial"/>
          <w:color w:val="000000" w:themeColor="text1"/>
          <w:sz w:val="21"/>
          <w:szCs w:val="21"/>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w:t>
      </w:r>
      <w:r>
        <w:rPr>
          <w:rFonts w:ascii="Verdana" w:eastAsia="Arial" w:hAnsi="Verdana" w:cs="Arial"/>
          <w:color w:val="000000" w:themeColor="text1"/>
          <w:sz w:val="21"/>
          <w:szCs w:val="21"/>
        </w:rPr>
        <w:t>’</w:t>
      </w:r>
      <w:r w:rsidRPr="002D57F6">
        <w:rPr>
          <w:rFonts w:ascii="Verdana" w:eastAsia="Arial" w:hAnsi="Verdana" w:cs="Arial"/>
          <w:color w:val="000000" w:themeColor="text1"/>
          <w:sz w:val="21"/>
          <w:szCs w:val="21"/>
        </w:rPr>
        <w:t xml:space="preserve">.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6911F13A" w14:textId="77777777" w:rsidR="004C11DC" w:rsidRPr="002D57F6" w:rsidRDefault="004C11DC" w:rsidP="004C11DC">
      <w:pPr>
        <w:tabs>
          <w:tab w:val="left" w:pos="0"/>
        </w:tabs>
        <w:spacing w:after="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De nuevo, aquí es preciso señalar que es el pliego de condiciones el que debe determinar cuáles son esos factores que en cada caso concreto permiten hacer una comparación entre las ofertas </w:t>
      </w:r>
      <w:r w:rsidRPr="002D57F6">
        <w:rPr>
          <w:rFonts w:ascii="Verdana" w:eastAsia="Arial" w:hAnsi="Verdana" w:cs="Arial"/>
          <w:color w:val="000000"/>
          <w:sz w:val="21"/>
          <w:szCs w:val="21"/>
        </w:rPr>
        <w:lastRenderedPageBreak/>
        <w:t xml:space="preserve">presentadas y, con base en ello, determinar cuál es la más favorable para la Administración Pública. </w:t>
      </w:r>
    </w:p>
    <w:p w14:paraId="706036ED" w14:textId="77777777" w:rsidR="004C11DC" w:rsidRPr="002D57F6" w:rsidRDefault="004C11DC" w:rsidP="004C11DC">
      <w:pPr>
        <w:tabs>
          <w:tab w:val="left" w:pos="0"/>
        </w:tabs>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w:t>
      </w:r>
    </w:p>
    <w:p w14:paraId="362821C7" w14:textId="77777777" w:rsidR="004C11DC" w:rsidRPr="002D57F6" w:rsidRDefault="004C11DC" w:rsidP="004C11DC">
      <w:pPr>
        <w:spacing w:after="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2D57F6">
        <w:rPr>
          <w:rFonts w:ascii="Verdana" w:eastAsia="Arial" w:hAnsi="Verdana" w:cs="Arial"/>
          <w:color w:val="000000"/>
          <w:sz w:val="21"/>
          <w:szCs w:val="21"/>
          <w:vertAlign w:val="superscript"/>
        </w:rPr>
        <w:footnoteReference w:id="5"/>
      </w:r>
      <w:r w:rsidRPr="002D57F6">
        <w:rPr>
          <w:rFonts w:ascii="Verdana" w:eastAsia="Arial" w:hAnsi="Verdana" w:cs="Arial"/>
          <w:color w:val="000000"/>
          <w:sz w:val="21"/>
          <w:szCs w:val="21"/>
        </w:rPr>
        <w:t>.</w:t>
      </w:r>
    </w:p>
    <w:p w14:paraId="3CA4968D" w14:textId="77777777" w:rsidR="004C11DC" w:rsidRPr="00B13ED7" w:rsidRDefault="004C11DC" w:rsidP="004C11DC">
      <w:pPr>
        <w:tabs>
          <w:tab w:val="left" w:pos="0"/>
        </w:tabs>
        <w:spacing w:after="0" w:line="276" w:lineRule="auto"/>
        <w:ind w:left="709" w:right="709"/>
        <w:jc w:val="both"/>
        <w:rPr>
          <w:rFonts w:ascii="Verdana" w:eastAsia="Arial" w:hAnsi="Verdana" w:cs="Arial"/>
          <w:color w:val="000000"/>
        </w:rPr>
      </w:pPr>
    </w:p>
    <w:p w14:paraId="11306F19" w14:textId="77777777" w:rsidR="004C11DC" w:rsidRPr="00B13ED7" w:rsidRDefault="004C11DC" w:rsidP="004C11DC">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0A22DDB0" w14:textId="77777777" w:rsidR="004C11DC" w:rsidRPr="00B13ED7" w:rsidRDefault="004C11DC" w:rsidP="004C11DC">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En ese sentido, la asignación de puntaje es un mecanismo mediante el cual las entidades ponderan los factores de calificación </w:t>
      </w:r>
      <w:r w:rsidRPr="00B13ED7">
        <w:rPr>
          <w:rFonts w:ascii="Tahoma" w:eastAsia="Tahoma" w:hAnsi="Tahoma" w:cs="Tahoma"/>
          <w:color w:val="000000"/>
        </w:rPr>
        <w:t>ꟷ</w:t>
      </w:r>
      <w:r w:rsidRPr="00B13ED7">
        <w:rPr>
          <w:rFonts w:ascii="Verdana" w:eastAsia="Arial" w:hAnsi="Verdana" w:cs="Arial"/>
          <w:i/>
          <w:color w:val="000000"/>
        </w:rPr>
        <w:t>v.g.</w:t>
      </w:r>
      <w:r w:rsidRPr="00B13ED7">
        <w:rPr>
          <w:rFonts w:ascii="Verdana" w:eastAsia="Arial" w:hAnsi="Verdana" w:cs="Arial"/>
          <w:color w:val="000000"/>
        </w:rPr>
        <w:t xml:space="preserve"> técnicos y económicos, de calidad y precio, etc.</w:t>
      </w:r>
      <w:r w:rsidRPr="00B13ED7">
        <w:rPr>
          <w:rFonts w:ascii="Tahoma" w:eastAsia="Tahoma" w:hAnsi="Tahoma" w:cs="Tahoma"/>
          <w:color w:val="000000"/>
        </w:rPr>
        <w:t>ꟷ</w:t>
      </w:r>
      <w:r w:rsidRPr="00B13ED7">
        <w:rPr>
          <w:rFonts w:ascii="Verdana" w:eastAsia="Arial" w:hAnsi="Verdana"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costo beneficio.</w:t>
      </w:r>
    </w:p>
    <w:p w14:paraId="769F66FA" w14:textId="77777777" w:rsidR="004C11DC" w:rsidRPr="00B13ED7" w:rsidRDefault="004C11DC" w:rsidP="004C11DC">
      <w:pPr>
        <w:spacing w:after="120" w:line="276" w:lineRule="auto"/>
        <w:jc w:val="both"/>
        <w:rPr>
          <w:rFonts w:ascii="Verdana" w:eastAsia="Arial" w:hAnsi="Verdana" w:cs="Arial"/>
          <w:color w:val="000000"/>
        </w:rPr>
      </w:pPr>
      <w:r w:rsidRPr="00B13ED7">
        <w:rPr>
          <w:rFonts w:ascii="Verdana" w:eastAsia="Arial" w:hAnsi="Verdana" w:cs="Arial"/>
          <w:color w:val="000000"/>
        </w:rPr>
        <w:lastRenderedPageBreak/>
        <w:tab/>
        <w:t>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B13ED7">
        <w:rPr>
          <w:rFonts w:ascii="Verdana" w:eastAsia="Arial" w:hAnsi="Verdana" w:cs="Arial"/>
          <w:color w:val="000000"/>
          <w:vertAlign w:val="superscript"/>
        </w:rPr>
        <w:footnoteReference w:id="6"/>
      </w:r>
      <w:r w:rsidRPr="00B13ED7">
        <w:rPr>
          <w:rFonts w:ascii="Verdana" w:eastAsia="Arial" w:hAnsi="Verdana" w:cs="Arial"/>
          <w:color w:val="000000"/>
        </w:rPr>
        <w:t>.</w:t>
      </w:r>
    </w:p>
    <w:p w14:paraId="5C3E6DF1" w14:textId="77777777" w:rsidR="004C11DC" w:rsidRPr="00B13ED7" w:rsidRDefault="004C11DC" w:rsidP="004C11DC">
      <w:pPr>
        <w:spacing w:after="120" w:line="276" w:lineRule="auto"/>
        <w:ind w:firstLine="709"/>
        <w:jc w:val="both"/>
        <w:rPr>
          <w:rFonts w:ascii="Verdana" w:eastAsia="Arial" w:hAnsi="Verdana" w:cs="Arial"/>
          <w:color w:val="000000"/>
        </w:rPr>
      </w:pPr>
      <w:r w:rsidRPr="00B13ED7">
        <w:rPr>
          <w:rFonts w:ascii="Verdana" w:eastAsia="Arial" w:hAnsi="Verdana" w:cs="Arial"/>
          <w:color w:val="000000" w:themeColor="text1"/>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620CB0C2" w14:textId="77777777" w:rsidR="004C11DC" w:rsidRPr="00B13ED7" w:rsidRDefault="004C11DC" w:rsidP="004C11DC">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w:t>
      </w:r>
      <w:r w:rsidRPr="00B13ED7">
        <w:rPr>
          <w:rFonts w:ascii="Verdana" w:eastAsia="Arial" w:hAnsi="Verdana" w:cs="Arial"/>
          <w:color w:val="000000"/>
        </w:rPr>
        <w:lastRenderedPageBreak/>
        <w:t xml:space="preserve">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1BE5E622" w14:textId="77777777" w:rsidR="004C11DC" w:rsidRPr="00B13ED7" w:rsidRDefault="004C11DC" w:rsidP="004C11DC">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5DBA7028" w14:textId="77777777" w:rsidR="004C11DC" w:rsidRDefault="004C11DC" w:rsidP="004C11DC">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w:t>
      </w:r>
      <w:r w:rsidRPr="00B13ED7">
        <w:rPr>
          <w:rFonts w:ascii="Verdana" w:eastAsia="Arial" w:hAnsi="Verdana" w:cs="Arial"/>
          <w:color w:val="000000"/>
        </w:rPr>
        <w:lastRenderedPageBreak/>
        <w:t>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B13ED7">
        <w:rPr>
          <w:rFonts w:ascii="Verdana" w:eastAsia="Arial" w:hAnsi="Verdana" w:cs="Arial"/>
          <w:color w:val="000000"/>
          <w:vertAlign w:val="superscript"/>
        </w:rPr>
        <w:footnoteReference w:id="7"/>
      </w:r>
      <w:r w:rsidRPr="00B13ED7">
        <w:rPr>
          <w:rFonts w:ascii="Verdana" w:eastAsia="Arial" w:hAnsi="Verdana" w:cs="Arial"/>
          <w:color w:val="000000"/>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B13ED7">
        <w:rPr>
          <w:rFonts w:ascii="Verdana" w:eastAsia="Arial" w:hAnsi="Verdana" w:cs="Arial"/>
          <w:color w:val="000000"/>
          <w:vertAlign w:val="superscript"/>
        </w:rPr>
        <w:footnoteReference w:id="8"/>
      </w:r>
      <w:r w:rsidRPr="00B13ED7">
        <w:rPr>
          <w:rFonts w:ascii="Verdana" w:eastAsia="Arial" w:hAnsi="Verdana" w:cs="Arial"/>
          <w:color w:val="000000"/>
        </w:rPr>
        <w:t>.</w:t>
      </w:r>
    </w:p>
    <w:p w14:paraId="546D8526" w14:textId="77777777" w:rsidR="004C11DC" w:rsidRPr="00B17765" w:rsidRDefault="004C11DC" w:rsidP="004C11DC">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0899DBC0" w14:textId="77777777" w:rsidR="004C11DC" w:rsidRPr="00C64261" w:rsidRDefault="004C11DC" w:rsidP="004C11DC">
      <w:pPr>
        <w:pBdr>
          <w:top w:val="nil"/>
          <w:left w:val="nil"/>
          <w:bottom w:val="nil"/>
          <w:right w:val="nil"/>
          <w:between w:val="nil"/>
        </w:pBdr>
        <w:spacing w:after="120" w:line="276" w:lineRule="auto"/>
        <w:ind w:firstLine="708"/>
        <w:jc w:val="both"/>
        <w:rPr>
          <w:rFonts w:ascii="Verdana" w:eastAsia="Quattrocento Sans" w:hAnsi="Verdana" w:cs="Quattrocento Sans"/>
          <w:color w:val="000000"/>
        </w:rPr>
      </w:pPr>
      <w:r w:rsidRPr="00C64261">
        <w:rPr>
          <w:rFonts w:ascii="Verdana" w:eastAsia="Arial" w:hAnsi="Verdana" w:cs="Arial"/>
          <w:color w:val="000000"/>
        </w:rPr>
        <w:t xml:space="preserve">Esta Subdirección se ha pronunciado en diversas oportunidades acerca del alcance de la regla de la subsanabilidad, contenida actualmente en el artículo 5 </w:t>
      </w:r>
      <w:r w:rsidRPr="00C64261">
        <w:rPr>
          <w:rFonts w:ascii="Verdana" w:eastAsia="Arial" w:hAnsi="Verdana" w:cs="Arial"/>
          <w:color w:val="000000"/>
        </w:rPr>
        <w:lastRenderedPageBreak/>
        <w:t>de la Ley 1150 de 2007. Al respecto, la postura que se reitera en el presente concepto es la siguiente: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118FF92B" w14:textId="77777777" w:rsidR="004C11DC" w:rsidRPr="00C64261" w:rsidRDefault="004C11DC" w:rsidP="004C11DC">
      <w:pPr>
        <w:spacing w:after="120" w:line="276" w:lineRule="auto"/>
        <w:ind w:firstLine="709"/>
        <w:jc w:val="both"/>
        <w:rPr>
          <w:rFonts w:ascii="Verdana" w:hAnsi="Verdana" w:cs="Arial"/>
          <w:lang w:val="es-ES_tradnl"/>
        </w:rPr>
      </w:pPr>
      <w:r w:rsidRPr="00C64261">
        <w:rPr>
          <w:rFonts w:ascii="Verdana" w:hAnsi="Verdana" w:cs="Arial"/>
          <w:lang w:val="es-ES_tradnl"/>
        </w:rPr>
        <w:t>Sobre este aspecto, debe resaltarse que la posibilidad de enmendar, corregir o subsanar los errores en los que se incurre en los documentos contentivos de la oferta es un tema que ha tenido diferentes momentos o etapas en el ordenamiento jurídico colombiano</w:t>
      </w:r>
      <w:r w:rsidRPr="00C64261">
        <w:rPr>
          <w:rFonts w:ascii="Verdana" w:eastAsia="Arial" w:hAnsi="Verdana" w:cs="Arial"/>
          <w:color w:val="000000"/>
        </w:rPr>
        <w:t xml:space="preserve">. En un </w:t>
      </w:r>
      <w:r w:rsidRPr="00C64261">
        <w:rPr>
          <w:rFonts w:ascii="Verdana" w:eastAsia="Arial" w:hAnsi="Verdana" w:cs="Arial"/>
          <w:i/>
          <w:color w:val="000000"/>
        </w:rPr>
        <w:t>primer momento</w:t>
      </w:r>
      <w:r w:rsidRPr="00C64261">
        <w:rPr>
          <w:rFonts w:ascii="Verdana" w:eastAsia="Arial" w:hAnsi="Verdana" w:cs="Arial"/>
          <w:color w:val="000000"/>
        </w:rPr>
        <w:t xml:space="preserve">, antes de expedirse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B56A4BC" w14:textId="77777777" w:rsidR="004C11DC" w:rsidRPr="00C64261" w:rsidRDefault="004C11DC" w:rsidP="004C11DC">
      <w:pPr>
        <w:spacing w:after="0" w:line="276" w:lineRule="auto"/>
        <w:ind w:firstLine="709"/>
        <w:jc w:val="both"/>
        <w:rPr>
          <w:rFonts w:ascii="Verdana" w:hAnsi="Verdana"/>
        </w:rPr>
      </w:pPr>
      <w:r w:rsidRPr="00C64261">
        <w:rPr>
          <w:rFonts w:ascii="Verdana" w:eastAsia="Arial" w:hAnsi="Verdana" w:cs="Arial"/>
          <w:color w:val="000000"/>
        </w:rPr>
        <w:t xml:space="preserve">En un </w:t>
      </w:r>
      <w:r w:rsidRPr="00C64261">
        <w:rPr>
          <w:rFonts w:ascii="Verdana" w:eastAsia="Arial" w:hAnsi="Verdana" w:cs="Arial"/>
          <w:i/>
          <w:color w:val="000000"/>
        </w:rPr>
        <w:t>segundo momento</w:t>
      </w:r>
      <w:r w:rsidRPr="00C6426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25FAB064" w14:textId="77777777" w:rsidR="004C11DC" w:rsidRPr="00C64261" w:rsidRDefault="004C11DC" w:rsidP="004C11DC">
      <w:pPr>
        <w:spacing w:after="0" w:line="276" w:lineRule="auto"/>
        <w:jc w:val="both"/>
        <w:rPr>
          <w:rFonts w:ascii="Verdana" w:eastAsia="Arial" w:hAnsi="Verdana" w:cs="Arial"/>
          <w:color w:val="000000"/>
        </w:rPr>
      </w:pPr>
    </w:p>
    <w:p w14:paraId="1D4DBBFB" w14:textId="77777777" w:rsidR="004C11DC" w:rsidRPr="00075E11" w:rsidRDefault="004C11DC" w:rsidP="004C11DC">
      <w:pPr>
        <w:spacing w:after="0" w:line="240" w:lineRule="auto"/>
        <w:ind w:left="709" w:right="709"/>
        <w:jc w:val="both"/>
        <w:rPr>
          <w:rFonts w:ascii="Verdana" w:eastAsia="Arial" w:hAnsi="Verdana" w:cs="Arial"/>
          <w:color w:val="000000"/>
          <w:sz w:val="21"/>
          <w:szCs w:val="21"/>
        </w:rPr>
      </w:pPr>
      <w:r w:rsidRPr="00075E11">
        <w:rPr>
          <w:rFonts w:ascii="Verdana" w:eastAsia="Arial" w:hAnsi="Verdana" w:cs="Arial"/>
          <w:color w:val="000000"/>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A3142E2" w14:textId="77777777" w:rsidR="004C11DC" w:rsidRPr="00075E11" w:rsidRDefault="004C11DC" w:rsidP="004C11DC">
      <w:pPr>
        <w:spacing w:after="0" w:line="240" w:lineRule="auto"/>
        <w:ind w:left="709" w:right="709"/>
        <w:jc w:val="both"/>
        <w:rPr>
          <w:rFonts w:ascii="Verdana" w:eastAsia="Arial" w:hAnsi="Verdana" w:cs="Arial"/>
          <w:color w:val="000000"/>
          <w:sz w:val="21"/>
          <w:szCs w:val="21"/>
        </w:rPr>
      </w:pPr>
      <w:r w:rsidRPr="00075E11">
        <w:rPr>
          <w:rFonts w:ascii="Verdana" w:eastAsia="Arial" w:hAnsi="Verdana"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5EDFA281" w14:textId="77777777" w:rsidR="004C11DC" w:rsidRPr="00C64261" w:rsidRDefault="004C11DC" w:rsidP="004C11DC">
      <w:pPr>
        <w:spacing w:after="0" w:line="276" w:lineRule="auto"/>
        <w:jc w:val="both"/>
        <w:rPr>
          <w:rFonts w:ascii="Verdana" w:eastAsia="Arial" w:hAnsi="Verdana" w:cs="Arial"/>
          <w:b/>
          <w:color w:val="000000"/>
        </w:rPr>
      </w:pPr>
    </w:p>
    <w:p w14:paraId="446A16DD"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Bajo el amparo de esta norma, el régimen jurídico de subsanabilidad de las ofertas sufre un cambio fundamental, pues ya no era posible rechazar las ofertas por falta de requisitos o documentos que no fueran “</w:t>
      </w:r>
      <w:r w:rsidRPr="00C64261">
        <w:rPr>
          <w:rFonts w:ascii="Verdana" w:eastAsia="Arial" w:hAnsi="Verdana" w:cs="Arial"/>
          <w:i/>
          <w:color w:val="000000"/>
        </w:rPr>
        <w:t>necesarios para la comparación de propuestas</w:t>
      </w:r>
      <w:r w:rsidRPr="00C64261">
        <w:rPr>
          <w:rFonts w:ascii="Verdana" w:eastAsia="Arial" w:hAnsi="Verdana" w:cs="Arial"/>
          <w:color w:val="000000"/>
        </w:rPr>
        <w:t xml:space="preserve">”. De esta manera, la ley introdujo un primer criterio </w:t>
      </w:r>
      <w:r w:rsidRPr="00C64261">
        <w:rPr>
          <w:rFonts w:ascii="Verdana" w:eastAsia="Arial" w:hAnsi="Verdana" w:cs="Arial"/>
          <w:color w:val="000000"/>
        </w:rPr>
        <w:lastRenderedPageBreak/>
        <w:t xml:space="preserve">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4FBFA9F"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El artículo 25.15 debía leerse en conjunto con otras</w:t>
      </w:r>
      <w:r>
        <w:rPr>
          <w:rFonts w:ascii="Verdana" w:eastAsia="Arial" w:hAnsi="Verdana" w:cs="Arial"/>
          <w:color w:val="000000"/>
        </w:rPr>
        <w:t xml:space="preserve"> disposiciones</w:t>
      </w:r>
      <w:r w:rsidRPr="00C64261">
        <w:rPr>
          <w:rFonts w:ascii="Verdana" w:eastAsia="Arial" w:hAnsi="Verdana" w:cs="Arial"/>
          <w:color w:val="000000"/>
        </w:rPr>
        <w:t xml:space="preserve"> de la Ley 80 de 1993, particularmente con el artículo 30.7</w:t>
      </w:r>
      <w:r w:rsidRPr="00C64261">
        <w:rPr>
          <w:rFonts w:ascii="Verdana" w:eastAsia="Arial" w:hAnsi="Verdana" w:cs="Arial"/>
          <w:color w:val="000000"/>
          <w:vertAlign w:val="superscript"/>
        </w:rPr>
        <w:footnoteReference w:id="9"/>
      </w:r>
      <w:r w:rsidRPr="00C64261">
        <w:rPr>
          <w:rFonts w:ascii="Verdana" w:eastAsia="Arial" w:hAnsi="Verdana"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C64261">
        <w:rPr>
          <w:rFonts w:ascii="Verdana" w:eastAsia="Arial" w:hAnsi="Verdana" w:cs="Arial"/>
          <w:color w:val="000000"/>
          <w:vertAlign w:val="superscript"/>
        </w:rPr>
        <w:footnoteReference w:id="10"/>
      </w:r>
      <w:r w:rsidRPr="00C64261">
        <w:rPr>
          <w:rFonts w:ascii="Verdana" w:eastAsia="Arial" w:hAnsi="Verdana"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41CA738A"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tercer momento</w:t>
      </w:r>
      <w:r w:rsidRPr="00C6426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64261">
        <w:rPr>
          <w:rFonts w:ascii="Verdana" w:eastAsia="Arial" w:hAnsi="Verdana" w:cs="Arial"/>
          <w:b/>
          <w:color w:val="000000"/>
        </w:rPr>
        <w:t xml:space="preserve">, </w:t>
      </w:r>
      <w:r w:rsidRPr="00C64261">
        <w:rPr>
          <w:rFonts w:ascii="Verdana" w:eastAsia="Arial" w:hAnsi="Verdana" w:cs="Arial"/>
          <w:color w:val="000000"/>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0EBF3D71" w14:textId="77777777" w:rsidR="004C11DC" w:rsidRPr="00C64261" w:rsidRDefault="004C11DC" w:rsidP="004C11DC">
      <w:pPr>
        <w:spacing w:after="120" w:line="276" w:lineRule="auto"/>
        <w:ind w:firstLine="709"/>
        <w:jc w:val="both"/>
        <w:rPr>
          <w:rFonts w:ascii="Verdana" w:hAnsi="Verdana"/>
        </w:rPr>
      </w:pPr>
      <w:r w:rsidRPr="00C6426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w:t>
      </w:r>
      <w:r w:rsidRPr="00C64261">
        <w:rPr>
          <w:rFonts w:ascii="Verdana" w:eastAsia="Arial" w:hAnsi="Verdana" w:cs="Arial"/>
          <w:color w:val="000000"/>
        </w:rPr>
        <w:lastRenderedPageBreak/>
        <w:t xml:space="preserve">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59A4D664" w14:textId="77777777" w:rsidR="004C11DC" w:rsidRPr="00C64261" w:rsidRDefault="004C11DC" w:rsidP="004C11DC">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64261">
        <w:rPr>
          <w:rFonts w:ascii="Verdana" w:eastAsia="Arial" w:hAnsi="Verdana" w:cs="Arial"/>
          <w:i/>
          <w:color w:val="000000"/>
        </w:rPr>
        <w:t>en cualquier momento, hasta la adjudicación</w:t>
      </w:r>
      <w:r w:rsidRPr="00C6426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23C198F7" w14:textId="77777777" w:rsidR="004C11DC" w:rsidRPr="00C64261" w:rsidRDefault="004C11DC" w:rsidP="004C11DC">
      <w:pPr>
        <w:spacing w:after="0" w:line="276" w:lineRule="auto"/>
        <w:jc w:val="both"/>
        <w:rPr>
          <w:rFonts w:ascii="Verdana" w:eastAsia="Arial" w:hAnsi="Verdana" w:cs="Arial"/>
          <w:color w:val="000000"/>
        </w:rPr>
      </w:pPr>
    </w:p>
    <w:p w14:paraId="5515FF04" w14:textId="77777777" w:rsidR="004C11DC" w:rsidRPr="00C64261" w:rsidRDefault="004C11DC" w:rsidP="004C11DC">
      <w:pPr>
        <w:spacing w:after="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11"/>
      </w:r>
      <w:r w:rsidRPr="00C64261">
        <w:rPr>
          <w:rFonts w:ascii="Verdana" w:eastAsia="Arial" w:hAnsi="Verdana" w:cs="Arial"/>
          <w:color w:val="000000"/>
          <w:sz w:val="21"/>
          <w:szCs w:val="21"/>
        </w:rPr>
        <w:t>.</w:t>
      </w:r>
    </w:p>
    <w:p w14:paraId="47E51AA3" w14:textId="77777777" w:rsidR="004C11DC" w:rsidRPr="00C64261" w:rsidRDefault="004C11DC" w:rsidP="004C11DC">
      <w:pPr>
        <w:spacing w:after="0" w:line="276" w:lineRule="auto"/>
        <w:jc w:val="both"/>
        <w:rPr>
          <w:rFonts w:ascii="Verdana" w:eastAsia="Arial" w:hAnsi="Verdana" w:cs="Arial"/>
          <w:b/>
          <w:color w:val="000000"/>
        </w:rPr>
      </w:pPr>
    </w:p>
    <w:p w14:paraId="3B3BC56B" w14:textId="77777777" w:rsidR="004C11DC" w:rsidRPr="00C64261" w:rsidRDefault="004C11DC" w:rsidP="004C11DC">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64261">
        <w:rPr>
          <w:rFonts w:ascii="Verdana" w:eastAsia="Arial" w:hAnsi="Verdana" w:cs="Arial"/>
          <w:color w:val="000000"/>
        </w:rPr>
        <w:t>Esa interpretación fue compartida por la Agencia Nacional de Contratación Pública – Colombia Compra Eficiente, pues en la Circular Externa Única se había precisado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7F116A6A" w14:textId="77777777" w:rsidR="004C11DC" w:rsidRPr="00C64261" w:rsidRDefault="004C11DC" w:rsidP="004C11DC">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cuarto momento</w:t>
      </w:r>
      <w:r w:rsidRPr="00C64261">
        <w:rPr>
          <w:rFonts w:ascii="Verdana" w:eastAsia="Arial" w:hAnsi="Verdana" w:cs="Arial"/>
          <w:color w:val="000000"/>
        </w:rPr>
        <w:t xml:space="preserve">, el legislador expidió la Ley 1882 de 2018, con la finalidad de introducir cambios y ajustes para fortalecer la contratación pública. </w:t>
      </w:r>
      <w:r w:rsidRPr="00C64261">
        <w:rPr>
          <w:rFonts w:ascii="Verdana" w:eastAsia="Arial" w:hAnsi="Verdana" w:cs="Arial"/>
          <w:color w:val="000000"/>
        </w:rPr>
        <w:lastRenderedPageBreak/>
        <w:t xml:space="preserve">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A2C6ED3"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 </w:t>
      </w:r>
    </w:p>
    <w:p w14:paraId="75A47A7A"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64261">
        <w:rPr>
          <w:rFonts w:ascii="Verdana" w:eastAsia="Arial" w:hAnsi="Verdana" w:cs="Arial"/>
          <w:color w:val="000000"/>
          <w:vertAlign w:val="superscript"/>
        </w:rPr>
        <w:footnoteReference w:id="12"/>
      </w:r>
      <w:r w:rsidRPr="00C64261">
        <w:rPr>
          <w:rFonts w:ascii="Verdana" w:eastAsia="Arial" w:hAnsi="Verdana" w:cs="Arial"/>
          <w:color w:val="000000"/>
        </w:rPr>
        <w:t xml:space="preserve">; en el último los documentos o requisitos subsanables pueden y deben solicitarse hasta el momento previo a su realización.  </w:t>
      </w:r>
    </w:p>
    <w:p w14:paraId="41FB94C1"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w:t>
      </w:r>
      <w:r w:rsidRPr="00C64261">
        <w:rPr>
          <w:rFonts w:ascii="Verdana" w:eastAsia="Arial" w:hAnsi="Verdana" w:cs="Arial"/>
          <w:color w:val="000000"/>
        </w:rPr>
        <w:lastRenderedPageBreak/>
        <w:t xml:space="preserve">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6B868275"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subsanabilidad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2247B43F"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3DAA489"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65E6F8D4"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w:t>
      </w:r>
      <w:r w:rsidRPr="00C64261">
        <w:rPr>
          <w:rFonts w:ascii="Verdana" w:eastAsia="Arial" w:hAnsi="Verdana" w:cs="Arial"/>
          <w:color w:val="000000"/>
        </w:rPr>
        <w:lastRenderedPageBreak/>
        <w:t xml:space="preserve">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68E4CDC8"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2CB759A9" w14:textId="77777777" w:rsidR="004C11DC" w:rsidRPr="00C64261" w:rsidRDefault="004C11DC" w:rsidP="004C11DC">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La Sala de Consulta y Servicio Civil del Consejo de Estado ya había tenido la oportunidad de precisar estas expresiones, a propósito de un concepto en el que se refirió al artículo 10 del derogado Decreto 2474 de 2008</w:t>
      </w:r>
      <w:r w:rsidRPr="00C64261">
        <w:rPr>
          <w:rFonts w:ascii="Verdana" w:eastAsia="Arial" w:hAnsi="Verdana" w:cs="Arial"/>
          <w:color w:val="000000"/>
          <w:vertAlign w:val="superscript"/>
        </w:rPr>
        <w:footnoteReference w:id="13"/>
      </w:r>
      <w:r w:rsidRPr="00C6426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10F7605F" w14:textId="77777777" w:rsidR="004C11DC" w:rsidRPr="00C64261" w:rsidRDefault="004C11DC" w:rsidP="004C11DC">
      <w:pPr>
        <w:spacing w:after="0"/>
        <w:ind w:left="709" w:right="709"/>
        <w:jc w:val="both"/>
        <w:rPr>
          <w:rFonts w:ascii="Verdana" w:eastAsia="Arial" w:hAnsi="Verdana" w:cs="Arial"/>
          <w:color w:val="000000"/>
        </w:rPr>
      </w:pPr>
    </w:p>
    <w:p w14:paraId="7D38C3EC" w14:textId="77777777" w:rsidR="004C11DC" w:rsidRPr="00C64261" w:rsidRDefault="004C11DC" w:rsidP="004C11DC">
      <w:pPr>
        <w:spacing w:after="12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05C12368" w14:textId="77777777" w:rsidR="004C11DC" w:rsidRPr="00C64261" w:rsidRDefault="004C11DC" w:rsidP="004C11DC">
      <w:pPr>
        <w:spacing w:after="0" w:line="240" w:lineRule="auto"/>
        <w:ind w:left="709" w:right="709"/>
        <w:jc w:val="both"/>
        <w:rPr>
          <w:rFonts w:ascii="Verdana" w:eastAsia="Arial" w:hAnsi="Verdana" w:cs="Arial"/>
          <w:color w:val="000000"/>
          <w:sz w:val="21"/>
          <w:szCs w:val="21"/>
        </w:rPr>
      </w:pPr>
      <w:r w:rsidRPr="00C64261">
        <w:rPr>
          <w:rFonts w:ascii="Verdana" w:eastAsia="Arial" w:hAnsi="Verdana" w:cs="Arial"/>
          <w:color w:val="000000"/>
          <w:sz w:val="21"/>
          <w:szCs w:val="21"/>
        </w:rPr>
        <w:lastRenderedPageBreak/>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14"/>
      </w:r>
      <w:r w:rsidRPr="00C64261">
        <w:rPr>
          <w:rFonts w:ascii="Verdana" w:eastAsia="Arial" w:hAnsi="Verdana" w:cs="Arial"/>
          <w:color w:val="000000"/>
          <w:sz w:val="21"/>
          <w:szCs w:val="21"/>
        </w:rPr>
        <w:t>.</w:t>
      </w:r>
    </w:p>
    <w:p w14:paraId="5D780B32" w14:textId="77777777" w:rsidR="004C11DC" w:rsidRPr="00C64261" w:rsidRDefault="004C11DC" w:rsidP="004C11DC">
      <w:pPr>
        <w:spacing w:after="0" w:line="276" w:lineRule="auto"/>
        <w:jc w:val="both"/>
        <w:rPr>
          <w:rFonts w:ascii="Verdana" w:eastAsia="Arial" w:hAnsi="Verdana" w:cs="Arial"/>
          <w:color w:val="000000"/>
        </w:rPr>
      </w:pPr>
    </w:p>
    <w:p w14:paraId="615262C4"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0A3DEBB"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19A48A7F"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Por ejemplo: i) si un oferente olvidó adjuntar con su propuesta el certificado que da cuenta de su inscripción en el RUP, el requisito será </w:t>
      </w:r>
      <w:r w:rsidRPr="00C64261">
        <w:rPr>
          <w:rFonts w:ascii="Verdana" w:eastAsia="Arial" w:hAnsi="Verdana" w:cs="Arial"/>
          <w:color w:val="000000"/>
        </w:rPr>
        <w:lastRenderedPageBreak/>
        <w:t>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15"/>
      </w:r>
      <w:r w:rsidRPr="00C64261">
        <w:rPr>
          <w:rFonts w:ascii="Verdana" w:eastAsia="Arial" w:hAnsi="Verdana" w:cs="Arial"/>
          <w:color w:val="000000"/>
        </w:rPr>
        <w:t>; iii)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16"/>
      </w:r>
      <w:r w:rsidRPr="00C64261">
        <w:rPr>
          <w:rFonts w:ascii="Verdana" w:eastAsia="Arial" w:hAnsi="Verdana" w:cs="Arial"/>
          <w:color w:val="000000"/>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5861E674"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17"/>
      </w:r>
      <w:r w:rsidRPr="00C64261">
        <w:rPr>
          <w:rFonts w:ascii="Verdana" w:eastAsia="Arial" w:hAnsi="Verdana" w:cs="Arial"/>
          <w:color w:val="000000"/>
        </w:rPr>
        <w:t xml:space="preserve">. </w:t>
      </w:r>
    </w:p>
    <w:p w14:paraId="3ED2D272"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tal sentido, esta Subdirección, en concepto emitido en respuesta a la Consulta 4201912000007418 del 30 de octubre de 2019, analizó si era o no </w:t>
      </w:r>
      <w:r w:rsidRPr="00C64261">
        <w:rPr>
          <w:rFonts w:ascii="Verdana" w:eastAsia="Arial" w:hAnsi="Verdana" w:cs="Arial"/>
          <w:color w:val="000000"/>
        </w:rPr>
        <w:lastRenderedPageBreak/>
        <w:t>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38E0453E"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0ECD2F99"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w:t>
      </w:r>
      <w:r w:rsidRPr="00C64261">
        <w:rPr>
          <w:rFonts w:ascii="Verdana" w:eastAsia="Arial" w:hAnsi="Verdana" w:cs="Arial"/>
          <w:color w:val="000000"/>
        </w:rPr>
        <w:lastRenderedPageBreak/>
        <w:t xml:space="preserve">temporal, porque implicaría una modificación de la oferta y la acreditación de un aspecto que es posterior al cierre del procedimiento de selección–. </w:t>
      </w:r>
    </w:p>
    <w:p w14:paraId="70A7AC6A" w14:textId="77777777" w:rsidR="004C11DC" w:rsidRPr="00C64261"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6B8E424F" w14:textId="77777777" w:rsidR="004C11DC" w:rsidRDefault="004C11DC" w:rsidP="004C11DC">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r>
        <w:rPr>
          <w:rFonts w:ascii="Verdana" w:eastAsia="Arial" w:hAnsi="Verdana" w:cs="Arial"/>
          <w:color w:val="000000"/>
        </w:rPr>
        <w:tab/>
      </w:r>
    </w:p>
    <w:p w14:paraId="4B92CECE" w14:textId="77777777" w:rsidR="004C11DC" w:rsidRDefault="004C11DC" w:rsidP="004C11DC">
      <w:pPr>
        <w:widowControl w:val="0"/>
        <w:autoSpaceDE w:val="0"/>
        <w:autoSpaceDN w:val="0"/>
        <w:spacing w:after="120" w:line="276" w:lineRule="auto"/>
        <w:ind w:firstLine="708"/>
        <w:jc w:val="both"/>
        <w:rPr>
          <w:rFonts w:ascii="Verdana" w:hAnsi="Verdana" w:cs="Arial"/>
        </w:rPr>
      </w:pPr>
      <w:r>
        <w:rPr>
          <w:rFonts w:ascii="Verdana" w:hAnsi="Verdana" w:cs="Arial"/>
        </w:rPr>
        <w:t xml:space="preserve">Al margen de lo anterior, sobre la respuesta emitida el 14 de mayo de 2019 con número de radicado </w:t>
      </w:r>
      <w:r w:rsidRPr="00D7414E">
        <w:rPr>
          <w:rFonts w:ascii="Verdana" w:hAnsi="Verdana" w:cs="Arial"/>
        </w:rPr>
        <w:t>2201913000003209</w:t>
      </w:r>
      <w:r>
        <w:rPr>
          <w:rFonts w:ascii="Verdana" w:hAnsi="Verdana" w:cs="Arial"/>
        </w:rPr>
        <w:t xml:space="preserve"> por parte de esta Subdirección al derecho de petición </w:t>
      </w:r>
      <w:r w:rsidRPr="00AA643F">
        <w:rPr>
          <w:rFonts w:ascii="Verdana" w:hAnsi="Verdana" w:cs="Arial"/>
        </w:rPr>
        <w:t>4201912000002120</w:t>
      </w:r>
      <w:r>
        <w:rPr>
          <w:rFonts w:ascii="Verdana" w:hAnsi="Verdana" w:cs="Arial"/>
        </w:rPr>
        <w:t xml:space="preserve"> a la que usted hace referencia en el texto de su consulta, donde se resolvió la siguiente inquietud: </w:t>
      </w:r>
      <w:r w:rsidRPr="00C06514">
        <w:rPr>
          <w:rFonts w:ascii="Verdana" w:hAnsi="Verdana" w:cs="Arial"/>
          <w:i/>
          <w:iCs/>
        </w:rPr>
        <w:t>¿Habiendo la Entidad Estatal rechazado dos ofertas presentadas por dos empresas con un mismo profesional en sus equipos de trabajo, pueden los proponentes cambiar la hoja de vida del profesional que genera el rechazo o esto sería una mejora de la oferta?</w:t>
      </w:r>
      <w:r w:rsidRPr="00C06514">
        <w:rPr>
          <w:rFonts w:ascii="Verdana" w:hAnsi="Verdana" w:cs="Arial"/>
        </w:rPr>
        <w:t xml:space="preserve">, </w:t>
      </w:r>
      <w:r>
        <w:rPr>
          <w:rFonts w:ascii="Verdana" w:hAnsi="Verdana" w:cs="Arial"/>
        </w:rPr>
        <w:t>consideramos que la conclusión a la que se llegó en ese momento no se ajusta a la postura expuesta atrás por la Agencia, por cuanto se establece una respuesta asertiva frente a un hecho particular y concreto, sin que se efectúe un análisis general sobre las normas que regulan la materia y sin que se conozcan los pormenores del caso concreto que permitan tomar una posición acerca de si es procedente o no la subsanación de dichos documentos. De manera que esta Subdirección se aparta de la conclusión expuesta en el radicado en cita y reitera que la postura doctrinal de la Agencia abarca un conjunto de elementos necesarios para que cada entidad estatal realice, de manera autónoma, el análisis particular y concreto de la procedencia de la subsanabilidad en el marco de procesos de selección que adelante, con base en el marco normativo vigente, previamente explicado.</w:t>
      </w:r>
    </w:p>
    <w:p w14:paraId="5A148349" w14:textId="77777777" w:rsidR="004C11DC" w:rsidRDefault="004C11DC" w:rsidP="004C11DC">
      <w:pPr>
        <w:widowControl w:val="0"/>
        <w:autoSpaceDE w:val="0"/>
        <w:autoSpaceDN w:val="0"/>
        <w:spacing w:after="120" w:line="276" w:lineRule="auto"/>
        <w:ind w:firstLine="708"/>
        <w:jc w:val="both"/>
        <w:rPr>
          <w:rFonts w:ascii="Verdana" w:hAnsi="Verdana" w:cs="Arial"/>
        </w:rPr>
      </w:pPr>
      <w:r>
        <w:rPr>
          <w:rFonts w:ascii="Verdana" w:hAnsi="Verdana" w:cs="Arial"/>
          <w:iCs/>
          <w:color w:val="000000" w:themeColor="text1"/>
        </w:rPr>
        <w:lastRenderedPageBreak/>
        <w:t>En consecuencia</w:t>
      </w:r>
      <w:r w:rsidRPr="00277E26">
        <w:rPr>
          <w:rFonts w:ascii="Verdana" w:hAnsi="Verdana" w:cs="Arial"/>
          <w:iCs/>
          <w:color w:val="000000" w:themeColor="text1"/>
        </w:rPr>
        <w:t xml:space="preserve">, </w:t>
      </w:r>
      <w:r w:rsidRPr="00277E26">
        <w:rPr>
          <w:rFonts w:ascii="Verdana" w:hAnsi="Verdana" w:cs="Arial"/>
        </w:rPr>
        <w:t xml:space="preserve">debe advertirse que el análisis </w:t>
      </w:r>
      <w:r>
        <w:rPr>
          <w:rFonts w:ascii="Verdana" w:hAnsi="Verdana" w:cs="Arial"/>
        </w:rPr>
        <w:t>sobre la subsanación o el rechazo de las ofertas al interior de los procedimientos de selección</w:t>
      </w:r>
      <w:r w:rsidRPr="00277E26">
        <w:rPr>
          <w:rFonts w:ascii="Verdana" w:hAnsi="Verdana" w:cs="Arial"/>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5FFD682D" w14:textId="77777777" w:rsidR="004C11DC" w:rsidRPr="00277E26" w:rsidRDefault="004C11DC" w:rsidP="004C11DC">
      <w:pPr>
        <w:widowControl w:val="0"/>
        <w:autoSpaceDE w:val="0"/>
        <w:autoSpaceDN w:val="0"/>
        <w:spacing w:after="0" w:line="276" w:lineRule="auto"/>
        <w:ind w:firstLine="708"/>
        <w:jc w:val="both"/>
        <w:rPr>
          <w:rFonts w:ascii="Verdana" w:hAnsi="Verdana" w:cs="Arial"/>
        </w:rPr>
      </w:pPr>
      <w:r w:rsidRPr="00277E26">
        <w:rPr>
          <w:rFonts w:ascii="Verdana" w:hAnsi="Verdana" w:cs="Arial"/>
        </w:rPr>
        <w:t xml:space="preserve">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w:t>
      </w:r>
      <w:r>
        <w:rPr>
          <w:rFonts w:ascii="Verdana" w:hAnsi="Verdana" w:cs="Arial"/>
        </w:rPr>
        <w:t>Así</w:t>
      </w:r>
      <w:r w:rsidRPr="00277E26">
        <w:rPr>
          <w:rFonts w:ascii="Verdana" w:hAnsi="Verdana" w:cs="Arial"/>
        </w:rPr>
        <w:t>, cada entidad definirá la forma de adelantar su gestión contractual, sin que sea atribución de Colombia Compra Eficiente validar sus actuaciones.</w:t>
      </w:r>
    </w:p>
    <w:p w14:paraId="17926C54" w14:textId="77777777" w:rsidR="004C11DC" w:rsidRPr="00526681" w:rsidRDefault="004C11DC" w:rsidP="004C11DC">
      <w:pPr>
        <w:spacing w:after="0" w:line="276" w:lineRule="auto"/>
        <w:ind w:firstLine="709"/>
        <w:jc w:val="both"/>
        <w:rPr>
          <w:rFonts w:ascii="Verdana" w:eastAsia="Calibri" w:hAnsi="Verdana" w:cs="Arial"/>
          <w:color w:val="000000" w:themeColor="text1"/>
          <w:lang w:eastAsia="es-ES_tradnl"/>
        </w:rPr>
      </w:pPr>
    </w:p>
    <w:p w14:paraId="67528E28" w14:textId="77777777" w:rsidR="004C11DC" w:rsidRPr="00526681" w:rsidRDefault="004C11DC" w:rsidP="004C11DC">
      <w:pPr>
        <w:widowControl w:val="0"/>
        <w:autoSpaceDE w:val="0"/>
        <w:autoSpaceDN w:val="0"/>
        <w:spacing w:after="0" w:line="276" w:lineRule="auto"/>
        <w:jc w:val="both"/>
        <w:rPr>
          <w:rFonts w:ascii="Verdana" w:hAnsi="Verdana" w:cs="Arial"/>
          <w:color w:val="000000" w:themeColor="text1"/>
        </w:rPr>
      </w:pPr>
      <w:r w:rsidRPr="0052668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52484D9" w14:textId="77777777" w:rsidR="004C11DC" w:rsidRPr="00526681" w:rsidRDefault="004C11DC" w:rsidP="004C11DC">
      <w:pPr>
        <w:spacing w:after="0" w:line="276" w:lineRule="auto"/>
        <w:ind w:firstLine="708"/>
        <w:jc w:val="both"/>
        <w:rPr>
          <w:rFonts w:ascii="Verdana" w:eastAsia="Calibri" w:hAnsi="Verdana" w:cs="Arial"/>
          <w:bCs/>
          <w:lang w:eastAsia="es-ES_tradnl"/>
        </w:rPr>
      </w:pPr>
    </w:p>
    <w:p w14:paraId="45095D63" w14:textId="77777777" w:rsidR="004C11DC" w:rsidRPr="00526681" w:rsidRDefault="004C11DC" w:rsidP="004C11DC">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Referencias normativas y jurisprudenciales:</w:t>
      </w:r>
    </w:p>
    <w:p w14:paraId="13506FAA" w14:textId="77777777" w:rsidR="004C11DC" w:rsidRPr="00526681" w:rsidRDefault="004C11DC" w:rsidP="004C11D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11DC" w:rsidRPr="00526681" w14:paraId="6DBB2DDC" w14:textId="77777777" w:rsidTr="00DB0313">
        <w:trPr>
          <w:trHeight w:val="856"/>
          <w:jc w:val="center"/>
        </w:trPr>
        <w:tc>
          <w:tcPr>
            <w:tcW w:w="8647" w:type="dxa"/>
          </w:tcPr>
          <w:p w14:paraId="0FD8984A" w14:textId="77777777" w:rsidR="004C11DC" w:rsidRDefault="004C11DC" w:rsidP="004C11DC">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21, 24, 25, 30, 38 y 76.</w:t>
            </w:r>
          </w:p>
          <w:p w14:paraId="035705F6" w14:textId="77777777" w:rsidR="004C11DC" w:rsidRDefault="004C11DC" w:rsidP="004C11DC">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5.</w:t>
            </w:r>
          </w:p>
          <w:p w14:paraId="3C8C4EE3" w14:textId="77777777" w:rsidR="004C11DC" w:rsidRPr="0006717D" w:rsidRDefault="004C11DC" w:rsidP="004C11DC">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artículos </w:t>
            </w:r>
            <w:r w:rsidRPr="00B13ED7">
              <w:rPr>
                <w:rFonts w:ascii="Verdana" w:eastAsia="Arial" w:hAnsi="Verdana" w:cs="Arial"/>
                <w:color w:val="000000"/>
              </w:rPr>
              <w:t>2.2.1.1.2.1.3</w:t>
            </w:r>
            <w:r>
              <w:rPr>
                <w:rFonts w:ascii="Verdana" w:eastAsia="Arial" w:hAnsi="Verdana" w:cs="Arial"/>
                <w:color w:val="000000"/>
              </w:rPr>
              <w:t xml:space="preserve">, </w:t>
            </w:r>
            <w:r w:rsidRPr="00B13ED7">
              <w:rPr>
                <w:rFonts w:ascii="Verdana" w:eastAsia="Arial" w:hAnsi="Verdana" w:cs="Arial"/>
                <w:color w:val="000000"/>
              </w:rPr>
              <w:t>2.2.1.1.2.2.2</w:t>
            </w:r>
            <w:r>
              <w:rPr>
                <w:rFonts w:ascii="Verdana" w:eastAsia="Arial" w:hAnsi="Verdana" w:cs="Arial"/>
                <w:color w:val="000000"/>
              </w:rPr>
              <w:t xml:space="preserve">, y </w:t>
            </w:r>
            <w:r w:rsidRPr="00B13ED7">
              <w:rPr>
                <w:rFonts w:ascii="Verdana" w:eastAsia="Arial" w:hAnsi="Verdana" w:cs="Arial"/>
                <w:color w:val="000000"/>
              </w:rPr>
              <w:t>2.2.1.2.1.3.13</w:t>
            </w:r>
            <w:r>
              <w:rPr>
                <w:rFonts w:ascii="Verdana" w:hAnsi="Verdana" w:cs="Arial"/>
              </w:rPr>
              <w:t>.</w:t>
            </w:r>
          </w:p>
        </w:tc>
      </w:tr>
    </w:tbl>
    <w:p w14:paraId="40DB3121" w14:textId="77777777" w:rsidR="004C11DC" w:rsidRPr="00526681" w:rsidRDefault="004C11DC" w:rsidP="004C11DC">
      <w:pPr>
        <w:widowControl w:val="0"/>
        <w:autoSpaceDE w:val="0"/>
        <w:autoSpaceDN w:val="0"/>
        <w:spacing w:after="0" w:line="276" w:lineRule="auto"/>
        <w:jc w:val="both"/>
        <w:rPr>
          <w:rFonts w:ascii="Verdana" w:hAnsi="Verdana" w:cs="Arial"/>
        </w:rPr>
      </w:pPr>
    </w:p>
    <w:p w14:paraId="33F8A185" w14:textId="77777777" w:rsidR="004C11DC" w:rsidRPr="00526681" w:rsidRDefault="004C11DC" w:rsidP="004C11DC">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Doctrina de la Agencia Nacional de Contratación Pública:</w:t>
      </w:r>
    </w:p>
    <w:p w14:paraId="64593FAF" w14:textId="77777777" w:rsidR="004C11DC" w:rsidRPr="00526681" w:rsidRDefault="004C11DC" w:rsidP="004C11DC">
      <w:pPr>
        <w:widowControl w:val="0"/>
        <w:autoSpaceDE w:val="0"/>
        <w:autoSpaceDN w:val="0"/>
        <w:spacing w:after="0" w:line="276" w:lineRule="auto"/>
        <w:jc w:val="both"/>
        <w:rPr>
          <w:rFonts w:ascii="Verdana" w:hAnsi="Verdana" w:cs="Arial"/>
        </w:rPr>
      </w:pPr>
    </w:p>
    <w:p w14:paraId="4EED0AA5" w14:textId="77777777" w:rsidR="004C11DC" w:rsidRDefault="004C11DC" w:rsidP="004C11DC">
      <w:pPr>
        <w:widowControl w:val="0"/>
        <w:autoSpaceDE w:val="0"/>
        <w:autoSpaceDN w:val="0"/>
        <w:spacing w:after="0" w:line="240" w:lineRule="auto"/>
        <w:jc w:val="both"/>
        <w:rPr>
          <w:rFonts w:ascii="Verdana" w:hAnsi="Verdana"/>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la </w:t>
      </w:r>
      <w:r>
        <w:rPr>
          <w:rStyle w:val="normaltextrun"/>
          <w:rFonts w:ascii="Verdana" w:hAnsi="Verdana" w:cs="Arial"/>
          <w:shd w:val="clear" w:color="auto" w:fill="FFFFFF"/>
          <w:lang w:val="es-ES"/>
        </w:rPr>
        <w:t>regla de subsanabilidad</w:t>
      </w:r>
      <w:r w:rsidRPr="00277E26">
        <w:rPr>
          <w:rStyle w:val="normaltextrun"/>
          <w:rFonts w:ascii="Verdana" w:hAnsi="Verdana" w:cs="Arial"/>
          <w:shd w:val="clear" w:color="auto" w:fill="FFFFFF"/>
          <w:lang w:val="es-ES"/>
        </w:rPr>
        <w:t xml:space="preserve"> en los Conceptos </w:t>
      </w:r>
      <w:r w:rsidRPr="00E90148">
        <w:rPr>
          <w:rStyle w:val="normaltextrun"/>
          <w:rFonts w:ascii="Verdana" w:hAnsi="Verdana" w:cs="Arial"/>
          <w:shd w:val="clear" w:color="auto" w:fill="FFFFFF"/>
          <w:lang w:val="es-ES"/>
        </w:rPr>
        <w:t xml:space="preserve">C-218 del 2 de abril de 2020, C-229 del 16 de abril de 2020, C-307 del 21 de mayo de 2020, C-396 del 16 de julio de 2020, C-410 del 26 de junio de 2020, C-429 del 24 de julio de 2020, C-481 del 27 de julio de 2020, C-548 del 21 de agosto de 2020, C-633 del 2 de octubre de 2020, C-634 del 21 de </w:t>
      </w:r>
      <w:r w:rsidRPr="00E90148">
        <w:rPr>
          <w:rStyle w:val="normaltextrun"/>
          <w:rFonts w:ascii="Verdana" w:hAnsi="Verdana" w:cs="Arial"/>
          <w:shd w:val="clear" w:color="auto" w:fill="FFFFFF"/>
          <w:lang w:val="es-ES"/>
        </w:rPr>
        <w:lastRenderedPageBreak/>
        <w:t>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w:t>
      </w:r>
      <w:r>
        <w:rPr>
          <w:rStyle w:val="normaltextrun"/>
          <w:rFonts w:ascii="Verdana" w:hAnsi="Verdana" w:cs="Arial"/>
          <w:shd w:val="clear" w:color="auto" w:fill="FFFFFF"/>
          <w:lang w:val="es-ES"/>
        </w:rPr>
        <w:t>,</w:t>
      </w:r>
      <w:r w:rsidRPr="00E90148">
        <w:rPr>
          <w:rStyle w:val="normaltextrun"/>
          <w:rFonts w:ascii="Verdana" w:hAnsi="Verdana" w:cs="Arial"/>
          <w:shd w:val="clear" w:color="auto" w:fill="FFFFFF"/>
          <w:lang w:val="es-ES"/>
        </w:rPr>
        <w:t xml:space="preserve"> C-216 del 6 de junio de 2023</w:t>
      </w:r>
      <w:r>
        <w:rPr>
          <w:rStyle w:val="normaltextrun"/>
          <w:rFonts w:ascii="Verdana" w:hAnsi="Verdana" w:cs="Arial"/>
          <w:shd w:val="clear" w:color="auto" w:fill="FFFFFF"/>
          <w:lang w:val="es-ES"/>
        </w:rPr>
        <w:t>, C-304 del 4 de julio de 2023 y C-051 del 21 de febrero de 2025</w:t>
      </w:r>
      <w:r w:rsidRPr="00526681">
        <w:rPr>
          <w:rFonts w:ascii="Verdana" w:eastAsia="Calibri" w:hAnsi="Verdana" w:cs="Arial"/>
          <w:bCs/>
          <w:color w:val="000000" w:themeColor="text1"/>
          <w:lang w:eastAsia="es-ES_tradnl"/>
        </w:rPr>
        <w:t xml:space="preserve">. </w:t>
      </w:r>
      <w:r w:rsidRPr="00526681">
        <w:rPr>
          <w:rFonts w:ascii="Verdana" w:hAnsi="Verdana" w:cs="Arial"/>
          <w:shd w:val="clear" w:color="auto" w:fill="FFFFFF"/>
        </w:rPr>
        <w:t>Es</w:t>
      </w:r>
      <w:r w:rsidRPr="00526681">
        <w:rPr>
          <w:rFonts w:ascii="Verdana" w:hAnsi="Verdana"/>
        </w:rPr>
        <w:t>tos y otros conceptos se encuentran disponibles para consulta en el Sistema de relatoría de la Agencia, al cual se puede acceder a través del siguiente enlace:</w:t>
      </w:r>
    </w:p>
    <w:p w14:paraId="76BE2F42" w14:textId="77777777" w:rsidR="004C11DC" w:rsidRDefault="004C11DC" w:rsidP="004C11DC">
      <w:pPr>
        <w:widowControl w:val="0"/>
        <w:autoSpaceDE w:val="0"/>
        <w:autoSpaceDN w:val="0"/>
        <w:spacing w:after="0" w:line="240" w:lineRule="auto"/>
        <w:jc w:val="both"/>
        <w:rPr>
          <w:rFonts w:ascii="Verdana" w:hAnsi="Verdana"/>
        </w:rPr>
      </w:pPr>
    </w:p>
    <w:p w14:paraId="7927F694" w14:textId="77777777" w:rsidR="004C11DC" w:rsidRPr="00526681" w:rsidRDefault="004C11DC" w:rsidP="004C11DC">
      <w:pPr>
        <w:widowControl w:val="0"/>
        <w:autoSpaceDE w:val="0"/>
        <w:autoSpaceDN w:val="0"/>
        <w:spacing w:after="0" w:line="240" w:lineRule="auto"/>
        <w:jc w:val="both"/>
        <w:rPr>
          <w:rStyle w:val="Hipervnculo"/>
          <w:rFonts w:ascii="Verdana" w:eastAsia="Times New Roman" w:hAnsi="Verdana" w:cs="Times New Roman"/>
          <w:bdr w:val="none" w:sz="0" w:space="0" w:color="auto" w:frame="1"/>
          <w:lang w:eastAsia="es-CO"/>
        </w:rPr>
      </w:pPr>
      <w:hyperlink r:id="rId9" w:history="1">
        <w:r w:rsidRPr="00064B16">
          <w:rPr>
            <w:rStyle w:val="Hipervnculo"/>
            <w:rFonts w:ascii="Verdana" w:eastAsia="Times New Roman" w:hAnsi="Verdana" w:cs="Times New Roman"/>
            <w:bdr w:val="none" w:sz="0" w:space="0" w:color="auto" w:frame="1"/>
            <w:lang w:eastAsia="es-CO"/>
          </w:rPr>
          <w:t>https://relatoria.colombiacompra.gov.co/busqueda/conceptos</w:t>
        </w:r>
      </w:hyperlink>
      <w:r w:rsidRPr="00526681">
        <w:rPr>
          <w:rStyle w:val="Hipervnculo"/>
          <w:rFonts w:ascii="Verdana" w:eastAsia="Times New Roman" w:hAnsi="Verdana" w:cs="Times New Roman"/>
          <w:bdr w:val="none" w:sz="0" w:space="0" w:color="auto" w:frame="1"/>
          <w:lang w:eastAsia="es-CO"/>
        </w:rPr>
        <w:t xml:space="preserve"> </w:t>
      </w:r>
    </w:p>
    <w:p w14:paraId="0D2B727F" w14:textId="77777777" w:rsidR="004C11DC" w:rsidRPr="00526681" w:rsidRDefault="004C11DC" w:rsidP="004C11DC">
      <w:pPr>
        <w:widowControl w:val="0"/>
        <w:autoSpaceDE w:val="0"/>
        <w:autoSpaceDN w:val="0"/>
        <w:spacing w:after="0" w:line="240" w:lineRule="auto"/>
        <w:ind w:firstLine="708"/>
        <w:jc w:val="both"/>
        <w:rPr>
          <w:rFonts w:ascii="Verdana" w:eastAsia="Times New Roman" w:hAnsi="Verdana" w:cs="Times New Roman"/>
          <w:color w:val="000000"/>
          <w:bdr w:val="none" w:sz="0" w:space="0" w:color="auto" w:frame="1"/>
          <w:lang w:eastAsia="es-CO"/>
        </w:rPr>
      </w:pPr>
    </w:p>
    <w:p w14:paraId="56D426CF" w14:textId="77777777" w:rsidR="004C11DC" w:rsidRPr="00526681" w:rsidRDefault="004C11DC" w:rsidP="004C11DC">
      <w:pPr>
        <w:widowControl w:val="0"/>
        <w:autoSpaceDE w:val="0"/>
        <w:autoSpaceDN w:val="0"/>
        <w:spacing w:after="0" w:line="240" w:lineRule="auto"/>
        <w:jc w:val="both"/>
        <w:rPr>
          <w:rFonts w:ascii="Verdana" w:eastAsia="Times New Roman" w:hAnsi="Verdana" w:cs="Times New Roman"/>
          <w:color w:val="000000"/>
          <w:bdr w:val="none" w:sz="0" w:space="0" w:color="auto" w:frame="1"/>
          <w:lang w:eastAsia="es-CO"/>
        </w:rPr>
      </w:pPr>
      <w:r w:rsidRPr="00526681">
        <w:rPr>
          <w:rFonts w:ascii="Verdana" w:eastAsia="Times New Roman" w:hAnsi="Verdana" w:cs="Times New Roman"/>
          <w:color w:val="000000"/>
          <w:bdr w:val="none" w:sz="0" w:space="0" w:color="auto" w:frame="1"/>
          <w:lang w:eastAsia="es-CO"/>
        </w:rPr>
        <w:t xml:space="preserve">También le contamos que ya se encuentra disponible la </w:t>
      </w:r>
      <w:r w:rsidRPr="00526681">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52668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0" w:tgtFrame="_blank" w:tooltip="Dirección URL original: https://www.colombiacompra.gov.co/wp-content/uploads/2025/05/GUIA-DE-LINEAMIENTOS-DE-TRANSPARENCIA-Y-SELECCION-OBJETIVA-1.0.pdf. Haga clic o pulse si confía en este vínculo." w:history="1">
        <w:r w:rsidRPr="00526681">
          <w:rPr>
            <w:rStyle w:val="Hipervnculo"/>
            <w:rFonts w:ascii="Verdana" w:eastAsia="Times New Roman" w:hAnsi="Verdana" w:cs="Times New Roman"/>
            <w:bdr w:val="none" w:sz="0" w:space="0" w:color="auto" w:frame="1"/>
            <w:lang w:eastAsia="es-CO"/>
          </w:rPr>
          <w:t>Guía de lineamientos de transparencia y selección objetiva para el departamento de La Guajira – Objetivo sexto constitucional de la Sentencia T-302 del 2017</w:t>
        </w:r>
      </w:hyperlink>
    </w:p>
    <w:p w14:paraId="23E1C7A4" w14:textId="77777777" w:rsidR="004C11DC" w:rsidRPr="00526681" w:rsidRDefault="004C11DC" w:rsidP="004C11DC">
      <w:pPr>
        <w:widowControl w:val="0"/>
        <w:autoSpaceDE w:val="0"/>
        <w:autoSpaceDN w:val="0"/>
        <w:spacing w:after="0" w:line="276" w:lineRule="auto"/>
        <w:jc w:val="both"/>
        <w:rPr>
          <w:rFonts w:ascii="Verdana" w:hAnsi="Verdana" w:cs="Arial"/>
        </w:rPr>
      </w:pPr>
    </w:p>
    <w:p w14:paraId="27B49C65" w14:textId="77777777" w:rsidR="004C11DC" w:rsidRPr="00526681" w:rsidRDefault="004C11DC" w:rsidP="004C11DC">
      <w:pPr>
        <w:spacing w:after="0" w:line="240" w:lineRule="auto"/>
        <w:rPr>
          <w:rFonts w:ascii="Verdana" w:hAnsi="Verdana" w:cs="Arial"/>
          <w:lang w:eastAsia="es-CO"/>
        </w:rPr>
      </w:pPr>
      <w:r w:rsidRPr="00526681">
        <w:rPr>
          <w:rFonts w:ascii="Verdana" w:eastAsia="Times New Roman" w:hAnsi="Verdana" w:cs="Arial"/>
          <w:lang w:eastAsia="es-CO"/>
        </w:rPr>
        <w:t>Atentamente,</w:t>
      </w:r>
      <w:r w:rsidRPr="00526681">
        <w:rPr>
          <w:rFonts w:ascii="Verdana" w:hAnsi="Verdana" w:cs="Arial"/>
          <w:lang w:eastAsia="es-CO"/>
        </w:rPr>
        <w:t xml:space="preserve"> </w:t>
      </w:r>
    </w:p>
    <w:p w14:paraId="56E0A2E9" w14:textId="5ED4456F" w:rsidR="004C11DC" w:rsidRPr="00526681" w:rsidRDefault="00095B3F" w:rsidP="004C11DC">
      <w:pPr>
        <w:spacing w:line="276" w:lineRule="auto"/>
        <w:jc w:val="center"/>
        <w:rPr>
          <w:rFonts w:ascii="Verdana" w:hAnsi="Verdana" w:cs="Arial"/>
          <w:color w:val="000000"/>
          <w:lang w:eastAsia="es-CO"/>
        </w:rPr>
      </w:pPr>
      <w:r w:rsidRPr="004D5C25">
        <w:rPr>
          <w:rFonts w:ascii="Century Gothic" w:hAnsi="Century Gothic"/>
          <w:noProof/>
        </w:rPr>
        <w:lastRenderedPageBreak/>
        <w:drawing>
          <wp:inline distT="0" distB="0" distL="0" distR="0" wp14:anchorId="10788A2B" wp14:editId="7B595B1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11DC" w:rsidRPr="00526681" w14:paraId="156D9C0F" w14:textId="77777777" w:rsidTr="00DB0313">
        <w:trPr>
          <w:trHeight w:val="315"/>
        </w:trPr>
        <w:tc>
          <w:tcPr>
            <w:tcW w:w="893" w:type="dxa"/>
            <w:vAlign w:val="center"/>
            <w:hideMark/>
          </w:tcPr>
          <w:p w14:paraId="02D6A4C8" w14:textId="77777777" w:rsidR="004C11DC" w:rsidRPr="00526681" w:rsidRDefault="004C11DC" w:rsidP="00DB0313">
            <w:pPr>
              <w:contextualSpacing/>
              <w:rPr>
                <w:rFonts w:ascii="Verdana" w:hAnsi="Verdana" w:cs="Arial"/>
                <w:sz w:val="16"/>
                <w:szCs w:val="16"/>
                <w:lang w:eastAsia="es-ES"/>
              </w:rPr>
            </w:pPr>
            <w:r w:rsidRPr="0052668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F7C41DA" w14:textId="77777777" w:rsidR="004C11DC" w:rsidRPr="00526681" w:rsidRDefault="004C11DC" w:rsidP="00DB0313">
            <w:pPr>
              <w:contextualSpacing/>
              <w:rPr>
                <w:rFonts w:ascii="Verdana" w:hAnsi="Verdana"/>
                <w:sz w:val="16"/>
                <w:szCs w:val="16"/>
              </w:rPr>
            </w:pPr>
            <w:r w:rsidRPr="00526681">
              <w:rPr>
                <w:rFonts w:ascii="Verdana" w:hAnsi="Verdana"/>
                <w:sz w:val="16"/>
                <w:szCs w:val="16"/>
              </w:rPr>
              <w:t>Sergio Enrique Caballero Lesmes</w:t>
            </w:r>
          </w:p>
          <w:p w14:paraId="5CF7470D" w14:textId="77777777" w:rsidR="004C11DC" w:rsidRPr="00526681" w:rsidRDefault="004C11DC" w:rsidP="00DB0313">
            <w:pPr>
              <w:contextualSpacing/>
              <w:rPr>
                <w:rFonts w:ascii="Verdana" w:eastAsia="Arial" w:hAnsi="Verdana" w:cs="Arial"/>
                <w:sz w:val="16"/>
                <w:szCs w:val="16"/>
              </w:rPr>
            </w:pPr>
            <w:r w:rsidRPr="00526681">
              <w:rPr>
                <w:rFonts w:ascii="Verdana" w:hAnsi="Verdana"/>
                <w:sz w:val="16"/>
                <w:szCs w:val="16"/>
              </w:rPr>
              <w:t>Analista T2-02 de la Subdirección de Gestión Contractual</w:t>
            </w:r>
          </w:p>
        </w:tc>
      </w:tr>
      <w:tr w:rsidR="004C11DC" w:rsidRPr="00526681" w14:paraId="7E7A7566" w14:textId="77777777" w:rsidTr="00DB0313">
        <w:trPr>
          <w:trHeight w:val="330"/>
        </w:trPr>
        <w:tc>
          <w:tcPr>
            <w:tcW w:w="893" w:type="dxa"/>
            <w:vAlign w:val="center"/>
            <w:hideMark/>
          </w:tcPr>
          <w:p w14:paraId="2908B93A" w14:textId="77777777" w:rsidR="004C11DC" w:rsidRPr="00526681" w:rsidRDefault="004C11DC" w:rsidP="00DB0313">
            <w:pPr>
              <w:contextualSpacing/>
              <w:rPr>
                <w:rFonts w:ascii="Verdana" w:hAnsi="Verdana" w:cs="Arial"/>
                <w:sz w:val="16"/>
                <w:szCs w:val="16"/>
                <w:lang w:eastAsia="es-ES"/>
              </w:rPr>
            </w:pPr>
            <w:r w:rsidRPr="0052668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B6AE60" w14:textId="77777777" w:rsidR="004C11DC" w:rsidRPr="00BF523E" w:rsidRDefault="004C11DC" w:rsidP="00DB0313">
            <w:pPr>
              <w:contextualSpacing/>
              <w:rPr>
                <w:rFonts w:ascii="Verdana" w:hAnsi="Verdana"/>
                <w:sz w:val="16"/>
                <w:szCs w:val="16"/>
              </w:rPr>
            </w:pPr>
            <w:r>
              <w:rPr>
                <w:rFonts w:ascii="Verdana" w:hAnsi="Verdana"/>
                <w:sz w:val="16"/>
                <w:szCs w:val="16"/>
              </w:rPr>
              <w:t xml:space="preserve">Juan Carlos González Vásquez </w:t>
            </w:r>
          </w:p>
          <w:p w14:paraId="514C7D94" w14:textId="77777777" w:rsidR="004C11DC" w:rsidRPr="00526681" w:rsidRDefault="004C11DC" w:rsidP="00DB0313">
            <w:pPr>
              <w:contextualSpacing/>
              <w:textAlignment w:val="baseline"/>
              <w:rPr>
                <w:rFonts w:ascii="Verdana" w:hAnsi="Verdana"/>
                <w:sz w:val="16"/>
                <w:szCs w:val="16"/>
              </w:rPr>
            </w:pPr>
            <w:r w:rsidRPr="00526681">
              <w:rPr>
                <w:rFonts w:ascii="Verdana" w:hAnsi="Verdana"/>
                <w:sz w:val="16"/>
                <w:szCs w:val="16"/>
              </w:rPr>
              <w:t>Contratista de la Subdirección de Gestión Contractual</w:t>
            </w:r>
          </w:p>
        </w:tc>
      </w:tr>
      <w:tr w:rsidR="004C11DC" w:rsidRPr="00526681" w14:paraId="133B45A4" w14:textId="77777777" w:rsidTr="00DB0313">
        <w:trPr>
          <w:trHeight w:val="300"/>
        </w:trPr>
        <w:tc>
          <w:tcPr>
            <w:tcW w:w="893" w:type="dxa"/>
            <w:vAlign w:val="center"/>
          </w:tcPr>
          <w:p w14:paraId="3AF6B3B4" w14:textId="77777777" w:rsidR="004C11DC" w:rsidRPr="00526681" w:rsidRDefault="004C11DC" w:rsidP="00DB0313">
            <w:pPr>
              <w:contextualSpacing/>
              <w:rPr>
                <w:rFonts w:ascii="Verdana" w:hAnsi="Verdana" w:cs="Arial"/>
                <w:sz w:val="16"/>
                <w:szCs w:val="16"/>
                <w:lang w:eastAsia="es-ES"/>
              </w:rPr>
            </w:pPr>
            <w:r w:rsidRPr="0052668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58DEBA" w14:textId="77777777" w:rsidR="004C11DC" w:rsidRPr="00526681" w:rsidRDefault="004C11DC" w:rsidP="00DB0313">
            <w:pPr>
              <w:contextualSpacing/>
              <w:rPr>
                <w:rFonts w:ascii="Verdana" w:eastAsia="Calibri" w:hAnsi="Verdana" w:cs="Arial"/>
                <w:sz w:val="16"/>
                <w:szCs w:val="16"/>
                <w:lang w:eastAsia="es-ES"/>
              </w:rPr>
            </w:pPr>
            <w:r w:rsidRPr="00526681">
              <w:rPr>
                <w:rFonts w:ascii="Verdana" w:eastAsia="Calibri" w:hAnsi="Verdana" w:cs="Arial"/>
                <w:sz w:val="16"/>
                <w:szCs w:val="16"/>
                <w:lang w:eastAsia="es-ES"/>
              </w:rPr>
              <w:t>Carolina Quintero Gacharná</w:t>
            </w:r>
          </w:p>
          <w:p w14:paraId="5D655358" w14:textId="77777777" w:rsidR="004C11DC" w:rsidRPr="00526681" w:rsidRDefault="004C11DC" w:rsidP="00DB0313">
            <w:pPr>
              <w:contextualSpacing/>
              <w:rPr>
                <w:rFonts w:ascii="Verdana" w:eastAsia="Calibri" w:hAnsi="Verdana" w:cs="Arial"/>
                <w:sz w:val="16"/>
                <w:szCs w:val="16"/>
                <w:lang w:eastAsia="es-ES"/>
              </w:rPr>
            </w:pPr>
            <w:r w:rsidRPr="00526681">
              <w:rPr>
                <w:rFonts w:ascii="Verdana" w:eastAsia="Calibri" w:hAnsi="Verdana" w:cs="Arial"/>
                <w:sz w:val="16"/>
                <w:szCs w:val="16"/>
                <w:lang w:eastAsia="es-ES"/>
              </w:rPr>
              <w:t>Subdirectora de Gestión Contractual ANCP – CCE</w:t>
            </w:r>
          </w:p>
        </w:tc>
      </w:tr>
      <w:bookmarkEnd w:id="0"/>
    </w:tbl>
    <w:p w14:paraId="63EB62EB" w14:textId="77777777" w:rsidR="004C11DC" w:rsidRPr="00526681" w:rsidRDefault="004C11DC" w:rsidP="004C11DC"/>
    <w:p w14:paraId="583EB001" w14:textId="77777777" w:rsidR="004C11DC" w:rsidRPr="00526681" w:rsidRDefault="004C11DC" w:rsidP="004C11DC"/>
    <w:p w14:paraId="77F30002" w14:textId="77777777" w:rsidR="004C11DC" w:rsidRPr="00526681" w:rsidRDefault="004C11DC" w:rsidP="004C11DC"/>
    <w:p w14:paraId="40545146" w14:textId="77777777" w:rsidR="004C11DC" w:rsidRPr="00526681" w:rsidRDefault="004C11DC" w:rsidP="004C11DC">
      <w:pPr>
        <w:spacing w:after="0"/>
        <w:rPr>
          <w:rFonts w:ascii="Verdana" w:eastAsia="Times New Roman" w:hAnsi="Verdana" w:cs="Segoe UI"/>
          <w:b/>
          <w:bCs/>
          <w:color w:val="46589C"/>
          <w:lang w:eastAsia="es-CO"/>
        </w:rPr>
      </w:pPr>
    </w:p>
    <w:p w14:paraId="7DBED0B4" w14:textId="77777777" w:rsidR="004C11DC" w:rsidRDefault="004C11DC" w:rsidP="004C11DC"/>
    <w:p w14:paraId="1C598746" w14:textId="77777777" w:rsidR="004C11DC" w:rsidRPr="00175E7D" w:rsidRDefault="004C11DC" w:rsidP="004C11DC"/>
    <w:p w14:paraId="510D9B40" w14:textId="77777777" w:rsidR="00C24FFE" w:rsidRDefault="00C24FFE"/>
    <w:sectPr w:rsidR="00C24FFE" w:rsidSect="004C11DC">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7F17" w14:textId="77777777" w:rsidR="004C11DC" w:rsidRDefault="004C11DC" w:rsidP="004C11DC">
      <w:pPr>
        <w:spacing w:after="0" w:line="240" w:lineRule="auto"/>
      </w:pPr>
      <w:r>
        <w:separator/>
      </w:r>
    </w:p>
  </w:endnote>
  <w:endnote w:type="continuationSeparator" w:id="0">
    <w:p w14:paraId="72F302DB" w14:textId="77777777" w:rsidR="004C11DC" w:rsidRDefault="004C11DC" w:rsidP="004C1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9E4F" w14:textId="77777777" w:rsidR="004C11DC" w:rsidRDefault="004C11DC">
    <w:pPr>
      <w:pStyle w:val="Piedepgina"/>
    </w:pPr>
  </w:p>
  <w:p w14:paraId="6A33EB27" w14:textId="77777777" w:rsidR="004C11DC" w:rsidRPr="00174B77" w:rsidRDefault="004C11D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4D128AF" w14:textId="77777777" w:rsidR="004C11DC" w:rsidRDefault="004C11D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712B989" w14:textId="77777777" w:rsidR="004C11DC" w:rsidRPr="00E41027" w:rsidRDefault="004C11DC" w:rsidP="00D520D8">
    <w:pPr>
      <w:spacing w:after="0"/>
      <w:jc w:val="both"/>
      <w:rPr>
        <w:rFonts w:ascii="Verdana" w:hAnsi="Verdana"/>
        <w:sz w:val="18"/>
        <w:szCs w:val="18"/>
      </w:rPr>
    </w:pPr>
    <w:r w:rsidRPr="00E41027">
      <w:rPr>
        <w:rFonts w:ascii="Verdana" w:hAnsi="Verdana"/>
        <w:sz w:val="18"/>
        <w:szCs w:val="18"/>
      </w:rPr>
      <w:t>Mesa de servicio: (+57) 601 7456788</w:t>
    </w:r>
  </w:p>
  <w:p w14:paraId="34648F31" w14:textId="77777777" w:rsidR="004C11DC" w:rsidRDefault="004C11D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8B6B2" w14:textId="77777777" w:rsidR="004C11DC" w:rsidRDefault="004C11DC" w:rsidP="004C11DC">
      <w:pPr>
        <w:spacing w:after="0" w:line="240" w:lineRule="auto"/>
      </w:pPr>
      <w:r>
        <w:separator/>
      </w:r>
    </w:p>
  </w:footnote>
  <w:footnote w:type="continuationSeparator" w:id="0">
    <w:p w14:paraId="5E82EABF" w14:textId="77777777" w:rsidR="004C11DC" w:rsidRDefault="004C11DC" w:rsidP="004C11DC">
      <w:pPr>
        <w:spacing w:after="0" w:line="240" w:lineRule="auto"/>
      </w:pPr>
      <w:r>
        <w:continuationSeparator/>
      </w:r>
    </w:p>
  </w:footnote>
  <w:footnote w:id="1">
    <w:p w14:paraId="7975F548"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3D4FB76E"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363CBC92"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531AFD10"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D6B285A"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 w:id="2">
    <w:p w14:paraId="22F7E0DC" w14:textId="77777777" w:rsidR="004C11DC" w:rsidRPr="00702B23" w:rsidRDefault="004C11DC" w:rsidP="004C11DC">
      <w:pPr>
        <w:pBdr>
          <w:top w:val="nil"/>
          <w:left w:val="nil"/>
          <w:bottom w:val="nil"/>
          <w:right w:val="nil"/>
          <w:between w:val="nil"/>
        </w:pBdr>
        <w:spacing w:after="0"/>
        <w:ind w:firstLine="708"/>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DÁVILA VINUEZA, Luis Guillermo. Régimen jurídico de la contratación estatal. Tercera edición, Bogotá: Legis, 2016. p. 355.</w:t>
      </w:r>
    </w:p>
  </w:footnote>
  <w:footnote w:id="3">
    <w:p w14:paraId="1A7A1B6F" w14:textId="77777777" w:rsidR="004C11DC" w:rsidRDefault="004C11DC" w:rsidP="004C11DC">
      <w:pPr>
        <w:pBdr>
          <w:top w:val="nil"/>
          <w:left w:val="nil"/>
          <w:bottom w:val="nil"/>
          <w:right w:val="nil"/>
          <w:between w:val="nil"/>
        </w:pBdr>
        <w:spacing w:after="0"/>
        <w:ind w:firstLine="708"/>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RODRÍGUEZ TAMAYO, Mauricio F. Evaluación y rechazo de ofertas en la Ley 80 de 1993. Primera edición. Medellín: Librería Jurídica Sánchez, 2016. pp. 110-111.</w:t>
      </w:r>
    </w:p>
    <w:p w14:paraId="597B3E0D" w14:textId="77777777" w:rsidR="004C11DC" w:rsidRPr="00702B23" w:rsidRDefault="004C11DC" w:rsidP="004C11DC">
      <w:pPr>
        <w:pBdr>
          <w:top w:val="nil"/>
          <w:left w:val="nil"/>
          <w:bottom w:val="nil"/>
          <w:right w:val="nil"/>
          <w:between w:val="nil"/>
        </w:pBdr>
        <w:spacing w:after="0"/>
        <w:ind w:firstLine="708"/>
        <w:jc w:val="both"/>
        <w:rPr>
          <w:rFonts w:ascii="Verdana" w:eastAsia="Arial" w:hAnsi="Verdana" w:cs="Arial"/>
          <w:color w:val="000000"/>
          <w:sz w:val="14"/>
          <w:szCs w:val="14"/>
        </w:rPr>
      </w:pPr>
    </w:p>
  </w:footnote>
  <w:footnote w:id="4">
    <w:p w14:paraId="6808528F" w14:textId="77777777" w:rsidR="004C11DC" w:rsidRPr="00702B23" w:rsidRDefault="004C11DC" w:rsidP="004C11DC">
      <w:pPr>
        <w:pBdr>
          <w:top w:val="nil"/>
          <w:left w:val="nil"/>
          <w:bottom w:val="nil"/>
          <w:right w:val="nil"/>
          <w:between w:val="nil"/>
        </w:pBdr>
        <w:spacing w:after="0"/>
        <w:ind w:firstLine="708"/>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5">
    <w:p w14:paraId="22542FFD" w14:textId="77777777" w:rsidR="004C11DC" w:rsidRPr="00702B23" w:rsidRDefault="004C11DC" w:rsidP="004C11DC">
      <w:pPr>
        <w:pBdr>
          <w:top w:val="nil"/>
          <w:left w:val="nil"/>
          <w:bottom w:val="nil"/>
          <w:right w:val="nil"/>
          <w:between w:val="nil"/>
        </w:pBdr>
        <w:spacing w:after="0"/>
        <w:ind w:firstLine="708"/>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i/>
          <w:color w:val="000000"/>
          <w:sz w:val="14"/>
          <w:szCs w:val="14"/>
        </w:rPr>
        <w:t xml:space="preserve"> Ibídem.</w:t>
      </w:r>
    </w:p>
  </w:footnote>
  <w:footnote w:id="6">
    <w:p w14:paraId="12C1AFF0"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hAnsi="Verdana" w:cs="Arial"/>
          <w:sz w:val="14"/>
          <w:szCs w:val="14"/>
          <w:vertAlign w:val="superscript"/>
        </w:rPr>
        <w:footnoteRef/>
      </w:r>
      <w:r w:rsidRPr="00702B23">
        <w:rPr>
          <w:rFonts w:ascii="Verdana" w:eastAsia="Arial" w:hAnsi="Verdana" w:cs="Arial"/>
          <w:sz w:val="14"/>
          <w:szCs w:val="14"/>
        </w:rPr>
        <w:t xml:space="preserve"> Decreto 1082 de 2015 “Artículo 2.2.1.1.2.2.2. </w:t>
      </w:r>
      <w:bookmarkStart w:id="4" w:name="_Hlk127183858"/>
      <w:r w:rsidRPr="00702B23">
        <w:rPr>
          <w:rFonts w:ascii="Verdana" w:eastAsia="Arial" w:hAnsi="Verdana" w:cs="Arial"/>
          <w:sz w:val="14"/>
          <w:szCs w:val="14"/>
        </w:rPr>
        <w:t>Modificado por el </w:t>
      </w:r>
      <w:bookmarkEnd w:id="4"/>
      <w:r w:rsidRPr="00702B23">
        <w:rPr>
          <w:rFonts w:ascii="Verdana" w:eastAsia="Arial" w:hAnsi="Verdana" w:cs="Arial"/>
          <w:sz w:val="14"/>
          <w:szCs w:val="14"/>
        </w:rPr>
        <w:t>Decreto 142 de 2023, artículo 4º. Ofrecimiento más favorable.</w:t>
      </w:r>
      <w:r w:rsidRPr="00702B23">
        <w:rPr>
          <w:rFonts w:ascii="Verdana" w:eastAsia="Arial" w:hAnsi="Verdana" w:cs="Arial"/>
          <w:b/>
          <w:bCs/>
          <w:sz w:val="14"/>
          <w:szCs w:val="14"/>
        </w:rPr>
        <w:t xml:space="preserve"> </w:t>
      </w:r>
      <w:r w:rsidRPr="00702B23">
        <w:rPr>
          <w:rFonts w:ascii="Verdana" w:eastAsia="Arial" w:hAnsi="Verdana" w:cs="Arial"/>
          <w:sz w:val="14"/>
          <w:szCs w:val="14"/>
          <w:lang w:val="es-MX"/>
        </w:rPr>
        <w:t>La Entidad Estatal debe determinar la oferta más favorable teniendo en cuenta las normas aplicables a cada modalidad de selección del contratista.</w:t>
      </w:r>
    </w:p>
    <w:p w14:paraId="2B87586A"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0257A644"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1. Las condiciones técnicas y económicas mínimas de la oferta.</w:t>
      </w:r>
    </w:p>
    <w:p w14:paraId="77922450"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2. Las condiciones técnicas adicionales que representan ventajas de calidad o de funcionamiento, tales como el uso de tecnología o materiales que generen mayor eficiencia, rendimiento o duración del bien, obra o servicio.</w:t>
      </w:r>
    </w:p>
    <w:p w14:paraId="3C881850"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4C197A39"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4. El valor en dinero que la Entidad Estatal asigna a cada ofrecimiento técnico o económico adicional, para permitir la ponderación de las ofertas presentadas.</w:t>
      </w:r>
    </w:p>
    <w:p w14:paraId="0872A94A"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31D5216C"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La Entidad Estatal debe adjudicar al oferente que presentó la oferta con la mejor relación costo-beneficio y suscribir el contrato por el precio total ofrecido.</w:t>
      </w:r>
    </w:p>
    <w:p w14:paraId="58700626"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5CA8B872" w14:textId="77777777" w:rsidR="004C11DC" w:rsidRPr="00702B23" w:rsidRDefault="004C11DC" w:rsidP="004C11DC">
      <w:pPr>
        <w:spacing w:after="0"/>
        <w:ind w:firstLine="708"/>
        <w:jc w:val="both"/>
        <w:rPr>
          <w:rFonts w:ascii="Verdana" w:eastAsia="Arial" w:hAnsi="Verdana" w:cs="Arial"/>
          <w:sz w:val="14"/>
          <w:szCs w:val="14"/>
          <w:lang w:val="es-MX"/>
        </w:rPr>
      </w:pPr>
      <w:r w:rsidRPr="00702B23">
        <w:rPr>
          <w:rFonts w:ascii="Verdana" w:eastAsia="Arial" w:hAnsi="Verdana" w:cs="Arial"/>
          <w:sz w:val="14"/>
          <w:szCs w:val="14"/>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4FB8C2AF" w14:textId="77777777" w:rsidR="004C11DC" w:rsidRPr="00702B23" w:rsidRDefault="004C11DC" w:rsidP="004C11DC">
      <w:pPr>
        <w:spacing w:after="0"/>
        <w:ind w:firstLine="708"/>
        <w:jc w:val="both"/>
        <w:rPr>
          <w:rFonts w:ascii="Verdana" w:eastAsia="Arial" w:hAnsi="Verdana" w:cs="Arial"/>
          <w:sz w:val="14"/>
          <w:szCs w:val="14"/>
        </w:rPr>
      </w:pPr>
      <w:r w:rsidRPr="00702B23">
        <w:rPr>
          <w:rFonts w:ascii="Verdana" w:eastAsia="Arial" w:hAnsi="Verdana" w:cs="Arial"/>
          <w:sz w:val="14"/>
          <w:szCs w:val="14"/>
        </w:rPr>
        <w:t>Parágrafo. Los criterios de calidad para evaluar la mejor relación calidad precio podrán incluir criterios ambientales o sociales vinculados al objeto del contrato.</w:t>
      </w:r>
    </w:p>
    <w:p w14:paraId="7E11822C" w14:textId="77777777" w:rsidR="004C11DC" w:rsidRPr="00702B23" w:rsidRDefault="004C11DC" w:rsidP="004C11DC">
      <w:pPr>
        <w:spacing w:after="0"/>
        <w:ind w:firstLine="708"/>
        <w:jc w:val="both"/>
        <w:rPr>
          <w:rFonts w:ascii="Verdana" w:eastAsia="Arial" w:hAnsi="Verdana" w:cs="Arial"/>
          <w:sz w:val="14"/>
          <w:szCs w:val="14"/>
        </w:rPr>
      </w:pPr>
      <w:r w:rsidRPr="00702B23">
        <w:rPr>
          <w:rFonts w:ascii="Verdana" w:eastAsia="Arial" w:hAnsi="Verdana" w:cs="Arial"/>
          <w:sz w:val="14"/>
          <w:szCs w:val="14"/>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00BBC095" w14:textId="77777777" w:rsidR="004C11DC" w:rsidRPr="00702B23" w:rsidRDefault="004C11DC" w:rsidP="004C11DC">
      <w:pPr>
        <w:spacing w:after="0"/>
        <w:ind w:firstLine="708"/>
        <w:jc w:val="both"/>
        <w:rPr>
          <w:rFonts w:ascii="Verdana" w:eastAsia="Arial" w:hAnsi="Verdana" w:cs="Arial"/>
          <w:sz w:val="14"/>
          <w:szCs w:val="14"/>
        </w:rPr>
      </w:pPr>
      <w:r w:rsidRPr="00702B23">
        <w:rPr>
          <w:rFonts w:ascii="Verdana" w:eastAsia="Arial" w:hAnsi="Verdana" w:cs="Arial"/>
          <w:sz w:val="14"/>
          <w:szCs w:val="14"/>
        </w:rPr>
        <w:t>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 .</w:t>
      </w:r>
    </w:p>
    <w:p w14:paraId="3DD7CB80" w14:textId="77777777" w:rsidR="004C11DC" w:rsidRPr="00702B23" w:rsidRDefault="004C11DC" w:rsidP="004C11DC">
      <w:pPr>
        <w:spacing w:after="0"/>
        <w:ind w:firstLine="708"/>
        <w:jc w:val="both"/>
        <w:rPr>
          <w:rFonts w:ascii="Verdana" w:eastAsia="Arial" w:hAnsi="Verdana" w:cs="Arial"/>
          <w:sz w:val="14"/>
          <w:szCs w:val="14"/>
        </w:rPr>
      </w:pPr>
      <w:r w:rsidRPr="00702B23">
        <w:rPr>
          <w:rFonts w:ascii="Verdana" w:eastAsia="Arial" w:hAnsi="Verdana" w:cs="Arial"/>
          <w:sz w:val="14"/>
          <w:szCs w:val="14"/>
        </w:rPr>
        <w:t>En el marco de las competencias atribuidas por el Decreto Ley 4170 de 2011, la Agencia Nacional de Contratación Pública -Colombia Compra Eficiente adoptará instrumentos dirigidos a orientar a las Entidades Estatales en la aplicación de estos criterios sociales y ambientales”. </w:t>
      </w:r>
    </w:p>
  </w:footnote>
  <w:footnote w:id="7">
    <w:p w14:paraId="1AA6D042"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Consejo de Estado. Sección Tercera. Subsección A. Sentencia del 25 de octubre de 2019. Exp. 39.945. Consejera Ponente: María Adriana Marín.</w:t>
      </w:r>
    </w:p>
  </w:footnote>
  <w:footnote w:id="8">
    <w:p w14:paraId="0C90425B"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vertAlign w:val="superscript"/>
        </w:rPr>
        <w:t xml:space="preserve"> </w:t>
      </w:r>
      <w:r w:rsidRPr="00702B23">
        <w:rPr>
          <w:rFonts w:ascii="Verdana" w:eastAsia="Arial" w:hAnsi="Verdana" w:cs="Arial"/>
          <w:color w:val="000000"/>
          <w:sz w:val="14"/>
          <w:szCs w:val="14"/>
        </w:rPr>
        <w:t>Consejo de Estado. Sección Tercera. Subsección A. Sentencia del 5 de julio de 2018. Exp. 37.834. Consejero Ponente: Carlos Alberto Zambrano Barrera.</w:t>
      </w:r>
    </w:p>
  </w:footnote>
  <w:footnote w:id="9">
    <w:p w14:paraId="154E5063" w14:textId="77777777" w:rsidR="004C11DC"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86EA9B2"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 w:id="10">
    <w:p w14:paraId="487119A9"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1">
    <w:p w14:paraId="35F235F2"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Consejo de Estado. Sección Tercera, Subsección C. Sentencia del 26 de febrero de 2014. C.P. Enrique Gil Botero, Rad. 1999-00113-01 (25.804). </w:t>
      </w:r>
    </w:p>
  </w:footnote>
  <w:footnote w:id="12">
    <w:p w14:paraId="280C5EAE"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vertAlign w:val="superscript"/>
        </w:rPr>
        <w:t xml:space="preserve"> </w:t>
      </w:r>
      <w:r w:rsidRPr="00702B23">
        <w:rPr>
          <w:rFonts w:ascii="Verdana" w:eastAsia="Arial" w:hAnsi="Verdana" w:cs="Arial"/>
          <w:color w:val="000000"/>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3">
    <w:p w14:paraId="7D9903E9" w14:textId="77777777" w:rsidR="004C11DC" w:rsidRPr="00702B23" w:rsidRDefault="004C11DC" w:rsidP="004C11DC">
      <w:pP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702B23">
          <w:rPr>
            <w:rFonts w:ascii="Verdana" w:eastAsia="Arial" w:hAnsi="Verdana" w:cs="Arial"/>
            <w:color w:val="000000"/>
            <w:sz w:val="14"/>
            <w:szCs w:val="14"/>
          </w:rPr>
          <w:t>Ley 1150 de 2007</w:t>
        </w:r>
      </w:hyperlink>
      <w:r w:rsidRPr="00702B23">
        <w:rPr>
          <w:rFonts w:ascii="Verdana" w:eastAsia="Arial" w:hAnsi="Verdana" w:cs="Arial"/>
          <w:color w:val="000000"/>
          <w:sz w:val="14"/>
          <w:szCs w:val="14"/>
        </w:rPr>
        <w:t> y en el presente decreto.</w:t>
      </w:r>
    </w:p>
    <w:p w14:paraId="72380584" w14:textId="77777777" w:rsidR="004C11DC" w:rsidRPr="00702B23" w:rsidRDefault="004C11DC" w:rsidP="004C11DC">
      <w:pP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A388D2A" w14:textId="77777777" w:rsidR="004C11DC" w:rsidRPr="00702B23" w:rsidRDefault="004C11DC" w:rsidP="004C11DC">
      <w:pP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Será rechazada la oferta del proponente que dentro del término previsto en el pliego o en la solicitud, no responda al requerimiento que le haga la entidad para subsanarla.</w:t>
      </w:r>
    </w:p>
    <w:p w14:paraId="168C79F9" w14:textId="77777777" w:rsidR="004C11DC" w:rsidRPr="00702B23" w:rsidRDefault="004C11DC" w:rsidP="004C11DC">
      <w:pP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Cuando se utilice el mecanismo de subasta esta posibilidad deberá ejercerse hasta el momento previo a su realización, de conformidad con el artículo 22 del presente decreto.</w:t>
      </w:r>
    </w:p>
    <w:p w14:paraId="263006A6" w14:textId="77777777" w:rsidR="004C11DC" w:rsidRPr="00702B23" w:rsidRDefault="004C11DC" w:rsidP="004C11DC">
      <w:pPr>
        <w:spacing w:after="0"/>
        <w:ind w:firstLine="709"/>
        <w:jc w:val="both"/>
        <w:rPr>
          <w:rFonts w:ascii="Verdana" w:eastAsia="Arial" w:hAnsi="Verdana" w:cs="Arial"/>
          <w:color w:val="000000"/>
          <w:sz w:val="14"/>
          <w:szCs w:val="14"/>
        </w:rPr>
      </w:pPr>
      <w:r w:rsidRPr="00702B23">
        <w:rPr>
          <w:rFonts w:ascii="Verdana" w:eastAsia="Arial" w:hAnsi="Verdana" w:cs="Arial"/>
          <w:color w:val="000000"/>
          <w:sz w:val="14"/>
          <w:szCs w:val="14"/>
        </w:rPr>
        <w:t xml:space="preserve">En ningún caso la entidad podrá señalar taxativamente los requisitos o documentos subsanables o no subsanables en el pliego de condiciones, </w:t>
      </w:r>
      <w:r w:rsidRPr="00702B23">
        <w:rPr>
          <w:rFonts w:ascii="Verdana" w:eastAsia="Arial" w:hAnsi="Verdana" w:cs="Arial"/>
          <w:i/>
          <w:color w:val="000000"/>
          <w:sz w:val="14"/>
          <w:szCs w:val="14"/>
        </w:rPr>
        <w:t>ni permitir que se subsane la falta de capacidad para presentar la oferta, ni que se acrediten circunstancias ocurridas con posterioridad al cierre del proceso</w:t>
      </w:r>
      <w:r w:rsidRPr="00702B23">
        <w:rPr>
          <w:rFonts w:ascii="Verdana" w:eastAsia="Arial" w:hAnsi="Verdana" w:cs="Arial"/>
          <w:color w:val="000000"/>
          <w:sz w:val="14"/>
          <w:szCs w:val="14"/>
        </w:rPr>
        <w:t xml:space="preserve">”. (Cursivas fuera de texto). </w:t>
      </w:r>
    </w:p>
  </w:footnote>
  <w:footnote w:id="14">
    <w:p w14:paraId="1B7BC2D5"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Consejo de Estado, Sala de Consulta y Servicio Civil, concepto del 6 de noviembre de 2008. C.P. William Zambrano Cetina. Rad. 2008-00079-00(1927).</w:t>
      </w:r>
    </w:p>
  </w:footnote>
  <w:footnote w:id="15">
    <w:p w14:paraId="75EE2584" w14:textId="77777777" w:rsidR="004C11DC"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Ver Consejo de Estado, Sección Tercera, Subsección C. Sentencia del 26 de febrero de 2011. C.P. Jaime Orlando Santofimio. Rad. 36.408.  </w:t>
      </w:r>
    </w:p>
    <w:p w14:paraId="4C222560"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 w:id="16">
    <w:p w14:paraId="5500A76B" w14:textId="77777777" w:rsidR="004C11DC"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Ver Consejo de Estado, Sección Tercera, Subsección C. Sentencia del 26 de febrero de 2014. C.P. Enrique Gil Botero. Rad. 25.804.  </w:t>
      </w:r>
    </w:p>
    <w:p w14:paraId="1523A205"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 w:id="17">
    <w:p w14:paraId="130B4DBF"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r w:rsidRPr="00702B23">
        <w:rPr>
          <w:rFonts w:ascii="Verdana" w:hAnsi="Verdana" w:cs="Arial"/>
          <w:sz w:val="14"/>
          <w:szCs w:val="14"/>
          <w:vertAlign w:val="superscript"/>
        </w:rPr>
        <w:footnoteRef/>
      </w:r>
      <w:r w:rsidRPr="00702B23">
        <w:rPr>
          <w:rFonts w:ascii="Verdana" w:eastAsia="Arial" w:hAnsi="Verdana" w:cs="Arial"/>
          <w:color w:val="000000"/>
          <w:sz w:val="14"/>
          <w:szCs w:val="14"/>
        </w:rPr>
        <w:t xml:space="preserve"> Consejo de Estado, Sala de Consulta y Servicio Civil, concepto del 20 de mayo de 2010. C.P. Enrique José Arboleda Perdomo. Rad. 2010-00034-00(1992).</w:t>
      </w:r>
    </w:p>
    <w:p w14:paraId="33B24725" w14:textId="77777777" w:rsidR="004C11DC" w:rsidRPr="00702B23" w:rsidRDefault="004C11DC" w:rsidP="004C11DC">
      <w:pPr>
        <w:pBdr>
          <w:top w:val="nil"/>
          <w:left w:val="nil"/>
          <w:bottom w:val="nil"/>
          <w:right w:val="nil"/>
          <w:between w:val="nil"/>
        </w:pBdr>
        <w:spacing w:after="0"/>
        <w:ind w:firstLine="709"/>
        <w:jc w:val="both"/>
        <w:rPr>
          <w:rFonts w:ascii="Verdana" w:eastAsia="Arial"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171A" w14:textId="77777777" w:rsidR="004C11DC" w:rsidRDefault="004C11D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79E0B60" wp14:editId="0527652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36045A2" wp14:editId="2F5C481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6633748" w14:textId="77777777" w:rsidR="004C11DC" w:rsidRDefault="004C11DC">
    <w:pPr>
      <w:pStyle w:val="Encabezado"/>
    </w:pPr>
  </w:p>
  <w:p w14:paraId="374CA225" w14:textId="77777777" w:rsidR="004C11DC" w:rsidRDefault="004C11DC" w:rsidP="004A305D">
    <w:pPr>
      <w:spacing w:after="0"/>
      <w:rPr>
        <w:rFonts w:ascii="Verdana" w:hAnsi="Verdana"/>
        <w:b/>
        <w:bCs/>
      </w:rPr>
    </w:pPr>
  </w:p>
  <w:p w14:paraId="11F528E1" w14:textId="77777777" w:rsidR="004C11DC" w:rsidRPr="004A305D" w:rsidRDefault="004C11DC" w:rsidP="00B01B1A">
    <w:pPr>
      <w:spacing w:after="0" w:line="120" w:lineRule="auto"/>
      <w:rPr>
        <w:rFonts w:ascii="Century Gothic" w:eastAsia="Geo" w:hAnsi="Century Gothic" w:cs="Geo"/>
        <w:sz w:val="16"/>
        <w:szCs w:val="16"/>
        <w:lang w:eastAsia="es-CO"/>
      </w:rPr>
    </w:pPr>
  </w:p>
  <w:p w14:paraId="052E0580" w14:textId="77777777" w:rsidR="004C11DC" w:rsidRDefault="004C11D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DC"/>
    <w:rsid w:val="00095B3F"/>
    <w:rsid w:val="000C56C7"/>
    <w:rsid w:val="00474DF4"/>
    <w:rsid w:val="00485D25"/>
    <w:rsid w:val="004C11DC"/>
    <w:rsid w:val="004F471F"/>
    <w:rsid w:val="008C5DDE"/>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04DFC"/>
  <w15:chartTrackingRefBased/>
  <w15:docId w15:val="{9A44F92B-68E3-4188-87F3-1E3F0BE4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1DC"/>
    <w:rPr>
      <w:kern w:val="0"/>
      <w14:ligatures w14:val="none"/>
    </w:rPr>
  </w:style>
  <w:style w:type="paragraph" w:styleId="Ttulo1">
    <w:name w:val="heading 1"/>
    <w:basedOn w:val="Normal"/>
    <w:next w:val="Normal"/>
    <w:link w:val="Ttulo1Car"/>
    <w:uiPriority w:val="9"/>
    <w:qFormat/>
    <w:rsid w:val="004C11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C11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C11D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C11D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C11D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C11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11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11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11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11D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C11D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C11D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C11D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C11D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C11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11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11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11DC"/>
    <w:rPr>
      <w:rFonts w:eastAsiaTheme="majorEastAsia" w:cstheme="majorBidi"/>
      <w:color w:val="272727" w:themeColor="text1" w:themeTint="D8"/>
    </w:rPr>
  </w:style>
  <w:style w:type="paragraph" w:styleId="Ttulo">
    <w:name w:val="Title"/>
    <w:basedOn w:val="Normal"/>
    <w:next w:val="Normal"/>
    <w:link w:val="TtuloCar"/>
    <w:uiPriority w:val="10"/>
    <w:qFormat/>
    <w:rsid w:val="004C1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11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11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11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11DC"/>
    <w:pPr>
      <w:spacing w:before="160"/>
      <w:jc w:val="center"/>
    </w:pPr>
    <w:rPr>
      <w:i/>
      <w:iCs/>
      <w:color w:val="404040" w:themeColor="text1" w:themeTint="BF"/>
    </w:rPr>
  </w:style>
  <w:style w:type="character" w:customStyle="1" w:styleId="CitaCar">
    <w:name w:val="Cita Car"/>
    <w:basedOn w:val="Fuentedeprrafopredeter"/>
    <w:link w:val="Cita"/>
    <w:uiPriority w:val="29"/>
    <w:rsid w:val="004C11D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C11DC"/>
    <w:pPr>
      <w:ind w:left="720"/>
      <w:contextualSpacing/>
    </w:pPr>
  </w:style>
  <w:style w:type="character" w:styleId="nfasisintenso">
    <w:name w:val="Intense Emphasis"/>
    <w:basedOn w:val="Fuentedeprrafopredeter"/>
    <w:uiPriority w:val="21"/>
    <w:qFormat/>
    <w:rsid w:val="004C11DC"/>
    <w:rPr>
      <w:i/>
      <w:iCs/>
      <w:color w:val="2F5496" w:themeColor="accent1" w:themeShade="BF"/>
    </w:rPr>
  </w:style>
  <w:style w:type="paragraph" w:styleId="Citadestacada">
    <w:name w:val="Intense Quote"/>
    <w:basedOn w:val="Normal"/>
    <w:next w:val="Normal"/>
    <w:link w:val="CitadestacadaCar"/>
    <w:uiPriority w:val="30"/>
    <w:qFormat/>
    <w:rsid w:val="004C11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C11DC"/>
    <w:rPr>
      <w:i/>
      <w:iCs/>
      <w:color w:val="2F5496" w:themeColor="accent1" w:themeShade="BF"/>
    </w:rPr>
  </w:style>
  <w:style w:type="character" w:styleId="Referenciaintensa">
    <w:name w:val="Intense Reference"/>
    <w:basedOn w:val="Fuentedeprrafopredeter"/>
    <w:uiPriority w:val="32"/>
    <w:qFormat/>
    <w:rsid w:val="004C11DC"/>
    <w:rPr>
      <w:b/>
      <w:bCs/>
      <w:smallCaps/>
      <w:color w:val="2F5496" w:themeColor="accent1" w:themeShade="BF"/>
      <w:spacing w:val="5"/>
    </w:rPr>
  </w:style>
  <w:style w:type="paragraph" w:styleId="Encabezado">
    <w:name w:val="header"/>
    <w:basedOn w:val="Normal"/>
    <w:link w:val="EncabezadoCar"/>
    <w:uiPriority w:val="99"/>
    <w:unhideWhenUsed/>
    <w:rsid w:val="004C11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11DC"/>
    <w:rPr>
      <w:kern w:val="0"/>
      <w14:ligatures w14:val="none"/>
    </w:rPr>
  </w:style>
  <w:style w:type="paragraph" w:styleId="Piedepgina">
    <w:name w:val="footer"/>
    <w:basedOn w:val="Normal"/>
    <w:link w:val="PiedepginaCar"/>
    <w:uiPriority w:val="99"/>
    <w:unhideWhenUsed/>
    <w:rsid w:val="004C11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11DC"/>
    <w:rPr>
      <w:kern w:val="0"/>
      <w14:ligatures w14:val="none"/>
    </w:rPr>
  </w:style>
  <w:style w:type="character" w:customStyle="1" w:styleId="normaltextrun">
    <w:name w:val="normaltextrun"/>
    <w:basedOn w:val="Fuentedeprrafopredeter"/>
    <w:rsid w:val="004C11DC"/>
  </w:style>
  <w:style w:type="table" w:styleId="Tablaconcuadrcula">
    <w:name w:val="Table Grid"/>
    <w:basedOn w:val="Tablanormal"/>
    <w:uiPriority w:val="39"/>
    <w:qFormat/>
    <w:rsid w:val="004C11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11DC"/>
    <w:rPr>
      <w:color w:val="0000FF"/>
      <w:u w:val="single"/>
    </w:rPr>
  </w:style>
  <w:style w:type="paragraph" w:styleId="NormalWeb">
    <w:name w:val="Normal (Web)"/>
    <w:basedOn w:val="Normal"/>
    <w:uiPriority w:val="99"/>
    <w:semiHidden/>
    <w:unhideWhenUsed/>
    <w:rsid w:val="004C11D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1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juli05@hot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5980F0-566B-40A2-8294-52708167BD2C}"/>
</file>

<file path=customXml/itemProps2.xml><?xml version="1.0" encoding="utf-8"?>
<ds:datastoreItem xmlns:ds="http://schemas.openxmlformats.org/officeDocument/2006/customXml" ds:itemID="{234EF19E-D7DA-440E-8968-C8462440F5D3}"/>
</file>

<file path=customXml/itemProps3.xml><?xml version="1.0" encoding="utf-8"?>
<ds:datastoreItem xmlns:ds="http://schemas.openxmlformats.org/officeDocument/2006/customXml" ds:itemID="{2F9B884A-D1E7-49F0-85FC-8CE54757DCDB}"/>
</file>

<file path=docProps/app.xml><?xml version="1.0" encoding="utf-8"?>
<Properties xmlns="http://schemas.openxmlformats.org/officeDocument/2006/extended-properties" xmlns:vt="http://schemas.openxmlformats.org/officeDocument/2006/docPropsVTypes">
  <Template>Normal</Template>
  <TotalTime>2</TotalTime>
  <Pages>28</Pages>
  <Words>10269</Words>
  <Characters>56481</Characters>
  <Application>Microsoft Office Word</Application>
  <DocSecurity>0</DocSecurity>
  <Lines>470</Lines>
  <Paragraphs>133</Paragraphs>
  <ScaleCrop>false</ScaleCrop>
  <Company/>
  <LinksUpToDate>false</LinksUpToDate>
  <CharactersWithSpaces>66617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2025-07-01T17:57:00Z</dcterms:created>
  <dcterms:modified xsi:type="dcterms:W3CDTF">2025-07-02T15:39:00Z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