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B266C" w14:textId="77777777" w:rsidR="00DB2AC7" w:rsidRPr="00DB2AC7" w:rsidRDefault="00DB2AC7" w:rsidP="00DB2AC7">
      <w:pPr>
        <w:spacing w:after="0"/>
        <w:rPr>
          <w:rFonts w:ascii="Verdana" w:hAnsi="Verdana" w:cs="Arial"/>
          <w:b/>
          <w:lang w:val="es-ES" w:eastAsia="es-ES"/>
        </w:rPr>
      </w:pPr>
      <w:bookmarkStart w:id="0" w:name="_Hlk143780582"/>
      <w:r w:rsidRPr="00DB2AC7">
        <w:rPr>
          <w:rFonts w:ascii="Verdana" w:hAnsi="Verdana" w:cs="Arial"/>
          <w:b/>
          <w:lang w:val="es-ES" w:eastAsia="es-ES"/>
        </w:rPr>
        <w:t xml:space="preserve">ENAJENACIÓN – Bienes inmuebles – Bienes muebles </w:t>
      </w:r>
    </w:p>
    <w:p w14:paraId="15BB0B3A" w14:textId="0CBCC46C" w:rsidR="00DB2AC7" w:rsidRDefault="00DB2AC7" w:rsidP="00DB2AC7">
      <w:pPr>
        <w:spacing w:after="0"/>
        <w:rPr>
          <w:rFonts w:ascii="Verdana" w:hAnsi="Verdana" w:cs="Arial"/>
          <w:b/>
          <w:lang w:val="es-ES" w:eastAsia="es-ES"/>
        </w:rPr>
      </w:pPr>
    </w:p>
    <w:p w14:paraId="40C82CD0" w14:textId="4E10F570" w:rsidR="00DB2AC7" w:rsidRDefault="00DB2AC7" w:rsidP="00DB2AC7">
      <w:pPr>
        <w:spacing w:after="0" w:line="240" w:lineRule="auto"/>
        <w:jc w:val="both"/>
        <w:rPr>
          <w:rFonts w:ascii="Verdana" w:hAnsi="Verdana" w:cs="Arial"/>
          <w:iCs/>
          <w:sz w:val="20"/>
          <w:lang w:eastAsia="es-ES"/>
        </w:rPr>
      </w:pPr>
      <w:r w:rsidRPr="00DB2AC7">
        <w:rPr>
          <w:rFonts w:ascii="Verdana" w:hAnsi="Verdana" w:cs="Arial"/>
          <w:sz w:val="20"/>
          <w:lang w:val="es-ES" w:eastAsia="es-ES"/>
        </w:rPr>
        <w:t xml:space="preserve">La enajenación se define como la transferencia del derecho real </w:t>
      </w:r>
      <w:r>
        <w:rPr>
          <w:rFonts w:ascii="Verdana" w:hAnsi="Verdana" w:cs="Arial"/>
          <w:sz w:val="20"/>
          <w:lang w:val="es-ES" w:eastAsia="es-ES"/>
        </w:rPr>
        <w:t>sobre un bien</w:t>
      </w:r>
      <w:r w:rsidRPr="00DB2AC7">
        <w:rPr>
          <w:rFonts w:ascii="Verdana" w:hAnsi="Verdana" w:cs="Arial"/>
          <w:sz w:val="20"/>
          <w:lang w:val="es-ES" w:eastAsia="es-ES"/>
        </w:rPr>
        <w:t xml:space="preserve">. Como indica la doctrina, “Dar –en sentido restringido–, </w:t>
      </w:r>
      <w:proofErr w:type="spellStart"/>
      <w:r w:rsidRPr="00DB2AC7">
        <w:rPr>
          <w:rFonts w:ascii="Verdana" w:hAnsi="Verdana" w:cs="Arial"/>
          <w:sz w:val="20"/>
          <w:lang w:val="es-ES" w:eastAsia="es-ES"/>
        </w:rPr>
        <w:t>traditar</w:t>
      </w:r>
      <w:proofErr w:type="spellEnd"/>
      <w:r w:rsidRPr="00DB2AC7">
        <w:rPr>
          <w:rFonts w:ascii="Verdana" w:hAnsi="Verdana" w:cs="Arial"/>
          <w:sz w:val="20"/>
          <w:lang w:val="es-ES" w:eastAsia="es-ES"/>
        </w:rPr>
        <w:t xml:space="preserve">, enajenar, disponer, son conceptos sinónimos en el Código Civil. Cuando se da, se enajena. Cuando se </w:t>
      </w:r>
      <w:proofErr w:type="spellStart"/>
      <w:r w:rsidRPr="00DB2AC7">
        <w:rPr>
          <w:rFonts w:ascii="Verdana" w:hAnsi="Verdana" w:cs="Arial"/>
          <w:sz w:val="20"/>
          <w:lang w:val="es-ES" w:eastAsia="es-ES"/>
        </w:rPr>
        <w:t>tradita</w:t>
      </w:r>
      <w:proofErr w:type="spellEnd"/>
      <w:r w:rsidRPr="00DB2AC7">
        <w:rPr>
          <w:rFonts w:ascii="Verdana" w:hAnsi="Verdana" w:cs="Arial"/>
          <w:sz w:val="20"/>
          <w:lang w:val="es-ES" w:eastAsia="es-ES"/>
        </w:rPr>
        <w:t xml:space="preserve">, se enajena, cuando se enajena, se da o se </w:t>
      </w:r>
      <w:proofErr w:type="spellStart"/>
      <w:r w:rsidRPr="00DB2AC7">
        <w:rPr>
          <w:rFonts w:ascii="Verdana" w:hAnsi="Verdana" w:cs="Arial"/>
          <w:sz w:val="20"/>
          <w:lang w:val="es-ES" w:eastAsia="es-ES"/>
        </w:rPr>
        <w:t>tradita</w:t>
      </w:r>
      <w:proofErr w:type="spellEnd"/>
      <w:r w:rsidRPr="00DB2AC7">
        <w:rPr>
          <w:rFonts w:ascii="Verdana" w:hAnsi="Verdana" w:cs="Arial"/>
          <w:sz w:val="20"/>
          <w:lang w:val="es-ES" w:eastAsia="es-ES"/>
        </w:rPr>
        <w:t xml:space="preserve">. Y, finalmente, cuando ocurre cualquiera de tales fenómenos, se dispone”. Lo más usual es que la enajenación se lleve a cabo respecto del derecho de propiedad; y en tal caso, se efectúa mediante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“De las cosas que no están en el comercio”, </w:t>
      </w:r>
      <w:proofErr w:type="spellStart"/>
      <w:r w:rsidRPr="00DB2AC7">
        <w:rPr>
          <w:rFonts w:ascii="Verdana" w:hAnsi="Verdana" w:cs="Arial"/>
          <w:sz w:val="20"/>
          <w:lang w:val="es-ES" w:eastAsia="es-ES"/>
        </w:rPr>
        <w:t>ii</w:t>
      </w:r>
      <w:proofErr w:type="spellEnd"/>
      <w:r w:rsidRPr="00DB2AC7">
        <w:rPr>
          <w:rFonts w:ascii="Verdana" w:hAnsi="Verdana" w:cs="Arial"/>
          <w:sz w:val="20"/>
          <w:lang w:val="es-ES" w:eastAsia="es-ES"/>
        </w:rPr>
        <w:t xml:space="preserve">) “De los derechos o privilegios que no pueden transferirse a otra persona” y </w:t>
      </w:r>
      <w:proofErr w:type="spellStart"/>
      <w:r w:rsidRPr="00DB2AC7">
        <w:rPr>
          <w:rFonts w:ascii="Verdana" w:hAnsi="Verdana" w:cs="Arial"/>
          <w:sz w:val="20"/>
          <w:lang w:val="es-ES" w:eastAsia="es-ES"/>
        </w:rPr>
        <w:t>iii</w:t>
      </w:r>
      <w:proofErr w:type="spellEnd"/>
      <w:r w:rsidRPr="00DB2AC7">
        <w:rPr>
          <w:rFonts w:ascii="Verdana" w:hAnsi="Verdana" w:cs="Arial"/>
          <w:sz w:val="20"/>
          <w:lang w:val="es-ES" w:eastAsia="es-ES"/>
        </w:rPr>
        <w:t>) “De las cosas embargadas por decreto judicial, a menos que el juez lo autorice o el acreedor consienta en ello”. Por otro lado, e</w:t>
      </w:r>
      <w:r w:rsidRPr="00DB2AC7">
        <w:rPr>
          <w:rFonts w:ascii="Verdana" w:hAnsi="Verdana" w:cs="Arial"/>
          <w:sz w:val="20"/>
          <w:lang w:eastAsia="es-ES"/>
        </w:rPr>
        <w:t xml:space="preserve">l artículo 674 del Código Civil define los bienes de dominio público como aquellos que </w:t>
      </w:r>
      <w:r w:rsidRPr="00DB2AC7">
        <w:rPr>
          <w:rFonts w:ascii="Verdana" w:hAnsi="Verdana" w:cs="Arial"/>
          <w:iCs/>
          <w:sz w:val="20"/>
          <w:lang w:eastAsia="es-ES"/>
        </w:rPr>
        <w:t>“[…] pertenece a todos los habitantes de un Territorio, como el de calles, plazas, puentes y caminos, se llaman bienes de la Unión o de uso o bienes públicos del Territorio”.</w:t>
      </w:r>
    </w:p>
    <w:p w14:paraId="1678BBC9" w14:textId="77777777" w:rsidR="00DB2AC7" w:rsidRPr="00DB2AC7" w:rsidRDefault="00DB2AC7" w:rsidP="00DB2AC7">
      <w:pPr>
        <w:spacing w:after="0" w:line="240" w:lineRule="auto"/>
        <w:jc w:val="both"/>
        <w:rPr>
          <w:rFonts w:ascii="Verdana" w:hAnsi="Verdana" w:cs="Arial"/>
          <w:sz w:val="20"/>
          <w:lang w:val="es-ES" w:eastAsia="es-ES"/>
        </w:rPr>
      </w:pPr>
    </w:p>
    <w:p w14:paraId="1594AC68" w14:textId="77777777" w:rsidR="00DB2AC7" w:rsidRPr="00DB2AC7" w:rsidRDefault="00DB2AC7" w:rsidP="00DB2AC7">
      <w:pPr>
        <w:spacing w:after="0"/>
        <w:rPr>
          <w:rFonts w:ascii="Verdana" w:hAnsi="Verdana" w:cs="Arial"/>
          <w:b/>
          <w:lang w:val="es-ES" w:eastAsia="es-ES"/>
        </w:rPr>
      </w:pPr>
      <w:r w:rsidRPr="00DB2AC7">
        <w:rPr>
          <w:rFonts w:ascii="Verdana" w:hAnsi="Verdana" w:cs="Arial"/>
          <w:b/>
          <w:lang w:val="es-ES" w:eastAsia="es-ES"/>
        </w:rPr>
        <w:t xml:space="preserve">BIENES PÚBLICOS – Tipos </w:t>
      </w:r>
    </w:p>
    <w:p w14:paraId="08E7E3B2" w14:textId="0BCCA9E4" w:rsidR="00DB2AC7" w:rsidRDefault="00DB2AC7" w:rsidP="00DB2AC7">
      <w:pPr>
        <w:spacing w:after="0"/>
        <w:rPr>
          <w:rFonts w:ascii="Verdana" w:hAnsi="Verdana" w:cs="Arial"/>
          <w:b/>
          <w:lang w:val="es-ES" w:eastAsia="es-ES"/>
        </w:rPr>
      </w:pPr>
    </w:p>
    <w:p w14:paraId="6E868CBF" w14:textId="780286F8" w:rsidR="00DB2AC7" w:rsidRPr="00DB2AC7" w:rsidRDefault="00DB2AC7" w:rsidP="00DB2AC7">
      <w:pPr>
        <w:spacing w:after="0" w:line="240" w:lineRule="auto"/>
        <w:jc w:val="both"/>
        <w:rPr>
          <w:rFonts w:ascii="Verdana" w:hAnsi="Verdana" w:cs="Arial"/>
          <w:sz w:val="20"/>
          <w:lang w:val="es-MX" w:eastAsia="es-ES"/>
        </w:rPr>
      </w:pPr>
      <w:r w:rsidRPr="00DB2AC7">
        <w:rPr>
          <w:rFonts w:ascii="Verdana" w:hAnsi="Verdana" w:cs="Arial"/>
          <w:sz w:val="20"/>
          <w:lang w:val="es-MX" w:eastAsia="es-ES"/>
        </w:rPr>
        <w:t>Los bienes de dominio público, de acuerdo con la sentencia C- 183 de 2003 de la Corte Constitucional, son “</w:t>
      </w:r>
      <w:r w:rsidRPr="00DB2AC7">
        <w:rPr>
          <w:rFonts w:ascii="Verdana" w:hAnsi="Verdana" w:cs="Arial"/>
          <w:iCs/>
          <w:sz w:val="20"/>
          <w:lang w:val="es-MX" w:eastAsia="es-ES"/>
        </w:rPr>
        <w:t>el conjunto de bienes que la administración afecta al uso directo de la comunidad o que lo utiliza para servir a la sociedad”</w:t>
      </w:r>
      <w:r w:rsidRPr="00DB2AC7">
        <w:rPr>
          <w:rFonts w:ascii="Verdana" w:hAnsi="Verdana" w:cs="Arial"/>
          <w:sz w:val="20"/>
          <w:lang w:val="es-MX" w:eastAsia="es-ES"/>
        </w:rPr>
        <w:t xml:space="preserve">. Dentro de esta categoría se encuentran los bienes fiscales y los bienes de uso público. Los bienes fiscales, de acuerdo con el Alto Tribunal Constitucional, están destinados a la prestación de servicios públicos que la Administración utiliza de forma inmediata, como los edificios donde funcionan las oficinas públicas. </w:t>
      </w:r>
    </w:p>
    <w:p w14:paraId="4542150C" w14:textId="77777777" w:rsidR="009B5FC5" w:rsidRDefault="009B5FC5" w:rsidP="00DB2AC7">
      <w:pPr>
        <w:spacing w:after="0" w:line="240" w:lineRule="auto"/>
        <w:jc w:val="both"/>
        <w:rPr>
          <w:rFonts w:ascii="Verdana" w:hAnsi="Verdana" w:cs="Arial"/>
          <w:sz w:val="20"/>
          <w:lang w:val="es-MX" w:eastAsia="es-ES"/>
        </w:rPr>
      </w:pPr>
    </w:p>
    <w:p w14:paraId="3AD2681C" w14:textId="2651AD84" w:rsidR="00DB2AC7" w:rsidRDefault="00DB2AC7" w:rsidP="00DB2AC7">
      <w:pPr>
        <w:spacing w:after="0" w:line="240" w:lineRule="auto"/>
        <w:jc w:val="both"/>
        <w:rPr>
          <w:rFonts w:ascii="Verdana" w:hAnsi="Verdana" w:cs="Arial"/>
          <w:sz w:val="20"/>
          <w:vertAlign w:val="superscript"/>
          <w:lang w:val="es-MX" w:eastAsia="es-ES"/>
        </w:rPr>
      </w:pPr>
      <w:r w:rsidRPr="00DB2AC7">
        <w:rPr>
          <w:rFonts w:ascii="Verdana" w:hAnsi="Verdana" w:cs="Arial"/>
          <w:sz w:val="20"/>
          <w:lang w:val="es-MX" w:eastAsia="es-ES"/>
        </w:rPr>
        <w:t xml:space="preserve">A su vez, el Consejo de Estado, define los bienes fiscales como </w:t>
      </w:r>
      <w:r w:rsidRPr="00DB2AC7">
        <w:rPr>
          <w:rFonts w:ascii="Verdana" w:hAnsi="Verdana" w:cs="Arial"/>
          <w:iCs/>
          <w:sz w:val="20"/>
          <w:lang w:val="es-MX" w:eastAsia="es-ES"/>
        </w:rPr>
        <w:t xml:space="preserve">“aquellos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w:t>
      </w:r>
      <w:proofErr w:type="spellStart"/>
      <w:r w:rsidRPr="00DB2AC7">
        <w:rPr>
          <w:rFonts w:ascii="Verdana" w:hAnsi="Verdana" w:cs="Arial"/>
          <w:iCs/>
          <w:sz w:val="20"/>
          <w:lang w:val="es-MX" w:eastAsia="es-ES"/>
        </w:rPr>
        <w:t>propiedad</w:t>
      </w:r>
      <w:proofErr w:type="gramStart"/>
      <w:r w:rsidRPr="00DB2AC7">
        <w:rPr>
          <w:rFonts w:ascii="Verdana" w:hAnsi="Verdana" w:cs="Arial"/>
          <w:iCs/>
          <w:sz w:val="20"/>
          <w:lang w:val="es-MX" w:eastAsia="es-ES"/>
        </w:rPr>
        <w:t>”</w:t>
      </w:r>
      <w:r w:rsidR="009B5FC5">
        <w:rPr>
          <w:rFonts w:ascii="Verdana" w:hAnsi="Verdana" w:cs="Arial"/>
          <w:iCs/>
          <w:sz w:val="20"/>
          <w:lang w:val="es-MX" w:eastAsia="es-ES"/>
        </w:rPr>
        <w:t>.</w:t>
      </w:r>
      <w:r w:rsidRPr="00DB2AC7">
        <w:rPr>
          <w:rFonts w:ascii="Verdana" w:hAnsi="Verdana" w:cs="Arial"/>
          <w:sz w:val="20"/>
          <w:vertAlign w:val="superscript"/>
          <w:lang w:val="es-MX" w:eastAsia="es-ES"/>
        </w:rPr>
        <w:t>.</w:t>
      </w:r>
      <w:proofErr w:type="gramEnd"/>
      <w:r w:rsidRPr="00DB2AC7">
        <w:rPr>
          <w:rFonts w:ascii="Verdana" w:hAnsi="Verdana" w:cs="Arial"/>
          <w:sz w:val="20"/>
          <w:lang w:val="es-MX" w:eastAsia="es-ES"/>
        </w:rPr>
        <w:t>De</w:t>
      </w:r>
      <w:proofErr w:type="spellEnd"/>
      <w:r w:rsidRPr="00DB2AC7">
        <w:rPr>
          <w:rFonts w:ascii="Verdana" w:hAnsi="Verdana" w:cs="Arial"/>
          <w:sz w:val="20"/>
          <w:lang w:val="es-MX" w:eastAsia="es-ES"/>
        </w:rPr>
        <w:t xml:space="preserve"> esta forma, sobre los bienes fiscales, a pesar de estar destinados a la prestación de servicios públicos, las Entidades Estatales tienen la facultad de disponer de ellos a través de un acto jurídico como la compraventa, la donación, el arriendo, entre otros.</w:t>
      </w:r>
      <w:r w:rsidRPr="00DB2AC7">
        <w:rPr>
          <w:rFonts w:ascii="Verdana" w:hAnsi="Verdana" w:cs="Arial"/>
          <w:sz w:val="20"/>
          <w:vertAlign w:val="superscript"/>
          <w:lang w:val="es-MX" w:eastAsia="es-ES"/>
        </w:rPr>
        <w:t xml:space="preserve"> </w:t>
      </w:r>
    </w:p>
    <w:p w14:paraId="02B4A7E1" w14:textId="77777777" w:rsidR="009B5FC5" w:rsidRPr="00DB2AC7" w:rsidRDefault="009B5FC5" w:rsidP="00DB2AC7">
      <w:pPr>
        <w:spacing w:after="0" w:line="240" w:lineRule="auto"/>
        <w:jc w:val="both"/>
        <w:rPr>
          <w:rFonts w:ascii="Verdana" w:hAnsi="Verdana" w:cs="Arial"/>
          <w:sz w:val="20"/>
          <w:lang w:val="es-MX" w:eastAsia="es-ES"/>
        </w:rPr>
      </w:pPr>
    </w:p>
    <w:p w14:paraId="459E390A" w14:textId="2E330C24" w:rsidR="00DB2AC7" w:rsidRDefault="00DB2AC7" w:rsidP="00DB2AC7">
      <w:pPr>
        <w:spacing w:after="0" w:line="240" w:lineRule="auto"/>
        <w:jc w:val="both"/>
        <w:rPr>
          <w:rFonts w:ascii="Verdana" w:hAnsi="Verdana" w:cs="Arial"/>
          <w:sz w:val="20"/>
          <w:lang w:val="es-MX" w:eastAsia="es-ES"/>
        </w:rPr>
      </w:pPr>
      <w:r w:rsidRPr="00DB2AC7">
        <w:rPr>
          <w:rFonts w:ascii="Verdana" w:hAnsi="Verdana" w:cs="Arial"/>
          <w:sz w:val="20"/>
          <w:lang w:val="es-MX" w:eastAsia="es-ES"/>
        </w:rPr>
        <w:t xml:space="preserve">Acerca de los bienes de uso público, el Consejo de Estado los define como </w:t>
      </w:r>
      <w:r w:rsidRPr="00DB2AC7">
        <w:rPr>
          <w:rFonts w:ascii="Verdana" w:hAnsi="Verdana" w:cs="Arial"/>
          <w:iCs/>
          <w:sz w:val="20"/>
          <w:lang w:val="es-MX" w:eastAsia="es-ES"/>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sidRPr="00DB2AC7">
        <w:rPr>
          <w:rFonts w:ascii="Verdana" w:hAnsi="Verdana" w:cs="Arial"/>
          <w:i/>
          <w:iCs/>
          <w:sz w:val="20"/>
          <w:lang w:val="es-MX" w:eastAsia="es-ES"/>
        </w:rPr>
        <w:t>”.</w:t>
      </w:r>
      <w:r w:rsidRPr="00DB2AC7">
        <w:rPr>
          <w:rFonts w:ascii="Verdana" w:hAnsi="Verdana" w:cs="Arial"/>
          <w:sz w:val="20"/>
          <w:lang w:val="es-MX" w:eastAsia="es-ES"/>
        </w:rPr>
        <w:t xml:space="preserve"> Por lo tanto, como estos </w:t>
      </w:r>
      <w:r w:rsidRPr="00DB2AC7">
        <w:rPr>
          <w:rFonts w:ascii="Verdana" w:hAnsi="Verdana" w:cs="Arial"/>
          <w:sz w:val="20"/>
          <w:lang w:val="es-MX" w:eastAsia="es-ES"/>
        </w:rPr>
        <w:lastRenderedPageBreak/>
        <w:t>bienes están destinados al uso de los habitantes de un territorio, el Estado no puede disponer de ellos por encontrarse fuera del comercio.</w:t>
      </w:r>
      <w:r w:rsidRPr="00DB2AC7">
        <w:rPr>
          <w:rFonts w:ascii="Verdana" w:hAnsi="Verdana" w:cs="Arial"/>
          <w:sz w:val="20"/>
          <w:vertAlign w:val="superscript"/>
          <w:lang w:val="es-MX" w:eastAsia="es-ES"/>
        </w:rPr>
        <w:t xml:space="preserve"> </w:t>
      </w:r>
      <w:r w:rsidRPr="00DB2AC7">
        <w:rPr>
          <w:rFonts w:ascii="Verdana" w:hAnsi="Verdana" w:cs="Arial"/>
          <w:sz w:val="20"/>
          <w:lang w:val="es-MX" w:eastAsia="es-ES"/>
        </w:rPr>
        <w:t>En ese orden de ideas, los bienes sobre los cuales puede recaer el acto de enajenación son los bienes fiscales muebles o inmuebles y no los bienes de uso público.</w:t>
      </w:r>
    </w:p>
    <w:p w14:paraId="25C642F3" w14:textId="77777777" w:rsidR="009B5FC5" w:rsidRPr="00DB2AC7" w:rsidRDefault="009B5FC5" w:rsidP="00DB2AC7">
      <w:pPr>
        <w:spacing w:after="0" w:line="240" w:lineRule="auto"/>
        <w:jc w:val="both"/>
        <w:rPr>
          <w:rFonts w:ascii="Verdana" w:hAnsi="Verdana" w:cs="Arial"/>
          <w:sz w:val="20"/>
          <w:lang w:val="es-ES" w:eastAsia="es-ES"/>
        </w:rPr>
      </w:pPr>
    </w:p>
    <w:p w14:paraId="4DE83E34" w14:textId="7B4E60E3" w:rsidR="00DB2AC7" w:rsidRPr="00DB2AC7" w:rsidRDefault="00DB2AC7" w:rsidP="00DB2AC7">
      <w:pPr>
        <w:spacing w:after="0"/>
        <w:rPr>
          <w:rFonts w:ascii="Verdana" w:hAnsi="Verdana"/>
          <w:b/>
        </w:rPr>
      </w:pPr>
      <w:r w:rsidRPr="00DB2AC7">
        <w:rPr>
          <w:rFonts w:ascii="Verdana" w:hAnsi="Verdana" w:cs="Arial"/>
          <w:b/>
          <w:lang w:val="es-ES" w:eastAsia="es-ES"/>
        </w:rPr>
        <w:t>ENAJENACIÓN DE BIENES INMUEBLES – título gratuito -CISA – bienes inmuebles que no requieran para el ejercicio de funciones.</w:t>
      </w:r>
    </w:p>
    <w:p w14:paraId="0C96974B" w14:textId="77777777" w:rsidR="00DB2AC7" w:rsidRPr="00DB2AC7" w:rsidRDefault="00DB2AC7" w:rsidP="00570692">
      <w:pPr>
        <w:spacing w:after="0"/>
        <w:rPr>
          <w:rFonts w:ascii="Verdana" w:hAnsi="Verdana"/>
        </w:rPr>
      </w:pPr>
    </w:p>
    <w:p w14:paraId="6C459EF5" w14:textId="77777777" w:rsidR="009B5FC5" w:rsidRPr="009B5FC5" w:rsidRDefault="009B5FC5" w:rsidP="009B5FC5">
      <w:pPr>
        <w:spacing w:after="0" w:line="240" w:lineRule="auto"/>
        <w:jc w:val="both"/>
        <w:rPr>
          <w:rFonts w:ascii="Verdana" w:eastAsia="Arial" w:hAnsi="Verdana" w:cs="Arial"/>
          <w:color w:val="000000" w:themeColor="text1"/>
          <w:sz w:val="20"/>
          <w:szCs w:val="20"/>
          <w:lang w:val="es-ES"/>
        </w:rPr>
      </w:pPr>
      <w:r w:rsidRPr="009B5FC5">
        <w:rPr>
          <w:rFonts w:ascii="Verdana" w:eastAsia="Arial" w:hAnsi="Verdana" w:cs="Arial"/>
          <w:sz w:val="20"/>
          <w:szCs w:val="20"/>
        </w:rPr>
        <w:t>Al respecto, el artículo 2.2.1.2.2.1.3</w:t>
      </w:r>
      <w:r w:rsidRPr="009B5FC5">
        <w:rPr>
          <w:rFonts w:ascii="Verdana" w:eastAsia="Arial" w:hAnsi="Verdana" w:cs="Arial"/>
          <w:sz w:val="20"/>
          <w:szCs w:val="20"/>
          <w:lang w:val="es-ES"/>
        </w:rPr>
        <w:t xml:space="preserve"> del Decreto 1082 de 2015 estableció una regla particular según la cual </w:t>
      </w:r>
      <w:r w:rsidRPr="009B5FC5">
        <w:rPr>
          <w:rFonts w:ascii="Verdana" w:eastAsia="Arial" w:hAnsi="Verdana" w:cs="Arial"/>
          <w:sz w:val="20"/>
          <w:szCs w:val="20"/>
        </w:rPr>
        <w:t xml:space="preserve">la enajenación de bienes de las </w:t>
      </w:r>
      <w:r w:rsidRPr="009B5FC5">
        <w:rPr>
          <w:rFonts w:ascii="Verdana" w:eastAsia="Arial" w:hAnsi="Verdana" w:cs="Arial"/>
          <w:color w:val="000000" w:themeColor="text1"/>
          <w:sz w:val="20"/>
          <w:szCs w:val="20"/>
        </w:rPr>
        <w:t xml:space="preserve">entidades estatales del orden nacional a la Central de Inversiones CISA S. A., de que se refiere el artículo </w:t>
      </w:r>
      <w:hyperlink r:id="rId11" w:anchor="238" w:tooltip="vinculo" w:history="1">
        <w:r w:rsidRPr="009B5FC5">
          <w:rPr>
            <w:rFonts w:ascii="Verdana" w:eastAsia="Arial" w:hAnsi="Verdana" w:cs="Arial"/>
            <w:color w:val="000000" w:themeColor="text1"/>
            <w:sz w:val="20"/>
            <w:szCs w:val="20"/>
          </w:rPr>
          <w:t>238</w:t>
        </w:r>
      </w:hyperlink>
      <w:r w:rsidRPr="009B5FC5">
        <w:rPr>
          <w:rFonts w:ascii="Verdana" w:eastAsia="Arial" w:hAnsi="Verdana" w:cs="Arial"/>
          <w:color w:val="000000" w:themeColor="text1"/>
          <w:sz w:val="20"/>
          <w:szCs w:val="20"/>
        </w:rPr>
        <w:t xml:space="preserve"> de la Ley 1450 de 2011 y el Decreto </w:t>
      </w:r>
      <w:hyperlink r:id="rId12" w:anchor="0" w:tooltip="vinculo" w:history="1">
        <w:r w:rsidRPr="009B5FC5">
          <w:rPr>
            <w:rFonts w:ascii="Verdana" w:eastAsia="Arial" w:hAnsi="Verdana" w:cs="Arial"/>
            <w:color w:val="000000" w:themeColor="text1"/>
            <w:sz w:val="20"/>
            <w:szCs w:val="20"/>
          </w:rPr>
          <w:t>047</w:t>
        </w:r>
      </w:hyperlink>
      <w:r w:rsidRPr="009B5FC5">
        <w:rPr>
          <w:rFonts w:ascii="Verdana" w:eastAsia="Arial" w:hAnsi="Verdana" w:cs="Arial"/>
          <w:color w:val="000000" w:themeColor="text1"/>
          <w:sz w:val="20"/>
          <w:szCs w:val="20"/>
        </w:rPr>
        <w:t xml:space="preserve"> de 2014 y las normas que los modifiquen, adicionen o sustituyan, debe hacerse de conformidad con las reglas establecidas en tales normas.</w:t>
      </w:r>
      <w:r w:rsidRPr="009B5FC5">
        <w:rPr>
          <w:rFonts w:ascii="Verdana" w:eastAsia="Arial" w:hAnsi="Verdana" w:cs="Arial"/>
          <w:color w:val="000000" w:themeColor="text1"/>
          <w:sz w:val="20"/>
          <w:szCs w:val="20"/>
          <w:lang w:val="es-ES"/>
        </w:rPr>
        <w:t xml:space="preserve"> </w:t>
      </w:r>
    </w:p>
    <w:p w14:paraId="45F0065A" w14:textId="583069B0" w:rsidR="009B5FC5" w:rsidRPr="009B5FC5" w:rsidRDefault="009B5FC5" w:rsidP="009B5FC5">
      <w:pPr>
        <w:spacing w:after="0" w:line="240" w:lineRule="auto"/>
        <w:jc w:val="both"/>
        <w:rPr>
          <w:rFonts w:ascii="Verdana" w:eastAsia="Arial" w:hAnsi="Verdana" w:cs="Arial"/>
          <w:color w:val="000000" w:themeColor="text1"/>
          <w:sz w:val="20"/>
          <w:szCs w:val="20"/>
          <w:lang w:val="es-ES"/>
        </w:rPr>
      </w:pPr>
      <w:r w:rsidRPr="009B5FC5">
        <w:rPr>
          <w:rFonts w:ascii="Verdana" w:eastAsia="Arial" w:hAnsi="Verdana" w:cs="Arial"/>
          <w:color w:val="000000" w:themeColor="text1"/>
          <w:sz w:val="20"/>
          <w:szCs w:val="20"/>
          <w:lang w:val="es-ES"/>
        </w:rPr>
        <w:t xml:space="preserve">En esta línea, el artículo 238 de la Ley 1450 de 2011 modificado por el artículo 330 de la Ley 2294 de 2023, </w:t>
      </w:r>
      <w:r w:rsidRPr="009B5FC5">
        <w:rPr>
          <w:rFonts w:ascii="Verdana" w:eastAsia="Arial" w:hAnsi="Verdana" w:cs="Arial"/>
          <w:bCs/>
          <w:color w:val="000000" w:themeColor="text1"/>
          <w:sz w:val="20"/>
          <w:szCs w:val="20"/>
        </w:rPr>
        <w:t>por el cual se expide el Plan Nacional de Desarrollo 2022-2026 “Colombia Potencia Mundial de la Vida”</w:t>
      </w:r>
      <w:r w:rsidRPr="009B5FC5">
        <w:rPr>
          <w:rFonts w:ascii="Verdana" w:eastAsia="Arial" w:hAnsi="Verdana" w:cs="Arial"/>
          <w:color w:val="000000" w:themeColor="text1"/>
          <w:sz w:val="20"/>
          <w:szCs w:val="20"/>
          <w:lang w:val="es-ES"/>
        </w:rPr>
        <w:t xml:space="preserve"> dispone que todas las entidades públicas del orden nacional deben transferir a CISA, a título gratuito y por medio de un acto administrativo, los bienes inmuebles, participaciones accionarias y activos de su propiedad que no requieran para el ejercicio de sus funciones. Es decir, para efectos de la consulta, las entidades del orden nacional están en la obligación de transferir a CISA, a título gratuito los bienes inmuebles que no necesitan para el ejercicio de sus funciones como Administración Pública. Por otro lado, CISA podrá gestionarlos, comercializarlos o transferirlos a entidades públicas a título, ya sea gratuito u oneroso para el desarrollo de proyectos, según lo dispuesto por la ley. </w:t>
      </w:r>
    </w:p>
    <w:p w14:paraId="47FF7B93" w14:textId="77777777" w:rsidR="009B5FC5" w:rsidRPr="009B5FC5" w:rsidRDefault="009B5FC5" w:rsidP="009B5FC5">
      <w:pPr>
        <w:spacing w:after="0" w:line="240" w:lineRule="auto"/>
        <w:ind w:left="709" w:right="709"/>
        <w:jc w:val="both"/>
        <w:rPr>
          <w:rFonts w:ascii="Verdana" w:eastAsia="Arial" w:hAnsi="Verdana" w:cs="Arial"/>
          <w:color w:val="000000" w:themeColor="text1"/>
          <w:sz w:val="20"/>
          <w:szCs w:val="20"/>
          <w:lang w:val="es-ES"/>
        </w:rPr>
      </w:pPr>
    </w:p>
    <w:p w14:paraId="2F3482E8" w14:textId="720C32A8" w:rsidR="009B5FC5" w:rsidRPr="009B5FC5" w:rsidRDefault="009B5FC5" w:rsidP="009B5FC5">
      <w:pPr>
        <w:spacing w:after="0" w:line="240" w:lineRule="auto"/>
        <w:jc w:val="both"/>
        <w:rPr>
          <w:rFonts w:ascii="Verdana" w:eastAsia="Arial" w:hAnsi="Verdana" w:cs="Arial"/>
          <w:color w:val="000000" w:themeColor="text1"/>
          <w:sz w:val="20"/>
          <w:szCs w:val="20"/>
        </w:rPr>
      </w:pPr>
      <w:r w:rsidRPr="009B5FC5">
        <w:rPr>
          <w:rFonts w:ascii="Verdana" w:eastAsia="Arial" w:hAnsi="Verdana" w:cs="Arial"/>
          <w:color w:val="000000" w:themeColor="text1"/>
          <w:sz w:val="20"/>
          <w:szCs w:val="20"/>
          <w:lang w:val="es-ES"/>
        </w:rPr>
        <w:t xml:space="preserve">A su vez, </w:t>
      </w:r>
      <w:r w:rsidRPr="009B5FC5">
        <w:rPr>
          <w:rFonts w:ascii="Verdana" w:eastAsia="Arial" w:hAnsi="Verdana" w:cs="Arial"/>
          <w:color w:val="000000" w:themeColor="text1"/>
          <w:sz w:val="20"/>
          <w:szCs w:val="20"/>
        </w:rPr>
        <w:t xml:space="preserve">el artículo 2.2.1.2.2.1.4 </w:t>
      </w:r>
      <w:r w:rsidRPr="009B5FC5">
        <w:rPr>
          <w:rFonts w:ascii="Verdana" w:eastAsia="Arial" w:hAnsi="Verdana" w:cs="Arial"/>
          <w:iCs/>
          <w:color w:val="000000" w:themeColor="text1"/>
          <w:sz w:val="20"/>
          <w:szCs w:val="20"/>
        </w:rPr>
        <w:t>del Decreto 1082 de 2015</w:t>
      </w:r>
      <w:r w:rsidRPr="009B5FC5">
        <w:rPr>
          <w:rFonts w:ascii="Verdana" w:eastAsia="Arial" w:hAnsi="Verdana" w:cs="Arial"/>
          <w:i/>
          <w:iCs/>
          <w:color w:val="000000" w:themeColor="text1"/>
          <w:sz w:val="20"/>
          <w:szCs w:val="20"/>
        </w:rPr>
        <w:t xml:space="preserve"> </w:t>
      </w:r>
      <w:r w:rsidRPr="009B5FC5">
        <w:rPr>
          <w:rFonts w:ascii="Verdana" w:eastAsia="Arial" w:hAnsi="Verdana" w:cs="Arial"/>
          <w:color w:val="000000" w:themeColor="text1"/>
          <w:sz w:val="20"/>
          <w:szCs w:val="20"/>
        </w:rPr>
        <w:t>determinó que cuando</w:t>
      </w:r>
      <w:r w:rsidRPr="009B5FC5">
        <w:rPr>
          <w:rFonts w:ascii="Verdana" w:eastAsia="Calibri" w:hAnsi="Verdana" w:cs="Times New Roman"/>
          <w:color w:val="333333"/>
          <w:sz w:val="20"/>
          <w:szCs w:val="20"/>
          <w:shd w:val="clear" w:color="auto" w:fill="FFFFFF"/>
        </w:rPr>
        <w:t xml:space="preserve"> </w:t>
      </w:r>
      <w:r w:rsidRPr="009B5FC5">
        <w:rPr>
          <w:rFonts w:ascii="Verdana" w:eastAsia="Arial" w:hAnsi="Verdana" w:cs="Arial"/>
          <w:color w:val="000000" w:themeColor="text1"/>
          <w:sz w:val="20"/>
          <w:szCs w:val="20"/>
        </w:rPr>
        <w:t>las Entidades Estatales no están obligadas a cumplir con la transferencia de los bienes que no use, a la CISA S.A. pueden realizar directamente la enajenación, o contratar para ello promotores, bancas de inversión, martillos, comisionistas de bolsas de bienes y productos, o cualquier otro intermediario idóneo, según corresponda al tipo de bien a enajenar.</w:t>
      </w:r>
      <w:r w:rsidRPr="009B5FC5">
        <w:rPr>
          <w:rFonts w:ascii="Verdana" w:eastAsia="Calibri" w:hAnsi="Verdana" w:cs="Times New Roman"/>
          <w:b/>
          <w:bCs/>
          <w:color w:val="333333"/>
          <w:sz w:val="20"/>
          <w:szCs w:val="20"/>
          <w:shd w:val="clear" w:color="auto" w:fill="FFFFFF"/>
          <w:lang w:val="es-MX"/>
        </w:rPr>
        <w:t xml:space="preserve"> </w:t>
      </w:r>
    </w:p>
    <w:p w14:paraId="16065516" w14:textId="77777777" w:rsidR="009B5FC5" w:rsidRDefault="009B5FC5" w:rsidP="009B5FC5">
      <w:pPr>
        <w:spacing w:after="0" w:line="240" w:lineRule="auto"/>
        <w:jc w:val="both"/>
        <w:rPr>
          <w:rFonts w:ascii="Verdana" w:eastAsia="Arial" w:hAnsi="Verdana" w:cs="Arial"/>
          <w:color w:val="000000" w:themeColor="text1"/>
          <w:sz w:val="20"/>
          <w:szCs w:val="20"/>
        </w:rPr>
      </w:pPr>
    </w:p>
    <w:p w14:paraId="0C8EC338" w14:textId="094ACF7B" w:rsidR="009B5FC5" w:rsidRPr="009B5FC5" w:rsidRDefault="009B5FC5" w:rsidP="009B5FC5">
      <w:pPr>
        <w:spacing w:after="0" w:line="240" w:lineRule="auto"/>
        <w:jc w:val="both"/>
        <w:rPr>
          <w:rFonts w:ascii="Verdana" w:eastAsia="Arial" w:hAnsi="Verdana" w:cs="Arial"/>
          <w:color w:val="000000" w:themeColor="text1"/>
          <w:sz w:val="20"/>
          <w:szCs w:val="20"/>
          <w:lang w:val="es-ES"/>
        </w:rPr>
      </w:pPr>
      <w:r w:rsidRPr="009B5FC5">
        <w:rPr>
          <w:rFonts w:ascii="Verdana" w:eastAsia="Arial" w:hAnsi="Verdana" w:cs="Arial"/>
          <w:color w:val="000000" w:themeColor="text1"/>
          <w:sz w:val="20"/>
          <w:szCs w:val="20"/>
        </w:rPr>
        <w:t xml:space="preserve">En este sentido, para la enajenación de los bienes del Estado las entidades del orden nacional deben realizar una revisión para determinar si les resulta aplicable el supuesto de transferencia de bienes a CISA S.A. y en caso de que se cumpla dicho supuesto, deberán </w:t>
      </w:r>
      <w:r w:rsidRPr="009B5FC5">
        <w:rPr>
          <w:rFonts w:ascii="Verdana" w:eastAsia="Arial" w:hAnsi="Verdana" w:cs="Arial"/>
          <w:color w:val="000000" w:themeColor="text1"/>
          <w:sz w:val="20"/>
          <w:szCs w:val="20"/>
          <w:lang w:val="es-ES"/>
        </w:rPr>
        <w:t>a título gratuito y mediante un acto administrativo, los bienes inmuebles, participaciones accionarias y activos de su propiedad que no requieran para el ejercicio de sus funciones.</w:t>
      </w:r>
    </w:p>
    <w:p w14:paraId="4D790F04" w14:textId="77777777" w:rsidR="00DB2AC7" w:rsidRPr="009B5FC5" w:rsidRDefault="00DB2AC7" w:rsidP="00570692">
      <w:pPr>
        <w:spacing w:after="0"/>
        <w:rPr>
          <w:rFonts w:ascii="Verdana" w:hAnsi="Verdana"/>
          <w:lang w:val="es-ES"/>
        </w:rPr>
      </w:pPr>
    </w:p>
    <w:p w14:paraId="32AFFFCB" w14:textId="77CE08C2" w:rsidR="00DB2AC7" w:rsidRDefault="00DB2AC7" w:rsidP="00570692">
      <w:pPr>
        <w:spacing w:after="0"/>
        <w:rPr>
          <w:rFonts w:ascii="Verdana" w:hAnsi="Verdana"/>
        </w:rPr>
      </w:pPr>
    </w:p>
    <w:p w14:paraId="3632E0D4" w14:textId="50A95729" w:rsidR="009B5FC5" w:rsidRDefault="009B5FC5" w:rsidP="00570692">
      <w:pPr>
        <w:spacing w:after="0"/>
        <w:rPr>
          <w:rFonts w:ascii="Verdana" w:hAnsi="Verdana"/>
        </w:rPr>
      </w:pPr>
    </w:p>
    <w:p w14:paraId="0B819757" w14:textId="5C297EEE" w:rsidR="009B5FC5" w:rsidRDefault="009B5FC5" w:rsidP="00570692">
      <w:pPr>
        <w:spacing w:after="0"/>
        <w:rPr>
          <w:rFonts w:ascii="Verdana" w:hAnsi="Verdana"/>
        </w:rPr>
      </w:pPr>
    </w:p>
    <w:p w14:paraId="0A5CD88E" w14:textId="2E223061" w:rsidR="07EDAB2A" w:rsidRDefault="07EDAB2A" w:rsidP="07EDAB2A">
      <w:pPr>
        <w:spacing w:after="0"/>
        <w:rPr>
          <w:rFonts w:ascii="Verdana" w:hAnsi="Verdana"/>
        </w:rPr>
      </w:pPr>
    </w:p>
    <w:p w14:paraId="53DAA8FF" w14:textId="399DF0F7" w:rsidR="07EDAB2A" w:rsidRDefault="07EDAB2A" w:rsidP="07EDAB2A">
      <w:pPr>
        <w:spacing w:after="0"/>
        <w:rPr>
          <w:rFonts w:ascii="Verdana" w:hAnsi="Verdana"/>
        </w:rPr>
      </w:pPr>
    </w:p>
    <w:p w14:paraId="244E7BC1" w14:textId="5CD305B2" w:rsidR="07EDAB2A" w:rsidRDefault="07EDAB2A" w:rsidP="07EDAB2A">
      <w:pPr>
        <w:spacing w:after="0"/>
        <w:rPr>
          <w:rFonts w:ascii="Verdana" w:hAnsi="Verdana"/>
        </w:rPr>
      </w:pPr>
    </w:p>
    <w:p w14:paraId="74994D09" w14:textId="3B261E53" w:rsidR="07EDAB2A" w:rsidRDefault="07EDAB2A" w:rsidP="07EDAB2A">
      <w:pPr>
        <w:spacing w:after="0"/>
        <w:rPr>
          <w:rFonts w:ascii="Verdana" w:hAnsi="Verdana"/>
        </w:rPr>
      </w:pPr>
    </w:p>
    <w:p w14:paraId="66C2DC2B" w14:textId="21DE3EC1" w:rsidR="07EDAB2A" w:rsidRDefault="07EDAB2A" w:rsidP="07EDAB2A">
      <w:pPr>
        <w:spacing w:after="0"/>
        <w:rPr>
          <w:rFonts w:ascii="Verdana" w:hAnsi="Verdana"/>
        </w:rPr>
      </w:pPr>
    </w:p>
    <w:p w14:paraId="6A7692A0" w14:textId="284C597E" w:rsidR="07EDAB2A" w:rsidRDefault="07EDAB2A" w:rsidP="07EDAB2A">
      <w:pPr>
        <w:spacing w:after="0"/>
        <w:rPr>
          <w:rFonts w:ascii="Verdana" w:hAnsi="Verdana"/>
        </w:rPr>
      </w:pPr>
    </w:p>
    <w:p w14:paraId="12AF7327" w14:textId="73A91E38" w:rsidR="07EDAB2A" w:rsidRDefault="07EDAB2A" w:rsidP="07EDAB2A">
      <w:pPr>
        <w:spacing w:after="0"/>
        <w:rPr>
          <w:rFonts w:ascii="Verdana" w:hAnsi="Verdana"/>
        </w:rPr>
      </w:pPr>
    </w:p>
    <w:p w14:paraId="04AA5D59" w14:textId="5119C79B" w:rsidR="07EDAB2A" w:rsidRDefault="07EDAB2A" w:rsidP="07EDAB2A">
      <w:pPr>
        <w:spacing w:after="0"/>
        <w:rPr>
          <w:rFonts w:ascii="Verdana" w:hAnsi="Verdana"/>
        </w:rPr>
      </w:pPr>
    </w:p>
    <w:p w14:paraId="753B9DC3" w14:textId="3BD49868" w:rsidR="07EDAB2A" w:rsidRDefault="07EDAB2A" w:rsidP="07EDAB2A">
      <w:pPr>
        <w:spacing w:after="0"/>
        <w:rPr>
          <w:rFonts w:ascii="Verdana" w:hAnsi="Verdana"/>
        </w:rPr>
      </w:pPr>
    </w:p>
    <w:p w14:paraId="6DDCE0F8" w14:textId="48B5170C" w:rsidR="07EDAB2A" w:rsidRDefault="07EDAB2A" w:rsidP="07EDAB2A">
      <w:pPr>
        <w:spacing w:after="0"/>
        <w:rPr>
          <w:rFonts w:ascii="Verdana" w:hAnsi="Verdana"/>
        </w:rPr>
      </w:pPr>
    </w:p>
    <w:p w14:paraId="276CF316" w14:textId="437F797C" w:rsidR="07EDAB2A" w:rsidRDefault="07EDAB2A" w:rsidP="07EDAB2A">
      <w:pPr>
        <w:spacing w:after="0"/>
        <w:rPr>
          <w:rFonts w:ascii="Verdana" w:hAnsi="Verdana"/>
        </w:rPr>
      </w:pPr>
    </w:p>
    <w:p w14:paraId="12EAE0DD" w14:textId="2DA1C930" w:rsidR="00570692" w:rsidRPr="0044528D" w:rsidRDefault="00DB2AC7" w:rsidP="00570692">
      <w:pPr>
        <w:spacing w:after="0"/>
        <w:rPr>
          <w:rFonts w:ascii="Verdana" w:hAnsi="Verdana"/>
        </w:rPr>
      </w:pPr>
      <w:r>
        <w:rPr>
          <w:rFonts w:ascii="Verdana" w:hAnsi="Verdana"/>
        </w:rPr>
        <w:t>Bogotá D.C., 2 de julio de 2025</w:t>
      </w:r>
    </w:p>
    <w:p w14:paraId="3AFFCFFF" w14:textId="16AFA717" w:rsidR="00570692" w:rsidRPr="00341565" w:rsidRDefault="00570692" w:rsidP="00570692">
      <w:pPr>
        <w:spacing w:after="0" w:line="256" w:lineRule="auto"/>
      </w:pPr>
    </w:p>
    <w:p w14:paraId="765E3663" w14:textId="37ECBB92" w:rsidR="00570692" w:rsidRPr="00341565" w:rsidRDefault="00AD7886" w:rsidP="00570692">
      <w:pPr>
        <w:spacing w:after="0" w:line="256" w:lineRule="auto"/>
      </w:pPr>
      <w:r>
        <w:rPr>
          <w:noProof/>
        </w:rPr>
        <w:drawing>
          <wp:anchor distT="0" distB="0" distL="114300" distR="114300" simplePos="0" relativeHeight="251658240" behindDoc="1" locked="0" layoutInCell="1" allowOverlap="1" wp14:anchorId="0DA176A9" wp14:editId="6C6EB767">
            <wp:simplePos x="0" y="0"/>
            <wp:positionH relativeFrom="column">
              <wp:posOffset>3101340</wp:posOffset>
            </wp:positionH>
            <wp:positionV relativeFrom="paragraph">
              <wp:posOffset>11430</wp:posOffset>
            </wp:positionV>
            <wp:extent cx="3047365" cy="843915"/>
            <wp:effectExtent l="0" t="0" r="635" b="0"/>
            <wp:wrapTight wrapText="bothSides">
              <wp:wrapPolygon edited="0">
                <wp:start x="0" y="0"/>
                <wp:lineTo x="0" y="20966"/>
                <wp:lineTo x="21469" y="20966"/>
                <wp:lineTo x="21469" y="0"/>
                <wp:lineTo x="0" y="0"/>
              </wp:wrapPolygon>
            </wp:wrapTight>
            <wp:docPr id="8685590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7365" cy="843915"/>
                    </a:xfrm>
                    <a:prstGeom prst="rect">
                      <a:avLst/>
                    </a:prstGeom>
                    <a:noFill/>
                    <a:ln>
                      <a:noFill/>
                    </a:ln>
                  </pic:spPr>
                </pic:pic>
              </a:graphicData>
            </a:graphic>
          </wp:anchor>
        </w:drawing>
      </w:r>
    </w:p>
    <w:p w14:paraId="57C13F3C" w14:textId="3D4FC2B0" w:rsidR="00570692" w:rsidRPr="00341565" w:rsidRDefault="088C6528" w:rsidP="07EDAB2A">
      <w:pPr>
        <w:spacing w:after="0" w:line="256" w:lineRule="auto"/>
        <w:rPr>
          <w:rFonts w:ascii="Verdana" w:hAnsi="Verdana"/>
        </w:rPr>
      </w:pPr>
      <w:r>
        <w:t xml:space="preserve">                                                                                    </w:t>
      </w:r>
      <w:r w:rsidR="32A152E6">
        <w:t xml:space="preserve"> </w:t>
      </w:r>
    </w:p>
    <w:p w14:paraId="2BA3C1C1" w14:textId="03DBEDB0" w:rsidR="00570692" w:rsidRDefault="00570692" w:rsidP="00570692">
      <w:pPr>
        <w:spacing w:after="0" w:line="256" w:lineRule="auto"/>
        <w:rPr>
          <w:rFonts w:ascii="Verdana" w:eastAsia="Calibri" w:hAnsi="Verdana" w:cs="Times New Roman"/>
        </w:rPr>
      </w:pPr>
    </w:p>
    <w:p w14:paraId="260F741F" w14:textId="57ADB5AF" w:rsidR="00DB2AC7" w:rsidRPr="00341565" w:rsidRDefault="00DB2AC7" w:rsidP="00570692">
      <w:pPr>
        <w:spacing w:after="0" w:line="256" w:lineRule="auto"/>
        <w:rPr>
          <w:rFonts w:ascii="Verdana" w:eastAsia="Calibri" w:hAnsi="Verdana" w:cs="Times New Roman"/>
        </w:rPr>
      </w:pPr>
    </w:p>
    <w:p w14:paraId="13E57D04" w14:textId="25824446" w:rsidR="00570692" w:rsidRPr="00AD7886" w:rsidRDefault="00AD7886" w:rsidP="07EDAB2A">
      <w:pPr>
        <w:spacing w:after="0" w:line="240" w:lineRule="auto"/>
        <w:rPr>
          <w:rFonts w:ascii="Verdana" w:eastAsia="Calibri" w:hAnsi="Verdana" w:cs="Times New Roman"/>
          <w:lang w:val="es-MX"/>
        </w:rPr>
      </w:pPr>
      <w:r>
        <w:rPr>
          <w:noProof/>
        </w:rPr>
        <w:drawing>
          <wp:anchor distT="0" distB="0" distL="114300" distR="114300" simplePos="0" relativeHeight="251659264" behindDoc="1" locked="0" layoutInCell="1" allowOverlap="1" wp14:anchorId="5777650E" wp14:editId="3723B538">
            <wp:simplePos x="0" y="0"/>
            <wp:positionH relativeFrom="column">
              <wp:posOffset>3129915</wp:posOffset>
            </wp:positionH>
            <wp:positionV relativeFrom="paragraph">
              <wp:posOffset>133985</wp:posOffset>
            </wp:positionV>
            <wp:extent cx="3018790" cy="778510"/>
            <wp:effectExtent l="0" t="0" r="0" b="2540"/>
            <wp:wrapTight wrapText="bothSides">
              <wp:wrapPolygon edited="0">
                <wp:start x="0" y="0"/>
                <wp:lineTo x="0" y="21142"/>
                <wp:lineTo x="21400" y="21142"/>
                <wp:lineTo x="21400" y="0"/>
                <wp:lineTo x="0" y="0"/>
              </wp:wrapPolygon>
            </wp:wrapTight>
            <wp:docPr id="8207018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8790" cy="778510"/>
                    </a:xfrm>
                    <a:prstGeom prst="rect">
                      <a:avLst/>
                    </a:prstGeom>
                    <a:noFill/>
                    <a:ln>
                      <a:noFill/>
                    </a:ln>
                  </pic:spPr>
                </pic:pic>
              </a:graphicData>
            </a:graphic>
            <wp14:sizeRelH relativeFrom="margin">
              <wp14:pctWidth>0</wp14:pctWidth>
            </wp14:sizeRelH>
          </wp:anchor>
        </w:drawing>
      </w:r>
      <w:r w:rsidR="00570692" w:rsidRPr="07EDAB2A">
        <w:rPr>
          <w:rFonts w:ascii="Verdana" w:eastAsia="Calibri" w:hAnsi="Verdana" w:cs="Times New Roman"/>
          <w:lang w:val="es-MX"/>
        </w:rPr>
        <w:t>Doctora</w:t>
      </w:r>
    </w:p>
    <w:p w14:paraId="54EAB977" w14:textId="68810270" w:rsidR="00570692" w:rsidRPr="00341565" w:rsidRDefault="00570692" w:rsidP="07EDAB2A">
      <w:pPr>
        <w:spacing w:after="0" w:line="240" w:lineRule="auto"/>
        <w:rPr>
          <w:rFonts w:ascii="Verdana" w:eastAsia="Calibri" w:hAnsi="Verdana" w:cs="Times New Roman"/>
          <w:b/>
          <w:bCs/>
          <w:lang w:val="es-MX"/>
        </w:rPr>
      </w:pPr>
      <w:r w:rsidRPr="07EDAB2A">
        <w:rPr>
          <w:rFonts w:ascii="Verdana" w:eastAsia="Calibri" w:hAnsi="Verdana" w:cs="Times New Roman"/>
          <w:b/>
          <w:bCs/>
          <w:lang w:val="es-MX"/>
        </w:rPr>
        <w:t>Ángela María Navarro</w:t>
      </w:r>
    </w:p>
    <w:p w14:paraId="00E1590A" w14:textId="77777777" w:rsidR="00DB2AC7" w:rsidRDefault="00DB2AC7" w:rsidP="00570692">
      <w:pPr>
        <w:spacing w:after="0" w:line="240" w:lineRule="auto"/>
        <w:rPr>
          <w:rFonts w:ascii="Verdana" w:eastAsia="Calibri" w:hAnsi="Verdana" w:cs="Times New Roman"/>
        </w:rPr>
      </w:pPr>
      <w:r>
        <w:rPr>
          <w:rFonts w:ascii="Verdana" w:eastAsia="Calibri" w:hAnsi="Verdana" w:cs="Times New Roman"/>
        </w:rPr>
        <w:t>Directora de Infraestructura</w:t>
      </w:r>
    </w:p>
    <w:p w14:paraId="4BD9FC0C" w14:textId="45BD7ABD" w:rsidR="00570692" w:rsidRPr="00341565" w:rsidRDefault="00570692" w:rsidP="00570692">
      <w:pPr>
        <w:spacing w:after="0" w:line="240" w:lineRule="auto"/>
        <w:rPr>
          <w:rFonts w:ascii="Verdana" w:eastAsia="Calibri" w:hAnsi="Verdana" w:cs="Times New Roman"/>
        </w:rPr>
      </w:pPr>
      <w:r w:rsidRPr="00341565">
        <w:rPr>
          <w:rFonts w:ascii="Verdana" w:eastAsia="Calibri" w:hAnsi="Verdana" w:cs="Times New Roman"/>
        </w:rPr>
        <w:t>Bienes y Servicios</w:t>
      </w:r>
    </w:p>
    <w:p w14:paraId="04A72ED5" w14:textId="4FC28D93" w:rsidR="00570692" w:rsidRPr="00341565" w:rsidRDefault="00570692" w:rsidP="00570692">
      <w:pPr>
        <w:spacing w:after="0" w:line="240" w:lineRule="auto"/>
        <w:rPr>
          <w:rFonts w:ascii="Verdana" w:eastAsia="Calibri" w:hAnsi="Verdana" w:cs="Times New Roman"/>
        </w:rPr>
      </w:pPr>
      <w:r w:rsidRPr="00341565">
        <w:rPr>
          <w:rFonts w:ascii="Verdana" w:eastAsia="Calibri" w:hAnsi="Verdana" w:cs="Times New Roman"/>
        </w:rPr>
        <w:t>Contraloría General de la República</w:t>
      </w:r>
    </w:p>
    <w:p w14:paraId="1CBC4605" w14:textId="1DC93DFB" w:rsidR="00570692" w:rsidRPr="00341565" w:rsidRDefault="00570692" w:rsidP="00570692">
      <w:pPr>
        <w:spacing w:after="0" w:line="240" w:lineRule="auto"/>
        <w:rPr>
          <w:rFonts w:ascii="Verdana" w:eastAsia="Calibri" w:hAnsi="Verdana" w:cs="Times New Roman"/>
        </w:rPr>
      </w:pPr>
      <w:hyperlink r:id="rId15" w:history="1">
        <w:r w:rsidRPr="00341565">
          <w:rPr>
            <w:rFonts w:ascii="Verdana" w:eastAsia="Calibri" w:hAnsi="Verdana" w:cs="Times New Roman"/>
            <w:color w:val="0000FF"/>
            <w:u w:val="single"/>
          </w:rPr>
          <w:t>cgr@contraloria.gov.co</w:t>
        </w:r>
      </w:hyperlink>
      <w:r w:rsidRPr="00341565">
        <w:rPr>
          <w:rFonts w:ascii="Verdana" w:eastAsia="Calibri" w:hAnsi="Verdana" w:cs="Times New Roman"/>
        </w:rPr>
        <w:t xml:space="preserve"> </w:t>
      </w:r>
    </w:p>
    <w:p w14:paraId="7DD700D5" w14:textId="77777777" w:rsidR="00570692" w:rsidRPr="00341565" w:rsidRDefault="00570692" w:rsidP="00570692">
      <w:pPr>
        <w:spacing w:after="0" w:line="254" w:lineRule="auto"/>
        <w:rPr>
          <w:rFonts w:ascii="Verdana" w:eastAsia="Calibri" w:hAnsi="Verdana" w:cs="Times New Roman"/>
        </w:rPr>
      </w:pPr>
    </w:p>
    <w:p w14:paraId="3C47F579" w14:textId="77777777" w:rsidR="00570692" w:rsidRPr="00341565" w:rsidRDefault="00570692" w:rsidP="00570692">
      <w:pPr>
        <w:spacing w:after="0" w:line="254" w:lineRule="auto"/>
        <w:rPr>
          <w:rFonts w:ascii="Verdana" w:eastAsia="Calibri" w:hAnsi="Verdana" w:cs="Times New Roman"/>
        </w:rPr>
      </w:pPr>
    </w:p>
    <w:p w14:paraId="2FA0F3CE" w14:textId="77777777" w:rsidR="00570692" w:rsidRPr="00341565" w:rsidRDefault="00570692" w:rsidP="00570692">
      <w:pPr>
        <w:spacing w:after="0" w:line="254" w:lineRule="auto"/>
        <w:rPr>
          <w:rFonts w:ascii="Verdana" w:eastAsia="Calibri" w:hAnsi="Verdana" w:cs="Times New Roman"/>
          <w:b/>
          <w:bCs/>
          <w:lang w:val="es-ES"/>
        </w:rPr>
      </w:pPr>
      <w:r w:rsidRPr="00341565">
        <w:rPr>
          <w:rFonts w:ascii="Verdana" w:eastAsia="Calibri" w:hAnsi="Verdana" w:cs="Times New Roman"/>
          <w:b/>
          <w:bCs/>
          <w:lang w:val="es-ES"/>
        </w:rPr>
        <w:t xml:space="preserve">                                    Concepto C–634 de 2025</w:t>
      </w:r>
    </w:p>
    <w:p w14:paraId="4CB5FF4D" w14:textId="77777777" w:rsidR="00570692" w:rsidRPr="00341565" w:rsidRDefault="00570692" w:rsidP="00570692">
      <w:pPr>
        <w:spacing w:after="0" w:line="254"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70692" w:rsidRPr="00341565" w14:paraId="5DC47117" w14:textId="77777777" w:rsidTr="00470607">
        <w:trPr>
          <w:trHeight w:val="645"/>
        </w:trPr>
        <w:tc>
          <w:tcPr>
            <w:tcW w:w="2685" w:type="dxa"/>
            <w:hideMark/>
          </w:tcPr>
          <w:p w14:paraId="7D10022A" w14:textId="77777777" w:rsidR="00570692" w:rsidRPr="00341565" w:rsidRDefault="00570692" w:rsidP="00470607">
            <w:pPr>
              <w:spacing w:line="254" w:lineRule="auto"/>
              <w:rPr>
                <w:rFonts w:ascii="Verdana" w:hAnsi="Verdana"/>
                <w:b/>
                <w:bCs/>
                <w:lang w:val="es-ES_tradnl"/>
              </w:rPr>
            </w:pPr>
            <w:r w:rsidRPr="00341565">
              <w:rPr>
                <w:rFonts w:ascii="Verdana" w:hAnsi="Verdana"/>
                <w:b/>
                <w:bCs/>
                <w:lang w:val="es-ES_tradnl"/>
              </w:rPr>
              <w:t xml:space="preserve">Temas:                   </w:t>
            </w:r>
          </w:p>
        </w:tc>
        <w:tc>
          <w:tcPr>
            <w:tcW w:w="6241" w:type="dxa"/>
            <w:hideMark/>
          </w:tcPr>
          <w:p w14:paraId="6A2FF340" w14:textId="77777777" w:rsidR="00570692" w:rsidRPr="00341565" w:rsidRDefault="00570692" w:rsidP="00470607">
            <w:pPr>
              <w:spacing w:line="276" w:lineRule="auto"/>
              <w:jc w:val="both"/>
              <w:rPr>
                <w:rFonts w:ascii="Verdana" w:hAnsi="Verdana" w:cs="Arial"/>
                <w:lang w:val="es-ES" w:eastAsia="es-ES"/>
              </w:rPr>
            </w:pPr>
            <w:r w:rsidRPr="00341565">
              <w:rPr>
                <w:rFonts w:ascii="Verdana" w:hAnsi="Verdana" w:cs="Arial"/>
                <w:lang w:val="es-ES" w:eastAsia="es-ES"/>
              </w:rPr>
              <w:t xml:space="preserve">ENAJENACIÓN – Bienes inmuebles – Bienes muebles / BIENES PÚBLICOS – Tipos / ENAJENACIÓN DE BIENES INMUEBLES – título gratuito -CISA – bienes inmuebles que no requieran para el ejercicio de funciones.   </w:t>
            </w:r>
          </w:p>
        </w:tc>
        <w:tc>
          <w:tcPr>
            <w:tcW w:w="6237" w:type="dxa"/>
          </w:tcPr>
          <w:p w14:paraId="4C93D0F7" w14:textId="77777777" w:rsidR="00570692" w:rsidRPr="00341565" w:rsidRDefault="00570692" w:rsidP="00470607">
            <w:pPr>
              <w:spacing w:line="254" w:lineRule="auto"/>
              <w:rPr>
                <w:rFonts w:ascii="Verdana" w:hAnsi="Verdana"/>
              </w:rPr>
            </w:pPr>
          </w:p>
        </w:tc>
      </w:tr>
      <w:tr w:rsidR="00570692" w:rsidRPr="00341565" w14:paraId="65532902" w14:textId="77777777" w:rsidTr="00470607">
        <w:tc>
          <w:tcPr>
            <w:tcW w:w="2685" w:type="dxa"/>
          </w:tcPr>
          <w:p w14:paraId="543365A2" w14:textId="77777777" w:rsidR="00570692" w:rsidRPr="00341565" w:rsidRDefault="00570692" w:rsidP="00470607">
            <w:pPr>
              <w:spacing w:line="254" w:lineRule="auto"/>
              <w:rPr>
                <w:rFonts w:ascii="Verdana" w:hAnsi="Verdana"/>
                <w:b/>
                <w:bCs/>
                <w:lang w:val="es-ES_tradnl"/>
              </w:rPr>
            </w:pPr>
          </w:p>
          <w:p w14:paraId="52CECF5E" w14:textId="77777777" w:rsidR="00570692" w:rsidRPr="00341565" w:rsidRDefault="00570692" w:rsidP="00470607">
            <w:pPr>
              <w:spacing w:line="254" w:lineRule="auto"/>
              <w:rPr>
                <w:rFonts w:ascii="Verdana" w:hAnsi="Verdana"/>
                <w:b/>
                <w:bCs/>
                <w:lang w:val="es-ES_tradnl"/>
              </w:rPr>
            </w:pPr>
          </w:p>
          <w:p w14:paraId="62F628FB" w14:textId="77777777" w:rsidR="00570692" w:rsidRPr="00341565" w:rsidRDefault="00570692" w:rsidP="00470607">
            <w:pPr>
              <w:spacing w:line="254" w:lineRule="auto"/>
              <w:rPr>
                <w:rFonts w:ascii="Verdana" w:hAnsi="Verdana"/>
                <w:b/>
                <w:bCs/>
                <w:lang w:val="es-ES_tradnl"/>
              </w:rPr>
            </w:pPr>
            <w:r w:rsidRPr="00341565">
              <w:rPr>
                <w:rFonts w:ascii="Verdana" w:hAnsi="Verdana"/>
                <w:b/>
                <w:bCs/>
                <w:lang w:val="es-ES_tradnl"/>
              </w:rPr>
              <w:t xml:space="preserve">Radicación:               </w:t>
            </w:r>
          </w:p>
        </w:tc>
        <w:tc>
          <w:tcPr>
            <w:tcW w:w="6241" w:type="dxa"/>
          </w:tcPr>
          <w:p w14:paraId="188F0B3D" w14:textId="77777777" w:rsidR="00570692" w:rsidRPr="00341565" w:rsidRDefault="00570692" w:rsidP="00470607">
            <w:pPr>
              <w:spacing w:line="256" w:lineRule="auto"/>
              <w:jc w:val="both"/>
              <w:rPr>
                <w:rFonts w:ascii="Verdana" w:hAnsi="Verdana"/>
                <w:lang w:val="es-ES_tradnl"/>
              </w:rPr>
            </w:pPr>
          </w:p>
          <w:p w14:paraId="42AEE5C6" w14:textId="77777777" w:rsidR="00570692" w:rsidRPr="00341565" w:rsidRDefault="00570692" w:rsidP="00470607">
            <w:pPr>
              <w:spacing w:line="256" w:lineRule="auto"/>
              <w:jc w:val="both"/>
              <w:rPr>
                <w:rFonts w:ascii="Verdana" w:hAnsi="Verdana"/>
                <w:lang w:val="es-ES_tradnl"/>
              </w:rPr>
            </w:pPr>
          </w:p>
          <w:p w14:paraId="4AB1A2C3" w14:textId="77777777" w:rsidR="00570692" w:rsidRPr="00341565" w:rsidRDefault="00570692" w:rsidP="00470607">
            <w:pPr>
              <w:spacing w:line="256" w:lineRule="auto"/>
              <w:jc w:val="both"/>
              <w:rPr>
                <w:rFonts w:ascii="Verdana" w:hAnsi="Verdana"/>
              </w:rPr>
            </w:pPr>
            <w:r w:rsidRPr="00341565">
              <w:rPr>
                <w:rFonts w:ascii="Verdana" w:hAnsi="Verdana"/>
                <w:lang w:val="es-ES_tradnl"/>
              </w:rPr>
              <w:t xml:space="preserve">Respuesta a consulta con radicado No. </w:t>
            </w:r>
            <w:r w:rsidRPr="00341565">
              <w:rPr>
                <w:rFonts w:ascii="Verdana" w:hAnsi="Verdana"/>
              </w:rPr>
              <w:t xml:space="preserve">P20250521004879 y P20250521004881 (acumulados) </w:t>
            </w:r>
          </w:p>
          <w:p w14:paraId="1BBDF7C5" w14:textId="77777777" w:rsidR="00570692" w:rsidRPr="00341565" w:rsidRDefault="00570692" w:rsidP="00470607">
            <w:pPr>
              <w:spacing w:line="256" w:lineRule="auto"/>
              <w:jc w:val="both"/>
              <w:rPr>
                <w:rFonts w:ascii="Verdana" w:hAnsi="Verdana"/>
              </w:rPr>
            </w:pPr>
          </w:p>
          <w:p w14:paraId="61D70DBE" w14:textId="77777777" w:rsidR="00570692" w:rsidRPr="00341565" w:rsidRDefault="00570692" w:rsidP="00470607">
            <w:pPr>
              <w:spacing w:line="256" w:lineRule="auto"/>
              <w:jc w:val="both"/>
              <w:rPr>
                <w:rFonts w:ascii="Verdana" w:hAnsi="Verdana"/>
              </w:rPr>
            </w:pPr>
          </w:p>
        </w:tc>
        <w:tc>
          <w:tcPr>
            <w:tcW w:w="6237" w:type="dxa"/>
          </w:tcPr>
          <w:p w14:paraId="12370F50" w14:textId="77777777" w:rsidR="00570692" w:rsidRPr="00341565" w:rsidRDefault="00570692" w:rsidP="00470607">
            <w:pPr>
              <w:spacing w:line="254" w:lineRule="auto"/>
              <w:rPr>
                <w:rFonts w:ascii="Verdana" w:hAnsi="Verdana"/>
                <w:lang w:val="es-ES_tradnl"/>
              </w:rPr>
            </w:pPr>
          </w:p>
        </w:tc>
      </w:tr>
    </w:tbl>
    <w:p w14:paraId="42590D5D" w14:textId="77777777" w:rsidR="00570692" w:rsidRPr="00341565" w:rsidRDefault="00570692" w:rsidP="00570692">
      <w:pPr>
        <w:spacing w:after="0" w:line="254" w:lineRule="auto"/>
        <w:rPr>
          <w:rFonts w:ascii="Verdana" w:eastAsia="Calibri" w:hAnsi="Verdana" w:cs="Times New Roman"/>
          <w:lang w:val="es-ES"/>
        </w:rPr>
      </w:pPr>
      <w:r w:rsidRPr="00341565">
        <w:rPr>
          <w:rFonts w:ascii="Verdana" w:eastAsia="Calibri" w:hAnsi="Verdana" w:cs="Times New Roman"/>
          <w:lang w:val="es-ES"/>
        </w:rPr>
        <w:t xml:space="preserve">Estimada Doctora Ángela: </w:t>
      </w:r>
    </w:p>
    <w:p w14:paraId="6D62883E" w14:textId="77777777" w:rsidR="00570692" w:rsidRPr="00341565" w:rsidRDefault="00570692" w:rsidP="00570692">
      <w:pPr>
        <w:spacing w:after="0" w:line="254" w:lineRule="auto"/>
        <w:rPr>
          <w:rFonts w:ascii="Verdana" w:eastAsia="Calibri" w:hAnsi="Verdana" w:cs="Times New Roman"/>
          <w:lang w:val="es-ES"/>
        </w:rPr>
      </w:pPr>
    </w:p>
    <w:p w14:paraId="78119C18" w14:textId="77777777" w:rsidR="00570692" w:rsidRPr="00341565" w:rsidRDefault="00570692" w:rsidP="00570692">
      <w:pPr>
        <w:spacing w:after="0" w:line="276" w:lineRule="auto"/>
        <w:jc w:val="both"/>
        <w:rPr>
          <w:rFonts w:ascii="Verdana" w:eastAsia="Calibri" w:hAnsi="Verdana" w:cs="Times New Roman"/>
        </w:rPr>
      </w:pPr>
      <w:r w:rsidRPr="00341565">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21 de mayo de 2025, en la cual manifiesta: </w:t>
      </w:r>
    </w:p>
    <w:p w14:paraId="569E425F" w14:textId="77777777" w:rsidR="00570692" w:rsidRPr="00341565" w:rsidRDefault="00570692" w:rsidP="00570692">
      <w:pPr>
        <w:spacing w:after="0" w:line="276" w:lineRule="auto"/>
        <w:jc w:val="both"/>
        <w:rPr>
          <w:rFonts w:ascii="Verdana" w:eastAsia="Calibri" w:hAnsi="Verdana" w:cs="Times New Roman"/>
        </w:rPr>
      </w:pPr>
    </w:p>
    <w:p w14:paraId="106527E2" w14:textId="77777777" w:rsidR="00570692" w:rsidRPr="00341565" w:rsidRDefault="00570692" w:rsidP="00570692">
      <w:pPr>
        <w:numPr>
          <w:ilvl w:val="0"/>
          <w:numId w:val="35"/>
        </w:numPr>
        <w:spacing w:after="0" w:line="240" w:lineRule="auto"/>
        <w:ind w:right="709"/>
        <w:contextualSpacing/>
        <w:jc w:val="both"/>
        <w:rPr>
          <w:rFonts w:ascii="Verdana" w:hAnsi="Verdana"/>
          <w:iCs/>
          <w:sz w:val="20"/>
          <w:lang w:val="es-ES"/>
        </w:rPr>
      </w:pPr>
      <w:r w:rsidRPr="00341565">
        <w:rPr>
          <w:rFonts w:ascii="Verdana" w:hAnsi="Verdana"/>
          <w:iCs/>
          <w:sz w:val="20"/>
          <w:lang w:val="es-ES"/>
        </w:rPr>
        <w:lastRenderedPageBreak/>
        <w:t>Cuáles serían las características y condiciones específicas de los bienes inmuebles que se pretende transferir</w:t>
      </w:r>
    </w:p>
    <w:p w14:paraId="13B7B5C3" w14:textId="77777777" w:rsidR="00570692" w:rsidRPr="00341565" w:rsidRDefault="00570692" w:rsidP="00570692">
      <w:pPr>
        <w:numPr>
          <w:ilvl w:val="0"/>
          <w:numId w:val="35"/>
        </w:numPr>
        <w:spacing w:after="0" w:line="240" w:lineRule="auto"/>
        <w:ind w:right="709"/>
        <w:contextualSpacing/>
        <w:jc w:val="both"/>
        <w:rPr>
          <w:rFonts w:ascii="Verdana" w:hAnsi="Verdana"/>
          <w:iCs/>
          <w:sz w:val="20"/>
          <w:lang w:val="es-ES"/>
        </w:rPr>
      </w:pPr>
      <w:r w:rsidRPr="00341565">
        <w:rPr>
          <w:rFonts w:ascii="Verdana" w:hAnsi="Verdana"/>
          <w:iCs/>
          <w:sz w:val="20"/>
          <w:lang w:val="es-ES"/>
        </w:rPr>
        <w:t xml:space="preserve">Es facultativo la entrega de bienes inmuebles en desuso mediante la suscripción de contrato oneroso. </w:t>
      </w:r>
    </w:p>
    <w:p w14:paraId="09C4B736" w14:textId="77777777" w:rsidR="00570692" w:rsidRPr="00341565" w:rsidRDefault="00570692" w:rsidP="00570692">
      <w:pPr>
        <w:numPr>
          <w:ilvl w:val="0"/>
          <w:numId w:val="35"/>
        </w:numPr>
        <w:spacing w:after="0" w:line="240" w:lineRule="auto"/>
        <w:ind w:right="709"/>
        <w:contextualSpacing/>
        <w:jc w:val="both"/>
        <w:rPr>
          <w:rFonts w:ascii="Verdana" w:hAnsi="Verdana"/>
          <w:iCs/>
          <w:sz w:val="20"/>
          <w:lang w:val="es-ES"/>
        </w:rPr>
      </w:pPr>
      <w:r w:rsidRPr="00341565">
        <w:rPr>
          <w:rFonts w:ascii="Verdana" w:hAnsi="Verdana"/>
          <w:iCs/>
          <w:sz w:val="20"/>
          <w:lang w:val="es-ES"/>
        </w:rPr>
        <w:t xml:space="preserve">Los recursos económicos resultante del negocio jurídico entre Central de Inversiones S.A. – CISA y la Contraloría General de la República ingresan al patrimonio de la CGR o al Tesoro Nacional teniendo en cuenta que aún persiste la necesidad de adquirir infraestructura física para la entidad. </w:t>
      </w:r>
    </w:p>
    <w:p w14:paraId="5AB53D06" w14:textId="77777777" w:rsidR="00570692" w:rsidRPr="00341565" w:rsidRDefault="00570692" w:rsidP="00570692">
      <w:pPr>
        <w:numPr>
          <w:ilvl w:val="0"/>
          <w:numId w:val="35"/>
        </w:numPr>
        <w:spacing w:after="0" w:line="240" w:lineRule="auto"/>
        <w:ind w:right="709"/>
        <w:contextualSpacing/>
        <w:jc w:val="both"/>
        <w:rPr>
          <w:rFonts w:ascii="Verdana" w:hAnsi="Verdana"/>
          <w:iCs/>
          <w:sz w:val="20"/>
          <w:lang w:val="es-ES"/>
        </w:rPr>
      </w:pPr>
      <w:r w:rsidRPr="00341565">
        <w:rPr>
          <w:rFonts w:ascii="Verdana" w:hAnsi="Verdana"/>
          <w:iCs/>
          <w:sz w:val="20"/>
          <w:lang w:val="es-ES"/>
        </w:rPr>
        <w:t xml:space="preserve">Al realizar la suscripción del contrato oneroso, cuáles serían los efectos para la Contraloría General de la República </w:t>
      </w:r>
    </w:p>
    <w:p w14:paraId="75F30809" w14:textId="77777777" w:rsidR="00570692" w:rsidRPr="00341565" w:rsidRDefault="00570692" w:rsidP="00570692">
      <w:pPr>
        <w:spacing w:after="120" w:line="276" w:lineRule="auto"/>
        <w:jc w:val="both"/>
        <w:rPr>
          <w:rFonts w:ascii="Verdana" w:eastAsia="Calibri" w:hAnsi="Verdana" w:cs="Times New Roman"/>
        </w:rPr>
      </w:pPr>
    </w:p>
    <w:p w14:paraId="078840F3" w14:textId="77777777" w:rsidR="00570692" w:rsidRPr="00341565" w:rsidRDefault="00570692" w:rsidP="00570692">
      <w:pPr>
        <w:spacing w:after="120" w:line="276" w:lineRule="auto"/>
        <w:ind w:firstLine="709"/>
        <w:jc w:val="both"/>
        <w:rPr>
          <w:rFonts w:ascii="Verdana" w:eastAsia="Calibri" w:hAnsi="Verdana" w:cs="Times New Roman"/>
          <w:lang w:val="es-ES"/>
        </w:rPr>
      </w:pPr>
      <w:r w:rsidRPr="00341565">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130718A" w14:textId="77777777" w:rsidR="00570692" w:rsidRPr="00341565" w:rsidRDefault="00570692" w:rsidP="00570692">
      <w:pPr>
        <w:spacing w:after="0" w:line="276" w:lineRule="auto"/>
        <w:ind w:firstLine="708"/>
        <w:jc w:val="both"/>
        <w:rPr>
          <w:rFonts w:ascii="Verdana" w:eastAsia="Calibri" w:hAnsi="Verdana" w:cs="Times New Roman"/>
          <w:lang w:val="es-ES"/>
        </w:rPr>
      </w:pPr>
      <w:r w:rsidRPr="00341565">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A8064A6" w14:textId="77777777" w:rsidR="00570692" w:rsidRPr="00341565" w:rsidRDefault="00570692" w:rsidP="00570692">
      <w:pPr>
        <w:spacing w:after="0" w:line="254" w:lineRule="auto"/>
        <w:rPr>
          <w:rFonts w:ascii="Verdana" w:eastAsia="Calibri" w:hAnsi="Verdana" w:cs="Times New Roman"/>
          <w:lang w:val="es-ES"/>
        </w:rPr>
      </w:pPr>
    </w:p>
    <w:p w14:paraId="7AA1D98A" w14:textId="77777777" w:rsidR="00570692" w:rsidRPr="00341565" w:rsidRDefault="00570692" w:rsidP="00570692">
      <w:pPr>
        <w:numPr>
          <w:ilvl w:val="0"/>
          <w:numId w:val="36"/>
        </w:numPr>
        <w:spacing w:after="0" w:line="254" w:lineRule="auto"/>
        <w:contextualSpacing/>
        <w:rPr>
          <w:rFonts w:ascii="Verdana" w:eastAsia="Calibri" w:hAnsi="Verdana" w:cs="Times New Roman"/>
          <w:b/>
          <w:bCs/>
          <w:lang w:val="es-ES"/>
        </w:rPr>
      </w:pPr>
      <w:r w:rsidRPr="00341565">
        <w:rPr>
          <w:rFonts w:ascii="Verdana" w:eastAsia="Calibri" w:hAnsi="Verdana" w:cs="Times New Roman"/>
          <w:b/>
          <w:bCs/>
          <w:lang w:val="es-ES"/>
        </w:rPr>
        <w:t>Problema planteado:</w:t>
      </w:r>
    </w:p>
    <w:p w14:paraId="2E238DE7" w14:textId="77777777" w:rsidR="00570692" w:rsidRPr="00341565" w:rsidRDefault="00570692" w:rsidP="00570692">
      <w:pPr>
        <w:spacing w:after="0" w:line="254" w:lineRule="auto"/>
        <w:rPr>
          <w:rFonts w:ascii="Verdana" w:eastAsia="Calibri" w:hAnsi="Verdana" w:cs="Times New Roman"/>
        </w:rPr>
      </w:pPr>
    </w:p>
    <w:p w14:paraId="250799AE" w14:textId="77777777" w:rsidR="00570692" w:rsidRPr="00341565" w:rsidRDefault="00570692" w:rsidP="00570692">
      <w:pPr>
        <w:spacing w:after="0" w:line="276" w:lineRule="auto"/>
        <w:jc w:val="both"/>
        <w:rPr>
          <w:rFonts w:ascii="Verdana" w:eastAsia="Calibri" w:hAnsi="Verdana" w:cs="Times New Roman"/>
          <w:i/>
          <w:iCs/>
          <w:lang w:val="es-ES"/>
        </w:rPr>
      </w:pPr>
      <w:r w:rsidRPr="00341565">
        <w:rPr>
          <w:rFonts w:ascii="Verdana" w:eastAsia="Calibri" w:hAnsi="Verdana" w:cs="Times New Roman"/>
        </w:rPr>
        <w:t xml:space="preserve">De acuerdo con el contenido de sus solicitudes, esta Agencia procede a condensar en el siguiente problema jurídico: ¿cuáles son las condiciones y requisitos que deben tenerse en cuenta para la enajenación de bienes inmuebles por las entidades públicas a CISA? </w:t>
      </w:r>
    </w:p>
    <w:p w14:paraId="2F9F7BFB" w14:textId="77777777" w:rsidR="00570692" w:rsidRPr="00341565" w:rsidRDefault="00570692" w:rsidP="00570692">
      <w:pPr>
        <w:spacing w:after="0" w:line="276" w:lineRule="auto"/>
        <w:jc w:val="both"/>
        <w:rPr>
          <w:rFonts w:ascii="Verdana" w:eastAsia="Calibri" w:hAnsi="Verdana" w:cs="Times New Roman"/>
          <w:i/>
          <w:iCs/>
          <w:lang w:val="es-ES"/>
        </w:rPr>
      </w:pPr>
    </w:p>
    <w:p w14:paraId="146428DF" w14:textId="77777777" w:rsidR="00570692" w:rsidRPr="00341565" w:rsidRDefault="00570692" w:rsidP="00570692">
      <w:pPr>
        <w:numPr>
          <w:ilvl w:val="0"/>
          <w:numId w:val="36"/>
        </w:numPr>
        <w:spacing w:after="0" w:line="254" w:lineRule="auto"/>
        <w:contextualSpacing/>
        <w:rPr>
          <w:rFonts w:ascii="Verdana" w:eastAsia="Calibri" w:hAnsi="Verdana" w:cs="Times New Roman"/>
          <w:b/>
          <w:bCs/>
          <w:lang w:val="es-ES"/>
        </w:rPr>
      </w:pPr>
      <w:r w:rsidRPr="00341565">
        <w:rPr>
          <w:rFonts w:ascii="Verdana" w:eastAsia="Calibri" w:hAnsi="Verdana" w:cs="Times New Roman"/>
          <w:b/>
          <w:bCs/>
          <w:lang w:val="es-ES"/>
        </w:rPr>
        <w:lastRenderedPageBreak/>
        <w:t>Respuesta:</w:t>
      </w:r>
    </w:p>
    <w:p w14:paraId="6180C0EF" w14:textId="77777777" w:rsidR="00570692" w:rsidRPr="00341565" w:rsidRDefault="00570692" w:rsidP="00570692">
      <w:pPr>
        <w:spacing w:after="0" w:line="276" w:lineRule="auto"/>
        <w:rPr>
          <w:rFonts w:ascii="Verdana" w:eastAsia="Calibri" w:hAnsi="Verdana" w:cs="Times New Roman"/>
          <w:b/>
          <w:bCs/>
          <w:lang w:val="es-ES"/>
        </w:rPr>
      </w:pPr>
    </w:p>
    <w:tbl>
      <w:tblPr>
        <w:tblStyle w:val="Tablaconcuadrcula1"/>
        <w:tblW w:w="8790" w:type="dxa"/>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90"/>
      </w:tblGrid>
      <w:tr w:rsidR="00570692" w:rsidRPr="00341565" w14:paraId="50FBDA84" w14:textId="77777777" w:rsidTr="00470607">
        <w:trPr>
          <w:trHeight w:val="345"/>
          <w:jc w:val="center"/>
        </w:trPr>
        <w:tc>
          <w:tcPr>
            <w:tcW w:w="8784" w:type="dxa"/>
            <w:tcBorders>
              <w:top w:val="dotted" w:sz="4" w:space="0" w:color="auto"/>
              <w:left w:val="dotted" w:sz="4" w:space="0" w:color="auto"/>
              <w:bottom w:val="single" w:sz="4" w:space="0" w:color="auto"/>
              <w:right w:val="dotted" w:sz="4" w:space="0" w:color="auto"/>
            </w:tcBorders>
            <w:hideMark/>
          </w:tcPr>
          <w:p w14:paraId="23768D6F" w14:textId="77777777" w:rsidR="00570692" w:rsidRPr="00341565" w:rsidRDefault="00570692" w:rsidP="00470607">
            <w:pPr>
              <w:spacing w:before="120" w:after="120" w:line="276" w:lineRule="auto"/>
              <w:jc w:val="both"/>
              <w:rPr>
                <w:rFonts w:ascii="Verdana" w:eastAsia="Times New Roman" w:hAnsi="Verdana" w:cs="Arial"/>
                <w:lang w:val="es-MX" w:eastAsia="es-CO"/>
              </w:rPr>
            </w:pPr>
            <w:r w:rsidRPr="00341565">
              <w:rPr>
                <w:rFonts w:ascii="Verdana" w:hAnsi="Verdana"/>
              </w:rPr>
              <w:t xml:space="preserve">En cuanto al problema jurídico, objeto de consulta, se precisa </w:t>
            </w:r>
            <w:r w:rsidRPr="00341565">
              <w:rPr>
                <w:rFonts w:ascii="Verdana" w:eastAsia="Times New Roman" w:hAnsi="Verdana" w:cs="Arial"/>
                <w:lang w:val="es-MX" w:eastAsia="es-CO"/>
              </w:rPr>
              <w:t xml:space="preserve">que </w:t>
            </w:r>
            <w:r w:rsidRPr="00341565">
              <w:rPr>
                <w:rFonts w:ascii="Verdana" w:eastAsia="Arial" w:hAnsi="Verdana" w:cs="Arial"/>
              </w:rPr>
              <w:t>el artículo 2.2.1.2.2.1.3</w:t>
            </w:r>
            <w:r w:rsidRPr="00341565">
              <w:rPr>
                <w:rFonts w:ascii="Verdana" w:eastAsia="Arial" w:hAnsi="Verdana" w:cs="Arial"/>
                <w:lang w:val="es-ES"/>
              </w:rPr>
              <w:t xml:space="preserve"> del Decreto 1082 de 2015 estableció una regla especial sobre </w:t>
            </w:r>
            <w:r w:rsidRPr="00341565">
              <w:rPr>
                <w:rFonts w:ascii="Verdana" w:eastAsia="Arial" w:hAnsi="Verdana" w:cs="Arial"/>
              </w:rPr>
              <w:t xml:space="preserve">la enajenación de bienes de las </w:t>
            </w:r>
            <w:r w:rsidRPr="00341565">
              <w:rPr>
                <w:rFonts w:ascii="Verdana" w:eastAsia="Arial" w:hAnsi="Verdana" w:cs="Arial"/>
                <w:color w:val="000000" w:themeColor="text1"/>
              </w:rPr>
              <w:t>entidades estatales del orden nacional a la Central de Inversiones CISA S. A., de que trata el artículo</w:t>
            </w:r>
            <w:r>
              <w:rPr>
                <w:rFonts w:ascii="Verdana" w:eastAsia="Arial" w:hAnsi="Verdana" w:cs="Arial"/>
                <w:color w:val="000000" w:themeColor="text1"/>
              </w:rPr>
              <w:t xml:space="preserve"> </w:t>
            </w:r>
            <w:hyperlink r:id="rId16" w:anchor="238" w:tooltip="vinculo" w:history="1">
              <w:r w:rsidRPr="00341565">
                <w:rPr>
                  <w:rFonts w:ascii="Verdana" w:eastAsia="Arial" w:hAnsi="Verdana" w:cs="Arial"/>
                  <w:color w:val="000000" w:themeColor="text1"/>
                </w:rPr>
                <w:t>238</w:t>
              </w:r>
            </w:hyperlink>
            <w:r>
              <w:rPr>
                <w:rFonts w:ascii="Verdana" w:eastAsia="Arial" w:hAnsi="Verdana" w:cs="Arial"/>
                <w:color w:val="000000" w:themeColor="text1"/>
              </w:rPr>
              <w:t xml:space="preserve"> </w:t>
            </w:r>
            <w:r w:rsidRPr="00341565">
              <w:rPr>
                <w:rFonts w:ascii="Verdana" w:eastAsia="Arial" w:hAnsi="Verdana" w:cs="Arial"/>
                <w:color w:val="000000" w:themeColor="text1"/>
              </w:rPr>
              <w:t xml:space="preserve">de la Ley 1450 de 2011 y el Decreto </w:t>
            </w:r>
            <w:hyperlink r:id="rId17" w:anchor="0" w:tooltip="vinculo" w:history="1">
              <w:r w:rsidRPr="00341565">
                <w:rPr>
                  <w:rFonts w:ascii="Verdana" w:eastAsia="Arial" w:hAnsi="Verdana" w:cs="Arial"/>
                  <w:color w:val="000000" w:themeColor="text1"/>
                </w:rPr>
                <w:t>047</w:t>
              </w:r>
            </w:hyperlink>
            <w:r w:rsidRPr="00341565">
              <w:rPr>
                <w:rFonts w:ascii="Verdana" w:eastAsia="Arial" w:hAnsi="Verdana" w:cs="Arial"/>
                <w:color w:val="000000" w:themeColor="text1"/>
              </w:rPr>
              <w:t xml:space="preserve"> de 2014 y las normas que los modifiquen, adicionen o sustituyan, debe hacerse de conformidad con las reglas establecidas en tales normas.</w:t>
            </w:r>
            <w:r w:rsidRPr="00341565">
              <w:rPr>
                <w:rFonts w:ascii="Verdana" w:eastAsia="Arial" w:hAnsi="Verdana" w:cs="Arial"/>
                <w:color w:val="000000" w:themeColor="text1"/>
                <w:lang w:val="es-ES"/>
              </w:rPr>
              <w:t xml:space="preserve"> </w:t>
            </w:r>
          </w:p>
          <w:p w14:paraId="161C916D" w14:textId="77777777" w:rsidR="00570692" w:rsidRPr="00341565" w:rsidRDefault="00570692" w:rsidP="00470607">
            <w:pPr>
              <w:spacing w:after="120" w:line="276" w:lineRule="auto"/>
              <w:ind w:firstLine="720"/>
              <w:jc w:val="both"/>
              <w:rPr>
                <w:rFonts w:ascii="Verdana" w:eastAsia="Arial" w:hAnsi="Verdana" w:cs="Arial"/>
                <w:color w:val="000000" w:themeColor="text1"/>
                <w:lang w:val="es-ES"/>
              </w:rPr>
            </w:pPr>
            <w:r w:rsidRPr="00341565">
              <w:rPr>
                <w:rFonts w:ascii="Verdana" w:eastAsia="Arial" w:hAnsi="Verdana" w:cs="Arial"/>
                <w:color w:val="000000" w:themeColor="text1"/>
                <w:lang w:val="es-ES"/>
              </w:rPr>
              <w:t xml:space="preserve">En esta línea, el artículo 238 de la Ley 1450 de 2011 modificado por el artículo 330 de la Ley 2294 de 2023, </w:t>
            </w:r>
            <w:r w:rsidRPr="00341565">
              <w:rPr>
                <w:rFonts w:ascii="Verdana" w:eastAsia="Arial" w:hAnsi="Verdana" w:cs="Arial"/>
                <w:bCs/>
                <w:color w:val="000000" w:themeColor="text1"/>
              </w:rPr>
              <w:t>por el cual se expide el Plan Nacional de Desarrollo 2022-2026 “Colombia Potencia Mundial de la Vida”</w:t>
            </w:r>
            <w:r w:rsidRPr="00341565">
              <w:rPr>
                <w:rFonts w:ascii="Verdana" w:eastAsia="Arial" w:hAnsi="Verdana" w:cs="Arial"/>
                <w:color w:val="000000" w:themeColor="text1"/>
                <w:lang w:val="es-ES"/>
              </w:rPr>
              <w:t xml:space="preserve"> dispone que todas las entidades públicas del orden nacional deben transferir a CISA, a título gratuito y por medio de un acto administrativo, los bienes inmuebles, participaciones accionarias y activos de su propiedad que no requieran para el ejercicio de sus funciones. Es decir, para efectos de la consulta, las entidades del orden nacional están en la obligación de transferir a CISA, a título gratuito los bienes inmuebles que no necesitan para el ejercicio de las actividades como Administración Pública. </w:t>
            </w:r>
          </w:p>
          <w:p w14:paraId="6103BB9E" w14:textId="77777777" w:rsidR="00570692" w:rsidRPr="00341565" w:rsidRDefault="00570692" w:rsidP="00470607">
            <w:pPr>
              <w:spacing w:after="120" w:line="276" w:lineRule="auto"/>
              <w:ind w:firstLine="720"/>
              <w:jc w:val="both"/>
              <w:rPr>
                <w:rFonts w:ascii="Verdana" w:eastAsia="Arial" w:hAnsi="Verdana" w:cs="Arial"/>
                <w:color w:val="000000" w:themeColor="text1"/>
              </w:rPr>
            </w:pPr>
            <w:r w:rsidRPr="1C2237E4">
              <w:rPr>
                <w:rFonts w:ascii="Verdana" w:eastAsia="Arial" w:hAnsi="Verdana" w:cs="Arial"/>
                <w:color w:val="000000" w:themeColor="text1"/>
                <w:lang w:val="es-ES"/>
              </w:rPr>
              <w:t xml:space="preserve">Por otro lado, CISA podrá gestionarlos, comercializarlos o transferirlos a entidades públicas a título, ya sea gratuito u oneroso, para el desarrollo de proyectos, según lo dispuesto por la ley. En esta orientación, el artículo 2.5.2.3.1. del Decreto 1068 de 2015 dispone: </w:t>
            </w:r>
            <w:r w:rsidRPr="1C2237E4">
              <w:rPr>
                <w:rFonts w:ascii="Verdana" w:eastAsia="Arial" w:hAnsi="Verdana" w:cs="Arial"/>
                <w:color w:val="000000" w:themeColor="text1"/>
              </w:rPr>
              <w:t>“[…] las entidades públicas del orden nacional deberán vender a CISA todos aquellos Activos Inmobiliarios que no requieran para el ejercicio de sus funciones. Lo anterior, con excepción de las entidades financieras de carácter estatal, las Empresas Industriales y Comerciales del Estado, las Sociedades de Economía Mixta y las entidades en liquidación”.</w:t>
            </w:r>
          </w:p>
          <w:p w14:paraId="67417F01" w14:textId="77777777" w:rsidR="00570692" w:rsidRPr="00341565" w:rsidRDefault="00570692" w:rsidP="00470607">
            <w:pPr>
              <w:spacing w:after="120" w:line="276" w:lineRule="auto"/>
              <w:ind w:firstLine="720"/>
              <w:jc w:val="both"/>
              <w:rPr>
                <w:rFonts w:ascii="Verdana" w:eastAsia="Arial" w:hAnsi="Verdana" w:cs="Arial"/>
                <w:color w:val="000000" w:themeColor="text1"/>
              </w:rPr>
            </w:pPr>
            <w:r w:rsidRPr="00341565">
              <w:rPr>
                <w:rFonts w:ascii="Verdana" w:eastAsia="Arial" w:hAnsi="Verdana" w:cs="Arial"/>
                <w:color w:val="000000" w:themeColor="text1"/>
                <w:lang w:val="es-ES"/>
              </w:rPr>
              <w:t xml:space="preserve">A su vez, </w:t>
            </w:r>
            <w:r w:rsidRPr="00341565">
              <w:rPr>
                <w:rFonts w:ascii="Verdana" w:eastAsia="Arial" w:hAnsi="Verdana" w:cs="Arial"/>
                <w:color w:val="000000" w:themeColor="text1"/>
              </w:rPr>
              <w:t xml:space="preserve">el artículo 2.2.1.2.2.1.4 </w:t>
            </w:r>
            <w:r w:rsidRPr="00341565">
              <w:rPr>
                <w:rFonts w:ascii="Verdana" w:eastAsia="Arial" w:hAnsi="Verdana" w:cs="Arial"/>
                <w:iCs/>
                <w:color w:val="000000" w:themeColor="text1"/>
              </w:rPr>
              <w:t>del Decreto 1082 de 2015</w:t>
            </w:r>
            <w:r w:rsidRPr="00341565">
              <w:rPr>
                <w:rFonts w:ascii="Verdana" w:eastAsia="Arial" w:hAnsi="Verdana" w:cs="Arial"/>
                <w:i/>
                <w:iCs/>
                <w:color w:val="000000" w:themeColor="text1"/>
              </w:rPr>
              <w:t xml:space="preserve"> </w:t>
            </w:r>
            <w:r w:rsidRPr="00341565">
              <w:rPr>
                <w:rFonts w:ascii="Verdana" w:eastAsia="Arial" w:hAnsi="Verdana" w:cs="Arial"/>
                <w:color w:val="000000" w:themeColor="text1"/>
              </w:rPr>
              <w:t>determinó que cuando</w:t>
            </w:r>
            <w:r w:rsidRPr="00341565">
              <w:rPr>
                <w:rFonts w:ascii="Verdana" w:hAnsi="Verdana"/>
                <w:color w:val="333333"/>
                <w:shd w:val="clear" w:color="auto" w:fill="FFFFFF"/>
              </w:rPr>
              <w:t xml:space="preserve"> </w:t>
            </w:r>
            <w:r w:rsidRPr="00341565">
              <w:rPr>
                <w:rFonts w:ascii="Verdana" w:eastAsia="Arial" w:hAnsi="Verdana" w:cs="Arial"/>
                <w:color w:val="000000" w:themeColor="text1"/>
              </w:rPr>
              <w:t>las Entidades Estatales no están obligadas a cumplir con la transferencia de los bienes que no use a la CISA S.A.</w:t>
            </w:r>
            <w:r>
              <w:rPr>
                <w:rFonts w:ascii="Verdana" w:eastAsia="Arial" w:hAnsi="Verdana" w:cs="Arial"/>
                <w:color w:val="000000" w:themeColor="text1"/>
              </w:rPr>
              <w:t>,</w:t>
            </w:r>
            <w:r w:rsidRPr="00341565">
              <w:rPr>
                <w:rFonts w:ascii="Verdana" w:eastAsia="Arial" w:hAnsi="Verdana" w:cs="Arial"/>
                <w:color w:val="000000" w:themeColor="text1"/>
              </w:rPr>
              <w:t xml:space="preserve"> pueden realizar directamente la enajenación, o contratar para ello promotores, bancas de inversión, martillos, comisionistas de bolsas de bienes y productos, o cualquier otro intermediario idóneo, según corresponda al tipo de bien a enajenar.</w:t>
            </w:r>
            <w:r w:rsidRPr="00341565">
              <w:rPr>
                <w:rFonts w:ascii="Verdana" w:hAnsi="Verdana"/>
                <w:b/>
                <w:bCs/>
                <w:color w:val="333333"/>
                <w:shd w:val="clear" w:color="auto" w:fill="FFFFFF"/>
                <w:lang w:val="es-MX"/>
              </w:rPr>
              <w:t xml:space="preserve"> </w:t>
            </w:r>
          </w:p>
          <w:p w14:paraId="56B224B3" w14:textId="77777777" w:rsidR="00570692" w:rsidRPr="00341565" w:rsidRDefault="00570692" w:rsidP="00470607">
            <w:pPr>
              <w:spacing w:after="120" w:line="276" w:lineRule="auto"/>
              <w:ind w:firstLine="720"/>
              <w:jc w:val="both"/>
              <w:rPr>
                <w:rFonts w:ascii="Verdana" w:eastAsia="Arial" w:hAnsi="Verdana" w:cs="Arial"/>
                <w:color w:val="000000" w:themeColor="text1"/>
                <w:lang w:val="es-ES"/>
              </w:rPr>
            </w:pPr>
            <w:r w:rsidRPr="00341565">
              <w:rPr>
                <w:rFonts w:ascii="Verdana" w:eastAsia="Arial" w:hAnsi="Verdana" w:cs="Arial"/>
                <w:color w:val="000000" w:themeColor="text1"/>
              </w:rPr>
              <w:t xml:space="preserve">En este sentido, para la enajenación de los bienes del Estado las entidades del orden nacional deben realizar una revisión para determinar si </w:t>
            </w:r>
            <w:r w:rsidRPr="00341565">
              <w:rPr>
                <w:rFonts w:ascii="Verdana" w:eastAsia="Arial" w:hAnsi="Verdana" w:cs="Arial"/>
                <w:color w:val="000000" w:themeColor="text1"/>
              </w:rPr>
              <w:lastRenderedPageBreak/>
              <w:t xml:space="preserve">les resulta aplicable el supuesto de transferencia de bienes a CISA S.A. y en caso de que se cumpla dicho supuesto, deberán </w:t>
            </w:r>
            <w:r w:rsidRPr="00341565">
              <w:rPr>
                <w:rFonts w:ascii="Verdana" w:eastAsia="Arial" w:hAnsi="Verdana" w:cs="Arial"/>
                <w:color w:val="000000" w:themeColor="text1"/>
                <w:lang w:val="es-ES"/>
              </w:rPr>
              <w:t>a título gratuito y mediante un acto administrativo, los bienes inmuebles, participaciones accionarias y activos de su propiedad que no requieran para el ejercicio de sus funciones.</w:t>
            </w:r>
          </w:p>
          <w:p w14:paraId="0B36D0FB" w14:textId="77777777" w:rsidR="00570692" w:rsidRPr="00341565" w:rsidRDefault="00570692" w:rsidP="00470607">
            <w:pPr>
              <w:spacing w:after="120" w:line="276" w:lineRule="auto"/>
              <w:ind w:firstLine="720"/>
              <w:jc w:val="both"/>
              <w:rPr>
                <w:rFonts w:ascii="Verdana" w:hAnsi="Verdana"/>
              </w:rPr>
            </w:pPr>
            <w:r w:rsidRPr="00341565">
              <w:rPr>
                <w:rFonts w:ascii="Verdana" w:hAnsi="Verdana"/>
                <w:bCs/>
                <w:lang w:val="es-ES_tradnl"/>
              </w:rPr>
              <w:t>En todo caso</w:t>
            </w:r>
            <w:r w:rsidRPr="00341565">
              <w:rPr>
                <w:rFonts w:ascii="Verdana" w:hAnsi="Verdana"/>
              </w:rPr>
              <w:t>, la entidad pública definirá en cada caso concreto lo relacionado con el tema objeto de consulta y teniendo en cuenta lo dispuesto en las normas previamente citadas en las razones de la respuesta y en los lineamientos que disponga el CISA.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68FACFAB" w14:textId="77777777" w:rsidR="00570692" w:rsidRPr="00341565" w:rsidRDefault="00570692" w:rsidP="00570692">
      <w:pPr>
        <w:spacing w:after="0" w:line="276" w:lineRule="auto"/>
        <w:jc w:val="both"/>
        <w:rPr>
          <w:rFonts w:ascii="Verdana" w:eastAsia="Calibri" w:hAnsi="Verdana" w:cs="Arial"/>
          <w:bCs/>
          <w:color w:val="000000" w:themeColor="text1"/>
        </w:rPr>
      </w:pPr>
    </w:p>
    <w:p w14:paraId="78FDCB87" w14:textId="77777777" w:rsidR="00570692" w:rsidRPr="00341565" w:rsidRDefault="00570692" w:rsidP="00570692">
      <w:pPr>
        <w:numPr>
          <w:ilvl w:val="0"/>
          <w:numId w:val="36"/>
        </w:numPr>
        <w:tabs>
          <w:tab w:val="left" w:pos="2268"/>
        </w:tabs>
        <w:spacing w:after="0" w:line="254" w:lineRule="auto"/>
        <w:rPr>
          <w:rFonts w:ascii="Verdana" w:eastAsia="Calibri" w:hAnsi="Verdana" w:cs="Times New Roman"/>
          <w:b/>
          <w:bCs/>
          <w:lang w:val="es-ES"/>
        </w:rPr>
      </w:pPr>
      <w:r w:rsidRPr="00341565">
        <w:rPr>
          <w:rFonts w:ascii="Verdana" w:eastAsia="Calibri" w:hAnsi="Verdana" w:cs="Times New Roman"/>
          <w:b/>
          <w:bCs/>
          <w:lang w:val="es-ES"/>
        </w:rPr>
        <w:t>Razones de la respuesta:</w:t>
      </w:r>
    </w:p>
    <w:p w14:paraId="3B75F646" w14:textId="77777777" w:rsidR="00570692" w:rsidRPr="00341565" w:rsidRDefault="00570692" w:rsidP="00570692">
      <w:pPr>
        <w:spacing w:after="0" w:line="276" w:lineRule="auto"/>
        <w:jc w:val="both"/>
        <w:rPr>
          <w:rFonts w:ascii="Verdana" w:eastAsia="Calibri" w:hAnsi="Verdana" w:cs="Arial"/>
          <w:lang w:val="es-ES"/>
        </w:rPr>
      </w:pPr>
    </w:p>
    <w:p w14:paraId="3775BB90" w14:textId="77777777" w:rsidR="00570692" w:rsidRPr="00341565" w:rsidRDefault="00570692" w:rsidP="00570692">
      <w:pPr>
        <w:spacing w:after="0" w:line="276" w:lineRule="auto"/>
        <w:jc w:val="both"/>
        <w:rPr>
          <w:rFonts w:ascii="Verdana" w:eastAsia="Calibri" w:hAnsi="Verdana" w:cs="Arial"/>
          <w:lang w:val="es-ES"/>
        </w:rPr>
      </w:pPr>
      <w:r w:rsidRPr="00341565">
        <w:rPr>
          <w:rFonts w:ascii="Verdana" w:eastAsia="Calibri" w:hAnsi="Verdana" w:cs="Arial"/>
          <w:lang w:val="es-ES"/>
        </w:rPr>
        <w:t xml:space="preserve">Lo anterior se sustenta en las siguientes consideraciones: </w:t>
      </w:r>
    </w:p>
    <w:p w14:paraId="3AA95EE0" w14:textId="77777777" w:rsidR="00570692" w:rsidRPr="00341565" w:rsidRDefault="00570692" w:rsidP="00570692">
      <w:pPr>
        <w:spacing w:after="0" w:line="276" w:lineRule="auto"/>
        <w:jc w:val="both"/>
        <w:rPr>
          <w:rFonts w:ascii="Verdana" w:eastAsia="Calibri" w:hAnsi="Verdana" w:cs="Arial"/>
          <w:lang w:val="es-ES"/>
        </w:rPr>
      </w:pPr>
    </w:p>
    <w:p w14:paraId="0EA98FDE" w14:textId="77777777" w:rsidR="00570692" w:rsidRPr="00341565" w:rsidRDefault="00570692" w:rsidP="00570692">
      <w:pPr>
        <w:spacing w:after="120" w:line="276" w:lineRule="auto"/>
        <w:jc w:val="both"/>
        <w:rPr>
          <w:rFonts w:ascii="Verdana" w:eastAsia="Calibri" w:hAnsi="Verdana" w:cs="Arial"/>
          <w:lang w:val="es-ES"/>
        </w:rPr>
      </w:pPr>
      <w:r w:rsidRPr="00341565">
        <w:rPr>
          <w:rFonts w:ascii="Verdana" w:eastAsia="Calibri" w:hAnsi="Verdana" w:cs="Arial"/>
          <w:lang w:val="es-ES"/>
        </w:rPr>
        <w:t>i. La enajenación se define como la transferencia del derecho real</w:t>
      </w:r>
      <w:r w:rsidRPr="00341565">
        <w:rPr>
          <w:rFonts w:ascii="Verdana" w:eastAsia="Calibri" w:hAnsi="Verdana" w:cs="Times New Roman"/>
          <w:sz w:val="10"/>
          <w:szCs w:val="10"/>
          <w:lang w:val="es-ES"/>
        </w:rPr>
        <w:footnoteReference w:id="2"/>
      </w:r>
      <w:r w:rsidRPr="00341565">
        <w:rPr>
          <w:rFonts w:ascii="Verdana" w:eastAsia="Calibri" w:hAnsi="Verdana" w:cs="Arial"/>
          <w:sz w:val="10"/>
          <w:szCs w:val="10"/>
          <w:lang w:val="es-ES"/>
        </w:rPr>
        <w:t xml:space="preserve">  </w:t>
      </w:r>
      <w:r w:rsidRPr="00341565">
        <w:rPr>
          <w:rFonts w:ascii="Verdana" w:eastAsia="Calibri" w:hAnsi="Verdana" w:cs="Arial"/>
          <w:lang w:val="es-ES"/>
        </w:rPr>
        <w:t>sobre un bien</w:t>
      </w:r>
      <w:r w:rsidRPr="00341565">
        <w:rPr>
          <w:rFonts w:ascii="Verdana" w:eastAsia="Calibri" w:hAnsi="Verdana" w:cs="Times New Roman"/>
          <w:sz w:val="10"/>
          <w:szCs w:val="10"/>
          <w:lang w:val="es-ES"/>
        </w:rPr>
        <w:footnoteReference w:id="3"/>
      </w:r>
      <w:r w:rsidRPr="00341565">
        <w:rPr>
          <w:rFonts w:ascii="Verdana" w:eastAsia="Calibri" w:hAnsi="Verdana" w:cs="Arial"/>
          <w:sz w:val="10"/>
          <w:szCs w:val="10"/>
          <w:lang w:val="es-ES"/>
        </w:rPr>
        <w:t>.</w:t>
      </w:r>
      <w:r w:rsidRPr="00341565">
        <w:rPr>
          <w:rFonts w:ascii="Verdana" w:eastAsia="Calibri" w:hAnsi="Verdana" w:cs="Arial"/>
          <w:lang w:val="es-ES"/>
        </w:rPr>
        <w:t xml:space="preserve"> Como indica la doctrina, “Dar –en sentido restringido–, </w:t>
      </w:r>
      <w:proofErr w:type="spellStart"/>
      <w:r w:rsidRPr="00341565">
        <w:rPr>
          <w:rFonts w:ascii="Verdana" w:eastAsia="Calibri" w:hAnsi="Verdana" w:cs="Arial"/>
          <w:lang w:val="es-ES"/>
        </w:rPr>
        <w:t>traditar</w:t>
      </w:r>
      <w:proofErr w:type="spellEnd"/>
      <w:r w:rsidRPr="00341565">
        <w:rPr>
          <w:rFonts w:ascii="Verdana" w:eastAsia="Calibri" w:hAnsi="Verdana" w:cs="Arial"/>
          <w:lang w:val="es-ES"/>
        </w:rPr>
        <w:t xml:space="preserve">, enajenar, disponer, son conceptos sinónimos en el Código Civil. Cuando se da, se enajena. Cuando se </w:t>
      </w:r>
      <w:proofErr w:type="spellStart"/>
      <w:r w:rsidRPr="00341565">
        <w:rPr>
          <w:rFonts w:ascii="Verdana" w:eastAsia="Calibri" w:hAnsi="Verdana" w:cs="Arial"/>
          <w:lang w:val="es-ES"/>
        </w:rPr>
        <w:t>tradita</w:t>
      </w:r>
      <w:proofErr w:type="spellEnd"/>
      <w:r w:rsidRPr="00341565">
        <w:rPr>
          <w:rFonts w:ascii="Verdana" w:eastAsia="Calibri" w:hAnsi="Verdana" w:cs="Arial"/>
          <w:lang w:val="es-ES"/>
        </w:rPr>
        <w:t xml:space="preserve">, se enajena, cuando se enajena, se da o se </w:t>
      </w:r>
      <w:proofErr w:type="spellStart"/>
      <w:r w:rsidRPr="00341565">
        <w:rPr>
          <w:rFonts w:ascii="Verdana" w:eastAsia="Calibri" w:hAnsi="Verdana" w:cs="Arial"/>
          <w:lang w:val="es-ES"/>
        </w:rPr>
        <w:t>tradita</w:t>
      </w:r>
      <w:proofErr w:type="spellEnd"/>
      <w:r w:rsidRPr="00341565">
        <w:rPr>
          <w:rFonts w:ascii="Verdana" w:eastAsia="Calibri" w:hAnsi="Verdana" w:cs="Arial"/>
          <w:lang w:val="es-ES"/>
        </w:rPr>
        <w:t>. Y, finalmente, cuando ocurre cualquiera de tales fenómenos, se dispone”</w:t>
      </w:r>
      <w:r w:rsidRPr="00341565">
        <w:rPr>
          <w:rFonts w:ascii="Verdana" w:eastAsia="Calibri" w:hAnsi="Verdana" w:cs="Times New Roman"/>
          <w:sz w:val="10"/>
          <w:szCs w:val="10"/>
          <w:lang w:val="es-ES"/>
        </w:rPr>
        <w:footnoteReference w:id="4"/>
      </w:r>
      <w:r w:rsidRPr="00341565">
        <w:rPr>
          <w:rFonts w:ascii="Verdana" w:eastAsia="Calibri" w:hAnsi="Verdana" w:cs="Arial"/>
          <w:lang w:val="es-ES"/>
        </w:rPr>
        <w:t>. Lo más usual es que la enajenación se lleve a cabo respecto del derecho de propiedad</w:t>
      </w:r>
      <w:r w:rsidRPr="00341565">
        <w:rPr>
          <w:rFonts w:ascii="Verdana" w:eastAsia="Calibri" w:hAnsi="Verdana" w:cs="Times New Roman"/>
          <w:sz w:val="10"/>
          <w:szCs w:val="10"/>
          <w:lang w:val="es-ES"/>
        </w:rPr>
        <w:footnoteReference w:id="5"/>
      </w:r>
      <w:r w:rsidRPr="00341565">
        <w:rPr>
          <w:rFonts w:ascii="Verdana" w:eastAsia="Calibri" w:hAnsi="Verdana" w:cs="Arial"/>
          <w:lang w:val="es-ES"/>
        </w:rPr>
        <w:t>; y en tal caso, se efectúa mediante los modos señalados en el artículo 673 del Código Civil</w:t>
      </w:r>
      <w:r w:rsidRPr="00341565">
        <w:rPr>
          <w:rFonts w:ascii="Verdana" w:eastAsia="Calibri" w:hAnsi="Verdana" w:cs="Times New Roman"/>
          <w:sz w:val="10"/>
          <w:szCs w:val="10"/>
          <w:lang w:val="es-ES"/>
        </w:rPr>
        <w:footnoteReference w:id="6"/>
      </w:r>
      <w:r w:rsidRPr="00341565">
        <w:rPr>
          <w:rFonts w:ascii="Verdana" w:eastAsia="Calibri" w:hAnsi="Verdana" w:cs="Arial"/>
          <w:sz w:val="10"/>
          <w:szCs w:val="10"/>
          <w:lang w:val="es-ES"/>
        </w:rPr>
        <w:t>,</w:t>
      </w:r>
      <w:r w:rsidRPr="00341565">
        <w:rPr>
          <w:rFonts w:ascii="Verdana" w:eastAsia="Calibri" w:hAnsi="Verdana" w:cs="Arial"/>
          <w:lang w:val="es-ES"/>
        </w:rPr>
        <w:t xml:space="preserve"> pudiendo recaer tanto sobre los bienes muebles, como inmuebles, </w:t>
      </w:r>
      <w:r w:rsidRPr="00341565">
        <w:rPr>
          <w:rFonts w:ascii="Verdana" w:eastAsia="Calibri" w:hAnsi="Verdana" w:cs="Arial"/>
          <w:lang w:val="es-ES"/>
        </w:rPr>
        <w:lastRenderedPageBreak/>
        <w:t>aunque frente a estos la ley exige solemnidades especiales</w:t>
      </w:r>
      <w:r w:rsidRPr="00341565">
        <w:rPr>
          <w:rFonts w:ascii="Verdana" w:eastAsia="Calibri" w:hAnsi="Verdana" w:cs="Times New Roman"/>
          <w:sz w:val="10"/>
          <w:szCs w:val="10"/>
          <w:lang w:val="es-ES"/>
        </w:rPr>
        <w:footnoteReference w:id="7"/>
      </w:r>
      <w:r w:rsidRPr="00341565">
        <w:rPr>
          <w:rFonts w:ascii="Verdana" w:eastAsia="Calibri" w:hAnsi="Verdana" w:cs="Arial"/>
          <w:lang w:val="es-ES"/>
        </w:rPr>
        <w:t xml:space="preserve">. Entretanto, el artículo 1521 del Código Civil dispone que se presenta objeto ilícito en la enajenación: i) “De las cosas que no están en el comercio”, </w:t>
      </w:r>
      <w:proofErr w:type="spellStart"/>
      <w:r w:rsidRPr="00341565">
        <w:rPr>
          <w:rFonts w:ascii="Verdana" w:eastAsia="Calibri" w:hAnsi="Verdana" w:cs="Arial"/>
          <w:lang w:val="es-ES"/>
        </w:rPr>
        <w:t>ii</w:t>
      </w:r>
      <w:proofErr w:type="spellEnd"/>
      <w:r w:rsidRPr="00341565">
        <w:rPr>
          <w:rFonts w:ascii="Verdana" w:eastAsia="Calibri" w:hAnsi="Verdana" w:cs="Arial"/>
          <w:lang w:val="es-ES"/>
        </w:rPr>
        <w:t xml:space="preserve">) “De los derechos o privilegios que no pueden transferirse a otra persona” y </w:t>
      </w:r>
      <w:proofErr w:type="spellStart"/>
      <w:r w:rsidRPr="00341565">
        <w:rPr>
          <w:rFonts w:ascii="Verdana" w:eastAsia="Calibri" w:hAnsi="Verdana" w:cs="Arial"/>
          <w:lang w:val="es-ES"/>
        </w:rPr>
        <w:t>iii</w:t>
      </w:r>
      <w:proofErr w:type="spellEnd"/>
      <w:r w:rsidRPr="00341565">
        <w:rPr>
          <w:rFonts w:ascii="Verdana" w:eastAsia="Calibri" w:hAnsi="Verdana" w:cs="Arial"/>
          <w:lang w:val="es-ES"/>
        </w:rPr>
        <w:t>) “De las cosas embargadas por decreto judicial, a menos que el juez lo autorice o el acreedor consienta en ello”. Por otro lado, e</w:t>
      </w:r>
      <w:r w:rsidRPr="00341565">
        <w:rPr>
          <w:rFonts w:ascii="Verdana" w:eastAsia="Calibri" w:hAnsi="Verdana" w:cs="Arial"/>
        </w:rPr>
        <w:t xml:space="preserve">l artículo 674 del Código Civil define los bienes de dominio público como aquellos que </w:t>
      </w:r>
      <w:r w:rsidRPr="00341565">
        <w:rPr>
          <w:rFonts w:ascii="Verdana" w:eastAsia="Calibri" w:hAnsi="Verdana" w:cs="Arial"/>
          <w:iCs/>
        </w:rPr>
        <w:t>“[…] pertenece a todos los habitantes de un Territorio, como el de calles, plazas, puentes y caminos, se llaman bienes de la Unión o de uso o bienes públicos del Territorio”.</w:t>
      </w:r>
    </w:p>
    <w:p w14:paraId="1A00FEFC" w14:textId="77777777" w:rsidR="00570692" w:rsidRPr="00341565" w:rsidRDefault="00570692" w:rsidP="00570692">
      <w:pPr>
        <w:spacing w:after="120" w:line="276" w:lineRule="auto"/>
        <w:ind w:firstLine="708"/>
        <w:jc w:val="both"/>
        <w:rPr>
          <w:rFonts w:ascii="Verdana" w:eastAsia="Calibri" w:hAnsi="Verdana" w:cs="Arial"/>
          <w:lang w:val="es-MX"/>
        </w:rPr>
      </w:pPr>
      <w:r w:rsidRPr="00341565">
        <w:rPr>
          <w:rFonts w:ascii="Verdana" w:eastAsia="Calibri" w:hAnsi="Verdana" w:cs="Arial"/>
          <w:lang w:val="es-MX"/>
        </w:rPr>
        <w:t>Los bienes de dominio público, de acuerdo con la sentencia C- 183 de 2003 de la Corte Constitucional, son “</w:t>
      </w:r>
      <w:r w:rsidRPr="00341565">
        <w:rPr>
          <w:rFonts w:ascii="Verdana" w:eastAsia="Calibri" w:hAnsi="Verdana" w:cs="Arial"/>
          <w:iCs/>
          <w:lang w:val="es-MX"/>
        </w:rPr>
        <w:t>el conjunto de bienes que la administración afecta al uso directo de la comunidad o que lo utiliza para servir a la sociedad”</w:t>
      </w:r>
      <w:r w:rsidRPr="00341565">
        <w:rPr>
          <w:rFonts w:ascii="Verdana" w:eastAsia="Calibri" w:hAnsi="Verdana" w:cs="Arial"/>
          <w:lang w:val="es-MX"/>
        </w:rPr>
        <w:t>. Dentro de esta categoría se encuentran los bienes fiscales y los bienes de uso público.</w:t>
      </w:r>
      <w:r w:rsidRPr="00341565">
        <w:rPr>
          <w:rFonts w:ascii="Calibri" w:eastAsia="Calibri" w:hAnsi="Calibri" w:cs="Times New Roman"/>
          <w:vertAlign w:val="superscript"/>
        </w:rPr>
        <w:footnoteReference w:id="8"/>
      </w:r>
      <w:r w:rsidRPr="00341565">
        <w:rPr>
          <w:rFonts w:ascii="Verdana" w:eastAsia="Calibri" w:hAnsi="Verdana" w:cs="Arial"/>
          <w:lang w:val="es-MX"/>
        </w:rPr>
        <w:t xml:space="preserve"> Los bienes fiscales, de acuerdo con el Alto Tribunal Constitucional</w:t>
      </w:r>
      <w:r w:rsidRPr="00341565">
        <w:rPr>
          <w:rFonts w:ascii="Calibri" w:eastAsia="Calibri" w:hAnsi="Calibri" w:cs="Times New Roman"/>
          <w:vertAlign w:val="superscript"/>
        </w:rPr>
        <w:footnoteReference w:id="9"/>
      </w:r>
      <w:r w:rsidRPr="00341565">
        <w:rPr>
          <w:rFonts w:ascii="Verdana" w:eastAsia="Calibri" w:hAnsi="Verdana" w:cs="Arial"/>
          <w:lang w:val="es-MX"/>
        </w:rPr>
        <w:t xml:space="preserve">, están destinados a la prestación de servicios públicos que la Administración utiliza de forma inmediata, como los edificios donde funcionan las oficinas públicas. </w:t>
      </w:r>
    </w:p>
    <w:p w14:paraId="3342BA07" w14:textId="77777777" w:rsidR="00570692" w:rsidRPr="00341565" w:rsidRDefault="00570692" w:rsidP="00570692">
      <w:pPr>
        <w:spacing w:after="120" w:line="276" w:lineRule="auto"/>
        <w:ind w:firstLine="708"/>
        <w:jc w:val="both"/>
        <w:rPr>
          <w:rFonts w:ascii="Verdana" w:eastAsia="Calibri" w:hAnsi="Verdana" w:cs="Arial"/>
          <w:lang w:val="es-MX"/>
        </w:rPr>
      </w:pPr>
      <w:r w:rsidRPr="00341565">
        <w:rPr>
          <w:rFonts w:ascii="Verdana" w:eastAsia="Calibri" w:hAnsi="Verdana" w:cs="Arial"/>
          <w:lang w:val="es-MX"/>
        </w:rPr>
        <w:t xml:space="preserve">A su vez, el Consejo de Estado, define los bienes fiscales como </w:t>
      </w:r>
      <w:r w:rsidRPr="00341565">
        <w:rPr>
          <w:rFonts w:ascii="Verdana" w:eastAsia="Calibri" w:hAnsi="Verdana" w:cs="Arial"/>
          <w:iCs/>
          <w:lang w:val="es-MX"/>
        </w:rPr>
        <w:t xml:space="preserve">“aquellos que pertenecen  </w:t>
      </w:r>
      <w:r w:rsidRPr="00341565">
        <w:rPr>
          <w:rFonts w:ascii="Verdana" w:eastAsia="Calibri" w:hAnsi="Verdana" w:cs="Arial"/>
          <w:iCs/>
          <w:color w:val="000000" w:themeColor="text1"/>
          <w:lang w:val="es-MX"/>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341565">
        <w:rPr>
          <w:rFonts w:ascii="Verdana" w:eastAsia="Calibri" w:hAnsi="Verdana" w:cs="Arial"/>
          <w:iCs/>
          <w:color w:val="000000" w:themeColor="text1"/>
          <w:spacing w:val="-27"/>
          <w:lang w:val="es-MX"/>
        </w:rPr>
        <w:t xml:space="preserve"> </w:t>
      </w:r>
      <w:r w:rsidRPr="00341565">
        <w:rPr>
          <w:rFonts w:ascii="Verdana" w:eastAsia="Calibri" w:hAnsi="Verdana" w:cs="Arial"/>
          <w:iCs/>
          <w:color w:val="000000" w:themeColor="text1"/>
          <w:lang w:val="es-MX"/>
        </w:rPr>
        <w:t>propiedad”</w:t>
      </w:r>
      <w:r w:rsidRPr="00341565">
        <w:rPr>
          <w:rFonts w:ascii="Calibri" w:eastAsia="Calibri" w:hAnsi="Calibri" w:cs="Times New Roman"/>
          <w:i/>
          <w:vertAlign w:val="superscript"/>
        </w:rPr>
        <w:footnoteReference w:id="10"/>
      </w:r>
      <w:r w:rsidRPr="00341565">
        <w:rPr>
          <w:rFonts w:ascii="Verdana" w:eastAsia="Calibri" w:hAnsi="Verdana" w:cs="Arial"/>
          <w:vertAlign w:val="superscript"/>
          <w:lang w:val="es-MX"/>
        </w:rPr>
        <w:t>.</w:t>
      </w:r>
      <w:r w:rsidRPr="00341565">
        <w:rPr>
          <w:rFonts w:ascii="Verdana" w:eastAsia="Calibri" w:hAnsi="Verdana" w:cs="Arial"/>
          <w:color w:val="000000" w:themeColor="text1"/>
          <w:lang w:val="es-MX"/>
        </w:rPr>
        <w:t xml:space="preserve"> </w:t>
      </w:r>
      <w:r w:rsidRPr="00341565">
        <w:rPr>
          <w:rFonts w:ascii="Verdana" w:eastAsia="Calibri" w:hAnsi="Verdana" w:cs="Arial"/>
          <w:lang w:val="es-MX"/>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341565">
        <w:rPr>
          <w:rFonts w:ascii="Verdana" w:eastAsia="Calibri" w:hAnsi="Verdana" w:cs="Arial"/>
          <w:spacing w:val="-3"/>
          <w:lang w:val="es-MX"/>
        </w:rPr>
        <w:t xml:space="preserve"> </w:t>
      </w:r>
      <w:r w:rsidRPr="00341565">
        <w:rPr>
          <w:rFonts w:ascii="Verdana" w:eastAsia="Calibri" w:hAnsi="Verdana" w:cs="Arial"/>
          <w:lang w:val="es-MX"/>
        </w:rPr>
        <w:t>otros.</w:t>
      </w:r>
      <w:r w:rsidRPr="00341565">
        <w:rPr>
          <w:rFonts w:ascii="Verdana" w:eastAsia="Calibri" w:hAnsi="Verdana" w:cs="Arial"/>
          <w:vertAlign w:val="superscript"/>
          <w:lang w:val="es-MX"/>
        </w:rPr>
        <w:t xml:space="preserve"> </w:t>
      </w:r>
    </w:p>
    <w:p w14:paraId="21E76607" w14:textId="77777777" w:rsidR="00570692" w:rsidRPr="00341565" w:rsidRDefault="00570692" w:rsidP="00570692">
      <w:pPr>
        <w:spacing w:after="120" w:line="276" w:lineRule="auto"/>
        <w:ind w:firstLine="708"/>
        <w:jc w:val="both"/>
        <w:rPr>
          <w:rFonts w:ascii="Verdana" w:eastAsia="Calibri" w:hAnsi="Verdana" w:cs="Arial"/>
          <w:lang w:val="es-MX"/>
        </w:rPr>
      </w:pPr>
      <w:r w:rsidRPr="00341565">
        <w:rPr>
          <w:rFonts w:ascii="Verdana" w:eastAsia="Calibri" w:hAnsi="Verdana" w:cs="Arial"/>
          <w:lang w:val="es-MX"/>
        </w:rPr>
        <w:t xml:space="preserve">Acerca de los bienes de uso público, el Consejo de Estado los define como </w:t>
      </w:r>
      <w:r w:rsidRPr="00341565">
        <w:rPr>
          <w:rFonts w:ascii="Verdana" w:eastAsia="Calibri" w:hAnsi="Verdana" w:cs="Arial"/>
          <w:iCs/>
          <w:lang w:val="es-MX"/>
        </w:rPr>
        <w:t xml:space="preserve">“aquellos cuya titularidad pertenece al Estado y se hallan destinados al uso, goce y disfrute de todos los habitantes del territorio, están sometidos al régimen de </w:t>
      </w:r>
      <w:r w:rsidRPr="00341565">
        <w:rPr>
          <w:rFonts w:ascii="Verdana" w:eastAsia="Calibri" w:hAnsi="Verdana" w:cs="Arial"/>
          <w:iCs/>
          <w:lang w:val="es-MX"/>
        </w:rPr>
        <w:lastRenderedPageBreak/>
        <w:t>derecho público y sobre ellos el Estado ejerce derechos de administración y de policía, con miras a garantizar y proteger su uso y goce común, por motivos de interés general</w:t>
      </w:r>
      <w:r w:rsidRPr="00341565">
        <w:rPr>
          <w:rFonts w:ascii="Verdana" w:eastAsia="Calibri" w:hAnsi="Verdana" w:cs="Arial"/>
          <w:i/>
          <w:iCs/>
          <w:lang w:val="es-MX"/>
        </w:rPr>
        <w:t>”</w:t>
      </w:r>
      <w:r w:rsidRPr="00341565">
        <w:rPr>
          <w:rFonts w:ascii="Calibri" w:eastAsia="Calibri" w:hAnsi="Calibri" w:cs="Times New Roman"/>
          <w:vertAlign w:val="superscript"/>
        </w:rPr>
        <w:footnoteReference w:id="11"/>
      </w:r>
      <w:r w:rsidRPr="00341565">
        <w:rPr>
          <w:rFonts w:ascii="Verdana" w:eastAsia="Calibri" w:hAnsi="Verdana" w:cs="Arial"/>
          <w:i/>
          <w:iCs/>
          <w:lang w:val="es-MX"/>
        </w:rPr>
        <w:t>.</w:t>
      </w:r>
      <w:r w:rsidRPr="00341565">
        <w:rPr>
          <w:rFonts w:ascii="Verdana" w:eastAsia="Calibri" w:hAnsi="Verdana" w:cs="Arial"/>
          <w:lang w:val="es-MX"/>
        </w:rPr>
        <w:t xml:space="preserve"> Por lo tanto, como estos bienes están destinados al uso de los habitantes de un territorio, el Estado no puede disponer de ellos por encontrarse fuera del comercio</w:t>
      </w:r>
      <w:r w:rsidRPr="00341565">
        <w:rPr>
          <w:rFonts w:ascii="Calibri" w:eastAsia="Calibri" w:hAnsi="Calibri" w:cs="Times New Roman"/>
          <w:vertAlign w:val="superscript"/>
        </w:rPr>
        <w:footnoteReference w:id="12"/>
      </w:r>
      <w:r w:rsidRPr="00341565">
        <w:rPr>
          <w:rFonts w:ascii="Verdana" w:eastAsia="Calibri" w:hAnsi="Verdana" w:cs="Arial"/>
          <w:lang w:val="es-MX"/>
        </w:rPr>
        <w:t>.</w:t>
      </w:r>
      <w:r w:rsidRPr="00341565">
        <w:rPr>
          <w:rFonts w:ascii="Verdana" w:eastAsia="Calibri" w:hAnsi="Verdana" w:cs="Arial"/>
          <w:vertAlign w:val="superscript"/>
          <w:lang w:val="es-MX"/>
        </w:rPr>
        <w:t xml:space="preserve"> </w:t>
      </w:r>
      <w:r w:rsidRPr="00341565">
        <w:rPr>
          <w:rFonts w:ascii="Verdana" w:eastAsia="Calibri" w:hAnsi="Verdana" w:cs="Arial"/>
          <w:lang w:val="es-MX"/>
        </w:rPr>
        <w:t xml:space="preserve">En ese orden de ideas, los bienes sobre los cuales puede recaer el acto de enajenación son los bienes fiscales muebles o inmuebles y no los bienes de uso público. </w:t>
      </w:r>
    </w:p>
    <w:p w14:paraId="4541D8F5" w14:textId="77777777" w:rsidR="00570692" w:rsidRPr="00341565" w:rsidRDefault="00570692" w:rsidP="00570692">
      <w:pPr>
        <w:spacing w:after="0" w:line="276" w:lineRule="auto"/>
        <w:ind w:firstLine="709"/>
        <w:jc w:val="both"/>
        <w:rPr>
          <w:rFonts w:ascii="Verdana" w:eastAsia="Calibri" w:hAnsi="Verdana" w:cs="Arial"/>
          <w:bCs/>
        </w:rPr>
      </w:pPr>
      <w:r w:rsidRPr="00341565">
        <w:rPr>
          <w:rFonts w:ascii="Verdana" w:eastAsia="Calibri" w:hAnsi="Verdana" w:cs="Arial"/>
          <w:lang w:val="es-ES_tradnl"/>
        </w:rPr>
        <w:t>E</w:t>
      </w:r>
      <w:r w:rsidRPr="00341565">
        <w:rPr>
          <w:rFonts w:ascii="Verdana" w:eastAsia="Calibri" w:hAnsi="Verdana" w:cs="Arial"/>
          <w:lang w:val="es-MX"/>
        </w:rPr>
        <w:t>n relación con el motivo de consulta sobre la enajenación de bienes inmuebles a Central de Inversiones S.A. –en adelante CISA–, hay que tener presente varios aspectos sobre dicha entidad: i) CISA es una sociedad de economía mixta indirecta del orden nacional, que está vinculada con el Ministerio de Hacienda, cuyo actos y contratos se sujetan al derecho privado, de conformidad a lo prescrito en el artículo 91 de la Ley 795 de 2003</w:t>
      </w:r>
      <w:r w:rsidRPr="00341565">
        <w:rPr>
          <w:rFonts w:ascii="Verdana" w:eastAsia="Calibri" w:hAnsi="Verdana" w:cs="Arial"/>
          <w:vertAlign w:val="superscript"/>
          <w:lang w:val="es-MX"/>
        </w:rPr>
        <w:footnoteReference w:id="13"/>
      </w:r>
      <w:r w:rsidRPr="00341565">
        <w:rPr>
          <w:rFonts w:ascii="Verdana" w:eastAsia="Calibri" w:hAnsi="Verdana" w:cs="Arial"/>
          <w:lang w:val="es-MX"/>
        </w:rPr>
        <w:t xml:space="preserve">; </w:t>
      </w:r>
      <w:proofErr w:type="spellStart"/>
      <w:r w:rsidRPr="00341565">
        <w:rPr>
          <w:rFonts w:ascii="Verdana" w:eastAsia="Calibri" w:hAnsi="Verdana" w:cs="Arial"/>
          <w:lang w:val="es-MX"/>
        </w:rPr>
        <w:t>ii</w:t>
      </w:r>
      <w:proofErr w:type="spellEnd"/>
      <w:r w:rsidRPr="00341565">
        <w:rPr>
          <w:rFonts w:ascii="Verdana" w:eastAsia="Calibri" w:hAnsi="Verdana" w:cs="Arial"/>
          <w:lang w:val="es-MX"/>
        </w:rPr>
        <w:t>) el objeto social de CISA está regulado en el Decreto 713 de 2024, “</w:t>
      </w:r>
      <w:r w:rsidRPr="00341565">
        <w:rPr>
          <w:rFonts w:ascii="Verdana" w:eastAsia="Calibri" w:hAnsi="Verdana" w:cs="Arial"/>
          <w:bCs/>
        </w:rPr>
        <w:t>por el cual se modifica el artículo 2° del Decreto número 4819 de 2007 modificado por el artículo 1º del Decreto número 33 de 2015, y el artículo 1.2.2.6 del Decreto número 1068 de 2015, en relación con el objeto de Central de Inversiones S. A. CISA”. Dicho objeto social se establece:</w:t>
      </w:r>
    </w:p>
    <w:p w14:paraId="0A2D149C" w14:textId="77777777" w:rsidR="00570692" w:rsidRPr="00341565" w:rsidRDefault="00570692" w:rsidP="00570692">
      <w:pPr>
        <w:spacing w:after="120" w:line="276" w:lineRule="auto"/>
        <w:ind w:firstLine="708"/>
        <w:jc w:val="both"/>
        <w:rPr>
          <w:rFonts w:ascii="Verdana" w:eastAsia="Calibri" w:hAnsi="Verdana" w:cs="Arial"/>
          <w:bCs/>
        </w:rPr>
      </w:pPr>
    </w:p>
    <w:p w14:paraId="7E7C63D5"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r w:rsidRPr="00341565">
        <w:rPr>
          <w:rFonts w:ascii="Verdana" w:eastAsia="Times New Roman" w:hAnsi="Verdana" w:cs="Arial"/>
          <w:bCs/>
          <w:i/>
          <w:iCs/>
          <w:color w:val="000000"/>
          <w:sz w:val="21"/>
          <w:szCs w:val="21"/>
        </w:rPr>
        <w:t>“Artículo 2º. Objeto. </w:t>
      </w:r>
      <w:r w:rsidRPr="00341565">
        <w:rPr>
          <w:rFonts w:ascii="Verdana" w:eastAsia="Times New Roman" w:hAnsi="Verdana" w:cs="Arial"/>
          <w:i/>
          <w:color w:val="000000"/>
          <w:sz w:val="21"/>
          <w:szCs w:val="21"/>
        </w:rPr>
        <w:t xml:space="preserve">CISA tendrá por objeto gestionar, adquirir, administrar, comercializar, cobrar, recaudar, intermediar, enajenar y arrendar, a cualquier título, toda clase de bienes inmuebles, muebles, acciones, títulos valores, derechos contractuales, fiduciarios, crediticios o litigiosos, incluidos derechos en procesos </w:t>
      </w:r>
      <w:proofErr w:type="spellStart"/>
      <w:r w:rsidRPr="00341565">
        <w:rPr>
          <w:rFonts w:ascii="Verdana" w:eastAsia="Times New Roman" w:hAnsi="Verdana" w:cs="Arial"/>
          <w:i/>
          <w:color w:val="000000"/>
          <w:sz w:val="21"/>
          <w:szCs w:val="21"/>
        </w:rPr>
        <w:t>liquidatorios</w:t>
      </w:r>
      <w:proofErr w:type="spellEnd"/>
      <w:r w:rsidRPr="00341565">
        <w:rPr>
          <w:rFonts w:ascii="Verdana" w:eastAsia="Times New Roman" w:hAnsi="Verdana" w:cs="Arial"/>
          <w:i/>
          <w:color w:val="000000"/>
          <w:sz w:val="21"/>
          <w:szCs w:val="21"/>
        </w:rPr>
        <w:t xml:space="preserve">, cuyos propietarios sean entidades públicas de cualquier orden o rama, organismos autónomos e independientes previstos en la Constitución Política y en la Ley, o sociedades con aportes estatales de régimen </w:t>
      </w:r>
      <w:r w:rsidRPr="00341565">
        <w:rPr>
          <w:rFonts w:ascii="Verdana" w:eastAsia="Times New Roman" w:hAnsi="Verdana" w:cs="Arial"/>
          <w:i/>
          <w:color w:val="000000"/>
          <w:sz w:val="21"/>
          <w:szCs w:val="21"/>
        </w:rPr>
        <w:lastRenderedPageBreak/>
        <w:t>especial y patrimonios autónomos titulares de activos provenientes de cualquiera de las entidades descritas, así como prestar asesoría técnica y profesional a dichas entidades en el diagnóstico, gestión, valoración, adquisición y/o administración de activos y sobre temas relacionados con el objeto social.</w:t>
      </w:r>
    </w:p>
    <w:p w14:paraId="050EE74E"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p>
    <w:p w14:paraId="27CC57CE"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r w:rsidRPr="00341565">
        <w:rPr>
          <w:rFonts w:ascii="Verdana" w:eastAsia="Times New Roman" w:hAnsi="Verdana" w:cs="Arial"/>
          <w:color w:val="000000"/>
          <w:sz w:val="21"/>
          <w:szCs w:val="21"/>
        </w:rPr>
        <w:t>Igualmente, previa aprobación de la Junta Directiva, CISA podrá administrar, gestionar, comercializar y adquirir la participación de terceros de naturaleza privada que compartan la titularidad de cualquier activo con CISA, así como la compra de cartera a entidades financieras del sector privado y/o de naturaleza cooperativa que desarrollen actividades financieras, cuando los deudores de estas entidades, a su vez, sean o puedan llegar a ser deudores del colector de activos del Estado CISA S.A., en la medida que tengan obligaciones con el Estado. </w:t>
      </w:r>
    </w:p>
    <w:p w14:paraId="655143B7"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p>
    <w:p w14:paraId="799FA110"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r w:rsidRPr="00341565">
        <w:rPr>
          <w:rFonts w:ascii="Verdana" w:eastAsia="Times New Roman" w:hAnsi="Verdana" w:cs="Arial"/>
          <w:color w:val="000000"/>
          <w:sz w:val="21"/>
          <w:szCs w:val="21"/>
        </w:rPr>
        <w:t>Para efectos de la gestión y movilización de activos, CISA igualmente podrá realizar ofertas de adquisición a terceros de carácter público o privado, de vivienda VIS nueva o usada que cumpla con las características que para el efecto establezca el Ministerio de Vivienda Ciudad y Territorio.</w:t>
      </w:r>
    </w:p>
    <w:p w14:paraId="7BF2DDFE"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p>
    <w:p w14:paraId="2F3B4ACB"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r w:rsidRPr="00341565">
        <w:rPr>
          <w:rFonts w:ascii="Verdana" w:eastAsia="Times New Roman" w:hAnsi="Verdana" w:cs="Arial"/>
          <w:color w:val="000000"/>
          <w:sz w:val="21"/>
          <w:szCs w:val="21"/>
        </w:rPr>
        <w:t>Así mismo, la Junta Directiva de CISA podrá determinar los casos en los cuales la entidad podrá celebrar convenios de cooperación que permitan a CISA prestar servicios de asesoría técnica y profesional a terceros de carácter privado, en el diagnóstico y/o valoración de activos de similar naturaleza a los gestionados por la entidad y, en general, sobre temas relacionados con el objeto social.</w:t>
      </w:r>
    </w:p>
    <w:p w14:paraId="10B1086B"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p>
    <w:p w14:paraId="729CACF6" w14:textId="77777777" w:rsidR="00570692" w:rsidRPr="00341565" w:rsidRDefault="00570692" w:rsidP="00570692">
      <w:pPr>
        <w:spacing w:after="0" w:line="240" w:lineRule="auto"/>
        <w:ind w:left="709" w:right="709"/>
        <w:jc w:val="both"/>
        <w:rPr>
          <w:rFonts w:ascii="Verdana" w:eastAsia="Times New Roman" w:hAnsi="Verdana" w:cs="Arial"/>
          <w:color w:val="000000"/>
          <w:sz w:val="21"/>
          <w:szCs w:val="21"/>
        </w:rPr>
      </w:pPr>
      <w:r w:rsidRPr="00341565">
        <w:rPr>
          <w:rFonts w:ascii="Verdana" w:eastAsia="Times New Roman" w:hAnsi="Verdana" w:cs="Arial"/>
          <w:color w:val="000000"/>
          <w:sz w:val="21"/>
          <w:szCs w:val="21"/>
        </w:rPr>
        <w:t xml:space="preserve">En desarrollo de su objeto social, CISA podrá realizar todas las actividades que se establezcan en sus estatutos sociales de acuerdo con su naturaleza jurídica (énfasis fuera de texto) </w:t>
      </w:r>
    </w:p>
    <w:p w14:paraId="7FA44D21" w14:textId="77777777" w:rsidR="00570692" w:rsidRPr="00341565" w:rsidRDefault="00570692" w:rsidP="00570692">
      <w:pPr>
        <w:spacing w:after="120" w:line="276" w:lineRule="auto"/>
        <w:ind w:firstLine="708"/>
        <w:jc w:val="both"/>
        <w:rPr>
          <w:rFonts w:ascii="Verdana" w:eastAsia="Calibri" w:hAnsi="Verdana" w:cs="Arial"/>
        </w:rPr>
      </w:pPr>
    </w:p>
    <w:p w14:paraId="5D2FDD41" w14:textId="77777777" w:rsidR="00570692" w:rsidRPr="00341565" w:rsidRDefault="00570692" w:rsidP="00570692">
      <w:pPr>
        <w:spacing w:after="120" w:line="276" w:lineRule="auto"/>
        <w:ind w:firstLine="720"/>
        <w:jc w:val="both"/>
        <w:rPr>
          <w:rFonts w:ascii="Verdana" w:eastAsia="Arial" w:hAnsi="Verdana" w:cs="Arial"/>
        </w:rPr>
      </w:pPr>
      <w:r w:rsidRPr="00341565">
        <w:rPr>
          <w:rFonts w:ascii="Verdana" w:eastAsia="Arial" w:hAnsi="Verdana" w:cs="Arial"/>
        </w:rPr>
        <w:t xml:space="preserve">A partir del primer inciso del objeto social, se infiere que CISA tiene dentro de su objeto social: la gestión, adquisición, administración, comercialización, cobro, recaudo, intermediación, enajenación, arrendamiento, a cualquier título, toda clase de bienes inmuebles, muebles, acciones, títulos valores, derechos contractuales, fiduciarios, crediticios o litigiosos, incluidos derechos en procesos </w:t>
      </w:r>
      <w:proofErr w:type="spellStart"/>
      <w:r w:rsidRPr="00341565">
        <w:rPr>
          <w:rFonts w:ascii="Verdana" w:eastAsia="Arial" w:hAnsi="Verdana" w:cs="Arial"/>
        </w:rPr>
        <w:t>liquidatorios</w:t>
      </w:r>
      <w:proofErr w:type="spellEnd"/>
      <w:r w:rsidRPr="00341565">
        <w:rPr>
          <w:rFonts w:ascii="Verdana" w:eastAsia="Arial" w:hAnsi="Verdana" w:cs="Arial"/>
        </w:rPr>
        <w:t xml:space="preserve">, cuyos propietarios sean entidades públicas de cualquier orden o rama, organismos autónomos e independientes previstos en la Constitución Política y en la Ley, o sociedades con aportes estatales de régimen especial y patrimonios autónomos titulares de activos provenientes de cualquiera de las entidades. </w:t>
      </w:r>
    </w:p>
    <w:p w14:paraId="1047E09B" w14:textId="77777777" w:rsidR="00570692" w:rsidRPr="00341565" w:rsidRDefault="00570692" w:rsidP="00570692">
      <w:pPr>
        <w:spacing w:after="120" w:line="276" w:lineRule="auto"/>
        <w:ind w:firstLine="720"/>
        <w:jc w:val="both"/>
        <w:rPr>
          <w:rFonts w:ascii="Verdana" w:eastAsia="Arial" w:hAnsi="Verdana" w:cs="Arial"/>
          <w:color w:val="000000" w:themeColor="text1"/>
          <w:lang w:val="es-ES"/>
        </w:rPr>
      </w:pPr>
      <w:r w:rsidRPr="00341565">
        <w:rPr>
          <w:rFonts w:ascii="Verdana" w:eastAsia="Arial" w:hAnsi="Verdana" w:cs="Arial"/>
        </w:rPr>
        <w:lastRenderedPageBreak/>
        <w:t>Al respecto, el artículo 2.2.1.2.2.1.3</w:t>
      </w:r>
      <w:r w:rsidRPr="00341565">
        <w:rPr>
          <w:rFonts w:ascii="Verdana" w:eastAsia="Arial" w:hAnsi="Verdana" w:cs="Arial"/>
          <w:lang w:val="es-ES"/>
        </w:rPr>
        <w:t xml:space="preserve"> del Decreto 1082 de 2015 estableció una regla particular según la cual </w:t>
      </w:r>
      <w:r w:rsidRPr="00341565">
        <w:rPr>
          <w:rFonts w:ascii="Verdana" w:eastAsia="Arial" w:hAnsi="Verdana" w:cs="Arial"/>
        </w:rPr>
        <w:t xml:space="preserve">la enajenación de bienes de las </w:t>
      </w:r>
      <w:r w:rsidRPr="00341565">
        <w:rPr>
          <w:rFonts w:ascii="Verdana" w:eastAsia="Arial" w:hAnsi="Verdana" w:cs="Arial"/>
          <w:color w:val="000000" w:themeColor="text1"/>
        </w:rPr>
        <w:t xml:space="preserve">entidades estatales del orden nacional a la Central de Inversiones CISA S. A., de que se refiere el artículo </w:t>
      </w:r>
      <w:hyperlink r:id="rId18" w:anchor="238" w:tooltip="vinculo" w:history="1">
        <w:r w:rsidRPr="00341565">
          <w:rPr>
            <w:rFonts w:ascii="Verdana" w:eastAsia="Arial" w:hAnsi="Verdana" w:cs="Arial"/>
            <w:color w:val="000000" w:themeColor="text1"/>
          </w:rPr>
          <w:t>238</w:t>
        </w:r>
      </w:hyperlink>
      <w:r w:rsidRPr="00341565">
        <w:rPr>
          <w:rFonts w:ascii="Verdana" w:eastAsia="Arial" w:hAnsi="Verdana" w:cs="Arial"/>
          <w:color w:val="000000" w:themeColor="text1"/>
        </w:rPr>
        <w:t xml:space="preserve"> de la Ley 1450 de 2011 y el Decreto </w:t>
      </w:r>
      <w:hyperlink r:id="rId19" w:anchor="0" w:tooltip="vinculo" w:history="1">
        <w:r w:rsidRPr="00341565">
          <w:rPr>
            <w:rFonts w:ascii="Verdana" w:eastAsia="Arial" w:hAnsi="Verdana" w:cs="Arial"/>
            <w:color w:val="000000" w:themeColor="text1"/>
          </w:rPr>
          <w:t>047</w:t>
        </w:r>
      </w:hyperlink>
      <w:r w:rsidRPr="00341565">
        <w:rPr>
          <w:rFonts w:ascii="Verdana" w:eastAsia="Arial" w:hAnsi="Verdana" w:cs="Arial"/>
          <w:color w:val="000000" w:themeColor="text1"/>
        </w:rPr>
        <w:t xml:space="preserve"> de 2014 y las normas que los modifiquen, adicionen o sustituyan, debe hacerse de conformidad con las reglas establecidas en tales normas.</w:t>
      </w:r>
      <w:r w:rsidRPr="00341565">
        <w:rPr>
          <w:rFonts w:ascii="Verdana" w:eastAsia="Arial" w:hAnsi="Verdana" w:cs="Arial"/>
          <w:color w:val="000000" w:themeColor="text1"/>
          <w:lang w:val="es-ES"/>
        </w:rPr>
        <w:t xml:space="preserve"> </w:t>
      </w:r>
    </w:p>
    <w:p w14:paraId="3080538E" w14:textId="77777777" w:rsidR="00570692" w:rsidRPr="00341565" w:rsidRDefault="00570692" w:rsidP="00570692">
      <w:pPr>
        <w:spacing w:after="0" w:line="276" w:lineRule="auto"/>
        <w:ind w:firstLine="720"/>
        <w:jc w:val="both"/>
        <w:rPr>
          <w:rFonts w:ascii="Verdana" w:eastAsia="Arial" w:hAnsi="Verdana" w:cs="Arial"/>
          <w:color w:val="000000" w:themeColor="text1"/>
          <w:lang w:val="es-ES"/>
        </w:rPr>
      </w:pPr>
      <w:r w:rsidRPr="00341565">
        <w:rPr>
          <w:rFonts w:ascii="Verdana" w:eastAsia="Arial" w:hAnsi="Verdana" w:cs="Arial"/>
          <w:color w:val="000000" w:themeColor="text1"/>
          <w:lang w:val="es-ES"/>
        </w:rPr>
        <w:t xml:space="preserve">En esta línea, el artículo 238 de la Ley 1450 de 2011 modificado por el artículo 330 de la Ley 2294 de 2023, </w:t>
      </w:r>
      <w:r w:rsidRPr="00341565">
        <w:rPr>
          <w:rFonts w:ascii="Verdana" w:eastAsia="Arial" w:hAnsi="Verdana" w:cs="Arial"/>
          <w:bCs/>
          <w:color w:val="000000" w:themeColor="text1"/>
        </w:rPr>
        <w:t>por el cual se expide el Plan Nacional de Desarrollo 2022-2026 “Colombia Potencia Mundial de la Vida”</w:t>
      </w:r>
      <w:r w:rsidRPr="00341565">
        <w:rPr>
          <w:rFonts w:ascii="Verdana" w:eastAsia="Arial" w:hAnsi="Verdana" w:cs="Arial"/>
          <w:color w:val="000000" w:themeColor="text1"/>
          <w:vertAlign w:val="superscript"/>
          <w:lang w:val="es-ES"/>
        </w:rPr>
        <w:footnoteReference w:id="14"/>
      </w:r>
      <w:r w:rsidRPr="00341565">
        <w:rPr>
          <w:rFonts w:ascii="Verdana" w:eastAsia="Arial" w:hAnsi="Verdana" w:cs="Arial"/>
          <w:color w:val="000000" w:themeColor="text1"/>
          <w:lang w:val="es-ES"/>
        </w:rPr>
        <w:t xml:space="preserve"> dispone que todas las entidades públicas del orden nacional deben transferir a CISA, a título gratuito y por medio de un acto administrativo, los bienes inmuebles, participaciones accionarias y activos de su propiedad que no requieran para el ejercicio de sus funciones. Es decir, para efectos de la consulta, las entidades del orden nacional están en la obligación de transferir a CISA, a título gratuito los bienes inmuebles que no necesitan para el ejercicio de sus funciones como Administración Pública. Por otro lado, CISA podrá gestionarlos, comercializarlos o transferirlos a entidades públicas a título, ya sea gratuito u oneroso para el desarrollo de proyectos, según lo dispuesto por la ley. En esta orientación, el artículo 2.5.2.3.1. del Decreto 1068 de 2015 dispone: </w:t>
      </w:r>
    </w:p>
    <w:p w14:paraId="46123FBC" w14:textId="77777777" w:rsidR="00570692" w:rsidRPr="00341565" w:rsidRDefault="00570692" w:rsidP="00570692">
      <w:pPr>
        <w:spacing w:after="0" w:line="276" w:lineRule="auto"/>
        <w:ind w:firstLine="720"/>
        <w:jc w:val="both"/>
        <w:rPr>
          <w:rFonts w:ascii="Verdana" w:eastAsia="Arial" w:hAnsi="Verdana" w:cs="Arial"/>
          <w:color w:val="000000" w:themeColor="text1"/>
          <w:lang w:val="es-ES"/>
        </w:rPr>
      </w:pPr>
    </w:p>
    <w:p w14:paraId="4523DE45" w14:textId="77777777" w:rsidR="00570692" w:rsidRPr="00341565" w:rsidRDefault="00570692" w:rsidP="00570692">
      <w:pPr>
        <w:spacing w:after="0" w:line="240" w:lineRule="auto"/>
        <w:ind w:left="709" w:right="709"/>
        <w:jc w:val="both"/>
        <w:rPr>
          <w:rFonts w:ascii="Verdana" w:eastAsia="Arial" w:hAnsi="Verdana" w:cs="Arial"/>
          <w:color w:val="000000" w:themeColor="text1"/>
          <w:sz w:val="21"/>
          <w:szCs w:val="21"/>
        </w:rPr>
      </w:pPr>
      <w:r w:rsidRPr="00341565">
        <w:rPr>
          <w:rFonts w:ascii="Verdana" w:eastAsia="Arial" w:hAnsi="Verdana" w:cs="Arial"/>
          <w:bCs/>
          <w:color w:val="000000" w:themeColor="text1"/>
          <w:sz w:val="21"/>
          <w:szCs w:val="21"/>
        </w:rPr>
        <w:t xml:space="preserve">Artículo 2.5.2.3.1. </w:t>
      </w:r>
      <w:r w:rsidRPr="00341565">
        <w:rPr>
          <w:rFonts w:ascii="Verdana" w:eastAsia="Arial" w:hAnsi="Verdana" w:cs="Arial"/>
          <w:i/>
          <w:iCs/>
          <w:color w:val="000000" w:themeColor="text1"/>
          <w:sz w:val="21"/>
          <w:szCs w:val="21"/>
        </w:rPr>
        <w:t>Venta de Activos Inmobiliarios no requeridos para el ejercicio de funciones</w:t>
      </w:r>
      <w:r w:rsidRPr="00341565">
        <w:rPr>
          <w:rFonts w:ascii="Verdana" w:eastAsia="Arial" w:hAnsi="Verdana" w:cs="Arial"/>
          <w:color w:val="000000" w:themeColor="text1"/>
          <w:sz w:val="21"/>
          <w:szCs w:val="21"/>
        </w:rPr>
        <w:t xml:space="preserve">. En cumplimiento de lo dispuesto en el artículo </w:t>
      </w:r>
      <w:r w:rsidRPr="00341565">
        <w:rPr>
          <w:rFonts w:ascii="Verdana" w:eastAsia="Arial" w:hAnsi="Verdana" w:cs="Arial"/>
          <w:color w:val="000000" w:themeColor="text1"/>
          <w:sz w:val="21"/>
          <w:szCs w:val="21"/>
        </w:rPr>
        <w:lastRenderedPageBreak/>
        <w:t>163 de la Ley 1753 de 2015, modificatorio del artículo 238 de la Ley 1450 de 2011, las entidades públicas del orden nacional deberán vender a CISA todos aquellos Activos Inmobiliarios que no requieran para el ejercicio de sus funciones. Lo anterior, con excepción de las entidades financieras de carácter estatal, las Empresas Industriales y Comerciales del Estado, las Sociedades de Economía Mixta y las entidades en liquidación.</w:t>
      </w:r>
    </w:p>
    <w:p w14:paraId="0C12E824" w14:textId="77777777" w:rsidR="00570692" w:rsidRPr="00341565" w:rsidRDefault="00570692" w:rsidP="00570692">
      <w:pPr>
        <w:spacing w:after="0" w:line="240" w:lineRule="auto"/>
        <w:ind w:left="709" w:right="709"/>
        <w:jc w:val="both"/>
        <w:rPr>
          <w:rFonts w:ascii="Verdana" w:eastAsia="Arial" w:hAnsi="Verdana" w:cs="Arial"/>
          <w:color w:val="000000" w:themeColor="text1"/>
          <w:sz w:val="21"/>
          <w:szCs w:val="21"/>
          <w:lang w:val="es-ES"/>
        </w:rPr>
      </w:pPr>
    </w:p>
    <w:p w14:paraId="4C607635" w14:textId="77777777" w:rsidR="00570692" w:rsidRPr="00341565" w:rsidRDefault="00570692" w:rsidP="00570692">
      <w:pPr>
        <w:spacing w:after="120" w:line="276" w:lineRule="auto"/>
        <w:ind w:firstLine="720"/>
        <w:jc w:val="both"/>
        <w:rPr>
          <w:rFonts w:ascii="Verdana" w:eastAsia="Arial" w:hAnsi="Verdana" w:cs="Arial"/>
          <w:color w:val="000000" w:themeColor="text1"/>
        </w:rPr>
      </w:pPr>
      <w:r w:rsidRPr="00341565">
        <w:rPr>
          <w:rFonts w:ascii="Verdana" w:eastAsia="Arial" w:hAnsi="Verdana" w:cs="Arial"/>
          <w:color w:val="000000" w:themeColor="text1"/>
          <w:lang w:val="es-ES"/>
        </w:rPr>
        <w:t xml:space="preserve">A su vez, </w:t>
      </w:r>
      <w:r w:rsidRPr="00341565">
        <w:rPr>
          <w:rFonts w:ascii="Verdana" w:eastAsia="Arial" w:hAnsi="Verdana" w:cs="Arial"/>
          <w:color w:val="000000" w:themeColor="text1"/>
        </w:rPr>
        <w:t xml:space="preserve">el artículo 2.2.1.2.2.1.4 </w:t>
      </w:r>
      <w:r w:rsidRPr="00341565">
        <w:rPr>
          <w:rFonts w:ascii="Verdana" w:eastAsia="Arial" w:hAnsi="Verdana" w:cs="Arial"/>
          <w:iCs/>
          <w:color w:val="000000" w:themeColor="text1"/>
        </w:rPr>
        <w:t>del Decreto 1082 de 2015</w:t>
      </w:r>
      <w:r w:rsidRPr="00341565">
        <w:rPr>
          <w:rFonts w:ascii="Verdana" w:eastAsia="Arial" w:hAnsi="Verdana" w:cs="Arial"/>
          <w:iCs/>
          <w:color w:val="000000" w:themeColor="text1"/>
          <w:vertAlign w:val="superscript"/>
        </w:rPr>
        <w:footnoteReference w:id="15"/>
      </w:r>
      <w:r w:rsidRPr="00341565">
        <w:rPr>
          <w:rFonts w:ascii="Verdana" w:eastAsia="Arial" w:hAnsi="Verdana" w:cs="Arial"/>
          <w:i/>
          <w:iCs/>
          <w:color w:val="000000" w:themeColor="text1"/>
        </w:rPr>
        <w:t xml:space="preserve"> </w:t>
      </w:r>
      <w:r w:rsidRPr="00341565">
        <w:rPr>
          <w:rFonts w:ascii="Verdana" w:eastAsia="Arial" w:hAnsi="Verdana" w:cs="Arial"/>
          <w:color w:val="000000" w:themeColor="text1"/>
        </w:rPr>
        <w:t>determinó que cuando</w:t>
      </w:r>
      <w:r w:rsidRPr="00341565">
        <w:rPr>
          <w:rFonts w:ascii="Verdana" w:eastAsia="Calibri" w:hAnsi="Verdana" w:cs="Times New Roman"/>
          <w:color w:val="333333"/>
          <w:shd w:val="clear" w:color="auto" w:fill="FFFFFF"/>
        </w:rPr>
        <w:t xml:space="preserve"> </w:t>
      </w:r>
      <w:r w:rsidRPr="00341565">
        <w:rPr>
          <w:rFonts w:ascii="Verdana" w:eastAsia="Arial" w:hAnsi="Verdana" w:cs="Arial"/>
          <w:color w:val="000000" w:themeColor="text1"/>
        </w:rPr>
        <w:t>las Entidades Estatales no están obligadas a cumplir con la transferencia de los bienes que no use, a la CISA S.A. pueden realizar directamente la enajenación, o contratar para ello promotores, bancas de inversión, martillos, comisionistas de bolsas de bienes y productos, o cualquier otro intermediario idóneo, según corresponda al tipo de bien a enajenar.</w:t>
      </w:r>
      <w:r w:rsidRPr="00341565">
        <w:rPr>
          <w:rFonts w:ascii="Verdana" w:eastAsia="Calibri" w:hAnsi="Verdana" w:cs="Times New Roman"/>
          <w:b/>
          <w:bCs/>
          <w:color w:val="333333"/>
          <w:shd w:val="clear" w:color="auto" w:fill="FFFFFF"/>
          <w:lang w:val="es-MX"/>
        </w:rPr>
        <w:t xml:space="preserve"> </w:t>
      </w:r>
    </w:p>
    <w:p w14:paraId="2BA3B3E2" w14:textId="77777777" w:rsidR="00570692" w:rsidRPr="00341565" w:rsidRDefault="00570692" w:rsidP="00570692">
      <w:pPr>
        <w:spacing w:after="120" w:line="276" w:lineRule="auto"/>
        <w:ind w:firstLine="720"/>
        <w:jc w:val="both"/>
        <w:rPr>
          <w:rFonts w:ascii="Verdana" w:eastAsia="Arial" w:hAnsi="Verdana" w:cs="Arial"/>
          <w:color w:val="000000" w:themeColor="text1"/>
          <w:lang w:val="es-ES"/>
        </w:rPr>
      </w:pPr>
      <w:r w:rsidRPr="00341565">
        <w:rPr>
          <w:rFonts w:ascii="Verdana" w:eastAsia="Arial" w:hAnsi="Verdana" w:cs="Arial"/>
          <w:color w:val="000000" w:themeColor="text1"/>
        </w:rPr>
        <w:t xml:space="preserve">En este sentido, para la enajenación de los bienes del Estado las entidades del orden nacional deben realizar una revisión para determinar si les resulta aplicable el supuesto de transferencia de bienes a CISA S.A. y en caso de que se cumpla dicho supuesto, deberán </w:t>
      </w:r>
      <w:r w:rsidRPr="00341565">
        <w:rPr>
          <w:rFonts w:ascii="Verdana" w:eastAsia="Arial" w:hAnsi="Verdana" w:cs="Arial"/>
          <w:color w:val="000000" w:themeColor="text1"/>
          <w:lang w:val="es-ES"/>
        </w:rPr>
        <w:t>a título gratuito y mediante un acto administrativo, los bienes inmuebles, participaciones accionarias y activos de su propiedad que no requieran para el ejercicio de sus funciones.</w:t>
      </w:r>
    </w:p>
    <w:p w14:paraId="4238BCC5" w14:textId="77777777" w:rsidR="00570692" w:rsidRPr="00341565" w:rsidRDefault="00570692" w:rsidP="00570692">
      <w:pPr>
        <w:spacing w:after="120" w:line="276" w:lineRule="auto"/>
        <w:ind w:firstLine="720"/>
        <w:jc w:val="both"/>
        <w:rPr>
          <w:rFonts w:ascii="Verdana" w:eastAsia="Arial" w:hAnsi="Verdana" w:cs="Arial"/>
          <w:color w:val="000000" w:themeColor="text1"/>
          <w:lang w:val="es-ES"/>
        </w:rPr>
      </w:pPr>
      <w:r w:rsidRPr="00341565">
        <w:rPr>
          <w:rFonts w:ascii="Verdana" w:eastAsia="Calibri" w:hAnsi="Verdana" w:cs="Times New Roman"/>
          <w:bCs/>
          <w:lang w:val="es-ES_tradnl"/>
        </w:rPr>
        <w:t>En todo caso</w:t>
      </w:r>
      <w:r w:rsidRPr="00341565">
        <w:rPr>
          <w:rFonts w:ascii="Verdana" w:eastAsia="Calibri" w:hAnsi="Verdana" w:cs="Times New Roman"/>
        </w:rPr>
        <w:t>, la entidad pública definirá en cada caso concreto lo relacionado con el tema objeto de consulta y teniendo en cuenta lo dispuesto en las normas previamente citadas en las razones de la respuesta y en los lineamientos que disponga el CISA.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15AE98FA" w14:textId="77777777" w:rsidR="00570692" w:rsidRPr="00341565" w:rsidRDefault="00570692" w:rsidP="00570692">
      <w:pPr>
        <w:spacing w:after="0" w:line="276" w:lineRule="auto"/>
        <w:jc w:val="both"/>
        <w:rPr>
          <w:rFonts w:ascii="Verdana" w:eastAsia="Calibri" w:hAnsi="Verdana" w:cs="Arial"/>
          <w:lang w:val="es-ES" w:eastAsia="es-MX"/>
        </w:rPr>
      </w:pPr>
    </w:p>
    <w:p w14:paraId="662F6644" w14:textId="77777777" w:rsidR="00570692" w:rsidRPr="00341565" w:rsidRDefault="00570692" w:rsidP="00570692">
      <w:pPr>
        <w:numPr>
          <w:ilvl w:val="0"/>
          <w:numId w:val="36"/>
        </w:numPr>
        <w:tabs>
          <w:tab w:val="left" w:pos="142"/>
          <w:tab w:val="left" w:pos="284"/>
        </w:tabs>
        <w:spacing w:after="0" w:line="276" w:lineRule="auto"/>
        <w:contextualSpacing/>
        <w:jc w:val="both"/>
        <w:rPr>
          <w:rFonts w:ascii="Verdana" w:eastAsia="Century Gothic" w:hAnsi="Verdana" w:cs="Century Gothic"/>
          <w:b/>
          <w:bCs/>
          <w:lang w:val="es-ES"/>
        </w:rPr>
      </w:pPr>
      <w:r w:rsidRPr="00341565">
        <w:rPr>
          <w:rFonts w:ascii="Verdana" w:eastAsia="Century Gothic" w:hAnsi="Verdana" w:cs="Century Gothic"/>
          <w:b/>
          <w:bCs/>
          <w:lang w:val="es-ES"/>
        </w:rPr>
        <w:t xml:space="preserve">Referencias normativas, jurisprudenciales y doctrinales </w:t>
      </w:r>
    </w:p>
    <w:p w14:paraId="4373286D" w14:textId="77777777" w:rsidR="00570692" w:rsidRPr="00341565" w:rsidRDefault="00570692" w:rsidP="00570692">
      <w:pPr>
        <w:widowControl w:val="0"/>
        <w:autoSpaceDE w:val="0"/>
        <w:autoSpaceDN w:val="0"/>
        <w:spacing w:after="0" w:line="276" w:lineRule="auto"/>
        <w:jc w:val="both"/>
        <w:rPr>
          <w:rFonts w:ascii="Verdana" w:eastAsia="Calibri" w:hAnsi="Verdana" w:cs="Arial"/>
        </w:rPr>
      </w:pPr>
    </w:p>
    <w:tbl>
      <w:tblPr>
        <w:tblStyle w:val="Tablaconcuadrcula1"/>
        <w:tblW w:w="8640" w:type="dxa"/>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70692" w:rsidRPr="00341565" w14:paraId="34AA4494" w14:textId="77777777" w:rsidTr="00470607">
        <w:trPr>
          <w:trHeight w:val="856"/>
          <w:jc w:val="center"/>
        </w:trPr>
        <w:tc>
          <w:tcPr>
            <w:tcW w:w="8647" w:type="dxa"/>
            <w:tcBorders>
              <w:top w:val="dotted" w:sz="4" w:space="0" w:color="auto"/>
              <w:left w:val="dotted" w:sz="4" w:space="0" w:color="auto"/>
              <w:bottom w:val="dotted" w:sz="4" w:space="0" w:color="auto"/>
              <w:right w:val="dotted" w:sz="4" w:space="0" w:color="auto"/>
            </w:tcBorders>
            <w:hideMark/>
          </w:tcPr>
          <w:p w14:paraId="33E2C2C0" w14:textId="77777777" w:rsidR="00570692" w:rsidRPr="00341565" w:rsidRDefault="00570692" w:rsidP="00570692">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341565">
              <w:rPr>
                <w:rFonts w:ascii="Verdana" w:eastAsia="Arial MT" w:hAnsi="Verdana" w:cs="Arial"/>
                <w:lang w:val="es-ES" w:eastAsia="es-ES" w:bidi="es-ES"/>
              </w:rPr>
              <w:t xml:space="preserve">Código Civil, artículos 665, 749 y 1521. </w:t>
            </w:r>
          </w:p>
          <w:p w14:paraId="1D5621D5"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proofErr w:type="spellStart"/>
            <w:r w:rsidRPr="00341565">
              <w:rPr>
                <w:rFonts w:ascii="Verdana" w:hAnsi="Verdana" w:cs="Arial"/>
                <w:lang w:val="pt-BR"/>
              </w:rPr>
              <w:t>Ley</w:t>
            </w:r>
            <w:proofErr w:type="spellEnd"/>
            <w:r w:rsidRPr="00341565">
              <w:rPr>
                <w:rFonts w:ascii="Verdana" w:hAnsi="Verdana" w:cs="Arial"/>
                <w:lang w:val="pt-BR"/>
              </w:rPr>
              <w:t xml:space="preserve"> 795 de 2003, Artículo 91.</w:t>
            </w:r>
          </w:p>
          <w:p w14:paraId="0C5CB94E"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proofErr w:type="spellStart"/>
            <w:r w:rsidRPr="00341565">
              <w:rPr>
                <w:rFonts w:ascii="Verdana" w:hAnsi="Verdana" w:cs="Arial"/>
                <w:lang w:val="pt-BR"/>
              </w:rPr>
              <w:lastRenderedPageBreak/>
              <w:t>Ley</w:t>
            </w:r>
            <w:proofErr w:type="spellEnd"/>
            <w:r w:rsidRPr="00341565">
              <w:rPr>
                <w:rFonts w:ascii="Verdana" w:hAnsi="Verdana" w:cs="Arial"/>
                <w:lang w:val="pt-BR"/>
              </w:rPr>
              <w:t xml:space="preserve"> 1450 de 2011, artículo 238. </w:t>
            </w:r>
          </w:p>
          <w:p w14:paraId="5C3D9F67"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proofErr w:type="spellStart"/>
            <w:r w:rsidRPr="00341565">
              <w:rPr>
                <w:rFonts w:ascii="Verdana" w:hAnsi="Verdana" w:cs="Arial"/>
                <w:lang w:val="pt-BR"/>
              </w:rPr>
              <w:t>Ley</w:t>
            </w:r>
            <w:proofErr w:type="spellEnd"/>
            <w:r w:rsidRPr="00341565">
              <w:rPr>
                <w:rFonts w:ascii="Verdana" w:hAnsi="Verdana" w:cs="Arial"/>
                <w:lang w:val="pt-BR"/>
              </w:rPr>
              <w:t xml:space="preserve"> 2294 de 2023, artículo 330. </w:t>
            </w:r>
          </w:p>
          <w:p w14:paraId="431929DB"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341565">
              <w:rPr>
                <w:rFonts w:ascii="Verdana" w:hAnsi="Verdana" w:cs="Arial"/>
                <w:lang w:val="pt-BR"/>
              </w:rPr>
              <w:t xml:space="preserve">Decreto 1068 de 2015, artículo 2.5.2.3.1.  </w:t>
            </w:r>
          </w:p>
          <w:p w14:paraId="37677E91"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341565">
              <w:rPr>
                <w:rFonts w:ascii="Verdana" w:hAnsi="Verdana" w:cs="Arial"/>
                <w:lang w:val="pt-BR"/>
              </w:rPr>
              <w:t>Decreto 1082 de 2015, artículos 2.2.1.2.2.1.3., 2.2.1.2.2.1.4.</w:t>
            </w:r>
          </w:p>
          <w:p w14:paraId="186F4982"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4351C6">
              <w:rPr>
                <w:rFonts w:ascii="Verdana" w:hAnsi="Verdana" w:cs="Arial"/>
              </w:rPr>
              <w:t xml:space="preserve">CONSEJO DE ESTADO. Sección Cuarta. Sentencia del 6 de febrero de 2006. </w:t>
            </w:r>
            <w:r w:rsidRPr="00341565">
              <w:rPr>
                <w:rFonts w:ascii="Verdana" w:hAnsi="Verdana" w:cs="Arial"/>
                <w:lang w:val="pt-BR"/>
              </w:rPr>
              <w:t>C.P. María Inés Ortiz Barbosa. Expediente: 14.123.</w:t>
            </w:r>
          </w:p>
          <w:p w14:paraId="0063C8FC"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4351C6">
              <w:rPr>
                <w:rFonts w:ascii="Verdana" w:hAnsi="Verdana" w:cs="Arial"/>
              </w:rPr>
              <w:t xml:space="preserve">CONSEJO DE ESTADO, Sección Tercera. Sentencia del 30 de abril de 2012. </w:t>
            </w:r>
            <w:r w:rsidRPr="00341565">
              <w:rPr>
                <w:rFonts w:ascii="Verdana" w:hAnsi="Verdana" w:cs="Arial"/>
                <w:lang w:val="pt-BR"/>
              </w:rPr>
              <w:t xml:space="preserve">Expediente 21.699. C.P. Ruth Stella Correa Palacio. </w:t>
            </w:r>
          </w:p>
          <w:p w14:paraId="0F222D56"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4351C6">
              <w:rPr>
                <w:rFonts w:ascii="Verdana" w:hAnsi="Verdana" w:cs="Arial"/>
              </w:rPr>
              <w:t xml:space="preserve">CONSEJO DE ESTADO, Sección Tercera. Sentencia del 19 de julio de 2018, Expediente 36.711. </w:t>
            </w:r>
            <w:r w:rsidRPr="00341565">
              <w:rPr>
                <w:rFonts w:ascii="Verdana" w:hAnsi="Verdana" w:cs="Arial"/>
                <w:lang w:val="pt-BR"/>
              </w:rPr>
              <w:t xml:space="preserve">C.P. Carlos Alberto Zambrano </w:t>
            </w:r>
            <w:proofErr w:type="spellStart"/>
            <w:r w:rsidRPr="00341565">
              <w:rPr>
                <w:rFonts w:ascii="Verdana" w:hAnsi="Verdana" w:cs="Arial"/>
                <w:lang w:val="pt-BR"/>
              </w:rPr>
              <w:t>Barrera</w:t>
            </w:r>
            <w:proofErr w:type="spellEnd"/>
            <w:r w:rsidRPr="00341565">
              <w:rPr>
                <w:rFonts w:ascii="Verdana" w:hAnsi="Verdana" w:cs="Arial"/>
                <w:lang w:val="pt-BR"/>
              </w:rPr>
              <w:t>.</w:t>
            </w:r>
          </w:p>
          <w:p w14:paraId="2D320227" w14:textId="77777777" w:rsidR="00570692" w:rsidRPr="004351C6" w:rsidRDefault="00570692" w:rsidP="00570692">
            <w:pPr>
              <w:widowControl w:val="0"/>
              <w:numPr>
                <w:ilvl w:val="0"/>
                <w:numId w:val="20"/>
              </w:numPr>
              <w:autoSpaceDE w:val="0"/>
              <w:autoSpaceDN w:val="0"/>
              <w:spacing w:before="120" w:after="120" w:line="276" w:lineRule="auto"/>
              <w:jc w:val="both"/>
              <w:rPr>
                <w:rFonts w:ascii="Verdana" w:hAnsi="Verdana" w:cs="Arial"/>
              </w:rPr>
            </w:pPr>
            <w:r w:rsidRPr="00341565">
              <w:rPr>
                <w:rFonts w:ascii="Verdana" w:hAnsi="Verdana" w:cs="Arial"/>
                <w:lang w:val="pt-BR"/>
              </w:rPr>
              <w:t xml:space="preserve">CORTE CONSTITUCIONAL. Sentencia C-183 de 2003. </w:t>
            </w:r>
            <w:r w:rsidRPr="004351C6">
              <w:rPr>
                <w:rFonts w:ascii="Verdana" w:hAnsi="Verdana" w:cs="Arial"/>
              </w:rPr>
              <w:t xml:space="preserve">M.P. Alfredo Beltrán Sierra. </w:t>
            </w:r>
          </w:p>
          <w:p w14:paraId="72896611"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4351C6">
              <w:rPr>
                <w:rFonts w:ascii="Verdana" w:hAnsi="Verdana" w:cs="Arial"/>
              </w:rPr>
              <w:t xml:space="preserve">DÁVILA VINUEZA, Luis Guillermo. Régimen Jurídico de la Contratación Estatal. </w:t>
            </w:r>
            <w:r w:rsidRPr="00341565">
              <w:rPr>
                <w:rFonts w:ascii="Verdana" w:hAnsi="Verdana" w:cs="Arial"/>
                <w:lang w:val="pt-BR"/>
              </w:rPr>
              <w:t xml:space="preserve">Bogotá: Legis, 2016. </w:t>
            </w:r>
          </w:p>
          <w:p w14:paraId="1C1D8CAB" w14:textId="77777777" w:rsidR="00570692" w:rsidRPr="00341565" w:rsidRDefault="00570692" w:rsidP="00570692">
            <w:pPr>
              <w:widowControl w:val="0"/>
              <w:numPr>
                <w:ilvl w:val="0"/>
                <w:numId w:val="20"/>
              </w:numPr>
              <w:autoSpaceDE w:val="0"/>
              <w:autoSpaceDN w:val="0"/>
              <w:spacing w:before="120" w:after="120" w:line="276" w:lineRule="auto"/>
              <w:jc w:val="both"/>
              <w:rPr>
                <w:rFonts w:ascii="Verdana" w:hAnsi="Verdana" w:cs="Arial"/>
                <w:lang w:val="pt-BR"/>
              </w:rPr>
            </w:pPr>
            <w:r w:rsidRPr="004351C6">
              <w:rPr>
                <w:rFonts w:ascii="Verdana" w:hAnsi="Verdana" w:cs="Arial"/>
              </w:rPr>
              <w:t xml:space="preserve">VELÁSQUEZ, Hernán Darío. Estudio sobre obligaciones. </w:t>
            </w:r>
            <w:r w:rsidRPr="00341565">
              <w:rPr>
                <w:rFonts w:ascii="Verdana" w:hAnsi="Verdana" w:cs="Arial"/>
                <w:lang w:val="pt-BR"/>
              </w:rPr>
              <w:t xml:space="preserve">Bogotá: </w:t>
            </w:r>
            <w:proofErr w:type="spellStart"/>
            <w:r w:rsidRPr="00341565">
              <w:rPr>
                <w:rFonts w:ascii="Verdana" w:hAnsi="Verdana" w:cs="Arial"/>
                <w:lang w:val="pt-BR"/>
              </w:rPr>
              <w:t>Temis</w:t>
            </w:r>
            <w:proofErr w:type="spellEnd"/>
            <w:r w:rsidRPr="00341565">
              <w:rPr>
                <w:rFonts w:ascii="Verdana" w:hAnsi="Verdana" w:cs="Arial"/>
                <w:lang w:val="pt-BR"/>
              </w:rPr>
              <w:t xml:space="preserve">, </w:t>
            </w:r>
            <w:proofErr w:type="gramStart"/>
            <w:r w:rsidRPr="00341565">
              <w:rPr>
                <w:rFonts w:ascii="Verdana" w:hAnsi="Verdana" w:cs="Arial"/>
                <w:lang w:val="pt-BR"/>
              </w:rPr>
              <w:t>2010..</w:t>
            </w:r>
            <w:proofErr w:type="gramEnd"/>
          </w:p>
        </w:tc>
      </w:tr>
    </w:tbl>
    <w:p w14:paraId="0315AE0C" w14:textId="77777777" w:rsidR="00570692" w:rsidRPr="00341565" w:rsidRDefault="00570692" w:rsidP="00570692">
      <w:pPr>
        <w:widowControl w:val="0"/>
        <w:autoSpaceDE w:val="0"/>
        <w:autoSpaceDN w:val="0"/>
        <w:spacing w:after="0" w:line="276" w:lineRule="auto"/>
        <w:jc w:val="both"/>
        <w:rPr>
          <w:rFonts w:ascii="Verdana" w:eastAsia="Calibri" w:hAnsi="Verdana" w:cs="Arial"/>
          <w:lang w:val="pt-BR"/>
        </w:rPr>
      </w:pPr>
    </w:p>
    <w:p w14:paraId="71C2B263" w14:textId="77777777" w:rsidR="00570692" w:rsidRPr="00341565" w:rsidRDefault="00570692" w:rsidP="00570692">
      <w:pPr>
        <w:numPr>
          <w:ilvl w:val="0"/>
          <w:numId w:val="36"/>
        </w:numPr>
        <w:tabs>
          <w:tab w:val="left" w:pos="142"/>
          <w:tab w:val="left" w:pos="284"/>
        </w:tabs>
        <w:spacing w:after="0" w:line="276" w:lineRule="auto"/>
        <w:contextualSpacing/>
        <w:jc w:val="both"/>
        <w:rPr>
          <w:rFonts w:ascii="Verdana" w:eastAsia="Century Gothic" w:hAnsi="Verdana" w:cs="Century Gothic"/>
          <w:b/>
          <w:bCs/>
          <w:lang w:val="es-ES"/>
        </w:rPr>
      </w:pPr>
      <w:r w:rsidRPr="00341565">
        <w:rPr>
          <w:rFonts w:ascii="Verdana" w:eastAsia="Century Gothic" w:hAnsi="Verdana" w:cs="Century Gothic"/>
          <w:b/>
          <w:bCs/>
          <w:lang w:val="es-ES"/>
        </w:rPr>
        <w:t>Doctrina de la Agencia Nacional de Contratación Pública:</w:t>
      </w:r>
    </w:p>
    <w:p w14:paraId="55426A5D" w14:textId="77777777" w:rsidR="00570692" w:rsidRPr="00341565" w:rsidRDefault="00570692" w:rsidP="00570692">
      <w:pPr>
        <w:widowControl w:val="0"/>
        <w:autoSpaceDE w:val="0"/>
        <w:autoSpaceDN w:val="0"/>
        <w:spacing w:after="0" w:line="276" w:lineRule="auto"/>
        <w:jc w:val="both"/>
        <w:rPr>
          <w:rFonts w:ascii="Verdana" w:eastAsia="Calibri" w:hAnsi="Verdana" w:cs="Arial"/>
        </w:rPr>
      </w:pPr>
    </w:p>
    <w:p w14:paraId="6FF76001" w14:textId="610D897E" w:rsidR="00570692" w:rsidRPr="00341565" w:rsidRDefault="00570692" w:rsidP="00570692">
      <w:pPr>
        <w:widowControl w:val="0"/>
        <w:autoSpaceDE w:val="0"/>
        <w:autoSpaceDN w:val="0"/>
        <w:spacing w:after="0" w:line="276" w:lineRule="auto"/>
        <w:jc w:val="both"/>
        <w:rPr>
          <w:rFonts w:ascii="Verdana" w:eastAsia="Calibri" w:hAnsi="Verdana" w:cs="Arial"/>
          <w:shd w:val="clear" w:color="auto" w:fill="FFFFFF"/>
          <w:lang w:val="es-ES"/>
        </w:rPr>
      </w:pPr>
      <w:r w:rsidRPr="00341565">
        <w:rPr>
          <w:rFonts w:ascii="Verdana" w:eastAsia="Calibri" w:hAnsi="Verdana" w:cs="Arial"/>
          <w:shd w:val="clear" w:color="auto" w:fill="FFFFFF"/>
        </w:rPr>
        <w:t xml:space="preserve">La Agencia Nacional de Contratación Pública – Colombia Compra Eficiente </w:t>
      </w:r>
      <w:r w:rsidRPr="00341565">
        <w:rPr>
          <w:rFonts w:ascii="Verdana" w:eastAsia="Calibri" w:hAnsi="Verdana" w:cs="Times New Roman"/>
          <w:shd w:val="clear" w:color="auto" w:fill="FFFFFF"/>
        </w:rPr>
        <w:t xml:space="preserve">ha revisado la enajenación a título gratuito en conceptos No. 2201913000007905 del 23 de octubre de 2019, 2201913000008259 del 6 de noviembre de 2019, C-186 del 17 de marzo de 2020, C-661 del 17 de noviembre de 2020, C-397 del 18 de julio de 2022, C-704 de 2022 y C-309 del 22 de agosto de 2024, C-361 del 2 de mayo de 2025, </w:t>
      </w:r>
      <w:r w:rsidRPr="00341565">
        <w:rPr>
          <w:rFonts w:ascii="Verdana" w:eastAsia="Calibri" w:hAnsi="Verdana" w:cs="Arial"/>
          <w:shd w:val="clear" w:color="auto" w:fill="FFFFFF"/>
          <w:lang w:val="es-ES"/>
        </w:rPr>
        <w:t xml:space="preserve">entre otros. En todo caso, </w:t>
      </w:r>
      <w:r w:rsidRPr="00341565">
        <w:rPr>
          <w:rFonts w:ascii="Verdana" w:eastAsia="Calibri" w:hAnsi="Verdana" w:cs="Arial"/>
          <w:bCs/>
          <w:shd w:val="clear" w:color="auto" w:fill="FFFFFF"/>
        </w:rPr>
        <w:t>este concepto tiene una particularidad, pues analiza las condiciones y requisitos para la enajenación de bienes inmuebles por parte de las entidades públicas</w:t>
      </w:r>
      <w:r w:rsidR="006266D7">
        <w:rPr>
          <w:rFonts w:ascii="Verdana" w:eastAsia="Calibri" w:hAnsi="Verdana" w:cs="Arial"/>
          <w:bCs/>
          <w:shd w:val="clear" w:color="auto" w:fill="FFFFFF"/>
        </w:rPr>
        <w:t xml:space="preserve"> del orden nacional</w:t>
      </w:r>
      <w:r w:rsidRPr="00341565">
        <w:rPr>
          <w:rFonts w:ascii="Verdana" w:eastAsia="Calibri" w:hAnsi="Verdana" w:cs="Arial"/>
          <w:bCs/>
          <w:shd w:val="clear" w:color="auto" w:fill="FFFFFF"/>
        </w:rPr>
        <w:t xml:space="preserve"> a CISA. </w:t>
      </w:r>
      <w:r w:rsidRPr="00341565">
        <w:rPr>
          <w:rFonts w:ascii="Verdana" w:eastAsia="Calibri" w:hAnsi="Verdana" w:cs="Arial"/>
          <w:shd w:val="clear" w:color="auto" w:fill="FFFFFF"/>
        </w:rPr>
        <w:t>E</w:t>
      </w:r>
      <w:proofErr w:type="spellStart"/>
      <w:r w:rsidRPr="00341565">
        <w:rPr>
          <w:rFonts w:ascii="Verdana" w:eastAsia="Calibri" w:hAnsi="Verdana" w:cs="Arial"/>
          <w:shd w:val="clear" w:color="auto" w:fill="FFFFFF"/>
          <w:lang w:val="es-ES"/>
        </w:rPr>
        <w:t>stos</w:t>
      </w:r>
      <w:proofErr w:type="spellEnd"/>
      <w:r w:rsidRPr="00341565">
        <w:rPr>
          <w:rFonts w:ascii="Verdana" w:eastAsia="Calibri" w:hAnsi="Verdana" w:cs="Arial"/>
          <w:shd w:val="clear" w:color="auto" w:fill="FFFFFF"/>
          <w:lang w:val="es-ES"/>
        </w:rPr>
        <w:t xml:space="preserve"> y otros </w:t>
      </w:r>
      <w:r w:rsidRPr="00341565">
        <w:rPr>
          <w:rFonts w:ascii="Verdana" w:eastAsia="Calibri" w:hAnsi="Verdana" w:cs="Times New Roman"/>
        </w:rPr>
        <w:t>conceptos se encuentran disponibles para consulta en el Sistema de relatoría de la Agencia, al cual se puede acceder a través del siguiente enlace:</w:t>
      </w:r>
      <w:r w:rsidRPr="00341565">
        <w:rPr>
          <w:rFonts w:ascii="Verdana" w:eastAsia="Calibri" w:hAnsi="Verdana" w:cs="Arial"/>
          <w:shd w:val="clear" w:color="auto" w:fill="FFFFFF"/>
        </w:rPr>
        <w:t xml:space="preserve"> </w:t>
      </w:r>
      <w:hyperlink r:id="rId20" w:history="1">
        <w:r w:rsidRPr="00341565">
          <w:rPr>
            <w:rFonts w:ascii="Verdana" w:eastAsia="Calibri" w:hAnsi="Verdana" w:cs="Arial"/>
            <w:color w:val="0563C1" w:themeColor="hyperlink"/>
            <w:u w:val="single"/>
            <w:shd w:val="clear" w:color="auto" w:fill="FFFFFF"/>
          </w:rPr>
          <w:t>https://relatoria.colombiacompra.gov.co/busqueda/conceptos</w:t>
        </w:r>
      </w:hyperlink>
      <w:r w:rsidRPr="00341565">
        <w:rPr>
          <w:rFonts w:ascii="Verdana" w:eastAsia="Calibri" w:hAnsi="Verdana" w:cs="Arial"/>
          <w:shd w:val="clear" w:color="auto" w:fill="FFFFFF"/>
        </w:rPr>
        <w:t>.</w:t>
      </w:r>
      <w:r w:rsidRPr="00341565">
        <w:rPr>
          <w:rFonts w:ascii="Verdana" w:eastAsia="Calibri" w:hAnsi="Verdana" w:cs="Arial"/>
          <w:color w:val="FF0000"/>
          <w:shd w:val="clear" w:color="auto" w:fill="FFFFFF"/>
        </w:rPr>
        <w:t xml:space="preserve"> </w:t>
      </w:r>
      <w:r w:rsidRPr="00341565">
        <w:rPr>
          <w:rFonts w:ascii="Verdana" w:eastAsia="Calibri" w:hAnsi="Verdana" w:cs="Arial"/>
          <w:color w:val="000000" w:themeColor="text1"/>
          <w:shd w:val="clear" w:color="auto" w:fill="FFFFFF"/>
        </w:rPr>
        <w:t>  </w:t>
      </w:r>
    </w:p>
    <w:p w14:paraId="002AE7A0" w14:textId="77777777" w:rsidR="00570692" w:rsidRPr="00341565" w:rsidRDefault="00570692" w:rsidP="00570692">
      <w:pPr>
        <w:spacing w:after="0" w:line="256" w:lineRule="auto"/>
        <w:jc w:val="both"/>
        <w:rPr>
          <w:rFonts w:ascii="Verdana" w:eastAsia="Calibri" w:hAnsi="Verdana" w:cs="Times New Roman"/>
        </w:rPr>
      </w:pPr>
    </w:p>
    <w:p w14:paraId="09048FEA" w14:textId="77777777" w:rsidR="00570692" w:rsidRPr="00341565" w:rsidRDefault="00570692" w:rsidP="00570692">
      <w:pPr>
        <w:spacing w:after="0" w:line="256" w:lineRule="auto"/>
        <w:jc w:val="both"/>
        <w:rPr>
          <w:rFonts w:ascii="Verdana" w:eastAsia="Calibri" w:hAnsi="Verdana" w:cs="Times New Roman"/>
        </w:rPr>
      </w:pPr>
      <w:r w:rsidRPr="00341565">
        <w:rPr>
          <w:rFonts w:ascii="Verdana" w:eastAsia="Calibri" w:hAnsi="Verdana" w:cs="Times New Roman"/>
        </w:rPr>
        <w:t xml:space="preserve">Por último, aprovechamos la oportunidad de manifestar la entera disposición de la Agencia Nacional de Contratación Pública –Colombia Compra Eficiente– para atender las peticiones o solicitudes, así como para brindar el apoyo que se </w:t>
      </w:r>
      <w:r w:rsidRPr="00341565">
        <w:rPr>
          <w:rFonts w:ascii="Verdana" w:eastAsia="Calibri" w:hAnsi="Verdana" w:cs="Times New Roman"/>
        </w:rPr>
        <w:lastRenderedPageBreak/>
        <w:t xml:space="preserve">requiera en el marco de nuestras funciones a través de nuestros diferentes canales de atención: </w:t>
      </w:r>
    </w:p>
    <w:p w14:paraId="0F11ACA0" w14:textId="77777777" w:rsidR="00570692" w:rsidRPr="00341565" w:rsidRDefault="00570692" w:rsidP="00570692">
      <w:pPr>
        <w:spacing w:after="0" w:line="240" w:lineRule="auto"/>
        <w:jc w:val="both"/>
        <w:rPr>
          <w:rFonts w:ascii="Verdana" w:eastAsia="Calibri" w:hAnsi="Verdana" w:cs="Times New Roman"/>
        </w:rPr>
      </w:pPr>
    </w:p>
    <w:p w14:paraId="341822D9" w14:textId="77777777" w:rsidR="00570692" w:rsidRPr="00341565" w:rsidRDefault="00570692" w:rsidP="00570692">
      <w:pPr>
        <w:numPr>
          <w:ilvl w:val="0"/>
          <w:numId w:val="15"/>
        </w:numPr>
        <w:spacing w:after="0" w:line="240" w:lineRule="auto"/>
        <w:contextualSpacing/>
        <w:jc w:val="both"/>
        <w:rPr>
          <w:rFonts w:ascii="Verdana" w:hAnsi="Verdana"/>
          <w:lang w:val="es-ES"/>
        </w:rPr>
      </w:pPr>
      <w:r w:rsidRPr="00341565">
        <w:rPr>
          <w:rFonts w:ascii="Verdana" w:hAnsi="Verdana"/>
          <w:lang w:val="es-ES"/>
        </w:rPr>
        <w:t>Línea nacional gratuita o servicio a la ciudadanía: 01800 0520808</w:t>
      </w:r>
    </w:p>
    <w:p w14:paraId="1CFDBA49" w14:textId="77777777" w:rsidR="00570692" w:rsidRPr="00341565" w:rsidRDefault="00570692" w:rsidP="00570692">
      <w:pPr>
        <w:numPr>
          <w:ilvl w:val="0"/>
          <w:numId w:val="15"/>
        </w:numPr>
        <w:spacing w:after="0" w:line="240" w:lineRule="auto"/>
        <w:contextualSpacing/>
        <w:jc w:val="both"/>
        <w:rPr>
          <w:rFonts w:ascii="Verdana" w:hAnsi="Verdana"/>
          <w:lang w:val="es-ES"/>
        </w:rPr>
      </w:pPr>
      <w:r w:rsidRPr="00341565">
        <w:rPr>
          <w:rFonts w:ascii="Verdana" w:hAnsi="Verdana"/>
          <w:lang w:val="es-ES"/>
        </w:rPr>
        <w:t>Línea en Bogotá (Mesa de servicio): +57 601 7456788</w:t>
      </w:r>
    </w:p>
    <w:p w14:paraId="4CE03D60" w14:textId="77777777" w:rsidR="00570692" w:rsidRPr="00341565" w:rsidRDefault="00570692" w:rsidP="00570692">
      <w:pPr>
        <w:numPr>
          <w:ilvl w:val="0"/>
          <w:numId w:val="15"/>
        </w:numPr>
        <w:spacing w:after="0" w:line="240" w:lineRule="auto"/>
        <w:contextualSpacing/>
        <w:jc w:val="both"/>
        <w:rPr>
          <w:rFonts w:ascii="Verdana" w:hAnsi="Verdana"/>
          <w:lang w:val="es-ES"/>
        </w:rPr>
      </w:pPr>
      <w:r w:rsidRPr="00341565">
        <w:rPr>
          <w:rFonts w:ascii="Verdana" w:hAnsi="Verdana"/>
          <w:lang w:val="es-ES"/>
        </w:rPr>
        <w:t>Línea de servicio y atención al ciudadano: +57 601 7956600</w:t>
      </w:r>
    </w:p>
    <w:p w14:paraId="519F6C92" w14:textId="77777777" w:rsidR="00570692" w:rsidRPr="00341565" w:rsidRDefault="00570692" w:rsidP="00570692">
      <w:pPr>
        <w:numPr>
          <w:ilvl w:val="0"/>
          <w:numId w:val="15"/>
        </w:numPr>
        <w:spacing w:after="0" w:line="240" w:lineRule="auto"/>
        <w:contextualSpacing/>
        <w:jc w:val="both"/>
        <w:rPr>
          <w:rFonts w:ascii="Verdana" w:hAnsi="Verdana"/>
          <w:lang w:val="es-ES"/>
        </w:rPr>
      </w:pPr>
      <w:r w:rsidRPr="00341565">
        <w:rPr>
          <w:rFonts w:ascii="Verdana" w:hAnsi="Verdana"/>
          <w:lang w:val="es-ES"/>
        </w:rPr>
        <w:t xml:space="preserve">Página web: </w:t>
      </w:r>
      <w:hyperlink r:id="rId21" w:history="1">
        <w:r w:rsidRPr="00341565">
          <w:rPr>
            <w:rFonts w:ascii="Verdana" w:hAnsi="Verdana"/>
            <w:color w:val="0000FF"/>
            <w:u w:val="single"/>
            <w:lang w:val="es-ES"/>
          </w:rPr>
          <w:t>www.colombiacompra.gov.co</w:t>
        </w:r>
      </w:hyperlink>
    </w:p>
    <w:p w14:paraId="6C14F35B" w14:textId="77777777" w:rsidR="00570692" w:rsidRPr="00341565" w:rsidRDefault="00570692" w:rsidP="00570692">
      <w:pPr>
        <w:spacing w:after="0" w:line="240" w:lineRule="auto"/>
        <w:ind w:left="785"/>
        <w:contextualSpacing/>
        <w:jc w:val="both"/>
        <w:rPr>
          <w:rFonts w:ascii="Verdana" w:hAnsi="Verdana"/>
          <w:lang w:val="es-ES"/>
        </w:rPr>
      </w:pPr>
    </w:p>
    <w:p w14:paraId="7AC8CD7C" w14:textId="77777777" w:rsidR="00570692" w:rsidRPr="00341565" w:rsidRDefault="00570692" w:rsidP="00570692">
      <w:pPr>
        <w:spacing w:after="0" w:line="240" w:lineRule="auto"/>
        <w:jc w:val="both"/>
        <w:rPr>
          <w:rFonts w:ascii="Verdana" w:eastAsia="Calibri" w:hAnsi="Verdana" w:cs="Times New Roman"/>
        </w:rPr>
      </w:pPr>
      <w:r w:rsidRPr="00341565">
        <w:rPr>
          <w:rFonts w:ascii="Verdana" w:eastAsia="Calibri" w:hAnsi="Verdana" w:cs="Times New Roman"/>
        </w:rPr>
        <w:t xml:space="preserve">Por último, lo invitamos a seguirnos en las redes sociales en las cuales se difunde información institucional: </w:t>
      </w:r>
    </w:p>
    <w:p w14:paraId="04800FC0" w14:textId="77777777" w:rsidR="00570692" w:rsidRPr="00341565" w:rsidRDefault="00570692" w:rsidP="00570692">
      <w:pPr>
        <w:spacing w:after="0" w:line="240" w:lineRule="auto"/>
        <w:jc w:val="both"/>
        <w:rPr>
          <w:rFonts w:ascii="Verdana" w:eastAsia="Calibri" w:hAnsi="Verdana" w:cs="Times New Roman"/>
        </w:rPr>
      </w:pPr>
    </w:p>
    <w:p w14:paraId="3FE8FC69" w14:textId="77777777" w:rsidR="00570692" w:rsidRPr="00341565" w:rsidRDefault="00570692" w:rsidP="00570692">
      <w:pPr>
        <w:spacing w:after="0" w:line="240" w:lineRule="auto"/>
        <w:jc w:val="both"/>
        <w:rPr>
          <w:rFonts w:ascii="Verdana" w:eastAsia="Calibri" w:hAnsi="Verdana" w:cs="Times New Roman"/>
        </w:rPr>
      </w:pPr>
      <w:r w:rsidRPr="00341565">
        <w:rPr>
          <w:rFonts w:ascii="Verdana" w:eastAsia="Calibri" w:hAnsi="Verdana" w:cs="Times New Roman"/>
        </w:rPr>
        <w:t xml:space="preserve">Twitter: </w:t>
      </w:r>
      <w:r w:rsidRPr="00341565">
        <w:rPr>
          <w:rFonts w:ascii="Verdana" w:eastAsia="Calibri" w:hAnsi="Verdana" w:cs="Times New Roman"/>
          <w:color w:val="0000FF"/>
          <w:u w:val="single"/>
        </w:rPr>
        <w:t>@colombiacompra</w:t>
      </w:r>
      <w:r w:rsidRPr="00341565">
        <w:rPr>
          <w:rFonts w:ascii="Verdana" w:eastAsia="Calibri" w:hAnsi="Verdana" w:cs="Times New Roman"/>
        </w:rPr>
        <w:t xml:space="preserve"> </w:t>
      </w:r>
    </w:p>
    <w:p w14:paraId="682822CE" w14:textId="77777777" w:rsidR="00570692" w:rsidRPr="00341565" w:rsidRDefault="00570692" w:rsidP="00570692">
      <w:pPr>
        <w:spacing w:after="0" w:line="240" w:lineRule="auto"/>
        <w:jc w:val="both"/>
        <w:rPr>
          <w:rFonts w:ascii="Verdana" w:eastAsia="Calibri" w:hAnsi="Verdana" w:cs="Times New Roman"/>
        </w:rPr>
      </w:pPr>
      <w:r w:rsidRPr="00341565">
        <w:rPr>
          <w:rFonts w:ascii="Verdana" w:eastAsia="Calibri" w:hAnsi="Verdana" w:cs="Times New Roman"/>
        </w:rPr>
        <w:t xml:space="preserve">Facebook: </w:t>
      </w:r>
      <w:proofErr w:type="spellStart"/>
      <w:r w:rsidRPr="00341565">
        <w:rPr>
          <w:rFonts w:ascii="Verdana" w:eastAsia="Calibri" w:hAnsi="Verdana" w:cs="Times New Roman"/>
          <w:color w:val="0000FF"/>
          <w:u w:val="single"/>
        </w:rPr>
        <w:t>ColombiaCompraEficiente</w:t>
      </w:r>
      <w:proofErr w:type="spellEnd"/>
    </w:p>
    <w:p w14:paraId="66CC30CB" w14:textId="77777777" w:rsidR="00570692" w:rsidRPr="00341565" w:rsidRDefault="00570692" w:rsidP="00570692">
      <w:pPr>
        <w:spacing w:after="0" w:line="240" w:lineRule="auto"/>
        <w:jc w:val="both"/>
        <w:rPr>
          <w:rFonts w:ascii="Verdana" w:eastAsia="Calibri" w:hAnsi="Verdana" w:cs="Times New Roman"/>
        </w:rPr>
      </w:pPr>
      <w:r w:rsidRPr="00341565">
        <w:rPr>
          <w:rFonts w:ascii="Verdana" w:eastAsia="Calibri" w:hAnsi="Verdana" w:cs="Times New Roman"/>
        </w:rPr>
        <w:t xml:space="preserve">LinkedIn: </w:t>
      </w:r>
      <w:r w:rsidRPr="00341565">
        <w:rPr>
          <w:rFonts w:ascii="Verdana" w:eastAsia="Calibri" w:hAnsi="Verdana" w:cs="Times New Roman"/>
          <w:color w:val="0000FF"/>
          <w:u w:val="single"/>
        </w:rPr>
        <w:t>Agencia Nacional de Contratación Pública - Colombia Compra Eficiente</w:t>
      </w:r>
      <w:r w:rsidRPr="00341565">
        <w:rPr>
          <w:rFonts w:ascii="Verdana" w:eastAsia="Calibri" w:hAnsi="Verdana" w:cs="Times New Roman"/>
        </w:rPr>
        <w:t xml:space="preserve"> Instagram: </w:t>
      </w:r>
      <w:r w:rsidRPr="00341565">
        <w:rPr>
          <w:rFonts w:ascii="Verdana" w:eastAsia="Calibri" w:hAnsi="Verdana" w:cs="Times New Roman"/>
          <w:color w:val="0000FF"/>
          <w:u w:val="single"/>
        </w:rPr>
        <w:t>@colombiacompraeficiente_cce</w:t>
      </w:r>
    </w:p>
    <w:p w14:paraId="4278D488" w14:textId="77777777" w:rsidR="00570692" w:rsidRPr="00341565" w:rsidRDefault="00570692" w:rsidP="00570692">
      <w:pPr>
        <w:spacing w:after="0" w:line="240" w:lineRule="auto"/>
        <w:jc w:val="both"/>
        <w:rPr>
          <w:rFonts w:ascii="Verdana" w:eastAsia="Calibri" w:hAnsi="Verdana" w:cs="Times New Roman"/>
        </w:rPr>
      </w:pPr>
    </w:p>
    <w:p w14:paraId="307E37C1" w14:textId="77777777" w:rsidR="00570692" w:rsidRPr="00341565" w:rsidRDefault="00570692" w:rsidP="00570692">
      <w:pPr>
        <w:spacing w:after="0" w:line="254" w:lineRule="auto"/>
        <w:jc w:val="both"/>
        <w:rPr>
          <w:rFonts w:ascii="Verdana" w:eastAsia="Calibri" w:hAnsi="Verdana" w:cs="Times New Roman"/>
          <w:bCs/>
          <w:lang w:val="es-ES_tradnl"/>
        </w:rPr>
      </w:pPr>
      <w:r w:rsidRPr="0034156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52DB27D" w14:textId="77777777" w:rsidR="00570692" w:rsidRPr="00341565" w:rsidRDefault="00570692" w:rsidP="00570692">
      <w:pPr>
        <w:spacing w:after="0" w:line="254" w:lineRule="auto"/>
        <w:jc w:val="both"/>
        <w:rPr>
          <w:rFonts w:ascii="Verdana" w:eastAsia="Calibri" w:hAnsi="Verdana" w:cs="Times New Roman"/>
        </w:rPr>
      </w:pPr>
    </w:p>
    <w:p w14:paraId="5B67092D" w14:textId="196637B9" w:rsidR="00570692" w:rsidRDefault="00570692" w:rsidP="00DB2AC7">
      <w:pPr>
        <w:spacing w:after="0" w:line="254" w:lineRule="auto"/>
        <w:jc w:val="both"/>
        <w:rPr>
          <w:rFonts w:ascii="Verdana" w:eastAsia="Calibri" w:hAnsi="Verdana" w:cs="Times New Roman"/>
        </w:rPr>
      </w:pPr>
      <w:r w:rsidRPr="00341565">
        <w:rPr>
          <w:rFonts w:ascii="Verdana" w:eastAsia="Calibri" w:hAnsi="Verdana" w:cs="Times New Roman"/>
        </w:rPr>
        <w:t>Atentamente,</w:t>
      </w:r>
    </w:p>
    <w:p w14:paraId="01746BA8" w14:textId="77777777" w:rsidR="00DB2AC7" w:rsidRPr="00DB2AC7" w:rsidRDefault="00DB2AC7" w:rsidP="00DB2AC7">
      <w:pPr>
        <w:spacing w:after="0" w:line="254" w:lineRule="auto"/>
        <w:jc w:val="both"/>
        <w:rPr>
          <w:rFonts w:ascii="Verdana" w:eastAsia="Calibri" w:hAnsi="Verdana" w:cs="Times New Roman"/>
        </w:rPr>
      </w:pPr>
    </w:p>
    <w:p w14:paraId="1AD7ED73" w14:textId="4F16EE61" w:rsidR="00570692" w:rsidRDefault="00DB2AC7" w:rsidP="00DB2AC7">
      <w:pPr>
        <w:spacing w:after="0" w:line="254" w:lineRule="auto"/>
        <w:jc w:val="center"/>
        <w:rPr>
          <w:rFonts w:ascii="Century Gothic" w:eastAsia="Calibri" w:hAnsi="Century Gothic" w:cs="Times New Roman"/>
          <w:noProof/>
          <w:lang w:val="en-US"/>
        </w:rPr>
      </w:pPr>
      <w:r w:rsidRPr="002C3AD6">
        <w:rPr>
          <w:rFonts w:ascii="Century Gothic" w:hAnsi="Century Gothic"/>
          <w:noProof/>
          <w:lang w:val="en-US"/>
        </w:rPr>
        <w:drawing>
          <wp:inline distT="0" distB="0" distL="0" distR="0" wp14:anchorId="3E846553" wp14:editId="783006E7">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312722" cy="1229722"/>
                    </a:xfrm>
                    <a:prstGeom prst="rect">
                      <a:avLst/>
                    </a:prstGeom>
                  </pic:spPr>
                </pic:pic>
              </a:graphicData>
            </a:graphic>
          </wp:inline>
        </w:drawing>
      </w:r>
    </w:p>
    <w:p w14:paraId="3DC3D628" w14:textId="77777777" w:rsidR="00DB2AC7" w:rsidRPr="00341565" w:rsidRDefault="00DB2AC7" w:rsidP="00DB2AC7">
      <w:pPr>
        <w:spacing w:after="0" w:line="254" w:lineRule="auto"/>
        <w:jc w:val="center"/>
        <w:rPr>
          <w:rFonts w:ascii="Century Gothic" w:eastAsia="Calibri" w:hAnsi="Century Gothic" w:cs="Times New Roman"/>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70692" w:rsidRPr="00341565" w14:paraId="40E4C1F5" w14:textId="77777777" w:rsidTr="00470607">
        <w:trPr>
          <w:trHeight w:val="409"/>
        </w:trPr>
        <w:tc>
          <w:tcPr>
            <w:tcW w:w="817" w:type="dxa"/>
            <w:tcBorders>
              <w:top w:val="nil"/>
              <w:left w:val="nil"/>
              <w:bottom w:val="nil"/>
              <w:right w:val="nil"/>
            </w:tcBorders>
            <w:vAlign w:val="center"/>
            <w:hideMark/>
          </w:tcPr>
          <w:p w14:paraId="68BD100B"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81D69D6"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José Luis Sánchez Cardona</w:t>
            </w:r>
          </w:p>
          <w:p w14:paraId="5B720989"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Contratista de la Subdirección de Gestión Contractual</w:t>
            </w:r>
          </w:p>
        </w:tc>
      </w:tr>
      <w:tr w:rsidR="00570692" w:rsidRPr="00341565" w14:paraId="4EDC29BD" w14:textId="77777777" w:rsidTr="00470607">
        <w:trPr>
          <w:trHeight w:val="409"/>
        </w:trPr>
        <w:tc>
          <w:tcPr>
            <w:tcW w:w="817" w:type="dxa"/>
            <w:tcBorders>
              <w:top w:val="nil"/>
              <w:left w:val="nil"/>
              <w:bottom w:val="nil"/>
              <w:right w:val="nil"/>
            </w:tcBorders>
            <w:vAlign w:val="center"/>
            <w:hideMark/>
          </w:tcPr>
          <w:p w14:paraId="22F1B124"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D258374"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Alejandro Sarmiento Cantillo</w:t>
            </w:r>
          </w:p>
          <w:p w14:paraId="1330B6A9"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Gestor T1-15 de la Subdirección de Gestión Contractual </w:t>
            </w:r>
          </w:p>
        </w:tc>
      </w:tr>
      <w:tr w:rsidR="00570692" w:rsidRPr="00341565" w14:paraId="3720907C" w14:textId="77777777" w:rsidTr="00470607">
        <w:trPr>
          <w:trHeight w:val="389"/>
        </w:trPr>
        <w:tc>
          <w:tcPr>
            <w:tcW w:w="817" w:type="dxa"/>
            <w:tcBorders>
              <w:top w:val="nil"/>
              <w:left w:val="nil"/>
              <w:bottom w:val="nil"/>
              <w:right w:val="nil"/>
            </w:tcBorders>
            <w:vAlign w:val="center"/>
            <w:hideMark/>
          </w:tcPr>
          <w:p w14:paraId="6F3A2846"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52805DC"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 xml:space="preserve">Carolina Quintero </w:t>
            </w:r>
            <w:proofErr w:type="spellStart"/>
            <w:r w:rsidRPr="00341565">
              <w:rPr>
                <w:rFonts w:ascii="Verdana" w:eastAsia="Calibri" w:hAnsi="Verdana" w:cs="Times New Roman"/>
                <w:sz w:val="16"/>
                <w:szCs w:val="16"/>
              </w:rPr>
              <w:t>Gacharná</w:t>
            </w:r>
            <w:proofErr w:type="spellEnd"/>
          </w:p>
          <w:p w14:paraId="0B75894A" w14:textId="77777777" w:rsidR="00570692" w:rsidRPr="00341565" w:rsidRDefault="00570692" w:rsidP="00470607">
            <w:pPr>
              <w:spacing w:after="0" w:line="254" w:lineRule="auto"/>
              <w:rPr>
                <w:rFonts w:ascii="Verdana" w:eastAsia="Calibri" w:hAnsi="Verdana" w:cs="Times New Roman"/>
                <w:sz w:val="16"/>
                <w:szCs w:val="16"/>
              </w:rPr>
            </w:pPr>
            <w:r w:rsidRPr="00341565">
              <w:rPr>
                <w:rFonts w:ascii="Verdana" w:eastAsia="Calibri" w:hAnsi="Verdana" w:cs="Times New Roman"/>
                <w:sz w:val="16"/>
                <w:szCs w:val="16"/>
              </w:rPr>
              <w:t>Subdirectora de Gestión Contractual ANCP – CCE</w:t>
            </w:r>
          </w:p>
        </w:tc>
      </w:tr>
    </w:tbl>
    <w:p w14:paraId="7753AC27" w14:textId="77777777" w:rsidR="00570692" w:rsidRPr="00341565" w:rsidRDefault="00570692" w:rsidP="00570692">
      <w:pPr>
        <w:spacing w:after="0" w:line="256" w:lineRule="auto"/>
        <w:ind w:left="708" w:hanging="708"/>
        <w:rPr>
          <w:rFonts w:ascii="Verdana" w:eastAsia="Calibri" w:hAnsi="Verdana" w:cs="Times New Roman"/>
          <w:lang w:val="es-ES"/>
        </w:rPr>
      </w:pPr>
    </w:p>
    <w:bookmarkEnd w:id="0"/>
    <w:p w14:paraId="60003C77" w14:textId="77777777" w:rsidR="00570692" w:rsidRPr="0044528D" w:rsidRDefault="00570692" w:rsidP="00570692">
      <w:pPr>
        <w:spacing w:after="0" w:line="240" w:lineRule="auto"/>
        <w:textAlignment w:val="baseline"/>
        <w:rPr>
          <w:rFonts w:ascii="Verdana" w:eastAsia="Times New Roman" w:hAnsi="Verdana" w:cs="Segoe UI"/>
          <w:b/>
          <w:bCs/>
          <w:color w:val="46589C"/>
          <w:lang w:val="es-ES" w:eastAsia="es-CO"/>
        </w:rPr>
      </w:pPr>
    </w:p>
    <w:p w14:paraId="45443BA1" w14:textId="77777777" w:rsidR="00A1362A" w:rsidRPr="00570692" w:rsidRDefault="00A1362A" w:rsidP="00570692">
      <w:pPr>
        <w:rPr>
          <w:lang w:val="es-ES"/>
        </w:rPr>
      </w:pPr>
    </w:p>
    <w:sectPr w:rsidR="00A1362A" w:rsidRPr="00570692"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76E5A" w14:textId="77777777" w:rsidR="00B470FF" w:rsidRDefault="00B470FF" w:rsidP="004A1847">
      <w:pPr>
        <w:spacing w:after="0" w:line="240" w:lineRule="auto"/>
      </w:pPr>
      <w:r>
        <w:separator/>
      </w:r>
    </w:p>
  </w:endnote>
  <w:endnote w:type="continuationSeparator" w:id="0">
    <w:p w14:paraId="463B8369" w14:textId="77777777" w:rsidR="00B470FF" w:rsidRDefault="00B470FF" w:rsidP="004A1847">
      <w:pPr>
        <w:spacing w:after="0" w:line="240" w:lineRule="auto"/>
      </w:pPr>
      <w:r>
        <w:continuationSeparator/>
      </w:r>
    </w:p>
  </w:endnote>
  <w:endnote w:type="continuationNotice" w:id="1">
    <w:p w14:paraId="01C7EC62" w14:textId="77777777" w:rsidR="00B470FF" w:rsidRDefault="00B47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71012507"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6266D7" w:rsidRPr="006266D7">
      <w:rPr>
        <w:rFonts w:ascii="Verdana" w:eastAsiaTheme="minorEastAsia" w:hAnsi="Verdana"/>
        <w:b/>
        <w:bCs/>
        <w:noProof/>
        <w:sz w:val="16"/>
        <w:szCs w:val="16"/>
      </w:rPr>
      <w:t>13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25A32" w14:textId="77777777" w:rsidR="00B470FF" w:rsidRDefault="00B470FF" w:rsidP="004A1847">
      <w:pPr>
        <w:spacing w:after="0" w:line="240" w:lineRule="auto"/>
      </w:pPr>
      <w:r>
        <w:separator/>
      </w:r>
    </w:p>
  </w:footnote>
  <w:footnote w:type="continuationSeparator" w:id="0">
    <w:p w14:paraId="5358E5AC" w14:textId="77777777" w:rsidR="00B470FF" w:rsidRDefault="00B470FF" w:rsidP="004A1847">
      <w:pPr>
        <w:spacing w:after="0" w:line="240" w:lineRule="auto"/>
      </w:pPr>
      <w:r>
        <w:continuationSeparator/>
      </w:r>
    </w:p>
  </w:footnote>
  <w:footnote w:type="continuationNotice" w:id="1">
    <w:p w14:paraId="2484035F" w14:textId="77777777" w:rsidR="00B470FF" w:rsidRDefault="00B470FF">
      <w:pPr>
        <w:spacing w:after="0" w:line="240" w:lineRule="auto"/>
      </w:pPr>
    </w:p>
  </w:footnote>
  <w:footnote w:id="2">
    <w:p w14:paraId="5A4E28C6" w14:textId="77777777" w:rsidR="00570692" w:rsidRPr="00341565" w:rsidRDefault="00570692" w:rsidP="00570692">
      <w:pPr>
        <w:pStyle w:val="Textonotapie"/>
        <w:ind w:firstLine="708"/>
        <w:jc w:val="both"/>
        <w:rPr>
          <w:rFonts w:ascii="Verdana" w:hAnsi="Verdana" w:cs="Arial"/>
          <w:color w:val="000000" w:themeColor="text1"/>
          <w:sz w:val="14"/>
          <w:szCs w:val="14"/>
        </w:rPr>
      </w:pP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En los términos del artículo 665 del Código Civil: “Derecho real es el que tenemos sobre una cosa sin especto a determinada persona.</w:t>
      </w:r>
    </w:p>
    <w:p w14:paraId="037F0A8D" w14:textId="77777777" w:rsidR="00570692" w:rsidRPr="00341565" w:rsidRDefault="00570692" w:rsidP="00570692">
      <w:pPr>
        <w:pStyle w:val="Textonotapie"/>
        <w:ind w:firstLine="708"/>
        <w:jc w:val="both"/>
        <w:rPr>
          <w:rFonts w:ascii="Verdana" w:hAnsi="Verdana" w:cs="Arial"/>
          <w:color w:val="000000" w:themeColor="text1"/>
          <w:sz w:val="14"/>
          <w:szCs w:val="14"/>
        </w:rPr>
      </w:pPr>
      <w:r w:rsidRPr="00341565">
        <w:rPr>
          <w:rFonts w:ascii="Verdana" w:hAnsi="Verdana" w:cs="Arial"/>
          <w:color w:val="000000" w:themeColor="text1"/>
          <w:sz w:val="14"/>
          <w:szCs w:val="14"/>
        </w:rPr>
        <w:t>“Son derechos reales el de dominio, el de herencia, los de usufructo, uso o habitación, los de servidumbres activas, el de prenda y el de hipoteca. De estos derechos nacen las acciones reales”.</w:t>
      </w:r>
    </w:p>
  </w:footnote>
  <w:footnote w:id="3">
    <w:p w14:paraId="3BC475CD" w14:textId="77777777" w:rsidR="00570692" w:rsidRPr="00341565" w:rsidRDefault="00570692" w:rsidP="00570692">
      <w:pPr>
        <w:pStyle w:val="Textonotapie"/>
        <w:jc w:val="both"/>
        <w:rPr>
          <w:rFonts w:ascii="Verdana" w:hAnsi="Verdana" w:cs="Arial"/>
          <w:color w:val="000000" w:themeColor="text1"/>
          <w:sz w:val="14"/>
          <w:szCs w:val="14"/>
        </w:rPr>
      </w:pPr>
      <w:r w:rsidRPr="00341565">
        <w:rPr>
          <w:rStyle w:val="Refdenotaalpie"/>
          <w:rFonts w:ascii="Verdana" w:hAnsi="Verdana"/>
          <w:sz w:val="14"/>
          <w:szCs w:val="14"/>
        </w:rPr>
        <w:footnoteRef/>
      </w:r>
      <w:r w:rsidRPr="00341565">
        <w:rPr>
          <w:rFonts w:ascii="Verdana" w:hAnsi="Verdana" w:cs="Arial"/>
          <w:color w:val="000000" w:themeColor="text1"/>
          <w:sz w:val="14"/>
          <w:szCs w:val="14"/>
        </w:rPr>
        <w:t>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Expediente 14.123. C.P. María Inés Ortiz Barbosa.).</w:t>
      </w:r>
    </w:p>
  </w:footnote>
  <w:footnote w:id="4">
    <w:p w14:paraId="7AE8043F" w14:textId="77777777" w:rsidR="00570692" w:rsidRPr="00341565" w:rsidRDefault="00570692" w:rsidP="00570692">
      <w:pPr>
        <w:pStyle w:val="Textonotapie"/>
        <w:ind w:firstLine="708"/>
        <w:jc w:val="both"/>
        <w:rPr>
          <w:rFonts w:ascii="Verdana" w:hAnsi="Verdana" w:cs="Arial"/>
          <w:color w:val="000000" w:themeColor="text1"/>
          <w:sz w:val="14"/>
          <w:szCs w:val="14"/>
        </w:rPr>
      </w:pPr>
      <w:r w:rsidRPr="00341565">
        <w:rPr>
          <w:rStyle w:val="Refdenotaalpie"/>
          <w:rFonts w:ascii="Verdana" w:hAnsi="Verdana"/>
          <w:sz w:val="14"/>
          <w:szCs w:val="14"/>
        </w:rPr>
        <w:footnoteRef/>
      </w: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VELÁSQUEZ, Hernán Darío. Estudio sobre obligaciones. Bogotá: Temis, 2010. p. 10.</w:t>
      </w:r>
    </w:p>
  </w:footnote>
  <w:footnote w:id="5">
    <w:p w14:paraId="31F7EFBB" w14:textId="77777777" w:rsidR="00570692" w:rsidRPr="00341565" w:rsidRDefault="00570692" w:rsidP="00570692">
      <w:pPr>
        <w:pStyle w:val="Textonotapie"/>
        <w:ind w:firstLine="708"/>
        <w:jc w:val="both"/>
        <w:rPr>
          <w:rFonts w:ascii="Verdana" w:hAnsi="Verdana" w:cs="Arial"/>
          <w:color w:val="000000" w:themeColor="text1"/>
          <w:sz w:val="14"/>
          <w:szCs w:val="14"/>
        </w:rPr>
      </w:pP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Así, para Dávila, “enajenar es comprensivo de un acto traslaticio de dominio” (DÁVILA VINUEZA, Luis Guillermo. Régimen Jurídico de la Contratación Estatal. Bogotá: Legis, 2016. p. 475).</w:t>
      </w:r>
    </w:p>
  </w:footnote>
  <w:footnote w:id="6">
    <w:p w14:paraId="0FB4A2BE" w14:textId="77777777" w:rsidR="00570692" w:rsidRPr="00341565" w:rsidRDefault="00570692" w:rsidP="00570692">
      <w:pPr>
        <w:pStyle w:val="Textonotapie"/>
        <w:ind w:firstLine="708"/>
        <w:jc w:val="both"/>
        <w:rPr>
          <w:rFonts w:ascii="Verdana" w:hAnsi="Verdana" w:cs="Arial"/>
          <w:color w:val="000000" w:themeColor="text1"/>
          <w:sz w:val="14"/>
          <w:szCs w:val="14"/>
        </w:rPr>
      </w:pP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“Los modos de adquirir el dominio son la ocupación, la accesión, la tradición, la sucesión por causa de muerte y la prescripción”.</w:t>
      </w:r>
    </w:p>
  </w:footnote>
  <w:footnote w:id="7">
    <w:p w14:paraId="1FD40348" w14:textId="77777777" w:rsidR="00570692" w:rsidRPr="00341565" w:rsidRDefault="00570692" w:rsidP="00570692">
      <w:pPr>
        <w:spacing w:after="0" w:line="240" w:lineRule="auto"/>
        <w:ind w:firstLine="708"/>
        <w:jc w:val="both"/>
        <w:rPr>
          <w:rFonts w:ascii="Verdana" w:hAnsi="Verdana" w:cs="Arial"/>
          <w:color w:val="000000" w:themeColor="text1"/>
          <w:sz w:val="14"/>
          <w:szCs w:val="14"/>
          <w:lang w:val="es-ES"/>
        </w:rPr>
      </w:pP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w:t>
      </w:r>
      <w:r w:rsidRPr="00341565">
        <w:rPr>
          <w:rFonts w:ascii="Verdana" w:hAnsi="Verdana" w:cs="Arial"/>
          <w:color w:val="000000" w:themeColor="text1"/>
          <w:sz w:val="14"/>
          <w:szCs w:val="14"/>
          <w:lang w:val="es-ES"/>
        </w:rPr>
        <w:t>Según el artículo 749 del Código Civil “Si la ley exige solemnidades especiales para la enajenación, no se transfiere el dominio sin ellas”.</w:t>
      </w:r>
    </w:p>
  </w:footnote>
  <w:footnote w:id="8">
    <w:p w14:paraId="238E93BC" w14:textId="77777777" w:rsidR="00570692" w:rsidRPr="00341565" w:rsidRDefault="00570692" w:rsidP="00570692">
      <w:pPr>
        <w:spacing w:after="0" w:line="240" w:lineRule="auto"/>
        <w:ind w:firstLine="708"/>
        <w:jc w:val="both"/>
        <w:rPr>
          <w:rFonts w:ascii="Verdana" w:hAnsi="Verdana" w:cs="Arial"/>
          <w:color w:val="000000" w:themeColor="text1"/>
          <w:sz w:val="14"/>
          <w:szCs w:val="14"/>
        </w:rPr>
      </w:pPr>
      <w:r w:rsidRPr="00341565">
        <w:rPr>
          <w:rStyle w:val="Refdenotaalpie"/>
          <w:rFonts w:ascii="Verdana" w:hAnsi="Verdana" w:cs="Arial"/>
          <w:sz w:val="14"/>
          <w:szCs w:val="14"/>
        </w:rPr>
        <w:footnoteRef/>
      </w:r>
      <w:r w:rsidRPr="004351C6">
        <w:rPr>
          <w:rFonts w:ascii="Verdana" w:hAnsi="Verdana" w:cs="Arial"/>
          <w:sz w:val="14"/>
          <w:szCs w:val="14"/>
          <w:lang w:val="pt-BR"/>
        </w:rPr>
        <w:t xml:space="preserve"> </w:t>
      </w:r>
      <w:r w:rsidRPr="004351C6">
        <w:rPr>
          <w:rFonts w:ascii="Verdana" w:hAnsi="Verdana" w:cs="Arial"/>
          <w:color w:val="000000" w:themeColor="text1"/>
          <w:sz w:val="14"/>
          <w:szCs w:val="14"/>
          <w:lang w:val="pt-BR"/>
        </w:rPr>
        <w:t xml:space="preserve">CORTE CONSTITUCIONAL. Sentencia C-183 de 2003. </w:t>
      </w:r>
      <w:r w:rsidRPr="00341565">
        <w:rPr>
          <w:rFonts w:ascii="Verdana" w:hAnsi="Verdana" w:cs="Arial"/>
          <w:color w:val="000000" w:themeColor="text1"/>
          <w:sz w:val="14"/>
          <w:szCs w:val="14"/>
        </w:rPr>
        <w:t xml:space="preserve">M.P. Alfredo Beltrán Sierra. </w:t>
      </w:r>
    </w:p>
  </w:footnote>
  <w:footnote w:id="9">
    <w:p w14:paraId="2FC65E14" w14:textId="77777777" w:rsidR="00570692" w:rsidRPr="00341565" w:rsidRDefault="00570692" w:rsidP="00570692">
      <w:pPr>
        <w:pStyle w:val="Textonotapie"/>
        <w:ind w:firstLine="708"/>
        <w:jc w:val="both"/>
        <w:rPr>
          <w:rFonts w:ascii="Verdana" w:hAnsi="Verdana" w:cs="Arial"/>
          <w:sz w:val="14"/>
          <w:szCs w:val="14"/>
          <w:lang w:val="es-ES"/>
        </w:rPr>
      </w:pPr>
      <w:r w:rsidRPr="00341565">
        <w:rPr>
          <w:rStyle w:val="Refdenotaalpie"/>
          <w:rFonts w:ascii="Verdana" w:hAnsi="Verdana" w:cs="Arial"/>
          <w:sz w:val="14"/>
          <w:szCs w:val="14"/>
        </w:rPr>
        <w:footnoteRef/>
      </w:r>
      <w:r w:rsidRPr="00341565">
        <w:rPr>
          <w:rFonts w:ascii="Verdana" w:hAnsi="Verdana" w:cs="Arial"/>
          <w:sz w:val="14"/>
          <w:szCs w:val="14"/>
        </w:rPr>
        <w:t xml:space="preserve"> </w:t>
      </w:r>
      <w:r w:rsidRPr="00341565">
        <w:rPr>
          <w:rFonts w:ascii="Verdana" w:hAnsi="Verdana" w:cs="Arial"/>
          <w:sz w:val="14"/>
          <w:szCs w:val="14"/>
          <w:lang w:val="es-ES"/>
        </w:rPr>
        <w:t>Ibídem</w:t>
      </w:r>
    </w:p>
  </w:footnote>
  <w:footnote w:id="10">
    <w:p w14:paraId="6813E361" w14:textId="77777777" w:rsidR="00570692" w:rsidRPr="00341565" w:rsidRDefault="00570692" w:rsidP="00570692">
      <w:pPr>
        <w:pStyle w:val="Textonotapie"/>
        <w:ind w:firstLine="708"/>
        <w:jc w:val="both"/>
        <w:rPr>
          <w:rFonts w:ascii="Verdana" w:hAnsi="Verdana" w:cs="Arial"/>
          <w:color w:val="000000" w:themeColor="text1"/>
          <w:sz w:val="14"/>
          <w:szCs w:val="14"/>
        </w:rPr>
      </w:pP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CONSEJO DE ESTADO, Sección Tercera. Sentencia del 30 de abril de 2012. Expediente 21.699. C.P. Ruth Stella Correa Palacio. </w:t>
      </w:r>
    </w:p>
  </w:footnote>
  <w:footnote w:id="11">
    <w:p w14:paraId="5E06F054" w14:textId="77777777" w:rsidR="00570692" w:rsidRPr="004351C6" w:rsidRDefault="00570692" w:rsidP="00570692">
      <w:pPr>
        <w:spacing w:after="0" w:line="240" w:lineRule="auto"/>
        <w:ind w:firstLine="708"/>
        <w:jc w:val="both"/>
        <w:rPr>
          <w:rFonts w:ascii="Verdana" w:hAnsi="Verdana" w:cs="Arial"/>
          <w:color w:val="000000" w:themeColor="text1"/>
          <w:sz w:val="14"/>
          <w:szCs w:val="14"/>
          <w:lang w:val="pt-BR"/>
        </w:rPr>
      </w:pPr>
      <w:r w:rsidRPr="00341565">
        <w:rPr>
          <w:rStyle w:val="Refdenotaalpie"/>
          <w:rFonts w:ascii="Verdana" w:hAnsi="Verdana" w:cs="Arial"/>
          <w:color w:val="000000" w:themeColor="text1"/>
          <w:sz w:val="14"/>
          <w:szCs w:val="14"/>
        </w:rPr>
        <w:footnoteRef/>
      </w:r>
      <w:r w:rsidRPr="00341565">
        <w:rPr>
          <w:rFonts w:ascii="Verdana" w:hAnsi="Verdana" w:cs="Arial"/>
          <w:color w:val="000000" w:themeColor="text1"/>
          <w:sz w:val="14"/>
          <w:szCs w:val="14"/>
        </w:rPr>
        <w:t xml:space="preserve"> CONSEJO DE ESTADO, Sección Tercera. Sentencia del 19 de julio de 2018, Expediente 36.711. </w:t>
      </w:r>
      <w:r w:rsidRPr="004351C6">
        <w:rPr>
          <w:rFonts w:ascii="Verdana" w:hAnsi="Verdana" w:cs="Arial"/>
          <w:color w:val="000000" w:themeColor="text1"/>
          <w:sz w:val="14"/>
          <w:szCs w:val="14"/>
          <w:lang w:val="pt-BR"/>
        </w:rPr>
        <w:t xml:space="preserve">C.P. Carlos Alberto Zambrano </w:t>
      </w:r>
      <w:proofErr w:type="spellStart"/>
      <w:r w:rsidRPr="004351C6">
        <w:rPr>
          <w:rFonts w:ascii="Verdana" w:hAnsi="Verdana" w:cs="Arial"/>
          <w:color w:val="000000" w:themeColor="text1"/>
          <w:sz w:val="14"/>
          <w:szCs w:val="14"/>
          <w:lang w:val="pt-BR"/>
        </w:rPr>
        <w:t>Barrera</w:t>
      </w:r>
      <w:proofErr w:type="spellEnd"/>
      <w:r w:rsidRPr="004351C6">
        <w:rPr>
          <w:rFonts w:ascii="Verdana" w:hAnsi="Verdana" w:cs="Arial"/>
          <w:color w:val="000000" w:themeColor="text1"/>
          <w:sz w:val="14"/>
          <w:szCs w:val="14"/>
          <w:lang w:val="pt-BR"/>
        </w:rPr>
        <w:t>.</w:t>
      </w:r>
    </w:p>
  </w:footnote>
  <w:footnote w:id="12">
    <w:p w14:paraId="4B3EBC87" w14:textId="77777777" w:rsidR="00570692" w:rsidRPr="00341565" w:rsidRDefault="00570692" w:rsidP="00570692">
      <w:pPr>
        <w:spacing w:after="0" w:line="240" w:lineRule="auto"/>
        <w:ind w:firstLine="708"/>
        <w:jc w:val="both"/>
        <w:rPr>
          <w:rFonts w:ascii="Verdana" w:hAnsi="Verdana" w:cs="Arial"/>
          <w:color w:val="000000" w:themeColor="text1"/>
          <w:sz w:val="14"/>
          <w:szCs w:val="14"/>
        </w:rPr>
      </w:pPr>
      <w:r w:rsidRPr="00341565">
        <w:rPr>
          <w:rStyle w:val="Refdenotaalpie"/>
          <w:rFonts w:ascii="Verdana" w:hAnsi="Verdana" w:cs="Arial"/>
          <w:color w:val="000000" w:themeColor="text1"/>
          <w:sz w:val="14"/>
          <w:szCs w:val="14"/>
        </w:rPr>
        <w:footnoteRef/>
      </w:r>
      <w:r w:rsidRPr="004351C6">
        <w:rPr>
          <w:rFonts w:ascii="Verdana" w:hAnsi="Verdana" w:cs="Arial"/>
          <w:color w:val="000000" w:themeColor="text1"/>
          <w:sz w:val="14"/>
          <w:szCs w:val="14"/>
          <w:lang w:val="pt-BR"/>
        </w:rPr>
        <w:t xml:space="preserve"> CORTE CONSTITUCIONAL.</w:t>
      </w:r>
      <w:r w:rsidRPr="004351C6">
        <w:rPr>
          <w:rFonts w:ascii="Verdana" w:hAnsi="Verdana" w:cs="Arial"/>
          <w:color w:val="000000" w:themeColor="text1"/>
          <w:sz w:val="14"/>
          <w:szCs w:val="14"/>
          <w:lang w:val="pt-BR"/>
        </w:rPr>
        <w:t xml:space="preserve"> Sentencia C-183 de 2003. </w:t>
      </w:r>
      <w:r w:rsidRPr="00341565">
        <w:rPr>
          <w:rFonts w:ascii="Verdana" w:hAnsi="Verdana" w:cs="Arial"/>
          <w:color w:val="000000" w:themeColor="text1"/>
          <w:sz w:val="14"/>
          <w:szCs w:val="14"/>
        </w:rPr>
        <w:t>M.P. Alfredo Beltrán Sierra.</w:t>
      </w:r>
    </w:p>
  </w:footnote>
  <w:footnote w:id="13">
    <w:p w14:paraId="40D3641B" w14:textId="77777777" w:rsidR="00570692" w:rsidRPr="00341565" w:rsidRDefault="00570692" w:rsidP="00570692">
      <w:pPr>
        <w:pStyle w:val="Textonotapie"/>
        <w:ind w:firstLine="708"/>
        <w:jc w:val="both"/>
        <w:rPr>
          <w:rFonts w:ascii="Verdana" w:hAnsi="Verdana" w:cs="Times New Roman"/>
          <w:sz w:val="14"/>
          <w:szCs w:val="14"/>
          <w:lang w:val="es-CO"/>
        </w:rPr>
      </w:pPr>
      <w:r w:rsidRPr="00341565">
        <w:rPr>
          <w:rStyle w:val="Refdenotaalpie"/>
          <w:rFonts w:ascii="Verdana" w:hAnsi="Verdana"/>
          <w:sz w:val="14"/>
          <w:szCs w:val="14"/>
        </w:rPr>
        <w:footnoteRef/>
      </w:r>
      <w:r w:rsidRPr="00341565">
        <w:rPr>
          <w:rFonts w:ascii="Verdana" w:hAnsi="Verdana"/>
          <w:sz w:val="14"/>
          <w:szCs w:val="14"/>
        </w:rPr>
        <w:t xml:space="preserve"> “</w:t>
      </w:r>
      <w:r w:rsidRPr="00341565">
        <w:rPr>
          <w:rFonts w:ascii="Verdana" w:hAnsi="Verdana"/>
          <w:bCs/>
          <w:sz w:val="14"/>
          <w:szCs w:val="14"/>
          <w:lang w:val="es-CO"/>
        </w:rPr>
        <w:t>Artículo 91.</w:t>
      </w:r>
      <w:r w:rsidRPr="00341565">
        <w:rPr>
          <w:rFonts w:ascii="Verdana" w:hAnsi="Verdana"/>
          <w:i/>
          <w:iCs/>
          <w:sz w:val="14"/>
          <w:szCs w:val="14"/>
          <w:lang w:val="es-CO"/>
        </w:rPr>
        <w:t> Régimen de los actos y contratos de la Central de Inversiones S.A</w:t>
      </w:r>
      <w:r w:rsidRPr="00341565">
        <w:rPr>
          <w:rFonts w:ascii="Verdana" w:hAnsi="Verdana"/>
          <w:sz w:val="14"/>
          <w:szCs w:val="14"/>
          <w:lang w:val="es-CO"/>
        </w:rPr>
        <w:t>. La Central de Inversiones S.A. CISA mantendrá su carácter de sociedad de economía mixta indirecta del orden nacional, tendrá naturaleza única y se sujetará en la celebración de todos sus actos y contratos al régimen de derecho privado que para la realización de las operaciones del Fondo de Garantías de Instituciones Financieras se contempla en el artículo 316, numeral 1 del Estatuto Orgánico del Sistema Financiero. </w:t>
      </w:r>
    </w:p>
    <w:p w14:paraId="08B42A37" w14:textId="77777777" w:rsidR="00570692" w:rsidRPr="00341565" w:rsidRDefault="00570692" w:rsidP="00570692">
      <w:pPr>
        <w:pStyle w:val="Textonotapie"/>
        <w:ind w:firstLine="708"/>
        <w:jc w:val="both"/>
        <w:rPr>
          <w:rFonts w:ascii="Verdana" w:hAnsi="Verdana"/>
          <w:sz w:val="14"/>
          <w:szCs w:val="14"/>
          <w:lang w:val="es-CO"/>
        </w:rPr>
      </w:pPr>
      <w:r w:rsidRPr="00341565">
        <w:rPr>
          <w:rFonts w:ascii="Verdana" w:hAnsi="Verdana"/>
          <w:sz w:val="14"/>
          <w:szCs w:val="14"/>
          <w:lang w:val="es-CO"/>
        </w:rPr>
        <w:t>El régimen legal aplicable a los empleados de la Central de Inversiones S.A. será el mismo de los trabajadores del Fondo de Garantías de Instituciones Financieras. </w:t>
      </w:r>
    </w:p>
    <w:p w14:paraId="02C4419F" w14:textId="77777777" w:rsidR="00570692" w:rsidRPr="00341565" w:rsidRDefault="00570692" w:rsidP="00570692">
      <w:pPr>
        <w:pStyle w:val="Textonotapie"/>
        <w:ind w:firstLine="708"/>
        <w:jc w:val="both"/>
        <w:rPr>
          <w:rFonts w:ascii="Verdana" w:hAnsi="Verdana"/>
          <w:sz w:val="14"/>
          <w:szCs w:val="14"/>
          <w:lang w:val="es-CO"/>
        </w:rPr>
      </w:pPr>
      <w:r w:rsidRPr="00341565">
        <w:rPr>
          <w:rFonts w:ascii="Verdana" w:hAnsi="Verdana"/>
          <w:bCs/>
          <w:sz w:val="14"/>
          <w:szCs w:val="14"/>
          <w:lang w:val="es-CO"/>
        </w:rPr>
        <w:t>Parágrafo 1º.</w:t>
      </w:r>
      <w:r w:rsidRPr="00341565">
        <w:rPr>
          <w:rFonts w:ascii="Verdana" w:hAnsi="Verdana"/>
          <w:sz w:val="14"/>
          <w:szCs w:val="14"/>
          <w:lang w:val="es-CO"/>
        </w:rPr>
        <w:t> En desarrollo de lo previsto en el parágrafo del artículo 113 del Estatuto Orgánico del Sistema Financiero, la Central de Inversiones S.A. CISA podrá asumir la administración no fiduciaria de los activos excluidos de los establecimientos de crédito a que se refiere la mencionada disposición, con los cuales se conformará un patrimonio. </w:t>
      </w:r>
    </w:p>
    <w:p w14:paraId="3E1628BC" w14:textId="77777777" w:rsidR="00570692" w:rsidRPr="00341565" w:rsidRDefault="00570692" w:rsidP="00570692">
      <w:pPr>
        <w:pStyle w:val="Textonotapie"/>
        <w:ind w:firstLine="708"/>
        <w:jc w:val="both"/>
        <w:rPr>
          <w:rFonts w:ascii="Verdana" w:hAnsi="Verdana"/>
          <w:sz w:val="14"/>
          <w:szCs w:val="14"/>
          <w:lang w:val="es-CO"/>
        </w:rPr>
      </w:pPr>
      <w:r w:rsidRPr="00341565">
        <w:rPr>
          <w:rFonts w:ascii="Verdana" w:hAnsi="Verdana"/>
          <w:bCs/>
          <w:sz w:val="14"/>
          <w:szCs w:val="14"/>
          <w:lang w:val="es-CO"/>
        </w:rPr>
        <w:t>Parágrafo 2º.</w:t>
      </w:r>
      <w:r w:rsidRPr="00341565">
        <w:rPr>
          <w:rFonts w:ascii="Verdana" w:hAnsi="Verdana"/>
          <w:sz w:val="14"/>
          <w:szCs w:val="14"/>
          <w:lang w:val="es-CO"/>
        </w:rPr>
        <w:t> Los derechos y obligaciones surgidos bajo contratos de trabajo o bajo relaciones legales y reglamentarias que se hayan celebrado o ejecutado antes de la vigencia de la presente ley conservarán su validez y se respetarán los derechos adquiridos, sin perjuicio de que la relación laboral vigente con el personal al servicio de la Central de Inversiones S.A. CISA se rija hacia el futuro por lo dispuesto en el presente artículo, para cuyo efecto la Junta Directiva de CISA adoptará las medidas que sean necesarias. </w:t>
      </w:r>
    </w:p>
    <w:p w14:paraId="73258212" w14:textId="77777777" w:rsidR="00570692" w:rsidRPr="00341565" w:rsidRDefault="00570692" w:rsidP="00570692">
      <w:pPr>
        <w:pStyle w:val="Textonotapie"/>
        <w:ind w:firstLine="708"/>
        <w:jc w:val="both"/>
        <w:rPr>
          <w:rFonts w:ascii="Verdana" w:hAnsi="Verdana"/>
          <w:sz w:val="14"/>
          <w:szCs w:val="14"/>
          <w:lang w:val="es-CO"/>
        </w:rPr>
      </w:pPr>
      <w:r w:rsidRPr="00341565">
        <w:rPr>
          <w:rFonts w:ascii="Verdana" w:hAnsi="Verdana"/>
          <w:bCs/>
          <w:sz w:val="14"/>
          <w:szCs w:val="14"/>
          <w:lang w:val="es-CO"/>
        </w:rPr>
        <w:t>Parágrafo 3º. </w:t>
      </w:r>
      <w:r w:rsidRPr="00341565">
        <w:rPr>
          <w:rFonts w:ascii="Verdana" w:hAnsi="Verdana"/>
          <w:sz w:val="14"/>
          <w:szCs w:val="14"/>
          <w:lang w:val="es-CO"/>
        </w:rPr>
        <w:t>El régimen presupuestal de la Central de Inversiones S.A., CISA será el aplicable a las sociedades de economía mixta que desarrollan actividad financiera”. </w:t>
      </w:r>
    </w:p>
  </w:footnote>
  <w:footnote w:id="14">
    <w:p w14:paraId="00FBF237" w14:textId="77777777" w:rsidR="00570692" w:rsidRPr="00341565" w:rsidRDefault="00570692" w:rsidP="00570692">
      <w:pPr>
        <w:spacing w:after="0" w:line="240" w:lineRule="auto"/>
        <w:ind w:firstLine="720"/>
        <w:jc w:val="both"/>
        <w:rPr>
          <w:rFonts w:ascii="Verdana" w:eastAsia="Arial" w:hAnsi="Verdana" w:cs="Arial"/>
          <w:sz w:val="14"/>
          <w:szCs w:val="14"/>
        </w:rPr>
      </w:pPr>
      <w:r w:rsidRPr="00341565">
        <w:rPr>
          <w:rStyle w:val="Refdenotaalpie"/>
          <w:rFonts w:ascii="Verdana" w:hAnsi="Verdana"/>
          <w:sz w:val="14"/>
          <w:szCs w:val="14"/>
        </w:rPr>
        <w:footnoteRef/>
      </w:r>
      <w:r w:rsidRPr="00341565">
        <w:rPr>
          <w:rFonts w:ascii="Verdana" w:hAnsi="Verdana"/>
          <w:sz w:val="14"/>
          <w:szCs w:val="14"/>
        </w:rPr>
        <w:t xml:space="preserve"> “</w:t>
      </w:r>
      <w:r w:rsidRPr="00341565">
        <w:rPr>
          <w:rFonts w:ascii="Verdana" w:eastAsia="Arial" w:hAnsi="Verdana" w:cs="Arial"/>
          <w:bCs/>
          <w:color w:val="000000" w:themeColor="text1"/>
          <w:sz w:val="14"/>
          <w:szCs w:val="14"/>
        </w:rPr>
        <w:t>Artículo 238. Movilización de activos.</w:t>
      </w:r>
      <w:r w:rsidRPr="00341565">
        <w:rPr>
          <w:rFonts w:ascii="Verdana" w:eastAsia="Arial" w:hAnsi="Verdana" w:cs="Arial"/>
          <w:color w:val="000000" w:themeColor="text1"/>
          <w:sz w:val="14"/>
          <w:szCs w:val="14"/>
        </w:rPr>
        <w:t xml:space="preserve"> A partir de la </w:t>
      </w:r>
      <w:proofErr w:type="gramStart"/>
      <w:r w:rsidRPr="00341565">
        <w:rPr>
          <w:rFonts w:ascii="Verdana" w:eastAsia="Arial" w:hAnsi="Verdana" w:cs="Arial"/>
          <w:color w:val="000000" w:themeColor="text1"/>
          <w:sz w:val="14"/>
          <w:szCs w:val="14"/>
        </w:rPr>
        <w:t>entrada en vigencia</w:t>
      </w:r>
      <w:proofErr w:type="gramEnd"/>
      <w:r w:rsidRPr="00341565">
        <w:rPr>
          <w:rFonts w:ascii="Verdana" w:eastAsia="Arial" w:hAnsi="Verdana" w:cs="Arial"/>
          <w:color w:val="000000" w:themeColor="text1"/>
          <w:sz w:val="14"/>
          <w:szCs w:val="14"/>
        </w:rPr>
        <w:t xml:space="preserve"> de la presente ley, todas las entidades públicas del orden nacional deberán transferir a la Central de Inversiones S. A (CISA), a título gratuito y mediante acto administrativo, los bienes inmuebles, participaciones accionarias y activos de su propiedad que no requieran para el ejercicio de sus funciones. CISA podrá gestionarlos, comercializarlos o transferirlos a entidades públicas a cualquier título para el desarrollo de proyectos en el marco de la presente ley.</w:t>
      </w:r>
    </w:p>
    <w:p w14:paraId="5C87DD41"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color w:val="000000" w:themeColor="text1"/>
          <w:sz w:val="14"/>
          <w:szCs w:val="14"/>
        </w:rPr>
        <w:t>El registro de la transferencia de los inmuebles entre las entidades públicas y CISA estará exento de los gastos e impuestos nacionales asociados a dicho acto.</w:t>
      </w:r>
    </w:p>
    <w:p w14:paraId="633FE612"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color w:val="000000" w:themeColor="text1"/>
          <w:sz w:val="14"/>
          <w:szCs w:val="14"/>
        </w:rPr>
        <w:t>Transfiéranse a título gratuito a favor de Central de Inversiones S. A. CISA las acciones de propiedad del Ministerio de Transporte en los Centros de Diagnóstico Automotor (CDA), sociedades portuarias y terminales de transporte cuyas participaciones accionarias sean iguales o inferiores al 49%.</w:t>
      </w:r>
    </w:p>
    <w:p w14:paraId="256A3594"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1°.</w:t>
      </w:r>
      <w:r w:rsidRPr="00341565">
        <w:rPr>
          <w:rFonts w:ascii="Verdana" w:eastAsia="Arial" w:hAnsi="Verdana" w:cs="Arial"/>
          <w:color w:val="000000" w:themeColor="text1"/>
          <w:sz w:val="14"/>
          <w:szCs w:val="14"/>
        </w:rPr>
        <w:t> Las entidades financieras de carácter estatal, las Empresas Industriales y Comerciales del Estado, las Sociedades de Economía Mixta y las entidades en liquidación, podrán disponer de sus activos en los términos señalados en el presente artículo.</w:t>
      </w:r>
    </w:p>
    <w:p w14:paraId="76963DF6"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2°. </w:t>
      </w:r>
      <w:r w:rsidRPr="00341565">
        <w:rPr>
          <w:rFonts w:ascii="Verdana" w:eastAsia="Arial" w:hAnsi="Verdana" w:cs="Arial"/>
          <w:color w:val="000000" w:themeColor="text1"/>
          <w:sz w:val="14"/>
          <w:szCs w:val="14"/>
        </w:rPr>
        <w:t>Los inmuebles que se hubieran transferido por parte de las Entidades Públicas a CISA en virtud de este artículo y del artículo 26 de la Ley 1420 de 2010, que al 1° de junio de 2023 no hayan sido enajenados por CISA, podrán enajenarse por esta entidad de acuerdo con sus políticas y procedimientos.</w:t>
      </w:r>
    </w:p>
    <w:p w14:paraId="7CD40657"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3°.</w:t>
      </w:r>
      <w:r w:rsidRPr="00341565">
        <w:rPr>
          <w:rFonts w:ascii="Verdana" w:eastAsia="Arial" w:hAnsi="Verdana" w:cs="Arial"/>
          <w:color w:val="000000" w:themeColor="text1"/>
          <w:sz w:val="14"/>
          <w:szCs w:val="14"/>
        </w:rPr>
        <w:t> Las entidades públicas podrán transferir a título gratuito a CISA los activos recibidos en virtud de la aplicación de cláusulas de reversión pactadas en sus contratos, así como autorizar la transferencia de activos remanentes de procesos de liquidación a favor de CISA como pago total o parcial de los créditos reconocidos en dichos procesos de liquidación cuando las entidades acreedoras hubieren sido reconocidas como tales.</w:t>
      </w:r>
    </w:p>
    <w:p w14:paraId="6D044119"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4°.</w:t>
      </w:r>
      <w:r w:rsidRPr="00341565">
        <w:rPr>
          <w:rFonts w:ascii="Verdana" w:eastAsia="Arial" w:hAnsi="Verdana" w:cs="Arial"/>
          <w:color w:val="000000" w:themeColor="text1"/>
          <w:sz w:val="14"/>
          <w:szCs w:val="14"/>
        </w:rPr>
        <w:t> Los bienes gestionados y/o comercializados por CISA deberán contar con avalúo comercial, el cual tendrá una vigencia de tres (3) años, para lo cual se aplicará lo previsto en el parágrafo del artículo 92 de la Ley 1708 de 2014. CISA podrá vender bienes inmuebles a entidades territoriales por el valor del avalúo catastral siempre y cuando sean requeridos para sedes administrativas o para el cumplimiento de metas de los Planes de Desarrollo Territorial.</w:t>
      </w:r>
    </w:p>
    <w:p w14:paraId="574241E9" w14:textId="77777777" w:rsidR="00570692" w:rsidRPr="00341565" w:rsidRDefault="00570692" w:rsidP="00570692">
      <w:pPr>
        <w:spacing w:after="0" w:line="240" w:lineRule="auto"/>
        <w:ind w:firstLine="720"/>
        <w:jc w:val="both"/>
        <w:rPr>
          <w:rFonts w:ascii="Verdana" w:eastAsia="Arial" w:hAnsi="Verdana" w:cs="Arial"/>
          <w:color w:val="000000" w:themeColor="text1"/>
          <w:sz w:val="14"/>
          <w:szCs w:val="14"/>
          <w:lang w:val="es-ES"/>
        </w:rPr>
      </w:pPr>
      <w:r w:rsidRPr="00341565">
        <w:rPr>
          <w:rFonts w:ascii="Verdana" w:eastAsia="Arial" w:hAnsi="Verdana" w:cs="Arial"/>
          <w:bCs/>
          <w:color w:val="000000" w:themeColor="text1"/>
          <w:sz w:val="14"/>
          <w:szCs w:val="14"/>
        </w:rPr>
        <w:t>Parágrafo 5°.</w:t>
      </w:r>
      <w:r w:rsidRPr="00341565">
        <w:rPr>
          <w:rFonts w:ascii="Verdana" w:eastAsia="Arial" w:hAnsi="Verdana" w:cs="Arial"/>
          <w:color w:val="000000" w:themeColor="text1"/>
          <w:sz w:val="14"/>
          <w:szCs w:val="14"/>
        </w:rPr>
        <w:t> Tratándose de entidades públicas que deban transferir activos a CISA, los cuales tengan gravámenes a favor de la nación en el marco de operaciones de crédito público, antes de realizar la transferencia deberán contar con el visto bueno previo de la Dirección General de Crédito Público y Tesoro Nacional del Ministerio de Hacienda y Crédito Público”. </w:t>
      </w:r>
    </w:p>
    <w:p w14:paraId="23E75BCB" w14:textId="77777777" w:rsidR="00570692" w:rsidRPr="00341565" w:rsidRDefault="00570692" w:rsidP="00570692">
      <w:pPr>
        <w:pStyle w:val="Textonotapie"/>
        <w:rPr>
          <w:rFonts w:ascii="Verdana" w:eastAsia="Calibri" w:hAnsi="Verdana" w:cs="Times New Roman"/>
          <w:sz w:val="14"/>
          <w:szCs w:val="14"/>
          <w:lang w:val="es-ES"/>
        </w:rPr>
      </w:pPr>
    </w:p>
  </w:footnote>
  <w:footnote w:id="15">
    <w:p w14:paraId="7DB92D8B" w14:textId="77777777" w:rsidR="00570692" w:rsidRDefault="00570692" w:rsidP="00570692">
      <w:pPr>
        <w:pStyle w:val="Textonotapie"/>
        <w:ind w:firstLine="708"/>
        <w:jc w:val="both"/>
        <w:rPr>
          <w:rFonts w:ascii="Verdana" w:hAnsi="Verdana"/>
          <w:sz w:val="16"/>
          <w:szCs w:val="16"/>
          <w:lang w:val="es-CO"/>
        </w:rPr>
      </w:pPr>
      <w:r w:rsidRPr="00341565">
        <w:rPr>
          <w:rStyle w:val="Refdenotaalpie"/>
          <w:rFonts w:ascii="Verdana" w:hAnsi="Verdana"/>
          <w:sz w:val="14"/>
          <w:szCs w:val="14"/>
        </w:rPr>
        <w:footnoteRef/>
      </w:r>
      <w:r w:rsidRPr="00341565">
        <w:rPr>
          <w:rFonts w:ascii="Verdana" w:hAnsi="Verdana"/>
          <w:sz w:val="14"/>
          <w:szCs w:val="14"/>
        </w:rPr>
        <w:t xml:space="preserve"> “</w:t>
      </w:r>
      <w:r w:rsidRPr="00341565">
        <w:rPr>
          <w:rFonts w:ascii="Verdana" w:hAnsi="Verdana"/>
          <w:bCs/>
          <w:sz w:val="14"/>
          <w:szCs w:val="14"/>
          <w:lang w:val="es-CO"/>
        </w:rPr>
        <w:t>Artículo 2.2.1.2.2.1.4. </w:t>
      </w:r>
      <w:r w:rsidRPr="00341565">
        <w:rPr>
          <w:rFonts w:ascii="Verdana" w:hAnsi="Verdana"/>
          <w:bCs/>
          <w:i/>
          <w:iCs/>
          <w:sz w:val="14"/>
          <w:szCs w:val="14"/>
          <w:lang w:val="es-CO"/>
        </w:rPr>
        <w:t>Enajenación directa o a través de intermediario idóneo. </w:t>
      </w:r>
      <w:r w:rsidRPr="00341565">
        <w:rPr>
          <w:rFonts w:ascii="Verdana" w:hAnsi="Verdana"/>
          <w:sz w:val="14"/>
          <w:szCs w:val="14"/>
          <w:lang w:val="es-CO"/>
        </w:rPr>
        <w:t>Las Entidades Estatales que no están obligadas a cumplir con lo establecido en el artículo anterior, pueden realizar directamente la enajenación, o contratar para ello promotores, bancas de inversión, martillos, comisionistas de bolsas de bienes y productos, o cualquier otro intermediario idóneo, según corresponda al tipo de bien a enajenar”.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5C16F53"/>
    <w:multiLevelType w:val="hybridMultilevel"/>
    <w:tmpl w:val="FB0494E6"/>
    <w:lvl w:ilvl="0" w:tplc="C7EEA3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BA3221C"/>
    <w:multiLevelType w:val="hybridMultilevel"/>
    <w:tmpl w:val="91E22950"/>
    <w:lvl w:ilvl="0" w:tplc="E82A35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644704924">
    <w:abstractNumId w:val="13"/>
  </w:num>
  <w:num w:numId="2" w16cid:durableId="214510184">
    <w:abstractNumId w:val="3"/>
  </w:num>
  <w:num w:numId="3" w16cid:durableId="213273851">
    <w:abstractNumId w:val="11"/>
  </w:num>
  <w:num w:numId="4" w16cid:durableId="6909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5916842">
    <w:abstractNumId w:val="3"/>
  </w:num>
  <w:num w:numId="6" w16cid:durableId="265433118">
    <w:abstractNumId w:val="28"/>
  </w:num>
  <w:num w:numId="7" w16cid:durableId="1953047614">
    <w:abstractNumId w:val="12"/>
  </w:num>
  <w:num w:numId="8" w16cid:durableId="606157389">
    <w:abstractNumId w:val="27"/>
  </w:num>
  <w:num w:numId="9" w16cid:durableId="1503619697">
    <w:abstractNumId w:val="14"/>
  </w:num>
  <w:num w:numId="10" w16cid:durableId="792671282">
    <w:abstractNumId w:val="26"/>
  </w:num>
  <w:num w:numId="11" w16cid:durableId="1104301538">
    <w:abstractNumId w:val="15"/>
  </w:num>
  <w:num w:numId="12" w16cid:durableId="886844256">
    <w:abstractNumId w:val="1"/>
  </w:num>
  <w:num w:numId="13" w16cid:durableId="1986010784">
    <w:abstractNumId w:val="8"/>
  </w:num>
  <w:num w:numId="14" w16cid:durableId="1891531748">
    <w:abstractNumId w:val="29"/>
  </w:num>
  <w:num w:numId="15" w16cid:durableId="1851869576">
    <w:abstractNumId w:val="23"/>
  </w:num>
  <w:num w:numId="16" w16cid:durableId="171953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75116">
    <w:abstractNumId w:val="4"/>
  </w:num>
  <w:num w:numId="18" w16cid:durableId="2139100274">
    <w:abstractNumId w:val="22"/>
  </w:num>
  <w:num w:numId="19" w16cid:durableId="1025180174">
    <w:abstractNumId w:val="10"/>
  </w:num>
  <w:num w:numId="20" w16cid:durableId="231548716">
    <w:abstractNumId w:val="16"/>
  </w:num>
  <w:num w:numId="21" w16cid:durableId="940068049">
    <w:abstractNumId w:val="30"/>
  </w:num>
  <w:num w:numId="22" w16cid:durableId="962929731">
    <w:abstractNumId w:val="19"/>
  </w:num>
  <w:num w:numId="23" w16cid:durableId="2108307525">
    <w:abstractNumId w:val="7"/>
  </w:num>
  <w:num w:numId="24" w16cid:durableId="1127433443">
    <w:abstractNumId w:val="17"/>
  </w:num>
  <w:num w:numId="25" w16cid:durableId="759182166">
    <w:abstractNumId w:val="2"/>
  </w:num>
  <w:num w:numId="26" w16cid:durableId="1698115161">
    <w:abstractNumId w:val="5"/>
  </w:num>
  <w:num w:numId="27" w16cid:durableId="769274314">
    <w:abstractNumId w:val="20"/>
  </w:num>
  <w:num w:numId="28" w16cid:durableId="12807075">
    <w:abstractNumId w:val="6"/>
  </w:num>
  <w:num w:numId="29" w16cid:durableId="635449169">
    <w:abstractNumId w:val="9"/>
  </w:num>
  <w:num w:numId="30" w16cid:durableId="1766879640">
    <w:abstractNumId w:val="0"/>
  </w:num>
  <w:num w:numId="31" w16cid:durableId="417293517">
    <w:abstractNumId w:val="18"/>
  </w:num>
  <w:num w:numId="32" w16cid:durableId="1982929111">
    <w:abstractNumId w:val="21"/>
  </w:num>
  <w:num w:numId="33" w16cid:durableId="671416666">
    <w:abstractNumId w:val="24"/>
  </w:num>
  <w:num w:numId="34" w16cid:durableId="1910731168">
    <w:abstractNumId w:val="25"/>
  </w:num>
  <w:num w:numId="35" w16cid:durableId="6703762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2090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16FFB"/>
    <w:rsid w:val="000224F2"/>
    <w:rsid w:val="00023C3E"/>
    <w:rsid w:val="0002653B"/>
    <w:rsid w:val="00034682"/>
    <w:rsid w:val="00035E21"/>
    <w:rsid w:val="00040B74"/>
    <w:rsid w:val="00042856"/>
    <w:rsid w:val="0004434A"/>
    <w:rsid w:val="0005281E"/>
    <w:rsid w:val="00055421"/>
    <w:rsid w:val="0005682C"/>
    <w:rsid w:val="00056D71"/>
    <w:rsid w:val="00057D91"/>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C2889"/>
    <w:rsid w:val="000C3673"/>
    <w:rsid w:val="000C538B"/>
    <w:rsid w:val="000D0152"/>
    <w:rsid w:val="000D0334"/>
    <w:rsid w:val="000D0B4D"/>
    <w:rsid w:val="000D3B29"/>
    <w:rsid w:val="000E06F4"/>
    <w:rsid w:val="000E1AC7"/>
    <w:rsid w:val="000E1B4F"/>
    <w:rsid w:val="000E4CE4"/>
    <w:rsid w:val="000F46C6"/>
    <w:rsid w:val="000F4C8E"/>
    <w:rsid w:val="000F6486"/>
    <w:rsid w:val="000F669F"/>
    <w:rsid w:val="001063B3"/>
    <w:rsid w:val="00107ACA"/>
    <w:rsid w:val="001114A9"/>
    <w:rsid w:val="00111979"/>
    <w:rsid w:val="00116537"/>
    <w:rsid w:val="00116894"/>
    <w:rsid w:val="00120766"/>
    <w:rsid w:val="00122FA6"/>
    <w:rsid w:val="001240BD"/>
    <w:rsid w:val="00125105"/>
    <w:rsid w:val="001268F7"/>
    <w:rsid w:val="00127233"/>
    <w:rsid w:val="001276D9"/>
    <w:rsid w:val="00136B17"/>
    <w:rsid w:val="001372FC"/>
    <w:rsid w:val="00143E81"/>
    <w:rsid w:val="00143FD9"/>
    <w:rsid w:val="00145047"/>
    <w:rsid w:val="00146C57"/>
    <w:rsid w:val="00150ADA"/>
    <w:rsid w:val="001569A8"/>
    <w:rsid w:val="00162D09"/>
    <w:rsid w:val="0016332F"/>
    <w:rsid w:val="0016642E"/>
    <w:rsid w:val="001717E9"/>
    <w:rsid w:val="0017238A"/>
    <w:rsid w:val="001800BA"/>
    <w:rsid w:val="00180A30"/>
    <w:rsid w:val="00185EE9"/>
    <w:rsid w:val="00187F79"/>
    <w:rsid w:val="00192F83"/>
    <w:rsid w:val="00196F32"/>
    <w:rsid w:val="00197274"/>
    <w:rsid w:val="001A0B04"/>
    <w:rsid w:val="001A237A"/>
    <w:rsid w:val="001A26CF"/>
    <w:rsid w:val="001A2919"/>
    <w:rsid w:val="001A6F8F"/>
    <w:rsid w:val="001B2CFE"/>
    <w:rsid w:val="001C222E"/>
    <w:rsid w:val="001C22F9"/>
    <w:rsid w:val="001D1B6F"/>
    <w:rsid w:val="001D1C29"/>
    <w:rsid w:val="001D2CCC"/>
    <w:rsid w:val="001E3C06"/>
    <w:rsid w:val="001E4177"/>
    <w:rsid w:val="001F0A0F"/>
    <w:rsid w:val="001F218E"/>
    <w:rsid w:val="001F4EFD"/>
    <w:rsid w:val="001F5E13"/>
    <w:rsid w:val="001F6D11"/>
    <w:rsid w:val="001F7DC6"/>
    <w:rsid w:val="00202886"/>
    <w:rsid w:val="00205784"/>
    <w:rsid w:val="00210946"/>
    <w:rsid w:val="00213510"/>
    <w:rsid w:val="0021372A"/>
    <w:rsid w:val="0021387E"/>
    <w:rsid w:val="00215CEF"/>
    <w:rsid w:val="00217A08"/>
    <w:rsid w:val="00220B77"/>
    <w:rsid w:val="00221D27"/>
    <w:rsid w:val="002245F8"/>
    <w:rsid w:val="00224A51"/>
    <w:rsid w:val="00230EF3"/>
    <w:rsid w:val="00237233"/>
    <w:rsid w:val="002421BB"/>
    <w:rsid w:val="002438EB"/>
    <w:rsid w:val="00245707"/>
    <w:rsid w:val="00246A81"/>
    <w:rsid w:val="00251A5F"/>
    <w:rsid w:val="00252B30"/>
    <w:rsid w:val="0025796E"/>
    <w:rsid w:val="002603E5"/>
    <w:rsid w:val="002638B2"/>
    <w:rsid w:val="002660F2"/>
    <w:rsid w:val="002664BB"/>
    <w:rsid w:val="002707A2"/>
    <w:rsid w:val="00273620"/>
    <w:rsid w:val="00277150"/>
    <w:rsid w:val="002826F0"/>
    <w:rsid w:val="002835A6"/>
    <w:rsid w:val="002844ED"/>
    <w:rsid w:val="00286FAD"/>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E1D98"/>
    <w:rsid w:val="002E2C3F"/>
    <w:rsid w:val="002E4FD9"/>
    <w:rsid w:val="002E6F15"/>
    <w:rsid w:val="002F13FD"/>
    <w:rsid w:val="002F53FB"/>
    <w:rsid w:val="0030056F"/>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0659"/>
    <w:rsid w:val="003522B9"/>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A26D1"/>
    <w:rsid w:val="003A3B30"/>
    <w:rsid w:val="003A40E2"/>
    <w:rsid w:val="003A477B"/>
    <w:rsid w:val="003A779E"/>
    <w:rsid w:val="003B005A"/>
    <w:rsid w:val="003B0636"/>
    <w:rsid w:val="003B6385"/>
    <w:rsid w:val="003B78C4"/>
    <w:rsid w:val="003B7B11"/>
    <w:rsid w:val="003C3FA5"/>
    <w:rsid w:val="003D0F4D"/>
    <w:rsid w:val="003D1B5E"/>
    <w:rsid w:val="003D5B0D"/>
    <w:rsid w:val="003E0499"/>
    <w:rsid w:val="003E40F2"/>
    <w:rsid w:val="003E7EAA"/>
    <w:rsid w:val="003F3941"/>
    <w:rsid w:val="00400676"/>
    <w:rsid w:val="004008A9"/>
    <w:rsid w:val="00402DFD"/>
    <w:rsid w:val="0040480E"/>
    <w:rsid w:val="00404C4F"/>
    <w:rsid w:val="00406575"/>
    <w:rsid w:val="004069AB"/>
    <w:rsid w:val="00410906"/>
    <w:rsid w:val="0041655A"/>
    <w:rsid w:val="004252BF"/>
    <w:rsid w:val="00426FD7"/>
    <w:rsid w:val="0042722E"/>
    <w:rsid w:val="00427DA0"/>
    <w:rsid w:val="00440391"/>
    <w:rsid w:val="004405A4"/>
    <w:rsid w:val="004426AD"/>
    <w:rsid w:val="00442C7F"/>
    <w:rsid w:val="0044528D"/>
    <w:rsid w:val="0044798F"/>
    <w:rsid w:val="00447D82"/>
    <w:rsid w:val="00450920"/>
    <w:rsid w:val="004530EA"/>
    <w:rsid w:val="00454D48"/>
    <w:rsid w:val="00454F08"/>
    <w:rsid w:val="004554F9"/>
    <w:rsid w:val="0046004D"/>
    <w:rsid w:val="00461A6A"/>
    <w:rsid w:val="004633DE"/>
    <w:rsid w:val="00465E71"/>
    <w:rsid w:val="00466040"/>
    <w:rsid w:val="00471654"/>
    <w:rsid w:val="004734BD"/>
    <w:rsid w:val="00475854"/>
    <w:rsid w:val="00480BAF"/>
    <w:rsid w:val="00482608"/>
    <w:rsid w:val="00483749"/>
    <w:rsid w:val="00484809"/>
    <w:rsid w:val="00484BB1"/>
    <w:rsid w:val="00484FA3"/>
    <w:rsid w:val="0049385B"/>
    <w:rsid w:val="00493A76"/>
    <w:rsid w:val="004A0980"/>
    <w:rsid w:val="004A0B8B"/>
    <w:rsid w:val="004A1847"/>
    <w:rsid w:val="004A305D"/>
    <w:rsid w:val="004A3312"/>
    <w:rsid w:val="004A66E3"/>
    <w:rsid w:val="004B01B2"/>
    <w:rsid w:val="004B740F"/>
    <w:rsid w:val="004C28C6"/>
    <w:rsid w:val="004C2E9A"/>
    <w:rsid w:val="004C4B37"/>
    <w:rsid w:val="004D026D"/>
    <w:rsid w:val="004D23A7"/>
    <w:rsid w:val="004E221E"/>
    <w:rsid w:val="004E2892"/>
    <w:rsid w:val="004E4C0B"/>
    <w:rsid w:val="004E505B"/>
    <w:rsid w:val="004E7CE7"/>
    <w:rsid w:val="004F21C4"/>
    <w:rsid w:val="004F3012"/>
    <w:rsid w:val="004F3B9E"/>
    <w:rsid w:val="004F5559"/>
    <w:rsid w:val="004F685F"/>
    <w:rsid w:val="004F7EC9"/>
    <w:rsid w:val="00504CBE"/>
    <w:rsid w:val="00505795"/>
    <w:rsid w:val="00514598"/>
    <w:rsid w:val="005163B5"/>
    <w:rsid w:val="0052543A"/>
    <w:rsid w:val="00525FDB"/>
    <w:rsid w:val="0052785C"/>
    <w:rsid w:val="00533E1B"/>
    <w:rsid w:val="00533F71"/>
    <w:rsid w:val="00540C2D"/>
    <w:rsid w:val="0054335F"/>
    <w:rsid w:val="00552502"/>
    <w:rsid w:val="00554BD4"/>
    <w:rsid w:val="00556143"/>
    <w:rsid w:val="005566E8"/>
    <w:rsid w:val="00560CB5"/>
    <w:rsid w:val="00564F8B"/>
    <w:rsid w:val="00570692"/>
    <w:rsid w:val="0057193B"/>
    <w:rsid w:val="00574122"/>
    <w:rsid w:val="00574867"/>
    <w:rsid w:val="00577D09"/>
    <w:rsid w:val="00580290"/>
    <w:rsid w:val="0058087F"/>
    <w:rsid w:val="0058131F"/>
    <w:rsid w:val="00591460"/>
    <w:rsid w:val="00592628"/>
    <w:rsid w:val="00597C75"/>
    <w:rsid w:val="005A0868"/>
    <w:rsid w:val="005A0CFB"/>
    <w:rsid w:val="005A282F"/>
    <w:rsid w:val="005A2AC9"/>
    <w:rsid w:val="005A6C21"/>
    <w:rsid w:val="005B2CCE"/>
    <w:rsid w:val="005B58C1"/>
    <w:rsid w:val="005B6033"/>
    <w:rsid w:val="005C14F1"/>
    <w:rsid w:val="005C3777"/>
    <w:rsid w:val="005C5CDC"/>
    <w:rsid w:val="005D17C8"/>
    <w:rsid w:val="005D2B2B"/>
    <w:rsid w:val="005D476C"/>
    <w:rsid w:val="005D5F91"/>
    <w:rsid w:val="005D7B25"/>
    <w:rsid w:val="005E6B74"/>
    <w:rsid w:val="005F3CE0"/>
    <w:rsid w:val="005F5A83"/>
    <w:rsid w:val="005F71CE"/>
    <w:rsid w:val="005F7C43"/>
    <w:rsid w:val="00601DFC"/>
    <w:rsid w:val="00605A00"/>
    <w:rsid w:val="00610812"/>
    <w:rsid w:val="00612CE7"/>
    <w:rsid w:val="00613B77"/>
    <w:rsid w:val="00615F46"/>
    <w:rsid w:val="0062005D"/>
    <w:rsid w:val="006219F8"/>
    <w:rsid w:val="006266D7"/>
    <w:rsid w:val="0063165E"/>
    <w:rsid w:val="00632C08"/>
    <w:rsid w:val="00650FF7"/>
    <w:rsid w:val="00654BF0"/>
    <w:rsid w:val="00656421"/>
    <w:rsid w:val="00660F6A"/>
    <w:rsid w:val="00663B19"/>
    <w:rsid w:val="00665032"/>
    <w:rsid w:val="00665D70"/>
    <w:rsid w:val="00671DAC"/>
    <w:rsid w:val="006747C7"/>
    <w:rsid w:val="006827AC"/>
    <w:rsid w:val="006859A3"/>
    <w:rsid w:val="006900D9"/>
    <w:rsid w:val="006920AE"/>
    <w:rsid w:val="00697B17"/>
    <w:rsid w:val="006A0008"/>
    <w:rsid w:val="006A10DF"/>
    <w:rsid w:val="006A3147"/>
    <w:rsid w:val="006B014A"/>
    <w:rsid w:val="006B14B5"/>
    <w:rsid w:val="006B25DE"/>
    <w:rsid w:val="006B4CA3"/>
    <w:rsid w:val="006B6F1B"/>
    <w:rsid w:val="006B747F"/>
    <w:rsid w:val="006C0240"/>
    <w:rsid w:val="006C238E"/>
    <w:rsid w:val="006C5595"/>
    <w:rsid w:val="006D12F8"/>
    <w:rsid w:val="006D2074"/>
    <w:rsid w:val="006D3E4C"/>
    <w:rsid w:val="006D4E33"/>
    <w:rsid w:val="006E41C6"/>
    <w:rsid w:val="006F0D40"/>
    <w:rsid w:val="006F2501"/>
    <w:rsid w:val="00700975"/>
    <w:rsid w:val="00704D9B"/>
    <w:rsid w:val="00705E5F"/>
    <w:rsid w:val="00706C16"/>
    <w:rsid w:val="00711C85"/>
    <w:rsid w:val="00713695"/>
    <w:rsid w:val="0071458F"/>
    <w:rsid w:val="0071627C"/>
    <w:rsid w:val="007215D5"/>
    <w:rsid w:val="00723A7F"/>
    <w:rsid w:val="00723F2B"/>
    <w:rsid w:val="007312C3"/>
    <w:rsid w:val="0073292D"/>
    <w:rsid w:val="00737C53"/>
    <w:rsid w:val="00737DFA"/>
    <w:rsid w:val="007534CA"/>
    <w:rsid w:val="00756841"/>
    <w:rsid w:val="0076066F"/>
    <w:rsid w:val="00762AA9"/>
    <w:rsid w:val="007649AB"/>
    <w:rsid w:val="007670E3"/>
    <w:rsid w:val="0077070B"/>
    <w:rsid w:val="00771D0C"/>
    <w:rsid w:val="00771FD2"/>
    <w:rsid w:val="0078274D"/>
    <w:rsid w:val="00783102"/>
    <w:rsid w:val="007833AC"/>
    <w:rsid w:val="00783657"/>
    <w:rsid w:val="00784D58"/>
    <w:rsid w:val="00786FBF"/>
    <w:rsid w:val="00790AB7"/>
    <w:rsid w:val="007913EA"/>
    <w:rsid w:val="00791769"/>
    <w:rsid w:val="00796340"/>
    <w:rsid w:val="007A23EA"/>
    <w:rsid w:val="007A5189"/>
    <w:rsid w:val="007B0D88"/>
    <w:rsid w:val="007B268C"/>
    <w:rsid w:val="007B7171"/>
    <w:rsid w:val="007B7D02"/>
    <w:rsid w:val="007C0C0F"/>
    <w:rsid w:val="007C2E67"/>
    <w:rsid w:val="007C3DC2"/>
    <w:rsid w:val="007C4E2B"/>
    <w:rsid w:val="007D0457"/>
    <w:rsid w:val="007D124A"/>
    <w:rsid w:val="007D43C9"/>
    <w:rsid w:val="007D7CFD"/>
    <w:rsid w:val="007E50D7"/>
    <w:rsid w:val="007E5497"/>
    <w:rsid w:val="007F28CA"/>
    <w:rsid w:val="007F52A4"/>
    <w:rsid w:val="007F60FB"/>
    <w:rsid w:val="007F7B94"/>
    <w:rsid w:val="00800789"/>
    <w:rsid w:val="00804981"/>
    <w:rsid w:val="00806F5F"/>
    <w:rsid w:val="00811270"/>
    <w:rsid w:val="00811E4F"/>
    <w:rsid w:val="008163D7"/>
    <w:rsid w:val="00820278"/>
    <w:rsid w:val="00825352"/>
    <w:rsid w:val="00834554"/>
    <w:rsid w:val="00834B31"/>
    <w:rsid w:val="00840ADC"/>
    <w:rsid w:val="00841A23"/>
    <w:rsid w:val="00843902"/>
    <w:rsid w:val="00843928"/>
    <w:rsid w:val="00843BF7"/>
    <w:rsid w:val="00844851"/>
    <w:rsid w:val="008449B3"/>
    <w:rsid w:val="00846276"/>
    <w:rsid w:val="00850E23"/>
    <w:rsid w:val="00851137"/>
    <w:rsid w:val="00853978"/>
    <w:rsid w:val="0085432F"/>
    <w:rsid w:val="00856C43"/>
    <w:rsid w:val="00864209"/>
    <w:rsid w:val="0087325B"/>
    <w:rsid w:val="00877EBA"/>
    <w:rsid w:val="0088002A"/>
    <w:rsid w:val="00881ABA"/>
    <w:rsid w:val="008841E9"/>
    <w:rsid w:val="008843B6"/>
    <w:rsid w:val="008853C1"/>
    <w:rsid w:val="00886C02"/>
    <w:rsid w:val="00886C89"/>
    <w:rsid w:val="00887569"/>
    <w:rsid w:val="00891928"/>
    <w:rsid w:val="00894384"/>
    <w:rsid w:val="00894B8B"/>
    <w:rsid w:val="008961BA"/>
    <w:rsid w:val="008A00A4"/>
    <w:rsid w:val="008A446D"/>
    <w:rsid w:val="008A7A64"/>
    <w:rsid w:val="008A7F08"/>
    <w:rsid w:val="008B2F0E"/>
    <w:rsid w:val="008B5A2E"/>
    <w:rsid w:val="008D180B"/>
    <w:rsid w:val="008D1BDB"/>
    <w:rsid w:val="008D6CDA"/>
    <w:rsid w:val="008D7227"/>
    <w:rsid w:val="008E1F92"/>
    <w:rsid w:val="008E7333"/>
    <w:rsid w:val="008E7B09"/>
    <w:rsid w:val="008F0EA7"/>
    <w:rsid w:val="008F1CA9"/>
    <w:rsid w:val="008F7BB9"/>
    <w:rsid w:val="00900C2C"/>
    <w:rsid w:val="00904692"/>
    <w:rsid w:val="00910097"/>
    <w:rsid w:val="00911C7C"/>
    <w:rsid w:val="0091561E"/>
    <w:rsid w:val="00920849"/>
    <w:rsid w:val="00922F57"/>
    <w:rsid w:val="00923EEF"/>
    <w:rsid w:val="009325CC"/>
    <w:rsid w:val="0093558D"/>
    <w:rsid w:val="009411F5"/>
    <w:rsid w:val="009419F9"/>
    <w:rsid w:val="00945B9F"/>
    <w:rsid w:val="00950BE2"/>
    <w:rsid w:val="00953AA4"/>
    <w:rsid w:val="00955305"/>
    <w:rsid w:val="0095685E"/>
    <w:rsid w:val="009572D9"/>
    <w:rsid w:val="009600D2"/>
    <w:rsid w:val="00961409"/>
    <w:rsid w:val="00961B09"/>
    <w:rsid w:val="00962300"/>
    <w:rsid w:val="00963897"/>
    <w:rsid w:val="00965334"/>
    <w:rsid w:val="0097093E"/>
    <w:rsid w:val="009725F1"/>
    <w:rsid w:val="00976025"/>
    <w:rsid w:val="00976F04"/>
    <w:rsid w:val="009800BE"/>
    <w:rsid w:val="0098234B"/>
    <w:rsid w:val="00982E41"/>
    <w:rsid w:val="00983B79"/>
    <w:rsid w:val="00983EEA"/>
    <w:rsid w:val="00984649"/>
    <w:rsid w:val="009858BE"/>
    <w:rsid w:val="00997F1B"/>
    <w:rsid w:val="009A0DFA"/>
    <w:rsid w:val="009A3C2C"/>
    <w:rsid w:val="009A4A40"/>
    <w:rsid w:val="009B2D26"/>
    <w:rsid w:val="009B3595"/>
    <w:rsid w:val="009B5228"/>
    <w:rsid w:val="009B5FC5"/>
    <w:rsid w:val="009B6C8C"/>
    <w:rsid w:val="009B7367"/>
    <w:rsid w:val="009B77A5"/>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362A"/>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B0ADB"/>
    <w:rsid w:val="00AB3FD1"/>
    <w:rsid w:val="00AC0DF9"/>
    <w:rsid w:val="00AC0EAB"/>
    <w:rsid w:val="00AC4701"/>
    <w:rsid w:val="00AC49A2"/>
    <w:rsid w:val="00AD73E2"/>
    <w:rsid w:val="00AD7886"/>
    <w:rsid w:val="00AE2631"/>
    <w:rsid w:val="00AE3D6C"/>
    <w:rsid w:val="00AF0CA5"/>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0FF"/>
    <w:rsid w:val="00B47FD7"/>
    <w:rsid w:val="00B51F75"/>
    <w:rsid w:val="00B52169"/>
    <w:rsid w:val="00B53166"/>
    <w:rsid w:val="00B53E27"/>
    <w:rsid w:val="00B558AF"/>
    <w:rsid w:val="00B615BA"/>
    <w:rsid w:val="00B62D8B"/>
    <w:rsid w:val="00B72CD3"/>
    <w:rsid w:val="00B72FFF"/>
    <w:rsid w:val="00B76CEB"/>
    <w:rsid w:val="00B80CC6"/>
    <w:rsid w:val="00B8257D"/>
    <w:rsid w:val="00B82B8B"/>
    <w:rsid w:val="00B86FE2"/>
    <w:rsid w:val="00B91186"/>
    <w:rsid w:val="00B93423"/>
    <w:rsid w:val="00B93E58"/>
    <w:rsid w:val="00B948E8"/>
    <w:rsid w:val="00BA0A22"/>
    <w:rsid w:val="00BA2EF4"/>
    <w:rsid w:val="00BA6B6F"/>
    <w:rsid w:val="00BA6BE0"/>
    <w:rsid w:val="00BB22DA"/>
    <w:rsid w:val="00BB2C9D"/>
    <w:rsid w:val="00BB76A0"/>
    <w:rsid w:val="00BC0036"/>
    <w:rsid w:val="00BC05A6"/>
    <w:rsid w:val="00BC3D36"/>
    <w:rsid w:val="00BC4B34"/>
    <w:rsid w:val="00BC7498"/>
    <w:rsid w:val="00BD424C"/>
    <w:rsid w:val="00BD4BCA"/>
    <w:rsid w:val="00BD7F72"/>
    <w:rsid w:val="00BE03BC"/>
    <w:rsid w:val="00BE0A18"/>
    <w:rsid w:val="00BE27D3"/>
    <w:rsid w:val="00BF0D99"/>
    <w:rsid w:val="00BF1201"/>
    <w:rsid w:val="00BF1D4A"/>
    <w:rsid w:val="00BF230F"/>
    <w:rsid w:val="00C002E3"/>
    <w:rsid w:val="00C012CC"/>
    <w:rsid w:val="00C04FB3"/>
    <w:rsid w:val="00C056DC"/>
    <w:rsid w:val="00C065D6"/>
    <w:rsid w:val="00C06C4F"/>
    <w:rsid w:val="00C147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2665"/>
    <w:rsid w:val="00CA4272"/>
    <w:rsid w:val="00CA6A9D"/>
    <w:rsid w:val="00CA7F6B"/>
    <w:rsid w:val="00CB6357"/>
    <w:rsid w:val="00CC0106"/>
    <w:rsid w:val="00CC0FA3"/>
    <w:rsid w:val="00CC1B26"/>
    <w:rsid w:val="00CC49F7"/>
    <w:rsid w:val="00CC54DB"/>
    <w:rsid w:val="00CC7787"/>
    <w:rsid w:val="00CD087D"/>
    <w:rsid w:val="00CD41CB"/>
    <w:rsid w:val="00CD5EE0"/>
    <w:rsid w:val="00CE02A2"/>
    <w:rsid w:val="00CE3273"/>
    <w:rsid w:val="00CE509A"/>
    <w:rsid w:val="00CE5414"/>
    <w:rsid w:val="00CF241F"/>
    <w:rsid w:val="00CF7826"/>
    <w:rsid w:val="00D0157A"/>
    <w:rsid w:val="00D02088"/>
    <w:rsid w:val="00D036D8"/>
    <w:rsid w:val="00D038ED"/>
    <w:rsid w:val="00D05617"/>
    <w:rsid w:val="00D06D26"/>
    <w:rsid w:val="00D10B75"/>
    <w:rsid w:val="00D13351"/>
    <w:rsid w:val="00D15E25"/>
    <w:rsid w:val="00D20368"/>
    <w:rsid w:val="00D22361"/>
    <w:rsid w:val="00D22598"/>
    <w:rsid w:val="00D26924"/>
    <w:rsid w:val="00D3318B"/>
    <w:rsid w:val="00D35468"/>
    <w:rsid w:val="00D413F6"/>
    <w:rsid w:val="00D4231B"/>
    <w:rsid w:val="00D423A2"/>
    <w:rsid w:val="00D4461E"/>
    <w:rsid w:val="00D45E4A"/>
    <w:rsid w:val="00D520D8"/>
    <w:rsid w:val="00D52961"/>
    <w:rsid w:val="00D55048"/>
    <w:rsid w:val="00D56C6D"/>
    <w:rsid w:val="00D57FA4"/>
    <w:rsid w:val="00D62DE7"/>
    <w:rsid w:val="00D63AC2"/>
    <w:rsid w:val="00D63E03"/>
    <w:rsid w:val="00D665B4"/>
    <w:rsid w:val="00D7080D"/>
    <w:rsid w:val="00D7383B"/>
    <w:rsid w:val="00D7609E"/>
    <w:rsid w:val="00D81A63"/>
    <w:rsid w:val="00D81D25"/>
    <w:rsid w:val="00D85C60"/>
    <w:rsid w:val="00D86C54"/>
    <w:rsid w:val="00D91F8B"/>
    <w:rsid w:val="00D94C40"/>
    <w:rsid w:val="00DA231B"/>
    <w:rsid w:val="00DA23A0"/>
    <w:rsid w:val="00DA7D04"/>
    <w:rsid w:val="00DA7F66"/>
    <w:rsid w:val="00DB186F"/>
    <w:rsid w:val="00DB2AC7"/>
    <w:rsid w:val="00DB6DAB"/>
    <w:rsid w:val="00DB77B8"/>
    <w:rsid w:val="00DC39FC"/>
    <w:rsid w:val="00DC4385"/>
    <w:rsid w:val="00DC484F"/>
    <w:rsid w:val="00DC4C27"/>
    <w:rsid w:val="00DC51BC"/>
    <w:rsid w:val="00DC78A7"/>
    <w:rsid w:val="00DC793F"/>
    <w:rsid w:val="00DE3BDD"/>
    <w:rsid w:val="00DE4629"/>
    <w:rsid w:val="00DE58C9"/>
    <w:rsid w:val="00DE6EAA"/>
    <w:rsid w:val="00DF11FD"/>
    <w:rsid w:val="00DF3AF4"/>
    <w:rsid w:val="00DF5254"/>
    <w:rsid w:val="00E052F2"/>
    <w:rsid w:val="00E12426"/>
    <w:rsid w:val="00E14EB2"/>
    <w:rsid w:val="00E16408"/>
    <w:rsid w:val="00E20894"/>
    <w:rsid w:val="00E2397D"/>
    <w:rsid w:val="00E23B70"/>
    <w:rsid w:val="00E245AB"/>
    <w:rsid w:val="00E26239"/>
    <w:rsid w:val="00E2764C"/>
    <w:rsid w:val="00E27F2E"/>
    <w:rsid w:val="00E35539"/>
    <w:rsid w:val="00E413EA"/>
    <w:rsid w:val="00E46F2D"/>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5D9B"/>
    <w:rsid w:val="00EB7E00"/>
    <w:rsid w:val="00EC1A2C"/>
    <w:rsid w:val="00EC1FE1"/>
    <w:rsid w:val="00EC38A7"/>
    <w:rsid w:val="00ED042A"/>
    <w:rsid w:val="00ED0D4A"/>
    <w:rsid w:val="00ED587E"/>
    <w:rsid w:val="00EE1AA8"/>
    <w:rsid w:val="00EE6DCD"/>
    <w:rsid w:val="00EF26C3"/>
    <w:rsid w:val="00EF419E"/>
    <w:rsid w:val="00EF489F"/>
    <w:rsid w:val="00F00796"/>
    <w:rsid w:val="00F11213"/>
    <w:rsid w:val="00F11BAA"/>
    <w:rsid w:val="00F177C1"/>
    <w:rsid w:val="00F17EB6"/>
    <w:rsid w:val="00F238F2"/>
    <w:rsid w:val="00F248A2"/>
    <w:rsid w:val="00F260AA"/>
    <w:rsid w:val="00F2680F"/>
    <w:rsid w:val="00F27B26"/>
    <w:rsid w:val="00F30B1C"/>
    <w:rsid w:val="00F31EDC"/>
    <w:rsid w:val="00F33D27"/>
    <w:rsid w:val="00F34D02"/>
    <w:rsid w:val="00F34E84"/>
    <w:rsid w:val="00F40890"/>
    <w:rsid w:val="00F40BAD"/>
    <w:rsid w:val="00F462B3"/>
    <w:rsid w:val="00F50DC9"/>
    <w:rsid w:val="00F5184B"/>
    <w:rsid w:val="00F5491E"/>
    <w:rsid w:val="00F55081"/>
    <w:rsid w:val="00F55168"/>
    <w:rsid w:val="00F5664F"/>
    <w:rsid w:val="00F61ABB"/>
    <w:rsid w:val="00F626C4"/>
    <w:rsid w:val="00F64D9E"/>
    <w:rsid w:val="00F664EC"/>
    <w:rsid w:val="00F666C4"/>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5276"/>
    <w:rsid w:val="00FD653F"/>
    <w:rsid w:val="00FE122A"/>
    <w:rsid w:val="00FE20E6"/>
    <w:rsid w:val="00FE3927"/>
    <w:rsid w:val="00FF1187"/>
    <w:rsid w:val="00FF1449"/>
    <w:rsid w:val="00FF74EA"/>
    <w:rsid w:val="07EDAB2A"/>
    <w:rsid w:val="088C6528"/>
    <w:rsid w:val="0FB71FC4"/>
    <w:rsid w:val="2832C13D"/>
    <w:rsid w:val="28D3F2F3"/>
    <w:rsid w:val="32A152E6"/>
    <w:rsid w:val="500767F2"/>
    <w:rsid w:val="5C88AC8A"/>
    <w:rsid w:val="5CEADB7B"/>
    <w:rsid w:val="7B016FED"/>
    <w:rsid w:val="7E7E70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69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311">
      <w:bodyDiv w:val="1"/>
      <w:marLeft w:val="0"/>
      <w:marRight w:val="0"/>
      <w:marTop w:val="0"/>
      <w:marBottom w:val="0"/>
      <w:divBdr>
        <w:top w:val="none" w:sz="0" w:space="0" w:color="auto"/>
        <w:left w:val="none" w:sz="0" w:space="0" w:color="auto"/>
        <w:bottom w:val="none" w:sz="0" w:space="0" w:color="auto"/>
        <w:right w:val="none" w:sz="0" w:space="0" w:color="auto"/>
      </w:divBdr>
    </w:div>
    <w:div w:id="189608718">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56734432">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8333836">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07894207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www.funcionpublica.gov.co/eva/gestornormativo/norma.php?i=4310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olombiacompra.gov.co" TargetMode="External"/><Relationship Id="rId7" Type="http://schemas.openxmlformats.org/officeDocument/2006/relationships/settings" Target="settings.xml"/><Relationship Id="rId12" Type="http://schemas.openxmlformats.org/officeDocument/2006/relationships/hyperlink" Target="https://www.funcionpublica.gov.co/eva/gestornormativo/norma.php?i=56408" TargetMode="External"/><Relationship Id="rId17" Type="http://schemas.openxmlformats.org/officeDocument/2006/relationships/hyperlink" Target="https://www.funcionpublica.gov.co/eva/gestornormativo/norma.php?i=5640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uncionpublica.gov.co/eva/gestornormativo/norma.php?i=43101" TargetMode="External"/><Relationship Id="rId20" Type="http://schemas.openxmlformats.org/officeDocument/2006/relationships/hyperlink" Target="https://relatoria.colombiacompra.gov.co/busqueda/concept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4310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gr@contraloria.gov.co"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funcionpublica.gov.co/eva/gestornormativo/norma.php?i=5640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E7F4-6CE4-421B-B8E9-6EEB6E24B291}">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4307</Words>
  <Characters>23693</Characters>
  <Application>Microsoft Office Word</Application>
  <DocSecurity>0</DocSecurity>
  <Lines>197</Lines>
  <Paragraphs>55</Paragraphs>
  <ScaleCrop>false</ScaleCrop>
  <Company/>
  <LinksUpToDate>false</LinksUpToDate>
  <CharactersWithSpaces>27945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2025-02-25T15:45:00Z</cp:lastPrinted>
  <dcterms:created xsi:type="dcterms:W3CDTF">2025-07-02T12:07:00Z</dcterms:created>
  <dcterms:modified xsi:type="dcterms:W3CDTF">2025-08-12T14:18:00Z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