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538" w:rsidRPr="006F1AFD" w:rsidRDefault="00950538" w:rsidP="00950538">
      <w:pPr>
        <w:spacing w:line="276" w:lineRule="auto"/>
        <w:jc w:val="right"/>
        <w:rPr>
          <w:rFonts w:ascii="Arial" w:eastAsia="Calibri" w:hAnsi="Arial" w:cs="Arial"/>
          <w:b/>
          <w:bCs/>
          <w:color w:val="000000" w:themeColor="text1"/>
          <w:sz w:val="22"/>
        </w:rPr>
      </w:pPr>
      <w:r w:rsidRPr="006F1AFD">
        <w:rPr>
          <w:rFonts w:ascii="Arial" w:eastAsia="Times New Roman" w:hAnsi="Arial" w:cs="Arial"/>
          <w:b/>
          <w:bCs/>
          <w:color w:val="000000" w:themeColor="text1"/>
          <w:sz w:val="16"/>
          <w:szCs w:val="16"/>
          <w:lang w:eastAsia="es-ES"/>
        </w:rPr>
        <w:t>CCE-DES-FM-17</w:t>
      </w:r>
    </w:p>
    <w:p w:rsidR="00950538" w:rsidRPr="006F1AFD" w:rsidRDefault="00950538" w:rsidP="00950538">
      <w:pPr>
        <w:spacing w:line="276" w:lineRule="auto"/>
        <w:jc w:val="both"/>
        <w:rPr>
          <w:rFonts w:ascii="Arial" w:eastAsia="Calibri" w:hAnsi="Arial" w:cs="Arial"/>
          <w:b/>
          <w:color w:val="000000" w:themeColor="text1"/>
          <w:sz w:val="16"/>
          <w:szCs w:val="16"/>
          <w:highlight w:val="yellow"/>
        </w:rPr>
      </w:pPr>
    </w:p>
    <w:p w:rsidR="00950538" w:rsidRPr="00ED159D" w:rsidRDefault="00950538" w:rsidP="00950538">
      <w:pPr>
        <w:jc w:val="both"/>
        <w:rPr>
          <w:rFonts w:ascii="Arial" w:eastAsia="Calibri" w:hAnsi="Arial" w:cs="Arial"/>
          <w:color w:val="000000" w:themeColor="text1"/>
          <w:sz w:val="20"/>
          <w:szCs w:val="20"/>
          <w:lang w:val="es-ES_tradnl"/>
        </w:rPr>
      </w:pPr>
      <w:r w:rsidRPr="00ED159D">
        <w:rPr>
          <w:rFonts w:ascii="Arial" w:eastAsia="Calibri" w:hAnsi="Arial" w:cs="Arial"/>
          <w:b/>
          <w:color w:val="000000" w:themeColor="text1"/>
          <w:sz w:val="20"/>
          <w:szCs w:val="20"/>
          <w:lang w:val="es-ES_tradnl"/>
        </w:rPr>
        <w:t xml:space="preserve">PRINCIPIO DE SELECCIÓN OBJETIVA </w:t>
      </w:r>
      <w:bookmarkStart w:id="0" w:name="_Hlk39479884"/>
      <w:r w:rsidRPr="00ED159D">
        <w:rPr>
          <w:rFonts w:ascii="Arial" w:eastAsia="Calibri" w:hAnsi="Arial" w:cs="Arial"/>
          <w:b/>
          <w:bCs/>
          <w:color w:val="000000" w:themeColor="text1"/>
          <w:sz w:val="20"/>
          <w:szCs w:val="20"/>
        </w:rPr>
        <w:t>–</w:t>
      </w:r>
      <w:bookmarkEnd w:id="0"/>
      <w:r w:rsidRPr="00ED159D">
        <w:rPr>
          <w:rFonts w:ascii="Arial" w:eastAsia="Calibri" w:hAnsi="Arial" w:cs="Arial"/>
          <w:b/>
          <w:color w:val="000000" w:themeColor="text1"/>
          <w:sz w:val="20"/>
          <w:szCs w:val="20"/>
          <w:lang w:val="es-ES_tradnl"/>
        </w:rPr>
        <w:t xml:space="preserve"> Fundamento </w:t>
      </w:r>
      <w:r w:rsidRPr="00ED159D">
        <w:rPr>
          <w:rFonts w:ascii="Arial" w:eastAsia="Calibri" w:hAnsi="Arial" w:cs="Arial"/>
          <w:b/>
          <w:bCs/>
          <w:color w:val="000000" w:themeColor="text1"/>
          <w:sz w:val="20"/>
          <w:szCs w:val="20"/>
        </w:rPr>
        <w:t>–</w:t>
      </w:r>
      <w:r w:rsidRPr="00ED159D">
        <w:rPr>
          <w:rFonts w:ascii="Arial" w:eastAsia="Calibri" w:hAnsi="Arial" w:cs="Arial"/>
          <w:b/>
          <w:color w:val="000000" w:themeColor="text1"/>
          <w:sz w:val="20"/>
          <w:szCs w:val="20"/>
          <w:lang w:val="es-ES_tradnl"/>
        </w:rPr>
        <w:t xml:space="preserve"> Alcance</w:t>
      </w:r>
    </w:p>
    <w:p w:rsidR="00950538" w:rsidRPr="00ED159D" w:rsidRDefault="00950538" w:rsidP="00950538">
      <w:pPr>
        <w:jc w:val="both"/>
        <w:rPr>
          <w:rFonts w:ascii="Arial" w:eastAsia="Calibri" w:hAnsi="Arial" w:cs="Arial"/>
          <w:color w:val="000000" w:themeColor="text1"/>
          <w:sz w:val="20"/>
          <w:szCs w:val="20"/>
          <w:lang w:val="es-ES_tradnl"/>
        </w:rPr>
      </w:pPr>
    </w:p>
    <w:p w:rsidR="00950538" w:rsidRPr="00ED159D" w:rsidRDefault="00950538" w:rsidP="00950538">
      <w:pPr>
        <w:jc w:val="both"/>
        <w:rPr>
          <w:rFonts w:ascii="Arial" w:eastAsia="Calibri" w:hAnsi="Arial" w:cs="Arial"/>
          <w:color w:val="000000" w:themeColor="text1"/>
          <w:sz w:val="20"/>
          <w:szCs w:val="20"/>
          <w:lang w:val="es-ES_tradnl"/>
        </w:rPr>
      </w:pPr>
      <w:r w:rsidRPr="00ED159D">
        <w:rPr>
          <w:rFonts w:ascii="Arial" w:eastAsia="Calibri" w:hAnsi="Arial" w:cs="Arial"/>
          <w:color w:val="000000" w:themeColor="text1"/>
          <w:sz w:val="20"/>
          <w:szCs w:val="20"/>
          <w:lang w:val="es-ES_tradnl"/>
        </w:rPr>
        <w:t xml:space="preserve">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w:t>
      </w:r>
      <w:proofErr w:type="spellStart"/>
      <w:r w:rsidRPr="00ED159D">
        <w:rPr>
          <w:rFonts w:ascii="Arial" w:eastAsia="Calibri" w:hAnsi="Arial" w:cs="Arial"/>
          <w:color w:val="000000" w:themeColor="text1"/>
          <w:sz w:val="20"/>
          <w:szCs w:val="20"/>
          <w:lang w:val="es-ES_tradnl"/>
        </w:rPr>
        <w:t>subsanabilidad</w:t>
      </w:r>
      <w:proofErr w:type="spellEnd"/>
      <w:r w:rsidRPr="00ED159D">
        <w:rPr>
          <w:rFonts w:ascii="Arial" w:eastAsia="Calibri" w:hAnsi="Arial" w:cs="Arial"/>
          <w:color w:val="000000" w:themeColor="text1"/>
          <w:sz w:val="20"/>
          <w:szCs w:val="20"/>
          <w:lang w:val="es-ES_tradnl"/>
        </w:rPr>
        <w:t xml:space="preserve">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ED159D">
        <w:rPr>
          <w:rFonts w:ascii="Arial" w:eastAsia="Calibri" w:hAnsi="Arial" w:cs="Arial"/>
          <w:color w:val="000000" w:themeColor="text1"/>
          <w:sz w:val="20"/>
          <w:szCs w:val="20"/>
          <w:lang w:val="es-ES_tradnl"/>
        </w:rPr>
        <w:tab/>
      </w:r>
    </w:p>
    <w:p w:rsidR="00950538" w:rsidRPr="00ED159D" w:rsidRDefault="00950538" w:rsidP="00950538">
      <w:pPr>
        <w:jc w:val="both"/>
        <w:rPr>
          <w:rFonts w:ascii="Arial" w:eastAsia="Calibri" w:hAnsi="Arial" w:cs="Arial"/>
          <w:color w:val="000000" w:themeColor="text1"/>
          <w:sz w:val="20"/>
          <w:szCs w:val="20"/>
          <w:lang w:val="es-ES_tradnl"/>
        </w:rPr>
      </w:pPr>
    </w:p>
    <w:p w:rsidR="00950538" w:rsidRPr="00ED159D" w:rsidRDefault="00950538" w:rsidP="00950538">
      <w:pPr>
        <w:jc w:val="both"/>
        <w:rPr>
          <w:rFonts w:ascii="Arial" w:eastAsia="Calibri" w:hAnsi="Arial" w:cs="Arial"/>
          <w:b/>
          <w:bCs/>
          <w:color w:val="000000" w:themeColor="text1"/>
          <w:sz w:val="20"/>
          <w:szCs w:val="20"/>
          <w:lang w:val="es-ES"/>
        </w:rPr>
      </w:pPr>
      <w:r w:rsidRPr="00ED159D">
        <w:rPr>
          <w:rFonts w:ascii="Arial" w:eastAsia="Calibri" w:hAnsi="Arial" w:cs="Arial"/>
          <w:b/>
          <w:bCs/>
          <w:color w:val="000000" w:themeColor="text1"/>
          <w:sz w:val="20"/>
          <w:szCs w:val="20"/>
          <w:lang w:val="es-ES"/>
        </w:rPr>
        <w:t xml:space="preserve">SUBSANABILIDAD </w:t>
      </w:r>
      <w:r w:rsidRPr="00ED159D">
        <w:rPr>
          <w:rFonts w:ascii="Arial" w:eastAsia="Calibri" w:hAnsi="Arial" w:cs="Arial"/>
          <w:b/>
          <w:bCs/>
          <w:color w:val="000000" w:themeColor="text1"/>
          <w:sz w:val="20"/>
          <w:szCs w:val="20"/>
        </w:rPr>
        <w:t>–</w:t>
      </w:r>
      <w:r w:rsidRPr="00ED159D">
        <w:rPr>
          <w:rFonts w:ascii="Arial" w:eastAsia="Calibri" w:hAnsi="Arial" w:cs="Arial"/>
          <w:b/>
          <w:bCs/>
          <w:color w:val="000000" w:themeColor="text1"/>
          <w:sz w:val="20"/>
          <w:szCs w:val="20"/>
          <w:lang w:val="es-ES"/>
        </w:rPr>
        <w:t xml:space="preserve"> Concepto de unificación </w:t>
      </w:r>
      <w:r w:rsidRPr="00ED159D">
        <w:rPr>
          <w:rFonts w:ascii="Arial" w:eastAsia="Calibri" w:hAnsi="Arial" w:cs="Arial"/>
          <w:b/>
          <w:bCs/>
          <w:color w:val="000000" w:themeColor="text1"/>
          <w:sz w:val="20"/>
          <w:szCs w:val="20"/>
        </w:rPr>
        <w:t>–</w:t>
      </w:r>
      <w:r w:rsidRPr="00ED159D">
        <w:rPr>
          <w:rFonts w:ascii="Arial" w:eastAsia="Calibri" w:hAnsi="Arial" w:cs="Arial"/>
          <w:b/>
          <w:bCs/>
          <w:color w:val="000000" w:themeColor="text1"/>
          <w:sz w:val="20"/>
          <w:szCs w:val="20"/>
          <w:lang w:val="es-ES"/>
        </w:rPr>
        <w:t xml:space="preserve"> Aplicación </w:t>
      </w:r>
      <w:r w:rsidRPr="00ED159D">
        <w:rPr>
          <w:rFonts w:ascii="Arial" w:eastAsia="Calibri" w:hAnsi="Arial" w:cs="Arial"/>
          <w:b/>
          <w:bCs/>
          <w:color w:val="000000" w:themeColor="text1"/>
          <w:sz w:val="20"/>
          <w:szCs w:val="20"/>
        </w:rPr>
        <w:t>–</w:t>
      </w:r>
      <w:r w:rsidRPr="00ED159D">
        <w:rPr>
          <w:rFonts w:ascii="Arial" w:eastAsia="Calibri" w:hAnsi="Arial" w:cs="Arial"/>
          <w:b/>
          <w:bCs/>
          <w:color w:val="000000" w:themeColor="text1"/>
          <w:sz w:val="20"/>
          <w:szCs w:val="20"/>
          <w:lang w:val="es-ES"/>
        </w:rPr>
        <w:t xml:space="preserve"> Improcedencia </w:t>
      </w:r>
      <w:r w:rsidRPr="00ED159D">
        <w:rPr>
          <w:rFonts w:ascii="Arial" w:eastAsia="Calibri" w:hAnsi="Arial" w:cs="Arial"/>
          <w:b/>
          <w:bCs/>
          <w:color w:val="000000" w:themeColor="text1"/>
          <w:sz w:val="20"/>
          <w:szCs w:val="20"/>
        </w:rPr>
        <w:t>–</w:t>
      </w:r>
      <w:r w:rsidRPr="00ED159D">
        <w:rPr>
          <w:rFonts w:ascii="Arial" w:eastAsia="Calibri" w:hAnsi="Arial" w:cs="Arial"/>
          <w:b/>
          <w:bCs/>
          <w:color w:val="000000" w:themeColor="text1"/>
          <w:sz w:val="20"/>
          <w:szCs w:val="20"/>
          <w:lang w:val="es-ES"/>
        </w:rPr>
        <w:t xml:space="preserve"> Circunstancias </w:t>
      </w:r>
      <w:proofErr w:type="gramStart"/>
      <w:r w:rsidRPr="00ED159D">
        <w:rPr>
          <w:rFonts w:ascii="Arial" w:eastAsia="Calibri" w:hAnsi="Arial" w:cs="Arial"/>
          <w:b/>
          <w:bCs/>
          <w:color w:val="000000" w:themeColor="text1"/>
          <w:sz w:val="20"/>
          <w:szCs w:val="20"/>
          <w:lang w:val="es-ES"/>
        </w:rPr>
        <w:t>posteriores</w:t>
      </w:r>
      <w:proofErr w:type="gramEnd"/>
      <w:r w:rsidRPr="00ED159D">
        <w:rPr>
          <w:rFonts w:ascii="Arial" w:eastAsia="Calibri" w:hAnsi="Arial" w:cs="Arial"/>
          <w:b/>
          <w:bCs/>
          <w:color w:val="000000" w:themeColor="text1"/>
          <w:sz w:val="20"/>
          <w:szCs w:val="20"/>
          <w:lang w:val="es-ES"/>
        </w:rPr>
        <w:t xml:space="preserve"> </w:t>
      </w:r>
      <w:r w:rsidRPr="00ED159D">
        <w:rPr>
          <w:rFonts w:ascii="Arial" w:eastAsia="Calibri" w:hAnsi="Arial" w:cs="Arial"/>
          <w:b/>
          <w:bCs/>
          <w:color w:val="000000" w:themeColor="text1"/>
          <w:sz w:val="20"/>
          <w:szCs w:val="20"/>
        </w:rPr>
        <w:t>–</w:t>
      </w:r>
      <w:r w:rsidRPr="00ED159D">
        <w:rPr>
          <w:rFonts w:ascii="Arial" w:eastAsia="Calibri" w:hAnsi="Arial" w:cs="Arial"/>
          <w:b/>
          <w:bCs/>
          <w:color w:val="000000" w:themeColor="text1"/>
          <w:sz w:val="20"/>
          <w:szCs w:val="20"/>
          <w:lang w:val="es-ES"/>
        </w:rPr>
        <w:t xml:space="preserve"> Cierre del proceso</w:t>
      </w:r>
    </w:p>
    <w:p w:rsidR="00950538" w:rsidRPr="00ED159D" w:rsidRDefault="00950538" w:rsidP="00950538">
      <w:pPr>
        <w:jc w:val="both"/>
        <w:rPr>
          <w:rFonts w:ascii="Arial" w:eastAsia="Calibri" w:hAnsi="Arial" w:cs="Arial"/>
          <w:color w:val="000000" w:themeColor="text1"/>
          <w:sz w:val="20"/>
          <w:szCs w:val="20"/>
          <w:lang w:val="es-ES_tradnl"/>
        </w:rPr>
      </w:pPr>
    </w:p>
    <w:p w:rsidR="00950538" w:rsidRPr="00ED159D" w:rsidRDefault="00950538" w:rsidP="00950538">
      <w:pPr>
        <w:jc w:val="both"/>
        <w:rPr>
          <w:rFonts w:ascii="Arial" w:eastAsia="Calibri" w:hAnsi="Arial" w:cs="Arial"/>
          <w:color w:val="000000" w:themeColor="text1"/>
          <w:sz w:val="20"/>
          <w:szCs w:val="20"/>
          <w:lang w:val="es-ES_tradnl"/>
        </w:rPr>
      </w:pPr>
      <w:r w:rsidRPr="00ED159D">
        <w:rPr>
          <w:rFonts w:ascii="Arial" w:eastAsia="Calibri" w:hAnsi="Arial" w:cs="Arial"/>
          <w:color w:val="000000" w:themeColor="text1"/>
          <w:sz w:val="20"/>
          <w:szCs w:val="20"/>
          <w:lang w:val="es-ES_tradnl"/>
        </w:rPr>
        <w:t xml:space="preserve">La regla de la </w:t>
      </w:r>
      <w:proofErr w:type="spellStart"/>
      <w:r w:rsidRPr="00ED159D">
        <w:rPr>
          <w:rFonts w:ascii="Arial" w:eastAsia="Calibri" w:hAnsi="Arial" w:cs="Arial"/>
          <w:color w:val="000000" w:themeColor="text1"/>
          <w:sz w:val="20"/>
          <w:szCs w:val="20"/>
          <w:lang w:val="es-ES_tradnl"/>
        </w:rPr>
        <w:t>subsanabilidad</w:t>
      </w:r>
      <w:proofErr w:type="spellEnd"/>
      <w:r w:rsidRPr="00ED159D">
        <w:rPr>
          <w:rFonts w:ascii="Arial" w:eastAsia="Calibri" w:hAnsi="Arial" w:cs="Arial"/>
          <w:color w:val="000000" w:themeColor="text1"/>
          <w:sz w:val="20"/>
          <w:szCs w:val="20"/>
          <w:lang w:val="es-ES_tradnl"/>
        </w:rPr>
        <w:t xml:space="preserve">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Pr="00ED159D">
        <w:rPr>
          <w:rFonts w:ascii="Arial" w:eastAsia="Calibri" w:hAnsi="Arial" w:cs="Arial"/>
          <w:color w:val="000000" w:themeColor="text1"/>
          <w:sz w:val="20"/>
          <w:szCs w:val="20"/>
          <w:lang w:val="es-ES_tradnl"/>
        </w:rPr>
        <w:t>subsanabilidad</w:t>
      </w:r>
      <w:proofErr w:type="spellEnd"/>
      <w:r w:rsidRPr="00ED159D">
        <w:rPr>
          <w:rFonts w:ascii="Arial" w:eastAsia="Calibri" w:hAnsi="Arial" w:cs="Arial"/>
          <w:color w:val="000000" w:themeColor="text1"/>
          <w:sz w:val="20"/>
          <w:szCs w:val="20"/>
          <w:lang w:val="es-ES_tradnl"/>
        </w:rPr>
        <w:t xml:space="preserve"> de las ofertas debe interpretarse como una regla general en relación con la falta de entrega o con los defectos de los requisitos habilitantes.</w:t>
      </w:r>
    </w:p>
    <w:p w:rsidR="00950538" w:rsidRPr="00ED159D" w:rsidRDefault="00950538" w:rsidP="00950538">
      <w:pPr>
        <w:jc w:val="both"/>
        <w:rPr>
          <w:rFonts w:ascii="Arial" w:eastAsia="Calibri" w:hAnsi="Arial" w:cs="Arial"/>
          <w:color w:val="000000" w:themeColor="text1"/>
          <w:sz w:val="20"/>
          <w:szCs w:val="20"/>
          <w:lang w:val="es-ES_tradnl"/>
        </w:rPr>
      </w:pPr>
    </w:p>
    <w:p w:rsidR="00950538" w:rsidRPr="00ED159D" w:rsidRDefault="00950538" w:rsidP="00950538">
      <w:pPr>
        <w:jc w:val="both"/>
        <w:rPr>
          <w:rFonts w:ascii="Arial" w:eastAsia="Calibri" w:hAnsi="Arial" w:cs="Arial"/>
          <w:color w:val="000000" w:themeColor="text1"/>
          <w:sz w:val="20"/>
          <w:szCs w:val="20"/>
          <w:lang w:val="es-ES_tradnl"/>
        </w:rPr>
      </w:pPr>
      <w:r w:rsidRPr="00ED159D">
        <w:rPr>
          <w:rFonts w:ascii="Arial" w:eastAsia="Calibri" w:hAnsi="Arial" w:cs="Arial"/>
          <w:b/>
          <w:color w:val="000000" w:themeColor="text1"/>
          <w:sz w:val="20"/>
          <w:szCs w:val="20"/>
          <w:lang w:val="es-ES_tradnl"/>
        </w:rPr>
        <w:t xml:space="preserve">SUBSANABILIDAD </w:t>
      </w:r>
      <w:r w:rsidRPr="00ED159D">
        <w:rPr>
          <w:rFonts w:ascii="Arial" w:eastAsia="Calibri" w:hAnsi="Arial" w:cs="Arial"/>
          <w:b/>
          <w:bCs/>
          <w:color w:val="000000" w:themeColor="text1"/>
          <w:sz w:val="20"/>
          <w:szCs w:val="20"/>
        </w:rPr>
        <w:t>–</w:t>
      </w:r>
      <w:r w:rsidRPr="00ED159D">
        <w:rPr>
          <w:rFonts w:ascii="Arial" w:eastAsia="Calibri" w:hAnsi="Arial" w:cs="Arial"/>
          <w:b/>
          <w:color w:val="000000" w:themeColor="text1"/>
          <w:sz w:val="20"/>
          <w:szCs w:val="20"/>
          <w:lang w:val="es-ES_tradnl"/>
        </w:rPr>
        <w:t xml:space="preserve"> Oportunidad </w:t>
      </w:r>
      <w:r w:rsidRPr="00ED159D">
        <w:rPr>
          <w:rFonts w:ascii="Arial" w:eastAsia="Calibri" w:hAnsi="Arial" w:cs="Arial"/>
          <w:b/>
          <w:bCs/>
          <w:color w:val="000000" w:themeColor="text1"/>
          <w:sz w:val="20"/>
          <w:szCs w:val="20"/>
        </w:rPr>
        <w:t>–</w:t>
      </w:r>
      <w:r w:rsidRPr="00ED159D">
        <w:rPr>
          <w:rFonts w:ascii="Arial" w:eastAsia="Calibri" w:hAnsi="Arial" w:cs="Arial"/>
          <w:b/>
          <w:color w:val="000000" w:themeColor="text1"/>
          <w:sz w:val="20"/>
          <w:szCs w:val="20"/>
          <w:lang w:val="es-ES_tradnl"/>
        </w:rPr>
        <w:t xml:space="preserve"> Traslado </w:t>
      </w:r>
      <w:r w:rsidRPr="00ED159D">
        <w:rPr>
          <w:rFonts w:ascii="Arial" w:eastAsia="Calibri" w:hAnsi="Arial" w:cs="Arial"/>
          <w:b/>
          <w:bCs/>
          <w:color w:val="000000" w:themeColor="text1"/>
          <w:sz w:val="20"/>
          <w:szCs w:val="20"/>
        </w:rPr>
        <w:t>–</w:t>
      </w:r>
      <w:r w:rsidRPr="00ED159D">
        <w:rPr>
          <w:rFonts w:ascii="Arial" w:eastAsia="Calibri" w:hAnsi="Arial" w:cs="Arial"/>
          <w:b/>
          <w:color w:val="000000" w:themeColor="text1"/>
          <w:sz w:val="20"/>
          <w:szCs w:val="20"/>
          <w:lang w:val="es-ES_tradnl"/>
        </w:rPr>
        <w:t xml:space="preserve"> Informe de evaluación </w:t>
      </w:r>
    </w:p>
    <w:p w:rsidR="00950538" w:rsidRPr="00ED159D" w:rsidRDefault="00950538" w:rsidP="00950538">
      <w:pPr>
        <w:jc w:val="both"/>
        <w:rPr>
          <w:rFonts w:ascii="Arial" w:eastAsia="Calibri" w:hAnsi="Arial" w:cs="Arial"/>
          <w:color w:val="000000" w:themeColor="text1"/>
          <w:sz w:val="20"/>
          <w:szCs w:val="20"/>
          <w:lang w:val="es-ES_tradnl"/>
        </w:rPr>
      </w:pPr>
    </w:p>
    <w:p w:rsidR="00950538" w:rsidRPr="00ED159D" w:rsidRDefault="00950538" w:rsidP="00950538">
      <w:pPr>
        <w:spacing w:after="120"/>
        <w:jc w:val="both"/>
        <w:rPr>
          <w:rFonts w:ascii="Arial" w:eastAsia="Calibri" w:hAnsi="Arial" w:cs="Arial"/>
          <w:color w:val="000000" w:themeColor="text1"/>
          <w:sz w:val="20"/>
          <w:szCs w:val="20"/>
          <w:lang w:val="es-ES_tradnl"/>
        </w:rPr>
      </w:pPr>
      <w:r w:rsidRPr="00ED159D">
        <w:rPr>
          <w:rFonts w:ascii="Arial" w:eastAsia="Calibri" w:hAnsi="Arial" w:cs="Arial"/>
          <w:color w:val="000000" w:themeColor="text1"/>
          <w:sz w:val="20"/>
          <w:szCs w:val="20"/>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ED159D">
        <w:rPr>
          <w:rFonts w:ascii="Arial" w:eastAsia="Calibri" w:hAnsi="Arial" w:cs="Arial"/>
          <w:color w:val="000000" w:themeColor="text1"/>
          <w:sz w:val="20"/>
          <w:szCs w:val="20"/>
          <w:lang w:val="es-ES_tradnl"/>
        </w:rPr>
        <w:t>subsanabilidad</w:t>
      </w:r>
      <w:proofErr w:type="spellEnd"/>
      <w:r w:rsidRPr="00ED159D">
        <w:rPr>
          <w:rFonts w:ascii="Arial" w:eastAsia="Calibri" w:hAnsi="Arial" w:cs="Arial"/>
          <w:color w:val="000000" w:themeColor="text1"/>
          <w:sz w:val="20"/>
          <w:szCs w:val="20"/>
          <w:lang w:val="es-ES_tradnl"/>
        </w:rPr>
        <w:t xml:space="preserve">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w:t>
      </w:r>
    </w:p>
    <w:p w:rsidR="00950538" w:rsidRPr="00ED159D" w:rsidRDefault="00950538" w:rsidP="00950538">
      <w:pPr>
        <w:spacing w:after="120"/>
        <w:jc w:val="both"/>
        <w:rPr>
          <w:rFonts w:ascii="Arial" w:eastAsia="Calibri" w:hAnsi="Arial" w:cs="Arial"/>
          <w:color w:val="000000" w:themeColor="text1"/>
          <w:sz w:val="20"/>
          <w:szCs w:val="20"/>
          <w:lang w:val="es-ES_tradnl"/>
        </w:rPr>
      </w:pPr>
      <w:r w:rsidRPr="00ED159D">
        <w:rPr>
          <w:rFonts w:ascii="Arial" w:eastAsia="Calibri" w:hAnsi="Arial" w:cs="Arial"/>
          <w:color w:val="000000" w:themeColor="text1"/>
          <w:sz w:val="20"/>
          <w:szCs w:val="20"/>
          <w:lang w:val="es-ES_tradnl"/>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w:t>
      </w:r>
    </w:p>
    <w:p w:rsidR="00950538" w:rsidRPr="00ED159D" w:rsidRDefault="00950538" w:rsidP="00950538">
      <w:pPr>
        <w:spacing w:after="120"/>
        <w:jc w:val="both"/>
        <w:rPr>
          <w:rFonts w:ascii="Arial" w:eastAsia="Calibri" w:hAnsi="Arial" w:cs="Arial"/>
          <w:color w:val="000000" w:themeColor="text1"/>
          <w:sz w:val="20"/>
          <w:szCs w:val="20"/>
          <w:lang w:val="es-ES_tradnl"/>
        </w:rPr>
      </w:pPr>
      <w:r w:rsidRPr="00ED159D">
        <w:rPr>
          <w:rFonts w:ascii="Arial" w:eastAsia="Calibri" w:hAnsi="Arial" w:cs="Arial"/>
          <w:color w:val="000000" w:themeColor="text1"/>
          <w:sz w:val="20"/>
          <w:szCs w:val="20"/>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rsidR="00950538" w:rsidRPr="00ED159D" w:rsidRDefault="00950538" w:rsidP="00950538">
      <w:pPr>
        <w:jc w:val="both"/>
        <w:rPr>
          <w:rFonts w:ascii="Arial" w:eastAsia="Calibri" w:hAnsi="Arial" w:cs="Arial"/>
          <w:color w:val="000000" w:themeColor="text1"/>
          <w:sz w:val="20"/>
          <w:szCs w:val="20"/>
          <w:lang w:val="es-ES_tradnl"/>
        </w:rPr>
      </w:pPr>
      <w:r w:rsidRPr="00ED159D">
        <w:rPr>
          <w:rFonts w:ascii="Arial" w:eastAsia="Calibri" w:hAnsi="Arial" w:cs="Arial"/>
          <w:color w:val="000000" w:themeColor="text1"/>
          <w:sz w:val="20"/>
          <w:szCs w:val="20"/>
          <w:lang w:val="es-ES_tradnl"/>
        </w:rPr>
        <w:t>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00950538" w:rsidRPr="00ED159D" w:rsidRDefault="00950538" w:rsidP="00950538">
      <w:pPr>
        <w:jc w:val="both"/>
        <w:rPr>
          <w:rFonts w:ascii="Arial" w:eastAsia="Calibri" w:hAnsi="Arial" w:cs="Arial"/>
          <w:color w:val="000000" w:themeColor="text1"/>
          <w:sz w:val="20"/>
          <w:szCs w:val="20"/>
          <w:lang w:val="es-ES_tradnl"/>
        </w:rPr>
      </w:pPr>
      <w:r w:rsidRPr="00ED159D">
        <w:rPr>
          <w:rFonts w:ascii="Arial" w:eastAsia="Calibri" w:hAnsi="Arial" w:cs="Arial"/>
          <w:color w:val="000000" w:themeColor="text1"/>
          <w:sz w:val="20"/>
          <w:szCs w:val="20"/>
          <w:lang w:val="es-ES_tradnl"/>
        </w:rPr>
        <w:tab/>
      </w:r>
    </w:p>
    <w:p w:rsidR="00950538" w:rsidRPr="00ED159D" w:rsidRDefault="00950538" w:rsidP="00950538">
      <w:pPr>
        <w:jc w:val="both"/>
        <w:rPr>
          <w:rFonts w:ascii="Arial" w:eastAsia="Calibri" w:hAnsi="Arial" w:cs="Arial"/>
          <w:b/>
          <w:color w:val="000000" w:themeColor="text1"/>
          <w:sz w:val="20"/>
          <w:szCs w:val="20"/>
        </w:rPr>
      </w:pPr>
      <w:r w:rsidRPr="00ED159D">
        <w:rPr>
          <w:rFonts w:ascii="Arial" w:eastAsia="Calibri" w:hAnsi="Arial" w:cs="Arial"/>
          <w:b/>
          <w:color w:val="000000" w:themeColor="text1"/>
          <w:sz w:val="20"/>
          <w:szCs w:val="20"/>
        </w:rPr>
        <w:t xml:space="preserve">DOCUMENTOS TIPO – Capacidad residual – </w:t>
      </w:r>
      <w:proofErr w:type="spellStart"/>
      <w:r w:rsidRPr="00ED159D">
        <w:rPr>
          <w:rFonts w:ascii="Arial" w:eastAsia="Calibri" w:hAnsi="Arial" w:cs="Arial"/>
          <w:b/>
          <w:color w:val="000000" w:themeColor="text1"/>
          <w:sz w:val="20"/>
          <w:szCs w:val="20"/>
        </w:rPr>
        <w:t>Subsanabilidad</w:t>
      </w:r>
      <w:proofErr w:type="spellEnd"/>
    </w:p>
    <w:p w:rsidR="00950538" w:rsidRPr="00ED159D" w:rsidRDefault="00950538" w:rsidP="00950538">
      <w:pPr>
        <w:jc w:val="both"/>
        <w:rPr>
          <w:rFonts w:ascii="Arial" w:eastAsia="Calibri" w:hAnsi="Arial" w:cs="Arial"/>
          <w:b/>
          <w:color w:val="000000" w:themeColor="text1"/>
          <w:sz w:val="20"/>
          <w:szCs w:val="20"/>
        </w:rPr>
      </w:pPr>
    </w:p>
    <w:p w:rsidR="00950538" w:rsidRPr="00ED159D" w:rsidRDefault="00950538" w:rsidP="00950538">
      <w:pPr>
        <w:jc w:val="both"/>
        <w:rPr>
          <w:rFonts w:ascii="Arial" w:eastAsia="Calibri" w:hAnsi="Arial" w:cs="Arial"/>
          <w:color w:val="000000" w:themeColor="text1"/>
          <w:sz w:val="20"/>
          <w:szCs w:val="20"/>
        </w:rPr>
      </w:pPr>
      <w:r w:rsidRPr="00ED159D">
        <w:rPr>
          <w:rFonts w:ascii="Arial" w:eastAsia="Calibri" w:hAnsi="Arial" w:cs="Arial"/>
          <w:color w:val="000000" w:themeColor="text1"/>
          <w:sz w:val="20"/>
          <w:szCs w:val="20"/>
        </w:rPr>
        <w:t>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efecto en los pliegos de condiciones» y, además, el «Documento Base o Pliego Tipo», de igual forma lo reconoce como un requisito habilitante, al indicar que «el Proponente será hábil si la capacidad residual del Proponente (CRP) es mayor o igual a la capacidad residual de Proceso de Contratación». En este sentido, como la capacidad residual es un requisito habilitante que no otorga puntaje es susceptible de subsanarse por parte de los proponentes.</w:t>
      </w:r>
    </w:p>
    <w:p w:rsidR="00950538" w:rsidRPr="00ED159D" w:rsidRDefault="00950538" w:rsidP="00950538">
      <w:pPr>
        <w:jc w:val="both"/>
        <w:rPr>
          <w:rFonts w:ascii="Arial" w:eastAsia="Calibri" w:hAnsi="Arial" w:cs="Arial"/>
          <w:b/>
          <w:color w:val="000000" w:themeColor="text1"/>
          <w:sz w:val="20"/>
          <w:szCs w:val="20"/>
        </w:rPr>
      </w:pPr>
    </w:p>
    <w:p w:rsidR="00950538" w:rsidRPr="00ED159D" w:rsidRDefault="00950538" w:rsidP="00950538">
      <w:pPr>
        <w:jc w:val="both"/>
        <w:rPr>
          <w:rFonts w:ascii="Arial" w:eastAsia="Calibri" w:hAnsi="Arial" w:cs="Arial"/>
          <w:b/>
          <w:color w:val="000000" w:themeColor="text1"/>
          <w:sz w:val="20"/>
          <w:szCs w:val="20"/>
        </w:rPr>
      </w:pPr>
      <w:r w:rsidRPr="00ED159D">
        <w:rPr>
          <w:rFonts w:ascii="Arial" w:eastAsia="Calibri" w:hAnsi="Arial" w:cs="Arial"/>
          <w:b/>
          <w:color w:val="000000" w:themeColor="text1"/>
          <w:sz w:val="20"/>
          <w:szCs w:val="20"/>
        </w:rPr>
        <w:t>DOCUMENTOS TIPO – Capacidad residual – Documentos – Causales de rechazo</w:t>
      </w:r>
    </w:p>
    <w:p w:rsidR="00950538" w:rsidRPr="00ED159D" w:rsidRDefault="00950538" w:rsidP="00950538">
      <w:pPr>
        <w:jc w:val="both"/>
        <w:rPr>
          <w:rFonts w:ascii="Arial" w:eastAsia="Calibri" w:hAnsi="Arial" w:cs="Arial"/>
          <w:color w:val="000000" w:themeColor="text1"/>
          <w:sz w:val="20"/>
          <w:szCs w:val="20"/>
        </w:rPr>
      </w:pPr>
    </w:p>
    <w:p w:rsidR="00950538" w:rsidRPr="00ED159D" w:rsidRDefault="00950538" w:rsidP="00950538">
      <w:pPr>
        <w:jc w:val="both"/>
        <w:rPr>
          <w:rFonts w:ascii="Arial" w:hAnsi="Arial" w:cs="Arial"/>
          <w:color w:val="000000" w:themeColor="text1"/>
          <w:sz w:val="20"/>
          <w:szCs w:val="20"/>
        </w:rPr>
      </w:pPr>
      <w:r w:rsidRPr="00ED159D">
        <w:rPr>
          <w:rFonts w:ascii="Arial" w:eastAsia="Calibri" w:hAnsi="Arial" w:cs="Arial"/>
          <w:color w:val="000000" w:themeColor="text1"/>
          <w:sz w:val="20"/>
          <w:szCs w:val="20"/>
        </w:rPr>
        <w:t>En relación con el rechazo de las ofertas en los procedimientos adelantados por el Pliego Tipo, en el «numeral 1.15 Causales de rechazo» se enuncian de forma taxativa las causales de rechazo, sin incluir la falta de documentos para calcular la</w:t>
      </w:r>
      <w:r>
        <w:rPr>
          <w:rFonts w:ascii="Arial" w:eastAsia="Calibri" w:hAnsi="Arial" w:cs="Arial"/>
          <w:color w:val="000000" w:themeColor="text1"/>
          <w:sz w:val="20"/>
          <w:szCs w:val="20"/>
        </w:rPr>
        <w:t xml:space="preserve"> capacidad residual</w:t>
      </w:r>
      <w:r w:rsidRPr="00ED159D">
        <w:rPr>
          <w:rFonts w:ascii="Arial" w:eastAsia="Calibri" w:hAnsi="Arial" w:cs="Arial"/>
          <w:color w:val="000000" w:themeColor="text1"/>
          <w:sz w:val="20"/>
          <w:szCs w:val="20"/>
        </w:rPr>
        <w:t>. Ahora, como la entidad tiene restringida la posibilidad de incluir nuevas causales, no será posible rechazarla por este motivo, sino que la entidad debe solicitarle al proponente que subsane los documentos requeridos, y si no lo hace se rechazará su oferta. En este sentido, el «Documento base o Pliego Tipo» reiteró, en el numeral «1.15 CAUSALES DE RECHAZO», la causal del literal E), la facultad que tiene la entidad de rechazar la oferta cuando el proponente no aporta la información solicitada a más tardar dentro del traslado del informe de evaluación.</w:t>
      </w:r>
    </w:p>
    <w:p w:rsidR="00950538" w:rsidRPr="00ED159D" w:rsidRDefault="00950538" w:rsidP="00950538">
      <w:pPr>
        <w:jc w:val="both"/>
        <w:rPr>
          <w:rFonts w:ascii="Arial" w:hAnsi="Arial" w:cs="Arial"/>
          <w:color w:val="000000" w:themeColor="text1"/>
          <w:sz w:val="20"/>
          <w:szCs w:val="20"/>
        </w:rPr>
      </w:pPr>
    </w:p>
    <w:p w:rsidR="00950538" w:rsidRPr="00ED159D" w:rsidRDefault="00950538" w:rsidP="00950538">
      <w:pPr>
        <w:ind w:left="100"/>
        <w:jc w:val="both"/>
        <w:rPr>
          <w:rFonts w:ascii="Arial" w:hAnsi="Arial" w:cs="Arial"/>
          <w:b/>
          <w:sz w:val="20"/>
          <w:szCs w:val="20"/>
        </w:rPr>
      </w:pPr>
      <w:r w:rsidRPr="00ED159D">
        <w:rPr>
          <w:rFonts w:ascii="Arial" w:hAnsi="Arial" w:cs="Arial"/>
          <w:b/>
          <w:sz w:val="20"/>
          <w:szCs w:val="20"/>
        </w:rPr>
        <w:t>DOCUMENTOS TIPO – Información inexacta</w:t>
      </w:r>
    </w:p>
    <w:p w:rsidR="00950538" w:rsidRPr="00ED159D" w:rsidRDefault="00950538" w:rsidP="00950538">
      <w:pPr>
        <w:ind w:left="100"/>
        <w:jc w:val="both"/>
        <w:rPr>
          <w:rFonts w:ascii="Arial" w:hAnsi="Arial" w:cs="Arial"/>
          <w:b/>
          <w:sz w:val="20"/>
          <w:szCs w:val="20"/>
        </w:rPr>
      </w:pPr>
    </w:p>
    <w:p w:rsidR="00950538" w:rsidRPr="00ED159D" w:rsidRDefault="00950538" w:rsidP="00950538">
      <w:pPr>
        <w:ind w:left="100"/>
        <w:jc w:val="both"/>
        <w:rPr>
          <w:rFonts w:ascii="Arial" w:hAnsi="Arial" w:cs="Arial"/>
          <w:sz w:val="20"/>
          <w:szCs w:val="20"/>
        </w:rPr>
      </w:pPr>
      <w:r w:rsidRPr="00ED159D">
        <w:rPr>
          <w:rFonts w:ascii="Arial" w:hAnsi="Arial" w:cs="Arial"/>
          <w:sz w:val="20"/>
          <w:szCs w:val="20"/>
        </w:rPr>
        <w:t xml:space="preserve">En el “Documento Base o Pliego Tipo” se incluye el numeral 1.11, referido a la información inexacta. </w:t>
      </w:r>
    </w:p>
    <w:p w:rsidR="00950538" w:rsidRPr="00ED159D" w:rsidRDefault="00950538" w:rsidP="00950538">
      <w:pPr>
        <w:ind w:left="100"/>
        <w:jc w:val="both"/>
        <w:rPr>
          <w:rFonts w:ascii="Arial" w:hAnsi="Arial" w:cs="Arial"/>
          <w:sz w:val="20"/>
          <w:szCs w:val="20"/>
        </w:rPr>
      </w:pPr>
      <w:r w:rsidRPr="00ED159D">
        <w:rPr>
          <w:rFonts w:ascii="Arial" w:hAnsi="Arial" w:cs="Arial"/>
          <w:sz w:val="20"/>
          <w:szCs w:val="20"/>
        </w:rPr>
        <w:t>El anterior numeral permite a la entidad estatal agotar los medios a su alcance para corroborar la información que aporte el proponente, para lo cual puede recurrir a las autoridades, personas, empresas o entidades, sin embargo, es un derecho y no una obligación para la entidad estatal por cuanto en los procesos de contratación se espera y exige de los proponentes un comportamiento enmarcado en el principio de la buena fe, que se debe manifestar desde la presentación completa y veraz de la información y documentación que constituyen su oferta, así como la lealtad y comportamiento adecuado frente a la entidad estatal y los demás proponentes durante las diferentes etapas del proceso de contratación.</w:t>
      </w:r>
    </w:p>
    <w:p w:rsidR="00950538" w:rsidRPr="00ED159D" w:rsidRDefault="00950538" w:rsidP="00950538">
      <w:pPr>
        <w:ind w:left="100"/>
        <w:jc w:val="both"/>
        <w:rPr>
          <w:rFonts w:ascii="Arial" w:hAnsi="Arial" w:cs="Arial"/>
          <w:sz w:val="20"/>
          <w:szCs w:val="20"/>
        </w:rPr>
      </w:pPr>
    </w:p>
    <w:p w:rsidR="00950538" w:rsidRPr="00ED159D" w:rsidRDefault="00950538" w:rsidP="00950538">
      <w:pPr>
        <w:ind w:left="100"/>
        <w:jc w:val="both"/>
        <w:rPr>
          <w:rFonts w:ascii="Arial" w:hAnsi="Arial" w:cs="Arial"/>
          <w:sz w:val="20"/>
          <w:szCs w:val="20"/>
        </w:rPr>
      </w:pPr>
      <w:r w:rsidRPr="00ED159D">
        <w:rPr>
          <w:rFonts w:ascii="Arial" w:hAnsi="Arial" w:cs="Arial"/>
          <w:sz w:val="20"/>
          <w:szCs w:val="20"/>
        </w:rPr>
        <w:t>[…] tiene carácter excepcional y solamente se debe acudir cuando de la información y documentación aportada al proceso de contratación, existen dudas frente a la veracidad o precisión y no puede superarse con la simple revisión de estos.</w:t>
      </w:r>
    </w:p>
    <w:p w:rsidR="00950538" w:rsidRPr="00ED159D" w:rsidRDefault="00950538" w:rsidP="00950538">
      <w:pPr>
        <w:ind w:left="100"/>
        <w:jc w:val="both"/>
        <w:rPr>
          <w:rFonts w:ascii="Arial" w:hAnsi="Arial" w:cs="Arial"/>
          <w:b/>
          <w:sz w:val="20"/>
          <w:szCs w:val="20"/>
        </w:rPr>
      </w:pPr>
    </w:p>
    <w:p w:rsidR="00950538" w:rsidRPr="00ED159D" w:rsidRDefault="00950538" w:rsidP="00950538">
      <w:pPr>
        <w:ind w:left="100"/>
        <w:jc w:val="both"/>
        <w:rPr>
          <w:rFonts w:ascii="Arial" w:hAnsi="Arial" w:cs="Arial"/>
          <w:b/>
          <w:bCs/>
          <w:sz w:val="20"/>
          <w:szCs w:val="20"/>
        </w:rPr>
      </w:pPr>
      <w:r w:rsidRPr="00ED159D">
        <w:rPr>
          <w:rFonts w:ascii="Arial" w:hAnsi="Arial" w:cs="Arial"/>
          <w:b/>
          <w:bCs/>
          <w:sz w:val="20"/>
          <w:szCs w:val="20"/>
        </w:rPr>
        <w:t xml:space="preserve">INFORMACIÓN INEXACTA – Capacidad residual – Tratamiento </w:t>
      </w:r>
    </w:p>
    <w:p w:rsidR="00950538" w:rsidRPr="00ED159D" w:rsidRDefault="00950538" w:rsidP="00950538">
      <w:pPr>
        <w:ind w:left="102"/>
        <w:jc w:val="both"/>
        <w:rPr>
          <w:rFonts w:ascii="Arial" w:hAnsi="Arial" w:cs="Arial"/>
          <w:sz w:val="20"/>
          <w:szCs w:val="20"/>
        </w:rPr>
      </w:pPr>
    </w:p>
    <w:p w:rsidR="00950538" w:rsidRPr="00ED159D" w:rsidRDefault="00950538" w:rsidP="00950538">
      <w:pPr>
        <w:ind w:left="102"/>
        <w:jc w:val="both"/>
        <w:rPr>
          <w:rFonts w:ascii="Arial" w:hAnsi="Arial" w:cs="Arial"/>
          <w:sz w:val="20"/>
          <w:szCs w:val="20"/>
        </w:rPr>
      </w:pPr>
      <w:r w:rsidRPr="00ED159D">
        <w:rPr>
          <w:rFonts w:ascii="Arial" w:hAnsi="Arial" w:cs="Arial"/>
          <w:sz w:val="20"/>
          <w:szCs w:val="20"/>
        </w:rPr>
        <w:t>Las reglas previstas en el numeral 1.11 del “Documento Base” aplican frente a la totalidad de la información y documentación aportada para el cumplimiento de los requisitos habilitantes y de ponderación de las propuestas. Sin embargo, el “Documento Base” contempla una consecuencia diferente para la verificación del cumplimiento de la capacidad residual del proponente, cuando la entidad estatal, en uso de la potestad verificadora, advierte que se dejó de incluir por parte de un Proponente información que afecte su capacidad residual. Este evento está incluido en el numeral 3.10 del “Documento Base”</w:t>
      </w:r>
    </w:p>
    <w:p w:rsidR="00950538" w:rsidRPr="00ED159D" w:rsidRDefault="00950538" w:rsidP="00950538">
      <w:pPr>
        <w:ind w:left="102"/>
        <w:jc w:val="both"/>
        <w:rPr>
          <w:rFonts w:ascii="Arial" w:hAnsi="Arial" w:cs="Arial"/>
          <w:sz w:val="20"/>
          <w:szCs w:val="20"/>
        </w:rPr>
      </w:pPr>
      <w:r w:rsidRPr="00ED159D">
        <w:rPr>
          <w:rFonts w:ascii="Arial" w:hAnsi="Arial" w:cs="Arial"/>
          <w:sz w:val="20"/>
          <w:szCs w:val="20"/>
        </w:rPr>
        <w:t xml:space="preserve"> </w:t>
      </w:r>
    </w:p>
    <w:p w:rsidR="00950538" w:rsidRPr="00ED159D" w:rsidRDefault="00950538" w:rsidP="00950538">
      <w:pPr>
        <w:ind w:left="102"/>
        <w:jc w:val="both"/>
        <w:rPr>
          <w:rFonts w:ascii="Arial" w:hAnsi="Arial" w:cs="Arial"/>
          <w:sz w:val="20"/>
          <w:szCs w:val="20"/>
        </w:rPr>
      </w:pPr>
      <w:r w:rsidRPr="00ED159D">
        <w:rPr>
          <w:rFonts w:ascii="Arial" w:hAnsi="Arial" w:cs="Arial"/>
          <w:sz w:val="20"/>
          <w:szCs w:val="20"/>
        </w:rPr>
        <w:t xml:space="preserve">De acuerdo con el anterior numeral, cuando la entidad estatal confirme la existencia de “información contractual” que no se incluyó, y que puede afectar la capacidad residual del proponente, debe incluirla y calcular nuevamente la capacidad residual, sin perjuicio de las acciones administrativas o judiciales que procedan. </w:t>
      </w:r>
    </w:p>
    <w:p w:rsidR="00950538" w:rsidRPr="00ED159D" w:rsidRDefault="00950538" w:rsidP="00950538">
      <w:pPr>
        <w:ind w:left="102"/>
        <w:jc w:val="both"/>
        <w:rPr>
          <w:rFonts w:ascii="Arial" w:hAnsi="Arial" w:cs="Arial"/>
          <w:sz w:val="20"/>
          <w:szCs w:val="20"/>
        </w:rPr>
      </w:pPr>
    </w:p>
    <w:p w:rsidR="00950538" w:rsidRPr="00ED159D" w:rsidRDefault="00950538" w:rsidP="00950538">
      <w:pPr>
        <w:ind w:left="102"/>
        <w:jc w:val="both"/>
        <w:rPr>
          <w:rFonts w:ascii="Arial" w:hAnsi="Arial" w:cs="Arial"/>
          <w:sz w:val="20"/>
          <w:szCs w:val="20"/>
        </w:rPr>
      </w:pPr>
      <w:r w:rsidRPr="00ED159D">
        <w:rPr>
          <w:rFonts w:ascii="Arial" w:hAnsi="Arial" w:cs="Arial"/>
          <w:sz w:val="20"/>
          <w:szCs w:val="20"/>
        </w:rPr>
        <w:t xml:space="preserve">[…] cuando en la etapa de evaluación de las ofertas la entidad estatal advierta estas circunstancias, debe garantizar el debido proceso y hacer uso de las figuras previstas en las normas del sistema de compra pública, por consiguiente, se debe requerir a los proponentes para que efectúen las aclaraciones correspondientes de acuerdo con las reglas de </w:t>
      </w:r>
      <w:proofErr w:type="spellStart"/>
      <w:r w:rsidRPr="00ED159D">
        <w:rPr>
          <w:rFonts w:ascii="Arial" w:hAnsi="Arial" w:cs="Arial"/>
          <w:sz w:val="20"/>
          <w:szCs w:val="20"/>
        </w:rPr>
        <w:t>subsanabilidad</w:t>
      </w:r>
      <w:proofErr w:type="spellEnd"/>
      <w:r w:rsidRPr="00ED159D">
        <w:rPr>
          <w:rFonts w:ascii="Arial" w:hAnsi="Arial" w:cs="Arial"/>
          <w:sz w:val="20"/>
          <w:szCs w:val="20"/>
        </w:rPr>
        <w:t xml:space="preserve"> establecidas en el numeral 1.6 del “Documento Base”, en armonía con la regla específica del numeral 3.10, previamente expuesta.</w:t>
      </w:r>
    </w:p>
    <w:p w:rsidR="00950538" w:rsidRDefault="00950538" w:rsidP="00950538">
      <w:pPr>
        <w:jc w:val="both"/>
        <w:rPr>
          <w:rFonts w:ascii="Arial" w:hAnsi="Arial" w:cs="Arial"/>
          <w:color w:val="000000" w:themeColor="text1"/>
          <w:sz w:val="20"/>
          <w:szCs w:val="20"/>
        </w:rPr>
      </w:pPr>
    </w:p>
    <w:p w:rsidR="00950538" w:rsidRPr="00267EFC" w:rsidRDefault="00950538" w:rsidP="00950538">
      <w:pPr>
        <w:rPr>
          <w:rFonts w:ascii="Arial" w:hAnsi="Arial" w:cs="Arial"/>
          <w:color w:val="000000" w:themeColor="text1"/>
          <w:sz w:val="20"/>
          <w:szCs w:val="20"/>
        </w:rPr>
      </w:pPr>
    </w:p>
    <w:p w:rsidR="00950538" w:rsidRPr="00221485" w:rsidRDefault="00950538" w:rsidP="00950538">
      <w:pPr>
        <w:autoSpaceDE w:val="0"/>
        <w:autoSpaceDN w:val="0"/>
        <w:adjustRightInd w:val="0"/>
        <w:rPr>
          <w:rFonts w:ascii="Arial" w:hAnsi="Arial" w:cs="Arial"/>
          <w:color w:val="000000" w:themeColor="text1"/>
          <w:sz w:val="20"/>
          <w:szCs w:val="20"/>
          <w:lang w:val="es-CO"/>
        </w:rPr>
      </w:pPr>
    </w:p>
    <w:p w:rsidR="00357CA6" w:rsidRPr="00423F9F" w:rsidRDefault="00357CA6" w:rsidP="00357CA6">
      <w:pPr>
        <w:jc w:val="both"/>
        <w:rPr>
          <w:rFonts w:ascii="Arial" w:eastAsia="Calibri" w:hAnsi="Arial" w:cs="Arial"/>
          <w:color w:val="4E4D4D"/>
          <w:sz w:val="20"/>
        </w:rPr>
      </w:pPr>
      <w:r>
        <w:rPr>
          <w:rFonts w:ascii="Arial" w:hAnsi="Arial" w:cs="Arial"/>
          <w:color w:val="4E4D4D"/>
          <w:sz w:val="22"/>
        </w:rPr>
        <w:t>Bogotá D.C</w:t>
      </w:r>
      <w:r>
        <w:rPr>
          <w:rFonts w:ascii="Arial" w:hAnsi="Arial" w:cs="Arial"/>
          <w:sz w:val="22"/>
        </w:rPr>
        <w:t xml:space="preserve">., </w:t>
      </w:r>
      <w:r>
        <w:rPr>
          <w:rFonts w:ascii="Arial" w:hAnsi="Arial" w:cs="Arial"/>
          <w:b/>
          <w:sz w:val="22"/>
        </w:rPr>
        <w:t>2/10/2020 11:05:15s</w:t>
      </w:r>
    </w:p>
    <w:p w:rsidR="00357CA6" w:rsidRDefault="00357CA6" w:rsidP="00357CA6">
      <w:pPr>
        <w:jc w:val="right"/>
        <w:rPr>
          <w:rFonts w:ascii="Arial" w:hAnsi="Arial" w:cs="Arial"/>
          <w:b/>
          <w:sz w:val="22"/>
        </w:rPr>
      </w:pPr>
      <w:r>
        <w:rPr>
          <w:rFonts w:ascii="Arial" w:hAnsi="Arial" w:cs="Arial"/>
          <w:b/>
          <w:sz w:val="22"/>
        </w:rPr>
        <w:t xml:space="preserve">N° Radicado: </w:t>
      </w:r>
      <w:r w:rsidRPr="00B41B56">
        <w:rPr>
          <w:rFonts w:ascii="Arial" w:hAnsi="Arial" w:cs="Arial"/>
          <w:b/>
          <w:sz w:val="22"/>
        </w:rPr>
        <w:t>2202013000009450</w:t>
      </w:r>
    </w:p>
    <w:p w:rsidR="00950538" w:rsidRPr="00783992" w:rsidRDefault="00950538" w:rsidP="00950538">
      <w:pPr>
        <w:tabs>
          <w:tab w:val="left" w:pos="3374"/>
        </w:tabs>
        <w:jc w:val="right"/>
        <w:rPr>
          <w:rFonts w:ascii="Arial" w:eastAsia="Calibri" w:hAnsi="Arial" w:cs="Arial"/>
          <w:color w:val="000000" w:themeColor="text1"/>
          <w:sz w:val="22"/>
        </w:rPr>
      </w:pPr>
      <w:r w:rsidRPr="00783992">
        <w:rPr>
          <w:rFonts w:ascii="Arial" w:eastAsia="Calibri" w:hAnsi="Arial" w:cs="Arial"/>
          <w:color w:val="000000" w:themeColor="text1"/>
          <w:sz w:val="22"/>
        </w:rPr>
        <w:tab/>
      </w:r>
    </w:p>
    <w:p w:rsidR="00950538" w:rsidRPr="00783992" w:rsidRDefault="00950538" w:rsidP="00950538">
      <w:pPr>
        <w:rPr>
          <w:rFonts w:ascii="Arial" w:eastAsia="Calibri" w:hAnsi="Arial" w:cs="Arial"/>
          <w:color w:val="000000" w:themeColor="text1"/>
          <w:sz w:val="22"/>
        </w:rPr>
      </w:pPr>
      <w:r w:rsidRPr="00783992">
        <w:rPr>
          <w:rFonts w:ascii="Arial" w:eastAsia="Calibri" w:hAnsi="Arial" w:cs="Arial"/>
          <w:color w:val="000000" w:themeColor="text1"/>
          <w:sz w:val="22"/>
        </w:rPr>
        <w:t>Señor</w:t>
      </w:r>
    </w:p>
    <w:p w:rsidR="00950538" w:rsidRPr="00783992" w:rsidRDefault="00950538" w:rsidP="00950538">
      <w:pPr>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Juan David Patiño </w:t>
      </w:r>
      <w:proofErr w:type="spellStart"/>
      <w:r>
        <w:rPr>
          <w:rFonts w:ascii="Arial" w:eastAsia="Calibri" w:hAnsi="Arial" w:cs="Arial"/>
          <w:b/>
          <w:color w:val="000000" w:themeColor="text1"/>
          <w:sz w:val="22"/>
          <w:lang w:val="es-ES"/>
        </w:rPr>
        <w:t>Trasladiño</w:t>
      </w:r>
      <w:proofErr w:type="spellEnd"/>
    </w:p>
    <w:p w:rsidR="00950538" w:rsidRPr="00783992" w:rsidRDefault="00950538" w:rsidP="00950538">
      <w:pPr>
        <w:rPr>
          <w:rFonts w:ascii="Arial" w:eastAsia="Calibri" w:hAnsi="Arial" w:cs="Arial"/>
          <w:color w:val="000000" w:themeColor="text1"/>
          <w:sz w:val="22"/>
        </w:rPr>
      </w:pPr>
      <w:r>
        <w:rPr>
          <w:rFonts w:ascii="Arial" w:eastAsia="Calibri" w:hAnsi="Arial" w:cs="Arial"/>
          <w:color w:val="000000" w:themeColor="text1"/>
          <w:sz w:val="22"/>
        </w:rPr>
        <w:t>El Dorado, Meta</w:t>
      </w:r>
    </w:p>
    <w:p w:rsidR="00950538" w:rsidRPr="00783992" w:rsidRDefault="00950538" w:rsidP="00950538">
      <w:pPr>
        <w:jc w:val="center"/>
        <w:rPr>
          <w:rFonts w:ascii="Arial" w:eastAsia="Calibri" w:hAnsi="Arial" w:cs="Arial"/>
          <w:b/>
          <w:color w:val="000000" w:themeColor="text1"/>
          <w:sz w:val="22"/>
        </w:rPr>
      </w:pPr>
      <w:r w:rsidRPr="00783992">
        <w:rPr>
          <w:rFonts w:ascii="Arial" w:eastAsia="Calibri" w:hAnsi="Arial" w:cs="Arial"/>
          <w:b/>
          <w:color w:val="000000" w:themeColor="text1"/>
          <w:sz w:val="22"/>
        </w:rPr>
        <w:t xml:space="preserve">Concepto C ─ </w:t>
      </w:r>
      <w:r>
        <w:rPr>
          <w:rFonts w:ascii="Arial" w:eastAsia="Calibri" w:hAnsi="Arial" w:cs="Arial"/>
          <w:b/>
          <w:color w:val="000000" w:themeColor="text1"/>
          <w:sz w:val="22"/>
        </w:rPr>
        <w:t>640</w:t>
      </w:r>
      <w:r w:rsidRPr="00783992">
        <w:rPr>
          <w:rFonts w:ascii="Arial" w:eastAsia="Calibri" w:hAnsi="Arial" w:cs="Arial"/>
          <w:b/>
          <w:color w:val="000000" w:themeColor="text1"/>
          <w:sz w:val="22"/>
        </w:rPr>
        <w:t xml:space="preserve"> de 2020</w:t>
      </w:r>
    </w:p>
    <w:p w:rsidR="00950538" w:rsidRPr="00783992" w:rsidRDefault="00950538" w:rsidP="00950538">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26"/>
        <w:gridCol w:w="6"/>
      </w:tblGrid>
      <w:tr w:rsidR="00950538" w:rsidRPr="00783992" w:rsidTr="00BB4821">
        <w:tc>
          <w:tcPr>
            <w:tcW w:w="2689" w:type="dxa"/>
            <w:hideMark/>
          </w:tcPr>
          <w:p w:rsidR="00950538" w:rsidRPr="007F4605" w:rsidRDefault="00950538" w:rsidP="00950538">
            <w:pPr>
              <w:rPr>
                <w:rFonts w:ascii="Arial" w:eastAsia="Calibri" w:hAnsi="Arial" w:cs="Arial"/>
                <w:color w:val="000000" w:themeColor="text1"/>
              </w:rPr>
            </w:pPr>
          </w:p>
        </w:tc>
        <w:tc>
          <w:tcPr>
            <w:tcW w:w="6237" w:type="dxa"/>
            <w:hideMark/>
          </w:tcPr>
          <w:p w:rsidR="00950538" w:rsidRPr="007F4605" w:rsidRDefault="00950538" w:rsidP="00950538">
            <w:pPr>
              <w:rPr>
                <w:rFonts w:ascii="Arial" w:eastAsia="Calibri" w:hAnsi="Arial" w:cs="Arial"/>
                <w:color w:val="000000" w:themeColor="text1"/>
              </w:rPr>
            </w:pPr>
          </w:p>
        </w:tc>
      </w:tr>
      <w:tr w:rsidR="00950538" w:rsidRPr="00783992" w:rsidTr="00BB4821">
        <w:tc>
          <w:tcPr>
            <w:tcW w:w="2689" w:type="dxa"/>
          </w:tcPr>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50538" w:rsidRPr="007F4605" w:rsidTr="008575D4">
              <w:tc>
                <w:tcPr>
                  <w:tcW w:w="2689" w:type="dxa"/>
                  <w:hideMark/>
                </w:tcPr>
                <w:p w:rsidR="00950538" w:rsidRPr="007F4605" w:rsidRDefault="00950538" w:rsidP="00950538">
                  <w:pPr>
                    <w:rPr>
                      <w:rFonts w:ascii="Arial" w:eastAsia="Calibri" w:hAnsi="Arial" w:cs="Arial"/>
                      <w:color w:val="000000" w:themeColor="text1"/>
                      <w:sz w:val="22"/>
                    </w:rPr>
                  </w:pPr>
                  <w:r w:rsidRPr="007F4605">
                    <w:rPr>
                      <w:rFonts w:ascii="Arial" w:eastAsia="Calibri" w:hAnsi="Arial" w:cs="Arial"/>
                      <w:b/>
                      <w:color w:val="000000" w:themeColor="text1"/>
                      <w:sz w:val="22"/>
                    </w:rPr>
                    <w:t>Temas:</w:t>
                  </w:r>
                  <w:r w:rsidRPr="007F4605">
                    <w:rPr>
                      <w:rFonts w:ascii="Arial" w:eastAsia="Calibri" w:hAnsi="Arial" w:cs="Arial"/>
                      <w:color w:val="000000" w:themeColor="text1"/>
                      <w:sz w:val="22"/>
                    </w:rPr>
                    <w:t xml:space="preserve">           </w:t>
                  </w:r>
                </w:p>
                <w:p w:rsidR="00950538" w:rsidRPr="007F4605" w:rsidRDefault="00950538" w:rsidP="00950538">
                  <w:pPr>
                    <w:rPr>
                      <w:rFonts w:ascii="Arial" w:eastAsia="Calibri" w:hAnsi="Arial" w:cs="Arial"/>
                      <w:color w:val="000000" w:themeColor="text1"/>
                      <w:sz w:val="22"/>
                    </w:rPr>
                  </w:pPr>
                  <w:r w:rsidRPr="007F4605">
                    <w:rPr>
                      <w:rFonts w:ascii="Arial" w:eastAsia="Calibri" w:hAnsi="Arial" w:cs="Arial"/>
                      <w:color w:val="000000" w:themeColor="text1"/>
                      <w:sz w:val="22"/>
                    </w:rPr>
                    <w:t xml:space="preserve">                           </w:t>
                  </w:r>
                </w:p>
              </w:tc>
              <w:tc>
                <w:tcPr>
                  <w:tcW w:w="6237" w:type="dxa"/>
                  <w:hideMark/>
                </w:tcPr>
                <w:p w:rsidR="00950538" w:rsidRPr="007F4605" w:rsidRDefault="00950538" w:rsidP="00950538">
                  <w:pPr>
                    <w:jc w:val="both"/>
                    <w:rPr>
                      <w:rFonts w:ascii="Arial" w:eastAsia="Calibri" w:hAnsi="Arial" w:cs="Arial"/>
                      <w:color w:val="000000" w:themeColor="text1"/>
                      <w:sz w:val="22"/>
                    </w:rPr>
                  </w:pPr>
                  <w:r w:rsidRPr="007F4605">
                    <w:rPr>
                      <w:rFonts w:ascii="Arial" w:eastAsia="Calibri" w:hAnsi="Arial" w:cs="Arial"/>
                      <w:color w:val="000000" w:themeColor="text1"/>
                      <w:sz w:val="22"/>
                      <w:lang w:val="es-ES_tradnl"/>
                    </w:rPr>
                    <w:t xml:space="preserve">PRINCIPIO DE SELECCIÓN OBJETIVA </w:t>
                  </w:r>
                  <w:r w:rsidRPr="007F4605">
                    <w:rPr>
                      <w:rFonts w:ascii="Arial" w:eastAsia="Calibri" w:hAnsi="Arial" w:cs="Arial"/>
                      <w:bCs/>
                      <w:color w:val="000000" w:themeColor="text1"/>
                      <w:sz w:val="20"/>
                      <w:szCs w:val="20"/>
                    </w:rPr>
                    <w:t>–</w:t>
                  </w:r>
                  <w:r w:rsidRPr="007F4605">
                    <w:rPr>
                      <w:rFonts w:ascii="Arial" w:eastAsia="Calibri" w:hAnsi="Arial" w:cs="Arial"/>
                      <w:color w:val="000000" w:themeColor="text1"/>
                      <w:sz w:val="22"/>
                      <w:lang w:val="es-ES_tradnl"/>
                    </w:rPr>
                    <w:t xml:space="preserve"> Fundamento </w:t>
                  </w:r>
                  <w:r w:rsidRPr="007F4605">
                    <w:rPr>
                      <w:rFonts w:ascii="Arial" w:eastAsia="Calibri" w:hAnsi="Arial" w:cs="Arial"/>
                      <w:bCs/>
                      <w:color w:val="000000" w:themeColor="text1"/>
                      <w:sz w:val="20"/>
                      <w:szCs w:val="20"/>
                    </w:rPr>
                    <w:t>–</w:t>
                  </w:r>
                  <w:r w:rsidRPr="007F4605">
                    <w:rPr>
                      <w:rFonts w:ascii="Arial" w:eastAsia="Calibri" w:hAnsi="Arial" w:cs="Arial"/>
                      <w:color w:val="000000" w:themeColor="text1"/>
                      <w:sz w:val="22"/>
                      <w:lang w:val="es-ES_tradnl"/>
                    </w:rPr>
                    <w:t xml:space="preserve"> Alcance / </w:t>
                  </w:r>
                  <w:r w:rsidRPr="007F4605">
                    <w:rPr>
                      <w:rFonts w:ascii="Arial" w:eastAsia="Calibri" w:hAnsi="Arial" w:cs="Arial"/>
                      <w:bCs/>
                      <w:color w:val="000000" w:themeColor="text1"/>
                      <w:sz w:val="22"/>
                      <w:lang w:val="es-ES"/>
                    </w:rPr>
                    <w:t xml:space="preserve">SUBSANABILIDAD </w:t>
                  </w:r>
                  <w:r w:rsidRPr="007F4605">
                    <w:rPr>
                      <w:rFonts w:ascii="Arial" w:eastAsia="Calibri" w:hAnsi="Arial" w:cs="Arial"/>
                      <w:bCs/>
                      <w:color w:val="000000" w:themeColor="text1"/>
                      <w:sz w:val="20"/>
                      <w:szCs w:val="20"/>
                    </w:rPr>
                    <w:t>–</w:t>
                  </w:r>
                  <w:r w:rsidRPr="007F4605">
                    <w:rPr>
                      <w:rFonts w:ascii="Arial" w:eastAsia="Calibri" w:hAnsi="Arial" w:cs="Arial"/>
                      <w:bCs/>
                      <w:color w:val="000000" w:themeColor="text1"/>
                      <w:sz w:val="22"/>
                      <w:lang w:val="es-ES"/>
                    </w:rPr>
                    <w:t xml:space="preserve"> Concepto de unificación </w:t>
                  </w:r>
                  <w:r w:rsidRPr="007F4605">
                    <w:rPr>
                      <w:rFonts w:ascii="Arial" w:eastAsia="Calibri" w:hAnsi="Arial" w:cs="Arial"/>
                      <w:bCs/>
                      <w:color w:val="000000" w:themeColor="text1"/>
                      <w:sz w:val="20"/>
                      <w:szCs w:val="20"/>
                    </w:rPr>
                    <w:t>–</w:t>
                  </w:r>
                  <w:r w:rsidRPr="007F4605">
                    <w:rPr>
                      <w:rFonts w:ascii="Arial" w:eastAsia="Calibri" w:hAnsi="Arial" w:cs="Arial"/>
                      <w:bCs/>
                      <w:color w:val="000000" w:themeColor="text1"/>
                      <w:sz w:val="22"/>
                      <w:lang w:val="es-ES"/>
                    </w:rPr>
                    <w:t xml:space="preserve"> Aplicación </w:t>
                  </w:r>
                  <w:r w:rsidRPr="007F4605">
                    <w:rPr>
                      <w:rFonts w:ascii="Arial" w:eastAsia="Calibri" w:hAnsi="Arial" w:cs="Arial"/>
                      <w:bCs/>
                      <w:color w:val="000000" w:themeColor="text1"/>
                      <w:sz w:val="20"/>
                      <w:szCs w:val="20"/>
                    </w:rPr>
                    <w:t>–</w:t>
                  </w:r>
                  <w:r w:rsidRPr="007F4605">
                    <w:rPr>
                      <w:rFonts w:ascii="Arial" w:eastAsia="Calibri" w:hAnsi="Arial" w:cs="Arial"/>
                      <w:bCs/>
                      <w:color w:val="000000" w:themeColor="text1"/>
                      <w:sz w:val="22"/>
                      <w:lang w:val="es-ES"/>
                    </w:rPr>
                    <w:t xml:space="preserve"> Improcedencia </w:t>
                  </w:r>
                  <w:r w:rsidRPr="007F4605">
                    <w:rPr>
                      <w:rFonts w:ascii="Arial" w:eastAsia="Calibri" w:hAnsi="Arial" w:cs="Arial"/>
                      <w:bCs/>
                      <w:color w:val="000000" w:themeColor="text1"/>
                      <w:sz w:val="20"/>
                      <w:szCs w:val="20"/>
                    </w:rPr>
                    <w:t>–</w:t>
                  </w:r>
                  <w:r w:rsidRPr="007F4605">
                    <w:rPr>
                      <w:rFonts w:ascii="Arial" w:eastAsia="Calibri" w:hAnsi="Arial" w:cs="Arial"/>
                      <w:bCs/>
                      <w:color w:val="000000" w:themeColor="text1"/>
                      <w:sz w:val="22"/>
                      <w:lang w:val="es-ES"/>
                    </w:rPr>
                    <w:t xml:space="preserve"> Circunstancias posteriores </w:t>
                  </w:r>
                  <w:r w:rsidRPr="007F4605">
                    <w:rPr>
                      <w:rFonts w:ascii="Arial" w:eastAsia="Calibri" w:hAnsi="Arial" w:cs="Arial"/>
                      <w:bCs/>
                      <w:color w:val="000000" w:themeColor="text1"/>
                      <w:sz w:val="20"/>
                      <w:szCs w:val="20"/>
                    </w:rPr>
                    <w:t>–</w:t>
                  </w:r>
                  <w:r w:rsidRPr="007F4605">
                    <w:rPr>
                      <w:rFonts w:ascii="Arial" w:eastAsia="Calibri" w:hAnsi="Arial" w:cs="Arial"/>
                      <w:bCs/>
                      <w:color w:val="000000" w:themeColor="text1"/>
                      <w:sz w:val="22"/>
                      <w:lang w:val="es-ES"/>
                    </w:rPr>
                    <w:t xml:space="preserve"> Cierre </w:t>
                  </w:r>
                  <w:r w:rsidRPr="007F4605">
                    <w:rPr>
                      <w:rFonts w:ascii="Arial" w:eastAsia="Calibri" w:hAnsi="Arial" w:cs="Arial"/>
                      <w:bCs/>
                      <w:color w:val="000000" w:themeColor="text1"/>
                      <w:sz w:val="22"/>
                      <w:lang w:val="es-ES"/>
                    </w:rPr>
                    <w:lastRenderedPageBreak/>
                    <w:t xml:space="preserve">del proceso / </w:t>
                  </w:r>
                  <w:r w:rsidRPr="007F4605">
                    <w:rPr>
                      <w:rFonts w:ascii="Arial" w:eastAsia="Calibri" w:hAnsi="Arial" w:cs="Arial"/>
                      <w:color w:val="000000" w:themeColor="text1"/>
                      <w:sz w:val="22"/>
                      <w:lang w:val="es-ES_tradnl"/>
                    </w:rPr>
                    <w:t xml:space="preserve">SUBSANABILIDAD </w:t>
                  </w:r>
                  <w:r w:rsidRPr="007F4605">
                    <w:rPr>
                      <w:rFonts w:ascii="Arial" w:eastAsia="Calibri" w:hAnsi="Arial" w:cs="Arial"/>
                      <w:bCs/>
                      <w:color w:val="000000" w:themeColor="text1"/>
                      <w:sz w:val="20"/>
                      <w:szCs w:val="20"/>
                    </w:rPr>
                    <w:t>–</w:t>
                  </w:r>
                  <w:r w:rsidRPr="007F4605">
                    <w:rPr>
                      <w:rFonts w:ascii="Arial" w:eastAsia="Calibri" w:hAnsi="Arial" w:cs="Arial"/>
                      <w:color w:val="000000" w:themeColor="text1"/>
                      <w:sz w:val="22"/>
                      <w:lang w:val="es-ES_tradnl"/>
                    </w:rPr>
                    <w:t xml:space="preserve"> Oportunidad </w:t>
                  </w:r>
                  <w:r w:rsidRPr="007F4605">
                    <w:rPr>
                      <w:rFonts w:ascii="Arial" w:eastAsia="Calibri" w:hAnsi="Arial" w:cs="Arial"/>
                      <w:bCs/>
                      <w:color w:val="000000" w:themeColor="text1"/>
                      <w:sz w:val="20"/>
                      <w:szCs w:val="20"/>
                    </w:rPr>
                    <w:t>–</w:t>
                  </w:r>
                  <w:r w:rsidRPr="007F4605">
                    <w:rPr>
                      <w:rFonts w:ascii="Arial" w:eastAsia="Calibri" w:hAnsi="Arial" w:cs="Arial"/>
                      <w:color w:val="000000" w:themeColor="text1"/>
                      <w:sz w:val="22"/>
                      <w:lang w:val="es-ES_tradnl"/>
                    </w:rPr>
                    <w:t xml:space="preserve"> Traslado </w:t>
                  </w:r>
                  <w:r w:rsidRPr="007F4605">
                    <w:rPr>
                      <w:rFonts w:ascii="Arial" w:eastAsia="Calibri" w:hAnsi="Arial" w:cs="Arial"/>
                      <w:bCs/>
                      <w:color w:val="000000" w:themeColor="text1"/>
                      <w:sz w:val="20"/>
                      <w:szCs w:val="20"/>
                    </w:rPr>
                    <w:t>–</w:t>
                  </w:r>
                  <w:r w:rsidRPr="007F4605">
                    <w:rPr>
                      <w:rFonts w:ascii="Arial" w:eastAsia="Calibri" w:hAnsi="Arial" w:cs="Arial"/>
                      <w:color w:val="000000" w:themeColor="text1"/>
                      <w:sz w:val="22"/>
                      <w:lang w:val="es-ES_tradnl"/>
                    </w:rPr>
                    <w:t xml:space="preserve"> Informe de evaluación / </w:t>
                  </w:r>
                  <w:r w:rsidRPr="007F4605">
                    <w:rPr>
                      <w:rFonts w:ascii="Arial" w:eastAsia="Calibri" w:hAnsi="Arial" w:cs="Arial"/>
                      <w:color w:val="000000" w:themeColor="text1"/>
                      <w:sz w:val="22"/>
                    </w:rPr>
                    <w:t xml:space="preserve">DOCUMENTOS TIPO – Capacidad residual – </w:t>
                  </w:r>
                  <w:proofErr w:type="spellStart"/>
                  <w:r w:rsidRPr="007F4605">
                    <w:rPr>
                      <w:rFonts w:ascii="Arial" w:eastAsia="Calibri" w:hAnsi="Arial" w:cs="Arial"/>
                      <w:color w:val="000000" w:themeColor="text1"/>
                      <w:sz w:val="22"/>
                    </w:rPr>
                    <w:t>Subsanabilidad</w:t>
                  </w:r>
                  <w:proofErr w:type="spellEnd"/>
                  <w:r w:rsidRPr="007F4605">
                    <w:rPr>
                      <w:rFonts w:ascii="Arial" w:eastAsia="Calibri" w:hAnsi="Arial" w:cs="Arial"/>
                      <w:color w:val="000000" w:themeColor="text1"/>
                      <w:sz w:val="22"/>
                    </w:rPr>
                    <w:t xml:space="preserve"> /DOCUMENTOS TIPO – Capacidad residual – Documentos – Causales de rechazo</w:t>
                  </w:r>
                </w:p>
              </w:tc>
            </w:tr>
            <w:tr w:rsidR="00950538" w:rsidRPr="007F4605" w:rsidTr="008575D4">
              <w:tc>
                <w:tcPr>
                  <w:tcW w:w="2689" w:type="dxa"/>
                </w:tcPr>
                <w:p w:rsidR="00950538" w:rsidRPr="007F4605" w:rsidRDefault="00950538" w:rsidP="00950538">
                  <w:pPr>
                    <w:rPr>
                      <w:rFonts w:ascii="Arial" w:eastAsia="Calibri" w:hAnsi="Arial" w:cs="Arial"/>
                      <w:b/>
                      <w:color w:val="000000" w:themeColor="text1"/>
                      <w:sz w:val="22"/>
                    </w:rPr>
                  </w:pPr>
                  <w:r w:rsidRPr="007F4605">
                    <w:rPr>
                      <w:rFonts w:ascii="Arial" w:eastAsia="Calibri" w:hAnsi="Arial" w:cs="Arial"/>
                      <w:b/>
                      <w:color w:val="000000" w:themeColor="text1"/>
                      <w:sz w:val="22"/>
                    </w:rPr>
                    <w:lastRenderedPageBreak/>
                    <w:t>Radicación:</w:t>
                  </w:r>
                  <w:r w:rsidRPr="007F4605">
                    <w:rPr>
                      <w:rFonts w:ascii="Arial" w:eastAsia="Calibri" w:hAnsi="Arial" w:cs="Arial"/>
                      <w:color w:val="000000" w:themeColor="text1"/>
                      <w:sz w:val="22"/>
                    </w:rPr>
                    <w:t xml:space="preserve">                              </w:t>
                  </w:r>
                </w:p>
              </w:tc>
              <w:tc>
                <w:tcPr>
                  <w:tcW w:w="6237" w:type="dxa"/>
                </w:tcPr>
                <w:p w:rsidR="00950538" w:rsidRPr="007F4605" w:rsidRDefault="00950538" w:rsidP="00950538">
                  <w:pPr>
                    <w:jc w:val="both"/>
                    <w:rPr>
                      <w:rFonts w:ascii="Arial" w:eastAsia="Calibri" w:hAnsi="Arial" w:cs="Arial"/>
                      <w:color w:val="000000" w:themeColor="text1"/>
                      <w:sz w:val="22"/>
                    </w:rPr>
                  </w:pPr>
                  <w:r w:rsidRPr="007F4605">
                    <w:rPr>
                      <w:rFonts w:ascii="Arial" w:eastAsia="Calibri" w:hAnsi="Arial" w:cs="Arial"/>
                      <w:color w:val="000000" w:themeColor="text1"/>
                      <w:sz w:val="22"/>
                    </w:rPr>
                    <w:t>Respuesta a consulta</w:t>
                  </w:r>
                  <w:r w:rsidR="001F4AF9">
                    <w:rPr>
                      <w:rFonts w:ascii="Arial" w:eastAsia="Calibri" w:hAnsi="Arial" w:cs="Arial"/>
                      <w:color w:val="000000" w:themeColor="text1"/>
                      <w:sz w:val="22"/>
                    </w:rPr>
                    <w:t>s</w:t>
                  </w:r>
                  <w:r w:rsidRPr="007F4605">
                    <w:rPr>
                      <w:rFonts w:ascii="Arial" w:eastAsia="Calibri" w:hAnsi="Arial" w:cs="Arial"/>
                      <w:color w:val="000000" w:themeColor="text1"/>
                      <w:sz w:val="22"/>
                    </w:rPr>
                    <w:t xml:space="preserve"> # 4202013000008100</w:t>
                  </w:r>
                  <w:r>
                    <w:rPr>
                      <w:rFonts w:ascii="Arial" w:eastAsia="Calibri" w:hAnsi="Arial" w:cs="Arial"/>
                      <w:color w:val="000000" w:themeColor="text1"/>
                      <w:sz w:val="22"/>
                    </w:rPr>
                    <w:t>, aclarada el 17 de septiembre de 2020 mediante correo electrónico</w:t>
                  </w:r>
                  <w:r w:rsidR="001F4AF9">
                    <w:rPr>
                      <w:rFonts w:ascii="Arial" w:eastAsia="Calibri" w:hAnsi="Arial" w:cs="Arial"/>
                      <w:color w:val="000000" w:themeColor="text1"/>
                      <w:sz w:val="22"/>
                    </w:rPr>
                    <w:t>, y 4202013000008634</w:t>
                  </w:r>
                  <w:r>
                    <w:rPr>
                      <w:rFonts w:ascii="Arial" w:eastAsia="Calibri" w:hAnsi="Arial" w:cs="Arial"/>
                      <w:color w:val="000000" w:themeColor="text1"/>
                      <w:sz w:val="22"/>
                    </w:rPr>
                    <w:t>.</w:t>
                  </w:r>
                </w:p>
              </w:tc>
            </w:tr>
          </w:tbl>
          <w:p w:rsidR="00950538" w:rsidRDefault="00950538" w:rsidP="00950538"/>
        </w:tc>
        <w:tc>
          <w:tcPr>
            <w:tcW w:w="6237" w:type="dxa"/>
          </w:tcPr>
          <w:p w:rsidR="00950538" w:rsidRDefault="00950538" w:rsidP="00950538"/>
        </w:tc>
      </w:tr>
    </w:tbl>
    <w:p w:rsidR="00950538" w:rsidRPr="00783992" w:rsidRDefault="00950538" w:rsidP="00950538">
      <w:pPr>
        <w:jc w:val="both"/>
        <w:rPr>
          <w:rFonts w:ascii="Arial" w:eastAsia="Calibri" w:hAnsi="Arial" w:cs="Arial"/>
          <w:color w:val="000000" w:themeColor="text1"/>
          <w:sz w:val="22"/>
        </w:rPr>
      </w:pPr>
    </w:p>
    <w:p w:rsidR="00950538" w:rsidRPr="00783992" w:rsidRDefault="00950538" w:rsidP="00950538">
      <w:pPr>
        <w:rPr>
          <w:rFonts w:ascii="Arial" w:eastAsia="Calibri" w:hAnsi="Arial" w:cs="Arial"/>
          <w:color w:val="000000" w:themeColor="text1"/>
          <w:sz w:val="22"/>
        </w:rPr>
      </w:pPr>
    </w:p>
    <w:p w:rsidR="00950538" w:rsidRPr="00783992" w:rsidRDefault="00950538" w:rsidP="00950538">
      <w:pPr>
        <w:rPr>
          <w:rFonts w:ascii="Arial" w:eastAsia="Calibri" w:hAnsi="Arial" w:cs="Arial"/>
          <w:color w:val="000000" w:themeColor="text1"/>
          <w:sz w:val="22"/>
        </w:rPr>
      </w:pPr>
      <w:r w:rsidRPr="00783992">
        <w:rPr>
          <w:rFonts w:ascii="Arial" w:eastAsia="Calibri" w:hAnsi="Arial" w:cs="Arial"/>
          <w:color w:val="000000" w:themeColor="text1"/>
          <w:sz w:val="22"/>
        </w:rPr>
        <w:t xml:space="preserve">Estimado señor </w:t>
      </w:r>
      <w:r>
        <w:rPr>
          <w:rFonts w:ascii="Arial" w:eastAsia="Calibri" w:hAnsi="Arial" w:cs="Arial"/>
          <w:color w:val="000000" w:themeColor="text1"/>
          <w:sz w:val="22"/>
        </w:rPr>
        <w:t>Patiño</w:t>
      </w:r>
      <w:r w:rsidRPr="00783992">
        <w:rPr>
          <w:rFonts w:ascii="Arial" w:eastAsia="Calibri" w:hAnsi="Arial" w:cs="Arial"/>
          <w:color w:val="000000" w:themeColor="text1"/>
          <w:sz w:val="22"/>
        </w:rPr>
        <w:t>,</w:t>
      </w:r>
    </w:p>
    <w:p w:rsidR="00950538" w:rsidRPr="00783992" w:rsidRDefault="00950538" w:rsidP="00950538">
      <w:pPr>
        <w:rPr>
          <w:rFonts w:ascii="Arial" w:eastAsia="Calibri" w:hAnsi="Arial" w:cs="Arial"/>
          <w:color w:val="000000" w:themeColor="text1"/>
          <w:sz w:val="22"/>
        </w:rPr>
      </w:pPr>
    </w:p>
    <w:p w:rsidR="00950538" w:rsidRPr="00783992" w:rsidRDefault="00950538" w:rsidP="00950538">
      <w:pPr>
        <w:spacing w:line="276" w:lineRule="auto"/>
        <w:ind w:right="49"/>
        <w:jc w:val="both"/>
        <w:rPr>
          <w:rFonts w:ascii="Arial" w:eastAsia="Calibri" w:hAnsi="Arial" w:cs="Arial"/>
          <w:color w:val="000000" w:themeColor="text1"/>
          <w:sz w:val="22"/>
        </w:rPr>
      </w:pPr>
      <w:r w:rsidRPr="00783992">
        <w:rPr>
          <w:rFonts w:ascii="Arial" w:eastAsia="Calibri" w:hAnsi="Arial" w:cs="Arial"/>
          <w:color w:val="000000" w:themeColor="text1"/>
          <w:sz w:val="22"/>
        </w:rPr>
        <w:t>La Agencia Nacional de Contratación Pública - Colombia Compra Efici</w:t>
      </w:r>
      <w:r>
        <w:rPr>
          <w:rFonts w:ascii="Arial" w:eastAsia="Calibri" w:hAnsi="Arial" w:cs="Arial"/>
          <w:color w:val="000000" w:themeColor="text1"/>
          <w:sz w:val="22"/>
        </w:rPr>
        <w:t>ente responde su consulta</w:t>
      </w:r>
      <w:r w:rsidR="001F4AF9">
        <w:rPr>
          <w:rFonts w:ascii="Arial" w:eastAsia="Calibri" w:hAnsi="Arial" w:cs="Arial"/>
          <w:color w:val="000000" w:themeColor="text1"/>
          <w:sz w:val="22"/>
        </w:rPr>
        <w:t>s</w:t>
      </w:r>
      <w:r>
        <w:rPr>
          <w:rFonts w:ascii="Arial" w:eastAsia="Calibri" w:hAnsi="Arial" w:cs="Arial"/>
          <w:color w:val="000000" w:themeColor="text1"/>
          <w:sz w:val="22"/>
        </w:rPr>
        <w:t xml:space="preserve"> del 15</w:t>
      </w:r>
      <w:r w:rsidRPr="00783992">
        <w:rPr>
          <w:rFonts w:ascii="Arial" w:eastAsia="Calibri" w:hAnsi="Arial" w:cs="Arial"/>
          <w:color w:val="000000" w:themeColor="text1"/>
          <w:sz w:val="22"/>
        </w:rPr>
        <w:t xml:space="preserve"> </w:t>
      </w:r>
      <w:r w:rsidR="001F4AF9">
        <w:rPr>
          <w:rFonts w:ascii="Arial" w:eastAsia="Calibri" w:hAnsi="Arial" w:cs="Arial"/>
          <w:color w:val="000000" w:themeColor="text1"/>
          <w:sz w:val="22"/>
        </w:rPr>
        <w:t xml:space="preserve">y 28 </w:t>
      </w:r>
      <w:r>
        <w:rPr>
          <w:rFonts w:ascii="Arial" w:eastAsia="Calibri" w:hAnsi="Arial" w:cs="Arial"/>
          <w:color w:val="000000" w:themeColor="text1"/>
          <w:sz w:val="22"/>
        </w:rPr>
        <w:t xml:space="preserve">de septiembre </w:t>
      </w:r>
      <w:r w:rsidRPr="00783992">
        <w:rPr>
          <w:rFonts w:ascii="Arial" w:eastAsia="Calibri" w:hAnsi="Arial" w:cs="Arial"/>
          <w:color w:val="000000" w:themeColor="text1"/>
          <w:sz w:val="22"/>
        </w:rPr>
        <w:t xml:space="preserve">de 2020, en ejercicio de la competencia otorgada por el numeral 8 del artículo 11 y el numeral 5 del artículo 3 del Decreto Ley 4170 de 2011. </w:t>
      </w:r>
    </w:p>
    <w:p w:rsidR="00950538" w:rsidRPr="00783992" w:rsidRDefault="00950538" w:rsidP="00950538">
      <w:pPr>
        <w:spacing w:line="276" w:lineRule="auto"/>
        <w:jc w:val="both"/>
        <w:rPr>
          <w:rFonts w:ascii="Arial" w:eastAsia="Calibri" w:hAnsi="Arial" w:cs="Arial"/>
          <w:color w:val="000000" w:themeColor="text1"/>
          <w:sz w:val="22"/>
        </w:rPr>
      </w:pPr>
    </w:p>
    <w:p w:rsidR="00950538" w:rsidRPr="00783992" w:rsidRDefault="00950538" w:rsidP="00950538">
      <w:pPr>
        <w:pStyle w:val="Prrafodelista"/>
        <w:tabs>
          <w:tab w:val="left" w:pos="284"/>
        </w:tabs>
        <w:spacing w:line="276" w:lineRule="auto"/>
        <w:ind w:left="0"/>
        <w:jc w:val="both"/>
        <w:rPr>
          <w:rFonts w:ascii="Arial" w:eastAsia="Calibri" w:hAnsi="Arial" w:cs="Arial"/>
          <w:b/>
          <w:color w:val="000000" w:themeColor="text1"/>
          <w:sz w:val="22"/>
        </w:rPr>
      </w:pPr>
      <w:bookmarkStart w:id="1" w:name="_Hlk29890381"/>
      <w:r w:rsidRPr="00783992">
        <w:rPr>
          <w:rFonts w:ascii="Arial" w:eastAsia="Calibri" w:hAnsi="Arial" w:cs="Arial"/>
          <w:b/>
          <w:color w:val="000000" w:themeColor="text1"/>
          <w:sz w:val="22"/>
        </w:rPr>
        <w:t xml:space="preserve">1. Problemas planteados </w:t>
      </w:r>
    </w:p>
    <w:p w:rsidR="00950538" w:rsidRPr="00783992" w:rsidRDefault="00950538" w:rsidP="00950538">
      <w:pPr>
        <w:tabs>
          <w:tab w:val="left" w:pos="426"/>
        </w:tabs>
        <w:spacing w:line="276" w:lineRule="auto"/>
        <w:jc w:val="both"/>
        <w:rPr>
          <w:rFonts w:ascii="Arial" w:eastAsia="Calibri" w:hAnsi="Arial" w:cs="Arial"/>
          <w:b/>
          <w:color w:val="000000" w:themeColor="text1"/>
          <w:sz w:val="22"/>
        </w:rPr>
      </w:pPr>
    </w:p>
    <w:p w:rsidR="00950538" w:rsidRDefault="00950538" w:rsidP="00950538">
      <w:pPr>
        <w:tabs>
          <w:tab w:val="left" w:pos="426"/>
        </w:tabs>
        <w:spacing w:line="276" w:lineRule="auto"/>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Usted realiza las siguientes preguntas: </w:t>
      </w:r>
      <w:r>
        <w:rPr>
          <w:rFonts w:ascii="Arial" w:eastAsia="Calibri" w:hAnsi="Arial" w:cs="Arial"/>
          <w:color w:val="000000" w:themeColor="text1"/>
          <w:sz w:val="22"/>
        </w:rPr>
        <w:t xml:space="preserve">Teniendo en cuenta la versión No.2 de Documentos Tipo: </w:t>
      </w:r>
    </w:p>
    <w:p w:rsidR="00950538" w:rsidRPr="002F0C85" w:rsidRDefault="00950538" w:rsidP="00950538">
      <w:pPr>
        <w:tabs>
          <w:tab w:val="left" w:pos="426"/>
        </w:tabs>
        <w:ind w:left="709" w:right="709"/>
        <w:jc w:val="both"/>
        <w:rPr>
          <w:rFonts w:ascii="Arial" w:eastAsia="Calibri" w:hAnsi="Arial" w:cs="Arial"/>
          <w:color w:val="000000" w:themeColor="text1"/>
          <w:sz w:val="22"/>
        </w:rPr>
      </w:pPr>
      <w:r>
        <w:rPr>
          <w:rFonts w:ascii="Arial" w:eastAsia="Calibri" w:hAnsi="Arial" w:cs="Arial"/>
          <w:color w:val="000000" w:themeColor="text1"/>
          <w:sz w:val="22"/>
        </w:rPr>
        <w:t xml:space="preserve">«1. </w:t>
      </w:r>
      <w:r w:rsidRPr="002F0C85">
        <w:rPr>
          <w:rFonts w:ascii="Arial" w:eastAsia="Calibri" w:hAnsi="Arial" w:cs="Arial"/>
          <w:color w:val="000000" w:themeColor="text1"/>
          <w:sz w:val="22"/>
        </w:rPr>
        <w:t>¿La entidad pública DEBE rechazar de plano al proponente que no relacione alguno de los contratos que tenía en ejecución al momento del cierre, es decir, le asiste o no la oportunidad de subsanar al proponente hasta antes de la adjudicación?</w:t>
      </w:r>
      <w:r>
        <w:rPr>
          <w:rFonts w:ascii="Arial" w:eastAsia="Calibri" w:hAnsi="Arial" w:cs="Arial"/>
          <w:color w:val="000000" w:themeColor="text1"/>
          <w:sz w:val="22"/>
        </w:rPr>
        <w:t>»</w:t>
      </w:r>
    </w:p>
    <w:p w:rsidR="00950538" w:rsidRDefault="00950538" w:rsidP="00950538">
      <w:pPr>
        <w:autoSpaceDE w:val="0"/>
        <w:autoSpaceDN w:val="0"/>
        <w:adjustRightInd w:val="0"/>
        <w:ind w:left="709" w:right="709"/>
        <w:jc w:val="both"/>
        <w:rPr>
          <w:rFonts w:ascii="Arial" w:eastAsia="Calibri" w:hAnsi="Arial" w:cs="Arial"/>
          <w:color w:val="000000" w:themeColor="text1"/>
          <w:sz w:val="22"/>
        </w:rPr>
      </w:pPr>
    </w:p>
    <w:p w:rsidR="00950538" w:rsidRPr="002F0C85" w:rsidRDefault="00950538" w:rsidP="00950538">
      <w:pPr>
        <w:autoSpaceDE w:val="0"/>
        <w:autoSpaceDN w:val="0"/>
        <w:adjustRightInd w:val="0"/>
        <w:ind w:left="709" w:right="709"/>
        <w:jc w:val="both"/>
        <w:rPr>
          <w:rFonts w:ascii="Arial" w:eastAsia="Calibri" w:hAnsi="Arial" w:cs="Arial"/>
          <w:color w:val="000000" w:themeColor="text1"/>
          <w:sz w:val="22"/>
        </w:rPr>
      </w:pPr>
      <w:r>
        <w:rPr>
          <w:rFonts w:ascii="Arial" w:eastAsia="Calibri" w:hAnsi="Arial" w:cs="Arial"/>
          <w:color w:val="000000" w:themeColor="text1"/>
          <w:sz w:val="22"/>
        </w:rPr>
        <w:t xml:space="preserve">«2. </w:t>
      </w:r>
      <w:r w:rsidRPr="002F0C85">
        <w:rPr>
          <w:rFonts w:ascii="Arial" w:eastAsia="Calibri" w:hAnsi="Arial" w:cs="Arial"/>
          <w:color w:val="000000" w:themeColor="text1"/>
          <w:sz w:val="22"/>
        </w:rPr>
        <w:t>En caso de que la respuesta sea que el proponente puede subsanar ¿La palabra AFECTE que se indica en el párrafo enunciado, quiere decir, que se debe rechazar únicamente en caso de que no cumpla con el k residual que solicita la entidad o hace relación a que se si se aumenta o disminuye el valor de k residual (lo cual ocurriría en caso de que no se haya reportado un contrato), indistintamente que se cumpla con el k residual?</w:t>
      </w:r>
      <w:r>
        <w:rPr>
          <w:rFonts w:ascii="Arial" w:eastAsia="Calibri" w:hAnsi="Arial" w:cs="Arial"/>
          <w:color w:val="000000" w:themeColor="text1"/>
          <w:sz w:val="22"/>
        </w:rPr>
        <w:t>»</w:t>
      </w:r>
      <w:r w:rsidRPr="002F0C85">
        <w:rPr>
          <w:rFonts w:ascii="Arial" w:eastAsia="Calibri" w:hAnsi="Arial" w:cs="Arial"/>
          <w:color w:val="000000" w:themeColor="text1"/>
          <w:sz w:val="22"/>
        </w:rPr>
        <w:t xml:space="preserve"> </w:t>
      </w:r>
    </w:p>
    <w:p w:rsidR="00950538" w:rsidRDefault="00950538" w:rsidP="00950538">
      <w:pPr>
        <w:autoSpaceDE w:val="0"/>
        <w:autoSpaceDN w:val="0"/>
        <w:adjustRightInd w:val="0"/>
        <w:ind w:left="709" w:right="709"/>
        <w:jc w:val="both"/>
        <w:rPr>
          <w:rFonts w:ascii="Arial" w:eastAsia="Calibri" w:hAnsi="Arial" w:cs="Arial"/>
          <w:color w:val="000000" w:themeColor="text1"/>
          <w:sz w:val="22"/>
        </w:rPr>
      </w:pPr>
    </w:p>
    <w:p w:rsidR="00950538" w:rsidRPr="002F0C85" w:rsidRDefault="00950538" w:rsidP="00950538">
      <w:pPr>
        <w:autoSpaceDE w:val="0"/>
        <w:autoSpaceDN w:val="0"/>
        <w:adjustRightInd w:val="0"/>
        <w:ind w:left="709" w:right="709"/>
        <w:jc w:val="both"/>
        <w:rPr>
          <w:rFonts w:ascii="Arial" w:eastAsia="Calibri" w:hAnsi="Arial" w:cs="Arial"/>
          <w:color w:val="000000" w:themeColor="text1"/>
          <w:sz w:val="22"/>
        </w:rPr>
      </w:pPr>
      <w:r>
        <w:rPr>
          <w:rFonts w:ascii="Arial" w:eastAsia="Calibri" w:hAnsi="Arial" w:cs="Arial"/>
          <w:color w:val="000000" w:themeColor="text1"/>
          <w:sz w:val="22"/>
        </w:rPr>
        <w:t xml:space="preserve">«3. </w:t>
      </w:r>
      <w:r w:rsidRPr="002F0C85">
        <w:rPr>
          <w:rFonts w:ascii="Arial" w:eastAsia="Calibri" w:hAnsi="Arial" w:cs="Arial"/>
          <w:color w:val="000000" w:themeColor="text1"/>
          <w:sz w:val="22"/>
        </w:rPr>
        <w:t>En caso de que la respuesta sea que se debe rechazar sin solicitar subsanación ello no contraviene lo establecido en la Ley 1882 de 2018 (…)</w:t>
      </w:r>
      <w:r>
        <w:rPr>
          <w:rFonts w:ascii="Arial" w:eastAsia="Calibri" w:hAnsi="Arial" w:cs="Arial"/>
          <w:color w:val="000000" w:themeColor="text1"/>
          <w:sz w:val="22"/>
        </w:rPr>
        <w:t>»</w:t>
      </w:r>
    </w:p>
    <w:p w:rsidR="00950538" w:rsidRDefault="00950538" w:rsidP="00950538">
      <w:pPr>
        <w:autoSpaceDE w:val="0"/>
        <w:autoSpaceDN w:val="0"/>
        <w:adjustRightInd w:val="0"/>
        <w:ind w:left="709" w:right="709"/>
        <w:jc w:val="both"/>
        <w:rPr>
          <w:rFonts w:ascii="Arial" w:eastAsia="Calibri" w:hAnsi="Arial" w:cs="Arial"/>
          <w:color w:val="000000" w:themeColor="text1"/>
          <w:sz w:val="22"/>
        </w:rPr>
      </w:pPr>
    </w:p>
    <w:p w:rsidR="00950538" w:rsidRPr="002F0C85" w:rsidRDefault="00950538" w:rsidP="00950538">
      <w:pPr>
        <w:autoSpaceDE w:val="0"/>
        <w:autoSpaceDN w:val="0"/>
        <w:adjustRightInd w:val="0"/>
        <w:ind w:left="709" w:right="709"/>
        <w:jc w:val="both"/>
        <w:rPr>
          <w:rFonts w:ascii="Arial" w:eastAsia="Calibri" w:hAnsi="Arial" w:cs="Arial"/>
          <w:color w:val="000000" w:themeColor="text1"/>
          <w:sz w:val="22"/>
        </w:rPr>
      </w:pPr>
      <w:r>
        <w:rPr>
          <w:rFonts w:ascii="Arial" w:eastAsia="Calibri" w:hAnsi="Arial" w:cs="Arial"/>
          <w:color w:val="000000" w:themeColor="text1"/>
          <w:sz w:val="22"/>
        </w:rPr>
        <w:t xml:space="preserve">«4. </w:t>
      </w:r>
      <w:r w:rsidRPr="002F0C85">
        <w:rPr>
          <w:rFonts w:ascii="Arial" w:eastAsia="Calibri" w:hAnsi="Arial" w:cs="Arial"/>
          <w:color w:val="000000" w:themeColor="text1"/>
          <w:sz w:val="22"/>
        </w:rPr>
        <w:t xml:space="preserve">La única causal de rechazo estipulada en la Ley de manera taxativa es la estipulada en el parágrafo N° 3 </w:t>
      </w:r>
      <w:proofErr w:type="spellStart"/>
      <w:r w:rsidRPr="002F0C85">
        <w:rPr>
          <w:rFonts w:ascii="Arial" w:eastAsia="Calibri" w:hAnsi="Arial" w:cs="Arial"/>
          <w:color w:val="000000" w:themeColor="text1"/>
          <w:sz w:val="22"/>
        </w:rPr>
        <w:t>ibidem</w:t>
      </w:r>
      <w:proofErr w:type="spellEnd"/>
      <w:r w:rsidRPr="002F0C85">
        <w:rPr>
          <w:rFonts w:ascii="Arial" w:eastAsia="Calibri" w:hAnsi="Arial" w:cs="Arial"/>
          <w:color w:val="000000" w:themeColor="text1"/>
          <w:sz w:val="22"/>
        </w:rPr>
        <w:t xml:space="preserve"> que es la no entrega de la garantía de seriedad al momento de la presentación de la propuesta y además determina sin modo a interpretación que NO ES SUBSANABLE, ¿En caso de que su respuesta indique que no se puede subsanar, solicito de manera expresa el sustento jurídico donde se estipula que dicho requisit</w:t>
      </w:r>
      <w:r>
        <w:rPr>
          <w:rFonts w:ascii="Arial" w:eastAsia="Calibri" w:hAnsi="Arial" w:cs="Arial"/>
          <w:color w:val="000000" w:themeColor="text1"/>
          <w:sz w:val="22"/>
        </w:rPr>
        <w:t>o habilitante no es subsanable?»</w:t>
      </w:r>
    </w:p>
    <w:p w:rsidR="00950538" w:rsidRDefault="00950538" w:rsidP="00950538">
      <w:pPr>
        <w:autoSpaceDE w:val="0"/>
        <w:autoSpaceDN w:val="0"/>
        <w:adjustRightInd w:val="0"/>
        <w:ind w:left="709" w:right="709"/>
        <w:jc w:val="both"/>
        <w:rPr>
          <w:rFonts w:ascii="Arial" w:eastAsia="Calibri" w:hAnsi="Arial" w:cs="Arial"/>
          <w:color w:val="000000" w:themeColor="text1"/>
          <w:sz w:val="22"/>
        </w:rPr>
      </w:pPr>
    </w:p>
    <w:p w:rsidR="00950538" w:rsidRPr="002F0C85" w:rsidRDefault="00950538" w:rsidP="00950538">
      <w:pPr>
        <w:autoSpaceDE w:val="0"/>
        <w:autoSpaceDN w:val="0"/>
        <w:adjustRightInd w:val="0"/>
        <w:ind w:left="709" w:right="709"/>
        <w:jc w:val="both"/>
        <w:rPr>
          <w:rFonts w:ascii="Arial" w:eastAsia="Calibri" w:hAnsi="Arial" w:cs="Arial"/>
          <w:color w:val="000000" w:themeColor="text1"/>
          <w:sz w:val="22"/>
        </w:rPr>
      </w:pPr>
      <w:r>
        <w:rPr>
          <w:rFonts w:ascii="Arial" w:eastAsia="Calibri" w:hAnsi="Arial" w:cs="Arial"/>
          <w:color w:val="000000" w:themeColor="text1"/>
          <w:sz w:val="22"/>
        </w:rPr>
        <w:t xml:space="preserve">«5. </w:t>
      </w:r>
      <w:r w:rsidRPr="002F0C85">
        <w:rPr>
          <w:rFonts w:ascii="Arial" w:eastAsia="Calibri" w:hAnsi="Arial" w:cs="Arial"/>
          <w:color w:val="000000" w:themeColor="text1"/>
          <w:sz w:val="22"/>
        </w:rPr>
        <w:t>Si la conclusión es que se puede estipular dicha causal de rechazo sin solicitar subsanación, ¿Se pueden determinar en el pliego tipo aspectos que contravienen la ley, si la respuesta es SI, solicito el sustento legal?</w:t>
      </w:r>
      <w:r>
        <w:rPr>
          <w:rFonts w:ascii="Arial" w:eastAsia="Calibri" w:hAnsi="Arial" w:cs="Arial"/>
          <w:color w:val="000000" w:themeColor="text1"/>
          <w:sz w:val="22"/>
        </w:rPr>
        <w:t>»</w:t>
      </w:r>
      <w:r w:rsidRPr="002F0C85">
        <w:rPr>
          <w:rFonts w:ascii="Arial" w:eastAsia="Calibri" w:hAnsi="Arial" w:cs="Arial"/>
          <w:color w:val="000000" w:themeColor="text1"/>
          <w:sz w:val="22"/>
        </w:rPr>
        <w:t xml:space="preserve"> </w:t>
      </w:r>
    </w:p>
    <w:p w:rsidR="00950538" w:rsidRDefault="00950538" w:rsidP="00950538">
      <w:pPr>
        <w:autoSpaceDE w:val="0"/>
        <w:autoSpaceDN w:val="0"/>
        <w:adjustRightInd w:val="0"/>
        <w:ind w:left="709" w:right="709"/>
        <w:jc w:val="both"/>
        <w:rPr>
          <w:rFonts w:ascii="Arial" w:eastAsia="Calibri" w:hAnsi="Arial" w:cs="Arial"/>
          <w:color w:val="000000" w:themeColor="text1"/>
          <w:sz w:val="22"/>
        </w:rPr>
      </w:pPr>
    </w:p>
    <w:p w:rsidR="00950538" w:rsidRPr="002F0C85" w:rsidRDefault="00950538" w:rsidP="00950538">
      <w:pPr>
        <w:autoSpaceDE w:val="0"/>
        <w:autoSpaceDN w:val="0"/>
        <w:adjustRightInd w:val="0"/>
        <w:ind w:left="709" w:right="709"/>
        <w:jc w:val="both"/>
        <w:rPr>
          <w:rFonts w:ascii="Arial" w:eastAsia="Calibri" w:hAnsi="Arial" w:cs="Arial"/>
          <w:color w:val="000000" w:themeColor="text1"/>
          <w:sz w:val="22"/>
        </w:rPr>
      </w:pPr>
      <w:r>
        <w:rPr>
          <w:rFonts w:ascii="Arial" w:eastAsia="Calibri" w:hAnsi="Arial" w:cs="Arial"/>
          <w:color w:val="000000" w:themeColor="text1"/>
          <w:sz w:val="22"/>
        </w:rPr>
        <w:t xml:space="preserve">«6. </w:t>
      </w:r>
      <w:r w:rsidRPr="002F0C85">
        <w:rPr>
          <w:rFonts w:ascii="Arial" w:eastAsia="Calibri" w:hAnsi="Arial" w:cs="Arial"/>
          <w:color w:val="000000" w:themeColor="text1"/>
          <w:sz w:val="22"/>
        </w:rPr>
        <w:t>En caso de que la entidad o algún proponente evidencie la falta de relacionar algún contrato por uno de los proponentes, y en caso de que se pueda subsanar ¿La entidad tiene el deber de requerir al proponente que omitió relacionar el contrato y deberá otorgar el tiempo que estipula la CIRCULAR UNICA</w:t>
      </w:r>
      <w:r>
        <w:rPr>
          <w:rFonts w:ascii="Arial" w:eastAsia="Calibri" w:hAnsi="Arial" w:cs="Arial"/>
          <w:color w:val="000000" w:themeColor="text1"/>
          <w:sz w:val="22"/>
        </w:rPr>
        <w:t xml:space="preserve"> […]?»</w:t>
      </w:r>
    </w:p>
    <w:p w:rsidR="00950538" w:rsidRPr="002F0C85" w:rsidRDefault="00950538" w:rsidP="00950538">
      <w:pPr>
        <w:tabs>
          <w:tab w:val="left" w:pos="426"/>
        </w:tabs>
        <w:spacing w:line="276" w:lineRule="auto"/>
        <w:ind w:right="709"/>
        <w:jc w:val="both"/>
        <w:rPr>
          <w:rFonts w:ascii="Arial" w:eastAsia="Calibri" w:hAnsi="Arial" w:cs="Arial"/>
          <w:color w:val="000000" w:themeColor="text1"/>
          <w:sz w:val="22"/>
        </w:rPr>
      </w:pPr>
    </w:p>
    <w:p w:rsidR="00950538" w:rsidRPr="00783992" w:rsidRDefault="00950538" w:rsidP="00950538">
      <w:pPr>
        <w:tabs>
          <w:tab w:val="left" w:pos="426"/>
        </w:tabs>
        <w:spacing w:line="276" w:lineRule="auto"/>
        <w:jc w:val="both"/>
        <w:rPr>
          <w:rFonts w:ascii="Arial" w:eastAsia="Calibri" w:hAnsi="Arial" w:cs="Arial"/>
          <w:b/>
          <w:color w:val="000000" w:themeColor="text1"/>
          <w:sz w:val="22"/>
        </w:rPr>
      </w:pPr>
      <w:r w:rsidRPr="00783992">
        <w:rPr>
          <w:rFonts w:ascii="Arial" w:eastAsia="Calibri" w:hAnsi="Arial" w:cs="Arial"/>
          <w:b/>
          <w:color w:val="000000" w:themeColor="text1"/>
          <w:sz w:val="22"/>
        </w:rPr>
        <w:t>2. Consideraciones</w:t>
      </w:r>
    </w:p>
    <w:p w:rsidR="00950538" w:rsidRPr="00783992" w:rsidRDefault="00950538" w:rsidP="00950538">
      <w:pPr>
        <w:tabs>
          <w:tab w:val="left" w:pos="426"/>
        </w:tabs>
        <w:spacing w:line="276" w:lineRule="auto"/>
        <w:jc w:val="both"/>
        <w:rPr>
          <w:rFonts w:ascii="Arial" w:eastAsia="Calibri" w:hAnsi="Arial" w:cs="Arial"/>
          <w:b/>
          <w:color w:val="000000" w:themeColor="text1"/>
          <w:sz w:val="22"/>
        </w:rPr>
      </w:pPr>
    </w:p>
    <w:p w:rsidR="00950538" w:rsidRDefault="00950538" w:rsidP="00950538">
      <w:pPr>
        <w:spacing w:line="276" w:lineRule="auto"/>
        <w:jc w:val="both"/>
        <w:rPr>
          <w:rFonts w:ascii="Arial" w:eastAsia="Calibri" w:hAnsi="Arial" w:cs="Arial"/>
          <w:bCs/>
          <w:color w:val="000000" w:themeColor="text1"/>
          <w:sz w:val="22"/>
          <w:lang w:val="es-ES_tradnl"/>
        </w:rPr>
      </w:pPr>
      <w:r w:rsidRPr="00AB24F3">
        <w:rPr>
          <w:rFonts w:ascii="Arial" w:eastAsia="Calibri" w:hAnsi="Arial" w:cs="Arial"/>
          <w:bCs/>
          <w:color w:val="000000" w:themeColor="text1"/>
          <w:sz w:val="22"/>
        </w:rPr>
        <w:t>Dado que su</w:t>
      </w:r>
      <w:r>
        <w:rPr>
          <w:rFonts w:ascii="Arial" w:eastAsia="Calibri" w:hAnsi="Arial" w:cs="Arial"/>
          <w:bCs/>
          <w:color w:val="000000" w:themeColor="text1"/>
          <w:sz w:val="22"/>
        </w:rPr>
        <w:t>s</w:t>
      </w:r>
      <w:r w:rsidRPr="00AB24F3">
        <w:rPr>
          <w:rFonts w:ascii="Arial" w:eastAsia="Calibri" w:hAnsi="Arial" w:cs="Arial"/>
          <w:bCs/>
          <w:color w:val="000000" w:themeColor="text1"/>
          <w:sz w:val="22"/>
        </w:rPr>
        <w:t xml:space="preserve"> pregunta</w:t>
      </w:r>
      <w:r>
        <w:rPr>
          <w:rFonts w:ascii="Arial" w:eastAsia="Calibri" w:hAnsi="Arial" w:cs="Arial"/>
          <w:bCs/>
          <w:color w:val="000000" w:themeColor="text1"/>
          <w:sz w:val="22"/>
        </w:rPr>
        <w:t>s</w:t>
      </w:r>
      <w:r w:rsidRPr="00AB24F3">
        <w:rPr>
          <w:rFonts w:ascii="Arial" w:eastAsia="Calibri" w:hAnsi="Arial" w:cs="Arial"/>
          <w:bCs/>
          <w:color w:val="000000" w:themeColor="text1"/>
          <w:sz w:val="22"/>
        </w:rPr>
        <w:t xml:space="preserve"> se relaciona</w:t>
      </w:r>
      <w:r>
        <w:rPr>
          <w:rFonts w:ascii="Arial" w:eastAsia="Calibri" w:hAnsi="Arial" w:cs="Arial"/>
          <w:bCs/>
          <w:color w:val="000000" w:themeColor="text1"/>
          <w:sz w:val="22"/>
        </w:rPr>
        <w:t>n</w:t>
      </w:r>
      <w:r w:rsidRPr="00AB24F3">
        <w:rPr>
          <w:rFonts w:ascii="Arial" w:eastAsia="Calibri" w:hAnsi="Arial" w:cs="Arial"/>
          <w:bCs/>
          <w:color w:val="000000" w:themeColor="text1"/>
          <w:sz w:val="22"/>
        </w:rPr>
        <w:t xml:space="preserve"> con el Documento Tipo de Licitación de Obra Pública de Infraestructura de Transporte Versión 2</w:t>
      </w:r>
      <w:r>
        <w:rPr>
          <w:rFonts w:ascii="Arial" w:eastAsia="Calibri" w:hAnsi="Arial" w:cs="Arial"/>
          <w:bCs/>
          <w:color w:val="000000" w:themeColor="text1"/>
          <w:sz w:val="22"/>
        </w:rPr>
        <w:t>,</w:t>
      </w:r>
      <w:r w:rsidRPr="00AB24F3">
        <w:rPr>
          <w:rFonts w:ascii="Arial" w:eastAsia="Calibri" w:hAnsi="Arial" w:cs="Arial"/>
          <w:bCs/>
          <w:color w:val="000000" w:themeColor="text1"/>
          <w:sz w:val="22"/>
        </w:rPr>
        <w:t xml:space="preserve"> la presente</w:t>
      </w:r>
      <w:r>
        <w:rPr>
          <w:rFonts w:ascii="Arial" w:eastAsia="Calibri" w:hAnsi="Arial" w:cs="Arial"/>
          <w:bCs/>
          <w:color w:val="000000" w:themeColor="text1"/>
          <w:sz w:val="22"/>
        </w:rPr>
        <w:t xml:space="preserve"> respuesta</w:t>
      </w:r>
      <w:r w:rsidRPr="00AB24F3">
        <w:rPr>
          <w:rFonts w:ascii="Arial" w:eastAsia="Calibri" w:hAnsi="Arial" w:cs="Arial"/>
          <w:bCs/>
          <w:color w:val="000000" w:themeColor="text1"/>
          <w:sz w:val="22"/>
        </w:rPr>
        <w:t xml:space="preserve"> tiene por objeto dicho documento tipo. En consecuencia, para responder las preguntas formuladas, en primer lugar se reitera el concepto de unificación C-060 sobre </w:t>
      </w:r>
      <w:proofErr w:type="spellStart"/>
      <w:r w:rsidRPr="00AB24F3">
        <w:rPr>
          <w:rFonts w:ascii="Arial" w:eastAsia="Calibri" w:hAnsi="Arial" w:cs="Arial"/>
          <w:bCs/>
          <w:color w:val="000000" w:themeColor="text1"/>
          <w:sz w:val="22"/>
        </w:rPr>
        <w:t>subsanabilidad</w:t>
      </w:r>
      <w:proofErr w:type="spellEnd"/>
      <w:r w:rsidRPr="00AB24F3">
        <w:rPr>
          <w:rFonts w:ascii="Arial" w:eastAsia="Calibri" w:hAnsi="Arial" w:cs="Arial"/>
          <w:bCs/>
          <w:color w:val="000000" w:themeColor="text1"/>
          <w:sz w:val="22"/>
        </w:rPr>
        <w:t>, para, posteriormente pronunciarse sobre la capacidad residual y el rechazo de las ofertas.</w:t>
      </w:r>
      <w:r>
        <w:rPr>
          <w:rFonts w:ascii="Arial" w:eastAsia="Calibri" w:hAnsi="Arial" w:cs="Arial"/>
          <w:bCs/>
          <w:color w:val="000000" w:themeColor="text1"/>
          <w:sz w:val="22"/>
        </w:rPr>
        <w:t xml:space="preserve"> </w:t>
      </w:r>
    </w:p>
    <w:p w:rsidR="00950538" w:rsidRDefault="00950538" w:rsidP="00950538">
      <w:pPr>
        <w:spacing w:line="276" w:lineRule="auto"/>
        <w:jc w:val="both"/>
        <w:rPr>
          <w:rFonts w:ascii="Arial" w:eastAsia="Calibri" w:hAnsi="Arial" w:cs="Arial"/>
          <w:bCs/>
          <w:color w:val="000000" w:themeColor="text1"/>
          <w:sz w:val="22"/>
          <w:lang w:val="es-ES_tradnl"/>
        </w:rPr>
      </w:pPr>
    </w:p>
    <w:p w:rsidR="00950538" w:rsidRPr="00DC2C79" w:rsidRDefault="00950538" w:rsidP="00950538">
      <w:pPr>
        <w:spacing w:line="276" w:lineRule="auto"/>
        <w:jc w:val="both"/>
        <w:rPr>
          <w:rFonts w:ascii="Arial" w:eastAsia="Calibri" w:hAnsi="Arial" w:cs="Arial"/>
          <w:b/>
          <w:bCs/>
          <w:color w:val="000000" w:themeColor="text1"/>
          <w:sz w:val="22"/>
          <w:lang w:val="es-ES_tradnl"/>
        </w:rPr>
      </w:pPr>
      <w:r w:rsidRPr="00DC2C79">
        <w:rPr>
          <w:rFonts w:ascii="Arial" w:eastAsia="Calibri" w:hAnsi="Arial" w:cs="Arial"/>
          <w:b/>
          <w:bCs/>
          <w:color w:val="000000" w:themeColor="text1"/>
          <w:sz w:val="22"/>
          <w:lang w:val="es-ES_tradnl"/>
        </w:rPr>
        <w:t>2.1. Principio de selección objetiva en la contratación estatal</w:t>
      </w:r>
    </w:p>
    <w:p w:rsidR="00950538" w:rsidRPr="00DC2C79" w:rsidRDefault="00950538" w:rsidP="00950538">
      <w:pPr>
        <w:spacing w:line="276" w:lineRule="auto"/>
        <w:jc w:val="both"/>
        <w:rPr>
          <w:rFonts w:ascii="Arial" w:eastAsia="Calibri" w:hAnsi="Arial" w:cs="Arial"/>
          <w:color w:val="000000" w:themeColor="text1"/>
          <w:sz w:val="22"/>
          <w:lang w:val="es-ES_tradnl"/>
        </w:rPr>
      </w:pPr>
    </w:p>
    <w:p w:rsidR="00950538" w:rsidRPr="00DC2C79" w:rsidRDefault="00950538" w:rsidP="00950538">
      <w:pPr>
        <w:spacing w:line="276" w:lineRule="auto"/>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Uno de los principios transversales de los procedimientos de selección es el de </w:t>
      </w:r>
      <w:r w:rsidRPr="00DC2C79">
        <w:rPr>
          <w:rFonts w:ascii="Arial" w:eastAsia="Calibri" w:hAnsi="Arial" w:cs="Arial"/>
          <w:i/>
          <w:iCs/>
          <w:color w:val="000000" w:themeColor="text1"/>
          <w:sz w:val="22"/>
          <w:lang w:val="es-ES_tradnl"/>
        </w:rPr>
        <w:t>selección objetiva</w:t>
      </w:r>
      <w:r w:rsidRPr="00DC2C79">
        <w:rPr>
          <w:rFonts w:ascii="Arial" w:eastAsia="Calibri" w:hAnsi="Arial"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rsidR="00950538" w:rsidRPr="00DC2C79" w:rsidRDefault="00950538" w:rsidP="00950538">
      <w:pPr>
        <w:spacing w:before="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Si bien dentro de la historia de la contratación pública en Colombia, se vislumbran antecedentes normativos que consagraban dicho principio</w:t>
      </w:r>
      <w:r w:rsidRPr="00DC2C79">
        <w:rPr>
          <w:rStyle w:val="Refdenotaalpie"/>
          <w:rFonts w:ascii="Arial" w:eastAsia="Calibri" w:hAnsi="Arial" w:cs="Arial"/>
          <w:color w:val="000000" w:themeColor="text1"/>
          <w:sz w:val="22"/>
          <w:lang w:val="es-ES_tradnl"/>
        </w:rPr>
        <w:footnoteReference w:id="1"/>
      </w:r>
      <w:r w:rsidRPr="00DC2C79">
        <w:rPr>
          <w:rFonts w:ascii="Arial" w:eastAsia="Calibri" w:hAnsi="Arial" w:cs="Arial"/>
          <w:color w:val="000000" w:themeColor="text1"/>
          <w:sz w:val="22"/>
          <w:lang w:val="es-ES_tradnl"/>
        </w:rPr>
        <w:t>, en la actualidad la disposición legal que lo prevé de manera más clara y contundente es el artículo 5 de la Ley 1150 de 2007, modificado por el artículo 88 de la Ley 1474 de 2011 y por el artículo 5 de la Ley 1882 de 2018; enunciado normativo en el que se lee:</w:t>
      </w:r>
    </w:p>
    <w:p w:rsidR="00950538" w:rsidRPr="00DC2C79" w:rsidRDefault="00950538" w:rsidP="00950538">
      <w:pPr>
        <w:spacing w:line="276" w:lineRule="auto"/>
        <w:jc w:val="both"/>
        <w:rPr>
          <w:rFonts w:ascii="Arial" w:eastAsia="Calibri" w:hAnsi="Arial" w:cs="Arial"/>
          <w:color w:val="000000" w:themeColor="text1"/>
          <w:sz w:val="22"/>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lastRenderedPageBreak/>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En los procesos de selección en los que se tenga en cuenta los factores técnicos y económicos, la oferta más ventajosa será la que resulte de aplicar alguna de las siguientes alternativas:</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a) La ponderación de los elementos de calidad y precio soportados en puntajes o fórmulas señaladas en el pliego de condiciones; o</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b) La ponderación de los elementos de calidad y precio que representen la mejor relación de costo-beneficio para la entidad.</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 xml:space="preserve">4. En los procesos para la selección de consultores se hará uso de factores de calificación destinados a valorar los aspectos técnicos de la oferta o proyecto. De conformidad con las condiciones que señale el reglamento, se podrán utilizar </w:t>
      </w:r>
      <w:r w:rsidRPr="00DC2C79">
        <w:rPr>
          <w:rFonts w:ascii="Arial" w:eastAsia="Calibri" w:hAnsi="Arial" w:cs="Arial"/>
          <w:color w:val="000000" w:themeColor="text1"/>
          <w:sz w:val="21"/>
          <w:szCs w:val="21"/>
          <w:lang w:val="es-ES_tradnl"/>
        </w:rPr>
        <w:lastRenderedPageBreak/>
        <w:t>criterios de experiencia específica del oferente y del equipo de trabajo, en el campo de que se trate.</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En ningún caso se podrá incluir el precio, como factor de escogencia para la selección de consultores.</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Durante el término otorgado para subsanar las ofertas, los proponentes no podrán acreditar circunstancias ocurridas con posterioridad al cierre del proceso.</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PARÁGRAFO 2o. Las certificaciones de sistemas de gestión de calidad no serán objeto de calificación, ni podrán establecerse como documento habilitante para participar en licitaciones o concursos.</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PARÁGRAFO 3o. &lt;Parágrafo adicionado por el artículo 5 de la Ley 1882 de 2018. El nuevo texto es el siguiente:&gt; La no entrega de la garantía de seriedad junto con la propuesta no será subsanable y será causal de rechazo de la misma.</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1"/>
          <w:szCs w:val="21"/>
          <w:lang w:val="es-ES_tradnl"/>
        </w:rPr>
      </w:pPr>
      <w:r w:rsidRPr="00DC2C79">
        <w:rPr>
          <w:rFonts w:ascii="Arial" w:eastAsia="Calibri" w:hAnsi="Arial" w:cs="Arial"/>
          <w:color w:val="000000" w:themeColor="text1"/>
          <w:sz w:val="21"/>
          <w:szCs w:val="21"/>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rsidR="00950538" w:rsidRPr="00DC2C79" w:rsidRDefault="00950538" w:rsidP="00950538">
      <w:pPr>
        <w:ind w:left="709" w:right="709"/>
        <w:jc w:val="both"/>
        <w:rPr>
          <w:rFonts w:ascii="Arial" w:eastAsia="Calibri" w:hAnsi="Arial" w:cs="Arial"/>
          <w:color w:val="000000" w:themeColor="text1"/>
          <w:sz w:val="21"/>
          <w:szCs w:val="21"/>
          <w:lang w:val="es-ES_tradnl"/>
        </w:rPr>
      </w:pPr>
    </w:p>
    <w:p w:rsidR="00950538" w:rsidRPr="00DC2C79" w:rsidRDefault="00950538" w:rsidP="00950538">
      <w:pPr>
        <w:ind w:left="709" w:right="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1"/>
          <w:szCs w:val="21"/>
          <w:lang w:val="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DC2C79">
        <w:rPr>
          <w:rFonts w:ascii="Arial" w:eastAsia="Calibri" w:hAnsi="Arial" w:cs="Arial"/>
          <w:color w:val="000000" w:themeColor="text1"/>
          <w:sz w:val="22"/>
          <w:lang w:val="es-ES_tradnl"/>
        </w:rPr>
        <w:t xml:space="preserve"> </w:t>
      </w:r>
    </w:p>
    <w:p w:rsidR="00950538" w:rsidRPr="00DC2C79" w:rsidRDefault="00950538" w:rsidP="00950538">
      <w:pPr>
        <w:spacing w:line="276" w:lineRule="auto"/>
        <w:jc w:val="both"/>
        <w:rPr>
          <w:rFonts w:ascii="Arial" w:eastAsia="Calibri" w:hAnsi="Arial" w:cs="Arial"/>
          <w:color w:val="000000" w:themeColor="text1"/>
          <w:sz w:val="22"/>
          <w:lang w:val="es-ES_tradnl"/>
        </w:rPr>
      </w:pPr>
    </w:p>
    <w:p w:rsidR="00950538" w:rsidRPr="00DC2C79" w:rsidRDefault="00950538" w:rsidP="00950538">
      <w:pPr>
        <w:spacing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Así mismo, la Ley 80 de 1993 se refiere a la </w:t>
      </w:r>
      <w:r w:rsidRPr="00DC2C79">
        <w:rPr>
          <w:rFonts w:ascii="Arial" w:eastAsia="Calibri" w:hAnsi="Arial" w:cs="Arial"/>
          <w:i/>
          <w:iCs/>
          <w:color w:val="000000" w:themeColor="text1"/>
          <w:sz w:val="22"/>
          <w:lang w:val="es-ES_tradnl"/>
        </w:rPr>
        <w:t>selección objetiva</w:t>
      </w:r>
      <w:r w:rsidRPr="00DC2C79">
        <w:rPr>
          <w:rFonts w:ascii="Arial" w:eastAsia="Calibri" w:hAnsi="Arial" w:cs="Arial"/>
          <w:color w:val="000000" w:themeColor="text1"/>
          <w:sz w:val="22"/>
          <w:lang w:val="es-ES_tradnl"/>
        </w:rPr>
        <w:t xml:space="preserve">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w:t>
      </w:r>
      <w:r w:rsidRPr="00DC2C79">
        <w:rPr>
          <w:rFonts w:ascii="Arial" w:eastAsia="Calibri" w:hAnsi="Arial" w:cs="Arial"/>
          <w:color w:val="000000" w:themeColor="text1"/>
          <w:sz w:val="22"/>
          <w:lang w:val="es-ES_tradnl"/>
        </w:rPr>
        <w:lastRenderedPageBreak/>
        <w:t xml:space="preserve">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ii)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iii) el numeral 7º del artículo 2.2.1.2.6.1.3., que consagra, como obligación de la Agencia de 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lastRenderedPageBreak/>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DC2C79">
        <w:rPr>
          <w:rStyle w:val="Refdenotaalpie"/>
          <w:rFonts w:ascii="Arial" w:eastAsia="Calibri" w:hAnsi="Arial" w:cs="Arial"/>
          <w:color w:val="000000" w:themeColor="text1"/>
          <w:sz w:val="22"/>
          <w:lang w:val="es-ES_tradnl"/>
        </w:rPr>
        <w:footnoteReference w:id="2"/>
      </w:r>
      <w:r w:rsidRPr="00DC2C79">
        <w:rPr>
          <w:rFonts w:ascii="Arial" w:eastAsia="Calibri" w:hAnsi="Arial" w:cs="Arial"/>
          <w:color w:val="000000" w:themeColor="text1"/>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DC2C79">
        <w:rPr>
          <w:rStyle w:val="Refdenotaalpie"/>
          <w:rFonts w:ascii="Arial" w:eastAsia="Calibri" w:hAnsi="Arial" w:cs="Arial"/>
          <w:color w:val="000000" w:themeColor="text1"/>
          <w:sz w:val="22"/>
          <w:lang w:val="es-ES_tradnl"/>
        </w:rPr>
        <w:footnoteReference w:id="3"/>
      </w:r>
      <w:r w:rsidRPr="00DC2C79">
        <w:rPr>
          <w:rFonts w:ascii="Arial" w:eastAsia="Calibri" w:hAnsi="Arial" w:cs="Arial"/>
          <w:color w:val="000000" w:themeColor="text1"/>
          <w:sz w:val="22"/>
          <w:lang w:val="es-ES_tradnl"/>
        </w:rPr>
        <w:t>.</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rsidR="00950538" w:rsidRPr="00DC2C79" w:rsidRDefault="00950538" w:rsidP="00950538">
      <w:pPr>
        <w:spacing w:line="276" w:lineRule="auto"/>
        <w:ind w:firstLine="709"/>
        <w:jc w:val="both"/>
        <w:rPr>
          <w:rFonts w:ascii="Arial" w:eastAsia="Calibri" w:hAnsi="Arial" w:cs="Arial"/>
          <w:color w:val="000000" w:themeColor="text1"/>
          <w:sz w:val="22"/>
          <w:lang w:val="es-CO"/>
        </w:rPr>
      </w:pPr>
      <w:r w:rsidRPr="00DC2C79">
        <w:rPr>
          <w:rFonts w:ascii="Arial" w:eastAsia="Calibri" w:hAnsi="Arial" w:cs="Arial"/>
          <w:color w:val="000000" w:themeColor="text1"/>
          <w:sz w:val="22"/>
          <w:lang w:val="es-ES_tradnl"/>
        </w:rPr>
        <w:t>Esta regla se explica a continuación.</w:t>
      </w:r>
    </w:p>
    <w:p w:rsidR="00950538" w:rsidRPr="00DC2C79" w:rsidRDefault="00950538" w:rsidP="00950538">
      <w:pPr>
        <w:spacing w:line="276" w:lineRule="auto"/>
        <w:jc w:val="both"/>
        <w:rPr>
          <w:rFonts w:ascii="Arial" w:eastAsia="Calibri" w:hAnsi="Arial" w:cs="Arial"/>
          <w:color w:val="000000" w:themeColor="text1"/>
          <w:sz w:val="22"/>
          <w:lang w:val="es-ES_tradnl"/>
        </w:rPr>
      </w:pPr>
    </w:p>
    <w:p w:rsidR="00950538" w:rsidRPr="00DC2C79" w:rsidRDefault="00950538" w:rsidP="00950538">
      <w:pPr>
        <w:spacing w:line="276" w:lineRule="auto"/>
        <w:jc w:val="both"/>
        <w:rPr>
          <w:rFonts w:ascii="Arial" w:eastAsia="Calibri" w:hAnsi="Arial" w:cs="Arial"/>
          <w:b/>
          <w:bCs/>
          <w:color w:val="000000" w:themeColor="text1"/>
          <w:sz w:val="22"/>
          <w:lang w:val="es-ES_tradnl"/>
        </w:rPr>
      </w:pPr>
      <w:r w:rsidRPr="00DC2C79">
        <w:rPr>
          <w:rFonts w:ascii="Arial" w:eastAsia="Calibri" w:hAnsi="Arial" w:cs="Arial"/>
          <w:b/>
          <w:bCs/>
          <w:color w:val="000000" w:themeColor="text1"/>
          <w:sz w:val="22"/>
          <w:lang w:val="es-ES_tradnl"/>
        </w:rPr>
        <w:t xml:space="preserve">2.2. Alcance de la regla de la </w:t>
      </w:r>
      <w:proofErr w:type="spellStart"/>
      <w:r w:rsidRPr="00DC2C79">
        <w:rPr>
          <w:rFonts w:ascii="Arial" w:eastAsia="Calibri" w:hAnsi="Arial" w:cs="Arial"/>
          <w:b/>
          <w:bCs/>
          <w:color w:val="000000" w:themeColor="text1"/>
          <w:sz w:val="22"/>
          <w:lang w:val="es-ES_tradnl"/>
        </w:rPr>
        <w:t>subsanabilidad</w:t>
      </w:r>
      <w:proofErr w:type="spellEnd"/>
      <w:r w:rsidRPr="00DC2C79">
        <w:rPr>
          <w:rFonts w:ascii="Arial" w:eastAsia="Calibri" w:hAnsi="Arial" w:cs="Arial"/>
          <w:b/>
          <w:bCs/>
          <w:color w:val="000000" w:themeColor="text1"/>
          <w:sz w:val="22"/>
          <w:lang w:val="es-ES_tradnl"/>
        </w:rPr>
        <w:t xml:space="preserve"> de las ofertas en los procedimientos de selección. </w:t>
      </w:r>
    </w:p>
    <w:p w:rsidR="00950538" w:rsidRPr="00DC2C79" w:rsidRDefault="00950538" w:rsidP="00950538">
      <w:pPr>
        <w:spacing w:line="276" w:lineRule="auto"/>
        <w:jc w:val="both"/>
        <w:rPr>
          <w:rFonts w:ascii="Arial" w:eastAsia="Calibri" w:hAnsi="Arial" w:cs="Arial"/>
          <w:color w:val="000000" w:themeColor="text1"/>
          <w:sz w:val="22"/>
          <w:lang w:val="es-ES_tradnl"/>
        </w:rPr>
      </w:pPr>
    </w:p>
    <w:p w:rsidR="00950538" w:rsidRPr="00DC2C79" w:rsidRDefault="00950538" w:rsidP="00950538">
      <w:pPr>
        <w:spacing w:line="276" w:lineRule="auto"/>
        <w:jc w:val="both"/>
        <w:rPr>
          <w:rFonts w:ascii="Arial" w:hAnsi="Arial" w:cs="Arial"/>
          <w:color w:val="000000" w:themeColor="text1"/>
          <w:sz w:val="22"/>
          <w:lang w:val="es-ES_tradnl"/>
        </w:rPr>
      </w:pPr>
      <w:r w:rsidRPr="00DC2C79">
        <w:rPr>
          <w:rFonts w:ascii="Arial" w:hAnsi="Arial" w:cs="Arial"/>
          <w:color w:val="000000" w:themeColor="text1"/>
          <w:sz w:val="22"/>
          <w:lang w:val="es-ES_tradnl"/>
        </w:rPr>
        <w:lastRenderedPageBreak/>
        <w:t xml:space="preserve">Al respecto, la postura que se reitera en el presente concepto es la siguiente: por regla general, i) la falta de entrega o ii) los defectos, de los requisitos habilitantes, son subsanables. La excepción se encuentra en los casos, previstos en la ley, que limitan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es decir, en la prohibición de permitir la entrega de la garantía de seriedad de la oferta que no fue aportada con la propuesta y de valer la acreditación de circunstancias ocurridas con posterioridad al cierre del proceso.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efecto, la Agencia Nacional de Contratación Pública – Colombia Compra Eficiente, en el concepto con radicado No. 4201913000006471 del 28 de octubre de 2019, analizó el régimen jurídico de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igual forma, en los conceptos con radicados No. 4201912000006711 del 12 de noviembre de 2019 y 4201912000006496 del 15 de noviembre de 2019 reiteró el desarrollo normativo y jurisprudencial para subsanar los errores de los documentos presentados en la oferta. La tesis propuesta en estos conceptos es la que se expone a continuación: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un </w:t>
      </w:r>
      <w:r w:rsidRPr="00DC2C79">
        <w:rPr>
          <w:rFonts w:ascii="Arial" w:hAnsi="Arial" w:cs="Arial"/>
          <w:i/>
          <w:color w:val="000000" w:themeColor="text1"/>
          <w:sz w:val="22"/>
          <w:lang w:val="es-ES_tradnl"/>
        </w:rPr>
        <w:t>primer momento</w:t>
      </w:r>
      <w:r w:rsidRPr="00DC2C79">
        <w:rPr>
          <w:rFonts w:ascii="Arial" w:hAnsi="Arial" w:cs="Arial"/>
          <w:color w:val="000000" w:themeColor="text1"/>
          <w:sz w:val="22"/>
          <w:lang w:val="es-ES_tradnl"/>
        </w:rPr>
        <w:t xml:space="preserve">, antes de la entrada en vigencia de la Constitución Política de 1991, el régimen jurídico de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un </w:t>
      </w:r>
      <w:r w:rsidRPr="00DC2C79">
        <w:rPr>
          <w:rFonts w:ascii="Arial" w:hAnsi="Arial" w:cs="Arial"/>
          <w:i/>
          <w:color w:val="000000" w:themeColor="text1"/>
          <w:sz w:val="22"/>
          <w:lang w:val="es-ES_tradnl"/>
        </w:rPr>
        <w:t>segundo momento</w:t>
      </w:r>
      <w:r w:rsidRPr="00DC2C79">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p>
    <w:p w:rsidR="00950538" w:rsidRPr="00DC2C79" w:rsidRDefault="00950538" w:rsidP="00950538">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este nuevo escenario constitucional, el numeral 15 del artículo 25 de la Ley 80 de 1993 dispuso lo siguiente: </w:t>
      </w:r>
    </w:p>
    <w:p w:rsidR="00950538" w:rsidRPr="00DC2C79" w:rsidRDefault="00950538" w:rsidP="00950538">
      <w:pPr>
        <w:spacing w:line="276" w:lineRule="auto"/>
        <w:jc w:val="both"/>
        <w:rPr>
          <w:rFonts w:ascii="Arial" w:hAnsi="Arial" w:cs="Arial"/>
          <w:color w:val="000000" w:themeColor="text1"/>
          <w:sz w:val="22"/>
          <w:lang w:val="es-ES_tradnl"/>
        </w:rPr>
      </w:pPr>
    </w:p>
    <w:p w:rsidR="00950538" w:rsidRPr="00DC2C79" w:rsidRDefault="00950538" w:rsidP="00950538">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rsidR="00950538" w:rsidRPr="00DC2C79" w:rsidRDefault="00950538" w:rsidP="00950538">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 </w:t>
      </w:r>
    </w:p>
    <w:p w:rsidR="00950538" w:rsidRPr="00DC2C79" w:rsidRDefault="00950538" w:rsidP="00950538">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rsidR="00950538" w:rsidRPr="00DC2C79" w:rsidRDefault="00950538" w:rsidP="00950538">
      <w:pPr>
        <w:spacing w:line="276" w:lineRule="auto"/>
        <w:jc w:val="both"/>
        <w:rPr>
          <w:rFonts w:ascii="Arial" w:hAnsi="Arial" w:cs="Arial"/>
          <w:b/>
          <w:color w:val="000000" w:themeColor="text1"/>
          <w:sz w:val="22"/>
          <w:lang w:val="es-ES_tradnl"/>
        </w:rPr>
      </w:pPr>
    </w:p>
    <w:p w:rsidR="00950538" w:rsidRPr="00DC2C79" w:rsidRDefault="00950538" w:rsidP="00950538">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lastRenderedPageBreak/>
        <w:t xml:space="preserve">Bajo el amparo de esta norma, el régimen jurídico de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las ofertas sufre un cambio fundamental, pues ya no era posible rechazar las ofertas por falta de requisitos o documentos que no fueran “</w:t>
      </w:r>
      <w:r w:rsidRPr="00DC2C79">
        <w:rPr>
          <w:rFonts w:ascii="Arial" w:hAnsi="Arial" w:cs="Arial"/>
          <w:i/>
          <w:color w:val="000000" w:themeColor="text1"/>
          <w:sz w:val="22"/>
          <w:lang w:val="es-ES_tradnl"/>
        </w:rPr>
        <w:t>necesarios para la comparación de propuestas</w:t>
      </w:r>
      <w:r w:rsidRPr="00DC2C79">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Esta norma debía leerse en conjunto con otras de la Ley 80 de 1993, particularmente con el artículo 30.7</w:t>
      </w:r>
      <w:r w:rsidRPr="00DC2C79">
        <w:rPr>
          <w:rStyle w:val="Refdenotaalpie"/>
          <w:rFonts w:ascii="Arial" w:hAnsi="Arial" w:cs="Arial"/>
          <w:color w:val="000000" w:themeColor="text1"/>
          <w:sz w:val="22"/>
          <w:lang w:val="es-ES_tradnl"/>
        </w:rPr>
        <w:footnoteReference w:id="4"/>
      </w:r>
      <w:r w:rsidRPr="00DC2C79">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DC2C79">
        <w:rPr>
          <w:rStyle w:val="Refdenotaalpie"/>
          <w:rFonts w:ascii="Arial" w:hAnsi="Arial" w:cs="Arial"/>
          <w:color w:val="000000" w:themeColor="text1"/>
          <w:sz w:val="22"/>
          <w:lang w:val="es-ES_tradnl"/>
        </w:rPr>
        <w:footnoteReference w:id="5"/>
      </w:r>
      <w:r w:rsidRPr="00DC2C79">
        <w:rPr>
          <w:rFonts w:ascii="Arial" w:hAnsi="Arial" w:cs="Arial"/>
          <w:color w:val="000000" w:themeColor="text1"/>
          <w:sz w:val="22"/>
          <w:lang w:val="es-ES_tradnl"/>
        </w:rPr>
        <w:t xml:space="preserve">, que consagró el término de 5 días hábiles para que los oferentes presenten observaciones al informe de evaluación de las propuestas, sin que sea posible completar, adicionar, modificar o mejorar la oferta.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la misma no </w:t>
      </w:r>
      <w:proofErr w:type="gramStart"/>
      <w:r w:rsidRPr="00DC2C79">
        <w:rPr>
          <w:rFonts w:ascii="Arial" w:hAnsi="Arial" w:cs="Arial"/>
          <w:color w:val="000000" w:themeColor="text1"/>
          <w:sz w:val="22"/>
          <w:lang w:val="es-ES_tradnl"/>
        </w:rPr>
        <w:t>podía</w:t>
      </w:r>
      <w:proofErr w:type="gramEnd"/>
      <w:r w:rsidRPr="00DC2C79">
        <w:rPr>
          <w:rFonts w:ascii="Arial" w:hAnsi="Arial" w:cs="Arial"/>
          <w:color w:val="000000" w:themeColor="text1"/>
          <w:sz w:val="22"/>
          <w:lang w:val="es-ES_tradnl"/>
        </w:rPr>
        <w:t xml:space="preserve"> llevar a su rechazo, sin antes verificar que lo omitido fuera un aspecto necesario para la comparación. </w:t>
      </w:r>
    </w:p>
    <w:p w:rsidR="00950538" w:rsidRPr="00DC2C79" w:rsidRDefault="00950538" w:rsidP="00950538">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un </w:t>
      </w:r>
      <w:r w:rsidRPr="00DC2C79">
        <w:rPr>
          <w:rFonts w:ascii="Arial" w:hAnsi="Arial" w:cs="Arial"/>
          <w:i/>
          <w:color w:val="000000" w:themeColor="text1"/>
          <w:sz w:val="22"/>
          <w:lang w:val="es-ES_tradnl"/>
        </w:rPr>
        <w:t>tercer momento</w:t>
      </w:r>
      <w:r w:rsidRPr="00DC2C79">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rsidR="00950538" w:rsidRPr="00DC2C79" w:rsidRDefault="00950538" w:rsidP="00950538">
      <w:pPr>
        <w:spacing w:line="276" w:lineRule="auto"/>
        <w:jc w:val="both"/>
        <w:rPr>
          <w:rFonts w:ascii="Arial" w:hAnsi="Arial" w:cs="Arial"/>
          <w:color w:val="000000" w:themeColor="text1"/>
          <w:sz w:val="22"/>
          <w:lang w:val="es-ES_tradnl"/>
        </w:rPr>
      </w:pPr>
    </w:p>
    <w:p w:rsidR="00950538" w:rsidRPr="00DC2C79" w:rsidRDefault="00950538" w:rsidP="00950538">
      <w:pPr>
        <w:ind w:left="709" w:right="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Parágrafo 1°. La ausencia de requisitos o la falta de documentos referentes a la futura </w:t>
      </w:r>
      <w:r w:rsidRPr="00DC2C79">
        <w:rPr>
          <w:rFonts w:ascii="Arial" w:hAnsi="Arial" w:cs="Arial"/>
          <w:color w:val="000000" w:themeColor="text1"/>
          <w:sz w:val="21"/>
          <w:szCs w:val="21"/>
          <w:lang w:val="es-ES_tradnl"/>
        </w:rPr>
        <w:t>contratación</w:t>
      </w:r>
      <w:r w:rsidRPr="00DC2C79">
        <w:rPr>
          <w:rFonts w:ascii="Arial" w:hAnsi="Arial" w:cs="Arial"/>
          <w:color w:val="000000" w:themeColor="text1"/>
          <w:sz w:val="22"/>
          <w:lang w:val="es-ES_tradnl"/>
        </w:rPr>
        <w:t xml:space="preserve"> o al proponente, no necesarios para la comparación de las propuestas no servirán de título suficiente para el rechazo de los ofrecimientos hechos. En consecuencia</w:t>
      </w:r>
      <w:r w:rsidRPr="00DC2C79">
        <w:rPr>
          <w:rFonts w:ascii="Arial" w:hAnsi="Arial" w:cs="Arial"/>
          <w:b/>
          <w:color w:val="000000" w:themeColor="text1"/>
          <w:sz w:val="22"/>
          <w:lang w:val="es-ES_tradnl"/>
        </w:rPr>
        <w:t xml:space="preserve">, </w:t>
      </w:r>
      <w:r w:rsidRPr="00DC2C79">
        <w:rPr>
          <w:rFonts w:ascii="Arial" w:hAnsi="Arial" w:cs="Arial"/>
          <w:color w:val="000000" w:themeColor="text1"/>
          <w:sz w:val="22"/>
          <w:lang w:val="es-ES_tradnl"/>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w:t>
      </w:r>
      <w:proofErr w:type="gramStart"/>
      <w:r w:rsidRPr="00DC2C79">
        <w:rPr>
          <w:rFonts w:ascii="Arial" w:hAnsi="Arial" w:cs="Arial"/>
          <w:color w:val="000000" w:themeColor="text1"/>
          <w:sz w:val="22"/>
          <w:lang w:val="es-ES_tradnl"/>
        </w:rPr>
        <w:t>deberán</w:t>
      </w:r>
      <w:proofErr w:type="gramEnd"/>
      <w:r w:rsidRPr="00DC2C79">
        <w:rPr>
          <w:rFonts w:ascii="Arial" w:hAnsi="Arial" w:cs="Arial"/>
          <w:color w:val="000000" w:themeColor="text1"/>
          <w:sz w:val="22"/>
          <w:lang w:val="es-ES_tradnl"/>
        </w:rPr>
        <w:t xml:space="preserve"> ser solicitados hasta el momento previo a su realización. </w:t>
      </w:r>
    </w:p>
    <w:p w:rsidR="00950538" w:rsidRPr="00DC2C79" w:rsidRDefault="00950538" w:rsidP="00950538">
      <w:pPr>
        <w:spacing w:line="276" w:lineRule="auto"/>
        <w:jc w:val="both"/>
        <w:rPr>
          <w:rFonts w:ascii="Arial" w:hAnsi="Arial" w:cs="Arial"/>
          <w:b/>
          <w:color w:val="000000" w:themeColor="text1"/>
          <w:sz w:val="22"/>
          <w:lang w:val="es-ES_tradnl"/>
        </w:rPr>
      </w:pPr>
    </w:p>
    <w:p w:rsidR="00950538" w:rsidRPr="00DC2C79" w:rsidRDefault="00950538" w:rsidP="00950538">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Si al verificar la Administración encuentra que lo omitido por el proponente es un aspecto que otorga puntaje, no es posible subsanarlo; pero, si no otorga puntaje la Administración debe requerir al proponente para que lo subsane.  </w:t>
      </w:r>
    </w:p>
    <w:p w:rsidR="00950538" w:rsidRPr="00DC2C79" w:rsidRDefault="00950538" w:rsidP="00950538">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El artículo 5 de la Ley 1150 de 2007, además de consagrar un criterio más claro, y, de paso, reducir la discrecionalidad de la Administración, fijó un ámbito temporal para la subsanación de las ofertas: “</w:t>
      </w:r>
      <w:r w:rsidRPr="00DC2C79">
        <w:rPr>
          <w:rFonts w:ascii="Arial" w:hAnsi="Arial" w:cs="Arial"/>
          <w:i/>
          <w:color w:val="000000" w:themeColor="text1"/>
          <w:sz w:val="22"/>
          <w:lang w:val="es-ES_tradnl"/>
        </w:rPr>
        <w:t>en cualquier momento, hasta la adjudicación</w:t>
      </w:r>
      <w:r w:rsidRPr="00DC2C79">
        <w:rPr>
          <w:rFonts w:ascii="Arial" w:hAnsi="Arial" w:cs="Arial"/>
          <w:color w:val="000000" w:themeColor="text1"/>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rsidR="00950538" w:rsidRPr="00DC2C79" w:rsidRDefault="00950538" w:rsidP="00950538">
      <w:pPr>
        <w:spacing w:line="276" w:lineRule="auto"/>
        <w:jc w:val="both"/>
        <w:rPr>
          <w:rFonts w:ascii="Arial" w:hAnsi="Arial" w:cs="Arial"/>
          <w:color w:val="000000" w:themeColor="text1"/>
          <w:sz w:val="22"/>
          <w:lang w:val="es-ES_tradnl"/>
        </w:rPr>
      </w:pPr>
    </w:p>
    <w:p w:rsidR="00950538" w:rsidRPr="00DC2C79" w:rsidRDefault="00950538" w:rsidP="00950538">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DC2C79">
        <w:rPr>
          <w:rStyle w:val="Refdenotaalpie"/>
          <w:rFonts w:ascii="Arial" w:hAnsi="Arial" w:cs="Arial"/>
          <w:color w:val="000000" w:themeColor="text1"/>
          <w:sz w:val="21"/>
          <w:szCs w:val="21"/>
          <w:lang w:val="es-ES_tradnl"/>
        </w:rPr>
        <w:footnoteReference w:id="6"/>
      </w:r>
      <w:r w:rsidRPr="00DC2C79">
        <w:rPr>
          <w:rFonts w:ascii="Arial" w:hAnsi="Arial" w:cs="Arial"/>
          <w:color w:val="000000" w:themeColor="text1"/>
          <w:sz w:val="21"/>
          <w:szCs w:val="21"/>
          <w:lang w:val="es-ES_tradnl"/>
        </w:rPr>
        <w:t>.</w:t>
      </w:r>
    </w:p>
    <w:p w:rsidR="00950538" w:rsidRPr="00DC2C79" w:rsidRDefault="00950538" w:rsidP="00950538">
      <w:pPr>
        <w:spacing w:line="276" w:lineRule="auto"/>
        <w:jc w:val="both"/>
        <w:rPr>
          <w:rFonts w:ascii="Arial" w:hAnsi="Arial" w:cs="Arial"/>
          <w:b/>
          <w:color w:val="000000" w:themeColor="text1"/>
          <w:sz w:val="22"/>
          <w:lang w:val="es-ES_tradnl"/>
        </w:rPr>
      </w:pPr>
    </w:p>
    <w:p w:rsidR="00950538" w:rsidRPr="00DC2C79" w:rsidRDefault="00950538" w:rsidP="00950538">
      <w:pPr>
        <w:pStyle w:val="Textoindependiente"/>
        <w:tabs>
          <w:tab w:val="left" w:pos="284"/>
        </w:tabs>
        <w:ind w:firstLine="709"/>
        <w:jc w:val="both"/>
        <w:rPr>
          <w:rFonts w:eastAsiaTheme="minorHAnsi"/>
          <w:color w:val="000000" w:themeColor="text1"/>
          <w:lang w:val="es-ES_tradnl" w:eastAsia="en-US"/>
        </w:rPr>
      </w:pPr>
      <w:r w:rsidRPr="00DC2C79">
        <w:rPr>
          <w:rFonts w:eastAsiaTheme="minorHAnsi"/>
          <w:color w:val="000000" w:themeColor="text1"/>
          <w:lang w:val="es-ES_tradnl" w:eastAsia="en-US"/>
        </w:rPr>
        <w:t xml:space="preserve">Esa interpretación fue compartida por la </w:t>
      </w:r>
      <w:r w:rsidRPr="00DC2C79">
        <w:rPr>
          <w:color w:val="000000" w:themeColor="text1"/>
          <w:lang w:val="es-ES_tradnl"/>
        </w:rPr>
        <w:t>Agencia Nacional de Contratación Pública – Colombia Compra Eficiente</w:t>
      </w:r>
      <w:r w:rsidRPr="00DC2C79">
        <w:rPr>
          <w:rFonts w:eastAsiaTheme="minorHAnsi"/>
          <w:color w:val="000000" w:themeColor="text1"/>
          <w:lang w:val="es-ES_tradnl"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rsidR="00950538" w:rsidRPr="00DC2C79" w:rsidRDefault="00950538" w:rsidP="00950538">
      <w:pPr>
        <w:pStyle w:val="Textoindependiente"/>
        <w:tabs>
          <w:tab w:val="left" w:pos="284"/>
        </w:tabs>
        <w:spacing w:before="120"/>
        <w:ind w:firstLine="709"/>
        <w:jc w:val="both"/>
        <w:rPr>
          <w:rFonts w:eastAsiaTheme="minorHAnsi"/>
          <w:color w:val="000000" w:themeColor="text1"/>
          <w:lang w:val="es-ES_tradnl" w:eastAsia="en-US"/>
        </w:rPr>
      </w:pPr>
      <w:r w:rsidRPr="00DC2C79">
        <w:rPr>
          <w:color w:val="000000" w:themeColor="text1"/>
          <w:lang w:val="es-ES_tradnl"/>
        </w:rPr>
        <w:t xml:space="preserve">En un </w:t>
      </w:r>
      <w:r w:rsidRPr="00DC2C79">
        <w:rPr>
          <w:i/>
          <w:color w:val="000000" w:themeColor="text1"/>
          <w:lang w:val="es-ES_tradnl"/>
        </w:rPr>
        <w:t>cuarto momento</w:t>
      </w:r>
      <w:r w:rsidRPr="00DC2C79">
        <w:rPr>
          <w:color w:val="000000" w:themeColor="text1"/>
          <w:lang w:val="es-ES_tradnl"/>
        </w:rPr>
        <w:t xml:space="preserve">, el legislador expidió la Ley 1882 de 2018, con la finalidad de introducir cambios y ajustes para fortalecer la contratación pública. El artículo 5 modificó </w:t>
      </w:r>
      <w:r w:rsidRPr="00DC2C79">
        <w:rPr>
          <w:color w:val="000000" w:themeColor="text1"/>
          <w:lang w:val="es-ES_tradnl"/>
        </w:rPr>
        <w:lastRenderedPageBreak/>
        <w:t xml:space="preserve">el parágrafo 1º del artículo 5 de la Ley 1150 de 2007: </w:t>
      </w:r>
    </w:p>
    <w:p w:rsidR="00950538" w:rsidRPr="00DC2C79" w:rsidRDefault="00950538" w:rsidP="00950538">
      <w:pPr>
        <w:spacing w:line="276" w:lineRule="auto"/>
        <w:jc w:val="both"/>
        <w:rPr>
          <w:rFonts w:ascii="Arial" w:hAnsi="Arial" w:cs="Arial"/>
          <w:color w:val="000000" w:themeColor="text1"/>
          <w:sz w:val="22"/>
          <w:lang w:val="es-ES_tradnl"/>
        </w:rPr>
      </w:pPr>
    </w:p>
    <w:p w:rsidR="00950538" w:rsidRPr="00DC2C79" w:rsidRDefault="00950538" w:rsidP="00950538">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Artículo 5°. De la selección objetiva. </w:t>
      </w:r>
    </w:p>
    <w:p w:rsidR="00950538" w:rsidRPr="00DC2C79" w:rsidRDefault="00950538" w:rsidP="00950538">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 ) </w:t>
      </w:r>
    </w:p>
    <w:p w:rsidR="00950538" w:rsidRPr="00DC2C79" w:rsidRDefault="00950538" w:rsidP="00950538">
      <w:pPr>
        <w:ind w:left="709" w:right="709"/>
        <w:jc w:val="both"/>
        <w:rPr>
          <w:rFonts w:ascii="Arial" w:hAnsi="Arial" w:cs="Arial"/>
          <w:color w:val="000000" w:themeColor="text1"/>
          <w:sz w:val="21"/>
          <w:szCs w:val="21"/>
          <w:lang w:val="es-ES_tradnl"/>
        </w:rPr>
      </w:pPr>
    </w:p>
    <w:p w:rsidR="00950538" w:rsidRPr="00DC2C79" w:rsidRDefault="00950538" w:rsidP="00950538">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rsidR="00950538" w:rsidRPr="00DC2C79" w:rsidRDefault="00950538" w:rsidP="00950538">
      <w:pPr>
        <w:spacing w:line="276" w:lineRule="auto"/>
        <w:jc w:val="both"/>
        <w:rPr>
          <w:rFonts w:ascii="Arial" w:hAnsi="Arial" w:cs="Arial"/>
          <w:b/>
          <w:color w:val="000000" w:themeColor="text1"/>
          <w:sz w:val="22"/>
          <w:lang w:val="es-ES_tradnl"/>
        </w:rPr>
      </w:pPr>
    </w:p>
    <w:p w:rsidR="00950538" w:rsidRPr="00DC2C79" w:rsidRDefault="00950538" w:rsidP="00950538">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cuatro aspectos que se analizarán a continuación.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DC2C79">
        <w:rPr>
          <w:rFonts w:ascii="Arial" w:eastAsia="Calibri" w:hAnsi="Arial" w:cs="Arial"/>
          <w:color w:val="000000" w:themeColor="text1"/>
          <w:sz w:val="22"/>
          <w:lang w:val="es-ES_tradnl"/>
        </w:rPr>
        <w:t>de selección a través del sistema de subasta</w:t>
      </w:r>
      <w:r w:rsidRPr="00DC2C79">
        <w:rPr>
          <w:rStyle w:val="Refdenotaalpie"/>
          <w:rFonts w:ascii="Arial" w:eastAsia="Calibri" w:hAnsi="Arial" w:cs="Arial"/>
          <w:color w:val="000000" w:themeColor="text1"/>
          <w:sz w:val="22"/>
          <w:lang w:val="es-ES_tradnl"/>
        </w:rPr>
        <w:footnoteReference w:id="7"/>
      </w:r>
      <w:r w:rsidRPr="00DC2C79">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lastRenderedPageBreak/>
        <w:t>En efecto, la redacción de la norma permite que la Administración solicite a los oferentes subsanar y que estos lo hagan hasta antes del término del traslado del informe de evaluación: “</w:t>
      </w:r>
      <w:r w:rsidRPr="00DC2C79">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DC2C79">
        <w:rPr>
          <w:rFonts w:ascii="Arial" w:hAnsi="Arial" w:cs="Arial"/>
          <w:color w:val="000000" w:themeColor="text1"/>
          <w:sz w:val="22"/>
          <w:lang w:val="es-ES_tradnl"/>
        </w:rPr>
        <w:t xml:space="preserve">”.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DC2C79">
        <w:rPr>
          <w:rFonts w:ascii="Arial" w:hAnsi="Arial" w:cs="Arial"/>
          <w:color w:val="000000" w:themeColor="text1"/>
          <w:sz w:val="22"/>
          <w:lang w:val="es-ES_tradnl"/>
        </w:rPr>
        <w:t>subsanabilidad</w:t>
      </w:r>
      <w:proofErr w:type="spellEnd"/>
      <w:r w:rsidRPr="00DC2C79">
        <w:rPr>
          <w:rFonts w:ascii="Arial" w:hAnsi="Arial" w:cs="Arial"/>
          <w:color w:val="000000" w:themeColor="text1"/>
          <w:sz w:val="22"/>
          <w:lang w:val="es-ES_tradnl"/>
        </w:rPr>
        <w:t xml:space="preserve"> de las ofertas. </w:t>
      </w:r>
      <w:r w:rsidRPr="00DC2C79">
        <w:rPr>
          <w:rFonts w:ascii="Arial" w:hAnsi="Arial" w:cs="Arial"/>
          <w:i/>
          <w:iCs/>
          <w:color w:val="000000" w:themeColor="text1"/>
          <w:sz w:val="22"/>
          <w:lang w:val="es-ES_tradnl"/>
        </w:rPr>
        <w:t>Primera</w:t>
      </w:r>
      <w:r w:rsidRPr="00DC2C79">
        <w:rPr>
          <w:rFonts w:ascii="Arial" w:hAnsi="Arial" w:cs="Arial"/>
          <w:color w:val="000000" w:themeColor="text1"/>
          <w:sz w:val="22"/>
          <w:lang w:val="es-ES_tradn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DC2C79">
        <w:rPr>
          <w:rFonts w:ascii="Arial" w:hAnsi="Arial" w:cs="Arial"/>
          <w:i/>
          <w:iCs/>
          <w:color w:val="000000" w:themeColor="text1"/>
          <w:sz w:val="22"/>
          <w:lang w:val="es-ES_tradnl"/>
        </w:rPr>
        <w:t>segunda</w:t>
      </w:r>
      <w:r w:rsidRPr="00DC2C79">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w:t>
      </w:r>
      <w:r w:rsidRPr="00DC2C79">
        <w:rPr>
          <w:rFonts w:ascii="Arial" w:hAnsi="Arial" w:cs="Arial"/>
          <w:color w:val="000000" w:themeColor="text1"/>
          <w:sz w:val="22"/>
          <w:lang w:val="es-ES_tradnl"/>
        </w:rPr>
        <w:lastRenderedPageBreak/>
        <w:t xml:space="preserve">que subsane. Esta interpretación es más consistente con los principios de economía, transparencia y selección objetiva. </w:t>
      </w:r>
    </w:p>
    <w:p w:rsidR="00950538" w:rsidRPr="00DC2C79" w:rsidRDefault="00950538" w:rsidP="00950538">
      <w:pPr>
        <w:spacing w:before="120" w:after="120" w:line="276" w:lineRule="auto"/>
        <w:ind w:firstLine="709"/>
        <w:jc w:val="both"/>
        <w:rPr>
          <w:rFonts w:ascii="Arial" w:hAnsi="Arial" w:cs="Arial"/>
          <w:color w:val="000000" w:themeColor="text1"/>
          <w:sz w:val="22"/>
          <w:lang w:val="es-ES_tradnl"/>
        </w:rPr>
      </w:pPr>
      <w:r w:rsidRPr="00DC2C79">
        <w:rPr>
          <w:rFonts w:ascii="Arial" w:eastAsia="Calibri" w:hAnsi="Arial"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DC2C79">
        <w:rPr>
          <w:rFonts w:ascii="Arial" w:eastAsia="Calibri" w:hAnsi="Arial" w:cs="Arial"/>
          <w:i/>
          <w:iCs/>
          <w:color w:val="000000" w:themeColor="text1"/>
          <w:sz w:val="22"/>
          <w:lang w:val="es-ES_tradnl"/>
        </w:rPr>
        <w:t>«</w:t>
      </w:r>
      <w:r w:rsidRPr="00DC2C79">
        <w:rPr>
          <w:rFonts w:ascii="Arial" w:hAnsi="Arial" w:cs="Arial"/>
          <w:i/>
          <w:iCs/>
          <w:color w:val="000000" w:themeColor="text1"/>
          <w:sz w:val="22"/>
          <w:lang w:val="es-ES_tradnl"/>
        </w:rPr>
        <w:t>los proponentes no podrán acreditar circunstancias ocurridas con posterioridad al cierre del proceso»</w:t>
      </w:r>
      <w:r w:rsidRPr="00DC2C79">
        <w:rPr>
          <w:rFonts w:ascii="Arial" w:hAnsi="Arial" w:cs="Arial"/>
          <w:b/>
          <w:i/>
          <w:iCs/>
          <w:color w:val="000000" w:themeColor="text1"/>
          <w:sz w:val="22"/>
          <w:lang w:val="es-ES_tradnl"/>
        </w:rPr>
        <w:t>.</w:t>
      </w:r>
      <w:r w:rsidRPr="00DC2C79">
        <w:rPr>
          <w:rFonts w:ascii="Arial" w:hAnsi="Arial" w:cs="Arial"/>
          <w:b/>
          <w:color w:val="000000" w:themeColor="text1"/>
          <w:sz w:val="22"/>
          <w:lang w:val="es-ES_tradnl"/>
        </w:rPr>
        <w:t xml:space="preserve"> </w:t>
      </w:r>
      <w:r w:rsidRPr="00DC2C79">
        <w:rPr>
          <w:rFonts w:ascii="Arial" w:hAnsi="Arial" w:cs="Arial"/>
          <w:color w:val="000000" w:themeColor="text1"/>
          <w:sz w:val="22"/>
          <w:lang w:val="es-ES_tradnl"/>
        </w:rPr>
        <w:t xml:space="preserve">Lo anterior ofrece dos aspectos que merecen clarificación: </w:t>
      </w:r>
      <w:r w:rsidRPr="00DC2C79">
        <w:rPr>
          <w:rFonts w:ascii="Arial" w:hAnsi="Arial" w:cs="Arial"/>
          <w:i/>
          <w:iCs/>
          <w:color w:val="000000" w:themeColor="text1"/>
          <w:sz w:val="22"/>
          <w:lang w:val="es-ES_tradnl"/>
        </w:rPr>
        <w:t>primero</w:t>
      </w:r>
      <w:r w:rsidRPr="00DC2C79">
        <w:rPr>
          <w:rFonts w:ascii="Arial" w:hAnsi="Arial" w:cs="Arial"/>
          <w:color w:val="000000" w:themeColor="text1"/>
          <w:sz w:val="22"/>
          <w:lang w:val="es-ES_tradnl"/>
        </w:rPr>
        <w:t xml:space="preserve">, qué debe entenderse por circunstancias ocurridas con posterioridad; y </w:t>
      </w:r>
      <w:r w:rsidRPr="00DC2C79">
        <w:rPr>
          <w:rFonts w:ascii="Arial" w:hAnsi="Arial" w:cs="Arial"/>
          <w:i/>
          <w:iCs/>
          <w:color w:val="000000" w:themeColor="text1"/>
          <w:sz w:val="22"/>
          <w:lang w:val="es-ES_tradnl"/>
        </w:rPr>
        <w:t>segundo</w:t>
      </w:r>
      <w:r w:rsidRPr="00DC2C79">
        <w:rPr>
          <w:rFonts w:ascii="Arial" w:hAnsi="Arial" w:cs="Arial"/>
          <w:color w:val="000000" w:themeColor="text1"/>
          <w:sz w:val="22"/>
          <w:lang w:val="es-ES_tradnl"/>
        </w:rPr>
        <w:t>, qué es el cierre del proceso.</w:t>
      </w:r>
    </w:p>
    <w:p w:rsidR="00950538" w:rsidRPr="00DC2C79" w:rsidRDefault="00950538" w:rsidP="00950538">
      <w:pPr>
        <w:spacing w:line="276" w:lineRule="auto"/>
        <w:ind w:firstLine="709"/>
        <w:jc w:val="both"/>
        <w:rPr>
          <w:rFonts w:ascii="Arial" w:hAnsi="Arial" w:cs="Arial"/>
          <w:color w:val="000000" w:themeColor="text1"/>
          <w:sz w:val="22"/>
          <w:lang w:val="es-ES_tradnl"/>
        </w:rPr>
      </w:pPr>
      <w:r w:rsidRPr="00DC2C79">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DC2C79">
        <w:rPr>
          <w:rStyle w:val="Refdenotaalpie"/>
          <w:rFonts w:ascii="Arial" w:hAnsi="Arial" w:cs="Arial"/>
          <w:color w:val="000000" w:themeColor="text1"/>
          <w:sz w:val="22"/>
          <w:lang w:val="es-ES_tradnl"/>
        </w:rPr>
        <w:footnoteReference w:id="8"/>
      </w:r>
      <w:r w:rsidRPr="00DC2C79">
        <w:rPr>
          <w:rFonts w:ascii="Arial" w:hAnsi="Arial" w:cs="Arial"/>
          <w:color w:val="000000" w:themeColor="text1"/>
          <w:sz w:val="22"/>
          <w:lang w:val="es-ES_tradnl"/>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rsidR="00950538" w:rsidRPr="00DC2C79" w:rsidRDefault="00950538" w:rsidP="00950538">
      <w:pPr>
        <w:ind w:left="709" w:right="709"/>
        <w:jc w:val="both"/>
        <w:rPr>
          <w:rFonts w:ascii="Arial" w:hAnsi="Arial" w:cs="Arial"/>
          <w:color w:val="000000" w:themeColor="text1"/>
          <w:sz w:val="21"/>
          <w:szCs w:val="21"/>
          <w:lang w:val="es-ES_tradnl"/>
        </w:rPr>
      </w:pPr>
    </w:p>
    <w:p w:rsidR="00950538" w:rsidRPr="00DC2C79" w:rsidRDefault="00950538" w:rsidP="00950538">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Sin embargo, debe tenerse en cuenta que la última norma en cita -Decreto 2474 de 2008, aparte subrayado-, establece un límite a la </w:t>
      </w:r>
      <w:proofErr w:type="spellStart"/>
      <w:r w:rsidRPr="00DC2C79">
        <w:rPr>
          <w:rFonts w:ascii="Arial" w:hAnsi="Arial" w:cs="Arial"/>
          <w:color w:val="000000" w:themeColor="text1"/>
          <w:sz w:val="21"/>
          <w:szCs w:val="21"/>
          <w:lang w:val="es-ES_tradnl"/>
        </w:rPr>
        <w:t>subsanabilidad</w:t>
      </w:r>
      <w:proofErr w:type="spellEnd"/>
      <w:r w:rsidRPr="00DC2C79">
        <w:rPr>
          <w:rFonts w:ascii="Arial" w:hAnsi="Arial" w:cs="Arial"/>
          <w:color w:val="000000" w:themeColor="text1"/>
          <w:sz w:val="21"/>
          <w:szCs w:val="21"/>
          <w:lang w:val="es-ES_tradnl"/>
        </w:rPr>
        <w:t>, puesto que en cualquier caso debe referirse o recaer sobre circunstancias ocurridas antes del cierre del respectivo proceso, esto es, del vencimiento del plazo para presentar ofertas.</w:t>
      </w:r>
    </w:p>
    <w:p w:rsidR="00950538" w:rsidRPr="00DC2C79" w:rsidRDefault="00950538" w:rsidP="00950538">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w:t>
      </w:r>
    </w:p>
    <w:p w:rsidR="00950538" w:rsidRPr="00DC2C79" w:rsidRDefault="00950538" w:rsidP="00950538">
      <w:pPr>
        <w:ind w:left="709" w:right="709"/>
        <w:jc w:val="both"/>
        <w:rPr>
          <w:rFonts w:ascii="Arial" w:hAnsi="Arial" w:cs="Arial"/>
          <w:color w:val="000000" w:themeColor="text1"/>
          <w:sz w:val="21"/>
          <w:szCs w:val="21"/>
          <w:lang w:val="es-ES_tradnl"/>
        </w:rPr>
      </w:pPr>
      <w:r w:rsidRPr="00DC2C79">
        <w:rPr>
          <w:rFonts w:ascii="Arial" w:hAnsi="Arial" w:cs="Arial"/>
          <w:color w:val="000000" w:themeColor="text1"/>
          <w:sz w:val="21"/>
          <w:szCs w:val="21"/>
          <w:lang w:val="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w:t>
      </w:r>
      <w:r w:rsidRPr="00DC2C79">
        <w:rPr>
          <w:rFonts w:ascii="Arial" w:hAnsi="Arial" w:cs="Arial"/>
          <w:color w:val="000000" w:themeColor="text1"/>
          <w:sz w:val="21"/>
          <w:szCs w:val="21"/>
          <w:lang w:val="es-ES_tradnl"/>
        </w:rPr>
        <w:lastRenderedPageBreak/>
        <w:t>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DC2C79">
        <w:rPr>
          <w:rStyle w:val="Refdenotaalpie"/>
          <w:rFonts w:ascii="Arial" w:hAnsi="Arial" w:cs="Arial"/>
          <w:color w:val="000000" w:themeColor="text1"/>
          <w:sz w:val="21"/>
          <w:szCs w:val="21"/>
          <w:lang w:val="es-ES_tradnl"/>
        </w:rPr>
        <w:footnoteReference w:id="9"/>
      </w:r>
      <w:r w:rsidRPr="00DC2C79">
        <w:rPr>
          <w:rFonts w:ascii="Arial" w:hAnsi="Arial" w:cs="Arial"/>
          <w:color w:val="000000" w:themeColor="text1"/>
          <w:sz w:val="21"/>
          <w:szCs w:val="21"/>
          <w:lang w:val="es-ES_tradnl"/>
        </w:rPr>
        <w:t>.</w:t>
      </w:r>
    </w:p>
    <w:p w:rsidR="00950538" w:rsidRPr="00DC2C79" w:rsidRDefault="00950538" w:rsidP="00950538">
      <w:pPr>
        <w:spacing w:line="276" w:lineRule="auto"/>
        <w:jc w:val="both"/>
        <w:rPr>
          <w:rFonts w:ascii="Arial" w:hAnsi="Arial" w:cs="Arial"/>
          <w:color w:val="000000" w:themeColor="text1"/>
          <w:sz w:val="22"/>
          <w:lang w:val="es-ES_tradnl"/>
        </w:rPr>
      </w:pPr>
    </w:p>
    <w:p w:rsidR="00950538" w:rsidRPr="00DC2C79" w:rsidRDefault="00950538" w:rsidP="00950538">
      <w:pPr>
        <w:spacing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DC2C79">
        <w:rPr>
          <w:rFonts w:ascii="Arial" w:eastAsia="Calibri" w:hAnsi="Arial" w:cs="Arial"/>
          <w:color w:val="000000" w:themeColor="text1"/>
          <w:sz w:val="22"/>
          <w:lang w:val="es-ES_tradnl"/>
        </w:rPr>
        <w:t>subsanabilidad</w:t>
      </w:r>
      <w:proofErr w:type="spellEnd"/>
      <w:r w:rsidRPr="00DC2C79">
        <w:rPr>
          <w:rFonts w:ascii="Arial" w:eastAsia="Calibri" w:hAnsi="Arial" w:cs="Arial"/>
          <w:color w:val="000000" w:themeColor="text1"/>
          <w:sz w:val="22"/>
          <w:lang w:val="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Por ejemplo: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C2C79">
        <w:rPr>
          <w:rStyle w:val="Refdenotaalpie"/>
          <w:rFonts w:ascii="Arial" w:eastAsia="Calibri" w:hAnsi="Arial" w:cs="Arial"/>
          <w:color w:val="000000" w:themeColor="text1"/>
          <w:sz w:val="22"/>
          <w:lang w:val="es-ES_tradnl"/>
        </w:rPr>
        <w:footnoteReference w:id="10"/>
      </w:r>
      <w:r w:rsidRPr="00DC2C79">
        <w:rPr>
          <w:rFonts w:ascii="Arial" w:eastAsia="Calibri" w:hAnsi="Arial" w:cs="Arial"/>
          <w:color w:val="000000" w:themeColor="text1"/>
          <w:sz w:val="22"/>
          <w:lang w:val="es-ES_tradnl"/>
        </w:rPr>
        <w:t xml:space="preserve">;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lastRenderedPageBreak/>
        <w:t>iii) si un oferente no anexó el certificado de existencia y representación legal, el documento aportado con posterioridad debe dar cuenta de que la sociedad existe desde antes del cierre del proceso</w:t>
      </w:r>
      <w:r w:rsidRPr="00DC2C79">
        <w:rPr>
          <w:rStyle w:val="Refdenotaalpie"/>
          <w:rFonts w:ascii="Arial" w:eastAsia="Calibri" w:hAnsi="Arial" w:cs="Arial"/>
          <w:color w:val="000000" w:themeColor="text1"/>
          <w:sz w:val="22"/>
          <w:lang w:val="es-ES_tradnl"/>
        </w:rPr>
        <w:footnoteReference w:id="11"/>
      </w:r>
      <w:r w:rsidRPr="00DC2C79">
        <w:rPr>
          <w:rFonts w:ascii="Arial" w:eastAsia="Calibri" w:hAnsi="Arial" w:cs="Arial"/>
          <w:color w:val="000000" w:themeColor="text1"/>
          <w:sz w:val="22"/>
          <w:lang w:val="es-ES_tradnl"/>
        </w:rPr>
        <w:t xml:space="preserve">;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iv) si un oferente olvidó adjuntar un certificado que demuestra un título universitario, el documento, aunque tenga fecha posterior al cierre del proceso, debe acreditar que el título académico se obtuvo con anterioridad al cierre del proceso;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proofErr w:type="gramStart"/>
      <w:r w:rsidRPr="00DC2C79">
        <w:rPr>
          <w:rFonts w:ascii="Arial" w:eastAsia="Calibri" w:hAnsi="Arial" w:cs="Arial"/>
          <w:color w:val="000000" w:themeColor="text1"/>
          <w:sz w:val="22"/>
          <w:lang w:val="es-ES_tradnl"/>
        </w:rPr>
        <w:t>vi</w:t>
      </w:r>
      <w:proofErr w:type="gramEnd"/>
      <w:r w:rsidRPr="00DC2C79">
        <w:rPr>
          <w:rFonts w:ascii="Arial" w:eastAsia="Calibri" w:hAnsi="Arial" w:cs="Arial"/>
          <w:color w:val="000000" w:themeColor="text1"/>
          <w:sz w:val="22"/>
          <w:lang w:val="es-ES_tradnl"/>
        </w:rPr>
        <w:t xml:space="preserve">) si el oferente olvidó firmar la propuesta o presentar una copia de ella, puede subsanar sin que se entienda que acreditó una circunstancia ocurrida con posterioridad al cierre del proceso.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C2C79">
        <w:rPr>
          <w:rFonts w:ascii="Arial" w:eastAsia="Calibri" w:hAnsi="Arial" w:cs="Arial"/>
          <w:color w:val="000000" w:themeColor="text1"/>
          <w:sz w:val="22"/>
          <w:vertAlign w:val="superscript"/>
          <w:lang w:val="es-ES_tradnl"/>
        </w:rPr>
        <w:footnoteReference w:id="12"/>
      </w:r>
      <w:r w:rsidRPr="00DC2C79">
        <w:rPr>
          <w:rFonts w:ascii="Arial" w:eastAsia="Calibri" w:hAnsi="Arial" w:cs="Arial"/>
          <w:color w:val="000000" w:themeColor="text1"/>
          <w:sz w:val="22"/>
          <w:lang w:val="es-ES_tradnl"/>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rPr>
      </w:pPr>
      <w:r w:rsidRPr="00DC2C79">
        <w:rPr>
          <w:rFonts w:ascii="Arial" w:eastAsia="Calibri" w:hAnsi="Arial" w:cs="Arial"/>
          <w:color w:val="000000" w:themeColor="text1"/>
          <w:sz w:val="22"/>
          <w:lang w:val="es-ES_tradnl"/>
        </w:rPr>
        <w:t xml:space="preserve">Esta tesis fue reiterada por la Agencia Nacional de Contratación Pública – Colombia Compra Eficiente en el concepto con radicado </w:t>
      </w:r>
      <w:r w:rsidRPr="00DC2C79">
        <w:rPr>
          <w:rFonts w:ascii="Arial" w:eastAsia="Calibri" w:hAnsi="Arial" w:cs="Arial"/>
          <w:color w:val="000000" w:themeColor="text1"/>
          <w:sz w:val="22"/>
        </w:rPr>
        <w:t xml:space="preserve">4201912000008198, en el que indicó que las certificaciones de experiencia que no otorgaran puntaje podían aportarse corregidos o </w:t>
      </w:r>
      <w:r w:rsidRPr="00DC2C79">
        <w:rPr>
          <w:rFonts w:ascii="Arial" w:eastAsia="Calibri" w:hAnsi="Arial" w:cs="Arial"/>
          <w:color w:val="000000" w:themeColor="text1"/>
          <w:sz w:val="22"/>
        </w:rPr>
        <w:lastRenderedPageBreak/>
        <w:t xml:space="preserve">incluso, en reemplazo de las que no cumplieran el requisito habilitante, siempre que en los documentos aportados en la etapa de </w:t>
      </w:r>
      <w:proofErr w:type="spellStart"/>
      <w:r w:rsidRPr="00DC2C79">
        <w:rPr>
          <w:rFonts w:ascii="Arial" w:eastAsia="Calibri" w:hAnsi="Arial" w:cs="Arial"/>
          <w:color w:val="000000" w:themeColor="text1"/>
          <w:sz w:val="22"/>
        </w:rPr>
        <w:t>subsanabilidad</w:t>
      </w:r>
      <w:proofErr w:type="spellEnd"/>
      <w:r w:rsidRPr="00DC2C79">
        <w:rPr>
          <w:rFonts w:ascii="Arial" w:eastAsia="Calibri" w:hAnsi="Arial" w:cs="Arial"/>
          <w:color w:val="000000" w:themeColor="text1"/>
          <w:sz w:val="22"/>
        </w:rPr>
        <w:t xml:space="preserve"> no se acreditara experiencia adquirida con posterioridad al cierre del procedimiento de selección. Por tanto, señaló que </w:t>
      </w:r>
      <w:proofErr w:type="gramStart"/>
      <w:r w:rsidRPr="00DC2C79">
        <w:rPr>
          <w:rFonts w:ascii="Arial" w:eastAsia="Calibri" w:hAnsi="Arial" w:cs="Arial"/>
          <w:color w:val="000000" w:themeColor="text1"/>
          <w:sz w:val="22"/>
        </w:rPr>
        <w:t>«[</w:t>
      </w:r>
      <w:proofErr w:type="gramEnd"/>
      <w:r w:rsidRPr="00DC2C79">
        <w:rPr>
          <w:rFonts w:ascii="Arial" w:eastAsia="Calibri" w:hAnsi="Arial" w:cs="Arial"/>
          <w:color w:val="000000" w:themeColor="text1"/>
          <w:sz w:val="22"/>
        </w:rPr>
        <w:t xml:space="preserve">…]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CO"/>
        </w:rPr>
      </w:pPr>
      <w:r w:rsidRPr="00DC2C79">
        <w:rPr>
          <w:rFonts w:ascii="Arial" w:eastAsia="Calibri" w:hAnsi="Arial" w:cs="Arial"/>
          <w:color w:val="000000" w:themeColor="text1"/>
          <w:sz w:val="22"/>
        </w:rPr>
        <w:t xml:space="preserve">Una reiteración de la postura de esta Subdirección, según la cual la </w:t>
      </w:r>
      <w:proofErr w:type="spellStart"/>
      <w:r w:rsidRPr="00DC2C79">
        <w:rPr>
          <w:rFonts w:ascii="Arial" w:eastAsia="Calibri" w:hAnsi="Arial" w:cs="Arial"/>
          <w:color w:val="000000" w:themeColor="text1"/>
          <w:sz w:val="22"/>
        </w:rPr>
        <w:t>subsanabilidad</w:t>
      </w:r>
      <w:proofErr w:type="spellEnd"/>
      <w:r w:rsidRPr="00DC2C79">
        <w:rPr>
          <w:rFonts w:ascii="Arial" w:eastAsia="Calibri" w:hAnsi="Arial" w:cs="Arial"/>
          <w:color w:val="000000" w:themeColor="text1"/>
          <w:sz w:val="22"/>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rsidR="00950538" w:rsidRPr="00DC2C79" w:rsidRDefault="00950538" w:rsidP="00950538">
      <w:pPr>
        <w:spacing w:before="120" w:after="120"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DC2C79">
        <w:rPr>
          <w:rFonts w:ascii="Arial" w:eastAsia="Calibri" w:hAnsi="Arial" w:cs="Arial"/>
          <w:iCs/>
          <w:color w:val="000000" w:themeColor="text1"/>
          <w:sz w:val="22"/>
          <w:lang w:val="es-ES_tradnl"/>
        </w:rPr>
        <w:t>documento o información</w:t>
      </w:r>
      <w:r w:rsidRPr="00DC2C79">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rsidR="00950538" w:rsidRPr="00DC2C79" w:rsidRDefault="00950538" w:rsidP="00950538">
      <w:pPr>
        <w:spacing w:line="276" w:lineRule="auto"/>
        <w:ind w:firstLine="709"/>
        <w:jc w:val="both"/>
        <w:rPr>
          <w:rFonts w:ascii="Arial" w:eastAsia="Calibri" w:hAnsi="Arial" w:cs="Arial"/>
          <w:color w:val="000000" w:themeColor="text1"/>
          <w:sz w:val="22"/>
          <w:lang w:val="es-ES_tradnl"/>
        </w:rPr>
      </w:pPr>
      <w:r w:rsidRPr="00DC2C79">
        <w:rPr>
          <w:rFonts w:ascii="Arial" w:eastAsia="Calibri" w:hAnsi="Arial" w:cs="Arial"/>
          <w:color w:val="000000" w:themeColor="text1"/>
          <w:sz w:val="22"/>
          <w:lang w:val="es-ES_tradnl"/>
        </w:rPr>
        <w:t xml:space="preserve">Finalmente, el parágrafo 3 del artículo 5 de la Ley 1882 de 2018 determinó, de manera expresa, que «la no entrega de la garantía de seriedad junto con la propuesta no será subsanable y será causal de rechazo de la misma», dejando claro que se trata de un </w:t>
      </w:r>
      <w:r w:rsidRPr="00DC2C79">
        <w:rPr>
          <w:rFonts w:ascii="Arial" w:eastAsia="Calibri" w:hAnsi="Arial" w:cs="Arial"/>
          <w:color w:val="000000" w:themeColor="text1"/>
          <w:sz w:val="22"/>
          <w:lang w:val="es-ES_tradnl"/>
        </w:rPr>
        <w:lastRenderedPageBreak/>
        <w:t>documento de obligatoria presentación junto con la propuesta y que materializa los principios de seriedad e irrevocabilidad de la oferta.</w:t>
      </w:r>
    </w:p>
    <w:p w:rsidR="00950538" w:rsidRPr="00783992" w:rsidRDefault="00950538" w:rsidP="00950538">
      <w:pPr>
        <w:spacing w:line="276" w:lineRule="auto"/>
        <w:jc w:val="both"/>
        <w:rPr>
          <w:rFonts w:ascii="Arial" w:eastAsia="Calibri" w:hAnsi="Arial" w:cs="Arial"/>
          <w:b/>
          <w:bCs/>
          <w:color w:val="000000" w:themeColor="text1"/>
          <w:sz w:val="22"/>
        </w:rPr>
      </w:pPr>
    </w:p>
    <w:p w:rsidR="00950538" w:rsidRPr="00783992" w:rsidRDefault="00950538" w:rsidP="00950538">
      <w:pPr>
        <w:tabs>
          <w:tab w:val="left" w:pos="426"/>
        </w:tabs>
        <w:spacing w:line="276" w:lineRule="auto"/>
        <w:jc w:val="both"/>
        <w:rPr>
          <w:rFonts w:ascii="Arial" w:eastAsia="Calibri" w:hAnsi="Arial" w:cs="Arial"/>
          <w:b/>
          <w:color w:val="000000" w:themeColor="text1"/>
          <w:sz w:val="22"/>
        </w:rPr>
      </w:pPr>
      <w:r w:rsidRPr="00783992">
        <w:rPr>
          <w:rFonts w:ascii="Arial" w:eastAsia="Calibri" w:hAnsi="Arial" w:cs="Arial"/>
          <w:b/>
          <w:bCs/>
          <w:color w:val="000000" w:themeColor="text1"/>
          <w:sz w:val="22"/>
        </w:rPr>
        <w:t xml:space="preserve">2.3. </w:t>
      </w:r>
      <w:proofErr w:type="spellStart"/>
      <w:r w:rsidRPr="00783992">
        <w:rPr>
          <w:rFonts w:ascii="Arial" w:eastAsia="Calibri" w:hAnsi="Arial" w:cs="Arial"/>
          <w:b/>
          <w:color w:val="000000" w:themeColor="text1"/>
          <w:sz w:val="22"/>
        </w:rPr>
        <w:t>Subsanabilidad</w:t>
      </w:r>
      <w:proofErr w:type="spellEnd"/>
      <w:r w:rsidRPr="00783992">
        <w:rPr>
          <w:rFonts w:ascii="Arial" w:eastAsia="Calibri" w:hAnsi="Arial" w:cs="Arial"/>
          <w:b/>
          <w:color w:val="000000" w:themeColor="text1"/>
          <w:sz w:val="22"/>
        </w:rPr>
        <w:t xml:space="preserve"> de la capacidad residual y procedencia del rechazo de la oferta</w:t>
      </w:r>
    </w:p>
    <w:p w:rsidR="00950538" w:rsidRPr="00783992" w:rsidRDefault="00950538" w:rsidP="00950538">
      <w:pPr>
        <w:spacing w:line="276" w:lineRule="auto"/>
        <w:jc w:val="both"/>
        <w:rPr>
          <w:rFonts w:ascii="Arial" w:hAnsi="Arial" w:cs="Arial"/>
          <w:color w:val="000000" w:themeColor="text1"/>
          <w:sz w:val="22"/>
        </w:rPr>
      </w:pPr>
    </w:p>
    <w:p w:rsidR="00950538" w:rsidRPr="00783992" w:rsidRDefault="00950538" w:rsidP="00950538">
      <w:pPr>
        <w:spacing w:after="120" w:line="276" w:lineRule="auto"/>
        <w:jc w:val="both"/>
        <w:rPr>
          <w:rFonts w:ascii="Arial" w:hAnsi="Arial" w:cs="Arial"/>
          <w:color w:val="000000" w:themeColor="text1"/>
          <w:sz w:val="22"/>
        </w:rPr>
      </w:pPr>
      <w:r w:rsidRPr="00783992">
        <w:rPr>
          <w:rFonts w:ascii="Arial" w:eastAsia="Calibri" w:hAnsi="Arial" w:cs="Arial"/>
          <w:color w:val="000000" w:themeColor="text1"/>
          <w:sz w:val="22"/>
        </w:rPr>
        <w:t xml:space="preserve">La Agencia </w:t>
      </w:r>
      <w:r w:rsidRPr="00783992">
        <w:rPr>
          <w:rFonts w:ascii="Arial" w:eastAsia="Calibri" w:hAnsi="Arial" w:cs="Arial"/>
          <w:bCs/>
          <w:color w:val="000000" w:themeColor="text1"/>
          <w:sz w:val="22"/>
        </w:rPr>
        <w:t xml:space="preserve">Nacional de Contratación Pública – Colombia Compra Eficiente estudió el tema en el concepto No. 4201913000004724 del 21 de agosto de 2019, reiterado y desarrollado en el concepto No. </w:t>
      </w:r>
      <w:r>
        <w:rPr>
          <w:rFonts w:ascii="Arial" w:eastAsia="Calibri" w:hAnsi="Arial" w:cs="Arial"/>
          <w:bCs/>
          <w:color w:val="000000" w:themeColor="text1"/>
          <w:sz w:val="22"/>
        </w:rPr>
        <w:t>C-033</w:t>
      </w:r>
      <w:r w:rsidRPr="00783992">
        <w:rPr>
          <w:rFonts w:ascii="Arial" w:eastAsia="Calibri" w:hAnsi="Arial" w:cs="Arial"/>
          <w:bCs/>
          <w:color w:val="000000" w:themeColor="text1"/>
          <w:sz w:val="22"/>
        </w:rPr>
        <w:t xml:space="preserve"> del 13 de marzo de 2020</w:t>
      </w:r>
      <w:r>
        <w:rPr>
          <w:rFonts w:ascii="Arial" w:eastAsia="Calibri" w:hAnsi="Arial" w:cs="Arial"/>
          <w:bCs/>
          <w:color w:val="000000" w:themeColor="text1"/>
          <w:sz w:val="22"/>
        </w:rPr>
        <w:t xml:space="preserve"> y C-133 del 30 de marzo de 2020</w:t>
      </w:r>
      <w:r w:rsidRPr="00783992">
        <w:rPr>
          <w:rFonts w:ascii="Arial" w:eastAsia="Calibri" w:hAnsi="Arial" w:cs="Arial"/>
          <w:bCs/>
          <w:color w:val="000000" w:themeColor="text1"/>
          <w:sz w:val="22"/>
        </w:rPr>
        <w:t xml:space="preserve">. </w:t>
      </w:r>
      <w:r w:rsidRPr="00783992">
        <w:rPr>
          <w:rFonts w:ascii="Arial" w:hAnsi="Arial" w:cs="Arial"/>
          <w:color w:val="000000" w:themeColor="text1"/>
          <w:sz w:val="22"/>
        </w:rPr>
        <w:t>La tesis desarrollada se expone a continuación</w:t>
      </w:r>
      <w:r w:rsidRPr="00783992">
        <w:rPr>
          <w:rFonts w:ascii="Arial" w:eastAsia="Calibri" w:hAnsi="Arial" w:cs="Arial"/>
          <w:bCs/>
          <w:color w:val="000000" w:themeColor="text1"/>
          <w:sz w:val="22"/>
        </w:rPr>
        <w:t>.</w:t>
      </w:r>
    </w:p>
    <w:p w:rsidR="00950538" w:rsidRPr="00783992" w:rsidRDefault="00950538" w:rsidP="00950538">
      <w:pPr>
        <w:tabs>
          <w:tab w:val="left" w:pos="426"/>
        </w:tabs>
        <w:spacing w:before="120" w:after="120" w:line="276" w:lineRule="auto"/>
        <w:ind w:firstLine="709"/>
        <w:jc w:val="both"/>
        <w:rPr>
          <w:rFonts w:ascii="Arial" w:hAnsi="Arial" w:cs="Arial"/>
          <w:color w:val="000000" w:themeColor="text1"/>
          <w:sz w:val="22"/>
          <w:szCs w:val="20"/>
        </w:rPr>
      </w:pPr>
      <w:r w:rsidRPr="00783992">
        <w:rPr>
          <w:rFonts w:ascii="Arial" w:hAnsi="Arial" w:cs="Arial"/>
          <w:color w:val="000000" w:themeColor="text1"/>
          <w:sz w:val="22"/>
          <w:szCs w:val="20"/>
        </w:rPr>
        <w:t xml:space="preserve">El Documento Base o Pliego </w:t>
      </w:r>
      <w:r w:rsidRPr="00005C9A">
        <w:rPr>
          <w:rFonts w:ascii="Arial" w:hAnsi="Arial" w:cs="Arial"/>
          <w:color w:val="000000" w:themeColor="text1"/>
          <w:sz w:val="22"/>
          <w:szCs w:val="20"/>
        </w:rPr>
        <w:t>Tipo, en el numeral 3.11 establece como requisito habilitante la capacidad residual, definida por el Decreto 1082 de</w:t>
      </w:r>
      <w:r w:rsidRPr="00783992">
        <w:rPr>
          <w:rFonts w:ascii="Arial" w:hAnsi="Arial" w:cs="Arial"/>
          <w:color w:val="000000" w:themeColor="text1"/>
          <w:sz w:val="22"/>
          <w:szCs w:val="20"/>
        </w:rPr>
        <w:t xml:space="preserve"> 2015, en el artículo 2.2.1.1.1.3.1., como la: «Aptitud de un oferente para cumplir oportuna y cabalmente con el objeto de un contrato de obra, sin que sus otros compromisos contractuales afecten su habilidad de cumplir con el contrato que está en proceso de selección</w:t>
      </w:r>
      <w:r w:rsidRPr="00783992">
        <w:rPr>
          <w:rFonts w:ascii="Arial" w:hAnsi="Arial" w:cs="Arial"/>
          <w:iCs/>
          <w:color w:val="000000" w:themeColor="text1"/>
          <w:sz w:val="22"/>
          <w:szCs w:val="20"/>
        </w:rPr>
        <w:t>»</w:t>
      </w:r>
      <w:r w:rsidRPr="00783992">
        <w:rPr>
          <w:rFonts w:ascii="Arial" w:hAnsi="Arial" w:cs="Arial"/>
          <w:color w:val="000000" w:themeColor="text1"/>
          <w:sz w:val="22"/>
          <w:szCs w:val="20"/>
        </w:rPr>
        <w:t>. Ahora, el artículo 72 de la Ley 1682 de 2013 indica que para calcular la capacidad residual de contratación pública se deberán tener en cuenta los factores de experiencia, capacidad financiera, capacidad técnica y capacidad de organización, y, en consecuencia, faculta al Gobierno para reglamentar la materia</w:t>
      </w:r>
      <w:r w:rsidRPr="00783992">
        <w:rPr>
          <w:rStyle w:val="Refdenotaalpie"/>
          <w:rFonts w:ascii="Arial" w:hAnsi="Arial" w:cs="Arial"/>
          <w:color w:val="000000" w:themeColor="text1"/>
          <w:sz w:val="22"/>
          <w:szCs w:val="20"/>
        </w:rPr>
        <w:footnoteReference w:id="13"/>
      </w:r>
      <w:r w:rsidRPr="00783992">
        <w:rPr>
          <w:rFonts w:ascii="Arial" w:hAnsi="Arial" w:cs="Arial"/>
          <w:color w:val="000000" w:themeColor="text1"/>
          <w:sz w:val="22"/>
          <w:szCs w:val="20"/>
        </w:rPr>
        <w:t xml:space="preserve">. </w:t>
      </w:r>
    </w:p>
    <w:p w:rsidR="00950538" w:rsidRPr="00783992" w:rsidRDefault="00950538" w:rsidP="00950538">
      <w:pPr>
        <w:tabs>
          <w:tab w:val="left" w:pos="426"/>
        </w:tabs>
        <w:spacing w:before="120" w:after="120" w:line="276" w:lineRule="auto"/>
        <w:ind w:firstLine="709"/>
        <w:jc w:val="both"/>
        <w:rPr>
          <w:rFonts w:ascii="Arial" w:hAnsi="Arial" w:cs="Arial"/>
          <w:color w:val="000000" w:themeColor="text1"/>
          <w:sz w:val="22"/>
          <w:szCs w:val="20"/>
        </w:rPr>
      </w:pPr>
      <w:r w:rsidRPr="00783992">
        <w:rPr>
          <w:rFonts w:ascii="Arial" w:hAnsi="Arial" w:cs="Arial"/>
          <w:color w:val="000000" w:themeColor="text1"/>
          <w:sz w:val="22"/>
          <w:szCs w:val="20"/>
        </w:rPr>
        <w:t>Por su parte, el artículo 2.2.1.1.1.1.6.4. del Decreto 1082 de 2015</w:t>
      </w:r>
      <w:r w:rsidRPr="00783992">
        <w:rPr>
          <w:rStyle w:val="Refdenotaalpie"/>
          <w:rFonts w:ascii="Arial" w:hAnsi="Arial" w:cs="Arial"/>
          <w:color w:val="000000" w:themeColor="text1"/>
          <w:sz w:val="22"/>
          <w:szCs w:val="20"/>
        </w:rPr>
        <w:footnoteReference w:id="14"/>
      </w:r>
      <w:r w:rsidRPr="00783992">
        <w:rPr>
          <w:rFonts w:ascii="Arial" w:hAnsi="Arial" w:cs="Arial"/>
          <w:color w:val="000000" w:themeColor="text1"/>
          <w:sz w:val="22"/>
          <w:szCs w:val="20"/>
        </w:rPr>
        <w:t xml:space="preserve">, con fundamento en la facultad otorgada al Gobierno, establece que el interesado en celebrar contratos de </w:t>
      </w:r>
      <w:r w:rsidRPr="00783992">
        <w:rPr>
          <w:rFonts w:ascii="Arial" w:hAnsi="Arial" w:cs="Arial"/>
          <w:color w:val="000000" w:themeColor="text1"/>
          <w:sz w:val="22"/>
          <w:szCs w:val="20"/>
        </w:rPr>
        <w:lastRenderedPageBreak/>
        <w:t xml:space="preserve">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 </w:t>
      </w:r>
    </w:p>
    <w:p w:rsidR="00950538" w:rsidRPr="00783992" w:rsidRDefault="00950538" w:rsidP="00950538">
      <w:pPr>
        <w:tabs>
          <w:tab w:val="left" w:pos="426"/>
        </w:tabs>
        <w:spacing w:before="120" w:after="120" w:line="276" w:lineRule="auto"/>
        <w:ind w:firstLine="709"/>
        <w:jc w:val="both"/>
        <w:rPr>
          <w:rFonts w:ascii="Arial" w:hAnsi="Arial" w:cs="Arial"/>
          <w:color w:val="000000" w:themeColor="text1"/>
          <w:sz w:val="22"/>
          <w:szCs w:val="20"/>
        </w:rPr>
      </w:pPr>
      <w:r w:rsidRPr="00783992">
        <w:rPr>
          <w:rFonts w:ascii="Arial" w:hAnsi="Arial" w:cs="Arial"/>
          <w:color w:val="000000" w:themeColor="text1"/>
          <w:sz w:val="22"/>
          <w:szCs w:val="20"/>
        </w:rPr>
        <w:t>El artículo 6 de la Ley 1150 de 2007 establece que todas las personas naturales o extranjeras domiciliadas o con sucursal en Colombia, que aspiren celebrar contratos con entidades, deberán estar inscritas en el Registro único de Proponentes de la Cámara de Comercio con jurisdicción en su domicilio principal</w:t>
      </w:r>
      <w:r w:rsidRPr="00783992">
        <w:rPr>
          <w:rStyle w:val="Refdenotaalpie"/>
          <w:rFonts w:ascii="Arial" w:hAnsi="Arial" w:cs="Arial"/>
          <w:color w:val="000000" w:themeColor="text1"/>
          <w:sz w:val="22"/>
          <w:szCs w:val="20"/>
        </w:rPr>
        <w:footnoteReference w:id="15"/>
      </w:r>
      <w:r w:rsidRPr="00783992">
        <w:rPr>
          <w:rFonts w:ascii="Arial" w:hAnsi="Arial" w:cs="Arial"/>
          <w:color w:val="000000" w:themeColor="text1"/>
          <w:sz w:val="22"/>
          <w:szCs w:val="20"/>
        </w:rPr>
        <w:t xml:space="preserve">. En dicho registro constará la 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en los procedimientos de contratación, no podrán exigir, ni los proponentes aportar, documentación que deba utilizarse para efectuar la inscripción del registro. </w:t>
      </w:r>
    </w:p>
    <w:p w:rsidR="00950538" w:rsidRPr="00783992" w:rsidRDefault="00950538" w:rsidP="00950538">
      <w:pPr>
        <w:tabs>
          <w:tab w:val="left" w:pos="426"/>
        </w:tabs>
        <w:spacing w:before="120" w:after="120" w:line="276" w:lineRule="auto"/>
        <w:ind w:firstLine="709"/>
        <w:jc w:val="both"/>
        <w:rPr>
          <w:rFonts w:ascii="Arial" w:hAnsi="Arial" w:cs="Arial"/>
          <w:color w:val="000000" w:themeColor="text1"/>
          <w:sz w:val="22"/>
          <w:szCs w:val="20"/>
        </w:rPr>
      </w:pPr>
      <w:r w:rsidRPr="00783992">
        <w:rPr>
          <w:rFonts w:ascii="Arial" w:hAnsi="Arial" w:cs="Arial"/>
          <w:color w:val="000000" w:themeColor="text1"/>
          <w:sz w:val="22"/>
          <w:szCs w:val="20"/>
        </w:rPr>
        <w:t xml:space="preserve">Conforme a lo anterior, la Ley 1150 de 2007 establece que los requisitos habilitantes de experiencia, capacidad jurídica, financiera y de organización se acreditarán conforme a </w:t>
      </w:r>
      <w:r w:rsidRPr="00783992">
        <w:rPr>
          <w:rFonts w:ascii="Arial" w:hAnsi="Arial" w:cs="Arial"/>
          <w:color w:val="000000" w:themeColor="text1"/>
          <w:sz w:val="22"/>
          <w:szCs w:val="20"/>
        </w:rPr>
        <w:lastRenderedPageBreak/>
        <w:t xml:space="preserve">lo contenido en el Registro Único de </w:t>
      </w:r>
      <w:proofErr w:type="gramStart"/>
      <w:r w:rsidRPr="00783992">
        <w:rPr>
          <w:rFonts w:ascii="Arial" w:hAnsi="Arial" w:cs="Arial"/>
          <w:color w:val="000000" w:themeColor="text1"/>
          <w:sz w:val="22"/>
          <w:szCs w:val="20"/>
        </w:rPr>
        <w:t>Proponentes</w:t>
      </w:r>
      <w:r>
        <w:rPr>
          <w:rFonts w:ascii="Arial" w:hAnsi="Arial" w:cs="Arial"/>
          <w:color w:val="000000" w:themeColor="text1"/>
          <w:sz w:val="22"/>
          <w:szCs w:val="20"/>
        </w:rPr>
        <w:t xml:space="preserve"> </w:t>
      </w:r>
      <w:r w:rsidRPr="00783992">
        <w:rPr>
          <w:rFonts w:ascii="Arial" w:hAnsi="Arial" w:cs="Arial"/>
          <w:color w:val="000000" w:themeColor="text1"/>
          <w:sz w:val="22"/>
          <w:szCs w:val="20"/>
        </w:rPr>
        <w:t xml:space="preserve"> ̶</w:t>
      </w:r>
      <w:proofErr w:type="gramEnd"/>
      <w:r w:rsidRPr="00783992">
        <w:rPr>
          <w:rFonts w:ascii="Arial" w:hAnsi="Arial" w:cs="Arial"/>
          <w:color w:val="000000" w:themeColor="text1"/>
          <w:sz w:val="22"/>
          <w:szCs w:val="20"/>
        </w:rPr>
        <w:t xml:space="preserve"> RUP ̶ . Con respecto a la acreditación de la capacidad residual, como su acreditación no se realiza conforme al contenido del RUP, las entidades deberán exigir los documentos previstos en el artículo 2.2.1.1.1.6.4. </w:t>
      </w:r>
      <w:proofErr w:type="gramStart"/>
      <w:r w:rsidRPr="00783992">
        <w:rPr>
          <w:rFonts w:ascii="Arial" w:hAnsi="Arial" w:cs="Arial"/>
          <w:color w:val="000000" w:themeColor="text1"/>
          <w:sz w:val="22"/>
          <w:szCs w:val="20"/>
        </w:rPr>
        <w:t>del</w:t>
      </w:r>
      <w:proofErr w:type="gramEnd"/>
      <w:r w:rsidRPr="00783992">
        <w:rPr>
          <w:rFonts w:ascii="Arial" w:hAnsi="Arial" w:cs="Arial"/>
          <w:color w:val="000000" w:themeColor="text1"/>
          <w:sz w:val="22"/>
          <w:szCs w:val="20"/>
        </w:rPr>
        <w:t xml:space="preserve"> Decreto 1082 de 2015, siempre y cuando no sea información que el proponente haya aportado, con anterioridad, para la inscripción en el RUP. </w:t>
      </w:r>
    </w:p>
    <w:p w:rsidR="00950538" w:rsidRPr="00783992" w:rsidRDefault="00950538" w:rsidP="00950538">
      <w:pPr>
        <w:tabs>
          <w:tab w:val="left" w:pos="426"/>
        </w:tabs>
        <w:spacing w:before="120" w:after="120" w:line="276" w:lineRule="auto"/>
        <w:ind w:firstLine="709"/>
        <w:jc w:val="both"/>
        <w:rPr>
          <w:rFonts w:ascii="Arial" w:hAnsi="Arial" w:cs="Arial"/>
          <w:color w:val="000000" w:themeColor="text1"/>
          <w:sz w:val="22"/>
          <w:szCs w:val="20"/>
        </w:rPr>
      </w:pPr>
      <w:r w:rsidRPr="00783992">
        <w:rPr>
          <w:rFonts w:ascii="Arial" w:hAnsi="Arial" w:cs="Arial"/>
          <w:color w:val="000000" w:themeColor="text1"/>
          <w:sz w:val="22"/>
          <w:szCs w:val="20"/>
        </w:rPr>
        <w:t>Explicada la normativa que regula la acredi</w:t>
      </w:r>
      <w:r>
        <w:rPr>
          <w:rFonts w:ascii="Arial" w:hAnsi="Arial" w:cs="Arial"/>
          <w:color w:val="000000" w:themeColor="text1"/>
          <w:sz w:val="22"/>
          <w:szCs w:val="20"/>
        </w:rPr>
        <w:t xml:space="preserve">tación de la capacidad residual y </w:t>
      </w:r>
      <w:r w:rsidRPr="00783992">
        <w:rPr>
          <w:rFonts w:ascii="Arial" w:hAnsi="Arial" w:cs="Arial"/>
          <w:color w:val="000000" w:themeColor="text1"/>
          <w:sz w:val="22"/>
          <w:szCs w:val="20"/>
        </w:rPr>
        <w:t xml:space="preserve">el régimen de </w:t>
      </w:r>
      <w:proofErr w:type="spellStart"/>
      <w:r w:rsidRPr="00783992">
        <w:rPr>
          <w:rFonts w:ascii="Arial" w:hAnsi="Arial" w:cs="Arial"/>
          <w:color w:val="000000" w:themeColor="text1"/>
          <w:sz w:val="22"/>
          <w:szCs w:val="20"/>
        </w:rPr>
        <w:t>subsanabilidad</w:t>
      </w:r>
      <w:proofErr w:type="spellEnd"/>
      <w:r w:rsidRPr="00783992">
        <w:rPr>
          <w:rFonts w:ascii="Arial" w:hAnsi="Arial" w:cs="Arial"/>
          <w:color w:val="000000" w:themeColor="text1"/>
          <w:sz w:val="22"/>
          <w:szCs w:val="20"/>
        </w:rPr>
        <w:t xml:space="preserve">, de acuerdo con lo previsto por la Ley 1882 de 2018, </w:t>
      </w:r>
      <w:r>
        <w:rPr>
          <w:rFonts w:ascii="Arial" w:hAnsi="Arial" w:cs="Arial"/>
          <w:color w:val="000000" w:themeColor="text1"/>
          <w:sz w:val="22"/>
          <w:szCs w:val="20"/>
        </w:rPr>
        <w:t xml:space="preserve">a continuación se determinará si </w:t>
      </w:r>
      <w:r w:rsidRPr="00783992">
        <w:rPr>
          <w:rFonts w:ascii="Arial" w:hAnsi="Arial" w:cs="Arial"/>
          <w:color w:val="000000" w:themeColor="text1"/>
          <w:sz w:val="22"/>
          <w:szCs w:val="20"/>
        </w:rPr>
        <w:t>es posible que la entidad convocante requiera subsanar información para el cálculo de la capacidad residual.</w:t>
      </w:r>
    </w:p>
    <w:p w:rsidR="00950538" w:rsidRPr="00783992" w:rsidRDefault="00950538" w:rsidP="00950538">
      <w:pPr>
        <w:tabs>
          <w:tab w:val="left" w:pos="426"/>
        </w:tabs>
        <w:spacing w:before="120" w:after="120" w:line="276" w:lineRule="auto"/>
        <w:ind w:firstLine="709"/>
        <w:jc w:val="both"/>
        <w:rPr>
          <w:rFonts w:ascii="Arial" w:eastAsia="Calibri" w:hAnsi="Arial" w:cs="Arial"/>
          <w:color w:val="000000" w:themeColor="text1"/>
          <w:sz w:val="22"/>
        </w:rPr>
      </w:pPr>
      <w:r w:rsidRPr="00783992">
        <w:rPr>
          <w:rFonts w:ascii="Arial" w:hAnsi="Arial" w:cs="Arial"/>
          <w:color w:val="000000" w:themeColor="text1"/>
          <w:sz w:val="22"/>
          <w:szCs w:val="20"/>
        </w:rPr>
        <w:t>E</w:t>
      </w:r>
      <w:r w:rsidRPr="00783992">
        <w:rPr>
          <w:rFonts w:ascii="Arial" w:eastAsia="Calibri" w:hAnsi="Arial" w:cs="Arial"/>
          <w:color w:val="000000" w:themeColor="text1"/>
          <w:sz w:val="22"/>
        </w:rPr>
        <w:t>l artículo 5 de la Ley 1882 de 2018 modificó el parágrafo 1 del artículo 5 de la Ley 1150 de 2007</w:t>
      </w:r>
      <w:r>
        <w:rPr>
          <w:rFonts w:ascii="Arial" w:eastAsia="Calibri" w:hAnsi="Arial" w:cs="Arial"/>
          <w:color w:val="000000" w:themeColor="text1"/>
          <w:sz w:val="22"/>
        </w:rPr>
        <w:t>;</w:t>
      </w:r>
      <w:r w:rsidRPr="00783992">
        <w:rPr>
          <w:rFonts w:ascii="Arial" w:eastAsia="Calibri" w:hAnsi="Arial" w:cs="Arial"/>
          <w:color w:val="000000" w:themeColor="text1"/>
          <w:sz w:val="22"/>
        </w:rPr>
        <w:t xml:space="preserve"> sin embargo, no cambió sustancialmente el sentido original de la Ley 1150 de 2007, porque mantuvo el criterio para determinar si la falta de un documento o la ausencia de un requisito es o no subsanable, lo que depende de si el requisito afecta la asignación de puntaje, por lo que se mantuvo la regla general de que todo es subsanable, salvo los requisitos que inciden en la asignación de puntaje. </w:t>
      </w:r>
    </w:p>
    <w:p w:rsidR="00950538" w:rsidRPr="00783992" w:rsidRDefault="00950538" w:rsidP="00950538">
      <w:pPr>
        <w:tabs>
          <w:tab w:val="left" w:pos="426"/>
        </w:tabs>
        <w:spacing w:before="120" w:after="120" w:line="276" w:lineRule="auto"/>
        <w:ind w:firstLine="709"/>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El «Documento Base o Pliego Tipo», en el numeral 1.6, «Reglas de </w:t>
      </w:r>
      <w:proofErr w:type="spellStart"/>
      <w:r w:rsidRPr="00783992">
        <w:rPr>
          <w:rFonts w:ascii="Arial" w:eastAsia="Calibri" w:hAnsi="Arial" w:cs="Arial"/>
          <w:color w:val="000000" w:themeColor="text1"/>
          <w:sz w:val="22"/>
        </w:rPr>
        <w:t>subsanabilidad</w:t>
      </w:r>
      <w:proofErr w:type="spellEnd"/>
      <w:r w:rsidRPr="00783992">
        <w:rPr>
          <w:rFonts w:ascii="Arial" w:eastAsia="Calibri" w:hAnsi="Arial" w:cs="Arial"/>
          <w:color w:val="000000" w:themeColor="text1"/>
          <w:sz w:val="22"/>
        </w:rPr>
        <w:t>»</w:t>
      </w:r>
      <w:r w:rsidRPr="00783992">
        <w:rPr>
          <w:rStyle w:val="Refdenotaalpie"/>
          <w:rFonts w:ascii="Arial" w:eastAsia="Calibri" w:hAnsi="Arial" w:cs="Arial"/>
          <w:color w:val="000000" w:themeColor="text1"/>
          <w:sz w:val="22"/>
        </w:rPr>
        <w:footnoteReference w:id="16"/>
      </w:r>
      <w:r w:rsidRPr="00783992">
        <w:rPr>
          <w:rFonts w:ascii="Arial" w:eastAsia="Calibri" w:hAnsi="Arial" w:cs="Arial"/>
          <w:color w:val="000000" w:themeColor="text1"/>
          <w:sz w:val="22"/>
        </w:rPr>
        <w:t xml:space="preserve">, reitera lo previsto en el artículo 5 de Ley 1882 de 2018, en el sentido que las entidades deberán solicitar a los proponentes las aclaraciones, precisiones o solicitud de documentos que acreditan requisitos que son subsanables. Además, incluyó que en el evento en que la entidad advierta la ausencia de requisitos o la falta de documentos referentes a la futura contratación o al proponente, no necesarios para la comparación de las propuestas y no los haya requerido en el informe de evaluación, podrá </w:t>
      </w:r>
      <w:r w:rsidRPr="00783992">
        <w:rPr>
          <w:rFonts w:ascii="Arial" w:eastAsia="Calibri" w:hAnsi="Arial" w:cs="Arial"/>
          <w:color w:val="000000" w:themeColor="text1"/>
          <w:sz w:val="22"/>
        </w:rPr>
        <w:lastRenderedPageBreak/>
        <w:t>requerir al proponente, otorgándole un término igual al establecido para el traslado del informe de evaluación, con el fin de que los allegue.</w:t>
      </w:r>
    </w:p>
    <w:p w:rsidR="00950538" w:rsidRPr="00783992" w:rsidRDefault="00950538" w:rsidP="00950538">
      <w:pPr>
        <w:spacing w:before="120" w:after="120" w:line="276" w:lineRule="auto"/>
        <w:ind w:firstLine="708"/>
        <w:jc w:val="both"/>
        <w:rPr>
          <w:rFonts w:ascii="Arial" w:hAnsi="Arial" w:cs="Arial"/>
          <w:color w:val="000000" w:themeColor="text1"/>
          <w:sz w:val="22"/>
          <w:szCs w:val="20"/>
          <w:lang w:val="es-CO"/>
        </w:rPr>
      </w:pPr>
      <w:bookmarkStart w:id="27" w:name="_Hlk35001355"/>
      <w:r w:rsidRPr="00783992">
        <w:rPr>
          <w:rFonts w:ascii="Arial" w:hAnsi="Arial" w:cs="Arial"/>
          <w:color w:val="000000" w:themeColor="text1"/>
          <w:sz w:val="22"/>
          <w:szCs w:val="20"/>
        </w:rPr>
        <w:t>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efecto en los pliegos de condiciones» y, además, el «</w:t>
      </w:r>
      <w:r w:rsidRPr="00783992">
        <w:rPr>
          <w:rFonts w:ascii="Arial" w:eastAsia="Calibri" w:hAnsi="Arial" w:cs="Arial"/>
          <w:color w:val="000000" w:themeColor="text1"/>
          <w:sz w:val="22"/>
        </w:rPr>
        <w:t>Documento Base o Pliego Tipo»</w:t>
      </w:r>
      <w:r w:rsidRPr="00783992">
        <w:rPr>
          <w:rFonts w:ascii="Arial" w:hAnsi="Arial" w:cs="Arial"/>
          <w:color w:val="000000" w:themeColor="text1"/>
          <w:sz w:val="22"/>
          <w:szCs w:val="20"/>
        </w:rPr>
        <w:t>, de igual forma lo reconoce como un requisito habilitante, al indicar que «e</w:t>
      </w:r>
      <w:r w:rsidRPr="00783992">
        <w:rPr>
          <w:rFonts w:ascii="Arial" w:hAnsi="Arial" w:cs="Arial"/>
          <w:color w:val="000000" w:themeColor="text1"/>
          <w:sz w:val="22"/>
          <w:szCs w:val="20"/>
          <w:lang w:val="es-CO"/>
        </w:rPr>
        <w:t xml:space="preserve">l Proponente será hábil si la capacidad residual del Proponente (CRP) es mayor o igual a la capacidad residual de Proceso de Contratación». En este sentido, como la capacidad residual es un requisito habilitante que </w:t>
      </w:r>
      <w:r w:rsidRPr="00783992">
        <w:rPr>
          <w:rFonts w:ascii="Arial" w:hAnsi="Arial" w:cs="Arial"/>
          <w:i/>
          <w:iCs/>
          <w:color w:val="000000" w:themeColor="text1"/>
          <w:sz w:val="22"/>
          <w:szCs w:val="20"/>
          <w:lang w:val="es-CO"/>
        </w:rPr>
        <w:t>no otorga puntaje</w:t>
      </w:r>
      <w:r w:rsidRPr="00783992">
        <w:rPr>
          <w:rFonts w:ascii="Arial" w:hAnsi="Arial" w:cs="Arial"/>
          <w:color w:val="000000" w:themeColor="text1"/>
          <w:sz w:val="22"/>
          <w:szCs w:val="20"/>
          <w:lang w:val="es-CO"/>
        </w:rPr>
        <w:t xml:space="preserve"> es susceptible de subsanarse por parte de los proponentes</w:t>
      </w:r>
      <w:bookmarkEnd w:id="27"/>
      <w:r w:rsidRPr="00783992">
        <w:rPr>
          <w:rFonts w:ascii="Arial" w:hAnsi="Arial" w:cs="Arial"/>
          <w:color w:val="000000" w:themeColor="text1"/>
          <w:sz w:val="22"/>
          <w:szCs w:val="20"/>
          <w:lang w:val="es-CO"/>
        </w:rPr>
        <w:t xml:space="preserve">. </w:t>
      </w:r>
    </w:p>
    <w:p w:rsidR="00950538" w:rsidRPr="00783992" w:rsidRDefault="00950538" w:rsidP="00950538">
      <w:pPr>
        <w:spacing w:before="120" w:after="120" w:line="276" w:lineRule="auto"/>
        <w:ind w:firstLine="708"/>
        <w:jc w:val="both"/>
        <w:rPr>
          <w:rFonts w:ascii="Arial" w:hAnsi="Arial" w:cs="Arial"/>
          <w:color w:val="000000" w:themeColor="text1"/>
          <w:sz w:val="22"/>
          <w:szCs w:val="20"/>
          <w:lang w:val="es-CO"/>
        </w:rPr>
      </w:pPr>
      <w:r w:rsidRPr="00783992">
        <w:rPr>
          <w:rFonts w:ascii="Arial" w:hAnsi="Arial" w:cs="Arial"/>
          <w:color w:val="000000" w:themeColor="text1"/>
          <w:sz w:val="22"/>
          <w:szCs w:val="20"/>
          <w:lang w:val="es-CO"/>
        </w:rPr>
        <w:t xml:space="preserve">Ahora, en virtud del artículo 6 de la Ley 1150 de 2007 las entidades no podrán solicitar documentos que hayan sido incluidos para la inscripción de la información contenida en el RUP. Si bien la capacidad residual, en principio, no se calcula totalmente con la información contenida en el RUP, la entidad deberá verificar si con la información que el proponente presentó para acreditar los requisitos habilitantes de experiencia, capacidad organizacional, financiera y jurídica se puede calcular la capacidad residual. En el evento en que la información aportada para inscribirse en el RUP sea la misma para calcular la capacidad residual del proponente, la entidad no deberá requerir dicha información, toda vez que lo contenido en el RUP es plena prueba. </w:t>
      </w:r>
    </w:p>
    <w:p w:rsidR="00950538" w:rsidRPr="00783992" w:rsidRDefault="00950538" w:rsidP="00950538">
      <w:pPr>
        <w:spacing w:before="120" w:after="120" w:line="276" w:lineRule="auto"/>
        <w:ind w:firstLine="708"/>
        <w:jc w:val="both"/>
        <w:rPr>
          <w:rFonts w:ascii="Arial" w:hAnsi="Arial" w:cs="Arial"/>
          <w:color w:val="000000" w:themeColor="text1"/>
          <w:sz w:val="22"/>
          <w:szCs w:val="20"/>
        </w:rPr>
      </w:pPr>
      <w:r w:rsidRPr="00783992">
        <w:rPr>
          <w:rFonts w:ascii="Arial" w:hAnsi="Arial" w:cs="Arial"/>
          <w:color w:val="000000" w:themeColor="text1"/>
          <w:sz w:val="22"/>
          <w:szCs w:val="20"/>
          <w:lang w:val="es-CO"/>
        </w:rPr>
        <w:t>Por su parte, si la información aportada para inscribirse en el RUP no incluye información que se necesita para calcular la capacidad residual, la entidad podrá solicitarla al proponente para</w:t>
      </w:r>
      <w:r w:rsidRPr="00783992">
        <w:rPr>
          <w:rFonts w:ascii="Arial" w:hAnsi="Arial" w:cs="Arial"/>
          <w:color w:val="000000" w:themeColor="text1"/>
          <w:sz w:val="22"/>
          <w:szCs w:val="20"/>
        </w:rPr>
        <w:t xml:space="preserve"> que la aporte a más tardar hasta el término de traslado del informe de evaluación. En todo caso, todos los documentos requeridos para acreditar la capacidad residual son subsanables, por tratarse de un requisito que no otorga puntaje.</w:t>
      </w:r>
    </w:p>
    <w:p w:rsidR="00950538" w:rsidRPr="00783992" w:rsidRDefault="00950538" w:rsidP="00950538">
      <w:pPr>
        <w:spacing w:line="276" w:lineRule="auto"/>
        <w:ind w:firstLine="709"/>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Ahora, usted pregunta si una entidad puede rechazar una oferta con fundamento en que no se presentaron los documentos necesarios para calcular la capacidad residual. El Consejo de Estado destacó la imposibilidad que tienen las entidades de rechazar ofertas por falta de requisitos y documentos que no se hayan solicitado de forma expresa, clara y precisa o por meros formalismos: </w:t>
      </w:r>
    </w:p>
    <w:p w:rsidR="00950538" w:rsidRPr="00783992" w:rsidRDefault="00950538" w:rsidP="00950538">
      <w:pPr>
        <w:ind w:right="709"/>
        <w:jc w:val="both"/>
        <w:rPr>
          <w:rFonts w:ascii="Arial" w:eastAsia="Calibri" w:hAnsi="Arial" w:cs="Arial"/>
          <w:color w:val="000000" w:themeColor="text1"/>
          <w:sz w:val="21"/>
          <w:szCs w:val="21"/>
        </w:rPr>
      </w:pPr>
    </w:p>
    <w:p w:rsidR="00950538" w:rsidRPr="00783992" w:rsidRDefault="00950538" w:rsidP="00950538">
      <w:pPr>
        <w:ind w:left="709" w:right="709"/>
        <w:jc w:val="both"/>
        <w:rPr>
          <w:rFonts w:ascii="Arial" w:eastAsia="Calibri" w:hAnsi="Arial" w:cs="Arial"/>
          <w:color w:val="000000" w:themeColor="text1"/>
          <w:sz w:val="21"/>
          <w:szCs w:val="21"/>
        </w:rPr>
      </w:pPr>
      <w:r w:rsidRPr="00783992">
        <w:rPr>
          <w:rFonts w:ascii="Arial" w:eastAsia="Calibri" w:hAnsi="Arial" w:cs="Arial"/>
          <w:color w:val="000000" w:themeColor="text1"/>
          <w:sz w:val="21"/>
          <w:szCs w:val="21"/>
        </w:rPr>
        <w:t xml:space="preserve">Se tiene entonces que la objetividad en la selección, impone que la descalificación de las ofertas provenga únicamente de la ponderación de los resultados derivados de un riguroso proceso de evaluación plenamente ajustado a la ley y al pliego de condiciones, cuyos resultados además de ser conocidos por cada proponente ―en cumplimiento de los principios de publicidad y transparencia― también sean conocidos por sus competidores con </w:t>
      </w:r>
      <w:r w:rsidRPr="00783992">
        <w:rPr>
          <w:rFonts w:ascii="Arial" w:eastAsia="Calibri" w:hAnsi="Arial" w:cs="Arial"/>
          <w:color w:val="000000" w:themeColor="text1"/>
          <w:sz w:val="21"/>
          <w:szCs w:val="21"/>
        </w:rPr>
        <w:lastRenderedPageBreak/>
        <w:t>el propósito de controvertirlos, independientemente del mecanismo de calificación que haya sido planteado en los pliegos o términos de referencia</w:t>
      </w:r>
      <w:r w:rsidRPr="00783992">
        <w:rPr>
          <w:rStyle w:val="Refdenotaalpie"/>
          <w:rFonts w:ascii="Arial" w:eastAsia="Calibri" w:hAnsi="Arial" w:cs="Arial"/>
          <w:color w:val="000000" w:themeColor="text1"/>
          <w:sz w:val="21"/>
          <w:szCs w:val="21"/>
        </w:rPr>
        <w:footnoteReference w:id="17"/>
      </w:r>
      <w:r w:rsidRPr="00783992">
        <w:rPr>
          <w:rFonts w:ascii="Arial" w:eastAsia="Calibri" w:hAnsi="Arial" w:cs="Arial"/>
          <w:color w:val="000000" w:themeColor="text1"/>
          <w:sz w:val="21"/>
          <w:szCs w:val="21"/>
        </w:rPr>
        <w:t>.</w:t>
      </w:r>
    </w:p>
    <w:p w:rsidR="00950538" w:rsidRPr="00783992" w:rsidRDefault="00950538" w:rsidP="00950538">
      <w:pPr>
        <w:spacing w:line="276" w:lineRule="auto"/>
        <w:ind w:firstLine="709"/>
        <w:jc w:val="both"/>
        <w:rPr>
          <w:rFonts w:ascii="Arial" w:eastAsia="Calibri" w:hAnsi="Arial" w:cs="Arial"/>
          <w:color w:val="000000" w:themeColor="text1"/>
          <w:sz w:val="22"/>
          <w:szCs w:val="21"/>
        </w:rPr>
      </w:pPr>
    </w:p>
    <w:p w:rsidR="00950538" w:rsidRPr="00783992" w:rsidRDefault="00950538" w:rsidP="00950538">
      <w:pPr>
        <w:tabs>
          <w:tab w:val="left" w:pos="709"/>
        </w:tabs>
        <w:spacing w:line="276" w:lineRule="auto"/>
        <w:ind w:firstLine="709"/>
        <w:jc w:val="both"/>
        <w:rPr>
          <w:rFonts w:ascii="Arial" w:eastAsia="Calibri" w:hAnsi="Arial" w:cs="Arial"/>
          <w:color w:val="000000" w:themeColor="text1"/>
          <w:sz w:val="22"/>
        </w:rPr>
      </w:pPr>
      <w:r w:rsidRPr="00783992">
        <w:rPr>
          <w:rFonts w:ascii="Arial" w:eastAsia="Calibri" w:hAnsi="Arial" w:cs="Arial"/>
          <w:color w:val="000000" w:themeColor="text1"/>
          <w:sz w:val="22"/>
        </w:rPr>
        <w:t xml:space="preserve">En este sentido, la Administración no tiene la facultad de descalificar una oferta de forma discrecional, toda vez que solo es posible por las causas previamente definidas en la ley o en el pliego de condiciones. Sin embargo, las causales definidas por la entidad deben cumplir los requisitos de razonabilidad y proporcionalidad, so pena de que no sean válidas dentro del procedimiento de contratación. </w:t>
      </w:r>
    </w:p>
    <w:p w:rsidR="00950538" w:rsidRPr="00C44678" w:rsidRDefault="00950538" w:rsidP="00950538">
      <w:pPr>
        <w:tabs>
          <w:tab w:val="left" w:pos="709"/>
        </w:tabs>
        <w:spacing w:before="120" w:line="276" w:lineRule="auto"/>
        <w:ind w:firstLine="709"/>
        <w:jc w:val="both"/>
        <w:rPr>
          <w:rFonts w:ascii="Arial" w:hAnsi="Arial" w:cs="Arial"/>
          <w:color w:val="000000" w:themeColor="text1"/>
          <w:sz w:val="22"/>
        </w:rPr>
      </w:pPr>
      <w:bookmarkStart w:id="28" w:name="_Hlk35001393"/>
      <w:r w:rsidRPr="00783992">
        <w:rPr>
          <w:rFonts w:ascii="Arial" w:eastAsia="Calibri" w:hAnsi="Arial" w:cs="Arial"/>
          <w:color w:val="000000" w:themeColor="text1"/>
          <w:sz w:val="22"/>
        </w:rPr>
        <w:t>En relación con el rechazo de las ofertas en los procedimientos adelantados por el Pliego Tipo, en el «numeral 1.15 Causales de rechazo» se enuncian de forma taxativa las causales de rechazo, sin incluir la falta de documentos para calcular la capacidad residual</w:t>
      </w:r>
      <w:r w:rsidRPr="00783992">
        <w:rPr>
          <w:rStyle w:val="Refdenotaalpie"/>
          <w:rFonts w:ascii="Arial" w:eastAsia="Calibri" w:hAnsi="Arial" w:cs="Arial"/>
          <w:color w:val="000000" w:themeColor="text1"/>
          <w:sz w:val="22"/>
        </w:rPr>
        <w:footnoteReference w:id="18"/>
      </w:r>
      <w:r w:rsidRPr="00783992">
        <w:rPr>
          <w:rFonts w:ascii="Arial" w:eastAsia="Calibri" w:hAnsi="Arial" w:cs="Arial"/>
          <w:color w:val="000000" w:themeColor="text1"/>
          <w:sz w:val="22"/>
        </w:rPr>
        <w:t xml:space="preserve">. Ahora, como la entidad tiene restringida la posibilidad de incluir nuevas </w:t>
      </w:r>
      <w:r w:rsidRPr="00783992">
        <w:rPr>
          <w:rFonts w:ascii="Arial" w:eastAsia="Calibri" w:hAnsi="Arial" w:cs="Arial"/>
          <w:color w:val="000000" w:themeColor="text1"/>
          <w:sz w:val="22"/>
        </w:rPr>
        <w:lastRenderedPageBreak/>
        <w:t xml:space="preserve">causales, no será posible rechazarla por este motivo, sino que la entidad debe solicitarle al proponente que subsane los documentos requeridos, y si no lo hace </w:t>
      </w:r>
      <w:r w:rsidRPr="00783992">
        <w:rPr>
          <w:rFonts w:ascii="Arial" w:hAnsi="Arial" w:cs="Arial"/>
          <w:color w:val="000000" w:themeColor="text1"/>
          <w:sz w:val="22"/>
        </w:rPr>
        <w:t>se rechazará su oferta. En este sentido, el «Documento base o Pliego Tipo» reiteró, en el numeral «1.15 CAUSALES DE RECHAZO», la causal del literal E), la facultad que tiene la entidad de rechazar la oferta cuando el proponente no aporta la información solicitada a más tardar dentro del traslado del informe de evaluación.</w:t>
      </w:r>
      <w:r w:rsidRPr="00783992">
        <w:rPr>
          <w:rFonts w:ascii="Arial" w:eastAsia="Calibri" w:hAnsi="Arial" w:cs="Arial"/>
          <w:color w:val="000000" w:themeColor="text1"/>
          <w:sz w:val="22"/>
        </w:rPr>
        <w:t xml:space="preserve"> </w:t>
      </w:r>
      <w:bookmarkEnd w:id="28"/>
    </w:p>
    <w:p w:rsidR="00950538" w:rsidRPr="00005C9A" w:rsidRDefault="00950538" w:rsidP="00950538">
      <w:pPr>
        <w:tabs>
          <w:tab w:val="left" w:pos="709"/>
        </w:tabs>
        <w:spacing w:before="120" w:line="276" w:lineRule="auto"/>
        <w:ind w:firstLine="709"/>
        <w:jc w:val="both"/>
      </w:pPr>
      <w:r w:rsidRPr="00005C9A">
        <w:rPr>
          <w:rFonts w:ascii="Arial" w:hAnsi="Arial" w:cs="Arial"/>
          <w:sz w:val="22"/>
        </w:rPr>
        <w:t xml:space="preserve">Ahora bien, en el </w:t>
      </w:r>
      <w:r>
        <w:rPr>
          <w:rFonts w:ascii="Arial" w:hAnsi="Arial" w:cs="Arial"/>
          <w:sz w:val="22"/>
        </w:rPr>
        <w:t>«</w:t>
      </w:r>
      <w:r w:rsidRPr="00005C9A">
        <w:rPr>
          <w:rFonts w:ascii="Arial" w:hAnsi="Arial" w:cs="Arial"/>
          <w:sz w:val="22"/>
        </w:rPr>
        <w:t>Documento Base o Pliego Tipo</w:t>
      </w:r>
      <w:r>
        <w:rPr>
          <w:rFonts w:ascii="Arial" w:hAnsi="Arial" w:cs="Arial"/>
          <w:sz w:val="22"/>
        </w:rPr>
        <w:t>»</w:t>
      </w:r>
      <w:r w:rsidRPr="00005C9A">
        <w:rPr>
          <w:rFonts w:ascii="Arial" w:hAnsi="Arial" w:cs="Arial"/>
          <w:sz w:val="22"/>
        </w:rPr>
        <w:t xml:space="preserve"> se incluye el numeral 1.11, referido a la información inexacta:</w:t>
      </w:r>
    </w:p>
    <w:p w:rsidR="00950538" w:rsidRPr="003F3784" w:rsidRDefault="00950538" w:rsidP="00950538">
      <w:pPr>
        <w:pStyle w:val="Textoindependiente"/>
        <w:spacing w:before="2"/>
        <w:rPr>
          <w:sz w:val="25"/>
        </w:rPr>
      </w:pPr>
    </w:p>
    <w:p w:rsidR="00950538" w:rsidRPr="00C44678" w:rsidRDefault="00950538" w:rsidP="00950538">
      <w:pPr>
        <w:ind w:left="709" w:right="709"/>
        <w:rPr>
          <w:rFonts w:ascii="Arial" w:hAnsi="Arial" w:cs="Arial"/>
          <w:b/>
          <w:sz w:val="20"/>
        </w:rPr>
      </w:pPr>
      <w:r w:rsidRPr="00C44678">
        <w:rPr>
          <w:rFonts w:ascii="Arial" w:hAnsi="Arial" w:cs="Arial"/>
          <w:b/>
          <w:sz w:val="20"/>
        </w:rPr>
        <w:t>1.11 INFORMACIÓN INEXACTA</w:t>
      </w:r>
    </w:p>
    <w:p w:rsidR="00950538" w:rsidRPr="00C44678" w:rsidRDefault="00950538" w:rsidP="00950538">
      <w:pPr>
        <w:pStyle w:val="Textoindependiente"/>
        <w:spacing w:before="4"/>
        <w:ind w:left="709" w:right="709"/>
        <w:rPr>
          <w:b/>
          <w:sz w:val="26"/>
        </w:rPr>
      </w:pPr>
    </w:p>
    <w:p w:rsidR="00950538" w:rsidRPr="00C44678" w:rsidRDefault="00950538" w:rsidP="00950538">
      <w:pPr>
        <w:ind w:left="709" w:right="709"/>
        <w:jc w:val="both"/>
        <w:rPr>
          <w:rFonts w:ascii="Arial" w:hAnsi="Arial" w:cs="Arial"/>
          <w:sz w:val="20"/>
        </w:rPr>
      </w:pPr>
      <w:r w:rsidRPr="00C44678">
        <w:rPr>
          <w:rFonts w:ascii="Arial" w:hAnsi="Arial" w:cs="Arial"/>
          <w:sz w:val="20"/>
        </w:rPr>
        <w:t>La Entidad se reserva el derecho de verificar integralmente la información aportada por el Proponente. Para esto, puede acudir a las autoridades, personas, empresas o entidades respectivas.</w:t>
      </w:r>
    </w:p>
    <w:p w:rsidR="00950538" w:rsidRPr="00C44678" w:rsidRDefault="00950538" w:rsidP="00950538">
      <w:pPr>
        <w:pStyle w:val="Textoindependiente"/>
        <w:spacing w:before="11"/>
        <w:ind w:left="709" w:right="709"/>
      </w:pPr>
    </w:p>
    <w:p w:rsidR="00950538" w:rsidRPr="00C44678" w:rsidRDefault="00950538" w:rsidP="00950538">
      <w:pPr>
        <w:ind w:left="709" w:right="709"/>
        <w:jc w:val="both"/>
        <w:rPr>
          <w:rFonts w:ascii="Arial" w:hAnsi="Arial" w:cs="Arial"/>
          <w:sz w:val="20"/>
        </w:rPr>
      </w:pPr>
      <w:r w:rsidRPr="00C44678">
        <w:rPr>
          <w:rFonts w:ascii="Arial" w:hAnsi="Arial" w:cs="Arial"/>
          <w:sz w:val="20"/>
        </w:rPr>
        <w:t>Cuando exista inconsistencia entre la información suministrada por el Proponente y la efectivamente verificada por la Entidad, la información que pretende demostrar el Proponente se tendrá por no acreditada.</w:t>
      </w:r>
    </w:p>
    <w:p w:rsidR="00950538" w:rsidRPr="00C44678" w:rsidRDefault="00950538" w:rsidP="00950538">
      <w:pPr>
        <w:pStyle w:val="Textoindependiente"/>
        <w:spacing w:before="11"/>
        <w:ind w:left="709" w:right="709"/>
      </w:pPr>
    </w:p>
    <w:p w:rsidR="00950538" w:rsidRPr="00C44678" w:rsidRDefault="00950538" w:rsidP="00950538">
      <w:pPr>
        <w:ind w:left="709" w:right="709"/>
        <w:jc w:val="both"/>
        <w:rPr>
          <w:rFonts w:ascii="Arial" w:hAnsi="Arial" w:cs="Arial"/>
          <w:sz w:val="20"/>
        </w:rPr>
      </w:pPr>
      <w:r w:rsidRPr="00C44678">
        <w:rPr>
          <w:rFonts w:ascii="Arial" w:hAnsi="Arial" w:cs="Arial"/>
          <w:sz w:val="20"/>
        </w:rPr>
        <w:t>La Entidad compulsará copias a las autoridades competentes en aquellos eventos en los cuales la información aportada tenga inconsistencias sobre las cuales pueda existir una presunta falsedad, sin que el Proponente haya demostrado lo contrario, y procederá a rechazar la</w:t>
      </w:r>
      <w:r w:rsidRPr="00C44678">
        <w:rPr>
          <w:rFonts w:ascii="Arial" w:hAnsi="Arial" w:cs="Arial"/>
          <w:spacing w:val="-3"/>
          <w:sz w:val="20"/>
        </w:rPr>
        <w:t xml:space="preserve"> </w:t>
      </w:r>
      <w:r w:rsidRPr="00C44678">
        <w:rPr>
          <w:rFonts w:ascii="Arial" w:hAnsi="Arial" w:cs="Arial"/>
          <w:sz w:val="20"/>
        </w:rPr>
        <w:t>oferta.</w:t>
      </w:r>
    </w:p>
    <w:p w:rsidR="00950538" w:rsidRPr="003F3784" w:rsidRDefault="00950538" w:rsidP="00950538">
      <w:pPr>
        <w:pStyle w:val="Textoindependiente"/>
        <w:spacing w:before="4"/>
        <w:rPr>
          <w:sz w:val="25"/>
        </w:rPr>
      </w:pPr>
    </w:p>
    <w:p w:rsidR="00950538" w:rsidRDefault="00950538" w:rsidP="00950538">
      <w:pPr>
        <w:pStyle w:val="Textoindependiente"/>
        <w:spacing w:before="3" w:line="276" w:lineRule="auto"/>
        <w:ind w:firstLine="709"/>
        <w:jc w:val="both"/>
        <w:rPr>
          <w:sz w:val="25"/>
        </w:rPr>
      </w:pPr>
      <w:r w:rsidRPr="003F3784">
        <w:t xml:space="preserve">El anterior numeral permite a la entidad estatal agotar los medios a su alcance para corroborar la información que aporte el proponente, para lo cual puede recurrir a las autoridades, personas, empresas o entidades, sin embargo, es un derecho y no una obligación para la entidad estatal por cuanto en los procesos de contratación se espera y exige de los proponentes un comportamiento enmarcado en el principio de la buena fe, que se debe manifestar desde la presentación completa y veraz de la información y documentación que constituye su oferta, así como </w:t>
      </w:r>
      <w:r>
        <w:t xml:space="preserve">en </w:t>
      </w:r>
      <w:r w:rsidRPr="003F3784">
        <w:t>la lealtad y comportamiento adecuado frente a la entidad estatal y los demás proponentes durante las diferentes etapas del proceso de contratación.</w:t>
      </w:r>
    </w:p>
    <w:p w:rsidR="00950538" w:rsidRDefault="00950538" w:rsidP="00950538">
      <w:pPr>
        <w:pStyle w:val="Textoindependiente"/>
        <w:spacing w:before="120" w:line="276" w:lineRule="auto"/>
        <w:ind w:firstLine="709"/>
        <w:jc w:val="both"/>
        <w:rPr>
          <w:sz w:val="25"/>
        </w:rPr>
      </w:pPr>
      <w:r w:rsidRPr="003F3784">
        <w:t xml:space="preserve">En este contexto, el ejercicio de este derecho, por parte de la entidad estatal, tiene </w:t>
      </w:r>
      <w:r w:rsidRPr="003F3784">
        <w:lastRenderedPageBreak/>
        <w:t xml:space="preserve">carácter excepcional y solamente se debe acudir cuando de la información y documentación aportada al proceso de contratación, existen dudas frente a la veracidad o precisión y no puede superarse con la simple revisión de estos. Así, este derecho es una herramienta para que la entidad estatal, en ejercicio del </w:t>
      </w:r>
      <w:r>
        <w:t>«</w:t>
      </w:r>
      <w:r w:rsidRPr="003F3784">
        <w:t>deber de conocimiento</w:t>
      </w:r>
      <w:r>
        <w:t>»</w:t>
      </w:r>
      <w:r w:rsidRPr="003F3784">
        <w:t xml:space="preserve"> de los proponentes, pueda alcanzar un nivel de certeza del cumplimiento de los requisitos establecidos en los documentos del proceso y del comportamiento leal y de buena fe que se exige del proponente.</w:t>
      </w:r>
    </w:p>
    <w:p w:rsidR="00950538" w:rsidRPr="003F3784" w:rsidRDefault="00950538" w:rsidP="00950538">
      <w:pPr>
        <w:pStyle w:val="Textoindependiente"/>
        <w:spacing w:before="120" w:line="276" w:lineRule="auto"/>
        <w:ind w:firstLine="709"/>
        <w:jc w:val="both"/>
        <w:rPr>
          <w:sz w:val="25"/>
        </w:rPr>
      </w:pPr>
      <w:r w:rsidRPr="003F3784">
        <w:t>La regla de verificación de la información contempla dos supuestos, con consecuencias diferentes: el primero, señala que una vez verificada la información con las autoridades, personas, empresas o entidades; y evidenciada la inconsistencia, la entidad estatal tendrá por no acreditada la información, por ejemplo, en el evento en que se presente una certificación de experiencia y ante las observaciones recibidas en el traslado del informe de evaluación se verifique con la entidad contratante que emitió certificaciones con información que no permite determinar las actividades que hacen parte del objeto contractual ejecutado, la entidad que adelanta el proceso de contratación, ante la duda, no tendrá en cuenta dicha certificación para la evaluación de la experiencia, sin perjuicio de que el proponente cumpla con este requisito con las demás certificaciones aportadas. En este evento se trata de inconsistencias que no pueden ser superadas por la ausencia de medio probatorio, pero que en principio no tienen la connotación de</w:t>
      </w:r>
      <w:r w:rsidRPr="003F3784">
        <w:rPr>
          <w:spacing w:val="-23"/>
        </w:rPr>
        <w:t xml:space="preserve"> </w:t>
      </w:r>
      <w:r w:rsidRPr="003F3784">
        <w:t>falsedad.</w:t>
      </w:r>
    </w:p>
    <w:p w:rsidR="00950538" w:rsidRPr="003F3784" w:rsidRDefault="00950538" w:rsidP="00950538">
      <w:pPr>
        <w:pStyle w:val="Textoindependiente"/>
        <w:spacing w:before="120" w:line="276" w:lineRule="auto"/>
        <w:ind w:firstLine="709"/>
        <w:jc w:val="both"/>
        <w:rPr>
          <w:sz w:val="25"/>
        </w:rPr>
      </w:pPr>
      <w:r w:rsidRPr="003F3784">
        <w:t>El segundo evento aplica cuando de la verificación realizada por la entidad estatal se corrobora que las inconsistencias pueden devenir de una presunta falsedad no desvirtuada por el proponente, caso en el cual se procede con el rechazo de la oferta y se informa a las autoridades correspondientes. Siguiendo con el ejemplo propuesto de la certificación de experiencia, la entidad, al comunicarse con la entidad estatal contratante, le informan que la certificación aportada por el proponente no fue expedida por cuanto ese objeto no ha sido contratado. En este supuesto, cuando la entidad estatal tiene el suficiente convencimiento de la existencia de la presunta falsedad y luego de dar la oportunidad para que el proponente se manifieste, debe rechazar la oferta y compulsar copias a las autoridades competentes, quienes adelantar</w:t>
      </w:r>
      <w:r>
        <w:t>á</w:t>
      </w:r>
      <w:r w:rsidRPr="003F3784">
        <w:t>n las respectivas</w:t>
      </w:r>
      <w:r w:rsidRPr="003F3784">
        <w:rPr>
          <w:spacing w:val="-17"/>
        </w:rPr>
        <w:t xml:space="preserve"> </w:t>
      </w:r>
      <w:r w:rsidRPr="003F3784">
        <w:t>investigaciones.</w:t>
      </w:r>
    </w:p>
    <w:p w:rsidR="00950538" w:rsidRPr="003F3784" w:rsidRDefault="00950538" w:rsidP="00950538">
      <w:pPr>
        <w:pStyle w:val="Textoindependiente"/>
        <w:spacing w:before="120" w:line="276" w:lineRule="auto"/>
        <w:ind w:firstLine="709"/>
        <w:jc w:val="both"/>
      </w:pPr>
      <w:r w:rsidRPr="003F3784">
        <w:t xml:space="preserve">Las reglas previstas en el numeral 1.11 del </w:t>
      </w:r>
      <w:r>
        <w:t>«</w:t>
      </w:r>
      <w:r w:rsidRPr="003F3784">
        <w:t>Documento Base</w:t>
      </w:r>
      <w:r>
        <w:t>»</w:t>
      </w:r>
      <w:r w:rsidRPr="003F3784">
        <w:t xml:space="preserve"> aplican frente a la totalidad de la información y documentación aportada para el cumplimiento de los requisitos habilitantes y de ponderación de las propuestas. Sin embargo, el “Documento Base” contempla una consecuencia diferente para la verificación del cumplimiento de la capacidad residual del proponente, cuando la entidad estatal, en uso de la potestad verificadora, advierte que se dejó de incluir por parte de un Proponente información que afecte su capacidad residual. Este evento está incluido en el numeral 3.1</w:t>
      </w:r>
      <w:r>
        <w:t>1</w:t>
      </w:r>
      <w:r w:rsidRPr="003F3784">
        <w:t xml:space="preserve"> del </w:t>
      </w:r>
      <w:r>
        <w:t>«</w:t>
      </w:r>
      <w:r w:rsidRPr="003F3784">
        <w:t>Documento Base</w:t>
      </w:r>
      <w:r>
        <w:t>»</w:t>
      </w:r>
      <w:r w:rsidRPr="003F3784">
        <w:t xml:space="preserve"> al</w:t>
      </w:r>
      <w:r w:rsidRPr="003F3784">
        <w:rPr>
          <w:spacing w:val="-3"/>
        </w:rPr>
        <w:t xml:space="preserve"> </w:t>
      </w:r>
      <w:r w:rsidRPr="003F3784">
        <w:t>señalar:</w:t>
      </w:r>
    </w:p>
    <w:p w:rsidR="00950538" w:rsidRPr="003F3784" w:rsidRDefault="00950538" w:rsidP="00950538">
      <w:pPr>
        <w:pStyle w:val="Textoindependiente"/>
        <w:spacing w:before="4"/>
        <w:rPr>
          <w:sz w:val="25"/>
        </w:rPr>
      </w:pPr>
    </w:p>
    <w:p w:rsidR="00950538" w:rsidRPr="00C44678" w:rsidRDefault="00950538" w:rsidP="00950538">
      <w:pPr>
        <w:spacing w:before="1"/>
        <w:ind w:left="808"/>
        <w:rPr>
          <w:rFonts w:ascii="Arial" w:hAnsi="Arial" w:cs="Arial"/>
          <w:b/>
          <w:sz w:val="20"/>
        </w:rPr>
      </w:pPr>
      <w:r w:rsidRPr="00C44678">
        <w:rPr>
          <w:rFonts w:ascii="Arial" w:hAnsi="Arial" w:cs="Arial"/>
          <w:b/>
          <w:sz w:val="20"/>
        </w:rPr>
        <w:t>3.10 CAPACIDAD RESIDUAL</w:t>
      </w:r>
    </w:p>
    <w:p w:rsidR="00950538" w:rsidRPr="00C44678" w:rsidRDefault="00950538" w:rsidP="00950538">
      <w:pPr>
        <w:pStyle w:val="Textoindependiente"/>
        <w:rPr>
          <w:b/>
          <w:sz w:val="26"/>
        </w:rPr>
      </w:pPr>
    </w:p>
    <w:p w:rsidR="00950538" w:rsidRPr="00C44678" w:rsidRDefault="00950538" w:rsidP="00950538">
      <w:pPr>
        <w:spacing w:before="1"/>
        <w:ind w:left="808" w:right="1099"/>
        <w:jc w:val="both"/>
        <w:rPr>
          <w:rFonts w:ascii="Arial" w:hAnsi="Arial" w:cs="Arial"/>
          <w:sz w:val="20"/>
        </w:rPr>
      </w:pPr>
      <w:r w:rsidRPr="00C44678">
        <w:rPr>
          <w:rFonts w:ascii="Arial" w:hAnsi="Arial" w:cs="Arial"/>
          <w:sz w:val="20"/>
        </w:rPr>
        <w:t>El Proponente será hábil si la capacidad residual del Proponente (CRP) es mayor o igual a la capacidad residual de Proceso de Contratación (CRPC). Así:</w:t>
      </w:r>
    </w:p>
    <w:p w:rsidR="00950538" w:rsidRPr="00C44678" w:rsidRDefault="00950538" w:rsidP="00950538">
      <w:pPr>
        <w:spacing w:before="160"/>
        <w:ind w:right="4146"/>
        <w:jc w:val="center"/>
        <w:rPr>
          <w:rFonts w:ascii="Arial" w:hAnsi="Arial" w:cs="Arial"/>
          <w:sz w:val="20"/>
        </w:rPr>
      </w:pPr>
      <w:r>
        <w:rPr>
          <w:rFonts w:ascii="Arial" w:hAnsi="Arial" w:cs="Arial"/>
          <w:sz w:val="20"/>
        </w:rPr>
        <w:t xml:space="preserve">                                                   </w:t>
      </w:r>
      <w:proofErr w:type="gramStart"/>
      <w:r w:rsidRPr="00C44678">
        <w:rPr>
          <w:rFonts w:ascii="Arial" w:hAnsi="Arial" w:cs="Arial"/>
          <w:sz w:val="20"/>
        </w:rPr>
        <w:t>CRP  ≥</w:t>
      </w:r>
      <w:proofErr w:type="gramEnd"/>
      <w:r w:rsidRPr="00C44678">
        <w:rPr>
          <w:rFonts w:ascii="Arial" w:hAnsi="Arial" w:cs="Arial"/>
          <w:sz w:val="20"/>
        </w:rPr>
        <w:t xml:space="preserve"> CRPC</w:t>
      </w:r>
    </w:p>
    <w:p w:rsidR="00950538" w:rsidRPr="00C44678" w:rsidRDefault="00950538" w:rsidP="00950538">
      <w:pPr>
        <w:spacing w:before="161"/>
        <w:ind w:left="808" w:right="1098"/>
        <w:jc w:val="both"/>
        <w:rPr>
          <w:rFonts w:ascii="Arial" w:hAnsi="Arial" w:cs="Arial"/>
          <w:sz w:val="20"/>
        </w:rPr>
      </w:pPr>
      <w:r w:rsidRPr="00C44678">
        <w:rPr>
          <w:rFonts w:ascii="Arial" w:hAnsi="Arial" w:cs="Arial"/>
          <w:sz w:val="20"/>
        </w:rPr>
        <w:t xml:space="preserve">Los Proponentes acreditarán la capacidad residual o K de contratación conforme se describe a continuación. </w:t>
      </w:r>
      <w:r w:rsidRPr="00005C9A">
        <w:rPr>
          <w:rFonts w:ascii="Arial" w:hAnsi="Arial" w:cs="Arial"/>
          <w:bCs/>
          <w:i/>
          <w:iCs/>
          <w:sz w:val="20"/>
        </w:rPr>
        <w:t>En todo caso, si con posterioridad al cierre y hasta antes de la adjudicación del proceso, cualquier Proponente, interesado o la Entidad, en uso de la potestad verificadora, advierte que se dejó de incluir por parte de un Proponente alguna información contractual que afecte su capacidad residual, la Entidad calculará la capacidad residual del Proponente teniendo en cuenta la nueva información</w:t>
      </w:r>
      <w:r w:rsidRPr="00C44678">
        <w:rPr>
          <w:rFonts w:ascii="Arial" w:hAnsi="Arial" w:cs="Arial"/>
          <w:b/>
          <w:sz w:val="20"/>
        </w:rPr>
        <w:t xml:space="preserve">. </w:t>
      </w:r>
      <w:r w:rsidRPr="00C44678">
        <w:rPr>
          <w:rFonts w:ascii="Arial" w:hAnsi="Arial" w:cs="Arial"/>
          <w:sz w:val="20"/>
        </w:rPr>
        <w:t>En dado caso la Entidad procederá a incluir el valor y plazo total del contrato, con independencia del saldo y plazo por ejecutar.</w:t>
      </w:r>
    </w:p>
    <w:p w:rsidR="00950538" w:rsidRPr="00C44678" w:rsidRDefault="00950538" w:rsidP="00950538">
      <w:pPr>
        <w:spacing w:before="160"/>
        <w:ind w:left="808" w:right="1100"/>
        <w:jc w:val="both"/>
        <w:rPr>
          <w:rFonts w:ascii="Arial" w:hAnsi="Arial" w:cs="Arial"/>
          <w:sz w:val="20"/>
        </w:rPr>
      </w:pPr>
      <w:r w:rsidRPr="00C44678">
        <w:rPr>
          <w:rFonts w:ascii="Arial" w:hAnsi="Arial" w:cs="Arial"/>
          <w:sz w:val="20"/>
        </w:rPr>
        <w:t>Lo anterior, sin perjuicio de las acciones administrativas y/o judiciales a que haya lugar, en contra de la (s) persona (s) que haya (n) suscrito las certificaciones exigidas para el cálculo de la capacidad residual.</w:t>
      </w:r>
      <w:r>
        <w:rPr>
          <w:rFonts w:ascii="Arial" w:hAnsi="Arial" w:cs="Arial"/>
          <w:sz w:val="20"/>
        </w:rPr>
        <w:t xml:space="preserve"> (Cursiva fuera de texto)</w:t>
      </w:r>
    </w:p>
    <w:p w:rsidR="00950538" w:rsidRPr="003F3784" w:rsidRDefault="00950538" w:rsidP="00950538">
      <w:pPr>
        <w:pStyle w:val="Textoindependiente"/>
      </w:pPr>
    </w:p>
    <w:p w:rsidR="00950538" w:rsidRPr="003F3784" w:rsidRDefault="00950538" w:rsidP="00950538">
      <w:pPr>
        <w:pStyle w:val="Textoindependiente"/>
        <w:spacing w:line="276" w:lineRule="auto"/>
        <w:ind w:left="100" w:right="104" w:firstLine="709"/>
        <w:jc w:val="both"/>
        <w:rPr>
          <w:sz w:val="25"/>
        </w:rPr>
      </w:pPr>
      <w:r w:rsidRPr="003F3784">
        <w:t xml:space="preserve">De acuerdo con el anterior numeral, cuando la entidad estatal confirme la existencia de </w:t>
      </w:r>
      <w:r>
        <w:t>«</w:t>
      </w:r>
      <w:r w:rsidRPr="003F3784">
        <w:t>información contractual</w:t>
      </w:r>
      <w:r>
        <w:t>»</w:t>
      </w:r>
      <w:r w:rsidRPr="003F3784">
        <w:t xml:space="preserve"> que no se incluyó, y que puede afectar la capacidad residual del proponente, debe incluirla y calcular nuevamente la capacidad residual, sin perjuicio de las acciones administrativas o judiciales que procedan.</w:t>
      </w:r>
    </w:p>
    <w:p w:rsidR="00950538" w:rsidRPr="003F3784" w:rsidRDefault="00950538" w:rsidP="00950538">
      <w:pPr>
        <w:pStyle w:val="Textoindependiente"/>
        <w:spacing w:before="120" w:after="120" w:line="276" w:lineRule="auto"/>
        <w:ind w:left="102" w:right="102" w:firstLine="709"/>
        <w:jc w:val="both"/>
        <w:rPr>
          <w:sz w:val="16"/>
        </w:rPr>
      </w:pPr>
      <w:r w:rsidRPr="003F3784">
        <w:t xml:space="preserve">Por lo tanto, comoquiera que para el cálculo de la capacidad residual del proponente se deben tener en cuenta: i) la capacidad de organización, ii) la experiencia, iii) la capacidad técnica, iv) la capacidad financiera y v) el saldo de contratos en ejecución, y para cada una de dichas variables se requiere la acreditación de los requisitos y documentos establecidos en el numeral 3.10 del </w:t>
      </w:r>
      <w:r>
        <w:t>«</w:t>
      </w:r>
      <w:r w:rsidRPr="003F3784">
        <w:t>Documento Base</w:t>
      </w:r>
      <w:r>
        <w:t>»</w:t>
      </w:r>
      <w:r w:rsidRPr="003F3784">
        <w:t xml:space="preserve">, en concordancia con lo definido en la </w:t>
      </w:r>
      <w:r>
        <w:t>«</w:t>
      </w:r>
      <w:r w:rsidRPr="003F3784">
        <w:t>Guía para Determinar y Verificar la Capacidad Residual del Proponente en los Procesos de Contratación de Obra Pública</w:t>
      </w:r>
      <w:r>
        <w:t>»</w:t>
      </w:r>
      <w:r w:rsidRPr="003F3784">
        <w:t xml:space="preserve">, expedida por la Agencia Nacional de Contratación – Colombia Compra Eficiente, la entidad estatal, para los procesos de licitación que utilizan los Documentos Tipo, debe aplicar la regla enunciada previamente </w:t>
      </w:r>
      <w:r w:rsidRPr="003F3784">
        <w:rPr>
          <w:spacing w:val="3"/>
        </w:rPr>
        <w:t xml:space="preserve">y, </w:t>
      </w:r>
      <w:r w:rsidRPr="003F3784">
        <w:t>en consecuencia, incluir la información contractual que haya sido advertida por los proponentes, interesados o por la entidad y que no fue reportada por el</w:t>
      </w:r>
      <w:r w:rsidRPr="003F3784">
        <w:rPr>
          <w:spacing w:val="-15"/>
        </w:rPr>
        <w:t xml:space="preserve"> </w:t>
      </w:r>
      <w:r w:rsidRPr="003F3784">
        <w:t>proponente.</w:t>
      </w:r>
    </w:p>
    <w:p w:rsidR="00950538" w:rsidRPr="003F3784" w:rsidRDefault="00950538" w:rsidP="00950538">
      <w:pPr>
        <w:pStyle w:val="Textoindependiente"/>
        <w:spacing w:line="276" w:lineRule="auto"/>
        <w:ind w:left="100" w:right="106" w:firstLine="709"/>
        <w:jc w:val="both"/>
      </w:pPr>
      <w:r w:rsidRPr="003F3784">
        <w:t>Adicionalmente, cuando en la etapa de evaluación de las ofertas la entidad estatal advierta estas circunstancias, debe garantizar el debido proceso y hacer uso de las figuras previstas en las normas del sistema de compra pública</w:t>
      </w:r>
      <w:r>
        <w:t>;</w:t>
      </w:r>
      <w:r w:rsidRPr="003F3784">
        <w:t xml:space="preserve"> por consiguiente, se debe requerir a los proponentes para que efectúen las aclaraciones correspondientes de acuerdo con las reglas de </w:t>
      </w:r>
      <w:proofErr w:type="spellStart"/>
      <w:r w:rsidRPr="003F3784">
        <w:t>subsanabilidad</w:t>
      </w:r>
      <w:proofErr w:type="spellEnd"/>
      <w:r w:rsidRPr="003F3784">
        <w:t xml:space="preserve"> establecidas en el numeral 1.6</w:t>
      </w:r>
      <w:r w:rsidRPr="003F3784">
        <w:rPr>
          <w:rStyle w:val="Refdenotaalpie"/>
        </w:rPr>
        <w:footnoteReference w:id="19"/>
      </w:r>
      <w:r w:rsidRPr="003F3784">
        <w:rPr>
          <w:position w:val="8"/>
          <w:sz w:val="14"/>
        </w:rPr>
        <w:t xml:space="preserve"> </w:t>
      </w:r>
      <w:r w:rsidRPr="003F3784">
        <w:t xml:space="preserve">del </w:t>
      </w:r>
      <w:r>
        <w:lastRenderedPageBreak/>
        <w:t>«</w:t>
      </w:r>
      <w:r w:rsidRPr="003F3784">
        <w:t>Documento Base</w:t>
      </w:r>
      <w:r>
        <w:t>»</w:t>
      </w:r>
      <w:r w:rsidRPr="003F3784">
        <w:t>, en armonía con la regla específica del numeral 3.10, previamente</w:t>
      </w:r>
      <w:r w:rsidRPr="003F3784">
        <w:rPr>
          <w:spacing w:val="-14"/>
        </w:rPr>
        <w:t xml:space="preserve"> </w:t>
      </w:r>
      <w:r w:rsidRPr="003F3784">
        <w:t>expuesta.</w:t>
      </w:r>
    </w:p>
    <w:p w:rsidR="00950538" w:rsidRPr="00783992" w:rsidRDefault="00950538" w:rsidP="00950538">
      <w:pPr>
        <w:jc w:val="both"/>
        <w:rPr>
          <w:rFonts w:ascii="Arial" w:eastAsia="Calibri" w:hAnsi="Arial" w:cs="Arial"/>
          <w:b/>
          <w:bCs/>
          <w:color w:val="000000" w:themeColor="text1"/>
          <w:sz w:val="22"/>
        </w:rPr>
      </w:pPr>
    </w:p>
    <w:p w:rsidR="00950538" w:rsidRPr="00783992" w:rsidRDefault="00950538" w:rsidP="00950538">
      <w:pPr>
        <w:pStyle w:val="Prrafodelista"/>
        <w:tabs>
          <w:tab w:val="left" w:pos="284"/>
        </w:tabs>
        <w:spacing w:line="276" w:lineRule="auto"/>
        <w:ind w:left="0"/>
        <w:jc w:val="both"/>
        <w:rPr>
          <w:rFonts w:ascii="Arial" w:eastAsia="Calibri" w:hAnsi="Arial" w:cs="Arial"/>
          <w:color w:val="000000" w:themeColor="text1"/>
          <w:sz w:val="22"/>
        </w:rPr>
      </w:pPr>
      <w:r w:rsidRPr="00783992">
        <w:rPr>
          <w:rFonts w:ascii="Arial" w:eastAsia="Calibri" w:hAnsi="Arial" w:cs="Arial"/>
          <w:b/>
          <w:color w:val="000000" w:themeColor="text1"/>
          <w:sz w:val="22"/>
        </w:rPr>
        <w:t>3. Respuestas</w:t>
      </w:r>
    </w:p>
    <w:p w:rsidR="00950538" w:rsidRPr="00783992" w:rsidRDefault="00950538" w:rsidP="00950538">
      <w:pPr>
        <w:spacing w:line="276" w:lineRule="auto"/>
        <w:ind w:left="709" w:right="709"/>
        <w:jc w:val="both"/>
        <w:rPr>
          <w:rFonts w:ascii="Arial" w:eastAsia="Calibri" w:hAnsi="Arial" w:cs="Arial"/>
          <w:i/>
          <w:color w:val="000000" w:themeColor="text1"/>
          <w:sz w:val="22"/>
        </w:rPr>
      </w:pPr>
    </w:p>
    <w:p w:rsidR="00950538" w:rsidRPr="00005C9A" w:rsidRDefault="00950538" w:rsidP="00950538">
      <w:pPr>
        <w:tabs>
          <w:tab w:val="left" w:pos="426"/>
        </w:tabs>
        <w:ind w:left="709" w:right="709"/>
        <w:jc w:val="both"/>
        <w:rPr>
          <w:rFonts w:ascii="Arial" w:eastAsia="Calibri" w:hAnsi="Arial" w:cs="Arial"/>
          <w:color w:val="000000" w:themeColor="text1"/>
          <w:sz w:val="20"/>
          <w:szCs w:val="20"/>
        </w:rPr>
      </w:pPr>
      <w:r w:rsidRPr="00005C9A">
        <w:rPr>
          <w:rFonts w:ascii="Arial" w:eastAsia="Calibri" w:hAnsi="Arial" w:cs="Arial"/>
          <w:color w:val="000000" w:themeColor="text1"/>
          <w:sz w:val="20"/>
          <w:szCs w:val="20"/>
        </w:rPr>
        <w:t>«1. ¿La entidad pública DEBE rechazar de plano al proponente que no relacione alguno de los contratos que tenía en ejecución al momento del cierre, es decir, le asiste o no la oportunidad de subsanar al proponente hasta antes de la adjudicación?»</w:t>
      </w:r>
    </w:p>
    <w:p w:rsidR="00950538" w:rsidRPr="00005C9A" w:rsidRDefault="00950538" w:rsidP="00950538">
      <w:pPr>
        <w:autoSpaceDE w:val="0"/>
        <w:autoSpaceDN w:val="0"/>
        <w:adjustRightInd w:val="0"/>
        <w:ind w:left="709" w:right="709"/>
        <w:jc w:val="both"/>
        <w:rPr>
          <w:rFonts w:ascii="Arial" w:eastAsia="Calibri" w:hAnsi="Arial" w:cs="Arial"/>
          <w:color w:val="000000" w:themeColor="text1"/>
          <w:sz w:val="20"/>
          <w:szCs w:val="20"/>
        </w:rPr>
      </w:pPr>
    </w:p>
    <w:p w:rsidR="00950538" w:rsidRPr="00005C9A" w:rsidRDefault="00950538" w:rsidP="00950538">
      <w:pPr>
        <w:autoSpaceDE w:val="0"/>
        <w:autoSpaceDN w:val="0"/>
        <w:adjustRightInd w:val="0"/>
        <w:ind w:left="709" w:right="709"/>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005C9A">
        <w:rPr>
          <w:rFonts w:ascii="Arial" w:eastAsia="Calibri" w:hAnsi="Arial" w:cs="Arial"/>
          <w:color w:val="000000" w:themeColor="text1"/>
          <w:sz w:val="20"/>
          <w:szCs w:val="20"/>
        </w:rPr>
        <w:t>2. En caso de que la respuesta sea que el proponente puede subsanar ¿La palabra AFECTE que se indica en el párrafo enunciado, quiere decir, que se debe rechazar únicamente en caso de que no cumpla con el k residual que solicita la entidad o hace relación a que se si se aumenta o disminuye el valor de k residual (lo cual ocurriría en caso de que no se haya reportado un contrato), indistintamente que se cumpla con el k residual?</w:t>
      </w:r>
    </w:p>
    <w:p w:rsidR="00950538" w:rsidRPr="00005C9A" w:rsidRDefault="00950538" w:rsidP="00950538">
      <w:pPr>
        <w:autoSpaceDE w:val="0"/>
        <w:autoSpaceDN w:val="0"/>
        <w:adjustRightInd w:val="0"/>
        <w:ind w:left="709" w:right="709"/>
        <w:jc w:val="both"/>
        <w:rPr>
          <w:rFonts w:ascii="Arial" w:eastAsia="Calibri" w:hAnsi="Arial" w:cs="Arial"/>
          <w:color w:val="000000" w:themeColor="text1"/>
          <w:sz w:val="20"/>
          <w:szCs w:val="20"/>
        </w:rPr>
      </w:pPr>
      <w:r w:rsidRPr="00005C9A">
        <w:rPr>
          <w:rFonts w:ascii="Arial" w:eastAsia="Calibri" w:hAnsi="Arial" w:cs="Arial"/>
          <w:color w:val="000000" w:themeColor="text1"/>
          <w:sz w:val="20"/>
          <w:szCs w:val="20"/>
        </w:rPr>
        <w:t xml:space="preserve"> </w:t>
      </w:r>
    </w:p>
    <w:p w:rsidR="00950538" w:rsidRPr="00005C9A" w:rsidRDefault="00950538" w:rsidP="00950538">
      <w:pPr>
        <w:autoSpaceDE w:val="0"/>
        <w:autoSpaceDN w:val="0"/>
        <w:adjustRightInd w:val="0"/>
        <w:ind w:left="709" w:right="709"/>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005C9A">
        <w:rPr>
          <w:rFonts w:ascii="Arial" w:eastAsia="Calibri" w:hAnsi="Arial" w:cs="Arial"/>
          <w:color w:val="000000" w:themeColor="text1"/>
          <w:sz w:val="20"/>
          <w:szCs w:val="20"/>
        </w:rPr>
        <w:t xml:space="preserve">3. En caso de que la respuesta sea que se debe rechazar sin solicitar subsanación ello no contraviene lo establecido en la Ley 1882 de 2018 </w:t>
      </w:r>
      <w:r>
        <w:rPr>
          <w:rFonts w:ascii="Arial" w:eastAsia="Calibri" w:hAnsi="Arial" w:cs="Arial"/>
          <w:color w:val="000000" w:themeColor="text1"/>
          <w:sz w:val="20"/>
          <w:szCs w:val="20"/>
        </w:rPr>
        <w:t>[</w:t>
      </w:r>
      <w:r w:rsidRPr="00005C9A">
        <w:rPr>
          <w:rFonts w:ascii="Arial" w:eastAsia="Calibri" w:hAnsi="Arial" w:cs="Arial"/>
          <w:color w:val="000000" w:themeColor="text1"/>
          <w:sz w:val="20"/>
          <w:szCs w:val="20"/>
        </w:rPr>
        <w:t>…</w:t>
      </w:r>
      <w:r>
        <w:rPr>
          <w:rFonts w:ascii="Arial" w:eastAsia="Calibri" w:hAnsi="Arial" w:cs="Arial"/>
          <w:color w:val="000000" w:themeColor="text1"/>
          <w:sz w:val="20"/>
          <w:szCs w:val="20"/>
        </w:rPr>
        <w:t>]</w:t>
      </w:r>
    </w:p>
    <w:p w:rsidR="00950538" w:rsidRPr="00005C9A" w:rsidRDefault="00950538" w:rsidP="00950538">
      <w:pPr>
        <w:autoSpaceDE w:val="0"/>
        <w:autoSpaceDN w:val="0"/>
        <w:adjustRightInd w:val="0"/>
        <w:ind w:left="709" w:right="709"/>
        <w:jc w:val="both"/>
        <w:rPr>
          <w:rFonts w:ascii="Arial" w:eastAsia="Calibri" w:hAnsi="Arial" w:cs="Arial"/>
          <w:color w:val="000000" w:themeColor="text1"/>
          <w:sz w:val="20"/>
          <w:szCs w:val="20"/>
        </w:rPr>
      </w:pPr>
    </w:p>
    <w:p w:rsidR="00950538" w:rsidRPr="00005C9A" w:rsidRDefault="00950538" w:rsidP="00950538">
      <w:pPr>
        <w:autoSpaceDE w:val="0"/>
        <w:autoSpaceDN w:val="0"/>
        <w:adjustRightInd w:val="0"/>
        <w:ind w:left="709" w:right="709"/>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005C9A">
        <w:rPr>
          <w:rFonts w:ascii="Arial" w:eastAsia="Calibri" w:hAnsi="Arial" w:cs="Arial"/>
          <w:color w:val="000000" w:themeColor="text1"/>
          <w:sz w:val="20"/>
          <w:szCs w:val="20"/>
        </w:rPr>
        <w:t xml:space="preserve">4. La única causal de rechazo estipulada en la Ley de manera taxativa es la estipulada en el parágrafo N° 3 </w:t>
      </w:r>
      <w:proofErr w:type="spellStart"/>
      <w:r w:rsidRPr="00005C9A">
        <w:rPr>
          <w:rFonts w:ascii="Arial" w:eastAsia="Calibri" w:hAnsi="Arial" w:cs="Arial"/>
          <w:color w:val="000000" w:themeColor="text1"/>
          <w:sz w:val="20"/>
          <w:szCs w:val="20"/>
        </w:rPr>
        <w:t>ibidem</w:t>
      </w:r>
      <w:proofErr w:type="spellEnd"/>
      <w:r w:rsidRPr="00005C9A">
        <w:rPr>
          <w:rFonts w:ascii="Arial" w:eastAsia="Calibri" w:hAnsi="Arial" w:cs="Arial"/>
          <w:color w:val="000000" w:themeColor="text1"/>
          <w:sz w:val="20"/>
          <w:szCs w:val="20"/>
        </w:rPr>
        <w:t xml:space="preserve"> que es la no entrega de la garantía de seriedad al momento de la presentación de la propuesta y además determina sin modo a interpretación que NO ES SUBSANABLE, ¿En caso de que su respuesta </w:t>
      </w:r>
      <w:r w:rsidRPr="00005C9A">
        <w:rPr>
          <w:rFonts w:ascii="Arial" w:eastAsia="Calibri" w:hAnsi="Arial" w:cs="Arial"/>
          <w:color w:val="000000" w:themeColor="text1"/>
          <w:sz w:val="20"/>
          <w:szCs w:val="20"/>
        </w:rPr>
        <w:lastRenderedPageBreak/>
        <w:t>indique que no se puede subsanar, solicito de manera expresa el sustento jurídico donde se estipula que dicho requisito habilitante no es subsanable?»</w:t>
      </w:r>
    </w:p>
    <w:p w:rsidR="00950538" w:rsidRPr="00005C9A" w:rsidRDefault="00950538" w:rsidP="00950538">
      <w:pPr>
        <w:autoSpaceDE w:val="0"/>
        <w:autoSpaceDN w:val="0"/>
        <w:adjustRightInd w:val="0"/>
        <w:ind w:left="709" w:right="709"/>
        <w:jc w:val="both"/>
        <w:rPr>
          <w:rFonts w:ascii="Arial" w:eastAsia="Calibri" w:hAnsi="Arial" w:cs="Arial"/>
          <w:color w:val="000000" w:themeColor="text1"/>
          <w:sz w:val="20"/>
          <w:szCs w:val="20"/>
        </w:rPr>
      </w:pPr>
    </w:p>
    <w:p w:rsidR="00950538" w:rsidRPr="00005C9A" w:rsidRDefault="00950538" w:rsidP="00950538">
      <w:pPr>
        <w:autoSpaceDE w:val="0"/>
        <w:autoSpaceDN w:val="0"/>
        <w:adjustRightInd w:val="0"/>
        <w:ind w:left="709" w:right="709"/>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005C9A">
        <w:rPr>
          <w:rFonts w:ascii="Arial" w:eastAsia="Calibri" w:hAnsi="Arial" w:cs="Arial"/>
          <w:color w:val="000000" w:themeColor="text1"/>
          <w:sz w:val="20"/>
          <w:szCs w:val="20"/>
        </w:rPr>
        <w:t xml:space="preserve">5. Si la conclusión es que se puede estipular dicha causal de rechazo sin solicitar subsanación, ¿Se pueden determinar en el pliego tipo aspectos que contravienen la ley, si la respuesta es SI, solicito el sustento legal?» </w:t>
      </w:r>
    </w:p>
    <w:p w:rsidR="00950538" w:rsidRPr="00005C9A" w:rsidRDefault="00950538" w:rsidP="00950538">
      <w:pPr>
        <w:autoSpaceDE w:val="0"/>
        <w:autoSpaceDN w:val="0"/>
        <w:adjustRightInd w:val="0"/>
        <w:ind w:left="709" w:right="709"/>
        <w:jc w:val="both"/>
        <w:rPr>
          <w:rFonts w:ascii="Arial" w:eastAsia="Calibri" w:hAnsi="Arial" w:cs="Arial"/>
          <w:color w:val="000000" w:themeColor="text1"/>
          <w:sz w:val="20"/>
          <w:szCs w:val="20"/>
        </w:rPr>
      </w:pPr>
    </w:p>
    <w:p w:rsidR="00950538" w:rsidRPr="00005C9A" w:rsidRDefault="00950538" w:rsidP="00950538">
      <w:pPr>
        <w:autoSpaceDE w:val="0"/>
        <w:autoSpaceDN w:val="0"/>
        <w:adjustRightInd w:val="0"/>
        <w:ind w:left="709" w:right="709"/>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005C9A">
        <w:rPr>
          <w:rFonts w:ascii="Arial" w:eastAsia="Calibri" w:hAnsi="Arial" w:cs="Arial"/>
          <w:color w:val="000000" w:themeColor="text1"/>
          <w:sz w:val="20"/>
          <w:szCs w:val="20"/>
        </w:rPr>
        <w:t>6. En caso de que la entidad o algún proponente evidencie la falta de relacionar algún contrato por uno de los proponentes, y en caso de que se pueda subsanar ¿La entidad tiene el deber de requerir al proponente que omitió relacionar el contrato y deberá otorgar el tiempo que estipula la CIRCULAR UNICA […]».</w:t>
      </w:r>
    </w:p>
    <w:p w:rsidR="00950538" w:rsidRPr="00783992" w:rsidRDefault="00950538" w:rsidP="00950538">
      <w:pPr>
        <w:spacing w:line="276" w:lineRule="auto"/>
        <w:ind w:left="709" w:right="709"/>
        <w:jc w:val="both"/>
        <w:rPr>
          <w:rFonts w:ascii="Arial" w:eastAsia="Calibri" w:hAnsi="Arial" w:cs="Arial"/>
          <w:color w:val="000000" w:themeColor="text1"/>
          <w:sz w:val="22"/>
          <w:highlight w:val="yellow"/>
        </w:rPr>
      </w:pPr>
    </w:p>
    <w:p w:rsidR="00950538" w:rsidRPr="00783992" w:rsidRDefault="00950538" w:rsidP="00950538">
      <w:pPr>
        <w:spacing w:after="120" w:line="276" w:lineRule="auto"/>
        <w:jc w:val="both"/>
        <w:rPr>
          <w:rFonts w:ascii="Arial" w:hAnsi="Arial" w:cs="Arial"/>
          <w:color w:val="000000" w:themeColor="text1"/>
          <w:sz w:val="22"/>
        </w:rPr>
      </w:pPr>
      <w:r w:rsidRPr="00783992">
        <w:rPr>
          <w:rFonts w:ascii="Arial" w:hAnsi="Arial" w:cs="Arial"/>
          <w:color w:val="000000" w:themeColor="text1"/>
          <w:sz w:val="22"/>
        </w:rPr>
        <w:t>De acuerdo con el artículo 6 de la Ley 1150 de 2007 y lo previsto en el numeral 3.1</w:t>
      </w:r>
      <w:r>
        <w:rPr>
          <w:rFonts w:ascii="Arial" w:hAnsi="Arial" w:cs="Arial"/>
          <w:color w:val="000000" w:themeColor="text1"/>
          <w:sz w:val="22"/>
        </w:rPr>
        <w:t>1</w:t>
      </w:r>
      <w:r w:rsidRPr="00783992">
        <w:rPr>
          <w:rFonts w:ascii="Arial" w:hAnsi="Arial" w:cs="Arial"/>
          <w:color w:val="000000" w:themeColor="text1"/>
          <w:sz w:val="22"/>
        </w:rPr>
        <w:t xml:space="preserve"> «CAPACIDAD RESIDUAL» del «Documento Base o Pliego Tipo», la capacidad residual es un requisito habilitante susceptible de subsana</w:t>
      </w:r>
      <w:r>
        <w:rPr>
          <w:rFonts w:ascii="Arial" w:hAnsi="Arial" w:cs="Arial"/>
          <w:color w:val="000000" w:themeColor="text1"/>
          <w:sz w:val="22"/>
        </w:rPr>
        <w:t>ción</w:t>
      </w:r>
      <w:r w:rsidRPr="00783992">
        <w:rPr>
          <w:rFonts w:ascii="Arial" w:hAnsi="Arial" w:cs="Arial"/>
          <w:color w:val="000000" w:themeColor="text1"/>
          <w:sz w:val="22"/>
        </w:rPr>
        <w:t xml:space="preserve">, por no afectar la asignación de puntaje del procedimiento de selección. Ahora, la entidad solo podrá requerir información al proponente que no haya sido aportada al momento de la inscripción del Registro Único de Proponentes, y el proponente deberá aportarla a más tardar durante el traslado del informe de evaluación. </w:t>
      </w:r>
    </w:p>
    <w:p w:rsidR="00950538" w:rsidRDefault="00950538" w:rsidP="00950538">
      <w:pPr>
        <w:spacing w:line="276" w:lineRule="auto"/>
        <w:ind w:firstLine="708"/>
        <w:jc w:val="both"/>
        <w:rPr>
          <w:rFonts w:ascii="Arial" w:eastAsia="Calibri" w:hAnsi="Arial" w:cs="Arial"/>
          <w:color w:val="000000" w:themeColor="text1"/>
          <w:sz w:val="22"/>
          <w:highlight w:val="yellow"/>
        </w:rPr>
      </w:pPr>
      <w:r w:rsidRPr="00783992">
        <w:rPr>
          <w:rFonts w:ascii="Arial" w:hAnsi="Arial" w:cs="Arial"/>
          <w:color w:val="000000" w:themeColor="text1"/>
          <w:sz w:val="22"/>
        </w:rPr>
        <w:t>En el caso de la licitación pública de obra, el término de traslado del informe de evaluación será dentro de los cinco (5) días hábiles siguientes a su expedición</w:t>
      </w:r>
      <w:r w:rsidRPr="00783992">
        <w:rPr>
          <w:rStyle w:val="Refdenotaalpie"/>
          <w:rFonts w:ascii="Arial" w:hAnsi="Arial" w:cs="Arial"/>
          <w:color w:val="000000" w:themeColor="text1"/>
          <w:sz w:val="22"/>
        </w:rPr>
        <w:footnoteReference w:id="20"/>
      </w:r>
      <w:r w:rsidRPr="00783992">
        <w:rPr>
          <w:rFonts w:ascii="Arial" w:hAnsi="Arial" w:cs="Arial"/>
          <w:color w:val="000000" w:themeColor="text1"/>
          <w:sz w:val="22"/>
        </w:rPr>
        <w:t>. En el evento en que el proponente no aporte la información o la documentación seña</w:t>
      </w:r>
      <w:r>
        <w:rPr>
          <w:rFonts w:ascii="Arial" w:hAnsi="Arial" w:cs="Arial"/>
          <w:color w:val="000000" w:themeColor="text1"/>
          <w:sz w:val="22"/>
        </w:rPr>
        <w:t>la</w:t>
      </w:r>
      <w:r w:rsidRPr="00783992">
        <w:rPr>
          <w:rFonts w:ascii="Arial" w:hAnsi="Arial" w:cs="Arial"/>
          <w:color w:val="000000" w:themeColor="text1"/>
          <w:sz w:val="22"/>
        </w:rPr>
        <w:t>da dentro de este término, será procedente el rechazo de su oferta. En este sentido, el «Documento base o Pliego Tipo» reiteró, en el numeral «1.15 CAUSALES DE RECHAZO», literal E)</w:t>
      </w:r>
      <w:r w:rsidRPr="00783992">
        <w:rPr>
          <w:rStyle w:val="Refdenotaalpie"/>
          <w:rFonts w:ascii="Arial" w:hAnsi="Arial" w:cs="Arial"/>
          <w:color w:val="000000" w:themeColor="text1"/>
          <w:sz w:val="22"/>
        </w:rPr>
        <w:footnoteReference w:id="21"/>
      </w:r>
      <w:r w:rsidRPr="00783992">
        <w:rPr>
          <w:rFonts w:ascii="Arial" w:hAnsi="Arial" w:cs="Arial"/>
          <w:color w:val="000000" w:themeColor="text1"/>
          <w:sz w:val="22"/>
        </w:rPr>
        <w:t>, la facultad que tiene la entidad de rechazar la oferta cuando el proponente no aporta la información solicitada dentro del traslado del informe de evaluación.</w:t>
      </w:r>
    </w:p>
    <w:p w:rsidR="00950538" w:rsidRPr="003F3784" w:rsidRDefault="00950538" w:rsidP="00950538">
      <w:pPr>
        <w:pStyle w:val="Textoindependiente"/>
        <w:spacing w:before="120" w:line="276" w:lineRule="auto"/>
        <w:ind w:firstLine="607"/>
        <w:jc w:val="both"/>
      </w:pPr>
      <w:r w:rsidRPr="00ED159D">
        <w:rPr>
          <w:rFonts w:eastAsia="Calibri"/>
          <w:color w:val="000000" w:themeColor="text1"/>
        </w:rPr>
        <w:t xml:space="preserve">En todo caso, </w:t>
      </w:r>
      <w:r w:rsidRPr="00ED159D">
        <w:t>en el evento en que el oferente no relacione la totalidad de contratos en ejecución necesarios</w:t>
      </w:r>
      <w:r w:rsidRPr="003F3784">
        <w:t xml:space="preserve"> para calcular la capacidad residual, y la entidad, en ejercicio de la potestad verificadora, los haya identificado, debe aplicar la regla establecida en el numeral </w:t>
      </w:r>
      <w:r w:rsidRPr="003F3784">
        <w:lastRenderedPageBreak/>
        <w:t>3.1</w:t>
      </w:r>
      <w:r>
        <w:t>1</w:t>
      </w:r>
      <w:r w:rsidRPr="003F3784">
        <w:t xml:space="preserve">del </w:t>
      </w:r>
      <w:r>
        <w:t>«</w:t>
      </w:r>
      <w:r w:rsidRPr="003F3784">
        <w:t>Documento Base</w:t>
      </w:r>
      <w:r>
        <w:t>»</w:t>
      </w:r>
      <w:r w:rsidRPr="003F3784">
        <w:t xml:space="preserve">, es decir, los debe incluir para el cálculo, </w:t>
      </w:r>
      <w:r>
        <w:t>«</w:t>
      </w:r>
      <w:r w:rsidRPr="003F3784">
        <w:t>sin perjuicio de las acciones administrativas y/o judiciales a que haya lugar, en contra de la (s) persona (s) que haya (n) suscrito las certificaciones exigidas para el cálculo de la capacidad residual</w:t>
      </w:r>
      <w:r>
        <w:t>»</w:t>
      </w:r>
      <w:r w:rsidRPr="003F3784">
        <w:t>.</w:t>
      </w:r>
    </w:p>
    <w:p w:rsidR="00950538" w:rsidRPr="003F3784" w:rsidRDefault="00950538" w:rsidP="00950538">
      <w:pPr>
        <w:pStyle w:val="Textoindependiente"/>
        <w:spacing w:before="2"/>
        <w:rPr>
          <w:sz w:val="25"/>
        </w:rPr>
      </w:pPr>
    </w:p>
    <w:p w:rsidR="00950538" w:rsidRPr="003F3784" w:rsidRDefault="00950538" w:rsidP="00950538">
      <w:pPr>
        <w:pStyle w:val="Textoindependiente"/>
        <w:tabs>
          <w:tab w:val="left" w:pos="8364"/>
        </w:tabs>
        <w:spacing w:line="278" w:lineRule="auto"/>
        <w:ind w:firstLine="608"/>
        <w:jc w:val="both"/>
        <w:rPr>
          <w:sz w:val="20"/>
        </w:rPr>
      </w:pPr>
      <w:r w:rsidRPr="003F3784">
        <w:t>Por lo anterior, la entidad estatal debe aplicar el numeral 3.1</w:t>
      </w:r>
      <w:r>
        <w:t>1</w:t>
      </w:r>
      <w:r w:rsidRPr="003F3784">
        <w:t xml:space="preserve"> enunciado, en armonía con las reglas de </w:t>
      </w:r>
      <w:proofErr w:type="spellStart"/>
      <w:r w:rsidRPr="003F3784">
        <w:t>subsanabilidad</w:t>
      </w:r>
      <w:proofErr w:type="spellEnd"/>
      <w:r w:rsidRPr="003F3784">
        <w:t xml:space="preserve"> del numeral 1.6 del </w:t>
      </w:r>
      <w:r>
        <w:t>«</w:t>
      </w:r>
      <w:r w:rsidRPr="003F3784">
        <w:t>Documento Base</w:t>
      </w:r>
      <w:r>
        <w:t>»</w:t>
      </w:r>
      <w:r w:rsidRPr="003F3784">
        <w:t>.</w:t>
      </w:r>
    </w:p>
    <w:p w:rsidR="00950538" w:rsidRPr="00783992" w:rsidRDefault="00950538" w:rsidP="00950538">
      <w:pPr>
        <w:spacing w:line="276" w:lineRule="auto"/>
        <w:ind w:left="709" w:right="709"/>
        <w:jc w:val="both"/>
        <w:rPr>
          <w:rFonts w:ascii="Arial" w:eastAsia="Calibri" w:hAnsi="Arial" w:cs="Arial"/>
          <w:color w:val="000000" w:themeColor="text1"/>
          <w:sz w:val="22"/>
        </w:rPr>
      </w:pPr>
    </w:p>
    <w:p w:rsidR="00950538" w:rsidRPr="00783992" w:rsidRDefault="00950538" w:rsidP="00950538">
      <w:pPr>
        <w:spacing w:line="276" w:lineRule="auto"/>
        <w:jc w:val="both"/>
        <w:rPr>
          <w:rFonts w:ascii="Arial" w:eastAsia="Calibri" w:hAnsi="Arial" w:cs="Arial"/>
          <w:color w:val="000000" w:themeColor="text1"/>
          <w:sz w:val="22"/>
        </w:rPr>
      </w:pPr>
      <w:r w:rsidRPr="00783992">
        <w:rPr>
          <w:rFonts w:ascii="Arial" w:eastAsia="Calibri" w:hAnsi="Arial" w:cs="Arial"/>
          <w:color w:val="000000" w:themeColor="text1"/>
          <w:sz w:val="22"/>
        </w:rPr>
        <w:t>Este concepto tiene el alcance previsto en el artículo 28 del Código de Procedimiento Administrativo y de lo Contencioso Administrativo.</w:t>
      </w:r>
    </w:p>
    <w:p w:rsidR="00950538" w:rsidRPr="00783992" w:rsidRDefault="00950538" w:rsidP="00950538">
      <w:pPr>
        <w:spacing w:line="276" w:lineRule="auto"/>
        <w:jc w:val="both"/>
        <w:rPr>
          <w:rFonts w:ascii="Arial" w:eastAsia="Calibri" w:hAnsi="Arial" w:cs="Arial"/>
          <w:color w:val="000000" w:themeColor="text1"/>
          <w:sz w:val="22"/>
        </w:rPr>
      </w:pPr>
    </w:p>
    <w:p w:rsidR="00950538" w:rsidRPr="00783992" w:rsidRDefault="00950538" w:rsidP="00950538">
      <w:pPr>
        <w:jc w:val="both"/>
        <w:rPr>
          <w:rFonts w:ascii="Arial" w:eastAsia="Calibri" w:hAnsi="Arial" w:cs="Arial"/>
          <w:color w:val="000000" w:themeColor="text1"/>
          <w:sz w:val="22"/>
        </w:rPr>
      </w:pPr>
      <w:r w:rsidRPr="00783992">
        <w:rPr>
          <w:noProof/>
          <w:color w:val="000000" w:themeColor="text1"/>
          <w:lang w:val="es-CO" w:eastAsia="es-CO"/>
        </w:rPr>
        <mc:AlternateContent>
          <mc:Choice Requires="wps">
            <w:drawing>
              <wp:anchor distT="0" distB="0" distL="114300" distR="114300" simplePos="0" relativeHeight="251659264" behindDoc="0" locked="0" layoutInCell="1" allowOverlap="1" wp14:anchorId="517877A9" wp14:editId="15937D4B">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BC94355"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rsidR="00950538" w:rsidRDefault="00950538" w:rsidP="00950538">
      <w:pPr>
        <w:rPr>
          <w:rFonts w:ascii="Arial" w:eastAsia="Times New Roman" w:hAnsi="Arial" w:cs="Arial"/>
          <w:color w:val="000000" w:themeColor="text1"/>
          <w:sz w:val="22"/>
          <w:lang w:eastAsia="es-CO"/>
        </w:rPr>
      </w:pPr>
      <w:r w:rsidRPr="00783992">
        <w:rPr>
          <w:rFonts w:ascii="Arial" w:eastAsia="Times New Roman" w:hAnsi="Arial" w:cs="Arial"/>
          <w:color w:val="000000" w:themeColor="text1"/>
          <w:sz w:val="22"/>
          <w:lang w:eastAsia="es-CO"/>
        </w:rPr>
        <w:t>Atentamente,</w:t>
      </w:r>
    </w:p>
    <w:p w:rsidR="00950538" w:rsidRDefault="00950538" w:rsidP="00950538">
      <w:pPr>
        <w:rPr>
          <w:rFonts w:ascii="Arial" w:eastAsia="Times New Roman" w:hAnsi="Arial" w:cs="Arial"/>
          <w:color w:val="000000" w:themeColor="text1"/>
          <w:sz w:val="22"/>
          <w:lang w:eastAsia="es-CO"/>
        </w:rPr>
      </w:pPr>
    </w:p>
    <w:p w:rsidR="00950538" w:rsidRPr="00783992" w:rsidRDefault="00955BAF" w:rsidP="00950538">
      <w:pPr>
        <w:jc w:val="center"/>
        <w:rPr>
          <w:rFonts w:ascii="Arial" w:eastAsia="Times New Roman" w:hAnsi="Arial" w:cs="Arial"/>
          <w:color w:val="000000" w:themeColor="text1"/>
          <w:sz w:val="22"/>
          <w:lang w:eastAsia="es-CO"/>
        </w:rPr>
      </w:pPr>
      <w:r w:rsidRPr="00955BAF">
        <w:rPr>
          <w:rFonts w:ascii="Arial" w:eastAsia="Times New Roman" w:hAnsi="Arial" w:cs="Arial"/>
          <w:noProof/>
          <w:color w:val="000000" w:themeColor="text1"/>
          <w:sz w:val="22"/>
          <w:lang w:val="es-CO" w:eastAsia="es-CO"/>
        </w:rPr>
        <w:drawing>
          <wp:inline distT="0" distB="0" distL="0" distR="0">
            <wp:extent cx="2171700" cy="923925"/>
            <wp:effectExtent l="0" t="0" r="0" b="9525"/>
            <wp:docPr id="3" name="Imagen 3" descr="C:\Users\Andres\Desktop\CCE\Original firmado Manci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s\Desktop\CCE\Original firmado Mancip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bookmarkStart w:id="46" w:name="_GoBack"/>
      <w:bookmarkEnd w:id="46"/>
    </w:p>
    <w:p w:rsidR="00950538" w:rsidRPr="00783992" w:rsidRDefault="00950538" w:rsidP="0095053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50538" w:rsidRPr="00783992" w:rsidTr="00BB4821">
        <w:trPr>
          <w:trHeight w:val="315"/>
        </w:trPr>
        <w:tc>
          <w:tcPr>
            <w:tcW w:w="488" w:type="dxa"/>
            <w:vAlign w:val="center"/>
            <w:hideMark/>
          </w:tcPr>
          <w:p w:rsidR="00950538" w:rsidRPr="00783992" w:rsidRDefault="00950538" w:rsidP="00BB4821">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rsidR="00950538" w:rsidRPr="00783992" w:rsidRDefault="00950538" w:rsidP="00BB4821">
            <w:pPr>
              <w:rPr>
                <w:rFonts w:ascii="Arial" w:eastAsia="Times New Roman" w:hAnsi="Arial" w:cs="Arial"/>
                <w:color w:val="000000" w:themeColor="text1"/>
                <w:sz w:val="16"/>
                <w:szCs w:val="16"/>
                <w:lang w:eastAsia="es-ES"/>
              </w:rPr>
            </w:pPr>
            <w:proofErr w:type="spellStart"/>
            <w:r>
              <w:rPr>
                <w:rFonts w:ascii="Arial" w:eastAsia="Times New Roman" w:hAnsi="Arial" w:cs="Arial"/>
                <w:color w:val="000000" w:themeColor="text1"/>
                <w:sz w:val="16"/>
                <w:szCs w:val="16"/>
                <w:lang w:eastAsia="es-ES"/>
              </w:rPr>
              <w:t>Nathalia</w:t>
            </w:r>
            <w:proofErr w:type="spellEnd"/>
            <w:r>
              <w:rPr>
                <w:rFonts w:ascii="Arial" w:eastAsia="Times New Roman" w:hAnsi="Arial" w:cs="Arial"/>
                <w:color w:val="000000" w:themeColor="text1"/>
                <w:sz w:val="16"/>
                <w:szCs w:val="16"/>
                <w:lang w:eastAsia="es-ES"/>
              </w:rPr>
              <w:t xml:space="preserve"> Urrego Jiménez</w:t>
            </w:r>
          </w:p>
          <w:p w:rsidR="00950538" w:rsidRPr="00783992" w:rsidRDefault="00950538" w:rsidP="00BB482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 Subdirección de Gestión Contractual</w:t>
            </w:r>
          </w:p>
        </w:tc>
      </w:tr>
      <w:tr w:rsidR="00950538" w:rsidRPr="00783992" w:rsidTr="00BB4821">
        <w:trPr>
          <w:trHeight w:val="330"/>
        </w:trPr>
        <w:tc>
          <w:tcPr>
            <w:tcW w:w="488" w:type="dxa"/>
            <w:vAlign w:val="center"/>
            <w:hideMark/>
          </w:tcPr>
          <w:p w:rsidR="00950538" w:rsidRPr="00783992" w:rsidRDefault="00950538" w:rsidP="00BB4821">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rsidR="00950538" w:rsidRPr="00783992" w:rsidRDefault="00950538" w:rsidP="00BB482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rsidR="00950538" w:rsidRPr="00783992" w:rsidRDefault="00950538" w:rsidP="00BB482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Pr="00783992">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Pr="00783992">
              <w:rPr>
                <w:rFonts w:ascii="Arial" w:eastAsia="Times New Roman" w:hAnsi="Arial" w:cs="Arial"/>
                <w:color w:val="000000" w:themeColor="text1"/>
                <w:sz w:val="16"/>
                <w:szCs w:val="16"/>
                <w:lang w:eastAsia="es-ES"/>
              </w:rPr>
              <w:t xml:space="preserve"> de Gestión Contractual</w:t>
            </w:r>
          </w:p>
        </w:tc>
      </w:tr>
      <w:tr w:rsidR="00950538" w:rsidRPr="00783992" w:rsidTr="00BB4821">
        <w:trPr>
          <w:trHeight w:val="300"/>
        </w:trPr>
        <w:tc>
          <w:tcPr>
            <w:tcW w:w="488" w:type="dxa"/>
            <w:vAlign w:val="center"/>
            <w:hideMark/>
          </w:tcPr>
          <w:p w:rsidR="00950538" w:rsidRPr="00783992" w:rsidRDefault="00950538" w:rsidP="00BB4821">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rsidR="00950538" w:rsidRPr="00783992" w:rsidRDefault="00950538" w:rsidP="00BB4821">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Andrés Ricardo Mancipe</w:t>
            </w:r>
          </w:p>
          <w:p w:rsidR="00950538" w:rsidRPr="00783992" w:rsidRDefault="00950538" w:rsidP="00BB4821">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Subdirector de Gestión Contractual</w:t>
            </w:r>
            <w:r>
              <w:rPr>
                <w:rFonts w:ascii="Arial" w:eastAsia="Times New Roman" w:hAnsi="Arial" w:cs="Arial"/>
                <w:color w:val="000000" w:themeColor="text1"/>
                <w:sz w:val="16"/>
                <w:szCs w:val="16"/>
                <w:lang w:eastAsia="es-ES"/>
              </w:rPr>
              <w:t xml:space="preserve"> (e)</w:t>
            </w:r>
          </w:p>
        </w:tc>
      </w:tr>
      <w:tr w:rsidR="00950538" w:rsidRPr="00783992" w:rsidTr="00BB4821">
        <w:trPr>
          <w:trHeight w:val="300"/>
        </w:trPr>
        <w:tc>
          <w:tcPr>
            <w:tcW w:w="488" w:type="dxa"/>
            <w:vAlign w:val="center"/>
            <w:hideMark/>
          </w:tcPr>
          <w:p w:rsidR="00950538" w:rsidRPr="00783992" w:rsidRDefault="00950538" w:rsidP="00BB4821">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rsidR="00950538" w:rsidRPr="00783992" w:rsidRDefault="00950538" w:rsidP="00BB4821">
            <w:pPr>
              <w:rPr>
                <w:rFonts w:ascii="Arial" w:eastAsia="Times New Roman" w:hAnsi="Arial" w:cs="Arial"/>
                <w:color w:val="000000" w:themeColor="text1"/>
                <w:sz w:val="16"/>
                <w:szCs w:val="16"/>
                <w:lang w:eastAsia="es-ES"/>
              </w:rPr>
            </w:pPr>
            <w:r w:rsidRPr="00783992">
              <w:rPr>
                <w:rFonts w:ascii="Arial" w:eastAsia="Times New Roman" w:hAnsi="Arial" w:cs="Arial"/>
                <w:color w:val="000000" w:themeColor="text1"/>
                <w:sz w:val="16"/>
                <w:szCs w:val="16"/>
                <w:lang w:eastAsia="es-ES"/>
              </w:rPr>
              <w:t>0</w:t>
            </w:r>
          </w:p>
        </w:tc>
      </w:tr>
    </w:tbl>
    <w:p w:rsidR="00950538" w:rsidRPr="00783992" w:rsidRDefault="00950538" w:rsidP="00950538">
      <w:pPr>
        <w:jc w:val="both"/>
        <w:rPr>
          <w:rFonts w:ascii="Arial" w:eastAsia="Calibri" w:hAnsi="Arial" w:cs="Arial"/>
          <w:color w:val="000000" w:themeColor="text1"/>
          <w:sz w:val="22"/>
        </w:rPr>
      </w:pPr>
    </w:p>
    <w:p w:rsidR="00950538" w:rsidRPr="00783992" w:rsidRDefault="00950538" w:rsidP="00950538">
      <w:pPr>
        <w:rPr>
          <w:color w:val="000000" w:themeColor="text1"/>
        </w:rPr>
      </w:pPr>
    </w:p>
    <w:bookmarkEnd w:id="1"/>
    <w:p w:rsidR="00950538" w:rsidRPr="00783992" w:rsidRDefault="00950538" w:rsidP="00950538">
      <w:pPr>
        <w:pStyle w:val="Prrafodelista"/>
        <w:tabs>
          <w:tab w:val="left" w:pos="284"/>
        </w:tabs>
        <w:spacing w:line="276" w:lineRule="auto"/>
        <w:ind w:left="0"/>
        <w:jc w:val="both"/>
        <w:rPr>
          <w:rFonts w:ascii="Arial" w:eastAsia="Calibri" w:hAnsi="Arial" w:cs="Arial"/>
          <w:color w:val="000000" w:themeColor="text1"/>
          <w:sz w:val="22"/>
        </w:rPr>
      </w:pPr>
    </w:p>
    <w:p w:rsidR="00950538" w:rsidRDefault="00950538" w:rsidP="00950538"/>
    <w:p w:rsidR="00FF4395" w:rsidRDefault="005D5953"/>
    <w:sectPr w:rsidR="00FF4395" w:rsidSect="005A79FE">
      <w:headerReference w:type="default" r:id="rId7"/>
      <w:footerReference w:type="default" r:id="rId8"/>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953" w:rsidRDefault="005D5953" w:rsidP="00950538">
      <w:r>
        <w:separator/>
      </w:r>
    </w:p>
  </w:endnote>
  <w:endnote w:type="continuationSeparator" w:id="0">
    <w:p w:rsidR="005D5953" w:rsidRDefault="005D5953" w:rsidP="0095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943" w:rsidRDefault="005D5953" w:rsidP="007B0854">
    <w:pPr>
      <w:pStyle w:val="Sinespaciado"/>
      <w:jc w:val="center"/>
      <w:rPr>
        <w:rFonts w:ascii="Arial" w:hAnsi="Arial" w:cs="Arial"/>
        <w:sz w:val="18"/>
        <w:szCs w:val="18"/>
      </w:rPr>
    </w:pPr>
  </w:p>
  <w:p w:rsidR="00897943" w:rsidRPr="005A79FE" w:rsidRDefault="00B75505"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55BAF">
      <w:rPr>
        <w:rFonts w:ascii="Arial" w:hAnsi="Arial" w:cs="Arial"/>
        <w:b/>
        <w:bCs/>
        <w:noProof/>
        <w:color w:val="7F7F7F" w:themeColor="text1" w:themeTint="80"/>
        <w:sz w:val="16"/>
        <w:szCs w:val="16"/>
      </w:rPr>
      <w:t>27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55BAF">
      <w:rPr>
        <w:rFonts w:ascii="Arial" w:hAnsi="Arial" w:cs="Arial"/>
        <w:b/>
        <w:bCs/>
        <w:noProof/>
        <w:color w:val="7F7F7F" w:themeColor="text1" w:themeTint="80"/>
        <w:sz w:val="16"/>
        <w:szCs w:val="16"/>
      </w:rPr>
      <w:t>29</w:t>
    </w:r>
    <w:r w:rsidRPr="00084B97">
      <w:rPr>
        <w:rFonts w:ascii="Arial" w:hAnsi="Arial" w:cs="Arial"/>
        <w:b/>
        <w:bCs/>
        <w:color w:val="7F7F7F" w:themeColor="text1" w:themeTint="80"/>
        <w:sz w:val="16"/>
        <w:szCs w:val="16"/>
      </w:rPr>
      <w:fldChar w:fldCharType="end"/>
    </w:r>
  </w:p>
  <w:p w:rsidR="00897943" w:rsidRDefault="00B75505" w:rsidP="007B0854">
    <w:pPr>
      <w:pStyle w:val="Piedepgina"/>
      <w:jc w:val="center"/>
      <w:rPr>
        <w:lang w:val="es-ES"/>
      </w:rPr>
    </w:pPr>
    <w:r>
      <w:rPr>
        <w:noProof/>
        <w:lang w:val="es-CO" w:eastAsia="es-CO"/>
      </w:rPr>
      <w:drawing>
        <wp:inline distT="0" distB="0" distL="0" distR="0" wp14:anchorId="013752E4" wp14:editId="4273B292">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rsidR="00897943" w:rsidRPr="007B0854" w:rsidRDefault="005D5953"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953" w:rsidRDefault="005D5953" w:rsidP="00950538">
      <w:r>
        <w:separator/>
      </w:r>
    </w:p>
  </w:footnote>
  <w:footnote w:type="continuationSeparator" w:id="0">
    <w:p w:rsidR="005D5953" w:rsidRDefault="005D5953" w:rsidP="00950538">
      <w:r>
        <w:continuationSeparator/>
      </w:r>
    </w:p>
  </w:footnote>
  <w:footnote w:id="1">
    <w:p w:rsidR="00950538" w:rsidRPr="007E587C" w:rsidRDefault="00950538" w:rsidP="00950538">
      <w:pPr>
        <w:pStyle w:val="Textonotapie"/>
        <w:ind w:firstLine="709"/>
        <w:jc w:val="both"/>
        <w:rPr>
          <w:rFonts w:ascii="Arial" w:hAnsi="Arial" w:cs="Arial"/>
          <w:color w:val="000000" w:themeColor="text1"/>
          <w:sz w:val="19"/>
          <w:szCs w:val="19"/>
          <w:lang w:val="es-ES"/>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w:t>
      </w:r>
      <w:r w:rsidRPr="007E587C">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rsidR="00950538" w:rsidRPr="007E587C" w:rsidRDefault="00950538" w:rsidP="00950538">
      <w:pPr>
        <w:pStyle w:val="Textonotapie"/>
        <w:ind w:firstLine="709"/>
        <w:jc w:val="both"/>
        <w:rPr>
          <w:rFonts w:ascii="Arial" w:hAnsi="Arial" w:cs="Arial"/>
          <w:color w:val="000000" w:themeColor="text1"/>
          <w:sz w:val="19"/>
          <w:szCs w:val="19"/>
          <w:lang w:val="es-ES"/>
        </w:rPr>
      </w:pPr>
      <w:r w:rsidRPr="007E587C">
        <w:rPr>
          <w:rFonts w:ascii="Arial" w:hAnsi="Arial" w:cs="Arial"/>
          <w:color w:val="000000" w:themeColor="text1"/>
          <w:sz w:val="19"/>
          <w:szCs w:val="19"/>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rsidR="00950538" w:rsidRPr="007E587C" w:rsidRDefault="00950538" w:rsidP="00950538">
      <w:pPr>
        <w:pStyle w:val="Textonotapie"/>
        <w:ind w:firstLine="709"/>
        <w:jc w:val="both"/>
        <w:rPr>
          <w:rFonts w:ascii="Arial" w:hAnsi="Arial" w:cs="Arial"/>
          <w:color w:val="000000" w:themeColor="text1"/>
          <w:sz w:val="19"/>
          <w:szCs w:val="19"/>
          <w:lang w:val="es-ES"/>
        </w:rPr>
      </w:pPr>
      <w:r w:rsidRPr="007E587C">
        <w:rPr>
          <w:rFonts w:ascii="Arial" w:hAnsi="Arial" w:cs="Arial"/>
          <w:color w:val="000000" w:themeColor="text1"/>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rsidR="00950538" w:rsidRPr="007E587C" w:rsidRDefault="00950538" w:rsidP="00950538">
      <w:pPr>
        <w:pStyle w:val="Textonotapie"/>
        <w:ind w:firstLine="709"/>
        <w:jc w:val="both"/>
        <w:rPr>
          <w:rFonts w:ascii="Arial" w:hAnsi="Arial" w:cs="Arial"/>
          <w:color w:val="000000" w:themeColor="text1"/>
          <w:sz w:val="19"/>
          <w:szCs w:val="19"/>
          <w:lang w:val="es-ES"/>
        </w:rPr>
      </w:pPr>
      <w:r w:rsidRPr="007E587C">
        <w:rPr>
          <w:rFonts w:ascii="Arial" w:hAnsi="Arial" w:cs="Arial"/>
          <w:color w:val="000000" w:themeColor="text1"/>
          <w:sz w:val="19"/>
          <w:szCs w:val="19"/>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rsidR="00950538" w:rsidRPr="007E587C" w:rsidRDefault="00950538" w:rsidP="00950538">
      <w:pPr>
        <w:pStyle w:val="Textonotapie"/>
        <w:ind w:firstLine="709"/>
        <w:jc w:val="both"/>
        <w:rPr>
          <w:rFonts w:ascii="Arial" w:hAnsi="Arial" w:cs="Arial"/>
          <w:color w:val="000000" w:themeColor="text1"/>
          <w:sz w:val="19"/>
          <w:szCs w:val="19"/>
          <w:lang w:val="es-ES"/>
        </w:rPr>
      </w:pPr>
      <w:r w:rsidRPr="007E587C">
        <w:rPr>
          <w:rFonts w:ascii="Arial" w:hAnsi="Arial" w:cs="Arial"/>
          <w:color w:val="000000" w:themeColor="text1"/>
          <w:sz w:val="19"/>
          <w:szCs w:val="19"/>
          <w:lang w:val="es-ES"/>
        </w:rPr>
        <w:t>»En caso de comparación de propuestas nacionales y extranjeras, se incluirán los costos necesarios para la entrega del producto terminado en el lugar de su utilización».</w:t>
      </w:r>
    </w:p>
  </w:footnote>
  <w:footnote w:id="2">
    <w:p w:rsidR="00950538" w:rsidRPr="007E587C" w:rsidRDefault="00950538" w:rsidP="00950538">
      <w:pPr>
        <w:pStyle w:val="Textonotapie"/>
        <w:ind w:firstLine="709"/>
        <w:jc w:val="both"/>
        <w:rPr>
          <w:rFonts w:ascii="Arial" w:hAnsi="Arial" w:cs="Arial"/>
          <w:color w:val="000000" w:themeColor="text1"/>
          <w:sz w:val="19"/>
          <w:szCs w:val="19"/>
          <w:lang w:val="es-ES"/>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Consejo de Estado. Sección Tercera. Subsección A. Sentencia del 25 de octubre de 2019. </w:t>
      </w:r>
      <w:proofErr w:type="spellStart"/>
      <w:r w:rsidRPr="007E587C">
        <w:rPr>
          <w:rFonts w:ascii="Arial" w:hAnsi="Arial" w:cs="Arial"/>
          <w:color w:val="000000" w:themeColor="text1"/>
          <w:sz w:val="19"/>
          <w:szCs w:val="19"/>
        </w:rPr>
        <w:t>Exp</w:t>
      </w:r>
      <w:proofErr w:type="spellEnd"/>
      <w:r w:rsidRPr="007E587C">
        <w:rPr>
          <w:rFonts w:ascii="Arial" w:hAnsi="Arial" w:cs="Arial"/>
          <w:color w:val="000000" w:themeColor="text1"/>
          <w:sz w:val="19"/>
          <w:szCs w:val="19"/>
        </w:rPr>
        <w:t>. 39.945. Consejera Ponente: María Adriana Marín.</w:t>
      </w:r>
    </w:p>
  </w:footnote>
  <w:footnote w:id="3">
    <w:p w:rsidR="00950538" w:rsidRPr="007E587C" w:rsidRDefault="00950538" w:rsidP="00950538">
      <w:pPr>
        <w:pStyle w:val="Textonotapie"/>
        <w:ind w:firstLine="709"/>
        <w:jc w:val="both"/>
        <w:rPr>
          <w:rFonts w:ascii="Arial" w:hAnsi="Arial" w:cs="Arial"/>
          <w:color w:val="000000" w:themeColor="text1"/>
          <w:sz w:val="19"/>
          <w:szCs w:val="19"/>
          <w:lang w:val="es-ES"/>
        </w:rPr>
      </w:pPr>
      <w:r w:rsidRPr="007E587C">
        <w:rPr>
          <w:rStyle w:val="Refdenotaalpie"/>
          <w:rFonts w:ascii="Arial" w:hAnsi="Arial" w:cs="Arial"/>
          <w:color w:val="000000" w:themeColor="text1"/>
          <w:sz w:val="19"/>
          <w:szCs w:val="19"/>
        </w:rPr>
        <w:footnoteRef/>
      </w:r>
      <w:r w:rsidRPr="007E587C">
        <w:rPr>
          <w:rStyle w:val="Refdenotaalpie"/>
          <w:rFonts w:ascii="Arial" w:hAnsi="Arial" w:cs="Arial"/>
          <w:color w:val="000000" w:themeColor="text1"/>
          <w:sz w:val="19"/>
          <w:szCs w:val="19"/>
        </w:rPr>
        <w:t xml:space="preserve"> </w:t>
      </w:r>
      <w:r w:rsidRPr="007E587C">
        <w:rPr>
          <w:rFonts w:ascii="Arial" w:hAnsi="Arial" w:cs="Arial"/>
          <w:color w:val="000000" w:themeColor="text1"/>
          <w:sz w:val="19"/>
          <w:szCs w:val="19"/>
        </w:rPr>
        <w:t xml:space="preserve">Consejo de Estado. Sección Tercera. Subsección A. Sentencia del 5 de julio de 2018. </w:t>
      </w:r>
      <w:proofErr w:type="spellStart"/>
      <w:r w:rsidRPr="007E587C">
        <w:rPr>
          <w:rFonts w:ascii="Arial" w:hAnsi="Arial" w:cs="Arial"/>
          <w:color w:val="000000" w:themeColor="text1"/>
          <w:sz w:val="19"/>
          <w:szCs w:val="19"/>
        </w:rPr>
        <w:t>Exp</w:t>
      </w:r>
      <w:proofErr w:type="spellEnd"/>
      <w:r w:rsidRPr="007E587C">
        <w:rPr>
          <w:rFonts w:ascii="Arial" w:hAnsi="Arial" w:cs="Arial"/>
          <w:color w:val="000000" w:themeColor="text1"/>
          <w:sz w:val="19"/>
          <w:szCs w:val="19"/>
        </w:rPr>
        <w:t>. 37.834. Consejero Ponente: Carlos Alberto Zambrano Barrera.</w:t>
      </w:r>
    </w:p>
  </w:footnote>
  <w:footnote w:id="4">
    <w:p w:rsidR="00950538" w:rsidRPr="007E587C" w:rsidRDefault="00950538" w:rsidP="00950538">
      <w:pPr>
        <w:pStyle w:val="Textonotapie"/>
        <w:ind w:firstLine="709"/>
        <w:jc w:val="both"/>
        <w:rPr>
          <w:rFonts w:ascii="Arial" w:hAnsi="Arial" w:cs="Arial"/>
          <w:color w:val="000000" w:themeColor="text1"/>
          <w:sz w:val="19"/>
          <w:szCs w:val="19"/>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rsidR="00950538" w:rsidRPr="00005C9A" w:rsidRDefault="00950538" w:rsidP="00950538">
      <w:pPr>
        <w:pStyle w:val="Textonotapie"/>
        <w:ind w:firstLine="709"/>
        <w:jc w:val="both"/>
        <w:rPr>
          <w:rFonts w:ascii="Arial" w:hAnsi="Arial" w:cs="Arial"/>
          <w:color w:val="000000" w:themeColor="text1"/>
          <w:sz w:val="19"/>
          <w:szCs w:val="19"/>
        </w:rPr>
      </w:pPr>
    </w:p>
  </w:footnote>
  <w:footnote w:id="5">
    <w:p w:rsidR="00950538" w:rsidRPr="007E587C" w:rsidRDefault="00950538" w:rsidP="00950538">
      <w:pPr>
        <w:pStyle w:val="Textonotapie"/>
        <w:ind w:firstLine="709"/>
        <w:jc w:val="both"/>
        <w:rPr>
          <w:rFonts w:ascii="Arial" w:hAnsi="Arial" w:cs="Arial"/>
          <w:color w:val="000000" w:themeColor="text1"/>
          <w:sz w:val="19"/>
          <w:szCs w:val="19"/>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rsidR="00950538" w:rsidRPr="007E587C" w:rsidRDefault="00950538" w:rsidP="00950538">
      <w:pPr>
        <w:pStyle w:val="Textonotapie"/>
        <w:ind w:firstLine="709"/>
        <w:jc w:val="both"/>
        <w:rPr>
          <w:rFonts w:ascii="Arial" w:hAnsi="Arial" w:cs="Arial"/>
          <w:color w:val="000000" w:themeColor="text1"/>
          <w:sz w:val="19"/>
          <w:szCs w:val="19"/>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7">
    <w:p w:rsidR="00950538" w:rsidRPr="007E587C" w:rsidRDefault="00950538" w:rsidP="00950538">
      <w:pPr>
        <w:pStyle w:val="Textonotapie"/>
        <w:ind w:firstLine="709"/>
        <w:jc w:val="both"/>
        <w:rPr>
          <w:rFonts w:ascii="Arial" w:hAnsi="Arial" w:cs="Arial"/>
          <w:color w:val="000000" w:themeColor="text1"/>
          <w:sz w:val="19"/>
          <w:szCs w:val="19"/>
          <w:lang w:val="es-CO"/>
        </w:rPr>
      </w:pPr>
      <w:r w:rsidRPr="007E587C">
        <w:rPr>
          <w:rStyle w:val="Refdenotaalpie"/>
          <w:rFonts w:ascii="Arial" w:hAnsi="Arial" w:cs="Arial"/>
          <w:color w:val="000000" w:themeColor="text1"/>
          <w:sz w:val="19"/>
          <w:szCs w:val="19"/>
        </w:rPr>
        <w:footnoteRef/>
      </w:r>
      <w:r w:rsidRPr="007E587C">
        <w:rPr>
          <w:rStyle w:val="Refdenotaalpie"/>
          <w:rFonts w:ascii="Arial" w:hAnsi="Arial" w:cs="Arial"/>
          <w:color w:val="000000" w:themeColor="text1"/>
          <w:sz w:val="19"/>
          <w:szCs w:val="19"/>
        </w:rPr>
        <w:t xml:space="preserve"> </w:t>
      </w:r>
      <w:r w:rsidRPr="007E587C">
        <w:rPr>
          <w:rFonts w:ascii="Arial" w:hAnsi="Arial" w:cs="Arial"/>
          <w:color w:val="000000" w:themeColor="text1"/>
          <w:sz w:val="19"/>
          <w:szCs w:val="19"/>
          <w:lang w:val="es-CO"/>
        </w:rPr>
        <w:t>Ley 1150 de 2007, artículo 5, parágrafo 4°: «</w:t>
      </w:r>
      <w:r w:rsidRPr="007E587C">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8">
    <w:p w:rsidR="00950538" w:rsidRPr="007E587C" w:rsidRDefault="00950538" w:rsidP="00950538">
      <w:pPr>
        <w:ind w:firstLine="709"/>
        <w:jc w:val="both"/>
        <w:rPr>
          <w:rFonts w:ascii="Arial" w:hAnsi="Arial" w:cs="Arial"/>
          <w:color w:val="000000" w:themeColor="text1"/>
          <w:sz w:val="19"/>
          <w:szCs w:val="19"/>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Decreto 2474 de 2008 (DEROGADO): «art. 10. Reglas de </w:t>
      </w:r>
      <w:proofErr w:type="spellStart"/>
      <w:r w:rsidRPr="007E587C">
        <w:rPr>
          <w:rFonts w:ascii="Arial" w:hAnsi="Arial" w:cs="Arial"/>
          <w:color w:val="000000" w:themeColor="text1"/>
          <w:sz w:val="19"/>
          <w:szCs w:val="19"/>
        </w:rPr>
        <w:t>subsanabilidad</w:t>
      </w:r>
      <w:proofErr w:type="spellEnd"/>
      <w:r w:rsidRPr="007E587C">
        <w:rPr>
          <w:rFonts w:ascii="Arial" w:hAnsi="Arial" w:cs="Arial"/>
          <w:color w:val="000000" w:themeColor="text1"/>
          <w:sz w:val="19"/>
          <w:szCs w:val="19"/>
        </w:rPr>
        <w:t>.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7E587C">
          <w:rPr>
            <w:rFonts w:ascii="Arial" w:hAnsi="Arial" w:cs="Arial"/>
            <w:color w:val="000000" w:themeColor="text1"/>
            <w:sz w:val="19"/>
            <w:szCs w:val="19"/>
          </w:rPr>
          <w:t>Ley 1150 de 2007</w:t>
        </w:r>
      </w:hyperlink>
      <w:r w:rsidRPr="007E587C">
        <w:rPr>
          <w:rFonts w:ascii="Arial" w:hAnsi="Arial" w:cs="Arial"/>
          <w:color w:val="000000" w:themeColor="text1"/>
          <w:sz w:val="19"/>
          <w:szCs w:val="19"/>
        </w:rPr>
        <w:t> y en el presente decreto.</w:t>
      </w:r>
    </w:p>
    <w:p w:rsidR="00950538" w:rsidRPr="007E587C" w:rsidRDefault="00950538" w:rsidP="00950538">
      <w:pPr>
        <w:ind w:firstLine="709"/>
        <w:jc w:val="both"/>
        <w:rPr>
          <w:rFonts w:ascii="Arial" w:hAnsi="Arial" w:cs="Arial"/>
          <w:color w:val="000000" w:themeColor="text1"/>
          <w:sz w:val="19"/>
          <w:szCs w:val="19"/>
        </w:rPr>
      </w:pPr>
      <w:r w:rsidRPr="007E587C">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rsidR="00950538" w:rsidRPr="007E587C" w:rsidRDefault="00950538" w:rsidP="00950538">
      <w:pPr>
        <w:ind w:firstLine="709"/>
        <w:jc w:val="both"/>
        <w:rPr>
          <w:rFonts w:ascii="Arial" w:hAnsi="Arial" w:cs="Arial"/>
          <w:color w:val="000000" w:themeColor="text1"/>
          <w:sz w:val="19"/>
          <w:szCs w:val="19"/>
        </w:rPr>
      </w:pPr>
      <w:r w:rsidRPr="007E587C">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rsidR="00950538" w:rsidRPr="007E587C" w:rsidRDefault="00950538" w:rsidP="00950538">
      <w:pPr>
        <w:ind w:firstLine="709"/>
        <w:jc w:val="both"/>
        <w:rPr>
          <w:rFonts w:ascii="Arial" w:hAnsi="Arial" w:cs="Arial"/>
          <w:color w:val="000000" w:themeColor="text1"/>
          <w:sz w:val="19"/>
          <w:szCs w:val="19"/>
        </w:rPr>
      </w:pPr>
      <w:r w:rsidRPr="007E587C">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rsidR="00950538" w:rsidRPr="007E587C" w:rsidRDefault="00950538" w:rsidP="00950538">
      <w:pPr>
        <w:ind w:firstLine="709"/>
        <w:jc w:val="both"/>
        <w:rPr>
          <w:rFonts w:ascii="Arial" w:hAnsi="Arial" w:cs="Arial"/>
          <w:color w:val="000000" w:themeColor="text1"/>
          <w:sz w:val="19"/>
          <w:szCs w:val="19"/>
        </w:rPr>
      </w:pPr>
      <w:r w:rsidRPr="007E587C">
        <w:rPr>
          <w:rFonts w:ascii="Arial" w:hAnsi="Arial" w:cs="Arial"/>
          <w:color w:val="000000" w:themeColor="text1"/>
          <w:sz w:val="19"/>
          <w:szCs w:val="19"/>
        </w:rPr>
        <w:t xml:space="preserve">»En ningún caso la entidad podrá señalar taxativamente los requisitos o documentos subsanables o no subsanables en el pliego de condiciones, </w:t>
      </w:r>
      <w:r w:rsidRPr="00005C9A">
        <w:rPr>
          <w:rFonts w:ascii="Arial" w:hAnsi="Arial" w:cs="Arial"/>
          <w:i/>
          <w:iCs/>
          <w:color w:val="000000" w:themeColor="text1"/>
          <w:sz w:val="19"/>
          <w:szCs w:val="19"/>
        </w:rPr>
        <w:t>ni permitir que se subsane la falta de capacidad para presentar la oferta, ni que se acrediten circunstancias ocurridas con posterioridad al cierre del proceso</w:t>
      </w:r>
      <w:r w:rsidRPr="007E587C">
        <w:rPr>
          <w:rFonts w:ascii="Arial" w:hAnsi="Arial" w:cs="Arial"/>
          <w:color w:val="000000" w:themeColor="text1"/>
          <w:sz w:val="19"/>
          <w:szCs w:val="19"/>
        </w:rPr>
        <w:t xml:space="preserve">». (Cursivas fuera de texto). </w:t>
      </w:r>
    </w:p>
    <w:p w:rsidR="00950538" w:rsidRPr="007E587C" w:rsidRDefault="00950538" w:rsidP="00950538">
      <w:pPr>
        <w:pStyle w:val="Textonotapie"/>
        <w:ind w:firstLine="709"/>
        <w:jc w:val="both"/>
        <w:rPr>
          <w:rFonts w:ascii="Arial" w:hAnsi="Arial" w:cs="Arial"/>
          <w:color w:val="000000" w:themeColor="text1"/>
          <w:sz w:val="19"/>
          <w:szCs w:val="19"/>
        </w:rPr>
      </w:pPr>
    </w:p>
  </w:footnote>
  <w:footnote w:id="9">
    <w:p w:rsidR="00950538" w:rsidRPr="007E587C" w:rsidRDefault="00950538" w:rsidP="00950538">
      <w:pPr>
        <w:pStyle w:val="Textonotapie"/>
        <w:ind w:firstLine="709"/>
        <w:jc w:val="both"/>
        <w:rPr>
          <w:rFonts w:ascii="Arial" w:hAnsi="Arial" w:cs="Arial"/>
          <w:color w:val="000000" w:themeColor="text1"/>
          <w:sz w:val="19"/>
          <w:szCs w:val="19"/>
          <w:lang w:val="es-CO"/>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w:t>
      </w:r>
      <w:r w:rsidRPr="007E587C">
        <w:rPr>
          <w:rFonts w:ascii="Arial" w:hAnsi="Arial" w:cs="Arial"/>
          <w:color w:val="000000" w:themeColor="text1"/>
          <w:sz w:val="19"/>
          <w:szCs w:val="19"/>
          <w:lang w:val="es-CO"/>
        </w:rPr>
        <w:t>Consejo de Estado, Sala de Consulta y Servicio Civil, concepto del 6 de noviembre de 2008. C.P. William Zambrano Cetina. Rad. 2008-00079-00(1927).</w:t>
      </w:r>
    </w:p>
    <w:p w:rsidR="00950538" w:rsidRPr="007E587C" w:rsidRDefault="00950538" w:rsidP="00950538">
      <w:pPr>
        <w:pStyle w:val="Textonotapie"/>
        <w:ind w:firstLine="709"/>
        <w:jc w:val="both"/>
        <w:rPr>
          <w:rFonts w:ascii="Arial" w:hAnsi="Arial" w:cs="Arial"/>
          <w:color w:val="000000" w:themeColor="text1"/>
          <w:sz w:val="19"/>
          <w:szCs w:val="19"/>
        </w:rPr>
      </w:pPr>
      <w:r w:rsidRPr="007E587C">
        <w:rPr>
          <w:rFonts w:ascii="Arial" w:hAnsi="Arial" w:cs="Arial"/>
          <w:color w:val="000000" w:themeColor="text1"/>
          <w:sz w:val="19"/>
          <w:szCs w:val="19"/>
        </w:rPr>
        <w:t xml:space="preserve">  </w:t>
      </w:r>
    </w:p>
  </w:footnote>
  <w:footnote w:id="10">
    <w:p w:rsidR="00950538" w:rsidRPr="007E587C" w:rsidRDefault="00950538" w:rsidP="00950538">
      <w:pPr>
        <w:pStyle w:val="Textonotapie"/>
        <w:ind w:firstLine="709"/>
        <w:jc w:val="both"/>
        <w:rPr>
          <w:rFonts w:ascii="Arial" w:hAnsi="Arial" w:cs="Arial"/>
          <w:color w:val="000000" w:themeColor="text1"/>
          <w:sz w:val="19"/>
          <w:szCs w:val="19"/>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w:t>
      </w:r>
      <w:r w:rsidRPr="007E587C">
        <w:rPr>
          <w:rFonts w:ascii="Arial" w:hAnsi="Arial" w:cs="Arial"/>
          <w:color w:val="000000" w:themeColor="text1"/>
          <w:sz w:val="19"/>
          <w:szCs w:val="19"/>
          <w:lang w:val="es-CO"/>
        </w:rPr>
        <w:t xml:space="preserve">Ver Consejo de Estado, Sección Tercera, Subsección C. Sentencia del 26 de febrero de 2011. C.P. Jaime Orlando </w:t>
      </w:r>
      <w:proofErr w:type="spellStart"/>
      <w:r w:rsidRPr="007E587C">
        <w:rPr>
          <w:rFonts w:ascii="Arial" w:hAnsi="Arial" w:cs="Arial"/>
          <w:color w:val="000000" w:themeColor="text1"/>
          <w:sz w:val="19"/>
          <w:szCs w:val="19"/>
          <w:lang w:val="es-CO"/>
        </w:rPr>
        <w:t>Santofimio</w:t>
      </w:r>
      <w:proofErr w:type="spellEnd"/>
      <w:r w:rsidRPr="007E587C">
        <w:rPr>
          <w:rFonts w:ascii="Arial" w:hAnsi="Arial" w:cs="Arial"/>
          <w:color w:val="000000" w:themeColor="text1"/>
          <w:sz w:val="19"/>
          <w:szCs w:val="19"/>
          <w:lang w:val="es-CO"/>
        </w:rPr>
        <w:t>. Rad. 36.408.</w:t>
      </w:r>
      <w:r w:rsidRPr="007E587C">
        <w:rPr>
          <w:rFonts w:ascii="Arial" w:hAnsi="Arial" w:cs="Arial"/>
          <w:color w:val="000000" w:themeColor="text1"/>
          <w:sz w:val="19"/>
          <w:szCs w:val="19"/>
        </w:rPr>
        <w:t xml:space="preserve">  </w:t>
      </w:r>
    </w:p>
    <w:p w:rsidR="00950538" w:rsidRPr="007E587C" w:rsidRDefault="00950538" w:rsidP="00950538">
      <w:pPr>
        <w:pStyle w:val="Textonotapie"/>
        <w:ind w:firstLine="709"/>
        <w:jc w:val="both"/>
        <w:rPr>
          <w:rFonts w:ascii="Arial" w:hAnsi="Arial" w:cs="Arial"/>
          <w:color w:val="000000" w:themeColor="text1"/>
          <w:sz w:val="19"/>
          <w:szCs w:val="19"/>
        </w:rPr>
      </w:pPr>
    </w:p>
  </w:footnote>
  <w:footnote w:id="11">
    <w:p w:rsidR="00950538" w:rsidRPr="007E587C" w:rsidRDefault="00950538" w:rsidP="00950538">
      <w:pPr>
        <w:pStyle w:val="Textonotapie"/>
        <w:ind w:firstLine="709"/>
        <w:jc w:val="both"/>
        <w:rPr>
          <w:rFonts w:ascii="Arial" w:hAnsi="Arial" w:cs="Arial"/>
          <w:color w:val="000000" w:themeColor="text1"/>
          <w:sz w:val="19"/>
          <w:szCs w:val="19"/>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w:t>
      </w:r>
      <w:r w:rsidRPr="007E587C">
        <w:rPr>
          <w:rFonts w:ascii="Arial" w:hAnsi="Arial" w:cs="Arial"/>
          <w:color w:val="000000" w:themeColor="text1"/>
          <w:sz w:val="19"/>
          <w:szCs w:val="19"/>
          <w:lang w:val="es-CO"/>
        </w:rPr>
        <w:t>Ver Consejo de Estado, Sección Tercera, Subsección C. Sentencia del 26 de febrero de 2014. C.P. Enrique Gil Botero. Rad. 25.804.</w:t>
      </w:r>
      <w:r w:rsidRPr="007E587C">
        <w:rPr>
          <w:rFonts w:ascii="Arial" w:hAnsi="Arial" w:cs="Arial"/>
          <w:color w:val="000000" w:themeColor="text1"/>
          <w:sz w:val="19"/>
          <w:szCs w:val="19"/>
        </w:rPr>
        <w:t xml:space="preserve">  </w:t>
      </w:r>
    </w:p>
    <w:p w:rsidR="00950538" w:rsidRPr="007E587C" w:rsidRDefault="00950538" w:rsidP="00950538">
      <w:pPr>
        <w:pStyle w:val="Textonotapie"/>
        <w:ind w:firstLine="709"/>
        <w:jc w:val="both"/>
        <w:rPr>
          <w:rFonts w:ascii="Arial" w:hAnsi="Arial" w:cs="Arial"/>
          <w:color w:val="000000" w:themeColor="text1"/>
          <w:sz w:val="19"/>
          <w:szCs w:val="19"/>
        </w:rPr>
      </w:pPr>
    </w:p>
  </w:footnote>
  <w:footnote w:id="12">
    <w:p w:rsidR="00950538" w:rsidRPr="007E587C" w:rsidRDefault="00950538" w:rsidP="00950538">
      <w:pPr>
        <w:pStyle w:val="Textonotapie"/>
        <w:ind w:firstLine="709"/>
        <w:jc w:val="both"/>
        <w:rPr>
          <w:rFonts w:ascii="Arial" w:hAnsi="Arial" w:cs="Arial"/>
          <w:color w:val="000000" w:themeColor="text1"/>
          <w:sz w:val="19"/>
          <w:szCs w:val="19"/>
          <w:lang w:val="es-CO"/>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w:t>
      </w:r>
      <w:r w:rsidRPr="007E587C">
        <w:rPr>
          <w:rFonts w:ascii="Arial" w:hAnsi="Arial" w:cs="Arial"/>
          <w:color w:val="000000" w:themeColor="text1"/>
          <w:sz w:val="19"/>
          <w:szCs w:val="19"/>
          <w:lang w:val="es-CO"/>
        </w:rPr>
        <w:t>Consejo de Estado, Sala de Consulta y Servicio Civil, concepto del 20 de mayo de 2010. C.P. Enrique José Arboleda Perdomo. Rad. 2010-00034-00(1992).</w:t>
      </w:r>
    </w:p>
    <w:p w:rsidR="00950538" w:rsidRPr="007E587C" w:rsidRDefault="00950538" w:rsidP="00950538">
      <w:pPr>
        <w:pStyle w:val="Textonotapie"/>
        <w:ind w:firstLine="709"/>
        <w:jc w:val="both"/>
        <w:rPr>
          <w:rFonts w:ascii="Arial" w:hAnsi="Arial" w:cs="Arial"/>
          <w:color w:val="000000" w:themeColor="text1"/>
          <w:sz w:val="19"/>
          <w:szCs w:val="19"/>
        </w:rPr>
      </w:pPr>
    </w:p>
  </w:footnote>
  <w:footnote w:id="13">
    <w:p w:rsidR="00950538" w:rsidRPr="00005C9A" w:rsidRDefault="00950538" w:rsidP="00950538">
      <w:pPr>
        <w:pStyle w:val="Textonotapie"/>
        <w:ind w:firstLine="708"/>
        <w:jc w:val="both"/>
        <w:rPr>
          <w:rFonts w:ascii="Arial" w:hAnsi="Arial" w:cs="Arial"/>
          <w:iCs/>
          <w:color w:val="000000" w:themeColor="text1"/>
          <w:sz w:val="19"/>
          <w:szCs w:val="19"/>
          <w:lang w:val="es-CO"/>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w:t>
      </w:r>
      <w:r w:rsidRPr="00005C9A">
        <w:rPr>
          <w:rFonts w:ascii="Arial" w:hAnsi="Arial" w:cs="Arial"/>
          <w:color w:val="000000" w:themeColor="text1"/>
          <w:sz w:val="19"/>
          <w:szCs w:val="19"/>
          <w:lang w:val="es-CO"/>
        </w:rPr>
        <w:t>Artículo</w:t>
      </w:r>
      <w:bookmarkStart w:id="2" w:name="72"/>
      <w:r w:rsidRPr="00005C9A">
        <w:rPr>
          <w:rFonts w:ascii="Arial" w:hAnsi="Arial" w:cs="Arial"/>
          <w:color w:val="000000" w:themeColor="text1"/>
          <w:sz w:val="19"/>
          <w:szCs w:val="19"/>
          <w:lang w:val="es-CO"/>
        </w:rPr>
        <w:t> </w:t>
      </w:r>
      <w:bookmarkEnd w:id="2"/>
      <w:r w:rsidRPr="00005C9A">
        <w:rPr>
          <w:rFonts w:ascii="Arial" w:hAnsi="Arial" w:cs="Arial"/>
          <w:color w:val="000000" w:themeColor="text1"/>
          <w:sz w:val="19"/>
          <w:szCs w:val="19"/>
          <w:lang w:val="es-CO"/>
        </w:rPr>
        <w:t>72.</w:t>
      </w:r>
      <w:r w:rsidRPr="007E587C">
        <w:rPr>
          <w:rFonts w:ascii="Arial" w:hAnsi="Arial" w:cs="Arial"/>
          <w:color w:val="000000" w:themeColor="text1"/>
          <w:sz w:val="19"/>
          <w:szCs w:val="19"/>
          <w:lang w:val="es-CO"/>
        </w:rPr>
        <w:t> </w:t>
      </w:r>
      <w:r w:rsidRPr="00005C9A">
        <w:rPr>
          <w:rFonts w:ascii="Arial" w:hAnsi="Arial" w:cs="Arial"/>
          <w:iCs/>
          <w:color w:val="000000" w:themeColor="text1"/>
          <w:sz w:val="19"/>
          <w:szCs w:val="19"/>
          <w:lang w:val="es-CO"/>
        </w:rPr>
        <w:t>Capacidad residual de contratación pública</w:t>
      </w:r>
      <w:r w:rsidRPr="007E587C">
        <w:rPr>
          <w:rFonts w:ascii="Arial" w:hAnsi="Arial" w:cs="Arial"/>
          <w:color w:val="000000" w:themeColor="text1"/>
          <w:sz w:val="19"/>
          <w:szCs w:val="19"/>
          <w:lang w:val="es-CO"/>
        </w:rPr>
        <w:t>:</w:t>
      </w:r>
      <w:r w:rsidRPr="00005C9A">
        <w:rPr>
          <w:rFonts w:ascii="Arial" w:hAnsi="Arial" w:cs="Arial"/>
          <w:i/>
          <w:iCs/>
          <w:color w:val="000000" w:themeColor="text1"/>
          <w:sz w:val="19"/>
          <w:szCs w:val="19"/>
          <w:lang w:val="es-CO"/>
        </w:rPr>
        <w:t xml:space="preserve"> </w:t>
      </w:r>
      <w:r w:rsidRPr="007E587C">
        <w:rPr>
          <w:rFonts w:ascii="Arial" w:hAnsi="Arial" w:cs="Arial"/>
          <w:color w:val="000000" w:themeColor="text1"/>
          <w:sz w:val="19"/>
          <w:szCs w:val="19"/>
          <w:lang w:val="es-CO"/>
        </w:rPr>
        <w:t>La capacidad residual de contratación cuando obra pública se obtendrá de sustraer de la capacidad del valor de los contratos en ejecución.</w:t>
      </w:r>
    </w:p>
    <w:p w:rsidR="00950538" w:rsidRPr="007E587C" w:rsidRDefault="00950538" w:rsidP="00950538">
      <w:pPr>
        <w:pStyle w:val="Textonotapie"/>
        <w:ind w:firstLine="708"/>
        <w:jc w:val="both"/>
        <w:rPr>
          <w:rFonts w:ascii="Arial" w:hAnsi="Arial" w:cs="Arial"/>
          <w:color w:val="000000" w:themeColor="text1"/>
          <w:sz w:val="19"/>
          <w:szCs w:val="19"/>
          <w:lang w:val="es-CO"/>
        </w:rPr>
      </w:pPr>
      <w:r w:rsidRPr="007E587C">
        <w:rPr>
          <w:rFonts w:ascii="Arial" w:hAnsi="Arial" w:cs="Arial"/>
          <w:color w:val="000000" w:themeColor="text1"/>
          <w:sz w:val="19"/>
          <w:szCs w:val="19"/>
          <w:lang w:val="es-CO"/>
        </w:rPr>
        <w:t>»La capacidad de contratación se deberá calcular mediante la evaluación de los siguientes factores: Experiencia (E), Capacidad Financiera (CF), Capacidad Técnica (CT), y Capacidad de Organización (CO).</w:t>
      </w:r>
    </w:p>
    <w:p w:rsidR="00950538" w:rsidRPr="007E587C" w:rsidRDefault="00950538" w:rsidP="00950538">
      <w:pPr>
        <w:pStyle w:val="Textonotapie"/>
        <w:ind w:firstLine="708"/>
        <w:jc w:val="both"/>
        <w:rPr>
          <w:rFonts w:ascii="Arial" w:hAnsi="Arial" w:cs="Arial"/>
          <w:color w:val="000000" w:themeColor="text1"/>
          <w:sz w:val="19"/>
          <w:szCs w:val="19"/>
          <w:lang w:val="es-CO"/>
        </w:rPr>
      </w:pPr>
      <w:r w:rsidRPr="007E587C">
        <w:rPr>
          <w:rFonts w:ascii="Arial" w:hAnsi="Arial" w:cs="Arial"/>
          <w:color w:val="000000" w:themeColor="text1"/>
          <w:sz w:val="19"/>
          <w:szCs w:val="19"/>
          <w:lang w:val="es-CO"/>
        </w:rPr>
        <w:t>»Para los efectos de la evaluación de los factores mencionados en el inciso anterior, por ningún motivo, ni bajo ninguna circunstancia se podrán tener en cuenta la rentabilidad y las utilidades.</w:t>
      </w:r>
    </w:p>
    <w:p w:rsidR="00950538" w:rsidRPr="007E587C" w:rsidRDefault="00950538" w:rsidP="00950538">
      <w:pPr>
        <w:pStyle w:val="Textonotapie"/>
        <w:ind w:firstLine="708"/>
        <w:jc w:val="both"/>
        <w:rPr>
          <w:rFonts w:ascii="Arial" w:hAnsi="Arial" w:cs="Arial"/>
          <w:color w:val="000000" w:themeColor="text1"/>
          <w:sz w:val="19"/>
          <w:szCs w:val="19"/>
          <w:lang w:val="es-CO"/>
        </w:rPr>
      </w:pPr>
      <w:r w:rsidRPr="007E587C">
        <w:rPr>
          <w:rFonts w:ascii="Arial" w:hAnsi="Arial" w:cs="Arial"/>
          <w:color w:val="000000" w:themeColor="text1"/>
          <w:sz w:val="19"/>
          <w:szCs w:val="19"/>
          <w:lang w:val="es-CO"/>
        </w:rPr>
        <w:t>»El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rsidR="00950538" w:rsidRPr="007E587C" w:rsidRDefault="00950538" w:rsidP="00950538">
      <w:pPr>
        <w:pStyle w:val="Textonotapie"/>
        <w:ind w:firstLine="708"/>
        <w:jc w:val="both"/>
        <w:rPr>
          <w:rFonts w:ascii="Arial" w:hAnsi="Arial" w:cs="Arial"/>
          <w:color w:val="000000" w:themeColor="text1"/>
          <w:sz w:val="19"/>
          <w:szCs w:val="19"/>
          <w:lang w:val="es-CO"/>
        </w:rPr>
      </w:pPr>
    </w:p>
  </w:footnote>
  <w:footnote w:id="14">
    <w:p w:rsidR="00950538" w:rsidRPr="007E587C" w:rsidRDefault="00950538" w:rsidP="00950538">
      <w:pPr>
        <w:pStyle w:val="NormalWeb"/>
        <w:shd w:val="clear" w:color="auto" w:fill="FFFFFF"/>
        <w:spacing w:before="0" w:beforeAutospacing="0" w:after="0" w:afterAutospacing="0"/>
        <w:ind w:firstLine="708"/>
        <w:jc w:val="both"/>
        <w:rPr>
          <w:rFonts w:ascii="Arial" w:eastAsiaTheme="minorHAnsi" w:hAnsi="Arial" w:cs="Arial"/>
          <w:color w:val="000000" w:themeColor="text1"/>
          <w:sz w:val="19"/>
          <w:szCs w:val="19"/>
          <w:lang w:eastAsia="en-US"/>
        </w:rPr>
      </w:pPr>
      <w:r w:rsidRPr="007E587C">
        <w:rPr>
          <w:rStyle w:val="Refdenotaalpie"/>
          <w:rFonts w:ascii="Arial" w:eastAsiaTheme="minorHAnsi" w:hAnsi="Arial" w:cs="Arial"/>
          <w:color w:val="000000" w:themeColor="text1"/>
          <w:sz w:val="19"/>
          <w:szCs w:val="19"/>
          <w:lang w:val="es-MX" w:eastAsia="en-US"/>
        </w:rPr>
        <w:footnoteRef/>
      </w:r>
      <w:r w:rsidRPr="007E587C">
        <w:rPr>
          <w:rStyle w:val="Refdenotaalpie"/>
          <w:rFonts w:ascii="Arial" w:eastAsiaTheme="minorHAnsi" w:hAnsi="Arial" w:cs="Arial"/>
          <w:color w:val="000000" w:themeColor="text1"/>
          <w:sz w:val="19"/>
          <w:szCs w:val="19"/>
          <w:lang w:val="es-MX" w:eastAsia="en-US"/>
        </w:rPr>
        <w:t xml:space="preserve"> </w:t>
      </w:r>
      <w:r w:rsidRPr="007E587C">
        <w:rPr>
          <w:rFonts w:ascii="Arial" w:hAnsi="Arial" w:cs="Arial"/>
          <w:color w:val="000000" w:themeColor="text1"/>
          <w:sz w:val="19"/>
          <w:szCs w:val="19"/>
        </w:rPr>
        <w:t>«</w:t>
      </w:r>
      <w:r w:rsidRPr="007E587C">
        <w:rPr>
          <w:rFonts w:ascii="Arial" w:eastAsiaTheme="minorHAnsi" w:hAnsi="Arial" w:cs="Arial"/>
          <w:color w:val="000000" w:themeColor="text1"/>
          <w:sz w:val="19"/>
          <w:szCs w:val="19"/>
          <w:lang w:eastAsia="en-US"/>
        </w:rPr>
        <w:t>Artículo 2.2.1.1.1.6.4. Capacidad Residual: El interesado en celebrar contratos de obra pública con Entidades Estatales debe acreditar su Capacidad Residual o K de Contratación con los siguientes documentos:</w:t>
      </w:r>
    </w:p>
    <w:p w:rsidR="00950538" w:rsidRPr="007E587C" w:rsidRDefault="00950538" w:rsidP="00950538">
      <w:pPr>
        <w:shd w:val="clear" w:color="auto" w:fill="FFFFFF"/>
        <w:ind w:firstLine="708"/>
        <w:jc w:val="both"/>
        <w:rPr>
          <w:rFonts w:ascii="Arial" w:hAnsi="Arial" w:cs="Arial"/>
          <w:color w:val="000000" w:themeColor="text1"/>
          <w:sz w:val="19"/>
          <w:szCs w:val="19"/>
          <w:lang w:val="es-CO"/>
        </w:rPr>
      </w:pPr>
      <w:r w:rsidRPr="007E587C">
        <w:rPr>
          <w:rFonts w:ascii="Arial" w:hAnsi="Arial" w:cs="Arial"/>
          <w:color w:val="000000" w:themeColor="text1"/>
          <w:sz w:val="19"/>
          <w:szCs w:val="19"/>
          <w:lang w:val="es-CO"/>
        </w:rPr>
        <w:t>»1. La lista de los contratos de obras civiles en ejecución suscritos con Entidades Estatales y con entidades privadas, así como el valor y plazo de tales contratos, incluyendo contratos de concesión y los contratos de obra suscritos con concesionarios.</w:t>
      </w:r>
    </w:p>
    <w:p w:rsidR="00950538" w:rsidRPr="007E587C" w:rsidRDefault="00950538" w:rsidP="00950538">
      <w:pPr>
        <w:shd w:val="clear" w:color="auto" w:fill="FFFFFF"/>
        <w:ind w:firstLine="708"/>
        <w:jc w:val="both"/>
        <w:rPr>
          <w:rFonts w:ascii="Arial" w:hAnsi="Arial" w:cs="Arial"/>
          <w:color w:val="000000" w:themeColor="text1"/>
          <w:sz w:val="19"/>
          <w:szCs w:val="19"/>
          <w:lang w:val="es-CO"/>
        </w:rPr>
      </w:pPr>
      <w:r w:rsidRPr="007E587C">
        <w:rPr>
          <w:rFonts w:ascii="Arial" w:hAnsi="Arial" w:cs="Arial"/>
          <w:color w:val="000000" w:themeColor="text1"/>
          <w:sz w:val="19"/>
          <w:szCs w:val="19"/>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rsidR="00950538" w:rsidRPr="007E587C" w:rsidRDefault="00950538" w:rsidP="00950538">
      <w:pPr>
        <w:shd w:val="clear" w:color="auto" w:fill="FFFFFF"/>
        <w:ind w:firstLine="708"/>
        <w:jc w:val="both"/>
        <w:rPr>
          <w:rFonts w:ascii="Arial" w:hAnsi="Arial" w:cs="Arial"/>
          <w:color w:val="000000" w:themeColor="text1"/>
          <w:sz w:val="19"/>
          <w:szCs w:val="19"/>
          <w:lang w:val="es-CO"/>
        </w:rPr>
      </w:pPr>
      <w:r w:rsidRPr="007E587C">
        <w:rPr>
          <w:rFonts w:ascii="Arial" w:hAnsi="Arial" w:cs="Arial"/>
          <w:color w:val="000000" w:themeColor="text1"/>
          <w:sz w:val="19"/>
          <w:szCs w:val="19"/>
          <w:lang w:val="es-CO"/>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rsidR="00950538" w:rsidRPr="007E587C" w:rsidRDefault="00950538" w:rsidP="00950538">
      <w:pPr>
        <w:shd w:val="clear" w:color="auto" w:fill="FFFFFF"/>
        <w:ind w:firstLine="708"/>
        <w:jc w:val="both"/>
        <w:rPr>
          <w:rFonts w:ascii="Arial" w:hAnsi="Arial" w:cs="Arial"/>
          <w:color w:val="000000" w:themeColor="text1"/>
          <w:sz w:val="19"/>
          <w:szCs w:val="19"/>
          <w:lang w:val="es-CO"/>
        </w:rPr>
      </w:pPr>
    </w:p>
  </w:footnote>
  <w:footnote w:id="15">
    <w:p w:rsidR="00950538" w:rsidRPr="007E587C" w:rsidRDefault="00950538" w:rsidP="00950538">
      <w:pPr>
        <w:pStyle w:val="Textonotapie"/>
        <w:ind w:firstLine="708"/>
        <w:jc w:val="both"/>
        <w:rPr>
          <w:rFonts w:ascii="Arial" w:hAnsi="Arial" w:cs="Arial"/>
          <w:color w:val="000000" w:themeColor="text1"/>
          <w:sz w:val="19"/>
          <w:szCs w:val="19"/>
          <w:lang w:val="es-CO"/>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w:t>
      </w:r>
      <w:r w:rsidRPr="007E587C">
        <w:rPr>
          <w:rFonts w:ascii="Arial" w:hAnsi="Arial" w:cs="Arial"/>
          <w:color w:val="000000" w:themeColor="text1"/>
          <w:sz w:val="19"/>
          <w:szCs w:val="19"/>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00950538" w:rsidRPr="007E587C" w:rsidRDefault="00950538" w:rsidP="00950538">
      <w:pPr>
        <w:pStyle w:val="Textonotapie"/>
        <w:jc w:val="both"/>
        <w:rPr>
          <w:rFonts w:ascii="Arial" w:hAnsi="Arial" w:cs="Arial"/>
          <w:color w:val="000000" w:themeColor="text1"/>
          <w:sz w:val="19"/>
          <w:szCs w:val="19"/>
          <w:lang w:val="es-CO"/>
        </w:rPr>
      </w:pPr>
      <w:r w:rsidRPr="007E587C">
        <w:rPr>
          <w:rFonts w:ascii="Arial" w:hAnsi="Arial" w:cs="Arial"/>
          <w:color w:val="000000" w:themeColor="text1"/>
          <w:sz w:val="19"/>
          <w:szCs w:val="19"/>
          <w:lang w:val="es-CO"/>
        </w:rPr>
        <w:tab/>
        <w:t xml:space="preserve">»[…] </w:t>
      </w:r>
    </w:p>
    <w:p w:rsidR="00950538" w:rsidRPr="007E587C" w:rsidRDefault="00950538" w:rsidP="00950538">
      <w:pPr>
        <w:pStyle w:val="Textonotapie"/>
        <w:ind w:firstLine="708"/>
        <w:jc w:val="both"/>
        <w:rPr>
          <w:rFonts w:ascii="Arial" w:hAnsi="Arial" w:cs="Arial"/>
          <w:color w:val="000000" w:themeColor="text1"/>
          <w:sz w:val="19"/>
          <w:szCs w:val="19"/>
        </w:rPr>
      </w:pPr>
      <w:r w:rsidRPr="007E587C">
        <w:rPr>
          <w:rFonts w:ascii="Arial" w:hAnsi="Arial" w:cs="Arial"/>
          <w:color w:val="000000" w:themeColor="text1"/>
          <w:sz w:val="19"/>
          <w:szCs w:val="19"/>
          <w:lang w:val="es-CO"/>
        </w:rPr>
        <w:t>»</w:t>
      </w:r>
      <w:r w:rsidRPr="007E587C">
        <w:rPr>
          <w:rFonts w:ascii="Arial" w:hAnsi="Arial" w:cs="Arial"/>
          <w:color w:val="000000" w:themeColor="text1"/>
          <w:sz w:val="19"/>
          <w:szCs w:val="19"/>
        </w:rPr>
        <w:t>En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rsidR="00950538" w:rsidRPr="007E587C" w:rsidRDefault="00950538" w:rsidP="00950538">
      <w:pPr>
        <w:shd w:val="clear" w:color="auto" w:fill="FFFFFF"/>
        <w:ind w:firstLine="708"/>
        <w:jc w:val="both"/>
        <w:rPr>
          <w:rFonts w:ascii="Arial" w:hAnsi="Arial" w:cs="Arial"/>
          <w:color w:val="000000" w:themeColor="text1"/>
          <w:sz w:val="19"/>
          <w:szCs w:val="19"/>
        </w:rPr>
      </w:pPr>
      <w:r w:rsidRPr="007E587C">
        <w:rPr>
          <w:rFonts w:ascii="Arial" w:hAnsi="Arial" w:cs="Arial"/>
          <w:color w:val="000000" w:themeColor="text1"/>
          <w:sz w:val="19"/>
          <w:szCs w:val="19"/>
          <w:lang w:val="es-CO"/>
        </w:rPr>
        <w:t>»</w:t>
      </w:r>
      <w:r w:rsidRPr="007E587C">
        <w:rPr>
          <w:rFonts w:ascii="Arial" w:hAnsi="Arial" w:cs="Arial"/>
          <w:color w:val="000000" w:themeColor="text1"/>
          <w:sz w:val="19"/>
          <w:szCs w:val="19"/>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rsidR="00950538" w:rsidRPr="007E587C" w:rsidRDefault="00950538" w:rsidP="00950538">
      <w:pPr>
        <w:shd w:val="clear" w:color="auto" w:fill="FFFFFF"/>
        <w:ind w:firstLine="708"/>
        <w:jc w:val="both"/>
        <w:rPr>
          <w:rFonts w:ascii="Arial" w:hAnsi="Arial" w:cs="Arial"/>
          <w:color w:val="000000" w:themeColor="text1"/>
          <w:sz w:val="19"/>
          <w:szCs w:val="19"/>
        </w:rPr>
      </w:pPr>
      <w:r w:rsidRPr="007E587C">
        <w:rPr>
          <w:rFonts w:ascii="Arial" w:hAnsi="Arial" w:cs="Arial"/>
          <w:color w:val="000000" w:themeColor="text1"/>
          <w:sz w:val="19"/>
          <w:szCs w:val="19"/>
          <w:lang w:val="es-CO"/>
        </w:rPr>
        <w:t>»</w:t>
      </w:r>
      <w:r w:rsidRPr="007E587C">
        <w:rPr>
          <w:rFonts w:ascii="Arial" w:hAnsi="Arial" w:cs="Arial"/>
          <w:color w:val="000000" w:themeColor="text1"/>
          <w:sz w:val="19"/>
          <w:szCs w:val="19"/>
        </w:rPr>
        <w:t>La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sidRPr="007E587C">
        <w:rPr>
          <w:rFonts w:ascii="Arial" w:hAnsi="Arial" w:cs="Arial"/>
          <w:color w:val="000000" w:themeColor="text1"/>
          <w:sz w:val="19"/>
          <w:szCs w:val="19"/>
          <w:lang w:val="es-CO"/>
        </w:rPr>
        <w:t>»</w:t>
      </w:r>
      <w:r w:rsidRPr="007E587C">
        <w:rPr>
          <w:rFonts w:ascii="Arial" w:hAnsi="Arial" w:cs="Arial"/>
          <w:color w:val="000000" w:themeColor="text1"/>
          <w:sz w:val="19"/>
          <w:szCs w:val="19"/>
        </w:rPr>
        <w:t>.</w:t>
      </w:r>
    </w:p>
    <w:p w:rsidR="00950538" w:rsidRPr="007E587C" w:rsidRDefault="00950538" w:rsidP="00950538">
      <w:pPr>
        <w:pStyle w:val="Textonotapie"/>
        <w:jc w:val="both"/>
        <w:rPr>
          <w:rFonts w:ascii="Arial" w:hAnsi="Arial" w:cs="Arial"/>
          <w:color w:val="000000" w:themeColor="text1"/>
          <w:sz w:val="19"/>
          <w:szCs w:val="19"/>
          <w:lang w:val="es-CO"/>
        </w:rPr>
      </w:pPr>
    </w:p>
  </w:footnote>
  <w:footnote w:id="16">
    <w:p w:rsidR="00950538" w:rsidRPr="007E587C" w:rsidRDefault="00950538" w:rsidP="00950538">
      <w:pPr>
        <w:pStyle w:val="Textonotapie"/>
        <w:ind w:firstLine="708"/>
        <w:jc w:val="both"/>
        <w:rPr>
          <w:rFonts w:ascii="Arial" w:hAnsi="Arial" w:cs="Arial"/>
          <w:color w:val="000000" w:themeColor="text1"/>
          <w:sz w:val="19"/>
          <w:szCs w:val="19"/>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Documento base o Pliego Tipo: «1.6 </w:t>
      </w:r>
      <w:bookmarkStart w:id="3" w:name="_Toc424219434"/>
      <w:bookmarkStart w:id="4" w:name="_Toc504124487"/>
      <w:bookmarkStart w:id="5" w:name="_Toc508648246"/>
      <w:bookmarkStart w:id="6" w:name="_Toc508984030"/>
      <w:bookmarkStart w:id="7" w:name="_Toc509843860"/>
      <w:bookmarkStart w:id="8" w:name="_Toc511924768"/>
      <w:bookmarkStart w:id="9" w:name="_Toc520226857"/>
      <w:bookmarkStart w:id="10" w:name="_Toc520297827"/>
      <w:bookmarkStart w:id="11" w:name="_Toc520317092"/>
      <w:bookmarkStart w:id="12" w:name="_Ref531072997"/>
      <w:bookmarkStart w:id="13" w:name="_Toc533083693"/>
      <w:bookmarkStart w:id="14" w:name="_Ref4939799"/>
      <w:bookmarkStart w:id="15" w:name="_Ref5005523"/>
      <w:bookmarkStart w:id="16" w:name="_Toc5006124"/>
      <w:r w:rsidRPr="007E587C">
        <w:rPr>
          <w:rFonts w:ascii="Arial" w:hAnsi="Arial" w:cs="Arial"/>
          <w:color w:val="000000" w:themeColor="text1"/>
          <w:sz w:val="19"/>
          <w:szCs w:val="19"/>
        </w:rPr>
        <w:t xml:space="preserve">Reglas de </w:t>
      </w:r>
      <w:proofErr w:type="spellStart"/>
      <w:r w:rsidRPr="007E587C">
        <w:rPr>
          <w:rFonts w:ascii="Arial" w:hAnsi="Arial" w:cs="Arial"/>
          <w:color w:val="000000" w:themeColor="text1"/>
          <w:sz w:val="19"/>
          <w:szCs w:val="19"/>
        </w:rPr>
        <w:t>subsanabilidad</w:t>
      </w:r>
      <w:bookmarkEnd w:id="3"/>
      <w:bookmarkEnd w:id="4"/>
      <w:bookmarkEnd w:id="5"/>
      <w:bookmarkEnd w:id="6"/>
      <w:bookmarkEnd w:id="7"/>
      <w:bookmarkEnd w:id="8"/>
      <w:bookmarkEnd w:id="9"/>
      <w:bookmarkEnd w:id="10"/>
      <w:bookmarkEnd w:id="11"/>
      <w:bookmarkEnd w:id="12"/>
      <w:bookmarkEnd w:id="13"/>
      <w:bookmarkEnd w:id="14"/>
      <w:bookmarkEnd w:id="15"/>
      <w:bookmarkEnd w:id="16"/>
      <w:proofErr w:type="spellEnd"/>
      <w:r w:rsidRPr="007E587C">
        <w:rPr>
          <w:rFonts w:ascii="Arial" w:hAnsi="Arial" w:cs="Arial"/>
          <w:color w:val="000000" w:themeColor="text1"/>
          <w:sz w:val="19"/>
          <w:szCs w:val="19"/>
        </w:rPr>
        <w:t>: 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rsidR="00950538" w:rsidRPr="007E587C" w:rsidRDefault="00950538" w:rsidP="00950538">
      <w:pPr>
        <w:pStyle w:val="Textonotapie"/>
        <w:ind w:firstLine="708"/>
        <w:jc w:val="both"/>
        <w:rPr>
          <w:rFonts w:ascii="Arial" w:hAnsi="Arial" w:cs="Arial"/>
          <w:color w:val="000000" w:themeColor="text1"/>
          <w:sz w:val="19"/>
          <w:szCs w:val="19"/>
        </w:rPr>
      </w:pPr>
      <w:r w:rsidRPr="007E587C">
        <w:rPr>
          <w:rFonts w:ascii="Arial" w:hAnsi="Arial" w:cs="Arial"/>
          <w:color w:val="000000" w:themeColor="text1"/>
          <w:sz w:val="19"/>
          <w:szCs w:val="19"/>
        </w:rPr>
        <w:t>»En caso de ser necesario, la Entidad deberá solicitar a los Proponentes, las aclaraciones, precisiones o solicitud de documentos que puedan ser subsanables. No obstante, los Proponentes no podrán completar, adicionar, modificar o mejorar sus propuestas.</w:t>
      </w:r>
    </w:p>
    <w:p w:rsidR="00950538" w:rsidRPr="007E587C" w:rsidRDefault="00950538" w:rsidP="00950538">
      <w:pPr>
        <w:pStyle w:val="Textonotapie"/>
        <w:ind w:firstLine="708"/>
        <w:jc w:val="both"/>
        <w:rPr>
          <w:rFonts w:ascii="Arial" w:hAnsi="Arial" w:cs="Arial"/>
          <w:color w:val="000000" w:themeColor="text1"/>
          <w:sz w:val="19"/>
          <w:szCs w:val="19"/>
        </w:rPr>
      </w:pPr>
      <w:r w:rsidRPr="007E587C">
        <w:rPr>
          <w:rFonts w:ascii="Arial" w:hAnsi="Arial" w:cs="Arial"/>
          <w:color w:val="000000" w:themeColor="text1"/>
          <w:sz w:val="19"/>
          <w:szCs w:val="19"/>
        </w:rPr>
        <w:t xml:space="preserve">»Los Proponentes deberán </w:t>
      </w:r>
      <w:bookmarkStart w:id="17" w:name="_Hlk508011077"/>
      <w:r w:rsidRPr="007E587C">
        <w:rPr>
          <w:rFonts w:ascii="Arial" w:hAnsi="Arial" w:cs="Arial"/>
          <w:color w:val="000000" w:themeColor="text1"/>
          <w:sz w:val="19"/>
          <w:szCs w:val="19"/>
        </w:rPr>
        <w:t>allegar las aclaraciones o documentos requeridos</w:t>
      </w:r>
      <w:bookmarkEnd w:id="17"/>
      <w:r w:rsidRPr="007E587C">
        <w:rPr>
          <w:rFonts w:ascii="Arial" w:hAnsi="Arial" w:cs="Arial"/>
          <w:color w:val="000000" w:themeColor="text1"/>
          <w:sz w:val="19"/>
          <w:szCs w:val="19"/>
        </w:rPr>
        <w:t xml:space="preserve"> hasta el término de traslado del informe de evaluación. </w:t>
      </w:r>
    </w:p>
    <w:p w:rsidR="00950538" w:rsidRPr="007E587C" w:rsidRDefault="00950538" w:rsidP="00950538">
      <w:pPr>
        <w:pStyle w:val="Textonotapie"/>
        <w:ind w:firstLine="708"/>
        <w:jc w:val="both"/>
        <w:rPr>
          <w:rFonts w:ascii="Arial" w:hAnsi="Arial" w:cs="Arial"/>
          <w:color w:val="000000" w:themeColor="text1"/>
          <w:sz w:val="19"/>
          <w:szCs w:val="19"/>
        </w:rPr>
      </w:pPr>
      <w:r w:rsidRPr="007E587C">
        <w:rPr>
          <w:rFonts w:ascii="Arial" w:hAnsi="Arial" w:cs="Arial"/>
          <w:color w:val="000000" w:themeColor="text1"/>
          <w:sz w:val="19"/>
          <w:szCs w:val="19"/>
        </w:rPr>
        <w:t xml:space="preserve">»En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caso de que sea necesario, la Entidad ajustará el cronograma. </w:t>
      </w:r>
    </w:p>
    <w:p w:rsidR="00950538" w:rsidRPr="007E587C" w:rsidRDefault="00950538" w:rsidP="00950538">
      <w:pPr>
        <w:pStyle w:val="Textonotapie"/>
        <w:ind w:firstLine="708"/>
        <w:jc w:val="both"/>
        <w:rPr>
          <w:rFonts w:ascii="Arial" w:hAnsi="Arial" w:cs="Arial"/>
          <w:color w:val="000000" w:themeColor="text1"/>
          <w:sz w:val="19"/>
          <w:szCs w:val="19"/>
        </w:rPr>
      </w:pPr>
      <w:r w:rsidRPr="007E587C">
        <w:rPr>
          <w:rFonts w:ascii="Arial" w:hAnsi="Arial" w:cs="Arial"/>
          <w:color w:val="000000" w:themeColor="text1"/>
          <w:sz w:val="19"/>
          <w:szCs w:val="19"/>
        </w:rPr>
        <w:t>»Todos aquellos requisitos de la oferta que afecten la asignación de puntaje, incluyendo los necesarios para acreditar requisitos de desempate, no son subsanables, por lo que los mismos deben ser aportados por los Proponentes desde la presentación de la oferta.</w:t>
      </w:r>
    </w:p>
    <w:p w:rsidR="00950538" w:rsidRPr="007E587C" w:rsidRDefault="00950538" w:rsidP="00950538">
      <w:pPr>
        <w:pStyle w:val="Textonotapie"/>
        <w:ind w:firstLine="708"/>
        <w:jc w:val="both"/>
        <w:rPr>
          <w:rFonts w:ascii="Arial" w:hAnsi="Arial" w:cs="Arial"/>
          <w:color w:val="000000" w:themeColor="text1"/>
          <w:sz w:val="19"/>
          <w:szCs w:val="19"/>
        </w:rPr>
      </w:pPr>
      <w:bookmarkStart w:id="18" w:name="_Toc511375632"/>
      <w:bookmarkStart w:id="19" w:name="_Toc511375810"/>
      <w:bookmarkStart w:id="20" w:name="_Toc511375634"/>
      <w:bookmarkStart w:id="21" w:name="_Toc511375812"/>
      <w:bookmarkStart w:id="22" w:name="_Toc511375635"/>
      <w:bookmarkStart w:id="23" w:name="_Toc511375813"/>
      <w:bookmarkStart w:id="24" w:name="_Toc511375637"/>
      <w:bookmarkStart w:id="25" w:name="_Toc511375815"/>
      <w:bookmarkStart w:id="26" w:name="_Toc511379955"/>
      <w:bookmarkEnd w:id="18"/>
      <w:bookmarkEnd w:id="19"/>
      <w:bookmarkEnd w:id="20"/>
      <w:bookmarkEnd w:id="21"/>
      <w:bookmarkEnd w:id="22"/>
      <w:bookmarkEnd w:id="23"/>
      <w:bookmarkEnd w:id="24"/>
      <w:bookmarkEnd w:id="25"/>
      <w:bookmarkEnd w:id="26"/>
      <w:r w:rsidRPr="007E587C">
        <w:rPr>
          <w:rFonts w:ascii="Arial" w:hAnsi="Arial" w:cs="Arial"/>
          <w:color w:val="000000" w:themeColor="text1"/>
          <w:sz w:val="19"/>
          <w:szCs w:val="19"/>
        </w:rPr>
        <w:t>»En virtud del principio de Buena Fe, los Proponentes que presenten observaciones al proceso o a las ofertas y conductas de los demás oferentes deberán justificar y demostrar la procedencia y oportunidad de estas».</w:t>
      </w:r>
    </w:p>
    <w:p w:rsidR="00950538" w:rsidRPr="007E587C" w:rsidRDefault="00950538" w:rsidP="00950538">
      <w:pPr>
        <w:pStyle w:val="Textonotapie"/>
        <w:ind w:firstLine="708"/>
        <w:jc w:val="both"/>
        <w:rPr>
          <w:rFonts w:ascii="Arial" w:hAnsi="Arial" w:cs="Arial"/>
          <w:color w:val="000000" w:themeColor="text1"/>
          <w:sz w:val="19"/>
          <w:szCs w:val="19"/>
        </w:rPr>
      </w:pPr>
    </w:p>
  </w:footnote>
  <w:footnote w:id="17">
    <w:p w:rsidR="00950538" w:rsidRPr="007E587C" w:rsidRDefault="00950538" w:rsidP="00950538">
      <w:pPr>
        <w:pStyle w:val="Textonotapie"/>
        <w:ind w:firstLine="709"/>
        <w:jc w:val="both"/>
        <w:rPr>
          <w:rFonts w:ascii="Arial" w:hAnsi="Arial" w:cs="Arial"/>
          <w:color w:val="000000" w:themeColor="text1"/>
          <w:sz w:val="19"/>
          <w:szCs w:val="19"/>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Consejo de Estado. Sección Tercera. Subsección B. Sentencia del 27 de abril de 2011. </w:t>
      </w:r>
      <w:proofErr w:type="spellStart"/>
      <w:r w:rsidRPr="007E587C">
        <w:rPr>
          <w:rFonts w:ascii="Arial" w:hAnsi="Arial" w:cs="Arial"/>
          <w:color w:val="000000" w:themeColor="text1"/>
          <w:sz w:val="19"/>
          <w:szCs w:val="19"/>
        </w:rPr>
        <w:t>Exp</w:t>
      </w:r>
      <w:proofErr w:type="spellEnd"/>
      <w:r w:rsidRPr="007E587C">
        <w:rPr>
          <w:rFonts w:ascii="Arial" w:hAnsi="Arial" w:cs="Arial"/>
          <w:color w:val="000000" w:themeColor="text1"/>
          <w:sz w:val="19"/>
          <w:szCs w:val="19"/>
        </w:rPr>
        <w:t>. 18.293. C.P. Ruth Stella Correa Palacio.</w:t>
      </w:r>
    </w:p>
    <w:p w:rsidR="00950538" w:rsidRPr="007E587C" w:rsidRDefault="00950538" w:rsidP="00950538">
      <w:pPr>
        <w:pStyle w:val="Textonotapie"/>
        <w:jc w:val="both"/>
        <w:rPr>
          <w:rFonts w:ascii="Arial" w:hAnsi="Arial" w:cs="Arial"/>
          <w:color w:val="000000" w:themeColor="text1"/>
          <w:sz w:val="19"/>
          <w:szCs w:val="19"/>
        </w:rPr>
      </w:pPr>
    </w:p>
  </w:footnote>
  <w:footnote w:id="18">
    <w:p w:rsidR="00950538" w:rsidRPr="007E587C" w:rsidRDefault="00950538" w:rsidP="00950538">
      <w:pPr>
        <w:pStyle w:val="Capitulo1"/>
        <w:spacing w:before="0" w:after="0" w:line="240" w:lineRule="auto"/>
        <w:ind w:left="0" w:firstLine="709"/>
        <w:jc w:val="both"/>
        <w:rPr>
          <w:b w:val="0"/>
          <w:color w:val="000000" w:themeColor="text1"/>
          <w:sz w:val="19"/>
          <w:szCs w:val="19"/>
        </w:rPr>
      </w:pPr>
      <w:r w:rsidRPr="007E587C">
        <w:rPr>
          <w:rStyle w:val="Refdenotaalpie"/>
          <w:b w:val="0"/>
          <w:color w:val="000000" w:themeColor="text1"/>
          <w:sz w:val="19"/>
          <w:szCs w:val="19"/>
        </w:rPr>
        <w:footnoteRef/>
      </w:r>
      <w:r w:rsidRPr="007E587C">
        <w:rPr>
          <w:b w:val="0"/>
          <w:color w:val="000000" w:themeColor="text1"/>
          <w:sz w:val="19"/>
          <w:szCs w:val="19"/>
        </w:rPr>
        <w:t xml:space="preserve"> Pliegos Tipo: «Numeral 1.15: </w:t>
      </w:r>
      <w:bookmarkStart w:id="29" w:name="_Hlk517183910"/>
      <w:bookmarkStart w:id="30" w:name="_Toc508648255"/>
      <w:bookmarkStart w:id="31" w:name="_Ref508649364"/>
      <w:bookmarkStart w:id="32" w:name="_Toc508984039"/>
      <w:bookmarkStart w:id="33" w:name="_Toc509843869"/>
      <w:bookmarkStart w:id="34" w:name="_Toc511924777"/>
      <w:bookmarkStart w:id="35" w:name="_Toc520226866"/>
      <w:bookmarkStart w:id="36" w:name="_Toc520297836"/>
      <w:bookmarkStart w:id="37" w:name="_Toc520317101"/>
      <w:bookmarkStart w:id="38" w:name="_Toc533083702"/>
      <w:bookmarkStart w:id="39" w:name="_Toc5006133"/>
      <w:r w:rsidRPr="007E587C">
        <w:rPr>
          <w:b w:val="0"/>
          <w:color w:val="000000" w:themeColor="text1"/>
          <w:sz w:val="19"/>
          <w:szCs w:val="19"/>
        </w:rPr>
        <w:t>Causales de rechazo</w:t>
      </w:r>
      <w:bookmarkEnd w:id="29"/>
      <w:bookmarkEnd w:id="30"/>
      <w:bookmarkEnd w:id="31"/>
      <w:bookmarkEnd w:id="32"/>
      <w:bookmarkEnd w:id="33"/>
      <w:bookmarkEnd w:id="34"/>
      <w:bookmarkEnd w:id="35"/>
      <w:bookmarkEnd w:id="36"/>
      <w:bookmarkEnd w:id="37"/>
      <w:bookmarkEnd w:id="38"/>
      <w:bookmarkEnd w:id="39"/>
      <w:r w:rsidRPr="007E587C">
        <w:rPr>
          <w:b w:val="0"/>
          <w:color w:val="000000" w:themeColor="text1"/>
          <w:sz w:val="19"/>
          <w:szCs w:val="19"/>
        </w:rPr>
        <w:t>: Son</w:t>
      </w:r>
      <w:r w:rsidRPr="007E587C">
        <w:rPr>
          <w:rFonts w:eastAsia="Arial"/>
          <w:b w:val="0"/>
          <w:color w:val="000000" w:themeColor="text1"/>
          <w:sz w:val="19"/>
          <w:szCs w:val="19"/>
        </w:rPr>
        <w:t xml:space="preserve"> </w:t>
      </w:r>
      <w:r w:rsidRPr="007E587C">
        <w:rPr>
          <w:b w:val="0"/>
          <w:color w:val="000000" w:themeColor="text1"/>
          <w:sz w:val="19"/>
          <w:szCs w:val="19"/>
        </w:rPr>
        <w:t>causales</w:t>
      </w:r>
      <w:r w:rsidRPr="007E587C">
        <w:rPr>
          <w:rFonts w:eastAsia="Arial"/>
          <w:b w:val="0"/>
          <w:color w:val="000000" w:themeColor="text1"/>
          <w:sz w:val="19"/>
          <w:szCs w:val="19"/>
        </w:rPr>
        <w:t xml:space="preserve"> </w:t>
      </w:r>
      <w:r w:rsidRPr="007E587C">
        <w:rPr>
          <w:b w:val="0"/>
          <w:color w:val="000000" w:themeColor="text1"/>
          <w:sz w:val="19"/>
          <w:szCs w:val="19"/>
        </w:rPr>
        <w:t>de</w:t>
      </w:r>
      <w:r w:rsidRPr="007E587C">
        <w:rPr>
          <w:rFonts w:eastAsia="Arial"/>
          <w:b w:val="0"/>
          <w:color w:val="000000" w:themeColor="text1"/>
          <w:sz w:val="19"/>
          <w:szCs w:val="19"/>
        </w:rPr>
        <w:t xml:space="preserve"> </w:t>
      </w:r>
      <w:r w:rsidRPr="007E587C">
        <w:rPr>
          <w:b w:val="0"/>
          <w:color w:val="000000" w:themeColor="text1"/>
          <w:sz w:val="19"/>
          <w:szCs w:val="19"/>
        </w:rPr>
        <w:t>rechazo</w:t>
      </w:r>
      <w:r w:rsidRPr="007E587C">
        <w:rPr>
          <w:rFonts w:eastAsia="Arial"/>
          <w:b w:val="0"/>
          <w:color w:val="000000" w:themeColor="text1"/>
          <w:sz w:val="19"/>
          <w:szCs w:val="19"/>
        </w:rPr>
        <w:t xml:space="preserve"> </w:t>
      </w:r>
      <w:r w:rsidRPr="007E587C">
        <w:rPr>
          <w:b w:val="0"/>
          <w:color w:val="000000" w:themeColor="text1"/>
          <w:sz w:val="19"/>
          <w:szCs w:val="19"/>
        </w:rPr>
        <w:t>las</w:t>
      </w:r>
      <w:r w:rsidRPr="007E587C">
        <w:rPr>
          <w:rFonts w:eastAsia="Arial"/>
          <w:b w:val="0"/>
          <w:color w:val="000000" w:themeColor="text1"/>
          <w:sz w:val="19"/>
          <w:szCs w:val="19"/>
        </w:rPr>
        <w:t xml:space="preserve"> </w:t>
      </w:r>
      <w:r w:rsidRPr="007E587C">
        <w:rPr>
          <w:b w:val="0"/>
          <w:color w:val="000000" w:themeColor="text1"/>
          <w:sz w:val="19"/>
          <w:szCs w:val="19"/>
        </w:rPr>
        <w:t>siguientes. [</w:t>
      </w:r>
      <w:r w:rsidRPr="007E587C">
        <w:rPr>
          <w:b w:val="0"/>
          <w:color w:val="000000" w:themeColor="text1"/>
          <w:sz w:val="19"/>
          <w:szCs w:val="19"/>
          <w:highlight w:val="lightGray"/>
        </w:rPr>
        <w:t>Las Entidades no podrán incluir causales de rechazo distintas a las incluidas en la presente sección</w:t>
      </w:r>
      <w:r w:rsidRPr="007E587C">
        <w:rPr>
          <w:b w:val="0"/>
          <w:color w:val="000000" w:themeColor="text1"/>
          <w:sz w:val="19"/>
          <w:szCs w:val="19"/>
        </w:rPr>
        <w:t>]:</w:t>
      </w:r>
    </w:p>
    <w:p w:rsidR="00950538" w:rsidRPr="007E587C" w:rsidRDefault="00950538" w:rsidP="00950538">
      <w:pPr>
        <w:pStyle w:val="Prrafodelista"/>
        <w:tabs>
          <w:tab w:val="left" w:pos="142"/>
          <w:tab w:val="left" w:pos="284"/>
        </w:tabs>
        <w:ind w:left="0" w:firstLine="709"/>
        <w:jc w:val="both"/>
        <w:rPr>
          <w:rFonts w:ascii="Arial" w:eastAsia="Times New Roman" w:hAnsi="Arial" w:cs="Arial"/>
          <w:color w:val="000000" w:themeColor="text1"/>
          <w:sz w:val="19"/>
          <w:szCs w:val="19"/>
          <w:lang w:val="es-CO" w:eastAsia="es-CO"/>
        </w:rPr>
      </w:pPr>
      <w:r w:rsidRPr="007E587C">
        <w:rPr>
          <w:rFonts w:ascii="Arial" w:eastAsia="Arial" w:hAnsi="Arial" w:cs="Arial"/>
          <w:color w:val="000000" w:themeColor="text1"/>
          <w:sz w:val="19"/>
          <w:szCs w:val="19"/>
          <w:lang w:val="es-CO" w:eastAsia="es-CO"/>
        </w:rPr>
        <w:t xml:space="preserve">»A. </w:t>
      </w:r>
      <w:r w:rsidRPr="007E587C">
        <w:rPr>
          <w:rFonts w:ascii="Arial" w:eastAsia="Times New Roman" w:hAnsi="Arial" w:cs="Arial"/>
          <w:color w:val="000000" w:themeColor="text1"/>
          <w:sz w:val="19"/>
          <w:szCs w:val="19"/>
          <w:lang w:val="es-CO" w:eastAsia="es-CO"/>
        </w:rPr>
        <w:t>Que el Proponente o alguno de los integrantes del Proponente Plural esté incurso en causal de inhabilidad, incompatibilidad o prohibición previstas en la legislación colombiana para contratar.</w:t>
      </w:r>
    </w:p>
    <w:p w:rsidR="00950538" w:rsidRPr="007E587C" w:rsidRDefault="00950538" w:rsidP="00950538">
      <w:pPr>
        <w:ind w:left="142" w:firstLine="567"/>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 xml:space="preserve">»B. </w:t>
      </w:r>
      <w:bookmarkStart w:id="40" w:name="_Hlk517183916"/>
      <w:r w:rsidRPr="007E587C">
        <w:rPr>
          <w:rFonts w:ascii="Arial" w:eastAsia="Times New Roman" w:hAnsi="Arial" w:cs="Arial"/>
          <w:color w:val="000000" w:themeColor="text1"/>
          <w:sz w:val="19"/>
          <w:szCs w:val="19"/>
          <w:lang w:val="es-CO" w:eastAsia="es-CO"/>
        </w:rPr>
        <w:t>Cuando una misma persona o integrante de un Proponente Plural presente o haga parte en</w:t>
      </w:r>
    </w:p>
    <w:p w:rsidR="00950538" w:rsidRPr="007E587C" w:rsidRDefault="00950538" w:rsidP="00950538">
      <w:pPr>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 xml:space="preserve">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bookmarkEnd w:id="40"/>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»C. Que el Proponente o alguno de los integrantes del Proponente Plural esté reportado en el Boletín de Responsables Fiscales emitido por la Contraloría General de la República.</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 xml:space="preserve">»D. Que la persona jurídica Proponente individual o integrante del Proponente Plural esté incursa en la situación descrita en el artículo 38 de la ley 1116 de 2006. </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»E. Que el Proponente no aclare, subsane o aporte documentos solicitados por la Entidad en los términos establecidos en la sección 1.6</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bookmarkStart w:id="41" w:name="_Hlk516133201"/>
      <w:r w:rsidRPr="007E587C">
        <w:rPr>
          <w:rFonts w:ascii="Arial" w:eastAsia="Times New Roman" w:hAnsi="Arial" w:cs="Arial"/>
          <w:color w:val="000000" w:themeColor="text1"/>
          <w:sz w:val="19"/>
          <w:szCs w:val="19"/>
          <w:lang w:val="es-CO" w:eastAsia="es-CO"/>
        </w:rPr>
        <w:t xml:space="preserve">»F. Que la inscripción, renovación o actualización del Registro Único de Proponentes [RUP] no esté en firme al finalizar el término para la subsanación de documentos. </w:t>
      </w:r>
      <w:bookmarkEnd w:id="41"/>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»G. Que el Proponente aporte información inexacta en los términos de la sección 1.11</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»H. Que el Proponente se encuentre inmerso en conflicto de interés insuperable.</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 xml:space="preserve">»I. Que el Formulario 1 – Formulario de Presupuesto Oficial no se allegue firmado. </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»J. La no entrega de la Garantía de seriedad de la oferta junto con la propuesta.</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 xml:space="preserve">»K. Que el objeto social del Proponente o el de sus integrantes no le permita ejecutar el objeto del Contrato, con excepción de lo previsto para las sociedades de objeto indeterminado. </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 xml:space="preserve">»M. Que el valor total de la oferta o aquel revisado en la audiencia efectiva de adjudicación exceda el Presupuesto Oficial Estimado para el Proceso de Contratación. </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bookmarkStart w:id="42" w:name="_Hlk516133614"/>
      <w:r w:rsidRPr="007E587C">
        <w:rPr>
          <w:rFonts w:ascii="Arial" w:eastAsia="Times New Roman" w:hAnsi="Arial" w:cs="Arial"/>
          <w:color w:val="000000" w:themeColor="text1"/>
          <w:sz w:val="19"/>
          <w:szCs w:val="19"/>
          <w:lang w:val="es-CO" w:eastAsia="es-CO"/>
        </w:rPr>
        <w:t xml:space="preserve">»N. Presentar la oferta con tachaduras o enmendaduras que no estén convalidadas en la forma indicada en </w:t>
      </w:r>
      <w:bookmarkEnd w:id="42"/>
      <w:r w:rsidRPr="007E587C">
        <w:rPr>
          <w:rFonts w:ascii="Arial" w:eastAsia="Times New Roman" w:hAnsi="Arial" w:cs="Arial"/>
          <w:color w:val="000000" w:themeColor="text1"/>
          <w:sz w:val="19"/>
          <w:szCs w:val="19"/>
          <w:lang w:val="es-CO" w:eastAsia="es-CO"/>
        </w:rPr>
        <w:t>la sección 2.3 del Pliego de Condiciones.</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bookmarkStart w:id="43" w:name="_Hlk516133682"/>
      <w:r w:rsidRPr="007E587C">
        <w:rPr>
          <w:rFonts w:ascii="Arial" w:eastAsia="Times New Roman" w:hAnsi="Arial" w:cs="Arial"/>
          <w:color w:val="000000" w:themeColor="text1"/>
          <w:sz w:val="19"/>
          <w:szCs w:val="19"/>
          <w:lang w:val="es-CO" w:eastAsia="es-CO"/>
        </w:rPr>
        <w:t xml:space="preserve">»O. Que el proponente adicione, suprima, cambie, o modifique los ítems, la descripción, las unidades o cantidades señaladas en el  </w:t>
      </w:r>
      <w:bookmarkStart w:id="44" w:name="_Hlk511139274"/>
      <w:bookmarkEnd w:id="43"/>
      <w:r w:rsidRPr="007E587C">
        <w:rPr>
          <w:rFonts w:ascii="Arial" w:eastAsia="Times New Roman" w:hAnsi="Arial" w:cs="Arial"/>
          <w:color w:val="000000" w:themeColor="text1"/>
          <w:sz w:val="19"/>
          <w:szCs w:val="19"/>
          <w:lang w:val="es-CO" w:eastAsia="es-CO"/>
        </w:rPr>
        <w:t xml:space="preserve">Formulario 1– Formulario de Presupuesto Oficial </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 xml:space="preserve">»P. No ofrecer el valor de un precio unitario u ofrecer como valor de un precio unitario cero (0). [incluir sólo cuando la forma de pago sea por precios unitarios] </w:t>
      </w:r>
      <w:bookmarkEnd w:id="44"/>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 xml:space="preserve">»Q. Superar el valor unitario de alguno o algunos de los ítems ofrecidos con respecto al valor establecido para cada ítem del Presupuesto Oficial. [incluir sólo cuando la forma de pago sea por precios unitarios] </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r w:rsidRPr="007E587C">
        <w:rPr>
          <w:rFonts w:ascii="Arial" w:eastAsia="Times New Roman" w:hAnsi="Arial" w:cs="Arial"/>
          <w:color w:val="000000" w:themeColor="text1"/>
          <w:sz w:val="19"/>
          <w:szCs w:val="19"/>
          <w:lang w:val="es-CO" w:eastAsia="es-CO"/>
        </w:rPr>
        <w:t>»[…]».</w:t>
      </w:r>
    </w:p>
    <w:p w:rsidR="00950538" w:rsidRPr="007E587C" w:rsidRDefault="00950538" w:rsidP="00950538">
      <w:pPr>
        <w:ind w:firstLine="709"/>
        <w:jc w:val="both"/>
        <w:rPr>
          <w:rFonts w:ascii="Arial" w:eastAsia="Times New Roman" w:hAnsi="Arial" w:cs="Arial"/>
          <w:color w:val="000000" w:themeColor="text1"/>
          <w:sz w:val="19"/>
          <w:szCs w:val="19"/>
          <w:lang w:val="es-CO" w:eastAsia="es-CO"/>
        </w:rPr>
      </w:pPr>
    </w:p>
  </w:footnote>
  <w:footnote w:id="19">
    <w:p w:rsidR="00950538" w:rsidRPr="00005C9A" w:rsidRDefault="00950538" w:rsidP="00950538">
      <w:pPr>
        <w:spacing w:before="82"/>
        <w:ind w:left="808"/>
        <w:rPr>
          <w:rFonts w:ascii="Arial" w:hAnsi="Arial" w:cs="Arial"/>
          <w:sz w:val="19"/>
          <w:szCs w:val="19"/>
        </w:rPr>
      </w:pPr>
      <w:r w:rsidRPr="007E587C">
        <w:rPr>
          <w:rStyle w:val="Refdenotaalpie"/>
          <w:rFonts w:ascii="Arial" w:hAnsi="Arial" w:cs="Arial"/>
          <w:sz w:val="19"/>
          <w:szCs w:val="19"/>
        </w:rPr>
        <w:footnoteRef/>
      </w:r>
      <w:r w:rsidRPr="007E587C">
        <w:rPr>
          <w:rFonts w:ascii="Arial" w:hAnsi="Arial" w:cs="Arial"/>
          <w:sz w:val="19"/>
          <w:szCs w:val="19"/>
        </w:rPr>
        <w:t xml:space="preserve"> </w:t>
      </w:r>
      <w:r>
        <w:rPr>
          <w:rFonts w:ascii="Arial" w:hAnsi="Arial" w:cs="Arial"/>
          <w:sz w:val="19"/>
          <w:szCs w:val="19"/>
        </w:rPr>
        <w:t>«</w:t>
      </w:r>
      <w:r w:rsidRPr="00005C9A">
        <w:rPr>
          <w:rFonts w:ascii="Arial" w:hAnsi="Arial" w:cs="Arial"/>
          <w:sz w:val="19"/>
          <w:szCs w:val="19"/>
        </w:rPr>
        <w:t>1.6. REGLAS DE SUBSANABILIDAD</w:t>
      </w:r>
    </w:p>
    <w:p w:rsidR="00950538" w:rsidRPr="00005C9A" w:rsidRDefault="00950538" w:rsidP="00950538">
      <w:pPr>
        <w:pStyle w:val="Textoindependiente"/>
        <w:spacing w:before="11"/>
        <w:rPr>
          <w:sz w:val="19"/>
          <w:szCs w:val="19"/>
        </w:rPr>
      </w:pPr>
    </w:p>
    <w:p w:rsidR="00950538" w:rsidRPr="007E587C" w:rsidRDefault="00950538" w:rsidP="00950538">
      <w:pPr>
        <w:ind w:left="100" w:right="110"/>
        <w:jc w:val="both"/>
        <w:rPr>
          <w:rFonts w:ascii="Arial" w:hAnsi="Arial" w:cs="Arial"/>
          <w:sz w:val="19"/>
          <w:szCs w:val="19"/>
        </w:rPr>
      </w:pPr>
      <w:r>
        <w:rPr>
          <w:rFonts w:ascii="Arial" w:hAnsi="Arial" w:cs="Arial"/>
          <w:sz w:val="19"/>
          <w:szCs w:val="19"/>
        </w:rPr>
        <w:t>»</w:t>
      </w:r>
      <w:r w:rsidRPr="007E587C">
        <w:rPr>
          <w:rFonts w:ascii="Arial" w:hAnsi="Arial" w:cs="Arial"/>
          <w:sz w:val="19"/>
          <w:szCs w:val="19"/>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rsidR="00950538" w:rsidRPr="007E587C" w:rsidRDefault="00950538" w:rsidP="00950538">
      <w:pPr>
        <w:pStyle w:val="Textoindependiente"/>
        <w:rPr>
          <w:sz w:val="19"/>
          <w:szCs w:val="19"/>
        </w:rPr>
      </w:pPr>
    </w:p>
    <w:p w:rsidR="00950538" w:rsidRPr="007E587C" w:rsidRDefault="00950538" w:rsidP="00950538">
      <w:pPr>
        <w:ind w:left="100" w:right="111"/>
        <w:jc w:val="both"/>
        <w:rPr>
          <w:rFonts w:ascii="Arial" w:hAnsi="Arial" w:cs="Arial"/>
          <w:sz w:val="19"/>
          <w:szCs w:val="19"/>
        </w:rPr>
      </w:pPr>
      <w:r>
        <w:rPr>
          <w:rFonts w:ascii="Arial" w:hAnsi="Arial" w:cs="Arial"/>
          <w:sz w:val="19"/>
          <w:szCs w:val="19"/>
        </w:rPr>
        <w:t>»</w:t>
      </w:r>
      <w:r w:rsidRPr="007E587C">
        <w:rPr>
          <w:rFonts w:ascii="Arial" w:hAnsi="Arial" w:cs="Arial"/>
          <w:sz w:val="19"/>
          <w:szCs w:val="19"/>
        </w:rPr>
        <w:t>En caso de ser necesario, la Entidad deberá solicitar a los Proponentes, las aclaraciones, precisiones o solicitud de documentos que puedan ser subsanables. No obstante, los Proponentes no podrán completar, adicionar, modificar o mejorar sus propuestas.</w:t>
      </w:r>
    </w:p>
    <w:p w:rsidR="00950538" w:rsidRPr="007E587C" w:rsidRDefault="00950538" w:rsidP="00950538">
      <w:pPr>
        <w:pStyle w:val="Textoindependiente"/>
        <w:rPr>
          <w:sz w:val="19"/>
          <w:szCs w:val="19"/>
        </w:rPr>
      </w:pPr>
    </w:p>
    <w:p w:rsidR="00950538" w:rsidRPr="007E587C" w:rsidRDefault="00950538" w:rsidP="00950538">
      <w:pPr>
        <w:ind w:left="100" w:right="111"/>
        <w:jc w:val="both"/>
        <w:rPr>
          <w:rFonts w:ascii="Arial" w:hAnsi="Arial" w:cs="Arial"/>
          <w:sz w:val="19"/>
          <w:szCs w:val="19"/>
        </w:rPr>
      </w:pPr>
      <w:r>
        <w:rPr>
          <w:rFonts w:ascii="Arial" w:hAnsi="Arial" w:cs="Arial"/>
          <w:sz w:val="19"/>
          <w:szCs w:val="19"/>
        </w:rPr>
        <w:t>»</w:t>
      </w:r>
      <w:r w:rsidRPr="007E587C">
        <w:rPr>
          <w:rFonts w:ascii="Arial" w:hAnsi="Arial" w:cs="Arial"/>
          <w:sz w:val="19"/>
          <w:szCs w:val="19"/>
        </w:rPr>
        <w:t>Los Proponentes deberán allegar las aclaraciones o documentos requeridos hasta el término de traslado del informe de evaluación.</w:t>
      </w:r>
    </w:p>
    <w:p w:rsidR="00950538" w:rsidRPr="007E587C" w:rsidRDefault="00950538" w:rsidP="00950538">
      <w:pPr>
        <w:pStyle w:val="Textoindependiente"/>
        <w:rPr>
          <w:sz w:val="19"/>
          <w:szCs w:val="19"/>
        </w:rPr>
      </w:pPr>
    </w:p>
    <w:p w:rsidR="00950538" w:rsidRPr="007E587C" w:rsidRDefault="00950538" w:rsidP="00950538">
      <w:pPr>
        <w:ind w:left="100" w:right="109"/>
        <w:jc w:val="both"/>
        <w:rPr>
          <w:rFonts w:ascii="Arial" w:hAnsi="Arial" w:cs="Arial"/>
          <w:sz w:val="19"/>
          <w:szCs w:val="19"/>
        </w:rPr>
      </w:pPr>
      <w:r>
        <w:rPr>
          <w:rFonts w:ascii="Arial" w:hAnsi="Arial" w:cs="Arial"/>
          <w:sz w:val="19"/>
          <w:szCs w:val="19"/>
        </w:rPr>
        <w:t>»</w:t>
      </w:r>
      <w:r w:rsidRPr="007E587C">
        <w:rPr>
          <w:rFonts w:ascii="Arial" w:hAnsi="Arial" w:cs="Arial"/>
          <w:sz w:val="19"/>
          <w:szCs w:val="19"/>
        </w:rPr>
        <w:t>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caso de que sea necesario, la Entidad ajustará el cronograma.</w:t>
      </w:r>
    </w:p>
    <w:p w:rsidR="00950538" w:rsidRPr="007E587C" w:rsidRDefault="00950538" w:rsidP="00950538">
      <w:pPr>
        <w:pStyle w:val="Textoindependiente"/>
        <w:spacing w:before="1"/>
        <w:rPr>
          <w:sz w:val="19"/>
          <w:szCs w:val="19"/>
        </w:rPr>
      </w:pPr>
    </w:p>
    <w:p w:rsidR="00950538" w:rsidRPr="007E587C" w:rsidRDefault="00950538" w:rsidP="00950538">
      <w:pPr>
        <w:ind w:left="100" w:right="114"/>
        <w:jc w:val="both"/>
        <w:rPr>
          <w:rFonts w:ascii="Arial" w:hAnsi="Arial" w:cs="Arial"/>
          <w:sz w:val="19"/>
          <w:szCs w:val="19"/>
        </w:rPr>
      </w:pPr>
      <w:r>
        <w:rPr>
          <w:rFonts w:ascii="Arial" w:hAnsi="Arial" w:cs="Arial"/>
          <w:sz w:val="19"/>
          <w:szCs w:val="19"/>
        </w:rPr>
        <w:t>»</w:t>
      </w:r>
      <w:r w:rsidRPr="007E587C">
        <w:rPr>
          <w:rFonts w:ascii="Arial" w:hAnsi="Arial" w:cs="Arial"/>
          <w:sz w:val="19"/>
          <w:szCs w:val="19"/>
        </w:rPr>
        <w:t>Todos aquellos requisitos de la oferta que afecten la asignación de puntaje, incluyendo los necesarios para acreditar requisitos de desempate, no son subsanables, por lo que los mismos deben ser aportados por los Proponentes desde la presentación de la oferta.</w:t>
      </w:r>
    </w:p>
    <w:p w:rsidR="00950538" w:rsidRPr="007E587C" w:rsidRDefault="00950538" w:rsidP="00950538">
      <w:pPr>
        <w:pStyle w:val="Textoindependiente"/>
        <w:rPr>
          <w:sz w:val="19"/>
          <w:szCs w:val="19"/>
        </w:rPr>
      </w:pPr>
    </w:p>
    <w:p w:rsidR="00950538" w:rsidRPr="000F7372" w:rsidRDefault="00950538" w:rsidP="00950538">
      <w:pPr>
        <w:ind w:left="100" w:right="111"/>
        <w:jc w:val="both"/>
        <w:rPr>
          <w:rFonts w:ascii="Arial" w:hAnsi="Arial" w:cs="Arial"/>
          <w:sz w:val="19"/>
          <w:szCs w:val="19"/>
        </w:rPr>
      </w:pPr>
      <w:r>
        <w:rPr>
          <w:rFonts w:ascii="Arial" w:hAnsi="Arial" w:cs="Arial"/>
          <w:sz w:val="19"/>
          <w:szCs w:val="19"/>
        </w:rPr>
        <w:t>»</w:t>
      </w:r>
      <w:r w:rsidRPr="007E587C">
        <w:rPr>
          <w:rFonts w:ascii="Arial" w:hAnsi="Arial" w:cs="Arial"/>
          <w:sz w:val="19"/>
          <w:szCs w:val="19"/>
        </w:rPr>
        <w:t>En virtud del principio de Buena Fe, los Proponentes que presenten observaciones al proceso o a las ofertas y conductas de los demás oferentes deberán justificar y demostrar la procedencia y oportunidad de estas</w:t>
      </w:r>
      <w:r>
        <w:rPr>
          <w:rFonts w:ascii="Arial" w:hAnsi="Arial" w:cs="Arial"/>
          <w:sz w:val="19"/>
          <w:szCs w:val="19"/>
        </w:rPr>
        <w:t>»</w:t>
      </w:r>
      <w:r w:rsidRPr="007E587C">
        <w:rPr>
          <w:rFonts w:ascii="Arial" w:hAnsi="Arial" w:cs="Arial"/>
          <w:sz w:val="19"/>
          <w:szCs w:val="19"/>
        </w:rPr>
        <w:t>.</w:t>
      </w:r>
    </w:p>
    <w:p w:rsidR="00950538" w:rsidRPr="007E587C" w:rsidRDefault="00950538" w:rsidP="00950538">
      <w:pPr>
        <w:pStyle w:val="Textonotapie"/>
        <w:rPr>
          <w:rFonts w:ascii="Arial" w:hAnsi="Arial" w:cs="Arial"/>
          <w:sz w:val="19"/>
          <w:szCs w:val="19"/>
        </w:rPr>
      </w:pPr>
    </w:p>
  </w:footnote>
  <w:footnote w:id="20">
    <w:p w:rsidR="00950538" w:rsidRPr="000F7372" w:rsidRDefault="00950538" w:rsidP="00950538">
      <w:pPr>
        <w:pStyle w:val="Textonotapie"/>
        <w:ind w:firstLine="708"/>
        <w:jc w:val="both"/>
        <w:rPr>
          <w:rFonts w:ascii="Arial" w:hAnsi="Arial" w:cs="Arial"/>
          <w:color w:val="000000" w:themeColor="text1"/>
          <w:sz w:val="19"/>
          <w:szCs w:val="19"/>
        </w:rPr>
      </w:pPr>
      <w:r w:rsidRPr="007E587C">
        <w:rPr>
          <w:rStyle w:val="Refdenotaalpie"/>
          <w:rFonts w:ascii="Arial" w:hAnsi="Arial" w:cs="Arial"/>
          <w:color w:val="000000" w:themeColor="text1"/>
          <w:sz w:val="19"/>
          <w:szCs w:val="19"/>
        </w:rPr>
        <w:footnoteRef/>
      </w:r>
      <w:r w:rsidRPr="007E587C">
        <w:rPr>
          <w:rFonts w:ascii="Arial" w:hAnsi="Arial" w:cs="Arial"/>
          <w:color w:val="000000" w:themeColor="text1"/>
          <w:sz w:val="19"/>
          <w:szCs w:val="19"/>
        </w:rPr>
        <w:t xml:space="preserve"> Ley 80 de </w:t>
      </w:r>
      <w:r w:rsidRPr="000F7372">
        <w:rPr>
          <w:rFonts w:ascii="Arial" w:hAnsi="Arial" w:cs="Arial"/>
          <w:color w:val="000000" w:themeColor="text1"/>
          <w:sz w:val="19"/>
          <w:szCs w:val="19"/>
        </w:rPr>
        <w:t xml:space="preserve">1993: «Artículo 30. </w:t>
      </w:r>
      <w:bookmarkStart w:id="45" w:name="30"/>
      <w:r w:rsidRPr="000F7372">
        <w:rPr>
          <w:rFonts w:ascii="Arial" w:hAnsi="Arial" w:cs="Arial"/>
          <w:color w:val="000000" w:themeColor="text1"/>
          <w:sz w:val="19"/>
          <w:szCs w:val="19"/>
        </w:rPr>
        <w:t>De la estructura de los procedimientos de selección.</w:t>
      </w:r>
      <w:bookmarkEnd w:id="45"/>
      <w:r w:rsidRPr="000F7372">
        <w:rPr>
          <w:rFonts w:ascii="Arial" w:hAnsi="Arial" w:cs="Arial"/>
          <w:color w:val="000000" w:themeColor="text1"/>
          <w:sz w:val="19"/>
          <w:szCs w:val="19"/>
        </w:rPr>
        <w:t xml:space="preserve"> </w:t>
      </w:r>
    </w:p>
    <w:p w:rsidR="00950538" w:rsidRPr="007E587C" w:rsidRDefault="00950538" w:rsidP="00950538">
      <w:pPr>
        <w:pStyle w:val="Textonotapie"/>
        <w:ind w:firstLine="708"/>
        <w:jc w:val="both"/>
        <w:rPr>
          <w:rFonts w:ascii="Arial" w:hAnsi="Arial" w:cs="Arial"/>
          <w:color w:val="000000" w:themeColor="text1"/>
          <w:sz w:val="19"/>
          <w:szCs w:val="19"/>
        </w:rPr>
      </w:pPr>
      <w:r w:rsidRPr="007E587C">
        <w:rPr>
          <w:rFonts w:ascii="Arial" w:hAnsi="Arial" w:cs="Arial"/>
          <w:color w:val="000000" w:themeColor="text1"/>
          <w:sz w:val="19"/>
          <w:szCs w:val="19"/>
        </w:rPr>
        <w:t>»[…]</w:t>
      </w:r>
    </w:p>
    <w:p w:rsidR="00950538" w:rsidRPr="007E587C" w:rsidRDefault="00950538" w:rsidP="00950538">
      <w:pPr>
        <w:pStyle w:val="Textonotapie"/>
        <w:ind w:firstLine="708"/>
        <w:jc w:val="both"/>
        <w:rPr>
          <w:rFonts w:ascii="Arial" w:hAnsi="Arial" w:cs="Arial"/>
          <w:color w:val="000000" w:themeColor="text1"/>
          <w:sz w:val="19"/>
          <w:szCs w:val="19"/>
        </w:rPr>
      </w:pPr>
      <w:r w:rsidRPr="007E587C">
        <w:rPr>
          <w:rFonts w:ascii="Arial" w:hAnsi="Arial" w:cs="Arial"/>
          <w:color w:val="000000" w:themeColor="text1"/>
          <w:sz w:val="19"/>
          <w:szCs w:val="19"/>
        </w:rPr>
        <w:t>»8.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rsidR="00950538" w:rsidRPr="007E587C" w:rsidRDefault="00950538" w:rsidP="00950538">
      <w:pPr>
        <w:pStyle w:val="Textonotapie"/>
        <w:ind w:firstLine="708"/>
        <w:jc w:val="both"/>
        <w:rPr>
          <w:rFonts w:ascii="Arial" w:hAnsi="Arial" w:cs="Arial"/>
          <w:color w:val="000000" w:themeColor="text1"/>
          <w:sz w:val="19"/>
          <w:szCs w:val="19"/>
        </w:rPr>
      </w:pPr>
      <w:r w:rsidRPr="007E587C">
        <w:rPr>
          <w:rFonts w:ascii="Arial" w:hAnsi="Arial" w:cs="Arial"/>
          <w:color w:val="000000" w:themeColor="text1"/>
          <w:sz w:val="19"/>
          <w:szCs w:val="19"/>
        </w:rPr>
        <w:t>»[…]».</w:t>
      </w:r>
    </w:p>
    <w:p w:rsidR="00950538" w:rsidRPr="007E587C" w:rsidRDefault="00950538" w:rsidP="00950538">
      <w:pPr>
        <w:pStyle w:val="Textonotapie"/>
        <w:ind w:firstLine="708"/>
        <w:jc w:val="both"/>
        <w:rPr>
          <w:rFonts w:ascii="Arial" w:hAnsi="Arial" w:cs="Arial"/>
          <w:color w:val="000000" w:themeColor="text1"/>
          <w:sz w:val="19"/>
          <w:szCs w:val="19"/>
          <w:lang w:val="es-CO"/>
        </w:rPr>
      </w:pPr>
    </w:p>
  </w:footnote>
  <w:footnote w:id="21">
    <w:p w:rsidR="00950538" w:rsidRPr="000F7372" w:rsidRDefault="00950538" w:rsidP="00950538">
      <w:pPr>
        <w:pStyle w:val="Capitulo1"/>
        <w:spacing w:before="0" w:after="0" w:line="240" w:lineRule="auto"/>
        <w:ind w:left="0" w:firstLine="708"/>
        <w:jc w:val="both"/>
        <w:rPr>
          <w:b w:val="0"/>
          <w:color w:val="000000" w:themeColor="text1"/>
          <w:sz w:val="19"/>
          <w:szCs w:val="19"/>
          <w:lang w:eastAsia="en-US"/>
        </w:rPr>
      </w:pPr>
      <w:r w:rsidRPr="007E587C">
        <w:rPr>
          <w:rStyle w:val="Refdenotaalpie"/>
          <w:b w:val="0"/>
          <w:color w:val="000000" w:themeColor="text1"/>
          <w:sz w:val="19"/>
          <w:szCs w:val="19"/>
        </w:rPr>
        <w:footnoteRef/>
      </w:r>
      <w:r w:rsidRPr="007E587C">
        <w:rPr>
          <w:b w:val="0"/>
          <w:color w:val="000000" w:themeColor="text1"/>
          <w:sz w:val="19"/>
          <w:szCs w:val="19"/>
        </w:rPr>
        <w:t xml:space="preserve"> </w:t>
      </w:r>
      <w:r w:rsidRPr="000F7372">
        <w:rPr>
          <w:b w:val="0"/>
          <w:color w:val="000000" w:themeColor="text1"/>
          <w:sz w:val="19"/>
          <w:szCs w:val="19"/>
          <w:lang w:eastAsia="en-US"/>
        </w:rPr>
        <w:t>Documento base o pliego tipo: «1.15 Causales de rechazo</w:t>
      </w:r>
    </w:p>
    <w:p w:rsidR="00950538" w:rsidRPr="007E587C" w:rsidRDefault="00950538" w:rsidP="00950538">
      <w:pPr>
        <w:pStyle w:val="Capitulo1"/>
        <w:spacing w:before="0" w:after="0" w:line="240" w:lineRule="auto"/>
        <w:ind w:left="0" w:firstLine="360"/>
        <w:jc w:val="both"/>
        <w:rPr>
          <w:b w:val="0"/>
          <w:color w:val="000000" w:themeColor="text1"/>
          <w:sz w:val="19"/>
          <w:szCs w:val="19"/>
          <w:lang w:eastAsia="en-US"/>
        </w:rPr>
      </w:pPr>
      <w:r w:rsidRPr="007E587C">
        <w:rPr>
          <w:b w:val="0"/>
          <w:color w:val="000000" w:themeColor="text1"/>
          <w:sz w:val="19"/>
          <w:szCs w:val="19"/>
          <w:lang w:eastAsia="en-US"/>
        </w:rPr>
        <w:t>»Son causales de rechazo las siguientes. [Las Entidades no podrán incluir causales de rechazo distintas a las incluidas en la presente sección]:</w:t>
      </w:r>
    </w:p>
    <w:p w:rsidR="00950538" w:rsidRPr="007E587C" w:rsidRDefault="00950538" w:rsidP="00950538">
      <w:pPr>
        <w:pStyle w:val="Capitulo1"/>
        <w:spacing w:before="0" w:after="0" w:line="240" w:lineRule="auto"/>
        <w:ind w:left="0" w:firstLine="360"/>
        <w:jc w:val="both"/>
        <w:rPr>
          <w:b w:val="0"/>
          <w:color w:val="000000" w:themeColor="text1"/>
          <w:sz w:val="19"/>
          <w:szCs w:val="19"/>
          <w:lang w:eastAsia="en-US"/>
        </w:rPr>
      </w:pPr>
      <w:r w:rsidRPr="007E587C">
        <w:rPr>
          <w:b w:val="0"/>
          <w:color w:val="000000" w:themeColor="text1"/>
          <w:sz w:val="19"/>
          <w:szCs w:val="19"/>
        </w:rPr>
        <w:t>»[…]</w:t>
      </w:r>
    </w:p>
    <w:p w:rsidR="00950538" w:rsidRPr="007E587C" w:rsidRDefault="00950538" w:rsidP="00950538">
      <w:pPr>
        <w:pStyle w:val="Textonotapie"/>
        <w:ind w:firstLine="360"/>
        <w:jc w:val="both"/>
        <w:rPr>
          <w:rFonts w:ascii="Arial" w:eastAsia="Times New Roman" w:hAnsi="Arial" w:cs="Arial"/>
          <w:color w:val="000000" w:themeColor="text1"/>
          <w:sz w:val="19"/>
          <w:szCs w:val="19"/>
          <w:lang w:val="es-CO"/>
        </w:rPr>
      </w:pPr>
      <w:r w:rsidRPr="007E587C">
        <w:rPr>
          <w:rFonts w:ascii="Arial" w:hAnsi="Arial" w:cs="Arial"/>
          <w:color w:val="000000" w:themeColor="text1"/>
          <w:sz w:val="19"/>
          <w:szCs w:val="19"/>
        </w:rPr>
        <w:t>»</w:t>
      </w:r>
      <w:r w:rsidRPr="007E587C">
        <w:rPr>
          <w:rFonts w:ascii="Arial" w:eastAsia="Times New Roman" w:hAnsi="Arial" w:cs="Arial"/>
          <w:color w:val="000000" w:themeColor="text1"/>
          <w:sz w:val="19"/>
          <w:szCs w:val="19"/>
          <w:lang w:val="es-CO"/>
        </w:rPr>
        <w:t>E. Que el Proponente no aclare, subsane o aporte documentos solicitados por la Entidad en los términos establecidos en la sección 1.6</w:t>
      </w:r>
    </w:p>
    <w:p w:rsidR="00950538" w:rsidRPr="007E587C" w:rsidRDefault="00950538" w:rsidP="00950538">
      <w:pPr>
        <w:pStyle w:val="Textonotapie"/>
        <w:ind w:firstLine="360"/>
        <w:jc w:val="both"/>
        <w:rPr>
          <w:rFonts w:ascii="Arial" w:hAnsi="Arial" w:cs="Arial"/>
          <w:color w:val="000000" w:themeColor="text1"/>
          <w:sz w:val="19"/>
          <w:szCs w:val="19"/>
        </w:rPr>
      </w:pPr>
      <w:r w:rsidRPr="007E587C">
        <w:rPr>
          <w:rFonts w:ascii="Arial" w:hAnsi="Arial" w:cs="Arial"/>
          <w:color w:val="000000" w:themeColor="text1"/>
          <w:sz w:val="19"/>
          <w:szCs w:val="19"/>
        </w:rPr>
        <w:t>»[…]».</w:t>
      </w:r>
    </w:p>
    <w:p w:rsidR="00950538" w:rsidRPr="007E587C" w:rsidRDefault="00950538" w:rsidP="00950538">
      <w:pPr>
        <w:pStyle w:val="Textonotapie"/>
        <w:ind w:firstLine="360"/>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943" w:rsidRDefault="005D5953">
    <w:pPr>
      <w:pStyle w:val="Encabezado"/>
    </w:pPr>
  </w:p>
  <w:p w:rsidR="00897943" w:rsidRDefault="005D5953">
    <w:pPr>
      <w:pStyle w:val="Encabezado"/>
    </w:pPr>
  </w:p>
  <w:p w:rsidR="00897943" w:rsidRDefault="00B75505">
    <w:pPr>
      <w:pStyle w:val="Encabezado"/>
    </w:pPr>
    <w:r>
      <w:rPr>
        <w:noProof/>
        <w:lang w:val="es-CO" w:eastAsia="es-CO"/>
      </w:rPr>
      <w:drawing>
        <wp:anchor distT="0" distB="0" distL="114300" distR="114300" simplePos="0" relativeHeight="251659264" behindDoc="1" locked="0" layoutInCell="1" allowOverlap="1" wp14:anchorId="5315B648" wp14:editId="02FEBA22">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97943" w:rsidRDefault="005D5953">
    <w:pPr>
      <w:pStyle w:val="Encabezado"/>
    </w:pPr>
  </w:p>
  <w:p w:rsidR="00897943" w:rsidRDefault="005D5953">
    <w:pPr>
      <w:pStyle w:val="Encabezado"/>
    </w:pPr>
  </w:p>
  <w:p w:rsidR="00897943" w:rsidRDefault="005D595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538"/>
    <w:rsid w:val="001F4AF9"/>
    <w:rsid w:val="002E0E48"/>
    <w:rsid w:val="00357CA6"/>
    <w:rsid w:val="003D2841"/>
    <w:rsid w:val="003E7F69"/>
    <w:rsid w:val="004D5B3E"/>
    <w:rsid w:val="005518CF"/>
    <w:rsid w:val="005D5953"/>
    <w:rsid w:val="0083581D"/>
    <w:rsid w:val="00950538"/>
    <w:rsid w:val="00955BAF"/>
    <w:rsid w:val="00956C4D"/>
    <w:rsid w:val="00B532C0"/>
    <w:rsid w:val="00B75505"/>
    <w:rsid w:val="00C017B1"/>
    <w:rsid w:val="00C46556"/>
    <w:rsid w:val="00D306EE"/>
    <w:rsid w:val="00E13C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EA25FC-3E01-4447-AE52-96A0E8A0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538"/>
    <w:pPr>
      <w:tabs>
        <w:tab w:val="center" w:pos="4419"/>
        <w:tab w:val="right" w:pos="8838"/>
      </w:tabs>
    </w:pPr>
  </w:style>
  <w:style w:type="character" w:customStyle="1" w:styleId="PiedepginaCar">
    <w:name w:val="Pie de página Car"/>
    <w:basedOn w:val="Fuentedeprrafopredeter"/>
    <w:link w:val="Piedepgina"/>
    <w:uiPriority w:val="99"/>
    <w:rsid w:val="00950538"/>
    <w:rPr>
      <w:sz w:val="24"/>
      <w:lang w:val="es-MX"/>
    </w:rPr>
  </w:style>
  <w:style w:type="paragraph" w:styleId="Encabezado">
    <w:name w:val="header"/>
    <w:basedOn w:val="Normal"/>
    <w:link w:val="EncabezadoCar"/>
    <w:uiPriority w:val="99"/>
    <w:unhideWhenUsed/>
    <w:rsid w:val="00950538"/>
    <w:pPr>
      <w:tabs>
        <w:tab w:val="center" w:pos="4252"/>
        <w:tab w:val="right" w:pos="8504"/>
      </w:tabs>
    </w:pPr>
  </w:style>
  <w:style w:type="character" w:customStyle="1" w:styleId="EncabezadoCar">
    <w:name w:val="Encabezado Car"/>
    <w:basedOn w:val="Fuentedeprrafopredeter"/>
    <w:link w:val="Encabezado"/>
    <w:uiPriority w:val="99"/>
    <w:rsid w:val="00950538"/>
    <w:rPr>
      <w:sz w:val="24"/>
      <w:lang w:val="es-MX"/>
    </w:rPr>
  </w:style>
  <w:style w:type="table" w:styleId="Tablaconcuadrcula">
    <w:name w:val="Table Grid"/>
    <w:basedOn w:val="Tablanormal"/>
    <w:uiPriority w:val="39"/>
    <w:rsid w:val="00950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50538"/>
    <w:pPr>
      <w:ind w:left="720"/>
      <w:contextualSpacing/>
    </w:pPr>
  </w:style>
  <w:style w:type="paragraph" w:styleId="NormalWeb">
    <w:name w:val="Normal (Web)"/>
    <w:basedOn w:val="Normal"/>
    <w:uiPriority w:val="99"/>
    <w:unhideWhenUsed/>
    <w:rsid w:val="00950538"/>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950538"/>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5053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50538"/>
    <w:rPr>
      <w:sz w:val="20"/>
      <w:szCs w:val="20"/>
    </w:rPr>
  </w:style>
  <w:style w:type="character" w:customStyle="1" w:styleId="TextonotapieCar1">
    <w:name w:val="Texto nota pie Car1"/>
    <w:basedOn w:val="Fuentedeprrafopredeter"/>
    <w:uiPriority w:val="99"/>
    <w:semiHidden/>
    <w:rsid w:val="0095053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538"/>
    <w:rPr>
      <w:sz w:val="24"/>
      <w:lang w:val="es-MX"/>
    </w:rPr>
  </w:style>
  <w:style w:type="paragraph" w:customStyle="1" w:styleId="Capitulo1">
    <w:name w:val="Capitulo 1"/>
    <w:basedOn w:val="Normal"/>
    <w:qFormat/>
    <w:rsid w:val="00950538"/>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950538"/>
    <w:rPr>
      <w:vertAlign w:val="superscript"/>
    </w:rPr>
  </w:style>
  <w:style w:type="paragraph" w:styleId="Textoindependiente">
    <w:name w:val="Body Text"/>
    <w:basedOn w:val="Normal"/>
    <w:link w:val="TextoindependienteCar"/>
    <w:uiPriority w:val="1"/>
    <w:qFormat/>
    <w:rsid w:val="00950538"/>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950538"/>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0CB68CB-EE7A-4C04-B037-858F32CF05B2}"/>
</file>

<file path=customXml/itemProps2.xml><?xml version="1.0" encoding="utf-8"?>
<ds:datastoreItem xmlns:ds="http://schemas.openxmlformats.org/officeDocument/2006/customXml" ds:itemID="{C30F7C6B-EDF3-4287-8A83-571A94A1B19C}"/>
</file>

<file path=customXml/itemProps3.xml><?xml version="1.0" encoding="utf-8"?>
<ds:datastoreItem xmlns:ds="http://schemas.openxmlformats.org/officeDocument/2006/customXml" ds:itemID="{FB41534E-B6BB-47BC-B6B1-B7B7C989E364}"/>
</file>

<file path=docProps/app.xml><?xml version="1.0" encoding="utf-8"?>
<Properties xmlns="http://schemas.openxmlformats.org/officeDocument/2006/extended-properties" xmlns:vt="http://schemas.openxmlformats.org/officeDocument/2006/docPropsVTypes">
  <Template>Normal</Template>
  <TotalTime>7</TotalTime>
  <Pages>29</Pages>
  <Words>11018</Words>
  <Characters>60602</Characters>
  <Application>Microsoft Office Word</Application>
  <DocSecurity>0</DocSecurity>
  <Lines>505</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Andres Urrego</cp:lastModifiedBy>
  <cp:revision>4</cp:revision>
  <dcterms:created xsi:type="dcterms:W3CDTF">2020-10-02T01:21:00Z</dcterms:created>
  <dcterms:modified xsi:type="dcterms:W3CDTF">2020-10-02T16:08:00Z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