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78F8B" w14:textId="77777777" w:rsidR="00F67D88" w:rsidRPr="00F67D88" w:rsidRDefault="00F67D88" w:rsidP="00F67D88">
      <w:pPr>
        <w:spacing w:after="0"/>
        <w:rPr>
          <w:rFonts w:ascii="Verdana" w:eastAsia="Aptos" w:hAnsi="Verdana" w:cs="Times New Roman"/>
        </w:rPr>
      </w:pPr>
      <w:bookmarkStart w:id="0" w:name="_Hlk143780582"/>
      <w:r w:rsidRPr="00F67D88">
        <w:rPr>
          <w:rFonts w:ascii="Verdana" w:eastAsia="Aptos" w:hAnsi="Verdana" w:cs="Times New Roman"/>
          <w:b/>
          <w:bCs/>
          <w:color w:val="000000"/>
        </w:rPr>
        <w:t xml:space="preserve">DOCUMENTOS TIPO – Fundamento normativo – Obligatoriedad </w:t>
      </w:r>
    </w:p>
    <w:p w14:paraId="1B7AA29D" w14:textId="77777777" w:rsidR="00F67D88" w:rsidRPr="00F67D88" w:rsidRDefault="00F67D88" w:rsidP="00F67D88">
      <w:pPr>
        <w:spacing w:after="0" w:line="276" w:lineRule="auto"/>
        <w:jc w:val="both"/>
        <w:rPr>
          <w:rFonts w:ascii="Verdana" w:eastAsia="Calibri" w:hAnsi="Verdana" w:cs="Arial"/>
          <w:b/>
          <w:bCs/>
          <w:sz w:val="20"/>
          <w:szCs w:val="20"/>
          <w:lang w:val="es-ES_tradnl"/>
        </w:rPr>
      </w:pPr>
    </w:p>
    <w:p w14:paraId="4ABD0FB7" w14:textId="77777777" w:rsidR="00F67D88" w:rsidRPr="00F67D88" w:rsidRDefault="00F67D88" w:rsidP="00F67D88">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F67D88">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F67D88">
        <w:rPr>
          <w:rFonts w:ascii="Verdana" w:eastAsia="Times New Roman" w:hAnsi="Verdana" w:cs="Arial"/>
          <w:sz w:val="20"/>
          <w:szCs w:val="20"/>
          <w:shd w:val="clear" w:color="auto" w:fill="FFFFFF"/>
          <w:lang w:val="es-ES_tradnl" w:eastAsia="es-ES_tradnl"/>
        </w:rPr>
        <w:sym w:font="Symbol" w:char="F02D"/>
      </w:r>
      <w:r w:rsidRPr="00F67D88">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210BF8A" w14:textId="77777777" w:rsidR="00F67D88" w:rsidRPr="00F67D88" w:rsidRDefault="00F67D88" w:rsidP="00F67D88">
      <w:pPr>
        <w:spacing w:after="0" w:line="276" w:lineRule="auto"/>
        <w:jc w:val="both"/>
        <w:rPr>
          <w:rFonts w:ascii="Verdana" w:eastAsia="Geomanist Light" w:hAnsi="Verdana" w:cs="Arial"/>
          <w:highlight w:val="yellow"/>
          <w:lang w:val="es-ES_tradnl"/>
        </w:rPr>
      </w:pPr>
    </w:p>
    <w:p w14:paraId="6790E5BA" w14:textId="77777777" w:rsidR="00F67D88" w:rsidRPr="00F67D88" w:rsidRDefault="00F67D88" w:rsidP="00F67D88">
      <w:pPr>
        <w:autoSpaceDE w:val="0"/>
        <w:autoSpaceDN w:val="0"/>
        <w:adjustRightInd w:val="0"/>
        <w:spacing w:after="0" w:line="278" w:lineRule="auto"/>
        <w:jc w:val="both"/>
        <w:rPr>
          <w:rFonts w:ascii="Verdana" w:eastAsia="Calibri" w:hAnsi="Verdana" w:cs="Arial"/>
          <w:b/>
          <w:kern w:val="2"/>
          <w14:ligatures w14:val="standardContextual"/>
        </w:rPr>
      </w:pPr>
      <w:r w:rsidRPr="00F67D88">
        <w:rPr>
          <w:rFonts w:ascii="Verdana" w:eastAsia="Calibri" w:hAnsi="Verdana" w:cs="Arial"/>
          <w:b/>
          <w:bCs/>
          <w:kern w:val="2"/>
          <w14:ligatures w14:val="standardContextual"/>
        </w:rPr>
        <w:t xml:space="preserve">CAPACIDAD RESIDUAL – Saldos de Contratos en Ejecución </w:t>
      </w:r>
      <w:r w:rsidRPr="00F67D88">
        <w:rPr>
          <w:rFonts w:ascii="Verdana" w:eastAsia="Calibri" w:hAnsi="Verdana" w:cs="Arial"/>
          <w:b/>
          <w:color w:val="000000"/>
          <w:kern w:val="2"/>
          <w14:ligatures w14:val="standardContextual"/>
        </w:rPr>
        <w:t xml:space="preserve">“SCE” </w:t>
      </w:r>
      <w:r w:rsidRPr="00F67D88">
        <w:rPr>
          <w:rFonts w:ascii="Verdana" w:eastAsia="Calibri" w:hAnsi="Verdana" w:cs="Arial"/>
          <w:b/>
          <w:bCs/>
          <w:kern w:val="2"/>
          <w14:ligatures w14:val="standardContextual"/>
        </w:rPr>
        <w:t xml:space="preserve">– Contratos de obra – Contratos suspendidos – Saldos pendientes por ejecutar </w:t>
      </w:r>
    </w:p>
    <w:p w14:paraId="3CC9ED2F" w14:textId="77777777" w:rsidR="00F67D88" w:rsidRPr="00F67D88" w:rsidRDefault="00F67D88" w:rsidP="00F67D88">
      <w:pPr>
        <w:spacing w:after="0" w:line="278" w:lineRule="auto"/>
        <w:ind w:right="49"/>
        <w:jc w:val="both"/>
        <w:rPr>
          <w:rFonts w:ascii="Verdana" w:eastAsia="Calibri" w:hAnsi="Verdana" w:cs="Arial"/>
          <w:bCs/>
          <w:color w:val="000000"/>
          <w:kern w:val="2"/>
          <w:sz w:val="20"/>
          <w:szCs w:val="20"/>
          <w14:ligatures w14:val="standardContextual"/>
        </w:rPr>
      </w:pPr>
    </w:p>
    <w:p w14:paraId="299CEB08" w14:textId="77777777" w:rsidR="00F67D88" w:rsidRPr="00F67D88" w:rsidRDefault="00F67D88" w:rsidP="00F67D88">
      <w:pPr>
        <w:spacing w:after="0" w:line="278" w:lineRule="auto"/>
        <w:ind w:right="49"/>
        <w:jc w:val="both"/>
        <w:rPr>
          <w:rFonts w:ascii="Verdana" w:eastAsia="Calibri" w:hAnsi="Verdana" w:cs="Arial"/>
          <w:bCs/>
          <w:color w:val="000000"/>
          <w:kern w:val="2"/>
          <w:sz w:val="20"/>
          <w:szCs w:val="20"/>
          <w14:ligatures w14:val="standardContextual"/>
        </w:rPr>
      </w:pPr>
      <w:r w:rsidRPr="00F67D88">
        <w:rPr>
          <w:rFonts w:ascii="Verdana" w:eastAsia="Calibri" w:hAnsi="Verdana" w:cs="Arial"/>
          <w:bCs/>
          <w:color w:val="000000"/>
          <w:kern w:val="2"/>
          <w:sz w:val="20"/>
          <w:szCs w:val="20"/>
          <w14:ligatures w14:val="standardContextual"/>
        </w:rPr>
        <w:t xml:space="preserve">En este sentido,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“CRP”.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 </w:t>
      </w:r>
    </w:p>
    <w:p w14:paraId="03F16C46" w14:textId="77777777" w:rsidR="00F67D88" w:rsidRPr="00F67D88" w:rsidRDefault="00F67D88" w:rsidP="00F67D88">
      <w:pPr>
        <w:spacing w:after="0" w:line="278" w:lineRule="auto"/>
        <w:ind w:right="49"/>
        <w:jc w:val="both"/>
        <w:rPr>
          <w:rFonts w:ascii="Verdana" w:eastAsia="Calibri" w:hAnsi="Verdana" w:cs="Arial"/>
          <w:bCs/>
          <w:color w:val="000000"/>
          <w:kern w:val="2"/>
          <w:sz w:val="20"/>
          <w:szCs w:val="20"/>
          <w14:ligatures w14:val="standardContextual"/>
        </w:rPr>
      </w:pPr>
    </w:p>
    <w:p w14:paraId="5FD36F27" w14:textId="77777777" w:rsidR="00F67D88" w:rsidRPr="00F67D88" w:rsidRDefault="00F67D88" w:rsidP="00F67D88">
      <w:pPr>
        <w:spacing w:after="0" w:line="278" w:lineRule="auto"/>
        <w:jc w:val="both"/>
        <w:rPr>
          <w:rFonts w:ascii="Verdana" w:eastAsia="Calibri" w:hAnsi="Verdana" w:cs="Arial"/>
          <w:b/>
          <w:kern w:val="2"/>
          <w:lang w:val="es-MX"/>
          <w14:ligatures w14:val="standardContextual"/>
        </w:rPr>
      </w:pPr>
      <w:bookmarkStart w:id="1" w:name="_Hlk65849162"/>
      <w:r w:rsidRPr="00F67D88">
        <w:rPr>
          <w:rFonts w:ascii="Verdana" w:eastAsia="Calibri" w:hAnsi="Verdana" w:cs="Arial"/>
          <w:b/>
          <w:kern w:val="2"/>
          <w:lang w:val="es-MX"/>
          <w14:ligatures w14:val="standardContextual"/>
        </w:rPr>
        <w:t>DOCUMENTOS TIPO – Versión 4 – Licitación Pública - Capacidad residual – Rechazo de la oferta – Causales</w:t>
      </w:r>
    </w:p>
    <w:bookmarkEnd w:id="1"/>
    <w:p w14:paraId="4D5C0E13" w14:textId="77777777" w:rsidR="00F67D88" w:rsidRPr="00F67D88" w:rsidRDefault="00F67D88" w:rsidP="00F67D88">
      <w:pPr>
        <w:spacing w:after="0" w:line="278" w:lineRule="auto"/>
        <w:jc w:val="both"/>
        <w:rPr>
          <w:rFonts w:ascii="Verdana" w:eastAsia="Aptos" w:hAnsi="Verdana" w:cs="Arial"/>
          <w:kern w:val="2"/>
          <w:sz w:val="20"/>
          <w:szCs w:val="20"/>
          <w:lang w:val="es-MX"/>
          <w14:ligatures w14:val="standardContextual"/>
        </w:rPr>
      </w:pPr>
    </w:p>
    <w:p w14:paraId="5F94BFC0" w14:textId="77777777" w:rsidR="00F67D88" w:rsidRPr="00F67D88" w:rsidRDefault="00F67D88" w:rsidP="00F67D88">
      <w:pPr>
        <w:spacing w:line="240" w:lineRule="auto"/>
        <w:ind w:right="79"/>
        <w:jc w:val="both"/>
        <w:rPr>
          <w:rFonts w:ascii="Verdana" w:eastAsia="Arial" w:hAnsi="Verdana" w:cs="Arial"/>
          <w:color w:val="1A1A1A"/>
          <w:kern w:val="2"/>
          <w:sz w:val="20"/>
          <w:szCs w:val="20"/>
          <w14:ligatures w14:val="standardContextual"/>
        </w:rPr>
      </w:pPr>
      <w:r w:rsidRPr="00F67D88">
        <w:rPr>
          <w:rFonts w:ascii="Verdana" w:eastAsia="Arial" w:hAnsi="Verdana" w:cs="Arial"/>
          <w:color w:val="1A1A1A"/>
          <w:kern w:val="2"/>
          <w:sz w:val="20"/>
          <w:szCs w:val="20"/>
          <w14:ligatures w14:val="standardContextual"/>
        </w:rPr>
        <w:t xml:space="preserve">De otro lado, al menos tres causales de rechazo del numeral 1.15 </w:t>
      </w:r>
      <w:r w:rsidRPr="00F67D88">
        <w:rPr>
          <w:rFonts w:ascii="Verdana" w:eastAsia="Aptos" w:hAnsi="Verdana" w:cs="Arial"/>
          <w:kern w:val="2"/>
          <w:sz w:val="20"/>
          <w:szCs w:val="20"/>
          <w:lang w:val="es-MX"/>
          <w14:ligatures w14:val="standardContextual"/>
        </w:rPr>
        <w:t xml:space="preserve">del documento base de obra de licitación para obra pública de infraestructura de transporte –versión 4, </w:t>
      </w:r>
      <w:r w:rsidRPr="00F67D88">
        <w:rPr>
          <w:rFonts w:ascii="Verdana" w:eastAsia="Arial" w:hAnsi="Verdana" w:cs="Arial"/>
          <w:color w:val="1A1A1A"/>
          <w:kern w:val="2"/>
          <w:sz w:val="20"/>
          <w:szCs w:val="20"/>
          <w14:ligatures w14:val="standardContextual"/>
        </w:rPr>
        <w:t xml:space="preserve">se relacionan con la capacidad residual como requisito habilitante, esto es, los literales E, H y X. Las tres causales de rechazo mencionadas tienen el siguiente alcance: </w:t>
      </w:r>
    </w:p>
    <w:p w14:paraId="688D0236" w14:textId="77777777" w:rsidR="00F67D88" w:rsidRPr="00F67D88" w:rsidRDefault="00F67D88" w:rsidP="00F67D88">
      <w:pPr>
        <w:spacing w:after="0" w:line="240" w:lineRule="auto"/>
        <w:ind w:right="79"/>
        <w:jc w:val="both"/>
        <w:rPr>
          <w:rFonts w:ascii="Verdana" w:eastAsia="Arial" w:hAnsi="Verdana" w:cs="Arial"/>
          <w:color w:val="1A1A1A"/>
          <w:kern w:val="2"/>
          <w:sz w:val="20"/>
          <w:szCs w:val="20"/>
          <w14:ligatures w14:val="standardContextual"/>
        </w:rPr>
      </w:pPr>
    </w:p>
    <w:p w14:paraId="049ACD2E" w14:textId="77777777" w:rsidR="00F67D88" w:rsidRPr="00F67D88" w:rsidRDefault="00F67D88" w:rsidP="00F67D88">
      <w:pPr>
        <w:spacing w:after="0" w:line="278" w:lineRule="auto"/>
        <w:jc w:val="both"/>
        <w:rPr>
          <w:rFonts w:ascii="Verdana" w:eastAsia="Times New Roman" w:hAnsi="Verdana" w:cs="Arial"/>
          <w:kern w:val="2"/>
          <w:sz w:val="20"/>
          <w:szCs w:val="20"/>
          <w:lang w:val="es-MX" w:eastAsia="es-ES_tradnl"/>
          <w14:ligatures w14:val="standardContextual"/>
        </w:rPr>
      </w:pPr>
      <w:r w:rsidRPr="00F67D88">
        <w:rPr>
          <w:rFonts w:ascii="Verdana" w:eastAsia="Times New Roman" w:hAnsi="Verdana" w:cs="Arial"/>
          <w:i/>
          <w:sz w:val="20"/>
          <w:szCs w:val="20"/>
          <w:lang w:val="es-MX" w:eastAsia="es-ES_tradnl"/>
        </w:rPr>
        <w:t>i)</w:t>
      </w:r>
      <w:r w:rsidRPr="00F67D88">
        <w:rPr>
          <w:rFonts w:ascii="Verdana" w:eastAsia="Times New Roman" w:hAnsi="Verdana" w:cs="Arial"/>
          <w:sz w:val="20"/>
          <w:szCs w:val="20"/>
          <w:lang w:val="es-MX" w:eastAsia="es-ES_tradnl"/>
        </w:rPr>
        <w:t xml:space="preserve"> La causal del </w:t>
      </w:r>
      <w:r w:rsidRPr="00F67D88">
        <w:rPr>
          <w:rFonts w:ascii="Verdana" w:eastAsia="Times New Roman" w:hAnsi="Verdana" w:cs="Arial"/>
          <w:i/>
          <w:iCs/>
          <w:sz w:val="20"/>
          <w:szCs w:val="20"/>
          <w:lang w:val="es-MX" w:eastAsia="es-ES_tradnl"/>
        </w:rPr>
        <w:t>literal X</w:t>
      </w:r>
      <w:r w:rsidRPr="00F67D88">
        <w:rPr>
          <w:rFonts w:ascii="Verdana" w:eastAsia="Times New Roman" w:hAnsi="Verdana" w:cs="Arial"/>
          <w:sz w:val="20"/>
          <w:szCs w:val="20"/>
          <w:lang w:val="es-MX" w:eastAsia="es-ES_tradnl"/>
        </w:rPr>
        <w:t xml:space="preserve"> del numeral 1.15 solamente aplica cuando el proponente no informa todos los contratos que tiene en ejecución antes del cierre. Esto se traduce en </w:t>
      </w:r>
      <w:r w:rsidRPr="00F67D88">
        <w:rPr>
          <w:rFonts w:ascii="Verdana" w:eastAsia="Times New Roman" w:hAnsi="Verdana" w:cs="Arial"/>
          <w:sz w:val="20"/>
          <w:szCs w:val="20"/>
          <w:lang w:val="es-MX" w:eastAsia="es-ES_tradnl"/>
        </w:rPr>
        <w:lastRenderedPageBreak/>
        <w:t xml:space="preserve">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X es objetiva, pues solo aplica ante la omisión del proponente de informar el número total de contratos en ejecución antes del cierre. </w:t>
      </w:r>
    </w:p>
    <w:p w14:paraId="41BDFEFB" w14:textId="77777777" w:rsidR="00F67D88" w:rsidRPr="00F67D88" w:rsidRDefault="00F67D88" w:rsidP="00F67D88">
      <w:pPr>
        <w:spacing w:after="0" w:line="240" w:lineRule="auto"/>
        <w:jc w:val="both"/>
        <w:rPr>
          <w:rFonts w:ascii="Verdana" w:eastAsia="Times New Roman" w:hAnsi="Verdana" w:cs="Arial"/>
          <w:i/>
          <w:iCs/>
          <w:sz w:val="20"/>
          <w:szCs w:val="20"/>
          <w:lang w:val="es-MX" w:eastAsia="es-ES_tradnl"/>
        </w:rPr>
      </w:pPr>
    </w:p>
    <w:p w14:paraId="30EBAF89" w14:textId="77777777" w:rsidR="00F67D88" w:rsidRPr="00F67D88" w:rsidRDefault="00F67D88" w:rsidP="00F67D88">
      <w:pPr>
        <w:spacing w:after="0" w:line="278" w:lineRule="auto"/>
        <w:jc w:val="both"/>
        <w:rPr>
          <w:rFonts w:ascii="Verdana" w:eastAsia="Times New Roman" w:hAnsi="Verdana" w:cs="Arial"/>
          <w:kern w:val="2"/>
          <w:sz w:val="20"/>
          <w:szCs w:val="20"/>
          <w:lang w:val="es-MX" w:eastAsia="es-ES_tradnl"/>
          <w14:ligatures w14:val="standardContextual"/>
        </w:rPr>
      </w:pPr>
      <w:r w:rsidRPr="00F67D88">
        <w:rPr>
          <w:rFonts w:ascii="Verdana" w:eastAsia="Times New Roman" w:hAnsi="Verdana" w:cs="Arial"/>
          <w:i/>
          <w:sz w:val="20"/>
          <w:szCs w:val="20"/>
          <w:lang w:val="es-MX" w:eastAsia="es-ES_tradnl"/>
        </w:rPr>
        <w:t xml:space="preserve">ii) </w:t>
      </w:r>
      <w:r w:rsidRPr="00F67D88">
        <w:rPr>
          <w:rFonts w:ascii="Verdana" w:eastAsia="Times New Roman" w:hAnsi="Verdana" w:cs="Arial"/>
          <w:sz w:val="20"/>
          <w:szCs w:val="20"/>
          <w:lang w:val="es-MX" w:eastAsia="es-ES_tradnl"/>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w:t>
      </w:r>
      <w:r w:rsidRPr="00F67D88">
        <w:rPr>
          <w:rFonts w:ascii="Verdana" w:eastAsia="Times New Roman" w:hAnsi="Verdana" w:cs="Arial"/>
          <w:i/>
          <w:iCs/>
          <w:sz w:val="20"/>
          <w:szCs w:val="20"/>
          <w:lang w:val="es-MX" w:eastAsia="es-ES_tradnl"/>
        </w:rPr>
        <w:t>literal E</w:t>
      </w:r>
      <w:r w:rsidRPr="00F67D88">
        <w:rPr>
          <w:rFonts w:ascii="Verdana" w:eastAsia="Times New Roman" w:hAnsi="Verdana" w:cs="Arial"/>
          <w:sz w:val="20"/>
          <w:szCs w:val="20"/>
          <w:lang w:val="es-MX" w:eastAsia="es-ES_tradnl"/>
        </w:rPr>
        <w:t xml:space="preserve"> del numeral 1.15. </w:t>
      </w:r>
    </w:p>
    <w:p w14:paraId="5CB9F821" w14:textId="77777777" w:rsidR="00F67D88" w:rsidRPr="00F67D88" w:rsidRDefault="00F67D88" w:rsidP="00F67D88">
      <w:pPr>
        <w:spacing w:after="0" w:line="240" w:lineRule="auto"/>
        <w:jc w:val="both"/>
        <w:rPr>
          <w:rFonts w:ascii="Verdana" w:eastAsia="Times New Roman" w:hAnsi="Verdana" w:cs="Arial"/>
          <w:sz w:val="20"/>
          <w:szCs w:val="20"/>
          <w:lang w:val="es-MX" w:eastAsia="es-ES_tradnl"/>
        </w:rPr>
      </w:pPr>
    </w:p>
    <w:p w14:paraId="6570F043" w14:textId="77777777" w:rsidR="00F67D88" w:rsidRPr="00F67D88" w:rsidRDefault="00F67D88" w:rsidP="00F67D88">
      <w:pPr>
        <w:spacing w:after="0" w:line="240" w:lineRule="auto"/>
        <w:jc w:val="both"/>
        <w:rPr>
          <w:rFonts w:ascii="Verdana" w:eastAsia="Times New Roman" w:hAnsi="Verdana" w:cs="Arial"/>
          <w:sz w:val="20"/>
          <w:szCs w:val="20"/>
          <w:lang w:val="es-MX" w:eastAsia="es-ES_tradnl"/>
        </w:rPr>
      </w:pPr>
      <w:r w:rsidRPr="00F67D88">
        <w:rPr>
          <w:rFonts w:ascii="Verdana" w:eastAsia="Times New Roman" w:hAnsi="Verdana" w:cs="Arial"/>
          <w:i/>
          <w:sz w:val="20"/>
          <w:szCs w:val="20"/>
          <w:lang w:val="es-MX" w:eastAsia="es-ES_tradnl"/>
        </w:rPr>
        <w:t xml:space="preserve">iii) </w:t>
      </w:r>
      <w:r w:rsidRPr="00F67D88">
        <w:rPr>
          <w:rFonts w:ascii="Verdana" w:eastAsia="Times New Roman" w:hAnsi="Verdana" w:cs="Arial"/>
          <w:sz w:val="20"/>
          <w:szCs w:val="20"/>
          <w:lang w:val="es-MX" w:eastAsia="es-ES_tradnl"/>
        </w:rPr>
        <w:t xml:space="preserve">Lo dicho en los numerales precedentes tampoco descarta la posibilidad de que la entidad rechace la oferta si encuentra configurada la causal establecida en el </w:t>
      </w:r>
      <w:r w:rsidRPr="00F67D88">
        <w:rPr>
          <w:rFonts w:ascii="Verdana" w:eastAsia="Times New Roman" w:hAnsi="Verdana" w:cs="Arial"/>
          <w:i/>
          <w:iCs/>
          <w:sz w:val="20"/>
          <w:szCs w:val="20"/>
          <w:lang w:val="es-MX" w:eastAsia="es-ES_tradnl"/>
        </w:rPr>
        <w:t>literal H</w:t>
      </w:r>
      <w:r w:rsidRPr="00F67D88">
        <w:rPr>
          <w:rFonts w:ascii="Verdana" w:eastAsia="Times New Roman" w:hAnsi="Verdana" w:cs="Arial"/>
          <w:sz w:val="20"/>
          <w:szCs w:val="20"/>
          <w:lang w:val="es-MX" w:eastAsia="es-ES_tradnl"/>
        </w:rPr>
        <w:t xml:space="preserve"> del numeral 1.15, que aplica cuando el proponente aporta información inexacta, de acuerdo con lo señalado en el numeral 1.11. del documento base</w:t>
      </w:r>
      <w:r w:rsidRPr="00F67D88">
        <w:rPr>
          <w:rFonts w:ascii="Verdana" w:eastAsia="Times New Roman" w:hAnsi="Verdana" w:cs="Arial"/>
          <w:kern w:val="2"/>
          <w:sz w:val="20"/>
          <w:szCs w:val="20"/>
          <w:lang w:val="es-MX" w:eastAsia="es-ES_tradnl"/>
          <w14:ligatures w14:val="standardContextual"/>
        </w:rPr>
        <w:t>.</w:t>
      </w:r>
      <w:r w:rsidRPr="00F67D88">
        <w:rPr>
          <w:rFonts w:ascii="Verdana" w:eastAsia="Times New Roman" w:hAnsi="Verdana" w:cs="Arial"/>
          <w:sz w:val="20"/>
          <w:szCs w:val="20"/>
          <w:lang w:val="es-MX" w:eastAsia="es-ES_tradnl"/>
        </w:rPr>
        <w:t xml:space="preserve"> </w:t>
      </w:r>
    </w:p>
    <w:p w14:paraId="38BE3838" w14:textId="77777777" w:rsidR="00F67D88" w:rsidRPr="00F67D88" w:rsidRDefault="00F67D88" w:rsidP="00F67D88">
      <w:pPr>
        <w:spacing w:after="0" w:line="276" w:lineRule="auto"/>
        <w:ind w:right="79"/>
        <w:jc w:val="both"/>
        <w:rPr>
          <w:rFonts w:ascii="Verdana" w:eastAsia="Arial" w:hAnsi="Verdana" w:cs="Arial"/>
          <w:color w:val="1A1A1A"/>
          <w:kern w:val="2"/>
          <w14:ligatures w14:val="standardContextual"/>
        </w:rPr>
      </w:pPr>
    </w:p>
    <w:p w14:paraId="747F9C2D" w14:textId="77777777" w:rsidR="00F67D88" w:rsidRPr="00F67D88" w:rsidRDefault="00F67D88" w:rsidP="00F67D88">
      <w:pPr>
        <w:autoSpaceDE w:val="0"/>
        <w:autoSpaceDN w:val="0"/>
        <w:adjustRightInd w:val="0"/>
        <w:spacing w:after="0" w:line="278" w:lineRule="auto"/>
        <w:jc w:val="both"/>
        <w:rPr>
          <w:rFonts w:ascii="Verdana" w:eastAsia="Calibri" w:hAnsi="Verdana" w:cs="Arial"/>
          <w:b/>
          <w:bCs/>
          <w:kern w:val="2"/>
          <w14:ligatures w14:val="standardContextual"/>
        </w:rPr>
      </w:pPr>
      <w:r w:rsidRPr="00F67D88">
        <w:rPr>
          <w:rFonts w:ascii="Verdana" w:eastAsia="Calibri" w:hAnsi="Verdana" w:cs="Arial"/>
          <w:b/>
          <w:kern w:val="2"/>
          <w:lang w:val="es-MX"/>
          <w14:ligatures w14:val="standardContextual"/>
        </w:rPr>
        <w:t xml:space="preserve">RECHAZO DE LA OFERTA </w:t>
      </w:r>
      <w:r w:rsidRPr="00F67D88">
        <w:rPr>
          <w:rFonts w:ascii="Verdana" w:eastAsia="Calibri" w:hAnsi="Verdana" w:cs="Arial"/>
          <w:b/>
          <w:bCs/>
          <w:kern w:val="2"/>
          <w14:ligatures w14:val="standardContextual"/>
        </w:rPr>
        <w:t xml:space="preserve">– Capacidad residual – Contratos de obra – Contrato adjudicado </w:t>
      </w:r>
    </w:p>
    <w:p w14:paraId="5E975066" w14:textId="77777777" w:rsidR="00F67D88" w:rsidRPr="00F67D88" w:rsidRDefault="00F67D88" w:rsidP="00F67D88">
      <w:pPr>
        <w:autoSpaceDE w:val="0"/>
        <w:autoSpaceDN w:val="0"/>
        <w:adjustRightInd w:val="0"/>
        <w:spacing w:after="0" w:line="278" w:lineRule="auto"/>
        <w:jc w:val="both"/>
        <w:rPr>
          <w:rFonts w:ascii="Verdana" w:eastAsia="Calibri" w:hAnsi="Verdana" w:cs="Arial"/>
          <w:b/>
          <w:bCs/>
          <w:kern w:val="2"/>
          <w14:ligatures w14:val="standardContextual"/>
        </w:rPr>
      </w:pPr>
    </w:p>
    <w:p w14:paraId="6DF4422D" w14:textId="77777777" w:rsidR="00F67D88" w:rsidRPr="00F67D88" w:rsidRDefault="00F67D88" w:rsidP="00F67D88">
      <w:pPr>
        <w:spacing w:after="0" w:line="240" w:lineRule="auto"/>
        <w:jc w:val="both"/>
        <w:rPr>
          <w:rFonts w:ascii="Verdana" w:eastAsia="Aptos" w:hAnsi="Verdana" w:cs="Arial"/>
          <w:bCs/>
          <w:kern w:val="2"/>
          <w:sz w:val="20"/>
          <w:szCs w:val="20"/>
          <w:lang w:val="es-MX"/>
          <w14:ligatures w14:val="standardContextual"/>
        </w:rPr>
      </w:pPr>
      <w:r w:rsidRPr="00F67D88">
        <w:rPr>
          <w:rFonts w:ascii="Verdana" w:eastAsia="Aptos" w:hAnsi="Verdana" w:cs="Arial"/>
          <w:kern w:val="2"/>
          <w:sz w:val="20"/>
          <w:szCs w:val="20"/>
          <w:lang w:val="es-MX"/>
          <w14:ligatures w14:val="standardContextual"/>
        </w:rPr>
        <w:t xml:space="preserve">Conforme a las definiciones previstas en </w:t>
      </w:r>
      <w:r w:rsidRPr="00F67D88">
        <w:rPr>
          <w:rFonts w:ascii="Verdana" w:eastAsia="Aptos" w:hAnsi="Verdana" w:cs="Arial"/>
          <w:bCs/>
          <w:kern w:val="2"/>
          <w:sz w:val="20"/>
          <w:szCs w:val="20"/>
          <w:lang w:val="es-ES"/>
          <w14:ligatures w14:val="standardContextual"/>
        </w:rPr>
        <w:t>la Guía para Determinar y Verificar la Capacidad Residual del Proponente en los Procesos de Contratación de Obra Pública, el numeral II del literal E del numeral 3.11.2 del documento base dispone que “</w:t>
      </w:r>
      <w:r w:rsidRPr="00F67D88">
        <w:rPr>
          <w:rFonts w:ascii="Verdana" w:eastAsia="Aptos" w:hAnsi="Verdana" w:cs="Arial"/>
          <w:bCs/>
          <w:kern w:val="2"/>
          <w:sz w:val="20"/>
          <w:szCs w:val="20"/>
          <w:lang w:val="es-MX"/>
          <w14:ligatures w14:val="standardContextual"/>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14:paraId="4E9BB27B" w14:textId="77777777" w:rsidR="00F67D88" w:rsidRPr="00F67D88" w:rsidRDefault="00F67D88" w:rsidP="00F67D88">
      <w:pPr>
        <w:spacing w:after="0" w:line="240" w:lineRule="auto"/>
        <w:ind w:firstLine="708"/>
        <w:jc w:val="both"/>
        <w:rPr>
          <w:rFonts w:ascii="Verdana" w:eastAsia="Aptos" w:hAnsi="Verdana" w:cs="Arial"/>
          <w:bCs/>
          <w:kern w:val="2"/>
          <w:sz w:val="20"/>
          <w:szCs w:val="20"/>
          <w:lang w:val="es-MX"/>
          <w14:ligatures w14:val="standardContextual"/>
        </w:rPr>
      </w:pPr>
    </w:p>
    <w:p w14:paraId="461AF585" w14:textId="77777777" w:rsidR="00F67D88" w:rsidRPr="00F67D88" w:rsidRDefault="00F67D88" w:rsidP="00F67D88">
      <w:pPr>
        <w:spacing w:after="0" w:line="240" w:lineRule="auto"/>
        <w:jc w:val="both"/>
        <w:rPr>
          <w:rFonts w:ascii="Verdana" w:eastAsia="Aptos" w:hAnsi="Verdana" w:cs="Arial"/>
          <w:kern w:val="2"/>
          <w:sz w:val="20"/>
          <w:szCs w:val="20"/>
          <w:lang w:val="es-MX"/>
          <w14:ligatures w14:val="standardContextual"/>
        </w:rPr>
      </w:pPr>
      <w:r w:rsidRPr="00F67D88">
        <w:rPr>
          <w:rFonts w:ascii="Verdana" w:eastAsia="Aptos" w:hAnsi="Verdana" w:cs="Arial"/>
          <w:bCs/>
          <w:kern w:val="2"/>
          <w:sz w:val="20"/>
          <w:szCs w:val="20"/>
          <w:lang w:val="es-MX"/>
          <w14:ligatures w14:val="standardContextual"/>
        </w:rPr>
        <w:t xml:space="preserve">Como se observa, la definición solo aplica a los contratos perfeccionados, aunque estos estén suspendidos o no tengan acta de inicio. Por tanto, están fuera de esta los procesos de selección adjudicados, pues –en los términos del artículo 41 de la Ley 80 de 1993– los contratos estatales de las entidades sometidas al Estatuto General de Contratación de la Administración Pública se perfeccionan cuando se logre acuerdo sobre el objeto y la contraprestación y éste se eleve a escrito, lo cual ocurre con la suscripción formal del contrato y no con el acto de adjudicación. Lo expuesto es congruente con el artículo 2.2.1.1.1.6.4 del Decreto 1082 de 2015, en virtud del cual, para efectos de acreditar la </w:t>
      </w:r>
      <w:r w:rsidRPr="00F67D88">
        <w:rPr>
          <w:rFonts w:ascii="Verdana" w:eastAsia="Aptos" w:hAnsi="Verdana" w:cs="Arial"/>
          <w:bCs/>
          <w:kern w:val="2"/>
          <w:sz w:val="20"/>
          <w:szCs w:val="20"/>
          <w:lang w:val="es-MX"/>
          <w14:ligatures w14:val="standardContextual"/>
        </w:rPr>
        <w:lastRenderedPageBreak/>
        <w:t>capacidad residual del proponente, se requiere el listado de contratos de obra civiles en ejecución suscritos con entidades estatales y con entidades privadas.</w:t>
      </w:r>
    </w:p>
    <w:p w14:paraId="1349CB2E" w14:textId="77777777" w:rsidR="00F67D88" w:rsidRPr="00F67D88" w:rsidRDefault="00F67D88" w:rsidP="00F67D88">
      <w:pPr>
        <w:autoSpaceDE w:val="0"/>
        <w:autoSpaceDN w:val="0"/>
        <w:adjustRightInd w:val="0"/>
        <w:spacing w:after="0" w:line="278" w:lineRule="auto"/>
        <w:jc w:val="both"/>
        <w:rPr>
          <w:rFonts w:ascii="Verdana" w:eastAsia="Calibri" w:hAnsi="Verdana" w:cs="Arial"/>
          <w:b/>
          <w:kern w:val="2"/>
          <w14:ligatures w14:val="standardContextual"/>
        </w:rPr>
      </w:pPr>
    </w:p>
    <w:p w14:paraId="110471B7" w14:textId="77777777" w:rsidR="00F67D88" w:rsidRDefault="00F67D88"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76249486"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106079AE"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17530DFD"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5697833C"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480C9978"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100427C6"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01A57E14"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3C92C17A"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7A4D4343"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6C5F0031"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D51FB85"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31700CB3"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58DE2ADD"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715E7444"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BDFD89B"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C30E414"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D3BFEF6"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BB2A5AA"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72D31D27"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62FD98F7"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40958EDA"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4FBD013D"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1C95A182"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45978378"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42CA3075"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7D976EDF"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570F4240"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347C7D0"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CEA936B"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5D73A1F6"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3B98540B"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04A9663E"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0A605E6A"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18E6F87" w14:textId="77777777" w:rsidR="00A446F7"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FCDE7F7" w14:textId="77777777" w:rsidR="00A446F7" w:rsidRPr="00F67D88" w:rsidRDefault="00A446F7"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728B3053" w14:textId="77777777" w:rsidR="00F67D88" w:rsidRPr="00F67D88" w:rsidRDefault="00F67D88"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60C9DEDB" w14:textId="77777777" w:rsidR="00F67D88" w:rsidRDefault="00F67D88"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5E6A3ACF" w14:textId="77777777" w:rsidR="004F502D" w:rsidRPr="00F67D88" w:rsidRDefault="004F502D" w:rsidP="00F67D88">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6A398334" w14:textId="77777777" w:rsidR="00572929" w:rsidRDefault="00572929" w:rsidP="00F67D88">
      <w:pPr>
        <w:spacing w:after="0" w:line="240" w:lineRule="auto"/>
        <w:rPr>
          <w:rFonts w:ascii="Verdana" w:eastAsia="Geomanist Light" w:hAnsi="Verdana" w:cs="Arial"/>
          <w:lang w:val="es-MX"/>
        </w:rPr>
      </w:pPr>
    </w:p>
    <w:p w14:paraId="6C607D61" w14:textId="016780F4" w:rsidR="00F67D88" w:rsidRPr="00732F57" w:rsidRDefault="00F67D88" w:rsidP="00F67D88">
      <w:pPr>
        <w:spacing w:after="0" w:line="240" w:lineRule="auto"/>
        <w:rPr>
          <w:rFonts w:ascii="Verdana" w:eastAsia="Geomanist Light" w:hAnsi="Verdana" w:cs="Arial"/>
          <w:lang w:val="es-MX"/>
        </w:rPr>
      </w:pPr>
      <w:r w:rsidRPr="00F67D88">
        <w:rPr>
          <w:rFonts w:ascii="Verdana" w:eastAsia="Geomanist Light" w:hAnsi="Verdana" w:cs="Arial"/>
          <w:lang w:val="es-MX"/>
        </w:rPr>
        <w:lastRenderedPageBreak/>
        <w:t>Bogotá D.C., </w:t>
      </w:r>
      <w:r w:rsidR="004F502D">
        <w:rPr>
          <w:rFonts w:ascii="Verdana" w:eastAsia="Geomanist Light" w:hAnsi="Verdana" w:cs="Arial"/>
          <w:lang w:val="es-MX"/>
        </w:rPr>
        <w:t>9 de junio de 2025</w:t>
      </w:r>
    </w:p>
    <w:p w14:paraId="6855426A" w14:textId="77DFF83F" w:rsidR="00572929" w:rsidRDefault="00572929" w:rsidP="00F67D88">
      <w:pPr>
        <w:spacing w:after="0" w:line="240" w:lineRule="auto"/>
        <w:rPr>
          <w:rFonts w:ascii="Verdana" w:eastAsia="Calibri" w:hAnsi="Verdana" w:cs="Arial"/>
          <w:lang w:val="es-MX" w:eastAsia="es-ES"/>
        </w:rPr>
      </w:pPr>
    </w:p>
    <w:p w14:paraId="3013D496" w14:textId="59B3AA96" w:rsidR="00A446F7" w:rsidRPr="00F67D88" w:rsidRDefault="00A446F7" w:rsidP="00F67D88">
      <w:pPr>
        <w:spacing w:after="0" w:line="240" w:lineRule="auto"/>
        <w:rPr>
          <w:rFonts w:ascii="Verdana" w:eastAsia="Calibri" w:hAnsi="Verdana" w:cs="Arial"/>
          <w:lang w:val="es-MX" w:eastAsia="es-ES"/>
        </w:rPr>
      </w:pPr>
    </w:p>
    <w:p w14:paraId="4CB6DB36" w14:textId="5CA41B80" w:rsidR="00F67D88" w:rsidRPr="00F67D88" w:rsidRDefault="00732F57" w:rsidP="00F67D88">
      <w:pPr>
        <w:spacing w:after="0" w:line="240" w:lineRule="auto"/>
        <w:rPr>
          <w:rFonts w:ascii="Verdana" w:eastAsia="Aptos" w:hAnsi="Verdana" w:cs="Times New Roman"/>
        </w:rPr>
      </w:pPr>
      <w:r w:rsidRPr="004F502D">
        <w:rPr>
          <w:rFonts w:ascii="Verdana" w:eastAsia="Geomanist Light" w:hAnsi="Verdana" w:cs="Arial"/>
          <w:noProof/>
          <w:lang w:val="es-MX"/>
        </w:rPr>
        <w:drawing>
          <wp:anchor distT="0" distB="0" distL="114300" distR="114300" simplePos="0" relativeHeight="251659776" behindDoc="0" locked="0" layoutInCell="1" allowOverlap="1" wp14:anchorId="4A7C5F82" wp14:editId="249A1AE3">
            <wp:simplePos x="0" y="0"/>
            <wp:positionH relativeFrom="margin">
              <wp:posOffset>2783785</wp:posOffset>
            </wp:positionH>
            <wp:positionV relativeFrom="paragraph">
              <wp:posOffset>9194</wp:posOffset>
            </wp:positionV>
            <wp:extent cx="3161030" cy="818515"/>
            <wp:effectExtent l="0" t="0" r="1270" b="635"/>
            <wp:wrapSquare wrapText="bothSides"/>
            <wp:docPr id="11475741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74131" name=""/>
                    <pic:cNvPicPr/>
                  </pic:nvPicPr>
                  <pic:blipFill>
                    <a:blip r:embed="rId10">
                      <a:extLst>
                        <a:ext uri="{28A0092B-C50C-407E-A947-70E740481C1C}">
                          <a14:useLocalDpi xmlns:a14="http://schemas.microsoft.com/office/drawing/2010/main" val="0"/>
                        </a:ext>
                      </a:extLst>
                    </a:blip>
                    <a:stretch>
                      <a:fillRect/>
                    </a:stretch>
                  </pic:blipFill>
                  <pic:spPr>
                    <a:xfrm>
                      <a:off x="0" y="0"/>
                      <a:ext cx="3161030" cy="818515"/>
                    </a:xfrm>
                    <a:prstGeom prst="rect">
                      <a:avLst/>
                    </a:prstGeom>
                  </pic:spPr>
                </pic:pic>
              </a:graphicData>
            </a:graphic>
            <wp14:sizeRelH relativeFrom="margin">
              <wp14:pctWidth>0</wp14:pctWidth>
            </wp14:sizeRelH>
            <wp14:sizeRelV relativeFrom="margin">
              <wp14:pctHeight>0</wp14:pctHeight>
            </wp14:sizeRelV>
          </wp:anchor>
        </w:drawing>
      </w:r>
      <w:r w:rsidR="00F67D88" w:rsidRPr="00F67D88">
        <w:rPr>
          <w:rFonts w:ascii="Verdana" w:eastAsia="Calibri" w:hAnsi="Verdana" w:cs="Arial"/>
          <w:lang w:val="es-ES" w:eastAsia="es-ES"/>
        </w:rPr>
        <w:t>Señora</w:t>
      </w:r>
    </w:p>
    <w:p w14:paraId="1E0492E4" w14:textId="77777777" w:rsidR="00F67D88" w:rsidRPr="00F67D88" w:rsidRDefault="00F67D88" w:rsidP="00F67D88">
      <w:pPr>
        <w:spacing w:after="0" w:line="240" w:lineRule="auto"/>
        <w:rPr>
          <w:rFonts w:ascii="Verdana" w:eastAsia="Calibri" w:hAnsi="Verdana" w:cs="Arial"/>
          <w:b/>
          <w:bCs/>
          <w:lang w:eastAsia="es-ES_tradnl"/>
        </w:rPr>
      </w:pPr>
      <w:r w:rsidRPr="00F67D88">
        <w:rPr>
          <w:rFonts w:ascii="Verdana" w:eastAsia="Calibri" w:hAnsi="Verdana" w:cs="Arial"/>
          <w:b/>
          <w:bCs/>
          <w:lang w:eastAsia="es-ES_tradnl"/>
        </w:rPr>
        <w:t>Rubiela Valencia Marulanda</w:t>
      </w:r>
    </w:p>
    <w:p w14:paraId="3083FA5D" w14:textId="77777777" w:rsidR="00F67D88" w:rsidRPr="00F67D88" w:rsidRDefault="00F67D88" w:rsidP="00F67D88">
      <w:pPr>
        <w:spacing w:after="0" w:line="240" w:lineRule="auto"/>
        <w:rPr>
          <w:rFonts w:ascii="Verdana" w:eastAsia="Calibri" w:hAnsi="Verdana" w:cs="Arial"/>
          <w:lang w:eastAsia="es-ES_tradnl"/>
        </w:rPr>
      </w:pPr>
      <w:r w:rsidRPr="00F67D88">
        <w:rPr>
          <w:rFonts w:ascii="Verdana" w:eastAsia="Calibri" w:hAnsi="Verdana" w:cs="Arial"/>
          <w:lang w:eastAsia="es-ES_tradnl"/>
        </w:rPr>
        <w:t xml:space="preserve">Representante Legal </w:t>
      </w:r>
    </w:p>
    <w:p w14:paraId="52288AD7" w14:textId="77777777" w:rsidR="00F67D88" w:rsidRPr="00F67D88" w:rsidRDefault="00F67D88" w:rsidP="00F67D88">
      <w:pPr>
        <w:spacing w:after="0" w:line="240" w:lineRule="auto"/>
        <w:rPr>
          <w:rFonts w:ascii="Verdana" w:eastAsia="Calibri" w:hAnsi="Verdana" w:cs="Arial"/>
          <w:lang w:eastAsia="es-ES_tradnl"/>
        </w:rPr>
      </w:pPr>
      <w:proofErr w:type="spellStart"/>
      <w:r w:rsidRPr="00F67D88">
        <w:rPr>
          <w:rFonts w:ascii="Verdana" w:eastAsia="Calibri" w:hAnsi="Verdana" w:cs="Arial"/>
          <w:lang w:eastAsia="es-ES_tradnl"/>
        </w:rPr>
        <w:t>Fenix</w:t>
      </w:r>
      <w:proofErr w:type="spellEnd"/>
      <w:r w:rsidRPr="00F67D88">
        <w:rPr>
          <w:rFonts w:ascii="Verdana" w:eastAsia="Calibri" w:hAnsi="Verdana" w:cs="Arial"/>
          <w:lang w:eastAsia="es-ES_tradnl"/>
        </w:rPr>
        <w:t xml:space="preserve"> Ingenieros Constructores S.A.S</w:t>
      </w:r>
    </w:p>
    <w:p w14:paraId="786337C3" w14:textId="77777777" w:rsidR="00F67D88" w:rsidRPr="00F67D88" w:rsidRDefault="00F67D88" w:rsidP="00F67D88">
      <w:pPr>
        <w:spacing w:after="0" w:line="240" w:lineRule="auto"/>
        <w:rPr>
          <w:rFonts w:ascii="Verdana" w:eastAsia="Calibri" w:hAnsi="Verdana" w:cs="Arial"/>
          <w:lang w:eastAsia="es-ES_tradnl"/>
        </w:rPr>
      </w:pPr>
      <w:r w:rsidRPr="00F67D88">
        <w:rPr>
          <w:rFonts w:ascii="Verdana" w:eastAsia="Calibri" w:hAnsi="Verdana" w:cs="Arial"/>
          <w:lang w:eastAsia="es-ES_tradnl"/>
        </w:rPr>
        <w:t>Manizales, Caldas</w:t>
      </w:r>
    </w:p>
    <w:p w14:paraId="115F35FE" w14:textId="77777777" w:rsidR="00F67D88" w:rsidRPr="00F67D88" w:rsidRDefault="00F67D88" w:rsidP="00F67D88">
      <w:pPr>
        <w:spacing w:after="0" w:line="240" w:lineRule="auto"/>
        <w:rPr>
          <w:rFonts w:ascii="Verdana" w:eastAsia="Calibri" w:hAnsi="Verdana" w:cs="Arial"/>
          <w:lang w:val="es-ES_tradnl" w:eastAsia="es-ES_tradnl"/>
        </w:rPr>
      </w:pPr>
    </w:p>
    <w:p w14:paraId="0CA71862" w14:textId="77777777" w:rsidR="00F67D88" w:rsidRPr="00F67D88" w:rsidRDefault="00F67D88" w:rsidP="00F67D8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F67D88" w:rsidRPr="00F67D88" w14:paraId="6834E596" w14:textId="77777777" w:rsidTr="003573D0">
        <w:trPr>
          <w:trHeight w:val="229"/>
        </w:trPr>
        <w:tc>
          <w:tcPr>
            <w:tcW w:w="2410" w:type="dxa"/>
          </w:tcPr>
          <w:p w14:paraId="015F298B" w14:textId="77777777" w:rsidR="00F67D88" w:rsidRPr="00F67D88" w:rsidRDefault="00F67D88" w:rsidP="00F67D88">
            <w:pPr>
              <w:jc w:val="both"/>
              <w:rPr>
                <w:rFonts w:ascii="Verdana" w:eastAsia="Calibri" w:hAnsi="Verdana" w:cs="Arial"/>
                <w:b/>
                <w:bCs/>
                <w:lang w:val="es-ES_tradnl" w:eastAsia="es-ES_tradnl"/>
              </w:rPr>
            </w:pPr>
          </w:p>
        </w:tc>
        <w:tc>
          <w:tcPr>
            <w:tcW w:w="6379" w:type="dxa"/>
          </w:tcPr>
          <w:p w14:paraId="3AC966FA" w14:textId="77777777" w:rsidR="00F67D88" w:rsidRDefault="00F67D88" w:rsidP="00F67D88">
            <w:pPr>
              <w:jc w:val="both"/>
              <w:rPr>
                <w:rFonts w:ascii="Verdana" w:eastAsia="Calibri" w:hAnsi="Verdana" w:cs="Arial"/>
                <w:b/>
                <w:bCs/>
                <w:lang w:val="es-ES" w:eastAsia="es-ES"/>
              </w:rPr>
            </w:pPr>
            <w:r w:rsidRPr="00F67D88">
              <w:rPr>
                <w:rFonts w:ascii="Verdana" w:eastAsia="Calibri" w:hAnsi="Verdana" w:cs="Arial"/>
                <w:b/>
                <w:bCs/>
                <w:lang w:val="es-ES" w:eastAsia="es-ES"/>
              </w:rPr>
              <w:t>Concepto C-641 de 2025</w:t>
            </w:r>
          </w:p>
          <w:p w14:paraId="42A7FBA2" w14:textId="77777777" w:rsidR="00A446F7" w:rsidRPr="00F67D88" w:rsidRDefault="00A446F7" w:rsidP="00F67D88">
            <w:pPr>
              <w:jc w:val="both"/>
              <w:rPr>
                <w:rFonts w:ascii="Verdana" w:eastAsia="Calibri" w:hAnsi="Verdana" w:cs="Arial"/>
                <w:b/>
                <w:bCs/>
                <w:lang w:val="es-ES" w:eastAsia="es-ES"/>
              </w:rPr>
            </w:pPr>
          </w:p>
          <w:p w14:paraId="5B80687A" w14:textId="77777777" w:rsidR="00F67D88" w:rsidRPr="00F67D88" w:rsidRDefault="00F67D88" w:rsidP="00F67D88">
            <w:pPr>
              <w:jc w:val="both"/>
              <w:rPr>
                <w:rFonts w:ascii="Verdana" w:eastAsia="Calibri" w:hAnsi="Verdana" w:cs="Arial"/>
                <w:b/>
                <w:bCs/>
                <w:lang w:val="es-ES" w:eastAsia="es-ES"/>
              </w:rPr>
            </w:pPr>
          </w:p>
        </w:tc>
      </w:tr>
      <w:tr w:rsidR="00F67D88" w:rsidRPr="00F67D88" w14:paraId="1B0AA7BD" w14:textId="77777777" w:rsidTr="003573D0">
        <w:trPr>
          <w:trHeight w:val="884"/>
        </w:trPr>
        <w:tc>
          <w:tcPr>
            <w:tcW w:w="2410" w:type="dxa"/>
          </w:tcPr>
          <w:p w14:paraId="5058A074" w14:textId="77777777" w:rsidR="00F67D88" w:rsidRPr="00F67D88" w:rsidRDefault="00F67D88" w:rsidP="00F67D88">
            <w:pPr>
              <w:jc w:val="both"/>
              <w:rPr>
                <w:rFonts w:ascii="Verdana" w:eastAsia="Calibri" w:hAnsi="Verdana" w:cs="Arial"/>
                <w:lang w:val="es-ES_tradnl" w:eastAsia="es-ES_tradnl"/>
              </w:rPr>
            </w:pPr>
            <w:r w:rsidRPr="00F67D88">
              <w:rPr>
                <w:rFonts w:ascii="Verdana" w:eastAsia="Calibri" w:hAnsi="Verdana" w:cs="Arial"/>
                <w:b/>
                <w:lang w:val="es-ES_tradnl" w:eastAsia="es-ES_tradnl"/>
              </w:rPr>
              <w:t>Temas:</w:t>
            </w:r>
            <w:r w:rsidRPr="00F67D88">
              <w:rPr>
                <w:rFonts w:ascii="Verdana" w:eastAsia="Calibri" w:hAnsi="Verdana" w:cs="Arial"/>
                <w:lang w:val="es-ES_tradnl" w:eastAsia="es-ES_tradnl"/>
              </w:rPr>
              <w:t xml:space="preserve">                   </w:t>
            </w:r>
          </w:p>
        </w:tc>
        <w:tc>
          <w:tcPr>
            <w:tcW w:w="6379" w:type="dxa"/>
          </w:tcPr>
          <w:p w14:paraId="58C1BA08" w14:textId="0CBF1148" w:rsidR="00A446F7" w:rsidRPr="00732F57" w:rsidRDefault="00F67D88" w:rsidP="00732F57">
            <w:pPr>
              <w:autoSpaceDE w:val="0"/>
              <w:autoSpaceDN w:val="0"/>
              <w:adjustRightInd w:val="0"/>
              <w:jc w:val="both"/>
              <w:rPr>
                <w:rFonts w:ascii="Verdana" w:eastAsia="Calibri" w:hAnsi="Verdana" w:cs="Arial"/>
              </w:rPr>
            </w:pPr>
            <w:r w:rsidRPr="00F67D88">
              <w:rPr>
                <w:rFonts w:ascii="Verdana" w:eastAsia="Aptos" w:hAnsi="Verdana" w:cs="Times New Roman"/>
                <w:color w:val="000000"/>
              </w:rPr>
              <w:t xml:space="preserve">DOCUMENTOS TIPO – Fundamento normativo – Obligatoriedad </w:t>
            </w:r>
            <w:r w:rsidRPr="00F67D88">
              <w:rPr>
                <w:rFonts w:ascii="Verdana" w:eastAsia="Aptos" w:hAnsi="Verdana" w:cs="Times New Roman"/>
              </w:rPr>
              <w:t xml:space="preserve">/ </w:t>
            </w:r>
            <w:r w:rsidRPr="00F67D88">
              <w:rPr>
                <w:rFonts w:ascii="Verdana" w:eastAsia="Calibri" w:hAnsi="Verdana" w:cs="Arial"/>
              </w:rPr>
              <w:t xml:space="preserve">CAPACIDAD RESIDUAL – Saldos de Contratos en Ejecución </w:t>
            </w:r>
            <w:r w:rsidRPr="00F67D88">
              <w:rPr>
                <w:rFonts w:ascii="Verdana" w:eastAsia="Calibri" w:hAnsi="Verdana" w:cs="Arial"/>
                <w:color w:val="000000"/>
              </w:rPr>
              <w:t xml:space="preserve">“SCE” </w:t>
            </w:r>
            <w:r w:rsidRPr="00F67D88">
              <w:rPr>
                <w:rFonts w:ascii="Verdana" w:eastAsia="Calibri" w:hAnsi="Verdana" w:cs="Arial"/>
              </w:rPr>
              <w:t xml:space="preserve">– Contratos de obra – Contratos suspendidos – Saldos pendientes por ejecutar / </w:t>
            </w:r>
            <w:r w:rsidRPr="00F67D88">
              <w:rPr>
                <w:rFonts w:ascii="Verdana" w:eastAsia="Calibri" w:hAnsi="Verdana" w:cs="Arial"/>
                <w:lang w:val="es-MX"/>
              </w:rPr>
              <w:t xml:space="preserve">DOCUMENTOS TIPO – Versión 4 – Licitación Pública - Capacidad residual – Rechazo de la oferta – Causales / RECHAZO DE LA OFERTA </w:t>
            </w:r>
            <w:r w:rsidRPr="00F67D88">
              <w:rPr>
                <w:rFonts w:ascii="Verdana" w:eastAsia="Calibri" w:hAnsi="Verdana" w:cs="Arial"/>
              </w:rPr>
              <w:t>– Capacidad residual – Contratos de obra – Contrato adjudicado</w:t>
            </w:r>
          </w:p>
        </w:tc>
      </w:tr>
      <w:tr w:rsidR="00F67D88" w:rsidRPr="00F67D88" w14:paraId="009A25AB" w14:textId="77777777" w:rsidTr="003573D0">
        <w:tc>
          <w:tcPr>
            <w:tcW w:w="2410" w:type="dxa"/>
          </w:tcPr>
          <w:p w14:paraId="02D1C78B" w14:textId="77777777" w:rsidR="00F67D88" w:rsidRPr="00F67D88" w:rsidRDefault="00F67D88" w:rsidP="00F67D88">
            <w:pPr>
              <w:jc w:val="both"/>
              <w:rPr>
                <w:rFonts w:ascii="Verdana" w:eastAsia="Calibri" w:hAnsi="Verdana" w:cs="Arial"/>
                <w:b/>
                <w:lang w:val="es-ES_tradnl" w:eastAsia="es-ES_tradnl"/>
              </w:rPr>
            </w:pPr>
            <w:r w:rsidRPr="00F67D88">
              <w:rPr>
                <w:rFonts w:ascii="Verdana" w:eastAsia="Calibri" w:hAnsi="Verdana" w:cs="Arial"/>
                <w:b/>
                <w:lang w:val="es-ES_tradnl" w:eastAsia="es-ES_tradnl"/>
              </w:rPr>
              <w:t>Radicación:</w:t>
            </w:r>
            <w:r w:rsidRPr="00F67D88">
              <w:rPr>
                <w:rFonts w:ascii="Verdana" w:eastAsia="Calibri" w:hAnsi="Verdana" w:cs="Arial"/>
                <w:lang w:val="es-ES_tradnl" w:eastAsia="es-ES_tradnl"/>
              </w:rPr>
              <w:t xml:space="preserve">               </w:t>
            </w:r>
          </w:p>
        </w:tc>
        <w:tc>
          <w:tcPr>
            <w:tcW w:w="6379" w:type="dxa"/>
          </w:tcPr>
          <w:p w14:paraId="44E0D6B8" w14:textId="77777777" w:rsidR="00F67D88" w:rsidRPr="00F67D88" w:rsidRDefault="00F67D88" w:rsidP="00F67D88">
            <w:pPr>
              <w:ind w:left="708" w:hanging="708"/>
              <w:jc w:val="both"/>
              <w:rPr>
                <w:rFonts w:ascii="Verdana" w:eastAsia="Calibri" w:hAnsi="Verdana" w:cs="Arial"/>
                <w:lang w:val="es-ES_tradnl" w:eastAsia="es-ES_tradnl"/>
              </w:rPr>
            </w:pPr>
            <w:r w:rsidRPr="00F67D88">
              <w:rPr>
                <w:rFonts w:ascii="Verdana" w:eastAsia="Calibri" w:hAnsi="Verdana" w:cs="Arial"/>
                <w:lang w:val="es-ES_tradnl" w:eastAsia="es-ES_tradnl"/>
              </w:rPr>
              <w:t>Respuesta a consulta con radicado No. P20250522004934</w:t>
            </w:r>
          </w:p>
        </w:tc>
      </w:tr>
    </w:tbl>
    <w:p w14:paraId="34A3CCEA" w14:textId="77777777" w:rsidR="00F67D88" w:rsidRDefault="00F67D88" w:rsidP="00F67D88">
      <w:pPr>
        <w:spacing w:after="0" w:line="240" w:lineRule="auto"/>
        <w:jc w:val="both"/>
        <w:rPr>
          <w:rFonts w:ascii="Verdana" w:eastAsia="Calibri" w:hAnsi="Verdana" w:cs="Arial"/>
          <w:lang w:val="es-ES_tradnl" w:eastAsia="es-ES_tradnl"/>
        </w:rPr>
      </w:pPr>
    </w:p>
    <w:p w14:paraId="7D644153" w14:textId="77777777" w:rsidR="00A446F7" w:rsidRPr="00F67D88" w:rsidRDefault="00A446F7" w:rsidP="00F67D88">
      <w:pPr>
        <w:spacing w:after="0" w:line="240" w:lineRule="auto"/>
        <w:jc w:val="both"/>
        <w:rPr>
          <w:rFonts w:ascii="Verdana" w:eastAsia="Calibri" w:hAnsi="Verdana" w:cs="Arial"/>
          <w:lang w:val="es-ES_tradnl" w:eastAsia="es-ES_tradnl"/>
        </w:rPr>
      </w:pPr>
    </w:p>
    <w:p w14:paraId="0AF904E7" w14:textId="77777777" w:rsidR="00F67D88" w:rsidRPr="00F67D88" w:rsidRDefault="00F67D88" w:rsidP="00F67D88">
      <w:pPr>
        <w:spacing w:after="0" w:line="276" w:lineRule="auto"/>
        <w:jc w:val="both"/>
        <w:rPr>
          <w:rFonts w:ascii="Verdana" w:eastAsia="Calibri" w:hAnsi="Verdana" w:cs="Arial"/>
          <w:lang w:val="es-ES" w:eastAsia="es-ES"/>
        </w:rPr>
      </w:pPr>
      <w:r w:rsidRPr="00F67D88">
        <w:rPr>
          <w:rFonts w:ascii="Verdana" w:eastAsia="Calibri" w:hAnsi="Verdana" w:cs="Arial"/>
          <w:lang w:val="es-ES" w:eastAsia="es-ES"/>
        </w:rPr>
        <w:t xml:space="preserve">Estimada señora Valencia Marulanda: </w:t>
      </w:r>
    </w:p>
    <w:p w14:paraId="0E3DD35F" w14:textId="77777777" w:rsidR="00F67D88" w:rsidRPr="00F67D88" w:rsidRDefault="00F67D88" w:rsidP="00F67D88">
      <w:pPr>
        <w:tabs>
          <w:tab w:val="left" w:pos="3768"/>
        </w:tabs>
        <w:spacing w:after="0" w:line="276" w:lineRule="auto"/>
        <w:jc w:val="both"/>
        <w:rPr>
          <w:rFonts w:ascii="Verdana" w:eastAsia="Calibri" w:hAnsi="Verdana" w:cs="Arial"/>
          <w:lang w:val="es-ES" w:eastAsia="es-ES"/>
        </w:rPr>
      </w:pPr>
      <w:r w:rsidRPr="00F67D88">
        <w:rPr>
          <w:rFonts w:ascii="Verdana" w:eastAsia="Calibri" w:hAnsi="Verdana" w:cs="Arial"/>
          <w:lang w:val="es-ES" w:eastAsia="es-ES"/>
        </w:rPr>
        <w:tab/>
      </w:r>
    </w:p>
    <w:p w14:paraId="74E29D3E" w14:textId="77777777" w:rsidR="00F67D88" w:rsidRPr="00F67D88" w:rsidRDefault="00F67D88" w:rsidP="00F67D88">
      <w:pPr>
        <w:spacing w:after="0" w:line="276" w:lineRule="auto"/>
        <w:jc w:val="both"/>
        <w:rPr>
          <w:rFonts w:ascii="Verdana" w:eastAsia="Calibri" w:hAnsi="Verdana" w:cs="Arial"/>
          <w:lang w:val="es-ES" w:eastAsia="es-ES"/>
        </w:rPr>
      </w:pPr>
      <w:r w:rsidRPr="00F67D88">
        <w:rPr>
          <w:rFonts w:ascii="Verdana" w:eastAsia="Calibri" w:hAnsi="Verdana" w:cs="Arial"/>
          <w:lang w:val="es-ES" w:eastAsia="es-ES"/>
        </w:rPr>
        <w:t>En ejercicio de la competencia otorgada por los artículos 3, numeral 5º, y 11, numeral 8º, del Decreto Ley 4170 de 2011,</w:t>
      </w:r>
      <w:r w:rsidRPr="00F67D88">
        <w:rPr>
          <w:rFonts w:ascii="Verdana" w:eastAsia="Arial MT" w:hAnsi="Verdana" w:cs="Arial MT"/>
          <w:lang w:val="es-ES" w:eastAsia="es-ES"/>
        </w:rPr>
        <w:t xml:space="preserve"> </w:t>
      </w:r>
      <w:r w:rsidRPr="00F67D88">
        <w:rPr>
          <w:rFonts w:ascii="Verdana" w:eastAsia="Aptos" w:hAnsi="Verdana" w:cs="Arial"/>
        </w:rPr>
        <w:t xml:space="preserve">así como lo establecido en el artículo 4 de la Resolución 1707 de 2018 expedida por esta Entidad, </w:t>
      </w:r>
      <w:r w:rsidRPr="00F67D88">
        <w:rPr>
          <w:rFonts w:ascii="Verdana" w:eastAsia="Calibri" w:hAnsi="Verdana" w:cs="Arial"/>
          <w:lang w:val="es-ES" w:eastAsia="es-ES"/>
        </w:rPr>
        <w:t xml:space="preserve">la Agencia Nacional de Contratación Pública – Colombia Compra Eficiente– responde su solicitud de consulta del 22 de mayo de 2025, en la cual manifiesta lo siguiente: </w:t>
      </w:r>
    </w:p>
    <w:p w14:paraId="34B73EC9" w14:textId="77777777" w:rsidR="00F67D88" w:rsidRPr="00F67D88" w:rsidRDefault="00F67D88" w:rsidP="00F67D88">
      <w:pPr>
        <w:tabs>
          <w:tab w:val="left" w:pos="142"/>
          <w:tab w:val="left" w:pos="284"/>
        </w:tabs>
        <w:spacing w:after="0" w:line="276" w:lineRule="auto"/>
        <w:ind w:left="709" w:right="709"/>
        <w:jc w:val="both"/>
        <w:rPr>
          <w:rFonts w:ascii="Verdana" w:eastAsia="Century Gothic" w:hAnsi="Verdana" w:cs="Century Gothic"/>
          <w:b/>
          <w:bCs/>
        </w:rPr>
      </w:pPr>
    </w:p>
    <w:p w14:paraId="74F06C6C" w14:textId="77777777" w:rsidR="00F67D88" w:rsidRPr="00F67D88" w:rsidRDefault="00F67D88" w:rsidP="00F67D88">
      <w:pPr>
        <w:spacing w:after="120" w:line="240" w:lineRule="auto"/>
        <w:ind w:left="709" w:right="709"/>
        <w:jc w:val="both"/>
        <w:rPr>
          <w:rFonts w:ascii="Verdana" w:eastAsia="Century Gothic" w:hAnsi="Verdana" w:cs="Century Gothic"/>
          <w:sz w:val="21"/>
          <w:szCs w:val="21"/>
        </w:rPr>
      </w:pPr>
      <w:r w:rsidRPr="00F67D88">
        <w:rPr>
          <w:rFonts w:ascii="Verdana" w:eastAsia="Century Gothic" w:hAnsi="Verdana" w:cs="Century Gothic"/>
          <w:sz w:val="21"/>
          <w:szCs w:val="21"/>
          <w:lang w:val="es-ES"/>
        </w:rPr>
        <w:t>“</w:t>
      </w:r>
      <w:r w:rsidRPr="00F67D88">
        <w:rPr>
          <w:rFonts w:ascii="Verdana" w:eastAsia="Century Gothic" w:hAnsi="Verdana" w:cs="Century Gothic"/>
          <w:sz w:val="21"/>
          <w:szCs w:val="21"/>
        </w:rPr>
        <w:t xml:space="preserve">Por medio de la presente queremos realizar consulta sobre el diligenciamiento de la capacidad residual, exactamente </w:t>
      </w:r>
      <w:proofErr w:type="gramStart"/>
      <w:r w:rsidRPr="00F67D88">
        <w:rPr>
          <w:rFonts w:ascii="Verdana" w:eastAsia="Century Gothic" w:hAnsi="Verdana" w:cs="Century Gothic"/>
          <w:sz w:val="21"/>
          <w:szCs w:val="21"/>
        </w:rPr>
        <w:t>en relación a</w:t>
      </w:r>
      <w:proofErr w:type="gramEnd"/>
      <w:r w:rsidRPr="00F67D88">
        <w:rPr>
          <w:rFonts w:ascii="Verdana" w:eastAsia="Century Gothic" w:hAnsi="Verdana" w:cs="Century Gothic"/>
          <w:sz w:val="21"/>
          <w:szCs w:val="21"/>
        </w:rPr>
        <w:t xml:space="preserve"> los contratos en ejecución en el siguiente caso: </w:t>
      </w:r>
    </w:p>
    <w:p w14:paraId="467C6F68" w14:textId="77777777" w:rsidR="00F67D88" w:rsidRPr="00F67D88" w:rsidRDefault="00F67D88" w:rsidP="00F67D88">
      <w:pPr>
        <w:spacing w:after="120" w:line="240" w:lineRule="auto"/>
        <w:ind w:left="709" w:right="709"/>
        <w:jc w:val="both"/>
        <w:rPr>
          <w:rFonts w:ascii="Verdana" w:eastAsia="Century Gothic" w:hAnsi="Verdana" w:cs="Century Gothic"/>
          <w:sz w:val="21"/>
          <w:szCs w:val="21"/>
        </w:rPr>
      </w:pPr>
      <w:r w:rsidRPr="00F67D88">
        <w:rPr>
          <w:rFonts w:ascii="Verdana" w:eastAsia="Century Gothic" w:hAnsi="Verdana" w:cs="Century Gothic"/>
          <w:sz w:val="21"/>
          <w:szCs w:val="21"/>
        </w:rPr>
        <w:t>¿Si es causal de rechazo la no relación de un contrato que tiene resolución de adjudicación?</w:t>
      </w:r>
    </w:p>
    <w:p w14:paraId="2ECAD282" w14:textId="77777777" w:rsidR="00F67D88" w:rsidRPr="00F67D88" w:rsidRDefault="00F67D88" w:rsidP="00F67D88">
      <w:pPr>
        <w:spacing w:after="120" w:line="240" w:lineRule="auto"/>
        <w:ind w:left="709" w:right="709"/>
        <w:jc w:val="both"/>
        <w:rPr>
          <w:rFonts w:ascii="Verdana" w:eastAsia="Century Gothic" w:hAnsi="Verdana" w:cs="Century Gothic"/>
          <w:sz w:val="21"/>
          <w:szCs w:val="21"/>
        </w:rPr>
      </w:pPr>
      <w:r w:rsidRPr="00F67D88">
        <w:rPr>
          <w:rFonts w:ascii="Verdana" w:eastAsia="Century Gothic" w:hAnsi="Verdana" w:cs="Century Gothic"/>
          <w:sz w:val="21"/>
          <w:szCs w:val="21"/>
        </w:rPr>
        <w:lastRenderedPageBreak/>
        <w:t>La anterior consulta, teniendo en cuenta que en el PLIEGO TIPO para LICITACIONES DE INFRAESTRUCTURA DE TRANSPORTE V4, dice textualmente lo subrayado en la captura de pantalla relacionada a continuación.</w:t>
      </w:r>
    </w:p>
    <w:p w14:paraId="35FA8404" w14:textId="77777777" w:rsidR="00F67D88" w:rsidRPr="00F67D88" w:rsidRDefault="00F67D88" w:rsidP="00F67D88">
      <w:pPr>
        <w:spacing w:after="120" w:line="240" w:lineRule="auto"/>
        <w:ind w:left="709" w:right="709"/>
        <w:jc w:val="both"/>
        <w:rPr>
          <w:rFonts w:ascii="Verdana" w:eastAsia="Aptos" w:hAnsi="Verdana" w:cs="Times New Roman"/>
          <w:sz w:val="21"/>
          <w:szCs w:val="21"/>
        </w:rPr>
      </w:pPr>
      <w:r w:rsidRPr="00F67D88">
        <w:rPr>
          <w:rFonts w:ascii="Verdana" w:eastAsia="Aptos" w:hAnsi="Verdana" w:cs="Times New Roman"/>
          <w:sz w:val="21"/>
          <w:szCs w:val="21"/>
        </w:rPr>
        <w:t>(…)</w:t>
      </w:r>
    </w:p>
    <w:p w14:paraId="66A76F88" w14:textId="77777777" w:rsidR="00F67D88" w:rsidRPr="00F67D88" w:rsidRDefault="00F67D88" w:rsidP="00F67D88">
      <w:pPr>
        <w:numPr>
          <w:ilvl w:val="0"/>
          <w:numId w:val="20"/>
        </w:numPr>
        <w:spacing w:after="120" w:line="240" w:lineRule="auto"/>
        <w:ind w:firstLine="0"/>
        <w:jc w:val="both"/>
        <w:rPr>
          <w:rFonts w:ascii="Verdana" w:eastAsia="Aptos" w:hAnsi="Verdana" w:cs="Times New Roman"/>
          <w:kern w:val="2"/>
          <w:sz w:val="21"/>
          <w:szCs w:val="21"/>
          <w:lang w:val="es-MX"/>
          <w14:ligatures w14:val="standardContextual"/>
        </w:rPr>
      </w:pPr>
      <w:r w:rsidRPr="00F67D88">
        <w:rPr>
          <w:rFonts w:ascii="Verdana" w:eastAsia="Aptos" w:hAnsi="Verdana" w:cs="Times New Roman"/>
          <w:kern w:val="2"/>
          <w:sz w:val="21"/>
          <w:szCs w:val="21"/>
          <w:lang w:val="es-MX"/>
          <w14:ligatures w14:val="standardContextual"/>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406EABB1" w14:textId="77777777" w:rsidR="00F67D88" w:rsidRPr="00F67D88" w:rsidRDefault="00F67D88" w:rsidP="00F67D88">
      <w:pPr>
        <w:spacing w:after="120" w:line="240" w:lineRule="auto"/>
        <w:ind w:left="720"/>
        <w:jc w:val="both"/>
        <w:rPr>
          <w:rFonts w:ascii="Verdana" w:eastAsia="Aptos" w:hAnsi="Verdana" w:cs="Times New Roman"/>
          <w:kern w:val="2"/>
          <w:sz w:val="21"/>
          <w:szCs w:val="21"/>
          <w:lang w:val="es-MX"/>
          <w14:ligatures w14:val="standardContextual"/>
        </w:rPr>
      </w:pPr>
      <w:r w:rsidRPr="00F67D88">
        <w:rPr>
          <w:rFonts w:ascii="Verdana" w:eastAsia="Aptos" w:hAnsi="Verdana" w:cs="Times New Roman"/>
          <w:sz w:val="21"/>
          <w:szCs w:val="21"/>
        </w:rPr>
        <w:t xml:space="preserve">(…)”.  </w:t>
      </w:r>
    </w:p>
    <w:p w14:paraId="70BD85BB" w14:textId="77777777" w:rsidR="00F67D88" w:rsidRPr="00F67D88" w:rsidRDefault="00F67D88" w:rsidP="00F67D88">
      <w:pPr>
        <w:spacing w:after="0" w:line="276" w:lineRule="auto"/>
        <w:ind w:left="709" w:right="709"/>
        <w:jc w:val="both"/>
        <w:rPr>
          <w:rFonts w:ascii="Verdana" w:eastAsia="Century Gothic" w:hAnsi="Verdana" w:cs="Century Gothic"/>
          <w:sz w:val="20"/>
          <w:szCs w:val="20"/>
          <w:lang w:val="es-ES"/>
        </w:rPr>
      </w:pPr>
    </w:p>
    <w:p w14:paraId="31C04E5F" w14:textId="77777777" w:rsidR="00F67D88" w:rsidRPr="00F67D88" w:rsidRDefault="00F67D88" w:rsidP="00F67D88">
      <w:pPr>
        <w:spacing w:after="120" w:line="276" w:lineRule="auto"/>
        <w:ind w:firstLine="709"/>
        <w:jc w:val="both"/>
        <w:rPr>
          <w:rFonts w:ascii="Verdana" w:eastAsia="Calibri" w:hAnsi="Verdana" w:cs="Arial"/>
          <w:szCs w:val="24"/>
          <w:lang w:val="es-ES_tradnl" w:eastAsia="es-ES_tradnl"/>
        </w:rPr>
      </w:pPr>
      <w:r w:rsidRPr="00F67D88">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67D88">
        <w:rPr>
          <w:rFonts w:ascii="Verdana" w:eastAsia="Calibri" w:hAnsi="Verdana" w:cs="Arial"/>
          <w:szCs w:val="24"/>
          <w:lang w:val="es-ES_tradnl" w:eastAsia="es-ES_tradnl"/>
        </w:rPr>
        <w:tab/>
      </w:r>
    </w:p>
    <w:p w14:paraId="398B5AAB" w14:textId="77777777" w:rsidR="00F67D88" w:rsidRPr="00F67D88" w:rsidRDefault="00F67D88" w:rsidP="00F67D88">
      <w:pPr>
        <w:spacing w:after="120" w:line="276" w:lineRule="auto"/>
        <w:ind w:firstLine="708"/>
        <w:jc w:val="both"/>
        <w:rPr>
          <w:rFonts w:ascii="Verdana" w:eastAsia="Calibri" w:hAnsi="Verdana" w:cs="Arial"/>
          <w:lang w:val="es-ES" w:eastAsia="es-ES"/>
        </w:rPr>
      </w:pPr>
      <w:r w:rsidRPr="00F67D8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22228E4" w14:textId="77777777" w:rsidR="00F67D88" w:rsidRPr="00F67D88" w:rsidRDefault="00F67D88" w:rsidP="00F67D88">
      <w:pPr>
        <w:spacing w:after="0" w:line="276" w:lineRule="auto"/>
        <w:jc w:val="both"/>
        <w:rPr>
          <w:rFonts w:ascii="Verdana" w:eastAsia="Calibri" w:hAnsi="Verdana" w:cs="Arial"/>
          <w:lang w:val="es-ES" w:eastAsia="es-ES"/>
        </w:rPr>
      </w:pPr>
    </w:p>
    <w:p w14:paraId="63877357" w14:textId="77777777" w:rsidR="00F67D88" w:rsidRPr="00F67D88" w:rsidRDefault="00F67D88" w:rsidP="00F67D88">
      <w:pPr>
        <w:numPr>
          <w:ilvl w:val="0"/>
          <w:numId w:val="19"/>
        </w:numPr>
        <w:tabs>
          <w:tab w:val="left" w:pos="142"/>
          <w:tab w:val="left" w:pos="284"/>
        </w:tabs>
        <w:spacing w:after="0" w:line="276" w:lineRule="auto"/>
        <w:jc w:val="both"/>
        <w:rPr>
          <w:rFonts w:ascii="Verdana" w:eastAsia="Century Gothic" w:hAnsi="Verdana" w:cs="Century Gothic"/>
          <w:b/>
          <w:bCs/>
        </w:rPr>
      </w:pPr>
      <w:r w:rsidRPr="00F67D88">
        <w:rPr>
          <w:rFonts w:ascii="Verdana" w:eastAsia="Century Gothic" w:hAnsi="Verdana" w:cs="Century Gothic"/>
          <w:b/>
          <w:bCs/>
        </w:rPr>
        <w:t>Problema planteado:</w:t>
      </w:r>
    </w:p>
    <w:p w14:paraId="5E60B981" w14:textId="77777777" w:rsidR="00F67D88" w:rsidRPr="00F67D88" w:rsidRDefault="00F67D88" w:rsidP="00F67D88">
      <w:pPr>
        <w:tabs>
          <w:tab w:val="left" w:pos="426"/>
        </w:tabs>
        <w:spacing w:after="0" w:line="276" w:lineRule="auto"/>
        <w:jc w:val="both"/>
        <w:rPr>
          <w:rFonts w:ascii="Verdana" w:eastAsia="Century Gothic" w:hAnsi="Verdana" w:cs="Century Gothic"/>
          <w:lang w:val="es-ES"/>
        </w:rPr>
      </w:pPr>
    </w:p>
    <w:p w14:paraId="3FB96F17" w14:textId="77777777" w:rsidR="00F67D88" w:rsidRPr="00F67D88" w:rsidRDefault="00F67D88" w:rsidP="00F67D88">
      <w:pPr>
        <w:spacing w:after="0" w:line="276" w:lineRule="auto"/>
        <w:jc w:val="both"/>
        <w:rPr>
          <w:rFonts w:ascii="Verdana" w:eastAsia="Calibri" w:hAnsi="Verdana" w:cs="Arial"/>
          <w:bCs/>
          <w:lang w:val="es-ES_tradnl" w:eastAsia="es-ES_tradnl"/>
        </w:rPr>
      </w:pPr>
      <w:r w:rsidRPr="00F67D88">
        <w:rPr>
          <w:rFonts w:ascii="Verdana" w:eastAsia="Century Gothic" w:hAnsi="Verdana" w:cs="Century Gothic"/>
        </w:rPr>
        <w:lastRenderedPageBreak/>
        <w:t>De acuerdo con el contenido de su solicitud, esta Agencia resolverá el siguiente problema jurídico:</w:t>
      </w:r>
      <w:r w:rsidRPr="00F67D88">
        <w:rPr>
          <w:rFonts w:ascii="Verdana" w:eastAsia="Calibri" w:hAnsi="Verdana" w:cs="Arial"/>
          <w:bCs/>
          <w:lang w:val="es-ES_tradnl" w:eastAsia="es-ES_tradnl"/>
        </w:rPr>
        <w:t xml:space="preserve"> En los documentos tipo de licitación de obra pública de infraestructura de transporte – versión 4, en relación con la capacidad residual ¿Es causal de rechazo no relacionar un contrato que tiene resolución de adjudicación? </w:t>
      </w:r>
    </w:p>
    <w:p w14:paraId="47E7AE68" w14:textId="77777777" w:rsidR="00F67D88" w:rsidRPr="00F67D88" w:rsidRDefault="00F67D88" w:rsidP="00F67D88">
      <w:pPr>
        <w:spacing w:after="0" w:line="276" w:lineRule="auto"/>
        <w:jc w:val="both"/>
        <w:rPr>
          <w:rFonts w:ascii="Verdana" w:eastAsia="Century Gothic" w:hAnsi="Verdana" w:cs="Century Gothic"/>
        </w:rPr>
      </w:pPr>
    </w:p>
    <w:p w14:paraId="1E1A9896" w14:textId="77777777" w:rsidR="00F67D88" w:rsidRPr="00F67D88" w:rsidRDefault="00F67D88" w:rsidP="00F67D8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F67D88">
        <w:rPr>
          <w:rFonts w:ascii="Verdana" w:eastAsia="Century Gothic" w:hAnsi="Verdana" w:cs="Century Gothic"/>
          <w:b/>
          <w:bCs/>
          <w:lang w:val="es-ES"/>
        </w:rPr>
        <w:t>Respuestas:</w:t>
      </w:r>
    </w:p>
    <w:p w14:paraId="7D5C6CEF" w14:textId="77777777" w:rsidR="00F67D88" w:rsidRPr="00F67D88" w:rsidRDefault="00F67D88" w:rsidP="00F67D88">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67D88" w:rsidRPr="00F67D88" w14:paraId="7B1017CB" w14:textId="77777777" w:rsidTr="003573D0">
        <w:trPr>
          <w:trHeight w:val="40"/>
        </w:trPr>
        <w:tc>
          <w:tcPr>
            <w:tcW w:w="8828" w:type="dxa"/>
            <w:tcBorders>
              <w:top w:val="dotted" w:sz="4" w:space="0" w:color="auto"/>
              <w:left w:val="dotted" w:sz="4" w:space="0" w:color="auto"/>
              <w:bottom w:val="dotted" w:sz="4" w:space="0" w:color="auto"/>
              <w:right w:val="dotted" w:sz="4" w:space="0" w:color="auto"/>
            </w:tcBorders>
          </w:tcPr>
          <w:p w14:paraId="5DCC00BD" w14:textId="77777777" w:rsidR="00F67D88" w:rsidRPr="00F67D88" w:rsidRDefault="00F67D88" w:rsidP="00F67D88">
            <w:pPr>
              <w:spacing w:line="276" w:lineRule="auto"/>
              <w:ind w:right="79"/>
              <w:jc w:val="both"/>
              <w:rPr>
                <w:rFonts w:ascii="Verdana" w:eastAsia="Aptos" w:hAnsi="Verdana" w:cs="Arial"/>
                <w:iCs/>
                <w:color w:val="000000"/>
                <w:lang w:val="es-ES_tradnl"/>
              </w:rPr>
            </w:pPr>
            <w:r w:rsidRPr="00F67D88">
              <w:rPr>
                <w:rFonts w:ascii="Verdana" w:eastAsia="Aptos" w:hAnsi="Verdana" w:cs="Arial"/>
              </w:rPr>
              <w:t xml:space="preserve">De conformidad con lo expuesto, el “Saldo de Contratos en Ejecución” corresponde a la sumatoria de los saldos de los “Contratos en ejecución” que obligan al proponente a la ejecución de obras civiles, en los que el proponente tiene obligaciones pendientes de ejecutar, bien sea con entidades estatales o entidades privadas. </w:t>
            </w:r>
            <w:r w:rsidRPr="00F67D88">
              <w:rPr>
                <w:rFonts w:ascii="Verdana" w:eastAsia="Aptos" w:hAnsi="Verdana" w:cs="Arial"/>
                <w:iCs/>
                <w:color w:val="000000"/>
                <w:lang w:val="es-ES_tradnl"/>
              </w:rPr>
              <w:t>Frente al particular, la “Guía para Determinar y Verificar la Capacidad Residual del Proponente en los Procesos de Contratación de Obra Pública” define los Contratos en ejecución de la siguiente manera: ““Son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que se encuentren suspendidos y aquellos que no tengan acta de inicio.   No se entenderá como Contratos en Ejecución los que se encuentren en etapa de liquidación o ya fueron liquidados”.</w:t>
            </w:r>
          </w:p>
          <w:p w14:paraId="76452C7F" w14:textId="77777777" w:rsidR="00F67D88" w:rsidRPr="00F67D88" w:rsidRDefault="00F67D88" w:rsidP="00F67D88">
            <w:pPr>
              <w:spacing w:line="276" w:lineRule="auto"/>
              <w:ind w:right="79"/>
              <w:jc w:val="both"/>
              <w:rPr>
                <w:rFonts w:ascii="Verdana" w:eastAsia="Arial" w:hAnsi="Verdana" w:cs="Arial"/>
                <w:color w:val="1A1A1A"/>
              </w:rPr>
            </w:pPr>
          </w:p>
          <w:p w14:paraId="56C8FC2C" w14:textId="77777777" w:rsidR="00F67D88" w:rsidRPr="00F67D88" w:rsidRDefault="00F67D88" w:rsidP="00F67D88">
            <w:pPr>
              <w:spacing w:line="276" w:lineRule="auto"/>
              <w:ind w:right="79"/>
              <w:jc w:val="both"/>
              <w:rPr>
                <w:rFonts w:ascii="Verdana" w:eastAsia="Times New Roman" w:hAnsi="Verdana" w:cs="Arial"/>
                <w:lang w:eastAsia="es-ES_tradnl"/>
              </w:rPr>
            </w:pPr>
            <w:r w:rsidRPr="00F67D88">
              <w:rPr>
                <w:rFonts w:ascii="Verdana" w:eastAsia="Arial" w:hAnsi="Verdana" w:cs="Arial"/>
                <w:color w:val="1A1A1A"/>
              </w:rPr>
              <w:t xml:space="preserve">De acuerdo con lo anterior, </w:t>
            </w:r>
            <w:r w:rsidRPr="00F67D88">
              <w:rPr>
                <w:rFonts w:ascii="Verdana" w:eastAsia="Times New Roman" w:hAnsi="Verdana" w:cs="Arial"/>
                <w:lang w:eastAsia="es-ES_tradnl"/>
              </w:rPr>
              <w:t xml:space="preserve">para acreditar el factor saldos de los contratos en ejecución “SCE”,  como lo establece la Guía, el proponente debe presentar la lista de contratos de obras civiles en ejecución, tanto a nivel nacional como internacional señalando: i) el valor del contrato; </w:t>
            </w:r>
            <w:proofErr w:type="spellStart"/>
            <w:r w:rsidRPr="00F67D88">
              <w:rPr>
                <w:rFonts w:ascii="Verdana" w:eastAsia="Times New Roman" w:hAnsi="Verdana" w:cs="Arial"/>
                <w:lang w:eastAsia="es-ES_tradnl"/>
              </w:rPr>
              <w:t>ii</w:t>
            </w:r>
            <w:proofErr w:type="spellEnd"/>
            <w:r w:rsidRPr="00F67D88">
              <w:rPr>
                <w:rFonts w:ascii="Verdana" w:eastAsia="Times New Roman" w:hAnsi="Verdana" w:cs="Arial"/>
                <w:lang w:eastAsia="es-ES_tradnl"/>
              </w:rPr>
              <w:t xml:space="preserve">) el plazo del contrato en meses; </w:t>
            </w:r>
            <w:proofErr w:type="spellStart"/>
            <w:r w:rsidRPr="00F67D88">
              <w:rPr>
                <w:rFonts w:ascii="Verdana" w:eastAsia="Times New Roman" w:hAnsi="Verdana" w:cs="Arial"/>
                <w:lang w:eastAsia="es-ES_tradnl"/>
              </w:rPr>
              <w:t>iii</w:t>
            </w:r>
            <w:proofErr w:type="spellEnd"/>
            <w:r w:rsidRPr="00F67D88">
              <w:rPr>
                <w:rFonts w:ascii="Verdana" w:eastAsia="Times New Roman" w:hAnsi="Verdana" w:cs="Arial"/>
                <w:lang w:eastAsia="es-ES_tradnl"/>
              </w:rPr>
              <w:t xml:space="preserve">) la fecha de inicio de las obras objeto del contrato (día, mes, año); </w:t>
            </w:r>
            <w:proofErr w:type="spellStart"/>
            <w:r w:rsidRPr="00F67D88">
              <w:rPr>
                <w:rFonts w:ascii="Verdana" w:eastAsia="Times New Roman" w:hAnsi="Verdana" w:cs="Arial"/>
                <w:lang w:eastAsia="es-ES_tradnl"/>
              </w:rPr>
              <w:t>iv</w:t>
            </w:r>
            <w:proofErr w:type="spellEnd"/>
            <w:r w:rsidRPr="00F67D88">
              <w:rPr>
                <w:rFonts w:ascii="Verdana" w:eastAsia="Times New Roman" w:hAnsi="Verdana" w:cs="Arial"/>
                <w:lang w:eastAsia="es-ES_tradnl"/>
              </w:rPr>
              <w:t>) si la obra la ejecuta un consorcio, unión temporal, el porcentaje de participación del oferente que presenta el certificado; v) si el contrato se encuentra suspendido, y si es así, la fecha de suspensión.</w:t>
            </w:r>
          </w:p>
          <w:p w14:paraId="777EFD85" w14:textId="77777777" w:rsidR="00F67D88" w:rsidRPr="00F67D88" w:rsidRDefault="00F67D88" w:rsidP="00F67D88">
            <w:pPr>
              <w:spacing w:line="276" w:lineRule="auto"/>
              <w:ind w:right="79"/>
              <w:jc w:val="both"/>
              <w:rPr>
                <w:rFonts w:ascii="Verdana" w:eastAsia="Arial" w:hAnsi="Verdana" w:cs="Arial"/>
                <w:color w:val="1A1A1A"/>
              </w:rPr>
            </w:pPr>
          </w:p>
          <w:p w14:paraId="5DD0D9D7" w14:textId="77777777" w:rsidR="00F67D88" w:rsidRPr="00F67D88" w:rsidRDefault="00F67D88" w:rsidP="00F67D88">
            <w:pPr>
              <w:spacing w:line="276" w:lineRule="auto"/>
              <w:ind w:right="79"/>
              <w:jc w:val="both"/>
              <w:rPr>
                <w:rFonts w:ascii="Verdana" w:eastAsia="Arial" w:hAnsi="Verdana" w:cs="Arial"/>
                <w:color w:val="1A1A1A"/>
              </w:rPr>
            </w:pPr>
            <w:r w:rsidRPr="00F67D88">
              <w:rPr>
                <w:rFonts w:ascii="Verdana" w:eastAsia="Arial" w:hAnsi="Verdana" w:cs="Arial"/>
                <w:color w:val="1A1A1A"/>
              </w:rPr>
              <w:t xml:space="preserve">De otro lado, al menos tres causales de rechazo del numeral 1.15 </w:t>
            </w:r>
            <w:r w:rsidRPr="00F67D88">
              <w:rPr>
                <w:rFonts w:ascii="Verdana" w:eastAsia="Aptos" w:hAnsi="Verdana" w:cs="Arial"/>
                <w:lang w:val="es-MX"/>
              </w:rPr>
              <w:t xml:space="preserve">del documento base de obra de licitación para obra pública de infraestructura de </w:t>
            </w:r>
            <w:r w:rsidRPr="00F67D88">
              <w:rPr>
                <w:rFonts w:ascii="Verdana" w:eastAsia="Aptos" w:hAnsi="Verdana" w:cs="Arial"/>
                <w:lang w:val="es-MX"/>
              </w:rPr>
              <w:lastRenderedPageBreak/>
              <w:t xml:space="preserve">transporte –versión 4, </w:t>
            </w:r>
            <w:r w:rsidRPr="00F67D88">
              <w:rPr>
                <w:rFonts w:ascii="Verdana" w:eastAsia="Arial" w:hAnsi="Verdana" w:cs="Arial"/>
                <w:color w:val="1A1A1A"/>
              </w:rPr>
              <w:t xml:space="preserve">se relacionan con la capacidad residual como requisito habilitante, esto es, los literales E, H y X. Las tres causales de rechazo mencionadas tienen el siguiente alcance: </w:t>
            </w:r>
          </w:p>
          <w:p w14:paraId="3041F721" w14:textId="77777777" w:rsidR="00F67D88" w:rsidRPr="00F67D88" w:rsidRDefault="00F67D88" w:rsidP="00F67D88">
            <w:pPr>
              <w:spacing w:before="120" w:after="120" w:line="276" w:lineRule="auto"/>
              <w:ind w:left="708" w:firstLine="1"/>
              <w:jc w:val="both"/>
              <w:rPr>
                <w:rFonts w:ascii="Verdana" w:eastAsia="Times New Roman" w:hAnsi="Verdana" w:cs="Arial"/>
                <w:i/>
                <w:iCs/>
                <w:lang w:val="es-MX" w:eastAsia="es-ES_tradnl"/>
              </w:rPr>
            </w:pPr>
            <w:r w:rsidRPr="00F67D88">
              <w:rPr>
                <w:rFonts w:ascii="Verdana" w:eastAsia="Times New Roman" w:hAnsi="Verdana" w:cs="Arial"/>
                <w:i/>
                <w:lang w:val="es-MX" w:eastAsia="es-ES_tradnl"/>
              </w:rPr>
              <w:t>i)</w:t>
            </w:r>
            <w:r w:rsidRPr="00F67D88">
              <w:rPr>
                <w:rFonts w:ascii="Verdana" w:eastAsia="Times New Roman" w:hAnsi="Verdana" w:cs="Arial"/>
                <w:lang w:val="es-MX" w:eastAsia="es-ES_tradnl"/>
              </w:rPr>
              <w:t xml:space="preserve"> La causal del </w:t>
            </w:r>
            <w:r w:rsidRPr="00F67D88">
              <w:rPr>
                <w:rFonts w:ascii="Verdana" w:eastAsia="Times New Roman" w:hAnsi="Verdana" w:cs="Arial"/>
                <w:i/>
                <w:iCs/>
                <w:lang w:val="es-MX" w:eastAsia="es-ES_tradnl"/>
              </w:rPr>
              <w:t>literal X</w:t>
            </w:r>
            <w:r w:rsidRPr="00F67D88">
              <w:rPr>
                <w:rFonts w:ascii="Verdana" w:eastAsia="Times New Roman" w:hAnsi="Verdana" w:cs="Arial"/>
                <w:lang w:val="es-MX" w:eastAsia="es-ES_tradnl"/>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X es objetiva, pues solo aplica ante la omisión del proponente de informar el número total de contratos en ejecución antes del cierre. </w:t>
            </w:r>
          </w:p>
          <w:p w14:paraId="6DB287A6" w14:textId="77777777" w:rsidR="00F67D88" w:rsidRPr="00F67D88" w:rsidRDefault="00F67D88" w:rsidP="00F67D88">
            <w:pPr>
              <w:spacing w:before="120" w:line="276" w:lineRule="auto"/>
              <w:ind w:left="708"/>
              <w:jc w:val="both"/>
              <w:rPr>
                <w:rFonts w:ascii="Verdana" w:eastAsia="Times New Roman" w:hAnsi="Verdana" w:cs="Arial"/>
                <w:lang w:val="es-MX" w:eastAsia="es-ES_tradnl"/>
              </w:rPr>
            </w:pPr>
            <w:r w:rsidRPr="00F67D88">
              <w:rPr>
                <w:rFonts w:ascii="Verdana" w:eastAsia="Times New Roman" w:hAnsi="Verdana" w:cs="Arial"/>
                <w:i/>
                <w:lang w:val="es-MX" w:eastAsia="es-ES_tradnl"/>
              </w:rPr>
              <w:t xml:space="preserve">ii) </w:t>
            </w:r>
            <w:r w:rsidRPr="00F67D88">
              <w:rPr>
                <w:rFonts w:ascii="Verdana" w:eastAsia="Times New Roman" w:hAnsi="Verdana" w:cs="Arial"/>
                <w:lang w:val="es-MX" w:eastAsia="es-ES_tradnl"/>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w:t>
            </w:r>
            <w:r w:rsidRPr="00F67D88">
              <w:rPr>
                <w:rFonts w:ascii="Verdana" w:eastAsia="Times New Roman" w:hAnsi="Verdana" w:cs="Arial"/>
                <w:i/>
                <w:iCs/>
                <w:lang w:val="es-MX" w:eastAsia="es-ES_tradnl"/>
              </w:rPr>
              <w:t>literal E</w:t>
            </w:r>
            <w:r w:rsidRPr="00F67D88">
              <w:rPr>
                <w:rFonts w:ascii="Verdana" w:eastAsia="Times New Roman" w:hAnsi="Verdana" w:cs="Arial"/>
                <w:lang w:val="es-MX" w:eastAsia="es-ES_tradnl"/>
              </w:rPr>
              <w:t xml:space="preserve"> del numeral 1.15. </w:t>
            </w:r>
          </w:p>
          <w:p w14:paraId="750AE343" w14:textId="77777777" w:rsidR="00F67D88" w:rsidRPr="00F67D88" w:rsidRDefault="00F67D88" w:rsidP="00F67D88">
            <w:pPr>
              <w:spacing w:before="120" w:line="276" w:lineRule="auto"/>
              <w:ind w:left="708"/>
              <w:jc w:val="both"/>
              <w:rPr>
                <w:rFonts w:ascii="Verdana" w:eastAsia="Times New Roman" w:hAnsi="Verdana" w:cs="Arial"/>
                <w:lang w:val="es-MX" w:eastAsia="es-ES_tradnl"/>
              </w:rPr>
            </w:pPr>
            <w:r w:rsidRPr="00F67D88">
              <w:rPr>
                <w:rFonts w:ascii="Verdana" w:eastAsia="Times New Roman" w:hAnsi="Verdana" w:cs="Arial"/>
                <w:i/>
                <w:lang w:val="es-MX" w:eastAsia="es-ES_tradnl"/>
              </w:rPr>
              <w:t xml:space="preserve">iii) </w:t>
            </w:r>
            <w:r w:rsidRPr="00F67D88">
              <w:rPr>
                <w:rFonts w:ascii="Verdana" w:eastAsia="Times New Roman" w:hAnsi="Verdana" w:cs="Arial"/>
                <w:lang w:val="es-MX" w:eastAsia="es-ES_tradnl"/>
              </w:rPr>
              <w:t xml:space="preserve">Lo dicho en los numerales precedentes tampoco descarta la posibilidad de que la entidad rechace la oferta si encuentra configurada la causal establecida en el </w:t>
            </w:r>
            <w:r w:rsidRPr="00F67D88">
              <w:rPr>
                <w:rFonts w:ascii="Verdana" w:eastAsia="Times New Roman" w:hAnsi="Verdana" w:cs="Arial"/>
                <w:i/>
                <w:iCs/>
                <w:lang w:val="es-MX" w:eastAsia="es-ES_tradnl"/>
              </w:rPr>
              <w:t>literal H</w:t>
            </w:r>
            <w:r w:rsidRPr="00F67D88">
              <w:rPr>
                <w:rFonts w:ascii="Verdana" w:eastAsia="Times New Roman" w:hAnsi="Verdana" w:cs="Arial"/>
                <w:lang w:val="es-MX" w:eastAsia="es-ES_tradnl"/>
              </w:rPr>
              <w:t xml:space="preserve"> del numeral 1.15, que aplica cuando el proponente aporta información inexacta, de acuerdo con lo señalado en el numeral 1.11. del documento base. </w:t>
            </w:r>
          </w:p>
          <w:p w14:paraId="3DBD7A33" w14:textId="77777777" w:rsidR="00F67D88" w:rsidRPr="00F67D88" w:rsidRDefault="00F67D88" w:rsidP="00F67D88">
            <w:pPr>
              <w:spacing w:line="276" w:lineRule="auto"/>
              <w:ind w:right="79"/>
              <w:jc w:val="both"/>
              <w:rPr>
                <w:rFonts w:ascii="Verdana" w:eastAsia="Arial" w:hAnsi="Verdana" w:cs="Arial"/>
                <w:color w:val="1A1A1A"/>
              </w:rPr>
            </w:pPr>
          </w:p>
          <w:p w14:paraId="2905CFEB" w14:textId="77777777" w:rsidR="00F67D88" w:rsidRPr="00F67D88" w:rsidRDefault="00F67D88" w:rsidP="00F67D88">
            <w:pPr>
              <w:spacing w:line="276" w:lineRule="auto"/>
              <w:ind w:right="79"/>
              <w:jc w:val="both"/>
              <w:rPr>
                <w:rFonts w:ascii="Verdana" w:eastAsia="Arial" w:hAnsi="Verdana" w:cs="Arial"/>
                <w:color w:val="1A1A1A"/>
              </w:rPr>
            </w:pPr>
            <w:r w:rsidRPr="00F67D88">
              <w:rPr>
                <w:rFonts w:ascii="Verdana" w:eastAsia="Arial" w:hAnsi="Verdana" w:cs="Arial"/>
                <w:color w:val="1A1A1A"/>
              </w:rPr>
              <w:t xml:space="preserve">En relación con la información contractual no incluida que pueda afectar la capacidad residual del proponente, el pliego de condiciones del Documento Tipo – Versión 4 de licitación para obra pública de infraestructura de transporte estableció una regla especial en el numeral 3.11 así: </w:t>
            </w:r>
          </w:p>
          <w:p w14:paraId="5F063898" w14:textId="77777777" w:rsidR="00F67D88" w:rsidRPr="00F67D88" w:rsidRDefault="00F67D88" w:rsidP="00F67D88">
            <w:pPr>
              <w:spacing w:line="276" w:lineRule="auto"/>
              <w:ind w:right="79"/>
              <w:jc w:val="both"/>
              <w:rPr>
                <w:rFonts w:ascii="Verdana" w:eastAsia="Arial" w:hAnsi="Verdana" w:cs="Arial"/>
                <w:color w:val="1A1A1A"/>
              </w:rPr>
            </w:pPr>
          </w:p>
          <w:p w14:paraId="0CB61157" w14:textId="77777777" w:rsidR="00F67D88" w:rsidRPr="00F67D88" w:rsidRDefault="00F67D88" w:rsidP="00F67D88">
            <w:pPr>
              <w:spacing w:line="276" w:lineRule="auto"/>
              <w:ind w:left="709" w:right="709"/>
              <w:jc w:val="both"/>
              <w:rPr>
                <w:rFonts w:ascii="Verdana" w:eastAsia="Arial" w:hAnsi="Verdana" w:cs="Arial"/>
                <w:color w:val="1A1A1A"/>
              </w:rPr>
            </w:pPr>
            <w:r w:rsidRPr="00F67D88">
              <w:rPr>
                <w:rFonts w:ascii="Verdana" w:eastAsia="Arial" w:hAnsi="Verdana" w:cs="Arial"/>
                <w:color w:val="1A1A1A"/>
              </w:rPr>
              <w:t xml:space="preserve">“3.11. CAPACIDAD RESIDUAL // El Proponente será hábil si la capacidad residual del Proponente (CRP) es mayor o igual a la </w:t>
            </w:r>
            <w:r w:rsidRPr="00F67D88">
              <w:rPr>
                <w:rFonts w:ascii="Verdana" w:eastAsia="Arial" w:hAnsi="Verdana" w:cs="Arial"/>
                <w:color w:val="1A1A1A"/>
              </w:rPr>
              <w:lastRenderedPageBreak/>
              <w:t xml:space="preserve">capacidad residual de Proceso de Contratación (CRPC). Así: CRP ≥CRPC Los Proponentes acreditarán la capacidad residual o K de contratación conforme se describe a continuación. // 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  Lo anterior, sin perjuicio de las acciones administrativas y/o judiciales a que haya lugar, en contra de la (s) persona (s) que haya (n) suscrito las certificaciones exigidas para el cálculo de la capacidad residual. […]” (Énfasis fuera de texto) </w:t>
            </w:r>
          </w:p>
          <w:p w14:paraId="3FC3DC38" w14:textId="77777777" w:rsidR="00F67D88" w:rsidRPr="00F67D88" w:rsidRDefault="00F67D88" w:rsidP="00F67D88">
            <w:pPr>
              <w:spacing w:line="276" w:lineRule="auto"/>
              <w:ind w:right="79" w:firstLine="708"/>
              <w:jc w:val="both"/>
              <w:rPr>
                <w:rFonts w:ascii="Verdana" w:eastAsia="Arial" w:hAnsi="Verdana" w:cs="Arial"/>
                <w:color w:val="1A1A1A"/>
              </w:rPr>
            </w:pPr>
          </w:p>
          <w:p w14:paraId="57E4313A" w14:textId="77777777" w:rsidR="00F67D88" w:rsidRPr="00F67D88" w:rsidRDefault="00F67D88" w:rsidP="00F67D88">
            <w:pPr>
              <w:spacing w:line="276" w:lineRule="auto"/>
              <w:ind w:right="79"/>
              <w:jc w:val="both"/>
              <w:rPr>
                <w:rFonts w:ascii="Verdana" w:eastAsia="Arial" w:hAnsi="Verdana" w:cs="Arial"/>
                <w:color w:val="1A1A1A"/>
              </w:rPr>
            </w:pPr>
            <w:r w:rsidRPr="00F67D88">
              <w:rPr>
                <w:rFonts w:ascii="Verdana" w:eastAsia="Arial" w:hAnsi="Verdana" w:cs="Arial"/>
                <w:color w:val="1A1A1A"/>
              </w:rPr>
              <w:t>De conformidad con esta regla, el rechazo de la oferta procede cuando en ejercicio de la potestad verificadora se advierta que se dejó de incluir información que afecta la capacidad residual del proponente, esto es, la referente a contratos de obra en ejecución.</w:t>
            </w:r>
          </w:p>
          <w:p w14:paraId="68415296" w14:textId="77777777" w:rsidR="00F67D88" w:rsidRPr="00F67D88" w:rsidRDefault="00F67D88" w:rsidP="00F67D88">
            <w:pPr>
              <w:spacing w:line="276" w:lineRule="auto"/>
              <w:ind w:right="79"/>
              <w:jc w:val="both"/>
              <w:rPr>
                <w:rFonts w:ascii="Verdana" w:eastAsia="Arial" w:hAnsi="Verdana" w:cs="Arial"/>
                <w:color w:val="1A1A1A"/>
              </w:rPr>
            </w:pPr>
          </w:p>
          <w:p w14:paraId="2D0A4080" w14:textId="77777777" w:rsidR="00F67D88" w:rsidRPr="00F67D88" w:rsidRDefault="00F67D88" w:rsidP="00F67D88">
            <w:pPr>
              <w:spacing w:line="276" w:lineRule="auto"/>
              <w:jc w:val="both"/>
              <w:rPr>
                <w:rFonts w:ascii="Verdana" w:eastAsia="Aptos" w:hAnsi="Verdana" w:cs="Arial"/>
                <w:bCs/>
                <w:lang w:val="es-MX"/>
              </w:rPr>
            </w:pPr>
            <w:r w:rsidRPr="00F67D88">
              <w:rPr>
                <w:rFonts w:ascii="Verdana" w:eastAsia="Aptos" w:hAnsi="Verdana" w:cs="Arial"/>
                <w:lang w:val="es-MX"/>
              </w:rPr>
              <w:t xml:space="preserve">Conforme a las definiciones previstas en </w:t>
            </w:r>
            <w:r w:rsidRPr="00F67D88">
              <w:rPr>
                <w:rFonts w:ascii="Verdana" w:eastAsia="Aptos" w:hAnsi="Verdana" w:cs="Arial"/>
                <w:bCs/>
                <w:lang w:val="es-ES"/>
              </w:rPr>
              <w:t>la Guía para Determinar y Verificar la Capacidad Residual del Proponente en los Procesos de Contratación de Obra Pública, el numeral II del literal E del numeral 3.11.2 del documento base dispone que “</w:t>
            </w:r>
            <w:r w:rsidRPr="00F67D88">
              <w:rPr>
                <w:rFonts w:ascii="Verdana" w:eastAsia="Aptos" w:hAnsi="Verdana" w:cs="Arial"/>
                <w:bCs/>
                <w:lang w:val="es-MX"/>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14:paraId="7D593993" w14:textId="77777777" w:rsidR="00F67D88" w:rsidRPr="00F67D88" w:rsidRDefault="00F67D88" w:rsidP="00F67D88">
            <w:pPr>
              <w:spacing w:line="276" w:lineRule="auto"/>
              <w:ind w:firstLine="708"/>
              <w:jc w:val="both"/>
              <w:rPr>
                <w:rFonts w:ascii="Verdana" w:eastAsia="Aptos" w:hAnsi="Verdana" w:cs="Arial"/>
                <w:bCs/>
                <w:lang w:val="es-MX"/>
              </w:rPr>
            </w:pPr>
          </w:p>
          <w:p w14:paraId="6302BCC1" w14:textId="77777777" w:rsidR="00F67D88" w:rsidRPr="00F67D88" w:rsidRDefault="00F67D88" w:rsidP="00F67D88">
            <w:pPr>
              <w:spacing w:line="276" w:lineRule="auto"/>
              <w:jc w:val="both"/>
              <w:rPr>
                <w:rFonts w:ascii="Verdana" w:eastAsia="Aptos" w:hAnsi="Verdana" w:cs="Arial"/>
                <w:bCs/>
                <w:lang w:val="es-MX"/>
              </w:rPr>
            </w:pPr>
            <w:r w:rsidRPr="00F67D88">
              <w:rPr>
                <w:rFonts w:ascii="Verdana" w:eastAsia="Aptos" w:hAnsi="Verdana" w:cs="Arial"/>
                <w:bCs/>
                <w:lang w:val="es-MX"/>
              </w:rPr>
              <w:t xml:space="preserve">Como se observa, la definición solo aplica a los contratos perfeccionados, aunque estos estén suspendidos o no tengan acta de inicio. Por tanto, están fuera de esta los procesos de selección adjudicados, pues –en los términos del artículo 41 de la Ley 80 de 1993– los contratos estatales de las entidades </w:t>
            </w:r>
            <w:r w:rsidRPr="00F67D88">
              <w:rPr>
                <w:rFonts w:ascii="Verdana" w:eastAsia="Aptos" w:hAnsi="Verdana" w:cs="Arial"/>
                <w:bCs/>
                <w:lang w:val="es-MX"/>
              </w:rPr>
              <w:lastRenderedPageBreak/>
              <w:t>sometidas al Estatuto General de Contratación de la Administración Pública se perfeccionan cuando se logre acuerdo sobre el objeto y la contraprestación y éste se eleve a escrito, lo cual ocurre con la suscripción formal del contrato y no con el acto de adjudicación. Lo expuesto es congruente con el artículo 2.2.1.1.1.6.4 del Decreto 1082 de 2015, en virtud del cual, para efectos de acreditar la capacidad residual del proponente, se requiere el listado de contratos de obra civiles en ejecución suscritos con entidades estatales y con entidades privadas.</w:t>
            </w:r>
          </w:p>
        </w:tc>
      </w:tr>
    </w:tbl>
    <w:p w14:paraId="336DC53A" w14:textId="77777777" w:rsidR="00F67D88" w:rsidRPr="00F67D88" w:rsidRDefault="00F67D88" w:rsidP="00F67D88">
      <w:pPr>
        <w:tabs>
          <w:tab w:val="left" w:pos="142"/>
          <w:tab w:val="left" w:pos="284"/>
        </w:tabs>
        <w:spacing w:after="0" w:line="276" w:lineRule="auto"/>
        <w:jc w:val="both"/>
        <w:rPr>
          <w:rFonts w:ascii="Verdana" w:eastAsia="Century Gothic" w:hAnsi="Verdana" w:cs="Century Gothic"/>
          <w:b/>
          <w:bCs/>
          <w:lang w:val="es-ES"/>
        </w:rPr>
      </w:pPr>
    </w:p>
    <w:p w14:paraId="15340CED" w14:textId="77777777" w:rsidR="00F67D88" w:rsidRPr="00F67D88" w:rsidRDefault="00F67D88" w:rsidP="00F67D88">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F67D88">
        <w:rPr>
          <w:rFonts w:ascii="Verdana" w:eastAsia="Century Gothic" w:hAnsi="Verdana" w:cs="Century Gothic"/>
          <w:b/>
          <w:bCs/>
          <w:lang w:val="es-ES"/>
        </w:rPr>
        <w:t>Razones de la respuesta:</w:t>
      </w:r>
    </w:p>
    <w:p w14:paraId="08E0A52F" w14:textId="77777777" w:rsidR="00F67D88" w:rsidRPr="00F67D88" w:rsidRDefault="00F67D88" w:rsidP="00F67D88">
      <w:pPr>
        <w:spacing w:after="0" w:line="276" w:lineRule="auto"/>
        <w:jc w:val="both"/>
        <w:rPr>
          <w:rFonts w:ascii="Verdana" w:eastAsia="Calibri" w:hAnsi="Verdana" w:cs="Arial"/>
          <w:lang w:val="es-ES"/>
        </w:rPr>
      </w:pPr>
    </w:p>
    <w:p w14:paraId="2D2DC1AF" w14:textId="77777777" w:rsidR="00F67D88" w:rsidRPr="00F67D88" w:rsidRDefault="00F67D88" w:rsidP="00F67D88">
      <w:pPr>
        <w:spacing w:after="0" w:line="276" w:lineRule="auto"/>
        <w:jc w:val="both"/>
        <w:rPr>
          <w:rFonts w:ascii="Verdana" w:eastAsia="Calibri" w:hAnsi="Verdana" w:cs="Arial"/>
          <w:lang w:val="es-ES"/>
        </w:rPr>
      </w:pPr>
      <w:r w:rsidRPr="00F67D88">
        <w:rPr>
          <w:rFonts w:ascii="Verdana" w:eastAsia="Calibri" w:hAnsi="Verdana" w:cs="Arial"/>
          <w:lang w:val="es-ES"/>
        </w:rPr>
        <w:t xml:space="preserve">Lo anterior se sustenta en las siguientes consideraciones: </w:t>
      </w:r>
    </w:p>
    <w:p w14:paraId="4F6C2699" w14:textId="77777777" w:rsidR="00F67D88" w:rsidRPr="00F67D88" w:rsidRDefault="00F67D88" w:rsidP="00F67D88">
      <w:pPr>
        <w:spacing w:after="0" w:line="276" w:lineRule="auto"/>
        <w:jc w:val="both"/>
        <w:rPr>
          <w:rFonts w:ascii="Verdana" w:eastAsia="Calibri" w:hAnsi="Verdana" w:cs="Arial"/>
          <w:lang w:val="es-ES"/>
        </w:rPr>
      </w:pPr>
    </w:p>
    <w:p w14:paraId="03119520" w14:textId="77777777" w:rsidR="00F67D88" w:rsidRPr="00F67D88" w:rsidRDefault="00F67D88" w:rsidP="00F67D88">
      <w:pPr>
        <w:numPr>
          <w:ilvl w:val="0"/>
          <w:numId w:val="17"/>
        </w:numPr>
        <w:spacing w:after="0" w:line="276" w:lineRule="auto"/>
        <w:jc w:val="both"/>
        <w:rPr>
          <w:rFonts w:ascii="Verdana" w:eastAsia="Calibri" w:hAnsi="Verdana" w:cs="Arial"/>
          <w:lang w:val="es-ES_tradnl" w:eastAsia="es-ES"/>
        </w:rPr>
      </w:pPr>
      <w:bookmarkStart w:id="2" w:name="_Hlk113022941"/>
      <w:r w:rsidRPr="00F67D88">
        <w:rPr>
          <w:rFonts w:ascii="Verdana" w:eastAsia="Calibri" w:hAnsi="Verdana" w:cs="Arial"/>
          <w:lang w:val="es-ES_tradnl" w:eastAsia="es-ES"/>
        </w:rPr>
        <w:t xml:space="preserve">La </w:t>
      </w:r>
      <w:bookmarkStart w:id="3" w:name="_Hlk176876754"/>
      <w:r w:rsidRPr="00F67D88">
        <w:rPr>
          <w:rFonts w:ascii="Verdana" w:eastAsia="Calibri" w:hAnsi="Verdana" w:cs="Arial"/>
          <w:lang w:val="es-ES_tradnl" w:eastAsia="es-ES"/>
        </w:rPr>
        <w:t>Ley 2022 de 2020, modificó el contenido del parágrafo 7 del artículo 2 de la Ley 1150 de 2007, que había sido adicionado por la Ley 1882 de 2018</w:t>
      </w:r>
      <w:bookmarkEnd w:id="3"/>
      <w:r w:rsidRPr="00F67D88">
        <w:rPr>
          <w:rFonts w:ascii="Verdana" w:eastAsia="Aptos" w:hAnsi="Verdana" w:cs="Times New Roman"/>
          <w:vertAlign w:val="superscript"/>
          <w:lang w:val="es-ES_tradnl" w:eastAsia="es-ES"/>
        </w:rPr>
        <w:footnoteReference w:id="1"/>
      </w:r>
      <w:r w:rsidRPr="00F67D88">
        <w:rPr>
          <w:rFonts w:ascii="Verdana" w:eastAsia="Calibri" w:hAnsi="Verdana" w:cs="Arial"/>
          <w:lang w:val="es-ES_tradnl" w:eastAsia="es-ES"/>
        </w:rPr>
        <w:t xml:space="preserve">. Con esta modificación, si bien se mantuvo el mandato de aplicación </w:t>
      </w:r>
      <w:r w:rsidRPr="00F67D88">
        <w:rPr>
          <w:rFonts w:ascii="Verdana" w:eastAsia="Calibri" w:hAnsi="Verdana" w:cs="Arial"/>
          <w:lang w:val="es-ES_tradnl" w:eastAsia="es-ES"/>
        </w:rPr>
        <w:lastRenderedPageBreak/>
        <w:t xml:space="preserve">obligatoria de los Documentos Tipo por parte de las entidades sometidas al </w:t>
      </w:r>
      <w:r w:rsidRPr="00F67D88">
        <w:rPr>
          <w:rFonts w:ascii="Verdana" w:eastAsia="Calibri" w:hAnsi="Verdana" w:cs="Arial"/>
          <w:bCs/>
          <w:lang w:val="es-ES_tradnl" w:eastAsia="es-ES_tradnl"/>
        </w:rPr>
        <w:t>EGCAP</w:t>
      </w:r>
      <w:r w:rsidRPr="00F67D88">
        <w:rPr>
          <w:rFonts w:ascii="Verdana" w:eastAsia="Calibri" w:hAnsi="Verdana" w:cs="Arial"/>
          <w:lang w:val="es-ES_tradnl" w:eastAsia="es-ES"/>
        </w:rPr>
        <w:t xml:space="preserve">, se atribuyó a la </w:t>
      </w:r>
      <w:r w:rsidRPr="00F67D88">
        <w:rPr>
          <w:rFonts w:ascii="Verdana" w:eastAsia="Calibri" w:hAnsi="Verdana" w:cs="Arial"/>
          <w:lang w:val="es-ES_tradnl" w:eastAsia="es-ES_tradnl"/>
        </w:rPr>
        <w:t xml:space="preserve">Agencia Nacional de Contratación Pública – Colombia Compra Eficiente la competencia para su expedición. </w:t>
      </w:r>
    </w:p>
    <w:p w14:paraId="5492A26C" w14:textId="77777777" w:rsidR="00F67D88" w:rsidRPr="00F67D88" w:rsidRDefault="00F67D88" w:rsidP="00F67D88">
      <w:pPr>
        <w:spacing w:before="120" w:after="120" w:line="276" w:lineRule="auto"/>
        <w:ind w:left="720"/>
        <w:contextualSpacing/>
        <w:jc w:val="both"/>
        <w:rPr>
          <w:rFonts w:ascii="Verdana" w:eastAsia="Calibri" w:hAnsi="Verdana" w:cs="Arial"/>
          <w:lang w:val="es-ES_tradnl" w:eastAsia="es-ES"/>
        </w:rPr>
      </w:pPr>
    </w:p>
    <w:p w14:paraId="186DF31D" w14:textId="77777777" w:rsidR="00F67D88" w:rsidRPr="00F67D88" w:rsidRDefault="00F67D88" w:rsidP="00F67D88">
      <w:pPr>
        <w:numPr>
          <w:ilvl w:val="0"/>
          <w:numId w:val="17"/>
        </w:numPr>
        <w:spacing w:after="0" w:line="240" w:lineRule="auto"/>
        <w:ind w:left="714" w:hanging="357"/>
        <w:jc w:val="both"/>
        <w:rPr>
          <w:rFonts w:ascii="Verdana" w:eastAsia="Aptos" w:hAnsi="Verdana" w:cs="Arial"/>
          <w:lang w:val="es-ES"/>
        </w:rPr>
      </w:pPr>
      <w:r w:rsidRPr="00F67D88">
        <w:rPr>
          <w:rFonts w:ascii="Verdana" w:eastAsia="Aptos" w:hAnsi="Verdana" w:cs="Arial"/>
          <w:lang w:val="es-ES"/>
        </w:rPr>
        <w:t>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D145CE7" w14:textId="77777777" w:rsidR="00F67D88" w:rsidRPr="00F67D88" w:rsidRDefault="00F67D88" w:rsidP="00F67D88">
      <w:pPr>
        <w:snapToGrid w:val="0"/>
        <w:spacing w:after="0" w:line="276" w:lineRule="auto"/>
        <w:jc w:val="both"/>
        <w:rPr>
          <w:rFonts w:ascii="Verdana" w:eastAsia="Calibri" w:hAnsi="Verdana" w:cs="Arial"/>
          <w:kern w:val="2"/>
          <w14:ligatures w14:val="standardContextual"/>
        </w:rPr>
      </w:pPr>
    </w:p>
    <w:p w14:paraId="213CDAB1" w14:textId="77777777" w:rsidR="00F67D88" w:rsidRPr="00F67D88" w:rsidRDefault="00F67D88" w:rsidP="00F67D88">
      <w:pPr>
        <w:numPr>
          <w:ilvl w:val="0"/>
          <w:numId w:val="17"/>
        </w:numPr>
        <w:snapToGrid w:val="0"/>
        <w:spacing w:after="0" w:line="276" w:lineRule="auto"/>
        <w:jc w:val="both"/>
        <w:rPr>
          <w:rFonts w:ascii="Verdana" w:eastAsia="Calibri" w:hAnsi="Verdana" w:cs="Arial"/>
          <w:kern w:val="2"/>
          <w14:ligatures w14:val="standardContextual"/>
        </w:rPr>
      </w:pPr>
      <w:r w:rsidRPr="00F67D88">
        <w:rPr>
          <w:rFonts w:ascii="Verdana" w:eastAsia="Calibri" w:hAnsi="Verdana" w:cs="Arial"/>
          <w:kern w:val="2"/>
          <w14:ligatures w14:val="standardContextual"/>
        </w:rPr>
        <w:t>En ejercicio de su competencia, esta agencia estableció un procedimiento para recibir y revisar los comentarios de todos los partícipes del sistema de la compra pública en el primero y parte del segundo semestre del año 2024. Como consecuencia de ello, se expidieron los diferentes actos administrativos por medio de los cuales se adoptaron los documentos tipo del sector de infraestructura de transporte y en simultaneo se publicaron las respuestas a todas las observaciones y/o comentarios realizados a los proyectos de documentos tipo.</w:t>
      </w:r>
    </w:p>
    <w:p w14:paraId="369E8ACC" w14:textId="77777777" w:rsidR="00F67D88" w:rsidRPr="00F67D88" w:rsidRDefault="00F67D88" w:rsidP="00F67D88">
      <w:pPr>
        <w:snapToGrid w:val="0"/>
        <w:spacing w:after="0" w:line="276" w:lineRule="auto"/>
        <w:jc w:val="both"/>
        <w:rPr>
          <w:rFonts w:ascii="Verdana" w:eastAsia="Calibri" w:hAnsi="Verdana" w:cs="Arial"/>
          <w:kern w:val="2"/>
          <w14:ligatures w14:val="standardContextual"/>
        </w:rPr>
      </w:pPr>
    </w:p>
    <w:p w14:paraId="7B3F8D6C" w14:textId="77777777" w:rsidR="00F67D88" w:rsidRPr="00F67D88" w:rsidRDefault="00F67D88" w:rsidP="00F67D88">
      <w:pPr>
        <w:numPr>
          <w:ilvl w:val="0"/>
          <w:numId w:val="17"/>
        </w:numPr>
        <w:snapToGrid w:val="0"/>
        <w:spacing w:after="0" w:line="276" w:lineRule="auto"/>
        <w:jc w:val="both"/>
        <w:rPr>
          <w:rFonts w:ascii="Verdana" w:eastAsia="Calibri" w:hAnsi="Verdana" w:cs="Arial"/>
          <w:kern w:val="2"/>
          <w14:ligatures w14:val="standardContextual"/>
        </w:rPr>
      </w:pPr>
      <w:r w:rsidRPr="00F67D88">
        <w:rPr>
          <w:rFonts w:ascii="Verdana" w:eastAsia="Aptos" w:hAnsi="Verdana" w:cs="Arial"/>
          <w:lang w:val="es-ES"/>
        </w:rPr>
        <w:t xml:space="preserve">Los Documentos tipo para la contratación de obra pública de infraestructura de transporte fueron modificados después de surtir el procedimiento interno establecido por esta agencia. En relación con los documentos tipo de licitación de obra pública de infraestructura de </w:t>
      </w:r>
      <w:r w:rsidRPr="00F67D88">
        <w:rPr>
          <w:rFonts w:ascii="Verdana" w:eastAsia="Aptos" w:hAnsi="Verdana" w:cs="Arial"/>
          <w:lang w:val="es-ES"/>
        </w:rPr>
        <w:lastRenderedPageBreak/>
        <w:t xml:space="preserve">transporte, mediante la Resolución 465 del 10 de septiembre de 2024, se adoptó la </w:t>
      </w:r>
      <w:r w:rsidRPr="00F67D88">
        <w:rPr>
          <w:rFonts w:ascii="Verdana" w:eastAsia="Calibri" w:hAnsi="Verdana" w:cs="Arial"/>
          <w:kern w:val="2"/>
          <w14:ligatures w14:val="standardContextual"/>
        </w:rPr>
        <w:t xml:space="preserve">versión 4 de estos documentos. </w:t>
      </w:r>
    </w:p>
    <w:p w14:paraId="502155DB" w14:textId="77777777" w:rsidR="00F67D88" w:rsidRPr="00F67D88" w:rsidRDefault="00F67D88" w:rsidP="00F67D88">
      <w:pPr>
        <w:snapToGrid w:val="0"/>
        <w:spacing w:after="0" w:line="276" w:lineRule="auto"/>
        <w:ind w:left="720"/>
        <w:jc w:val="both"/>
        <w:rPr>
          <w:rFonts w:ascii="Verdana" w:eastAsia="Calibri" w:hAnsi="Verdana" w:cs="Arial"/>
          <w:kern w:val="2"/>
          <w14:ligatures w14:val="standardContextual"/>
        </w:rPr>
      </w:pPr>
    </w:p>
    <w:p w14:paraId="29E78282" w14:textId="77777777" w:rsidR="00F67D88" w:rsidRPr="00F67D88" w:rsidRDefault="00F67D88" w:rsidP="00F67D88">
      <w:pPr>
        <w:numPr>
          <w:ilvl w:val="0"/>
          <w:numId w:val="17"/>
        </w:numPr>
        <w:snapToGrid w:val="0"/>
        <w:spacing w:after="0" w:line="276" w:lineRule="auto"/>
        <w:jc w:val="both"/>
        <w:rPr>
          <w:rFonts w:ascii="Verdana" w:eastAsia="Aptos" w:hAnsi="Verdana" w:cs="Arial"/>
          <w:lang w:val="es-ES"/>
        </w:rPr>
      </w:pPr>
      <w:r w:rsidRPr="00F67D88">
        <w:rPr>
          <w:rFonts w:ascii="Verdana" w:eastAsia="Aptos" w:hAnsi="Verdana" w:cs="Arial"/>
          <w:lang w:val="es-ES"/>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F67D88">
        <w:rPr>
          <w:rFonts w:ascii="Verdana" w:eastAsia="Aptos" w:hAnsi="Verdana" w:cs="Arial"/>
          <w:vertAlign w:val="superscript"/>
          <w:lang w:val="es-ES"/>
        </w:rPr>
        <w:footnoteReference w:id="2"/>
      </w:r>
      <w:r w:rsidRPr="00F67D88">
        <w:rPr>
          <w:rFonts w:ascii="Verdana" w:eastAsia="Aptos" w:hAnsi="Verdana" w:cs="Arial"/>
          <w:lang w:val="es-ES"/>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F67D88">
        <w:rPr>
          <w:rFonts w:ascii="Verdana" w:eastAsia="Aptos" w:hAnsi="Verdana" w:cs="Arial"/>
          <w:vertAlign w:val="superscript"/>
          <w:lang w:val="es-ES"/>
        </w:rPr>
        <w:footnoteReference w:id="3"/>
      </w:r>
      <w:r w:rsidRPr="00F67D88">
        <w:rPr>
          <w:rFonts w:ascii="Verdana" w:eastAsia="Aptos" w:hAnsi="Verdana" w:cs="Arial"/>
          <w:lang w:val="es-ES"/>
        </w:rPr>
        <w:t>.</w:t>
      </w:r>
    </w:p>
    <w:p w14:paraId="318687CC" w14:textId="77777777" w:rsidR="00F67D88" w:rsidRPr="00F67D88" w:rsidRDefault="00F67D88" w:rsidP="00F67D88">
      <w:pPr>
        <w:snapToGrid w:val="0"/>
        <w:spacing w:after="0" w:line="276" w:lineRule="auto"/>
        <w:jc w:val="both"/>
        <w:rPr>
          <w:rFonts w:ascii="Verdana" w:eastAsia="Aptos" w:hAnsi="Verdana" w:cs="Arial"/>
          <w:lang w:val="es-ES"/>
        </w:rPr>
      </w:pPr>
    </w:p>
    <w:p w14:paraId="11147D65" w14:textId="77777777" w:rsidR="00F67D88" w:rsidRPr="00F67D88" w:rsidRDefault="00F67D88" w:rsidP="00F67D88">
      <w:pPr>
        <w:numPr>
          <w:ilvl w:val="0"/>
          <w:numId w:val="21"/>
        </w:numPr>
        <w:spacing w:after="0" w:line="276" w:lineRule="auto"/>
        <w:contextualSpacing/>
        <w:jc w:val="both"/>
        <w:rPr>
          <w:rFonts w:ascii="Verdana" w:eastAsia="Aptos" w:hAnsi="Verdana" w:cs="Arial"/>
          <w:lang w:val="es-ES"/>
        </w:rPr>
      </w:pPr>
      <w:r w:rsidRPr="00F67D88">
        <w:rPr>
          <w:rFonts w:ascii="Verdana" w:eastAsia="Aptos" w:hAnsi="Verdana" w:cs="Arial"/>
          <w:lang w:val="es-ES"/>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5A1B4ED3" w14:textId="77777777" w:rsidR="00F67D88" w:rsidRPr="00F67D88" w:rsidRDefault="00F67D88" w:rsidP="00F67D88">
      <w:pPr>
        <w:spacing w:after="0" w:line="276" w:lineRule="auto"/>
        <w:ind w:firstLine="708"/>
        <w:jc w:val="both"/>
        <w:rPr>
          <w:rFonts w:ascii="Verdana" w:eastAsia="Times New Roman" w:hAnsi="Verdana" w:cs="Arial"/>
          <w:color w:val="000000"/>
          <w:sz w:val="24"/>
          <w:szCs w:val="24"/>
          <w:lang w:val="es-MX" w:eastAsia="es-ES_tradnl"/>
        </w:rPr>
      </w:pPr>
    </w:p>
    <w:p w14:paraId="64ABEB43" w14:textId="77777777" w:rsidR="00F67D88" w:rsidRPr="00F67D88" w:rsidRDefault="00F67D88" w:rsidP="00F67D88">
      <w:pPr>
        <w:spacing w:after="120" w:line="240" w:lineRule="auto"/>
        <w:ind w:left="709" w:right="709"/>
        <w:jc w:val="both"/>
        <w:rPr>
          <w:rFonts w:ascii="Verdana" w:eastAsia="Calibri" w:hAnsi="Verdana" w:cs="Arial"/>
          <w:color w:val="000000"/>
          <w:sz w:val="21"/>
          <w:szCs w:val="21"/>
          <w:lang w:val="es-MX" w:eastAsia="es-ES_tradnl"/>
        </w:rPr>
      </w:pPr>
      <w:r w:rsidRPr="00F67D88">
        <w:rPr>
          <w:rFonts w:ascii="Verdana" w:eastAsia="Calibri" w:hAnsi="Verdana" w:cs="Arial"/>
          <w:color w:val="000000"/>
          <w:sz w:val="21"/>
          <w:szCs w:val="21"/>
          <w:lang w:val="es-MX" w:eastAsia="es-ES_tradnl"/>
        </w:rPr>
        <w:t xml:space="preserve">Parágrafo 1°. Para poder participar en los procesos de selección de los contratos de obra y demás que señale el reglamento, la capacidad </w:t>
      </w:r>
      <w:r w:rsidRPr="00F67D88">
        <w:rPr>
          <w:rFonts w:ascii="Verdana" w:eastAsia="Calibri" w:hAnsi="Verdana" w:cs="Arial"/>
          <w:color w:val="000000"/>
          <w:sz w:val="21"/>
          <w:szCs w:val="21"/>
          <w:lang w:val="es-MX" w:eastAsia="es-ES_tradnl"/>
        </w:rPr>
        <w:lastRenderedPageBreak/>
        <w:t>residual del proponente o K de contratación deberá ser igual o superior al que la entidad haya establecido para el efecto en los pliegos de condiciones.</w:t>
      </w:r>
    </w:p>
    <w:p w14:paraId="326D57C9" w14:textId="77777777" w:rsidR="00F67D88" w:rsidRPr="00F67D88" w:rsidRDefault="00F67D88" w:rsidP="00F67D88">
      <w:pPr>
        <w:spacing w:after="0" w:line="240" w:lineRule="auto"/>
        <w:ind w:left="709" w:right="709"/>
        <w:jc w:val="both"/>
        <w:rPr>
          <w:rFonts w:ascii="Verdana" w:eastAsia="Calibri" w:hAnsi="Verdana" w:cs="Arial"/>
          <w:color w:val="000000"/>
          <w:sz w:val="21"/>
          <w:szCs w:val="21"/>
          <w:lang w:val="es-MX" w:eastAsia="es-ES_tradnl"/>
        </w:rPr>
      </w:pPr>
      <w:r w:rsidRPr="00F67D88">
        <w:rPr>
          <w:rFonts w:ascii="Verdana" w:eastAsia="Calibri" w:hAnsi="Verdana" w:cs="Arial"/>
          <w:color w:val="000000"/>
          <w:sz w:val="21"/>
          <w:szCs w:val="21"/>
          <w:lang w:val="es-MX" w:eastAsia="es-ES_tradnl"/>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27CD89D2" w14:textId="77777777" w:rsidR="00F67D88" w:rsidRPr="00F67D88" w:rsidRDefault="00F67D88" w:rsidP="00F67D88">
      <w:pPr>
        <w:spacing w:after="0" w:line="276" w:lineRule="auto"/>
        <w:ind w:right="709"/>
        <w:jc w:val="both"/>
        <w:rPr>
          <w:rFonts w:ascii="Verdana" w:eastAsia="Calibri" w:hAnsi="Verdana" w:cs="Arial"/>
          <w:color w:val="000000"/>
          <w:sz w:val="24"/>
          <w:szCs w:val="24"/>
          <w:lang w:val="es-MX" w:eastAsia="es-ES_tradnl"/>
        </w:rPr>
      </w:pPr>
    </w:p>
    <w:p w14:paraId="132D01ED" w14:textId="77777777" w:rsidR="00F67D88" w:rsidRPr="00F67D88" w:rsidRDefault="00F67D88" w:rsidP="00F67D88">
      <w:pPr>
        <w:numPr>
          <w:ilvl w:val="0"/>
          <w:numId w:val="21"/>
        </w:numPr>
        <w:spacing w:after="0" w:line="276" w:lineRule="auto"/>
        <w:contextualSpacing/>
        <w:jc w:val="both"/>
        <w:rPr>
          <w:rFonts w:ascii="Verdana" w:eastAsia="Calibri" w:hAnsi="Verdana" w:cs="Arial"/>
          <w:color w:val="000000"/>
          <w:lang w:eastAsia="es-ES_tradnl"/>
        </w:rPr>
      </w:pPr>
      <w:r w:rsidRPr="00F67D88">
        <w:rPr>
          <w:rFonts w:ascii="Verdana" w:eastAsia="Calibri" w:hAnsi="Verdana" w:cs="Arial"/>
          <w:color w:val="000000"/>
          <w:lang w:val="es-MX" w:eastAsia="es-ES_tradnl"/>
        </w:rPr>
        <w:t xml:space="preserve">De acuerdo con </w:t>
      </w:r>
      <w:r w:rsidRPr="00F67D88">
        <w:rPr>
          <w:rFonts w:ascii="Verdana" w:eastAsia="Calibri" w:hAnsi="Verdana" w:cs="Arial"/>
          <w:color w:val="000000"/>
          <w:lang w:eastAsia="es-ES_tradnl"/>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40AFA342" w14:textId="77777777" w:rsidR="00F67D88" w:rsidRPr="00F67D88" w:rsidRDefault="00F67D88" w:rsidP="00F67D88">
      <w:pPr>
        <w:spacing w:after="0" w:line="276" w:lineRule="auto"/>
        <w:ind w:left="720"/>
        <w:contextualSpacing/>
        <w:jc w:val="both"/>
        <w:rPr>
          <w:rFonts w:ascii="Verdana" w:eastAsia="Calibri" w:hAnsi="Verdana" w:cs="Arial"/>
          <w:color w:val="000000"/>
          <w:lang w:eastAsia="es-ES_tradnl"/>
        </w:rPr>
      </w:pPr>
    </w:p>
    <w:p w14:paraId="2D1703BA" w14:textId="77777777" w:rsidR="00F67D88" w:rsidRPr="00F67D88" w:rsidRDefault="00F67D88" w:rsidP="00F67D88">
      <w:pPr>
        <w:numPr>
          <w:ilvl w:val="0"/>
          <w:numId w:val="21"/>
        </w:numPr>
        <w:spacing w:after="0" w:line="276" w:lineRule="auto"/>
        <w:jc w:val="both"/>
        <w:rPr>
          <w:rFonts w:ascii="Verdana" w:eastAsia="Calibri" w:hAnsi="Verdana" w:cs="Arial"/>
          <w:color w:val="000000"/>
          <w:lang w:val="es-MX" w:eastAsia="es-ES_tradnl"/>
        </w:rPr>
      </w:pPr>
      <w:bookmarkStart w:id="4" w:name="_Hlk103608376"/>
      <w:r w:rsidRPr="00F67D88">
        <w:rPr>
          <w:rFonts w:ascii="Verdana" w:eastAsia="Calibri" w:hAnsi="Verdana" w:cs="Arial"/>
          <w:color w:val="000000"/>
          <w:lang w:val="es-MX" w:eastAsia="es-ES_tradnl"/>
        </w:rPr>
        <w:t>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ii) Capacidad Financiera –CF–, iii) Capacidad Técnica –CT–, iv) Capacidad de Organización y v) los Saldos de los Contratos en Ejecución –SCE–.</w:t>
      </w:r>
    </w:p>
    <w:p w14:paraId="66F6CDDC" w14:textId="77777777" w:rsidR="00F67D88" w:rsidRPr="00F67D88" w:rsidRDefault="00F67D88" w:rsidP="00F67D88">
      <w:pPr>
        <w:spacing w:after="0" w:line="276" w:lineRule="auto"/>
        <w:jc w:val="both"/>
        <w:rPr>
          <w:rFonts w:ascii="Verdana" w:eastAsia="Calibri" w:hAnsi="Verdana" w:cs="Arial"/>
          <w:color w:val="000000"/>
          <w:lang w:val="es-MX" w:eastAsia="es-ES_tradnl"/>
        </w:rPr>
      </w:pPr>
    </w:p>
    <w:p w14:paraId="25446237" w14:textId="77777777" w:rsidR="00F67D88" w:rsidRPr="00F67D88" w:rsidRDefault="00F67D88" w:rsidP="00F67D88">
      <w:pPr>
        <w:numPr>
          <w:ilvl w:val="0"/>
          <w:numId w:val="21"/>
        </w:numPr>
        <w:spacing w:after="0" w:line="276" w:lineRule="auto"/>
        <w:ind w:left="714" w:hanging="357"/>
        <w:jc w:val="both"/>
        <w:rPr>
          <w:rFonts w:ascii="Verdana" w:eastAsia="Times New Roman" w:hAnsi="Verdana" w:cs="Arial"/>
          <w:lang w:val="es-MX" w:eastAsia="es-ES_tradnl"/>
        </w:rPr>
      </w:pPr>
      <w:r w:rsidRPr="00F67D88">
        <w:rPr>
          <w:rFonts w:ascii="Verdana" w:eastAsia="Calibri" w:hAnsi="Verdana" w:cs="Arial"/>
          <w:color w:val="000000"/>
          <w:lang w:val="es-MX" w:eastAsia="es-ES_tradnl"/>
        </w:rPr>
        <w:t xml:space="preserve">De igual manera, </w:t>
      </w:r>
      <w:r w:rsidRPr="00F67D88">
        <w:rPr>
          <w:rFonts w:ascii="Verdana" w:eastAsia="Times New Roman" w:hAnsi="Verdana" w:cs="Arial"/>
          <w:lang w:val="es-MX" w:eastAsia="es-ES_tradnl"/>
        </w:rPr>
        <w:t xml:space="preserve">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w:t>
      </w:r>
      <w:r w:rsidRPr="00F67D88">
        <w:rPr>
          <w:rFonts w:ascii="Verdana" w:eastAsia="Times New Roman" w:hAnsi="Verdana" w:cs="Arial"/>
          <w:lang w:val="es-MX" w:eastAsia="es-ES_tradnl"/>
        </w:rPr>
        <w:lastRenderedPageBreak/>
        <w:t>anterior y estado de resultados auditado del año en que haya obtenido el mayor ingreso operacional en los últimos cinco (5) años</w:t>
      </w:r>
      <w:bookmarkEnd w:id="4"/>
      <w:r w:rsidRPr="00F67D88">
        <w:rPr>
          <w:rFonts w:ascii="Verdana" w:eastAsia="Aptos" w:hAnsi="Verdana" w:cs="Times New Roman"/>
          <w:kern w:val="2"/>
          <w:sz w:val="24"/>
          <w:szCs w:val="24"/>
          <w:vertAlign w:val="superscript"/>
          <w:lang w:val="es-MX" w:eastAsia="es-ES_tradnl"/>
          <w14:ligatures w14:val="standardContextual"/>
        </w:rPr>
        <w:footnoteReference w:id="4"/>
      </w:r>
      <w:r w:rsidRPr="00F67D88">
        <w:rPr>
          <w:rFonts w:ascii="Verdana" w:eastAsia="Times New Roman" w:hAnsi="Verdana" w:cs="Arial"/>
          <w:lang w:val="es-MX" w:eastAsia="es-ES_tradnl"/>
        </w:rPr>
        <w:t xml:space="preserve">. </w:t>
      </w:r>
    </w:p>
    <w:p w14:paraId="4B78A408" w14:textId="77777777" w:rsidR="00F67D88" w:rsidRPr="00F67D88" w:rsidRDefault="00F67D88" w:rsidP="00F67D88">
      <w:pPr>
        <w:spacing w:after="0" w:line="276" w:lineRule="auto"/>
        <w:jc w:val="both"/>
        <w:rPr>
          <w:rFonts w:ascii="Verdana" w:eastAsia="Times New Roman" w:hAnsi="Verdana" w:cs="Arial"/>
          <w:lang w:val="es-MX" w:eastAsia="es-ES_tradnl"/>
        </w:rPr>
      </w:pPr>
    </w:p>
    <w:p w14:paraId="6E39AEC1" w14:textId="77777777" w:rsidR="00F67D88" w:rsidRPr="00F67D88" w:rsidRDefault="00F67D88" w:rsidP="00F67D88">
      <w:pPr>
        <w:numPr>
          <w:ilvl w:val="0"/>
          <w:numId w:val="21"/>
        </w:numPr>
        <w:spacing w:after="0" w:line="276" w:lineRule="auto"/>
        <w:ind w:left="714" w:hanging="357"/>
        <w:jc w:val="both"/>
        <w:rPr>
          <w:rFonts w:ascii="Verdana" w:eastAsia="Calibri" w:hAnsi="Verdana" w:cs="Arial"/>
          <w:bCs/>
          <w:color w:val="000000"/>
          <w:lang w:eastAsia="es-ES_tradnl"/>
        </w:rPr>
      </w:pPr>
      <w:r w:rsidRPr="00F67D88">
        <w:rPr>
          <w:rFonts w:ascii="Verdana" w:eastAsia="Times New Roman" w:hAnsi="Verdana" w:cs="Arial"/>
          <w:color w:val="000000"/>
          <w:lang w:val="es-MX" w:eastAsia="es-ES_tradnl"/>
        </w:rPr>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35F218E0" w14:textId="77777777" w:rsidR="00F67D88" w:rsidRPr="00F67D88" w:rsidRDefault="00F67D88" w:rsidP="00F67D88">
      <w:pPr>
        <w:spacing w:after="0" w:line="276" w:lineRule="auto"/>
        <w:jc w:val="both"/>
        <w:rPr>
          <w:rFonts w:ascii="Verdana" w:eastAsia="Calibri" w:hAnsi="Verdana" w:cs="Arial"/>
          <w:bCs/>
          <w:color w:val="000000"/>
          <w:lang w:eastAsia="es-ES_tradnl"/>
        </w:rPr>
      </w:pPr>
    </w:p>
    <w:p w14:paraId="23B11F78" w14:textId="77777777" w:rsidR="00F67D88" w:rsidRPr="00F67D88" w:rsidRDefault="00F67D88" w:rsidP="00F67D88">
      <w:pPr>
        <w:numPr>
          <w:ilvl w:val="0"/>
          <w:numId w:val="21"/>
        </w:numPr>
        <w:spacing w:after="0" w:line="276" w:lineRule="auto"/>
        <w:contextualSpacing/>
        <w:jc w:val="both"/>
        <w:rPr>
          <w:rFonts w:ascii="Verdana" w:eastAsia="Calibri" w:hAnsi="Verdana" w:cs="Arial"/>
          <w:bCs/>
          <w:color w:val="000000"/>
          <w:lang w:eastAsia="es-ES_tradnl"/>
        </w:rPr>
      </w:pPr>
      <w:r w:rsidRPr="00F67D88">
        <w:rPr>
          <w:rFonts w:ascii="Verdana" w:eastAsia="Calibri" w:hAnsi="Verdana" w:cs="Arial"/>
          <w:bCs/>
          <w:color w:val="000000"/>
          <w:lang w:eastAsia="es-ES_tradnl"/>
        </w:rPr>
        <w:t xml:space="preserve">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w:t>
      </w:r>
      <w:r w:rsidRPr="00F67D88">
        <w:rPr>
          <w:rFonts w:ascii="Verdana" w:eastAsia="Calibri" w:hAnsi="Verdana" w:cs="Arial"/>
          <w:bCs/>
          <w:color w:val="000000"/>
          <w:lang w:eastAsia="es-ES_tradnl"/>
        </w:rPr>
        <w:lastRenderedPageBreak/>
        <w:t>proporción lineal de 12 meses del presupuesto oficial estimado menos el anticipo o pago anticipado.</w:t>
      </w:r>
    </w:p>
    <w:p w14:paraId="5D110D1E" w14:textId="77777777" w:rsidR="00F67D88" w:rsidRPr="00F67D88" w:rsidRDefault="00F67D88" w:rsidP="00F67D88">
      <w:pPr>
        <w:spacing w:line="278" w:lineRule="auto"/>
        <w:ind w:left="720"/>
        <w:contextualSpacing/>
        <w:rPr>
          <w:rFonts w:ascii="Verdana" w:eastAsia="Calibri" w:hAnsi="Verdana" w:cs="Arial"/>
          <w:bCs/>
          <w:color w:val="000000"/>
          <w:lang w:eastAsia="es-ES_tradnl"/>
        </w:rPr>
      </w:pPr>
    </w:p>
    <w:p w14:paraId="72311F86" w14:textId="77777777" w:rsidR="00F67D88" w:rsidRPr="00F67D88" w:rsidRDefault="00F67D88" w:rsidP="00F67D88">
      <w:pPr>
        <w:numPr>
          <w:ilvl w:val="0"/>
          <w:numId w:val="21"/>
        </w:numPr>
        <w:spacing w:after="0" w:line="276" w:lineRule="auto"/>
        <w:contextualSpacing/>
        <w:jc w:val="both"/>
        <w:rPr>
          <w:rFonts w:ascii="Verdana" w:eastAsia="Calibri" w:hAnsi="Verdana" w:cs="Arial"/>
          <w:bCs/>
          <w:color w:val="000000"/>
          <w:lang w:eastAsia="es-ES_tradnl"/>
        </w:rPr>
      </w:pPr>
      <w:r w:rsidRPr="00F67D88">
        <w:rPr>
          <w:rFonts w:ascii="Verdana" w:eastAsia="Calibri" w:hAnsi="Verdana" w:cs="Arial"/>
          <w:bCs/>
          <w:color w:val="000000"/>
          <w:lang w:eastAsia="es-ES_tradnl"/>
        </w:rPr>
        <w:t xml:space="preserve">En cuanto al segundo aspecto, sobre la validación de </w:t>
      </w:r>
      <w:bookmarkStart w:id="5" w:name="_Hlk68683272"/>
      <w:r w:rsidRPr="00F67D88">
        <w:rPr>
          <w:rFonts w:ascii="Verdana" w:eastAsia="Calibri" w:hAnsi="Verdana" w:cs="Arial"/>
          <w:bCs/>
          <w:color w:val="000000"/>
          <w:lang w:eastAsia="es-ES_tradnl"/>
        </w:rPr>
        <w:t>que cada proponente cumpla con la CRPC</w:t>
      </w:r>
      <w:bookmarkEnd w:id="5"/>
      <w:r w:rsidRPr="00F67D88">
        <w:rPr>
          <w:rFonts w:ascii="Verdana" w:eastAsia="Calibri" w:hAnsi="Verdana" w:cs="Arial"/>
          <w:bCs/>
          <w:color w:val="000000"/>
          <w:lang w:eastAsia="es-ES_tradnl"/>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F67D88">
        <w:rPr>
          <w:rFonts w:ascii="Verdana" w:eastAsia="Calibri" w:hAnsi="Verdana" w:cs="Arial"/>
          <w:bCs/>
          <w:color w:val="000000"/>
          <w:lang w:eastAsia="es-ES_tradnl"/>
        </w:rPr>
        <w:t>ii</w:t>
      </w:r>
      <w:proofErr w:type="spellEnd"/>
      <w:r w:rsidRPr="00F67D88">
        <w:rPr>
          <w:rFonts w:ascii="Verdana" w:eastAsia="Calibri" w:hAnsi="Verdana" w:cs="Arial"/>
          <w:bCs/>
          <w:color w:val="000000"/>
          <w:lang w:eastAsia="es-ES_tradnl"/>
        </w:rPr>
        <w:t xml:space="preserve">) capacidad financiera “CF”; </w:t>
      </w:r>
      <w:proofErr w:type="spellStart"/>
      <w:r w:rsidRPr="00F67D88">
        <w:rPr>
          <w:rFonts w:ascii="Verdana" w:eastAsia="Calibri" w:hAnsi="Verdana" w:cs="Arial"/>
          <w:bCs/>
          <w:color w:val="000000"/>
          <w:lang w:eastAsia="es-ES_tradnl"/>
        </w:rPr>
        <w:t>iii</w:t>
      </w:r>
      <w:proofErr w:type="spellEnd"/>
      <w:r w:rsidRPr="00F67D88">
        <w:rPr>
          <w:rFonts w:ascii="Verdana" w:eastAsia="Calibri" w:hAnsi="Verdana" w:cs="Arial"/>
          <w:bCs/>
          <w:color w:val="000000"/>
          <w:lang w:eastAsia="es-ES_tradnl"/>
        </w:rPr>
        <w:t xml:space="preserve">) capacidad técnica “CT”, </w:t>
      </w:r>
      <w:proofErr w:type="spellStart"/>
      <w:r w:rsidRPr="00F67D88">
        <w:rPr>
          <w:rFonts w:ascii="Verdana" w:eastAsia="Calibri" w:hAnsi="Verdana" w:cs="Arial"/>
          <w:bCs/>
          <w:color w:val="000000"/>
          <w:lang w:eastAsia="es-ES_tradnl"/>
        </w:rPr>
        <w:t>iv</w:t>
      </w:r>
      <w:proofErr w:type="spellEnd"/>
      <w:r w:rsidRPr="00F67D88">
        <w:rPr>
          <w:rFonts w:ascii="Verdana" w:eastAsia="Calibri" w:hAnsi="Verdana" w:cs="Arial"/>
          <w:bCs/>
          <w:color w:val="000000"/>
          <w:lang w:eastAsia="es-ES_tradnl"/>
        </w:rPr>
        <w:t>) capacidad de organización “CO”; y v) los saldos de los contratos en ejecución “SCE”, según la siguiente formula:</w:t>
      </w:r>
    </w:p>
    <w:p w14:paraId="61933989" w14:textId="77777777" w:rsidR="00F67D88" w:rsidRPr="00F67D88" w:rsidRDefault="00F67D88" w:rsidP="00F67D88">
      <w:pPr>
        <w:spacing w:line="278" w:lineRule="auto"/>
        <w:ind w:left="720"/>
        <w:contextualSpacing/>
        <w:rPr>
          <w:rFonts w:ascii="Verdana" w:eastAsia="Calibri" w:hAnsi="Verdana" w:cs="Arial"/>
          <w:bCs/>
          <w:color w:val="000000"/>
          <w:lang w:eastAsia="es-ES_tradnl"/>
        </w:rPr>
      </w:pPr>
    </w:p>
    <w:p w14:paraId="68131F4C" w14:textId="77777777" w:rsidR="00F67D88" w:rsidRPr="00F67D88" w:rsidRDefault="00F67D88" w:rsidP="00F67D88">
      <w:pPr>
        <w:spacing w:after="0" w:line="276" w:lineRule="auto"/>
        <w:ind w:left="720"/>
        <w:contextualSpacing/>
        <w:jc w:val="both"/>
        <w:rPr>
          <w:rFonts w:ascii="Verdana" w:eastAsia="Calibri" w:hAnsi="Verdana" w:cs="Arial"/>
          <w:bCs/>
          <w:color w:val="000000"/>
          <w:lang w:eastAsia="es-ES_tradnl"/>
        </w:rPr>
      </w:pPr>
    </w:p>
    <w:p w14:paraId="40A4A158" w14:textId="77777777" w:rsidR="00F67D88" w:rsidRPr="00F67D88" w:rsidRDefault="00F67D88" w:rsidP="00F67D88">
      <w:pPr>
        <w:spacing w:after="0" w:line="276" w:lineRule="auto"/>
        <w:ind w:firstLine="709"/>
        <w:jc w:val="center"/>
        <w:rPr>
          <w:rFonts w:ascii="Verdana" w:eastAsia="Calibri" w:hAnsi="Verdana" w:cs="Arial"/>
          <w:bCs/>
          <w:color w:val="000000"/>
          <w:sz w:val="24"/>
          <w:szCs w:val="24"/>
          <w:lang w:eastAsia="es-ES_tradnl"/>
        </w:rPr>
      </w:pPr>
      <w:r w:rsidRPr="00F67D88">
        <w:rPr>
          <w:rFonts w:ascii="Verdana" w:eastAsia="Calibri" w:hAnsi="Verdana" w:cs="Arial"/>
          <w:bCs/>
          <w:noProof/>
          <w:color w:val="000000"/>
          <w:sz w:val="24"/>
          <w:szCs w:val="24"/>
          <w:lang w:eastAsia="es-ES_tradnl"/>
        </w:rPr>
        <w:drawing>
          <wp:inline distT="0" distB="0" distL="0" distR="0" wp14:anchorId="0E494782" wp14:editId="2C48F67B">
            <wp:extent cx="2600344" cy="381003"/>
            <wp:effectExtent l="0" t="0" r="0" b="0"/>
            <wp:docPr id="32159840"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9840" name="Imagen 1" descr="Imagen que contiene Texto&#10;&#10;El contenido generado por IA puede ser incorrecto."/>
                    <pic:cNvPicPr/>
                  </pic:nvPicPr>
                  <pic:blipFill>
                    <a:blip r:embed="rId11"/>
                    <a:stretch>
                      <a:fillRect/>
                    </a:stretch>
                  </pic:blipFill>
                  <pic:spPr>
                    <a:xfrm>
                      <a:off x="0" y="0"/>
                      <a:ext cx="2600344" cy="381003"/>
                    </a:xfrm>
                    <a:prstGeom prst="rect">
                      <a:avLst/>
                    </a:prstGeom>
                  </pic:spPr>
                </pic:pic>
              </a:graphicData>
            </a:graphic>
          </wp:inline>
        </w:drawing>
      </w:r>
    </w:p>
    <w:p w14:paraId="06CE74AE" w14:textId="77777777" w:rsidR="00F67D88" w:rsidRPr="00F67D88" w:rsidRDefault="00F67D88" w:rsidP="00F67D88">
      <w:pPr>
        <w:spacing w:after="0" w:line="276" w:lineRule="auto"/>
        <w:ind w:left="708" w:hanging="708"/>
        <w:jc w:val="both"/>
        <w:rPr>
          <w:rFonts w:ascii="Verdana" w:eastAsia="Calibri" w:hAnsi="Verdana" w:cs="Arial"/>
          <w:bCs/>
          <w:color w:val="000000"/>
          <w:sz w:val="24"/>
          <w:szCs w:val="24"/>
          <w:lang w:val="es-MX" w:eastAsia="es-ES_tradnl"/>
        </w:rPr>
      </w:pPr>
    </w:p>
    <w:p w14:paraId="395EE42B" w14:textId="77777777" w:rsidR="00F67D88" w:rsidRPr="00F67D88" w:rsidRDefault="00F67D88" w:rsidP="00F67D88">
      <w:pPr>
        <w:numPr>
          <w:ilvl w:val="0"/>
          <w:numId w:val="21"/>
        </w:numPr>
        <w:spacing w:after="0" w:line="276" w:lineRule="auto"/>
        <w:contextualSpacing/>
        <w:jc w:val="both"/>
        <w:rPr>
          <w:rFonts w:ascii="Verdana" w:eastAsia="Calibri" w:hAnsi="Verdana" w:cs="Arial"/>
          <w:bCs/>
          <w:color w:val="000000"/>
          <w:lang w:eastAsia="es-ES_tradnl"/>
        </w:rPr>
      </w:pPr>
      <w:r w:rsidRPr="00F67D88">
        <w:rPr>
          <w:rFonts w:ascii="Verdana" w:eastAsia="Calibri" w:hAnsi="Verdana" w:cs="Arial"/>
          <w:bCs/>
          <w:color w:val="000000"/>
          <w:lang w:eastAsia="es-ES_tradnl"/>
        </w:rPr>
        <w:t xml:space="preserve">Particularmente, </w:t>
      </w:r>
      <w:bookmarkStart w:id="6" w:name="_Hlk100139879"/>
      <w:r w:rsidRPr="00F67D88">
        <w:rPr>
          <w:rFonts w:ascii="Verdana" w:eastAsia="Calibri" w:hAnsi="Verdana" w:cs="Arial"/>
          <w:bCs/>
          <w:color w:val="000000"/>
          <w:lang w:eastAsia="es-ES_tradnl"/>
        </w:rPr>
        <w:t>respecto del factor de saldos de los contratos en ejecución “SCE”, es necesario tener en cuenta que la Guía para Determinar y Verificar la Capacidad Residual del Proponente en los Procesos de Contratación de Obra Pública, define a este factor como “</w:t>
      </w:r>
      <w:bookmarkEnd w:id="6"/>
      <w:r w:rsidRPr="00F67D88">
        <w:rPr>
          <w:rFonts w:ascii="Verdana" w:eastAsia="Calibri" w:hAnsi="Verdana" w:cs="Arial"/>
          <w:bCs/>
          <w:color w:val="000000"/>
          <w:lang w:eastAsia="es-ES_tradnl"/>
        </w:rPr>
        <w:t xml:space="preserve">la sumatoria de los saldos de los Contratos en Ejecución que tienen por ejecutar un período inferior a 360 días, es decir, 12 meses. Si el número de días por ejecutar un contrato es superior a 360 días, es decir 12 meses, el saldo del Contrato en Ejecución sólo tendrá en cuenta la proporción lineal de 12 meses”. Así mismo, define los </w:t>
      </w:r>
      <w:bookmarkStart w:id="7" w:name="_Hlk78819022"/>
      <w:r w:rsidRPr="00F67D88">
        <w:rPr>
          <w:rFonts w:ascii="Verdana" w:eastAsia="Calibri" w:hAnsi="Verdana" w:cs="Arial"/>
          <w:bCs/>
          <w:color w:val="000000"/>
          <w:lang w:eastAsia="es-ES_tradnl"/>
        </w:rPr>
        <w:t xml:space="preserve">Contratos en Ejecución </w:t>
      </w:r>
      <w:bookmarkEnd w:id="7"/>
      <w:r w:rsidRPr="00F67D88">
        <w:rPr>
          <w:rFonts w:ascii="Verdana" w:eastAsia="Calibri" w:hAnsi="Verdana" w:cs="Arial"/>
          <w:bCs/>
          <w:color w:val="000000"/>
          <w:lang w:eastAsia="es-ES_tradnl"/>
        </w:rPr>
        <w:t xml:space="preserve">de la siguiente manera:  </w:t>
      </w:r>
    </w:p>
    <w:p w14:paraId="08641EDD" w14:textId="77777777" w:rsidR="00F67D88" w:rsidRPr="00F67D88" w:rsidRDefault="00F67D88" w:rsidP="00F67D88">
      <w:pPr>
        <w:spacing w:after="0" w:line="276" w:lineRule="auto"/>
        <w:ind w:firstLine="709"/>
        <w:jc w:val="both"/>
        <w:rPr>
          <w:rFonts w:ascii="Verdana" w:eastAsia="Times New Roman" w:hAnsi="Verdana" w:cs="Arial"/>
          <w:sz w:val="24"/>
          <w:szCs w:val="24"/>
          <w:lang w:eastAsia="es-ES_tradnl"/>
        </w:rPr>
      </w:pPr>
    </w:p>
    <w:p w14:paraId="0400C494" w14:textId="77777777" w:rsidR="00F67D88" w:rsidRPr="00F67D88" w:rsidRDefault="00F67D88" w:rsidP="00F67D88">
      <w:pPr>
        <w:spacing w:after="120" w:line="240" w:lineRule="auto"/>
        <w:ind w:left="709" w:right="709"/>
        <w:jc w:val="both"/>
        <w:rPr>
          <w:rFonts w:ascii="Verdana" w:eastAsia="Times New Roman" w:hAnsi="Verdana" w:cs="Arial"/>
          <w:sz w:val="21"/>
          <w:szCs w:val="21"/>
          <w:lang w:eastAsia="es-ES_tradnl"/>
        </w:rPr>
      </w:pPr>
      <w:r w:rsidRPr="00F67D88">
        <w:rPr>
          <w:rFonts w:ascii="Verdana" w:eastAsia="Times New Roman" w:hAnsi="Verdana" w:cs="Arial"/>
          <w:sz w:val="21"/>
          <w:szCs w:val="21"/>
          <w:lang w:eastAsia="es-ES_tradnl"/>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que se encuentren suspendidos y aquellos que no tengan acta de inicio.   </w:t>
      </w:r>
    </w:p>
    <w:p w14:paraId="2C820F66" w14:textId="77777777" w:rsidR="00F67D88" w:rsidRPr="00F67D88" w:rsidRDefault="00F67D88" w:rsidP="00F67D88">
      <w:pPr>
        <w:spacing w:after="0" w:line="240" w:lineRule="auto"/>
        <w:ind w:left="709" w:right="709"/>
        <w:jc w:val="both"/>
        <w:rPr>
          <w:rFonts w:ascii="Verdana" w:eastAsia="Times New Roman" w:hAnsi="Verdana" w:cs="Arial"/>
          <w:sz w:val="21"/>
          <w:szCs w:val="21"/>
          <w:lang w:eastAsia="es-ES_tradnl"/>
        </w:rPr>
      </w:pPr>
      <w:r w:rsidRPr="00F67D88">
        <w:rPr>
          <w:rFonts w:ascii="Verdana" w:eastAsia="Times New Roman" w:hAnsi="Verdana" w:cs="Arial"/>
          <w:sz w:val="21"/>
          <w:szCs w:val="21"/>
          <w:lang w:eastAsia="es-ES_tradnl"/>
        </w:rPr>
        <w:t>No se entenderá como Contratos en Ejecución los que se encuentren en etapa de liquidación o ya fueron liquidados.”.</w:t>
      </w:r>
    </w:p>
    <w:p w14:paraId="14958749" w14:textId="77777777" w:rsidR="00F67D88" w:rsidRPr="00F67D88" w:rsidRDefault="00F67D88" w:rsidP="00F67D88">
      <w:pPr>
        <w:spacing w:after="0" w:line="276" w:lineRule="auto"/>
        <w:ind w:right="709"/>
        <w:jc w:val="both"/>
        <w:rPr>
          <w:rFonts w:ascii="Verdana" w:eastAsia="Times New Roman" w:hAnsi="Verdana" w:cs="Arial"/>
          <w:sz w:val="24"/>
          <w:szCs w:val="24"/>
          <w:lang w:eastAsia="es-ES_tradnl"/>
        </w:rPr>
      </w:pPr>
    </w:p>
    <w:p w14:paraId="4773BD15" w14:textId="77777777" w:rsidR="00F67D88" w:rsidRPr="00F67D88" w:rsidRDefault="00F67D88" w:rsidP="00F67D88">
      <w:pPr>
        <w:numPr>
          <w:ilvl w:val="0"/>
          <w:numId w:val="21"/>
        </w:numPr>
        <w:spacing w:after="0" w:line="276" w:lineRule="auto"/>
        <w:jc w:val="both"/>
        <w:rPr>
          <w:rFonts w:ascii="Verdana" w:eastAsia="Times New Roman" w:hAnsi="Verdana" w:cs="Arial"/>
          <w:lang w:val="es-MX" w:eastAsia="es-ES_tradnl"/>
        </w:rPr>
      </w:pPr>
      <w:bookmarkStart w:id="8" w:name="_Hlk100139912"/>
      <w:bookmarkStart w:id="9" w:name="_Hlk103609030"/>
      <w:r w:rsidRPr="00F67D88">
        <w:rPr>
          <w:rFonts w:ascii="Verdana" w:eastAsia="Times New Roman" w:hAnsi="Verdana" w:cs="Arial"/>
          <w:lang w:eastAsia="es-ES_tradnl"/>
        </w:rPr>
        <w:t>En este sentido, los saldos pendientes se derivan de las obligaciones que se encuentran en ejecución al momento de la presentación de la oferta y se refieren a contratos cuyo objeto sea la ejecución de obras civiles</w:t>
      </w:r>
      <w:bookmarkEnd w:id="8"/>
      <w:r w:rsidRPr="00F67D88">
        <w:rPr>
          <w:rFonts w:ascii="Verdana" w:eastAsia="Times New Roman" w:hAnsi="Verdana" w:cs="Arial"/>
          <w:lang w:eastAsia="es-ES_tradnl"/>
        </w:rPr>
        <w:t xml:space="preserve">. </w:t>
      </w:r>
      <w:bookmarkStart w:id="10" w:name="_Hlk100139986"/>
      <w:r w:rsidRPr="00F67D88">
        <w:rPr>
          <w:rFonts w:ascii="Verdana" w:eastAsia="Times New Roman" w:hAnsi="Verdana" w:cs="Arial"/>
          <w:lang w:eastAsia="es-ES_tradnl"/>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F67D88">
        <w:rPr>
          <w:rFonts w:ascii="Verdana" w:eastAsia="Calibri" w:hAnsi="Verdana" w:cs="Arial"/>
          <w:b/>
          <w:color w:val="000000"/>
          <w:lang w:eastAsia="es-ES_tradnl"/>
        </w:rPr>
        <w:t>“</w:t>
      </w:r>
      <w:r w:rsidRPr="00F67D88">
        <w:rPr>
          <w:rFonts w:ascii="Verdana" w:eastAsia="Calibri" w:hAnsi="Verdana" w:cs="Arial"/>
          <w:bCs/>
          <w:color w:val="000000"/>
          <w:lang w:eastAsia="es-ES_tradnl"/>
        </w:rPr>
        <w:t>CRP</w:t>
      </w:r>
      <w:r w:rsidRPr="00F67D88">
        <w:rPr>
          <w:rFonts w:ascii="Verdana" w:eastAsia="Calibri" w:hAnsi="Verdana" w:cs="Arial"/>
          <w:b/>
          <w:color w:val="000000"/>
          <w:lang w:eastAsia="es-ES_tradnl"/>
        </w:rPr>
        <w:t>”</w:t>
      </w:r>
      <w:r w:rsidRPr="00F67D88">
        <w:rPr>
          <w:rFonts w:ascii="Verdana" w:eastAsia="Times New Roman" w:hAnsi="Verdana" w:cs="Arial"/>
          <w:lang w:eastAsia="es-ES_tradnl"/>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9"/>
      <w:bookmarkEnd w:id="10"/>
      <w:r w:rsidRPr="00F67D88">
        <w:rPr>
          <w:rFonts w:ascii="Verdana" w:eastAsia="Times New Roman" w:hAnsi="Verdana" w:cs="Arial"/>
          <w:lang w:eastAsia="es-ES_tradnl"/>
        </w:rPr>
        <w:t xml:space="preserve">. </w:t>
      </w:r>
      <w:r w:rsidRPr="00F67D88">
        <w:rPr>
          <w:rFonts w:ascii="Verdana" w:eastAsia="Times New Roman" w:hAnsi="Verdana" w:cs="Arial"/>
          <w:lang w:val="es-MX" w:eastAsia="es-ES_tradnl"/>
        </w:rPr>
        <w:t>Por lo demás, en dicha guía también se precisa que:</w:t>
      </w:r>
    </w:p>
    <w:p w14:paraId="3E29A5FF" w14:textId="77777777" w:rsidR="00F67D88" w:rsidRPr="00F67D88" w:rsidRDefault="00F67D88" w:rsidP="00F67D88">
      <w:pPr>
        <w:spacing w:after="0" w:line="276" w:lineRule="auto"/>
        <w:ind w:firstLine="709"/>
        <w:jc w:val="both"/>
        <w:rPr>
          <w:rFonts w:ascii="Verdana" w:eastAsia="Times New Roman" w:hAnsi="Verdana" w:cs="Arial"/>
          <w:sz w:val="24"/>
          <w:szCs w:val="20"/>
          <w:lang w:val="es-MX" w:eastAsia="es-ES_tradnl"/>
        </w:rPr>
      </w:pPr>
    </w:p>
    <w:p w14:paraId="5ED1F988" w14:textId="77777777" w:rsidR="00F67D88" w:rsidRPr="00F67D88" w:rsidRDefault="00F67D88" w:rsidP="00F67D88">
      <w:pPr>
        <w:spacing w:after="0" w:line="240" w:lineRule="auto"/>
        <w:ind w:left="709" w:right="709"/>
        <w:jc w:val="both"/>
        <w:rPr>
          <w:rFonts w:ascii="Verdana" w:eastAsia="Times New Roman" w:hAnsi="Verdana" w:cs="Arial"/>
          <w:sz w:val="21"/>
          <w:szCs w:val="21"/>
          <w:lang w:eastAsia="es-ES_tradnl"/>
        </w:rPr>
      </w:pPr>
      <w:bookmarkStart w:id="11" w:name="_Hlk100140013"/>
      <w:r w:rsidRPr="00F67D88">
        <w:rPr>
          <w:rFonts w:ascii="Verdana" w:eastAsia="Times New Roman" w:hAnsi="Verdana" w:cs="Arial"/>
          <w:sz w:val="21"/>
          <w:szCs w:val="21"/>
          <w:lang w:eastAsia="es-ES_tradnl"/>
        </w:rPr>
        <w:t>El cálculo del Saldo de los Contratos en Ejecución debe hacerse linealmente calculando una ejecución diaria equivalente al valor del contrato dividido por el plazo del contrato y si el contrato es ejecutado por una estructura plural por la participación del proponente en el respectivo contratista. Si el número de días por ejecutar en un contrato es superior a 12 meses, es decir 360 días, el Saldo del Contrato en Ejecución (SCE) solo tendrá en cuenta la proporción lineal de 12 meses</w:t>
      </w:r>
      <w:bookmarkEnd w:id="11"/>
      <w:r w:rsidRPr="00F67D88">
        <w:rPr>
          <w:rFonts w:ascii="Verdana" w:eastAsia="Times New Roman" w:hAnsi="Verdana" w:cs="Arial"/>
          <w:sz w:val="21"/>
          <w:szCs w:val="21"/>
          <w:lang w:eastAsia="es-ES_tradnl"/>
        </w:rPr>
        <w:t>.</w:t>
      </w:r>
    </w:p>
    <w:p w14:paraId="385EC4B4" w14:textId="77777777" w:rsidR="00F67D88" w:rsidRPr="00F67D88" w:rsidRDefault="00F67D88" w:rsidP="00F67D88">
      <w:pPr>
        <w:spacing w:after="120" w:line="240" w:lineRule="auto"/>
        <w:ind w:left="709" w:right="709"/>
        <w:jc w:val="both"/>
        <w:rPr>
          <w:rFonts w:ascii="Verdana" w:eastAsia="Times New Roman" w:hAnsi="Verdana" w:cs="Arial"/>
          <w:sz w:val="21"/>
          <w:szCs w:val="21"/>
          <w:lang w:val="es-MX" w:eastAsia="es-ES_tradnl"/>
        </w:rPr>
      </w:pPr>
      <w:r w:rsidRPr="00F67D88">
        <w:rPr>
          <w:rFonts w:ascii="Verdana" w:eastAsia="Times New Roman" w:hAnsi="Verdana" w:cs="Arial"/>
          <w:sz w:val="21"/>
          <w:szCs w:val="21"/>
          <w:lang w:val="es-MX" w:eastAsia="es-ES_tradnl"/>
        </w:rPr>
        <w:t>[…]</w:t>
      </w:r>
    </w:p>
    <w:p w14:paraId="26ACEF41" w14:textId="77777777" w:rsidR="00F67D88" w:rsidRPr="00F67D88" w:rsidRDefault="00F67D88" w:rsidP="00F67D88">
      <w:pPr>
        <w:spacing w:after="0" w:line="240" w:lineRule="auto"/>
        <w:ind w:left="709" w:right="709"/>
        <w:jc w:val="both"/>
        <w:rPr>
          <w:rFonts w:ascii="Verdana" w:eastAsia="Times New Roman" w:hAnsi="Verdana" w:cs="Arial"/>
          <w:sz w:val="21"/>
          <w:szCs w:val="21"/>
          <w:lang w:eastAsia="es-ES_tradnl"/>
        </w:rPr>
      </w:pPr>
      <w:r w:rsidRPr="00F67D88">
        <w:rPr>
          <w:rFonts w:ascii="Verdana" w:eastAsia="Times New Roman" w:hAnsi="Verdana" w:cs="Arial"/>
          <w:i/>
          <w:iCs/>
          <w:sz w:val="21"/>
          <w:szCs w:val="21"/>
          <w:lang w:eastAsia="es-ES_tradnl"/>
        </w:rPr>
        <w:t>Si un contrato se encuentra suspendido, el cálculo del Saldo del Contrato en Ejecución (SCE) de dicho contrato debe calcularse asumiendo que lo que falta por ejecutar empezará a ejecutarse en la fecha de la presentación de la oferta del Proceso de Contratación</w:t>
      </w:r>
      <w:r w:rsidRPr="00F67D88">
        <w:rPr>
          <w:rFonts w:ascii="Verdana" w:eastAsia="Times New Roman" w:hAnsi="Verdana" w:cs="Arial"/>
          <w:sz w:val="21"/>
          <w:szCs w:val="21"/>
          <w:lang w:eastAsia="es-ES_tradnl"/>
        </w:rPr>
        <w:t>. (Énfasis fuera de texto)</w:t>
      </w:r>
    </w:p>
    <w:p w14:paraId="53635D7D" w14:textId="77777777" w:rsidR="00F67D88" w:rsidRPr="00F67D88" w:rsidRDefault="00F67D88" w:rsidP="00F67D88">
      <w:pPr>
        <w:spacing w:after="0" w:line="276" w:lineRule="auto"/>
        <w:ind w:firstLine="709"/>
        <w:jc w:val="both"/>
        <w:rPr>
          <w:rFonts w:ascii="Verdana" w:eastAsia="Times New Roman" w:hAnsi="Verdana" w:cs="Arial"/>
          <w:sz w:val="24"/>
          <w:szCs w:val="24"/>
          <w:lang w:eastAsia="es-ES_tradnl"/>
        </w:rPr>
      </w:pPr>
    </w:p>
    <w:p w14:paraId="26066C30" w14:textId="77777777" w:rsidR="00F67D88" w:rsidRPr="00F67D88" w:rsidRDefault="00F67D88" w:rsidP="00F67D88">
      <w:pPr>
        <w:numPr>
          <w:ilvl w:val="0"/>
          <w:numId w:val="21"/>
        </w:numPr>
        <w:spacing w:after="0" w:line="276" w:lineRule="auto"/>
        <w:contextualSpacing/>
        <w:jc w:val="both"/>
        <w:rPr>
          <w:rFonts w:ascii="Verdana" w:eastAsia="Times New Roman" w:hAnsi="Verdana" w:cs="Arial"/>
          <w:lang w:eastAsia="es-ES_tradnl"/>
        </w:rPr>
      </w:pPr>
      <w:r w:rsidRPr="00F67D88">
        <w:rPr>
          <w:rFonts w:ascii="Verdana" w:eastAsia="Times New Roman" w:hAnsi="Verdana" w:cs="Arial"/>
          <w:lang w:eastAsia="es-ES_tradnl"/>
        </w:rPr>
        <w:t xml:space="preserve">De este modo, para acreditar el factor saldos de los contratos en ejecución “SCE”,  como lo establece la Guía, el proponente debe presentar la lista </w:t>
      </w:r>
      <w:r w:rsidRPr="00F67D88">
        <w:rPr>
          <w:rFonts w:ascii="Verdana" w:eastAsia="Times New Roman" w:hAnsi="Verdana" w:cs="Arial"/>
          <w:lang w:eastAsia="es-ES_tradnl"/>
        </w:rPr>
        <w:lastRenderedPageBreak/>
        <w:t xml:space="preserve">de contratos de obras civiles en ejecución, tanto a nivel nacional como internacional señalando: i) el valor del contrato; </w:t>
      </w:r>
      <w:proofErr w:type="spellStart"/>
      <w:r w:rsidRPr="00F67D88">
        <w:rPr>
          <w:rFonts w:ascii="Verdana" w:eastAsia="Times New Roman" w:hAnsi="Verdana" w:cs="Arial"/>
          <w:lang w:eastAsia="es-ES_tradnl"/>
        </w:rPr>
        <w:t>ii</w:t>
      </w:r>
      <w:proofErr w:type="spellEnd"/>
      <w:r w:rsidRPr="00F67D88">
        <w:rPr>
          <w:rFonts w:ascii="Verdana" w:eastAsia="Times New Roman" w:hAnsi="Verdana" w:cs="Arial"/>
          <w:lang w:eastAsia="es-ES_tradnl"/>
        </w:rPr>
        <w:t xml:space="preserve">) el plazo del contrato en meses; </w:t>
      </w:r>
      <w:proofErr w:type="spellStart"/>
      <w:r w:rsidRPr="00F67D88">
        <w:rPr>
          <w:rFonts w:ascii="Verdana" w:eastAsia="Times New Roman" w:hAnsi="Verdana" w:cs="Arial"/>
          <w:lang w:eastAsia="es-ES_tradnl"/>
        </w:rPr>
        <w:t>iii</w:t>
      </w:r>
      <w:proofErr w:type="spellEnd"/>
      <w:r w:rsidRPr="00F67D88">
        <w:rPr>
          <w:rFonts w:ascii="Verdana" w:eastAsia="Times New Roman" w:hAnsi="Verdana" w:cs="Arial"/>
          <w:lang w:eastAsia="es-ES_tradnl"/>
        </w:rPr>
        <w:t xml:space="preserve">) la fecha de inicio de las obras objeto del contrato (día, mes, año); </w:t>
      </w:r>
      <w:proofErr w:type="spellStart"/>
      <w:r w:rsidRPr="00F67D88">
        <w:rPr>
          <w:rFonts w:ascii="Verdana" w:eastAsia="Times New Roman" w:hAnsi="Verdana" w:cs="Arial"/>
          <w:lang w:eastAsia="es-ES_tradnl"/>
        </w:rPr>
        <w:t>iv</w:t>
      </w:r>
      <w:proofErr w:type="spellEnd"/>
      <w:r w:rsidRPr="00F67D88">
        <w:rPr>
          <w:rFonts w:ascii="Verdana" w:eastAsia="Times New Roman" w:hAnsi="Verdana" w:cs="Arial"/>
          <w:lang w:eastAsia="es-ES_tradnl"/>
        </w:rPr>
        <w:t xml:space="preserve">) si la obra la ejecuta un consorcio, unión temporal, el porcentaje de participación del oferente que presenta el certificado; v) si el contrato se encuentra suspendido, y si es así, la fecha de suspensión. En toda caso, si el contrato está suspendido el proponente debe informar el saldo pendiente por ejecutar. Si el proponente no tiene contratos en ejecución, en el certificado debe constar expresamente esa circunstancia. </w:t>
      </w:r>
    </w:p>
    <w:p w14:paraId="5F7136DE" w14:textId="77777777" w:rsidR="00F67D88" w:rsidRPr="00F67D88" w:rsidRDefault="00F67D88" w:rsidP="00F67D88">
      <w:pPr>
        <w:spacing w:after="0" w:line="276" w:lineRule="auto"/>
        <w:jc w:val="both"/>
        <w:rPr>
          <w:rFonts w:ascii="Verdana" w:eastAsia="Times New Roman" w:hAnsi="Verdana" w:cs="Arial"/>
          <w:lang w:eastAsia="es-ES_tradnl"/>
        </w:rPr>
      </w:pPr>
    </w:p>
    <w:p w14:paraId="1552BCCA" w14:textId="77777777" w:rsidR="00F67D88" w:rsidRPr="00F67D88" w:rsidRDefault="00F67D88" w:rsidP="00F67D88">
      <w:pPr>
        <w:numPr>
          <w:ilvl w:val="0"/>
          <w:numId w:val="21"/>
        </w:numPr>
        <w:spacing w:after="0" w:line="276" w:lineRule="auto"/>
        <w:contextualSpacing/>
        <w:jc w:val="both"/>
        <w:rPr>
          <w:rFonts w:ascii="Verdana" w:eastAsia="Times New Roman" w:hAnsi="Verdana" w:cs="Arial"/>
          <w:lang w:eastAsia="es-ES_tradnl"/>
        </w:rPr>
      </w:pPr>
      <w:r w:rsidRPr="00F67D88">
        <w:rPr>
          <w:rFonts w:ascii="Verdana" w:eastAsia="Times New Roman" w:hAnsi="Verdana" w:cs="Arial"/>
          <w:lang w:eastAsia="es-ES_tradnl"/>
        </w:rPr>
        <w:t xml:space="preserve">En concordancia con lo anterior, sobre la acreditación del factor “SCE” en los documentos tipo de licitación de obra pública para infraestructura de transporte – versión 4, </w:t>
      </w:r>
      <w:bookmarkStart w:id="12" w:name="_Hlk100140108"/>
      <w:r w:rsidRPr="00F67D88">
        <w:rPr>
          <w:rFonts w:ascii="Verdana" w:eastAsia="Times New Roman" w:hAnsi="Verdana" w:cs="Arial"/>
          <w:lang w:eastAsia="es-ES_tradnl"/>
        </w:rPr>
        <w:t>el literal E del numeral 3.11.2 del documento base</w:t>
      </w:r>
      <w:bookmarkEnd w:id="12"/>
      <w:r w:rsidRPr="00F67D88">
        <w:rPr>
          <w:rFonts w:ascii="Verdana" w:eastAsia="Times New Roman" w:hAnsi="Verdana" w:cs="Arial"/>
          <w:lang w:eastAsia="es-ES_tradnl"/>
        </w:rPr>
        <w:t xml:space="preserve"> señala lo siguiente:</w:t>
      </w:r>
    </w:p>
    <w:p w14:paraId="22215891" w14:textId="77777777" w:rsidR="00F67D88" w:rsidRPr="00F67D88" w:rsidRDefault="00F67D88" w:rsidP="00F67D88">
      <w:pPr>
        <w:spacing w:after="0" w:line="276" w:lineRule="auto"/>
        <w:ind w:firstLine="709"/>
        <w:jc w:val="both"/>
        <w:rPr>
          <w:rFonts w:ascii="Verdana" w:eastAsia="Times New Roman" w:hAnsi="Verdana" w:cs="Arial"/>
          <w:lang w:eastAsia="es-ES_tradnl"/>
        </w:rPr>
      </w:pPr>
    </w:p>
    <w:p w14:paraId="744F7B94" w14:textId="77777777" w:rsidR="00F67D88" w:rsidRPr="00F67D88" w:rsidRDefault="00F67D88" w:rsidP="00F67D88">
      <w:pPr>
        <w:spacing w:after="0" w:line="240" w:lineRule="auto"/>
        <w:ind w:left="709" w:right="709"/>
        <w:jc w:val="both"/>
        <w:rPr>
          <w:rFonts w:ascii="Verdana" w:eastAsia="Times New Roman" w:hAnsi="Verdana" w:cs="Arial"/>
          <w:lang w:eastAsia="es-ES_tradnl"/>
        </w:rPr>
      </w:pPr>
      <w:r w:rsidRPr="00F67D88">
        <w:rPr>
          <w:rFonts w:ascii="Verdana" w:eastAsia="Times New Roman" w:hAnsi="Verdana" w:cs="Arial"/>
          <w:lang w:eastAsia="es-ES_tradnl"/>
        </w:rPr>
        <w:t xml:space="preserve">Para acreditar el factor (SCE) el Proponente tendrá en cuenta lo siguiente: </w:t>
      </w:r>
    </w:p>
    <w:p w14:paraId="2844D2DB" w14:textId="77777777" w:rsidR="00F67D88" w:rsidRPr="00F67D88" w:rsidRDefault="00F67D88" w:rsidP="00F67D88">
      <w:pPr>
        <w:spacing w:after="0" w:line="240" w:lineRule="auto"/>
        <w:ind w:left="709" w:right="709"/>
        <w:jc w:val="both"/>
        <w:rPr>
          <w:rFonts w:ascii="Verdana" w:eastAsia="Arial," w:hAnsi="Verdana" w:cs="Arial"/>
          <w:sz w:val="21"/>
          <w:szCs w:val="21"/>
          <w:lang w:eastAsia="es-ES_tradnl"/>
        </w:rPr>
      </w:pPr>
    </w:p>
    <w:p w14:paraId="7359D939" w14:textId="77777777" w:rsidR="00F67D88" w:rsidRPr="00F67D88" w:rsidRDefault="00F67D88" w:rsidP="00F67D88">
      <w:pPr>
        <w:spacing w:after="0" w:line="240" w:lineRule="auto"/>
        <w:ind w:left="709" w:right="709" w:firstLine="709"/>
        <w:jc w:val="both"/>
        <w:rPr>
          <w:rFonts w:ascii="Verdana" w:eastAsia="Arial," w:hAnsi="Verdana" w:cs="Arial"/>
          <w:sz w:val="21"/>
          <w:szCs w:val="21"/>
          <w:lang w:eastAsia="es-ES_tradnl"/>
        </w:rPr>
      </w:pPr>
      <w:r w:rsidRPr="00F67D88">
        <w:rPr>
          <w:rFonts w:ascii="Verdana" w:eastAsia="Arial," w:hAnsi="Verdana" w:cs="Arial"/>
          <w:sz w:val="21"/>
          <w:szCs w:val="21"/>
          <w:lang w:eastAsia="es-ES_tradnl"/>
        </w:rPr>
        <w:t>(…)</w:t>
      </w:r>
    </w:p>
    <w:p w14:paraId="58EF4C5A" w14:textId="77777777" w:rsidR="00F67D88" w:rsidRPr="00F67D88" w:rsidRDefault="00F67D88" w:rsidP="00F67D88">
      <w:pPr>
        <w:spacing w:after="0" w:line="240" w:lineRule="auto"/>
        <w:ind w:left="709" w:right="709" w:firstLine="709"/>
        <w:jc w:val="both"/>
        <w:rPr>
          <w:rFonts w:ascii="Verdana" w:eastAsia="Arial," w:hAnsi="Verdana" w:cs="Arial"/>
          <w:sz w:val="21"/>
          <w:szCs w:val="21"/>
          <w:lang w:eastAsia="es-ES_tradnl"/>
        </w:rPr>
      </w:pPr>
    </w:p>
    <w:p w14:paraId="6F510138" w14:textId="77777777" w:rsidR="00F67D88" w:rsidRPr="00F67D88" w:rsidRDefault="00F67D88" w:rsidP="00F67D88">
      <w:pPr>
        <w:spacing w:after="120" w:line="240" w:lineRule="auto"/>
        <w:ind w:left="1134" w:right="709" w:hanging="425"/>
        <w:jc w:val="both"/>
        <w:rPr>
          <w:rFonts w:ascii="Verdana" w:eastAsia="Arial" w:hAnsi="Verdana" w:cs="Arial"/>
          <w:sz w:val="21"/>
          <w:szCs w:val="21"/>
          <w:lang w:val="es-MX" w:eastAsia="es-ES_tradnl"/>
        </w:rPr>
      </w:pPr>
      <w:r w:rsidRPr="00F67D88">
        <w:rPr>
          <w:rFonts w:ascii="Verdana" w:eastAsia="Arial" w:hAnsi="Verdana" w:cs="Arial"/>
          <w:sz w:val="21"/>
          <w:szCs w:val="21"/>
          <w:lang w:val="es-MX" w:eastAsia="es-ES_tradnl"/>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11A8AA19" w14:textId="77777777" w:rsidR="00F67D88" w:rsidRPr="00F67D88" w:rsidRDefault="00F67D88" w:rsidP="00F67D88">
      <w:pPr>
        <w:spacing w:after="120" w:line="240" w:lineRule="auto"/>
        <w:ind w:left="1134" w:right="709" w:hanging="425"/>
        <w:jc w:val="both"/>
        <w:rPr>
          <w:rFonts w:ascii="Verdana" w:eastAsia="Arial" w:hAnsi="Verdana" w:cs="Arial"/>
          <w:sz w:val="21"/>
          <w:szCs w:val="21"/>
          <w:lang w:val="es-MX" w:eastAsia="es-ES_tradnl"/>
        </w:rPr>
      </w:pPr>
      <w:r w:rsidRPr="00F67D88">
        <w:rPr>
          <w:rFonts w:ascii="Verdana" w:eastAsia="Arial" w:hAnsi="Verdana" w:cs="Arial"/>
          <w:sz w:val="21"/>
          <w:szCs w:val="21"/>
          <w:lang w:val="es-MX" w:eastAsia="es-ES_tradnl"/>
        </w:rPr>
        <w:t>III.  Se tendrán en cuenta los contratos de obras civiles en ejecución suscritos por el proponente o por sociedades, consorcios o uniones temporales en los cuales el proponente tenga participación</w:t>
      </w:r>
    </w:p>
    <w:p w14:paraId="0E92322A" w14:textId="77777777" w:rsidR="00F67D88" w:rsidRPr="00F67D88" w:rsidRDefault="00F67D88" w:rsidP="00F67D88">
      <w:pPr>
        <w:spacing w:after="120" w:line="240" w:lineRule="auto"/>
        <w:ind w:left="1134" w:right="709" w:hanging="425"/>
        <w:jc w:val="both"/>
        <w:rPr>
          <w:rFonts w:ascii="Verdana" w:eastAsia="Arial" w:hAnsi="Verdana" w:cs="Arial"/>
          <w:i/>
          <w:iCs/>
          <w:sz w:val="21"/>
          <w:szCs w:val="21"/>
          <w:lang w:val="es-MX" w:eastAsia="es-ES_tradnl"/>
        </w:rPr>
      </w:pPr>
      <w:r w:rsidRPr="00F67D88">
        <w:rPr>
          <w:rFonts w:ascii="Verdana" w:eastAsia="Arial" w:hAnsi="Verdana" w:cs="Arial"/>
          <w:sz w:val="21"/>
          <w:szCs w:val="21"/>
          <w:lang w:val="es-MX" w:eastAsia="es-ES_tradnl"/>
        </w:rPr>
        <w:t xml:space="preserve">IV.  </w:t>
      </w:r>
      <w:bookmarkStart w:id="13" w:name="_Hlk100140218"/>
      <w:r w:rsidRPr="00F67D88">
        <w:rPr>
          <w:rFonts w:ascii="Verdana" w:eastAsia="Arial" w:hAnsi="Verdana" w:cs="Arial"/>
          <w:sz w:val="21"/>
          <w:szCs w:val="21"/>
          <w:lang w:val="es-MX" w:eastAsia="es-ES_tradnl"/>
        </w:rPr>
        <w:t>Si</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un</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contrato</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se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encuentra</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suspendido,</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el</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cálculo</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del</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(SCE)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de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dicho</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contrato</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debe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efectuarse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asumiendo</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que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lo</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que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falta</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por</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ejecutar</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iniciara</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en</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la</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fecha de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presentación</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de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la</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oferta</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del</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Proceso de Contratación.</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Si</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el</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contrato</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está</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suspendido</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el</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Proponente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debe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informar</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el</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saldo</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pendiente</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por</w:t>
      </w:r>
      <w:r w:rsidRPr="00F67D88">
        <w:rPr>
          <w:rFonts w:ascii="Verdana" w:eastAsia="Arial," w:hAnsi="Verdana" w:cs="Arial"/>
          <w:sz w:val="21"/>
          <w:szCs w:val="21"/>
          <w:lang w:val="es-MX" w:eastAsia="es-ES_tradnl"/>
        </w:rPr>
        <w:t xml:space="preserve"> </w:t>
      </w:r>
      <w:r w:rsidRPr="00F67D88">
        <w:rPr>
          <w:rFonts w:ascii="Verdana" w:eastAsia="Arial" w:hAnsi="Verdana" w:cs="Arial"/>
          <w:sz w:val="21"/>
          <w:szCs w:val="21"/>
          <w:lang w:val="es-MX" w:eastAsia="es-ES_tradnl"/>
        </w:rPr>
        <w:t>ejecutar</w:t>
      </w:r>
      <w:bookmarkEnd w:id="13"/>
      <w:r w:rsidRPr="00F67D88">
        <w:rPr>
          <w:rFonts w:ascii="Verdana" w:eastAsia="Arial" w:hAnsi="Verdana" w:cs="Arial"/>
          <w:sz w:val="21"/>
          <w:szCs w:val="21"/>
          <w:lang w:val="es-MX" w:eastAsia="es-ES_tradnl"/>
        </w:rPr>
        <w:t>.</w:t>
      </w:r>
      <w:r w:rsidRPr="00F67D88">
        <w:rPr>
          <w:rFonts w:ascii="Verdana" w:eastAsia="Arial" w:hAnsi="Verdana" w:cs="Arial"/>
          <w:i/>
          <w:iCs/>
          <w:sz w:val="21"/>
          <w:szCs w:val="21"/>
          <w:lang w:val="es-MX" w:eastAsia="es-ES_tradnl"/>
        </w:rPr>
        <w:t xml:space="preserve"> </w:t>
      </w:r>
    </w:p>
    <w:p w14:paraId="199B27C3" w14:textId="77777777" w:rsidR="00F67D88" w:rsidRPr="00F67D88" w:rsidRDefault="00F67D88" w:rsidP="00F67D88">
      <w:pPr>
        <w:spacing w:after="0" w:line="240" w:lineRule="auto"/>
        <w:ind w:left="1134" w:right="709" w:hanging="425"/>
        <w:jc w:val="both"/>
        <w:rPr>
          <w:rFonts w:ascii="Verdana" w:eastAsia="Arial" w:hAnsi="Verdana" w:cs="Arial"/>
          <w:sz w:val="21"/>
          <w:szCs w:val="21"/>
          <w:lang w:val="es-MX" w:eastAsia="es-ES_tradnl"/>
        </w:rPr>
      </w:pPr>
      <w:r w:rsidRPr="00F67D88">
        <w:rPr>
          <w:rFonts w:ascii="Verdana" w:eastAsia="Arial" w:hAnsi="Verdana" w:cs="Arial"/>
          <w:sz w:val="21"/>
          <w:szCs w:val="21"/>
          <w:lang w:val="es-MX" w:eastAsia="es-ES_tradnl"/>
        </w:rPr>
        <w:lastRenderedPageBreak/>
        <w:t xml:space="preserve">V.  </w:t>
      </w:r>
      <w:bookmarkStart w:id="14" w:name="_Hlk100140164"/>
      <w:r w:rsidRPr="00F67D88">
        <w:rPr>
          <w:rFonts w:ascii="Verdana" w:eastAsia="Times New Roman" w:hAnsi="Verdana" w:cs="Arial"/>
          <w:sz w:val="21"/>
          <w:szCs w:val="21"/>
          <w:lang w:eastAsia="es-ES_tradnl"/>
        </w:rPr>
        <w:t>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cálculo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factor</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(SCE)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debe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hacerse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linealmente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calculando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una</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ejecución</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diaria</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equivalente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al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valor</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contrato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dividido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por</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plazo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contrato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expresado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en</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días.</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Este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resultado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se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multiplica</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por</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número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días</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pendientes</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para</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cumplir</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plazo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contrato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y</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si</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contrato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es</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ejecutado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por</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una estructura plural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por</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la</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participación</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Proponente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en</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la respectiva estructura</w:t>
      </w:r>
      <w:bookmarkEnd w:id="14"/>
      <w:r w:rsidRPr="00F67D88">
        <w:rPr>
          <w:rFonts w:ascii="Verdana" w:eastAsia="Times New Roman" w:hAnsi="Verdana" w:cs="Arial"/>
          <w:sz w:val="21"/>
          <w:szCs w:val="21"/>
          <w:lang w:eastAsia="es-ES_tradnl"/>
        </w:rPr>
        <w:t xml:space="preserve">. </w:t>
      </w:r>
    </w:p>
    <w:p w14:paraId="705127A6" w14:textId="77777777" w:rsidR="00F67D88" w:rsidRPr="00F67D88" w:rsidRDefault="00F67D88" w:rsidP="00F67D88">
      <w:pPr>
        <w:spacing w:after="0" w:line="276" w:lineRule="auto"/>
        <w:jc w:val="both"/>
        <w:rPr>
          <w:rFonts w:ascii="Verdana" w:eastAsia="Arial," w:hAnsi="Verdana" w:cs="Arial"/>
          <w:sz w:val="24"/>
          <w:szCs w:val="24"/>
          <w:lang w:val="es-MX" w:eastAsia="es-ES_tradnl"/>
        </w:rPr>
      </w:pPr>
      <w:r w:rsidRPr="00F67D88">
        <w:rPr>
          <w:rFonts w:ascii="Verdana" w:eastAsia="Arial," w:hAnsi="Verdana" w:cs="Arial"/>
          <w:sz w:val="24"/>
          <w:szCs w:val="24"/>
          <w:lang w:val="es-MX" w:eastAsia="es-ES_tradnl"/>
        </w:rPr>
        <w:tab/>
        <w:t xml:space="preserve">     (…)”</w:t>
      </w:r>
    </w:p>
    <w:p w14:paraId="746AF3E7" w14:textId="77777777" w:rsidR="00F67D88" w:rsidRPr="00F67D88" w:rsidRDefault="00F67D88" w:rsidP="00F67D88">
      <w:pPr>
        <w:spacing w:after="0" w:line="276" w:lineRule="auto"/>
        <w:jc w:val="both"/>
        <w:rPr>
          <w:rFonts w:ascii="Verdana" w:eastAsia="Arial," w:hAnsi="Verdana" w:cs="Arial"/>
          <w:sz w:val="24"/>
          <w:szCs w:val="24"/>
          <w:lang w:val="es-MX" w:eastAsia="es-ES_tradnl"/>
        </w:rPr>
      </w:pPr>
    </w:p>
    <w:p w14:paraId="461BD4A3" w14:textId="77777777" w:rsidR="00F67D88" w:rsidRPr="00F67D88" w:rsidRDefault="00F67D88" w:rsidP="00F67D88">
      <w:pPr>
        <w:numPr>
          <w:ilvl w:val="0"/>
          <w:numId w:val="21"/>
        </w:numPr>
        <w:spacing w:after="0" w:line="276" w:lineRule="auto"/>
        <w:jc w:val="both"/>
        <w:rPr>
          <w:rFonts w:ascii="Verdana" w:eastAsia="Times New Roman" w:hAnsi="Verdana" w:cs="Arial"/>
          <w:lang w:eastAsia="es-ES_tradnl"/>
        </w:rPr>
      </w:pPr>
      <w:r w:rsidRPr="00F67D88">
        <w:rPr>
          <w:rFonts w:ascii="Verdana" w:eastAsia="Times New Roman" w:hAnsi="Verdana" w:cs="Arial"/>
          <w:lang w:eastAsia="es-ES_tradnl"/>
        </w:rPr>
        <w:t xml:space="preserve">Como se aprecia, los apartados transcritos del documento base están en armonía con lo dispuesto en la 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el artículo 2.2.1.1.1.6.4 del Decreto 1082 de 2015, en virtud del cual, para efectos de acreditar la capacidad residual del proponente, se requiere el listado de contratos de obra civiles en ejecución suscritos con entidades estatales y con entidades privadas. </w:t>
      </w:r>
    </w:p>
    <w:p w14:paraId="34B94476" w14:textId="77777777" w:rsidR="00F67D88" w:rsidRPr="00F67D88" w:rsidRDefault="00F67D88" w:rsidP="00F67D88">
      <w:pPr>
        <w:spacing w:after="0" w:line="276" w:lineRule="auto"/>
        <w:ind w:left="720"/>
        <w:jc w:val="both"/>
        <w:rPr>
          <w:rFonts w:ascii="Verdana" w:eastAsia="Times New Roman" w:hAnsi="Verdana" w:cs="Arial"/>
          <w:lang w:eastAsia="es-ES_tradnl"/>
        </w:rPr>
      </w:pPr>
    </w:p>
    <w:p w14:paraId="42843523" w14:textId="77777777" w:rsidR="00F67D88" w:rsidRPr="00F67D88" w:rsidRDefault="00F67D88" w:rsidP="00F67D88">
      <w:pPr>
        <w:numPr>
          <w:ilvl w:val="0"/>
          <w:numId w:val="21"/>
        </w:numPr>
        <w:spacing w:after="0" w:line="276" w:lineRule="auto"/>
        <w:jc w:val="both"/>
        <w:rPr>
          <w:rFonts w:ascii="Verdana" w:eastAsia="Times New Roman" w:hAnsi="Verdana" w:cs="Arial"/>
          <w:lang w:eastAsia="es-ES_tradnl"/>
        </w:rPr>
      </w:pPr>
      <w:r w:rsidRPr="00F67D88">
        <w:rPr>
          <w:rFonts w:ascii="Verdana" w:eastAsia="Times New Roman" w:hAnsi="Verdana" w:cs="Arial"/>
          <w:lang w:eastAsia="es-ES_tradnl"/>
        </w:rPr>
        <w:t>El numeral 3.11 del documento base de obra de licitación para obra pública de infraestructura de transporte –versión 4, establece como requisito habilitante la capacidad residual. En este documento tipo, al menos tres causales de rechazo del numeral 1.15 se relacionan con la capacidad residual como requisito habilitante, esto es, los literales E, H y X. Estas causales disponen lo siguiente:</w:t>
      </w:r>
    </w:p>
    <w:p w14:paraId="64F76A7C" w14:textId="77777777" w:rsidR="00F67D88" w:rsidRPr="00F67D88" w:rsidRDefault="00F67D88" w:rsidP="00F67D88">
      <w:pPr>
        <w:spacing w:after="0" w:line="240" w:lineRule="auto"/>
        <w:ind w:left="709" w:right="709"/>
        <w:jc w:val="both"/>
        <w:rPr>
          <w:rFonts w:ascii="Verdana" w:eastAsia="Times New Roman" w:hAnsi="Verdana" w:cs="Arial"/>
          <w:b/>
          <w:bCs/>
          <w:sz w:val="21"/>
          <w:szCs w:val="21"/>
          <w:lang w:eastAsia="es-ES_tradnl"/>
        </w:rPr>
      </w:pPr>
    </w:p>
    <w:p w14:paraId="02BD1109" w14:textId="77777777" w:rsidR="00F67D88" w:rsidRPr="00F67D88" w:rsidRDefault="00F67D88" w:rsidP="00F67D88">
      <w:pPr>
        <w:spacing w:after="0" w:line="240" w:lineRule="auto"/>
        <w:ind w:left="709" w:right="709"/>
        <w:jc w:val="both"/>
        <w:rPr>
          <w:rFonts w:ascii="Verdana" w:eastAsia="Times New Roman" w:hAnsi="Verdana" w:cs="Arial"/>
          <w:b/>
          <w:bCs/>
          <w:sz w:val="21"/>
          <w:szCs w:val="21"/>
          <w:lang w:val="es-MX" w:eastAsia="es-ES_tradnl"/>
        </w:rPr>
      </w:pPr>
      <w:r w:rsidRPr="00F67D88">
        <w:rPr>
          <w:rFonts w:ascii="Verdana" w:eastAsia="Times New Roman" w:hAnsi="Verdana" w:cs="Arial"/>
          <w:b/>
          <w:bCs/>
          <w:sz w:val="21"/>
          <w:szCs w:val="21"/>
          <w:lang w:val="es-MX" w:eastAsia="es-ES_tradnl"/>
        </w:rPr>
        <w:t>“1.15.</w:t>
      </w:r>
      <w:r w:rsidRPr="00F67D88">
        <w:rPr>
          <w:rFonts w:ascii="Verdana" w:eastAsia="Times New Roman" w:hAnsi="Verdana" w:cs="Arial"/>
          <w:b/>
          <w:bCs/>
          <w:sz w:val="21"/>
          <w:szCs w:val="21"/>
          <w:lang w:val="es-MX" w:eastAsia="es-ES_tradnl"/>
        </w:rPr>
        <w:tab/>
        <w:t xml:space="preserve">CAUSALES DE RECHAZO </w:t>
      </w:r>
    </w:p>
    <w:p w14:paraId="2A432EA8" w14:textId="77777777" w:rsidR="00F67D88" w:rsidRPr="00F67D88" w:rsidRDefault="00F67D88" w:rsidP="00F67D88">
      <w:pPr>
        <w:spacing w:after="120" w:line="240" w:lineRule="auto"/>
        <w:ind w:left="709" w:right="709"/>
        <w:jc w:val="both"/>
        <w:rPr>
          <w:rFonts w:ascii="Verdana" w:eastAsia="Times New Roman" w:hAnsi="Verdana" w:cs="Arial"/>
          <w:sz w:val="21"/>
          <w:szCs w:val="21"/>
          <w:lang w:val="es-MX" w:eastAsia="es-ES_tradnl"/>
        </w:rPr>
      </w:pPr>
      <w:r w:rsidRPr="00F67D88">
        <w:rPr>
          <w:rFonts w:ascii="Verdana" w:eastAsia="Times New Roman" w:hAnsi="Verdana" w:cs="Arial"/>
          <w:sz w:val="21"/>
          <w:szCs w:val="21"/>
          <w:lang w:val="es-MX" w:eastAsia="es-ES_tradnl"/>
        </w:rPr>
        <w:t>Son causales de rechazo las siguientes [Las Entidades no podrán modificar o incluir causales de rechazo distintas a las señaladas en la presente sección]:</w:t>
      </w:r>
    </w:p>
    <w:p w14:paraId="6E61B933" w14:textId="77777777" w:rsidR="00F67D88" w:rsidRPr="00F67D88" w:rsidRDefault="00F67D88" w:rsidP="00F67D88">
      <w:pPr>
        <w:spacing w:after="120" w:line="240" w:lineRule="auto"/>
        <w:ind w:left="709" w:right="709"/>
        <w:jc w:val="both"/>
        <w:rPr>
          <w:rFonts w:ascii="Verdana" w:eastAsia="Times New Roman" w:hAnsi="Verdana" w:cs="Arial"/>
          <w:sz w:val="21"/>
          <w:szCs w:val="21"/>
          <w:lang w:val="es-MX" w:eastAsia="es-ES_tradnl"/>
        </w:rPr>
      </w:pPr>
      <w:r w:rsidRPr="00F67D88">
        <w:rPr>
          <w:rFonts w:ascii="Verdana" w:eastAsia="Times New Roman" w:hAnsi="Verdana" w:cs="Arial"/>
          <w:sz w:val="21"/>
          <w:szCs w:val="21"/>
          <w:lang w:val="es-MX" w:eastAsia="es-ES_tradnl"/>
        </w:rPr>
        <w:t>[…]</w:t>
      </w:r>
    </w:p>
    <w:p w14:paraId="360AC606" w14:textId="77777777" w:rsidR="00F67D88" w:rsidRPr="00F67D88" w:rsidRDefault="00F67D88" w:rsidP="00F67D88">
      <w:pPr>
        <w:spacing w:after="120" w:line="240" w:lineRule="auto"/>
        <w:ind w:left="709" w:right="709"/>
        <w:jc w:val="both"/>
        <w:rPr>
          <w:rFonts w:ascii="Verdana" w:eastAsia="Times New Roman" w:hAnsi="Verdana" w:cs="Arial"/>
          <w:sz w:val="21"/>
          <w:szCs w:val="21"/>
          <w:lang w:val="es-MX" w:eastAsia="es-ES_tradnl"/>
        </w:rPr>
      </w:pPr>
      <w:r w:rsidRPr="00F67D88">
        <w:rPr>
          <w:rFonts w:ascii="Verdana" w:eastAsia="Times New Roman" w:hAnsi="Verdana" w:cs="Arial"/>
          <w:sz w:val="21"/>
          <w:szCs w:val="21"/>
          <w:lang w:val="es-MX" w:eastAsia="es-ES_tradnl"/>
        </w:rPr>
        <w:t>E. Que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con un requisito habilitante en los términos establecidos en la sección 1.6 del documento base.</w:t>
      </w:r>
    </w:p>
    <w:p w14:paraId="565BAE9E" w14:textId="77777777" w:rsidR="00F67D88" w:rsidRPr="00F67D88" w:rsidRDefault="00F67D88" w:rsidP="00F67D88">
      <w:pPr>
        <w:spacing w:after="120" w:line="240" w:lineRule="auto"/>
        <w:ind w:left="709" w:right="709"/>
        <w:jc w:val="both"/>
        <w:rPr>
          <w:rFonts w:ascii="Verdana" w:eastAsia="Times New Roman" w:hAnsi="Verdana" w:cs="Arial"/>
          <w:sz w:val="21"/>
          <w:szCs w:val="21"/>
          <w:lang w:val="es-MX" w:eastAsia="es-ES_tradnl"/>
        </w:rPr>
      </w:pPr>
      <w:r w:rsidRPr="00F67D88">
        <w:rPr>
          <w:rFonts w:ascii="Verdana" w:eastAsia="Times New Roman" w:hAnsi="Verdana" w:cs="Arial"/>
          <w:sz w:val="21"/>
          <w:szCs w:val="21"/>
          <w:lang w:val="es-MX" w:eastAsia="es-ES_tradnl"/>
        </w:rPr>
        <w:lastRenderedPageBreak/>
        <w:t>[…]</w:t>
      </w:r>
    </w:p>
    <w:p w14:paraId="1646C675" w14:textId="77777777" w:rsidR="00F67D88" w:rsidRPr="00F67D88" w:rsidRDefault="00F67D88" w:rsidP="00F67D88">
      <w:pPr>
        <w:spacing w:before="120" w:after="120" w:line="240" w:lineRule="auto"/>
        <w:ind w:left="709" w:right="709"/>
        <w:jc w:val="both"/>
        <w:rPr>
          <w:rFonts w:ascii="Verdana" w:eastAsia="Times New Roman" w:hAnsi="Verdana" w:cs="Arial"/>
          <w:sz w:val="21"/>
          <w:szCs w:val="21"/>
          <w:lang w:val="es-MX" w:eastAsia="es-ES_tradnl"/>
        </w:rPr>
      </w:pPr>
      <w:r w:rsidRPr="00F67D88">
        <w:rPr>
          <w:rFonts w:ascii="Verdana" w:eastAsia="Times New Roman" w:hAnsi="Verdana" w:cs="Arial"/>
          <w:sz w:val="21"/>
          <w:szCs w:val="21"/>
          <w:lang w:val="es-MX" w:eastAsia="es-ES_tradnl"/>
        </w:rPr>
        <w:t>H. Que el Proponente aporte información inexacta sobre la cual pueda existir una posible falsedad en los términos de la sección 1.11 del documento base.</w:t>
      </w:r>
    </w:p>
    <w:p w14:paraId="34382EED" w14:textId="77777777" w:rsidR="00F67D88" w:rsidRPr="00F67D88" w:rsidRDefault="00F67D88" w:rsidP="00F67D88">
      <w:pPr>
        <w:spacing w:after="120" w:line="240" w:lineRule="auto"/>
        <w:ind w:left="709" w:right="709"/>
        <w:jc w:val="both"/>
        <w:rPr>
          <w:rFonts w:ascii="Verdana" w:eastAsia="Times New Roman" w:hAnsi="Verdana" w:cs="Arial"/>
          <w:sz w:val="21"/>
          <w:szCs w:val="21"/>
          <w:lang w:val="es-MX" w:eastAsia="es-ES_tradnl"/>
        </w:rPr>
      </w:pPr>
      <w:r w:rsidRPr="00F67D88">
        <w:rPr>
          <w:rFonts w:ascii="Verdana" w:eastAsia="Times New Roman" w:hAnsi="Verdana" w:cs="Arial"/>
          <w:sz w:val="21"/>
          <w:szCs w:val="21"/>
          <w:lang w:val="es-MX" w:eastAsia="es-ES_tradnl"/>
        </w:rPr>
        <w:t>[…]</w:t>
      </w:r>
    </w:p>
    <w:p w14:paraId="6A6D0B51" w14:textId="77777777" w:rsidR="00F67D88" w:rsidRPr="00F67D88" w:rsidRDefault="00F67D88" w:rsidP="00F67D88">
      <w:pPr>
        <w:spacing w:after="0" w:line="240" w:lineRule="auto"/>
        <w:ind w:left="709" w:right="709"/>
        <w:jc w:val="both"/>
        <w:rPr>
          <w:rFonts w:ascii="Verdana" w:eastAsia="Times New Roman" w:hAnsi="Verdana" w:cs="Arial"/>
          <w:sz w:val="21"/>
          <w:szCs w:val="21"/>
          <w:lang w:val="es-MX" w:eastAsia="es-ES_tradnl"/>
        </w:rPr>
      </w:pPr>
      <w:r w:rsidRPr="00F67D88">
        <w:rPr>
          <w:rFonts w:ascii="Verdana" w:eastAsia="Times New Roman" w:hAnsi="Verdana" w:cs="Arial"/>
          <w:sz w:val="21"/>
          <w:szCs w:val="21"/>
          <w:lang w:val="es-MX" w:eastAsia="es-ES_tradnl"/>
        </w:rPr>
        <w:t xml:space="preserve">X. </w:t>
      </w:r>
      <w:bookmarkStart w:id="15" w:name="_Hlk78878480"/>
      <w:r w:rsidRPr="00F67D88">
        <w:rPr>
          <w:rFonts w:ascii="Verdana" w:eastAsia="Times New Roman" w:hAnsi="Verdana" w:cs="Arial"/>
          <w:sz w:val="21"/>
          <w:szCs w:val="21"/>
          <w:lang w:val="es-MX" w:eastAsia="es-ES_tradnl"/>
        </w:rPr>
        <w:t>No informar todos los contratos que el Proponente tenga en ejecución antes del cierre, necesarios para acreditar su capacidad residual conforme a la sección 3.11”.</w:t>
      </w:r>
    </w:p>
    <w:bookmarkEnd w:id="15"/>
    <w:p w14:paraId="74581EBB" w14:textId="77777777" w:rsidR="00F67D88" w:rsidRPr="00F67D88" w:rsidRDefault="00F67D88" w:rsidP="00F67D88">
      <w:pPr>
        <w:spacing w:after="0" w:line="240" w:lineRule="auto"/>
        <w:ind w:left="709" w:right="709"/>
        <w:jc w:val="both"/>
        <w:rPr>
          <w:rFonts w:ascii="Verdana" w:eastAsia="Times New Roman" w:hAnsi="Verdana" w:cs="Arial"/>
          <w:sz w:val="24"/>
          <w:szCs w:val="20"/>
          <w:lang w:val="es-MX" w:eastAsia="es-ES_tradnl"/>
        </w:rPr>
      </w:pPr>
    </w:p>
    <w:p w14:paraId="739FD2E2" w14:textId="77777777" w:rsidR="00F67D88" w:rsidRPr="00F67D88" w:rsidRDefault="00F67D88" w:rsidP="00F67D88">
      <w:pPr>
        <w:numPr>
          <w:ilvl w:val="0"/>
          <w:numId w:val="22"/>
        </w:numPr>
        <w:spacing w:after="0" w:line="276" w:lineRule="auto"/>
        <w:ind w:left="723"/>
        <w:contextualSpacing/>
        <w:jc w:val="both"/>
        <w:rPr>
          <w:rFonts w:ascii="Verdana" w:eastAsia="Times New Roman" w:hAnsi="Verdana" w:cs="Arial"/>
          <w:lang w:val="es-MX" w:eastAsia="es-ES_tradnl"/>
        </w:rPr>
      </w:pPr>
      <w:bookmarkStart w:id="16" w:name="_Hlk91596805"/>
      <w:r w:rsidRPr="00F67D88">
        <w:rPr>
          <w:rFonts w:ascii="Verdana" w:eastAsia="Times New Roman" w:hAnsi="Verdana" w:cs="Arial"/>
          <w:lang w:val="es-MX" w:eastAsia="es-ES_tradnl"/>
        </w:rPr>
        <w:t>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bookmarkEnd w:id="16"/>
    <w:p w14:paraId="556A181E" w14:textId="77777777" w:rsidR="00F67D88" w:rsidRPr="00F67D88" w:rsidRDefault="00F67D88" w:rsidP="00F67D88">
      <w:pPr>
        <w:spacing w:before="120" w:after="120" w:line="276" w:lineRule="auto"/>
        <w:ind w:left="708" w:firstLine="1"/>
        <w:jc w:val="both"/>
        <w:rPr>
          <w:rFonts w:ascii="Verdana" w:eastAsia="Times New Roman" w:hAnsi="Verdana" w:cs="Arial"/>
          <w:i/>
          <w:iCs/>
          <w:lang w:val="es-MX" w:eastAsia="es-ES_tradnl"/>
        </w:rPr>
      </w:pPr>
      <w:r w:rsidRPr="00F67D88">
        <w:rPr>
          <w:rFonts w:ascii="Verdana" w:eastAsia="Times New Roman" w:hAnsi="Verdana" w:cs="Arial"/>
          <w:i/>
          <w:lang w:val="es-MX" w:eastAsia="es-ES_tradnl"/>
        </w:rPr>
        <w:t>i)</w:t>
      </w:r>
      <w:r w:rsidRPr="00F67D88">
        <w:rPr>
          <w:rFonts w:ascii="Verdana" w:eastAsia="Times New Roman" w:hAnsi="Verdana" w:cs="Arial"/>
          <w:lang w:val="es-MX" w:eastAsia="es-ES_tradnl"/>
        </w:rPr>
        <w:t xml:space="preserve"> La causal del </w:t>
      </w:r>
      <w:r w:rsidRPr="00F67D88">
        <w:rPr>
          <w:rFonts w:ascii="Verdana" w:eastAsia="Times New Roman" w:hAnsi="Verdana" w:cs="Arial"/>
          <w:i/>
          <w:iCs/>
          <w:lang w:val="es-MX" w:eastAsia="es-ES_tradnl"/>
        </w:rPr>
        <w:t>literal X</w:t>
      </w:r>
      <w:r w:rsidRPr="00F67D88">
        <w:rPr>
          <w:rFonts w:ascii="Verdana" w:eastAsia="Times New Roman" w:hAnsi="Verdana" w:cs="Arial"/>
          <w:lang w:val="es-MX" w:eastAsia="es-ES_tradnl"/>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X es objetiva, pues solo aplica ante la omisión del proponente de informar el número total de contratos en ejecución antes del cierre. </w:t>
      </w:r>
    </w:p>
    <w:p w14:paraId="622C2604" w14:textId="77777777" w:rsidR="00F67D88" w:rsidRPr="00F67D88" w:rsidRDefault="00F67D88" w:rsidP="00F67D88">
      <w:pPr>
        <w:spacing w:before="120" w:after="0" w:line="276" w:lineRule="auto"/>
        <w:ind w:left="708"/>
        <w:jc w:val="both"/>
        <w:rPr>
          <w:rFonts w:ascii="Verdana" w:eastAsia="Times New Roman" w:hAnsi="Verdana" w:cs="Arial"/>
          <w:lang w:val="es-MX" w:eastAsia="es-ES_tradnl"/>
        </w:rPr>
      </w:pPr>
      <w:bookmarkStart w:id="17" w:name="_Hlk91596835"/>
      <w:r w:rsidRPr="00F67D88">
        <w:rPr>
          <w:rFonts w:ascii="Verdana" w:eastAsia="Times New Roman" w:hAnsi="Verdana" w:cs="Arial"/>
          <w:i/>
          <w:lang w:val="es-MX" w:eastAsia="es-ES_tradnl"/>
        </w:rPr>
        <w:t xml:space="preserve">ii) </w:t>
      </w:r>
      <w:r w:rsidRPr="00F67D88">
        <w:rPr>
          <w:rFonts w:ascii="Verdana" w:eastAsia="Times New Roman" w:hAnsi="Verdana" w:cs="Arial"/>
          <w:lang w:val="es-MX" w:eastAsia="es-ES_tradnl"/>
        </w:rPr>
        <w:t xml:space="preserve">Lo anterior, sin perjuicio de que para el proponente tenga consecuencias omitir o errar en la información específica de cada contrato –esto es, la cuantía o el plazo, entre otros–, pues la entidad podrá </w:t>
      </w:r>
      <w:r w:rsidRPr="00F67D88">
        <w:rPr>
          <w:rFonts w:ascii="Verdana" w:eastAsia="Times New Roman" w:hAnsi="Verdana" w:cs="Arial"/>
          <w:lang w:val="es-MX" w:eastAsia="es-ES_tradnl"/>
        </w:rPr>
        <w:lastRenderedPageBreak/>
        <w:t xml:space="preserve">requerirlo para que aclare la información y, en caso de no responder, rechazar la propuesta por la causal que consagra el </w:t>
      </w:r>
      <w:r w:rsidRPr="00F67D88">
        <w:rPr>
          <w:rFonts w:ascii="Verdana" w:eastAsia="Times New Roman" w:hAnsi="Verdana" w:cs="Arial"/>
          <w:i/>
          <w:iCs/>
          <w:lang w:val="es-MX" w:eastAsia="es-ES_tradnl"/>
        </w:rPr>
        <w:t>literal E</w:t>
      </w:r>
      <w:r w:rsidRPr="00F67D88">
        <w:rPr>
          <w:rFonts w:ascii="Verdana" w:eastAsia="Times New Roman" w:hAnsi="Verdana" w:cs="Arial"/>
          <w:lang w:val="es-MX" w:eastAsia="es-ES_tradnl"/>
        </w:rPr>
        <w:t xml:space="preserve"> del numeral 1.15.</w:t>
      </w:r>
      <w:bookmarkEnd w:id="17"/>
      <w:r w:rsidRPr="00F67D88">
        <w:rPr>
          <w:rFonts w:ascii="Verdana" w:eastAsia="Times New Roman" w:hAnsi="Verdana" w:cs="Arial"/>
          <w:lang w:val="es-MX" w:eastAsia="es-ES_tradnl"/>
        </w:rPr>
        <w:t xml:space="preserve"> </w:t>
      </w:r>
    </w:p>
    <w:p w14:paraId="52BB4F9A" w14:textId="77777777" w:rsidR="00F67D88" w:rsidRPr="00F67D88" w:rsidRDefault="00F67D88" w:rsidP="00F67D88">
      <w:pPr>
        <w:spacing w:before="120" w:after="0" w:line="276" w:lineRule="auto"/>
        <w:ind w:left="708"/>
        <w:jc w:val="both"/>
        <w:rPr>
          <w:rFonts w:ascii="Verdana" w:eastAsia="Times New Roman" w:hAnsi="Verdana" w:cs="Arial"/>
          <w:lang w:val="es-MX" w:eastAsia="es-ES_tradnl"/>
        </w:rPr>
      </w:pPr>
      <w:r w:rsidRPr="00F67D88">
        <w:rPr>
          <w:rFonts w:ascii="Verdana" w:eastAsia="Times New Roman" w:hAnsi="Verdana" w:cs="Arial"/>
          <w:i/>
          <w:lang w:val="es-MX" w:eastAsia="es-ES_tradnl"/>
        </w:rPr>
        <w:t xml:space="preserve">iii) </w:t>
      </w:r>
      <w:r w:rsidRPr="00F67D88">
        <w:rPr>
          <w:rFonts w:ascii="Verdana" w:eastAsia="Times New Roman" w:hAnsi="Verdana" w:cs="Arial"/>
          <w:lang w:val="es-MX" w:eastAsia="es-ES_tradnl"/>
        </w:rPr>
        <w:t xml:space="preserve">Lo dicho en los numerales precedentes tampoco descarta la posibilidad de que la entidad rechace la oferta si encuentra configurada la causal establecida en </w:t>
      </w:r>
      <w:bookmarkStart w:id="18" w:name="_Hlk81383775"/>
      <w:r w:rsidRPr="00F67D88">
        <w:rPr>
          <w:rFonts w:ascii="Verdana" w:eastAsia="Times New Roman" w:hAnsi="Verdana" w:cs="Arial"/>
          <w:lang w:val="es-MX" w:eastAsia="es-ES_tradnl"/>
        </w:rPr>
        <w:t xml:space="preserve">el </w:t>
      </w:r>
      <w:r w:rsidRPr="00F67D88">
        <w:rPr>
          <w:rFonts w:ascii="Verdana" w:eastAsia="Times New Roman" w:hAnsi="Verdana" w:cs="Arial"/>
          <w:i/>
          <w:iCs/>
          <w:lang w:val="es-MX" w:eastAsia="es-ES_tradnl"/>
        </w:rPr>
        <w:t>literal H</w:t>
      </w:r>
      <w:r w:rsidRPr="00F67D88">
        <w:rPr>
          <w:rFonts w:ascii="Verdana" w:eastAsia="Times New Roman" w:hAnsi="Verdana" w:cs="Arial"/>
          <w:lang w:val="es-MX" w:eastAsia="es-ES_tradnl"/>
        </w:rPr>
        <w:t xml:space="preserve"> del numeral 1.15, que aplica cuando el proponente aporta información inexacta, de acuerdo con lo señalado en el numeral 1.11. del documento base</w:t>
      </w:r>
      <w:bookmarkEnd w:id="18"/>
      <w:r w:rsidRPr="00F67D88">
        <w:rPr>
          <w:rFonts w:ascii="Verdana" w:eastAsia="Times New Roman" w:hAnsi="Verdana" w:cs="Arial"/>
          <w:lang w:val="es-MX" w:eastAsia="es-ES_tradnl"/>
        </w:rPr>
        <w:t xml:space="preserve">: </w:t>
      </w:r>
    </w:p>
    <w:p w14:paraId="76E9B337" w14:textId="77777777" w:rsidR="00F67D88" w:rsidRPr="00F67D88" w:rsidRDefault="00F67D88" w:rsidP="00F67D88">
      <w:pPr>
        <w:spacing w:after="0" w:line="276" w:lineRule="auto"/>
        <w:jc w:val="both"/>
        <w:rPr>
          <w:rFonts w:ascii="Verdana" w:eastAsia="Times New Roman" w:hAnsi="Verdana" w:cs="Arial"/>
          <w:sz w:val="24"/>
          <w:szCs w:val="24"/>
          <w:lang w:val="es-MX" w:eastAsia="es-ES_tradnl"/>
        </w:rPr>
      </w:pPr>
    </w:p>
    <w:p w14:paraId="7E8D30E0" w14:textId="77777777" w:rsidR="00F67D88" w:rsidRPr="00F67D88" w:rsidRDefault="00F67D88" w:rsidP="00F67D88">
      <w:pPr>
        <w:spacing w:after="120" w:line="240" w:lineRule="auto"/>
        <w:ind w:left="709" w:right="709"/>
        <w:jc w:val="both"/>
        <w:rPr>
          <w:rFonts w:ascii="Verdana" w:eastAsia="Times New Roman" w:hAnsi="Verdana" w:cs="Arial"/>
          <w:b/>
          <w:bCs/>
          <w:sz w:val="21"/>
          <w:szCs w:val="21"/>
          <w:lang w:eastAsia="es-ES_tradnl"/>
        </w:rPr>
      </w:pPr>
      <w:r w:rsidRPr="00F67D88">
        <w:rPr>
          <w:rFonts w:ascii="Verdana" w:eastAsia="Times New Roman" w:hAnsi="Verdana" w:cs="Arial"/>
          <w:b/>
          <w:bCs/>
          <w:sz w:val="21"/>
          <w:szCs w:val="21"/>
          <w:lang w:eastAsia="es-ES_tradnl"/>
        </w:rPr>
        <w:t xml:space="preserve">1.11 INFORMACIÓN INEXACTA </w:t>
      </w:r>
    </w:p>
    <w:p w14:paraId="0998F0CC" w14:textId="77777777" w:rsidR="00F67D88" w:rsidRPr="00F67D88" w:rsidRDefault="00F67D88" w:rsidP="00F67D88">
      <w:pPr>
        <w:spacing w:after="120" w:line="240" w:lineRule="auto"/>
        <w:ind w:left="709" w:right="709"/>
        <w:jc w:val="both"/>
        <w:rPr>
          <w:rFonts w:ascii="Verdana" w:eastAsia="Times New Roman" w:hAnsi="Verdana" w:cs="Arial"/>
          <w:sz w:val="21"/>
          <w:szCs w:val="21"/>
          <w:lang w:eastAsia="es-ES_tradnl"/>
        </w:rPr>
      </w:pPr>
      <w:r w:rsidRPr="00F67D88">
        <w:rPr>
          <w:rFonts w:ascii="Verdana" w:eastAsia="Times New Roman" w:hAnsi="Verdana" w:cs="Arial"/>
          <w:sz w:val="21"/>
          <w:szCs w:val="21"/>
          <w:lang w:eastAsia="es-ES_tradnl"/>
        </w:rPr>
        <w:t xml:space="preserve">La Entidad </w:t>
      </w:r>
      <w:bookmarkStart w:id="19" w:name="_Hlk88664526"/>
      <w:r w:rsidRPr="00F67D88">
        <w:rPr>
          <w:rFonts w:ascii="Verdana" w:eastAsia="Times New Roman" w:hAnsi="Verdana" w:cs="Arial"/>
          <w:sz w:val="21"/>
          <w:szCs w:val="21"/>
          <w:lang w:eastAsia="es-ES_tradnl"/>
        </w:rPr>
        <w:t>se reserva el derecho de verificar integralmente la información aportada por el Proponente</w:t>
      </w:r>
      <w:bookmarkEnd w:id="19"/>
      <w:r w:rsidRPr="00F67D88">
        <w:rPr>
          <w:rFonts w:ascii="Verdana" w:eastAsia="Times New Roman" w:hAnsi="Verdana" w:cs="Arial"/>
          <w:sz w:val="21"/>
          <w:szCs w:val="21"/>
          <w:lang w:eastAsia="es-ES_tradnl"/>
        </w:rPr>
        <w:t xml:space="preserve">. Para esto, puede acudir a las autoridades, personas, empresas o entidades respectivas. </w:t>
      </w:r>
    </w:p>
    <w:p w14:paraId="4B5A797B" w14:textId="77777777" w:rsidR="00F67D88" w:rsidRPr="00F67D88" w:rsidRDefault="00F67D88" w:rsidP="00F67D88">
      <w:pPr>
        <w:spacing w:after="120" w:line="240" w:lineRule="auto"/>
        <w:ind w:left="709" w:right="709"/>
        <w:jc w:val="both"/>
        <w:rPr>
          <w:rFonts w:ascii="Verdana" w:eastAsia="Times New Roman" w:hAnsi="Verdana" w:cs="Arial"/>
          <w:sz w:val="21"/>
          <w:szCs w:val="21"/>
          <w:lang w:eastAsia="es-ES_tradnl"/>
        </w:rPr>
      </w:pPr>
      <w:r w:rsidRPr="00F67D88">
        <w:rPr>
          <w:rFonts w:ascii="Verdana" w:eastAsia="Times New Roman" w:hAnsi="Verdana" w:cs="Arial"/>
          <w:sz w:val="21"/>
          <w:szCs w:val="21"/>
          <w:lang w:eastAsia="es-ES_tradnl"/>
        </w:rPr>
        <w:t xml:space="preserve">Cuando exista inconsistencia entre la información suministrada por el Proponente y la efectivamente verificada por la Entidad, la información que pretende demostrar el Proponente se tendrá por no acreditada. </w:t>
      </w:r>
    </w:p>
    <w:p w14:paraId="68F34670" w14:textId="77777777" w:rsidR="00F67D88" w:rsidRPr="00F67D88" w:rsidRDefault="00F67D88" w:rsidP="00F67D88">
      <w:pPr>
        <w:spacing w:after="0" w:line="240" w:lineRule="auto"/>
        <w:ind w:left="709" w:right="709"/>
        <w:jc w:val="both"/>
        <w:rPr>
          <w:rFonts w:ascii="Verdana" w:eastAsia="Times New Roman" w:hAnsi="Verdana" w:cs="Arial"/>
          <w:sz w:val="21"/>
          <w:szCs w:val="21"/>
          <w:lang w:eastAsia="es-ES_tradnl"/>
        </w:rPr>
      </w:pPr>
      <w:r w:rsidRPr="00F67D88">
        <w:rPr>
          <w:rFonts w:ascii="Verdana" w:eastAsia="Times New Roman" w:hAnsi="Verdana" w:cs="Arial"/>
          <w:sz w:val="21"/>
          <w:szCs w:val="21"/>
          <w:lang w:eastAsia="es-ES_tradnl"/>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57E21FF6" w14:textId="77777777" w:rsidR="00F67D88" w:rsidRPr="00F67D88" w:rsidRDefault="00F67D88" w:rsidP="00F67D88">
      <w:pPr>
        <w:spacing w:after="0" w:line="276" w:lineRule="auto"/>
        <w:jc w:val="both"/>
        <w:rPr>
          <w:rFonts w:ascii="Verdana" w:eastAsia="Times New Roman" w:hAnsi="Verdana" w:cs="Arial"/>
          <w:sz w:val="24"/>
          <w:szCs w:val="24"/>
          <w:lang w:eastAsia="es-ES_tradnl"/>
        </w:rPr>
      </w:pPr>
    </w:p>
    <w:p w14:paraId="18F10214" w14:textId="77777777" w:rsidR="00F67D88" w:rsidRPr="00F67D88" w:rsidRDefault="00F67D88" w:rsidP="00F67D88">
      <w:pPr>
        <w:numPr>
          <w:ilvl w:val="0"/>
          <w:numId w:val="22"/>
        </w:numPr>
        <w:spacing w:after="120" w:line="276" w:lineRule="auto"/>
        <w:ind w:left="723"/>
        <w:contextualSpacing/>
        <w:jc w:val="both"/>
        <w:rPr>
          <w:rFonts w:ascii="Verdana" w:eastAsia="Times New Roman" w:hAnsi="Verdana" w:cs="Arial"/>
          <w:lang w:eastAsia="es-ES_tradnl"/>
        </w:rPr>
      </w:pPr>
      <w:r w:rsidRPr="00F67D88">
        <w:rPr>
          <w:rFonts w:ascii="Verdana" w:eastAsia="Times New Roman" w:hAnsi="Verdana" w:cs="Arial"/>
          <w:lang w:eastAsia="es-ES_tradnl"/>
        </w:rPr>
        <w:t>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F67D88">
        <w:rPr>
          <w:rFonts w:ascii="Verdana" w:eastAsia="Aptos" w:hAnsi="Verdana" w:cs="Times New Roman"/>
          <w:kern w:val="2"/>
          <w:sz w:val="24"/>
          <w:szCs w:val="24"/>
          <w:vertAlign w:val="superscript"/>
          <w:lang w:eastAsia="es-ES_tradnl"/>
          <w14:ligatures w14:val="standardContextual"/>
        </w:rPr>
        <w:footnoteReference w:id="5"/>
      </w:r>
      <w:r w:rsidRPr="00F67D88">
        <w:rPr>
          <w:rFonts w:ascii="Verdana" w:eastAsia="Times New Roman" w:hAnsi="Verdana" w:cs="Arial"/>
          <w:lang w:eastAsia="es-ES_tradnl"/>
        </w:rPr>
        <w:t xml:space="preserve">. Conforme a ello, la prerrogativa de verificación es una herramienta para que la Administración adquiera certeza frente al </w:t>
      </w:r>
      <w:r w:rsidRPr="00F67D88">
        <w:rPr>
          <w:rFonts w:ascii="Verdana" w:eastAsia="Times New Roman" w:hAnsi="Verdana" w:cs="Arial"/>
          <w:lang w:eastAsia="es-ES_tradnl"/>
        </w:rPr>
        <w:lastRenderedPageBreak/>
        <w:t>cumplimiento de los requisitos del procedimiento de selección y del comportamiento leal que se exige de los proponentes.</w:t>
      </w:r>
    </w:p>
    <w:p w14:paraId="70E96758" w14:textId="77777777" w:rsidR="00F67D88" w:rsidRPr="00F67D88" w:rsidRDefault="00F67D88" w:rsidP="00F67D88">
      <w:pPr>
        <w:spacing w:after="120" w:line="276" w:lineRule="auto"/>
        <w:ind w:left="723"/>
        <w:contextualSpacing/>
        <w:jc w:val="both"/>
        <w:rPr>
          <w:rFonts w:ascii="Verdana" w:eastAsia="Times New Roman" w:hAnsi="Verdana" w:cs="Arial"/>
          <w:lang w:eastAsia="es-ES_tradnl"/>
        </w:rPr>
      </w:pPr>
    </w:p>
    <w:p w14:paraId="452E9002" w14:textId="77777777" w:rsidR="00F67D88" w:rsidRPr="00F67D88" w:rsidRDefault="00F67D88" w:rsidP="00F67D88">
      <w:pPr>
        <w:numPr>
          <w:ilvl w:val="0"/>
          <w:numId w:val="22"/>
        </w:numPr>
        <w:spacing w:after="0" w:line="276" w:lineRule="auto"/>
        <w:ind w:left="720" w:hanging="357"/>
        <w:jc w:val="both"/>
        <w:rPr>
          <w:rFonts w:ascii="Verdana" w:eastAsia="MS Mincho" w:hAnsi="Verdana" w:cs="Arial"/>
          <w:lang w:val="es-MX" w:eastAsia="es-CO"/>
        </w:rPr>
      </w:pPr>
      <w:r w:rsidRPr="00F67D88">
        <w:rPr>
          <w:rFonts w:ascii="Verdana" w:eastAsia="MS Mincho" w:hAnsi="Verdana" w:cs="Arial"/>
          <w:lang w:eastAsia="es-CO"/>
        </w:rPr>
        <w:t>Según</w:t>
      </w:r>
      <w:r w:rsidRPr="00F67D88">
        <w:rPr>
          <w:rFonts w:ascii="Verdana" w:eastAsia="MS Mincho" w:hAnsi="Verdana" w:cs="Arial"/>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26576C14" w14:textId="77777777" w:rsidR="00F67D88" w:rsidRPr="00F67D88" w:rsidRDefault="00F67D88" w:rsidP="00F67D88">
      <w:pPr>
        <w:spacing w:after="0" w:line="276" w:lineRule="auto"/>
        <w:jc w:val="both"/>
        <w:rPr>
          <w:rFonts w:ascii="Verdana" w:eastAsia="MS Mincho" w:hAnsi="Verdana" w:cs="Arial"/>
          <w:lang w:val="es-MX" w:eastAsia="es-CO"/>
        </w:rPr>
      </w:pPr>
    </w:p>
    <w:p w14:paraId="02D9FC75" w14:textId="77777777" w:rsidR="00F67D88" w:rsidRPr="00F67D88" w:rsidRDefault="00F67D88" w:rsidP="00F67D88">
      <w:pPr>
        <w:numPr>
          <w:ilvl w:val="0"/>
          <w:numId w:val="22"/>
        </w:numPr>
        <w:spacing w:after="0" w:line="276" w:lineRule="auto"/>
        <w:ind w:left="720" w:hanging="357"/>
        <w:jc w:val="both"/>
        <w:rPr>
          <w:rFonts w:ascii="Verdana" w:eastAsia="Times New Roman" w:hAnsi="Verdana" w:cs="Arial"/>
          <w:lang w:eastAsia="es-ES_tradnl"/>
        </w:rPr>
      </w:pPr>
      <w:r w:rsidRPr="00F67D88">
        <w:rPr>
          <w:rFonts w:ascii="Verdana" w:eastAsia="Times New Roman" w:hAnsi="Verdana" w:cs="Arial"/>
          <w:lang w:val="es-MX" w:eastAsia="es-ES_tradnl"/>
        </w:rPr>
        <w:t xml:space="preserve">La </w:t>
      </w:r>
      <w:r w:rsidRPr="00F67D88">
        <w:rPr>
          <w:rFonts w:ascii="Verdana" w:eastAsia="Times New Roman" w:hAnsi="Verdana" w:cs="Arial"/>
          <w:lang w:eastAsia="es-ES_tradnl"/>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7FB6C906" w14:textId="77777777" w:rsidR="00F67D88" w:rsidRPr="00F67D88" w:rsidRDefault="00F67D88" w:rsidP="00F67D88">
      <w:pPr>
        <w:spacing w:after="0" w:line="276" w:lineRule="auto"/>
        <w:jc w:val="both"/>
        <w:rPr>
          <w:rFonts w:ascii="Verdana" w:eastAsia="Times New Roman" w:hAnsi="Verdana" w:cs="Arial"/>
          <w:lang w:eastAsia="es-ES_tradnl"/>
        </w:rPr>
      </w:pPr>
    </w:p>
    <w:p w14:paraId="224AF80D" w14:textId="77777777" w:rsidR="00F67D88" w:rsidRPr="00F67D88" w:rsidRDefault="00F67D88" w:rsidP="00F67D88">
      <w:pPr>
        <w:numPr>
          <w:ilvl w:val="0"/>
          <w:numId w:val="22"/>
        </w:numPr>
        <w:spacing w:after="0" w:line="276" w:lineRule="auto"/>
        <w:ind w:left="723"/>
        <w:contextualSpacing/>
        <w:jc w:val="both"/>
        <w:rPr>
          <w:rFonts w:ascii="Verdana" w:eastAsia="Times New Roman" w:hAnsi="Verdana" w:cs="Arial"/>
          <w:lang w:eastAsia="es-ES_tradnl"/>
        </w:rPr>
      </w:pPr>
      <w:r w:rsidRPr="00F67D88">
        <w:rPr>
          <w:rFonts w:ascii="Verdana" w:eastAsia="Times New Roman" w:hAnsi="Verdana" w:cs="Arial"/>
          <w:lang w:eastAsia="es-ES_tradnl"/>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w:t>
      </w:r>
      <w:r w:rsidRPr="00F67D88">
        <w:rPr>
          <w:rFonts w:ascii="Verdana" w:eastAsia="Times New Roman" w:hAnsi="Verdana" w:cs="Arial"/>
          <w:lang w:eastAsia="es-ES_tradnl"/>
        </w:rPr>
        <w:lastRenderedPageBreak/>
        <w:t>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w:t>
      </w:r>
    </w:p>
    <w:p w14:paraId="311AC17F" w14:textId="77777777" w:rsidR="00F67D88" w:rsidRPr="00F67D88" w:rsidRDefault="00F67D88" w:rsidP="00F67D88">
      <w:pPr>
        <w:spacing w:after="0" w:line="276" w:lineRule="auto"/>
        <w:jc w:val="both"/>
        <w:rPr>
          <w:rFonts w:ascii="Verdana" w:eastAsia="Times New Roman" w:hAnsi="Verdana" w:cs="Arial"/>
          <w:lang w:eastAsia="es-ES_tradnl"/>
        </w:rPr>
      </w:pPr>
      <w:r w:rsidRPr="00F67D88">
        <w:rPr>
          <w:rFonts w:ascii="Verdana" w:eastAsia="Times New Roman" w:hAnsi="Verdana" w:cs="Arial"/>
          <w:lang w:eastAsia="es-ES_tradnl"/>
        </w:rPr>
        <w:t xml:space="preserve"> </w:t>
      </w:r>
    </w:p>
    <w:p w14:paraId="6A7DF682" w14:textId="77777777" w:rsidR="00F67D88" w:rsidRPr="00F67D88" w:rsidRDefault="00F67D88" w:rsidP="00F67D88">
      <w:pPr>
        <w:numPr>
          <w:ilvl w:val="0"/>
          <w:numId w:val="22"/>
        </w:numPr>
        <w:spacing w:after="0" w:line="276" w:lineRule="auto"/>
        <w:ind w:left="723"/>
        <w:contextualSpacing/>
        <w:jc w:val="both"/>
        <w:rPr>
          <w:rFonts w:ascii="Verdana" w:eastAsia="Times New Roman" w:hAnsi="Verdana" w:cs="Arial"/>
          <w:lang w:eastAsia="es-ES_tradnl"/>
        </w:rPr>
      </w:pPr>
      <w:r w:rsidRPr="00F67D88">
        <w:rPr>
          <w:rFonts w:ascii="Verdana" w:eastAsia="Times New Roman" w:hAnsi="Verdana" w:cs="Arial"/>
          <w:lang w:eastAsia="es-ES_tradnl"/>
        </w:rPr>
        <w:t xml:space="preserve">Ahora bien, aunque las causales de rechazo del literal E, H y X del numeral 1.15 de los documentos tipo se relacionan con la capacidad residual como requisito habilitante, estas se aplican en supuestos diferentes, de acuerdo con lo explicado </w:t>
      </w:r>
      <w:r w:rsidRPr="00F67D88">
        <w:rPr>
          <w:rFonts w:ascii="Verdana" w:eastAsia="Times New Roman" w:hAnsi="Verdana" w:cs="Arial"/>
          <w:i/>
          <w:lang w:eastAsia="es-ES_tradnl"/>
        </w:rPr>
        <w:t>ut supra</w:t>
      </w:r>
      <w:r w:rsidRPr="00F67D88">
        <w:rPr>
          <w:rFonts w:ascii="Verdana" w:eastAsia="Times New Roman" w:hAnsi="Verdana" w:cs="Arial"/>
          <w:lang w:eastAsia="es-ES_tradnl"/>
        </w:rPr>
        <w:t>.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X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7D66BD1A" w14:textId="77777777" w:rsidR="00F67D88" w:rsidRPr="00F67D88" w:rsidRDefault="00F67D88" w:rsidP="00F67D88">
      <w:pPr>
        <w:numPr>
          <w:ilvl w:val="0"/>
          <w:numId w:val="22"/>
        </w:numPr>
        <w:spacing w:after="0" w:line="276" w:lineRule="auto"/>
        <w:ind w:left="363"/>
        <w:jc w:val="both"/>
        <w:rPr>
          <w:rFonts w:ascii="Verdana" w:eastAsia="Times New Roman" w:hAnsi="Verdana" w:cs="Arial"/>
          <w:lang w:eastAsia="es-ES_tradnl"/>
        </w:rPr>
      </w:pPr>
      <w:r w:rsidRPr="00F67D88">
        <w:rPr>
          <w:rFonts w:ascii="Verdana" w:eastAsia="Times New Roman" w:hAnsi="Verdana" w:cs="Arial"/>
          <w:lang w:eastAsia="es-ES_tradnl"/>
        </w:rPr>
        <w:t xml:space="preserve">Finalmente, esta distinción también se proyecta sobre las reglas de </w:t>
      </w:r>
      <w:proofErr w:type="spellStart"/>
      <w:r w:rsidRPr="00F67D88">
        <w:rPr>
          <w:rFonts w:ascii="Verdana" w:eastAsia="Times New Roman" w:hAnsi="Verdana" w:cs="Arial"/>
          <w:lang w:eastAsia="es-ES_tradnl"/>
        </w:rPr>
        <w:t>subsanabilidad</w:t>
      </w:r>
      <w:proofErr w:type="spellEnd"/>
      <w:r w:rsidRPr="00F67D88">
        <w:rPr>
          <w:rFonts w:ascii="Verdana" w:eastAsia="Times New Roman" w:hAnsi="Verdana" w:cs="Arial"/>
          <w:lang w:eastAsia="es-ES_tradnl"/>
        </w:rPr>
        <w:t xml:space="preserve">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X,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69719384" w14:textId="77777777" w:rsidR="00F67D88" w:rsidRPr="00F67D88" w:rsidRDefault="00F67D88" w:rsidP="00F67D88">
      <w:pPr>
        <w:spacing w:after="0" w:line="276" w:lineRule="auto"/>
        <w:ind w:left="363"/>
        <w:jc w:val="both"/>
        <w:rPr>
          <w:rFonts w:ascii="Verdana" w:eastAsia="Times New Roman" w:hAnsi="Verdana" w:cs="Arial"/>
          <w:lang w:eastAsia="es-ES_tradnl"/>
        </w:rPr>
      </w:pPr>
    </w:p>
    <w:p w14:paraId="45351F92" w14:textId="77777777" w:rsidR="00F67D88" w:rsidRPr="00F67D88" w:rsidRDefault="00F67D88" w:rsidP="00F67D88">
      <w:pPr>
        <w:numPr>
          <w:ilvl w:val="0"/>
          <w:numId w:val="22"/>
        </w:numPr>
        <w:spacing w:after="0" w:line="276" w:lineRule="auto"/>
        <w:ind w:left="363"/>
        <w:jc w:val="both"/>
        <w:rPr>
          <w:rFonts w:ascii="Verdana" w:eastAsia="Times New Roman" w:hAnsi="Verdana" w:cs="Arial"/>
          <w:lang w:eastAsia="es-ES_tradnl"/>
        </w:rPr>
      </w:pPr>
      <w:r w:rsidRPr="00F67D88">
        <w:rPr>
          <w:rFonts w:ascii="Verdana" w:eastAsia="Times New Roman" w:hAnsi="Verdana" w:cs="Arial"/>
          <w:noProof/>
          <w:lang w:eastAsia="es-ES_tradnl"/>
        </w:rPr>
        <w:t>Ahora bien, es importate precisar que lo</w:t>
      </w:r>
      <w:r w:rsidRPr="00F67D88">
        <w:rPr>
          <w:rFonts w:ascii="Verdana" w:eastAsia="Times New Roman" w:hAnsi="Verdana" w:cs="Arial"/>
          <w:lang w:eastAsia="es-ES_tradnl"/>
        </w:rPr>
        <w:t xml:space="preserve"> expresado en el párrafo precedente no contradice lo dispuesto en el artículo 5, parágrafo 1, de la Ley 1150 de </w:t>
      </w:r>
      <w:r w:rsidRPr="00F67D88">
        <w:rPr>
          <w:rFonts w:ascii="Verdana" w:eastAsia="Times New Roman" w:hAnsi="Verdana" w:cs="Arial"/>
          <w:lang w:eastAsia="es-ES_tradnl"/>
        </w:rPr>
        <w:lastRenderedPageBreak/>
        <w:t>2007, adicionado por el artículo 5 de la Ley 1882 de 2018, norma que dispone que “[…]</w:t>
      </w:r>
      <w:r w:rsidRPr="00F67D88">
        <w:rPr>
          <w:rFonts w:ascii="Verdana" w:eastAsia="Times New Roman" w:hAnsi="Verdana" w:cs="Times New Roman"/>
          <w:lang w:eastAsia="es-ES_tradnl"/>
        </w:rPr>
        <w:t xml:space="preserve"> </w:t>
      </w:r>
      <w:r w:rsidRPr="00F67D88">
        <w:rPr>
          <w:rFonts w:ascii="Verdana" w:eastAsia="Times New Roman" w:hAnsi="Verdana" w:cs="Arial"/>
          <w:lang w:eastAsia="es-ES_tradnl"/>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 </w:t>
      </w:r>
    </w:p>
    <w:p w14:paraId="2208FE1B" w14:textId="77777777" w:rsidR="00F67D88" w:rsidRPr="00F67D88" w:rsidRDefault="00F67D88" w:rsidP="00F67D88">
      <w:pPr>
        <w:spacing w:after="0" w:line="276" w:lineRule="auto"/>
        <w:jc w:val="both"/>
        <w:rPr>
          <w:rFonts w:ascii="Verdana" w:eastAsia="Times New Roman" w:hAnsi="Verdana" w:cs="Arial"/>
          <w:lang w:eastAsia="es-ES_tradnl"/>
        </w:rPr>
      </w:pPr>
    </w:p>
    <w:p w14:paraId="4E091206" w14:textId="77777777" w:rsidR="00F67D88" w:rsidRPr="00F67D88" w:rsidRDefault="00F67D88" w:rsidP="00F67D88">
      <w:pPr>
        <w:numPr>
          <w:ilvl w:val="0"/>
          <w:numId w:val="22"/>
        </w:numPr>
        <w:spacing w:after="0" w:line="276" w:lineRule="auto"/>
        <w:ind w:left="363"/>
        <w:jc w:val="both"/>
        <w:rPr>
          <w:rFonts w:ascii="Verdana" w:eastAsia="Times New Roman" w:hAnsi="Verdana" w:cs="Arial"/>
          <w:noProof/>
          <w:lang w:eastAsia="es-ES_tradnl"/>
        </w:rPr>
      </w:pPr>
      <w:r w:rsidRPr="00F67D88">
        <w:rPr>
          <w:rFonts w:ascii="Verdana" w:eastAsia="Times New Roman" w:hAnsi="Verdana" w:cs="Arial"/>
          <w:noProof/>
          <w:lang w:eastAsia="es-ES_tradnl"/>
        </w:rPr>
        <w:t xml:space="preserve">Como se expresó, la causal del literal X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que el proponente “corrija” el error e informe la existencia de un contrato no reportado, implica aceptar que ocurrió la causal del literal X, esto es, que el proponente incumplió su obligación de informar todos los contratos de obra que tenía en ejecución. </w:t>
      </w:r>
    </w:p>
    <w:p w14:paraId="4D053D35" w14:textId="77777777" w:rsidR="00F67D88" w:rsidRPr="00F67D88" w:rsidRDefault="00F67D88" w:rsidP="00F67D88">
      <w:pPr>
        <w:numPr>
          <w:ilvl w:val="0"/>
          <w:numId w:val="22"/>
        </w:numPr>
        <w:spacing w:after="0" w:line="276" w:lineRule="auto"/>
        <w:ind w:left="363" w:hanging="357"/>
        <w:jc w:val="both"/>
        <w:rPr>
          <w:rFonts w:ascii="Verdana" w:eastAsia="Times New Roman" w:hAnsi="Verdana" w:cs="Arial"/>
          <w:noProof/>
          <w:lang w:eastAsia="es-ES_tradnl"/>
        </w:rPr>
      </w:pPr>
      <w:r w:rsidRPr="00F67D88">
        <w:rPr>
          <w:rFonts w:ascii="Verdana" w:eastAsia="Times New Roman" w:hAnsi="Verdana" w:cs="Arial"/>
          <w:noProof/>
          <w:lang w:eastAsia="es-ES_tradnl"/>
        </w:rPr>
        <w:t xml:space="preserve">Conclusión similar le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sub examine es desincentivar todas las prácticas fraudulentas en los procesos de contratación estatal. </w:t>
      </w:r>
    </w:p>
    <w:p w14:paraId="5D09E99A" w14:textId="77777777" w:rsidR="00F67D88" w:rsidRPr="00F67D88" w:rsidRDefault="00F67D88" w:rsidP="00F67D88">
      <w:pPr>
        <w:spacing w:after="0" w:line="276" w:lineRule="auto"/>
        <w:ind w:left="363"/>
        <w:jc w:val="both"/>
        <w:rPr>
          <w:rFonts w:ascii="Verdana" w:eastAsia="Times New Roman" w:hAnsi="Verdana" w:cs="Arial"/>
          <w:noProof/>
          <w:lang w:eastAsia="es-ES_tradnl"/>
        </w:rPr>
      </w:pPr>
    </w:p>
    <w:p w14:paraId="6053A07F" w14:textId="77777777" w:rsidR="00F67D88" w:rsidRPr="00F67D88" w:rsidRDefault="00F67D88" w:rsidP="00F67D88">
      <w:pPr>
        <w:numPr>
          <w:ilvl w:val="0"/>
          <w:numId w:val="22"/>
        </w:numPr>
        <w:spacing w:after="0" w:line="276" w:lineRule="auto"/>
        <w:ind w:left="363" w:hanging="357"/>
        <w:jc w:val="both"/>
        <w:rPr>
          <w:rFonts w:ascii="Verdana" w:eastAsia="Times New Roman" w:hAnsi="Verdana" w:cs="Arial"/>
          <w:noProof/>
          <w:lang w:eastAsia="es-ES_tradnl"/>
        </w:rPr>
      </w:pPr>
      <w:r w:rsidRPr="00F67D88">
        <w:rPr>
          <w:rFonts w:ascii="Verdana" w:eastAsia="Times New Roman" w:hAnsi="Verdana" w:cs="Arial"/>
          <w:noProof/>
          <w:lang w:eastAsia="es-ES_tradnl"/>
        </w:rPr>
        <w:lastRenderedPageBreak/>
        <w:t xml:space="preserve">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incurre en algún error en la información de estos contratos, como por ejemplo en el valor o el plazo. En este caso, conforme a la explicación precedente, en principio, no se trata de información inexacta que tenga la connotación de falsedad por lo que no habría lugar a rechazo de la propuesta por esta causal. Por ello, si el proponente omite o se equivoca en la información específica de un contrato incluido en el formato respectivo, la entidad podrá requerirlo para que aclare la información y, en caso de no responder, rechazar la propuesta por la causal que consagra el literal E del numeral 1.15. </w:t>
      </w:r>
    </w:p>
    <w:p w14:paraId="03410307" w14:textId="77777777" w:rsidR="00F67D88" w:rsidRPr="00F67D88" w:rsidRDefault="00F67D88" w:rsidP="00F67D88">
      <w:pPr>
        <w:spacing w:after="0" w:line="276" w:lineRule="auto"/>
        <w:jc w:val="both"/>
        <w:rPr>
          <w:rFonts w:ascii="Verdana" w:eastAsia="Times New Roman" w:hAnsi="Verdana" w:cs="Arial"/>
          <w:noProof/>
          <w:lang w:eastAsia="es-ES_tradnl"/>
        </w:rPr>
      </w:pPr>
    </w:p>
    <w:p w14:paraId="701DE3AE" w14:textId="77777777" w:rsidR="00F67D88" w:rsidRPr="00F67D88" w:rsidRDefault="00F67D88" w:rsidP="00F67D88">
      <w:pPr>
        <w:numPr>
          <w:ilvl w:val="0"/>
          <w:numId w:val="22"/>
        </w:numPr>
        <w:spacing w:after="0" w:line="276" w:lineRule="auto"/>
        <w:ind w:left="363" w:hanging="357"/>
        <w:jc w:val="both"/>
        <w:rPr>
          <w:rFonts w:ascii="Verdana" w:eastAsia="Times New Roman" w:hAnsi="Verdana" w:cs="Arial"/>
          <w:noProof/>
          <w:lang w:eastAsia="es-ES_tradnl"/>
        </w:rPr>
      </w:pPr>
      <w:r w:rsidRPr="00F67D88">
        <w:rPr>
          <w:rFonts w:ascii="Verdana" w:eastAsia="Times New Roman" w:hAnsi="Verdana" w:cs="Arial"/>
          <w:noProof/>
          <w:lang w:eastAsia="es-ES_tradnl"/>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Por ejemplo, en el evento en que se reporten todos los contratos y la entidad advierta que se consignó información errada en el formato respectivo soportada en documentos presuntamente falsos. En este caso, los datos erróneos corresponden a información inexacta sobre la cual pueda existir una posible falsedad, lo cual da lugar a la configuración de la causal de rechazo del literal H del numeral 1.15. del documento base e impide la subsanabilidad de la oferta en este aspecto. </w:t>
      </w:r>
    </w:p>
    <w:p w14:paraId="45B476A2" w14:textId="77777777" w:rsidR="00F67D88" w:rsidRPr="00F67D88" w:rsidRDefault="00F67D88" w:rsidP="00F67D88">
      <w:pPr>
        <w:spacing w:after="0" w:line="276" w:lineRule="auto"/>
        <w:ind w:left="363"/>
        <w:jc w:val="both"/>
        <w:rPr>
          <w:rFonts w:ascii="Verdana" w:eastAsia="Times New Roman" w:hAnsi="Verdana" w:cs="Arial"/>
          <w:noProof/>
          <w:lang w:eastAsia="es-ES_tradnl"/>
        </w:rPr>
      </w:pPr>
    </w:p>
    <w:p w14:paraId="37380F53" w14:textId="77777777" w:rsidR="00F67D88" w:rsidRPr="00F67D88" w:rsidRDefault="00F67D88" w:rsidP="00F67D88">
      <w:pPr>
        <w:numPr>
          <w:ilvl w:val="0"/>
          <w:numId w:val="22"/>
        </w:numPr>
        <w:spacing w:after="0" w:line="276" w:lineRule="auto"/>
        <w:ind w:left="363" w:hanging="357"/>
        <w:jc w:val="both"/>
        <w:rPr>
          <w:rFonts w:ascii="Verdana" w:eastAsia="Times New Roman" w:hAnsi="Verdana" w:cs="Arial"/>
          <w:noProof/>
          <w:lang w:eastAsia="es-ES_tradnl"/>
        </w:rPr>
      </w:pPr>
      <w:r w:rsidRPr="00F67D88">
        <w:rPr>
          <w:rFonts w:ascii="Verdana" w:eastAsia="Times New Roman" w:hAnsi="Verdana" w:cs="Arial"/>
          <w:noProof/>
          <w:lang w:eastAsia="es-ES_tradnl"/>
        </w:rPr>
        <w:t xml:space="preserve">En relación con la información contractual no incluida que pueda afectar la capacidad residual del proponente, el pliego de condiciones del Documento Tipo – Versión 4 de licitación para obra pública de infraestructura de transporte estableció una regla especial en el numeral 3.11 así: </w:t>
      </w:r>
    </w:p>
    <w:p w14:paraId="7CB0C142" w14:textId="77777777" w:rsidR="00F67D88" w:rsidRPr="00F67D88" w:rsidRDefault="00F67D88" w:rsidP="00F67D88">
      <w:pPr>
        <w:spacing w:after="0" w:line="276" w:lineRule="auto"/>
        <w:ind w:firstLine="709"/>
        <w:jc w:val="both"/>
        <w:rPr>
          <w:rFonts w:ascii="Verdana" w:eastAsia="Times New Roman" w:hAnsi="Verdana" w:cs="Arial"/>
          <w:sz w:val="24"/>
          <w:szCs w:val="24"/>
          <w:lang w:eastAsia="es-ES_tradnl"/>
        </w:rPr>
      </w:pPr>
    </w:p>
    <w:p w14:paraId="23F30693" w14:textId="77777777" w:rsidR="00F67D88" w:rsidRPr="00F67D88" w:rsidRDefault="00F67D88" w:rsidP="00F67D88">
      <w:pPr>
        <w:keepNext/>
        <w:spacing w:after="120" w:line="240" w:lineRule="auto"/>
        <w:ind w:left="709" w:right="709"/>
        <w:outlineLvl w:val="1"/>
        <w:rPr>
          <w:rFonts w:ascii="Verdana" w:eastAsia="Times New Roman" w:hAnsi="Verdana" w:cs="Arial"/>
          <w:b/>
          <w:sz w:val="21"/>
          <w:szCs w:val="21"/>
          <w:lang w:eastAsia="es-CO"/>
        </w:rPr>
      </w:pPr>
      <w:bookmarkStart w:id="20" w:name="_Toc32096843"/>
      <w:bookmarkStart w:id="21" w:name="_Toc32144836"/>
      <w:r w:rsidRPr="00F67D88">
        <w:rPr>
          <w:rFonts w:ascii="Verdana" w:eastAsia="Times New Roman" w:hAnsi="Verdana" w:cs="Arial"/>
          <w:b/>
          <w:sz w:val="21"/>
          <w:szCs w:val="21"/>
          <w:lang w:eastAsia="es-CO"/>
        </w:rPr>
        <w:lastRenderedPageBreak/>
        <w:t>3.10. CAPACIDAD RESIDUAL</w:t>
      </w:r>
      <w:bookmarkEnd w:id="20"/>
      <w:bookmarkEnd w:id="21"/>
      <w:r w:rsidRPr="00F67D88">
        <w:rPr>
          <w:rFonts w:ascii="Verdana" w:eastAsia="Times New Roman" w:hAnsi="Verdana" w:cs="Arial"/>
          <w:b/>
          <w:sz w:val="21"/>
          <w:szCs w:val="21"/>
          <w:lang w:eastAsia="es-CO"/>
        </w:rPr>
        <w:t xml:space="preserve"> </w:t>
      </w:r>
    </w:p>
    <w:p w14:paraId="3D500A26" w14:textId="77777777" w:rsidR="00F67D88" w:rsidRPr="00F67D88" w:rsidRDefault="00F67D88" w:rsidP="00F67D88">
      <w:pPr>
        <w:widowControl w:val="0"/>
        <w:spacing w:after="0" w:line="240" w:lineRule="auto"/>
        <w:ind w:left="709" w:right="709"/>
        <w:jc w:val="both"/>
        <w:rPr>
          <w:rFonts w:ascii="Verdana" w:eastAsia="Arial" w:hAnsi="Verdana" w:cs="Arial"/>
          <w:sz w:val="21"/>
          <w:szCs w:val="21"/>
          <w:lang w:eastAsia="es-ES_tradnl"/>
        </w:rPr>
      </w:pPr>
      <w:r w:rsidRPr="00F67D88">
        <w:rPr>
          <w:rFonts w:ascii="Verdana" w:eastAsia="Times New Roman" w:hAnsi="Verdana" w:cs="Arial"/>
          <w:sz w:val="21"/>
          <w:szCs w:val="21"/>
          <w:lang w:eastAsia="es-ES_tradnl"/>
        </w:rPr>
        <w:t>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Proponente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será</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hábil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si</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la</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capacidad</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residual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del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Proponente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(CRP)</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es</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mayor</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o</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igual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a</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la</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capacidad</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residual</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de</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Proceso de Contratación</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(CRPC).</w:t>
      </w:r>
      <w:r w:rsidRPr="00F67D88">
        <w:rPr>
          <w:rFonts w:ascii="Verdana" w:eastAsia="Arial" w:hAnsi="Verdana" w:cs="Arial"/>
          <w:sz w:val="21"/>
          <w:szCs w:val="21"/>
          <w:lang w:eastAsia="es-ES_tradnl"/>
        </w:rPr>
        <w:t xml:space="preserve"> </w:t>
      </w:r>
      <w:r w:rsidRPr="00F67D88">
        <w:rPr>
          <w:rFonts w:ascii="Verdana" w:eastAsia="Times New Roman" w:hAnsi="Verdana" w:cs="Arial"/>
          <w:sz w:val="21"/>
          <w:szCs w:val="21"/>
          <w:lang w:eastAsia="es-ES_tradnl"/>
        </w:rPr>
        <w:t>Así:</w:t>
      </w:r>
      <w:r w:rsidRPr="00F67D88">
        <w:rPr>
          <w:rFonts w:ascii="Verdana" w:eastAsia="Arial" w:hAnsi="Verdana" w:cs="Arial"/>
          <w:sz w:val="21"/>
          <w:szCs w:val="21"/>
          <w:lang w:eastAsia="es-ES_tradnl"/>
        </w:rPr>
        <w:t xml:space="preserve"> </w:t>
      </w:r>
    </w:p>
    <w:p w14:paraId="42A217FD" w14:textId="77777777" w:rsidR="00F67D88" w:rsidRPr="00F67D88" w:rsidRDefault="00F67D88" w:rsidP="00F67D88">
      <w:pPr>
        <w:widowControl w:val="0"/>
        <w:spacing w:after="0" w:line="240" w:lineRule="auto"/>
        <w:ind w:left="709" w:right="709"/>
        <w:jc w:val="both"/>
        <w:rPr>
          <w:rFonts w:ascii="Verdana" w:eastAsia="Arial" w:hAnsi="Verdana" w:cs="Arial"/>
          <w:sz w:val="21"/>
          <w:szCs w:val="21"/>
          <w:lang w:eastAsia="es-ES_tradnl"/>
        </w:rPr>
      </w:pPr>
    </w:p>
    <w:p w14:paraId="5F7F29FD" w14:textId="77777777" w:rsidR="00F67D88" w:rsidRPr="00F67D88" w:rsidRDefault="00F67D88" w:rsidP="00F67D88">
      <w:pPr>
        <w:widowControl w:val="0"/>
        <w:spacing w:after="0" w:line="240" w:lineRule="auto"/>
        <w:ind w:left="709" w:right="709"/>
        <w:jc w:val="center"/>
        <w:rPr>
          <w:rFonts w:ascii="Verdana" w:eastAsia="MS Mincho" w:hAnsi="Verdana" w:cs="Arial"/>
          <w:sz w:val="21"/>
          <w:szCs w:val="21"/>
          <w:lang w:eastAsia="es-ES_tradnl"/>
        </w:rPr>
      </w:pPr>
      <m:oMathPara>
        <m:oMath>
          <m:r>
            <w:rPr>
              <w:rFonts w:ascii="Cambria Math" w:eastAsia="Times New Roman" w:hAnsi="Cambria Math" w:cs="Arial"/>
              <w:sz w:val="21"/>
              <w:szCs w:val="21"/>
              <w:lang w:eastAsia="es-ES_tradnl"/>
            </w:rPr>
            <m:t>CRP ≥CRPC</m:t>
          </m:r>
        </m:oMath>
      </m:oMathPara>
    </w:p>
    <w:p w14:paraId="2C7AAA06" w14:textId="77777777" w:rsidR="00F67D88" w:rsidRPr="00F67D88" w:rsidRDefault="00F67D88" w:rsidP="00F67D88">
      <w:pPr>
        <w:widowControl w:val="0"/>
        <w:spacing w:after="0" w:line="240" w:lineRule="auto"/>
        <w:ind w:left="709" w:right="709"/>
        <w:jc w:val="center"/>
        <w:rPr>
          <w:rFonts w:ascii="Verdana" w:eastAsia="Times New Roman" w:hAnsi="Verdana" w:cs="Arial"/>
          <w:sz w:val="21"/>
          <w:szCs w:val="21"/>
          <w:lang w:eastAsia="es-ES_tradnl"/>
        </w:rPr>
      </w:pPr>
    </w:p>
    <w:p w14:paraId="78D97D38" w14:textId="77777777" w:rsidR="00F67D88" w:rsidRPr="00F67D88" w:rsidRDefault="00F67D88" w:rsidP="00F67D88">
      <w:pPr>
        <w:widowControl w:val="0"/>
        <w:spacing w:after="120" w:line="240" w:lineRule="auto"/>
        <w:ind w:left="709" w:right="709"/>
        <w:jc w:val="both"/>
        <w:rPr>
          <w:rFonts w:ascii="Verdana" w:eastAsia="Arial" w:hAnsi="Verdana" w:cs="Arial"/>
          <w:sz w:val="21"/>
          <w:szCs w:val="21"/>
          <w:lang w:eastAsia="es-ES_tradnl"/>
        </w:rPr>
      </w:pPr>
      <w:r w:rsidRPr="00F67D88">
        <w:rPr>
          <w:rFonts w:ascii="Verdana" w:eastAsia="Times New Roman" w:hAnsi="Verdana" w:cs="Arial"/>
          <w:sz w:val="21"/>
          <w:szCs w:val="21"/>
          <w:lang w:eastAsia="es-ES_tradnl"/>
        </w:rPr>
        <w:t xml:space="preserve">Los Proponentes acreditarán la capacidad residual o K de contratación conforme se describe a continuación. </w:t>
      </w:r>
      <w:r w:rsidRPr="00F67D88">
        <w:rPr>
          <w:rFonts w:ascii="Verdana" w:eastAsia="Times New Roman" w:hAnsi="Verdana" w:cs="Arial"/>
          <w:i/>
          <w:iCs/>
          <w:sz w:val="21"/>
          <w:szCs w:val="21"/>
          <w:lang w:val="es-MX" w:eastAsia="es-ES_tradnl"/>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F67D88">
        <w:rPr>
          <w:rFonts w:ascii="Verdana" w:eastAsia="Times New Roman" w:hAnsi="Verdana" w:cs="Arial"/>
          <w:sz w:val="21"/>
          <w:szCs w:val="21"/>
          <w:lang w:eastAsia="es-ES_tradnl"/>
        </w:rPr>
        <w:t xml:space="preserve">. </w:t>
      </w:r>
    </w:p>
    <w:p w14:paraId="4AA5D3C4" w14:textId="77777777" w:rsidR="00F67D88" w:rsidRPr="00F67D88" w:rsidRDefault="00F67D88" w:rsidP="00F67D88">
      <w:pPr>
        <w:widowControl w:val="0"/>
        <w:spacing w:after="120" w:line="240" w:lineRule="auto"/>
        <w:ind w:left="709" w:right="709"/>
        <w:jc w:val="both"/>
        <w:rPr>
          <w:rFonts w:ascii="Verdana" w:eastAsia="Times New Roman" w:hAnsi="Verdana" w:cs="Arial"/>
          <w:sz w:val="21"/>
          <w:szCs w:val="21"/>
          <w:lang w:eastAsia="es-ES_tradnl"/>
        </w:rPr>
      </w:pPr>
      <w:r w:rsidRPr="00F67D88">
        <w:rPr>
          <w:rFonts w:ascii="Verdana" w:eastAsia="Times New Roman" w:hAnsi="Verdana" w:cs="Arial"/>
          <w:sz w:val="21"/>
          <w:szCs w:val="21"/>
          <w:lang w:eastAsia="es-ES_tradnl"/>
        </w:rPr>
        <w:t>Lo anterior, sin perjuicio de las acciones administrativas y/o judiciales a que haya lugar, en contra de la (s) persona (s) que haya (n) suscrito las certificaciones exigidas para el cálculo de la capacidad residual.</w:t>
      </w:r>
    </w:p>
    <w:p w14:paraId="56B9DAF2" w14:textId="77777777" w:rsidR="00F67D88" w:rsidRPr="00F67D88" w:rsidRDefault="00F67D88" w:rsidP="00F67D88">
      <w:pPr>
        <w:widowControl w:val="0"/>
        <w:spacing w:after="0" w:line="240" w:lineRule="auto"/>
        <w:ind w:left="709" w:right="709"/>
        <w:jc w:val="both"/>
        <w:rPr>
          <w:rFonts w:ascii="Verdana" w:eastAsia="Times New Roman" w:hAnsi="Verdana" w:cs="Arial"/>
          <w:sz w:val="21"/>
          <w:szCs w:val="21"/>
          <w:lang w:eastAsia="es-ES_tradnl"/>
        </w:rPr>
      </w:pPr>
      <w:r w:rsidRPr="00F67D88">
        <w:rPr>
          <w:rFonts w:ascii="Verdana" w:eastAsia="Times New Roman" w:hAnsi="Verdana" w:cs="Arial"/>
          <w:sz w:val="21"/>
          <w:szCs w:val="21"/>
          <w:lang w:eastAsia="es-ES_tradnl"/>
        </w:rPr>
        <w:t xml:space="preserve">[…] (Énfasis fuera de texto) </w:t>
      </w:r>
    </w:p>
    <w:p w14:paraId="33116077" w14:textId="77777777" w:rsidR="00F67D88" w:rsidRPr="00F67D88" w:rsidRDefault="00F67D88" w:rsidP="00F67D88">
      <w:pPr>
        <w:widowControl w:val="0"/>
        <w:spacing w:after="0" w:line="276" w:lineRule="auto"/>
        <w:ind w:right="709"/>
        <w:jc w:val="both"/>
        <w:rPr>
          <w:rFonts w:ascii="Verdana" w:eastAsia="Times New Roman" w:hAnsi="Verdana" w:cs="Arial"/>
          <w:sz w:val="24"/>
          <w:szCs w:val="24"/>
          <w:lang w:eastAsia="es-ES_tradnl"/>
        </w:rPr>
      </w:pPr>
    </w:p>
    <w:p w14:paraId="3CAE73F2" w14:textId="77777777" w:rsidR="00F67D88" w:rsidRPr="00F67D88" w:rsidRDefault="00F67D88" w:rsidP="00F67D88">
      <w:pPr>
        <w:numPr>
          <w:ilvl w:val="0"/>
          <w:numId w:val="23"/>
        </w:numPr>
        <w:spacing w:before="120" w:after="120" w:line="276" w:lineRule="auto"/>
        <w:ind w:left="723"/>
        <w:contextualSpacing/>
        <w:jc w:val="both"/>
        <w:rPr>
          <w:rFonts w:ascii="Verdana" w:eastAsia="MS Mincho" w:hAnsi="Verdana" w:cs="Arial"/>
          <w:lang w:eastAsia="es-CO"/>
        </w:rPr>
      </w:pPr>
      <w:bookmarkStart w:id="22" w:name="_Hlk81551358"/>
      <w:r w:rsidRPr="00F67D88">
        <w:rPr>
          <w:rFonts w:ascii="Verdana" w:eastAsia="Times New Roman" w:hAnsi="Verdana" w:cs="Arial"/>
          <w:color w:val="000000"/>
          <w:shd w:val="clear" w:color="auto" w:fill="FFFFFF"/>
          <w:lang w:eastAsia="es-ES_tradnl"/>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Pr="00F67D88">
        <w:rPr>
          <w:rFonts w:ascii="Verdana" w:eastAsia="Times New Roman" w:hAnsi="Verdana" w:cs="Arial"/>
          <w:lang w:eastAsia="es-ES_tradnl"/>
        </w:rPr>
        <w:t xml:space="preserve">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22"/>
      <w:r w:rsidRPr="00F67D88">
        <w:rPr>
          <w:rFonts w:ascii="Verdana" w:eastAsia="Times New Roman" w:hAnsi="Verdana" w:cs="Arial"/>
          <w:lang w:eastAsia="es-ES_tradnl"/>
        </w:rPr>
        <w:t>Esto concuerda con la causal de rechazo prevista en el literal “H” del numeral 1.15 del documento base, el cual autoriza el rechazo de la propuesta en el evento en “</w:t>
      </w:r>
      <w:r w:rsidRPr="00F67D88">
        <w:rPr>
          <w:rFonts w:ascii="Verdana" w:eastAsia="Arial" w:hAnsi="Verdana" w:cs="Arial"/>
          <w:lang w:eastAsia="es-CO"/>
        </w:rPr>
        <w:t>Que</w:t>
      </w:r>
      <w:r w:rsidRPr="00F67D88">
        <w:rPr>
          <w:rFonts w:ascii="Verdana" w:eastAsia="Arial,Calibri" w:hAnsi="Verdana" w:cs="Arial"/>
          <w:lang w:eastAsia="es-CO"/>
        </w:rPr>
        <w:t xml:space="preserve"> </w:t>
      </w:r>
      <w:r w:rsidRPr="00F67D88">
        <w:rPr>
          <w:rFonts w:ascii="Verdana" w:eastAsia="Arial" w:hAnsi="Verdana" w:cs="Arial"/>
          <w:lang w:eastAsia="es-CO"/>
        </w:rPr>
        <w:t>el</w:t>
      </w:r>
      <w:r w:rsidRPr="00F67D88">
        <w:rPr>
          <w:rFonts w:ascii="Verdana" w:eastAsia="Arial,Calibri" w:hAnsi="Verdana" w:cs="Arial"/>
          <w:lang w:eastAsia="es-CO"/>
        </w:rPr>
        <w:t xml:space="preserve"> </w:t>
      </w:r>
      <w:r w:rsidRPr="00F67D88">
        <w:rPr>
          <w:rFonts w:ascii="Verdana" w:eastAsia="Arial" w:hAnsi="Verdana" w:cs="Arial"/>
          <w:lang w:eastAsia="es-CO"/>
        </w:rPr>
        <w:t>Proponente</w:t>
      </w:r>
      <w:r w:rsidRPr="00F67D88">
        <w:rPr>
          <w:rFonts w:ascii="Verdana" w:eastAsia="Arial,Calibri" w:hAnsi="Verdana" w:cs="Arial"/>
          <w:lang w:eastAsia="es-CO"/>
        </w:rPr>
        <w:t xml:space="preserve"> </w:t>
      </w:r>
      <w:r w:rsidRPr="00F67D88">
        <w:rPr>
          <w:rFonts w:ascii="Verdana" w:eastAsia="Arial" w:hAnsi="Verdana" w:cs="Arial"/>
          <w:lang w:eastAsia="es-CO"/>
        </w:rPr>
        <w:t xml:space="preserve">aporte información inexacta </w:t>
      </w:r>
      <w:r w:rsidRPr="00F67D88">
        <w:rPr>
          <w:rFonts w:ascii="Verdana" w:eastAsia="MS Mincho" w:hAnsi="Verdana" w:cs="Arial"/>
          <w:lang w:eastAsia="es-CO"/>
        </w:rPr>
        <w:t>sobre la cual pueda existir una posible falsedad</w:t>
      </w:r>
      <w:r w:rsidRPr="00F67D88" w:rsidDel="003061D1">
        <w:rPr>
          <w:rFonts w:ascii="Verdana" w:eastAsia="MS Mincho" w:hAnsi="Verdana" w:cs="Arial"/>
          <w:lang w:eastAsia="es-CO"/>
        </w:rPr>
        <w:t xml:space="preserve"> </w:t>
      </w:r>
      <w:r w:rsidRPr="00F67D88">
        <w:rPr>
          <w:rFonts w:ascii="Verdana" w:eastAsia="MS Mincho" w:hAnsi="Verdana" w:cs="Arial"/>
          <w:lang w:eastAsia="es-CO"/>
        </w:rPr>
        <w:t>en los términos de la sección 1.11”.</w:t>
      </w:r>
    </w:p>
    <w:p w14:paraId="0BA2E608" w14:textId="77777777" w:rsidR="00F67D88" w:rsidRPr="00F67D88" w:rsidRDefault="00F67D88" w:rsidP="00F67D88">
      <w:pPr>
        <w:spacing w:before="120" w:after="120" w:line="276" w:lineRule="auto"/>
        <w:ind w:left="723"/>
        <w:contextualSpacing/>
        <w:jc w:val="both"/>
        <w:rPr>
          <w:rFonts w:ascii="Verdana" w:eastAsia="MS Mincho" w:hAnsi="Verdana" w:cs="Arial"/>
          <w:lang w:eastAsia="es-CO"/>
        </w:rPr>
      </w:pPr>
    </w:p>
    <w:p w14:paraId="035F6F97" w14:textId="77777777" w:rsidR="00F67D88" w:rsidRPr="00F67D88" w:rsidRDefault="00F67D88" w:rsidP="00F67D88">
      <w:pPr>
        <w:numPr>
          <w:ilvl w:val="0"/>
          <w:numId w:val="23"/>
        </w:numPr>
        <w:spacing w:after="0" w:line="276" w:lineRule="auto"/>
        <w:ind w:left="723"/>
        <w:jc w:val="both"/>
        <w:rPr>
          <w:rFonts w:ascii="Verdana" w:eastAsia="Times New Roman" w:hAnsi="Verdana" w:cs="Arial"/>
          <w:lang w:eastAsia="es-ES_tradnl"/>
        </w:rPr>
      </w:pPr>
      <w:r w:rsidRPr="00F67D88">
        <w:rPr>
          <w:rFonts w:ascii="Verdana" w:eastAsia="Times New Roman" w:hAnsi="Verdana" w:cs="Arial"/>
          <w:lang w:eastAsia="es-ES_tradnl"/>
        </w:rPr>
        <w:t xml:space="preserve">Según lo expuesto, al verificarse que el proponente no incluyó información contractual que afecte su capacidad residual, la entidad no estará en posición de solicitar aclaraciones, o acudir al régimen de </w:t>
      </w:r>
      <w:proofErr w:type="spellStart"/>
      <w:r w:rsidRPr="00F67D88">
        <w:rPr>
          <w:rFonts w:ascii="Verdana" w:eastAsia="Times New Roman" w:hAnsi="Verdana" w:cs="Arial"/>
          <w:lang w:eastAsia="es-ES_tradnl"/>
        </w:rPr>
        <w:t>subsanabilidad</w:t>
      </w:r>
      <w:proofErr w:type="spellEnd"/>
      <w:r w:rsidRPr="00F67D88">
        <w:rPr>
          <w:rFonts w:ascii="Verdana" w:eastAsia="Times New Roman" w:hAnsi="Verdana" w:cs="Arial"/>
          <w:lang w:eastAsia="es-ES_tradnl"/>
        </w:rPr>
        <w:t xml:space="preserve"> </w:t>
      </w:r>
      <w:r w:rsidRPr="00F67D88">
        <w:rPr>
          <w:rFonts w:ascii="Verdana" w:eastAsia="Times New Roman" w:hAnsi="Verdana" w:cs="Arial"/>
          <w:lang w:eastAsia="es-ES_tradnl"/>
        </w:rPr>
        <w:lastRenderedPageBreak/>
        <w:t>de ofertas</w:t>
      </w:r>
      <w:r w:rsidRPr="00F67D88">
        <w:rPr>
          <w:rFonts w:ascii="Verdana" w:eastAsia="Aptos" w:hAnsi="Verdana" w:cs="Times New Roman"/>
          <w:kern w:val="2"/>
          <w:sz w:val="24"/>
          <w:szCs w:val="24"/>
          <w:vertAlign w:val="superscript"/>
          <w:lang w:eastAsia="es-ES_tradnl"/>
          <w14:ligatures w14:val="standardContextual"/>
        </w:rPr>
        <w:footnoteReference w:id="6"/>
      </w:r>
      <w:r w:rsidRPr="00F67D88">
        <w:rPr>
          <w:rFonts w:ascii="Verdana" w:eastAsia="Times New Roman" w:hAnsi="Verdana" w:cs="Arial"/>
          <w:lang w:eastAsia="es-ES_tradnl"/>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7F48AD8C" w14:textId="77777777" w:rsidR="00F67D88" w:rsidRPr="00F67D88" w:rsidRDefault="00F67D88" w:rsidP="00F67D88">
      <w:pPr>
        <w:spacing w:after="0" w:line="276" w:lineRule="auto"/>
        <w:jc w:val="both"/>
        <w:rPr>
          <w:rFonts w:ascii="Verdana" w:eastAsia="Times New Roman" w:hAnsi="Verdana" w:cs="Arial"/>
          <w:lang w:eastAsia="es-ES_tradnl"/>
        </w:rPr>
      </w:pPr>
    </w:p>
    <w:p w14:paraId="2236CED2" w14:textId="77777777" w:rsidR="00F67D88" w:rsidRPr="00F67D88" w:rsidRDefault="00F67D88" w:rsidP="00F67D88">
      <w:pPr>
        <w:numPr>
          <w:ilvl w:val="0"/>
          <w:numId w:val="23"/>
        </w:numPr>
        <w:spacing w:after="0" w:line="276" w:lineRule="auto"/>
        <w:ind w:left="723"/>
        <w:contextualSpacing/>
        <w:jc w:val="both"/>
        <w:rPr>
          <w:rFonts w:ascii="Verdana" w:eastAsia="Times New Roman" w:hAnsi="Verdana" w:cs="Arial"/>
          <w:lang w:eastAsia="es-ES_tradnl"/>
        </w:rPr>
      </w:pPr>
      <w:r w:rsidRPr="00F67D88">
        <w:rPr>
          <w:rFonts w:ascii="Verdana" w:eastAsia="Times New Roman" w:hAnsi="Verdana" w:cs="Arial"/>
          <w:lang w:eastAsia="es-ES_tradnl"/>
        </w:rPr>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F67D88">
        <w:rPr>
          <w:rFonts w:ascii="Verdana" w:eastAsia="Times New Roman" w:hAnsi="Verdana" w:cs="Arial"/>
          <w:i/>
          <w:iCs/>
          <w:lang w:eastAsia="es-ES_tradnl"/>
        </w:rPr>
        <w:t>K</w:t>
      </w:r>
      <w:r w:rsidRPr="00F67D88">
        <w:rPr>
          <w:rFonts w:ascii="Verdana" w:eastAsia="Times New Roman" w:hAnsi="Verdana" w:cs="Arial"/>
          <w:lang w:eastAsia="es-ES_tradnl"/>
        </w:rPr>
        <w:t xml:space="preserve"> de contratación, facultaría a la entidad para rechazar su oferta conforme a la causal X del numeral 1.15 del documento base o, eventualmente, por la causal del literal H </w:t>
      </w:r>
      <w:proofErr w:type="spellStart"/>
      <w:r w:rsidRPr="00F67D88">
        <w:rPr>
          <w:rFonts w:ascii="Verdana" w:eastAsia="Times New Roman" w:hAnsi="Verdana" w:cs="Arial"/>
          <w:i/>
          <w:lang w:eastAsia="es-ES_tradnl"/>
        </w:rPr>
        <w:t>ibídem</w:t>
      </w:r>
      <w:proofErr w:type="spellEnd"/>
      <w:r w:rsidRPr="00F67D88">
        <w:rPr>
          <w:rFonts w:ascii="Verdana" w:eastAsia="Times New Roman" w:hAnsi="Verdana" w:cs="Arial"/>
          <w:lang w:eastAsia="es-ES_tradnl"/>
        </w:rPr>
        <w:t>.</w:t>
      </w:r>
    </w:p>
    <w:p w14:paraId="2BA9049D" w14:textId="77777777" w:rsidR="00F67D88" w:rsidRPr="00F67D88" w:rsidRDefault="00F67D88" w:rsidP="00F67D88">
      <w:pPr>
        <w:spacing w:after="0" w:line="276" w:lineRule="auto"/>
        <w:jc w:val="both"/>
        <w:rPr>
          <w:rFonts w:ascii="Verdana" w:eastAsia="Times New Roman" w:hAnsi="Verdana" w:cs="Arial"/>
          <w:lang w:eastAsia="es-ES_tradnl"/>
        </w:rPr>
      </w:pPr>
    </w:p>
    <w:p w14:paraId="0E22C8F7" w14:textId="77777777" w:rsidR="00F67D88" w:rsidRPr="00F67D88" w:rsidRDefault="00F67D88" w:rsidP="00F67D88">
      <w:pPr>
        <w:numPr>
          <w:ilvl w:val="0"/>
          <w:numId w:val="23"/>
        </w:numPr>
        <w:spacing w:after="0" w:line="276" w:lineRule="auto"/>
        <w:ind w:left="723"/>
        <w:contextualSpacing/>
        <w:jc w:val="both"/>
        <w:rPr>
          <w:rFonts w:ascii="Verdana" w:eastAsia="Times New Roman" w:hAnsi="Verdana" w:cs="Arial"/>
          <w:lang w:eastAsia="es-ES_tradnl"/>
        </w:rPr>
      </w:pPr>
      <w:r w:rsidRPr="00F67D88">
        <w:rPr>
          <w:rFonts w:ascii="Verdana" w:eastAsia="Times New Roman" w:hAnsi="Verdana" w:cs="Arial"/>
          <w:lang w:eastAsia="es-ES_tradnl"/>
        </w:rPr>
        <w:t>Ahora bien, en congruencia con lo explicado en el numeral anterior, es importante tener en cuenta que la causal de rechazo del literal X del numeral 1.15 del pliego aplica por “No informar todos los contratos que el Proponente tenga en ejecución antes del cierre, necesarios para acreditar su capacidad residual conforme a la sección 3.11”. Para estos efectos, conforme a las definiciones previstas en la Guía para Determinar y Verificar la Capacidad Residual del Proponente en los Procesos de Contratación de Obra Pública, el numeral II del literal E del numeral 3.11.2 del documento base dispone que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67845B9C" w14:textId="77777777" w:rsidR="00F67D88" w:rsidRPr="00F67D88" w:rsidRDefault="00F67D88" w:rsidP="00F67D88">
      <w:pPr>
        <w:spacing w:after="0" w:line="276" w:lineRule="auto"/>
        <w:jc w:val="both"/>
        <w:rPr>
          <w:rFonts w:ascii="Verdana" w:eastAsia="Times New Roman" w:hAnsi="Verdana" w:cs="Arial"/>
          <w:lang w:eastAsia="es-ES_tradnl"/>
        </w:rPr>
      </w:pPr>
      <w:r w:rsidRPr="00F67D88">
        <w:rPr>
          <w:rFonts w:ascii="Verdana" w:eastAsia="Times New Roman" w:hAnsi="Verdana" w:cs="Arial"/>
          <w:lang w:eastAsia="es-ES_tradnl"/>
        </w:rPr>
        <w:t xml:space="preserve"> </w:t>
      </w:r>
    </w:p>
    <w:p w14:paraId="5BBB4C22" w14:textId="77777777" w:rsidR="00F67D88" w:rsidRPr="00F67D88" w:rsidRDefault="00F67D88" w:rsidP="00F67D88">
      <w:pPr>
        <w:numPr>
          <w:ilvl w:val="0"/>
          <w:numId w:val="23"/>
        </w:numPr>
        <w:spacing w:after="0" w:line="276" w:lineRule="auto"/>
        <w:ind w:left="723"/>
        <w:jc w:val="both"/>
        <w:rPr>
          <w:rFonts w:ascii="Verdana" w:eastAsia="Times New Roman" w:hAnsi="Verdana" w:cs="Arial"/>
          <w:lang w:eastAsia="es-ES_tradnl"/>
        </w:rPr>
      </w:pPr>
      <w:r w:rsidRPr="00F67D88">
        <w:rPr>
          <w:rFonts w:ascii="Verdana" w:eastAsia="Times New Roman" w:hAnsi="Verdana" w:cs="Arial"/>
          <w:lang w:eastAsia="es-ES_tradnl"/>
        </w:rPr>
        <w:lastRenderedPageBreak/>
        <w:t>Como se observa, la definición solo aplica a los contratos perfeccionados, aunque estos estén suspendidos o no tengan acta de inicio. Por tanto, están fuera de esta los procesos de selección adjudicados, pues –en los términos del artículo 41 de la Ley 80 de 1993– los contratos estatales de las entidades sometidas al Estatuto General de Contratación de la Administración Pública se perfeccionan cuando se logre acuerdo sobre el objeto y la contraprestación y éste se eleve a escrito, lo cual ocurre con la suscripción formal del contrato y no con el acto de adjudicación. Lo expuesto es congruente con el artículo 2.2.1.1.1.6.4 del Decreto 1082 de 2015, en virtud del cual, para efectos de acreditar la capacidad residual del proponente, se requiere el listado de contratos de obra civiles en ejecución suscritos con entidades estatales y con entidades privadas</w:t>
      </w:r>
      <w:r w:rsidRPr="00F67D88">
        <w:rPr>
          <w:rFonts w:ascii="Verdana" w:eastAsia="Times New Roman" w:hAnsi="Verdana" w:cs="Arial"/>
          <w:vertAlign w:val="superscript"/>
          <w:lang w:eastAsia="es-ES_tradnl"/>
        </w:rPr>
        <w:footnoteReference w:id="7"/>
      </w:r>
      <w:r w:rsidRPr="00F67D88">
        <w:rPr>
          <w:rFonts w:ascii="Verdana" w:eastAsia="Times New Roman" w:hAnsi="Verdana" w:cs="Arial"/>
          <w:lang w:eastAsia="es-ES_tradnl"/>
        </w:rPr>
        <w:t>.</w:t>
      </w:r>
    </w:p>
    <w:bookmarkEnd w:id="2"/>
    <w:p w14:paraId="3B6493BC" w14:textId="77777777" w:rsidR="00F67D88" w:rsidRPr="00F67D88" w:rsidRDefault="00F67D88" w:rsidP="00F67D88">
      <w:pPr>
        <w:spacing w:after="0" w:line="276" w:lineRule="auto"/>
        <w:jc w:val="both"/>
        <w:rPr>
          <w:rFonts w:ascii="Verdana" w:eastAsia="Calibri" w:hAnsi="Verdana" w:cs="Arial"/>
          <w:lang w:val="es-ES_tradnl"/>
        </w:rPr>
      </w:pPr>
    </w:p>
    <w:p w14:paraId="1C8475E8" w14:textId="77777777" w:rsidR="00F67D88" w:rsidRPr="00F67D88" w:rsidRDefault="00F67D88" w:rsidP="00F67D88">
      <w:pPr>
        <w:numPr>
          <w:ilvl w:val="0"/>
          <w:numId w:val="19"/>
        </w:numPr>
        <w:tabs>
          <w:tab w:val="left" w:pos="142"/>
          <w:tab w:val="left" w:pos="284"/>
        </w:tabs>
        <w:spacing w:after="0" w:line="276" w:lineRule="auto"/>
        <w:ind w:left="357" w:hanging="357"/>
        <w:jc w:val="both"/>
        <w:rPr>
          <w:rFonts w:ascii="Verdana" w:eastAsia="Century Gothic" w:hAnsi="Verdana" w:cs="Century Gothic"/>
          <w:b/>
          <w:bCs/>
          <w:lang w:val="es-ES_tradnl"/>
        </w:rPr>
      </w:pPr>
      <w:r w:rsidRPr="00F67D88">
        <w:rPr>
          <w:rFonts w:ascii="Verdana" w:eastAsia="Century Gothic" w:hAnsi="Verdana" w:cs="Century Gothic"/>
          <w:b/>
          <w:bCs/>
          <w:lang w:val="es-ES_tradnl"/>
        </w:rPr>
        <w:t>Referencias normativas, jurisprudenciales y otras fuentes:</w:t>
      </w:r>
    </w:p>
    <w:p w14:paraId="20ABFA42" w14:textId="77777777" w:rsidR="00F67D88" w:rsidRPr="00F67D88" w:rsidRDefault="00F67D88" w:rsidP="00F67D88">
      <w:pPr>
        <w:spacing w:after="0"/>
        <w:ind w:left="-15840"/>
        <w:jc w:val="both"/>
        <w:rPr>
          <w:rFonts w:ascii="Verdana" w:eastAsia="Calibri" w:hAnsi="Verdana" w:cs="Arial"/>
          <w:b/>
          <w:bCs/>
        </w:rPr>
      </w:pPr>
      <w:r w:rsidRPr="00F67D88">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67D88" w:rsidRPr="00F67D88" w14:paraId="5F80A971" w14:textId="77777777" w:rsidTr="003573D0">
        <w:trPr>
          <w:trHeight w:val="870"/>
        </w:trPr>
        <w:tc>
          <w:tcPr>
            <w:tcW w:w="8647" w:type="dxa"/>
            <w:tcBorders>
              <w:top w:val="dotted" w:sz="4" w:space="0" w:color="auto"/>
              <w:left w:val="dotted" w:sz="4" w:space="0" w:color="auto"/>
              <w:bottom w:val="dotted" w:sz="4" w:space="0" w:color="auto"/>
              <w:right w:val="dotted" w:sz="4" w:space="0" w:color="auto"/>
            </w:tcBorders>
          </w:tcPr>
          <w:p w14:paraId="00AC7991" w14:textId="77777777" w:rsidR="00F67D88" w:rsidRPr="00F67D88" w:rsidRDefault="00F67D88" w:rsidP="00F67D88">
            <w:pPr>
              <w:ind w:left="720"/>
              <w:contextualSpacing/>
              <w:jc w:val="both"/>
              <w:rPr>
                <w:rFonts w:ascii="Verdana" w:eastAsia="Calibri" w:hAnsi="Verdana" w:cs="Arial"/>
                <w:bCs/>
              </w:rPr>
            </w:pPr>
          </w:p>
          <w:p w14:paraId="73C05D01" w14:textId="77777777" w:rsidR="00F67D88" w:rsidRPr="00F67D88" w:rsidRDefault="00F67D88" w:rsidP="00F67D88">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F67D88">
              <w:rPr>
                <w:rFonts w:ascii="Verdana" w:eastAsia="Calibri" w:hAnsi="Verdana" w:cs="Arial"/>
                <w:lang w:val="es-ES_tradnl"/>
              </w:rPr>
              <w:t xml:space="preserve">Ley 2022 de 2020, artículo 1. </w:t>
            </w:r>
          </w:p>
          <w:p w14:paraId="35BCEB72" w14:textId="77777777" w:rsidR="00F67D88" w:rsidRPr="00F67D88" w:rsidRDefault="00F67D88" w:rsidP="00F67D88">
            <w:pPr>
              <w:widowControl w:val="0"/>
              <w:numPr>
                <w:ilvl w:val="0"/>
                <w:numId w:val="18"/>
              </w:numPr>
              <w:autoSpaceDE w:val="0"/>
              <w:autoSpaceDN w:val="0"/>
              <w:spacing w:line="276" w:lineRule="auto"/>
              <w:jc w:val="both"/>
              <w:rPr>
                <w:rFonts w:ascii="Verdana" w:eastAsia="Calibri" w:hAnsi="Verdana" w:cs="Arial"/>
              </w:rPr>
            </w:pPr>
            <w:r w:rsidRPr="00F67D88">
              <w:rPr>
                <w:rFonts w:ascii="Verdana" w:eastAsia="Calibri" w:hAnsi="Verdana" w:cs="Arial"/>
              </w:rPr>
              <w:t>Ley 1150 de 2007, artículo 2.</w:t>
            </w:r>
          </w:p>
          <w:p w14:paraId="2BA15200" w14:textId="77777777" w:rsidR="00F67D88" w:rsidRPr="00F67D88" w:rsidRDefault="00F67D88" w:rsidP="00F67D88">
            <w:pPr>
              <w:widowControl w:val="0"/>
              <w:numPr>
                <w:ilvl w:val="0"/>
                <w:numId w:val="18"/>
              </w:numPr>
              <w:autoSpaceDE w:val="0"/>
              <w:autoSpaceDN w:val="0"/>
              <w:spacing w:line="276" w:lineRule="auto"/>
              <w:contextualSpacing/>
              <w:jc w:val="both"/>
              <w:rPr>
                <w:rFonts w:ascii="Verdana" w:eastAsia="Aptos" w:hAnsi="Verdana" w:cs="Arial"/>
              </w:rPr>
            </w:pPr>
            <w:r w:rsidRPr="00F67D88">
              <w:rPr>
                <w:rFonts w:ascii="Verdana" w:eastAsia="Calibri" w:hAnsi="Verdana" w:cs="Arial"/>
                <w:lang w:val="es-ES_tradnl"/>
              </w:rPr>
              <w:t xml:space="preserve">Documentos Tipo. Disponibles en: </w:t>
            </w:r>
            <w:hyperlink r:id="rId12" w:history="1">
              <w:r w:rsidRPr="00F67D88">
                <w:rPr>
                  <w:rFonts w:ascii="Verdana" w:eastAsia="Calibri" w:hAnsi="Verdana" w:cs="Arial"/>
                  <w:color w:val="0000FF"/>
                  <w:u w:val="single"/>
                  <w:lang w:val="es-ES_tradnl"/>
                </w:rPr>
                <w:t>https://www.colombiacompra.gov.co/documentos-tipo/documentos-tipo</w:t>
              </w:r>
            </w:hyperlink>
            <w:r w:rsidRPr="00F67D88">
              <w:rPr>
                <w:rFonts w:ascii="Verdana" w:eastAsia="Calibri" w:hAnsi="Verdana" w:cs="Arial"/>
                <w:lang w:val="es-ES_tradnl"/>
              </w:rPr>
              <w:t>.</w:t>
            </w:r>
          </w:p>
          <w:p w14:paraId="66D39ED1" w14:textId="77777777" w:rsidR="00F67D88" w:rsidRPr="00F67D88" w:rsidRDefault="00F67D88" w:rsidP="00F67D88">
            <w:pPr>
              <w:widowControl w:val="0"/>
              <w:numPr>
                <w:ilvl w:val="0"/>
                <w:numId w:val="18"/>
              </w:numPr>
              <w:autoSpaceDE w:val="0"/>
              <w:autoSpaceDN w:val="0"/>
              <w:spacing w:line="276" w:lineRule="auto"/>
              <w:contextualSpacing/>
              <w:jc w:val="both"/>
              <w:rPr>
                <w:rFonts w:ascii="Verdana" w:eastAsia="Aptos" w:hAnsi="Verdana" w:cs="Arial"/>
              </w:rPr>
            </w:pPr>
            <w:r w:rsidRPr="00F67D88">
              <w:rPr>
                <w:rFonts w:ascii="Verdana" w:eastAsia="Calibri" w:hAnsi="Verdana" w:cs="Arial"/>
                <w:lang w:val="es-ES_tradnl"/>
              </w:rPr>
              <w:t xml:space="preserve">Guía para determinar y verificar la capacidad residual del </w:t>
            </w:r>
            <w:proofErr w:type="spellStart"/>
            <w:r w:rsidRPr="00F67D88">
              <w:rPr>
                <w:rFonts w:ascii="Verdana" w:eastAsia="Calibri" w:hAnsi="Verdana" w:cs="Arial"/>
                <w:lang w:val="es-ES_tradnl"/>
              </w:rPr>
              <w:t>propoonente</w:t>
            </w:r>
            <w:proofErr w:type="spellEnd"/>
            <w:r w:rsidRPr="00F67D88">
              <w:rPr>
                <w:rFonts w:ascii="Verdana" w:eastAsia="Calibri" w:hAnsi="Verdana" w:cs="Arial"/>
                <w:lang w:val="es-ES_tradnl"/>
              </w:rPr>
              <w:t xml:space="preserve"> en los procesos de contratación de obra pública. Disponible en el siguiente enlace: </w:t>
            </w:r>
            <w:hyperlink r:id="rId13" w:history="1">
              <w:r w:rsidRPr="00F67D88">
                <w:rPr>
                  <w:rFonts w:ascii="Verdana" w:eastAsia="Calibri" w:hAnsi="Verdana" w:cs="Arial"/>
                  <w:color w:val="0000FF"/>
                  <w:u w:val="single"/>
                  <w:lang w:val="es-ES_tradnl"/>
                </w:rPr>
                <w:t>https://www.colombiacompra.gov.co/archivos/manual/guia-para-determinar-y-verificar-la-capacidad-residual-del-proponente-en-los-procesos-de-contratacion-de-obra-publica</w:t>
              </w:r>
            </w:hyperlink>
            <w:r w:rsidRPr="00F67D88">
              <w:rPr>
                <w:rFonts w:ascii="Verdana" w:eastAsia="Calibri" w:hAnsi="Verdana" w:cs="Arial"/>
                <w:lang w:val="es-ES_tradnl"/>
              </w:rPr>
              <w:t xml:space="preserve"> </w:t>
            </w:r>
          </w:p>
        </w:tc>
      </w:tr>
    </w:tbl>
    <w:p w14:paraId="65F13502" w14:textId="77777777" w:rsidR="00F67D88" w:rsidRPr="00F67D88" w:rsidRDefault="00F67D88" w:rsidP="00F67D88">
      <w:pPr>
        <w:tabs>
          <w:tab w:val="left" w:pos="142"/>
          <w:tab w:val="left" w:pos="284"/>
        </w:tabs>
        <w:spacing w:after="0" w:line="276" w:lineRule="auto"/>
        <w:jc w:val="both"/>
        <w:rPr>
          <w:rFonts w:ascii="Verdana" w:eastAsia="Calibri" w:hAnsi="Verdana" w:cs="Arial"/>
        </w:rPr>
      </w:pPr>
    </w:p>
    <w:p w14:paraId="718B6936" w14:textId="77777777" w:rsidR="00F67D88" w:rsidRPr="00F67D88" w:rsidRDefault="00F67D88" w:rsidP="00F67D88">
      <w:pPr>
        <w:tabs>
          <w:tab w:val="left" w:pos="142"/>
          <w:tab w:val="left" w:pos="284"/>
        </w:tabs>
        <w:spacing w:after="0" w:line="276" w:lineRule="auto"/>
        <w:jc w:val="both"/>
        <w:rPr>
          <w:rFonts w:ascii="Verdana" w:eastAsia="Century Gothic" w:hAnsi="Verdana" w:cs="Century Gothic"/>
          <w:b/>
          <w:bCs/>
          <w:lang w:val="es-ES"/>
        </w:rPr>
      </w:pPr>
      <w:r w:rsidRPr="00F67D88">
        <w:rPr>
          <w:rFonts w:ascii="Verdana" w:eastAsia="Calibri" w:hAnsi="Verdana" w:cs="Arial"/>
          <w:b/>
          <w:bCs/>
        </w:rPr>
        <w:t>5</w:t>
      </w:r>
      <w:r w:rsidRPr="00F67D88">
        <w:rPr>
          <w:rFonts w:ascii="Verdana" w:eastAsia="Calibri" w:hAnsi="Verdana" w:cs="Arial"/>
        </w:rPr>
        <w:t>.</w:t>
      </w:r>
      <w:r w:rsidRPr="00F67D88">
        <w:rPr>
          <w:rFonts w:ascii="Verdana" w:eastAsia="Century Gothic" w:hAnsi="Verdana" w:cs="Century Gothic"/>
          <w:b/>
          <w:bCs/>
          <w:lang w:val="es-ES"/>
        </w:rPr>
        <w:t>Doctrina de la Agencia Nacional de Contratación Pública:</w:t>
      </w:r>
    </w:p>
    <w:p w14:paraId="0C503482" w14:textId="77777777" w:rsidR="00F67D88" w:rsidRPr="00F67D88" w:rsidRDefault="00F67D88" w:rsidP="00F67D88">
      <w:pPr>
        <w:tabs>
          <w:tab w:val="left" w:pos="142"/>
          <w:tab w:val="left" w:pos="284"/>
        </w:tabs>
        <w:spacing w:after="0" w:line="276" w:lineRule="auto"/>
        <w:jc w:val="both"/>
        <w:rPr>
          <w:rFonts w:ascii="Verdana" w:eastAsia="Century Gothic" w:hAnsi="Verdana" w:cs="Century Gothic"/>
          <w:b/>
          <w:bCs/>
          <w:lang w:val="es-ES"/>
        </w:rPr>
      </w:pPr>
    </w:p>
    <w:p w14:paraId="7BFB0450" w14:textId="77777777" w:rsidR="00F67D88" w:rsidRPr="00F67D88" w:rsidRDefault="00F67D88" w:rsidP="00F67D88">
      <w:pPr>
        <w:widowControl w:val="0"/>
        <w:autoSpaceDE w:val="0"/>
        <w:autoSpaceDN w:val="0"/>
        <w:spacing w:after="0" w:line="276" w:lineRule="auto"/>
        <w:jc w:val="both"/>
        <w:rPr>
          <w:rFonts w:ascii="Verdana" w:eastAsia="Calibri" w:hAnsi="Verdana" w:cs="Arial"/>
          <w:lang w:val="es-ES"/>
        </w:rPr>
      </w:pPr>
      <w:r w:rsidRPr="00F67D88">
        <w:rPr>
          <w:rFonts w:ascii="Verdana" w:eastAsia="Calibri" w:hAnsi="Verdana" w:cs="Arial"/>
          <w:lang w:val="es-ES"/>
        </w:rPr>
        <w:t xml:space="preserve">La Agencia Nacional de Contratación Pública − Colombia Compra Eficiente se ha pronunciado sobre la capacidad residual, y la forma como esta se debe acreditar, </w:t>
      </w:r>
      <w:r w:rsidRPr="00F67D88">
        <w:rPr>
          <w:rFonts w:ascii="Verdana" w:eastAsia="Calibri" w:hAnsi="Verdana" w:cs="Arial"/>
          <w:lang w:val="es-ES"/>
        </w:rPr>
        <w:lastRenderedPageBreak/>
        <w:t xml:space="preserve">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 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C-068 del 9 de marzo de 2022, </w:t>
      </w:r>
      <w:r w:rsidRPr="00F67D88">
        <w:rPr>
          <w:rFonts w:ascii="Verdana" w:eastAsia="Calibri" w:hAnsi="Verdana" w:cs="Arial"/>
        </w:rPr>
        <w:t xml:space="preserve">C-220 del 22 de abril de 2022, C-306 de 16 de mayo de 2022, C-351 de 23 de mayo de 2022, C-392 del 16 de junio de 2022, C-402 del 28 de junio de 2022, C-463 del 19 de julio de 2022, C-670 del 19 de octubre de 2022, C-615 del 19 de agosto de 2022, C-767 del 15 de noviembre de 2022, C-775 del 11 de noviembre de 2022, C-323 del 22 de septiembre de 2023, C-160 del 23 de julio de 2024, C-244 del 13 de agosto de 2024, C-412 del 11 de septiembre de 2024, C-671 del 13 de noviembre de 2024, C-863 del 26 de diciembre de 2024, C-899 del 30 de diciembre de 2024, C- 012 de 2025, C-033 del 19 de febrero de 2025, C-149 del 11 de marzo de 2025, C-438 del 15 de mayo de 2025 </w:t>
      </w:r>
      <w:r w:rsidRPr="00F67D88">
        <w:rPr>
          <w:rFonts w:ascii="Verdana" w:eastAsia="Calibri" w:hAnsi="Verdana" w:cs="Arial"/>
          <w:lang w:val="es-ES"/>
        </w:rPr>
        <w:t>entre otros.</w:t>
      </w:r>
    </w:p>
    <w:p w14:paraId="67E16DE4" w14:textId="77777777" w:rsidR="00F67D88" w:rsidRPr="00F67D88" w:rsidRDefault="00F67D88" w:rsidP="00F67D88">
      <w:pPr>
        <w:widowControl w:val="0"/>
        <w:autoSpaceDE w:val="0"/>
        <w:autoSpaceDN w:val="0"/>
        <w:spacing w:after="0" w:line="276" w:lineRule="auto"/>
        <w:jc w:val="both"/>
        <w:rPr>
          <w:rFonts w:ascii="Verdana" w:eastAsia="Calibri" w:hAnsi="Verdana" w:cs="Arial"/>
        </w:rPr>
      </w:pPr>
    </w:p>
    <w:p w14:paraId="4E41B558" w14:textId="77777777" w:rsidR="00F67D88" w:rsidRPr="00F67D88" w:rsidRDefault="00F67D88" w:rsidP="00F67D88">
      <w:pPr>
        <w:widowControl w:val="0"/>
        <w:autoSpaceDE w:val="0"/>
        <w:autoSpaceDN w:val="0"/>
        <w:spacing w:after="0" w:line="276" w:lineRule="auto"/>
        <w:jc w:val="both"/>
        <w:rPr>
          <w:rFonts w:ascii="Verdana" w:eastAsia="Calibri" w:hAnsi="Verdana" w:cs="Times New Roman"/>
          <w:kern w:val="2"/>
          <w:shd w:val="clear" w:color="auto" w:fill="FFFFFF"/>
          <w:lang w:val="es-ES"/>
          <w14:ligatures w14:val="standardContextual"/>
        </w:rPr>
      </w:pPr>
      <w:r w:rsidRPr="00F67D88">
        <w:rPr>
          <w:rFonts w:ascii="Verdana" w:eastAsia="Calibri" w:hAnsi="Verdana" w:cs="Times New Roman"/>
          <w:kern w:val="2"/>
          <w:shd w:val="clear" w:color="auto" w:fill="FFFFFF"/>
          <w:lang w:val="es-ES"/>
          <w14:ligatures w14:val="standardContextual"/>
        </w:rPr>
        <w:t xml:space="preserve">Por otra parte, la Agencia Nacional de Contratación Pública − Colombia Compra Eficiente se pronunció sobre las causales de rechazo incorporadas en los pliegos de condiciones, en los conceptos 2201913000007117 del 25 de septiembre de 2019, 2201913000009538 del 23 de diciembre de 2019, 20240531007971 del 31 de mayo de 2024, C- 716 del 30 de octubre de 2020, C-096 del 24 de marzo de 2021, C-056 del 20 de abril de 2021, C-078 del 15 de marzo de 2022, C-321 del 17 de mayo de 2022, C-113 del 22 de marzo de 2022, C-178, C-186 del 12 de abril de 2022, C-849 de 7 de diciembre de 2022, C- 053 de 28 de marzo de 2023, C-265 del 26 de julio de 2023, C-280 del 06 de junio de 2023, C-271 del 15 de agosto de 2023, C-406 del 2 de octubre de 2023, C-421 del 13 de septiembre de 2024, C-232 del 01 de abril de 2025 y C-419 del 22 de abril de 2025 entre otros. </w:t>
      </w:r>
    </w:p>
    <w:p w14:paraId="49D6D1ED" w14:textId="77777777" w:rsidR="00F67D88" w:rsidRPr="00F67D88" w:rsidRDefault="00F67D88" w:rsidP="00F67D88">
      <w:pPr>
        <w:widowControl w:val="0"/>
        <w:autoSpaceDE w:val="0"/>
        <w:autoSpaceDN w:val="0"/>
        <w:spacing w:after="0" w:line="276" w:lineRule="auto"/>
        <w:jc w:val="both"/>
        <w:rPr>
          <w:rFonts w:ascii="Verdana" w:eastAsia="Times New Roman" w:hAnsi="Verdana" w:cs="Arial"/>
          <w:shd w:val="clear" w:color="auto" w:fill="FFFFFF"/>
          <w:lang w:val="es-ES"/>
        </w:rPr>
      </w:pPr>
    </w:p>
    <w:p w14:paraId="51404C96" w14:textId="77777777" w:rsidR="00F67D88" w:rsidRPr="00F67D88" w:rsidRDefault="00F67D88" w:rsidP="00F67D88">
      <w:pPr>
        <w:widowControl w:val="0"/>
        <w:autoSpaceDE w:val="0"/>
        <w:autoSpaceDN w:val="0"/>
        <w:spacing w:after="0" w:line="276" w:lineRule="auto"/>
        <w:jc w:val="both"/>
        <w:rPr>
          <w:rFonts w:ascii="Verdana" w:eastAsia="Times New Roman" w:hAnsi="Verdana" w:cs="Arial"/>
          <w:shd w:val="clear" w:color="auto" w:fill="FFFFFF"/>
          <w:lang w:val="es-ES"/>
        </w:rPr>
      </w:pPr>
      <w:r w:rsidRPr="00F67D88">
        <w:rPr>
          <w:rFonts w:ascii="Verdana" w:eastAsia="Calibri" w:hAnsi="Verdana" w:cs="Arial"/>
          <w:color w:val="000000"/>
          <w:shd w:val="clear" w:color="auto" w:fill="FFFFFF"/>
        </w:rPr>
        <w:lastRenderedPageBreak/>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F67D88">
          <w:rPr>
            <w:rFonts w:ascii="Verdana" w:eastAsia="Calibri" w:hAnsi="Verdana" w:cs="Arial"/>
            <w:color w:val="000000"/>
            <w:u w:val="single"/>
            <w:shd w:val="clear" w:color="auto" w:fill="FFFFFF"/>
          </w:rPr>
          <w:t>https://relatoria.colombiacompra.gov.co/</w:t>
        </w:r>
      </w:hyperlink>
      <w:r w:rsidRPr="00F67D88">
        <w:rPr>
          <w:rFonts w:ascii="Verdana" w:eastAsia="Calibri" w:hAnsi="Verdana" w:cs="Arial"/>
          <w:color w:val="000000"/>
          <w:shd w:val="clear" w:color="auto" w:fill="FFFFFF"/>
        </w:rPr>
        <w:t> .</w:t>
      </w:r>
    </w:p>
    <w:p w14:paraId="2AC6E804" w14:textId="77777777" w:rsidR="00F67D88" w:rsidRPr="00F67D88" w:rsidRDefault="00F67D88" w:rsidP="00F67D88">
      <w:pPr>
        <w:spacing w:after="0" w:line="240" w:lineRule="auto"/>
        <w:jc w:val="both"/>
        <w:rPr>
          <w:rFonts w:ascii="Verdana" w:eastAsia="Calibri" w:hAnsi="Verdana" w:cs="Arial"/>
          <w:color w:val="000000"/>
          <w:shd w:val="clear" w:color="auto" w:fill="FFFFFF"/>
        </w:rPr>
      </w:pPr>
    </w:p>
    <w:p w14:paraId="2BBFACE8" w14:textId="77777777" w:rsidR="00F67D88" w:rsidRPr="00F67D88" w:rsidRDefault="00F67D88" w:rsidP="00F67D88">
      <w:pPr>
        <w:spacing w:after="0" w:line="240" w:lineRule="auto"/>
        <w:jc w:val="both"/>
        <w:rPr>
          <w:rFonts w:ascii="Verdana" w:eastAsia="Calibri" w:hAnsi="Verdana" w:cs="Arial"/>
          <w:color w:val="000000"/>
          <w:shd w:val="clear" w:color="auto" w:fill="FFFFFF"/>
        </w:rPr>
      </w:pPr>
      <w:r w:rsidRPr="00F67D88">
        <w:rPr>
          <w:rFonts w:ascii="Verdana" w:eastAsia="Calibri" w:hAnsi="Verdana" w:cs="Arial"/>
          <w:color w:val="000000"/>
          <w:shd w:val="clear" w:color="auto" w:fill="FFFFFF"/>
        </w:rPr>
        <w:t>La Agencia Nacional de Contratación Pública – Colombia Compra Eficiente invita a las Entidades Estatales, a los actores del Sistema de Compra Pública y a la ciudadanía en general a conocer y participar en la actualización de la </w:t>
      </w:r>
      <w:r w:rsidRPr="00F67D88">
        <w:rPr>
          <w:rFonts w:ascii="Verdana" w:eastAsia="Calibri" w:hAnsi="Verdana" w:cs="Arial"/>
          <w:b/>
          <w:bCs/>
          <w:i/>
          <w:iCs/>
          <w:color w:val="000000"/>
          <w:shd w:val="clear" w:color="auto" w:fill="FFFFFF"/>
        </w:rPr>
        <w:t>Guía para la Elaboración de Estudios del Sector</w:t>
      </w:r>
      <w:r w:rsidRPr="00F67D88">
        <w:rPr>
          <w:rFonts w:ascii="Verdana" w:eastAsia="Calibri" w:hAnsi="Verdana" w:cs="Arial"/>
          <w:color w:val="000000"/>
          <w:shd w:val="clear" w:color="auto" w:fill="FFFFFF"/>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hyperlink r:id="rId15" w:tooltip="Dirección URL original: https://www.colombiacompra.gov.co/archivos/convocatoria/participacion-ciudadana-proyecto-de-la-guia-para-la-elaboracion-de-estudios-del-sector. Haga clic o pulse si confía en este vínculo." w:history="1">
        <w:r w:rsidRPr="00F67D88">
          <w:rPr>
            <w:rFonts w:ascii="Verdana" w:eastAsia="Calibri" w:hAnsi="Verdana" w:cs="Arial"/>
            <w:color w:val="0000FF"/>
            <w:u w:val="single"/>
            <w:shd w:val="clear" w:color="auto" w:fill="FFFFFF"/>
          </w:rPr>
          <w:t>https://www.colombiacompra.gov.co/archivos/convocatoria/participacion-ciudadana-proyecto-de-la-guia-para-la-</w:t>
        </w:r>
      </w:hyperlink>
    </w:p>
    <w:p w14:paraId="735916BF" w14:textId="77777777" w:rsidR="00F67D88" w:rsidRPr="00F67D88" w:rsidRDefault="00F67D88" w:rsidP="00F67D88">
      <w:pPr>
        <w:spacing w:after="0" w:line="240" w:lineRule="auto"/>
        <w:jc w:val="both"/>
        <w:rPr>
          <w:rFonts w:ascii="Verdana" w:eastAsia="Calibri" w:hAnsi="Verdana" w:cs="Arial"/>
          <w:color w:val="000000"/>
          <w:shd w:val="clear" w:color="auto" w:fill="FFFFFF"/>
        </w:rPr>
      </w:pPr>
    </w:p>
    <w:p w14:paraId="3BCA8EC1" w14:textId="77777777" w:rsidR="00F67D88" w:rsidRPr="00F67D88" w:rsidRDefault="00F67D88" w:rsidP="00F67D88">
      <w:pPr>
        <w:spacing w:after="0" w:line="240" w:lineRule="auto"/>
        <w:jc w:val="both"/>
        <w:rPr>
          <w:rFonts w:ascii="Verdana" w:eastAsia="Calibri" w:hAnsi="Verdana" w:cs="Arial"/>
          <w:color w:val="000000"/>
          <w:u w:val="single"/>
          <w:shd w:val="clear" w:color="auto" w:fill="FFFFFF"/>
        </w:rPr>
      </w:pPr>
      <w:r w:rsidRPr="00F67D88">
        <w:rPr>
          <w:rFonts w:ascii="Verdana" w:eastAsia="Calibri" w:hAnsi="Verdana" w:cs="Arial"/>
          <w:color w:val="000000"/>
          <w:shd w:val="clear" w:color="auto" w:fill="FFFFFF"/>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6" w:tooltip="Dirección URL original: https://www.colombiacompra.gov.co/normativa-y-relatoria/documentos-tipo. Haga clic o pulse si confía en este vínculo." w:history="1">
        <w:r w:rsidRPr="00F67D88">
          <w:rPr>
            <w:rFonts w:ascii="Verdana" w:eastAsia="Calibri" w:hAnsi="Verdana" w:cs="Arial"/>
            <w:color w:val="0000FF"/>
            <w:u w:val="single"/>
            <w:shd w:val="clear" w:color="auto" w:fill="FFFFFF"/>
          </w:rPr>
          <w:t>Documentos Tipo – ANCP Colombia Compra Eficiente</w:t>
        </w:r>
      </w:hyperlink>
      <w:r w:rsidRPr="00F67D88">
        <w:rPr>
          <w:rFonts w:ascii="Verdana" w:eastAsia="Calibri" w:hAnsi="Verdana" w:cs="Arial"/>
          <w:color w:val="000000"/>
          <w:u w:val="single"/>
          <w:shd w:val="clear" w:color="auto" w:fill="FFFFFF"/>
        </w:rPr>
        <w:t> </w:t>
      </w:r>
    </w:p>
    <w:p w14:paraId="64D35535" w14:textId="77777777" w:rsidR="00F67D88" w:rsidRPr="00F67D88" w:rsidRDefault="00F67D88" w:rsidP="00F67D88">
      <w:pPr>
        <w:spacing w:after="0" w:line="240" w:lineRule="auto"/>
        <w:jc w:val="both"/>
        <w:rPr>
          <w:rFonts w:ascii="Verdana" w:eastAsia="Calibri" w:hAnsi="Verdana" w:cs="Arial"/>
          <w:color w:val="000000"/>
          <w:shd w:val="clear" w:color="auto" w:fill="FFFFFF"/>
        </w:rPr>
      </w:pPr>
    </w:p>
    <w:p w14:paraId="1A78BCF4" w14:textId="77777777" w:rsidR="00F67D88" w:rsidRPr="00F67D88" w:rsidRDefault="00F67D88" w:rsidP="00F67D88">
      <w:pPr>
        <w:spacing w:after="0" w:line="240" w:lineRule="auto"/>
        <w:jc w:val="both"/>
        <w:rPr>
          <w:rFonts w:ascii="Verdana" w:eastAsia="Calibri" w:hAnsi="Verdana" w:cs="Arial"/>
          <w:color w:val="000000"/>
          <w:shd w:val="clear" w:color="auto" w:fill="FFFFFF"/>
        </w:rPr>
      </w:pPr>
      <w:r w:rsidRPr="00F67D88">
        <w:rPr>
          <w:rFonts w:ascii="Verdana" w:eastAsia="Calibri" w:hAnsi="Verdana" w:cs="Arial"/>
          <w:color w:val="000000"/>
          <w:shd w:val="clear" w:color="auto" w:fill="FFFFFF"/>
        </w:rPr>
        <w:t>También le contamos que ya se encuentra disponible la </w:t>
      </w:r>
      <w:r w:rsidRPr="00F67D88">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F67D88">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F67D88">
        <w:rPr>
          <w:rFonts w:ascii="Verdana" w:eastAsia="Calibri" w:hAnsi="Verdana" w:cs="Arial"/>
          <w:color w:val="000000"/>
          <w:shd w:val="clear" w:color="auto" w:fill="FFFFFF"/>
        </w:rPr>
        <w:t>Wayúu</w:t>
      </w:r>
      <w:proofErr w:type="spellEnd"/>
      <w:r w:rsidRPr="00F67D88">
        <w:rPr>
          <w:rFonts w:ascii="Verdana" w:eastAsia="Calibri" w:hAnsi="Verdana" w:cs="Arial"/>
          <w:color w:val="000000"/>
          <w:shd w:val="clear" w:color="auto" w:fill="FFFFFF"/>
        </w:rPr>
        <w:t>. Puede consultar la guía en el siguiente enlace: </w:t>
      </w:r>
      <w:hyperlink r:id="rId17" w:tooltip="Dirección URL original: https://www.colombiacompra.gov.co/wp-content/uploads/2025/05/GUIA-DE-LINEAMIENTOS-DE-TRANSPARENCIA-Y-SELECCION-OBJETIVA-1.0.pdf. Haga clic o pulse si confía en este vínculo." w:history="1">
        <w:r w:rsidRPr="00F67D88">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F67D88">
        <w:rPr>
          <w:rFonts w:ascii="Verdana" w:eastAsia="Calibri" w:hAnsi="Verdana" w:cs="Arial"/>
          <w:color w:val="000000"/>
          <w:u w:val="single"/>
          <w:shd w:val="clear" w:color="auto" w:fill="FFFFFF"/>
        </w:rPr>
        <w:t>"</w:t>
      </w:r>
    </w:p>
    <w:p w14:paraId="24F5A94B" w14:textId="77777777" w:rsidR="00F67D88" w:rsidRPr="00F67D88" w:rsidRDefault="00F67D88" w:rsidP="00F67D88">
      <w:pPr>
        <w:spacing w:after="0"/>
        <w:jc w:val="both"/>
        <w:rPr>
          <w:rFonts w:ascii="Verdana" w:eastAsia="Aptos" w:hAnsi="Verdana" w:cs="Times New Roman"/>
          <w:color w:val="212121"/>
        </w:rPr>
      </w:pPr>
    </w:p>
    <w:p w14:paraId="7F6C751D" w14:textId="77777777" w:rsidR="00F67D88" w:rsidRPr="00F67D88" w:rsidRDefault="00F67D88" w:rsidP="00F67D88">
      <w:pPr>
        <w:spacing w:after="0" w:line="240" w:lineRule="auto"/>
        <w:jc w:val="both"/>
        <w:rPr>
          <w:rFonts w:ascii="Verdana" w:eastAsia="Calibri" w:hAnsi="Verdana" w:cs="Times New Roman"/>
        </w:rPr>
      </w:pPr>
      <w:r w:rsidRPr="00F67D88">
        <w:rPr>
          <w:rFonts w:ascii="Verdana" w:eastAsia="Aptos" w:hAnsi="Verdana" w:cs="Times New Roman"/>
        </w:rPr>
        <w:t xml:space="preserve">Por último, lo invitamos a seguirnos en las redes sociales en las cuales se difunde información institucional: </w:t>
      </w:r>
    </w:p>
    <w:p w14:paraId="7ED5D5B0" w14:textId="77777777" w:rsidR="00F67D88" w:rsidRPr="00F67D88" w:rsidRDefault="00F67D88" w:rsidP="00F67D88">
      <w:pPr>
        <w:spacing w:after="0" w:line="240" w:lineRule="auto"/>
        <w:jc w:val="both"/>
        <w:rPr>
          <w:rFonts w:ascii="Verdana" w:eastAsia="Aptos" w:hAnsi="Verdana" w:cs="Times New Roman"/>
        </w:rPr>
      </w:pPr>
    </w:p>
    <w:p w14:paraId="6C73C063" w14:textId="77777777" w:rsidR="00F67D88" w:rsidRPr="00F67D88" w:rsidRDefault="00F67D88" w:rsidP="00F67D88">
      <w:pPr>
        <w:spacing w:after="0" w:line="240" w:lineRule="auto"/>
        <w:jc w:val="both"/>
        <w:rPr>
          <w:rFonts w:ascii="Verdana" w:eastAsia="Aptos" w:hAnsi="Verdana" w:cs="Times New Roman"/>
        </w:rPr>
      </w:pPr>
      <w:r w:rsidRPr="00F67D88">
        <w:rPr>
          <w:rFonts w:ascii="Verdana" w:eastAsia="Aptos" w:hAnsi="Verdana" w:cs="Times New Roman"/>
        </w:rPr>
        <w:t xml:space="preserve">Twitter: </w:t>
      </w:r>
      <w:r w:rsidRPr="00F67D88">
        <w:rPr>
          <w:rFonts w:ascii="Verdana" w:eastAsia="Calibri" w:hAnsi="Verdana" w:cs="Times New Roman"/>
          <w:color w:val="156082"/>
          <w:u w:val="single"/>
        </w:rPr>
        <w:t>@colombiacompra</w:t>
      </w:r>
      <w:r w:rsidRPr="00F67D88">
        <w:rPr>
          <w:rFonts w:ascii="Verdana" w:eastAsia="Calibri" w:hAnsi="Verdana" w:cs="Times New Roman"/>
          <w:color w:val="156082"/>
        </w:rPr>
        <w:t xml:space="preserve"> </w:t>
      </w:r>
    </w:p>
    <w:p w14:paraId="2FA8951F" w14:textId="77777777" w:rsidR="00F67D88" w:rsidRPr="00F67D88" w:rsidRDefault="00F67D88" w:rsidP="00F67D88">
      <w:pPr>
        <w:spacing w:after="0" w:line="240" w:lineRule="auto"/>
        <w:jc w:val="both"/>
        <w:rPr>
          <w:rFonts w:ascii="Verdana" w:eastAsia="Aptos" w:hAnsi="Verdana" w:cs="Times New Roman"/>
        </w:rPr>
      </w:pPr>
      <w:r w:rsidRPr="00F67D88">
        <w:rPr>
          <w:rFonts w:ascii="Verdana" w:eastAsia="Aptos" w:hAnsi="Verdana" w:cs="Times New Roman"/>
        </w:rPr>
        <w:t xml:space="preserve">Facebook: </w:t>
      </w:r>
      <w:proofErr w:type="spellStart"/>
      <w:r w:rsidRPr="00F67D88">
        <w:rPr>
          <w:rFonts w:ascii="Verdana" w:eastAsia="Calibri" w:hAnsi="Verdana" w:cs="Times New Roman"/>
          <w:color w:val="156082"/>
          <w:u w:val="single"/>
        </w:rPr>
        <w:t>ColombiaCompraEficiente</w:t>
      </w:r>
      <w:proofErr w:type="spellEnd"/>
    </w:p>
    <w:p w14:paraId="716D832D" w14:textId="77777777" w:rsidR="00F67D88" w:rsidRPr="00F67D88" w:rsidRDefault="00F67D88" w:rsidP="00F67D88">
      <w:pPr>
        <w:spacing w:after="0" w:line="240" w:lineRule="auto"/>
        <w:jc w:val="both"/>
        <w:rPr>
          <w:rFonts w:ascii="Verdana" w:eastAsia="Aptos" w:hAnsi="Verdana" w:cs="Times New Roman"/>
        </w:rPr>
      </w:pPr>
      <w:r w:rsidRPr="00F67D88">
        <w:rPr>
          <w:rFonts w:ascii="Verdana" w:eastAsia="Aptos" w:hAnsi="Verdana" w:cs="Times New Roman"/>
        </w:rPr>
        <w:t xml:space="preserve">LinkedIn: </w:t>
      </w:r>
      <w:r w:rsidRPr="00F67D88">
        <w:rPr>
          <w:rFonts w:ascii="Verdana" w:eastAsia="Calibri" w:hAnsi="Verdana" w:cs="Times New Roman"/>
          <w:color w:val="156082"/>
          <w:u w:val="single"/>
        </w:rPr>
        <w:t>Agencia Nacional de Contratación Pública - Colombia Compra Eficiente</w:t>
      </w:r>
      <w:r w:rsidRPr="00F67D88">
        <w:rPr>
          <w:rFonts w:ascii="Verdana" w:eastAsia="Calibri" w:hAnsi="Verdana" w:cs="Times New Roman"/>
          <w:color w:val="156082"/>
        </w:rPr>
        <w:t xml:space="preserve"> </w:t>
      </w:r>
      <w:r w:rsidRPr="00F67D88">
        <w:rPr>
          <w:rFonts w:ascii="Verdana" w:eastAsia="Aptos" w:hAnsi="Verdana" w:cs="Times New Roman"/>
        </w:rPr>
        <w:t xml:space="preserve">Instagram: </w:t>
      </w:r>
      <w:r w:rsidRPr="00F67D88">
        <w:rPr>
          <w:rFonts w:ascii="Verdana" w:eastAsia="Calibri" w:hAnsi="Verdana" w:cs="Times New Roman"/>
          <w:color w:val="156082"/>
          <w:u w:val="single"/>
        </w:rPr>
        <w:t>@colombiacompraeficiente_cce</w:t>
      </w:r>
    </w:p>
    <w:p w14:paraId="114E490A" w14:textId="77777777" w:rsidR="00F67D88" w:rsidRPr="00F67D88" w:rsidRDefault="00F67D88" w:rsidP="00F67D88">
      <w:pPr>
        <w:widowControl w:val="0"/>
        <w:autoSpaceDE w:val="0"/>
        <w:autoSpaceDN w:val="0"/>
        <w:spacing w:after="0" w:line="276" w:lineRule="auto"/>
        <w:jc w:val="both"/>
        <w:rPr>
          <w:rFonts w:ascii="Verdana" w:eastAsia="Aptos" w:hAnsi="Verdana" w:cs="Times New Roman"/>
        </w:rPr>
      </w:pPr>
    </w:p>
    <w:p w14:paraId="0354C97F" w14:textId="77777777" w:rsidR="00F67D88" w:rsidRPr="00F67D88" w:rsidRDefault="00F67D88" w:rsidP="00F67D88">
      <w:pPr>
        <w:widowControl w:val="0"/>
        <w:autoSpaceDE w:val="0"/>
        <w:autoSpaceDN w:val="0"/>
        <w:spacing w:after="0" w:line="276" w:lineRule="auto"/>
        <w:jc w:val="both"/>
        <w:rPr>
          <w:rFonts w:ascii="Verdana" w:eastAsia="Calibri" w:hAnsi="Verdana" w:cs="Arial"/>
          <w:lang w:val="es-ES_tradnl"/>
        </w:rPr>
      </w:pPr>
      <w:r w:rsidRPr="00F67D88">
        <w:rPr>
          <w:rFonts w:ascii="Verdana" w:eastAsia="Calibri" w:hAnsi="Verdana" w:cs="Arial"/>
        </w:rPr>
        <w:t>Este concepto tiene el alcance previsto en el artículo 28 del Código de Procedimiento Administrativo y de lo Contencioso Administrativo.</w:t>
      </w:r>
    </w:p>
    <w:p w14:paraId="66C2BDD7" w14:textId="77777777" w:rsidR="00F67D88" w:rsidRPr="00F67D88" w:rsidRDefault="00F67D88" w:rsidP="00F67D88">
      <w:pPr>
        <w:widowControl w:val="0"/>
        <w:autoSpaceDE w:val="0"/>
        <w:autoSpaceDN w:val="0"/>
        <w:spacing w:after="0" w:line="276" w:lineRule="auto"/>
        <w:jc w:val="both"/>
        <w:rPr>
          <w:rFonts w:ascii="Verdana" w:eastAsia="Calibri" w:hAnsi="Verdana" w:cs="Arial"/>
        </w:rPr>
      </w:pPr>
    </w:p>
    <w:p w14:paraId="57F9BD7E" w14:textId="77777777" w:rsidR="00F67D88" w:rsidRPr="00F67D88" w:rsidRDefault="00F67D88" w:rsidP="00F67D88">
      <w:pPr>
        <w:spacing w:after="0" w:line="240" w:lineRule="auto"/>
        <w:rPr>
          <w:rFonts w:ascii="Verdana" w:eastAsia="Calibri" w:hAnsi="Verdana" w:cs="Arial"/>
          <w:lang w:eastAsia="es-CO"/>
        </w:rPr>
      </w:pPr>
      <w:r w:rsidRPr="00F67D88">
        <w:rPr>
          <w:rFonts w:ascii="Verdana" w:eastAsia="Times New Roman" w:hAnsi="Verdana" w:cs="Arial"/>
          <w:lang w:eastAsia="es-CO"/>
        </w:rPr>
        <w:t>Atentamente,</w:t>
      </w:r>
      <w:r w:rsidRPr="00F67D88">
        <w:rPr>
          <w:rFonts w:ascii="Verdana" w:eastAsia="Calibri" w:hAnsi="Verdana" w:cs="Arial"/>
          <w:lang w:eastAsia="es-CO"/>
        </w:rPr>
        <w:t xml:space="preserve"> </w:t>
      </w:r>
    </w:p>
    <w:p w14:paraId="22E77A32" w14:textId="77777777" w:rsidR="00F67D88" w:rsidRPr="00F67D88" w:rsidRDefault="00F67D88" w:rsidP="00F67D88">
      <w:pPr>
        <w:tabs>
          <w:tab w:val="left" w:pos="1320"/>
        </w:tabs>
        <w:rPr>
          <w:rFonts w:ascii="Verdana" w:eastAsia="Aptos" w:hAnsi="Verdana" w:cs="Times New Roman"/>
        </w:rPr>
      </w:pPr>
    </w:p>
    <w:p w14:paraId="25478777" w14:textId="7DD7D0EB" w:rsidR="00F67D88" w:rsidRPr="00F67D88" w:rsidRDefault="00572929" w:rsidP="00F67D88">
      <w:pPr>
        <w:tabs>
          <w:tab w:val="left" w:pos="1320"/>
        </w:tabs>
        <w:jc w:val="center"/>
        <w:rPr>
          <w:rFonts w:ascii="Verdana" w:eastAsia="Aptos" w:hAnsi="Verdana" w:cs="Times New Roman"/>
        </w:rPr>
      </w:pPr>
      <w:r w:rsidRPr="004D5C25">
        <w:rPr>
          <w:rFonts w:ascii="Century Gothic" w:hAnsi="Century Gothic"/>
          <w:noProof/>
        </w:rPr>
        <w:drawing>
          <wp:inline distT="0" distB="0" distL="0" distR="0" wp14:anchorId="5B76CD57" wp14:editId="77B07A1D">
            <wp:extent cx="3451728" cy="1481847"/>
            <wp:effectExtent l="0" t="0" r="3175" b="444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462961" cy="148666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67D88" w:rsidRPr="00F67D88" w14:paraId="6F14980F" w14:textId="77777777" w:rsidTr="003573D0">
        <w:trPr>
          <w:trHeight w:val="315"/>
        </w:trPr>
        <w:tc>
          <w:tcPr>
            <w:tcW w:w="893" w:type="dxa"/>
            <w:vAlign w:val="center"/>
            <w:hideMark/>
          </w:tcPr>
          <w:p w14:paraId="442495A8" w14:textId="77777777" w:rsidR="00F67D88" w:rsidRPr="00F67D88" w:rsidRDefault="00F67D88" w:rsidP="00F67D88">
            <w:pPr>
              <w:rPr>
                <w:rFonts w:ascii="Verdana" w:eastAsia="Calibri" w:hAnsi="Verdana" w:cs="Arial"/>
                <w:sz w:val="16"/>
                <w:szCs w:val="16"/>
                <w:lang w:val="es-ES_tradnl" w:eastAsia="es-ES"/>
              </w:rPr>
            </w:pPr>
            <w:r w:rsidRPr="00F67D88">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A8E1510" w14:textId="77777777" w:rsidR="00F67D88" w:rsidRPr="00F67D88" w:rsidRDefault="00F67D88" w:rsidP="00F67D88">
            <w:pPr>
              <w:rPr>
                <w:rFonts w:ascii="Verdana" w:eastAsia="Arial" w:hAnsi="Verdana" w:cs="Arial"/>
                <w:sz w:val="16"/>
                <w:szCs w:val="16"/>
                <w:lang w:val="es-ES"/>
              </w:rPr>
            </w:pPr>
            <w:r w:rsidRPr="00F67D88">
              <w:rPr>
                <w:rFonts w:ascii="Verdana" w:eastAsia="Arial" w:hAnsi="Verdana" w:cs="Arial"/>
                <w:sz w:val="16"/>
                <w:szCs w:val="16"/>
                <w:lang w:val="es-ES"/>
              </w:rPr>
              <w:t xml:space="preserve">Carlos Mario </w:t>
            </w:r>
            <w:proofErr w:type="spellStart"/>
            <w:r w:rsidRPr="00F67D88">
              <w:rPr>
                <w:rFonts w:ascii="Verdana" w:eastAsia="Arial" w:hAnsi="Verdana" w:cs="Arial"/>
                <w:sz w:val="16"/>
                <w:szCs w:val="16"/>
                <w:lang w:val="es-ES"/>
              </w:rPr>
              <w:t>Castrillon</w:t>
            </w:r>
            <w:proofErr w:type="spellEnd"/>
            <w:r w:rsidRPr="00F67D88">
              <w:rPr>
                <w:rFonts w:ascii="Verdana" w:eastAsia="Arial" w:hAnsi="Verdana" w:cs="Arial"/>
                <w:sz w:val="16"/>
                <w:szCs w:val="16"/>
                <w:lang w:val="es-ES"/>
              </w:rPr>
              <w:t xml:space="preserve"> Endo </w:t>
            </w:r>
          </w:p>
          <w:p w14:paraId="47CAE825" w14:textId="77777777" w:rsidR="00F67D88" w:rsidRPr="00F67D88" w:rsidRDefault="00F67D88" w:rsidP="00F67D88">
            <w:pPr>
              <w:rPr>
                <w:rFonts w:ascii="Verdana" w:eastAsia="Arial" w:hAnsi="Verdana" w:cs="Arial"/>
                <w:sz w:val="16"/>
                <w:szCs w:val="16"/>
                <w:lang w:val="es-ES_tradnl"/>
              </w:rPr>
            </w:pPr>
            <w:r w:rsidRPr="00F67D88">
              <w:rPr>
                <w:rFonts w:ascii="Verdana" w:eastAsia="Arial" w:hAnsi="Verdana" w:cs="Arial"/>
                <w:sz w:val="16"/>
                <w:szCs w:val="16"/>
                <w:lang w:val="es-ES_tradnl"/>
              </w:rPr>
              <w:t>Contratista de la Subdirección de Gestión Contractual</w:t>
            </w:r>
          </w:p>
          <w:p w14:paraId="4E38AB68" w14:textId="77777777" w:rsidR="00F67D88" w:rsidRPr="00F67D88" w:rsidRDefault="00F67D88" w:rsidP="00F67D88">
            <w:pPr>
              <w:rPr>
                <w:rFonts w:ascii="Verdana" w:eastAsia="Arial" w:hAnsi="Verdana" w:cs="Arial"/>
                <w:sz w:val="16"/>
                <w:szCs w:val="16"/>
                <w:lang w:val="es-ES_tradnl"/>
              </w:rPr>
            </w:pPr>
          </w:p>
        </w:tc>
      </w:tr>
      <w:tr w:rsidR="00F67D88" w:rsidRPr="00F67D88" w14:paraId="6408B7FF" w14:textId="77777777" w:rsidTr="003573D0">
        <w:trPr>
          <w:trHeight w:val="330"/>
        </w:trPr>
        <w:tc>
          <w:tcPr>
            <w:tcW w:w="893" w:type="dxa"/>
            <w:vAlign w:val="center"/>
            <w:hideMark/>
          </w:tcPr>
          <w:p w14:paraId="041A6B24" w14:textId="77777777" w:rsidR="00F67D88" w:rsidRPr="00F67D88" w:rsidRDefault="00F67D88" w:rsidP="00F67D88">
            <w:pPr>
              <w:rPr>
                <w:rFonts w:ascii="Verdana" w:eastAsia="Calibri" w:hAnsi="Verdana" w:cs="Arial"/>
                <w:sz w:val="16"/>
                <w:szCs w:val="16"/>
                <w:lang w:val="es-ES_tradnl" w:eastAsia="es-ES"/>
              </w:rPr>
            </w:pPr>
            <w:r w:rsidRPr="00F67D88">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048D08F1" w14:textId="77777777" w:rsidR="00F67D88" w:rsidRPr="00F67D88" w:rsidRDefault="00F67D88" w:rsidP="00F67D88">
            <w:pPr>
              <w:textAlignment w:val="baseline"/>
              <w:rPr>
                <w:rFonts w:ascii="Verdana" w:eastAsia="Times New Roman" w:hAnsi="Verdana" w:cs="Segoe UI"/>
                <w:sz w:val="16"/>
                <w:szCs w:val="16"/>
                <w:lang w:val="es-ES_tradnl" w:eastAsia="es-ES_tradnl"/>
              </w:rPr>
            </w:pPr>
            <w:r w:rsidRPr="00F67D88">
              <w:rPr>
                <w:rFonts w:ascii="Verdana" w:eastAsia="Times New Roman" w:hAnsi="Verdana" w:cs="Segoe UI"/>
                <w:sz w:val="16"/>
                <w:szCs w:val="16"/>
                <w:lang w:val="es-ES_tradnl" w:eastAsia="es-ES_tradnl"/>
              </w:rPr>
              <w:t xml:space="preserve">Juan David Cárdenas Cabeza </w:t>
            </w:r>
          </w:p>
          <w:p w14:paraId="319CB641" w14:textId="77777777" w:rsidR="00F67D88" w:rsidRPr="00F67D88" w:rsidRDefault="00F67D88" w:rsidP="00F67D88">
            <w:pPr>
              <w:textAlignment w:val="baseline"/>
              <w:rPr>
                <w:rFonts w:ascii="Verdana" w:eastAsia="Times New Roman" w:hAnsi="Verdana" w:cs="Segoe UI"/>
                <w:sz w:val="16"/>
                <w:szCs w:val="16"/>
                <w:lang w:val="es-ES_tradnl" w:eastAsia="es-ES_tradnl"/>
              </w:rPr>
            </w:pPr>
            <w:r w:rsidRPr="00F67D88">
              <w:rPr>
                <w:rFonts w:ascii="Verdana" w:eastAsia="Times New Roman" w:hAnsi="Verdana" w:cs="Arial"/>
                <w:sz w:val="16"/>
                <w:szCs w:val="16"/>
                <w:lang w:val="es-ES_tradnl" w:eastAsia="es-ES_tradnl"/>
              </w:rPr>
              <w:t>Contratista de la Subdirección de Gestión Contractual </w:t>
            </w:r>
          </w:p>
        </w:tc>
      </w:tr>
      <w:tr w:rsidR="00F67D88" w:rsidRPr="00F67D88" w14:paraId="764EB8F2" w14:textId="77777777" w:rsidTr="003573D0">
        <w:trPr>
          <w:trHeight w:val="300"/>
        </w:trPr>
        <w:tc>
          <w:tcPr>
            <w:tcW w:w="893" w:type="dxa"/>
            <w:vAlign w:val="center"/>
          </w:tcPr>
          <w:p w14:paraId="3D87B06A" w14:textId="77777777" w:rsidR="00F67D88" w:rsidRPr="00F67D88" w:rsidRDefault="00F67D88" w:rsidP="00F67D88">
            <w:pPr>
              <w:rPr>
                <w:rFonts w:ascii="Verdana" w:eastAsia="Calibri" w:hAnsi="Verdana" w:cs="Arial"/>
                <w:sz w:val="16"/>
                <w:szCs w:val="16"/>
                <w:lang w:val="es-ES_tradnl" w:eastAsia="es-ES"/>
              </w:rPr>
            </w:pPr>
            <w:r w:rsidRPr="00F67D88">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1987B93D" w14:textId="77777777" w:rsidR="00F67D88" w:rsidRPr="00F67D88" w:rsidRDefault="00F67D88" w:rsidP="00F67D88">
            <w:pPr>
              <w:rPr>
                <w:rFonts w:ascii="Verdana" w:eastAsia="Calibri" w:hAnsi="Verdana" w:cs="Arial"/>
                <w:sz w:val="16"/>
                <w:szCs w:val="16"/>
                <w:lang w:val="es-ES" w:eastAsia="es-ES"/>
              </w:rPr>
            </w:pPr>
            <w:r w:rsidRPr="00F67D88">
              <w:rPr>
                <w:rFonts w:ascii="Verdana" w:eastAsia="Calibri" w:hAnsi="Verdana" w:cs="Arial"/>
                <w:sz w:val="16"/>
                <w:szCs w:val="16"/>
                <w:lang w:val="es-ES" w:eastAsia="es-ES"/>
              </w:rPr>
              <w:t xml:space="preserve">Carolina Quintero </w:t>
            </w:r>
            <w:proofErr w:type="spellStart"/>
            <w:r w:rsidRPr="00F67D88">
              <w:rPr>
                <w:rFonts w:ascii="Verdana" w:eastAsia="Calibri" w:hAnsi="Verdana" w:cs="Arial"/>
                <w:sz w:val="16"/>
                <w:szCs w:val="16"/>
                <w:lang w:val="es-ES" w:eastAsia="es-ES"/>
              </w:rPr>
              <w:t>Gacharná</w:t>
            </w:r>
            <w:proofErr w:type="spellEnd"/>
          </w:p>
          <w:p w14:paraId="06DA0DC3" w14:textId="77777777" w:rsidR="00F67D88" w:rsidRPr="00F67D88" w:rsidRDefault="00F67D88" w:rsidP="00F67D88">
            <w:pPr>
              <w:rPr>
                <w:rFonts w:ascii="Verdana" w:eastAsia="Calibri" w:hAnsi="Verdana" w:cs="Arial"/>
                <w:sz w:val="16"/>
                <w:szCs w:val="16"/>
                <w:lang w:val="es-ES_tradnl" w:eastAsia="es-ES"/>
              </w:rPr>
            </w:pPr>
            <w:r w:rsidRPr="00F67D88">
              <w:rPr>
                <w:rFonts w:ascii="Verdana" w:eastAsia="Calibri" w:hAnsi="Verdana" w:cs="Arial"/>
                <w:sz w:val="16"/>
                <w:szCs w:val="16"/>
                <w:lang w:val="es-ES_tradnl" w:eastAsia="es-ES"/>
              </w:rPr>
              <w:t>Subdirectora de Gestión Contractual ANCP – CCE</w:t>
            </w:r>
          </w:p>
        </w:tc>
      </w:tr>
      <w:bookmarkEnd w:id="0"/>
    </w:tbl>
    <w:p w14:paraId="451A0437" w14:textId="77777777" w:rsidR="00F67D88" w:rsidRPr="00F67D88" w:rsidRDefault="00F67D88" w:rsidP="00F67D88">
      <w:pPr>
        <w:tabs>
          <w:tab w:val="left" w:pos="1320"/>
        </w:tabs>
        <w:rPr>
          <w:rFonts w:ascii="Verdana" w:eastAsia="Aptos" w:hAnsi="Verdana" w:cs="Times New Roman"/>
        </w:rPr>
      </w:pPr>
    </w:p>
    <w:p w14:paraId="3900974D" w14:textId="77777777" w:rsidR="003D5B0D" w:rsidRPr="009D24A1" w:rsidRDefault="003D5B0D" w:rsidP="009D24A1"/>
    <w:sectPr w:rsidR="003D5B0D" w:rsidRPr="009D24A1"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
    <w:altName w:val="Arial"/>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22820FEC" w14:textId="77777777" w:rsidR="00A446F7" w:rsidRDefault="00A446F7">
    <w:pPr>
      <w:pStyle w:val="Piedepgina"/>
    </w:pPr>
  </w:p>
  <w:p w14:paraId="4B8173DD" w14:textId="77777777" w:rsidR="00A446F7" w:rsidRDefault="00A446F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F67D88">
      <w:rPr>
        <w:rFonts w:ascii="Verdana" w:eastAsia="Times New Roman" w:hAnsi="Verdana" w:cs="Times New Roman"/>
        <w:b/>
        <w:bCs/>
        <w:sz w:val="16"/>
        <w:szCs w:val="16"/>
        <w:lang w:val="es-ES"/>
      </w:rPr>
      <w:t xml:space="preserve">pág. </w:t>
    </w:r>
    <w:r w:rsidRPr="00F67D88">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F67D88">
      <w:rPr>
        <w:rFonts w:ascii="Verdana" w:eastAsia="Times New Roman" w:hAnsi="Verdana"/>
        <w:b/>
        <w:bCs/>
        <w:sz w:val="16"/>
        <w:szCs w:val="16"/>
      </w:rPr>
      <w:fldChar w:fldCharType="separate"/>
    </w:r>
    <w:r w:rsidRPr="00F67D88">
      <w:rPr>
        <w:rFonts w:ascii="Verdana" w:eastAsia="Times New Roman" w:hAnsi="Verdana"/>
        <w:b/>
        <w:bCs/>
        <w:sz w:val="16"/>
        <w:szCs w:val="16"/>
      </w:rPr>
      <w:t>1</w:t>
    </w:r>
    <w:r w:rsidRPr="00F67D88">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68394365" w14:textId="77777777" w:rsidR="00F67D88" w:rsidRPr="00F67D88" w:rsidRDefault="00F67D88" w:rsidP="00F67D88">
      <w:pPr>
        <w:pStyle w:val="NormalWeb"/>
        <w:spacing w:before="0" w:beforeAutospacing="0" w:after="120" w:afterAutospacing="0"/>
        <w:ind w:firstLine="708"/>
        <w:jc w:val="both"/>
        <w:rPr>
          <w:rFonts w:ascii="Verdana" w:hAnsi="Verdana" w:cs="Arial"/>
          <w:color w:val="000000"/>
          <w:sz w:val="18"/>
          <w:szCs w:val="18"/>
        </w:rPr>
      </w:pPr>
      <w:r w:rsidRPr="00F67D88">
        <w:rPr>
          <w:rStyle w:val="Refdenotaalpie"/>
          <w:rFonts w:ascii="Verdana" w:hAnsi="Verdana" w:cs="Arial"/>
          <w:color w:val="000000"/>
          <w:sz w:val="18"/>
          <w:szCs w:val="18"/>
        </w:rPr>
        <w:footnoteRef/>
      </w:r>
      <w:r w:rsidRPr="00F67D88">
        <w:rPr>
          <w:rFonts w:ascii="Verdana" w:hAnsi="Verdana" w:cs="Arial"/>
          <w:color w:val="000000"/>
          <w:sz w:val="18"/>
          <w:szCs w:val="18"/>
        </w:rPr>
        <w:t xml:space="preserve"> Ley 2022 de 2020: “</w:t>
      </w:r>
      <w:r w:rsidRPr="00F67D88">
        <w:rPr>
          <w:rStyle w:val="Textoennegrita"/>
          <w:rFonts w:ascii="Verdana" w:hAnsi="Verdana" w:cs="Arial"/>
          <w:color w:val="000000"/>
          <w:sz w:val="18"/>
          <w:szCs w:val="18"/>
        </w:rPr>
        <w:t xml:space="preserve">Artículo 1º. </w:t>
      </w:r>
      <w:r w:rsidRPr="00F67D88">
        <w:rPr>
          <w:rFonts w:ascii="Verdana" w:hAnsi="Verdana" w:cs="Arial"/>
          <w:color w:val="000000"/>
          <w:sz w:val="18"/>
          <w:szCs w:val="18"/>
        </w:rPr>
        <w:t>Modifíquese el artículo 4º de la Ley 1882 de 2018, el cual quedará así:</w:t>
      </w:r>
    </w:p>
    <w:p w14:paraId="77DB69C8" w14:textId="77777777" w:rsidR="00F67D88" w:rsidRPr="00F67D88" w:rsidRDefault="00F67D88" w:rsidP="00F67D88">
      <w:pPr>
        <w:pStyle w:val="NormalWeb"/>
        <w:spacing w:before="0" w:beforeAutospacing="0" w:after="120" w:afterAutospacing="0"/>
        <w:ind w:firstLine="708"/>
        <w:jc w:val="both"/>
        <w:rPr>
          <w:rFonts w:ascii="Verdana" w:hAnsi="Verdana" w:cs="Arial"/>
          <w:color w:val="000000"/>
          <w:sz w:val="18"/>
          <w:szCs w:val="18"/>
        </w:rPr>
      </w:pPr>
      <w:r w:rsidRPr="00F67D88">
        <w:rPr>
          <w:rStyle w:val="Textoennegrita"/>
          <w:rFonts w:ascii="Verdana" w:hAnsi="Verdana" w:cs="Arial"/>
          <w:color w:val="000000"/>
          <w:sz w:val="18"/>
          <w:szCs w:val="18"/>
        </w:rPr>
        <w:t xml:space="preserve">“Artículo 4º. </w:t>
      </w:r>
      <w:r w:rsidRPr="00F67D88">
        <w:rPr>
          <w:rFonts w:ascii="Verdana" w:hAnsi="Verdana" w:cs="Arial"/>
          <w:color w:val="000000"/>
          <w:sz w:val="18"/>
          <w:szCs w:val="18"/>
        </w:rPr>
        <w:t>Adiciónese el siguiente parágrafo al artículo 2º de la Ley 1150 de 2007.</w:t>
      </w:r>
    </w:p>
    <w:p w14:paraId="377613AB" w14:textId="77777777" w:rsidR="00F67D88" w:rsidRPr="00F67D88" w:rsidRDefault="00F67D88" w:rsidP="00F67D88">
      <w:pPr>
        <w:pStyle w:val="NormalWeb"/>
        <w:spacing w:before="0" w:beforeAutospacing="0" w:after="120" w:afterAutospacing="0"/>
        <w:ind w:firstLine="708"/>
        <w:jc w:val="both"/>
        <w:rPr>
          <w:rFonts w:ascii="Verdana" w:hAnsi="Verdana" w:cs="Arial"/>
          <w:color w:val="000000"/>
          <w:sz w:val="18"/>
          <w:szCs w:val="18"/>
        </w:rPr>
      </w:pPr>
      <w:r w:rsidRPr="00F67D88">
        <w:rPr>
          <w:rStyle w:val="Textoennegrita"/>
          <w:rFonts w:ascii="Verdana" w:hAnsi="Verdana" w:cs="Arial"/>
          <w:color w:val="000000"/>
          <w:sz w:val="18"/>
          <w:szCs w:val="18"/>
        </w:rPr>
        <w:t xml:space="preserve">Parágrafo 7º. </w:t>
      </w:r>
      <w:r w:rsidRPr="00F67D88">
        <w:rPr>
          <w:rFonts w:ascii="Verdana" w:hAnsi="Verdana" w:cs="Arial"/>
          <w:color w:val="000000"/>
          <w:sz w:val="18"/>
          <w:szCs w:val="18"/>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7DD6442" w14:textId="77777777" w:rsidR="00F67D88" w:rsidRPr="00F67D88" w:rsidRDefault="00F67D88" w:rsidP="00F67D88">
      <w:pPr>
        <w:pStyle w:val="NormalWeb"/>
        <w:spacing w:before="0" w:beforeAutospacing="0" w:after="120" w:afterAutospacing="0"/>
        <w:ind w:firstLine="708"/>
        <w:jc w:val="both"/>
        <w:rPr>
          <w:rFonts w:ascii="Verdana" w:hAnsi="Verdana" w:cs="Arial"/>
          <w:color w:val="000000"/>
          <w:sz w:val="18"/>
          <w:szCs w:val="18"/>
        </w:rPr>
      </w:pPr>
      <w:r w:rsidRPr="00F67D88">
        <w:rPr>
          <w:rFonts w:ascii="Verdana" w:hAnsi="Verdana"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35C095A" w14:textId="77777777" w:rsidR="00F67D88" w:rsidRPr="00F67D88" w:rsidRDefault="00F67D88" w:rsidP="00F67D88">
      <w:pPr>
        <w:pStyle w:val="NormalWeb"/>
        <w:spacing w:before="0" w:beforeAutospacing="0" w:after="120" w:afterAutospacing="0"/>
        <w:ind w:firstLine="708"/>
        <w:jc w:val="both"/>
        <w:rPr>
          <w:rFonts w:ascii="Verdana" w:hAnsi="Verdana" w:cs="Arial"/>
          <w:color w:val="000000"/>
          <w:sz w:val="18"/>
          <w:szCs w:val="18"/>
        </w:rPr>
      </w:pPr>
      <w:r w:rsidRPr="00F67D88">
        <w:rPr>
          <w:rFonts w:ascii="Verdana" w:hAnsi="Verdana"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CDF7F36" w14:textId="77777777" w:rsidR="00F67D88" w:rsidRPr="00F67D88" w:rsidRDefault="00F67D88" w:rsidP="00F67D88">
      <w:pPr>
        <w:pStyle w:val="NormalWeb"/>
        <w:spacing w:before="0" w:beforeAutospacing="0" w:after="120" w:afterAutospacing="0"/>
        <w:ind w:firstLine="708"/>
        <w:jc w:val="both"/>
        <w:rPr>
          <w:rFonts w:ascii="Verdana" w:hAnsi="Verdana" w:cs="Arial"/>
          <w:color w:val="000000"/>
          <w:sz w:val="18"/>
          <w:szCs w:val="18"/>
        </w:rPr>
      </w:pPr>
      <w:r w:rsidRPr="00F67D88">
        <w:rPr>
          <w:rFonts w:ascii="Verdana" w:hAnsi="Verdana"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5201954" w14:textId="77777777" w:rsidR="00F67D88" w:rsidRPr="00F67D88" w:rsidRDefault="00F67D88" w:rsidP="00F67D88">
      <w:pPr>
        <w:pStyle w:val="NormalWeb"/>
        <w:spacing w:before="0" w:beforeAutospacing="0" w:after="120" w:afterAutospacing="0"/>
        <w:ind w:firstLine="708"/>
        <w:jc w:val="both"/>
        <w:rPr>
          <w:rFonts w:ascii="Verdana" w:hAnsi="Verdana" w:cs="Arial"/>
          <w:color w:val="000000"/>
          <w:sz w:val="18"/>
          <w:szCs w:val="18"/>
        </w:rPr>
      </w:pPr>
      <w:r w:rsidRPr="00F67D88">
        <w:rPr>
          <w:rFonts w:ascii="Verdana" w:hAnsi="Verdana"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2">
    <w:p w14:paraId="2B7875C5" w14:textId="77777777" w:rsidR="00F67D88" w:rsidRPr="001741DD" w:rsidRDefault="00F67D88" w:rsidP="00F67D88">
      <w:pPr>
        <w:pStyle w:val="Textonotapie"/>
        <w:spacing w:after="120"/>
        <w:ind w:firstLine="709"/>
        <w:jc w:val="both"/>
        <w:rPr>
          <w:rFonts w:ascii="Verdana" w:eastAsia="Calibri" w:hAnsi="Verdana" w:cs="Arial"/>
          <w:color w:val="000000"/>
          <w:sz w:val="18"/>
          <w:szCs w:val="18"/>
        </w:rPr>
      </w:pPr>
      <w:r w:rsidRPr="001741DD">
        <w:rPr>
          <w:rStyle w:val="Refdenotaalpie"/>
          <w:rFonts w:ascii="Verdana" w:hAnsi="Verdana" w:cs="Arial"/>
          <w:color w:val="000000"/>
          <w:sz w:val="18"/>
          <w:szCs w:val="18"/>
        </w:rPr>
        <w:footnoteRef/>
      </w:r>
      <w:r w:rsidRPr="001741DD">
        <w:rPr>
          <w:rFonts w:ascii="Verdana" w:hAnsi="Verdana" w:cs="Arial"/>
          <w:color w:val="000000"/>
          <w:sz w:val="18"/>
          <w:szCs w:val="18"/>
        </w:rPr>
        <w:t xml:space="preserve"> </w:t>
      </w:r>
      <w:r w:rsidRPr="001741DD">
        <w:rPr>
          <w:rFonts w:ascii="Verdana" w:eastAsia="Calibri" w:hAnsi="Verdana" w:cs="Arial"/>
          <w:color w:val="000000"/>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474AE0A1" w14:textId="77777777" w:rsidR="00F67D88" w:rsidRPr="001741DD" w:rsidRDefault="00F67D88" w:rsidP="00F67D88">
      <w:pPr>
        <w:pStyle w:val="Textonotapie"/>
        <w:spacing w:after="120"/>
        <w:ind w:firstLine="709"/>
        <w:jc w:val="both"/>
        <w:rPr>
          <w:rFonts w:ascii="Verdana" w:eastAsia="Calibri" w:hAnsi="Verdana" w:cs="Arial"/>
          <w:color w:val="000000"/>
          <w:sz w:val="18"/>
          <w:szCs w:val="18"/>
        </w:rPr>
      </w:pPr>
      <w:r w:rsidRPr="001741DD">
        <w:rPr>
          <w:rFonts w:ascii="Verdana" w:eastAsia="Calibri" w:hAnsi="Verdana" w:cs="Arial"/>
          <w:color w:val="000000"/>
          <w:sz w:val="18"/>
          <w:szCs w:val="18"/>
        </w:rPr>
        <w:t>[…]</w:t>
      </w:r>
    </w:p>
    <w:p w14:paraId="1E986711" w14:textId="77777777" w:rsidR="00F67D88" w:rsidRPr="001741DD" w:rsidRDefault="00F67D88" w:rsidP="00F67D88">
      <w:pPr>
        <w:pStyle w:val="Textonotapie"/>
        <w:spacing w:after="120"/>
        <w:ind w:firstLine="709"/>
        <w:jc w:val="both"/>
        <w:rPr>
          <w:rFonts w:ascii="Verdana" w:hAnsi="Verdana" w:cs="Arial"/>
          <w:color w:val="000000"/>
          <w:sz w:val="18"/>
          <w:szCs w:val="18"/>
          <w:lang w:val="es-CO"/>
        </w:rPr>
      </w:pPr>
      <w:r w:rsidRPr="001741DD">
        <w:rPr>
          <w:rFonts w:ascii="Verdana" w:eastAsia="Calibri" w:hAnsi="Verdana" w:cs="Arial"/>
          <w:color w:val="000000"/>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1741DD">
        <w:rPr>
          <w:rFonts w:ascii="Verdana" w:hAnsi="Verdana" w:cs="Arial"/>
          <w:color w:val="000000"/>
          <w:sz w:val="18"/>
          <w:szCs w:val="18"/>
          <w:lang w:val="es-CO"/>
        </w:rPr>
        <w:t xml:space="preserve"> </w:t>
      </w:r>
    </w:p>
  </w:footnote>
  <w:footnote w:id="3">
    <w:p w14:paraId="57B6C433" w14:textId="77777777" w:rsidR="00F67D88" w:rsidRPr="001741DD" w:rsidRDefault="00F67D88" w:rsidP="00F67D88">
      <w:pPr>
        <w:pStyle w:val="Textonotapie"/>
        <w:spacing w:after="120"/>
        <w:ind w:firstLine="709"/>
        <w:jc w:val="both"/>
        <w:rPr>
          <w:rFonts w:ascii="Verdana" w:hAnsi="Verdana" w:cs="Arial"/>
          <w:color w:val="000000"/>
          <w:sz w:val="18"/>
          <w:szCs w:val="18"/>
          <w:lang w:val="es-CO"/>
        </w:rPr>
      </w:pPr>
      <w:r w:rsidRPr="001741DD">
        <w:rPr>
          <w:rFonts w:ascii="Verdana" w:eastAsia="Calibri" w:hAnsi="Verdana" w:cs="Arial"/>
          <w:color w:val="000000"/>
          <w:sz w:val="18"/>
          <w:szCs w:val="18"/>
          <w:vertAlign w:val="superscript"/>
        </w:rPr>
        <w:footnoteRef/>
      </w:r>
      <w:r w:rsidRPr="001741DD">
        <w:rPr>
          <w:rFonts w:ascii="Verdana" w:eastAsia="Calibri" w:hAnsi="Verdana" w:cs="Arial"/>
          <w:color w:val="000000"/>
          <w:sz w:val="18"/>
          <w:szCs w:val="18"/>
          <w:vertAlign w:val="superscript"/>
        </w:rPr>
        <w:t xml:space="preserve"> </w:t>
      </w:r>
      <w:r w:rsidRPr="001741DD">
        <w:rPr>
          <w:rFonts w:ascii="Verdana" w:eastAsia="Calibri" w:hAnsi="Verdana" w:cs="Arial"/>
          <w:color w:val="000000"/>
          <w:sz w:val="18"/>
          <w:szCs w:val="18"/>
        </w:rPr>
        <w:t xml:space="preserve">Consejo de Estado. Sección Tercera. Sentencia del 26 de junio de 2003. Rad. 13.354. C.P: María Elena Giraldo Gómez. </w:t>
      </w:r>
    </w:p>
  </w:footnote>
  <w:footnote w:id="4">
    <w:p w14:paraId="1991CE3E" w14:textId="77777777" w:rsidR="00F67D88" w:rsidRPr="001741DD" w:rsidRDefault="00F67D88" w:rsidP="00F67D88">
      <w:pPr>
        <w:pStyle w:val="NormalWeb"/>
        <w:shd w:val="clear" w:color="auto" w:fill="FFFFFF"/>
        <w:spacing w:after="120"/>
        <w:ind w:firstLine="709"/>
        <w:jc w:val="both"/>
        <w:rPr>
          <w:rFonts w:ascii="Verdana" w:hAnsi="Verdana" w:cs="Arial"/>
          <w:sz w:val="18"/>
          <w:szCs w:val="18"/>
        </w:rPr>
      </w:pPr>
      <w:r w:rsidRPr="001741DD">
        <w:rPr>
          <w:rStyle w:val="Refdenotaalpie"/>
          <w:rFonts w:ascii="Verdana" w:hAnsi="Verdana" w:cs="Arial"/>
          <w:sz w:val="18"/>
          <w:szCs w:val="18"/>
          <w:lang w:val="es-MX"/>
        </w:rPr>
        <w:footnoteRef/>
      </w:r>
      <w:r w:rsidRPr="001741DD">
        <w:rPr>
          <w:rStyle w:val="Refdenotaalpie"/>
          <w:rFonts w:ascii="Verdana" w:hAnsi="Verdana" w:cs="Arial"/>
          <w:sz w:val="18"/>
          <w:szCs w:val="18"/>
          <w:lang w:val="es-MX"/>
        </w:rPr>
        <w:t xml:space="preserve"> </w:t>
      </w:r>
      <w:r w:rsidRPr="001741DD">
        <w:rPr>
          <w:rFonts w:ascii="Verdana" w:hAnsi="Verdana" w:cs="Arial"/>
          <w:sz w:val="18"/>
          <w:szCs w:val="18"/>
        </w:rPr>
        <w:t>“Artículo 2.2.1.1.1.6.4. Capacidad Residual: El interesado en celebrar contratos de obra pública con Entidades Estatales debe acreditar su Capacidad Residual o K de Contratación con los siguientes documentos:</w:t>
      </w:r>
    </w:p>
    <w:p w14:paraId="09A1E1B7" w14:textId="77777777" w:rsidR="00F67D88" w:rsidRPr="001741DD" w:rsidRDefault="00F67D88" w:rsidP="00F67D88">
      <w:pPr>
        <w:shd w:val="clear" w:color="auto" w:fill="FFFFFF"/>
        <w:spacing w:after="120"/>
        <w:ind w:firstLine="709"/>
        <w:jc w:val="both"/>
        <w:rPr>
          <w:rFonts w:ascii="Verdana" w:hAnsi="Verdana" w:cs="Arial"/>
          <w:sz w:val="18"/>
          <w:szCs w:val="18"/>
        </w:rPr>
      </w:pPr>
      <w:r w:rsidRPr="001741DD">
        <w:rPr>
          <w:rFonts w:ascii="Verdana" w:hAnsi="Verdana"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225CDE02" w14:textId="77777777" w:rsidR="00F67D88" w:rsidRPr="001741DD" w:rsidRDefault="00F67D88" w:rsidP="00F67D88">
      <w:pPr>
        <w:shd w:val="clear" w:color="auto" w:fill="FFFFFF"/>
        <w:spacing w:after="120"/>
        <w:ind w:firstLine="709"/>
        <w:jc w:val="both"/>
        <w:rPr>
          <w:rFonts w:ascii="Verdana" w:hAnsi="Verdana" w:cs="Arial"/>
          <w:sz w:val="18"/>
          <w:szCs w:val="18"/>
        </w:rPr>
      </w:pPr>
      <w:r w:rsidRPr="001741DD">
        <w:rPr>
          <w:rFonts w:ascii="Verdana" w:hAnsi="Verdana"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FBDB2DD" w14:textId="77777777" w:rsidR="00F67D88" w:rsidRPr="001741DD" w:rsidRDefault="00F67D88" w:rsidP="00F67D88">
      <w:pPr>
        <w:shd w:val="clear" w:color="auto" w:fill="FFFFFF"/>
        <w:spacing w:after="120"/>
        <w:ind w:firstLine="709"/>
        <w:jc w:val="both"/>
        <w:rPr>
          <w:rFonts w:ascii="Verdana" w:hAnsi="Verdana" w:cs="Arial"/>
          <w:sz w:val="18"/>
          <w:szCs w:val="18"/>
        </w:rPr>
      </w:pPr>
      <w:r w:rsidRPr="001741DD">
        <w:rPr>
          <w:rFonts w:ascii="Verdana" w:hAnsi="Verdana"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0B83B4B6" w14:textId="77777777" w:rsidR="00F67D88" w:rsidRPr="001741DD" w:rsidRDefault="00F67D88" w:rsidP="00F67D88">
      <w:pPr>
        <w:pStyle w:val="Textonotapie"/>
        <w:spacing w:after="120"/>
        <w:ind w:firstLine="709"/>
        <w:jc w:val="both"/>
        <w:rPr>
          <w:rFonts w:ascii="Verdana" w:hAnsi="Verdana" w:cs="Arial"/>
          <w:sz w:val="18"/>
          <w:szCs w:val="18"/>
        </w:rPr>
      </w:pPr>
      <w:r w:rsidRPr="001741DD">
        <w:rPr>
          <w:rStyle w:val="Refdenotaalpie"/>
          <w:rFonts w:ascii="Verdana" w:hAnsi="Verdana" w:cs="Arial"/>
          <w:sz w:val="18"/>
          <w:szCs w:val="18"/>
        </w:rPr>
        <w:footnoteRef/>
      </w:r>
      <w:r w:rsidRPr="001741DD">
        <w:rPr>
          <w:rFonts w:ascii="Verdana" w:hAnsi="Verdana" w:cs="Arial"/>
          <w:sz w:val="18"/>
          <w:szCs w:val="18"/>
        </w:rPr>
        <w:t xml:space="preserve"> Colombia Compra Eficiente. Concepto C-297 del 4 de junio de 2020. </w:t>
      </w:r>
    </w:p>
  </w:footnote>
  <w:footnote w:id="6">
    <w:p w14:paraId="56B85739" w14:textId="77777777" w:rsidR="00F67D88" w:rsidRPr="001741DD" w:rsidRDefault="00F67D88" w:rsidP="00F67D88">
      <w:pPr>
        <w:pStyle w:val="Textonotapie"/>
        <w:spacing w:after="120"/>
        <w:ind w:firstLine="708"/>
        <w:jc w:val="both"/>
        <w:rPr>
          <w:rFonts w:ascii="Verdana" w:hAnsi="Verdana" w:cs="Arial"/>
          <w:sz w:val="18"/>
          <w:szCs w:val="18"/>
        </w:rPr>
      </w:pPr>
      <w:r w:rsidRPr="001741DD">
        <w:rPr>
          <w:rStyle w:val="Refdenotaalpie"/>
          <w:rFonts w:ascii="Verdana" w:hAnsi="Verdana" w:cs="Arial"/>
          <w:sz w:val="18"/>
          <w:szCs w:val="18"/>
        </w:rPr>
        <w:footnoteRef/>
      </w:r>
      <w:r w:rsidRPr="001741DD">
        <w:rPr>
          <w:rFonts w:ascii="Verdana" w:hAnsi="Verdana" w:cs="Arial"/>
          <w:sz w:val="18"/>
          <w:szCs w:val="18"/>
        </w:rPr>
        <w:t xml:space="preserve"> Concepto C-196 de 2020. Radicado de entrada No. 4202013000001559. Radicado de salida No. 2202013000002534.</w:t>
      </w:r>
    </w:p>
    <w:p w14:paraId="78F70CE1" w14:textId="77777777" w:rsidR="00F67D88" w:rsidRPr="001741DD" w:rsidRDefault="00F67D88" w:rsidP="00F67D88">
      <w:pPr>
        <w:pStyle w:val="Textonotapie"/>
        <w:spacing w:after="120"/>
        <w:jc w:val="both"/>
        <w:rPr>
          <w:rFonts w:ascii="Verdana" w:hAnsi="Verdana" w:cs="Arial"/>
          <w:sz w:val="18"/>
          <w:szCs w:val="18"/>
        </w:rPr>
      </w:pPr>
    </w:p>
  </w:footnote>
  <w:footnote w:id="7">
    <w:p w14:paraId="38B61883" w14:textId="77777777" w:rsidR="00F67D88" w:rsidRPr="001741DD" w:rsidRDefault="00F67D88" w:rsidP="00F67D88">
      <w:pPr>
        <w:pStyle w:val="Textonotapie"/>
        <w:ind w:firstLine="708"/>
        <w:rPr>
          <w:rFonts w:ascii="Verdana" w:hAnsi="Verdana"/>
          <w:sz w:val="18"/>
          <w:szCs w:val="18"/>
        </w:rPr>
      </w:pPr>
      <w:r w:rsidRPr="001741DD">
        <w:rPr>
          <w:rStyle w:val="Refdenotaalpie"/>
          <w:rFonts w:ascii="Verdana" w:hAnsi="Verdana"/>
          <w:sz w:val="18"/>
          <w:szCs w:val="18"/>
        </w:rPr>
        <w:footnoteRef/>
      </w:r>
      <w:r w:rsidRPr="001741DD">
        <w:rPr>
          <w:rFonts w:ascii="Verdana" w:hAnsi="Verdana"/>
          <w:sz w:val="18"/>
          <w:szCs w:val="18"/>
        </w:rPr>
        <w:t xml:space="preserve"> La Agencia Nacional de Contratación Pública – Colombia Compra Eficiente en los conceptos C-186 del 12 de abril de 2022 y C-512 del 10 de agosto de 2024, sostuvo la tesis planteada en este párrafo.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C6843" w14:textId="77777777" w:rsidR="00A446F7" w:rsidRDefault="00A446F7">
    <w:pPr>
      <w:pStyle w:val="Encabezado"/>
    </w:pPr>
  </w:p>
  <w:p w14:paraId="435F4D03" w14:textId="72A9A2EE"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7E3D5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28997529" o:spid="_x0000_i1025" type="#_x0000_t75" style="width:11.25pt;height:11.25pt;visibility:visible;mso-wrap-style:square">
            <v:imagedata r:id="rId1" o:title=""/>
          </v:shape>
        </w:pict>
      </mc:Choice>
      <mc:Fallback>
        <w:drawing>
          <wp:inline distT="0" distB="0" distL="0" distR="0" wp14:anchorId="33C08C89" wp14:editId="33C08C8A">
            <wp:extent cx="142875" cy="142875"/>
            <wp:effectExtent l="0" t="0" r="0" b="0"/>
            <wp:docPr id="328997529" name="Imagen 328997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F4450F"/>
    <w:multiLevelType w:val="hybridMultilevel"/>
    <w:tmpl w:val="4CF4ACB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A2E3BA9"/>
    <w:multiLevelType w:val="hybridMultilevel"/>
    <w:tmpl w:val="588A266A"/>
    <w:lvl w:ilvl="0" w:tplc="B9C2C41E">
      <w:start w:val="2"/>
      <w:numFmt w:val="upp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23AA677D"/>
    <w:multiLevelType w:val="hybridMultilevel"/>
    <w:tmpl w:val="3BAA57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3" w15:restartNumberingAfterBreak="0">
    <w:nsid w:val="581A1B6D"/>
    <w:multiLevelType w:val="hybridMultilevel"/>
    <w:tmpl w:val="82CA1FC6"/>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8"/>
  </w:num>
  <w:num w:numId="7" w16cid:durableId="1946422806">
    <w:abstractNumId w:val="8"/>
  </w:num>
  <w:num w:numId="8" w16cid:durableId="152644682">
    <w:abstractNumId w:val="17"/>
  </w:num>
  <w:num w:numId="9" w16cid:durableId="1317221377">
    <w:abstractNumId w:val="10"/>
  </w:num>
  <w:num w:numId="10" w16cid:durableId="1471245386">
    <w:abstractNumId w:val="16"/>
  </w:num>
  <w:num w:numId="11" w16cid:durableId="289172385">
    <w:abstractNumId w:val="11"/>
  </w:num>
  <w:num w:numId="12" w16cid:durableId="1470781324">
    <w:abstractNumId w:val="1"/>
  </w:num>
  <w:num w:numId="13" w16cid:durableId="1512908409">
    <w:abstractNumId w:val="6"/>
  </w:num>
  <w:num w:numId="14" w16cid:durableId="895897244">
    <w:abstractNumId w:val="19"/>
  </w:num>
  <w:num w:numId="15" w16cid:durableId="390349800">
    <w:abstractNumId w:val="14"/>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5"/>
  </w:num>
  <w:num w:numId="18" w16cid:durableId="827985604">
    <w:abstractNumId w:val="12"/>
  </w:num>
  <w:num w:numId="19" w16cid:durableId="341274352">
    <w:abstractNumId w:val="0"/>
  </w:num>
  <w:num w:numId="20" w16cid:durableId="30107476">
    <w:abstractNumId w:val="4"/>
  </w:num>
  <w:num w:numId="21" w16cid:durableId="1622227145">
    <w:abstractNumId w:val="5"/>
  </w:num>
  <w:num w:numId="22" w16cid:durableId="884297506">
    <w:abstractNumId w:val="2"/>
  </w:num>
  <w:num w:numId="23" w16cid:durableId="11501728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71BD"/>
    <w:rsid w:val="000A683E"/>
    <w:rsid w:val="000B19B9"/>
    <w:rsid w:val="000D0334"/>
    <w:rsid w:val="000F6486"/>
    <w:rsid w:val="00125105"/>
    <w:rsid w:val="00127233"/>
    <w:rsid w:val="001511A0"/>
    <w:rsid w:val="001E4177"/>
    <w:rsid w:val="001E5532"/>
    <w:rsid w:val="001F7DC6"/>
    <w:rsid w:val="002421BB"/>
    <w:rsid w:val="0025796E"/>
    <w:rsid w:val="002707A2"/>
    <w:rsid w:val="002951A0"/>
    <w:rsid w:val="002962BC"/>
    <w:rsid w:val="002A093D"/>
    <w:rsid w:val="002A0DD0"/>
    <w:rsid w:val="002A49AC"/>
    <w:rsid w:val="002A64FD"/>
    <w:rsid w:val="002C7A84"/>
    <w:rsid w:val="002E4FD9"/>
    <w:rsid w:val="002E5121"/>
    <w:rsid w:val="00322A85"/>
    <w:rsid w:val="00324168"/>
    <w:rsid w:val="00327559"/>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502D"/>
    <w:rsid w:val="004F685F"/>
    <w:rsid w:val="005566E8"/>
    <w:rsid w:val="00572929"/>
    <w:rsid w:val="00574867"/>
    <w:rsid w:val="00591460"/>
    <w:rsid w:val="005B3816"/>
    <w:rsid w:val="005C3777"/>
    <w:rsid w:val="005C5CDC"/>
    <w:rsid w:val="005D476C"/>
    <w:rsid w:val="006219F8"/>
    <w:rsid w:val="00665D70"/>
    <w:rsid w:val="006900D9"/>
    <w:rsid w:val="00706C16"/>
    <w:rsid w:val="00732F57"/>
    <w:rsid w:val="00756841"/>
    <w:rsid w:val="007649AB"/>
    <w:rsid w:val="00771D0C"/>
    <w:rsid w:val="007804F9"/>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922DA"/>
    <w:rsid w:val="009A0DFA"/>
    <w:rsid w:val="009B2D26"/>
    <w:rsid w:val="009C0606"/>
    <w:rsid w:val="009C71FA"/>
    <w:rsid w:val="009C72E7"/>
    <w:rsid w:val="009D24A1"/>
    <w:rsid w:val="009D3058"/>
    <w:rsid w:val="009F3A13"/>
    <w:rsid w:val="00A122D3"/>
    <w:rsid w:val="00A17F13"/>
    <w:rsid w:val="00A20739"/>
    <w:rsid w:val="00A33C78"/>
    <w:rsid w:val="00A446F7"/>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3068"/>
    <w:rsid w:val="00E75C92"/>
    <w:rsid w:val="00E771DC"/>
    <w:rsid w:val="00E8772A"/>
    <w:rsid w:val="00E90F6B"/>
    <w:rsid w:val="00E92C27"/>
    <w:rsid w:val="00EA0E3D"/>
    <w:rsid w:val="00EC38A7"/>
    <w:rsid w:val="00ED7384"/>
    <w:rsid w:val="00EE1AA8"/>
    <w:rsid w:val="00EE224B"/>
    <w:rsid w:val="00F31EDC"/>
    <w:rsid w:val="00F462B3"/>
    <w:rsid w:val="00F5664F"/>
    <w:rsid w:val="00F666C4"/>
    <w:rsid w:val="00F67D88"/>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67D88"/>
    <w:pPr>
      <w:spacing w:line="240" w:lineRule="exact"/>
    </w:pPr>
    <w:rPr>
      <w:vertAlign w:val="superscript"/>
    </w:rPr>
  </w:style>
  <w:style w:type="table" w:customStyle="1" w:styleId="Tablaconcuadrcula1">
    <w:name w:val="Tabla con cuadrícula1"/>
    <w:basedOn w:val="Tablanormal"/>
    <w:next w:val="Tablaconcuadrcula"/>
    <w:uiPriority w:val="39"/>
    <w:qFormat/>
    <w:rsid w:val="00F67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F67D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manual/guia-para-determinar-y-verificar-la-capacidad-residual-del-proponente-en-los-procesos-de-contratacion-de-obra-publica"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normativa-y-relatoria%2Fdocumentos-tipo&amp;data=05%7C02%7Ccarlos.castrillon%40colombiacompra.gov.co%7C7cfff6dece924643582c08dd97bfed90%7C7b09041e245149d08cb179d5e3d8c1be%7C0%7C0%7C638833572791279343%7CUnknown%7CTWFpbGZsb3d8eyJFbXB0eU1hcGkiOnRydWUsIlYiOiIwLjAuMDAwMCIsIlAiOiJXaW4zMiIsIkFOIjoiTWFpbCIsIldUIjoyfQ%3D%3D%7C0%7C%7C%7C&amp;sdata=47Uz4IOYsgnD93wzIAxFBd4IE%2F0cu6nWd7qQuWuWIo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onvocatoria%2Fparticipacion-ciudadana-proyecto-de-la-guia-para-la-elaboracion-de-estudios-del-sector&amp;data=05%7C02%7Ccarlos.castrillon%40colombiacompra.gov.co%7C7cfff6dece924643582c08dd97bfed90%7C7b09041e245149d08cb179d5e3d8c1be%7C0%7C0%7C638833572791256997%7CUnknown%7CTWFpbGZsb3d8eyJFbXB0eU1hcGkiOnRydWUsIlYiOiIwLjAuMDAwMCIsIlAiOiJXaW4zMiIsIkFOIjoiTWFpbCIsIldUIjoyfQ%3D%3D%7C0%7C%7C%7C&amp;sdata=VlGVgVWuuBuNxRVxi5od1flSbPE8xsjvWAhykoiD0qg%3D&amp;reserved=0"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9d85dbaf-23eb-4e57-a637-93dcacc8b1a1"/>
    <ds:schemaRef ds:uri="http://purl.org/dc/dcmitype/"/>
    <ds:schemaRef ds:uri="http://schemas.microsoft.com/office/infopath/2007/PartnerControls"/>
    <ds:schemaRef ds:uri="http://purl.org/dc/elements/1.1/"/>
    <ds:schemaRef ds:uri="http://schemas.microsoft.com/office/2006/metadata/properties"/>
    <ds:schemaRef ds:uri="a6cb9e4b-f1d1-4245-83ec-6cad768d538a"/>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85FCD2C-E878-4C09-A1C8-6C9C968F6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8834</Words>
  <Characters>48587</Characters>
  <Application>Microsoft Office Word</Application>
  <DocSecurity>0</DocSecurity>
  <Lines>404</Lines>
  <Paragraphs>114</Paragraphs>
  <ScaleCrop>false</ScaleCrop>
  <Company/>
  <LinksUpToDate>false</LinksUpToDate>
  <CharactersWithSpaces>57307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2025-06-10T14:07:00Z</dcterms:created>
  <dcterms:modified xsi:type="dcterms:W3CDTF">2025-06-10T14:07:00Z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