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8918A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918A2">
        <w:rPr>
          <w:rFonts w:ascii="Arial" w:hAnsi="Arial" w:cs="Arial"/>
          <w:bCs/>
          <w:color w:val="000000" w:themeColor="text1"/>
          <w:sz w:val="16"/>
          <w:szCs w:val="16"/>
          <w:lang w:val="es-ES_tradnl" w:eastAsia="es-ES"/>
        </w:rPr>
        <w:t>CCE-DES-FM-17</w:t>
      </w:r>
      <w:bookmarkEnd w:id="0"/>
      <w:bookmarkEnd w:id="1"/>
    </w:p>
    <w:p w14:paraId="153DCCCC" w14:textId="77777777" w:rsidR="00DB5767" w:rsidRPr="008918A2" w:rsidRDefault="00DB5767" w:rsidP="00C978D4">
      <w:pPr>
        <w:jc w:val="both"/>
        <w:rPr>
          <w:rFonts w:ascii="Arial" w:hAnsi="Arial" w:cs="Arial"/>
          <w:noProof/>
          <w:color w:val="000000" w:themeColor="text1"/>
          <w:sz w:val="22"/>
          <w:lang w:val="es-ES_tradnl"/>
        </w:rPr>
      </w:pPr>
    </w:p>
    <w:p w14:paraId="0AFBDDEC" w14:textId="77777777" w:rsidR="00C43265" w:rsidRDefault="00C43265" w:rsidP="00C43265">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7B7D6778" w14:textId="77777777" w:rsidR="00C43265" w:rsidRDefault="00C43265" w:rsidP="00C43265">
      <w:pPr>
        <w:jc w:val="both"/>
        <w:rPr>
          <w:rFonts w:ascii="Arial" w:eastAsia="Calibri" w:hAnsi="Arial" w:cs="Arial"/>
          <w:b/>
          <w:color w:val="000000" w:themeColor="text1"/>
          <w:sz w:val="22"/>
        </w:rPr>
      </w:pPr>
    </w:p>
    <w:p w14:paraId="14F76467" w14:textId="77777777" w:rsidR="00C43265" w:rsidRPr="00076813" w:rsidRDefault="00C43265" w:rsidP="00C43265">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71D375FE" w14:textId="77777777" w:rsidR="00C43265" w:rsidRDefault="00C43265" w:rsidP="00C43265">
      <w:pPr>
        <w:jc w:val="both"/>
        <w:rPr>
          <w:rFonts w:ascii="Arial" w:eastAsia="Calibri" w:hAnsi="Arial" w:cs="Arial"/>
          <w:bCs/>
          <w:color w:val="000000" w:themeColor="text1"/>
          <w:sz w:val="20"/>
          <w:szCs w:val="20"/>
          <w:lang w:val="es-ES"/>
        </w:rPr>
      </w:pPr>
    </w:p>
    <w:p w14:paraId="5862826A" w14:textId="77777777" w:rsidR="00C43265" w:rsidRPr="009816A2" w:rsidRDefault="00C43265" w:rsidP="00C43265">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 De esta manera, el artículo 6 de la Ley 1150 de 2007 estableció como condición «para poder participar en los procesos de selección de los contratos de obra, la capacidad residual del proponente o K de contratación»</w:t>
      </w:r>
      <w:r>
        <w:rPr>
          <w:rFonts w:ascii="Arial" w:eastAsia="Calibri" w:hAnsi="Arial" w:cs="Arial"/>
          <w:bCs/>
          <w:color w:val="000000" w:themeColor="text1"/>
          <w:sz w:val="20"/>
          <w:szCs w:val="20"/>
          <w:lang w:val="es-ES"/>
        </w:rPr>
        <w:t xml:space="preserve">. </w:t>
      </w:r>
    </w:p>
    <w:p w14:paraId="56320123" w14:textId="77777777" w:rsidR="00C43265" w:rsidRDefault="00C43265" w:rsidP="00C43265">
      <w:pPr>
        <w:jc w:val="both"/>
        <w:rPr>
          <w:rFonts w:ascii="Arial" w:eastAsia="Calibri" w:hAnsi="Arial" w:cs="Arial"/>
          <w:b/>
          <w:color w:val="000000" w:themeColor="text1"/>
          <w:sz w:val="22"/>
        </w:rPr>
      </w:pPr>
    </w:p>
    <w:p w14:paraId="57627361" w14:textId="77777777" w:rsidR="00C43265" w:rsidRDefault="00C43265" w:rsidP="00C43265">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Capacidad de Organización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76F13E01" w14:textId="77777777" w:rsidR="00C43265" w:rsidRPr="00932406" w:rsidRDefault="00C43265" w:rsidP="00C43265">
      <w:pPr>
        <w:jc w:val="both"/>
        <w:rPr>
          <w:rFonts w:ascii="Arial" w:eastAsia="Calibri" w:hAnsi="Arial" w:cs="Arial"/>
          <w:bCs/>
          <w:color w:val="000000" w:themeColor="text1"/>
          <w:sz w:val="20"/>
          <w:szCs w:val="20"/>
          <w:lang w:val="es-ES"/>
        </w:rPr>
      </w:pPr>
    </w:p>
    <w:p w14:paraId="1FE4B08A" w14:textId="77777777" w:rsidR="00C43265" w:rsidRDefault="00C43265" w:rsidP="00C43265">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932406">
        <w:rPr>
          <w:rFonts w:ascii="Arial" w:eastAsia="Calibri" w:hAnsi="Arial" w:cs="Arial"/>
          <w:bCs/>
          <w:color w:val="000000" w:themeColor="text1"/>
          <w:sz w:val="20"/>
          <w:szCs w:val="20"/>
          <w:lang w:val="es-ES"/>
        </w:rPr>
        <w:t xml:space="preserve">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2355617F" w14:textId="77777777" w:rsidR="00C43265" w:rsidRDefault="00C43265" w:rsidP="00C43265">
      <w:pPr>
        <w:jc w:val="both"/>
        <w:rPr>
          <w:rFonts w:ascii="Arial" w:eastAsia="Calibri" w:hAnsi="Arial" w:cs="Arial"/>
          <w:bCs/>
          <w:color w:val="000000" w:themeColor="text1"/>
          <w:sz w:val="20"/>
          <w:szCs w:val="20"/>
          <w:lang w:val="es-ES"/>
        </w:rPr>
      </w:pPr>
    </w:p>
    <w:p w14:paraId="1D8A03EE" w14:textId="77777777" w:rsidR="00C43265" w:rsidRDefault="00C43265" w:rsidP="00C43265">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52C57D2E" w14:textId="77777777" w:rsidR="00C43265" w:rsidRPr="00932406" w:rsidRDefault="00C43265" w:rsidP="00C43265">
      <w:pPr>
        <w:jc w:val="both"/>
        <w:rPr>
          <w:rFonts w:ascii="Arial" w:eastAsia="Calibri" w:hAnsi="Arial" w:cs="Arial"/>
          <w:bCs/>
          <w:color w:val="000000" w:themeColor="text1"/>
          <w:sz w:val="20"/>
          <w:szCs w:val="20"/>
          <w:lang w:val="es-ES"/>
        </w:rPr>
      </w:pPr>
    </w:p>
    <w:p w14:paraId="7D601EA1" w14:textId="77777777" w:rsidR="00C43265" w:rsidRPr="00932406" w:rsidRDefault="00C43265" w:rsidP="00C43265">
      <w:pPr>
        <w:jc w:val="both"/>
        <w:rPr>
          <w:rFonts w:ascii="Arial" w:eastAsia="Calibri" w:hAnsi="Arial" w:cs="Arial"/>
          <w:bCs/>
          <w:color w:val="000000" w:themeColor="text1"/>
          <w:sz w:val="20"/>
          <w:szCs w:val="20"/>
          <w:lang w:val="es-ES"/>
        </w:rPr>
      </w:pPr>
      <w:r w:rsidRPr="00932406">
        <w:rPr>
          <w:rFonts w:ascii="Arial" w:eastAsia="Calibri" w:hAnsi="Arial" w:cs="Arial"/>
          <w:bCs/>
          <w:color w:val="000000" w:themeColor="text1"/>
          <w:sz w:val="20"/>
          <w:szCs w:val="20"/>
          <w:lang w:val="es-ES"/>
        </w:rPr>
        <w:t>De esta manera, la capacidad de organización está en función de los ingresos operacionales del proponente. De ahí que tanto el Documento Tipo como el Decreto 1082 de 2015, soliciten el estado de resultados, puesto que mediante este documento se relacionan los ingresos, costos y gastos en los que incurrió el proponente, de tal forma que se puedan evidenciar los ingresos operacionales que ha obtenido en un determinado periodo de tiempo</w:t>
      </w:r>
    </w:p>
    <w:p w14:paraId="6B840D48" w14:textId="77777777" w:rsidR="00C43265" w:rsidRDefault="00C43265" w:rsidP="00C43265">
      <w:pPr>
        <w:jc w:val="both"/>
        <w:rPr>
          <w:rFonts w:ascii="Arial" w:eastAsia="Calibri" w:hAnsi="Arial" w:cs="Arial"/>
          <w:b/>
          <w:color w:val="000000" w:themeColor="text1"/>
          <w:sz w:val="22"/>
        </w:rPr>
      </w:pPr>
    </w:p>
    <w:p w14:paraId="43FE7AAB" w14:textId="77777777" w:rsidR="00C43265" w:rsidRPr="009816A2" w:rsidRDefault="00C43265" w:rsidP="00C43265">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DOCUMENTOS TIPO</w:t>
      </w:r>
      <w:r w:rsidRPr="009816A2">
        <w:rPr>
          <w:rFonts w:ascii="Arial" w:eastAsia="Calibri" w:hAnsi="Arial" w:cs="Arial"/>
          <w:b/>
          <w:color w:val="000000" w:themeColor="text1"/>
          <w:sz w:val="22"/>
        </w:rPr>
        <w:softHyphen/>
      </w:r>
      <w:r>
        <w:rPr>
          <w:rFonts w:ascii="Arial" w:eastAsia="Calibri" w:hAnsi="Arial" w:cs="Arial"/>
          <w:b/>
          <w:color w:val="000000" w:themeColor="text1"/>
          <w:sz w:val="22"/>
        </w:rPr>
        <w:t xml:space="preserve"> – Versión 3</w:t>
      </w:r>
      <w:r w:rsidRPr="009816A2">
        <w:rPr>
          <w:rFonts w:ascii="Arial" w:eastAsia="Calibri" w:hAnsi="Arial" w:cs="Arial"/>
          <w:b/>
          <w:color w:val="000000" w:themeColor="text1"/>
          <w:sz w:val="22"/>
        </w:rPr>
        <w:t xml:space="preserve"> – Capacidad residual – Capacidad </w:t>
      </w:r>
      <w:r>
        <w:rPr>
          <w:rFonts w:ascii="Arial" w:eastAsia="Calibri" w:hAnsi="Arial" w:cs="Arial"/>
          <w:b/>
          <w:color w:val="000000" w:themeColor="text1"/>
          <w:sz w:val="22"/>
        </w:rPr>
        <w:t xml:space="preserve">de </w:t>
      </w:r>
      <w:r w:rsidRPr="009816A2">
        <w:rPr>
          <w:rFonts w:ascii="Arial" w:eastAsia="Calibri" w:hAnsi="Arial" w:cs="Arial"/>
          <w:b/>
          <w:color w:val="000000" w:themeColor="text1"/>
          <w:sz w:val="22"/>
        </w:rPr>
        <w:t>organizaci</w:t>
      </w:r>
      <w:r>
        <w:rPr>
          <w:rFonts w:ascii="Arial" w:eastAsia="Calibri" w:hAnsi="Arial" w:cs="Arial"/>
          <w:b/>
          <w:color w:val="000000" w:themeColor="text1"/>
          <w:sz w:val="22"/>
        </w:rPr>
        <w:t>ón</w:t>
      </w:r>
    </w:p>
    <w:p w14:paraId="14B4C12C" w14:textId="77777777" w:rsidR="00C43265" w:rsidRDefault="00C43265" w:rsidP="00C43265">
      <w:pPr>
        <w:jc w:val="both"/>
        <w:rPr>
          <w:rFonts w:ascii="Arial" w:eastAsia="Calibri" w:hAnsi="Arial" w:cs="Arial"/>
          <w:bCs/>
          <w:color w:val="000000" w:themeColor="text1"/>
          <w:sz w:val="20"/>
          <w:szCs w:val="20"/>
        </w:rPr>
      </w:pPr>
    </w:p>
    <w:p w14:paraId="756380A9" w14:textId="77777777" w:rsidR="00C43265" w:rsidRDefault="00C43265" w:rsidP="00C43265">
      <w:pPr>
        <w:jc w:val="both"/>
        <w:rPr>
          <w:rFonts w:ascii="Arial" w:hAnsi="Arial" w:cs="Arial"/>
          <w:color w:val="000000" w:themeColor="text1"/>
          <w:sz w:val="20"/>
          <w:szCs w:val="20"/>
        </w:rPr>
      </w:pPr>
      <w:r w:rsidRPr="00004C76">
        <w:rPr>
          <w:rFonts w:ascii="Arial" w:hAnsi="Arial" w:cs="Arial"/>
          <w:bCs/>
          <w:color w:val="000000" w:themeColor="text1"/>
          <w:sz w:val="20"/>
          <w:szCs w:val="20"/>
        </w:rPr>
        <w:t>De acuerdo con lo establecido en los Documentos Tipo para licitación de obra pública de infraestructura de transporte –- Versión 3, en el numeral 3.10.2, literal A, del Documento Base (versiones 4 y 5), para la acreditación del estado de resultados de los proponentes que cuentan con RUP solo se requiere aportar el estado de resultados del año en que el proponente obtuvo mayor ingreso operacional en los últimos cinco (05)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w:t>
      </w:r>
      <w:r w:rsidRPr="00CA66DF">
        <w:rPr>
          <w:rFonts w:ascii="Arial" w:hAnsi="Arial" w:cs="Arial"/>
          <w:color w:val="000000" w:themeColor="text1"/>
          <w:sz w:val="20"/>
          <w:szCs w:val="20"/>
        </w:rPr>
        <w:t>.</w:t>
      </w:r>
    </w:p>
    <w:p w14:paraId="054BBEC5" w14:textId="77777777" w:rsidR="00C43265" w:rsidRPr="000F7006" w:rsidRDefault="00C43265" w:rsidP="00C43265">
      <w:pPr>
        <w:jc w:val="both"/>
        <w:rPr>
          <w:rFonts w:ascii="Arial" w:hAnsi="Arial" w:cs="Arial"/>
          <w:b/>
          <w:color w:val="000000" w:themeColor="text1"/>
          <w:sz w:val="20"/>
          <w:szCs w:val="20"/>
        </w:rPr>
      </w:pPr>
    </w:p>
    <w:p w14:paraId="3D4956BD" w14:textId="77777777" w:rsidR="00EF7419" w:rsidRDefault="00EF7419" w:rsidP="00C43265">
      <w:pPr>
        <w:jc w:val="both"/>
        <w:rPr>
          <w:rFonts w:ascii="Arial" w:hAnsi="Arial" w:cs="Arial"/>
          <w:b/>
          <w:color w:val="000000" w:themeColor="text1"/>
          <w:sz w:val="22"/>
        </w:rPr>
      </w:pPr>
    </w:p>
    <w:p w14:paraId="049B0C10" w14:textId="77777777" w:rsidR="00EF7419" w:rsidRDefault="00EF7419" w:rsidP="00C43265">
      <w:pPr>
        <w:jc w:val="both"/>
        <w:rPr>
          <w:rFonts w:ascii="Arial" w:hAnsi="Arial" w:cs="Arial"/>
          <w:b/>
          <w:color w:val="000000" w:themeColor="text1"/>
          <w:sz w:val="22"/>
        </w:rPr>
      </w:pPr>
    </w:p>
    <w:p w14:paraId="45E24A48" w14:textId="41917750" w:rsidR="00C43265" w:rsidRPr="000F7006" w:rsidRDefault="00C43265" w:rsidP="00C43265">
      <w:pPr>
        <w:jc w:val="both"/>
        <w:rPr>
          <w:rFonts w:ascii="Arial" w:hAnsi="Arial" w:cs="Arial"/>
          <w:b/>
          <w:color w:val="000000" w:themeColor="text1"/>
          <w:sz w:val="22"/>
        </w:rPr>
      </w:pPr>
      <w:r w:rsidRPr="000F7006">
        <w:rPr>
          <w:rFonts w:ascii="Arial" w:hAnsi="Arial" w:cs="Arial"/>
          <w:b/>
          <w:color w:val="000000" w:themeColor="text1"/>
          <w:sz w:val="22"/>
        </w:rPr>
        <w:lastRenderedPageBreak/>
        <w:t>INALTERABILIDAD</w:t>
      </w:r>
      <w:r>
        <w:rPr>
          <w:rFonts w:ascii="Arial" w:hAnsi="Arial" w:cs="Arial"/>
          <w:b/>
          <w:color w:val="000000" w:themeColor="text1"/>
          <w:sz w:val="22"/>
        </w:rPr>
        <w:t xml:space="preserve"> –</w:t>
      </w:r>
      <w:r w:rsidRPr="000F7006">
        <w:rPr>
          <w:rFonts w:ascii="Arial" w:hAnsi="Arial" w:cs="Arial"/>
          <w:b/>
          <w:color w:val="000000" w:themeColor="text1"/>
          <w:sz w:val="22"/>
        </w:rPr>
        <w:t xml:space="preserve"> Documento</w:t>
      </w:r>
      <w:r>
        <w:rPr>
          <w:rFonts w:ascii="Arial" w:hAnsi="Arial" w:cs="Arial"/>
          <w:b/>
          <w:color w:val="000000" w:themeColor="text1"/>
          <w:sz w:val="22"/>
        </w:rPr>
        <w:t>s</w:t>
      </w:r>
      <w:r w:rsidRPr="000F7006">
        <w:rPr>
          <w:rFonts w:ascii="Arial" w:hAnsi="Arial" w:cs="Arial"/>
          <w:b/>
          <w:color w:val="000000" w:themeColor="text1"/>
          <w:sz w:val="22"/>
        </w:rPr>
        <w:t xml:space="preserve"> Tipo</w:t>
      </w:r>
      <w:r>
        <w:rPr>
          <w:rFonts w:ascii="Arial" w:hAnsi="Arial" w:cs="Arial"/>
          <w:b/>
          <w:color w:val="000000" w:themeColor="text1"/>
          <w:sz w:val="22"/>
        </w:rPr>
        <w:t xml:space="preserve"> – Licitación Pública</w:t>
      </w:r>
    </w:p>
    <w:p w14:paraId="15488746" w14:textId="77777777" w:rsidR="00C43265" w:rsidRPr="000F7006" w:rsidRDefault="00C43265" w:rsidP="00C43265">
      <w:pPr>
        <w:ind w:firstLine="708"/>
        <w:jc w:val="both"/>
        <w:rPr>
          <w:rFonts w:ascii="Arial" w:hAnsi="Arial" w:cs="Arial"/>
          <w:bCs/>
          <w:color w:val="000000" w:themeColor="text1"/>
          <w:sz w:val="22"/>
        </w:rPr>
      </w:pPr>
    </w:p>
    <w:p w14:paraId="1A7A371D" w14:textId="4FC968E9" w:rsidR="00C43265" w:rsidRDefault="00C43265" w:rsidP="00C43265">
      <w:pPr>
        <w:tabs>
          <w:tab w:val="left" w:pos="709"/>
        </w:tabs>
        <w:jc w:val="both"/>
        <w:rPr>
          <w:rFonts w:ascii="Arial" w:eastAsia="Calibri" w:hAnsi="Arial" w:cs="Arial"/>
          <w:sz w:val="20"/>
          <w:szCs w:val="20"/>
          <w:shd w:val="clear" w:color="auto" w:fill="FFFFFF"/>
          <w:lang w:val="es-ES"/>
        </w:rPr>
      </w:pPr>
      <w:r w:rsidRPr="00E30DF1">
        <w:rPr>
          <w:rFonts w:ascii="Arial" w:eastAsia="Calibri" w:hAnsi="Arial" w:cs="Arial"/>
          <w:sz w:val="20"/>
          <w:szCs w:val="20"/>
          <w:shd w:val="clear" w:color="auto" w:fill="FFFFFF"/>
          <w:lang w:val="es-ES"/>
        </w:rPr>
        <w:t xml:space="preserve">La regla de inalterabilidad de los Documentos Tipo, consagrada en los artículos 2.2.1.2.6.1.4, 2.2.1.2.6.2.3 y 2.2.1.2.6.3.4 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w:t>
      </w:r>
      <w:r w:rsidR="00F31DE3">
        <w:rPr>
          <w:rFonts w:ascii="Arial" w:eastAsia="Calibri" w:hAnsi="Arial" w:cs="Arial"/>
          <w:sz w:val="20"/>
          <w:szCs w:val="20"/>
          <w:shd w:val="clear" w:color="auto" w:fill="FFFFFF"/>
          <w:lang w:val="es-ES"/>
        </w:rPr>
        <w:t>haya adoptado</w:t>
      </w:r>
      <w:r w:rsidRPr="00E30DF1">
        <w:rPr>
          <w:rFonts w:ascii="Arial" w:eastAsia="Calibri" w:hAnsi="Arial" w:cs="Arial"/>
          <w:sz w:val="20"/>
          <w:szCs w:val="20"/>
          <w:shd w:val="clear" w:color="auto" w:fill="FFFFFF"/>
          <w:lang w:val="es-ES"/>
        </w:rPr>
        <w:t xml:space="preserve"> el Gobierno Nacional, en ejercicio del mandato establecido en el artículo 4 de la Ley 1882 de 2018</w:t>
      </w:r>
      <w:r w:rsidR="005C4588">
        <w:rPr>
          <w:rFonts w:ascii="Arial" w:eastAsia="Calibri" w:hAnsi="Arial" w:cs="Arial"/>
          <w:sz w:val="20"/>
          <w:szCs w:val="20"/>
          <w:shd w:val="clear" w:color="auto" w:fill="FFFFFF"/>
          <w:lang w:val="es-ES"/>
        </w:rPr>
        <w:t xml:space="preserve"> o la Agencia Nacional de Contratación Pública – Colombia Compra Eficiente en virtud del artículo 1 de la Ley 2022 de 2020</w:t>
      </w:r>
      <w:r w:rsidRPr="00E30DF1">
        <w:rPr>
          <w:rFonts w:ascii="Arial" w:eastAsia="Calibri" w:hAnsi="Arial" w:cs="Arial"/>
          <w:sz w:val="20"/>
          <w:szCs w:val="20"/>
          <w:shd w:val="clear" w:color="auto" w:fill="FFFFFF"/>
          <w:lang w:val="es-ES"/>
        </w:rPr>
        <w:t>, son de obligatorio cumplimiento para las entidades sometidas al Estatuto General de Contratación de la Administración Pública que adelanten procesos que deban regirse por su contenido, y no pueden variarse los requisitos fijados en ellos</w:t>
      </w:r>
      <w:r w:rsidRPr="00A105E3">
        <w:rPr>
          <w:rFonts w:ascii="Arial" w:eastAsia="Calibri" w:hAnsi="Arial" w:cs="Arial"/>
          <w:sz w:val="20"/>
          <w:szCs w:val="20"/>
          <w:shd w:val="clear" w:color="auto" w:fill="FFFFFF"/>
          <w:lang w:val="es-ES"/>
        </w:rPr>
        <w:t xml:space="preserve">.  </w:t>
      </w:r>
    </w:p>
    <w:p w14:paraId="2DAD23EE" w14:textId="77777777" w:rsidR="00C770C5" w:rsidRPr="00C43265" w:rsidRDefault="00C770C5" w:rsidP="00B95C30">
      <w:pPr>
        <w:spacing w:line="276" w:lineRule="auto"/>
        <w:jc w:val="both"/>
        <w:rPr>
          <w:rFonts w:ascii="Arial" w:hAnsi="Arial" w:cs="Arial"/>
          <w:noProof/>
          <w:color w:val="000000" w:themeColor="text1"/>
          <w:sz w:val="22"/>
          <w:lang w:val="es-ES"/>
        </w:rPr>
      </w:pPr>
    </w:p>
    <w:p w14:paraId="537C2030" w14:textId="77777777" w:rsidR="002412BC" w:rsidRDefault="002412BC" w:rsidP="00B95C30">
      <w:pPr>
        <w:spacing w:line="276" w:lineRule="auto"/>
        <w:jc w:val="both"/>
        <w:rPr>
          <w:rFonts w:ascii="Arial" w:hAnsi="Arial" w:cs="Arial"/>
          <w:noProof/>
          <w:color w:val="000000" w:themeColor="text1"/>
          <w:sz w:val="22"/>
          <w:lang w:val="es-ES_tradnl"/>
        </w:rPr>
      </w:pPr>
    </w:p>
    <w:p w14:paraId="7AFF957F" w14:textId="77777777" w:rsidR="002412BC" w:rsidRDefault="002412BC" w:rsidP="00B95C30">
      <w:pPr>
        <w:spacing w:line="276" w:lineRule="auto"/>
        <w:jc w:val="both"/>
        <w:rPr>
          <w:rFonts w:ascii="Arial" w:hAnsi="Arial" w:cs="Arial"/>
          <w:noProof/>
          <w:color w:val="000000" w:themeColor="text1"/>
          <w:sz w:val="22"/>
          <w:lang w:val="es-ES_tradnl"/>
        </w:rPr>
      </w:pPr>
    </w:p>
    <w:p w14:paraId="24B98A71" w14:textId="77777777" w:rsidR="002412BC" w:rsidRDefault="002412BC" w:rsidP="00B95C30">
      <w:pPr>
        <w:spacing w:line="276" w:lineRule="auto"/>
        <w:jc w:val="both"/>
        <w:rPr>
          <w:rFonts w:ascii="Arial" w:hAnsi="Arial" w:cs="Arial"/>
          <w:noProof/>
          <w:color w:val="000000" w:themeColor="text1"/>
          <w:sz w:val="22"/>
          <w:lang w:val="es-ES_tradnl"/>
        </w:rPr>
      </w:pPr>
    </w:p>
    <w:p w14:paraId="24A7FC60" w14:textId="77777777" w:rsidR="002412BC" w:rsidRDefault="002412BC" w:rsidP="00B95C30">
      <w:pPr>
        <w:spacing w:line="276" w:lineRule="auto"/>
        <w:jc w:val="both"/>
        <w:rPr>
          <w:rFonts w:ascii="Arial" w:hAnsi="Arial" w:cs="Arial"/>
          <w:noProof/>
          <w:color w:val="000000" w:themeColor="text1"/>
          <w:sz w:val="22"/>
          <w:lang w:val="es-ES_tradnl"/>
        </w:rPr>
      </w:pPr>
    </w:p>
    <w:p w14:paraId="4EC67316" w14:textId="77777777" w:rsidR="002412BC" w:rsidRDefault="002412BC" w:rsidP="00B95C30">
      <w:pPr>
        <w:spacing w:line="276" w:lineRule="auto"/>
        <w:jc w:val="both"/>
        <w:rPr>
          <w:rFonts w:ascii="Arial" w:hAnsi="Arial" w:cs="Arial"/>
          <w:noProof/>
          <w:color w:val="000000" w:themeColor="text1"/>
          <w:sz w:val="22"/>
          <w:lang w:val="es-ES_tradnl"/>
        </w:rPr>
      </w:pPr>
    </w:p>
    <w:p w14:paraId="7DB2CAE5" w14:textId="77777777" w:rsidR="002412BC" w:rsidRDefault="002412BC" w:rsidP="00B95C30">
      <w:pPr>
        <w:spacing w:line="276" w:lineRule="auto"/>
        <w:jc w:val="both"/>
        <w:rPr>
          <w:rFonts w:ascii="Arial" w:hAnsi="Arial" w:cs="Arial"/>
          <w:noProof/>
          <w:color w:val="000000" w:themeColor="text1"/>
          <w:sz w:val="22"/>
          <w:lang w:val="es-ES_tradnl"/>
        </w:rPr>
      </w:pPr>
    </w:p>
    <w:p w14:paraId="66C107DA" w14:textId="77777777" w:rsidR="002412BC" w:rsidRDefault="002412BC" w:rsidP="00B95C30">
      <w:pPr>
        <w:spacing w:line="276" w:lineRule="auto"/>
        <w:jc w:val="both"/>
        <w:rPr>
          <w:rFonts w:ascii="Arial" w:hAnsi="Arial" w:cs="Arial"/>
          <w:noProof/>
          <w:color w:val="000000" w:themeColor="text1"/>
          <w:sz w:val="22"/>
          <w:lang w:val="es-ES_tradnl"/>
        </w:rPr>
      </w:pPr>
    </w:p>
    <w:p w14:paraId="27D4FB00" w14:textId="77777777" w:rsidR="002412BC" w:rsidRDefault="002412BC" w:rsidP="00B95C30">
      <w:pPr>
        <w:spacing w:line="276" w:lineRule="auto"/>
        <w:jc w:val="both"/>
        <w:rPr>
          <w:rFonts w:ascii="Arial" w:hAnsi="Arial" w:cs="Arial"/>
          <w:noProof/>
          <w:color w:val="000000" w:themeColor="text1"/>
          <w:sz w:val="22"/>
          <w:lang w:val="es-ES_tradnl"/>
        </w:rPr>
      </w:pPr>
    </w:p>
    <w:p w14:paraId="1C73F5DD" w14:textId="77777777" w:rsidR="002412BC" w:rsidRDefault="002412BC" w:rsidP="00B95C30">
      <w:pPr>
        <w:spacing w:line="276" w:lineRule="auto"/>
        <w:jc w:val="both"/>
        <w:rPr>
          <w:rFonts w:ascii="Arial" w:hAnsi="Arial" w:cs="Arial"/>
          <w:noProof/>
          <w:color w:val="000000" w:themeColor="text1"/>
          <w:sz w:val="22"/>
          <w:lang w:val="es-ES_tradnl"/>
        </w:rPr>
      </w:pPr>
    </w:p>
    <w:p w14:paraId="0584F73B" w14:textId="77777777" w:rsidR="002412BC" w:rsidRDefault="002412BC" w:rsidP="00B95C30">
      <w:pPr>
        <w:spacing w:line="276" w:lineRule="auto"/>
        <w:jc w:val="both"/>
        <w:rPr>
          <w:rFonts w:ascii="Arial" w:hAnsi="Arial" w:cs="Arial"/>
          <w:noProof/>
          <w:color w:val="000000" w:themeColor="text1"/>
          <w:sz w:val="22"/>
          <w:lang w:val="es-ES_tradnl"/>
        </w:rPr>
      </w:pPr>
    </w:p>
    <w:p w14:paraId="6EA71D26" w14:textId="77777777" w:rsidR="002412BC" w:rsidRDefault="002412BC" w:rsidP="00B95C30">
      <w:pPr>
        <w:spacing w:line="276" w:lineRule="auto"/>
        <w:jc w:val="both"/>
        <w:rPr>
          <w:rFonts w:ascii="Arial" w:hAnsi="Arial" w:cs="Arial"/>
          <w:noProof/>
          <w:color w:val="000000" w:themeColor="text1"/>
          <w:sz w:val="22"/>
          <w:lang w:val="es-ES_tradnl"/>
        </w:rPr>
      </w:pPr>
    </w:p>
    <w:p w14:paraId="195BCAA6" w14:textId="77777777" w:rsidR="002412BC" w:rsidRDefault="002412BC" w:rsidP="00B95C30">
      <w:pPr>
        <w:spacing w:line="276" w:lineRule="auto"/>
        <w:jc w:val="both"/>
        <w:rPr>
          <w:rFonts w:ascii="Arial" w:hAnsi="Arial" w:cs="Arial"/>
          <w:noProof/>
          <w:color w:val="000000" w:themeColor="text1"/>
          <w:sz w:val="22"/>
          <w:lang w:val="es-ES_tradnl"/>
        </w:rPr>
      </w:pPr>
    </w:p>
    <w:p w14:paraId="71D648CC" w14:textId="77777777" w:rsidR="002412BC" w:rsidRDefault="002412BC" w:rsidP="00B95C30">
      <w:pPr>
        <w:spacing w:line="276" w:lineRule="auto"/>
        <w:jc w:val="both"/>
        <w:rPr>
          <w:rFonts w:ascii="Arial" w:hAnsi="Arial" w:cs="Arial"/>
          <w:noProof/>
          <w:color w:val="000000" w:themeColor="text1"/>
          <w:sz w:val="22"/>
          <w:lang w:val="es-ES_tradnl"/>
        </w:rPr>
      </w:pPr>
    </w:p>
    <w:p w14:paraId="3A05CE97" w14:textId="77777777" w:rsidR="002412BC" w:rsidRDefault="002412BC" w:rsidP="00B95C30">
      <w:pPr>
        <w:spacing w:line="276" w:lineRule="auto"/>
        <w:jc w:val="both"/>
        <w:rPr>
          <w:rFonts w:ascii="Arial" w:hAnsi="Arial" w:cs="Arial"/>
          <w:noProof/>
          <w:color w:val="000000" w:themeColor="text1"/>
          <w:sz w:val="22"/>
          <w:lang w:val="es-ES_tradnl"/>
        </w:rPr>
      </w:pPr>
    </w:p>
    <w:p w14:paraId="45EDE146" w14:textId="77777777" w:rsidR="002412BC" w:rsidRDefault="002412BC" w:rsidP="00B95C30">
      <w:pPr>
        <w:spacing w:line="276" w:lineRule="auto"/>
        <w:jc w:val="both"/>
        <w:rPr>
          <w:rFonts w:ascii="Arial" w:hAnsi="Arial" w:cs="Arial"/>
          <w:noProof/>
          <w:color w:val="000000" w:themeColor="text1"/>
          <w:sz w:val="22"/>
          <w:lang w:val="es-ES_tradnl"/>
        </w:rPr>
      </w:pPr>
    </w:p>
    <w:p w14:paraId="502A838E" w14:textId="77777777" w:rsidR="002412BC" w:rsidRDefault="002412BC" w:rsidP="00B95C30">
      <w:pPr>
        <w:spacing w:line="276" w:lineRule="auto"/>
        <w:jc w:val="both"/>
        <w:rPr>
          <w:rFonts w:ascii="Arial" w:hAnsi="Arial" w:cs="Arial"/>
          <w:noProof/>
          <w:color w:val="000000" w:themeColor="text1"/>
          <w:sz w:val="22"/>
          <w:lang w:val="es-ES_tradnl"/>
        </w:rPr>
      </w:pPr>
    </w:p>
    <w:p w14:paraId="1A94C759" w14:textId="77777777" w:rsidR="002412BC" w:rsidRDefault="002412BC" w:rsidP="00B95C30">
      <w:pPr>
        <w:spacing w:line="276" w:lineRule="auto"/>
        <w:jc w:val="both"/>
        <w:rPr>
          <w:rFonts w:ascii="Arial" w:hAnsi="Arial" w:cs="Arial"/>
          <w:noProof/>
          <w:color w:val="000000" w:themeColor="text1"/>
          <w:sz w:val="22"/>
          <w:lang w:val="es-ES_tradnl"/>
        </w:rPr>
      </w:pPr>
    </w:p>
    <w:p w14:paraId="005BF33F" w14:textId="77777777" w:rsidR="002412BC" w:rsidRDefault="002412BC" w:rsidP="00B95C30">
      <w:pPr>
        <w:spacing w:line="276" w:lineRule="auto"/>
        <w:jc w:val="both"/>
        <w:rPr>
          <w:rFonts w:ascii="Arial" w:hAnsi="Arial" w:cs="Arial"/>
          <w:noProof/>
          <w:color w:val="000000" w:themeColor="text1"/>
          <w:sz w:val="22"/>
          <w:lang w:val="es-ES_tradnl"/>
        </w:rPr>
      </w:pPr>
    </w:p>
    <w:p w14:paraId="3114179C" w14:textId="77777777" w:rsidR="002412BC" w:rsidRDefault="002412BC" w:rsidP="00B95C30">
      <w:pPr>
        <w:spacing w:line="276" w:lineRule="auto"/>
        <w:jc w:val="both"/>
        <w:rPr>
          <w:rFonts w:ascii="Arial" w:hAnsi="Arial" w:cs="Arial"/>
          <w:noProof/>
          <w:color w:val="000000" w:themeColor="text1"/>
          <w:sz w:val="22"/>
          <w:lang w:val="es-ES_tradnl"/>
        </w:rPr>
      </w:pPr>
    </w:p>
    <w:p w14:paraId="5C4DCF4A" w14:textId="77777777" w:rsidR="002412BC" w:rsidRDefault="002412BC" w:rsidP="00B95C30">
      <w:pPr>
        <w:spacing w:line="276" w:lineRule="auto"/>
        <w:jc w:val="both"/>
        <w:rPr>
          <w:rFonts w:ascii="Arial" w:hAnsi="Arial" w:cs="Arial"/>
          <w:noProof/>
          <w:color w:val="000000" w:themeColor="text1"/>
          <w:sz w:val="22"/>
          <w:lang w:val="es-ES_tradnl"/>
        </w:rPr>
      </w:pPr>
    </w:p>
    <w:p w14:paraId="5EEEE4A6" w14:textId="77777777" w:rsidR="002412BC" w:rsidRDefault="002412BC" w:rsidP="00B95C30">
      <w:pPr>
        <w:spacing w:line="276" w:lineRule="auto"/>
        <w:jc w:val="both"/>
        <w:rPr>
          <w:rFonts w:ascii="Arial" w:hAnsi="Arial" w:cs="Arial"/>
          <w:noProof/>
          <w:color w:val="000000" w:themeColor="text1"/>
          <w:sz w:val="22"/>
          <w:lang w:val="es-ES_tradnl"/>
        </w:rPr>
      </w:pPr>
    </w:p>
    <w:p w14:paraId="195E440B" w14:textId="77777777" w:rsidR="002412BC" w:rsidRDefault="002412BC" w:rsidP="00B95C30">
      <w:pPr>
        <w:spacing w:line="276" w:lineRule="auto"/>
        <w:jc w:val="both"/>
        <w:rPr>
          <w:rFonts w:ascii="Arial" w:hAnsi="Arial" w:cs="Arial"/>
          <w:noProof/>
          <w:color w:val="000000" w:themeColor="text1"/>
          <w:sz w:val="22"/>
          <w:lang w:val="es-ES_tradnl"/>
        </w:rPr>
      </w:pPr>
    </w:p>
    <w:p w14:paraId="4F1BF421" w14:textId="77777777" w:rsidR="002412BC" w:rsidRDefault="002412BC" w:rsidP="00B95C30">
      <w:pPr>
        <w:spacing w:line="276" w:lineRule="auto"/>
        <w:jc w:val="both"/>
        <w:rPr>
          <w:rFonts w:ascii="Arial" w:hAnsi="Arial" w:cs="Arial"/>
          <w:noProof/>
          <w:color w:val="000000" w:themeColor="text1"/>
          <w:sz w:val="22"/>
          <w:lang w:val="es-ES_tradnl"/>
        </w:rPr>
      </w:pPr>
    </w:p>
    <w:p w14:paraId="621DDB34" w14:textId="77777777" w:rsidR="002412BC" w:rsidRDefault="002412BC" w:rsidP="00B95C30">
      <w:pPr>
        <w:spacing w:line="276" w:lineRule="auto"/>
        <w:jc w:val="both"/>
        <w:rPr>
          <w:rFonts w:ascii="Arial" w:hAnsi="Arial" w:cs="Arial"/>
          <w:noProof/>
          <w:color w:val="000000" w:themeColor="text1"/>
          <w:sz w:val="22"/>
          <w:lang w:val="es-ES_tradnl"/>
        </w:rPr>
      </w:pPr>
    </w:p>
    <w:p w14:paraId="7AE6E130" w14:textId="77777777" w:rsidR="002412BC" w:rsidRDefault="002412BC" w:rsidP="00B95C30">
      <w:pPr>
        <w:spacing w:line="276" w:lineRule="auto"/>
        <w:jc w:val="both"/>
        <w:rPr>
          <w:rFonts w:ascii="Arial" w:hAnsi="Arial" w:cs="Arial"/>
          <w:noProof/>
          <w:color w:val="000000" w:themeColor="text1"/>
          <w:sz w:val="22"/>
          <w:lang w:val="es-ES_tradnl"/>
        </w:rPr>
      </w:pPr>
    </w:p>
    <w:p w14:paraId="7B40B204" w14:textId="77777777" w:rsidR="001058F2" w:rsidRDefault="001058F2" w:rsidP="00A66211">
      <w:pPr>
        <w:spacing w:line="276" w:lineRule="auto"/>
        <w:jc w:val="both"/>
        <w:rPr>
          <w:rFonts w:ascii="Arial" w:hAnsi="Arial" w:cs="Arial"/>
          <w:noProof/>
          <w:color w:val="000000" w:themeColor="text1"/>
          <w:sz w:val="22"/>
          <w:lang w:val="es-ES_tradnl"/>
        </w:rPr>
      </w:pPr>
    </w:p>
    <w:p w14:paraId="496FE7E2" w14:textId="77777777" w:rsidR="001058F2" w:rsidRDefault="001058F2" w:rsidP="00A66211">
      <w:pPr>
        <w:spacing w:line="276" w:lineRule="auto"/>
        <w:jc w:val="both"/>
        <w:rPr>
          <w:rFonts w:ascii="Arial" w:hAnsi="Arial" w:cs="Arial"/>
          <w:noProof/>
          <w:color w:val="000000" w:themeColor="text1"/>
          <w:sz w:val="22"/>
          <w:lang w:val="es-ES_tradnl"/>
        </w:rPr>
      </w:pPr>
    </w:p>
    <w:p w14:paraId="0AF13B42" w14:textId="77777777" w:rsidR="001058F2" w:rsidRDefault="001058F2" w:rsidP="00A66211">
      <w:pPr>
        <w:spacing w:line="276" w:lineRule="auto"/>
        <w:jc w:val="both"/>
        <w:rPr>
          <w:rFonts w:ascii="Arial" w:hAnsi="Arial" w:cs="Arial"/>
          <w:noProof/>
          <w:color w:val="000000" w:themeColor="text1"/>
          <w:sz w:val="22"/>
          <w:lang w:val="es-ES_tradnl"/>
        </w:rPr>
      </w:pPr>
    </w:p>
    <w:p w14:paraId="0CC7601B" w14:textId="77777777" w:rsidR="004E713E" w:rsidRDefault="004E713E" w:rsidP="00A66211">
      <w:pPr>
        <w:spacing w:line="276" w:lineRule="auto"/>
        <w:jc w:val="both"/>
        <w:rPr>
          <w:rFonts w:ascii="Arial" w:hAnsi="Arial" w:cs="Arial"/>
          <w:noProof/>
          <w:color w:val="000000" w:themeColor="text1"/>
          <w:sz w:val="22"/>
          <w:lang w:val="es-ES_tradnl"/>
        </w:rPr>
      </w:pPr>
    </w:p>
    <w:p w14:paraId="15EF8B06" w14:textId="6C73B91B" w:rsidR="00A66211" w:rsidRPr="004B36FB" w:rsidRDefault="00A66211" w:rsidP="00A66211">
      <w:pPr>
        <w:spacing w:line="276" w:lineRule="auto"/>
        <w:jc w:val="both"/>
        <w:rPr>
          <w:rFonts w:ascii="Arial" w:eastAsia="Calibri" w:hAnsi="Arial" w:cs="Arial"/>
          <w:noProof/>
          <w:color w:val="000000" w:themeColor="text1"/>
          <w:sz w:val="20"/>
          <w:lang w:val="es-ES_tradnl"/>
        </w:rPr>
      </w:pPr>
      <w:r w:rsidRPr="004B36FB">
        <w:rPr>
          <w:rFonts w:ascii="Arial" w:hAnsi="Arial" w:cs="Arial"/>
          <w:noProof/>
          <w:color w:val="000000" w:themeColor="text1"/>
          <w:sz w:val="22"/>
          <w:lang w:val="es-ES_tradnl"/>
        </w:rPr>
        <w:lastRenderedPageBreak/>
        <w:t xml:space="preserve">Bogotá D.C., </w:t>
      </w:r>
      <w:r w:rsidR="001806DE">
        <w:rPr>
          <w:rFonts w:ascii="Arial" w:hAnsi="Arial" w:cs="Arial"/>
          <w:b/>
          <w:color w:val="000000" w:themeColor="text1"/>
          <w:sz w:val="22"/>
          <w:lang w:val="es-ES_tradnl"/>
        </w:rPr>
        <w:t>18/11/2021 16:53:23</w:t>
      </w:r>
    </w:p>
    <w:p w14:paraId="38BEFEF7" w14:textId="2F919497" w:rsidR="001806DE" w:rsidRDefault="001806DE" w:rsidP="001806DE">
      <w:pPr>
        <w:jc w:val="right"/>
      </w:pPr>
      <w:r>
        <w:fldChar w:fldCharType="begin"/>
      </w:r>
      <w:r>
        <w:instrText xml:space="preserve"> INCLUDEPICTURE "/var/folders/5l/v1rdjm0x1x9416lmbj7_vjt40000gn/T/com.microsoft.Word/WebArchiveCopyPasteTempFiles/page1image1786144" \* MERGEFORMATINET </w:instrText>
      </w:r>
      <w:r>
        <w:fldChar w:fldCharType="separate"/>
      </w:r>
      <w:r>
        <w:rPr>
          <w:noProof/>
        </w:rPr>
        <w:drawing>
          <wp:inline distT="0" distB="0" distL="0" distR="0" wp14:anchorId="0F6F37DE" wp14:editId="534F9846">
            <wp:extent cx="2398395" cy="609600"/>
            <wp:effectExtent l="0" t="0" r="1905" b="0"/>
            <wp:docPr id="4" name="Imagen 4" descr="page1image178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86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9600"/>
                    </a:xfrm>
                    <a:prstGeom prst="rect">
                      <a:avLst/>
                    </a:prstGeom>
                    <a:noFill/>
                    <a:ln>
                      <a:noFill/>
                    </a:ln>
                  </pic:spPr>
                </pic:pic>
              </a:graphicData>
            </a:graphic>
          </wp:inline>
        </w:drawing>
      </w:r>
      <w:r>
        <w:fldChar w:fldCharType="end"/>
      </w:r>
    </w:p>
    <w:p w14:paraId="6A8A869B" w14:textId="77777777" w:rsidR="00B95C30" w:rsidRPr="008918A2" w:rsidRDefault="00B95C30" w:rsidP="001806DE">
      <w:pPr>
        <w:jc w:val="right"/>
        <w:rPr>
          <w:rFonts w:ascii="Arial" w:hAnsi="Arial" w:cs="Arial"/>
          <w:b/>
          <w:color w:val="000000" w:themeColor="text1"/>
          <w:sz w:val="22"/>
          <w:lang w:val="es-ES_tradnl"/>
        </w:rPr>
      </w:pPr>
    </w:p>
    <w:p w14:paraId="5F5AE9EF" w14:textId="3C568FBD" w:rsidR="00B95C30" w:rsidRPr="008918A2" w:rsidRDefault="00BE4FBF"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Señor</w:t>
      </w:r>
    </w:p>
    <w:p w14:paraId="5534D9BC" w14:textId="181DDD82" w:rsidR="00F7084F" w:rsidRPr="008918A2" w:rsidRDefault="00A453C7" w:rsidP="00B95C30">
      <w:pPr>
        <w:jc w:val="both"/>
        <w:rPr>
          <w:rFonts w:ascii="Arial" w:eastAsia="Calibri" w:hAnsi="Arial" w:cs="Arial"/>
          <w:b/>
          <w:color w:val="000000" w:themeColor="text1"/>
          <w:sz w:val="22"/>
          <w:lang w:val="es-ES_tradnl"/>
        </w:rPr>
      </w:pPr>
      <w:proofErr w:type="spellStart"/>
      <w:r>
        <w:rPr>
          <w:rFonts w:ascii="Arial" w:eastAsia="Calibri" w:hAnsi="Arial" w:cs="Arial"/>
          <w:b/>
          <w:color w:val="000000" w:themeColor="text1"/>
          <w:sz w:val="22"/>
          <w:lang w:val="es-ES_tradnl"/>
        </w:rPr>
        <w:t>Gian</w:t>
      </w:r>
      <w:proofErr w:type="spellEnd"/>
      <w:r>
        <w:rPr>
          <w:rFonts w:ascii="Arial" w:eastAsia="Calibri" w:hAnsi="Arial" w:cs="Arial"/>
          <w:b/>
          <w:color w:val="000000" w:themeColor="text1"/>
          <w:sz w:val="22"/>
          <w:lang w:val="es-ES_tradnl"/>
        </w:rPr>
        <w:t xml:space="preserve"> Carlo </w:t>
      </w:r>
      <w:proofErr w:type="spellStart"/>
      <w:r>
        <w:rPr>
          <w:rFonts w:ascii="Arial" w:eastAsia="Calibri" w:hAnsi="Arial" w:cs="Arial"/>
          <w:b/>
          <w:color w:val="000000" w:themeColor="text1"/>
          <w:sz w:val="22"/>
          <w:lang w:val="es-ES_tradnl"/>
        </w:rPr>
        <w:t>Suescún</w:t>
      </w:r>
      <w:proofErr w:type="spellEnd"/>
      <w:r>
        <w:rPr>
          <w:rFonts w:ascii="Arial" w:eastAsia="Calibri" w:hAnsi="Arial" w:cs="Arial"/>
          <w:b/>
          <w:color w:val="000000" w:themeColor="text1"/>
          <w:sz w:val="22"/>
          <w:lang w:val="es-ES_tradnl"/>
        </w:rPr>
        <w:t xml:space="preserve"> Sanabria</w:t>
      </w:r>
    </w:p>
    <w:p w14:paraId="09D4AEA8" w14:textId="61B2E137" w:rsidR="00B95C30" w:rsidRPr="008918A2" w:rsidRDefault="00821538"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3F3D1203" w14:textId="77777777" w:rsidR="00B95C30" w:rsidRPr="008918A2" w:rsidRDefault="00B95C30" w:rsidP="00B95C30">
      <w:pPr>
        <w:jc w:val="both"/>
        <w:rPr>
          <w:rFonts w:ascii="Arial" w:eastAsia="Calibri" w:hAnsi="Arial" w:cs="Arial"/>
          <w:color w:val="000000" w:themeColor="text1"/>
          <w:sz w:val="22"/>
          <w:lang w:val="es-ES_tradnl"/>
        </w:rPr>
      </w:pPr>
    </w:p>
    <w:p w14:paraId="24E8D2A9" w14:textId="77777777" w:rsidR="00B95C30" w:rsidRPr="008918A2" w:rsidRDefault="00B95C30" w:rsidP="00B95C30">
      <w:pPr>
        <w:jc w:val="both"/>
        <w:rPr>
          <w:rFonts w:ascii="Arial" w:eastAsia="Calibri" w:hAnsi="Arial" w:cs="Arial"/>
          <w:color w:val="000000" w:themeColor="text1"/>
          <w:sz w:val="22"/>
          <w:lang w:val="es-ES_tradnl"/>
        </w:rPr>
      </w:pPr>
    </w:p>
    <w:p w14:paraId="12E66182" w14:textId="0EE77686" w:rsidR="00B95C30" w:rsidRPr="008918A2" w:rsidRDefault="00B95C30" w:rsidP="00B95C30">
      <w:pPr>
        <w:jc w:val="center"/>
        <w:rPr>
          <w:rFonts w:ascii="Arial" w:eastAsia="Calibri" w:hAnsi="Arial" w:cs="Arial"/>
          <w:b/>
          <w:bCs/>
          <w:color w:val="000000" w:themeColor="text1"/>
          <w:sz w:val="22"/>
          <w:lang w:val="es-ES_tradnl"/>
        </w:rPr>
      </w:pPr>
      <w:r w:rsidRPr="001D639C">
        <w:rPr>
          <w:rFonts w:ascii="Arial" w:eastAsia="Calibri" w:hAnsi="Arial" w:cs="Arial"/>
          <w:b/>
          <w:bCs/>
          <w:color w:val="000000" w:themeColor="text1"/>
          <w:sz w:val="22"/>
          <w:lang w:val="es-ES_tradnl"/>
        </w:rPr>
        <w:t xml:space="preserve">Concepto C ‒ </w:t>
      </w:r>
      <w:r w:rsidR="00A66211">
        <w:rPr>
          <w:rFonts w:ascii="Arial" w:eastAsia="Calibri" w:hAnsi="Arial" w:cs="Arial"/>
          <w:b/>
          <w:bCs/>
          <w:color w:val="000000" w:themeColor="text1"/>
          <w:sz w:val="22"/>
          <w:lang w:val="es-ES_tradnl"/>
        </w:rPr>
        <w:t>642</w:t>
      </w:r>
      <w:r w:rsidRPr="001D639C">
        <w:rPr>
          <w:rFonts w:ascii="Arial" w:eastAsia="Calibri" w:hAnsi="Arial" w:cs="Arial"/>
          <w:b/>
          <w:bCs/>
          <w:color w:val="000000" w:themeColor="text1"/>
          <w:sz w:val="22"/>
          <w:lang w:val="es-ES_tradnl"/>
        </w:rPr>
        <w:t xml:space="preserve"> de 202</w:t>
      </w:r>
      <w:r w:rsidR="00092B71" w:rsidRPr="001D639C">
        <w:rPr>
          <w:rFonts w:ascii="Arial" w:eastAsia="Calibri" w:hAnsi="Arial" w:cs="Arial"/>
          <w:b/>
          <w:bCs/>
          <w:color w:val="000000" w:themeColor="text1"/>
          <w:sz w:val="22"/>
          <w:lang w:val="es-ES_tradnl"/>
        </w:rPr>
        <w:t>1</w:t>
      </w:r>
    </w:p>
    <w:p w14:paraId="2B376FFA" w14:textId="77777777" w:rsidR="00B95C30" w:rsidRPr="008918A2" w:rsidRDefault="00B95C30" w:rsidP="00B95C30">
      <w:pPr>
        <w:jc w:val="both"/>
        <w:rPr>
          <w:rFonts w:ascii="Arial" w:eastAsia="Calibri" w:hAnsi="Arial" w:cs="Arial"/>
          <w:color w:val="000000" w:themeColor="text1"/>
          <w:sz w:val="22"/>
          <w:lang w:val="es-ES_tradnl"/>
        </w:rPr>
      </w:pPr>
    </w:p>
    <w:p w14:paraId="08CF82B2" w14:textId="77777777" w:rsidR="00B95C30" w:rsidRPr="008918A2" w:rsidRDefault="00B95C30" w:rsidP="00B95C30">
      <w:pPr>
        <w:jc w:val="both"/>
        <w:rPr>
          <w:rFonts w:ascii="Arial" w:eastAsia="Calibri" w:hAnsi="Arial" w:cs="Arial"/>
          <w:color w:val="000000" w:themeColor="text1"/>
          <w:sz w:val="22"/>
          <w:lang w:val="es-ES_tradnl"/>
        </w:rPr>
      </w:pPr>
    </w:p>
    <w:p w14:paraId="1BD594F9" w14:textId="77777777" w:rsidR="00B95C30" w:rsidRPr="008918A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918A2" w14:paraId="19DFC051" w14:textId="77777777" w:rsidTr="008F4163">
        <w:tc>
          <w:tcPr>
            <w:tcW w:w="2689" w:type="dxa"/>
          </w:tcPr>
          <w:p w14:paraId="6BC0D1AC" w14:textId="77777777" w:rsidR="00B95C30" w:rsidRPr="008918A2" w:rsidRDefault="00B95C30" w:rsidP="008F4163">
            <w:pPr>
              <w:jc w:val="both"/>
              <w:rPr>
                <w:rFonts w:ascii="Arial" w:eastAsia="Calibri" w:hAnsi="Arial" w:cs="Arial"/>
                <w:color w:val="000000" w:themeColor="text1"/>
                <w:sz w:val="22"/>
                <w:lang w:val="es-ES_tradnl"/>
              </w:rPr>
            </w:pPr>
            <w:r w:rsidRPr="008918A2">
              <w:rPr>
                <w:rFonts w:ascii="Arial" w:eastAsia="Calibri" w:hAnsi="Arial" w:cs="Arial"/>
                <w:b/>
                <w:color w:val="000000" w:themeColor="text1"/>
                <w:sz w:val="22"/>
                <w:lang w:val="es-ES_tradnl"/>
              </w:rPr>
              <w:t>Temas:</w:t>
            </w:r>
            <w:r w:rsidRPr="008918A2">
              <w:rPr>
                <w:rFonts w:ascii="Arial" w:eastAsia="Calibri" w:hAnsi="Arial" w:cs="Arial"/>
                <w:color w:val="000000" w:themeColor="text1"/>
                <w:sz w:val="22"/>
                <w:lang w:val="es-ES_tradnl"/>
              </w:rPr>
              <w:t xml:space="preserve">                                      </w:t>
            </w:r>
          </w:p>
        </w:tc>
        <w:tc>
          <w:tcPr>
            <w:tcW w:w="6237" w:type="dxa"/>
          </w:tcPr>
          <w:p w14:paraId="5F389CAF" w14:textId="05B7F195" w:rsidR="00B95C30" w:rsidRPr="00B23535" w:rsidRDefault="00F25C55" w:rsidP="008F4163">
            <w:pPr>
              <w:jc w:val="both"/>
              <w:rPr>
                <w:rFonts w:ascii="Arial" w:eastAsia="Calibri" w:hAnsi="Arial" w:cs="Arial"/>
                <w:color w:val="000000" w:themeColor="text1"/>
                <w:sz w:val="22"/>
                <w:lang w:val="es-ES_tradnl"/>
              </w:rPr>
            </w:pPr>
            <w:r w:rsidRPr="00E30DF1">
              <w:rPr>
                <w:rFonts w:ascii="Arial" w:eastAsia="Calibri" w:hAnsi="Arial" w:cs="Arial"/>
                <w:sz w:val="22"/>
                <w:lang w:val="es-ES_tradnl"/>
              </w:rPr>
              <w:t>CAPACIDAD RESIDUAL – Ley 1150 de 2007 – Decreto 1082 de 2015 / CAPACIDAD RESIDUAL – Capacidad de Organización – Ley 1150 de 2007 – Decreto 1082 de 2015 / DOCUMENTOS TIPO</w:t>
            </w:r>
            <w:r w:rsidR="001C5446">
              <w:rPr>
                <w:rFonts w:ascii="Arial" w:eastAsia="Calibri" w:hAnsi="Arial" w:cs="Arial"/>
                <w:sz w:val="22"/>
                <w:lang w:val="es-ES_tradnl"/>
              </w:rPr>
              <w:t xml:space="preserve"> </w:t>
            </w:r>
            <w:r w:rsidRPr="00E30DF1">
              <w:rPr>
                <w:rFonts w:ascii="Arial" w:eastAsia="Calibri" w:hAnsi="Arial" w:cs="Arial"/>
                <w:sz w:val="22"/>
                <w:lang w:val="es-ES_tradnl"/>
              </w:rPr>
              <w:t>– Versión 3 – Capacidad residual – Capacidad de organización / INALTERABILIDAD – Documentos Tipo – Licitación Pública</w:t>
            </w:r>
            <w:r>
              <w:rPr>
                <w:rFonts w:ascii="Arial" w:eastAsia="Calibri" w:hAnsi="Arial" w:cs="Arial"/>
                <w:sz w:val="22"/>
                <w:lang w:val="es-ES_tradnl"/>
              </w:rPr>
              <w:t>.</w:t>
            </w:r>
          </w:p>
        </w:tc>
      </w:tr>
      <w:tr w:rsidR="00B95C30" w:rsidRPr="008918A2" w14:paraId="27CD52AB" w14:textId="77777777" w:rsidTr="008F4163">
        <w:tc>
          <w:tcPr>
            <w:tcW w:w="2689" w:type="dxa"/>
          </w:tcPr>
          <w:p w14:paraId="37E195A1" w14:textId="1BA218D5" w:rsidR="00B95C30" w:rsidRPr="008918A2" w:rsidRDefault="00B95C30" w:rsidP="008F4163">
            <w:pPr>
              <w:spacing w:before="12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Radicación:</w:t>
            </w:r>
            <w:r w:rsidRPr="008918A2">
              <w:rPr>
                <w:rFonts w:ascii="Arial" w:eastAsia="Calibri" w:hAnsi="Arial" w:cs="Arial"/>
                <w:color w:val="000000" w:themeColor="text1"/>
                <w:sz w:val="22"/>
                <w:lang w:val="es-ES_tradnl"/>
              </w:rPr>
              <w:t xml:space="preserve">                              </w:t>
            </w:r>
          </w:p>
        </w:tc>
        <w:tc>
          <w:tcPr>
            <w:tcW w:w="6237" w:type="dxa"/>
          </w:tcPr>
          <w:p w14:paraId="64360FC9" w14:textId="3B35993C"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Respuesta a consulta # </w:t>
            </w:r>
            <w:r w:rsidR="00CA6576" w:rsidRPr="00CA6576">
              <w:rPr>
                <w:rFonts w:ascii="Arial" w:eastAsia="Calibri" w:hAnsi="Arial" w:cs="Arial"/>
                <w:color w:val="000000" w:themeColor="text1"/>
                <w:sz w:val="22"/>
                <w:lang w:val="es-ES_tradnl"/>
              </w:rPr>
              <w:t>P20211005009124</w:t>
            </w:r>
          </w:p>
          <w:p w14:paraId="09088B1B" w14:textId="77777777"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 </w:t>
            </w:r>
          </w:p>
        </w:tc>
      </w:tr>
    </w:tbl>
    <w:p w14:paraId="1CF4AEA0" w14:textId="2B5C94C9" w:rsidR="003C3339" w:rsidRPr="008918A2" w:rsidRDefault="003C3339" w:rsidP="003C3339">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Estimad</w:t>
      </w:r>
      <w:r w:rsidR="00032675">
        <w:rPr>
          <w:rFonts w:ascii="Arial" w:eastAsia="Calibri" w:hAnsi="Arial" w:cs="Arial"/>
          <w:color w:val="000000" w:themeColor="text1"/>
          <w:sz w:val="22"/>
          <w:lang w:val="es-ES_tradnl"/>
        </w:rPr>
        <w:t>o</w:t>
      </w:r>
      <w:r w:rsidRPr="008918A2">
        <w:rPr>
          <w:rFonts w:ascii="Arial" w:eastAsia="Calibri" w:hAnsi="Arial" w:cs="Arial"/>
          <w:color w:val="000000" w:themeColor="text1"/>
          <w:sz w:val="22"/>
          <w:lang w:val="es-ES_tradnl"/>
        </w:rPr>
        <w:t xml:space="preserve"> </w:t>
      </w:r>
      <w:r w:rsidR="0063732C" w:rsidRPr="008918A2">
        <w:rPr>
          <w:rFonts w:ascii="Arial" w:eastAsia="Calibri" w:hAnsi="Arial" w:cs="Arial"/>
          <w:color w:val="000000" w:themeColor="text1"/>
          <w:sz w:val="22"/>
          <w:lang w:val="es-ES_tradnl"/>
        </w:rPr>
        <w:t>señor</w:t>
      </w:r>
      <w:r w:rsidR="00BE4FBF" w:rsidRPr="008918A2">
        <w:rPr>
          <w:rFonts w:ascii="Arial" w:eastAsia="Calibri" w:hAnsi="Arial" w:cs="Arial"/>
          <w:color w:val="000000" w:themeColor="text1"/>
          <w:sz w:val="22"/>
          <w:lang w:val="es-ES_tradnl"/>
        </w:rPr>
        <w:t xml:space="preserve"> </w:t>
      </w:r>
      <w:proofErr w:type="spellStart"/>
      <w:r w:rsidR="00032675">
        <w:rPr>
          <w:rFonts w:ascii="Arial" w:eastAsia="Calibri" w:hAnsi="Arial" w:cs="Arial"/>
          <w:color w:val="000000" w:themeColor="text1"/>
          <w:sz w:val="22"/>
          <w:lang w:val="es-ES_tradnl"/>
        </w:rPr>
        <w:t>Suescún</w:t>
      </w:r>
      <w:proofErr w:type="spellEnd"/>
      <w:r w:rsidRPr="008918A2">
        <w:rPr>
          <w:rFonts w:ascii="Arial" w:eastAsia="Calibri" w:hAnsi="Arial" w:cs="Arial"/>
          <w:color w:val="000000" w:themeColor="text1"/>
          <w:sz w:val="22"/>
          <w:lang w:val="es-ES_tradnl"/>
        </w:rPr>
        <w:t>:</w:t>
      </w:r>
    </w:p>
    <w:p w14:paraId="1EAE5543" w14:textId="77777777" w:rsidR="00DD5B04" w:rsidRPr="008918A2" w:rsidRDefault="00DD5B04" w:rsidP="00DF76A2">
      <w:pPr>
        <w:jc w:val="both"/>
        <w:rPr>
          <w:rFonts w:ascii="Arial" w:eastAsia="Calibri" w:hAnsi="Arial" w:cs="Arial"/>
          <w:color w:val="000000" w:themeColor="text1"/>
          <w:sz w:val="22"/>
          <w:lang w:val="es-ES_tradnl"/>
        </w:rPr>
      </w:pPr>
    </w:p>
    <w:p w14:paraId="2109B2D3" w14:textId="4AD10A0F" w:rsidR="00DD5B04" w:rsidRPr="008918A2" w:rsidRDefault="00DD5B04" w:rsidP="00DF76A2">
      <w:pPr>
        <w:spacing w:line="276" w:lineRule="auto"/>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 xml:space="preserve">responde su consulta del </w:t>
      </w:r>
      <w:r w:rsidR="003A3907">
        <w:rPr>
          <w:rFonts w:ascii="Arial" w:eastAsia="Calibri" w:hAnsi="Arial" w:cs="Arial"/>
          <w:color w:val="000000" w:themeColor="text1"/>
          <w:sz w:val="22"/>
          <w:lang w:val="es-ES_tradnl"/>
        </w:rPr>
        <w:t>5</w:t>
      </w:r>
      <w:r w:rsidR="00FD4AF3" w:rsidRPr="008918A2">
        <w:rPr>
          <w:rFonts w:ascii="Arial" w:eastAsia="Calibri" w:hAnsi="Arial" w:cs="Arial"/>
          <w:color w:val="000000" w:themeColor="text1"/>
          <w:sz w:val="22"/>
          <w:lang w:val="es-ES_tradnl"/>
        </w:rPr>
        <w:t xml:space="preserve"> de </w:t>
      </w:r>
      <w:r w:rsidR="003A3907">
        <w:rPr>
          <w:rFonts w:ascii="Arial" w:eastAsia="Calibri" w:hAnsi="Arial" w:cs="Arial"/>
          <w:color w:val="000000" w:themeColor="text1"/>
          <w:sz w:val="22"/>
          <w:lang w:val="es-ES_tradnl"/>
        </w:rPr>
        <w:t>octubre</w:t>
      </w:r>
      <w:r w:rsidRPr="008918A2">
        <w:rPr>
          <w:rFonts w:ascii="Arial" w:eastAsia="Calibri" w:hAnsi="Arial" w:cs="Arial"/>
          <w:color w:val="000000" w:themeColor="text1"/>
          <w:sz w:val="22"/>
          <w:lang w:val="es-ES_tradnl"/>
        </w:rPr>
        <w:t xml:space="preserve"> del</w:t>
      </w:r>
      <w:r w:rsidR="007E74BF"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202</w:t>
      </w:r>
      <w:r w:rsidR="00FB0880" w:rsidRPr="008918A2">
        <w:rPr>
          <w:rFonts w:ascii="Arial" w:eastAsia="Calibri" w:hAnsi="Arial" w:cs="Arial"/>
          <w:color w:val="000000" w:themeColor="text1"/>
          <w:sz w:val="22"/>
          <w:lang w:val="es-ES_tradnl"/>
        </w:rPr>
        <w:t>1</w:t>
      </w:r>
      <w:r w:rsidR="008C3C57" w:rsidRPr="008918A2">
        <w:rPr>
          <w:rFonts w:ascii="Arial" w:eastAsia="Calibri" w:hAnsi="Arial" w:cs="Arial"/>
          <w:color w:val="000000" w:themeColor="text1"/>
          <w:sz w:val="22"/>
          <w:lang w:val="es-ES_tradnl"/>
        </w:rPr>
        <w:t>.</w:t>
      </w:r>
    </w:p>
    <w:p w14:paraId="0C1E0712" w14:textId="77777777" w:rsidR="00DD5B04" w:rsidRPr="008918A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918A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 xml:space="preserve">Problema planteado </w:t>
      </w:r>
    </w:p>
    <w:p w14:paraId="224B43D3" w14:textId="77777777" w:rsidR="00DD5B04" w:rsidRPr="008918A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32C34EA" w:rsidR="00443B55" w:rsidRPr="008918A2" w:rsidRDefault="00DD5B04" w:rsidP="0099583D">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 xml:space="preserve">Usted </w:t>
      </w:r>
      <w:r w:rsidR="00B422C0" w:rsidRPr="008918A2">
        <w:rPr>
          <w:rFonts w:ascii="Arial" w:hAnsi="Arial" w:cs="Arial"/>
          <w:color w:val="000000" w:themeColor="text1"/>
          <w:sz w:val="22"/>
          <w:lang w:val="es-ES_tradnl"/>
        </w:rPr>
        <w:t>formula</w:t>
      </w:r>
      <w:r w:rsidR="006D46A3" w:rsidRPr="008918A2">
        <w:rPr>
          <w:rFonts w:ascii="Arial" w:hAnsi="Arial" w:cs="Arial"/>
          <w:color w:val="000000" w:themeColor="text1"/>
          <w:sz w:val="22"/>
          <w:lang w:val="es-ES_tradnl"/>
        </w:rPr>
        <w:t xml:space="preserve"> la siguiente</w:t>
      </w:r>
      <w:r w:rsidR="00C028F5" w:rsidRPr="008918A2">
        <w:rPr>
          <w:rFonts w:ascii="Arial" w:hAnsi="Arial" w:cs="Arial"/>
          <w:color w:val="000000" w:themeColor="text1"/>
          <w:sz w:val="22"/>
          <w:lang w:val="es-ES_tradnl"/>
        </w:rPr>
        <w:t xml:space="preserve"> </w:t>
      </w:r>
      <w:r w:rsidR="00B95894">
        <w:rPr>
          <w:rFonts w:ascii="Arial" w:hAnsi="Arial" w:cs="Arial"/>
          <w:color w:val="000000" w:themeColor="text1"/>
          <w:sz w:val="22"/>
          <w:lang w:val="es-ES_tradnl"/>
        </w:rPr>
        <w:t>consulta</w:t>
      </w:r>
      <w:r w:rsidR="00234197">
        <w:rPr>
          <w:rFonts w:ascii="Arial" w:hAnsi="Arial" w:cs="Arial"/>
          <w:color w:val="000000" w:themeColor="text1"/>
          <w:sz w:val="22"/>
          <w:lang w:val="es-ES_tradnl"/>
        </w:rPr>
        <w:t xml:space="preserve">, </w:t>
      </w:r>
      <w:r w:rsidR="00127697">
        <w:rPr>
          <w:rFonts w:ascii="Arial" w:hAnsi="Arial" w:cs="Arial"/>
          <w:color w:val="000000" w:themeColor="text1"/>
          <w:sz w:val="22"/>
          <w:lang w:val="es-ES_tradnl"/>
        </w:rPr>
        <w:t>sobre</w:t>
      </w:r>
      <w:r w:rsidR="00C868BB">
        <w:rPr>
          <w:rFonts w:ascii="Arial" w:hAnsi="Arial" w:cs="Arial"/>
          <w:color w:val="000000" w:themeColor="text1"/>
          <w:sz w:val="22"/>
          <w:lang w:val="es-ES_tradnl"/>
        </w:rPr>
        <w:t xml:space="preserve"> lo </w:t>
      </w:r>
      <w:r w:rsidR="00DA12C1">
        <w:rPr>
          <w:rFonts w:ascii="Arial" w:hAnsi="Arial" w:cs="Arial"/>
          <w:color w:val="000000" w:themeColor="text1"/>
          <w:sz w:val="22"/>
          <w:lang w:val="es-ES_tradnl"/>
        </w:rPr>
        <w:t xml:space="preserve">establecido </w:t>
      </w:r>
      <w:r w:rsidR="00873742">
        <w:rPr>
          <w:rFonts w:ascii="Arial" w:hAnsi="Arial" w:cs="Arial"/>
          <w:color w:val="000000" w:themeColor="text1"/>
          <w:sz w:val="22"/>
          <w:lang w:val="es-ES_tradnl"/>
        </w:rPr>
        <w:t>en el</w:t>
      </w:r>
      <w:r w:rsidR="00C868BB">
        <w:rPr>
          <w:rFonts w:ascii="Arial" w:hAnsi="Arial" w:cs="Arial"/>
          <w:color w:val="000000" w:themeColor="text1"/>
          <w:sz w:val="22"/>
          <w:lang w:val="es-ES_tradnl"/>
        </w:rPr>
        <w:t xml:space="preserve"> pliego tipo de licitación de obra pública de infraestructura de transporte</w:t>
      </w:r>
      <w:r w:rsidR="00B422C0" w:rsidRPr="008918A2">
        <w:rPr>
          <w:rFonts w:ascii="Arial" w:hAnsi="Arial" w:cs="Arial"/>
          <w:color w:val="000000" w:themeColor="text1"/>
          <w:sz w:val="22"/>
          <w:lang w:val="es-ES_tradnl"/>
        </w:rPr>
        <w:t>:</w:t>
      </w:r>
      <w:r w:rsidR="007E18DF" w:rsidRPr="008918A2">
        <w:rPr>
          <w:rFonts w:ascii="Arial" w:hAnsi="Arial" w:cs="Arial"/>
          <w:color w:val="000000" w:themeColor="text1"/>
          <w:sz w:val="22"/>
          <w:lang w:val="es-ES_tradnl"/>
        </w:rPr>
        <w:t xml:space="preserve"> </w:t>
      </w:r>
    </w:p>
    <w:p w14:paraId="559EE20C" w14:textId="77777777" w:rsidR="00443B55" w:rsidRPr="008918A2" w:rsidRDefault="00443B55" w:rsidP="0099583D">
      <w:pPr>
        <w:spacing w:line="276" w:lineRule="auto"/>
        <w:jc w:val="both"/>
        <w:rPr>
          <w:rFonts w:ascii="Arial" w:hAnsi="Arial" w:cs="Arial"/>
          <w:color w:val="000000" w:themeColor="text1"/>
          <w:sz w:val="22"/>
          <w:lang w:val="es-ES_tradnl"/>
        </w:rPr>
      </w:pPr>
    </w:p>
    <w:p w14:paraId="12E12D26" w14:textId="362F1CCE" w:rsidR="00AF07A5" w:rsidRDefault="001C79A4" w:rsidP="00E31679">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00234197" w:rsidRPr="00234197">
        <w:rPr>
          <w:rFonts w:ascii="Arial" w:hAnsi="Arial" w:cs="Arial"/>
          <w:color w:val="000000" w:themeColor="text1"/>
          <w:sz w:val="21"/>
          <w:szCs w:val="21"/>
          <w:lang w:val="es-ES_tradnl"/>
        </w:rPr>
        <w:t>¿Los estados financieros necesarios para acreditar la capacidad de organización para el cálculo de la capacidad residual deben contener obligatoriamente las firmas de representante legal, contador y revisor fiscal (o auditor independiente)?</w:t>
      </w:r>
      <w:r w:rsidR="00234197">
        <w:rPr>
          <w:rFonts w:ascii="Arial" w:hAnsi="Arial" w:cs="Arial"/>
          <w:color w:val="000000" w:themeColor="text1"/>
          <w:sz w:val="21"/>
          <w:szCs w:val="21"/>
          <w:lang w:val="es-ES_tradnl"/>
        </w:rPr>
        <w:t>»</w:t>
      </w:r>
    </w:p>
    <w:p w14:paraId="138EEE9A" w14:textId="77777777" w:rsidR="00234197" w:rsidRPr="00234197" w:rsidRDefault="00234197" w:rsidP="00E31679">
      <w:pPr>
        <w:ind w:left="709" w:right="709"/>
        <w:jc w:val="both"/>
        <w:rPr>
          <w:rFonts w:ascii="Arial" w:hAnsi="Arial" w:cs="Arial"/>
          <w:color w:val="000000" w:themeColor="text1"/>
          <w:sz w:val="21"/>
          <w:szCs w:val="21"/>
        </w:rPr>
      </w:pPr>
    </w:p>
    <w:p w14:paraId="124D2DCA" w14:textId="77777777" w:rsidR="00DD5B04" w:rsidRPr="008918A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Consideraciones</w:t>
      </w:r>
    </w:p>
    <w:p w14:paraId="4F091680" w14:textId="77777777" w:rsidR="00A87DAB" w:rsidRDefault="00A87DAB" w:rsidP="00A87DAB">
      <w:pPr>
        <w:spacing w:line="276" w:lineRule="auto"/>
        <w:jc w:val="both"/>
        <w:rPr>
          <w:rFonts w:ascii="Arial" w:eastAsia="Calibri" w:hAnsi="Arial" w:cs="Arial"/>
          <w:sz w:val="22"/>
        </w:rPr>
      </w:pPr>
    </w:p>
    <w:p w14:paraId="662EB850" w14:textId="2CDA965C" w:rsidR="00C64A66" w:rsidRPr="00A70F57" w:rsidRDefault="00C64A66" w:rsidP="00A87DAB">
      <w:pPr>
        <w:spacing w:line="276" w:lineRule="auto"/>
        <w:jc w:val="both"/>
        <w:rPr>
          <w:rFonts w:ascii="Arial" w:eastAsia="Calibri" w:hAnsi="Arial" w:cs="Arial"/>
          <w:sz w:val="22"/>
        </w:rPr>
      </w:pPr>
      <w:r w:rsidRPr="00A70F57">
        <w:rPr>
          <w:rFonts w:ascii="Arial" w:eastAsia="Calibri" w:hAnsi="Arial" w:cs="Arial"/>
          <w:sz w:val="22"/>
        </w:rPr>
        <w:t xml:space="preserve">Para responder su consulta, </w:t>
      </w:r>
      <w:r w:rsidR="00F8029F">
        <w:rPr>
          <w:rFonts w:ascii="Arial" w:eastAsia="Calibri" w:hAnsi="Arial" w:cs="Arial"/>
          <w:sz w:val="22"/>
        </w:rPr>
        <w:t>se</w:t>
      </w:r>
      <w:r w:rsidRPr="00A70F57">
        <w:rPr>
          <w:rFonts w:ascii="Arial" w:eastAsia="Calibri" w:hAnsi="Arial" w:cs="Arial"/>
          <w:sz w:val="22"/>
        </w:rPr>
        <w:t xml:space="preserve"> analizará</w:t>
      </w:r>
      <w:r w:rsidR="00F8029F">
        <w:rPr>
          <w:rFonts w:ascii="Arial" w:eastAsia="Calibri" w:hAnsi="Arial" w:cs="Arial"/>
          <w:sz w:val="22"/>
        </w:rPr>
        <w:t>n</w:t>
      </w:r>
      <w:r>
        <w:rPr>
          <w:rFonts w:ascii="Arial" w:eastAsia="Calibri" w:hAnsi="Arial" w:cs="Arial"/>
          <w:sz w:val="22"/>
        </w:rPr>
        <w:t xml:space="preserve"> los siguientes aspectos: i) </w:t>
      </w:r>
      <w:r w:rsidR="00105610">
        <w:rPr>
          <w:rFonts w:ascii="Arial" w:eastAsia="Calibri" w:hAnsi="Arial" w:cs="Arial"/>
          <w:sz w:val="22"/>
        </w:rPr>
        <w:t>C</w:t>
      </w:r>
      <w:r w:rsidRPr="00A70F57">
        <w:rPr>
          <w:rFonts w:ascii="Arial" w:eastAsia="Calibri" w:hAnsi="Arial" w:cs="Arial"/>
          <w:sz w:val="22"/>
        </w:rPr>
        <w:t xml:space="preserve">apacidad </w:t>
      </w:r>
      <w:r w:rsidR="00105610">
        <w:rPr>
          <w:rFonts w:ascii="Arial" w:eastAsia="Calibri" w:hAnsi="Arial" w:cs="Arial"/>
          <w:sz w:val="22"/>
        </w:rPr>
        <w:t>R</w:t>
      </w:r>
      <w:r w:rsidRPr="00A70F57">
        <w:rPr>
          <w:rFonts w:ascii="Arial" w:eastAsia="Calibri" w:hAnsi="Arial" w:cs="Arial"/>
          <w:sz w:val="22"/>
        </w:rPr>
        <w:t xml:space="preserve">esidual: información financiera requerida para calcular la </w:t>
      </w:r>
      <w:r w:rsidR="00105610">
        <w:rPr>
          <w:rFonts w:ascii="Arial" w:eastAsia="Calibri" w:hAnsi="Arial" w:cs="Arial"/>
          <w:sz w:val="22"/>
        </w:rPr>
        <w:t>C</w:t>
      </w:r>
      <w:r w:rsidRPr="00A70F57">
        <w:rPr>
          <w:rFonts w:ascii="Arial" w:eastAsia="Calibri" w:hAnsi="Arial" w:cs="Arial"/>
          <w:sz w:val="22"/>
        </w:rPr>
        <w:t xml:space="preserve">apacidad de </w:t>
      </w:r>
      <w:r w:rsidR="00105610">
        <w:rPr>
          <w:rFonts w:ascii="Arial" w:eastAsia="Calibri" w:hAnsi="Arial" w:cs="Arial"/>
          <w:sz w:val="22"/>
        </w:rPr>
        <w:t>O</w:t>
      </w:r>
      <w:r w:rsidRPr="00A70F57">
        <w:rPr>
          <w:rFonts w:ascii="Arial" w:eastAsia="Calibri" w:hAnsi="Arial" w:cs="Arial"/>
          <w:sz w:val="22"/>
        </w:rPr>
        <w:t>rganización,</w:t>
      </w:r>
      <w:r>
        <w:rPr>
          <w:rFonts w:ascii="Arial" w:eastAsia="Calibri" w:hAnsi="Arial" w:cs="Arial"/>
          <w:sz w:val="22"/>
        </w:rPr>
        <w:t xml:space="preserve"> ii) a</w:t>
      </w:r>
      <w:r w:rsidRPr="00A70F57">
        <w:rPr>
          <w:rFonts w:ascii="Arial" w:eastAsia="Calibri" w:hAnsi="Arial" w:cs="Arial"/>
          <w:sz w:val="22"/>
        </w:rPr>
        <w:t>creditación del factor Capacidad de Organización (CO) en las versiones 1,</w:t>
      </w:r>
      <w:r>
        <w:rPr>
          <w:rFonts w:ascii="Arial" w:eastAsia="Calibri" w:hAnsi="Arial" w:cs="Arial"/>
          <w:sz w:val="22"/>
        </w:rPr>
        <w:t xml:space="preserve"> </w:t>
      </w:r>
      <w:r w:rsidRPr="00A70F57">
        <w:rPr>
          <w:rFonts w:ascii="Arial" w:eastAsia="Calibri" w:hAnsi="Arial" w:cs="Arial"/>
          <w:sz w:val="22"/>
        </w:rPr>
        <w:t xml:space="preserve">2 y 3 de los </w:t>
      </w:r>
      <w:r w:rsidRPr="00A70F57">
        <w:rPr>
          <w:rFonts w:ascii="Arial" w:eastAsia="Calibri" w:hAnsi="Arial" w:cs="Arial"/>
          <w:sz w:val="22"/>
        </w:rPr>
        <w:lastRenderedPageBreak/>
        <w:t>Documentos Tipo de licitación de obra pública de infraestructura de transporte</w:t>
      </w:r>
      <w:r w:rsidR="00B332E2">
        <w:rPr>
          <w:rFonts w:ascii="Arial" w:eastAsia="Calibri" w:hAnsi="Arial" w:cs="Arial"/>
          <w:sz w:val="22"/>
        </w:rPr>
        <w:t xml:space="preserve"> </w:t>
      </w:r>
      <w:r>
        <w:rPr>
          <w:rFonts w:ascii="Arial" w:eastAsia="Calibri" w:hAnsi="Arial" w:cs="Arial"/>
          <w:sz w:val="22"/>
        </w:rPr>
        <w:t>y</w:t>
      </w:r>
      <w:r w:rsidRPr="00A70F57">
        <w:rPr>
          <w:rFonts w:ascii="Arial" w:eastAsia="Calibri" w:hAnsi="Arial" w:cs="Arial"/>
          <w:sz w:val="22"/>
        </w:rPr>
        <w:t xml:space="preserve"> i</w:t>
      </w:r>
      <w:r w:rsidR="00B332E2">
        <w:rPr>
          <w:rFonts w:ascii="Arial" w:eastAsia="Calibri" w:hAnsi="Arial" w:cs="Arial"/>
          <w:sz w:val="22"/>
        </w:rPr>
        <w:t>ii</w:t>
      </w:r>
      <w:r w:rsidRPr="00A70F57">
        <w:rPr>
          <w:rFonts w:ascii="Arial" w:eastAsia="Calibri" w:hAnsi="Arial" w:cs="Arial"/>
          <w:sz w:val="22"/>
        </w:rPr>
        <w:t xml:space="preserve">) </w:t>
      </w:r>
      <w:r>
        <w:rPr>
          <w:rFonts w:ascii="Arial" w:eastAsia="Calibri" w:hAnsi="Arial" w:cs="Arial"/>
          <w:sz w:val="22"/>
        </w:rPr>
        <w:t>regla de inalterabilidad de los Documentos Tipo.</w:t>
      </w:r>
    </w:p>
    <w:p w14:paraId="2961BC04" w14:textId="2CA7ACA3" w:rsidR="00C64A66" w:rsidRDefault="00C64A66" w:rsidP="00C64A66">
      <w:pPr>
        <w:spacing w:before="120" w:line="276" w:lineRule="auto"/>
        <w:ind w:firstLine="709"/>
        <w:jc w:val="both"/>
        <w:rPr>
          <w:rFonts w:ascii="Arial" w:hAnsi="Arial" w:cs="Arial"/>
          <w:bCs/>
          <w:color w:val="000000" w:themeColor="text1"/>
          <w:sz w:val="22"/>
        </w:rPr>
      </w:pPr>
      <w:r w:rsidRPr="00606FE0">
        <w:rPr>
          <w:rFonts w:ascii="Arial" w:eastAsia="Calibri" w:hAnsi="Arial" w:cs="Arial"/>
          <w:sz w:val="22"/>
          <w:lang w:val="es-ES_tradnl"/>
        </w:rPr>
        <w:t>La Agencia Nacional de Contratación Pública − Colombia Compra Eficiente se ha pronunciado en diferentes oportunidades sobre los requisitos para acreditar la capacidad residual en los Documentos Tipo</w:t>
      </w:r>
      <w:r w:rsidRPr="00606FE0">
        <w:rPr>
          <w:rFonts w:ascii="Arial" w:eastAsia="Calibri" w:hAnsi="Arial" w:cs="Arial"/>
          <w:bCs/>
          <w:sz w:val="22"/>
        </w:rPr>
        <w:t xml:space="preserve"> </w:t>
      </w:r>
      <w:r w:rsidRPr="00606FE0">
        <w:rPr>
          <w:rFonts w:ascii="Arial" w:hAnsi="Arial" w:cs="Arial"/>
          <w:bCs/>
          <w:color w:val="000000" w:themeColor="text1"/>
          <w:sz w:val="22"/>
        </w:rPr>
        <w:t>para licitación de obra pública de infraestructura de transporte</w:t>
      </w:r>
      <w:r>
        <w:rPr>
          <w:rFonts w:ascii="Arial" w:hAnsi="Arial" w:cs="Arial"/>
          <w:bCs/>
          <w:color w:val="000000" w:themeColor="text1"/>
          <w:sz w:val="22"/>
        </w:rPr>
        <w:t>,</w:t>
      </w:r>
      <w:r w:rsidRPr="00606FE0">
        <w:rPr>
          <w:rFonts w:ascii="Arial" w:hAnsi="Arial" w:cs="Arial"/>
          <w:bCs/>
          <w:color w:val="000000" w:themeColor="text1"/>
          <w:sz w:val="22"/>
        </w:rPr>
        <w:t xml:space="preserve"> en sus </w:t>
      </w:r>
      <w:r>
        <w:rPr>
          <w:rFonts w:ascii="Arial" w:hAnsi="Arial" w:cs="Arial"/>
          <w:bCs/>
          <w:color w:val="000000" w:themeColor="text1"/>
          <w:sz w:val="22"/>
        </w:rPr>
        <w:t xml:space="preserve">distintas versiones, </w:t>
      </w:r>
      <w:r w:rsidRPr="00606FE0">
        <w:rPr>
          <w:rFonts w:ascii="Arial" w:eastAsia="Calibri" w:hAnsi="Arial" w:cs="Arial"/>
          <w:bCs/>
          <w:sz w:val="22"/>
        </w:rPr>
        <w:t>en</w:t>
      </w:r>
      <w:r w:rsidRPr="00606FE0">
        <w:rPr>
          <w:rFonts w:ascii="Arial" w:eastAsia="Calibri" w:hAnsi="Arial" w:cs="Arial"/>
          <w:sz w:val="22"/>
          <w:lang w:val="es-ES_tradnl"/>
        </w:rPr>
        <w:t xml:space="preserve"> los</w:t>
      </w:r>
      <w:r w:rsidRPr="00606FE0">
        <w:rPr>
          <w:rFonts w:ascii="Arial" w:eastAsia="Calibri" w:hAnsi="Arial" w:cs="Arial"/>
          <w:bCs/>
          <w:sz w:val="22"/>
        </w:rPr>
        <w:t xml:space="preserve"> </w:t>
      </w:r>
      <w:r w:rsidRPr="00547F95">
        <w:rPr>
          <w:rFonts w:ascii="Arial" w:eastAsia="Calibri" w:hAnsi="Arial" w:cs="Arial"/>
          <w:sz w:val="22"/>
        </w:rPr>
        <w:t>conceptos C</w:t>
      </w:r>
      <w:r w:rsidRPr="00547F95">
        <w:rPr>
          <w:rFonts w:ascii="Arial" w:hAnsi="Arial" w:cs="Arial"/>
          <w:bCs/>
          <w:color w:val="000000" w:themeColor="text1"/>
          <w:sz w:val="22"/>
        </w:rPr>
        <w:t>-389 del 21 de julio de 2020, C-393 del 21 de julio de 2020, C-461 del 13 de julio de 2020, C-742 del 16 de diciembre de 2020</w:t>
      </w:r>
      <w:r w:rsidRPr="00547F95">
        <w:rPr>
          <w:rFonts w:ascii="Arial" w:eastAsia="Calibri" w:hAnsi="Arial" w:cs="Arial"/>
          <w:sz w:val="22"/>
        </w:rPr>
        <w:t>, C-067 del 15 de marzo de 2021, C-170</w:t>
      </w:r>
      <w:r>
        <w:rPr>
          <w:rFonts w:ascii="Arial" w:eastAsia="Calibri" w:hAnsi="Arial" w:cs="Arial"/>
          <w:sz w:val="22"/>
        </w:rPr>
        <w:t xml:space="preserve"> del 20 de abril de 2021</w:t>
      </w:r>
      <w:r w:rsidR="000F42B1">
        <w:rPr>
          <w:rFonts w:ascii="Arial" w:eastAsia="Calibri" w:hAnsi="Arial" w:cs="Arial"/>
          <w:sz w:val="22"/>
        </w:rPr>
        <w:t xml:space="preserve"> y C-467 del 7 de septiembre de 2021,</w:t>
      </w:r>
      <w:r>
        <w:rPr>
          <w:rFonts w:ascii="Arial" w:eastAsia="Calibri" w:hAnsi="Arial" w:cs="Arial"/>
          <w:sz w:val="22"/>
        </w:rPr>
        <w:t xml:space="preserve"> entre otros. De igual manera, ha analizado la inalterabilidad de los Documentos Tipo en conceptos como el C-179 del 28 de abril de 2021, C-287 del 18 de junio de 2021 y C- 428 del 20 de agosto de 2021, entre otros. L</w:t>
      </w:r>
      <w:r w:rsidRPr="00606FE0">
        <w:rPr>
          <w:rFonts w:ascii="Arial" w:hAnsi="Arial" w:cs="Arial"/>
          <w:color w:val="000000" w:themeColor="text1"/>
          <w:sz w:val="22"/>
        </w:rPr>
        <w:t>a</w:t>
      </w:r>
      <w:r>
        <w:rPr>
          <w:rFonts w:ascii="Arial" w:hAnsi="Arial" w:cs="Arial"/>
          <w:color w:val="000000" w:themeColor="text1"/>
          <w:sz w:val="22"/>
        </w:rPr>
        <w:t>s</w:t>
      </w:r>
      <w:r w:rsidRPr="00606FE0">
        <w:rPr>
          <w:rFonts w:ascii="Arial" w:hAnsi="Arial" w:cs="Arial"/>
          <w:color w:val="000000" w:themeColor="text1"/>
          <w:sz w:val="22"/>
        </w:rPr>
        <w:t xml:space="preserve"> tesis desarrollada</w:t>
      </w:r>
      <w:r>
        <w:rPr>
          <w:rFonts w:ascii="Arial" w:hAnsi="Arial" w:cs="Arial"/>
          <w:color w:val="000000" w:themeColor="text1"/>
          <w:sz w:val="22"/>
        </w:rPr>
        <w:t xml:space="preserve">s en dichos conceptos se reiteran </w:t>
      </w:r>
      <w:r w:rsidRPr="00606FE0">
        <w:rPr>
          <w:rFonts w:ascii="Arial" w:hAnsi="Arial" w:cs="Arial"/>
          <w:bCs/>
          <w:color w:val="000000" w:themeColor="text1"/>
          <w:sz w:val="22"/>
        </w:rPr>
        <w:t>y se complementa</w:t>
      </w:r>
      <w:r>
        <w:rPr>
          <w:rFonts w:ascii="Arial" w:hAnsi="Arial" w:cs="Arial"/>
          <w:bCs/>
          <w:color w:val="000000" w:themeColor="text1"/>
          <w:sz w:val="22"/>
        </w:rPr>
        <w:t>n</w:t>
      </w:r>
      <w:r w:rsidRPr="00606FE0">
        <w:rPr>
          <w:rFonts w:ascii="Arial" w:hAnsi="Arial" w:cs="Arial"/>
          <w:bCs/>
          <w:color w:val="000000" w:themeColor="text1"/>
          <w:sz w:val="22"/>
        </w:rPr>
        <w:t xml:space="preserve"> en lo pertinente.</w:t>
      </w:r>
      <w:r>
        <w:rPr>
          <w:rFonts w:ascii="Arial" w:hAnsi="Arial" w:cs="Arial"/>
          <w:bCs/>
          <w:color w:val="000000" w:themeColor="text1"/>
          <w:sz w:val="22"/>
        </w:rPr>
        <w:t xml:space="preserve"> </w:t>
      </w:r>
    </w:p>
    <w:p w14:paraId="2576AEF6" w14:textId="77777777" w:rsidR="00C64A66" w:rsidRDefault="00C64A66" w:rsidP="00C64A66">
      <w:pPr>
        <w:tabs>
          <w:tab w:val="left" w:pos="426"/>
        </w:tabs>
        <w:spacing w:line="276" w:lineRule="auto"/>
        <w:jc w:val="both"/>
        <w:rPr>
          <w:rFonts w:ascii="Arial" w:eastAsia="Calibri" w:hAnsi="Arial" w:cs="Arial"/>
          <w:b/>
          <w:bCs/>
          <w:sz w:val="22"/>
        </w:rPr>
      </w:pPr>
    </w:p>
    <w:p w14:paraId="5522CE1C" w14:textId="77777777" w:rsidR="00C64A66" w:rsidRPr="00A70F57" w:rsidRDefault="00C64A66" w:rsidP="00C64A66">
      <w:pPr>
        <w:tabs>
          <w:tab w:val="left" w:pos="426"/>
        </w:tabs>
        <w:spacing w:line="276" w:lineRule="auto"/>
        <w:jc w:val="both"/>
        <w:rPr>
          <w:rFonts w:ascii="Arial" w:eastAsia="Calibri" w:hAnsi="Arial" w:cs="Arial"/>
          <w:b/>
          <w:bCs/>
          <w:sz w:val="22"/>
        </w:rPr>
      </w:pPr>
      <w:r w:rsidRPr="00A70F57">
        <w:rPr>
          <w:rFonts w:ascii="Arial" w:eastAsia="Calibri" w:hAnsi="Arial" w:cs="Arial"/>
          <w:b/>
          <w:bCs/>
          <w:sz w:val="22"/>
        </w:rPr>
        <w:t>2.1. Capacidad residual</w:t>
      </w:r>
      <w:r>
        <w:rPr>
          <w:rFonts w:ascii="Arial" w:eastAsia="Calibri" w:hAnsi="Arial" w:cs="Arial"/>
          <w:b/>
          <w:bCs/>
          <w:sz w:val="22"/>
        </w:rPr>
        <w:t>.</w:t>
      </w:r>
      <w:r w:rsidRPr="00A70F57">
        <w:rPr>
          <w:rFonts w:ascii="Arial" w:eastAsia="Calibri" w:hAnsi="Arial" w:cs="Arial"/>
          <w:b/>
          <w:bCs/>
          <w:sz w:val="22"/>
        </w:rPr>
        <w:t xml:space="preserve"> </w:t>
      </w:r>
      <w:r>
        <w:rPr>
          <w:rFonts w:ascii="Arial" w:eastAsia="Calibri" w:hAnsi="Arial" w:cs="Arial"/>
          <w:b/>
          <w:bCs/>
          <w:sz w:val="22"/>
        </w:rPr>
        <w:t>I</w:t>
      </w:r>
      <w:r w:rsidRPr="00A70F57">
        <w:rPr>
          <w:rFonts w:ascii="Arial" w:eastAsia="Calibri" w:hAnsi="Arial" w:cs="Arial"/>
          <w:b/>
          <w:bCs/>
          <w:sz w:val="22"/>
        </w:rPr>
        <w:t>nformación financiera requerida para calcular la capacidad de organización</w:t>
      </w:r>
    </w:p>
    <w:p w14:paraId="3349F199" w14:textId="77777777" w:rsidR="00C64A66" w:rsidRPr="00A70F57" w:rsidRDefault="00C64A66" w:rsidP="00C64A66">
      <w:pPr>
        <w:tabs>
          <w:tab w:val="left" w:pos="426"/>
        </w:tabs>
        <w:spacing w:before="120" w:after="120" w:line="276" w:lineRule="auto"/>
        <w:jc w:val="both"/>
        <w:rPr>
          <w:rFonts w:ascii="Arial" w:hAnsi="Arial" w:cs="Arial"/>
          <w:iCs/>
          <w:sz w:val="22"/>
        </w:rPr>
      </w:pPr>
      <w:r w:rsidRPr="00A70F57">
        <w:rPr>
          <w:rFonts w:ascii="Arial" w:hAnsi="Arial" w:cs="Arial"/>
          <w:iCs/>
          <w:sz w:val="22"/>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A70F57">
        <w:rPr>
          <w:rFonts w:ascii="Arial" w:eastAsia="Calibri" w:hAnsi="Arial" w:cs="Arial"/>
          <w:color w:val="000000" w:themeColor="text1"/>
          <w:sz w:val="22"/>
          <w:vertAlign w:val="superscript"/>
        </w:rPr>
        <w:footnoteReference w:id="2"/>
      </w:r>
      <w:r w:rsidRPr="00A70F57">
        <w:rPr>
          <w:rFonts w:ascii="Arial" w:hAnsi="Arial" w:cs="Arial"/>
          <w:color w:val="000000" w:themeColor="text1"/>
          <w:sz w:val="22"/>
        </w:rPr>
        <w:t>.</w:t>
      </w:r>
    </w:p>
    <w:p w14:paraId="36C643DD" w14:textId="77777777" w:rsidR="00C64A66" w:rsidRPr="00A70F57" w:rsidRDefault="00C64A66" w:rsidP="00C64A66">
      <w:pPr>
        <w:tabs>
          <w:tab w:val="left" w:pos="709"/>
        </w:tabs>
        <w:spacing w:before="120" w:after="120" w:line="276" w:lineRule="auto"/>
        <w:jc w:val="both"/>
        <w:rPr>
          <w:rFonts w:ascii="Arial" w:hAnsi="Arial" w:cs="Arial"/>
          <w:color w:val="000000" w:themeColor="text1"/>
          <w:sz w:val="22"/>
        </w:rPr>
      </w:pPr>
      <w:r w:rsidRPr="00A70F57">
        <w:rPr>
          <w:rFonts w:ascii="Arial" w:hAnsi="Arial" w:cs="Arial"/>
          <w:iCs/>
          <w:sz w:val="22"/>
        </w:rPr>
        <w:tab/>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r>
        <w:rPr>
          <w:rFonts w:ascii="Arial" w:hAnsi="Arial" w:cs="Arial"/>
          <w:iCs/>
          <w:sz w:val="22"/>
        </w:rPr>
        <w:t xml:space="preserve"> </w:t>
      </w:r>
      <w:r>
        <w:rPr>
          <w:rFonts w:ascii="Arial" w:hAnsi="Arial" w:cs="Arial"/>
          <w:color w:val="000000" w:themeColor="text1"/>
          <w:sz w:val="22"/>
        </w:rPr>
        <w:t>De esta manera, e</w:t>
      </w:r>
      <w:r w:rsidRPr="00A70F57">
        <w:rPr>
          <w:rFonts w:ascii="Arial" w:hAnsi="Arial" w:cs="Arial"/>
          <w:color w:val="000000" w:themeColor="text1"/>
          <w:sz w:val="22"/>
        </w:rPr>
        <w:t xml:space="preserv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6F26417C" w14:textId="77777777" w:rsidR="00C64A66" w:rsidRDefault="00C64A66" w:rsidP="00C64A66">
      <w:pPr>
        <w:ind w:left="708" w:right="709"/>
        <w:jc w:val="both"/>
        <w:rPr>
          <w:rFonts w:ascii="Arial" w:eastAsia="Calibri" w:hAnsi="Arial" w:cs="Arial"/>
          <w:color w:val="000000" w:themeColor="text1"/>
          <w:sz w:val="22"/>
        </w:rPr>
      </w:pPr>
    </w:p>
    <w:p w14:paraId="29AB27D6" w14:textId="77777777" w:rsidR="00C64A66" w:rsidRPr="00C0223D" w:rsidRDefault="00C64A66" w:rsidP="00C64A66">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62404E6" w14:textId="77777777" w:rsidR="00C64A66" w:rsidRPr="00C0223D" w:rsidRDefault="00C64A66" w:rsidP="00C64A66">
      <w:pPr>
        <w:ind w:left="708" w:right="709"/>
        <w:jc w:val="both"/>
        <w:rPr>
          <w:rFonts w:ascii="Arial" w:eastAsia="Calibri" w:hAnsi="Arial" w:cs="Arial"/>
          <w:color w:val="000000" w:themeColor="text1"/>
          <w:sz w:val="21"/>
          <w:szCs w:val="21"/>
        </w:rPr>
      </w:pPr>
    </w:p>
    <w:p w14:paraId="4EDCC252" w14:textId="77777777" w:rsidR="00C64A66" w:rsidRPr="00C0223D" w:rsidRDefault="00C64A66" w:rsidP="00C64A66">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lastRenderedPageBreak/>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ED16B7A" w14:textId="77777777" w:rsidR="00AD5745" w:rsidRDefault="00AD5745" w:rsidP="00AD5745">
      <w:pPr>
        <w:spacing w:line="276" w:lineRule="auto"/>
        <w:ind w:firstLine="709"/>
        <w:jc w:val="both"/>
        <w:rPr>
          <w:rFonts w:ascii="Arial" w:hAnsi="Arial" w:cs="Arial"/>
          <w:color w:val="000000" w:themeColor="text1"/>
          <w:sz w:val="22"/>
        </w:rPr>
      </w:pPr>
    </w:p>
    <w:p w14:paraId="0617AAAB" w14:textId="37A4F82B" w:rsidR="00C64A66" w:rsidRPr="00A70F57" w:rsidRDefault="00C64A66" w:rsidP="00AD5745">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A70F57">
        <w:rPr>
          <w:rFonts w:ascii="Arial" w:eastAsia="Calibri" w:hAnsi="Arial" w:cs="Arial"/>
          <w:bCs/>
          <w:color w:val="000000" w:themeColor="text1"/>
          <w:sz w:val="22"/>
        </w:rPr>
        <w:t>Organización</w:t>
      </w:r>
      <w:r w:rsidRPr="00A70F57">
        <w:rPr>
          <w:rFonts w:ascii="Arial" w:hAnsi="Arial" w:cs="Arial"/>
          <w:color w:val="000000" w:themeColor="text1"/>
          <w:sz w:val="22"/>
        </w:rPr>
        <w:t xml:space="preserve"> –CO–. </w:t>
      </w:r>
    </w:p>
    <w:p w14:paraId="54FB24A8" w14:textId="250FEF4C" w:rsidR="00C64A66" w:rsidRDefault="00C64A66" w:rsidP="00C64A66">
      <w:pPr>
        <w:spacing w:before="120" w:line="276" w:lineRule="auto"/>
        <w:ind w:firstLine="709"/>
        <w:jc w:val="both"/>
        <w:rPr>
          <w:rFonts w:ascii="Arial" w:eastAsia="Calibri" w:hAnsi="Arial" w:cs="Arial"/>
          <w:color w:val="000000" w:themeColor="text1"/>
          <w:sz w:val="22"/>
        </w:rPr>
      </w:pPr>
      <w:r w:rsidRPr="00A70F57">
        <w:rPr>
          <w:rFonts w:ascii="Arial" w:eastAsia="Calibri" w:hAnsi="Arial" w:cs="Arial"/>
          <w:color w:val="000000" w:themeColor="text1"/>
          <w:sz w:val="22"/>
        </w:rPr>
        <w:t>Igualmente, el artículo 2.2.1.1.1.6.4 del Decreto 1082 de 2015 establece que las entidades estatales deberán calcular la capacidad residual conforme a la metodología definida por Colombia Compre Eficiente</w:t>
      </w:r>
      <w:r w:rsidR="001F3744">
        <w:rPr>
          <w:rFonts w:ascii="Arial" w:eastAsia="Calibri" w:hAnsi="Arial" w:cs="Arial"/>
          <w:color w:val="000000" w:themeColor="text1"/>
          <w:sz w:val="22"/>
        </w:rPr>
        <w:t>,</w:t>
      </w:r>
      <w:r w:rsidRPr="00A70F57">
        <w:rPr>
          <w:rFonts w:ascii="Arial" w:eastAsia="Calibri" w:hAnsi="Arial" w:cs="Arial"/>
          <w:color w:val="000000" w:themeColor="text1"/>
          <w:sz w:val="22"/>
        </w:rPr>
        <w:t xml:space="preserve"> y precisó que, para tales fines, resulta necesario tener en cuenta los factores de: Experiencia (E), Capacidad Financiera (CF), Capacidad Técnica (CT), Capacidad de Organización (CO), y los saldos de los contratos en ejecución (SCE), así:</w:t>
      </w:r>
    </w:p>
    <w:p w14:paraId="41BA2642" w14:textId="77777777" w:rsidR="00C64A66" w:rsidRPr="00A70F57" w:rsidRDefault="00C64A66" w:rsidP="00C64A66">
      <w:pPr>
        <w:spacing w:line="276" w:lineRule="auto"/>
        <w:ind w:firstLine="709"/>
        <w:jc w:val="both"/>
        <w:rPr>
          <w:rFonts w:ascii="Arial" w:eastAsia="Calibri" w:hAnsi="Arial" w:cs="Arial"/>
          <w:color w:val="000000" w:themeColor="text1"/>
          <w:sz w:val="22"/>
        </w:rPr>
      </w:pPr>
    </w:p>
    <w:p w14:paraId="1D5A9B07" w14:textId="77777777" w:rsidR="00C64A66" w:rsidRDefault="00C64A66" w:rsidP="00C64A66">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37FA2858" w14:textId="77777777" w:rsidR="00C64A66" w:rsidRPr="00D75806" w:rsidRDefault="00C64A66" w:rsidP="00C64A66">
      <w:pPr>
        <w:ind w:left="708" w:right="709"/>
        <w:jc w:val="both"/>
        <w:rPr>
          <w:rFonts w:ascii="Arial" w:eastAsia="Calibri" w:hAnsi="Arial" w:cs="Arial"/>
          <w:color w:val="000000" w:themeColor="text1"/>
          <w:sz w:val="21"/>
          <w:szCs w:val="21"/>
        </w:rPr>
      </w:pPr>
    </w:p>
    <w:p w14:paraId="12EA98C7" w14:textId="77777777" w:rsidR="00C64A66" w:rsidRDefault="00C64A66" w:rsidP="00C64A66">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4CF3D7D8" w14:textId="77777777" w:rsidR="00C64A66" w:rsidRPr="00D75806" w:rsidRDefault="00C64A66" w:rsidP="00C64A66">
      <w:pPr>
        <w:ind w:left="708" w:right="709"/>
        <w:jc w:val="both"/>
        <w:rPr>
          <w:rFonts w:ascii="Arial" w:eastAsia="Calibri" w:hAnsi="Arial" w:cs="Arial"/>
          <w:color w:val="000000" w:themeColor="text1"/>
          <w:sz w:val="21"/>
          <w:szCs w:val="21"/>
        </w:rPr>
      </w:pPr>
    </w:p>
    <w:p w14:paraId="41AC533C" w14:textId="77777777" w:rsidR="00C64A66" w:rsidRPr="00A70F57" w:rsidRDefault="00C64A66" w:rsidP="00C64A66">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conformidad con lo anterior, la Agencia Nacional para la Contratación Pública ‒‒ Colombia Compra Eficiente expidió la Guía para Determinar y Verificar la Capacidad Residual del Proponente en los Procesos de Contratación de Obra Pública. En este documento se establece que la capacidad residual del proponente se calcula según la siguiente fórmula: </w:t>
      </w:r>
    </w:p>
    <w:p w14:paraId="0B01EF81" w14:textId="77777777" w:rsidR="00C64A66" w:rsidRPr="00A70F57" w:rsidRDefault="00C64A66" w:rsidP="00C64A66">
      <w:pPr>
        <w:spacing w:line="276" w:lineRule="auto"/>
        <w:jc w:val="both"/>
        <w:rPr>
          <w:rFonts w:ascii="Arial" w:hAnsi="Arial" w:cs="Arial"/>
          <w:color w:val="000000" w:themeColor="text1"/>
          <w:sz w:val="22"/>
        </w:rPr>
      </w:pPr>
    </w:p>
    <w:p w14:paraId="644DDF02" w14:textId="77777777" w:rsidR="00C64A66" w:rsidRPr="00A70F57" w:rsidRDefault="00C64A66" w:rsidP="00C64A66">
      <w:pPr>
        <w:spacing w:line="276" w:lineRule="auto"/>
        <w:jc w:val="center"/>
        <w:rPr>
          <w:rFonts w:ascii="Arial" w:hAnsi="Arial" w:cs="Arial"/>
          <w:color w:val="000000" w:themeColor="text1"/>
          <w:sz w:val="22"/>
        </w:rPr>
      </w:pPr>
      <w:r w:rsidRPr="00A70F57">
        <w:rPr>
          <w:rFonts w:ascii="Arial" w:hAnsi="Arial" w:cs="Arial"/>
          <w:noProof/>
          <w:sz w:val="22"/>
          <w:lang w:val="en-US"/>
        </w:rPr>
        <w:drawing>
          <wp:inline distT="0" distB="0" distL="0" distR="0" wp14:anchorId="66B1AF73" wp14:editId="49A4ACAA">
            <wp:extent cx="4495800" cy="716280"/>
            <wp:effectExtent l="0" t="0" r="0" b="7620"/>
            <wp:docPr id="5" name="Imagen 5"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1A7143F1" w14:textId="77777777" w:rsidR="00C64A66" w:rsidRPr="00A70F57" w:rsidRDefault="00C64A66" w:rsidP="00C64A66">
      <w:pPr>
        <w:spacing w:line="276" w:lineRule="auto"/>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b/>
      </w:r>
    </w:p>
    <w:p w14:paraId="064843D4" w14:textId="77777777" w:rsidR="00C64A66" w:rsidRPr="00A70F57" w:rsidRDefault="00C64A66" w:rsidP="00C64A66">
      <w:pPr>
        <w:autoSpaceDE w:val="0"/>
        <w:autoSpaceDN w:val="0"/>
        <w:adjustRightInd w:val="0"/>
        <w:spacing w:line="276" w:lineRule="auto"/>
        <w:ind w:firstLine="708"/>
        <w:jc w:val="both"/>
        <w:rPr>
          <w:rFonts w:ascii="Arial" w:hAnsi="Arial" w:cs="Arial"/>
          <w:sz w:val="22"/>
        </w:rPr>
      </w:pPr>
      <w:r>
        <w:rPr>
          <w:rFonts w:ascii="Arial" w:hAnsi="Arial" w:cs="Arial"/>
          <w:sz w:val="22"/>
        </w:rPr>
        <w:t>Como se observa, la</w:t>
      </w:r>
      <w:r w:rsidRPr="00A70F57">
        <w:rPr>
          <w:rFonts w:ascii="Arial" w:hAnsi="Arial" w:cs="Arial"/>
          <w:sz w:val="22"/>
        </w:rPr>
        <w:t xml:space="preserve"> Capacidad de organización (CO) corresponde a uno de los factores para calcular la capacidad residual del proponente en los procesos de obra pública.  </w:t>
      </w:r>
      <w:r w:rsidRPr="00A70F57">
        <w:rPr>
          <w:rFonts w:ascii="Arial" w:hAnsi="Arial" w:cs="Arial"/>
          <w:sz w:val="22"/>
        </w:rPr>
        <w:lastRenderedPageBreak/>
        <w:t>Para su verificación se examinan los ingresos operacionales teniendo en cuenta lo siguiente:</w:t>
      </w:r>
    </w:p>
    <w:p w14:paraId="1D5ED63D" w14:textId="77777777" w:rsidR="00C64A66" w:rsidRPr="00A70F57" w:rsidRDefault="00C64A66" w:rsidP="00C64A66">
      <w:pPr>
        <w:autoSpaceDE w:val="0"/>
        <w:autoSpaceDN w:val="0"/>
        <w:adjustRightInd w:val="0"/>
        <w:rPr>
          <w:rFonts w:ascii="Arial" w:hAnsi="Arial" w:cs="Arial"/>
          <w:color w:val="58595B"/>
          <w:sz w:val="22"/>
        </w:rPr>
      </w:pPr>
    </w:p>
    <w:tbl>
      <w:tblPr>
        <w:tblStyle w:val="Tablaconcuadrcula2"/>
        <w:tblW w:w="7366" w:type="dxa"/>
        <w:tblInd w:w="709" w:type="dxa"/>
        <w:tblLook w:val="04A0" w:firstRow="1" w:lastRow="0" w:firstColumn="1" w:lastColumn="0" w:noHBand="0" w:noVBand="1"/>
      </w:tblPr>
      <w:tblGrid>
        <w:gridCol w:w="4053"/>
        <w:gridCol w:w="3313"/>
      </w:tblGrid>
      <w:tr w:rsidR="00C64A66" w:rsidRPr="00A70F57" w14:paraId="10CFEB50" w14:textId="77777777" w:rsidTr="00C84BD2">
        <w:tc>
          <w:tcPr>
            <w:tcW w:w="4053" w:type="dxa"/>
            <w:shd w:val="clear" w:color="auto" w:fill="D9D9D9"/>
          </w:tcPr>
          <w:p w14:paraId="5A4D9ACE" w14:textId="77777777" w:rsidR="00C64A66" w:rsidRPr="00A70F57" w:rsidRDefault="00C64A66" w:rsidP="00C84BD2">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Años de información financiera</w:t>
            </w:r>
          </w:p>
        </w:tc>
        <w:tc>
          <w:tcPr>
            <w:tcW w:w="3313" w:type="dxa"/>
            <w:shd w:val="clear" w:color="auto" w:fill="D9D9D9"/>
          </w:tcPr>
          <w:p w14:paraId="6E38B6F6" w14:textId="77777777" w:rsidR="00C64A66" w:rsidRPr="00A70F57" w:rsidRDefault="00C64A66" w:rsidP="00C84BD2">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Capacidad de organización</w:t>
            </w:r>
          </w:p>
        </w:tc>
      </w:tr>
      <w:tr w:rsidR="00C64A66" w:rsidRPr="00A70F57" w14:paraId="68FA0D3B" w14:textId="77777777" w:rsidTr="00C84BD2">
        <w:tc>
          <w:tcPr>
            <w:tcW w:w="4053" w:type="dxa"/>
          </w:tcPr>
          <w:p w14:paraId="13831DED"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Cinco (5) años o más</w:t>
            </w:r>
          </w:p>
        </w:tc>
        <w:tc>
          <w:tcPr>
            <w:tcW w:w="3313" w:type="dxa"/>
          </w:tcPr>
          <w:p w14:paraId="281FD9FA"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últimos cinco años</w:t>
            </w:r>
          </w:p>
        </w:tc>
      </w:tr>
      <w:tr w:rsidR="00C64A66" w:rsidRPr="00A70F57" w14:paraId="1398DDCD" w14:textId="77777777" w:rsidTr="00C84BD2">
        <w:tc>
          <w:tcPr>
            <w:tcW w:w="4053" w:type="dxa"/>
          </w:tcPr>
          <w:p w14:paraId="5BDA803A"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Entre uno (1) y cinco (5) años</w:t>
            </w:r>
          </w:p>
        </w:tc>
        <w:tc>
          <w:tcPr>
            <w:tcW w:w="3313" w:type="dxa"/>
          </w:tcPr>
          <w:p w14:paraId="68760B35"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años de vida del oferente</w:t>
            </w:r>
          </w:p>
        </w:tc>
      </w:tr>
      <w:tr w:rsidR="00C64A66" w:rsidRPr="00A70F57" w14:paraId="2B3A5366" w14:textId="77777777" w:rsidTr="00C84BD2">
        <w:tc>
          <w:tcPr>
            <w:tcW w:w="4053" w:type="dxa"/>
          </w:tcPr>
          <w:p w14:paraId="6A81CA60"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Menos de un (1) año</w:t>
            </w:r>
          </w:p>
        </w:tc>
        <w:tc>
          <w:tcPr>
            <w:tcW w:w="3313" w:type="dxa"/>
          </w:tcPr>
          <w:p w14:paraId="103DBAF7" w14:textId="77777777" w:rsidR="00C64A66" w:rsidRPr="00A70F57" w:rsidRDefault="00C64A66" w:rsidP="00C84BD2">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USD 125.000</w:t>
            </w:r>
          </w:p>
        </w:tc>
      </w:tr>
    </w:tbl>
    <w:p w14:paraId="779E3656" w14:textId="77777777" w:rsidR="00C64A66" w:rsidRDefault="00C64A66" w:rsidP="001F3744">
      <w:pPr>
        <w:spacing w:line="276" w:lineRule="auto"/>
        <w:ind w:firstLine="709"/>
        <w:jc w:val="both"/>
        <w:rPr>
          <w:rFonts w:ascii="Arial" w:hAnsi="Arial" w:cs="Arial"/>
          <w:color w:val="000000" w:themeColor="text1"/>
          <w:sz w:val="22"/>
        </w:rPr>
      </w:pPr>
    </w:p>
    <w:p w14:paraId="0B97699F" w14:textId="7676E24D" w:rsidR="00C64A66" w:rsidRPr="00A70F57" w:rsidRDefault="00C64A66" w:rsidP="001F3744">
      <w:pPr>
        <w:spacing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 e</w:t>
      </w:r>
      <w:r w:rsidRPr="00A70F57">
        <w:rPr>
          <w:rFonts w:ascii="Arial" w:hAnsi="Arial" w:cs="Arial"/>
          <w:color w:val="000000" w:themeColor="text1"/>
          <w:sz w:val="22"/>
        </w:rPr>
        <w:t>l análisis consiste en revisar el mayor ingreso operacional del proponente que reflejará la capacidad real de organización del mismo. En términos de la Sociedad Colombiana de Ingenieros – SCI «En la medida que una empresa constructora haya sido capaz de ejecutar contratos de obra de mayor cuantía y mayor cantidad, significa que esa empresa ha ido superando niveles de crecimiento y por lo tanto ha obtenido una mayor Capacidad de Organización (Co).</w:t>
      </w:r>
      <w:r w:rsidRPr="00A70F57">
        <w:rPr>
          <w:rFonts w:ascii="Arial" w:hAnsi="Arial" w:cs="Arial"/>
          <w:sz w:val="22"/>
        </w:rPr>
        <w:t xml:space="preserve"> </w:t>
      </w:r>
      <w:r w:rsidRPr="00A70F57">
        <w:rPr>
          <w:rFonts w:ascii="Arial" w:hAnsi="Arial" w:cs="Arial"/>
          <w:color w:val="000000" w:themeColor="text1"/>
          <w:sz w:val="22"/>
        </w:rPr>
        <w:t>Esta capacidad del proponente, considera la Sociedad Colombiana de Ingenieros –SCI-, debe determinarse con base en los ingresos brutos operacionales relacionados exclusivamente con la actividad de la construcción […]</w:t>
      </w:r>
      <w:r w:rsidR="005746DE" w:rsidRPr="00A70F57">
        <w:rPr>
          <w:rFonts w:ascii="Arial" w:hAnsi="Arial" w:cs="Arial"/>
          <w:color w:val="000000" w:themeColor="text1"/>
          <w:sz w:val="22"/>
        </w:rPr>
        <w:t>»</w:t>
      </w:r>
      <w:r w:rsidRPr="00A70F57">
        <w:rPr>
          <w:rStyle w:val="Refdenotaalpie"/>
          <w:rFonts w:ascii="Arial" w:hAnsi="Arial" w:cs="Arial"/>
          <w:color w:val="000000" w:themeColor="text1"/>
          <w:sz w:val="22"/>
        </w:rPr>
        <w:footnoteReference w:id="3"/>
      </w:r>
      <w:r w:rsidRPr="00A70F57">
        <w:rPr>
          <w:rFonts w:ascii="Arial" w:hAnsi="Arial" w:cs="Arial"/>
          <w:color w:val="000000" w:themeColor="text1"/>
          <w:sz w:val="22"/>
        </w:rPr>
        <w:t xml:space="preserve">. </w:t>
      </w:r>
    </w:p>
    <w:p w14:paraId="4ABBAD49" w14:textId="3AB0BD17" w:rsidR="00C64A66" w:rsidRPr="00A70F57" w:rsidRDefault="00C64A66" w:rsidP="00C64A66">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De esta manera, la capacidad de organización está en función de los ingresos operacionales del proponente. De ahí que tanto el Documento Tipo</w:t>
      </w:r>
      <w:r w:rsidR="005E18E0">
        <w:rPr>
          <w:rFonts w:ascii="Arial" w:hAnsi="Arial" w:cs="Arial"/>
          <w:color w:val="000000" w:themeColor="text1"/>
          <w:sz w:val="22"/>
        </w:rPr>
        <w:t>,</w:t>
      </w:r>
      <w:r w:rsidRPr="00A70F57">
        <w:rPr>
          <w:rFonts w:ascii="Arial" w:hAnsi="Arial" w:cs="Arial"/>
          <w:color w:val="000000" w:themeColor="text1"/>
          <w:sz w:val="22"/>
        </w:rPr>
        <w:t xml:space="preserve"> como el Decreto 1082 de 2015, soliciten el estado de resultados, puesto que mediante este documento se relacionan los ingresos, costos y gastos en los que incurrió el proponente, de tal forma que se puedan evidenciar los ingresos operacionales que ha obtenido en un determinado per</w:t>
      </w:r>
      <w:r w:rsidR="005E18E0">
        <w:rPr>
          <w:rFonts w:ascii="Arial" w:hAnsi="Arial" w:cs="Arial"/>
          <w:color w:val="000000" w:themeColor="text1"/>
          <w:sz w:val="22"/>
        </w:rPr>
        <w:t>í</w:t>
      </w:r>
      <w:r w:rsidRPr="00A70F57">
        <w:rPr>
          <w:rFonts w:ascii="Arial" w:hAnsi="Arial" w:cs="Arial"/>
          <w:color w:val="000000" w:themeColor="text1"/>
          <w:sz w:val="22"/>
        </w:rPr>
        <w:t xml:space="preserve">odo. </w:t>
      </w:r>
    </w:p>
    <w:p w14:paraId="1CF3B006" w14:textId="77777777" w:rsidR="00C64A66" w:rsidRDefault="00C64A66" w:rsidP="00C64A66">
      <w:pPr>
        <w:spacing w:before="120" w:line="276" w:lineRule="auto"/>
        <w:ind w:firstLine="709"/>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Así las cosas, definido el alcance del requisito habilitante de capacidad residual en los procesos de contratación, y el de la capacidad de organización como uno de sus factores, a continuación se explicará la forma en que se reguló este requisito en los Documentos Tipo de licitación de obra pública de infraestructura de transporte</w:t>
      </w:r>
      <w:r>
        <w:rPr>
          <w:rFonts w:ascii="Arial" w:eastAsia="Calibri" w:hAnsi="Arial" w:cs="Arial"/>
          <w:bCs/>
          <w:color w:val="000000" w:themeColor="text1"/>
          <w:sz w:val="22"/>
        </w:rPr>
        <w:t xml:space="preserve"> en su</w:t>
      </w:r>
      <w:r w:rsidRPr="00A70F57">
        <w:rPr>
          <w:rFonts w:ascii="Arial" w:eastAsia="Calibri" w:hAnsi="Arial" w:cs="Arial"/>
          <w:bCs/>
          <w:color w:val="000000" w:themeColor="text1"/>
          <w:sz w:val="22"/>
        </w:rPr>
        <w:t xml:space="preserve"> Versión 1, Versión 2 y Versión 3</w:t>
      </w:r>
      <w:r>
        <w:rPr>
          <w:rFonts w:ascii="Arial" w:eastAsia="Calibri" w:hAnsi="Arial" w:cs="Arial"/>
          <w:bCs/>
          <w:color w:val="000000" w:themeColor="text1"/>
          <w:sz w:val="22"/>
        </w:rPr>
        <w:t>, ya que el proceso de desarrollo de este contenido de los documentos tipo es útil para entender el alcance de lo regulado en la última versión</w:t>
      </w:r>
      <w:r w:rsidRPr="00A70F57">
        <w:rPr>
          <w:rFonts w:ascii="Arial" w:eastAsia="Calibri" w:hAnsi="Arial" w:cs="Arial"/>
          <w:bCs/>
          <w:color w:val="000000" w:themeColor="text1"/>
          <w:sz w:val="22"/>
        </w:rPr>
        <w:t xml:space="preserve">. </w:t>
      </w:r>
      <w:r>
        <w:rPr>
          <w:rFonts w:ascii="Arial" w:eastAsia="Calibri" w:hAnsi="Arial" w:cs="Arial"/>
          <w:bCs/>
          <w:color w:val="000000" w:themeColor="text1"/>
          <w:sz w:val="22"/>
        </w:rPr>
        <w:t>Con fundamento en lo anterior</w:t>
      </w:r>
      <w:r w:rsidRPr="00A70F57">
        <w:rPr>
          <w:rFonts w:ascii="Arial" w:eastAsia="Calibri" w:hAnsi="Arial" w:cs="Arial"/>
          <w:bCs/>
          <w:color w:val="000000" w:themeColor="text1"/>
          <w:sz w:val="22"/>
        </w:rPr>
        <w:t xml:space="preserve">, se analizarán los principales cambios referidos a la acreditación de la capacidad de organización en la nueva versión de los Documentos Tipo de licitación de obra pública de infraestructura de transporte, centrando el análisis específicamente en </w:t>
      </w:r>
      <w:r w:rsidRPr="00A70F57">
        <w:rPr>
          <w:rFonts w:ascii="Arial" w:eastAsia="Calibri" w:hAnsi="Arial" w:cs="Arial"/>
          <w:bCs/>
          <w:color w:val="000000" w:themeColor="text1"/>
          <w:sz w:val="22"/>
        </w:rPr>
        <w:lastRenderedPageBreak/>
        <w:t xml:space="preserve">el Documento Base codificado con las versiones 4 y 5 </w:t>
      </w:r>
      <w:r>
        <w:rPr>
          <w:rFonts w:ascii="Arial" w:eastAsia="Calibri" w:hAnsi="Arial" w:cs="Arial"/>
          <w:bCs/>
          <w:color w:val="000000" w:themeColor="text1"/>
          <w:sz w:val="22"/>
        </w:rPr>
        <w:t>–</w:t>
      </w:r>
      <w:r w:rsidRPr="00A70F57">
        <w:rPr>
          <w:rFonts w:ascii="Arial" w:eastAsia="Calibri" w:hAnsi="Arial" w:cs="Arial"/>
          <w:bCs/>
          <w:color w:val="000000" w:themeColor="text1"/>
          <w:sz w:val="22"/>
        </w:rPr>
        <w:t>vigente actualmente</w:t>
      </w:r>
      <w:r>
        <w:rPr>
          <w:rFonts w:ascii="Arial" w:eastAsia="Calibri" w:hAnsi="Arial" w:cs="Arial"/>
          <w:bCs/>
          <w:color w:val="000000" w:themeColor="text1"/>
          <w:sz w:val="22"/>
        </w:rPr>
        <w:t>–</w:t>
      </w:r>
      <w:r w:rsidRPr="00A70F57">
        <w:rPr>
          <w:rFonts w:ascii="Arial" w:eastAsia="Calibri" w:hAnsi="Arial" w:cs="Arial"/>
          <w:bCs/>
          <w:color w:val="000000" w:themeColor="text1"/>
          <w:sz w:val="22"/>
        </w:rPr>
        <w:t>.</w:t>
      </w:r>
      <w:r>
        <w:rPr>
          <w:rFonts w:ascii="Arial" w:eastAsia="Calibri" w:hAnsi="Arial" w:cs="Arial"/>
          <w:bCs/>
          <w:color w:val="000000" w:themeColor="text1"/>
          <w:sz w:val="22"/>
        </w:rPr>
        <w:t xml:space="preserve"> En todo caso, se aclara que la regulación de este aspecto en el documento tipo de licitación – Versión 3 se ha mantenido inalterado, pese a las variaciones del Documento Base. </w:t>
      </w:r>
    </w:p>
    <w:p w14:paraId="4BB49C3D" w14:textId="77777777" w:rsidR="00C64A66" w:rsidRPr="002B0611" w:rsidRDefault="00C64A66" w:rsidP="00C64A66">
      <w:pPr>
        <w:spacing w:line="276" w:lineRule="auto"/>
        <w:ind w:firstLine="709"/>
        <w:jc w:val="both"/>
        <w:rPr>
          <w:rFonts w:ascii="Arial" w:eastAsia="Calibri" w:hAnsi="Arial" w:cs="Arial"/>
          <w:bCs/>
          <w:color w:val="000000" w:themeColor="text1"/>
          <w:sz w:val="22"/>
        </w:rPr>
      </w:pPr>
    </w:p>
    <w:p w14:paraId="6ADAA3A1" w14:textId="77777777" w:rsidR="00C64A66" w:rsidRDefault="00C64A66" w:rsidP="00C64A66">
      <w:pPr>
        <w:tabs>
          <w:tab w:val="left" w:pos="426"/>
        </w:tabs>
        <w:spacing w:line="276" w:lineRule="auto"/>
        <w:jc w:val="both"/>
        <w:rPr>
          <w:rFonts w:ascii="Arial" w:eastAsia="Calibri" w:hAnsi="Arial" w:cs="Arial"/>
          <w:b/>
          <w:sz w:val="22"/>
        </w:rPr>
      </w:pPr>
      <w:r w:rsidRPr="00A70F57">
        <w:rPr>
          <w:rFonts w:ascii="Arial" w:eastAsia="Calibri" w:hAnsi="Arial" w:cs="Arial"/>
          <w:b/>
          <w:sz w:val="22"/>
        </w:rPr>
        <w:t>2.2.</w:t>
      </w:r>
      <w:r w:rsidRPr="00A70F57">
        <w:rPr>
          <w:rFonts w:ascii="Arial" w:eastAsia="Calibri" w:hAnsi="Arial" w:cs="Arial"/>
          <w:b/>
          <w:sz w:val="22"/>
        </w:rPr>
        <w:tab/>
        <w:t>Acreditación del factor Capacidad de Organización (CO) en las versiones 1,</w:t>
      </w:r>
      <w:r>
        <w:rPr>
          <w:rFonts w:ascii="Arial" w:eastAsia="Calibri" w:hAnsi="Arial" w:cs="Arial"/>
          <w:b/>
          <w:sz w:val="22"/>
        </w:rPr>
        <w:t xml:space="preserve"> </w:t>
      </w:r>
      <w:r w:rsidRPr="00A70F57">
        <w:rPr>
          <w:rFonts w:ascii="Arial" w:eastAsia="Calibri" w:hAnsi="Arial" w:cs="Arial"/>
          <w:b/>
          <w:sz w:val="22"/>
        </w:rPr>
        <w:t>2 y 3 de los Documentos Tipo de licitación de obra pública de infraestructura de transporte</w:t>
      </w:r>
    </w:p>
    <w:p w14:paraId="60C43EAA" w14:textId="77777777" w:rsidR="00C64A66" w:rsidRDefault="00C64A66" w:rsidP="00C64A66">
      <w:pPr>
        <w:spacing w:line="276" w:lineRule="auto"/>
        <w:jc w:val="both"/>
        <w:rPr>
          <w:rFonts w:ascii="Arial" w:eastAsia="Calibri" w:hAnsi="Arial" w:cs="Arial"/>
          <w:color w:val="000000"/>
          <w:sz w:val="22"/>
          <w:lang w:val="es-ES_tradnl" w:eastAsia="es-ES"/>
        </w:rPr>
      </w:pPr>
    </w:p>
    <w:p w14:paraId="63A4DE3E" w14:textId="048DD3F5" w:rsidR="00C64A66" w:rsidRPr="00BB79F6" w:rsidRDefault="009C56FF" w:rsidP="00C64A66">
      <w:pPr>
        <w:spacing w:line="276" w:lineRule="auto"/>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E</w:t>
      </w:r>
      <w:r w:rsidR="00C64A66">
        <w:rPr>
          <w:rFonts w:ascii="Arial" w:eastAsia="Calibri" w:hAnsi="Arial" w:cs="Arial"/>
          <w:color w:val="000000"/>
          <w:sz w:val="22"/>
          <w:lang w:val="es-ES_tradnl" w:eastAsia="es-ES"/>
        </w:rPr>
        <w:t>s pertinente resaltar que</w:t>
      </w:r>
      <w:r w:rsidR="00C64A66" w:rsidRPr="00BB79F6">
        <w:rPr>
          <w:rFonts w:ascii="Arial" w:eastAsia="Calibri" w:hAnsi="Arial" w:cs="Arial"/>
          <w:color w:val="000000"/>
          <w:sz w:val="22"/>
          <w:lang w:val="es-ES_tradnl" w:eastAsia="es-ES"/>
        </w:rPr>
        <w:t xml:space="preserve"> en materia de infraestructura de transporte</w:t>
      </w:r>
      <w:r w:rsidR="000979C5">
        <w:rPr>
          <w:rFonts w:ascii="Arial" w:eastAsia="Calibri" w:hAnsi="Arial" w:cs="Arial"/>
          <w:color w:val="000000"/>
          <w:sz w:val="22"/>
          <w:lang w:val="es-ES_tradnl" w:eastAsia="es-ES"/>
        </w:rPr>
        <w:t>,</w:t>
      </w:r>
      <w:r w:rsidR="00C64A66" w:rsidRPr="00BB79F6">
        <w:rPr>
          <w:rFonts w:ascii="Arial" w:eastAsia="Calibri" w:hAnsi="Arial" w:cs="Arial"/>
          <w:color w:val="000000"/>
          <w:sz w:val="22"/>
          <w:lang w:val="es-ES_tradnl" w:eastAsia="es-ES"/>
        </w:rPr>
        <w:t xml:space="preserve"> en la modalidad de licitación pública, la Agencia Nacional de Contratación Pública - Colombia Compra Eficiente, hasta el momento</w:t>
      </w:r>
      <w:r w:rsidR="00E03122">
        <w:rPr>
          <w:rFonts w:ascii="Arial" w:eastAsia="Calibri" w:hAnsi="Arial" w:cs="Arial"/>
          <w:color w:val="000000"/>
          <w:sz w:val="22"/>
          <w:lang w:val="es-ES_tradnl" w:eastAsia="es-ES"/>
        </w:rPr>
        <w:t>,</w:t>
      </w:r>
      <w:r w:rsidR="00C64A66" w:rsidRPr="00BB79F6">
        <w:rPr>
          <w:rFonts w:ascii="Arial" w:eastAsia="Calibri" w:hAnsi="Arial" w:cs="Arial"/>
          <w:color w:val="000000"/>
          <w:sz w:val="22"/>
          <w:lang w:val="es-ES_tradnl" w:eastAsia="es-ES"/>
        </w:rPr>
        <w:t xml:space="preserve"> ha adoptado y actualizado los siguientes documentos tipo</w:t>
      </w:r>
      <w:r w:rsidR="00E03122">
        <w:rPr>
          <w:rFonts w:ascii="Arial" w:eastAsia="Calibri" w:hAnsi="Arial" w:cs="Arial"/>
          <w:color w:val="000000"/>
          <w:sz w:val="22"/>
          <w:lang w:val="es-ES_tradnl" w:eastAsia="es-ES"/>
        </w:rPr>
        <w:t>,</w:t>
      </w:r>
      <w:r w:rsidR="00C64A66" w:rsidRPr="00BB79F6">
        <w:rPr>
          <w:rFonts w:ascii="Arial" w:eastAsia="Calibri" w:hAnsi="Arial" w:cs="Arial"/>
          <w:color w:val="000000"/>
          <w:sz w:val="22"/>
          <w:lang w:val="es-ES_tradnl" w:eastAsia="es-ES"/>
        </w:rPr>
        <w:t xml:space="preserve"> que son obligatorios para todas las entidades sometidas al Estatuto General de Contratación de la Administración Pública: </w:t>
      </w:r>
    </w:p>
    <w:p w14:paraId="46EECC3C" w14:textId="77777777" w:rsidR="00C64A66" w:rsidRPr="00BB79F6" w:rsidRDefault="00C64A66" w:rsidP="00C64A66">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 Documentos tipo para licitación de obra pública de infraestructura de transporte –Versión 1–, implementados mediante la Resolución No. 1798 de 2019, obligatorios para los procesos cuyo aviso de convocatoria se haya publicado desde el 1 de abril de 2019. </w:t>
      </w:r>
    </w:p>
    <w:p w14:paraId="521E0039" w14:textId="77777777" w:rsidR="00C64A66" w:rsidRPr="00BB79F6" w:rsidRDefault="00C64A66" w:rsidP="00C64A66">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ii) Documentos tipo para licitación de obra pública de infraestructura de transporte –Versión 2–, actualizados mediante la Resolución No. 045 de 2020</w:t>
      </w:r>
      <w:r w:rsidRPr="00BB79F6">
        <w:rPr>
          <w:rStyle w:val="Refdenotaalpie"/>
          <w:rFonts w:ascii="Arial" w:eastAsia="Calibri" w:hAnsi="Arial" w:cs="Arial"/>
          <w:color w:val="000000"/>
          <w:sz w:val="22"/>
          <w:lang w:val="es-ES_tradnl" w:eastAsia="es-ES"/>
        </w:rPr>
        <w:footnoteReference w:id="4"/>
      </w:r>
      <w:r w:rsidRPr="00BB79F6">
        <w:rPr>
          <w:rFonts w:ascii="Arial" w:eastAsia="Calibri" w:hAnsi="Arial" w:cs="Arial"/>
          <w:color w:val="000000"/>
          <w:sz w:val="22"/>
          <w:lang w:val="es-ES_tradnl" w:eastAsia="es-ES"/>
        </w:rPr>
        <w:t>, obligatorios para los procesos cuyo aviso de convocatoria se haya publicado desde el 10 de marzo de 2020.</w:t>
      </w:r>
    </w:p>
    <w:p w14:paraId="63FB7028" w14:textId="77777777" w:rsidR="00C64A66" w:rsidRPr="00613C45" w:rsidRDefault="00C64A66" w:rsidP="00C64A66">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iii) Documentos tipo para licitación de obra pública de infraestructura de transporte –Versión 3–, actualizados mediante la Resolución No. 240 de 2020</w:t>
      </w:r>
      <w:r w:rsidRPr="00BB79F6">
        <w:rPr>
          <w:rStyle w:val="Refdenotaalpie"/>
          <w:rFonts w:ascii="Arial" w:eastAsia="Calibri" w:hAnsi="Arial" w:cs="Arial"/>
          <w:color w:val="000000"/>
          <w:sz w:val="22"/>
          <w:lang w:val="es-ES_tradnl" w:eastAsia="es-ES"/>
        </w:rPr>
        <w:footnoteReference w:id="5"/>
      </w:r>
      <w:r w:rsidRPr="00BB79F6">
        <w:rPr>
          <w:rFonts w:ascii="Arial" w:eastAsia="Calibri" w:hAnsi="Arial" w:cs="Arial"/>
          <w:color w:val="000000"/>
          <w:sz w:val="22"/>
          <w:lang w:val="es-ES_tradnl" w:eastAsia="es-ES"/>
        </w:rPr>
        <w:t xml:space="preserve"> obligatorios para los procesos cuyo aviso de convocatoria se haya publicado desde el 1 de enero de 2021</w:t>
      </w:r>
      <w:r>
        <w:rPr>
          <w:rStyle w:val="Refdenotaalpie"/>
          <w:rFonts w:ascii="Arial" w:eastAsia="Calibri" w:hAnsi="Arial" w:cs="Arial"/>
          <w:color w:val="000000"/>
          <w:sz w:val="22"/>
          <w:lang w:val="es-ES_tradnl" w:eastAsia="es-ES"/>
        </w:rPr>
        <w:footnoteReference w:id="6"/>
      </w:r>
      <w:r w:rsidRPr="00BB79F6">
        <w:rPr>
          <w:rFonts w:ascii="Arial" w:eastAsia="Calibri" w:hAnsi="Arial" w:cs="Arial"/>
          <w:color w:val="000000"/>
          <w:sz w:val="22"/>
          <w:lang w:val="es-ES_tradnl" w:eastAsia="es-ES"/>
        </w:rPr>
        <w:t>.   Estos Documentos Tipo, a su vez, fueron modificados mediante la Resolución No. 161 de 2021 en aspectos relacionados con los criterios de desempate y tratamiento de datos personales para procesos cuyo aviso de convocatoria se haya publicado desde el 28 de junio de 2021</w:t>
      </w:r>
      <w:r>
        <w:rPr>
          <w:rStyle w:val="Refdenotaalpie"/>
          <w:rFonts w:ascii="Arial" w:eastAsia="Calibri" w:hAnsi="Arial" w:cs="Arial"/>
          <w:color w:val="000000"/>
          <w:sz w:val="22"/>
          <w:lang w:val="es-ES_tradnl" w:eastAsia="es-ES"/>
        </w:rPr>
        <w:footnoteReference w:id="7"/>
      </w:r>
      <w:r>
        <w:rPr>
          <w:rFonts w:ascii="Arial" w:eastAsia="Calibri" w:hAnsi="Arial" w:cs="Arial"/>
          <w:color w:val="000000"/>
          <w:sz w:val="22"/>
          <w:lang w:val="es-ES_tradnl" w:eastAsia="es-ES"/>
        </w:rPr>
        <w:t>. No obstante, como se indicó, esta última modificación no varió lo relacionado con la capacidad de organización, como componente de la capacidad residual.</w:t>
      </w:r>
    </w:p>
    <w:p w14:paraId="400AAC7C" w14:textId="43B237D2" w:rsidR="00C64A66" w:rsidRPr="00BD77F0" w:rsidRDefault="00C64A66" w:rsidP="00C64A66">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Ahora bien</w:t>
      </w:r>
      <w:r w:rsidRPr="00E81653">
        <w:rPr>
          <w:rFonts w:ascii="Arial" w:eastAsia="Calibri" w:hAnsi="Arial" w:cs="Arial"/>
          <w:bCs/>
          <w:color w:val="000000" w:themeColor="text1"/>
          <w:sz w:val="22"/>
        </w:rPr>
        <w:t>, respecto de</w:t>
      </w:r>
      <w:r>
        <w:rPr>
          <w:rFonts w:ascii="Arial" w:eastAsia="Calibri" w:hAnsi="Arial" w:cs="Arial"/>
          <w:bCs/>
          <w:color w:val="000000" w:themeColor="text1"/>
          <w:sz w:val="22"/>
        </w:rPr>
        <w:t>l requisito de la capacidad residual o K de contratación</w:t>
      </w:r>
      <w:r w:rsidR="009264D5">
        <w:rPr>
          <w:rFonts w:ascii="Arial" w:eastAsia="Calibri" w:hAnsi="Arial" w:cs="Arial"/>
          <w:bCs/>
          <w:color w:val="000000" w:themeColor="text1"/>
          <w:sz w:val="22"/>
        </w:rPr>
        <w:t>,</w:t>
      </w:r>
      <w:r w:rsidRPr="00BD77F0">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se realizaron ajustes en cuanto a la verificación de la capacidad de organización en cada una de las versiones antes descritas.  </w:t>
      </w:r>
      <w:r w:rsidRPr="00BD77F0">
        <w:rPr>
          <w:rFonts w:ascii="Arial" w:eastAsia="Calibri" w:hAnsi="Arial" w:cs="Arial"/>
          <w:bCs/>
          <w:color w:val="000000" w:themeColor="text1"/>
          <w:sz w:val="22"/>
        </w:rPr>
        <w:t>En estos documentos la Agencia precisa los requisitos en relación con los proponentes obligados a tener RUP, de conformidad con lo estable</w:t>
      </w:r>
      <w:r>
        <w:rPr>
          <w:rFonts w:ascii="Arial" w:eastAsia="Calibri" w:hAnsi="Arial" w:cs="Arial"/>
          <w:bCs/>
          <w:color w:val="000000" w:themeColor="text1"/>
          <w:sz w:val="22"/>
        </w:rPr>
        <w:t xml:space="preserve">cido en </w:t>
      </w:r>
      <w:r>
        <w:rPr>
          <w:rFonts w:ascii="Arial" w:eastAsia="Calibri" w:hAnsi="Arial" w:cs="Arial"/>
          <w:bCs/>
          <w:color w:val="000000" w:themeColor="text1"/>
          <w:sz w:val="22"/>
        </w:rPr>
        <w:lastRenderedPageBreak/>
        <w:t xml:space="preserve">el Decreto 1082 de 2015. Siguiendo esta misma línea, a continuación se explicará la forma en que se reguló este requisito en los Documentos Tipo de licitación de obra pública de infraestructura – Versión 1, Versión 2 y Versión 3, teniendo en cuenta que los Documentos Base que hacen parte de cada una de estas versiones también tienen una codificación que ha variado con los cambios realizados, estando vigente a partir del 28 de junio de 2021 el «Documento Base» – Versión 5 que pertenece a los Documentos Tipo </w:t>
      </w:r>
      <w:r w:rsidRPr="00A70F57">
        <w:rPr>
          <w:rFonts w:ascii="Arial" w:hAnsi="Arial" w:cs="Arial"/>
          <w:bCs/>
          <w:color w:val="000000" w:themeColor="text1"/>
          <w:sz w:val="22"/>
        </w:rPr>
        <w:t>para licitación de obra pública de infraestructura de transporte</w:t>
      </w:r>
      <w:r>
        <w:rPr>
          <w:rFonts w:ascii="Arial" w:eastAsia="Calibri" w:hAnsi="Arial" w:cs="Arial"/>
          <w:bCs/>
          <w:color w:val="000000" w:themeColor="text1"/>
          <w:sz w:val="22"/>
        </w:rPr>
        <w:t xml:space="preserve"> – Versión 3.</w:t>
      </w:r>
    </w:p>
    <w:p w14:paraId="7487F7D8" w14:textId="537A9EA8" w:rsidR="00C64A66" w:rsidRPr="00515265" w:rsidRDefault="00C64A66" w:rsidP="00C64A66">
      <w:pPr>
        <w:spacing w:before="120" w:line="276" w:lineRule="auto"/>
        <w:ind w:firstLine="708"/>
        <w:jc w:val="both"/>
        <w:rPr>
          <w:rFonts w:ascii="Arial" w:eastAsia="Calibri" w:hAnsi="Arial" w:cs="Arial"/>
          <w:bCs/>
          <w:color w:val="000000" w:themeColor="text1"/>
          <w:sz w:val="22"/>
        </w:rPr>
      </w:pPr>
      <w:r>
        <w:rPr>
          <w:rFonts w:ascii="Arial" w:hAnsi="Arial" w:cs="Arial"/>
          <w:bCs/>
          <w:color w:val="000000" w:themeColor="text1"/>
          <w:sz w:val="22"/>
        </w:rPr>
        <w:t>Así, en</w:t>
      </w:r>
      <w:r w:rsidRPr="00A70F57">
        <w:rPr>
          <w:rFonts w:ascii="Arial" w:hAnsi="Arial" w:cs="Arial"/>
          <w:bCs/>
          <w:color w:val="000000" w:themeColor="text1"/>
          <w:sz w:val="22"/>
        </w:rPr>
        <w:t xml:space="preserve"> los Documentos Tipo para licitación de obra pública de infraestructura de transporte </w:t>
      </w:r>
      <w:r w:rsidRPr="00E30DF1">
        <w:rPr>
          <w:rFonts w:ascii="Arial" w:hAnsi="Arial" w:cs="Arial"/>
          <w:bCs/>
          <w:i/>
          <w:iCs/>
          <w:color w:val="000000" w:themeColor="text1"/>
          <w:sz w:val="22"/>
        </w:rPr>
        <w:t>Versión 1</w:t>
      </w:r>
      <w:r w:rsidRPr="00E30DF1">
        <w:rPr>
          <w:rFonts w:ascii="Arial" w:hAnsi="Arial" w:cs="Arial"/>
          <w:bCs/>
          <w:color w:val="000000" w:themeColor="text1"/>
          <w:sz w:val="22"/>
        </w:rPr>
        <w:t>,</w:t>
      </w:r>
      <w:r w:rsidRPr="00A70F57">
        <w:rPr>
          <w:rFonts w:ascii="Arial" w:hAnsi="Arial" w:cs="Arial"/>
          <w:bCs/>
          <w:color w:val="000000" w:themeColor="text1"/>
          <w:sz w:val="22"/>
        </w:rPr>
        <w:t xml:space="preserve"> el Documento Base establecía que</w:t>
      </w:r>
      <w:r w:rsidR="006F79DC">
        <w:rPr>
          <w:rFonts w:ascii="Arial" w:hAnsi="Arial" w:cs="Arial"/>
          <w:bCs/>
          <w:color w:val="000000" w:themeColor="text1"/>
          <w:sz w:val="22"/>
        </w:rPr>
        <w:t>,</w:t>
      </w:r>
      <w:r w:rsidRPr="00A70F57">
        <w:rPr>
          <w:rFonts w:ascii="Arial" w:hAnsi="Arial" w:cs="Arial"/>
          <w:bCs/>
          <w:color w:val="000000" w:themeColor="text1"/>
          <w:sz w:val="22"/>
        </w:rPr>
        <w:t xml:space="preserve"> para acreditar la capacidad residual</w:t>
      </w:r>
      <w:r w:rsidR="006F79DC">
        <w:rPr>
          <w:rFonts w:ascii="Arial" w:hAnsi="Arial" w:cs="Arial"/>
          <w:bCs/>
          <w:color w:val="000000" w:themeColor="text1"/>
          <w:sz w:val="22"/>
        </w:rPr>
        <w:t>,</w:t>
      </w:r>
      <w:r w:rsidRPr="00A70F57">
        <w:rPr>
          <w:rFonts w:ascii="Arial" w:hAnsi="Arial" w:cs="Arial"/>
          <w:bCs/>
          <w:color w:val="000000" w:themeColor="text1"/>
          <w:sz w:val="22"/>
        </w:rPr>
        <w:t xml:space="preserve"> </w:t>
      </w:r>
      <w:r>
        <w:rPr>
          <w:rFonts w:ascii="Arial" w:hAnsi="Arial" w:cs="Arial"/>
          <w:bCs/>
          <w:color w:val="000000" w:themeColor="text1"/>
          <w:sz w:val="22"/>
        </w:rPr>
        <w:t xml:space="preserve">el proponente </w:t>
      </w:r>
      <w:r w:rsidRPr="00515265">
        <w:rPr>
          <w:rFonts w:ascii="Arial" w:hAnsi="Arial" w:cs="Arial"/>
          <w:bCs/>
          <w:color w:val="000000" w:themeColor="text1"/>
          <w:sz w:val="22"/>
        </w:rPr>
        <w:t>debía</w:t>
      </w:r>
      <w:r w:rsidRPr="00515265">
        <w:rPr>
          <w:rFonts w:ascii="Arial" w:eastAsia="Calibri" w:hAnsi="Arial" w:cs="Arial"/>
          <w:bCs/>
          <w:color w:val="000000" w:themeColor="text1"/>
          <w:sz w:val="22"/>
        </w:rPr>
        <w:t xml:space="preserve"> presentar los siguientes documentos:</w:t>
      </w:r>
    </w:p>
    <w:p w14:paraId="1F3C21C4" w14:textId="77777777" w:rsidR="00C64A66" w:rsidRPr="00515265" w:rsidRDefault="00C64A66" w:rsidP="00C64A66">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60E81F43" w14:textId="77777777" w:rsidR="00C64A66" w:rsidRPr="00515265" w:rsidRDefault="00C64A66" w:rsidP="00C64A66">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ii) Información financiera auditada y aprobada por el máximo órgano social que pretende acreditar el proponente. </w:t>
      </w:r>
    </w:p>
    <w:p w14:paraId="44043CFC" w14:textId="77777777" w:rsidR="00C64A66" w:rsidRPr="00515265" w:rsidRDefault="00C64A66" w:rsidP="00C64A66">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iii)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71A45BBF" w14:textId="35DEC16F" w:rsidR="00C64A66" w:rsidRPr="00515265" w:rsidRDefault="00C64A66" w:rsidP="00C64A66">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iv) Dictamen del revisor fiscal o, a falta de </w:t>
      </w:r>
      <w:r w:rsidR="00211820">
        <w:rPr>
          <w:rFonts w:ascii="Arial" w:eastAsia="Calibri" w:hAnsi="Arial" w:cs="Arial"/>
          <w:bCs/>
          <w:color w:val="000000" w:themeColor="text1"/>
          <w:sz w:val="22"/>
        </w:rPr>
        <w:t>e</w:t>
      </w:r>
      <w:r w:rsidRPr="00515265">
        <w:rPr>
          <w:rFonts w:ascii="Arial" w:eastAsia="Calibri" w:hAnsi="Arial" w:cs="Arial"/>
          <w:bCs/>
          <w:color w:val="000000" w:themeColor="text1"/>
          <w:sz w:val="22"/>
        </w:rPr>
        <w:t xml:space="preserve">ste, del contador público independiente cuando el proponente esté obligado a ello, del año o en que haya obtenido el mayor Ingreso Operacional en los últimos cinco (5) años, en los términos descritos en el artículo 38 de la Ley 222 de 1995. </w:t>
      </w:r>
    </w:p>
    <w:p w14:paraId="4960A42C" w14:textId="77777777" w:rsidR="00C64A66" w:rsidRPr="000258A6" w:rsidRDefault="00C64A66" w:rsidP="00C64A66">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v) Copia de la tarjeta profesional y certificado de antecedentes disciplinarios vigentes de los contadores públicos, revisores fiscales, contadores independientes (externos), quienes suscribieron los documentos anteriores.</w:t>
      </w:r>
      <w:r w:rsidRPr="000258A6">
        <w:rPr>
          <w:rFonts w:ascii="Arial" w:eastAsia="Calibri" w:hAnsi="Arial" w:cs="Arial"/>
          <w:bCs/>
          <w:color w:val="000000" w:themeColor="text1"/>
          <w:sz w:val="22"/>
        </w:rPr>
        <w:t xml:space="preserve"> </w:t>
      </w:r>
      <w:r w:rsidRPr="000258A6">
        <w:rPr>
          <w:rFonts w:ascii="Arial" w:hAnsi="Arial" w:cs="Arial"/>
          <w:color w:val="000000" w:themeColor="text1"/>
          <w:sz w:val="22"/>
        </w:rPr>
        <w:t xml:space="preserve"> </w:t>
      </w:r>
    </w:p>
    <w:p w14:paraId="1B871A82" w14:textId="77777777" w:rsidR="00C64A66" w:rsidRPr="00A70F57" w:rsidRDefault="00C64A66" w:rsidP="00C64A66">
      <w:pPr>
        <w:spacing w:before="120" w:line="276" w:lineRule="auto"/>
        <w:ind w:firstLine="708"/>
        <w:jc w:val="both"/>
        <w:rPr>
          <w:rFonts w:ascii="Arial" w:hAnsi="Arial" w:cs="Arial"/>
          <w:bCs/>
          <w:color w:val="000000" w:themeColor="text1"/>
          <w:sz w:val="22"/>
        </w:rPr>
      </w:pPr>
      <w:r>
        <w:rPr>
          <w:rFonts w:ascii="Arial" w:hAnsi="Arial" w:cs="Arial"/>
          <w:bCs/>
          <w:color w:val="000000" w:themeColor="text1"/>
          <w:sz w:val="22"/>
        </w:rPr>
        <w:t>De otro lado, e</w:t>
      </w:r>
      <w:r w:rsidRPr="00A70F57">
        <w:rPr>
          <w:rFonts w:ascii="Arial" w:hAnsi="Arial" w:cs="Arial"/>
          <w:bCs/>
          <w:color w:val="000000" w:themeColor="text1"/>
          <w:sz w:val="22"/>
        </w:rPr>
        <w:t xml:space="preserve">n los Documentos Tipo para licitación de obra pública de infraestructura de transporte </w:t>
      </w:r>
      <w:r w:rsidRPr="00E30DF1">
        <w:rPr>
          <w:rFonts w:ascii="Arial" w:hAnsi="Arial" w:cs="Arial"/>
          <w:bCs/>
          <w:i/>
          <w:iCs/>
          <w:color w:val="000000" w:themeColor="text1"/>
          <w:sz w:val="22"/>
        </w:rPr>
        <w:t>Versión 2</w:t>
      </w:r>
      <w:r w:rsidRPr="00A70F57">
        <w:rPr>
          <w:rFonts w:ascii="Arial" w:hAnsi="Arial" w:cs="Arial"/>
          <w:bCs/>
          <w:color w:val="000000" w:themeColor="text1"/>
          <w:sz w:val="22"/>
        </w:rPr>
        <w:t>, en el Documento Base</w:t>
      </w:r>
      <w:r>
        <w:rPr>
          <w:rFonts w:ascii="Arial" w:hAnsi="Arial" w:cs="Arial"/>
          <w:bCs/>
          <w:color w:val="000000" w:themeColor="text1"/>
          <w:sz w:val="22"/>
        </w:rPr>
        <w:t xml:space="preserve"> en sus versiones 2 y 3, en el </w:t>
      </w:r>
      <w:r w:rsidRPr="00515265">
        <w:rPr>
          <w:rFonts w:ascii="Arial" w:hAnsi="Arial" w:cs="Arial"/>
          <w:bCs/>
          <w:color w:val="000000" w:themeColor="text1"/>
          <w:sz w:val="22"/>
        </w:rPr>
        <w:t>numeral 3.11 y 3.10, respectivamente</w:t>
      </w:r>
      <w:r>
        <w:rPr>
          <w:rFonts w:ascii="Arial" w:hAnsi="Arial" w:cs="Arial"/>
          <w:bCs/>
          <w:color w:val="000000" w:themeColor="text1"/>
          <w:sz w:val="22"/>
        </w:rPr>
        <w:t xml:space="preserve">, </w:t>
      </w:r>
      <w:r w:rsidRPr="00A70F57">
        <w:rPr>
          <w:rFonts w:ascii="Arial" w:hAnsi="Arial" w:cs="Arial"/>
          <w:sz w:val="22"/>
        </w:rPr>
        <w:t xml:space="preserve">se ajustaron los requisitos quedando instaurados únicamente </w:t>
      </w:r>
      <w:r w:rsidRPr="00A70F57">
        <w:rPr>
          <w:rFonts w:ascii="Arial" w:hAnsi="Arial" w:cs="Arial"/>
          <w:bCs/>
          <w:color w:val="000000" w:themeColor="text1"/>
          <w:sz w:val="22"/>
        </w:rPr>
        <w:t>los documentos señalados en los numerales i) y v) antes mencionados</w:t>
      </w:r>
      <w:r>
        <w:rPr>
          <w:rFonts w:ascii="Arial" w:hAnsi="Arial" w:cs="Arial"/>
          <w:bCs/>
          <w:color w:val="000000" w:themeColor="text1"/>
          <w:sz w:val="22"/>
        </w:rPr>
        <w:t>.</w:t>
      </w:r>
    </w:p>
    <w:p w14:paraId="29109DA2" w14:textId="77777777" w:rsidR="00C64A66" w:rsidRPr="00A569DF" w:rsidRDefault="00C64A66" w:rsidP="00C64A66">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esta manera</w:t>
      </w:r>
      <w:r w:rsidRPr="00A569DF">
        <w:rPr>
          <w:rFonts w:ascii="Arial" w:hAnsi="Arial" w:cs="Arial"/>
          <w:color w:val="000000" w:themeColor="text1"/>
          <w:sz w:val="22"/>
        </w:rPr>
        <w:t xml:space="preserve">, </w:t>
      </w:r>
      <w:r>
        <w:rPr>
          <w:rFonts w:ascii="Arial" w:hAnsi="Arial" w:cs="Arial"/>
          <w:color w:val="000000" w:themeColor="text1"/>
          <w:sz w:val="22"/>
        </w:rPr>
        <w:t xml:space="preserve">conforme a la </w:t>
      </w:r>
      <w:r>
        <w:rPr>
          <w:rFonts w:ascii="Arial" w:hAnsi="Arial" w:cs="Arial"/>
          <w:i/>
          <w:iCs/>
          <w:color w:val="000000" w:themeColor="text1"/>
          <w:sz w:val="22"/>
        </w:rPr>
        <w:t xml:space="preserve">Versión 2, </w:t>
      </w:r>
      <w:r w:rsidRPr="00A569DF">
        <w:rPr>
          <w:rFonts w:ascii="Arial" w:hAnsi="Arial" w:cs="Arial"/>
          <w:color w:val="000000" w:themeColor="text1"/>
          <w:sz w:val="22"/>
        </w:rPr>
        <w:t xml:space="preserve">se </w:t>
      </w:r>
      <w:r>
        <w:rPr>
          <w:rFonts w:ascii="Arial" w:hAnsi="Arial" w:cs="Arial"/>
          <w:color w:val="000000" w:themeColor="text1"/>
          <w:sz w:val="22"/>
        </w:rPr>
        <w:t>establece</w:t>
      </w:r>
      <w:r w:rsidRPr="00A569DF">
        <w:rPr>
          <w:rFonts w:ascii="Arial" w:hAnsi="Arial" w:cs="Arial"/>
          <w:color w:val="000000" w:themeColor="text1"/>
          <w:sz w:val="22"/>
        </w:rPr>
        <w:t xml:space="preserve"> 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w:t>
      </w:r>
      <w:r w:rsidRPr="00A569DF">
        <w:rPr>
          <w:rFonts w:ascii="Arial" w:hAnsi="Arial" w:cs="Arial"/>
          <w:color w:val="000000" w:themeColor="text1"/>
          <w:sz w:val="22"/>
        </w:rPr>
        <w:lastRenderedPageBreak/>
        <w:t>auditor o contador si no está obligado a tener revisor fiscal y ii) copia de la tarjeta profesional y certificado de antecedentes disciplinarios vigentes de los contadores públicos, revisores fiscales, contadores independientes (externos), quienes suscribieron los documentos señalados en el presente literal.</w:t>
      </w:r>
    </w:p>
    <w:p w14:paraId="7D7C105D" w14:textId="17423255" w:rsidR="00C64A66" w:rsidRPr="00A569DF" w:rsidRDefault="00C64A66" w:rsidP="00C64A66">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 xml:space="preserve">De la lectura de estos últimos requisitos se advierte que para los proponentes obligados a tener RUP no </w:t>
      </w:r>
      <w:r>
        <w:rPr>
          <w:rFonts w:ascii="Arial" w:hAnsi="Arial" w:cs="Arial"/>
          <w:color w:val="000000" w:themeColor="text1"/>
          <w:sz w:val="22"/>
        </w:rPr>
        <w:t>sería</w:t>
      </w:r>
      <w:r w:rsidRPr="00A569DF">
        <w:rPr>
          <w:rFonts w:ascii="Arial" w:hAnsi="Arial" w:cs="Arial"/>
          <w:color w:val="000000" w:themeColor="text1"/>
          <w:sz w:val="22"/>
        </w:rPr>
        <w:t xml:space="preserve"> necesario presentar los siguientes documentos: i) la información financiera auditada y aprobada por el máximo órgano social que pretende acreditar el proponente, ii) la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r w:rsidR="00CB0E2E">
        <w:rPr>
          <w:rFonts w:ascii="Arial" w:hAnsi="Arial" w:cs="Arial"/>
          <w:color w:val="000000" w:themeColor="text1"/>
          <w:sz w:val="22"/>
        </w:rPr>
        <w:t>,</w:t>
      </w:r>
      <w:r w:rsidRPr="00A569DF">
        <w:rPr>
          <w:rFonts w:ascii="Arial" w:hAnsi="Arial" w:cs="Arial"/>
          <w:color w:val="000000" w:themeColor="text1"/>
          <w:sz w:val="22"/>
        </w:rPr>
        <w:t xml:space="preserve"> </w:t>
      </w:r>
      <w:r w:rsidR="00CB0E2E">
        <w:rPr>
          <w:rFonts w:ascii="Arial" w:hAnsi="Arial" w:cs="Arial"/>
          <w:color w:val="000000" w:themeColor="text1"/>
          <w:sz w:val="22"/>
        </w:rPr>
        <w:t xml:space="preserve">y </w:t>
      </w:r>
      <w:r w:rsidRPr="00A569DF">
        <w:rPr>
          <w:rFonts w:ascii="Arial" w:hAnsi="Arial" w:cs="Arial"/>
          <w:color w:val="000000" w:themeColor="text1"/>
          <w:sz w:val="22"/>
        </w:rPr>
        <w:t>iii) el dictamen del revisor fiscal o, a falta de éste, del contador público independiente, cuando el proponente esté obligado a ello, del año en que haya obtenido el mayor ingreso operacional en los últimos cinco (5) años, en los términos descritos en el artículo 38 de la Ley 222 de 1995.</w:t>
      </w:r>
    </w:p>
    <w:p w14:paraId="1B8CA8B0" w14:textId="77777777" w:rsidR="00C64A66" w:rsidRPr="00A569DF" w:rsidRDefault="00C64A66" w:rsidP="00C64A66">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Las razones para eliminar estos documentos se fundamenta</w:t>
      </w:r>
      <w:r>
        <w:rPr>
          <w:rFonts w:ascii="Arial" w:hAnsi="Arial" w:cs="Arial"/>
          <w:color w:val="000000" w:themeColor="text1"/>
          <w:sz w:val="22"/>
        </w:rPr>
        <w:t>ron</w:t>
      </w:r>
      <w:r w:rsidRPr="00A569DF">
        <w:rPr>
          <w:rFonts w:ascii="Arial" w:hAnsi="Arial" w:cs="Arial"/>
          <w:color w:val="000000" w:themeColor="text1"/>
          <w:sz w:val="22"/>
        </w:rPr>
        <w:t xml:space="preserve"> en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A569DF">
        <w:rPr>
          <w:rFonts w:ascii="Arial" w:hAnsi="Arial" w:cs="Arial"/>
          <w:i/>
          <w:iCs/>
          <w:color w:val="000000" w:themeColor="text1"/>
          <w:sz w:val="22"/>
        </w:rPr>
        <w:t>Si se trata de proponentes obligados a tener RUP, las Entidades Estatales solo deben solicitar como documento adicional el estado de resultados del año en que el proponente obtuvo el mayor ingreso operacional en los últimos cinco (5) años</w:t>
      </w:r>
      <w:r w:rsidRPr="00A569DF">
        <w:rPr>
          <w:rFonts w:ascii="Arial" w:hAnsi="Arial" w:cs="Arial"/>
          <w:color w:val="000000" w:themeColor="text1"/>
          <w:sz w:val="22"/>
          <w:vertAlign w:val="superscript"/>
        </w:rPr>
        <w:footnoteReference w:id="8"/>
      </w:r>
      <w:r w:rsidRPr="00A569DF">
        <w:rPr>
          <w:rFonts w:ascii="Arial" w:hAnsi="Arial" w:cs="Arial"/>
          <w:color w:val="000000" w:themeColor="text1"/>
          <w:sz w:val="22"/>
        </w:rPr>
        <w:t xml:space="preserve">». </w:t>
      </w:r>
    </w:p>
    <w:p w14:paraId="7E3026CD" w14:textId="77777777" w:rsidR="00C64A66" w:rsidRPr="00A569DF" w:rsidRDefault="00C64A66" w:rsidP="00C64A66">
      <w:pPr>
        <w:spacing w:before="120" w:after="120" w:line="276" w:lineRule="auto"/>
        <w:ind w:firstLine="709"/>
        <w:jc w:val="both"/>
        <w:rPr>
          <w:rFonts w:ascii="Arial" w:hAnsi="Arial" w:cs="Arial"/>
          <w:color w:val="000000" w:themeColor="text1"/>
          <w:sz w:val="22"/>
        </w:rPr>
      </w:pPr>
      <w:r w:rsidRPr="00A569DF">
        <w:rPr>
          <w:rFonts w:ascii="Arial" w:hAnsi="Arial" w:cs="Arial"/>
          <w:color w:val="000000" w:themeColor="text1"/>
          <w:sz w:val="22"/>
        </w:rPr>
        <w:lastRenderedPageBreak/>
        <w:t>En este sentido,</w:t>
      </w:r>
      <w:r>
        <w:rPr>
          <w:rFonts w:ascii="Arial" w:hAnsi="Arial" w:cs="Arial"/>
          <w:color w:val="000000" w:themeColor="text1"/>
          <w:sz w:val="22"/>
        </w:rPr>
        <w:t xml:space="preserve"> se consideró que</w:t>
      </w:r>
      <w:r w:rsidRPr="00A569DF">
        <w:rPr>
          <w:rFonts w:ascii="Arial" w:hAnsi="Arial" w:cs="Arial"/>
          <w:color w:val="000000" w:themeColor="text1"/>
          <w:sz w:val="22"/>
        </w:rPr>
        <w:t xml:space="preserve"> el Decreto reglamentario de forma expresa indica los documentos necesarios para acreditar la capacidad residual, sin prever la exigencia de presentar la información financiera auditada y aprobada por el máximo órgano social que pretende acreditar el proponente. </w:t>
      </w:r>
    </w:p>
    <w:p w14:paraId="184D6F86" w14:textId="77777777" w:rsidR="00C64A66" w:rsidRPr="00A70F57" w:rsidRDefault="00C64A66" w:rsidP="00C64A66">
      <w:pPr>
        <w:spacing w:after="160" w:line="259" w:lineRule="auto"/>
        <w:ind w:firstLine="708"/>
        <w:jc w:val="both"/>
        <w:rPr>
          <w:rFonts w:ascii="Arial" w:hAnsi="Arial" w:cs="Arial"/>
          <w:bCs/>
          <w:color w:val="000000" w:themeColor="text1"/>
          <w:sz w:val="22"/>
        </w:rPr>
      </w:pPr>
      <w:r w:rsidRPr="00A70F57">
        <w:rPr>
          <w:rFonts w:ascii="Arial" w:hAnsi="Arial" w:cs="Arial"/>
          <w:bCs/>
          <w:color w:val="000000" w:themeColor="text1"/>
          <w:sz w:val="22"/>
        </w:rPr>
        <w:t xml:space="preserve">Posteriormente, en la </w:t>
      </w:r>
      <w:r w:rsidRPr="00E30DF1">
        <w:rPr>
          <w:rFonts w:ascii="Arial" w:hAnsi="Arial" w:cs="Arial"/>
          <w:bCs/>
          <w:i/>
          <w:iCs/>
          <w:color w:val="000000" w:themeColor="text1"/>
          <w:sz w:val="22"/>
        </w:rPr>
        <w:t>Versión 3</w:t>
      </w:r>
      <w:r w:rsidRPr="00A70F57">
        <w:rPr>
          <w:rFonts w:ascii="Arial" w:hAnsi="Arial" w:cs="Arial"/>
          <w:bCs/>
          <w:color w:val="000000" w:themeColor="text1"/>
          <w:sz w:val="22"/>
        </w:rPr>
        <w:t xml:space="preserve"> </w:t>
      </w:r>
      <w:r>
        <w:rPr>
          <w:rFonts w:ascii="Arial" w:hAnsi="Arial" w:cs="Arial"/>
          <w:bCs/>
          <w:color w:val="000000" w:themeColor="text1"/>
          <w:sz w:val="22"/>
        </w:rPr>
        <w:t xml:space="preserve">de </w:t>
      </w:r>
      <w:r w:rsidRPr="00A70F57">
        <w:rPr>
          <w:rFonts w:ascii="Arial" w:hAnsi="Arial" w:cs="Arial"/>
          <w:bCs/>
          <w:color w:val="000000" w:themeColor="text1"/>
          <w:sz w:val="22"/>
        </w:rPr>
        <w:t xml:space="preserve">los Documentos Tipo para licitación de obra pública de infraestructura de transporte, el </w:t>
      </w:r>
      <w:r w:rsidRPr="007A4F15">
        <w:rPr>
          <w:rFonts w:ascii="Arial" w:hAnsi="Arial" w:cs="Arial"/>
          <w:bCs/>
          <w:i/>
          <w:color w:val="000000" w:themeColor="text1"/>
          <w:sz w:val="22"/>
        </w:rPr>
        <w:t>Documento Base</w:t>
      </w:r>
      <w:r w:rsidRPr="00A70F57">
        <w:rPr>
          <w:rFonts w:ascii="Arial" w:hAnsi="Arial" w:cs="Arial"/>
          <w:bCs/>
          <w:color w:val="000000" w:themeColor="text1"/>
          <w:sz w:val="22"/>
        </w:rPr>
        <w:t xml:space="preserve"> codificado </w:t>
      </w:r>
      <w:r w:rsidRPr="00A70F57">
        <w:rPr>
          <w:rFonts w:ascii="Arial" w:hAnsi="Arial" w:cs="Arial"/>
          <w:sz w:val="22"/>
        </w:rPr>
        <w:t xml:space="preserve">con la </w:t>
      </w:r>
      <w:r w:rsidRPr="00A70F57">
        <w:rPr>
          <w:rFonts w:ascii="Arial" w:hAnsi="Arial" w:cs="Arial"/>
          <w:i/>
          <w:sz w:val="22"/>
        </w:rPr>
        <w:t>versión 4</w:t>
      </w:r>
      <w:r>
        <w:rPr>
          <w:rFonts w:ascii="Arial" w:hAnsi="Arial" w:cs="Arial"/>
          <w:sz w:val="22"/>
        </w:rPr>
        <w:t xml:space="preserve">, </w:t>
      </w:r>
      <w:r w:rsidRPr="00A70F57">
        <w:rPr>
          <w:rFonts w:ascii="Arial" w:hAnsi="Arial" w:cs="Arial"/>
          <w:sz w:val="22"/>
        </w:rPr>
        <w:t>vigen</w:t>
      </w:r>
      <w:r>
        <w:rPr>
          <w:rFonts w:ascii="Arial" w:hAnsi="Arial" w:cs="Arial"/>
          <w:sz w:val="22"/>
        </w:rPr>
        <w:t>te hasta el 27 de junio de 2021</w:t>
      </w:r>
      <w:r w:rsidRPr="00A70F57">
        <w:rPr>
          <w:rFonts w:ascii="Arial" w:hAnsi="Arial" w:cs="Arial"/>
          <w:sz w:val="22"/>
        </w:rPr>
        <w:t xml:space="preserve">, así como el codificado con la </w:t>
      </w:r>
      <w:r w:rsidRPr="007A4F15">
        <w:rPr>
          <w:rFonts w:ascii="Arial" w:hAnsi="Arial" w:cs="Arial"/>
          <w:i/>
          <w:sz w:val="22"/>
        </w:rPr>
        <w:t>versión 5</w:t>
      </w:r>
      <w:r>
        <w:rPr>
          <w:rFonts w:ascii="Arial" w:hAnsi="Arial" w:cs="Arial"/>
          <w:sz w:val="22"/>
        </w:rPr>
        <w:t xml:space="preserve">, </w:t>
      </w:r>
      <w:r w:rsidRPr="00A70F57">
        <w:rPr>
          <w:rFonts w:ascii="Arial" w:hAnsi="Arial" w:cs="Arial"/>
          <w:sz w:val="22"/>
        </w:rPr>
        <w:t>vigente a partir del 28 de junio de 2021</w:t>
      </w:r>
      <w:r>
        <w:rPr>
          <w:rStyle w:val="Refdenotaalpie"/>
          <w:rFonts w:ascii="Arial" w:hAnsi="Arial" w:cs="Arial"/>
          <w:sz w:val="22"/>
        </w:rPr>
        <w:footnoteReference w:id="9"/>
      </w:r>
      <w:r w:rsidRPr="00A70F57">
        <w:rPr>
          <w:rFonts w:ascii="Arial" w:hAnsi="Arial" w:cs="Arial"/>
          <w:sz w:val="22"/>
        </w:rPr>
        <w:t xml:space="preserve">, establecen </w:t>
      </w:r>
      <w:r>
        <w:rPr>
          <w:rFonts w:ascii="Arial" w:hAnsi="Arial" w:cs="Arial"/>
          <w:sz w:val="22"/>
        </w:rPr>
        <w:t xml:space="preserve">idénticamente </w:t>
      </w:r>
      <w:r w:rsidRPr="00A70F57">
        <w:rPr>
          <w:rFonts w:ascii="Arial" w:hAnsi="Arial" w:cs="Arial"/>
          <w:sz w:val="22"/>
        </w:rPr>
        <w:t>en el numeral 3.11.2.</w:t>
      </w:r>
      <w:r>
        <w:rPr>
          <w:rFonts w:ascii="Arial" w:hAnsi="Arial" w:cs="Arial"/>
          <w:sz w:val="22"/>
        </w:rPr>
        <w:t>,</w:t>
      </w:r>
      <w:r w:rsidRPr="00A70F57">
        <w:rPr>
          <w:rFonts w:ascii="Arial" w:hAnsi="Arial" w:cs="Arial"/>
          <w:sz w:val="22"/>
        </w:rPr>
        <w:t xml:space="preserve"> literal A, que para acreditar el factor de capacidad de organización (CO) el proponente obligado a tener RUP debe presentar los siguientes documentos:</w:t>
      </w:r>
    </w:p>
    <w:p w14:paraId="6DBC34A1" w14:textId="77777777" w:rsidR="00C64A66" w:rsidRPr="003332D8" w:rsidRDefault="00C64A66" w:rsidP="00C64A66">
      <w:pPr>
        <w:ind w:left="708" w:right="709"/>
        <w:jc w:val="both"/>
        <w:rPr>
          <w:rFonts w:ascii="Arial" w:hAnsi="Arial" w:cs="Arial"/>
          <w:sz w:val="21"/>
          <w:szCs w:val="21"/>
        </w:rPr>
      </w:pPr>
      <w:r w:rsidRPr="003332D8">
        <w:rPr>
          <w:rFonts w:ascii="Arial" w:hAnsi="Arial" w:cs="Arial"/>
          <w:sz w:val="21"/>
          <w:szCs w:val="21"/>
        </w:rPr>
        <w:t>i.  Estado de resultados integral (estado de resultado o pérdida o ganancias), del año en que hayan obtenido el mayor ingreso operacional en los últimos cinco (5) años, debidamente firmado por el representante legal, contador y revisor fiscal y/o contador independiente (externo), si están obligados a tenerlos. Esto teniendo en cuenta el artículo 37 de la Ley 222 de 1995.</w:t>
      </w:r>
    </w:p>
    <w:p w14:paraId="683BF33B" w14:textId="77777777" w:rsidR="00C64A66" w:rsidRPr="003332D8" w:rsidRDefault="00C64A66" w:rsidP="00C64A66">
      <w:pPr>
        <w:pStyle w:val="Prrafodelista"/>
        <w:ind w:left="1080"/>
        <w:jc w:val="both"/>
        <w:rPr>
          <w:rFonts w:ascii="Arial" w:hAnsi="Arial" w:cs="Arial"/>
          <w:sz w:val="21"/>
          <w:szCs w:val="21"/>
        </w:rPr>
      </w:pPr>
    </w:p>
    <w:p w14:paraId="5EEF0A41" w14:textId="77777777" w:rsidR="00C64A66" w:rsidRDefault="00C64A66" w:rsidP="00C64A66">
      <w:pPr>
        <w:ind w:left="708" w:right="709"/>
        <w:jc w:val="both"/>
        <w:rPr>
          <w:rFonts w:ascii="Arial" w:hAnsi="Arial" w:cs="Arial"/>
          <w:sz w:val="21"/>
          <w:szCs w:val="21"/>
        </w:rPr>
      </w:pPr>
      <w:r w:rsidRPr="003332D8">
        <w:rPr>
          <w:rFonts w:ascii="Arial" w:hAnsi="Arial" w:cs="Arial"/>
          <w:sz w:val="21"/>
          <w:szCs w:val="21"/>
        </w:rPr>
        <w:t>ii. Copia de la tarjeta profesional y certificado de antecedentes disciplinarios vigentes de los Contadores Públicos, Revisores Fiscales, Contadores independientes (externos), quienes suscribieron los documentos señalados en el presente literal.</w:t>
      </w:r>
    </w:p>
    <w:p w14:paraId="13694811" w14:textId="77777777" w:rsidR="00C64A66" w:rsidRDefault="00C64A66" w:rsidP="00C64A66">
      <w:pPr>
        <w:ind w:left="708" w:right="709"/>
        <w:jc w:val="both"/>
        <w:rPr>
          <w:rFonts w:ascii="Arial" w:hAnsi="Arial" w:cs="Arial"/>
          <w:sz w:val="21"/>
          <w:szCs w:val="21"/>
        </w:rPr>
      </w:pPr>
    </w:p>
    <w:p w14:paraId="48FE6F98" w14:textId="77777777" w:rsidR="00C64A66" w:rsidRDefault="00C64A66" w:rsidP="00C64A66">
      <w:pPr>
        <w:spacing w:before="120" w:line="276" w:lineRule="auto"/>
        <w:ind w:firstLine="708"/>
        <w:jc w:val="both"/>
        <w:rPr>
          <w:rFonts w:ascii="Arial" w:hAnsi="Arial" w:cs="Arial"/>
          <w:sz w:val="22"/>
        </w:rPr>
      </w:pPr>
      <w:r w:rsidRPr="00E30DF1">
        <w:rPr>
          <w:rFonts w:ascii="Arial" w:hAnsi="Arial" w:cs="Arial"/>
          <w:sz w:val="22"/>
        </w:rPr>
        <w:t xml:space="preserve">Como se advierte, la </w:t>
      </w:r>
      <w:r w:rsidRPr="00E30DF1">
        <w:rPr>
          <w:rFonts w:ascii="Arial" w:hAnsi="Arial" w:cs="Arial"/>
          <w:i/>
          <w:iCs/>
          <w:sz w:val="22"/>
        </w:rPr>
        <w:t xml:space="preserve">versión 3 </w:t>
      </w:r>
      <w:r w:rsidRPr="00E30DF1">
        <w:rPr>
          <w:rFonts w:ascii="Arial" w:hAnsi="Arial" w:cs="Arial"/>
          <w:sz w:val="22"/>
        </w:rPr>
        <w:t xml:space="preserve">de los documentos tipo mantiene el enfoque regulativo establecido en la </w:t>
      </w:r>
      <w:r w:rsidRPr="00E30DF1">
        <w:rPr>
          <w:rFonts w:ascii="Arial" w:hAnsi="Arial" w:cs="Arial"/>
          <w:i/>
          <w:iCs/>
          <w:sz w:val="22"/>
        </w:rPr>
        <w:t>Versión 2</w:t>
      </w:r>
      <w:r w:rsidRPr="00E30DF1">
        <w:rPr>
          <w:rFonts w:ascii="Arial" w:hAnsi="Arial" w:cs="Arial"/>
          <w:sz w:val="22"/>
        </w:rPr>
        <w:t xml:space="preserve">. En efecto, </w:t>
      </w:r>
      <w:r w:rsidRPr="00E30DF1">
        <w:rPr>
          <w:rFonts w:ascii="Arial" w:eastAsia="Calibri" w:hAnsi="Arial" w:cs="Arial"/>
          <w:color w:val="000000" w:themeColor="text1"/>
          <w:sz w:val="22"/>
        </w:rPr>
        <w:t>c</w:t>
      </w:r>
      <w:r w:rsidRPr="00E56801">
        <w:rPr>
          <w:rFonts w:ascii="Arial" w:eastAsia="Calibri" w:hAnsi="Arial" w:cs="Arial"/>
          <w:color w:val="000000" w:themeColor="text1"/>
          <w:sz w:val="22"/>
        </w:rPr>
        <w:t xml:space="preserve">ontinuando con el análisis anterior, el </w:t>
      </w:r>
      <w:r w:rsidRPr="00E56801">
        <w:rPr>
          <w:rFonts w:ascii="Arial" w:hAnsi="Arial" w:cs="Arial"/>
          <w:sz w:val="22"/>
        </w:rPr>
        <w:t>numeral 3.11.2., literal A del Documento Base (versiones 4</w:t>
      </w:r>
      <w:r w:rsidRPr="00E30DF1">
        <w:rPr>
          <w:rFonts w:ascii="Arial" w:hAnsi="Arial" w:cs="Arial"/>
          <w:sz w:val="22"/>
        </w:rPr>
        <w:t xml:space="preserve"> y 5) de los Documentos Tipo </w:t>
      </w:r>
      <w:r w:rsidRPr="00E30DF1">
        <w:rPr>
          <w:rFonts w:ascii="Arial" w:hAnsi="Arial" w:cs="Arial"/>
          <w:bCs/>
          <w:color w:val="000000" w:themeColor="text1"/>
          <w:sz w:val="22"/>
        </w:rPr>
        <w:t xml:space="preserve">para licitación de obra pública de infraestructura de transporte – Versión 3, al referirse al estado de resultados dentro de la capacidad de organización para determinar la capacidad residual hace una remisión al artículo 37 de la Ley 222 de 1995.  El artículo en mención señala que </w:t>
      </w:r>
      <w:r w:rsidRPr="00E30DF1">
        <w:rPr>
          <w:rFonts w:ascii="Arial" w:hAnsi="Arial" w:cs="Arial"/>
          <w:sz w:val="22"/>
        </w:rPr>
        <w:t>«El representante legal y el contador público bajo cuya responsabilidad se hubiesen preparado los estados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w:t>
      </w:r>
      <w:r w:rsidRPr="00E56801">
        <w:rPr>
          <w:rFonts w:ascii="Arial" w:hAnsi="Arial" w:cs="Arial"/>
          <w:sz w:val="22"/>
        </w:rPr>
        <w:t xml:space="preserve"> Además</w:t>
      </w:r>
      <w:r>
        <w:rPr>
          <w:rFonts w:ascii="Arial" w:hAnsi="Arial" w:cs="Arial"/>
          <w:sz w:val="22"/>
        </w:rPr>
        <w:t xml:space="preserve">, vale reiterar que, entre otras cosas, a diferencia de la </w:t>
      </w:r>
      <w:r>
        <w:rPr>
          <w:rFonts w:ascii="Arial" w:hAnsi="Arial" w:cs="Arial"/>
          <w:i/>
          <w:iCs/>
          <w:sz w:val="22"/>
        </w:rPr>
        <w:t xml:space="preserve">versión 1, </w:t>
      </w:r>
      <w:r>
        <w:rPr>
          <w:rFonts w:ascii="Arial" w:hAnsi="Arial" w:cs="Arial"/>
          <w:sz w:val="22"/>
        </w:rPr>
        <w:t>no se hace referencia a la necesidad de que dicho estado de resultados se aporte de acuerdo con el artículo 38 de la Ley 222 de 1995.</w:t>
      </w:r>
    </w:p>
    <w:p w14:paraId="640BF5A1" w14:textId="77777777" w:rsidR="00C64A66" w:rsidRDefault="00C64A66" w:rsidP="00C64A66">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línea con lo anterior</w:t>
      </w:r>
      <w:r w:rsidRPr="009F2C1B">
        <w:rPr>
          <w:rFonts w:ascii="Arial" w:hAnsi="Arial" w:cs="Arial"/>
          <w:color w:val="000000" w:themeColor="text1"/>
          <w:sz w:val="22"/>
        </w:rPr>
        <w:t xml:space="preserve">, es importante señalar que de acuerdo con la Ley 43 de 1990, normativa que reglamenta la profesión de contador público, el artículo 10 señala que la firma de un contador público en los actos propios de su profesión hará presumir, salvo prueba en contrario, que el acto respectivo se ajusta a los requisitos legales. De igual forma, </w:t>
      </w:r>
      <w:r w:rsidRPr="009F2C1B">
        <w:rPr>
          <w:rFonts w:ascii="Arial" w:hAnsi="Arial" w:cs="Arial"/>
          <w:color w:val="000000" w:themeColor="text1"/>
          <w:sz w:val="22"/>
        </w:rPr>
        <w:lastRenderedPageBreak/>
        <w:t>tratándose de balances, se presumirá además que los saldos se han tomado fielmente de los libros, que éstos se ajustan a las normas legales y que las cifras registrados en ellos reflejan en forma fidedigna la correspondiente situación financiera en la fecha del balance</w:t>
      </w:r>
      <w:r w:rsidRPr="009F2C1B">
        <w:rPr>
          <w:rStyle w:val="Refdenotaalpie"/>
          <w:rFonts w:ascii="Arial" w:hAnsi="Arial" w:cs="Arial"/>
          <w:color w:val="000000" w:themeColor="text1"/>
          <w:sz w:val="22"/>
        </w:rPr>
        <w:footnoteReference w:id="10"/>
      </w:r>
      <w:r w:rsidRPr="009F2C1B">
        <w:rPr>
          <w:rFonts w:ascii="Arial" w:hAnsi="Arial" w:cs="Arial"/>
          <w:color w:val="000000" w:themeColor="text1"/>
          <w:sz w:val="22"/>
        </w:rPr>
        <w:t>.</w:t>
      </w:r>
      <w:r>
        <w:rPr>
          <w:rFonts w:ascii="Arial" w:hAnsi="Arial" w:cs="Arial"/>
          <w:color w:val="000000" w:themeColor="text1"/>
          <w:sz w:val="22"/>
        </w:rPr>
        <w:t xml:space="preserve"> </w:t>
      </w:r>
    </w:p>
    <w:p w14:paraId="39DB1268" w14:textId="77777777" w:rsidR="00C64A66" w:rsidRDefault="00C64A66" w:rsidP="00C64A66">
      <w:pPr>
        <w:spacing w:before="120" w:after="120" w:line="276" w:lineRule="auto"/>
        <w:ind w:firstLine="708"/>
        <w:jc w:val="both"/>
        <w:rPr>
          <w:rFonts w:ascii="Arial" w:hAnsi="Arial" w:cs="Arial"/>
          <w:sz w:val="22"/>
        </w:rPr>
      </w:pPr>
      <w:r>
        <w:rPr>
          <w:rFonts w:ascii="Arial" w:hAnsi="Arial" w:cs="Arial"/>
          <w:color w:val="000000" w:themeColor="text1"/>
          <w:sz w:val="22"/>
        </w:rPr>
        <w:t xml:space="preserve">En armonía con lo anterior, la Corte Constitucional, en la sentencia C-861 de 2008, reconoce que la profesión de contador público tiene un importante riesgo social en las relaciones económicas entre el Estado y los particulares y, por tanto, es necesario que tengan una mayor responsabilidad frente a los documentos que suscriben. Así lo </w:t>
      </w:r>
      <w:r>
        <w:rPr>
          <w:rFonts w:ascii="Arial" w:hAnsi="Arial" w:cs="Arial"/>
          <w:sz w:val="22"/>
        </w:rPr>
        <w:t xml:space="preserve">determinó en los siguientes términos:  </w:t>
      </w:r>
    </w:p>
    <w:p w14:paraId="245DEF5B" w14:textId="77777777" w:rsidR="00C64A66" w:rsidRDefault="00C64A66" w:rsidP="00C64A66">
      <w:pPr>
        <w:tabs>
          <w:tab w:val="left" w:pos="8222"/>
        </w:tabs>
        <w:spacing w:before="120"/>
        <w:ind w:left="709" w:right="709"/>
        <w:jc w:val="both"/>
        <w:rPr>
          <w:rFonts w:ascii="Arial" w:hAnsi="Arial" w:cs="Arial"/>
          <w:sz w:val="21"/>
          <w:szCs w:val="21"/>
          <w:shd w:val="clear" w:color="auto" w:fill="FFFFFF"/>
        </w:rPr>
      </w:pPr>
      <w:r>
        <w:rPr>
          <w:rFonts w:ascii="Arial" w:hAnsi="Arial" w:cs="Arial"/>
          <w:sz w:val="21"/>
          <w:szCs w:val="21"/>
          <w:shd w:val="clear" w:color="auto" w:fill="FFFFFF"/>
        </w:rPr>
        <w:t>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fedante a los Contadores Públicos, obedece a una finalidad de interés general</w:t>
      </w:r>
      <w:r>
        <w:rPr>
          <w:rStyle w:val="Refdenotaalpie"/>
          <w:rFonts w:ascii="Arial" w:hAnsi="Arial" w:cs="Arial"/>
          <w:sz w:val="21"/>
          <w:szCs w:val="21"/>
          <w:shd w:val="clear" w:color="auto" w:fill="FFFFFF"/>
        </w:rPr>
        <w:footnoteReference w:id="11"/>
      </w:r>
      <w:r>
        <w:rPr>
          <w:rFonts w:ascii="Arial" w:hAnsi="Arial" w:cs="Arial"/>
          <w:sz w:val="21"/>
          <w:szCs w:val="21"/>
          <w:shd w:val="clear" w:color="auto" w:fill="FFFFFF"/>
        </w:rPr>
        <w:t>.</w:t>
      </w:r>
    </w:p>
    <w:p w14:paraId="42B44C27" w14:textId="77777777" w:rsidR="00C64A66" w:rsidRDefault="00C64A66" w:rsidP="00C64A66">
      <w:pPr>
        <w:spacing w:line="276" w:lineRule="auto"/>
        <w:jc w:val="both"/>
        <w:rPr>
          <w:rFonts w:ascii="Arial" w:hAnsi="Arial" w:cs="Arial"/>
          <w:color w:val="000000" w:themeColor="text1"/>
          <w:sz w:val="22"/>
        </w:rPr>
      </w:pPr>
      <w:r>
        <w:rPr>
          <w:rFonts w:ascii="Arial" w:hAnsi="Arial" w:cs="Arial"/>
          <w:color w:val="000000" w:themeColor="text1"/>
          <w:sz w:val="22"/>
        </w:rPr>
        <w:tab/>
      </w:r>
    </w:p>
    <w:p w14:paraId="19DA42B2" w14:textId="77777777" w:rsidR="00C64A66" w:rsidRPr="009F2C1B" w:rsidRDefault="00C64A66" w:rsidP="00C64A66">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este modo, en virtud de la </w:t>
      </w:r>
      <w:r w:rsidRPr="009F2C1B">
        <w:rPr>
          <w:rFonts w:ascii="Arial" w:hAnsi="Arial" w:cs="Arial"/>
          <w:color w:val="000000" w:themeColor="text1"/>
          <w:sz w:val="22"/>
        </w:rPr>
        <w:t xml:space="preserve">Ley 43 de 1990, todos los actos firmados por los contadores públicos se presumen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dan fe pública que el documento está acorde con la normativa y, por tanto, para que sea válido este documento no se requerirán requisitos adicionales, como la aprobación del máximo órgano social o el dictamen del revisor fiscal o del contador público. </w:t>
      </w:r>
    </w:p>
    <w:p w14:paraId="653D67ED" w14:textId="24449CB2" w:rsidR="00C64A66" w:rsidRDefault="00C64A66" w:rsidP="00C64A66">
      <w:pPr>
        <w:tabs>
          <w:tab w:val="left" w:pos="6663"/>
        </w:tabs>
        <w:spacing w:before="120" w:line="276" w:lineRule="auto"/>
        <w:ind w:firstLine="708"/>
        <w:jc w:val="both"/>
        <w:rPr>
          <w:rFonts w:ascii="Arial" w:hAnsi="Arial" w:cs="Arial"/>
          <w:color w:val="000000" w:themeColor="text1"/>
          <w:sz w:val="22"/>
        </w:rPr>
      </w:pPr>
      <w:r w:rsidRPr="00E30DF1">
        <w:rPr>
          <w:rFonts w:ascii="Arial" w:hAnsi="Arial" w:cs="Arial"/>
          <w:color w:val="000000" w:themeColor="text1"/>
          <w:sz w:val="22"/>
        </w:rPr>
        <w:t xml:space="preserve">De acuerdo con lo señalado anteriormente, y teniendo en cuenta el contenido de los documentos tipo de licitación de obra pública de infraestructura de transporte – </w:t>
      </w:r>
      <w:r w:rsidRPr="00E30DF1">
        <w:rPr>
          <w:rFonts w:ascii="Arial" w:hAnsi="Arial" w:cs="Arial"/>
          <w:i/>
          <w:iCs/>
          <w:color w:val="000000" w:themeColor="text1"/>
          <w:sz w:val="22"/>
        </w:rPr>
        <w:t>versión 3</w:t>
      </w:r>
      <w:r w:rsidRPr="00E30DF1">
        <w:rPr>
          <w:rFonts w:ascii="Arial" w:hAnsi="Arial" w:cs="Arial"/>
          <w:color w:val="000000" w:themeColor="text1"/>
          <w:sz w:val="22"/>
        </w:rPr>
        <w:t xml:space="preserve">,  para acreditar la capacidad organizacional </w:t>
      </w:r>
      <w:r>
        <w:rPr>
          <w:rFonts w:ascii="Arial" w:hAnsi="Arial" w:cs="Arial"/>
          <w:color w:val="000000" w:themeColor="text1"/>
          <w:sz w:val="22"/>
        </w:rPr>
        <w:t xml:space="preserve">de los proponentes que cuentan con RUP </w:t>
      </w:r>
      <w:r w:rsidRPr="00E30DF1">
        <w:rPr>
          <w:rFonts w:ascii="Arial" w:hAnsi="Arial" w:cs="Arial"/>
          <w:color w:val="000000" w:themeColor="text1"/>
          <w:sz w:val="22"/>
        </w:rPr>
        <w:t xml:space="preserve">solo se requiere aportar el estado de resultados del año en que el proponente obtuvo mayor </w:t>
      </w:r>
      <w:r w:rsidRPr="00E30DF1">
        <w:rPr>
          <w:rFonts w:ascii="Arial" w:hAnsi="Arial" w:cs="Arial"/>
          <w:color w:val="000000" w:themeColor="text1"/>
          <w:sz w:val="22"/>
        </w:rPr>
        <w:lastRenderedPageBreak/>
        <w:t xml:space="preserve">ingreso operacional </w:t>
      </w:r>
      <w:r>
        <w:rPr>
          <w:rFonts w:ascii="Arial" w:hAnsi="Arial" w:cs="Arial"/>
          <w:color w:val="000000" w:themeColor="text1"/>
          <w:sz w:val="22"/>
        </w:rPr>
        <w:t xml:space="preserve">en los últimos 5 años </w:t>
      </w:r>
      <w:r w:rsidRPr="00E30DF1">
        <w:rPr>
          <w:rFonts w:ascii="Arial" w:hAnsi="Arial" w:cs="Arial"/>
          <w:sz w:val="22"/>
        </w:rPr>
        <w:t>debidamente firmado por el representante legal, contador y revisor fiscal y/o contador independiente (externo), si están obligados a tenerlos</w:t>
      </w:r>
      <w:r w:rsidRPr="00E30DF1">
        <w:rPr>
          <w:rFonts w:ascii="Arial" w:hAnsi="Arial" w:cs="Arial"/>
          <w:color w:val="000000" w:themeColor="text1"/>
          <w:sz w:val="22"/>
        </w:rPr>
        <w:t xml:space="preserve">,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 por lo </w:t>
      </w:r>
      <w:r w:rsidRPr="00E56801">
        <w:rPr>
          <w:rFonts w:ascii="Arial" w:hAnsi="Arial" w:cs="Arial"/>
          <w:color w:val="000000" w:themeColor="text1"/>
          <w:sz w:val="22"/>
        </w:rPr>
        <w:t>que el requisito se acredita en los términos establecidos en los documentos tipo.</w:t>
      </w:r>
    </w:p>
    <w:p w14:paraId="7FC8D0F3" w14:textId="77777777" w:rsidR="00C64A66" w:rsidRDefault="00C64A66" w:rsidP="00C64A66">
      <w:pPr>
        <w:tabs>
          <w:tab w:val="left" w:pos="6663"/>
        </w:tabs>
        <w:spacing w:line="276" w:lineRule="auto"/>
        <w:ind w:firstLine="708"/>
        <w:jc w:val="both"/>
        <w:rPr>
          <w:rFonts w:ascii="Arial" w:hAnsi="Arial" w:cs="Arial"/>
          <w:color w:val="000000" w:themeColor="text1"/>
          <w:sz w:val="22"/>
        </w:rPr>
      </w:pPr>
    </w:p>
    <w:p w14:paraId="56050305" w14:textId="4E038454" w:rsidR="00C64A66" w:rsidRDefault="00C64A66" w:rsidP="00C64A66">
      <w:pPr>
        <w:jc w:val="both"/>
        <w:rPr>
          <w:rFonts w:ascii="Arial" w:hAnsi="Arial" w:cs="Arial"/>
          <w:b/>
          <w:color w:val="000000" w:themeColor="text1"/>
          <w:sz w:val="22"/>
        </w:rPr>
      </w:pPr>
      <w:r w:rsidRPr="009F2C1B">
        <w:rPr>
          <w:rFonts w:ascii="Arial" w:hAnsi="Arial" w:cs="Arial"/>
          <w:b/>
          <w:color w:val="000000" w:themeColor="text1"/>
          <w:sz w:val="22"/>
        </w:rPr>
        <w:t>2.</w:t>
      </w:r>
      <w:r w:rsidR="004C2A33">
        <w:rPr>
          <w:rFonts w:ascii="Arial" w:hAnsi="Arial" w:cs="Arial"/>
          <w:b/>
          <w:color w:val="000000" w:themeColor="text1"/>
          <w:sz w:val="22"/>
        </w:rPr>
        <w:t>3</w:t>
      </w:r>
      <w:r w:rsidRPr="009F2C1B">
        <w:rPr>
          <w:rFonts w:ascii="Arial" w:hAnsi="Arial" w:cs="Arial"/>
          <w:b/>
          <w:color w:val="000000" w:themeColor="text1"/>
          <w:sz w:val="22"/>
        </w:rPr>
        <w:t xml:space="preserve">. </w:t>
      </w:r>
      <w:r>
        <w:rPr>
          <w:rFonts w:ascii="Arial" w:hAnsi="Arial" w:cs="Arial"/>
          <w:b/>
          <w:color w:val="000000" w:themeColor="text1"/>
          <w:sz w:val="22"/>
        </w:rPr>
        <w:t xml:space="preserve">Regla </w:t>
      </w:r>
      <w:r w:rsidRPr="009F2C1B">
        <w:rPr>
          <w:rFonts w:ascii="Arial" w:hAnsi="Arial" w:cs="Arial"/>
          <w:b/>
          <w:color w:val="000000" w:themeColor="text1"/>
          <w:sz w:val="22"/>
        </w:rPr>
        <w:t>de inalterabilidad de los Documentos Tipo</w:t>
      </w:r>
    </w:p>
    <w:p w14:paraId="1951C3B1" w14:textId="77777777" w:rsidR="00C64A66" w:rsidRPr="009F2C1B" w:rsidRDefault="00C64A66" w:rsidP="00C64A66">
      <w:pPr>
        <w:jc w:val="both"/>
        <w:rPr>
          <w:rFonts w:ascii="Arial" w:hAnsi="Arial" w:cs="Arial"/>
          <w:b/>
          <w:color w:val="000000" w:themeColor="text1"/>
          <w:sz w:val="22"/>
        </w:rPr>
      </w:pPr>
    </w:p>
    <w:p w14:paraId="70CD0DDA" w14:textId="767B7955" w:rsidR="00C64A66" w:rsidRPr="00D81EEF" w:rsidRDefault="00590EDE" w:rsidP="00C64A66">
      <w:pPr>
        <w:spacing w:line="276" w:lineRule="auto"/>
        <w:jc w:val="both"/>
        <w:rPr>
          <w:rFonts w:ascii="Arial" w:hAnsi="Arial" w:cs="Arial"/>
          <w:sz w:val="22"/>
          <w:shd w:val="clear" w:color="auto" w:fill="FFFFFF"/>
          <w:lang w:val="es-ES"/>
        </w:rPr>
      </w:pPr>
      <w:r>
        <w:rPr>
          <w:rFonts w:ascii="Arial" w:eastAsia="Calibri" w:hAnsi="Arial" w:cs="Arial"/>
          <w:sz w:val="22"/>
          <w:shd w:val="clear" w:color="auto" w:fill="FFFFFF"/>
          <w:lang w:val="es-ES"/>
        </w:rPr>
        <w:t>E</w:t>
      </w:r>
      <w:r w:rsidR="00C64A66">
        <w:rPr>
          <w:rFonts w:ascii="Arial" w:eastAsia="Calibri" w:hAnsi="Arial" w:cs="Arial"/>
          <w:sz w:val="22"/>
          <w:shd w:val="clear" w:color="auto" w:fill="FFFFFF"/>
          <w:lang w:val="es-ES"/>
        </w:rPr>
        <w:t xml:space="preserve">s importante tener en cuenta la inalterabilidad de los Documentos Tipo adoptados por la Agencia Nacional de Contratación Pública – Colombia Compra Eficiente. </w:t>
      </w:r>
      <w:bookmarkStart w:id="2" w:name="_Hlk81911911"/>
      <w:r w:rsidR="00C64A66">
        <w:rPr>
          <w:rFonts w:ascii="Arial" w:eastAsia="Calibri" w:hAnsi="Arial" w:cs="Arial"/>
          <w:sz w:val="22"/>
          <w:shd w:val="clear" w:color="auto" w:fill="FFFFFF"/>
          <w:lang w:val="es-ES"/>
        </w:rPr>
        <w:t>La regla de inalterabilidad de los Documentos Tipo, consagrada en l</w:t>
      </w:r>
      <w:r w:rsidR="00C64A66" w:rsidRPr="00D81EEF">
        <w:rPr>
          <w:rFonts w:ascii="Arial" w:eastAsia="Calibri" w:hAnsi="Arial" w:cs="Arial"/>
          <w:sz w:val="22"/>
          <w:shd w:val="clear" w:color="auto" w:fill="FFFFFF"/>
          <w:lang w:val="es-ES"/>
        </w:rPr>
        <w:t>os artículos 2.2.1.2.6.1.4, 2.2.1.2.6.2.3 y 2.2.1.2.6.3.4 del Decreto 1082 de 2015</w:t>
      </w:r>
      <w:r w:rsidR="00C64A66">
        <w:rPr>
          <w:rFonts w:ascii="Arial" w:eastAsia="Calibri" w:hAnsi="Arial" w:cs="Arial"/>
          <w:sz w:val="22"/>
          <w:shd w:val="clear" w:color="auto" w:fill="FFFFFF"/>
          <w:lang w:val="es-ES"/>
        </w:rPr>
        <w:t xml:space="preserve">, </w:t>
      </w:r>
      <w:r w:rsidR="00C64A66" w:rsidRPr="00D81EEF">
        <w:rPr>
          <w:rFonts w:ascii="Arial" w:eastAsia="Calibri" w:hAnsi="Arial" w:cs="Arial"/>
          <w:sz w:val="22"/>
          <w:shd w:val="clear" w:color="auto" w:fill="FFFFFF"/>
          <w:lang w:val="es-ES"/>
        </w:rPr>
        <w:t xml:space="preserve">consiste en que las entidades estatales no pueden incluir o modificar en los documentos del proceso las condiciones habilitantes, los factores técnicos y económicos de escogencia y los sistemas de ponderación distintos a los señalados en los Documentos Tipo. </w:t>
      </w:r>
      <w:r w:rsidR="006A1EBE" w:rsidRPr="006A1EBE">
        <w:rPr>
          <w:rFonts w:ascii="Arial" w:hAnsi="Arial" w:cs="Arial"/>
          <w:sz w:val="22"/>
          <w:shd w:val="clear" w:color="auto" w:fill="FFFFFF"/>
          <w:lang w:val="es-ES"/>
        </w:rPr>
        <w:t>En consecuencia, las condiciones establecidas en los documentos que haya adoptado el Gobierno Nacional, en ejercicio del mandato establecido en el artículo 4 de la Ley 1882 de 2018 o la Agencia Nacional de Contratación Pública – Colombia Compra Eficiente en virtud del artículo 1 de la Ley 2022 de 2020,</w:t>
      </w:r>
      <w:r w:rsidR="00C64A66" w:rsidRPr="00D81EEF">
        <w:rPr>
          <w:rFonts w:ascii="Arial" w:hAnsi="Arial" w:cs="Arial"/>
          <w:sz w:val="22"/>
          <w:shd w:val="clear" w:color="auto" w:fill="FFFFFF"/>
          <w:lang w:val="es-ES"/>
        </w:rPr>
        <w:t xml:space="preserve"> son de obligatorio cumplimiento para las entidades sometidas al Estatuto General de Contratación de la Administración Pública que adelanten procesos que deban regirse por su contenido, y no pueden variarse los requisitos fijados en ellos</w:t>
      </w:r>
      <w:bookmarkEnd w:id="2"/>
      <w:r w:rsidR="00C64A66" w:rsidRPr="00D81EEF">
        <w:rPr>
          <w:rFonts w:ascii="Arial" w:hAnsi="Arial" w:cs="Arial"/>
          <w:sz w:val="22"/>
          <w:shd w:val="clear" w:color="auto" w:fill="FFFFFF"/>
          <w:lang w:val="es-ES"/>
        </w:rPr>
        <w:t xml:space="preserve">. </w:t>
      </w:r>
      <w:r w:rsidR="00C64A66">
        <w:rPr>
          <w:rFonts w:ascii="Arial" w:hAnsi="Arial" w:cs="Arial"/>
          <w:sz w:val="22"/>
          <w:shd w:val="clear" w:color="auto" w:fill="FFFFFF"/>
          <w:lang w:val="es-ES"/>
        </w:rPr>
        <w:t xml:space="preserve"> </w:t>
      </w:r>
    </w:p>
    <w:p w14:paraId="05995903" w14:textId="77777777" w:rsidR="00C64A66" w:rsidRDefault="00C64A66" w:rsidP="00C64A66">
      <w:pPr>
        <w:spacing w:before="120" w:line="276" w:lineRule="auto"/>
        <w:ind w:firstLine="708"/>
        <w:jc w:val="both"/>
        <w:rPr>
          <w:rFonts w:ascii="Arial" w:eastAsia="Calibri" w:hAnsi="Arial" w:cs="Arial"/>
          <w:noProof/>
          <w:sz w:val="22"/>
          <w:lang w:val="es-ES_tradnl"/>
        </w:rPr>
      </w:pPr>
      <w:r w:rsidRPr="00D81EEF">
        <w:rPr>
          <w:rFonts w:ascii="Arial" w:hAnsi="Arial" w:cs="Arial"/>
          <w:sz w:val="22"/>
          <w:shd w:val="clear" w:color="auto" w:fill="FFFFFF"/>
          <w:lang w:val="es-ES"/>
        </w:rPr>
        <w:t>Sin perjuicio de lo anterior, debe tenerse en cuenta que en relación con los documentos tipo expedidos o actualizados luego de la vigencia de la Ley 2022 de 2020</w:t>
      </w:r>
      <w:r>
        <w:rPr>
          <w:rStyle w:val="Refdenotaalpie"/>
          <w:rFonts w:ascii="Arial" w:hAnsi="Arial" w:cs="Arial"/>
          <w:sz w:val="22"/>
          <w:shd w:val="clear" w:color="auto" w:fill="FFFFFF"/>
          <w:lang w:val="es-ES"/>
        </w:rPr>
        <w:footnoteReference w:id="12"/>
      </w:r>
      <w:r w:rsidRPr="00D81EEF">
        <w:rPr>
          <w:rFonts w:ascii="Arial" w:hAnsi="Arial" w:cs="Arial"/>
          <w:sz w:val="22"/>
          <w:shd w:val="clear" w:color="auto" w:fill="FFFFFF"/>
          <w:lang w:val="es-ES"/>
        </w:rPr>
        <w:t xml:space="preserve">, el fundamento de la inalterabilidad de su contenido se deriva de lo establecido en </w:t>
      </w:r>
      <w:r>
        <w:rPr>
          <w:rFonts w:ascii="Arial" w:hAnsi="Arial" w:cs="Arial"/>
          <w:sz w:val="22"/>
          <w:shd w:val="clear" w:color="auto" w:fill="FFFFFF"/>
          <w:lang w:val="es-ES"/>
        </w:rPr>
        <w:t>dicha</w:t>
      </w:r>
      <w:r w:rsidRPr="00D81EEF">
        <w:rPr>
          <w:rFonts w:ascii="Arial" w:hAnsi="Arial" w:cs="Arial"/>
          <w:sz w:val="22"/>
          <w:shd w:val="clear" w:color="auto" w:fill="FFFFFF"/>
          <w:lang w:val="es-ES"/>
        </w:rPr>
        <w:t xml:space="preserve"> ley y particularmente lo prescrito en cada una de las resoluciones que adoptan los documentos tipo</w:t>
      </w:r>
      <w:r w:rsidRPr="00D81EEF">
        <w:rPr>
          <w:rFonts w:ascii="Arial" w:eastAsia="Calibri" w:hAnsi="Arial" w:cs="Arial"/>
          <w:noProof/>
          <w:sz w:val="22"/>
          <w:lang w:val="es-ES_tradnl"/>
        </w:rPr>
        <w:t>. En tal sentido, en relación con los documentos tipo de obra de infraestructura de transporte en la modalidad de licitación –Versión 3–</w:t>
      </w:r>
      <w:r>
        <w:rPr>
          <w:rFonts w:ascii="Arial" w:eastAsia="Calibri" w:hAnsi="Arial" w:cs="Arial"/>
          <w:noProof/>
          <w:sz w:val="22"/>
          <w:lang w:val="es-ES_tradnl"/>
        </w:rPr>
        <w:t>,</w:t>
      </w:r>
      <w:r w:rsidRPr="00D81EEF">
        <w:rPr>
          <w:rFonts w:ascii="Arial" w:eastAsia="Calibri" w:hAnsi="Arial" w:cs="Arial"/>
          <w:noProof/>
          <w:sz w:val="22"/>
          <w:lang w:val="es-ES_tradnl"/>
        </w:rPr>
        <w:t xml:space="preserve">  el artículo 3 de</w:t>
      </w:r>
      <w:r>
        <w:rPr>
          <w:rFonts w:ascii="Arial" w:eastAsia="Calibri" w:hAnsi="Arial" w:cs="Arial"/>
          <w:noProof/>
          <w:sz w:val="22"/>
          <w:lang w:val="es-ES_tradnl"/>
        </w:rPr>
        <w:t xml:space="preserve"> la Resolución No. 240 </w:t>
      </w:r>
      <w:r>
        <w:rPr>
          <w:rFonts w:ascii="Arial" w:eastAsia="Calibri" w:hAnsi="Arial" w:cs="Arial"/>
          <w:noProof/>
          <w:sz w:val="22"/>
          <w:lang w:val="es-ES_tradnl"/>
        </w:rPr>
        <w:lastRenderedPageBreak/>
        <w:t xml:space="preserve">de 2020 </w:t>
      </w:r>
      <w:r w:rsidRPr="00D81EEF">
        <w:rPr>
          <w:rFonts w:ascii="Arial" w:eastAsia="Calibri" w:hAnsi="Arial" w:cs="Arial"/>
          <w:noProof/>
          <w:sz w:val="22"/>
          <w:lang w:val="es-ES_tradnl"/>
        </w:rPr>
        <w:t>dispone la inalterabilidad de los documentos tipo en los siguientes términos: «Las entidades estatales contratantes no podrán incluir o modificar dentro de lo</w:t>
      </w:r>
      <w:r w:rsidRPr="00526519">
        <w:rPr>
          <w:rFonts w:ascii="Arial" w:eastAsia="Calibri" w:hAnsi="Arial" w:cs="Arial"/>
          <w:noProof/>
          <w:sz w:val="22"/>
          <w:lang w:val="es-ES_tradnl"/>
        </w:rPr>
        <w:t>s documentos del proceso de selección las condiciones habilitantes, los factores técnicos y económicos de escogencia y los sistemas de ponderación que han sido definidos y señalados en los Documentos Tipo».</w:t>
      </w:r>
    </w:p>
    <w:p w14:paraId="66F88275" w14:textId="256AE2AF" w:rsidR="00C64A66" w:rsidRDefault="00C64A66" w:rsidP="00C64A66">
      <w:pPr>
        <w:spacing w:before="120" w:line="276" w:lineRule="auto"/>
        <w:ind w:firstLine="708"/>
        <w:jc w:val="both"/>
        <w:rPr>
          <w:rFonts w:ascii="Arial" w:hAnsi="Arial" w:cs="Arial"/>
          <w:bCs/>
          <w:color w:val="000000" w:themeColor="text1"/>
          <w:sz w:val="22"/>
        </w:rPr>
      </w:pPr>
      <w:r w:rsidRPr="000D5703">
        <w:rPr>
          <w:rFonts w:ascii="Arial" w:eastAsia="Calibri" w:hAnsi="Arial" w:cs="Arial"/>
          <w:noProof/>
          <w:sz w:val="22"/>
          <w:lang w:val="es-ES_tradnl"/>
        </w:rPr>
        <w:t>De tal manera que las versiones 4 y 5 del Documento Base</w:t>
      </w:r>
      <w:r>
        <w:rPr>
          <w:rFonts w:ascii="Arial" w:eastAsia="Calibri" w:hAnsi="Arial" w:cs="Arial"/>
          <w:noProof/>
          <w:sz w:val="22"/>
          <w:lang w:val="es-ES_tradnl"/>
        </w:rPr>
        <w:t>,</w:t>
      </w:r>
      <w:r w:rsidRPr="000D5703">
        <w:rPr>
          <w:rFonts w:ascii="Arial" w:eastAsia="Calibri" w:hAnsi="Arial" w:cs="Arial"/>
          <w:noProof/>
          <w:sz w:val="22"/>
          <w:lang w:val="es-ES_tradnl"/>
        </w:rPr>
        <w:t xml:space="preserve"> pertenececiente</w:t>
      </w:r>
      <w:r>
        <w:rPr>
          <w:rFonts w:ascii="Arial" w:eastAsia="Calibri" w:hAnsi="Arial" w:cs="Arial"/>
          <w:noProof/>
          <w:sz w:val="22"/>
          <w:lang w:val="es-ES_tradnl"/>
        </w:rPr>
        <w:t>s</w:t>
      </w:r>
      <w:r w:rsidRPr="000D5703">
        <w:rPr>
          <w:rFonts w:ascii="Arial" w:eastAsia="Calibri" w:hAnsi="Arial" w:cs="Arial"/>
          <w:noProof/>
          <w:sz w:val="22"/>
          <w:lang w:val="es-ES_tradnl"/>
        </w:rPr>
        <w:t xml:space="preserve"> a la Versión 3 de los Documentos Tipo</w:t>
      </w:r>
      <w:r>
        <w:rPr>
          <w:rFonts w:ascii="Arial" w:eastAsia="Calibri" w:hAnsi="Arial" w:cs="Arial"/>
          <w:noProof/>
          <w:sz w:val="22"/>
          <w:lang w:val="es-ES_tradnl"/>
        </w:rPr>
        <w:t xml:space="preserve"> </w:t>
      </w:r>
      <w:r w:rsidRPr="00D76CC1">
        <w:rPr>
          <w:rFonts w:ascii="Arial" w:hAnsi="Arial" w:cs="Arial"/>
          <w:bCs/>
          <w:color w:val="000000" w:themeColor="text1"/>
          <w:sz w:val="22"/>
        </w:rPr>
        <w:t xml:space="preserve">para licitación de obra pública de infraestructura de transporte </w:t>
      </w:r>
      <w:r>
        <w:rPr>
          <w:rFonts w:ascii="Arial" w:hAnsi="Arial" w:cs="Arial"/>
          <w:bCs/>
          <w:color w:val="000000" w:themeColor="text1"/>
          <w:sz w:val="22"/>
        </w:rPr>
        <w:t>–</w:t>
      </w:r>
      <w:r w:rsidRPr="00D76CC1">
        <w:rPr>
          <w:rFonts w:ascii="Arial" w:hAnsi="Arial" w:cs="Arial"/>
          <w:bCs/>
          <w:color w:val="000000" w:themeColor="text1"/>
          <w:sz w:val="22"/>
        </w:rPr>
        <w:t xml:space="preserve"> Versión 3</w:t>
      </w:r>
      <w:r>
        <w:rPr>
          <w:rFonts w:ascii="Arial" w:hAnsi="Arial" w:cs="Arial"/>
          <w:bCs/>
          <w:color w:val="000000" w:themeColor="text1"/>
          <w:sz w:val="22"/>
        </w:rPr>
        <w:t xml:space="preserve">, respecto del estado de resultados solo exigen </w:t>
      </w:r>
      <w:r w:rsidRPr="00EE750F">
        <w:rPr>
          <w:rFonts w:ascii="Arial" w:hAnsi="Arial" w:cs="Arial"/>
          <w:color w:val="000000" w:themeColor="text1"/>
          <w:sz w:val="22"/>
        </w:rPr>
        <w:t xml:space="preserve">aportar el estado de resultados del año en que el proponente obtuvo mayor ingreso operacional </w:t>
      </w:r>
      <w:r>
        <w:rPr>
          <w:rFonts w:ascii="Arial" w:hAnsi="Arial" w:cs="Arial"/>
          <w:color w:val="000000" w:themeColor="text1"/>
          <w:sz w:val="22"/>
        </w:rPr>
        <w:t xml:space="preserve">en los últimos 5 años </w:t>
      </w:r>
      <w:r w:rsidRPr="00EE750F">
        <w:rPr>
          <w:rFonts w:ascii="Arial" w:hAnsi="Arial" w:cs="Arial"/>
          <w:sz w:val="22"/>
        </w:rPr>
        <w:t>debidamente firmado por el representante legal, contador y revisor fiscal y/o contador independiente (externo), si están obligados a tenerlos</w:t>
      </w:r>
      <w:r w:rsidRPr="00EE750F">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w:t>
      </w:r>
      <w:r>
        <w:rPr>
          <w:rFonts w:ascii="Arial" w:hAnsi="Arial" w:cs="Arial"/>
          <w:bCs/>
          <w:color w:val="000000" w:themeColor="text1"/>
          <w:sz w:val="22"/>
        </w:rPr>
        <w:t xml:space="preserve">. </w:t>
      </w:r>
    </w:p>
    <w:p w14:paraId="10871D3B" w14:textId="0DECC0B4" w:rsidR="001C3E34" w:rsidRDefault="001C3E34" w:rsidP="00C64A66">
      <w:pPr>
        <w:spacing w:before="120" w:line="276" w:lineRule="auto"/>
        <w:ind w:firstLine="708"/>
        <w:jc w:val="both"/>
        <w:rPr>
          <w:rFonts w:ascii="Arial" w:hAnsi="Arial" w:cs="Arial"/>
          <w:bCs/>
          <w:color w:val="000000" w:themeColor="text1"/>
          <w:sz w:val="22"/>
        </w:rPr>
      </w:pPr>
      <w:r>
        <w:rPr>
          <w:rFonts w:ascii="Arial" w:hAnsi="Arial" w:cs="Arial"/>
          <w:bCs/>
          <w:color w:val="000000" w:themeColor="text1"/>
          <w:sz w:val="22"/>
        </w:rPr>
        <w:t xml:space="preserve">En conclusión, el artículo </w:t>
      </w:r>
      <w:r w:rsidR="00C96FC4" w:rsidRPr="00C96FC4">
        <w:rPr>
          <w:rFonts w:ascii="Arial" w:hAnsi="Arial" w:cs="Arial"/>
          <w:bCs/>
          <w:color w:val="000000" w:themeColor="text1"/>
          <w:sz w:val="22"/>
        </w:rPr>
        <w:t>2.2.1.1.1.6.4.</w:t>
      </w:r>
      <w:r w:rsidR="00C96FC4">
        <w:rPr>
          <w:rFonts w:ascii="Arial" w:hAnsi="Arial" w:cs="Arial"/>
          <w:bCs/>
          <w:color w:val="000000" w:themeColor="text1"/>
          <w:sz w:val="22"/>
        </w:rPr>
        <w:t xml:space="preserve"> del Decreto 1082 de 2015</w:t>
      </w:r>
      <w:r w:rsidR="00CB4581">
        <w:rPr>
          <w:rFonts w:ascii="Arial" w:hAnsi="Arial" w:cs="Arial"/>
          <w:bCs/>
          <w:color w:val="000000" w:themeColor="text1"/>
          <w:sz w:val="22"/>
        </w:rPr>
        <w:t xml:space="preserve"> es la norma que establece que «</w:t>
      </w:r>
      <w:r w:rsidR="00CB4581" w:rsidRPr="00CB4581">
        <w:rPr>
          <w:rFonts w:ascii="Arial" w:hAnsi="Arial" w:cs="Arial"/>
          <w:bCs/>
          <w:color w:val="000000" w:themeColor="text1"/>
          <w:sz w:val="22"/>
        </w:rPr>
        <w:t xml:space="preserve">Los estados financieros deben estar suscritos por el interesado o su representante legal </w:t>
      </w:r>
      <w:r w:rsidR="00CB4581" w:rsidRPr="008D2AF3">
        <w:rPr>
          <w:rFonts w:ascii="Arial" w:hAnsi="Arial" w:cs="Arial"/>
          <w:bCs/>
          <w:i/>
          <w:iCs/>
          <w:color w:val="000000" w:themeColor="text1"/>
          <w:sz w:val="22"/>
        </w:rPr>
        <w:t>y el revisor fiscal si está obligado a tenerlo, o el auditor o contador si no está obligado a tener revisor fiscal</w:t>
      </w:r>
      <w:r w:rsidR="00CB4581">
        <w:rPr>
          <w:rFonts w:ascii="Arial" w:hAnsi="Arial" w:cs="Arial"/>
          <w:bCs/>
          <w:color w:val="000000" w:themeColor="text1"/>
          <w:sz w:val="22"/>
        </w:rPr>
        <w:t>»</w:t>
      </w:r>
      <w:r w:rsidR="008D2AF3">
        <w:rPr>
          <w:rFonts w:ascii="Arial" w:hAnsi="Arial" w:cs="Arial"/>
          <w:bCs/>
          <w:color w:val="000000" w:themeColor="text1"/>
          <w:sz w:val="22"/>
        </w:rPr>
        <w:t xml:space="preserve"> (cursiva fuera de texto), como parte de la documentación que debe aportarse para </w:t>
      </w:r>
      <w:r w:rsidR="008D2AF3" w:rsidRPr="008D2AF3">
        <w:rPr>
          <w:rFonts w:ascii="Arial" w:hAnsi="Arial" w:cs="Arial"/>
          <w:bCs/>
          <w:color w:val="000000" w:themeColor="text1"/>
          <w:sz w:val="22"/>
        </w:rPr>
        <w:t xml:space="preserve">acreditar </w:t>
      </w:r>
      <w:r w:rsidR="00441BD1">
        <w:rPr>
          <w:rFonts w:ascii="Arial" w:hAnsi="Arial" w:cs="Arial"/>
          <w:bCs/>
          <w:color w:val="000000" w:themeColor="text1"/>
          <w:sz w:val="22"/>
        </w:rPr>
        <w:t>la</w:t>
      </w:r>
      <w:r w:rsidR="008D2AF3" w:rsidRPr="008D2AF3">
        <w:rPr>
          <w:rFonts w:ascii="Arial" w:hAnsi="Arial" w:cs="Arial"/>
          <w:bCs/>
          <w:color w:val="000000" w:themeColor="text1"/>
          <w:sz w:val="22"/>
        </w:rPr>
        <w:t xml:space="preserve"> Capacidad Residual o K de Contratación</w:t>
      </w:r>
      <w:r w:rsidR="00CB4581" w:rsidRPr="00CB4581">
        <w:rPr>
          <w:rFonts w:ascii="Arial" w:hAnsi="Arial" w:cs="Arial"/>
          <w:bCs/>
          <w:color w:val="000000" w:themeColor="text1"/>
          <w:sz w:val="22"/>
        </w:rPr>
        <w:t>.</w:t>
      </w:r>
      <w:r>
        <w:rPr>
          <w:rFonts w:ascii="Arial" w:hAnsi="Arial" w:cs="Arial"/>
          <w:bCs/>
          <w:color w:val="000000" w:themeColor="text1"/>
          <w:sz w:val="22"/>
        </w:rPr>
        <w:t xml:space="preserve"> </w:t>
      </w:r>
      <w:r w:rsidR="00E64509">
        <w:rPr>
          <w:rFonts w:ascii="Arial" w:hAnsi="Arial" w:cs="Arial"/>
          <w:bCs/>
          <w:color w:val="000000" w:themeColor="text1"/>
          <w:sz w:val="22"/>
        </w:rPr>
        <w:t xml:space="preserve">En consecuencia, lo que hace actualmente el </w:t>
      </w:r>
      <w:r w:rsidR="004064D7">
        <w:rPr>
          <w:rFonts w:ascii="Arial" w:hAnsi="Arial" w:cs="Arial"/>
          <w:bCs/>
          <w:color w:val="000000" w:themeColor="text1"/>
          <w:sz w:val="22"/>
        </w:rPr>
        <w:t xml:space="preserve">numeral 3.10.2 de los Documentos Tipo de Licitación de Obra Pública de Infraestructura de Transporte, Versión 3, es confirmar lo que establece la precitada disposición reglamentaria. </w:t>
      </w:r>
      <w:r w:rsidR="005842A0">
        <w:rPr>
          <w:rFonts w:ascii="Arial" w:hAnsi="Arial" w:cs="Arial"/>
          <w:bCs/>
          <w:color w:val="000000" w:themeColor="text1"/>
          <w:sz w:val="22"/>
        </w:rPr>
        <w:t>De esta</w:t>
      </w:r>
      <w:r w:rsidR="004064D7">
        <w:rPr>
          <w:rFonts w:ascii="Arial" w:hAnsi="Arial" w:cs="Arial"/>
          <w:bCs/>
          <w:color w:val="000000" w:themeColor="text1"/>
          <w:sz w:val="22"/>
        </w:rPr>
        <w:t xml:space="preserve"> se desprende</w:t>
      </w:r>
      <w:r w:rsidR="005842A0">
        <w:rPr>
          <w:rFonts w:ascii="Arial" w:hAnsi="Arial" w:cs="Arial"/>
          <w:bCs/>
          <w:color w:val="000000" w:themeColor="text1"/>
          <w:sz w:val="22"/>
        </w:rPr>
        <w:t xml:space="preserve"> </w:t>
      </w:r>
      <w:r w:rsidR="004064D7">
        <w:rPr>
          <w:rFonts w:ascii="Arial" w:hAnsi="Arial" w:cs="Arial"/>
          <w:bCs/>
          <w:color w:val="000000" w:themeColor="text1"/>
          <w:sz w:val="22"/>
        </w:rPr>
        <w:t xml:space="preserve">la obligatoriedad de que los estados financieros </w:t>
      </w:r>
      <w:r w:rsidR="006544B1">
        <w:rPr>
          <w:rFonts w:ascii="Arial" w:hAnsi="Arial" w:cs="Arial"/>
          <w:bCs/>
          <w:color w:val="000000" w:themeColor="text1"/>
          <w:sz w:val="22"/>
        </w:rPr>
        <w:t xml:space="preserve">estén suscritos </w:t>
      </w:r>
      <w:r w:rsidR="009842F0">
        <w:rPr>
          <w:rFonts w:ascii="Arial" w:hAnsi="Arial" w:cs="Arial"/>
          <w:bCs/>
          <w:color w:val="000000" w:themeColor="text1"/>
          <w:sz w:val="22"/>
        </w:rPr>
        <w:t xml:space="preserve">«[…] </w:t>
      </w:r>
      <w:r w:rsidR="006544B1" w:rsidRPr="006544B1">
        <w:rPr>
          <w:rFonts w:ascii="Arial" w:hAnsi="Arial" w:cs="Arial"/>
          <w:bCs/>
          <w:color w:val="000000" w:themeColor="text1"/>
          <w:sz w:val="22"/>
        </w:rPr>
        <w:t>por el interesado o su representante legal y el revisor fiscal si está obligado a tenerlo, o el auditor o contador si no está obligado a tener revisor fiscal</w:t>
      </w:r>
      <w:r w:rsidR="009842F0">
        <w:rPr>
          <w:rFonts w:ascii="Arial" w:hAnsi="Arial" w:cs="Arial"/>
          <w:bCs/>
          <w:color w:val="000000" w:themeColor="text1"/>
          <w:sz w:val="22"/>
        </w:rPr>
        <w:t>».</w:t>
      </w:r>
      <w:r w:rsidR="00BF3C08">
        <w:rPr>
          <w:rFonts w:ascii="Arial" w:hAnsi="Arial" w:cs="Arial"/>
          <w:bCs/>
          <w:color w:val="000000" w:themeColor="text1"/>
          <w:sz w:val="22"/>
        </w:rPr>
        <w:t xml:space="preserve"> Por lo tanto, la remisión efectuada en el numeral 3.10.2</w:t>
      </w:r>
      <w:r w:rsidR="00C21D98">
        <w:rPr>
          <w:rFonts w:ascii="Arial" w:hAnsi="Arial" w:cs="Arial"/>
          <w:bCs/>
          <w:color w:val="000000" w:themeColor="text1"/>
          <w:sz w:val="22"/>
        </w:rPr>
        <w:t>, literal A, subnumeral II,</w:t>
      </w:r>
      <w:r w:rsidR="00BF3C08">
        <w:rPr>
          <w:rFonts w:ascii="Arial" w:hAnsi="Arial" w:cs="Arial"/>
          <w:bCs/>
          <w:color w:val="000000" w:themeColor="text1"/>
          <w:sz w:val="22"/>
        </w:rPr>
        <w:t xml:space="preserve"> del documento base</w:t>
      </w:r>
      <w:r w:rsidR="00C21D98">
        <w:rPr>
          <w:rFonts w:ascii="Arial" w:hAnsi="Arial" w:cs="Arial"/>
          <w:bCs/>
          <w:color w:val="000000" w:themeColor="text1"/>
          <w:sz w:val="22"/>
        </w:rPr>
        <w:t xml:space="preserve">, al artículo </w:t>
      </w:r>
      <w:r w:rsidR="008A3013">
        <w:rPr>
          <w:rFonts w:ascii="Arial" w:hAnsi="Arial" w:cs="Arial"/>
          <w:bCs/>
          <w:color w:val="000000" w:themeColor="text1"/>
          <w:sz w:val="22"/>
        </w:rPr>
        <w:t xml:space="preserve">37 de la Ley 222 de 1995 debe entenderse en armonía con lo que también dispone el artículo </w:t>
      </w:r>
      <w:r w:rsidR="008A3013" w:rsidRPr="00C96FC4">
        <w:rPr>
          <w:rFonts w:ascii="Arial" w:hAnsi="Arial" w:cs="Arial"/>
          <w:bCs/>
          <w:color w:val="000000" w:themeColor="text1"/>
          <w:sz w:val="22"/>
        </w:rPr>
        <w:t>2.2.1.1.1.6.4.</w:t>
      </w:r>
      <w:r w:rsidR="008A3013">
        <w:rPr>
          <w:rFonts w:ascii="Arial" w:hAnsi="Arial" w:cs="Arial"/>
          <w:bCs/>
          <w:color w:val="000000" w:themeColor="text1"/>
          <w:sz w:val="22"/>
        </w:rPr>
        <w:t xml:space="preserve"> del Decreto 1082 de 2015, enunciado normativo que hace parte del sistema de compras y contratación pública.  </w:t>
      </w:r>
    </w:p>
    <w:p w14:paraId="15497407" w14:textId="77777777" w:rsidR="00A9734F" w:rsidRPr="00A9734F" w:rsidRDefault="00A9734F" w:rsidP="00510DE9">
      <w:pPr>
        <w:tabs>
          <w:tab w:val="left" w:pos="0"/>
        </w:tabs>
        <w:jc w:val="both"/>
        <w:rPr>
          <w:rFonts w:ascii="Arial" w:eastAsia="Calibri" w:hAnsi="Arial" w:cs="Arial"/>
          <w:b/>
          <w:color w:val="000000" w:themeColor="text1"/>
          <w:sz w:val="22"/>
        </w:rPr>
      </w:pPr>
    </w:p>
    <w:p w14:paraId="37CA9805" w14:textId="7B3C1B57" w:rsidR="00DD5B04" w:rsidRPr="008918A2" w:rsidRDefault="004177A6" w:rsidP="00510DE9">
      <w:pPr>
        <w:tabs>
          <w:tab w:val="left" w:pos="0"/>
        </w:tabs>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3</w:t>
      </w:r>
      <w:r w:rsidR="00B011A9" w:rsidRPr="008918A2">
        <w:rPr>
          <w:rFonts w:ascii="Arial" w:eastAsia="Calibri" w:hAnsi="Arial" w:cs="Arial"/>
          <w:b/>
          <w:color w:val="000000" w:themeColor="text1"/>
          <w:sz w:val="22"/>
          <w:lang w:val="es-ES_tradnl"/>
        </w:rPr>
        <w:t xml:space="preserve">. </w:t>
      </w:r>
      <w:r w:rsidR="00DD5B04" w:rsidRPr="008918A2">
        <w:rPr>
          <w:rFonts w:ascii="Arial" w:eastAsia="Calibri" w:hAnsi="Arial" w:cs="Arial"/>
          <w:b/>
          <w:color w:val="000000" w:themeColor="text1"/>
          <w:sz w:val="22"/>
          <w:lang w:val="es-ES_tradnl"/>
        </w:rPr>
        <w:t>Respuesta</w:t>
      </w:r>
    </w:p>
    <w:p w14:paraId="0B74D5B8" w14:textId="7F0A7F13" w:rsidR="00C4581D" w:rsidRPr="008918A2" w:rsidRDefault="00C4581D" w:rsidP="00510DE9">
      <w:pPr>
        <w:tabs>
          <w:tab w:val="left" w:pos="0"/>
        </w:tabs>
        <w:jc w:val="both"/>
        <w:rPr>
          <w:rFonts w:ascii="Arial" w:eastAsia="Calibri" w:hAnsi="Arial" w:cs="Arial"/>
          <w:color w:val="000000" w:themeColor="text1"/>
          <w:sz w:val="22"/>
          <w:lang w:val="es-ES_tradnl"/>
        </w:rPr>
      </w:pPr>
    </w:p>
    <w:p w14:paraId="4A60881D" w14:textId="77777777" w:rsidR="002455CD" w:rsidRDefault="002455CD" w:rsidP="002455CD">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Pr="00234197">
        <w:rPr>
          <w:rFonts w:ascii="Arial" w:hAnsi="Arial" w:cs="Arial"/>
          <w:color w:val="000000" w:themeColor="text1"/>
          <w:sz w:val="21"/>
          <w:szCs w:val="21"/>
          <w:lang w:val="es-ES_tradnl"/>
        </w:rPr>
        <w:t>¿Los estados financieros necesarios para acreditar la capacidad de organización para el cálculo de la capacidad residual deben contener obligatoriamente las firmas de representante legal, contador y revisor fiscal (o auditor independiente)?</w:t>
      </w:r>
      <w:r>
        <w:rPr>
          <w:rFonts w:ascii="Arial" w:hAnsi="Arial" w:cs="Arial"/>
          <w:color w:val="000000" w:themeColor="text1"/>
          <w:sz w:val="21"/>
          <w:szCs w:val="21"/>
          <w:lang w:val="es-ES_tradnl"/>
        </w:rPr>
        <w:t>»</w:t>
      </w:r>
    </w:p>
    <w:p w14:paraId="62DDBC1C" w14:textId="77777777" w:rsidR="00CC3C22" w:rsidRPr="008918A2" w:rsidRDefault="00CC3C22" w:rsidP="00770566">
      <w:pPr>
        <w:ind w:left="709" w:right="709"/>
        <w:jc w:val="both"/>
        <w:rPr>
          <w:rFonts w:ascii="Arial" w:hAnsi="Arial" w:cs="Arial"/>
          <w:color w:val="000000" w:themeColor="text1"/>
          <w:sz w:val="21"/>
          <w:szCs w:val="21"/>
          <w:lang w:val="es-ES_tradnl"/>
        </w:rPr>
      </w:pPr>
    </w:p>
    <w:p w14:paraId="0BD5DC0F" w14:textId="0FF6AB9A" w:rsidR="00F66349" w:rsidRDefault="00631221" w:rsidP="005833EC">
      <w:pPr>
        <w:spacing w:before="120" w:line="276" w:lineRule="auto"/>
        <w:jc w:val="both"/>
        <w:rPr>
          <w:rFonts w:ascii="Arial" w:hAnsi="Arial" w:cs="Arial"/>
          <w:bCs/>
          <w:color w:val="000000" w:themeColor="text1"/>
          <w:sz w:val="22"/>
        </w:rPr>
      </w:pPr>
      <w:r>
        <w:rPr>
          <w:rFonts w:ascii="Arial" w:hAnsi="Arial" w:cs="Arial"/>
          <w:bCs/>
          <w:color w:val="000000" w:themeColor="text1"/>
          <w:sz w:val="22"/>
          <w:lang w:val="es-ES_tradnl"/>
        </w:rPr>
        <w:lastRenderedPageBreak/>
        <w:t xml:space="preserve">El </w:t>
      </w:r>
      <w:r>
        <w:rPr>
          <w:rFonts w:ascii="Arial" w:hAnsi="Arial" w:cs="Arial"/>
          <w:bCs/>
          <w:color w:val="000000" w:themeColor="text1"/>
          <w:sz w:val="22"/>
        </w:rPr>
        <w:t>e</w:t>
      </w:r>
      <w:r w:rsidRPr="00631221">
        <w:rPr>
          <w:rFonts w:ascii="Arial" w:hAnsi="Arial" w:cs="Arial"/>
          <w:bCs/>
          <w:color w:val="000000" w:themeColor="text1"/>
          <w:sz w:val="22"/>
        </w:rPr>
        <w:t xml:space="preserve">stado de resultados integral </w:t>
      </w:r>
      <w:r w:rsidR="003D3A3A">
        <w:rPr>
          <w:rFonts w:ascii="Arial" w:hAnsi="Arial" w:cs="Arial"/>
          <w:bCs/>
          <w:color w:val="000000" w:themeColor="text1"/>
          <w:sz w:val="22"/>
        </w:rPr>
        <w:softHyphen/>
      </w:r>
      <w:r w:rsidR="003D3A3A">
        <w:rPr>
          <w:rFonts w:ascii="Arial" w:hAnsi="Arial" w:cs="Arial"/>
          <w:bCs/>
          <w:color w:val="000000" w:themeColor="text1"/>
          <w:sz w:val="22"/>
        </w:rPr>
        <w:softHyphen/>
        <w:t>–</w:t>
      </w:r>
      <w:r w:rsidRPr="00631221">
        <w:rPr>
          <w:rFonts w:ascii="Arial" w:hAnsi="Arial" w:cs="Arial"/>
          <w:bCs/>
          <w:color w:val="000000" w:themeColor="text1"/>
          <w:sz w:val="22"/>
        </w:rPr>
        <w:t>estado de resultado o pérdida o ganancias</w:t>
      </w:r>
      <w:r w:rsidR="003D3A3A">
        <w:rPr>
          <w:rFonts w:ascii="Arial" w:hAnsi="Arial" w:cs="Arial"/>
          <w:bCs/>
          <w:color w:val="000000" w:themeColor="text1"/>
          <w:sz w:val="22"/>
        </w:rPr>
        <w:t>–</w:t>
      </w:r>
      <w:r w:rsidRPr="00631221">
        <w:rPr>
          <w:rFonts w:ascii="Arial" w:hAnsi="Arial" w:cs="Arial"/>
          <w:bCs/>
          <w:color w:val="000000" w:themeColor="text1"/>
          <w:sz w:val="22"/>
        </w:rPr>
        <w:t xml:space="preserve">, del año en que hayan obtenido el mayor ingreso operacional en los últimos cinco (5) años, </w:t>
      </w:r>
      <w:r>
        <w:rPr>
          <w:rFonts w:ascii="Arial" w:hAnsi="Arial" w:cs="Arial"/>
          <w:bCs/>
          <w:color w:val="000000" w:themeColor="text1"/>
          <w:sz w:val="22"/>
        </w:rPr>
        <w:t xml:space="preserve">debe estar </w:t>
      </w:r>
      <w:r w:rsidRPr="00631221">
        <w:rPr>
          <w:rFonts w:ascii="Arial" w:hAnsi="Arial" w:cs="Arial"/>
          <w:bCs/>
          <w:color w:val="000000" w:themeColor="text1"/>
          <w:sz w:val="22"/>
        </w:rPr>
        <w:t>debidamente firmado por el representante legal, contador y revisor fiscal y/o contador independiente (externo), si están obligados a tenerlos.</w:t>
      </w:r>
      <w:r w:rsidR="005833EC">
        <w:rPr>
          <w:rFonts w:ascii="Arial" w:hAnsi="Arial" w:cs="Arial"/>
          <w:bCs/>
          <w:color w:val="000000" w:themeColor="text1"/>
          <w:sz w:val="22"/>
        </w:rPr>
        <w:t xml:space="preserve"> </w:t>
      </w:r>
      <w:r w:rsidR="00E90DCB">
        <w:rPr>
          <w:rFonts w:ascii="Arial" w:hAnsi="Arial" w:cs="Arial"/>
          <w:bCs/>
          <w:color w:val="000000" w:themeColor="text1"/>
          <w:sz w:val="22"/>
        </w:rPr>
        <w:t>Lo anterior, por cuanto</w:t>
      </w:r>
      <w:r w:rsidR="005833EC">
        <w:rPr>
          <w:rFonts w:ascii="Arial" w:hAnsi="Arial" w:cs="Arial"/>
          <w:bCs/>
          <w:color w:val="000000" w:themeColor="text1"/>
          <w:sz w:val="22"/>
        </w:rPr>
        <w:t xml:space="preserve"> el artículo </w:t>
      </w:r>
      <w:r w:rsidR="005833EC" w:rsidRPr="00C96FC4">
        <w:rPr>
          <w:rFonts w:ascii="Arial" w:hAnsi="Arial" w:cs="Arial"/>
          <w:bCs/>
          <w:color w:val="000000" w:themeColor="text1"/>
          <w:sz w:val="22"/>
        </w:rPr>
        <w:t>2.2.1.1.1.6.4.</w:t>
      </w:r>
      <w:r w:rsidR="005833EC">
        <w:rPr>
          <w:rFonts w:ascii="Arial" w:hAnsi="Arial" w:cs="Arial"/>
          <w:bCs/>
          <w:color w:val="000000" w:themeColor="text1"/>
          <w:sz w:val="22"/>
        </w:rPr>
        <w:t xml:space="preserve"> del Decreto 1082 de 2015 establece que «</w:t>
      </w:r>
      <w:r w:rsidR="005833EC" w:rsidRPr="00CB4581">
        <w:rPr>
          <w:rFonts w:ascii="Arial" w:hAnsi="Arial" w:cs="Arial"/>
          <w:bCs/>
          <w:color w:val="000000" w:themeColor="text1"/>
          <w:sz w:val="22"/>
        </w:rPr>
        <w:t xml:space="preserve">Los estados financieros deben estar suscritos por el interesado o su representante legal </w:t>
      </w:r>
      <w:r w:rsidR="005833EC" w:rsidRPr="008D2AF3">
        <w:rPr>
          <w:rFonts w:ascii="Arial" w:hAnsi="Arial" w:cs="Arial"/>
          <w:bCs/>
          <w:i/>
          <w:iCs/>
          <w:color w:val="000000" w:themeColor="text1"/>
          <w:sz w:val="22"/>
        </w:rPr>
        <w:t>y el revisor fiscal si está obligado a tenerlo, o el auditor o contador si no está obligado a tener revisor fiscal</w:t>
      </w:r>
      <w:r w:rsidR="005833EC">
        <w:rPr>
          <w:rFonts w:ascii="Arial" w:hAnsi="Arial" w:cs="Arial"/>
          <w:bCs/>
          <w:color w:val="000000" w:themeColor="text1"/>
          <w:sz w:val="22"/>
        </w:rPr>
        <w:t xml:space="preserve">» (cursiva fuera de texto), como parte de la documentación que debe aportarse para </w:t>
      </w:r>
      <w:r w:rsidR="005833EC" w:rsidRPr="008D2AF3">
        <w:rPr>
          <w:rFonts w:ascii="Arial" w:hAnsi="Arial" w:cs="Arial"/>
          <w:bCs/>
          <w:color w:val="000000" w:themeColor="text1"/>
          <w:sz w:val="22"/>
        </w:rPr>
        <w:t xml:space="preserve">acreditar </w:t>
      </w:r>
      <w:r w:rsidR="00441BD1">
        <w:rPr>
          <w:rFonts w:ascii="Arial" w:hAnsi="Arial" w:cs="Arial"/>
          <w:bCs/>
          <w:color w:val="000000" w:themeColor="text1"/>
          <w:sz w:val="22"/>
        </w:rPr>
        <w:t>la</w:t>
      </w:r>
      <w:r w:rsidR="005833EC" w:rsidRPr="008D2AF3">
        <w:rPr>
          <w:rFonts w:ascii="Arial" w:hAnsi="Arial" w:cs="Arial"/>
          <w:bCs/>
          <w:color w:val="000000" w:themeColor="text1"/>
          <w:sz w:val="22"/>
        </w:rPr>
        <w:t xml:space="preserve"> Capacidad Residual o K de Contratación</w:t>
      </w:r>
      <w:r w:rsidR="005833EC" w:rsidRPr="00CB4581">
        <w:rPr>
          <w:rFonts w:ascii="Arial" w:hAnsi="Arial" w:cs="Arial"/>
          <w:bCs/>
          <w:color w:val="000000" w:themeColor="text1"/>
          <w:sz w:val="22"/>
        </w:rPr>
        <w:t>.</w:t>
      </w:r>
      <w:r w:rsidR="005833EC">
        <w:rPr>
          <w:rFonts w:ascii="Arial" w:hAnsi="Arial" w:cs="Arial"/>
          <w:bCs/>
          <w:color w:val="000000" w:themeColor="text1"/>
          <w:sz w:val="22"/>
        </w:rPr>
        <w:t xml:space="preserve"> En consecuencia, lo que hace actualmente el numeral 3.10.2 de los Documentos Tipo de Licitación de Obra Pública de Infraestructura de Transporte, Versión 3, es confirmar lo que establece la precitada disposición reglamentaria. </w:t>
      </w:r>
      <w:r w:rsidR="005842A0">
        <w:rPr>
          <w:rFonts w:ascii="Arial" w:hAnsi="Arial" w:cs="Arial"/>
          <w:bCs/>
          <w:color w:val="000000" w:themeColor="text1"/>
          <w:sz w:val="22"/>
        </w:rPr>
        <w:t>De esta se desprende</w:t>
      </w:r>
      <w:r w:rsidR="005833EC">
        <w:rPr>
          <w:rFonts w:ascii="Arial" w:hAnsi="Arial" w:cs="Arial"/>
          <w:bCs/>
          <w:color w:val="000000" w:themeColor="text1"/>
          <w:sz w:val="22"/>
        </w:rPr>
        <w:t xml:space="preserve"> la obligatoriedad de que los estados financieros estén suscritos «[…] </w:t>
      </w:r>
      <w:r w:rsidR="005833EC" w:rsidRPr="006544B1">
        <w:rPr>
          <w:rFonts w:ascii="Arial" w:hAnsi="Arial" w:cs="Arial"/>
          <w:bCs/>
          <w:color w:val="000000" w:themeColor="text1"/>
          <w:sz w:val="22"/>
        </w:rPr>
        <w:t>por el interesado o su representante legal y el revisor fiscal si está obligado a tenerlo, o el auditor o contador si no está obligado a tener revisor fiscal</w:t>
      </w:r>
      <w:r w:rsidR="005833EC">
        <w:rPr>
          <w:rFonts w:ascii="Arial" w:hAnsi="Arial" w:cs="Arial"/>
          <w:bCs/>
          <w:color w:val="000000" w:themeColor="text1"/>
          <w:sz w:val="22"/>
        </w:rPr>
        <w:t xml:space="preserve">». Por lo tanto, la remisión efectuada en el numeral 3.10.2, literal A, subnumeral II, del documento base, al artículo 37 de la Ley 222 de 1995 debe entenderse en armonía con lo que también dispone el artículo </w:t>
      </w:r>
      <w:r w:rsidR="005833EC" w:rsidRPr="00C96FC4">
        <w:rPr>
          <w:rFonts w:ascii="Arial" w:hAnsi="Arial" w:cs="Arial"/>
          <w:bCs/>
          <w:color w:val="000000" w:themeColor="text1"/>
          <w:sz w:val="22"/>
        </w:rPr>
        <w:t>2.2.1.1.1.6.4.</w:t>
      </w:r>
      <w:r w:rsidR="005833EC">
        <w:rPr>
          <w:rFonts w:ascii="Arial" w:hAnsi="Arial" w:cs="Arial"/>
          <w:bCs/>
          <w:color w:val="000000" w:themeColor="text1"/>
          <w:sz w:val="22"/>
        </w:rPr>
        <w:t xml:space="preserve"> del Decreto 1082 de 2015, enunciado normativo que hace parte del sistema de compras y contratación pública.  </w:t>
      </w:r>
    </w:p>
    <w:p w14:paraId="71AFCF23" w14:textId="5ED1B254" w:rsidR="00F66349" w:rsidRDefault="00F66349" w:rsidP="00F66349">
      <w:pPr>
        <w:tabs>
          <w:tab w:val="left" w:pos="6663"/>
        </w:tabs>
        <w:spacing w:before="120" w:line="276" w:lineRule="auto"/>
        <w:ind w:firstLine="708"/>
        <w:jc w:val="both"/>
        <w:rPr>
          <w:rFonts w:ascii="Arial" w:hAnsi="Arial" w:cs="Arial"/>
          <w:color w:val="000000" w:themeColor="text1"/>
          <w:sz w:val="22"/>
        </w:rPr>
      </w:pPr>
      <w:r w:rsidRPr="00E30DF1">
        <w:rPr>
          <w:rFonts w:ascii="Arial" w:hAnsi="Arial" w:cs="Arial"/>
          <w:color w:val="000000" w:themeColor="text1"/>
          <w:sz w:val="22"/>
        </w:rPr>
        <w:t xml:space="preserve">De acuerdo con lo señalado anteriormente, y teniendo en cuenta el contenido de los documentos tipo de licitación de obra pública de infraestructura de transporte – </w:t>
      </w:r>
      <w:r w:rsidRPr="00E30DF1">
        <w:rPr>
          <w:rFonts w:ascii="Arial" w:hAnsi="Arial" w:cs="Arial"/>
          <w:i/>
          <w:iCs/>
          <w:color w:val="000000" w:themeColor="text1"/>
          <w:sz w:val="22"/>
        </w:rPr>
        <w:t>versión 3</w:t>
      </w:r>
      <w:r w:rsidRPr="00E30DF1">
        <w:rPr>
          <w:rFonts w:ascii="Arial" w:hAnsi="Arial" w:cs="Arial"/>
          <w:color w:val="000000" w:themeColor="text1"/>
          <w:sz w:val="22"/>
        </w:rPr>
        <w:t xml:space="preserve">,  para acreditar la capacidad organizacional </w:t>
      </w:r>
      <w:r>
        <w:rPr>
          <w:rFonts w:ascii="Arial" w:hAnsi="Arial" w:cs="Arial"/>
          <w:color w:val="000000" w:themeColor="text1"/>
          <w:sz w:val="22"/>
        </w:rPr>
        <w:t xml:space="preserve">de los proponentes que cuentan con RUP </w:t>
      </w:r>
      <w:r w:rsidRPr="00E30DF1">
        <w:rPr>
          <w:rFonts w:ascii="Arial" w:hAnsi="Arial" w:cs="Arial"/>
          <w:color w:val="000000" w:themeColor="text1"/>
          <w:sz w:val="22"/>
        </w:rPr>
        <w:t xml:space="preserve">solo se requiere aportar el estado de resultados del año en que el proponente obtuvo mayor ingreso operacional </w:t>
      </w:r>
      <w:r>
        <w:rPr>
          <w:rFonts w:ascii="Arial" w:hAnsi="Arial" w:cs="Arial"/>
          <w:color w:val="000000" w:themeColor="text1"/>
          <w:sz w:val="22"/>
        </w:rPr>
        <w:t xml:space="preserve">en los últimos 5 años </w:t>
      </w:r>
      <w:r w:rsidRPr="00E30DF1">
        <w:rPr>
          <w:rFonts w:ascii="Arial" w:hAnsi="Arial" w:cs="Arial"/>
          <w:sz w:val="22"/>
        </w:rPr>
        <w:t>debidamente firmado por el representante legal, contador y revisor fiscal y/o contador independiente (externo), si están obligados a tenerlos</w:t>
      </w:r>
      <w:r w:rsidRPr="00E30DF1">
        <w:rPr>
          <w:rFonts w:ascii="Arial" w:hAnsi="Arial" w:cs="Arial"/>
          <w:color w:val="000000" w:themeColor="text1"/>
          <w:sz w:val="22"/>
        </w:rPr>
        <w:t xml:space="preserve">, y la copia de la tarjeta profesional y certificado de antecedentes disciplinarios vigentes de los contadores públicos, revisores fiscales, contadores independientes (externos), quienes suscribieron dichos documentos, de conformidad con el artículo 37 de la Ley 222 de 1995, sin que </w:t>
      </w:r>
      <w:r w:rsidR="004C2A33">
        <w:rPr>
          <w:rFonts w:ascii="Arial" w:hAnsi="Arial" w:cs="Arial"/>
          <w:color w:val="000000" w:themeColor="text1"/>
          <w:sz w:val="22"/>
        </w:rPr>
        <w:t>se</w:t>
      </w:r>
      <w:r w:rsidRPr="00E30DF1">
        <w:rPr>
          <w:rFonts w:ascii="Arial" w:hAnsi="Arial" w:cs="Arial"/>
          <w:color w:val="000000" w:themeColor="text1"/>
          <w:sz w:val="22"/>
        </w:rPr>
        <w:t xml:space="preserve"> exija el dictamen del estado de resultados señalado en el artículo 38 de la Ley 122 de 1995, por lo </w:t>
      </w:r>
      <w:r w:rsidRPr="00E56801">
        <w:rPr>
          <w:rFonts w:ascii="Arial" w:hAnsi="Arial" w:cs="Arial"/>
          <w:color w:val="000000" w:themeColor="text1"/>
          <w:sz w:val="22"/>
        </w:rPr>
        <w:t>que el requisito se acredita en los términos establecidos en los documentos tipo.</w:t>
      </w:r>
    </w:p>
    <w:p w14:paraId="2DDB4266" w14:textId="77777777" w:rsidR="00B25703" w:rsidRPr="005833EC" w:rsidRDefault="00B25703" w:rsidP="00DF76A2">
      <w:pPr>
        <w:spacing w:line="276" w:lineRule="auto"/>
        <w:jc w:val="both"/>
        <w:rPr>
          <w:rFonts w:ascii="Arial" w:hAnsi="Arial" w:cs="Arial"/>
          <w:color w:val="000000" w:themeColor="text1"/>
          <w:sz w:val="22"/>
        </w:rPr>
      </w:pPr>
    </w:p>
    <w:p w14:paraId="7B2C921D" w14:textId="6360A462" w:rsidR="00DD5B04" w:rsidRPr="008918A2" w:rsidRDefault="00DD5B04" w:rsidP="00DF76A2">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918A2">
        <w:rPr>
          <w:rFonts w:ascii="Arial" w:hAnsi="Arial" w:cs="Arial"/>
          <w:color w:val="000000" w:themeColor="text1"/>
          <w:sz w:val="22"/>
          <w:szCs w:val="22"/>
          <w:lang w:val="es-ES_tradnl"/>
        </w:rPr>
        <w:t>Atentamente,</w:t>
      </w:r>
    </w:p>
    <w:p w14:paraId="692FC307" w14:textId="210AA6B5" w:rsidR="00921304" w:rsidRPr="008918A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DCEE8DF" w:rsidR="00921304" w:rsidRPr="008918A2" w:rsidRDefault="009B0BF8"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lastRenderedPageBreak/>
        <w:drawing>
          <wp:inline distT="0" distB="0" distL="0" distR="0" wp14:anchorId="05C8BEE8" wp14:editId="0150828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8918A2" w:rsidRDefault="00425C43" w:rsidP="00B37657">
      <w:pPr>
        <w:jc w:val="center"/>
        <w:rPr>
          <w:rFonts w:ascii="Arial" w:hAnsi="Arial" w:cs="Arial"/>
          <w:color w:val="000000" w:themeColor="text1"/>
          <w:sz w:val="18"/>
          <w:szCs w:val="20"/>
          <w:lang w:val="es-ES_tradnl" w:eastAsia="es-CO"/>
        </w:rPr>
      </w:pPr>
    </w:p>
    <w:p w14:paraId="49730030" w14:textId="217D35F3" w:rsidR="00DD5B04" w:rsidRPr="008918A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918A2" w14:paraId="0C7DC5F7" w14:textId="77777777" w:rsidTr="008F4163">
        <w:trPr>
          <w:trHeight w:val="315"/>
        </w:trPr>
        <w:tc>
          <w:tcPr>
            <w:tcW w:w="812" w:type="dxa"/>
            <w:vAlign w:val="center"/>
            <w:hideMark/>
          </w:tcPr>
          <w:p w14:paraId="5BDB1AC9"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Cristian Andrés Díaz Díez</w:t>
            </w:r>
          </w:p>
          <w:p w14:paraId="240C71FD" w14:textId="31312C95"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Contratista</w:t>
            </w:r>
            <w:r w:rsidR="00FF0050" w:rsidRPr="008918A2">
              <w:rPr>
                <w:rFonts w:ascii="Arial" w:hAnsi="Arial" w:cs="Arial"/>
                <w:color w:val="000000" w:themeColor="text1"/>
                <w:sz w:val="16"/>
                <w:szCs w:val="16"/>
                <w:lang w:val="es-ES_tradnl" w:eastAsia="es-ES"/>
              </w:rPr>
              <w:t xml:space="preserve"> de la </w:t>
            </w:r>
            <w:r w:rsidRPr="008918A2">
              <w:rPr>
                <w:rFonts w:ascii="Arial" w:hAnsi="Arial" w:cs="Arial"/>
                <w:color w:val="000000" w:themeColor="text1"/>
                <w:sz w:val="16"/>
                <w:szCs w:val="16"/>
                <w:lang w:val="es-ES_tradnl" w:eastAsia="es-ES"/>
              </w:rPr>
              <w:t>Subdirección de Gestión Contractual</w:t>
            </w:r>
          </w:p>
        </w:tc>
      </w:tr>
      <w:tr w:rsidR="00DD5B04" w:rsidRPr="008918A2" w14:paraId="2F8FD650" w14:textId="77777777" w:rsidTr="008F4163">
        <w:trPr>
          <w:trHeight w:val="330"/>
        </w:trPr>
        <w:tc>
          <w:tcPr>
            <w:tcW w:w="812" w:type="dxa"/>
            <w:vAlign w:val="center"/>
            <w:hideMark/>
          </w:tcPr>
          <w:p w14:paraId="50203A0B"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604E20" w14:textId="77777777" w:rsidR="0060304F" w:rsidRPr="008918A2" w:rsidRDefault="0060304F" w:rsidP="0060304F">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Jorge Augusto Tirado Navarro</w:t>
            </w:r>
          </w:p>
          <w:p w14:paraId="130B3228" w14:textId="44A2086E" w:rsidR="00DD5B04" w:rsidRPr="008918A2" w:rsidRDefault="0060304F" w:rsidP="0060304F">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Subdirector de Gestión Contractual</w:t>
            </w:r>
          </w:p>
        </w:tc>
      </w:tr>
      <w:tr w:rsidR="00DD5B04" w:rsidRPr="008918A2" w14:paraId="0FCBCA4A" w14:textId="77777777" w:rsidTr="008F4163">
        <w:trPr>
          <w:trHeight w:val="300"/>
        </w:trPr>
        <w:tc>
          <w:tcPr>
            <w:tcW w:w="812" w:type="dxa"/>
            <w:vAlign w:val="center"/>
            <w:hideMark/>
          </w:tcPr>
          <w:p w14:paraId="3C1D943A"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918A2" w:rsidRDefault="00C05A61"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 xml:space="preserve">Jorge </w:t>
            </w:r>
            <w:r w:rsidR="00647A36" w:rsidRPr="008918A2">
              <w:rPr>
                <w:rFonts w:ascii="Arial" w:hAnsi="Arial" w:cs="Arial"/>
                <w:color w:val="000000" w:themeColor="text1"/>
                <w:sz w:val="16"/>
                <w:szCs w:val="16"/>
                <w:lang w:val="es-ES_tradnl" w:eastAsia="es-ES"/>
              </w:rPr>
              <w:t xml:space="preserve">Augusto </w:t>
            </w:r>
            <w:r w:rsidRPr="008918A2">
              <w:rPr>
                <w:rFonts w:ascii="Arial" w:hAnsi="Arial" w:cs="Arial"/>
                <w:color w:val="000000" w:themeColor="text1"/>
                <w:sz w:val="16"/>
                <w:szCs w:val="16"/>
                <w:lang w:val="es-ES_tradnl" w:eastAsia="es-ES"/>
              </w:rPr>
              <w:t>Tirado Navarro</w:t>
            </w:r>
          </w:p>
          <w:p w14:paraId="1ADC483B" w14:textId="77CBA2AF"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Subdirector de Gestión Contractual</w:t>
            </w:r>
          </w:p>
        </w:tc>
      </w:tr>
    </w:tbl>
    <w:p w14:paraId="35B56F46" w14:textId="77777777" w:rsidR="00746E08" w:rsidRPr="008918A2" w:rsidRDefault="00746E08" w:rsidP="00215B8E">
      <w:pPr>
        <w:jc w:val="both"/>
        <w:rPr>
          <w:rFonts w:ascii="Arial" w:hAnsi="Arial" w:cs="Arial"/>
          <w:lang w:val="es-ES_tradnl"/>
        </w:rPr>
      </w:pPr>
    </w:p>
    <w:sectPr w:rsidR="00746E08" w:rsidRPr="008918A2"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779152" w14:textId="77777777" w:rsidR="00DF38E2" w:rsidRDefault="00DF38E2">
      <w:r>
        <w:separator/>
      </w:r>
    </w:p>
  </w:endnote>
  <w:endnote w:type="continuationSeparator" w:id="0">
    <w:p w14:paraId="3DE78552" w14:textId="77777777" w:rsidR="00DF38E2" w:rsidRDefault="00DF38E2">
      <w:r>
        <w:continuationSeparator/>
      </w:r>
    </w:p>
  </w:endnote>
  <w:endnote w:type="continuationNotice" w:id="1">
    <w:p w14:paraId="71A1F3F5" w14:textId="77777777" w:rsidR="00DF38E2" w:rsidRDefault="00DF38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AF32A8" w14:textId="77777777" w:rsidR="00DF38E2" w:rsidRDefault="00DF38E2">
      <w:r>
        <w:separator/>
      </w:r>
    </w:p>
  </w:footnote>
  <w:footnote w:type="continuationSeparator" w:id="0">
    <w:p w14:paraId="2C7FB422" w14:textId="77777777" w:rsidR="00DF38E2" w:rsidRDefault="00DF38E2">
      <w:r>
        <w:continuationSeparator/>
      </w:r>
    </w:p>
  </w:footnote>
  <w:footnote w:type="continuationNotice" w:id="1">
    <w:p w14:paraId="1DB91278" w14:textId="77777777" w:rsidR="00DF38E2" w:rsidRDefault="00DF38E2"/>
  </w:footnote>
  <w:footnote w:id="2">
    <w:p w14:paraId="4D80C016" w14:textId="77777777" w:rsidR="00C64A66" w:rsidRPr="00040F03" w:rsidRDefault="00C64A66" w:rsidP="00C64A66">
      <w:pPr>
        <w:pStyle w:val="Textonotapie"/>
        <w:ind w:firstLine="708"/>
        <w:jc w:val="both"/>
        <w:rPr>
          <w:rFonts w:ascii="Arial" w:hAnsi="Arial" w:cs="Arial"/>
          <w:color w:val="000000" w:themeColor="text1"/>
          <w:sz w:val="19"/>
          <w:szCs w:val="19"/>
          <w:lang w:val="es-CO"/>
        </w:rPr>
      </w:pPr>
      <w:r w:rsidRPr="00040F03">
        <w:rPr>
          <w:rFonts w:ascii="Arial" w:eastAsia="Calibri" w:hAnsi="Arial" w:cs="Arial"/>
          <w:color w:val="000000" w:themeColor="text1"/>
          <w:sz w:val="19"/>
          <w:szCs w:val="19"/>
          <w:vertAlign w:val="superscript"/>
        </w:rPr>
        <w:footnoteRef/>
      </w:r>
      <w:r w:rsidRPr="00040F03">
        <w:rPr>
          <w:rFonts w:ascii="Arial" w:eastAsia="Calibri" w:hAnsi="Arial" w:cs="Arial"/>
          <w:color w:val="000000" w:themeColor="text1"/>
          <w:sz w:val="19"/>
          <w:szCs w:val="19"/>
          <w:vertAlign w:val="superscript"/>
        </w:rPr>
        <w:t xml:space="preserve"> </w:t>
      </w:r>
      <w:r w:rsidRPr="00040F0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5F55ED06" w14:textId="77777777" w:rsidR="00C64A66" w:rsidRPr="00040F03" w:rsidRDefault="00C64A66" w:rsidP="00C64A66">
      <w:pPr>
        <w:pStyle w:val="Textonotapie"/>
        <w:ind w:firstLine="709"/>
        <w:jc w:val="both"/>
        <w:rPr>
          <w:rFonts w:ascii="Arial" w:hAnsi="Arial" w:cs="Arial"/>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Sociedad Colombiana de Ingenieros. Concepto técnico. Capacidad de Contratación Para Constructores. Febrero 2014. </w:t>
      </w:r>
    </w:p>
    <w:p w14:paraId="7E72E1A2" w14:textId="77777777" w:rsidR="00C64A66" w:rsidRPr="00040F03" w:rsidRDefault="00C64A66" w:rsidP="00C64A66">
      <w:pPr>
        <w:pStyle w:val="Textonotapie"/>
        <w:ind w:firstLine="709"/>
        <w:jc w:val="both"/>
        <w:rPr>
          <w:rFonts w:ascii="Arial" w:hAnsi="Arial" w:cs="Arial"/>
          <w:sz w:val="19"/>
          <w:szCs w:val="19"/>
          <w:lang w:val="es-CO"/>
        </w:rPr>
      </w:pPr>
    </w:p>
  </w:footnote>
  <w:footnote w:id="4">
    <w:p w14:paraId="1846F79E" w14:textId="77777777" w:rsidR="00C64A66" w:rsidRPr="00040F03" w:rsidRDefault="00C64A66" w:rsidP="00C64A66">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1 mediante los Documentos Tipo - Versión 2 y derogó la Resolución No. 1798 de 2019.</w:t>
      </w:r>
    </w:p>
  </w:footnote>
  <w:footnote w:id="5">
    <w:p w14:paraId="7596344C" w14:textId="77777777" w:rsidR="00C64A66" w:rsidRPr="00040F03" w:rsidRDefault="00C64A66" w:rsidP="00C64A66">
      <w:pPr>
        <w:pStyle w:val="Textonotapie"/>
        <w:ind w:firstLine="708"/>
        <w:jc w:val="both"/>
        <w:rPr>
          <w:rFonts w:ascii="Arial" w:hAnsi="Arial" w:cs="Arial"/>
          <w:sz w:val="19"/>
          <w:szCs w:val="19"/>
        </w:rPr>
      </w:pPr>
    </w:p>
    <w:p w14:paraId="1E6147E4" w14:textId="77777777" w:rsidR="00C64A66" w:rsidRPr="00040F03" w:rsidRDefault="00C64A66" w:rsidP="00C64A66">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2 mediante los Documentos Tipo - Versión 3 y derogó la Resolución No. 045 de 2020.</w:t>
      </w:r>
    </w:p>
  </w:footnote>
  <w:footnote w:id="6">
    <w:p w14:paraId="150FA81C" w14:textId="77777777" w:rsidR="00C64A66" w:rsidRPr="00040F03" w:rsidRDefault="00C64A66" w:rsidP="00C64A66">
      <w:pPr>
        <w:pStyle w:val="Textonotapie"/>
        <w:ind w:firstLine="708"/>
        <w:jc w:val="both"/>
        <w:rPr>
          <w:rFonts w:ascii="Arial" w:hAnsi="Arial" w:cs="Arial"/>
          <w:sz w:val="19"/>
          <w:szCs w:val="19"/>
        </w:rPr>
      </w:pPr>
    </w:p>
    <w:p w14:paraId="14B0E914" w14:textId="77777777" w:rsidR="00C64A66" w:rsidRDefault="00C64A66" w:rsidP="00C64A66">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4.</w:t>
      </w:r>
    </w:p>
    <w:p w14:paraId="61EA72DD" w14:textId="77777777" w:rsidR="00C64A66" w:rsidRPr="00040F03" w:rsidRDefault="00C64A66" w:rsidP="00C64A66">
      <w:pPr>
        <w:pStyle w:val="Textonotapie"/>
        <w:ind w:firstLine="708"/>
        <w:jc w:val="both"/>
        <w:rPr>
          <w:rFonts w:ascii="Arial" w:hAnsi="Arial" w:cs="Arial"/>
          <w:sz w:val="19"/>
          <w:szCs w:val="19"/>
          <w:lang w:val="es-ES"/>
        </w:rPr>
      </w:pPr>
    </w:p>
  </w:footnote>
  <w:footnote w:id="7">
    <w:p w14:paraId="7A4576E0" w14:textId="77777777" w:rsidR="00C64A66" w:rsidRPr="00040F03" w:rsidRDefault="00C64A66" w:rsidP="00C64A66">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5.</w:t>
      </w:r>
    </w:p>
    <w:p w14:paraId="55EE7379" w14:textId="77777777" w:rsidR="00C64A66" w:rsidRPr="00040F03" w:rsidRDefault="00C64A66" w:rsidP="00C64A66">
      <w:pPr>
        <w:pStyle w:val="Textonotapie"/>
        <w:jc w:val="both"/>
        <w:rPr>
          <w:rFonts w:ascii="Arial" w:hAnsi="Arial" w:cs="Arial"/>
          <w:sz w:val="19"/>
          <w:szCs w:val="19"/>
          <w:lang w:val="es-ES"/>
        </w:rPr>
      </w:pPr>
    </w:p>
  </w:footnote>
  <w:footnote w:id="8">
    <w:p w14:paraId="37D0CBCA" w14:textId="77777777" w:rsidR="00C64A66" w:rsidRPr="00040F03" w:rsidRDefault="00C64A66" w:rsidP="00C64A66">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6026CE43" w14:textId="77777777" w:rsidR="00C64A66" w:rsidRPr="00040F03" w:rsidRDefault="00C64A66" w:rsidP="00C64A66">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BC3BDED" w14:textId="77777777" w:rsidR="00C64A66" w:rsidRPr="00040F03" w:rsidRDefault="00C64A66" w:rsidP="00C64A66">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2F5A01EB" w14:textId="77777777" w:rsidR="00C64A66" w:rsidRPr="00040F03" w:rsidRDefault="00C64A66" w:rsidP="00C64A66">
      <w:pPr>
        <w:shd w:val="clear" w:color="auto" w:fill="FFFFFF"/>
        <w:ind w:firstLine="708"/>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2B085F87" w14:textId="77777777" w:rsidR="00C64A66" w:rsidRPr="00040F03" w:rsidRDefault="00C64A66" w:rsidP="00C64A66">
      <w:pPr>
        <w:shd w:val="clear" w:color="auto" w:fill="FFFFFF"/>
        <w:ind w:firstLine="708"/>
        <w:jc w:val="both"/>
        <w:rPr>
          <w:rFonts w:ascii="Arial" w:eastAsia="Calibri" w:hAnsi="Arial" w:cs="Arial"/>
          <w:color w:val="000000" w:themeColor="text1"/>
          <w:sz w:val="19"/>
          <w:szCs w:val="19"/>
        </w:rPr>
      </w:pPr>
    </w:p>
  </w:footnote>
  <w:footnote w:id="9">
    <w:p w14:paraId="7B4578A2" w14:textId="77777777" w:rsidR="00C64A66" w:rsidRPr="00040F03" w:rsidRDefault="00C64A66" w:rsidP="00C64A66">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De acuerdo con la Resolución 161 de 2021 por la cual se modifican los Documentos Tipo adoptados por la Agencia Nacional de Contratación Pública- Colombia Compra Eficiente.</w:t>
      </w:r>
    </w:p>
  </w:footnote>
  <w:footnote w:id="10">
    <w:p w14:paraId="3331E0B4" w14:textId="77777777" w:rsidR="00C64A66" w:rsidRPr="00040F03" w:rsidRDefault="00C64A66" w:rsidP="00C64A66">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1B862AFD" w14:textId="77777777" w:rsidR="00C64A66" w:rsidRPr="00040F03" w:rsidRDefault="00C64A66" w:rsidP="00C64A66">
      <w:pPr>
        <w:pStyle w:val="Textonotapie"/>
        <w:ind w:firstLine="708"/>
        <w:jc w:val="both"/>
        <w:rPr>
          <w:rFonts w:ascii="Arial" w:eastAsia="Calibri" w:hAnsi="Arial" w:cs="Arial"/>
          <w:color w:val="000000" w:themeColor="text1"/>
          <w:sz w:val="19"/>
          <w:szCs w:val="19"/>
        </w:rPr>
      </w:pPr>
    </w:p>
  </w:footnote>
  <w:footnote w:id="11">
    <w:p w14:paraId="052BFE56" w14:textId="77777777" w:rsidR="00C64A66" w:rsidRPr="00040F03" w:rsidRDefault="00C64A66" w:rsidP="00C64A66">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CORTE CONSTITUCIONAL. Sentencia C- 861 de 2008. M.P. Mauricio González Cuervo.</w:t>
      </w:r>
    </w:p>
  </w:footnote>
  <w:footnote w:id="12">
    <w:p w14:paraId="03C8D53B" w14:textId="77777777" w:rsidR="00C64A66" w:rsidRPr="00E30DF1" w:rsidRDefault="00C64A66" w:rsidP="00C64A66">
      <w:pPr>
        <w:pStyle w:val="Textonotapie"/>
        <w:ind w:firstLine="708"/>
        <w:jc w:val="both"/>
        <w:rPr>
          <w:rFonts w:ascii="Arial" w:hAnsi="Arial" w:cs="Arial"/>
          <w:sz w:val="19"/>
          <w:szCs w:val="19"/>
        </w:rPr>
      </w:pPr>
      <w:r w:rsidRPr="00E30DF1">
        <w:rPr>
          <w:rStyle w:val="Refdenotaalpie"/>
          <w:rFonts w:ascii="Arial" w:hAnsi="Arial" w:cs="Arial"/>
          <w:sz w:val="19"/>
          <w:szCs w:val="19"/>
        </w:rPr>
        <w:footnoteRef/>
      </w:r>
      <w:r w:rsidRPr="00E30DF1">
        <w:rPr>
          <w:rFonts w:ascii="Arial" w:hAnsi="Arial" w:cs="Arial"/>
          <w:sz w:val="19"/>
          <w:szCs w:val="19"/>
        </w:rPr>
        <w:t xml:space="preserve"> </w:t>
      </w:r>
      <w:r>
        <w:rPr>
          <w:rFonts w:ascii="Arial" w:hAnsi="Arial" w:cs="Arial"/>
          <w:sz w:val="19"/>
          <w:szCs w:val="19"/>
        </w:rPr>
        <w:t>Ley 2022 de 2020. «</w:t>
      </w:r>
      <w:r w:rsidRPr="00E30DF1">
        <w:rPr>
          <w:rFonts w:ascii="Arial" w:hAnsi="Arial" w:cs="Arial"/>
          <w:sz w:val="19"/>
          <w:szCs w:val="19"/>
        </w:rPr>
        <w:t>A</w:t>
      </w:r>
      <w:r>
        <w:rPr>
          <w:rFonts w:ascii="Arial" w:hAnsi="Arial" w:cs="Arial"/>
          <w:sz w:val="19"/>
          <w:szCs w:val="19"/>
        </w:rPr>
        <w:t>rtículo</w:t>
      </w:r>
      <w:r w:rsidRPr="00E30DF1">
        <w:rPr>
          <w:rFonts w:ascii="Arial" w:hAnsi="Arial" w:cs="Arial"/>
          <w:sz w:val="19"/>
          <w:szCs w:val="19"/>
        </w:rPr>
        <w:t xml:space="preserve"> 1o. Modifíquese el artículo 4o de la Ley 1882 de 2018, el cual quedará así:</w:t>
      </w:r>
    </w:p>
    <w:p w14:paraId="4AA8DD73" w14:textId="77777777" w:rsidR="00C64A66" w:rsidRPr="00E30DF1" w:rsidRDefault="00C64A66" w:rsidP="00C64A66">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Artículo 4o. Adiciónese el siguiente parágrafo al artículo 2o de la Ley 1150 de 2007.</w:t>
      </w:r>
    </w:p>
    <w:p w14:paraId="4B445447" w14:textId="77777777" w:rsidR="00C64A66" w:rsidRPr="00E30DF1" w:rsidRDefault="00C64A66" w:rsidP="00C64A66">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P</w:t>
      </w:r>
      <w:r w:rsidRPr="00040F03">
        <w:rPr>
          <w:rFonts w:ascii="Arial" w:hAnsi="Arial" w:cs="Arial"/>
          <w:sz w:val="19"/>
          <w:szCs w:val="19"/>
        </w:rPr>
        <w:t>arágrafo</w:t>
      </w:r>
      <w:r w:rsidRPr="00E30DF1">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761F6EC" w14:textId="77777777" w:rsidR="00C64A66" w:rsidRDefault="00C64A66" w:rsidP="00C64A66">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44A6805" w14:textId="77777777" w:rsidR="00C64A66" w:rsidRPr="00E30DF1" w:rsidRDefault="00C64A66" w:rsidP="00C64A66">
      <w:pPr>
        <w:pStyle w:val="Textonotapie"/>
        <w:ind w:firstLine="708"/>
        <w:jc w:val="both"/>
        <w:rPr>
          <w:rFonts w:ascii="Arial" w:hAnsi="Arial" w:cs="Arial"/>
          <w:sz w:val="19"/>
          <w:szCs w:val="19"/>
        </w:rPr>
      </w:pP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2"/>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7A2"/>
    <w:rsid w:val="000051AF"/>
    <w:rsid w:val="000059D3"/>
    <w:rsid w:val="00005B6D"/>
    <w:rsid w:val="0000600A"/>
    <w:rsid w:val="00006081"/>
    <w:rsid w:val="0000619E"/>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DAE"/>
    <w:rsid w:val="00024896"/>
    <w:rsid w:val="000255FA"/>
    <w:rsid w:val="000256F7"/>
    <w:rsid w:val="00025D0A"/>
    <w:rsid w:val="000263F0"/>
    <w:rsid w:val="00026407"/>
    <w:rsid w:val="00026608"/>
    <w:rsid w:val="00027787"/>
    <w:rsid w:val="000278D2"/>
    <w:rsid w:val="00030DFB"/>
    <w:rsid w:val="00031262"/>
    <w:rsid w:val="00031364"/>
    <w:rsid w:val="000315E1"/>
    <w:rsid w:val="0003236E"/>
    <w:rsid w:val="00032675"/>
    <w:rsid w:val="0003339A"/>
    <w:rsid w:val="000341F2"/>
    <w:rsid w:val="00035046"/>
    <w:rsid w:val="000351F2"/>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B71"/>
    <w:rsid w:val="00092CDB"/>
    <w:rsid w:val="00092DCA"/>
    <w:rsid w:val="000942EB"/>
    <w:rsid w:val="00095B70"/>
    <w:rsid w:val="0009617E"/>
    <w:rsid w:val="0009628D"/>
    <w:rsid w:val="0009670F"/>
    <w:rsid w:val="000979C5"/>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35A"/>
    <w:rsid w:val="000D17E1"/>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2B1"/>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3345"/>
    <w:rsid w:val="00103795"/>
    <w:rsid w:val="00103915"/>
    <w:rsid w:val="001039AA"/>
    <w:rsid w:val="00103EA0"/>
    <w:rsid w:val="00104149"/>
    <w:rsid w:val="00104F1C"/>
    <w:rsid w:val="001051E5"/>
    <w:rsid w:val="00105610"/>
    <w:rsid w:val="001058F2"/>
    <w:rsid w:val="00105A74"/>
    <w:rsid w:val="00105ACB"/>
    <w:rsid w:val="00105AEF"/>
    <w:rsid w:val="00105E5E"/>
    <w:rsid w:val="00106259"/>
    <w:rsid w:val="001068EB"/>
    <w:rsid w:val="00106CD1"/>
    <w:rsid w:val="00106F65"/>
    <w:rsid w:val="001078CE"/>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4B3"/>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7004"/>
    <w:rsid w:val="00127697"/>
    <w:rsid w:val="00127AF2"/>
    <w:rsid w:val="00127EDC"/>
    <w:rsid w:val="00127F42"/>
    <w:rsid w:val="00127F6D"/>
    <w:rsid w:val="00130355"/>
    <w:rsid w:val="00130365"/>
    <w:rsid w:val="001304E5"/>
    <w:rsid w:val="00131B5A"/>
    <w:rsid w:val="00132C30"/>
    <w:rsid w:val="00132EFD"/>
    <w:rsid w:val="00133AED"/>
    <w:rsid w:val="00134522"/>
    <w:rsid w:val="00134808"/>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AE6"/>
    <w:rsid w:val="00141DBF"/>
    <w:rsid w:val="00142EFD"/>
    <w:rsid w:val="00143330"/>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77840"/>
    <w:rsid w:val="001805C1"/>
    <w:rsid w:val="001806DE"/>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201F"/>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AA2"/>
    <w:rsid w:val="001B4ADE"/>
    <w:rsid w:val="001B5530"/>
    <w:rsid w:val="001B599D"/>
    <w:rsid w:val="001B5EF8"/>
    <w:rsid w:val="001B6C54"/>
    <w:rsid w:val="001B71E8"/>
    <w:rsid w:val="001B787E"/>
    <w:rsid w:val="001C07C6"/>
    <w:rsid w:val="001C120D"/>
    <w:rsid w:val="001C19CD"/>
    <w:rsid w:val="001C22D5"/>
    <w:rsid w:val="001C2515"/>
    <w:rsid w:val="001C26FB"/>
    <w:rsid w:val="001C33C1"/>
    <w:rsid w:val="001C3E30"/>
    <w:rsid w:val="001C3E34"/>
    <w:rsid w:val="001C3E5C"/>
    <w:rsid w:val="001C5072"/>
    <w:rsid w:val="001C5446"/>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F3"/>
    <w:rsid w:val="001D31A0"/>
    <w:rsid w:val="001D338E"/>
    <w:rsid w:val="001D51DD"/>
    <w:rsid w:val="001D56E9"/>
    <w:rsid w:val="001D639C"/>
    <w:rsid w:val="001D7616"/>
    <w:rsid w:val="001D796A"/>
    <w:rsid w:val="001D7A84"/>
    <w:rsid w:val="001D7BF1"/>
    <w:rsid w:val="001D7C79"/>
    <w:rsid w:val="001E003B"/>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2356"/>
    <w:rsid w:val="001F2A68"/>
    <w:rsid w:val="001F3744"/>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820"/>
    <w:rsid w:val="0021201A"/>
    <w:rsid w:val="00212545"/>
    <w:rsid w:val="002127DF"/>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197"/>
    <w:rsid w:val="002345B6"/>
    <w:rsid w:val="002347A6"/>
    <w:rsid w:val="00234B84"/>
    <w:rsid w:val="002355B1"/>
    <w:rsid w:val="00236016"/>
    <w:rsid w:val="00236963"/>
    <w:rsid w:val="00237065"/>
    <w:rsid w:val="00237589"/>
    <w:rsid w:val="0023758D"/>
    <w:rsid w:val="002375A7"/>
    <w:rsid w:val="00237EFF"/>
    <w:rsid w:val="00240171"/>
    <w:rsid w:val="0024019A"/>
    <w:rsid w:val="00240EC1"/>
    <w:rsid w:val="0024120F"/>
    <w:rsid w:val="002412BC"/>
    <w:rsid w:val="0024131D"/>
    <w:rsid w:val="002415B8"/>
    <w:rsid w:val="00242D5F"/>
    <w:rsid w:val="00242D62"/>
    <w:rsid w:val="002430D0"/>
    <w:rsid w:val="002431D7"/>
    <w:rsid w:val="00244058"/>
    <w:rsid w:val="00244861"/>
    <w:rsid w:val="002453E7"/>
    <w:rsid w:val="002455CD"/>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5F14"/>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71168"/>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19A1"/>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540"/>
    <w:rsid w:val="002B1F83"/>
    <w:rsid w:val="002B27C8"/>
    <w:rsid w:val="002B2A7F"/>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4E7"/>
    <w:rsid w:val="002C29EA"/>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4EAD"/>
    <w:rsid w:val="003251A8"/>
    <w:rsid w:val="003254B1"/>
    <w:rsid w:val="00325AD9"/>
    <w:rsid w:val="00325D98"/>
    <w:rsid w:val="0032682A"/>
    <w:rsid w:val="00327A5C"/>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35D"/>
    <w:rsid w:val="00344760"/>
    <w:rsid w:val="003454E8"/>
    <w:rsid w:val="00345574"/>
    <w:rsid w:val="003461AC"/>
    <w:rsid w:val="0034680A"/>
    <w:rsid w:val="00346C62"/>
    <w:rsid w:val="00347202"/>
    <w:rsid w:val="0034778E"/>
    <w:rsid w:val="00347A5A"/>
    <w:rsid w:val="003501E2"/>
    <w:rsid w:val="00351591"/>
    <w:rsid w:val="00351E10"/>
    <w:rsid w:val="00352583"/>
    <w:rsid w:val="003533F4"/>
    <w:rsid w:val="003536F6"/>
    <w:rsid w:val="00353C59"/>
    <w:rsid w:val="00353DA6"/>
    <w:rsid w:val="00353DD5"/>
    <w:rsid w:val="00355131"/>
    <w:rsid w:val="003555F9"/>
    <w:rsid w:val="00355F74"/>
    <w:rsid w:val="003560DB"/>
    <w:rsid w:val="003564DB"/>
    <w:rsid w:val="00356F87"/>
    <w:rsid w:val="00357E83"/>
    <w:rsid w:val="00360CF3"/>
    <w:rsid w:val="003616AB"/>
    <w:rsid w:val="0036194D"/>
    <w:rsid w:val="00361A59"/>
    <w:rsid w:val="00362B7D"/>
    <w:rsid w:val="00363348"/>
    <w:rsid w:val="00363857"/>
    <w:rsid w:val="00363D59"/>
    <w:rsid w:val="003640F7"/>
    <w:rsid w:val="0036594A"/>
    <w:rsid w:val="00365D3A"/>
    <w:rsid w:val="003664FF"/>
    <w:rsid w:val="00366BD2"/>
    <w:rsid w:val="003670B8"/>
    <w:rsid w:val="003704A3"/>
    <w:rsid w:val="003706F2"/>
    <w:rsid w:val="0037091B"/>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4DF1"/>
    <w:rsid w:val="00384FF3"/>
    <w:rsid w:val="00385FD2"/>
    <w:rsid w:val="00386456"/>
    <w:rsid w:val="003865A9"/>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07"/>
    <w:rsid w:val="003A39DD"/>
    <w:rsid w:val="003A40DB"/>
    <w:rsid w:val="003A4199"/>
    <w:rsid w:val="003A41C5"/>
    <w:rsid w:val="003A4841"/>
    <w:rsid w:val="003A4A8E"/>
    <w:rsid w:val="003A563C"/>
    <w:rsid w:val="003A581E"/>
    <w:rsid w:val="003A6160"/>
    <w:rsid w:val="003A65A5"/>
    <w:rsid w:val="003A72F5"/>
    <w:rsid w:val="003A78E5"/>
    <w:rsid w:val="003B0341"/>
    <w:rsid w:val="003B10C7"/>
    <w:rsid w:val="003B1961"/>
    <w:rsid w:val="003B1E57"/>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A3A"/>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4D7"/>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260C"/>
    <w:rsid w:val="0043269A"/>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BD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42D"/>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14A9"/>
    <w:rsid w:val="00461841"/>
    <w:rsid w:val="00461D5F"/>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A054C"/>
    <w:rsid w:val="004A08D1"/>
    <w:rsid w:val="004A156E"/>
    <w:rsid w:val="004A16C1"/>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C8E"/>
    <w:rsid w:val="004B50CB"/>
    <w:rsid w:val="004B578D"/>
    <w:rsid w:val="004B5BE7"/>
    <w:rsid w:val="004B5E2D"/>
    <w:rsid w:val="004B65BE"/>
    <w:rsid w:val="004B666E"/>
    <w:rsid w:val="004B6C07"/>
    <w:rsid w:val="004B74D3"/>
    <w:rsid w:val="004B755E"/>
    <w:rsid w:val="004B788E"/>
    <w:rsid w:val="004B7E5D"/>
    <w:rsid w:val="004C0E8C"/>
    <w:rsid w:val="004C22F7"/>
    <w:rsid w:val="004C2A33"/>
    <w:rsid w:val="004C2B27"/>
    <w:rsid w:val="004C3929"/>
    <w:rsid w:val="004C5212"/>
    <w:rsid w:val="004C5EF0"/>
    <w:rsid w:val="004C64C9"/>
    <w:rsid w:val="004C7226"/>
    <w:rsid w:val="004C74C9"/>
    <w:rsid w:val="004C7915"/>
    <w:rsid w:val="004C7D70"/>
    <w:rsid w:val="004D02F9"/>
    <w:rsid w:val="004D03FE"/>
    <w:rsid w:val="004D0438"/>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6F69"/>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D5D"/>
    <w:rsid w:val="004E6045"/>
    <w:rsid w:val="004E6F43"/>
    <w:rsid w:val="004E713E"/>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6A9"/>
    <w:rsid w:val="004F7AC9"/>
    <w:rsid w:val="0050062F"/>
    <w:rsid w:val="00500E74"/>
    <w:rsid w:val="0050160F"/>
    <w:rsid w:val="0050284E"/>
    <w:rsid w:val="0050306F"/>
    <w:rsid w:val="00503EA9"/>
    <w:rsid w:val="00503FC1"/>
    <w:rsid w:val="005052B0"/>
    <w:rsid w:val="00505DCB"/>
    <w:rsid w:val="00506800"/>
    <w:rsid w:val="005075CA"/>
    <w:rsid w:val="00507B06"/>
    <w:rsid w:val="00507BF1"/>
    <w:rsid w:val="0051074C"/>
    <w:rsid w:val="00510DE9"/>
    <w:rsid w:val="005111E2"/>
    <w:rsid w:val="00511231"/>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1F5F"/>
    <w:rsid w:val="005224E5"/>
    <w:rsid w:val="005226EE"/>
    <w:rsid w:val="00523903"/>
    <w:rsid w:val="005239B6"/>
    <w:rsid w:val="00523C4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26D"/>
    <w:rsid w:val="00554D57"/>
    <w:rsid w:val="00554F29"/>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6DE"/>
    <w:rsid w:val="00574708"/>
    <w:rsid w:val="00574D81"/>
    <w:rsid w:val="005756AA"/>
    <w:rsid w:val="0057696F"/>
    <w:rsid w:val="005774FE"/>
    <w:rsid w:val="0058040C"/>
    <w:rsid w:val="00580D6D"/>
    <w:rsid w:val="00580FD8"/>
    <w:rsid w:val="005813DE"/>
    <w:rsid w:val="00581796"/>
    <w:rsid w:val="00581B45"/>
    <w:rsid w:val="00582480"/>
    <w:rsid w:val="00582805"/>
    <w:rsid w:val="0058290E"/>
    <w:rsid w:val="00582CAB"/>
    <w:rsid w:val="00582FA6"/>
    <w:rsid w:val="005833EC"/>
    <w:rsid w:val="005836D5"/>
    <w:rsid w:val="0058375E"/>
    <w:rsid w:val="00584233"/>
    <w:rsid w:val="005842A0"/>
    <w:rsid w:val="005842D0"/>
    <w:rsid w:val="005845FB"/>
    <w:rsid w:val="005855AE"/>
    <w:rsid w:val="00585829"/>
    <w:rsid w:val="00585CA8"/>
    <w:rsid w:val="00585DC0"/>
    <w:rsid w:val="00586412"/>
    <w:rsid w:val="005864B9"/>
    <w:rsid w:val="005866C4"/>
    <w:rsid w:val="00590EDE"/>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94C"/>
    <w:rsid w:val="005A1976"/>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0BF"/>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4588"/>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8E0"/>
    <w:rsid w:val="005E1F1D"/>
    <w:rsid w:val="005E20FE"/>
    <w:rsid w:val="005E2423"/>
    <w:rsid w:val="005E273D"/>
    <w:rsid w:val="005E29AC"/>
    <w:rsid w:val="005E3278"/>
    <w:rsid w:val="005E363B"/>
    <w:rsid w:val="005E3736"/>
    <w:rsid w:val="005E3B29"/>
    <w:rsid w:val="005E4B72"/>
    <w:rsid w:val="005E52C9"/>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04F"/>
    <w:rsid w:val="006030B7"/>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221"/>
    <w:rsid w:val="0063161E"/>
    <w:rsid w:val="00631BB5"/>
    <w:rsid w:val="00631DCA"/>
    <w:rsid w:val="00631DD0"/>
    <w:rsid w:val="00632B46"/>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2126"/>
    <w:rsid w:val="00642A32"/>
    <w:rsid w:val="00642F7C"/>
    <w:rsid w:val="006433D5"/>
    <w:rsid w:val="00643412"/>
    <w:rsid w:val="00645CEB"/>
    <w:rsid w:val="00645E63"/>
    <w:rsid w:val="00645ED5"/>
    <w:rsid w:val="00646031"/>
    <w:rsid w:val="00646B20"/>
    <w:rsid w:val="00646D0F"/>
    <w:rsid w:val="00647A36"/>
    <w:rsid w:val="00647DCC"/>
    <w:rsid w:val="00647EFA"/>
    <w:rsid w:val="00647F14"/>
    <w:rsid w:val="00650027"/>
    <w:rsid w:val="00650E89"/>
    <w:rsid w:val="00651B9C"/>
    <w:rsid w:val="00651C47"/>
    <w:rsid w:val="00652E70"/>
    <w:rsid w:val="0065339A"/>
    <w:rsid w:val="00653469"/>
    <w:rsid w:val="0065443A"/>
    <w:rsid w:val="006544B1"/>
    <w:rsid w:val="00654A38"/>
    <w:rsid w:val="00655301"/>
    <w:rsid w:val="00655371"/>
    <w:rsid w:val="00655507"/>
    <w:rsid w:val="006564A5"/>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EBE"/>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D5B"/>
    <w:rsid w:val="006E597D"/>
    <w:rsid w:val="006E602F"/>
    <w:rsid w:val="006E6720"/>
    <w:rsid w:val="006E6EC5"/>
    <w:rsid w:val="006E7275"/>
    <w:rsid w:val="006E77B8"/>
    <w:rsid w:val="006E7AAF"/>
    <w:rsid w:val="006F06B8"/>
    <w:rsid w:val="006F0F74"/>
    <w:rsid w:val="006F13BA"/>
    <w:rsid w:val="006F15CC"/>
    <w:rsid w:val="006F15F6"/>
    <w:rsid w:val="006F36EA"/>
    <w:rsid w:val="006F4147"/>
    <w:rsid w:val="006F4315"/>
    <w:rsid w:val="006F4CB0"/>
    <w:rsid w:val="006F4F78"/>
    <w:rsid w:val="006F547E"/>
    <w:rsid w:val="006F5CCF"/>
    <w:rsid w:val="006F6F04"/>
    <w:rsid w:val="006F71F5"/>
    <w:rsid w:val="006F79DC"/>
    <w:rsid w:val="007000A6"/>
    <w:rsid w:val="00700610"/>
    <w:rsid w:val="0070138A"/>
    <w:rsid w:val="0070157E"/>
    <w:rsid w:val="00701D0B"/>
    <w:rsid w:val="007030D4"/>
    <w:rsid w:val="0070327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CD6"/>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566"/>
    <w:rsid w:val="007708A8"/>
    <w:rsid w:val="00771358"/>
    <w:rsid w:val="00772100"/>
    <w:rsid w:val="00772275"/>
    <w:rsid w:val="00772D59"/>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9A4"/>
    <w:rsid w:val="007A0EAB"/>
    <w:rsid w:val="007A2341"/>
    <w:rsid w:val="007A2754"/>
    <w:rsid w:val="007A38A1"/>
    <w:rsid w:val="007A3BBE"/>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FC"/>
    <w:rsid w:val="007E0812"/>
    <w:rsid w:val="007E0825"/>
    <w:rsid w:val="007E18DF"/>
    <w:rsid w:val="007E214A"/>
    <w:rsid w:val="007E238D"/>
    <w:rsid w:val="007E2C36"/>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20F"/>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C35"/>
    <w:rsid w:val="00807D96"/>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2FD"/>
    <w:rsid w:val="00821351"/>
    <w:rsid w:val="00821489"/>
    <w:rsid w:val="00821538"/>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1026"/>
    <w:rsid w:val="0083119B"/>
    <w:rsid w:val="00831BAE"/>
    <w:rsid w:val="00832216"/>
    <w:rsid w:val="00832513"/>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3742"/>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013"/>
    <w:rsid w:val="008A3F9D"/>
    <w:rsid w:val="008A43B0"/>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6D53"/>
    <w:rsid w:val="008C7EF7"/>
    <w:rsid w:val="008D0615"/>
    <w:rsid w:val="008D18AA"/>
    <w:rsid w:val="008D1A2A"/>
    <w:rsid w:val="008D1ADE"/>
    <w:rsid w:val="008D2AF3"/>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64D5"/>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6125"/>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C19"/>
    <w:rsid w:val="00964138"/>
    <w:rsid w:val="009648D6"/>
    <w:rsid w:val="00964B3F"/>
    <w:rsid w:val="00964C98"/>
    <w:rsid w:val="00971441"/>
    <w:rsid w:val="00971555"/>
    <w:rsid w:val="009715D4"/>
    <w:rsid w:val="0097179A"/>
    <w:rsid w:val="00971B0A"/>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2F0"/>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27C6"/>
    <w:rsid w:val="00992B5C"/>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0BF8"/>
    <w:rsid w:val="009B2374"/>
    <w:rsid w:val="009B2E29"/>
    <w:rsid w:val="009B3140"/>
    <w:rsid w:val="009B3163"/>
    <w:rsid w:val="009B422F"/>
    <w:rsid w:val="009B4620"/>
    <w:rsid w:val="009B46BC"/>
    <w:rsid w:val="009B4D1A"/>
    <w:rsid w:val="009B519D"/>
    <w:rsid w:val="009B558B"/>
    <w:rsid w:val="009B6D21"/>
    <w:rsid w:val="009B6E85"/>
    <w:rsid w:val="009B78ED"/>
    <w:rsid w:val="009C0E1B"/>
    <w:rsid w:val="009C12A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FDE"/>
    <w:rsid w:val="009C523F"/>
    <w:rsid w:val="009C52E2"/>
    <w:rsid w:val="009C56FF"/>
    <w:rsid w:val="009C5905"/>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70C"/>
    <w:rsid w:val="009F1BDF"/>
    <w:rsid w:val="009F1EAE"/>
    <w:rsid w:val="009F2848"/>
    <w:rsid w:val="009F369D"/>
    <w:rsid w:val="009F36FE"/>
    <w:rsid w:val="009F399F"/>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3C7"/>
    <w:rsid w:val="00A4566E"/>
    <w:rsid w:val="00A45F9B"/>
    <w:rsid w:val="00A46574"/>
    <w:rsid w:val="00A47849"/>
    <w:rsid w:val="00A500B1"/>
    <w:rsid w:val="00A506E0"/>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551D"/>
    <w:rsid w:val="00A6611E"/>
    <w:rsid w:val="00A66211"/>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894"/>
    <w:rsid w:val="00A87DAB"/>
    <w:rsid w:val="00A90F12"/>
    <w:rsid w:val="00A90FF0"/>
    <w:rsid w:val="00A91DAA"/>
    <w:rsid w:val="00A93101"/>
    <w:rsid w:val="00A93239"/>
    <w:rsid w:val="00A9413E"/>
    <w:rsid w:val="00A94293"/>
    <w:rsid w:val="00A9496E"/>
    <w:rsid w:val="00A949F0"/>
    <w:rsid w:val="00A94BDE"/>
    <w:rsid w:val="00A94FCA"/>
    <w:rsid w:val="00A95E4C"/>
    <w:rsid w:val="00A96C60"/>
    <w:rsid w:val="00A9734F"/>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4462"/>
    <w:rsid w:val="00AC484F"/>
    <w:rsid w:val="00AC4B20"/>
    <w:rsid w:val="00AC55C7"/>
    <w:rsid w:val="00AC56F2"/>
    <w:rsid w:val="00AC5D9D"/>
    <w:rsid w:val="00AC71C3"/>
    <w:rsid w:val="00AD09F7"/>
    <w:rsid w:val="00AD1B3B"/>
    <w:rsid w:val="00AD1EFA"/>
    <w:rsid w:val="00AD2072"/>
    <w:rsid w:val="00AD2439"/>
    <w:rsid w:val="00AD2DBD"/>
    <w:rsid w:val="00AD2FBF"/>
    <w:rsid w:val="00AD340E"/>
    <w:rsid w:val="00AD455D"/>
    <w:rsid w:val="00AD463C"/>
    <w:rsid w:val="00AD4F60"/>
    <w:rsid w:val="00AD5044"/>
    <w:rsid w:val="00AD5114"/>
    <w:rsid w:val="00AD5745"/>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A55"/>
    <w:rsid w:val="00B05DE1"/>
    <w:rsid w:val="00B06595"/>
    <w:rsid w:val="00B06862"/>
    <w:rsid w:val="00B10109"/>
    <w:rsid w:val="00B1085E"/>
    <w:rsid w:val="00B10FD1"/>
    <w:rsid w:val="00B112D5"/>
    <w:rsid w:val="00B11378"/>
    <w:rsid w:val="00B120A8"/>
    <w:rsid w:val="00B1219D"/>
    <w:rsid w:val="00B12735"/>
    <w:rsid w:val="00B12F44"/>
    <w:rsid w:val="00B13342"/>
    <w:rsid w:val="00B13B68"/>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875"/>
    <w:rsid w:val="00B3008D"/>
    <w:rsid w:val="00B30884"/>
    <w:rsid w:val="00B30E11"/>
    <w:rsid w:val="00B30EAE"/>
    <w:rsid w:val="00B30EEB"/>
    <w:rsid w:val="00B311E4"/>
    <w:rsid w:val="00B31423"/>
    <w:rsid w:val="00B317AE"/>
    <w:rsid w:val="00B323E0"/>
    <w:rsid w:val="00B32D31"/>
    <w:rsid w:val="00B32DC0"/>
    <w:rsid w:val="00B332E2"/>
    <w:rsid w:val="00B3346C"/>
    <w:rsid w:val="00B334D9"/>
    <w:rsid w:val="00B335E4"/>
    <w:rsid w:val="00B33C23"/>
    <w:rsid w:val="00B345B4"/>
    <w:rsid w:val="00B346D9"/>
    <w:rsid w:val="00B348B1"/>
    <w:rsid w:val="00B34A28"/>
    <w:rsid w:val="00B35046"/>
    <w:rsid w:val="00B35B6A"/>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12AD"/>
    <w:rsid w:val="00B5196C"/>
    <w:rsid w:val="00B525CB"/>
    <w:rsid w:val="00B52697"/>
    <w:rsid w:val="00B52935"/>
    <w:rsid w:val="00B54215"/>
    <w:rsid w:val="00B54D8F"/>
    <w:rsid w:val="00B55857"/>
    <w:rsid w:val="00B55C69"/>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33B6"/>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6FB"/>
    <w:rsid w:val="00B81964"/>
    <w:rsid w:val="00B81E6F"/>
    <w:rsid w:val="00B82017"/>
    <w:rsid w:val="00B82123"/>
    <w:rsid w:val="00B8220F"/>
    <w:rsid w:val="00B8225B"/>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87BDA"/>
    <w:rsid w:val="00B90A49"/>
    <w:rsid w:val="00B90A73"/>
    <w:rsid w:val="00B91B8E"/>
    <w:rsid w:val="00B92531"/>
    <w:rsid w:val="00B92618"/>
    <w:rsid w:val="00B92751"/>
    <w:rsid w:val="00B92B69"/>
    <w:rsid w:val="00B92CC6"/>
    <w:rsid w:val="00B935C9"/>
    <w:rsid w:val="00B93E3D"/>
    <w:rsid w:val="00B9525F"/>
    <w:rsid w:val="00B95464"/>
    <w:rsid w:val="00B9589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C08"/>
    <w:rsid w:val="00BF3E98"/>
    <w:rsid w:val="00BF436F"/>
    <w:rsid w:val="00BF5899"/>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C3"/>
    <w:rsid w:val="00C21D98"/>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265"/>
    <w:rsid w:val="00C438A2"/>
    <w:rsid w:val="00C439BE"/>
    <w:rsid w:val="00C4539B"/>
    <w:rsid w:val="00C45466"/>
    <w:rsid w:val="00C455C1"/>
    <w:rsid w:val="00C4581D"/>
    <w:rsid w:val="00C46294"/>
    <w:rsid w:val="00C46599"/>
    <w:rsid w:val="00C47472"/>
    <w:rsid w:val="00C500F0"/>
    <w:rsid w:val="00C504A7"/>
    <w:rsid w:val="00C506C9"/>
    <w:rsid w:val="00C50A16"/>
    <w:rsid w:val="00C51C9A"/>
    <w:rsid w:val="00C51DE0"/>
    <w:rsid w:val="00C52C68"/>
    <w:rsid w:val="00C52D98"/>
    <w:rsid w:val="00C52DA1"/>
    <w:rsid w:val="00C53007"/>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4A66"/>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60DC"/>
    <w:rsid w:val="00C76D48"/>
    <w:rsid w:val="00C770C5"/>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8BB"/>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CC"/>
    <w:rsid w:val="00C959BD"/>
    <w:rsid w:val="00C95DFE"/>
    <w:rsid w:val="00C95F44"/>
    <w:rsid w:val="00C96389"/>
    <w:rsid w:val="00C96D1B"/>
    <w:rsid w:val="00C96FC4"/>
    <w:rsid w:val="00C97106"/>
    <w:rsid w:val="00C978D4"/>
    <w:rsid w:val="00CA0031"/>
    <w:rsid w:val="00CA0413"/>
    <w:rsid w:val="00CA043A"/>
    <w:rsid w:val="00CA0E51"/>
    <w:rsid w:val="00CA1691"/>
    <w:rsid w:val="00CA41E7"/>
    <w:rsid w:val="00CA4A99"/>
    <w:rsid w:val="00CA5520"/>
    <w:rsid w:val="00CA5812"/>
    <w:rsid w:val="00CA5BD4"/>
    <w:rsid w:val="00CA5C14"/>
    <w:rsid w:val="00CA6576"/>
    <w:rsid w:val="00CA7019"/>
    <w:rsid w:val="00CA76FC"/>
    <w:rsid w:val="00CA7E7B"/>
    <w:rsid w:val="00CB0236"/>
    <w:rsid w:val="00CB0516"/>
    <w:rsid w:val="00CB0CB1"/>
    <w:rsid w:val="00CB0E2E"/>
    <w:rsid w:val="00CB1881"/>
    <w:rsid w:val="00CB1969"/>
    <w:rsid w:val="00CB19E3"/>
    <w:rsid w:val="00CB2C3A"/>
    <w:rsid w:val="00CB2D38"/>
    <w:rsid w:val="00CB2F5E"/>
    <w:rsid w:val="00CB3C9D"/>
    <w:rsid w:val="00CB4137"/>
    <w:rsid w:val="00CB4581"/>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D02ED"/>
    <w:rsid w:val="00CD050A"/>
    <w:rsid w:val="00CD0AE0"/>
    <w:rsid w:val="00CD0F92"/>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3837"/>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DC8"/>
    <w:rsid w:val="00D23FAF"/>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A45"/>
    <w:rsid w:val="00D466C9"/>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066"/>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BD1"/>
    <w:rsid w:val="00D97E8F"/>
    <w:rsid w:val="00DA00C3"/>
    <w:rsid w:val="00DA01E9"/>
    <w:rsid w:val="00DA06B8"/>
    <w:rsid w:val="00DA12C1"/>
    <w:rsid w:val="00DA14A9"/>
    <w:rsid w:val="00DA286D"/>
    <w:rsid w:val="00DA2969"/>
    <w:rsid w:val="00DA29B7"/>
    <w:rsid w:val="00DA2E5F"/>
    <w:rsid w:val="00DA337C"/>
    <w:rsid w:val="00DA4842"/>
    <w:rsid w:val="00DA4C97"/>
    <w:rsid w:val="00DA52BB"/>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229C"/>
    <w:rsid w:val="00DB3165"/>
    <w:rsid w:val="00DB420F"/>
    <w:rsid w:val="00DB4292"/>
    <w:rsid w:val="00DB4DB7"/>
    <w:rsid w:val="00DB5023"/>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3F5B"/>
    <w:rsid w:val="00DC478F"/>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7108"/>
    <w:rsid w:val="00DE74AC"/>
    <w:rsid w:val="00DE78D1"/>
    <w:rsid w:val="00DE78FF"/>
    <w:rsid w:val="00DF0263"/>
    <w:rsid w:val="00DF0EB4"/>
    <w:rsid w:val="00DF158B"/>
    <w:rsid w:val="00DF1733"/>
    <w:rsid w:val="00DF193C"/>
    <w:rsid w:val="00DF1E36"/>
    <w:rsid w:val="00DF236B"/>
    <w:rsid w:val="00DF2A91"/>
    <w:rsid w:val="00DF3889"/>
    <w:rsid w:val="00DF38E2"/>
    <w:rsid w:val="00DF3CC9"/>
    <w:rsid w:val="00DF4451"/>
    <w:rsid w:val="00DF49FF"/>
    <w:rsid w:val="00DF4FFB"/>
    <w:rsid w:val="00DF5236"/>
    <w:rsid w:val="00DF6232"/>
    <w:rsid w:val="00DF651F"/>
    <w:rsid w:val="00DF6F43"/>
    <w:rsid w:val="00DF71EA"/>
    <w:rsid w:val="00DF752F"/>
    <w:rsid w:val="00DF76A2"/>
    <w:rsid w:val="00DF786B"/>
    <w:rsid w:val="00E00B7A"/>
    <w:rsid w:val="00E01519"/>
    <w:rsid w:val="00E02186"/>
    <w:rsid w:val="00E025C2"/>
    <w:rsid w:val="00E026BB"/>
    <w:rsid w:val="00E027C5"/>
    <w:rsid w:val="00E03122"/>
    <w:rsid w:val="00E03124"/>
    <w:rsid w:val="00E031C3"/>
    <w:rsid w:val="00E03951"/>
    <w:rsid w:val="00E03DB8"/>
    <w:rsid w:val="00E03F17"/>
    <w:rsid w:val="00E03F9B"/>
    <w:rsid w:val="00E0420C"/>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509"/>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AC6"/>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9011F"/>
    <w:rsid w:val="00E903FC"/>
    <w:rsid w:val="00E906EB"/>
    <w:rsid w:val="00E90DC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4ECB"/>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5454"/>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419"/>
    <w:rsid w:val="00EF7506"/>
    <w:rsid w:val="00EF760B"/>
    <w:rsid w:val="00EF7BF4"/>
    <w:rsid w:val="00F0030F"/>
    <w:rsid w:val="00F00674"/>
    <w:rsid w:val="00F01657"/>
    <w:rsid w:val="00F01E67"/>
    <w:rsid w:val="00F02744"/>
    <w:rsid w:val="00F02BD9"/>
    <w:rsid w:val="00F02BFD"/>
    <w:rsid w:val="00F02CC2"/>
    <w:rsid w:val="00F02D25"/>
    <w:rsid w:val="00F03C3D"/>
    <w:rsid w:val="00F0435D"/>
    <w:rsid w:val="00F04580"/>
    <w:rsid w:val="00F04ECA"/>
    <w:rsid w:val="00F04F8B"/>
    <w:rsid w:val="00F05E59"/>
    <w:rsid w:val="00F06E19"/>
    <w:rsid w:val="00F06F84"/>
    <w:rsid w:val="00F073D5"/>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BFF"/>
    <w:rsid w:val="00F16E4F"/>
    <w:rsid w:val="00F170A7"/>
    <w:rsid w:val="00F17244"/>
    <w:rsid w:val="00F17388"/>
    <w:rsid w:val="00F20742"/>
    <w:rsid w:val="00F20931"/>
    <w:rsid w:val="00F20ECE"/>
    <w:rsid w:val="00F213A0"/>
    <w:rsid w:val="00F21D54"/>
    <w:rsid w:val="00F21EF4"/>
    <w:rsid w:val="00F23113"/>
    <w:rsid w:val="00F23255"/>
    <w:rsid w:val="00F23393"/>
    <w:rsid w:val="00F23759"/>
    <w:rsid w:val="00F24644"/>
    <w:rsid w:val="00F252E7"/>
    <w:rsid w:val="00F25947"/>
    <w:rsid w:val="00F25C55"/>
    <w:rsid w:val="00F262D6"/>
    <w:rsid w:val="00F2674A"/>
    <w:rsid w:val="00F26CCF"/>
    <w:rsid w:val="00F26F33"/>
    <w:rsid w:val="00F273D5"/>
    <w:rsid w:val="00F2748A"/>
    <w:rsid w:val="00F300A8"/>
    <w:rsid w:val="00F302C6"/>
    <w:rsid w:val="00F30400"/>
    <w:rsid w:val="00F3079E"/>
    <w:rsid w:val="00F30FFD"/>
    <w:rsid w:val="00F31289"/>
    <w:rsid w:val="00F319D7"/>
    <w:rsid w:val="00F31DE3"/>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4771E"/>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600E0"/>
    <w:rsid w:val="00F605EC"/>
    <w:rsid w:val="00F60F60"/>
    <w:rsid w:val="00F61217"/>
    <w:rsid w:val="00F612CE"/>
    <w:rsid w:val="00F6133C"/>
    <w:rsid w:val="00F61405"/>
    <w:rsid w:val="00F62227"/>
    <w:rsid w:val="00F62386"/>
    <w:rsid w:val="00F624A7"/>
    <w:rsid w:val="00F62AB6"/>
    <w:rsid w:val="00F62BDF"/>
    <w:rsid w:val="00F65A3C"/>
    <w:rsid w:val="00F66009"/>
    <w:rsid w:val="00F66282"/>
    <w:rsid w:val="00F66349"/>
    <w:rsid w:val="00F6639E"/>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29F"/>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5D"/>
    <w:rsid w:val="00F86F01"/>
    <w:rsid w:val="00F87144"/>
    <w:rsid w:val="00F87634"/>
    <w:rsid w:val="00F87C13"/>
    <w:rsid w:val="00F87C5A"/>
    <w:rsid w:val="00F87E29"/>
    <w:rsid w:val="00F87F18"/>
    <w:rsid w:val="00F87F68"/>
    <w:rsid w:val="00F90C4D"/>
    <w:rsid w:val="00F90C56"/>
    <w:rsid w:val="00F9167D"/>
    <w:rsid w:val="00F91CB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282A"/>
    <w:rsid w:val="00FB35E3"/>
    <w:rsid w:val="00FB47FB"/>
    <w:rsid w:val="00FB4C98"/>
    <w:rsid w:val="00FB4CE3"/>
    <w:rsid w:val="00FB583C"/>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3A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6D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table" w:customStyle="1" w:styleId="Tablaconcuadrcula2">
    <w:name w:val="Tabla con cuadrícula2"/>
    <w:basedOn w:val="Tablanormal"/>
    <w:next w:val="Tablaconcuadrcula"/>
    <w:uiPriority w:val="39"/>
    <w:rsid w:val="00C64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7869905">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3923409">
      <w:bodyDiv w:val="1"/>
      <w:marLeft w:val="0"/>
      <w:marRight w:val="0"/>
      <w:marTop w:val="0"/>
      <w:marBottom w:val="0"/>
      <w:divBdr>
        <w:top w:val="none" w:sz="0" w:space="0" w:color="auto"/>
        <w:left w:val="none" w:sz="0" w:space="0" w:color="auto"/>
        <w:bottom w:val="none" w:sz="0" w:space="0" w:color="auto"/>
        <w:right w:val="none" w:sz="0" w:space="0" w:color="auto"/>
      </w:divBdr>
      <w:divsChild>
        <w:div w:id="1102531850">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226916">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68028863">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3987252">
      <w:bodyDiv w:val="1"/>
      <w:marLeft w:val="0"/>
      <w:marRight w:val="0"/>
      <w:marTop w:val="0"/>
      <w:marBottom w:val="0"/>
      <w:divBdr>
        <w:top w:val="none" w:sz="0" w:space="0" w:color="auto"/>
        <w:left w:val="none" w:sz="0" w:space="0" w:color="auto"/>
        <w:bottom w:val="none" w:sz="0" w:space="0" w:color="auto"/>
        <w:right w:val="none" w:sz="0" w:space="0" w:color="auto"/>
      </w:divBdr>
      <w:divsChild>
        <w:div w:id="1574850735">
          <w:marLeft w:val="0"/>
          <w:marRight w:val="0"/>
          <w:marTop w:val="0"/>
          <w:marBottom w:val="0"/>
          <w:divBdr>
            <w:top w:val="none" w:sz="0" w:space="0" w:color="auto"/>
            <w:left w:val="none" w:sz="0" w:space="0" w:color="auto"/>
            <w:bottom w:val="none" w:sz="0" w:space="0" w:color="auto"/>
            <w:right w:val="none" w:sz="0" w:space="0" w:color="auto"/>
          </w:divBdr>
          <w:divsChild>
            <w:div w:id="2128235891">
              <w:marLeft w:val="0"/>
              <w:marRight w:val="0"/>
              <w:marTop w:val="0"/>
              <w:marBottom w:val="0"/>
              <w:divBdr>
                <w:top w:val="none" w:sz="0" w:space="0" w:color="auto"/>
                <w:left w:val="none" w:sz="0" w:space="0" w:color="auto"/>
                <w:bottom w:val="none" w:sz="0" w:space="0" w:color="auto"/>
                <w:right w:val="none" w:sz="0" w:space="0" w:color="auto"/>
              </w:divBdr>
              <w:divsChild>
                <w:div w:id="110233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4810899">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3755B04-2548-44D4-A286-3FD08797CF04}"/>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89</TotalTime>
  <Pages>15</Pages>
  <Words>5371</Words>
  <Characters>28576</Characters>
  <Application>Microsoft Office Word</Application>
  <DocSecurity>0</DocSecurity>
  <Lines>539</Lines>
  <Paragraphs>116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113</cp:revision>
  <cp:lastPrinted>2021-01-20T13:01:00Z</cp:lastPrinted>
  <dcterms:created xsi:type="dcterms:W3CDTF">2021-10-12T14:36:00Z</dcterms:created>
  <dcterms:modified xsi:type="dcterms:W3CDTF">2021-11-18T22:03:00Z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