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62DB0" w14:textId="77777777" w:rsidR="00137E23" w:rsidRPr="00510BFB" w:rsidRDefault="00137E23" w:rsidP="00137E23">
      <w:pPr>
        <w:spacing w:after="0" w:line="240" w:lineRule="auto"/>
        <w:jc w:val="right"/>
        <w:rPr>
          <w:rFonts w:ascii="Arial" w:eastAsia="Times New Roman" w:hAnsi="Arial" w:cs="Arial"/>
          <w:sz w:val="20"/>
          <w:szCs w:val="20"/>
          <w:lang w:eastAsia="es-ES"/>
        </w:rPr>
      </w:pPr>
      <w:r w:rsidRPr="00510BFB">
        <w:rPr>
          <w:rFonts w:ascii="Arial" w:eastAsia="Times New Roman" w:hAnsi="Arial" w:cs="Arial"/>
          <w:sz w:val="20"/>
          <w:szCs w:val="20"/>
          <w:lang w:eastAsia="es-ES"/>
        </w:rPr>
        <w:t>CCE-DES-FM-17</w:t>
      </w:r>
    </w:p>
    <w:p w14:paraId="050E9308" w14:textId="7B8CBCEC" w:rsidR="009C3E5C" w:rsidRPr="009123B7" w:rsidRDefault="009C3E5C" w:rsidP="00233261">
      <w:pPr>
        <w:spacing w:after="0" w:line="240" w:lineRule="auto"/>
        <w:jc w:val="both"/>
        <w:rPr>
          <w:rFonts w:ascii="Arial" w:eastAsia="Calibri" w:hAnsi="Arial" w:cs="Arial"/>
          <w:b/>
          <w:color w:val="000000" w:themeColor="text1"/>
        </w:rPr>
      </w:pPr>
      <w:bookmarkStart w:id="0" w:name="_Hlk72942111"/>
      <w:r w:rsidRPr="009123B7">
        <w:rPr>
          <w:rFonts w:ascii="Arial" w:eastAsia="Calibri" w:hAnsi="Arial" w:cs="Arial"/>
          <w:b/>
          <w:color w:val="000000" w:themeColor="text1"/>
        </w:rPr>
        <w:t xml:space="preserve">LEY DE EMPRENDIMIENTO – Ley 2069 de 2020 – Vigencia </w:t>
      </w:r>
    </w:p>
    <w:p w14:paraId="751D8EBC" w14:textId="77777777" w:rsidR="00233261" w:rsidRPr="009C3E5C" w:rsidRDefault="00233261" w:rsidP="00233261">
      <w:pPr>
        <w:spacing w:after="0" w:line="240" w:lineRule="auto"/>
        <w:jc w:val="both"/>
        <w:rPr>
          <w:rFonts w:ascii="Arial" w:eastAsia="Calibri" w:hAnsi="Arial" w:cs="Arial"/>
          <w:b/>
          <w:color w:val="000000" w:themeColor="text1"/>
          <w:sz w:val="20"/>
          <w:szCs w:val="20"/>
        </w:rPr>
      </w:pPr>
    </w:p>
    <w:p w14:paraId="64C656FB" w14:textId="6B28C5C8" w:rsidR="009C3E5C" w:rsidRDefault="009C3E5C" w:rsidP="00233261">
      <w:pPr>
        <w:spacing w:after="0" w:line="240" w:lineRule="auto"/>
        <w:jc w:val="both"/>
        <w:rPr>
          <w:rFonts w:ascii="Arial" w:eastAsia="Calibri" w:hAnsi="Arial" w:cs="Arial"/>
          <w:bCs/>
          <w:color w:val="000000" w:themeColor="text1"/>
          <w:sz w:val="20"/>
          <w:szCs w:val="20"/>
        </w:rPr>
      </w:pPr>
      <w:r w:rsidRPr="009C3E5C">
        <w:rPr>
          <w:rFonts w:ascii="Arial" w:eastAsia="Calibri" w:hAnsi="Arial" w:cs="Arial"/>
          <w:bCs/>
          <w:color w:val="000000" w:themeColor="text1"/>
          <w:sz w:val="20"/>
          <w:szCs w:val="20"/>
        </w:rPr>
        <w:t xml:space="preserve">El 31 de diciembre de 2020 se promulgó la Ley 2069, «Por medio de la cual se impulsa el emprendimiento en Colombia». El artículo 84 dispone que «La presente Ley rige a partir del momento de su promulgación […]», por lo que es obligatoria para sus destinatarios desde esa fecha. </w:t>
      </w:r>
    </w:p>
    <w:p w14:paraId="20478722" w14:textId="77777777" w:rsidR="00233261" w:rsidRPr="009C3E5C" w:rsidRDefault="00233261" w:rsidP="00233261">
      <w:pPr>
        <w:spacing w:after="0" w:line="240" w:lineRule="auto"/>
        <w:jc w:val="both"/>
        <w:rPr>
          <w:rFonts w:ascii="Arial" w:eastAsia="Calibri" w:hAnsi="Arial" w:cs="Arial"/>
          <w:bCs/>
          <w:color w:val="000000" w:themeColor="text1"/>
          <w:sz w:val="20"/>
          <w:szCs w:val="20"/>
        </w:rPr>
      </w:pPr>
    </w:p>
    <w:p w14:paraId="3612C180" w14:textId="6AEBF881" w:rsidR="009C3E5C" w:rsidRDefault="009C3E5C" w:rsidP="00233261">
      <w:pPr>
        <w:spacing w:after="0" w:line="240" w:lineRule="auto"/>
        <w:jc w:val="both"/>
        <w:rPr>
          <w:rFonts w:ascii="Arial" w:eastAsia="Calibri" w:hAnsi="Arial" w:cs="Arial"/>
          <w:bCs/>
          <w:color w:val="000000" w:themeColor="text1"/>
          <w:sz w:val="20"/>
          <w:szCs w:val="20"/>
        </w:rPr>
      </w:pPr>
      <w:r w:rsidRPr="009C3E5C">
        <w:rPr>
          <w:rFonts w:ascii="Arial" w:eastAsia="Calibri" w:hAnsi="Arial" w:cs="Arial"/>
          <w:bCs/>
          <w:color w:val="000000" w:themeColor="text1"/>
          <w:sz w:val="20"/>
          <w:szCs w:val="20"/>
        </w:rPr>
        <w:t>En cuanto a su contenido, como dispone el artículo 1, esta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En desarrollo de esta finalidad, se establecen medidas de apoyo para las micro, pequeñas y medianas empresas –</w:t>
      </w:r>
      <w:proofErr w:type="spellStart"/>
      <w:r w:rsidRPr="009C3E5C">
        <w:rPr>
          <w:rFonts w:ascii="Arial" w:eastAsia="Calibri" w:hAnsi="Arial" w:cs="Arial"/>
          <w:bCs/>
          <w:color w:val="000000" w:themeColor="text1"/>
          <w:sz w:val="20"/>
          <w:szCs w:val="20"/>
        </w:rPr>
        <w:t>Mipyme</w:t>
      </w:r>
      <w:proofErr w:type="spellEnd"/>
      <w:r w:rsidRPr="009C3E5C">
        <w:rPr>
          <w:rFonts w:ascii="Arial" w:eastAsia="Calibri" w:hAnsi="Arial" w:cs="Arial"/>
          <w:bCs/>
          <w:color w:val="000000" w:themeColor="text1"/>
          <w:sz w:val="20"/>
          <w:szCs w:val="20"/>
        </w:rPr>
        <w:t xml:space="preserve">–, mediante la racionalización y simplificación de los trámites y tarifas, así como incentivos a favor de aquellas dentro del sistema de compras y contratación pública. </w:t>
      </w:r>
      <w:r w:rsidR="004C4E18">
        <w:rPr>
          <w:rFonts w:ascii="Arial" w:eastAsia="Calibri" w:hAnsi="Arial" w:cs="Arial"/>
          <w:bCs/>
          <w:color w:val="000000" w:themeColor="text1"/>
          <w:sz w:val="20"/>
          <w:szCs w:val="20"/>
        </w:rPr>
        <w:t>También</w:t>
      </w:r>
      <w:r w:rsidRPr="009C3E5C">
        <w:rPr>
          <w:rFonts w:ascii="Arial" w:eastAsia="Calibri" w:hAnsi="Arial" w:cs="Arial"/>
          <w:bCs/>
          <w:color w:val="000000" w:themeColor="text1"/>
          <w:sz w:val="20"/>
          <w:szCs w:val="20"/>
        </w:rPr>
        <w:t xml:space="preserve">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23DF60E8" w14:textId="77777777" w:rsidR="00233261" w:rsidRPr="009C3E5C" w:rsidRDefault="00233261" w:rsidP="00233261">
      <w:pPr>
        <w:spacing w:after="0" w:line="240" w:lineRule="auto"/>
        <w:jc w:val="both"/>
        <w:rPr>
          <w:rFonts w:ascii="Arial" w:eastAsia="Calibri" w:hAnsi="Arial" w:cs="Arial"/>
          <w:bCs/>
          <w:color w:val="000000" w:themeColor="text1"/>
          <w:sz w:val="20"/>
          <w:szCs w:val="20"/>
        </w:rPr>
      </w:pPr>
    </w:p>
    <w:p w14:paraId="03348B81" w14:textId="4B957CC5" w:rsidR="009C3E5C" w:rsidRPr="009123B7" w:rsidRDefault="009C3E5C" w:rsidP="00233261">
      <w:pPr>
        <w:spacing w:after="0" w:line="240" w:lineRule="auto"/>
        <w:jc w:val="both"/>
        <w:rPr>
          <w:rFonts w:ascii="Arial" w:eastAsia="Calibri" w:hAnsi="Arial" w:cs="Arial"/>
          <w:b/>
          <w:color w:val="000000" w:themeColor="text1"/>
        </w:rPr>
      </w:pPr>
      <w:r w:rsidRPr="009123B7">
        <w:rPr>
          <w:rFonts w:ascii="Arial" w:eastAsia="Calibri" w:hAnsi="Arial" w:cs="Arial"/>
          <w:b/>
          <w:color w:val="000000" w:themeColor="text1"/>
        </w:rPr>
        <w:t xml:space="preserve">MIPYMES – Artículo 34 de la Ley 2069 de 2020 – artículo 5 del Decreto 1860 de 2021 Convocatorias limitadas territorialmente - Vigencia </w:t>
      </w:r>
    </w:p>
    <w:p w14:paraId="40E07F43" w14:textId="77777777" w:rsidR="00233261" w:rsidRPr="009C3E5C" w:rsidRDefault="00233261" w:rsidP="00233261">
      <w:pPr>
        <w:spacing w:after="0" w:line="240" w:lineRule="auto"/>
        <w:jc w:val="both"/>
        <w:rPr>
          <w:rFonts w:ascii="Arial" w:eastAsia="Calibri" w:hAnsi="Arial" w:cs="Arial"/>
          <w:b/>
          <w:color w:val="000000" w:themeColor="text1"/>
          <w:sz w:val="20"/>
          <w:szCs w:val="20"/>
        </w:rPr>
      </w:pPr>
    </w:p>
    <w:p w14:paraId="089F39BD" w14:textId="77777777" w:rsidR="004C4E18" w:rsidRPr="004C4E18" w:rsidRDefault="004C4E18" w:rsidP="004C4E18">
      <w:pPr>
        <w:spacing w:before="120" w:after="0" w:line="240" w:lineRule="auto"/>
        <w:jc w:val="both"/>
        <w:rPr>
          <w:rFonts w:ascii="Arial" w:eastAsia="Calibri" w:hAnsi="Arial" w:cs="Arial"/>
          <w:bCs/>
          <w:color w:val="000000" w:themeColor="text1"/>
          <w:sz w:val="20"/>
          <w:szCs w:val="20"/>
        </w:rPr>
      </w:pPr>
      <w:r w:rsidRPr="004C4E18">
        <w:rPr>
          <w:rFonts w:ascii="Arial" w:eastAsia="Calibri" w:hAnsi="Arial" w:cs="Arial"/>
          <w:bCs/>
          <w:color w:val="000000" w:themeColor="text1"/>
          <w:sz w:val="20"/>
          <w:szCs w:val="20"/>
        </w:rPr>
        <w:t xml:space="preserve">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original del Decreto 1082 de 2015, que, hasta la expedición de la Ley 2069 de 2020, regía las convocatorias limitadas a </w:t>
      </w:r>
      <w:proofErr w:type="spellStart"/>
      <w:r w:rsidRPr="004C4E18">
        <w:rPr>
          <w:rFonts w:ascii="Arial" w:eastAsia="Calibri" w:hAnsi="Arial" w:cs="Arial"/>
          <w:bCs/>
          <w:color w:val="000000" w:themeColor="text1"/>
          <w:sz w:val="20"/>
          <w:szCs w:val="20"/>
        </w:rPr>
        <w:t>Mipymes</w:t>
      </w:r>
      <w:proofErr w:type="spellEnd"/>
      <w:r w:rsidRPr="004C4E18">
        <w:rPr>
          <w:rFonts w:ascii="Arial" w:eastAsia="Calibri" w:hAnsi="Arial" w:cs="Arial"/>
          <w:bCs/>
          <w:color w:val="000000" w:themeColor="text1"/>
          <w:sz w:val="20"/>
          <w:szCs w:val="20"/>
        </w:rPr>
        <w:t xml:space="preserve">.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–categoría que, como es sabido, incluye los decretos reglamentarios– dejan de ser obligatorios o decaen «Cuando desaparezcan sus fundamentos de hecho o de derecho». </w:t>
      </w:r>
    </w:p>
    <w:p w14:paraId="0337A41A" w14:textId="77777777" w:rsidR="004C4E18" w:rsidRDefault="004C4E18" w:rsidP="00233261">
      <w:pPr>
        <w:spacing w:after="0" w:line="240" w:lineRule="auto"/>
        <w:jc w:val="both"/>
        <w:rPr>
          <w:rFonts w:ascii="Arial" w:eastAsia="Calibri" w:hAnsi="Arial" w:cs="Arial"/>
          <w:bCs/>
          <w:color w:val="000000" w:themeColor="text1"/>
          <w:sz w:val="20"/>
          <w:szCs w:val="20"/>
        </w:rPr>
      </w:pPr>
    </w:p>
    <w:p w14:paraId="1805B8A5" w14:textId="2E894F29" w:rsidR="004C4E18" w:rsidRPr="004C4E18" w:rsidRDefault="004C4E18" w:rsidP="004C4E18">
      <w:pPr>
        <w:spacing w:after="0" w:line="240" w:lineRule="auto"/>
        <w:jc w:val="both"/>
        <w:rPr>
          <w:rFonts w:ascii="Arial" w:eastAsia="Calibri" w:hAnsi="Arial" w:cs="Arial"/>
          <w:bCs/>
          <w:color w:val="000000" w:themeColor="text1"/>
          <w:sz w:val="20"/>
          <w:szCs w:val="20"/>
        </w:rPr>
      </w:pPr>
      <w:r w:rsidRPr="004C4E18">
        <w:rPr>
          <w:rFonts w:ascii="Arial" w:eastAsia="Calibri" w:hAnsi="Arial" w:cs="Arial"/>
          <w:bCs/>
          <w:color w:val="000000" w:themeColor="text1"/>
          <w:sz w:val="20"/>
          <w:szCs w:val="20"/>
        </w:rPr>
        <w:t>Lo anterior quedó reafirmado con la expedición del Decreto 1860 de 24 de diciembre de 2021, reglamento que modificó, entre otros aspectos, la Subsección 5 de la Sección 1 del Capítulo 2 del Título 1 de la Parte 2 del Libro 2 y los artículos 2.2.1.2.4.2.2. y 2.2.1.2.4.2.3. y siguientes del Decreto 1082 de 2015, Único Reglamentario del Sector Administrativo de Planeación Nacional. Estas modificaciones, de acuerdo con el artículo 8 del Decreto 1860 de 2021 «aplicarán a los procedimientos de selección cuya invitación, aviso de convocatoria o documento equivalente se publique a los tres (3) meses contados a partir de su expedición», esto es, a partir del 24 de marzo de 2022.</w:t>
      </w:r>
    </w:p>
    <w:p w14:paraId="14D5A18F" w14:textId="62A3ADEF" w:rsidR="00233261" w:rsidRDefault="00233261" w:rsidP="00233261">
      <w:pPr>
        <w:spacing w:after="0" w:line="240" w:lineRule="auto"/>
        <w:jc w:val="both"/>
        <w:rPr>
          <w:rFonts w:ascii="Arial" w:eastAsia="Calibri" w:hAnsi="Arial" w:cs="Arial"/>
          <w:b/>
          <w:color w:val="000000" w:themeColor="text1"/>
          <w:sz w:val="20"/>
          <w:szCs w:val="20"/>
        </w:rPr>
      </w:pPr>
    </w:p>
    <w:p w14:paraId="35295255" w14:textId="777E68F6" w:rsidR="009C3E5C" w:rsidRPr="009123B7" w:rsidRDefault="009C3E5C" w:rsidP="00233261">
      <w:pPr>
        <w:spacing w:after="0" w:line="240" w:lineRule="auto"/>
        <w:jc w:val="both"/>
        <w:rPr>
          <w:rFonts w:ascii="Arial" w:eastAsia="Calibri" w:hAnsi="Arial" w:cs="Arial"/>
          <w:b/>
          <w:color w:val="000000" w:themeColor="text1"/>
        </w:rPr>
      </w:pPr>
      <w:r w:rsidRPr="009123B7">
        <w:rPr>
          <w:rFonts w:ascii="Arial" w:eastAsia="Calibri" w:hAnsi="Arial" w:cs="Arial"/>
          <w:b/>
          <w:color w:val="000000" w:themeColor="text1"/>
        </w:rPr>
        <w:t>CONVOCATORIAS LIMITADAS A MIPYMES</w:t>
      </w:r>
      <w:r w:rsidR="00133E84">
        <w:rPr>
          <w:rFonts w:ascii="Arial" w:eastAsia="Calibri" w:hAnsi="Arial" w:cs="Arial"/>
          <w:b/>
          <w:color w:val="000000" w:themeColor="text1"/>
        </w:rPr>
        <w:t xml:space="preserve"> </w:t>
      </w:r>
      <w:r w:rsidRPr="009123B7">
        <w:rPr>
          <w:rFonts w:ascii="Arial" w:eastAsia="Calibri" w:hAnsi="Arial" w:cs="Arial"/>
          <w:b/>
          <w:color w:val="000000" w:themeColor="text1"/>
        </w:rPr>
        <w:t xml:space="preserve">– Limitación territorial </w:t>
      </w:r>
    </w:p>
    <w:p w14:paraId="4DEC7724" w14:textId="77777777" w:rsidR="00233261" w:rsidRPr="009C3E5C" w:rsidRDefault="00233261" w:rsidP="00233261">
      <w:pPr>
        <w:spacing w:after="0" w:line="240" w:lineRule="auto"/>
        <w:jc w:val="both"/>
        <w:rPr>
          <w:rFonts w:ascii="Arial" w:eastAsia="Calibri" w:hAnsi="Arial" w:cs="Arial"/>
          <w:b/>
          <w:color w:val="000000" w:themeColor="text1"/>
          <w:sz w:val="20"/>
          <w:szCs w:val="20"/>
        </w:rPr>
      </w:pPr>
    </w:p>
    <w:p w14:paraId="6BEAF5B2" w14:textId="0A581A31" w:rsidR="00F3584F" w:rsidRPr="00F3584F" w:rsidRDefault="00F3584F" w:rsidP="004C704C">
      <w:pPr>
        <w:spacing w:after="0" w:line="240" w:lineRule="auto"/>
        <w:jc w:val="both"/>
        <w:rPr>
          <w:rFonts w:ascii="Arial" w:eastAsia="Calibri" w:hAnsi="Arial" w:cs="Arial"/>
          <w:bCs/>
          <w:color w:val="000000" w:themeColor="text1"/>
          <w:sz w:val="20"/>
          <w:szCs w:val="20"/>
        </w:rPr>
      </w:pPr>
      <w:r w:rsidRPr="00F3584F">
        <w:rPr>
          <w:rFonts w:ascii="Arial" w:eastAsia="Calibri" w:hAnsi="Arial" w:cs="Arial"/>
          <w:bCs/>
          <w:color w:val="000000" w:themeColor="text1"/>
          <w:sz w:val="20"/>
          <w:szCs w:val="20"/>
        </w:rPr>
        <w:t xml:space="preserve">En cuanto a lo dispuesto por el antiguo artículo 2.2.1.2.4.2.3 del Decreto 1082 de 2015, que regulaba la posibilidad de limitar convocatorias a </w:t>
      </w:r>
      <w:proofErr w:type="spellStart"/>
      <w:r w:rsidRPr="00F3584F">
        <w:rPr>
          <w:rFonts w:ascii="Arial" w:eastAsia="Calibri" w:hAnsi="Arial" w:cs="Arial"/>
          <w:bCs/>
          <w:color w:val="000000" w:themeColor="text1"/>
          <w:sz w:val="20"/>
          <w:szCs w:val="20"/>
        </w:rPr>
        <w:t>Mipymes</w:t>
      </w:r>
      <w:proofErr w:type="spellEnd"/>
      <w:r w:rsidRPr="00F3584F">
        <w:rPr>
          <w:rFonts w:ascii="Arial" w:eastAsia="Calibri" w:hAnsi="Arial" w:cs="Arial"/>
          <w:bCs/>
          <w:color w:val="000000" w:themeColor="text1"/>
          <w:sz w:val="20"/>
          <w:szCs w:val="20"/>
        </w:rPr>
        <w:t xml:space="preserve"> domiciliadas en un determinado ámbito territorial, se estima que este, al igual que el artículo 2.2.1.2.4.2.2, también se afectó por el fenómeno del decaimiento y hoy quedó sustituido por lo dispuesto en el Decreto 1860 de 2021. No obstante, el </w:t>
      </w:r>
      <w:r w:rsidRPr="00F3584F">
        <w:rPr>
          <w:rFonts w:ascii="Arial" w:eastAsia="Calibri" w:hAnsi="Arial" w:cs="Arial"/>
          <w:bCs/>
          <w:color w:val="000000" w:themeColor="text1"/>
          <w:sz w:val="20"/>
          <w:szCs w:val="20"/>
        </w:rPr>
        <w:lastRenderedPageBreak/>
        <w:t xml:space="preserve">texto del actual artículo 2.2.1.2.4.2.3, modificado por el artículo 5 del Decreto 1860 de 2021, no cambia la tesis adoptada en conceptos anteriores de Colombia Compra Eficiente emitidos antes de la expedición de este reglamento. Lo anterior en la medida que, respecto del domicilio de las </w:t>
      </w:r>
      <w:proofErr w:type="spellStart"/>
      <w:r w:rsidRPr="00F3584F">
        <w:rPr>
          <w:rFonts w:ascii="Arial" w:eastAsia="Calibri" w:hAnsi="Arial" w:cs="Arial"/>
          <w:bCs/>
          <w:color w:val="000000" w:themeColor="text1"/>
          <w:sz w:val="20"/>
          <w:szCs w:val="20"/>
        </w:rPr>
        <w:t>Mipymes</w:t>
      </w:r>
      <w:proofErr w:type="spellEnd"/>
      <w:r w:rsidRPr="00F3584F">
        <w:rPr>
          <w:rFonts w:ascii="Arial" w:eastAsia="Calibri" w:hAnsi="Arial" w:cs="Arial"/>
          <w:bCs/>
          <w:color w:val="000000" w:themeColor="text1"/>
          <w:sz w:val="20"/>
          <w:szCs w:val="20"/>
        </w:rPr>
        <w:t xml:space="preserve"> en el departamento o municipio donde se ejecuta el contrato, la reglamentación no tuvo cambios. </w:t>
      </w:r>
    </w:p>
    <w:p w14:paraId="2FE0AC4B" w14:textId="77777777" w:rsidR="00F3584F" w:rsidRPr="00F3584F" w:rsidRDefault="00F3584F" w:rsidP="004C704C">
      <w:pPr>
        <w:spacing w:after="0" w:line="240" w:lineRule="auto"/>
        <w:jc w:val="both"/>
        <w:rPr>
          <w:rFonts w:ascii="Arial" w:eastAsia="Calibri" w:hAnsi="Arial" w:cs="Arial"/>
          <w:bCs/>
          <w:color w:val="000000" w:themeColor="text1"/>
          <w:sz w:val="20"/>
          <w:szCs w:val="20"/>
        </w:rPr>
      </w:pPr>
    </w:p>
    <w:p w14:paraId="593E922F" w14:textId="0E6E5226" w:rsidR="00F3584F" w:rsidRDefault="00F3584F" w:rsidP="004C704C">
      <w:pPr>
        <w:spacing w:after="0" w:line="240" w:lineRule="auto"/>
        <w:jc w:val="both"/>
        <w:rPr>
          <w:rFonts w:ascii="Arial" w:eastAsia="Calibri" w:hAnsi="Arial" w:cs="Arial"/>
          <w:bCs/>
          <w:color w:val="000000" w:themeColor="text1"/>
          <w:sz w:val="20"/>
          <w:szCs w:val="20"/>
        </w:rPr>
      </w:pPr>
      <w:r w:rsidRPr="00F3584F">
        <w:rPr>
          <w:rFonts w:ascii="Arial" w:eastAsia="Calibri" w:hAnsi="Arial" w:cs="Arial"/>
          <w:bCs/>
          <w:color w:val="000000" w:themeColor="text1"/>
          <w:sz w:val="20"/>
          <w:szCs w:val="20"/>
        </w:rPr>
        <w:t xml:space="preserve">La norma reglamentaria coincide con la redacción del parágrafo 1 del artículo 34 de la Ley 2069 de 2020, según el cual, solo es posible limitar convocatorias a la participación de </w:t>
      </w:r>
      <w:proofErr w:type="spellStart"/>
      <w:r w:rsidRPr="00F3584F">
        <w:rPr>
          <w:rFonts w:ascii="Arial" w:eastAsia="Calibri" w:hAnsi="Arial" w:cs="Arial"/>
          <w:bCs/>
          <w:color w:val="000000" w:themeColor="text1"/>
          <w:sz w:val="20"/>
          <w:szCs w:val="20"/>
        </w:rPr>
        <w:t>mipymes</w:t>
      </w:r>
      <w:proofErr w:type="spellEnd"/>
      <w:r w:rsidRPr="00F3584F">
        <w:rPr>
          <w:rFonts w:ascii="Arial" w:eastAsia="Calibri" w:hAnsi="Arial" w:cs="Arial"/>
          <w:bCs/>
          <w:color w:val="000000" w:themeColor="text1"/>
          <w:sz w:val="20"/>
          <w:szCs w:val="20"/>
        </w:rPr>
        <w:t xml:space="preserve"> «[…] del ámbito municipal o departamental correspondiente al de la ejecución del contrato». En tales términos, la norma citada contempla la posibilidad de limitar convocatorias a </w:t>
      </w:r>
      <w:proofErr w:type="spellStart"/>
      <w:r w:rsidRPr="00F3584F">
        <w:rPr>
          <w:rFonts w:ascii="Arial" w:eastAsia="Calibri" w:hAnsi="Arial" w:cs="Arial"/>
          <w:bCs/>
          <w:color w:val="000000" w:themeColor="text1"/>
          <w:sz w:val="20"/>
          <w:szCs w:val="20"/>
        </w:rPr>
        <w:t>mipymes</w:t>
      </w:r>
      <w:proofErr w:type="spellEnd"/>
      <w:r w:rsidRPr="00F3584F">
        <w:rPr>
          <w:rFonts w:ascii="Arial" w:eastAsia="Calibri" w:hAnsi="Arial" w:cs="Arial"/>
          <w:bCs/>
          <w:color w:val="000000" w:themeColor="text1"/>
          <w:sz w:val="20"/>
          <w:szCs w:val="20"/>
        </w:rPr>
        <w:t xml:space="preserve"> con domicilio en esos dos tipos de ámbitos territoriales. </w:t>
      </w:r>
    </w:p>
    <w:p w14:paraId="39523773" w14:textId="77777777" w:rsidR="004C704C" w:rsidRPr="00F3584F" w:rsidRDefault="004C704C" w:rsidP="004C704C">
      <w:pPr>
        <w:spacing w:after="0" w:line="240" w:lineRule="auto"/>
        <w:jc w:val="both"/>
        <w:rPr>
          <w:rFonts w:ascii="Arial" w:eastAsia="Calibri" w:hAnsi="Arial" w:cs="Arial"/>
          <w:bCs/>
          <w:color w:val="000000" w:themeColor="text1"/>
          <w:sz w:val="20"/>
          <w:szCs w:val="20"/>
        </w:rPr>
      </w:pPr>
    </w:p>
    <w:p w14:paraId="1AAA5076" w14:textId="77777777" w:rsidR="00F3584F" w:rsidRPr="00F3584F" w:rsidRDefault="00F3584F" w:rsidP="004C704C">
      <w:pPr>
        <w:spacing w:after="0" w:line="240" w:lineRule="auto"/>
        <w:jc w:val="both"/>
        <w:rPr>
          <w:rFonts w:ascii="Arial" w:eastAsia="Calibri" w:hAnsi="Arial" w:cs="Arial"/>
          <w:bCs/>
          <w:color w:val="000000" w:themeColor="text1"/>
          <w:sz w:val="20"/>
          <w:szCs w:val="20"/>
        </w:rPr>
      </w:pPr>
      <w:r w:rsidRPr="00F3584F">
        <w:rPr>
          <w:rFonts w:ascii="Arial" w:eastAsia="Calibri" w:hAnsi="Arial" w:cs="Arial"/>
          <w:bCs/>
          <w:color w:val="000000" w:themeColor="text1"/>
          <w:sz w:val="20"/>
          <w:szCs w:val="20"/>
        </w:rPr>
        <w:t>En armonía con lo anterior, el artículo 2.2.1.2.4.2.3. del Decreto 1082 de 2015, modificado por el artículo 5 del Decreto 1860 de 2021 se refiere a las «</w:t>
      </w:r>
      <w:proofErr w:type="spellStart"/>
      <w:r w:rsidRPr="00F3584F">
        <w:rPr>
          <w:rFonts w:ascii="Arial" w:eastAsia="Calibri" w:hAnsi="Arial" w:cs="Arial"/>
          <w:bCs/>
          <w:color w:val="000000" w:themeColor="text1"/>
          <w:sz w:val="20"/>
          <w:szCs w:val="20"/>
        </w:rPr>
        <w:t>mipyme</w:t>
      </w:r>
      <w:proofErr w:type="spellEnd"/>
      <w:r w:rsidRPr="00F3584F">
        <w:rPr>
          <w:rFonts w:ascii="Arial" w:eastAsia="Calibri" w:hAnsi="Arial" w:cs="Arial"/>
          <w:bCs/>
          <w:color w:val="000000" w:themeColor="text1"/>
          <w:sz w:val="20"/>
          <w:szCs w:val="20"/>
        </w:rPr>
        <w:t xml:space="preserve"> colombianas que tengan domicilio en los departamentos o municipios en donde se va a ejecutar el contrato». Esta precisión es importante, pues el incentivo previsto en la norma únicamente aplica en el lugar de ejecución del contrato en el que la </w:t>
      </w:r>
      <w:proofErr w:type="spellStart"/>
      <w:r w:rsidRPr="00F3584F">
        <w:rPr>
          <w:rFonts w:ascii="Arial" w:eastAsia="Calibri" w:hAnsi="Arial" w:cs="Arial"/>
          <w:bCs/>
          <w:color w:val="000000" w:themeColor="text1"/>
          <w:sz w:val="20"/>
          <w:szCs w:val="20"/>
        </w:rPr>
        <w:t>Mipyme</w:t>
      </w:r>
      <w:proofErr w:type="spellEnd"/>
      <w:r w:rsidRPr="00F3584F">
        <w:rPr>
          <w:rFonts w:ascii="Arial" w:eastAsia="Calibri" w:hAnsi="Arial" w:cs="Arial"/>
          <w:bCs/>
          <w:color w:val="000000" w:themeColor="text1"/>
          <w:sz w:val="20"/>
          <w:szCs w:val="20"/>
        </w:rPr>
        <w:t xml:space="preserve"> tiene su «domicilio», y no en donde tiene sucursales o establecimientos de comercio. </w:t>
      </w:r>
    </w:p>
    <w:p w14:paraId="496DF9EF" w14:textId="77777777" w:rsidR="00612C30" w:rsidRDefault="00612C30" w:rsidP="004C704C">
      <w:pPr>
        <w:spacing w:after="0" w:line="240" w:lineRule="auto"/>
        <w:jc w:val="both"/>
        <w:rPr>
          <w:rFonts w:ascii="Arial" w:eastAsia="Calibri" w:hAnsi="Arial" w:cs="Arial"/>
          <w:bCs/>
          <w:color w:val="000000" w:themeColor="text1"/>
          <w:sz w:val="20"/>
          <w:szCs w:val="20"/>
        </w:rPr>
      </w:pPr>
    </w:p>
    <w:p w14:paraId="727B5826" w14:textId="23994161" w:rsidR="00F3584F" w:rsidRDefault="00F3584F" w:rsidP="004C704C">
      <w:pPr>
        <w:spacing w:after="0" w:line="240" w:lineRule="auto"/>
        <w:jc w:val="both"/>
        <w:rPr>
          <w:rFonts w:ascii="Arial" w:eastAsia="Calibri" w:hAnsi="Arial" w:cs="Arial"/>
          <w:bCs/>
          <w:color w:val="000000" w:themeColor="text1"/>
          <w:sz w:val="20"/>
          <w:szCs w:val="20"/>
        </w:rPr>
      </w:pPr>
      <w:r w:rsidRPr="00F3584F">
        <w:rPr>
          <w:rFonts w:ascii="Arial" w:eastAsia="Calibri" w:hAnsi="Arial" w:cs="Arial"/>
          <w:bCs/>
          <w:color w:val="000000" w:themeColor="text1"/>
          <w:sz w:val="20"/>
          <w:szCs w:val="20"/>
        </w:rPr>
        <w:t xml:space="preserve">Sin perjuicio de lo anterior, no puede perderse de vista que la decisión de limitar «a </w:t>
      </w:r>
      <w:proofErr w:type="spellStart"/>
      <w:r w:rsidRPr="00F3584F">
        <w:rPr>
          <w:rFonts w:ascii="Arial" w:eastAsia="Calibri" w:hAnsi="Arial" w:cs="Arial"/>
          <w:bCs/>
          <w:color w:val="000000" w:themeColor="text1"/>
          <w:sz w:val="20"/>
          <w:szCs w:val="20"/>
        </w:rPr>
        <w:t>Mipyme</w:t>
      </w:r>
      <w:proofErr w:type="spellEnd"/>
      <w:r w:rsidRPr="00F3584F">
        <w:rPr>
          <w:rFonts w:ascii="Arial" w:eastAsia="Calibri" w:hAnsi="Arial" w:cs="Arial"/>
          <w:bCs/>
          <w:color w:val="000000" w:themeColor="text1"/>
          <w:sz w:val="20"/>
          <w:szCs w:val="20"/>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00F3584F">
        <w:rPr>
          <w:rFonts w:ascii="Arial" w:eastAsia="Calibri" w:hAnsi="Arial" w:cs="Arial"/>
          <w:bCs/>
          <w:color w:val="000000" w:themeColor="text1"/>
          <w:sz w:val="20"/>
          <w:szCs w:val="20"/>
        </w:rPr>
        <w:t>Mipymes</w:t>
      </w:r>
      <w:proofErr w:type="spellEnd"/>
      <w:r w:rsidRPr="00F3584F">
        <w:rPr>
          <w:rFonts w:ascii="Arial" w:eastAsia="Calibri" w:hAnsi="Arial" w:cs="Arial"/>
          <w:bCs/>
          <w:color w:val="000000" w:themeColor="text1"/>
          <w:sz w:val="20"/>
          <w:szCs w:val="20"/>
        </w:rPr>
        <w:t xml:space="preserve">, no puede motu propio proceder con la «limitación territorial» de que trata el artículo 2.2.1.2.4.2.3. del Decreto 1082 de 2015. Esto debido a que el ejercicio de esta facultad solo puede darse ante la «limitación a </w:t>
      </w:r>
      <w:proofErr w:type="spellStart"/>
      <w:r w:rsidRPr="00F3584F">
        <w:rPr>
          <w:rFonts w:ascii="Arial" w:eastAsia="Calibri" w:hAnsi="Arial" w:cs="Arial"/>
          <w:bCs/>
          <w:color w:val="000000" w:themeColor="text1"/>
          <w:sz w:val="20"/>
          <w:szCs w:val="20"/>
        </w:rPr>
        <w:t>Mipymes</w:t>
      </w:r>
      <w:proofErr w:type="spellEnd"/>
      <w:r w:rsidRPr="00F3584F">
        <w:rPr>
          <w:rFonts w:ascii="Arial" w:eastAsia="Calibri" w:hAnsi="Arial" w:cs="Arial"/>
          <w:bCs/>
          <w:color w:val="000000" w:themeColor="text1"/>
          <w:sz w:val="20"/>
          <w:szCs w:val="20"/>
        </w:rPr>
        <w:t xml:space="preserve"> colombianas», lo cual supone verificar los supuestos legales establecidos en los mencionados numerales.</w:t>
      </w:r>
    </w:p>
    <w:p w14:paraId="698E8E1B" w14:textId="77777777" w:rsidR="004C704C" w:rsidRPr="004C704C" w:rsidRDefault="004C704C" w:rsidP="004C704C">
      <w:pPr>
        <w:spacing w:after="0" w:line="240" w:lineRule="auto"/>
        <w:jc w:val="both"/>
        <w:rPr>
          <w:rFonts w:ascii="Arial" w:eastAsia="Calibri" w:hAnsi="Arial" w:cs="Arial"/>
          <w:bCs/>
          <w:color w:val="000000" w:themeColor="text1"/>
          <w:sz w:val="20"/>
          <w:szCs w:val="20"/>
        </w:rPr>
      </w:pPr>
    </w:p>
    <w:p w14:paraId="6AD8741F" w14:textId="7CDE2D43" w:rsidR="009123B7" w:rsidRPr="009123B7" w:rsidRDefault="009123B7" w:rsidP="009123B7">
      <w:pPr>
        <w:jc w:val="both"/>
        <w:rPr>
          <w:rFonts w:ascii="Arial" w:eastAsia="Calibri" w:hAnsi="Arial" w:cs="Arial"/>
          <w:b/>
          <w:color w:val="000000" w:themeColor="text1"/>
        </w:rPr>
      </w:pPr>
      <w:r w:rsidRPr="009123B7">
        <w:rPr>
          <w:rFonts w:ascii="Arial" w:eastAsia="Calibri" w:hAnsi="Arial" w:cs="Arial"/>
          <w:b/>
          <w:color w:val="000000" w:themeColor="text1"/>
        </w:rPr>
        <w:t>MENOR CUANTÍA – Selección abreviada – Modalidad – Regulación</w:t>
      </w:r>
      <w:r w:rsidR="00582ED3" w:rsidRPr="009123B7">
        <w:rPr>
          <w:rFonts w:ascii="Arial" w:eastAsia="Calibri" w:hAnsi="Arial" w:cs="Arial"/>
          <w:b/>
          <w:color w:val="000000" w:themeColor="text1"/>
        </w:rPr>
        <w:t xml:space="preserve"> – </w:t>
      </w:r>
      <w:r w:rsidR="00582ED3">
        <w:rPr>
          <w:rFonts w:ascii="Arial" w:eastAsia="Calibri" w:hAnsi="Arial" w:cs="Arial"/>
          <w:b/>
          <w:color w:val="000000" w:themeColor="text1"/>
        </w:rPr>
        <w:t>Sorteo</w:t>
      </w:r>
      <w:r w:rsidRPr="009123B7">
        <w:rPr>
          <w:rFonts w:ascii="Arial" w:eastAsia="Calibri" w:hAnsi="Arial" w:cs="Arial"/>
          <w:b/>
          <w:color w:val="000000" w:themeColor="text1"/>
        </w:rPr>
        <w:t xml:space="preserve"> </w:t>
      </w:r>
    </w:p>
    <w:p w14:paraId="1271C3C1" w14:textId="1A9C6223" w:rsidR="009123B7" w:rsidRPr="009123B7" w:rsidRDefault="009123B7" w:rsidP="009123B7">
      <w:pPr>
        <w:spacing w:after="120" w:line="240" w:lineRule="auto"/>
        <w:jc w:val="both"/>
        <w:rPr>
          <w:rFonts w:ascii="Arial" w:eastAsia="Calibri" w:hAnsi="Arial" w:cs="Arial"/>
          <w:bCs/>
          <w:color w:val="000000" w:themeColor="text1"/>
          <w:sz w:val="20"/>
          <w:szCs w:val="20"/>
        </w:rPr>
      </w:pPr>
      <w:r w:rsidRPr="009123B7">
        <w:rPr>
          <w:rFonts w:ascii="Arial" w:eastAsia="Calibri" w:hAnsi="Arial" w:cs="Arial"/>
          <w:bCs/>
          <w:color w:val="000000" w:themeColor="text1"/>
          <w:sz w:val="20"/>
          <w:szCs w:val="20"/>
        </w:rPr>
        <w:t xml:space="preserve">El artículo 2°, numeral 2°, literal b, de la Ley 1150 de 2007 estableció la contratación de menor cuantía como causal del procedimiento de escogencia de contratistas denominado selección abreviada. Por su parte, el artículo 2.2.1.2.1.2.20 del Decreto 1082 de 2015 adoptó el procedimiento que debe adelantar toda entidad estatal contratante bajo la mencionada modalidad de selección abreviada de menor cuantía. </w:t>
      </w:r>
    </w:p>
    <w:p w14:paraId="316F8008" w14:textId="7DB8EBAA" w:rsidR="009123B7" w:rsidRPr="009123B7" w:rsidRDefault="009123B7" w:rsidP="009123B7">
      <w:pPr>
        <w:spacing w:line="240" w:lineRule="auto"/>
        <w:jc w:val="both"/>
        <w:rPr>
          <w:rFonts w:ascii="Arial" w:eastAsia="Calibri" w:hAnsi="Arial" w:cs="Arial"/>
          <w:bCs/>
          <w:color w:val="000000" w:themeColor="text1"/>
          <w:sz w:val="20"/>
          <w:szCs w:val="20"/>
        </w:rPr>
      </w:pPr>
      <w:r w:rsidRPr="009123B7">
        <w:rPr>
          <w:rFonts w:ascii="Arial" w:eastAsia="Calibri" w:hAnsi="Arial" w:cs="Arial"/>
          <w:bCs/>
          <w:color w:val="000000" w:themeColor="text1"/>
          <w:sz w:val="20"/>
          <w:szCs w:val="20"/>
        </w:rPr>
        <w:t>El numeral 2° de dicha disposición señaló que en caso de que haya recibido más de 10 manifestaciones de interés de participar en un proceso contractual de selección abreviada de menor cuantía, la entidad estatal tiene la potestad de determinar en el pliego de condiciones si continúa con todos los que hayan expresado interés, o si efectúa un sorteo para seleccionar máximo 10 interesados con quienes continuará el proceso de selección. Y si adopta la decisión de celebrar un sorteo, agreg</w:t>
      </w:r>
      <w:r w:rsidR="00612C30">
        <w:rPr>
          <w:rFonts w:ascii="Arial" w:eastAsia="Calibri" w:hAnsi="Arial" w:cs="Arial"/>
          <w:bCs/>
          <w:color w:val="000000" w:themeColor="text1"/>
          <w:sz w:val="20"/>
          <w:szCs w:val="20"/>
        </w:rPr>
        <w:t>a</w:t>
      </w:r>
      <w:r w:rsidRPr="009123B7">
        <w:rPr>
          <w:rFonts w:ascii="Arial" w:eastAsia="Calibri" w:hAnsi="Arial" w:cs="Arial"/>
          <w:bCs/>
          <w:color w:val="000000" w:themeColor="text1"/>
          <w:sz w:val="20"/>
          <w:szCs w:val="20"/>
        </w:rPr>
        <w:t xml:space="preserve"> la norma, también en el pliego debe fijar el procedimiento como lo llevará a cabo.</w:t>
      </w:r>
    </w:p>
    <w:p w14:paraId="5E94E178" w14:textId="0A2B7BD0" w:rsidR="009123B7" w:rsidRPr="00A377C0" w:rsidRDefault="00612C30" w:rsidP="00612C30">
      <w:pPr>
        <w:spacing w:after="120" w:line="240" w:lineRule="auto"/>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S</w:t>
      </w:r>
      <w:r w:rsidRPr="00612C30">
        <w:rPr>
          <w:rFonts w:ascii="Arial" w:eastAsia="Calibri" w:hAnsi="Arial" w:cs="Arial"/>
          <w:bCs/>
          <w:color w:val="000000" w:themeColor="text1"/>
          <w:sz w:val="20"/>
          <w:szCs w:val="20"/>
        </w:rPr>
        <w:t xml:space="preserve">i el procedimiento de selección abreviada de menor cuantía no se ha limitado a </w:t>
      </w:r>
      <w:proofErr w:type="spellStart"/>
      <w:r w:rsidRPr="00612C30">
        <w:rPr>
          <w:rFonts w:ascii="Arial" w:eastAsia="Calibri" w:hAnsi="Arial" w:cs="Arial"/>
          <w:bCs/>
          <w:color w:val="000000" w:themeColor="text1"/>
          <w:sz w:val="20"/>
          <w:szCs w:val="20"/>
        </w:rPr>
        <w:t>mipymes</w:t>
      </w:r>
      <w:proofErr w:type="spellEnd"/>
      <w:r w:rsidRPr="00612C30">
        <w:rPr>
          <w:rFonts w:ascii="Arial" w:eastAsia="Calibri" w:hAnsi="Arial" w:cs="Arial"/>
          <w:bCs/>
          <w:color w:val="000000" w:themeColor="text1"/>
          <w:sz w:val="20"/>
          <w:szCs w:val="20"/>
        </w:rPr>
        <w:t xml:space="preserve"> territoriales –por no concurrir los requisitos legales y reglamentarios que fueron explicados–, la entidad estatal debe realizar el sorteo para determinar el número máximo de diez (10) interesados entre todos los que manifestaron interés. Por otra parte, también es posible concluir que las normas del procedimiento de selección abreviada de menor cuantía no permiten restringir ese número de </w:t>
      </w:r>
      <w:r w:rsidRPr="00612C30">
        <w:rPr>
          <w:rFonts w:ascii="Arial" w:eastAsia="Calibri" w:hAnsi="Arial" w:cs="Arial"/>
          <w:bCs/>
          <w:color w:val="000000" w:themeColor="text1"/>
          <w:sz w:val="20"/>
          <w:szCs w:val="20"/>
        </w:rPr>
        <w:lastRenderedPageBreak/>
        <w:t xml:space="preserve">interesados a los potenciales oferentes de una región. El caso estudiado de la limitación territorial a </w:t>
      </w:r>
      <w:proofErr w:type="spellStart"/>
      <w:r w:rsidRPr="00612C30">
        <w:rPr>
          <w:rFonts w:ascii="Arial" w:eastAsia="Calibri" w:hAnsi="Arial" w:cs="Arial"/>
          <w:bCs/>
          <w:color w:val="000000" w:themeColor="text1"/>
          <w:sz w:val="20"/>
          <w:szCs w:val="20"/>
        </w:rPr>
        <w:t>mipymes</w:t>
      </w:r>
      <w:proofErr w:type="spellEnd"/>
      <w:r w:rsidRPr="00612C30">
        <w:rPr>
          <w:rFonts w:ascii="Arial" w:eastAsia="Calibri" w:hAnsi="Arial" w:cs="Arial"/>
          <w:bCs/>
          <w:color w:val="000000" w:themeColor="text1"/>
          <w:sz w:val="20"/>
          <w:szCs w:val="20"/>
        </w:rPr>
        <w:t xml:space="preserve"> es especial y se comporta, por tanto, como una excepción a la regla general.</w:t>
      </w:r>
      <w:r w:rsidR="009123B7" w:rsidRPr="00A377C0">
        <w:rPr>
          <w:rFonts w:ascii="Arial" w:eastAsia="Calibri" w:hAnsi="Arial" w:cs="Arial"/>
          <w:bCs/>
          <w:color w:val="000000" w:themeColor="text1"/>
          <w:sz w:val="20"/>
          <w:szCs w:val="20"/>
        </w:rPr>
        <w:t xml:space="preserve"> </w:t>
      </w:r>
    </w:p>
    <w:p w14:paraId="1333B61F" w14:textId="77777777" w:rsidR="00881F9F" w:rsidRPr="00510BFB" w:rsidRDefault="00881F9F" w:rsidP="00233261">
      <w:pPr>
        <w:tabs>
          <w:tab w:val="left" w:pos="3374"/>
        </w:tabs>
        <w:spacing w:after="0" w:line="240" w:lineRule="auto"/>
        <w:rPr>
          <w:rFonts w:ascii="Arial" w:eastAsia="Calibri" w:hAnsi="Arial" w:cs="Arial"/>
          <w:sz w:val="20"/>
          <w:szCs w:val="20"/>
          <w:lang w:val="es-ES_tradnl"/>
        </w:rPr>
      </w:pPr>
    </w:p>
    <w:p w14:paraId="41DE7FF4" w14:textId="77777777" w:rsidR="00881F9F" w:rsidRPr="00510BFB" w:rsidRDefault="00881F9F" w:rsidP="00233261">
      <w:pPr>
        <w:tabs>
          <w:tab w:val="left" w:pos="3374"/>
        </w:tabs>
        <w:spacing w:after="0" w:line="240" w:lineRule="auto"/>
        <w:rPr>
          <w:rFonts w:ascii="Arial" w:eastAsia="Calibri" w:hAnsi="Arial" w:cs="Arial"/>
        </w:rPr>
      </w:pPr>
    </w:p>
    <w:p w14:paraId="1615543C" w14:textId="77777777" w:rsidR="003120AF" w:rsidRPr="00510BFB" w:rsidRDefault="003120AF" w:rsidP="003816CD">
      <w:pPr>
        <w:tabs>
          <w:tab w:val="left" w:pos="3374"/>
        </w:tabs>
        <w:spacing w:after="0" w:line="240" w:lineRule="auto"/>
        <w:rPr>
          <w:rFonts w:ascii="Arial" w:eastAsia="Calibri" w:hAnsi="Arial" w:cs="Arial"/>
        </w:rPr>
      </w:pPr>
    </w:p>
    <w:p w14:paraId="7059FE0D" w14:textId="77777777" w:rsidR="003120AF" w:rsidRPr="00510BFB" w:rsidRDefault="003120AF" w:rsidP="003816CD">
      <w:pPr>
        <w:tabs>
          <w:tab w:val="left" w:pos="3374"/>
        </w:tabs>
        <w:spacing w:after="0" w:line="240" w:lineRule="auto"/>
        <w:rPr>
          <w:rFonts w:ascii="Arial" w:eastAsia="Calibri" w:hAnsi="Arial" w:cs="Arial"/>
        </w:rPr>
      </w:pPr>
    </w:p>
    <w:p w14:paraId="4D5D3470" w14:textId="77777777" w:rsidR="003120AF" w:rsidRPr="00510BFB" w:rsidRDefault="003120AF" w:rsidP="003816CD">
      <w:pPr>
        <w:tabs>
          <w:tab w:val="left" w:pos="3374"/>
        </w:tabs>
        <w:spacing w:after="0" w:line="240" w:lineRule="auto"/>
        <w:rPr>
          <w:rFonts w:ascii="Arial" w:eastAsia="Calibri" w:hAnsi="Arial" w:cs="Arial"/>
        </w:rPr>
      </w:pPr>
    </w:p>
    <w:p w14:paraId="3520D39A" w14:textId="77777777" w:rsidR="003120AF" w:rsidRPr="00510BFB" w:rsidRDefault="003120AF" w:rsidP="003816CD">
      <w:pPr>
        <w:tabs>
          <w:tab w:val="left" w:pos="3374"/>
        </w:tabs>
        <w:spacing w:after="0" w:line="240" w:lineRule="auto"/>
        <w:rPr>
          <w:rFonts w:ascii="Arial" w:eastAsia="Calibri" w:hAnsi="Arial" w:cs="Arial"/>
        </w:rPr>
      </w:pPr>
    </w:p>
    <w:p w14:paraId="2C688F64" w14:textId="77777777" w:rsidR="003120AF" w:rsidRPr="00510BFB" w:rsidRDefault="003120AF" w:rsidP="003816CD">
      <w:pPr>
        <w:tabs>
          <w:tab w:val="left" w:pos="3374"/>
        </w:tabs>
        <w:spacing w:after="0" w:line="240" w:lineRule="auto"/>
        <w:rPr>
          <w:rFonts w:ascii="Arial" w:eastAsia="Calibri" w:hAnsi="Arial" w:cs="Arial"/>
        </w:rPr>
      </w:pPr>
    </w:p>
    <w:p w14:paraId="543B03D7" w14:textId="77777777" w:rsidR="003120AF" w:rsidRPr="00510BFB" w:rsidRDefault="003120AF" w:rsidP="003816CD">
      <w:pPr>
        <w:tabs>
          <w:tab w:val="left" w:pos="3374"/>
        </w:tabs>
        <w:spacing w:after="0" w:line="240" w:lineRule="auto"/>
        <w:rPr>
          <w:rFonts w:ascii="Arial" w:eastAsia="Calibri" w:hAnsi="Arial" w:cs="Arial"/>
        </w:rPr>
      </w:pPr>
    </w:p>
    <w:p w14:paraId="1AE20641" w14:textId="77777777" w:rsidR="003120AF" w:rsidRPr="00510BFB" w:rsidRDefault="003120AF" w:rsidP="003816CD">
      <w:pPr>
        <w:tabs>
          <w:tab w:val="left" w:pos="3374"/>
        </w:tabs>
        <w:spacing w:after="0" w:line="240" w:lineRule="auto"/>
        <w:rPr>
          <w:rFonts w:ascii="Arial" w:eastAsia="Calibri" w:hAnsi="Arial" w:cs="Arial"/>
        </w:rPr>
      </w:pPr>
    </w:p>
    <w:p w14:paraId="3BF5FA9D" w14:textId="77777777" w:rsidR="003120AF" w:rsidRPr="00510BFB" w:rsidRDefault="003120AF" w:rsidP="003816CD">
      <w:pPr>
        <w:tabs>
          <w:tab w:val="left" w:pos="3374"/>
        </w:tabs>
        <w:spacing w:after="0" w:line="240" w:lineRule="auto"/>
        <w:rPr>
          <w:rFonts w:ascii="Arial" w:eastAsia="Calibri" w:hAnsi="Arial" w:cs="Arial"/>
        </w:rPr>
      </w:pPr>
    </w:p>
    <w:p w14:paraId="0F812242" w14:textId="77777777" w:rsidR="003120AF" w:rsidRPr="00510BFB" w:rsidRDefault="003120AF" w:rsidP="003816CD">
      <w:pPr>
        <w:tabs>
          <w:tab w:val="left" w:pos="3374"/>
        </w:tabs>
        <w:spacing w:after="0" w:line="240" w:lineRule="auto"/>
        <w:rPr>
          <w:rFonts w:ascii="Arial" w:eastAsia="Calibri" w:hAnsi="Arial" w:cs="Arial"/>
        </w:rPr>
      </w:pPr>
    </w:p>
    <w:p w14:paraId="30B5D8B9" w14:textId="77777777" w:rsidR="003120AF" w:rsidRPr="00510BFB" w:rsidRDefault="003120AF" w:rsidP="003816CD">
      <w:pPr>
        <w:tabs>
          <w:tab w:val="left" w:pos="3374"/>
        </w:tabs>
        <w:spacing w:after="0" w:line="240" w:lineRule="auto"/>
        <w:rPr>
          <w:rFonts w:ascii="Arial" w:eastAsia="Calibri" w:hAnsi="Arial" w:cs="Arial"/>
        </w:rPr>
      </w:pPr>
    </w:p>
    <w:p w14:paraId="1D93DC9E" w14:textId="581D5B4C" w:rsidR="003602F7" w:rsidRPr="00510BFB" w:rsidRDefault="003602F7" w:rsidP="003816CD">
      <w:pPr>
        <w:tabs>
          <w:tab w:val="left" w:pos="3374"/>
        </w:tabs>
        <w:spacing w:after="0" w:line="240" w:lineRule="auto"/>
        <w:rPr>
          <w:rFonts w:ascii="Arial" w:eastAsia="Calibri" w:hAnsi="Arial" w:cs="Arial"/>
        </w:rPr>
      </w:pPr>
    </w:p>
    <w:p w14:paraId="0A2B09A8" w14:textId="77777777" w:rsidR="00EE6ED7" w:rsidRPr="00510BFB" w:rsidRDefault="00EE6ED7" w:rsidP="003816CD">
      <w:pPr>
        <w:tabs>
          <w:tab w:val="left" w:pos="3374"/>
        </w:tabs>
        <w:spacing w:after="0" w:line="240" w:lineRule="auto"/>
        <w:rPr>
          <w:rFonts w:ascii="Arial" w:eastAsia="Calibri" w:hAnsi="Arial" w:cs="Arial"/>
        </w:rPr>
      </w:pPr>
    </w:p>
    <w:p w14:paraId="301E195F" w14:textId="77777777" w:rsidR="00EE6ED7" w:rsidRPr="00510BFB" w:rsidRDefault="00EE6ED7" w:rsidP="003816CD">
      <w:pPr>
        <w:tabs>
          <w:tab w:val="left" w:pos="3374"/>
        </w:tabs>
        <w:spacing w:after="0" w:line="240" w:lineRule="auto"/>
        <w:rPr>
          <w:rFonts w:ascii="Arial" w:eastAsia="Calibri" w:hAnsi="Arial" w:cs="Arial"/>
        </w:rPr>
      </w:pPr>
    </w:p>
    <w:p w14:paraId="0DC012DA" w14:textId="77777777" w:rsidR="00EE6ED7" w:rsidRPr="00510BFB" w:rsidRDefault="00EE6ED7" w:rsidP="003816CD">
      <w:pPr>
        <w:tabs>
          <w:tab w:val="left" w:pos="3374"/>
        </w:tabs>
        <w:spacing w:after="0" w:line="240" w:lineRule="auto"/>
        <w:rPr>
          <w:rFonts w:ascii="Arial" w:eastAsia="Calibri" w:hAnsi="Arial" w:cs="Arial"/>
        </w:rPr>
      </w:pPr>
    </w:p>
    <w:p w14:paraId="794449D3" w14:textId="4BD10DFA" w:rsidR="0096558F" w:rsidRPr="00510BFB" w:rsidRDefault="0096558F" w:rsidP="003816CD">
      <w:pPr>
        <w:tabs>
          <w:tab w:val="left" w:pos="3374"/>
        </w:tabs>
        <w:spacing w:after="0" w:line="240" w:lineRule="auto"/>
        <w:rPr>
          <w:rFonts w:ascii="Arial" w:eastAsia="Calibri" w:hAnsi="Arial" w:cs="Arial"/>
        </w:rPr>
      </w:pPr>
    </w:p>
    <w:p w14:paraId="2E120012" w14:textId="75C9D306" w:rsidR="0096558F" w:rsidRDefault="0096558F" w:rsidP="003816CD">
      <w:pPr>
        <w:tabs>
          <w:tab w:val="left" w:pos="3374"/>
        </w:tabs>
        <w:spacing w:after="0" w:line="240" w:lineRule="auto"/>
        <w:rPr>
          <w:rFonts w:ascii="Arial" w:eastAsia="Calibri" w:hAnsi="Arial" w:cs="Arial"/>
        </w:rPr>
      </w:pPr>
    </w:p>
    <w:p w14:paraId="5AB195D9" w14:textId="77777777" w:rsidR="00FD30C7" w:rsidRDefault="00FD30C7" w:rsidP="003816CD">
      <w:pPr>
        <w:tabs>
          <w:tab w:val="left" w:pos="3374"/>
        </w:tabs>
        <w:spacing w:after="0" w:line="240" w:lineRule="auto"/>
        <w:rPr>
          <w:rFonts w:ascii="Arial" w:eastAsia="Calibri" w:hAnsi="Arial" w:cs="Arial"/>
        </w:rPr>
      </w:pPr>
    </w:p>
    <w:p w14:paraId="13496719" w14:textId="5C802FDD" w:rsidR="003D144A" w:rsidRDefault="003D144A" w:rsidP="003816CD">
      <w:pPr>
        <w:tabs>
          <w:tab w:val="left" w:pos="3374"/>
        </w:tabs>
        <w:spacing w:after="0" w:line="240" w:lineRule="auto"/>
        <w:rPr>
          <w:rFonts w:ascii="Arial" w:eastAsia="Calibri" w:hAnsi="Arial" w:cs="Arial"/>
        </w:rPr>
      </w:pPr>
    </w:p>
    <w:p w14:paraId="5F64BBB6" w14:textId="77777777" w:rsidR="00C34E0E" w:rsidRDefault="00C34E0E" w:rsidP="009C3E5C">
      <w:pPr>
        <w:tabs>
          <w:tab w:val="left" w:pos="3374"/>
        </w:tabs>
        <w:spacing w:after="0" w:line="240" w:lineRule="auto"/>
        <w:rPr>
          <w:rFonts w:ascii="Arial" w:eastAsia="Calibri" w:hAnsi="Arial" w:cs="Arial"/>
        </w:rPr>
      </w:pPr>
    </w:p>
    <w:p w14:paraId="3B58A711" w14:textId="77777777" w:rsidR="00C34E0E" w:rsidRDefault="00C34E0E" w:rsidP="009C3E5C">
      <w:pPr>
        <w:tabs>
          <w:tab w:val="left" w:pos="3374"/>
        </w:tabs>
        <w:spacing w:after="0" w:line="240" w:lineRule="auto"/>
        <w:rPr>
          <w:rFonts w:ascii="Arial" w:eastAsia="Calibri" w:hAnsi="Arial" w:cs="Arial"/>
        </w:rPr>
      </w:pPr>
    </w:p>
    <w:p w14:paraId="5C84A593" w14:textId="77777777" w:rsidR="00C34E0E" w:rsidRDefault="00C34E0E" w:rsidP="009C3E5C">
      <w:pPr>
        <w:tabs>
          <w:tab w:val="left" w:pos="3374"/>
        </w:tabs>
        <w:spacing w:after="0" w:line="240" w:lineRule="auto"/>
        <w:rPr>
          <w:rFonts w:ascii="Arial" w:eastAsia="Calibri" w:hAnsi="Arial" w:cs="Arial"/>
        </w:rPr>
      </w:pPr>
    </w:p>
    <w:p w14:paraId="520A1B97" w14:textId="77777777" w:rsidR="00C34E0E" w:rsidRDefault="00C34E0E">
      <w:pPr>
        <w:rPr>
          <w:rFonts w:ascii="Arial" w:eastAsia="Calibri" w:hAnsi="Arial" w:cs="Arial"/>
        </w:rPr>
      </w:pPr>
      <w:r>
        <w:rPr>
          <w:rFonts w:ascii="Arial" w:eastAsia="Calibri" w:hAnsi="Arial" w:cs="Arial"/>
        </w:rPr>
        <w:br w:type="page"/>
      </w:r>
    </w:p>
    <w:p w14:paraId="155C4509" w14:textId="1670CAE8" w:rsidR="001B5553" w:rsidRDefault="00AE1C0A" w:rsidP="009C3E5C">
      <w:pPr>
        <w:tabs>
          <w:tab w:val="left" w:pos="3374"/>
        </w:tabs>
        <w:spacing w:after="0" w:line="240" w:lineRule="auto"/>
        <w:rPr>
          <w:rFonts w:ascii="Arial" w:eastAsia="Calibri" w:hAnsi="Arial" w:cs="Arial"/>
        </w:rPr>
      </w:pPr>
      <w:r>
        <w:rPr>
          <w:rFonts w:ascii="Arial" w:eastAsia="Calibri" w:hAnsi="Arial" w:cs="Arial"/>
        </w:rPr>
        <w:lastRenderedPageBreak/>
        <w:t xml:space="preserve">Bogotá D.C., </w:t>
      </w:r>
      <w:r w:rsidR="00834ECB">
        <w:rPr>
          <w:rFonts w:ascii="Arial" w:eastAsia="Calibri" w:hAnsi="Arial" w:cs="Arial"/>
        </w:rPr>
        <w:t>10 de octubre</w:t>
      </w:r>
      <w:r>
        <w:rPr>
          <w:rFonts w:ascii="Arial" w:eastAsia="Calibri" w:hAnsi="Arial" w:cs="Arial"/>
        </w:rPr>
        <w:t xml:space="preserve"> de 2022</w:t>
      </w:r>
    </w:p>
    <w:p w14:paraId="0024E021" w14:textId="21B70E28" w:rsidR="00E4094E" w:rsidRDefault="00E4094E" w:rsidP="009C3E5C">
      <w:pPr>
        <w:tabs>
          <w:tab w:val="left" w:pos="3374"/>
        </w:tabs>
        <w:spacing w:after="0" w:line="240" w:lineRule="auto"/>
        <w:rPr>
          <w:rFonts w:ascii="Arial" w:eastAsia="Calibri" w:hAnsi="Arial" w:cs="Arial"/>
        </w:rPr>
      </w:pPr>
    </w:p>
    <w:p w14:paraId="06A6E8E8" w14:textId="77777777" w:rsidR="00E4094E" w:rsidRDefault="00E4094E" w:rsidP="009C3E5C">
      <w:pPr>
        <w:tabs>
          <w:tab w:val="left" w:pos="3374"/>
        </w:tabs>
        <w:spacing w:after="0" w:line="240" w:lineRule="auto"/>
        <w:rPr>
          <w:rFonts w:ascii="Arial" w:eastAsia="Calibri" w:hAnsi="Arial" w:cs="Arial"/>
        </w:rPr>
      </w:pPr>
    </w:p>
    <w:p w14:paraId="64478FE4" w14:textId="33FC36A2" w:rsidR="00AE1C0A" w:rsidRDefault="00E4094E" w:rsidP="00E4094E">
      <w:pPr>
        <w:tabs>
          <w:tab w:val="left" w:pos="3374"/>
        </w:tabs>
        <w:spacing w:after="0" w:line="240" w:lineRule="auto"/>
        <w:jc w:val="right"/>
        <w:rPr>
          <w:rFonts w:ascii="Arial" w:eastAsia="Calibri" w:hAnsi="Arial" w:cs="Arial"/>
        </w:rPr>
      </w:pPr>
      <w:r>
        <w:rPr>
          <w:noProof/>
        </w:rPr>
        <w:drawing>
          <wp:inline distT="0" distB="0" distL="0" distR="0" wp14:anchorId="6DC8B519" wp14:editId="50F0B23A">
            <wp:extent cx="2956832" cy="7810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6011" t="47359" r="18762" b="31390"/>
                    <a:stretch/>
                  </pic:blipFill>
                  <pic:spPr bwMode="auto">
                    <a:xfrm>
                      <a:off x="0" y="0"/>
                      <a:ext cx="2962129" cy="782449"/>
                    </a:xfrm>
                    <a:prstGeom prst="rect">
                      <a:avLst/>
                    </a:prstGeom>
                    <a:ln>
                      <a:noFill/>
                    </a:ln>
                    <a:extLst>
                      <a:ext uri="{53640926-AAD7-44D8-BBD7-CCE9431645EC}">
                        <a14:shadowObscured xmlns:a14="http://schemas.microsoft.com/office/drawing/2010/main"/>
                      </a:ext>
                    </a:extLst>
                  </pic:spPr>
                </pic:pic>
              </a:graphicData>
            </a:graphic>
          </wp:inline>
        </w:drawing>
      </w:r>
    </w:p>
    <w:p w14:paraId="3C01B9D7" w14:textId="44C377D4" w:rsidR="00AE1C0A" w:rsidRDefault="00AE1C0A" w:rsidP="00AE1C0A">
      <w:pPr>
        <w:tabs>
          <w:tab w:val="left" w:pos="3374"/>
        </w:tabs>
        <w:spacing w:after="0" w:line="240" w:lineRule="auto"/>
        <w:jc w:val="right"/>
        <w:rPr>
          <w:rFonts w:ascii="Arial" w:eastAsia="Calibri" w:hAnsi="Arial" w:cs="Arial"/>
        </w:rPr>
      </w:pPr>
    </w:p>
    <w:p w14:paraId="399C47A4" w14:textId="74DE1A41" w:rsidR="00137E23" w:rsidRPr="00510BFB" w:rsidRDefault="00137E23" w:rsidP="009C3E5C">
      <w:pPr>
        <w:tabs>
          <w:tab w:val="left" w:pos="3374"/>
        </w:tabs>
        <w:spacing w:after="0" w:line="240" w:lineRule="auto"/>
        <w:rPr>
          <w:rFonts w:ascii="Arial" w:eastAsia="Calibri" w:hAnsi="Arial" w:cs="Arial"/>
        </w:rPr>
      </w:pPr>
      <w:r w:rsidRPr="00510BFB">
        <w:rPr>
          <w:rFonts w:ascii="Arial" w:eastAsia="Calibri" w:hAnsi="Arial" w:cs="Arial"/>
        </w:rPr>
        <w:t>Señor</w:t>
      </w:r>
    </w:p>
    <w:p w14:paraId="6FCBA3AD" w14:textId="564A8E0B" w:rsidR="009C3E5C" w:rsidRDefault="009C3E5C" w:rsidP="009C3E5C">
      <w:pPr>
        <w:spacing w:after="0" w:line="240" w:lineRule="auto"/>
        <w:rPr>
          <w:rFonts w:ascii="Arial" w:eastAsia="Calibri" w:hAnsi="Arial" w:cs="Arial"/>
          <w:b/>
          <w:bCs/>
        </w:rPr>
      </w:pPr>
      <w:r w:rsidRPr="009C3E5C">
        <w:rPr>
          <w:rFonts w:ascii="Arial" w:eastAsia="Calibri" w:hAnsi="Arial" w:cs="Arial"/>
          <w:b/>
          <w:bCs/>
        </w:rPr>
        <w:t>J</w:t>
      </w:r>
      <w:r w:rsidR="00DB2E70">
        <w:rPr>
          <w:rFonts w:ascii="Arial" w:eastAsia="Calibri" w:hAnsi="Arial" w:cs="Arial"/>
          <w:b/>
          <w:bCs/>
        </w:rPr>
        <w:t>aime Arturo Villabona Pérez</w:t>
      </w:r>
    </w:p>
    <w:p w14:paraId="66CD8E24" w14:textId="1F366953" w:rsidR="006D3709" w:rsidRPr="0091464A" w:rsidRDefault="00DB2E70" w:rsidP="009C3E5C">
      <w:pPr>
        <w:spacing w:after="0" w:line="240" w:lineRule="auto"/>
        <w:rPr>
          <w:rFonts w:ascii="Arial" w:eastAsia="Calibri" w:hAnsi="Arial" w:cs="Arial"/>
          <w:lang w:val="en-US"/>
        </w:rPr>
      </w:pPr>
      <w:proofErr w:type="spellStart"/>
      <w:r>
        <w:rPr>
          <w:rFonts w:ascii="Arial" w:eastAsia="Calibri" w:hAnsi="Arial" w:cs="Arial"/>
          <w:lang w:val="en-US"/>
        </w:rPr>
        <w:t>Cajicá</w:t>
      </w:r>
      <w:proofErr w:type="spellEnd"/>
      <w:r w:rsidR="009C3E5C" w:rsidRPr="0091464A">
        <w:rPr>
          <w:rFonts w:ascii="Arial" w:eastAsia="Calibri" w:hAnsi="Arial" w:cs="Arial"/>
          <w:lang w:val="en-US"/>
        </w:rPr>
        <w:t xml:space="preserve"> </w:t>
      </w:r>
    </w:p>
    <w:p w14:paraId="6F34B0AD" w14:textId="77777777" w:rsidR="00881F9F" w:rsidRPr="0091464A" w:rsidRDefault="00881F9F" w:rsidP="00A30642">
      <w:pPr>
        <w:ind w:left="2116" w:firstLine="708"/>
        <w:rPr>
          <w:rFonts w:ascii="Arial" w:eastAsia="Calibri" w:hAnsi="Arial" w:cs="Arial"/>
          <w:b/>
          <w:lang w:val="en-US"/>
        </w:rPr>
      </w:pPr>
    </w:p>
    <w:p w14:paraId="1F232330" w14:textId="1D6C58F1" w:rsidR="00137E23" w:rsidRPr="00510BFB" w:rsidRDefault="00137E23" w:rsidP="00A30642">
      <w:pPr>
        <w:ind w:left="2116" w:firstLine="708"/>
        <w:rPr>
          <w:rFonts w:ascii="Arial" w:eastAsia="Calibri" w:hAnsi="Arial" w:cs="Arial"/>
          <w:b/>
        </w:rPr>
      </w:pPr>
      <w:r w:rsidRPr="00510BFB">
        <w:rPr>
          <w:rFonts w:ascii="Arial" w:eastAsia="Calibri" w:hAnsi="Arial" w:cs="Arial"/>
          <w:b/>
        </w:rPr>
        <w:t>Concepto C –</w:t>
      </w:r>
      <w:r w:rsidR="009C3E5C">
        <w:rPr>
          <w:rFonts w:ascii="Arial" w:eastAsia="Calibri" w:hAnsi="Arial" w:cs="Arial"/>
          <w:b/>
        </w:rPr>
        <w:t xml:space="preserve"> </w:t>
      </w:r>
      <w:r w:rsidR="00DB2E70">
        <w:rPr>
          <w:rFonts w:ascii="Arial" w:eastAsia="Calibri" w:hAnsi="Arial" w:cs="Arial"/>
          <w:b/>
        </w:rPr>
        <w:t>643</w:t>
      </w:r>
      <w:r w:rsidR="009C3E5C">
        <w:rPr>
          <w:rFonts w:ascii="Arial" w:eastAsia="Calibri" w:hAnsi="Arial" w:cs="Arial"/>
          <w:b/>
        </w:rPr>
        <w:t xml:space="preserve"> </w:t>
      </w:r>
      <w:r w:rsidRPr="00510BFB">
        <w:rPr>
          <w:rFonts w:ascii="Arial" w:eastAsia="Calibri" w:hAnsi="Arial" w:cs="Arial"/>
          <w:b/>
        </w:rPr>
        <w:t>de 202</w:t>
      </w:r>
      <w:r w:rsidR="000E0118" w:rsidRPr="00510BFB">
        <w:rPr>
          <w:rFonts w:ascii="Arial" w:eastAsia="Calibri" w:hAnsi="Arial" w:cs="Arial"/>
          <w:b/>
        </w:rPr>
        <w:t>2</w:t>
      </w:r>
    </w:p>
    <w:p w14:paraId="6F6F9187" w14:textId="0BCDC4BC" w:rsidR="00A81A2D" w:rsidRPr="00A81A2D" w:rsidRDefault="00A30642" w:rsidP="00A81A2D">
      <w:pPr>
        <w:ind w:left="2824" w:hanging="2824"/>
        <w:jc w:val="both"/>
        <w:rPr>
          <w:rFonts w:ascii="Arial" w:eastAsia="Calibri" w:hAnsi="Arial" w:cs="Arial"/>
          <w:bCs/>
          <w:color w:val="000000" w:themeColor="text1"/>
          <w:lang w:val="es-ES_tradnl"/>
        </w:rPr>
      </w:pPr>
      <w:r w:rsidRPr="00510BFB">
        <w:rPr>
          <w:rFonts w:ascii="Arial" w:eastAsia="Calibri" w:hAnsi="Arial" w:cs="Arial"/>
          <w:b/>
          <w:noProof/>
          <w:color w:val="1A1A1A" w:themeColor="background1" w:themeShade="1A"/>
          <w:lang w:val="es-ES_tradnl"/>
        </w:rPr>
        <w:t>Temas</w:t>
      </w:r>
      <w:r w:rsidRPr="00510BFB">
        <w:rPr>
          <w:rFonts w:ascii="Arial" w:eastAsia="Calibri" w:hAnsi="Arial" w:cs="Arial"/>
          <w:bCs/>
          <w:noProof/>
          <w:color w:val="1A1A1A" w:themeColor="background1" w:themeShade="1A"/>
          <w:lang w:val="es-ES_tradnl"/>
        </w:rPr>
        <w:t xml:space="preserve">: </w:t>
      </w:r>
      <w:r w:rsidRPr="00510BFB">
        <w:rPr>
          <w:rFonts w:ascii="Arial" w:eastAsia="Calibri" w:hAnsi="Arial" w:cs="Arial"/>
          <w:bCs/>
          <w:noProof/>
          <w:color w:val="1A1A1A" w:themeColor="background1" w:themeShade="1A"/>
          <w:lang w:val="es-ES_tradnl"/>
        </w:rPr>
        <w:tab/>
      </w:r>
      <w:r w:rsidR="009C3E5C">
        <w:rPr>
          <w:rFonts w:ascii="Arial" w:eastAsia="Calibri" w:hAnsi="Arial" w:cs="Arial"/>
          <w:bCs/>
          <w:noProof/>
          <w:color w:val="1A1A1A" w:themeColor="background1" w:themeShade="1A"/>
          <w:lang w:val="es-ES_tradnl"/>
        </w:rPr>
        <w:tab/>
      </w:r>
      <w:r w:rsidR="00A81A2D" w:rsidRPr="00A81A2D">
        <w:rPr>
          <w:rFonts w:ascii="Arial" w:eastAsia="Calibri" w:hAnsi="Arial" w:cs="Arial"/>
          <w:bCs/>
          <w:color w:val="000000" w:themeColor="text1"/>
        </w:rPr>
        <w:t>LEY DE EMPRENDIMIENTO – Ley 2069 de 2020 – Vigencia / MIPYMES – Artículo 34 de la Ley 2069 de 2020 – artículo 5 del Decreto 1860 de 2021 Convocatorias limitadas territorialmente - Vigencia / CONVOCATORIAS LIMITADAS A MIPYMES</w:t>
      </w:r>
      <w:r w:rsidR="00133E84">
        <w:rPr>
          <w:rFonts w:ascii="Arial" w:eastAsia="Calibri" w:hAnsi="Arial" w:cs="Arial"/>
          <w:bCs/>
          <w:color w:val="000000" w:themeColor="text1"/>
        </w:rPr>
        <w:t xml:space="preserve"> </w:t>
      </w:r>
      <w:r w:rsidR="00A81A2D" w:rsidRPr="00A81A2D">
        <w:rPr>
          <w:rFonts w:ascii="Arial" w:eastAsia="Calibri" w:hAnsi="Arial" w:cs="Arial"/>
          <w:bCs/>
          <w:color w:val="000000" w:themeColor="text1"/>
        </w:rPr>
        <w:t>– Limitación territorial / MENOR CUANTÍA – Selección abreviada – Modalidad – Regulación – Sorteo</w:t>
      </w:r>
      <w:r w:rsidR="009C3E5C">
        <w:rPr>
          <w:rFonts w:ascii="Arial" w:eastAsia="Calibri" w:hAnsi="Arial" w:cs="Arial"/>
          <w:bCs/>
          <w:color w:val="000000" w:themeColor="text1"/>
          <w:lang w:val="es-ES_tradnl"/>
        </w:rPr>
        <w:t xml:space="preserve">. </w:t>
      </w:r>
    </w:p>
    <w:p w14:paraId="25B8A083" w14:textId="212CB3D7" w:rsidR="00FF5BF5" w:rsidRPr="00510BFB" w:rsidRDefault="00A30642" w:rsidP="00163D53">
      <w:pPr>
        <w:ind w:left="2824" w:hanging="2818"/>
        <w:jc w:val="both"/>
        <w:rPr>
          <w:rFonts w:ascii="Arial" w:eastAsia="Calibri" w:hAnsi="Arial" w:cs="Arial"/>
          <w:bCs/>
          <w:noProof/>
          <w:color w:val="1A1A1A" w:themeColor="background1" w:themeShade="1A"/>
          <w:lang w:val="es-ES_tradnl"/>
        </w:rPr>
      </w:pPr>
      <w:r w:rsidRPr="00510BFB">
        <w:rPr>
          <w:rFonts w:ascii="Arial" w:eastAsia="Calibri" w:hAnsi="Arial" w:cs="Arial"/>
          <w:b/>
          <w:noProof/>
          <w:color w:val="1A1A1A" w:themeColor="background1" w:themeShade="1A"/>
          <w:lang w:val="es-ES_tradnl"/>
        </w:rPr>
        <w:t>Radicación</w:t>
      </w:r>
      <w:r w:rsidRPr="00510BFB">
        <w:rPr>
          <w:rFonts w:ascii="Arial" w:eastAsia="Calibri" w:hAnsi="Arial" w:cs="Arial"/>
          <w:bCs/>
          <w:noProof/>
          <w:color w:val="1A1A1A" w:themeColor="background1" w:themeShade="1A"/>
          <w:lang w:val="es-ES_tradnl"/>
        </w:rPr>
        <w:t>:</w:t>
      </w:r>
      <w:r w:rsidRPr="00510BFB">
        <w:rPr>
          <w:rFonts w:ascii="Arial" w:eastAsia="Calibri" w:hAnsi="Arial" w:cs="Arial"/>
          <w:bCs/>
          <w:noProof/>
          <w:color w:val="1A1A1A" w:themeColor="background1" w:themeShade="1A"/>
          <w:lang w:val="es-ES_tradnl"/>
        </w:rPr>
        <w:tab/>
        <w:t xml:space="preserve">Respuesta a consulta </w:t>
      </w:r>
      <w:r w:rsidR="00F22424" w:rsidRPr="00F22424">
        <w:rPr>
          <w:rFonts w:ascii="Arial" w:eastAsia="Calibri" w:hAnsi="Arial" w:cs="Arial"/>
          <w:bCs/>
          <w:noProof/>
          <w:color w:val="1A1A1A" w:themeColor="background1" w:themeShade="1A"/>
          <w:lang w:val="es-ES_tradnl"/>
        </w:rPr>
        <w:t>P20220830008631</w:t>
      </w:r>
      <w:r w:rsidR="000D2C22">
        <w:rPr>
          <w:rFonts w:ascii="Arial" w:eastAsia="Calibri" w:hAnsi="Arial" w:cs="Arial"/>
          <w:bCs/>
          <w:noProof/>
          <w:color w:val="1A1A1A" w:themeColor="background1" w:themeShade="1A"/>
          <w:lang w:val="es-ES_tradnl"/>
        </w:rPr>
        <w:t xml:space="preserve">. </w:t>
      </w:r>
    </w:p>
    <w:p w14:paraId="2BAEA3C4" w14:textId="77777777" w:rsidR="006230E1" w:rsidRDefault="006230E1" w:rsidP="009927D7">
      <w:pPr>
        <w:tabs>
          <w:tab w:val="left" w:pos="3374"/>
        </w:tabs>
        <w:spacing w:before="120" w:after="0" w:line="276" w:lineRule="auto"/>
        <w:rPr>
          <w:rFonts w:ascii="Arial" w:eastAsia="Calibri" w:hAnsi="Arial" w:cs="Arial"/>
        </w:rPr>
      </w:pPr>
    </w:p>
    <w:p w14:paraId="5874A272" w14:textId="7B4C0DF7" w:rsidR="00137E23" w:rsidRPr="00510BFB" w:rsidRDefault="00137E23" w:rsidP="009927D7">
      <w:pPr>
        <w:tabs>
          <w:tab w:val="left" w:pos="3374"/>
        </w:tabs>
        <w:spacing w:before="120" w:after="0" w:line="276" w:lineRule="auto"/>
        <w:rPr>
          <w:rFonts w:ascii="Arial" w:eastAsia="Calibri" w:hAnsi="Arial" w:cs="Arial"/>
        </w:rPr>
      </w:pPr>
      <w:r w:rsidRPr="00510BFB">
        <w:rPr>
          <w:rFonts w:ascii="Arial" w:eastAsia="Calibri" w:hAnsi="Arial" w:cs="Arial"/>
        </w:rPr>
        <w:t>Estimad</w:t>
      </w:r>
      <w:r w:rsidR="002249F9" w:rsidRPr="00510BFB">
        <w:rPr>
          <w:rFonts w:ascii="Arial" w:eastAsia="Calibri" w:hAnsi="Arial" w:cs="Arial"/>
        </w:rPr>
        <w:t>o</w:t>
      </w:r>
      <w:r w:rsidR="00E62C8E" w:rsidRPr="00510BFB">
        <w:rPr>
          <w:rFonts w:ascii="Arial" w:eastAsia="Calibri" w:hAnsi="Arial" w:cs="Arial"/>
        </w:rPr>
        <w:t xml:space="preserve"> </w:t>
      </w:r>
      <w:r w:rsidRPr="00510BFB">
        <w:rPr>
          <w:rFonts w:ascii="Arial" w:eastAsia="Calibri" w:hAnsi="Arial" w:cs="Arial"/>
        </w:rPr>
        <w:t>señor</w:t>
      </w:r>
      <w:r w:rsidR="00830AB8" w:rsidRPr="00510BFB">
        <w:rPr>
          <w:rFonts w:ascii="Arial" w:hAnsi="Arial" w:cs="Arial"/>
          <w:b/>
          <w:bCs/>
        </w:rPr>
        <w:t xml:space="preserve"> </w:t>
      </w:r>
      <w:r w:rsidR="00F22424" w:rsidRPr="00F22424">
        <w:rPr>
          <w:rFonts w:ascii="Arial" w:eastAsia="Calibri" w:hAnsi="Arial" w:cs="Arial"/>
        </w:rPr>
        <w:t>Villabona</w:t>
      </w:r>
      <w:r w:rsidR="000D2C22">
        <w:rPr>
          <w:rFonts w:ascii="Arial" w:hAnsi="Arial" w:cs="Arial"/>
        </w:rPr>
        <w:t xml:space="preserve">, </w:t>
      </w:r>
      <w:r w:rsidR="002B5060" w:rsidRPr="00510BFB">
        <w:rPr>
          <w:rFonts w:ascii="Arial" w:hAnsi="Arial" w:cs="Arial"/>
        </w:rPr>
        <w:t xml:space="preserve"> </w:t>
      </w:r>
      <w:r w:rsidR="003A7A79" w:rsidRPr="00510BFB">
        <w:rPr>
          <w:rFonts w:ascii="Arial" w:hAnsi="Arial" w:cs="Arial"/>
        </w:rPr>
        <w:t xml:space="preserve"> </w:t>
      </w:r>
      <w:r w:rsidR="00E62C8E" w:rsidRPr="00510BFB">
        <w:rPr>
          <w:rFonts w:ascii="Arial" w:hAnsi="Arial" w:cs="Arial"/>
        </w:rPr>
        <w:t xml:space="preserve"> </w:t>
      </w:r>
      <w:r w:rsidR="005F6209" w:rsidRPr="00510BFB">
        <w:rPr>
          <w:rFonts w:ascii="Arial" w:hAnsi="Arial" w:cs="Arial"/>
          <w:b/>
          <w:bCs/>
        </w:rPr>
        <w:t xml:space="preserve"> </w:t>
      </w:r>
    </w:p>
    <w:p w14:paraId="743F6248" w14:textId="7F6F1A96" w:rsidR="00830AB8" w:rsidRPr="00510BFB" w:rsidRDefault="00423644" w:rsidP="009927D7">
      <w:pPr>
        <w:spacing w:before="120" w:after="0" w:line="276" w:lineRule="auto"/>
        <w:jc w:val="both"/>
        <w:rPr>
          <w:rFonts w:ascii="Arial" w:eastAsia="Calibri" w:hAnsi="Arial" w:cs="Arial"/>
        </w:rPr>
      </w:pPr>
      <w:r w:rsidRPr="00510BFB">
        <w:rPr>
          <w:rFonts w:ascii="Arial" w:eastAsia="Calibri" w:hAnsi="Arial" w:cs="Arial"/>
        </w:rPr>
        <w:t xml:space="preserve">En ejercicio de la competencia otorgada por el numeral 8 del artículo 11 y el numeral 5 del artículo 3 del Decreto Ley 4170 de 2011, la Agencia Nacional de Contratación Pública− Colombia Compra Eficiente responde su consulta </w:t>
      </w:r>
      <w:r w:rsidR="004052CC" w:rsidRPr="00510BFB">
        <w:rPr>
          <w:rFonts w:ascii="Arial" w:eastAsia="Calibri" w:hAnsi="Arial" w:cs="Arial"/>
        </w:rPr>
        <w:t>de fecha</w:t>
      </w:r>
      <w:r w:rsidR="00DE6321" w:rsidRPr="00510BFB">
        <w:rPr>
          <w:rFonts w:ascii="Arial" w:eastAsia="Calibri" w:hAnsi="Arial" w:cs="Arial"/>
        </w:rPr>
        <w:t xml:space="preserve"> </w:t>
      </w:r>
      <w:r w:rsidR="00CE2D0E">
        <w:rPr>
          <w:rFonts w:ascii="Arial" w:eastAsia="Calibri" w:hAnsi="Arial" w:cs="Arial"/>
        </w:rPr>
        <w:t>30</w:t>
      </w:r>
      <w:r w:rsidR="000D2C22">
        <w:rPr>
          <w:rFonts w:ascii="Arial" w:eastAsia="Calibri" w:hAnsi="Arial" w:cs="Arial"/>
        </w:rPr>
        <w:t xml:space="preserve"> </w:t>
      </w:r>
      <w:r w:rsidR="003A7A79" w:rsidRPr="00510BFB">
        <w:rPr>
          <w:rFonts w:ascii="Arial" w:eastAsia="Calibri" w:hAnsi="Arial" w:cs="Arial"/>
        </w:rPr>
        <w:t xml:space="preserve">de </w:t>
      </w:r>
      <w:r w:rsidR="00CE2D0E">
        <w:rPr>
          <w:rFonts w:ascii="Arial" w:eastAsia="Calibri" w:hAnsi="Arial" w:cs="Arial"/>
        </w:rPr>
        <w:t>agosto</w:t>
      </w:r>
      <w:r w:rsidR="003A7A79" w:rsidRPr="00510BFB">
        <w:rPr>
          <w:rFonts w:ascii="Arial" w:eastAsia="Calibri" w:hAnsi="Arial" w:cs="Arial"/>
        </w:rPr>
        <w:t xml:space="preserve"> </w:t>
      </w:r>
      <w:r w:rsidRPr="00510BFB">
        <w:rPr>
          <w:rFonts w:ascii="Arial" w:eastAsia="Calibri" w:hAnsi="Arial" w:cs="Arial"/>
        </w:rPr>
        <w:t>de 2022.</w:t>
      </w:r>
    </w:p>
    <w:p w14:paraId="2BA897AE" w14:textId="77777777" w:rsidR="009927D7" w:rsidRDefault="009927D7" w:rsidP="009927D7">
      <w:pPr>
        <w:tabs>
          <w:tab w:val="left" w:pos="284"/>
        </w:tabs>
        <w:spacing w:before="120" w:after="0" w:line="276" w:lineRule="auto"/>
        <w:contextualSpacing/>
        <w:jc w:val="both"/>
        <w:rPr>
          <w:rFonts w:ascii="Arial" w:eastAsia="Calibri" w:hAnsi="Arial" w:cs="Arial"/>
          <w:b/>
        </w:rPr>
      </w:pPr>
    </w:p>
    <w:p w14:paraId="6A56E98F" w14:textId="1B3DC483" w:rsidR="00830AB8" w:rsidRPr="00510BFB" w:rsidRDefault="00830AB8" w:rsidP="009927D7">
      <w:pPr>
        <w:tabs>
          <w:tab w:val="left" w:pos="284"/>
        </w:tabs>
        <w:spacing w:before="120" w:after="0" w:line="276" w:lineRule="auto"/>
        <w:contextualSpacing/>
        <w:jc w:val="both"/>
        <w:rPr>
          <w:rFonts w:ascii="Arial" w:eastAsia="Calibri" w:hAnsi="Arial" w:cs="Arial"/>
          <w:b/>
        </w:rPr>
      </w:pPr>
      <w:r w:rsidRPr="00510BFB">
        <w:rPr>
          <w:rFonts w:ascii="Arial" w:eastAsia="Calibri" w:hAnsi="Arial" w:cs="Arial"/>
          <w:b/>
        </w:rPr>
        <w:t xml:space="preserve">1. Problema planteado </w:t>
      </w:r>
    </w:p>
    <w:p w14:paraId="5A1430E4" w14:textId="77777777" w:rsidR="00FF5BF5" w:rsidRPr="00510BFB" w:rsidRDefault="00FF5BF5" w:rsidP="009927D7">
      <w:pPr>
        <w:spacing w:before="120" w:line="276" w:lineRule="auto"/>
        <w:jc w:val="both"/>
        <w:rPr>
          <w:rFonts w:ascii="Arial" w:hAnsi="Arial" w:cs="Arial"/>
          <w:color w:val="1A1A1A" w:themeColor="background1" w:themeShade="1A"/>
          <w:lang w:val="es-ES_tradnl"/>
        </w:rPr>
      </w:pPr>
      <w:r w:rsidRPr="00510BFB">
        <w:rPr>
          <w:rFonts w:ascii="Arial" w:hAnsi="Arial" w:cs="Arial"/>
          <w:color w:val="1A1A1A" w:themeColor="background1" w:themeShade="1A"/>
          <w:lang w:val="es-ES_tradnl"/>
        </w:rPr>
        <w:t xml:space="preserve">Usted formula la siguiente consulta: </w:t>
      </w:r>
    </w:p>
    <w:p w14:paraId="4ED53AE8" w14:textId="54F91E0A" w:rsidR="0035022D" w:rsidRPr="00484D66" w:rsidRDefault="000D2C22" w:rsidP="00484D66">
      <w:pPr>
        <w:spacing w:after="0" w:line="240" w:lineRule="auto"/>
        <w:ind w:left="709" w:right="709"/>
        <w:jc w:val="both"/>
        <w:rPr>
          <w:rFonts w:ascii="Arial" w:eastAsia="Times New Roman" w:hAnsi="Arial" w:cs="Arial"/>
          <w:color w:val="000000" w:themeColor="text1"/>
          <w:sz w:val="21"/>
          <w:szCs w:val="21"/>
          <w:lang w:eastAsia="es-ES_tradnl"/>
        </w:rPr>
      </w:pPr>
      <w:r w:rsidRPr="000D2C22">
        <w:rPr>
          <w:rFonts w:ascii="Arial" w:hAnsi="Arial" w:cs="Arial"/>
          <w:color w:val="1A1A1A" w:themeColor="background1" w:themeShade="1A"/>
          <w:sz w:val="21"/>
          <w:szCs w:val="21"/>
        </w:rPr>
        <w:t>«</w:t>
      </w:r>
      <w:r w:rsidR="00484D66" w:rsidRPr="00C023FE">
        <w:rPr>
          <w:rFonts w:ascii="Arial" w:eastAsia="Times New Roman" w:hAnsi="Arial" w:cs="Arial"/>
          <w:color w:val="000000" w:themeColor="text1"/>
          <w:sz w:val="21"/>
          <w:szCs w:val="21"/>
          <w:lang w:eastAsia="es-ES_tradnl"/>
        </w:rPr>
        <w:t>[…]</w:t>
      </w:r>
      <w:r w:rsidR="00484D66">
        <w:rPr>
          <w:rFonts w:ascii="Arial" w:eastAsia="Times New Roman" w:hAnsi="Arial" w:cs="Arial"/>
          <w:color w:val="000000" w:themeColor="text1"/>
          <w:sz w:val="21"/>
          <w:szCs w:val="21"/>
          <w:lang w:eastAsia="es-ES_tradnl"/>
        </w:rPr>
        <w:t xml:space="preserve"> </w:t>
      </w:r>
      <w:r w:rsidR="00ED7B7E" w:rsidRPr="00ED7B7E">
        <w:rPr>
          <w:rFonts w:ascii="Arial" w:hAnsi="Arial" w:cs="Arial"/>
          <w:color w:val="1A1A1A" w:themeColor="background1" w:themeShade="1A"/>
          <w:sz w:val="21"/>
          <w:szCs w:val="21"/>
        </w:rPr>
        <w:t>podrían informarme si una entidad estatal puede bajo el marco legal de la contratación pública, específicamente en los procesos de selección abreviada de menor cuantía, limitar en la selección de los 10 oferentes seleccionados a participar en proceso, a proponentes de una sola región?, por ejemplo, solo a Bucaramanga, si en los pliegos ni en el estudio previo está establecido?</w:t>
      </w:r>
      <w:r w:rsidRPr="000D2C22">
        <w:rPr>
          <w:rFonts w:ascii="Arial" w:hAnsi="Arial" w:cs="Arial"/>
          <w:color w:val="1A1A1A" w:themeColor="background1" w:themeShade="1A"/>
          <w:sz w:val="21"/>
          <w:szCs w:val="21"/>
        </w:rPr>
        <w:t>»</w:t>
      </w:r>
    </w:p>
    <w:p w14:paraId="40DB22C1" w14:textId="4C6B6381" w:rsidR="00830AB8" w:rsidRPr="00510BFB" w:rsidRDefault="00830AB8" w:rsidP="009927D7">
      <w:pPr>
        <w:spacing w:before="120" w:after="0" w:line="276" w:lineRule="auto"/>
        <w:ind w:right="709"/>
        <w:jc w:val="both"/>
        <w:rPr>
          <w:rFonts w:ascii="Arial" w:hAnsi="Arial" w:cs="Arial"/>
          <w:color w:val="1A1A1A" w:themeColor="background1" w:themeShade="1A"/>
          <w:sz w:val="21"/>
          <w:szCs w:val="21"/>
        </w:rPr>
      </w:pPr>
      <w:r w:rsidRPr="00510BFB">
        <w:rPr>
          <w:rFonts w:ascii="Arial" w:eastAsia="Calibri" w:hAnsi="Arial" w:cs="Arial"/>
          <w:b/>
        </w:rPr>
        <w:t>2. Consideraciones</w:t>
      </w:r>
    </w:p>
    <w:p w14:paraId="29FAE2FC" w14:textId="6C7B2457" w:rsidR="00E0436E" w:rsidRDefault="00E0436E" w:rsidP="000305D7">
      <w:pPr>
        <w:spacing w:before="120" w:after="0" w:line="276" w:lineRule="auto"/>
        <w:jc w:val="both"/>
        <w:rPr>
          <w:rFonts w:ascii="Arial" w:eastAsia="Calibri" w:hAnsi="Arial" w:cs="Arial"/>
          <w:color w:val="000000" w:themeColor="text1"/>
          <w:lang w:val="es-ES_tradnl" w:eastAsia="es-ES_tradnl"/>
        </w:rPr>
      </w:pPr>
      <w:bookmarkStart w:id="1" w:name="_Hlk94018153"/>
      <w:r w:rsidRPr="002A58B7">
        <w:rPr>
          <w:rFonts w:ascii="Arial" w:eastAsia="Calibri" w:hAnsi="Arial" w:cs="Arial"/>
          <w:color w:val="000000" w:themeColor="text1"/>
          <w:lang w:val="es-ES_tradnl" w:eastAsia="es-ES_tradnl"/>
        </w:rPr>
        <w:lastRenderedPageBreak/>
        <w:t>La Subdirección de Gestión Contractual responderá la consulta, luego de analizar los siguientes temas: i) vigencia y ámbito de aplicación de la Ley 2069 de 2020,</w:t>
      </w:r>
      <w:r w:rsidR="00A513D2">
        <w:rPr>
          <w:rFonts w:ascii="Arial" w:eastAsia="Calibri" w:hAnsi="Arial" w:cs="Arial"/>
          <w:color w:val="000000" w:themeColor="text1"/>
          <w:lang w:val="es-ES_tradnl" w:eastAsia="es-ES_tradnl"/>
        </w:rPr>
        <w:t xml:space="preserve"> </w:t>
      </w:r>
      <w:proofErr w:type="spellStart"/>
      <w:r w:rsidRPr="002A58B7">
        <w:rPr>
          <w:rFonts w:ascii="Arial" w:eastAsia="Calibri" w:hAnsi="Arial" w:cs="Arial"/>
          <w:color w:val="000000" w:themeColor="text1"/>
          <w:lang w:val="es-ES_tradnl" w:eastAsia="es-ES_tradnl"/>
        </w:rPr>
        <w:t>ii</w:t>
      </w:r>
      <w:proofErr w:type="spellEnd"/>
      <w:r w:rsidRPr="002A58B7">
        <w:rPr>
          <w:rFonts w:ascii="Arial" w:eastAsia="Calibri" w:hAnsi="Arial" w:cs="Arial"/>
          <w:color w:val="000000" w:themeColor="text1"/>
          <w:lang w:val="es-ES_tradnl" w:eastAsia="es-ES_tradnl"/>
        </w:rPr>
        <w:t xml:space="preserve">) </w:t>
      </w:r>
      <w:r w:rsidR="00A70C6C">
        <w:rPr>
          <w:rFonts w:ascii="Arial" w:eastAsia="Calibri" w:hAnsi="Arial" w:cs="Arial"/>
          <w:color w:val="000000" w:themeColor="text1"/>
          <w:lang w:val="es-ES_tradnl" w:eastAsia="es-ES_tradnl"/>
        </w:rPr>
        <w:t>r</w:t>
      </w:r>
      <w:r w:rsidRPr="002A58B7">
        <w:rPr>
          <w:rFonts w:ascii="Arial" w:eastAsia="Calibri" w:hAnsi="Arial" w:cs="Arial"/>
          <w:color w:val="000000" w:themeColor="text1"/>
          <w:lang w:val="es-ES_tradnl" w:eastAsia="es-ES_tradnl"/>
        </w:rPr>
        <w:t xml:space="preserve">egulación de las convocatorias limitadas a </w:t>
      </w:r>
      <w:proofErr w:type="spellStart"/>
      <w:r w:rsidRPr="002A58B7">
        <w:rPr>
          <w:rFonts w:ascii="Arial" w:eastAsia="Calibri" w:hAnsi="Arial" w:cs="Arial"/>
          <w:color w:val="000000" w:themeColor="text1"/>
          <w:lang w:val="es-ES_tradnl" w:eastAsia="es-ES_tradnl"/>
        </w:rPr>
        <w:t>mipymes</w:t>
      </w:r>
      <w:proofErr w:type="spellEnd"/>
      <w:r w:rsidRPr="002A58B7">
        <w:rPr>
          <w:rFonts w:ascii="Arial" w:eastAsia="Calibri" w:hAnsi="Arial" w:cs="Arial"/>
          <w:color w:val="000000" w:themeColor="text1"/>
          <w:lang w:val="es-ES_tradnl" w:eastAsia="es-ES_tradnl"/>
        </w:rPr>
        <w:t xml:space="preserve"> en el ámbito territorial en el artículo 34 de la Ley 2069 de 2020 y el Decreto 1860 de 2021</w:t>
      </w:r>
      <w:r w:rsidR="00A513D2">
        <w:rPr>
          <w:rFonts w:ascii="Arial" w:eastAsia="Calibri" w:hAnsi="Arial" w:cs="Arial"/>
          <w:color w:val="000000" w:themeColor="text1"/>
          <w:lang w:val="es-ES_tradnl" w:eastAsia="es-ES_tradnl"/>
        </w:rPr>
        <w:t xml:space="preserve"> y </w:t>
      </w:r>
      <w:proofErr w:type="spellStart"/>
      <w:r w:rsidR="00A513D2">
        <w:rPr>
          <w:rFonts w:ascii="Arial" w:eastAsia="Calibri" w:hAnsi="Arial" w:cs="Arial"/>
          <w:color w:val="000000" w:themeColor="text1"/>
          <w:lang w:val="es-ES_tradnl" w:eastAsia="es-ES_tradnl"/>
        </w:rPr>
        <w:t>iii</w:t>
      </w:r>
      <w:proofErr w:type="spellEnd"/>
      <w:r w:rsidR="00A513D2">
        <w:rPr>
          <w:rFonts w:ascii="Arial" w:eastAsia="Calibri" w:hAnsi="Arial" w:cs="Arial"/>
          <w:color w:val="000000" w:themeColor="text1"/>
          <w:lang w:val="es-ES_tradnl" w:eastAsia="es-ES_tradnl"/>
        </w:rPr>
        <w:t>) s</w:t>
      </w:r>
      <w:r w:rsidR="00A513D2" w:rsidRPr="00A513D2">
        <w:rPr>
          <w:rFonts w:ascii="Arial" w:eastAsia="Calibri" w:hAnsi="Arial" w:cs="Arial"/>
          <w:color w:val="000000" w:themeColor="text1"/>
          <w:lang w:val="es-ES_tradnl" w:eastAsia="es-ES_tradnl"/>
        </w:rPr>
        <w:t xml:space="preserve">orteo en los procesos de </w:t>
      </w:r>
      <w:r w:rsidR="00A513D2">
        <w:rPr>
          <w:rFonts w:ascii="Arial" w:eastAsia="Calibri" w:hAnsi="Arial" w:cs="Arial"/>
          <w:color w:val="000000" w:themeColor="text1"/>
          <w:lang w:val="es-ES_tradnl" w:eastAsia="es-ES_tradnl"/>
        </w:rPr>
        <w:t>s</w:t>
      </w:r>
      <w:r w:rsidR="00A513D2" w:rsidRPr="00A513D2">
        <w:rPr>
          <w:rFonts w:ascii="Arial" w:eastAsia="Calibri" w:hAnsi="Arial" w:cs="Arial"/>
          <w:color w:val="000000" w:themeColor="text1"/>
          <w:lang w:val="es-ES_tradnl" w:eastAsia="es-ES_tradnl"/>
        </w:rPr>
        <w:t xml:space="preserve">elección abreviada de </w:t>
      </w:r>
      <w:r w:rsidR="00A513D2">
        <w:rPr>
          <w:rFonts w:ascii="Arial" w:eastAsia="Calibri" w:hAnsi="Arial" w:cs="Arial"/>
          <w:color w:val="000000" w:themeColor="text1"/>
          <w:lang w:val="es-ES_tradnl" w:eastAsia="es-ES_tradnl"/>
        </w:rPr>
        <w:t>m</w:t>
      </w:r>
      <w:r w:rsidR="00A513D2" w:rsidRPr="00A513D2">
        <w:rPr>
          <w:rFonts w:ascii="Arial" w:eastAsia="Calibri" w:hAnsi="Arial" w:cs="Arial"/>
          <w:color w:val="000000" w:themeColor="text1"/>
          <w:lang w:val="es-ES_tradnl" w:eastAsia="es-ES_tradnl"/>
        </w:rPr>
        <w:t xml:space="preserve">enor </w:t>
      </w:r>
      <w:r w:rsidR="00A513D2">
        <w:rPr>
          <w:rFonts w:ascii="Arial" w:eastAsia="Calibri" w:hAnsi="Arial" w:cs="Arial"/>
          <w:color w:val="000000" w:themeColor="text1"/>
          <w:lang w:val="es-ES_tradnl" w:eastAsia="es-ES_tradnl"/>
        </w:rPr>
        <w:t>c</w:t>
      </w:r>
      <w:r w:rsidR="00A513D2" w:rsidRPr="00A513D2">
        <w:rPr>
          <w:rFonts w:ascii="Arial" w:eastAsia="Calibri" w:hAnsi="Arial" w:cs="Arial"/>
          <w:color w:val="000000" w:themeColor="text1"/>
          <w:lang w:val="es-ES_tradnl" w:eastAsia="es-ES_tradnl"/>
        </w:rPr>
        <w:t>uantía</w:t>
      </w:r>
      <w:r w:rsidR="00A513D2">
        <w:rPr>
          <w:rFonts w:ascii="Arial" w:eastAsia="Calibri" w:hAnsi="Arial" w:cs="Arial"/>
          <w:color w:val="000000" w:themeColor="text1"/>
          <w:lang w:val="es-ES_tradnl" w:eastAsia="es-ES_tradnl"/>
        </w:rPr>
        <w:t>.</w:t>
      </w:r>
    </w:p>
    <w:p w14:paraId="61DB5726" w14:textId="040F99CD" w:rsidR="00945673" w:rsidRDefault="00E0436E" w:rsidP="000305D7">
      <w:pPr>
        <w:spacing w:before="120" w:after="0" w:line="276" w:lineRule="auto"/>
        <w:ind w:firstLine="709"/>
        <w:jc w:val="both"/>
        <w:rPr>
          <w:rFonts w:ascii="Arial" w:eastAsia="Calibri" w:hAnsi="Arial" w:cs="Arial"/>
          <w:color w:val="000000" w:themeColor="text1"/>
          <w:lang w:val="es-ES_tradnl" w:eastAsia="es-ES_tradnl"/>
        </w:rPr>
      </w:pPr>
      <w:r w:rsidRPr="002A58B7">
        <w:rPr>
          <w:rFonts w:ascii="Arial" w:eastAsia="Calibri" w:hAnsi="Arial" w:cs="Arial"/>
          <w:color w:val="000000" w:themeColor="text1"/>
          <w:lang w:val="es-ES_tradnl" w:eastAsia="es-ES_tradnl"/>
        </w:rPr>
        <w:t xml:space="preserve">La Agencia Nacional de Contratación Pública – Colombia Compra Eficiente se pronunció sobre la nueva regulación de la promoción del desarrollo en la contratación estatal contenida en el artículo 34 de la Ley 2069 de 2020 en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2021. </w:t>
      </w:r>
      <w:r w:rsidR="003653BB">
        <w:rPr>
          <w:rFonts w:ascii="Arial" w:eastAsia="Calibri" w:hAnsi="Arial" w:cs="Arial"/>
          <w:color w:val="000000" w:themeColor="text1"/>
          <w:lang w:val="es-ES_tradnl" w:eastAsia="es-ES_tradnl"/>
        </w:rPr>
        <w:t>En relación con</w:t>
      </w:r>
      <w:r w:rsidR="003653BB" w:rsidRPr="002A58B7">
        <w:rPr>
          <w:rFonts w:ascii="Arial" w:eastAsia="Calibri" w:hAnsi="Arial" w:cs="Arial"/>
          <w:color w:val="000000" w:themeColor="text1"/>
          <w:lang w:val="es-ES_tradnl" w:eastAsia="es-ES_tradnl"/>
        </w:rPr>
        <w:t xml:space="preserve"> </w:t>
      </w:r>
      <w:r w:rsidRPr="002A58B7">
        <w:rPr>
          <w:rFonts w:ascii="Arial" w:eastAsia="Calibri" w:hAnsi="Arial" w:cs="Arial"/>
          <w:color w:val="000000" w:themeColor="text1"/>
          <w:lang w:val="es-ES_tradnl" w:eastAsia="es-ES_tradnl"/>
        </w:rPr>
        <w:t xml:space="preserve">las limitaciones territoriales de convocatorias </w:t>
      </w:r>
      <w:proofErr w:type="spellStart"/>
      <w:r w:rsidRPr="002A58B7">
        <w:rPr>
          <w:rFonts w:ascii="Arial" w:eastAsia="Calibri" w:hAnsi="Arial" w:cs="Arial"/>
          <w:color w:val="000000" w:themeColor="text1"/>
          <w:lang w:val="es-ES_tradnl" w:eastAsia="es-ES_tradnl"/>
        </w:rPr>
        <w:t>mipyme</w:t>
      </w:r>
      <w:proofErr w:type="spellEnd"/>
      <w:r w:rsidRPr="002A58B7">
        <w:rPr>
          <w:rFonts w:ascii="Arial" w:eastAsia="Calibri" w:hAnsi="Arial" w:cs="Arial"/>
          <w:color w:val="000000" w:themeColor="text1"/>
          <w:lang w:val="es-ES_tradnl" w:eastAsia="es-ES_tradnl"/>
        </w:rPr>
        <w:t xml:space="preserve"> se </w:t>
      </w:r>
      <w:r w:rsidR="003653BB">
        <w:rPr>
          <w:rFonts w:ascii="Arial" w:eastAsia="Calibri" w:hAnsi="Arial" w:cs="Arial"/>
          <w:color w:val="000000" w:themeColor="text1"/>
          <w:lang w:val="es-ES_tradnl" w:eastAsia="es-ES_tradnl"/>
        </w:rPr>
        <w:t>expidieron los</w:t>
      </w:r>
      <w:r w:rsidRPr="002A58B7">
        <w:rPr>
          <w:rFonts w:ascii="Arial" w:eastAsia="Calibri" w:hAnsi="Arial" w:cs="Arial"/>
          <w:color w:val="000000" w:themeColor="text1"/>
          <w:lang w:val="es-ES_tradnl" w:eastAsia="es-ES_tradnl"/>
        </w:rPr>
        <w:t xml:space="preserve"> </w:t>
      </w:r>
      <w:r w:rsidR="003653BB">
        <w:rPr>
          <w:rFonts w:ascii="Arial" w:eastAsia="Calibri" w:hAnsi="Arial" w:cs="Arial"/>
          <w:color w:val="000000" w:themeColor="text1"/>
          <w:lang w:val="es-ES_tradnl" w:eastAsia="es-ES_tradnl"/>
        </w:rPr>
        <w:t>c</w:t>
      </w:r>
      <w:r w:rsidRPr="002A58B7">
        <w:rPr>
          <w:rFonts w:ascii="Arial" w:eastAsia="Calibri" w:hAnsi="Arial" w:cs="Arial"/>
          <w:color w:val="000000" w:themeColor="text1"/>
          <w:lang w:val="es-ES_tradnl" w:eastAsia="es-ES_tradnl"/>
        </w:rPr>
        <w:t>oncepto</w:t>
      </w:r>
      <w:r w:rsidR="003653BB">
        <w:rPr>
          <w:rFonts w:ascii="Arial" w:eastAsia="Calibri" w:hAnsi="Arial" w:cs="Arial"/>
          <w:color w:val="000000" w:themeColor="text1"/>
          <w:lang w:val="es-ES_tradnl" w:eastAsia="es-ES_tradnl"/>
        </w:rPr>
        <w:t>s</w:t>
      </w:r>
      <w:r w:rsidRPr="002A58B7">
        <w:rPr>
          <w:rFonts w:ascii="Arial" w:eastAsia="Calibri" w:hAnsi="Arial" w:cs="Arial"/>
          <w:color w:val="000000" w:themeColor="text1"/>
          <w:lang w:val="es-ES_tradnl" w:eastAsia="es-ES_tradnl"/>
        </w:rPr>
        <w:t xml:space="preserve"> C-705 de 7 de diciembre de 2020</w:t>
      </w:r>
      <w:r w:rsidR="00D233FB">
        <w:rPr>
          <w:rFonts w:ascii="Arial" w:eastAsia="Calibri" w:hAnsi="Arial" w:cs="Arial"/>
          <w:color w:val="000000" w:themeColor="text1"/>
          <w:lang w:val="es-ES_tradnl" w:eastAsia="es-ES_tradnl"/>
        </w:rPr>
        <w:t>,</w:t>
      </w:r>
      <w:r w:rsidRPr="002A58B7">
        <w:rPr>
          <w:rFonts w:ascii="Arial" w:eastAsia="Calibri" w:hAnsi="Arial" w:cs="Arial"/>
          <w:color w:val="000000" w:themeColor="text1"/>
          <w:lang w:val="es-ES_tradnl" w:eastAsia="es-ES_tradnl"/>
        </w:rPr>
        <w:t xml:space="preserve"> C-438 de 27 de septiembre de 2021, C-041 del 2 de marzo de 2022, </w:t>
      </w:r>
      <w:r w:rsidR="004B1095">
        <w:rPr>
          <w:rFonts w:ascii="Arial" w:eastAsia="Calibri" w:hAnsi="Arial" w:cs="Arial"/>
          <w:color w:val="000000" w:themeColor="text1"/>
          <w:lang w:val="es-ES_tradnl" w:eastAsia="es-ES_tradnl"/>
        </w:rPr>
        <w:t>C-315 del 18 de mayo de 2022</w:t>
      </w:r>
      <w:r w:rsidR="00D233FB">
        <w:rPr>
          <w:rFonts w:ascii="Arial" w:eastAsia="Calibri" w:hAnsi="Arial" w:cs="Arial"/>
          <w:color w:val="000000" w:themeColor="text1"/>
          <w:lang w:val="es-ES_tradnl" w:eastAsia="es-ES_tradnl"/>
        </w:rPr>
        <w:t xml:space="preserve"> y C-485 del 26 de julio de 2022</w:t>
      </w:r>
      <w:r w:rsidR="004B1095">
        <w:rPr>
          <w:rFonts w:ascii="Arial" w:eastAsia="Calibri" w:hAnsi="Arial" w:cs="Arial"/>
          <w:color w:val="000000" w:themeColor="text1"/>
          <w:lang w:val="es-ES_tradnl" w:eastAsia="es-ES_tradnl"/>
        </w:rPr>
        <w:t xml:space="preserve">, </w:t>
      </w:r>
      <w:r w:rsidRPr="002A58B7">
        <w:rPr>
          <w:rFonts w:ascii="Arial" w:eastAsia="Calibri" w:hAnsi="Arial" w:cs="Arial"/>
          <w:color w:val="000000" w:themeColor="text1"/>
          <w:lang w:val="es-ES_tradnl" w:eastAsia="es-ES_tradnl"/>
        </w:rPr>
        <w:t xml:space="preserve">entre otros. </w:t>
      </w:r>
    </w:p>
    <w:p w14:paraId="66701B0A" w14:textId="40E32753" w:rsidR="00E0436E" w:rsidRDefault="00945673" w:rsidP="000305D7">
      <w:pPr>
        <w:spacing w:before="120" w:after="0" w:line="276" w:lineRule="auto"/>
        <w:ind w:firstLine="709"/>
        <w:jc w:val="both"/>
        <w:rPr>
          <w:rFonts w:ascii="Arial" w:eastAsia="Calibri" w:hAnsi="Arial" w:cs="Arial"/>
          <w:b/>
          <w:bCs/>
          <w:color w:val="000000" w:themeColor="text1"/>
          <w:lang w:val="es-ES_tradnl"/>
        </w:rPr>
      </w:pPr>
      <w:r>
        <w:rPr>
          <w:rFonts w:ascii="Arial" w:eastAsia="Calibri" w:hAnsi="Arial" w:cs="Arial"/>
          <w:color w:val="000000" w:themeColor="text1"/>
          <w:lang w:val="es-ES_tradnl" w:eastAsia="es-ES_tradnl"/>
        </w:rPr>
        <w:t>Así mismo, en r</w:t>
      </w:r>
      <w:r w:rsidRPr="00945673">
        <w:rPr>
          <w:rFonts w:ascii="Arial" w:eastAsia="Calibri" w:hAnsi="Arial" w:cs="Arial"/>
          <w:color w:val="000000" w:themeColor="text1"/>
          <w:lang w:val="es-ES_tradnl" w:eastAsia="es-ES_tradnl"/>
        </w:rPr>
        <w:t>espuesta a consulta #4201912000005783</w:t>
      </w:r>
      <w:r>
        <w:rPr>
          <w:rFonts w:ascii="Arial" w:eastAsia="Calibri" w:hAnsi="Arial" w:cs="Arial"/>
          <w:color w:val="000000" w:themeColor="text1"/>
          <w:lang w:val="es-ES_tradnl" w:eastAsia="es-ES_tradnl"/>
        </w:rPr>
        <w:t xml:space="preserve"> de fecha 7 de </w:t>
      </w:r>
      <w:r w:rsidR="0037145A">
        <w:rPr>
          <w:rFonts w:ascii="Arial" w:eastAsia="Calibri" w:hAnsi="Arial" w:cs="Arial"/>
          <w:color w:val="000000" w:themeColor="text1"/>
          <w:lang w:val="es-ES_tradnl" w:eastAsia="es-ES_tradnl"/>
        </w:rPr>
        <w:t xml:space="preserve">octubre de 2019 la Agencia </w:t>
      </w:r>
      <w:r w:rsidR="004E6606">
        <w:rPr>
          <w:rFonts w:ascii="Arial" w:eastAsia="Calibri" w:hAnsi="Arial" w:cs="Arial"/>
          <w:color w:val="000000" w:themeColor="text1"/>
          <w:lang w:val="es-ES_tradnl" w:eastAsia="es-ES_tradnl"/>
        </w:rPr>
        <w:t>analizó</w:t>
      </w:r>
      <w:r w:rsidR="0037145A">
        <w:rPr>
          <w:rFonts w:ascii="Arial" w:eastAsia="Calibri" w:hAnsi="Arial" w:cs="Arial"/>
          <w:color w:val="000000" w:themeColor="text1"/>
          <w:lang w:val="es-ES_tradnl" w:eastAsia="es-ES_tradnl"/>
        </w:rPr>
        <w:t xml:space="preserve"> el proceso de </w:t>
      </w:r>
      <w:r w:rsidR="004E6606">
        <w:rPr>
          <w:rFonts w:ascii="Arial" w:eastAsia="Calibri" w:hAnsi="Arial" w:cs="Arial"/>
          <w:color w:val="000000" w:themeColor="text1"/>
          <w:lang w:val="es-ES_tradnl" w:eastAsia="es-ES_tradnl"/>
        </w:rPr>
        <w:t>s</w:t>
      </w:r>
      <w:r w:rsidR="0037145A">
        <w:rPr>
          <w:rFonts w:ascii="Arial" w:eastAsia="Calibri" w:hAnsi="Arial" w:cs="Arial"/>
          <w:color w:val="000000" w:themeColor="text1"/>
          <w:lang w:val="es-ES_tradnl" w:eastAsia="es-ES_tradnl"/>
        </w:rPr>
        <w:t xml:space="preserve">elección </w:t>
      </w:r>
      <w:r w:rsidR="004E6606">
        <w:rPr>
          <w:rFonts w:ascii="Arial" w:eastAsia="Calibri" w:hAnsi="Arial" w:cs="Arial"/>
          <w:color w:val="000000" w:themeColor="text1"/>
          <w:lang w:val="es-ES_tradnl" w:eastAsia="es-ES_tradnl"/>
        </w:rPr>
        <w:t>a</w:t>
      </w:r>
      <w:r w:rsidR="0037145A">
        <w:rPr>
          <w:rFonts w:ascii="Arial" w:eastAsia="Calibri" w:hAnsi="Arial" w:cs="Arial"/>
          <w:color w:val="000000" w:themeColor="text1"/>
          <w:lang w:val="es-ES_tradnl" w:eastAsia="es-ES_tradnl"/>
        </w:rPr>
        <w:t xml:space="preserve">breviada de </w:t>
      </w:r>
      <w:r w:rsidR="004E6606">
        <w:rPr>
          <w:rFonts w:ascii="Arial" w:eastAsia="Calibri" w:hAnsi="Arial" w:cs="Arial"/>
          <w:color w:val="000000" w:themeColor="text1"/>
          <w:lang w:val="es-ES_tradnl" w:eastAsia="es-ES_tradnl"/>
        </w:rPr>
        <w:t>m</w:t>
      </w:r>
      <w:r w:rsidR="0037145A">
        <w:rPr>
          <w:rFonts w:ascii="Arial" w:eastAsia="Calibri" w:hAnsi="Arial" w:cs="Arial"/>
          <w:color w:val="000000" w:themeColor="text1"/>
          <w:lang w:val="es-ES_tradnl" w:eastAsia="es-ES_tradnl"/>
        </w:rPr>
        <w:t xml:space="preserve">enor </w:t>
      </w:r>
      <w:r w:rsidR="004E6606">
        <w:rPr>
          <w:rFonts w:ascii="Arial" w:eastAsia="Calibri" w:hAnsi="Arial" w:cs="Arial"/>
          <w:color w:val="000000" w:themeColor="text1"/>
          <w:lang w:val="es-ES_tradnl" w:eastAsia="es-ES_tradnl"/>
        </w:rPr>
        <w:t>c</w:t>
      </w:r>
      <w:r w:rsidR="0037145A">
        <w:rPr>
          <w:rFonts w:ascii="Arial" w:eastAsia="Calibri" w:hAnsi="Arial" w:cs="Arial"/>
          <w:color w:val="000000" w:themeColor="text1"/>
          <w:lang w:val="es-ES_tradnl" w:eastAsia="es-ES_tradnl"/>
        </w:rPr>
        <w:t xml:space="preserve">uantía. </w:t>
      </w:r>
      <w:r w:rsidR="00E0436E" w:rsidRPr="002A58B7">
        <w:rPr>
          <w:rFonts w:ascii="Arial" w:eastAsia="Calibri" w:hAnsi="Arial" w:cs="Arial"/>
          <w:color w:val="000000" w:themeColor="text1"/>
          <w:lang w:val="es-ES_tradnl" w:eastAsia="es-ES_tradnl"/>
        </w:rPr>
        <w:t>Las consideraciones de estos conceptos se reiteran a continuación y se complementan en lo pertinente</w:t>
      </w:r>
      <w:r w:rsidR="00E0436E">
        <w:rPr>
          <w:rFonts w:ascii="Arial" w:eastAsia="Calibri" w:hAnsi="Arial" w:cs="Arial"/>
          <w:color w:val="000000" w:themeColor="text1"/>
          <w:lang w:val="es-ES_tradnl" w:eastAsia="es-ES_tradnl"/>
        </w:rPr>
        <w:t xml:space="preserve">. </w:t>
      </w:r>
    </w:p>
    <w:p w14:paraId="77ADA9A4" w14:textId="75CA3FB2" w:rsidR="00D8729A" w:rsidRDefault="0035022D" w:rsidP="000305D7">
      <w:pPr>
        <w:spacing w:before="120" w:after="0" w:line="276" w:lineRule="auto"/>
        <w:rPr>
          <w:rFonts w:ascii="Arial" w:eastAsia="Calibri" w:hAnsi="Arial" w:cs="Arial"/>
          <w:b/>
          <w:bCs/>
          <w:color w:val="000000" w:themeColor="text1"/>
          <w:lang w:val="es-ES_tradnl" w:eastAsia="es-ES_tradnl"/>
        </w:rPr>
      </w:pPr>
      <w:r w:rsidRPr="00510BFB">
        <w:rPr>
          <w:rFonts w:ascii="Arial" w:eastAsia="Calibri" w:hAnsi="Arial" w:cs="Arial"/>
          <w:b/>
          <w:bCs/>
          <w:color w:val="000000" w:themeColor="text1"/>
          <w:lang w:val="es-ES_tradnl"/>
        </w:rPr>
        <w:t xml:space="preserve">2.1. </w:t>
      </w:r>
      <w:bookmarkEnd w:id="1"/>
      <w:r w:rsidR="00D8729A" w:rsidRPr="002A58B7">
        <w:rPr>
          <w:rFonts w:ascii="Arial" w:eastAsia="Calibri" w:hAnsi="Arial" w:cs="Arial"/>
          <w:b/>
          <w:bCs/>
          <w:color w:val="000000" w:themeColor="text1"/>
          <w:lang w:val="es-ES_tradnl" w:eastAsia="es-ES_tradnl"/>
        </w:rPr>
        <w:t>Vigencia y ámbito de aplicación de la Ley 2069 de 2020</w:t>
      </w:r>
    </w:p>
    <w:p w14:paraId="1F0EC79D" w14:textId="42AB05C5" w:rsidR="008E1D8F" w:rsidRDefault="00D8729A" w:rsidP="00834ECB">
      <w:pPr>
        <w:spacing w:before="120" w:after="0" w:line="276" w:lineRule="auto"/>
        <w:jc w:val="both"/>
        <w:rPr>
          <w:rFonts w:ascii="Arial" w:eastAsia="Calibri" w:hAnsi="Arial" w:cs="Arial"/>
          <w:color w:val="000000" w:themeColor="text1"/>
          <w:lang w:val="es-ES_tradnl" w:eastAsia="es-ES_tradnl"/>
        </w:rPr>
      </w:pPr>
      <w:r w:rsidRPr="002A58B7">
        <w:rPr>
          <w:rFonts w:ascii="Arial" w:eastAsia="Calibri" w:hAnsi="Arial" w:cs="Arial"/>
          <w:color w:val="000000" w:themeColor="text1"/>
          <w:lang w:val="es-ES_tradnl" w:eastAsia="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r w:rsidR="00FF0C94" w:rsidRPr="002A58B7">
        <w:rPr>
          <w:rFonts w:ascii="Arial" w:eastAsia="Calibri" w:hAnsi="Arial" w:cs="Arial"/>
          <w:color w:val="000000" w:themeColor="text1"/>
          <w:lang w:val="es-ES_tradnl" w:eastAsia="es-ES_tradnl"/>
        </w:rPr>
        <w:t>de acuerdo con</w:t>
      </w:r>
      <w:r w:rsidRPr="002A58B7">
        <w:rPr>
          <w:rFonts w:ascii="Arial" w:eastAsia="Calibri" w:hAnsi="Arial" w:cs="Arial"/>
          <w:color w:val="000000" w:themeColor="text1"/>
          <w:lang w:val="es-ES_tradnl" w:eastAsia="es-ES_tradnl"/>
        </w:rPr>
        <w:t xml:space="preserve"> las realidades socioeconómicas de cada región». En desarrollo de esta finalidad, se establecen medidas de apoyo para las micro, pequeñas y </w:t>
      </w:r>
      <w:r w:rsidRPr="002A58B7">
        <w:rPr>
          <w:rFonts w:ascii="Arial" w:eastAsia="Calibri" w:hAnsi="Arial" w:cs="Arial"/>
          <w:color w:val="000000" w:themeColor="text1"/>
          <w:lang w:val="es-ES_tradnl" w:eastAsia="es-ES_tradnl"/>
        </w:rPr>
        <w:lastRenderedPageBreak/>
        <w:t>medianas empresas –</w:t>
      </w:r>
      <w:proofErr w:type="spellStart"/>
      <w:r w:rsidRPr="002A58B7">
        <w:rPr>
          <w:rFonts w:ascii="Arial" w:eastAsia="Calibri" w:hAnsi="Arial" w:cs="Arial"/>
          <w:color w:val="000000" w:themeColor="text1"/>
          <w:lang w:val="es-ES_tradnl" w:eastAsia="es-ES_tradnl"/>
        </w:rPr>
        <w:t>mipymes</w:t>
      </w:r>
      <w:proofErr w:type="spellEnd"/>
      <w:r w:rsidRPr="002A58B7">
        <w:rPr>
          <w:rFonts w:ascii="Arial" w:eastAsia="Calibri" w:hAnsi="Arial" w:cs="Arial"/>
          <w:color w:val="000000" w:themeColor="text1"/>
          <w:lang w:val="es-ES_tradnl" w:eastAsia="es-ES_tradnl"/>
        </w:rPr>
        <w:t>–, mediante la racionalización y simplificación de los trámites y tarifas</w:t>
      </w:r>
      <w:r w:rsidRPr="002A58B7">
        <w:rPr>
          <w:rFonts w:ascii="Arial" w:eastAsia="Calibri" w:hAnsi="Arial" w:cs="Arial"/>
          <w:color w:val="000000" w:themeColor="text1"/>
          <w:vertAlign w:val="superscript"/>
          <w:lang w:val="es-ES_tradnl" w:eastAsia="es-ES_tradnl"/>
        </w:rPr>
        <w:footnoteReference w:id="1"/>
      </w:r>
      <w:r w:rsidRPr="002A58B7">
        <w:rPr>
          <w:rFonts w:ascii="Arial" w:eastAsia="Calibri" w:hAnsi="Arial" w:cs="Arial"/>
          <w:color w:val="000000" w:themeColor="text1"/>
          <w:lang w:val="es-ES_tradnl" w:eastAsia="es-ES_tradnl"/>
        </w:rPr>
        <w:t>, así como incentivos a favor de aquellas dentro del sistema de compras y contratación pública</w:t>
      </w:r>
      <w:r w:rsidRPr="002A58B7">
        <w:rPr>
          <w:rFonts w:ascii="Arial" w:eastAsia="Calibri" w:hAnsi="Arial" w:cs="Arial"/>
          <w:color w:val="000000" w:themeColor="text1"/>
          <w:vertAlign w:val="superscript"/>
          <w:lang w:val="es-ES_tradnl" w:eastAsia="es-ES_tradnl"/>
        </w:rPr>
        <w:footnoteReference w:id="2"/>
      </w:r>
      <w:r w:rsidRPr="002A58B7">
        <w:rPr>
          <w:rFonts w:ascii="Arial" w:eastAsia="Calibri" w:hAnsi="Arial" w:cs="Arial"/>
          <w:color w:val="000000" w:themeColor="text1"/>
          <w:lang w:val="es-ES_tradnl" w:eastAsia="es-ES_tradnl"/>
        </w:rPr>
        <w:t xml:space="preserve">. </w:t>
      </w:r>
    </w:p>
    <w:p w14:paraId="7F5A1FF0" w14:textId="295BD780" w:rsidR="00D8729A" w:rsidRDefault="00D8729A" w:rsidP="000305D7">
      <w:pPr>
        <w:spacing w:before="120" w:after="0" w:line="276" w:lineRule="auto"/>
        <w:ind w:firstLine="709"/>
        <w:jc w:val="both"/>
        <w:rPr>
          <w:rFonts w:ascii="Arial" w:eastAsia="Calibri" w:hAnsi="Arial" w:cs="Arial"/>
          <w:color w:val="000000" w:themeColor="text1"/>
          <w:lang w:val="es-ES_tradnl" w:eastAsia="es-ES_tradnl"/>
        </w:rPr>
      </w:pPr>
      <w:r w:rsidRPr="002A58B7">
        <w:rPr>
          <w:rFonts w:ascii="Arial" w:eastAsia="Calibri" w:hAnsi="Arial" w:cs="Arial"/>
          <w:color w:val="000000" w:themeColor="text1"/>
          <w:lang w:val="es-ES_tradnl" w:eastAsia="es-ES_tradnl"/>
        </w:rPr>
        <w:t>También se consagran mecanismos de acceso al financiamiento</w:t>
      </w:r>
      <w:r w:rsidRPr="002A58B7">
        <w:rPr>
          <w:rFonts w:ascii="Arial" w:eastAsia="Calibri" w:hAnsi="Arial" w:cs="Arial"/>
          <w:color w:val="000000" w:themeColor="text1"/>
          <w:vertAlign w:val="superscript"/>
          <w:lang w:val="es-ES_tradnl" w:eastAsia="es-ES_tradnl"/>
        </w:rPr>
        <w:footnoteReference w:id="3"/>
      </w:r>
      <w:r w:rsidRPr="002A58B7">
        <w:rPr>
          <w:rFonts w:ascii="Arial" w:eastAsia="Calibri" w:hAnsi="Arial" w:cs="Arial"/>
          <w:color w:val="000000" w:themeColor="text1"/>
          <w:lang w:val="es-ES_tradnl" w:eastAsia="es-ES_tradnl"/>
        </w:rPr>
        <w:t>, se unifican las fuentes de emprendimiento y de desarrollo empresarial, para fortalecer y promover los distintos sectores de la economía</w:t>
      </w:r>
      <w:r w:rsidRPr="002A58B7">
        <w:rPr>
          <w:rFonts w:ascii="Arial" w:eastAsia="Calibri" w:hAnsi="Arial" w:cs="Arial"/>
          <w:color w:val="000000" w:themeColor="text1"/>
          <w:vertAlign w:val="superscript"/>
          <w:lang w:val="es-ES_tradnl" w:eastAsia="es-ES_tradnl"/>
        </w:rPr>
        <w:footnoteReference w:id="4"/>
      </w:r>
      <w:r w:rsidRPr="002A58B7">
        <w:rPr>
          <w:rFonts w:ascii="Arial" w:eastAsia="Calibri" w:hAnsi="Arial" w:cs="Arial"/>
          <w:color w:val="000000" w:themeColor="text1"/>
          <w:lang w:val="es-ES_tradnl" w:eastAsia="es-ES_tradnl"/>
        </w:rPr>
        <w:t xml:space="preserve"> y se prevén medidas de educación para el emprendimiento y la innovación</w:t>
      </w:r>
      <w:r w:rsidRPr="002A58B7">
        <w:rPr>
          <w:rFonts w:ascii="Arial" w:eastAsia="Calibri" w:hAnsi="Arial" w:cs="Arial"/>
          <w:color w:val="000000" w:themeColor="text1"/>
          <w:vertAlign w:val="superscript"/>
          <w:lang w:val="es-ES_tradnl" w:eastAsia="es-ES_tradnl"/>
        </w:rPr>
        <w:footnoteReference w:id="5"/>
      </w:r>
      <w:r w:rsidRPr="002A58B7">
        <w:rPr>
          <w:rFonts w:ascii="Arial" w:eastAsia="Calibri" w:hAnsi="Arial" w:cs="Arial"/>
          <w:color w:val="000000" w:themeColor="text1"/>
          <w:lang w:val="es-ES_tradnl" w:eastAsia="es-ES_tradnl"/>
        </w:rPr>
        <w:t>.</w:t>
      </w:r>
    </w:p>
    <w:p w14:paraId="6C8BD6A1" w14:textId="253D90C8" w:rsidR="00D8729A" w:rsidRPr="002A58B7" w:rsidRDefault="00D8729A" w:rsidP="000305D7">
      <w:pPr>
        <w:spacing w:before="120" w:after="0" w:line="276" w:lineRule="auto"/>
        <w:ind w:firstLine="709"/>
        <w:jc w:val="both"/>
        <w:rPr>
          <w:rFonts w:ascii="Arial" w:eastAsia="Calibri" w:hAnsi="Arial" w:cs="Arial"/>
          <w:color w:val="000000" w:themeColor="text1"/>
          <w:lang w:val="es-ES_tradnl" w:eastAsia="es-ES_tradnl"/>
        </w:rPr>
      </w:pPr>
      <w:r w:rsidRPr="002A58B7">
        <w:rPr>
          <w:rFonts w:ascii="Arial" w:eastAsia="Calibri" w:hAnsi="Arial" w:cs="Arial"/>
          <w:color w:val="000000" w:themeColor="text1"/>
          <w:lang w:val="es-ES_tradnl" w:eastAsia="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2A58B7">
        <w:rPr>
          <w:rFonts w:ascii="Arial" w:eastAsia="Calibri" w:hAnsi="Arial" w:cs="Arial"/>
          <w:color w:val="000000" w:themeColor="text1"/>
          <w:lang w:val="es-ES_tradnl" w:eastAsia="es-ES_tradnl"/>
        </w:rPr>
        <w:t>mipymes</w:t>
      </w:r>
      <w:proofErr w:type="spellEnd"/>
      <w:r w:rsidRPr="002A58B7">
        <w:rPr>
          <w:rFonts w:ascii="Arial" w:eastAsia="Calibri" w:hAnsi="Arial" w:cs="Arial"/>
          <w:color w:val="000000" w:themeColor="text1"/>
          <w:lang w:val="es-ES_tradnl" w:eastAsia="es-ES_tradnl"/>
        </w:rPr>
        <w:t xml:space="preserve"> en el procedimiento de mínima cuantía, ii) criterios diferenciales para </w:t>
      </w:r>
      <w:proofErr w:type="spellStart"/>
      <w:r w:rsidRPr="002A58B7">
        <w:rPr>
          <w:rFonts w:ascii="Arial" w:eastAsia="Calibri" w:hAnsi="Arial" w:cs="Arial"/>
          <w:color w:val="000000" w:themeColor="text1"/>
          <w:lang w:val="es-ES_tradnl" w:eastAsia="es-ES_tradnl"/>
        </w:rPr>
        <w:t>mipymes</w:t>
      </w:r>
      <w:proofErr w:type="spellEnd"/>
      <w:r w:rsidRPr="002A58B7">
        <w:rPr>
          <w:rFonts w:ascii="Arial" w:eastAsia="Calibri" w:hAnsi="Arial" w:cs="Arial"/>
          <w:color w:val="000000" w:themeColor="text1"/>
          <w:lang w:val="es-ES_tradnl" w:eastAsia="es-ES_tradnl"/>
        </w:rPr>
        <w:t xml:space="preserve"> en el sistema de compras públicas, iii) criterios diferenciales para emprendimientos y empresas de mujeres en el sistema de compras públicas, iv) promoción del acceso de las </w:t>
      </w:r>
      <w:proofErr w:type="spellStart"/>
      <w:r w:rsidRPr="002A58B7">
        <w:rPr>
          <w:rFonts w:ascii="Arial" w:eastAsia="Calibri" w:hAnsi="Arial" w:cs="Arial"/>
          <w:color w:val="000000" w:themeColor="text1"/>
          <w:lang w:val="es-ES_tradnl" w:eastAsia="es-ES_tradnl"/>
        </w:rPr>
        <w:t>mipymes</w:t>
      </w:r>
      <w:proofErr w:type="spellEnd"/>
      <w:r w:rsidRPr="002A58B7">
        <w:rPr>
          <w:rFonts w:ascii="Arial" w:eastAsia="Calibri" w:hAnsi="Arial" w:cs="Arial"/>
          <w:color w:val="000000" w:themeColor="text1"/>
          <w:lang w:val="es-ES_tradnl" w:eastAsia="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r w:rsidR="008E1D8F">
        <w:rPr>
          <w:rFonts w:ascii="Arial" w:eastAsia="Calibri" w:hAnsi="Arial" w:cs="Arial"/>
          <w:color w:val="000000" w:themeColor="text1"/>
          <w:lang w:val="es-ES_tradnl" w:eastAsia="es-ES_tradnl"/>
        </w:rPr>
        <w:t xml:space="preserve"> </w:t>
      </w:r>
      <w:r w:rsidRPr="002A58B7">
        <w:rPr>
          <w:rFonts w:ascii="Arial" w:eastAsia="Calibri" w:hAnsi="Arial" w:cs="Arial"/>
          <w:color w:val="000000" w:themeColor="text1"/>
          <w:lang w:val="es-ES_tradnl" w:eastAsia="es-ES_tradnl"/>
        </w:rPr>
        <w:t xml:space="preserve">Teniendo en cuenta que la consulta está relacionada con la interpretación del artículo 34 de la referida ley, a continuación, se estudiará el contenido y alcance de dichas normas.  </w:t>
      </w:r>
    </w:p>
    <w:p w14:paraId="168F9321" w14:textId="77777777" w:rsidR="00D8729A" w:rsidRPr="002A58B7" w:rsidRDefault="00D8729A" w:rsidP="000305D7">
      <w:pPr>
        <w:spacing w:before="120" w:after="0" w:line="276" w:lineRule="auto"/>
        <w:jc w:val="both"/>
        <w:rPr>
          <w:rFonts w:ascii="Arial" w:eastAsia="Calibri" w:hAnsi="Arial" w:cs="Arial"/>
          <w:b/>
          <w:bCs/>
          <w:color w:val="000000" w:themeColor="text1"/>
          <w:lang w:val="es-ES_tradnl" w:eastAsia="es-ES_tradnl"/>
        </w:rPr>
      </w:pPr>
      <w:r w:rsidRPr="002A58B7">
        <w:rPr>
          <w:rFonts w:ascii="Arial" w:eastAsia="Calibri" w:hAnsi="Arial" w:cs="Arial"/>
          <w:b/>
          <w:bCs/>
          <w:color w:val="000000" w:themeColor="text1"/>
          <w:lang w:val="es-ES_tradnl" w:eastAsia="es-ES_tradnl"/>
        </w:rPr>
        <w:t xml:space="preserve">2.2. Regulación de las convocatorias limitadas a </w:t>
      </w:r>
      <w:proofErr w:type="spellStart"/>
      <w:r w:rsidRPr="002A58B7">
        <w:rPr>
          <w:rFonts w:ascii="Arial" w:eastAsia="Calibri" w:hAnsi="Arial" w:cs="Arial"/>
          <w:b/>
          <w:bCs/>
          <w:color w:val="000000" w:themeColor="text1"/>
          <w:lang w:val="es-ES_tradnl" w:eastAsia="es-ES_tradnl"/>
        </w:rPr>
        <w:t>Mipymes</w:t>
      </w:r>
      <w:proofErr w:type="spellEnd"/>
      <w:r w:rsidRPr="002A58B7">
        <w:rPr>
          <w:rFonts w:ascii="Arial" w:eastAsia="Calibri" w:hAnsi="Arial" w:cs="Arial"/>
          <w:b/>
          <w:bCs/>
          <w:color w:val="000000" w:themeColor="text1"/>
          <w:lang w:val="es-ES_tradnl" w:eastAsia="es-ES_tradnl"/>
        </w:rPr>
        <w:t xml:space="preserve"> en el ámbito territorial en el artículo 34 de la Ley 2069 de 2020 y el Decreto 1860 de 2021 </w:t>
      </w:r>
    </w:p>
    <w:p w14:paraId="731319B8" w14:textId="77777777" w:rsidR="00D8729A" w:rsidRPr="002A58B7" w:rsidRDefault="00D8729A" w:rsidP="000305D7">
      <w:pPr>
        <w:spacing w:before="120" w:after="0" w:line="276" w:lineRule="auto"/>
        <w:jc w:val="both"/>
        <w:rPr>
          <w:rFonts w:ascii="Arial" w:eastAsia="Calibri" w:hAnsi="Arial" w:cs="Arial"/>
          <w:color w:val="000000" w:themeColor="text1"/>
          <w:lang w:val="es-ES_tradnl" w:eastAsia="es-ES_tradnl"/>
        </w:rPr>
      </w:pPr>
      <w:r w:rsidRPr="002A58B7">
        <w:rPr>
          <w:rFonts w:ascii="Arial" w:eastAsia="Calibri" w:hAnsi="Arial" w:cs="Arial"/>
          <w:color w:val="000000" w:themeColor="text1"/>
          <w:lang w:val="es-ES_tradnl" w:eastAsia="es-ES_tradnl"/>
        </w:rPr>
        <w:t>El artículo 34 de la Ley 2069 de 2020 establece nuevas reglas sobre la promoción al desarrollo en la contratación estatal. Concretamente, modifica el contenido del artículo 12 de la Ley 1150 de 2007</w:t>
      </w:r>
      <w:r w:rsidRPr="002A58B7">
        <w:rPr>
          <w:rFonts w:ascii="Arial" w:eastAsia="Calibri" w:hAnsi="Arial" w:cs="Arial"/>
          <w:color w:val="000000" w:themeColor="text1"/>
          <w:vertAlign w:val="superscript"/>
          <w:lang w:val="es-ES_tradnl" w:eastAsia="es-ES_tradnl"/>
        </w:rPr>
        <w:footnoteReference w:id="6"/>
      </w:r>
      <w:r w:rsidRPr="002A58B7">
        <w:rPr>
          <w:rFonts w:ascii="Arial" w:eastAsia="Calibri" w:hAnsi="Arial" w:cs="Arial"/>
          <w:color w:val="000000" w:themeColor="text1"/>
          <w:lang w:val="es-ES_tradnl" w:eastAsia="es-ES_tradnl"/>
        </w:rPr>
        <w:t>, prescribiendo lo que se indica a continuación:</w:t>
      </w:r>
    </w:p>
    <w:p w14:paraId="3ECE8F8B" w14:textId="45E803D9" w:rsidR="00D8729A" w:rsidRDefault="00D8729A" w:rsidP="000305D7">
      <w:pPr>
        <w:spacing w:before="120" w:after="0" w:line="276" w:lineRule="auto"/>
        <w:ind w:firstLine="709"/>
        <w:jc w:val="both"/>
        <w:rPr>
          <w:rFonts w:ascii="Arial" w:eastAsia="Calibri" w:hAnsi="Arial" w:cs="Arial"/>
          <w:color w:val="000000" w:themeColor="text1"/>
          <w:lang w:val="es-ES_tradnl" w:eastAsia="es-ES_tradnl"/>
        </w:rPr>
      </w:pPr>
      <w:r w:rsidRPr="002A58B7">
        <w:rPr>
          <w:rFonts w:ascii="Arial" w:eastAsia="Calibri" w:hAnsi="Arial" w:cs="Arial"/>
          <w:color w:val="000000" w:themeColor="text1"/>
          <w:lang w:val="es-ES_tradnl" w:eastAsia="es-ES_tradnl"/>
        </w:rPr>
        <w:lastRenderedPageBreak/>
        <w:t xml:space="preserve">i) Encomienda, </w:t>
      </w:r>
      <w:r w:rsidRPr="002A58B7">
        <w:rPr>
          <w:rFonts w:ascii="Arial" w:eastAsia="Calibri" w:hAnsi="Arial" w:cs="Arial"/>
          <w:color w:val="000000" w:themeColor="text1"/>
          <w:lang w:val="es-ES_tradnl"/>
        </w:rPr>
        <w:t>al gobierno nacional el deber de</w:t>
      </w:r>
      <w:r w:rsidRPr="002A58B7" w:rsidDel="004B12C3">
        <w:rPr>
          <w:rFonts w:ascii="Arial" w:eastAsia="Calibri" w:hAnsi="Arial" w:cs="Arial"/>
          <w:color w:val="000000" w:themeColor="text1"/>
          <w:lang w:val="es-ES_tradnl"/>
        </w:rPr>
        <w:t xml:space="preserve"> </w:t>
      </w:r>
      <w:r w:rsidRPr="002A58B7">
        <w:rPr>
          <w:rFonts w:ascii="Arial" w:eastAsia="Calibri" w:hAnsi="Arial" w:cs="Arial"/>
          <w:color w:val="000000" w:themeColor="text1"/>
          <w:lang w:val="es-ES_tradnl" w:eastAsia="es-ES_tradnl"/>
        </w:rPr>
        <w:t xml:space="preserve">definir las condiciones y los montos para que las entidades estatales –cualquiera sea su régimen contractual–, los patrimonios autónomos constituidos por aquellas y los particulares que administren recursos públicos, efectúen convocatorias limitadas a </w:t>
      </w:r>
      <w:proofErr w:type="spellStart"/>
      <w:r w:rsidRPr="002A58B7">
        <w:rPr>
          <w:rFonts w:ascii="Arial" w:eastAsia="Calibri" w:hAnsi="Arial" w:cs="Arial"/>
          <w:color w:val="000000" w:themeColor="text1"/>
          <w:lang w:val="es-ES_tradnl" w:eastAsia="es-ES_tradnl"/>
        </w:rPr>
        <w:t>mipymes</w:t>
      </w:r>
      <w:proofErr w:type="spellEnd"/>
      <w:r w:rsidRPr="002A58B7">
        <w:rPr>
          <w:rFonts w:ascii="Arial" w:eastAsia="Calibri" w:hAnsi="Arial" w:cs="Arial"/>
          <w:color w:val="000000" w:themeColor="text1"/>
          <w:lang w:val="es-ES_tradnl" w:eastAsia="es-ES_tradnl"/>
        </w:rPr>
        <w:t xml:space="preserve"> en los procesos de contratación. Y agrega que estas convocatorias se pueden realizar también en el ámbito municipal o departamental en el que se ejecute el contrato. </w:t>
      </w:r>
    </w:p>
    <w:p w14:paraId="1565B053" w14:textId="23D1384F" w:rsidR="00D8729A" w:rsidRDefault="00D8729A" w:rsidP="000305D7">
      <w:pPr>
        <w:spacing w:before="120" w:after="0" w:line="276" w:lineRule="auto"/>
        <w:ind w:firstLine="709"/>
        <w:jc w:val="both"/>
        <w:rPr>
          <w:rFonts w:ascii="Arial" w:eastAsia="Calibri" w:hAnsi="Arial" w:cs="Arial"/>
          <w:color w:val="000000" w:themeColor="text1"/>
          <w:lang w:val="es-ES_tradnl" w:eastAsia="es-ES_tradnl"/>
        </w:rPr>
      </w:pPr>
      <w:r w:rsidRPr="002A58B7">
        <w:rPr>
          <w:rFonts w:ascii="Arial" w:eastAsia="Calibri" w:hAnsi="Arial" w:cs="Arial"/>
          <w:color w:val="000000" w:themeColor="text1"/>
          <w:lang w:val="es-ES_tradnl" w:eastAsia="es-ES_tradnl"/>
        </w:rPr>
        <w:t xml:space="preserve">ii) Indica que dichas convocatorias se deben efectuar siempre y cuando, antes del acto administrativo de apertura del proceso de selección, por lo menos dos (2) </w:t>
      </w:r>
      <w:proofErr w:type="spellStart"/>
      <w:r w:rsidRPr="002A58B7">
        <w:rPr>
          <w:rFonts w:ascii="Arial" w:eastAsia="Calibri" w:hAnsi="Arial" w:cs="Arial"/>
          <w:color w:val="000000" w:themeColor="text1"/>
          <w:lang w:val="es-ES_tradnl" w:eastAsia="es-ES_tradnl"/>
        </w:rPr>
        <w:t>mipymes</w:t>
      </w:r>
      <w:proofErr w:type="spellEnd"/>
      <w:r w:rsidRPr="002A58B7">
        <w:rPr>
          <w:rFonts w:ascii="Arial" w:eastAsia="Calibri" w:hAnsi="Arial" w:cs="Arial"/>
          <w:color w:val="000000" w:themeColor="text1"/>
          <w:lang w:val="es-ES_tradnl" w:eastAsia="es-ES_tradnl"/>
        </w:rPr>
        <w:t xml:space="preserve"> hayan manifestado su interés.</w:t>
      </w:r>
    </w:p>
    <w:p w14:paraId="792A180C" w14:textId="79217B76" w:rsidR="00D8729A" w:rsidRDefault="00D8729A" w:rsidP="000305D7">
      <w:pPr>
        <w:spacing w:before="120" w:after="0" w:line="276" w:lineRule="auto"/>
        <w:ind w:firstLine="709"/>
        <w:jc w:val="both"/>
        <w:rPr>
          <w:rFonts w:ascii="Arial" w:eastAsia="Calibri" w:hAnsi="Arial" w:cs="Arial"/>
          <w:color w:val="000000" w:themeColor="text1"/>
          <w:lang w:val="es-ES_tradnl" w:eastAsia="es-ES_tradnl"/>
        </w:rPr>
      </w:pPr>
      <w:r w:rsidRPr="002A58B7">
        <w:rPr>
          <w:rFonts w:ascii="Arial" w:eastAsia="Calibri" w:hAnsi="Arial" w:cs="Arial"/>
          <w:color w:val="000000" w:themeColor="text1"/>
          <w:lang w:val="es-ES_tradnl" w:eastAsia="es-ES_tradnl"/>
        </w:rPr>
        <w:t>iii)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5EE97187" w14:textId="1759978D" w:rsidR="00D8729A" w:rsidRDefault="00D8729A" w:rsidP="000305D7">
      <w:pPr>
        <w:spacing w:before="120" w:after="0" w:line="276" w:lineRule="auto"/>
        <w:ind w:firstLine="709"/>
        <w:jc w:val="both"/>
        <w:rPr>
          <w:rFonts w:ascii="Arial" w:eastAsia="Calibri" w:hAnsi="Arial" w:cs="Arial"/>
          <w:color w:val="000000" w:themeColor="text1"/>
          <w:lang w:val="es-ES_tradnl" w:eastAsia="es-ES_tradnl"/>
        </w:rPr>
      </w:pPr>
      <w:r w:rsidRPr="002A58B7">
        <w:rPr>
          <w:rFonts w:ascii="Arial" w:eastAsia="Calibri" w:hAnsi="Arial" w:cs="Arial"/>
          <w:color w:val="000000" w:themeColor="text1"/>
          <w:lang w:val="es-ES_tradnl" w:eastAsia="es-ES_tradnl"/>
        </w:rPr>
        <w:t xml:space="preserve">iv) Establece que, en el reglamento, el gobierno nacional podría establecer condiciones preferenciales para los bienes y servicios producidos por las </w:t>
      </w:r>
      <w:proofErr w:type="spellStart"/>
      <w:r w:rsidRPr="002A58B7">
        <w:rPr>
          <w:rFonts w:ascii="Arial" w:eastAsia="Calibri" w:hAnsi="Arial" w:cs="Arial"/>
          <w:color w:val="000000" w:themeColor="text1"/>
          <w:lang w:val="es-ES_tradnl" w:eastAsia="es-ES_tradnl"/>
        </w:rPr>
        <w:t>mipymes</w:t>
      </w:r>
      <w:proofErr w:type="spellEnd"/>
      <w:r w:rsidRPr="002A58B7">
        <w:rPr>
          <w:rFonts w:ascii="Arial" w:eastAsia="Calibri" w:hAnsi="Arial" w:cs="Arial"/>
          <w:color w:val="000000" w:themeColor="text1"/>
          <w:lang w:val="es-ES_tradnl" w:eastAsia="es-ES_tradnl"/>
        </w:rPr>
        <w:t>, sin contrariar los compromisos internacionales vigentes.</w:t>
      </w:r>
    </w:p>
    <w:p w14:paraId="3CB53AE9" w14:textId="2325E4E0" w:rsidR="00D8729A" w:rsidRDefault="00D8729A" w:rsidP="000305D7">
      <w:pPr>
        <w:spacing w:before="120" w:after="0" w:line="276" w:lineRule="auto"/>
        <w:ind w:firstLine="709"/>
        <w:jc w:val="both"/>
        <w:rPr>
          <w:rFonts w:ascii="Arial" w:eastAsia="Calibri" w:hAnsi="Arial" w:cs="Arial"/>
          <w:color w:val="000000" w:themeColor="text1"/>
          <w:lang w:val="es-ES_tradnl" w:eastAsia="es-ES_tradnl"/>
        </w:rPr>
      </w:pPr>
      <w:r w:rsidRPr="002A58B7">
        <w:rPr>
          <w:rFonts w:ascii="Arial" w:eastAsia="Calibri" w:hAnsi="Arial" w:cs="Arial"/>
          <w:color w:val="000000" w:themeColor="text1"/>
          <w:lang w:val="es-ES_tradnl" w:eastAsia="es-ES_tradnl"/>
        </w:rPr>
        <w:lastRenderedPageBreak/>
        <w:t xml:space="preserve">v)  Aclara que tanto las convocatorias limitadas a </w:t>
      </w:r>
      <w:proofErr w:type="spellStart"/>
      <w:r w:rsidRPr="002A58B7">
        <w:rPr>
          <w:rFonts w:ascii="Arial" w:eastAsia="Calibri" w:hAnsi="Arial" w:cs="Arial"/>
          <w:color w:val="000000" w:themeColor="text1"/>
          <w:lang w:val="es-ES_tradnl" w:eastAsia="es-ES_tradnl"/>
        </w:rPr>
        <w:t>mipymes</w:t>
      </w:r>
      <w:proofErr w:type="spellEnd"/>
      <w:r w:rsidRPr="002A58B7">
        <w:rPr>
          <w:rFonts w:ascii="Arial" w:eastAsia="Calibri" w:hAnsi="Arial" w:cs="Arial"/>
          <w:color w:val="000000" w:themeColor="text1"/>
          <w:lang w:val="es-ES_tradnl" w:eastAsia="es-ES_tradnl"/>
        </w:rPr>
        <w:t>, como las condiciones preferenciales a favor de los bienes y servicios producidos por estas, no es óbice para que deban cumplir las exigencias técnicas y económicas del proceso de selección.</w:t>
      </w:r>
    </w:p>
    <w:p w14:paraId="0FA1C195" w14:textId="77777777" w:rsidR="00D8729A" w:rsidRPr="002A58B7" w:rsidRDefault="00D8729A" w:rsidP="000305D7">
      <w:pPr>
        <w:spacing w:before="120" w:after="0" w:line="276" w:lineRule="auto"/>
        <w:ind w:firstLine="709"/>
        <w:jc w:val="both"/>
        <w:rPr>
          <w:rFonts w:ascii="Arial" w:eastAsia="Calibri" w:hAnsi="Arial" w:cs="Arial"/>
          <w:color w:val="000000" w:themeColor="text1"/>
          <w:lang w:val="es-ES_tradnl" w:eastAsia="es-ES_tradnl"/>
        </w:rPr>
      </w:pPr>
      <w:r w:rsidRPr="002A58B7">
        <w:rPr>
          <w:rFonts w:ascii="Arial" w:eastAsia="Calibri" w:hAnsi="Arial" w:cs="Arial"/>
          <w:color w:val="000000" w:themeColor="text1"/>
          <w:lang w:val="es-ES_tradnl" w:eastAsia="es-ES_tradnl"/>
        </w:rPr>
        <w:t xml:space="preserve">vi) Señala que el reglamento a cargo del gobierno nacional, además de las convocatorias limitadas a </w:t>
      </w:r>
      <w:proofErr w:type="spellStart"/>
      <w:r>
        <w:rPr>
          <w:rFonts w:ascii="Arial" w:eastAsia="Calibri" w:hAnsi="Arial" w:cs="Arial"/>
          <w:color w:val="000000" w:themeColor="text1"/>
          <w:lang w:val="es-ES_tradnl" w:eastAsia="es-ES_tradnl"/>
        </w:rPr>
        <w:t>M</w:t>
      </w:r>
      <w:r w:rsidRPr="002A58B7">
        <w:rPr>
          <w:rFonts w:ascii="Arial" w:eastAsia="Calibri" w:hAnsi="Arial" w:cs="Arial"/>
          <w:color w:val="000000" w:themeColor="text1"/>
          <w:lang w:val="es-ES_tradnl" w:eastAsia="es-ES_tradnl"/>
        </w:rPr>
        <w:t>ipymes</w:t>
      </w:r>
      <w:proofErr w:type="spellEnd"/>
      <w:r w:rsidRPr="002A58B7">
        <w:rPr>
          <w:rFonts w:ascii="Arial" w:eastAsia="Calibri" w:hAnsi="Arial" w:cs="Arial"/>
          <w:color w:val="000000" w:themeColor="text1"/>
          <w:lang w:val="es-ES_tradnl" w:eastAsia="es-ES_tradnl"/>
        </w:rPr>
        <w:t xml:space="preserve">, deberá contener disposiciones </w:t>
      </w:r>
      <w:r w:rsidRPr="002A58B7">
        <w:rPr>
          <w:rFonts w:ascii="Arial" w:eastAsia="Calibri" w:hAnsi="Arial" w:cs="Arial"/>
          <w:color w:val="000000" w:themeColor="text1"/>
          <w:lang w:val="es-ES_tradnl"/>
        </w:rPr>
        <w:t xml:space="preserve">que fomenten en la ejecución de los contratos estatales la provisión de bienes y servicios por parte de </w:t>
      </w:r>
      <w:r w:rsidRPr="002A58B7">
        <w:rPr>
          <w:rFonts w:ascii="Arial" w:eastAsia="Calibri" w:hAnsi="Arial" w:cs="Arial"/>
          <w:color w:val="000000" w:themeColor="text1"/>
          <w:lang w:val="es-ES_tradnl" w:eastAsia="es-ES_tradnl"/>
        </w:rPr>
        <w:t>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4B8C28CD" w14:textId="77777777" w:rsidR="00D8729A" w:rsidRPr="002A58B7" w:rsidRDefault="00D8729A" w:rsidP="000305D7">
      <w:pPr>
        <w:spacing w:before="120" w:after="0" w:line="276" w:lineRule="auto"/>
        <w:ind w:firstLine="709"/>
        <w:jc w:val="both"/>
        <w:rPr>
          <w:rFonts w:ascii="Arial" w:eastAsia="Calibri" w:hAnsi="Arial" w:cs="Arial"/>
          <w:color w:val="000000" w:themeColor="text1"/>
          <w:lang w:val="es-ES_tradnl" w:eastAsia="es-ES_tradnl"/>
        </w:rPr>
      </w:pPr>
      <w:r w:rsidRPr="002A58B7">
        <w:rPr>
          <w:rFonts w:ascii="Arial" w:eastAsia="Calibri" w:hAnsi="Arial" w:cs="Arial"/>
          <w:color w:val="000000" w:themeColor="text1"/>
          <w:lang w:val="es-ES_tradnl" w:eastAsia="es-ES_tradnl"/>
        </w:rPr>
        <w:t xml:space="preserve">vii) Precisa que la posibilidad de participar en convocatorias limitadas a </w:t>
      </w:r>
      <w:proofErr w:type="spellStart"/>
      <w:r>
        <w:rPr>
          <w:rFonts w:ascii="Arial" w:eastAsia="Calibri" w:hAnsi="Arial" w:cs="Arial"/>
          <w:color w:val="000000" w:themeColor="text1"/>
          <w:lang w:val="es-ES_tradnl" w:eastAsia="es-ES_tradnl"/>
        </w:rPr>
        <w:t>M</w:t>
      </w:r>
      <w:r w:rsidRPr="002A58B7">
        <w:rPr>
          <w:rFonts w:ascii="Arial" w:eastAsia="Calibri" w:hAnsi="Arial" w:cs="Arial"/>
          <w:color w:val="000000" w:themeColor="text1"/>
          <w:lang w:val="es-ES_tradnl" w:eastAsia="es-ES_tradnl"/>
        </w:rPr>
        <w:t>ipymes</w:t>
      </w:r>
      <w:proofErr w:type="spellEnd"/>
      <w:r w:rsidRPr="002A58B7">
        <w:rPr>
          <w:rFonts w:ascii="Arial" w:eastAsia="Calibri" w:hAnsi="Arial" w:cs="Arial"/>
          <w:color w:val="000000" w:themeColor="text1"/>
          <w:lang w:val="es-ES_tradnl" w:eastAsia="es-ES_tradnl"/>
        </w:rPr>
        <w:t xml:space="preserve"> se encuentra condicionada a que estas acrediten como mínimo un año de existencia, con el certificado expedido por la cámara de comercio respectiva o por la autoridad que sea competente para ello.</w:t>
      </w:r>
    </w:p>
    <w:p w14:paraId="5B0618BD" w14:textId="38478599" w:rsidR="00D8729A" w:rsidRDefault="00D8729A" w:rsidP="000305D7">
      <w:pPr>
        <w:spacing w:before="120" w:after="0" w:line="276" w:lineRule="auto"/>
        <w:ind w:firstLine="709"/>
        <w:jc w:val="both"/>
        <w:rPr>
          <w:rFonts w:ascii="Arial" w:eastAsia="Calibri" w:hAnsi="Arial" w:cs="Arial"/>
          <w:color w:val="000000" w:themeColor="text1"/>
          <w:lang w:val="es-ES_tradnl" w:eastAsia="es-ES_tradnl"/>
        </w:rPr>
      </w:pPr>
      <w:r w:rsidRPr="002A58B7">
        <w:rPr>
          <w:rFonts w:ascii="Arial" w:eastAsia="Calibri" w:hAnsi="Arial" w:cs="Arial"/>
          <w:color w:val="000000" w:themeColor="text1"/>
          <w:lang w:val="es-ES_tradnl" w:eastAsia="es-ES_tradnl"/>
        </w:rPr>
        <w:t>viii)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13EFE374" w14:textId="2EE252C9" w:rsidR="00D8729A" w:rsidRDefault="00D8729A" w:rsidP="000305D7">
      <w:pPr>
        <w:spacing w:before="120" w:after="0" w:line="276" w:lineRule="auto"/>
        <w:ind w:firstLine="709"/>
        <w:jc w:val="both"/>
        <w:rPr>
          <w:rFonts w:ascii="Arial" w:eastAsia="Calibri" w:hAnsi="Arial" w:cs="Arial"/>
          <w:color w:val="000000" w:themeColor="text1"/>
          <w:lang w:val="es-ES_tradnl" w:eastAsia="es-ES_tradnl"/>
        </w:rPr>
      </w:pPr>
      <w:r w:rsidRPr="002A58B7">
        <w:rPr>
          <w:rFonts w:ascii="Arial" w:eastAsia="Calibri" w:hAnsi="Arial" w:cs="Arial"/>
          <w:color w:val="000000" w:themeColor="text1"/>
          <w:lang w:val="es-ES_tradnl" w:eastAsia="es-ES_tradnl"/>
        </w:rPr>
        <w:t xml:space="preserve">A partir de lo anterior, el artículo 34 de la Ley 2069 de 2020 sustituyó íntegramente el contenido del artículo 12 de la Ley 1150 de 2007. En este sentido, frente a esta última norma se produjo el fenómeno de la subrogación, el cual explica la Corte Constitucional en los siguientes términos: </w:t>
      </w:r>
    </w:p>
    <w:p w14:paraId="3B8EA856" w14:textId="77777777" w:rsidR="00895ECE" w:rsidRPr="002A58B7" w:rsidRDefault="00895ECE" w:rsidP="00FD7DA7">
      <w:pPr>
        <w:spacing w:after="0" w:line="276" w:lineRule="auto"/>
        <w:ind w:firstLine="709"/>
        <w:jc w:val="both"/>
        <w:rPr>
          <w:rFonts w:ascii="Arial" w:eastAsia="Calibri" w:hAnsi="Arial" w:cs="Arial"/>
          <w:color w:val="000000" w:themeColor="text1"/>
          <w:lang w:val="es-ES_tradnl" w:eastAsia="es-ES_tradnl"/>
        </w:rPr>
      </w:pPr>
    </w:p>
    <w:p w14:paraId="0C87AAE8" w14:textId="745A15AA" w:rsidR="00D8729A" w:rsidRDefault="00D8729A" w:rsidP="00FD7DA7">
      <w:pPr>
        <w:spacing w:after="0" w:line="240" w:lineRule="auto"/>
        <w:ind w:left="709" w:right="709"/>
        <w:jc w:val="both"/>
        <w:rPr>
          <w:rFonts w:ascii="Arial" w:eastAsia="Calibri" w:hAnsi="Arial" w:cs="Arial"/>
          <w:color w:val="000000" w:themeColor="text1"/>
          <w:sz w:val="21"/>
          <w:szCs w:val="21"/>
          <w:lang w:val="es-ES_tradnl" w:eastAsia="es-ES_tradnl"/>
        </w:rPr>
      </w:pPr>
      <w:r w:rsidRPr="002A58B7">
        <w:rPr>
          <w:rFonts w:ascii="Arial" w:eastAsia="Calibri" w:hAnsi="Arial" w:cs="Arial"/>
          <w:color w:val="000000" w:themeColor="text1"/>
          <w:sz w:val="21"/>
          <w:szCs w:val="21"/>
          <w:lang w:val="es-ES_tradnl" w:eastAsia="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2A58B7">
        <w:rPr>
          <w:rFonts w:ascii="Arial" w:eastAsia="Calibri" w:hAnsi="Arial" w:cs="Arial"/>
          <w:color w:val="000000" w:themeColor="text1"/>
          <w:sz w:val="21"/>
          <w:szCs w:val="21"/>
          <w:vertAlign w:val="superscript"/>
          <w:lang w:val="es-ES_tradnl" w:eastAsia="es-ES_tradnl"/>
        </w:rPr>
        <w:footnoteReference w:id="7"/>
      </w:r>
      <w:r w:rsidRPr="002A58B7">
        <w:rPr>
          <w:rFonts w:ascii="Arial" w:eastAsia="Calibri" w:hAnsi="Arial" w:cs="Arial"/>
          <w:color w:val="000000" w:themeColor="text1"/>
          <w:sz w:val="21"/>
          <w:szCs w:val="21"/>
          <w:lang w:val="es-ES_tradnl" w:eastAsia="es-ES_tradnl"/>
        </w:rPr>
        <w:t>.</w:t>
      </w:r>
    </w:p>
    <w:p w14:paraId="3EFE10C5" w14:textId="77777777" w:rsidR="00895ECE" w:rsidRPr="002A58B7" w:rsidRDefault="00895ECE" w:rsidP="00FD7DA7">
      <w:pPr>
        <w:spacing w:after="0" w:line="276" w:lineRule="auto"/>
        <w:ind w:left="709" w:right="709"/>
        <w:jc w:val="both"/>
        <w:rPr>
          <w:rFonts w:ascii="Arial" w:eastAsia="Calibri" w:hAnsi="Arial" w:cs="Arial"/>
          <w:color w:val="000000" w:themeColor="text1"/>
          <w:sz w:val="21"/>
          <w:szCs w:val="21"/>
          <w:lang w:val="es-ES_tradnl" w:eastAsia="es-ES_tradnl"/>
        </w:rPr>
      </w:pPr>
    </w:p>
    <w:p w14:paraId="5F5473E7" w14:textId="5501E646" w:rsidR="00D8729A" w:rsidRDefault="00D8729A" w:rsidP="00FD7DA7">
      <w:pPr>
        <w:spacing w:after="0" w:line="276" w:lineRule="auto"/>
        <w:ind w:firstLine="709"/>
        <w:jc w:val="both"/>
        <w:rPr>
          <w:rFonts w:ascii="Arial" w:eastAsia="Calibri" w:hAnsi="Arial" w:cs="Arial"/>
          <w:color w:val="000000" w:themeColor="text1"/>
          <w:lang w:val="es-ES_tradnl" w:eastAsia="es-ES_tradnl"/>
        </w:rPr>
      </w:pPr>
      <w:r w:rsidRPr="002A58B7">
        <w:rPr>
          <w:rFonts w:ascii="Arial" w:eastAsia="Calibri" w:hAnsi="Arial" w:cs="Arial"/>
          <w:color w:val="000000" w:themeColor="text1"/>
          <w:lang w:val="es-ES_tradnl" w:eastAsia="es-ES_tradnl"/>
        </w:rPr>
        <w:t xml:space="preserve">La subrogación es, entonces, una forma de derogación de las normas jurídicas, que consiste en el reemplazo de su contenido por un enunciado normativo nuevo. Se distingue </w:t>
      </w:r>
      <w:r w:rsidRPr="002A58B7">
        <w:rPr>
          <w:rFonts w:ascii="Arial" w:eastAsia="Calibri" w:hAnsi="Arial" w:cs="Arial"/>
          <w:color w:val="000000" w:themeColor="text1"/>
          <w:lang w:val="es-ES_tradnl" w:eastAsia="es-ES_tradnl"/>
        </w:rPr>
        <w:lastRenderedPageBreak/>
        <w:t>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45EF40B5" w14:textId="2A59C7A2" w:rsidR="00D8729A" w:rsidRDefault="00D8729A" w:rsidP="000305D7">
      <w:pPr>
        <w:spacing w:before="120" w:after="0" w:line="276" w:lineRule="auto"/>
        <w:ind w:firstLine="709"/>
        <w:jc w:val="both"/>
        <w:rPr>
          <w:rFonts w:ascii="Arial" w:eastAsia="Calibri" w:hAnsi="Arial" w:cs="Arial"/>
          <w:color w:val="000000" w:themeColor="text1"/>
          <w:lang w:val="es-ES_tradnl" w:eastAsia="es-ES_tradnl"/>
        </w:rPr>
      </w:pPr>
      <w:r w:rsidRPr="002A58B7">
        <w:rPr>
          <w:rFonts w:ascii="Arial" w:eastAsia="Calibri" w:hAnsi="Arial" w:cs="Arial"/>
          <w:color w:val="000000" w:themeColor="text1"/>
          <w:lang w:val="es-ES_tradnl" w:eastAsia="es-ES_tradnl"/>
        </w:rPr>
        <w:t xml:space="preserve">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original del Decreto 1082 de 2015, que, hasta la expedición de la Ley 2069 de 2020, regía las convocatorias limitadas a </w:t>
      </w:r>
      <w:proofErr w:type="spellStart"/>
      <w:r>
        <w:rPr>
          <w:rFonts w:ascii="Arial" w:eastAsia="Calibri" w:hAnsi="Arial" w:cs="Arial"/>
          <w:color w:val="000000" w:themeColor="text1"/>
          <w:lang w:val="es-ES_tradnl" w:eastAsia="es-ES_tradnl"/>
        </w:rPr>
        <w:t>M</w:t>
      </w:r>
      <w:r w:rsidRPr="002A58B7">
        <w:rPr>
          <w:rFonts w:ascii="Arial" w:eastAsia="Calibri" w:hAnsi="Arial" w:cs="Arial"/>
          <w:color w:val="000000" w:themeColor="text1"/>
          <w:lang w:val="es-ES_tradnl" w:eastAsia="es-ES_tradnl"/>
        </w:rPr>
        <w:t>ipymes</w:t>
      </w:r>
      <w:proofErr w:type="spellEnd"/>
      <w:r w:rsidRPr="002A58B7">
        <w:rPr>
          <w:rFonts w:ascii="Arial" w:eastAsia="Calibri" w:hAnsi="Arial" w:cs="Arial"/>
          <w:color w:val="000000" w:themeColor="text1"/>
          <w:lang w:val="es-ES_tradnl" w:eastAsia="es-ES_tradnl"/>
        </w:rPr>
        <w:t xml:space="preserve">.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–categoría que, como es sabido, incluye los decretos reglamentarios– dejan de ser obligatorios o decaen «Cuando desaparezcan sus fundamentos de hecho o de derecho». </w:t>
      </w:r>
    </w:p>
    <w:p w14:paraId="069226CA" w14:textId="7B817A55" w:rsidR="00D8729A" w:rsidRDefault="00D8729A" w:rsidP="000305D7">
      <w:pPr>
        <w:spacing w:before="120" w:after="0" w:line="276" w:lineRule="auto"/>
        <w:ind w:firstLine="709"/>
        <w:jc w:val="both"/>
        <w:rPr>
          <w:rFonts w:ascii="Arial" w:eastAsia="Calibri" w:hAnsi="Arial" w:cs="Arial"/>
          <w:color w:val="000000" w:themeColor="text1"/>
          <w:lang w:val="es-ES_tradnl" w:eastAsia="es-ES_tradnl"/>
        </w:rPr>
      </w:pPr>
      <w:r w:rsidRPr="002A58B7">
        <w:rPr>
          <w:rFonts w:ascii="Arial" w:eastAsia="Calibri" w:hAnsi="Arial" w:cs="Arial"/>
          <w:color w:val="000000" w:themeColor="text1"/>
          <w:lang w:val="es-ES_tradnl" w:eastAsia="es-ES_tradnl"/>
        </w:rPr>
        <w:t xml:space="preserve">Lo anterior quedó reafirmado con la expedición del Decreto 1860 de 24 de diciembre de 2021, reglamento que modificó, entre otros aspectos, la Subsección 5 de la Sección 1 del Capítulo 2 del Título 1 de la Parte 2 del Libro 2 y los artículos 2.2.1.2.4.2.2. y 2.2.1.2.4.2.3. y siguientes del Decreto 1082 de 2015, Único Reglamentario del Sector Administrativo de Planeación Nacional. Estas modificaciones, </w:t>
      </w:r>
      <w:r w:rsidRPr="002A58B7">
        <w:rPr>
          <w:rFonts w:ascii="Arial" w:eastAsia="Calibri" w:hAnsi="Arial" w:cs="Arial"/>
          <w:color w:val="000000" w:themeColor="text1"/>
          <w:lang w:val="es-ES_tradnl"/>
        </w:rPr>
        <w:t>de acuerdo con el artículo 8 del Decreto 1860 de 2021 «aplicarán a los procedimientos de selección cuya invitación, aviso de convocatoria o documento equivalente se publique a los tres (3) meses contados a partir de su expedición», esto es, a partir del 24 de marzo de 2022</w:t>
      </w:r>
      <w:r w:rsidRPr="002A58B7">
        <w:rPr>
          <w:rFonts w:ascii="Arial" w:eastAsia="Calibri" w:hAnsi="Arial" w:cs="Arial"/>
          <w:color w:val="000000" w:themeColor="text1"/>
          <w:lang w:val="es-ES_tradnl" w:eastAsia="es-ES_tradnl"/>
        </w:rPr>
        <w:t>.</w:t>
      </w:r>
    </w:p>
    <w:p w14:paraId="7B5BEDD6" w14:textId="19F641BD" w:rsidR="00D8729A" w:rsidRPr="00C023FE" w:rsidRDefault="00D8729A" w:rsidP="00F0060F">
      <w:pPr>
        <w:spacing w:before="120" w:after="0" w:line="276" w:lineRule="auto"/>
        <w:ind w:firstLine="708"/>
        <w:jc w:val="both"/>
        <w:rPr>
          <w:rFonts w:ascii="Arial" w:eastAsia="Calibri" w:hAnsi="Arial" w:cs="Arial"/>
          <w:color w:val="000000" w:themeColor="text1"/>
          <w:lang w:val="es-ES_tradnl" w:eastAsia="es-ES_tradnl"/>
        </w:rPr>
      </w:pPr>
      <w:r w:rsidRPr="002A58B7">
        <w:rPr>
          <w:rFonts w:ascii="Arial" w:eastAsia="Calibri" w:hAnsi="Arial" w:cs="Arial"/>
          <w:color w:val="000000" w:themeColor="text1"/>
          <w:lang w:val="es-ES_tradnl" w:eastAsia="es-ES_tradnl"/>
        </w:rPr>
        <w:t>Por otro lado, en cuanto a lo dispuesto por el antiguo artículo 2.2.1.2.4.2.3 del Decreto 1082 de 2015</w:t>
      </w:r>
      <w:r w:rsidRPr="002A58B7">
        <w:rPr>
          <w:rFonts w:ascii="Arial" w:eastAsia="Calibri" w:hAnsi="Arial" w:cs="Arial"/>
          <w:color w:val="000000" w:themeColor="text1"/>
          <w:vertAlign w:val="superscript"/>
          <w:lang w:val="es-ES_tradnl" w:eastAsia="es-ES_tradnl"/>
        </w:rPr>
        <w:footnoteReference w:id="8"/>
      </w:r>
      <w:r w:rsidRPr="002A58B7">
        <w:rPr>
          <w:rFonts w:ascii="Arial" w:eastAsia="Calibri" w:hAnsi="Arial" w:cs="Arial"/>
          <w:color w:val="000000" w:themeColor="text1"/>
          <w:lang w:val="es-ES_tradnl" w:eastAsia="es-ES_tradnl"/>
        </w:rPr>
        <w:t xml:space="preserve">, que regulaba la posibilidad de limitar convocatorias a </w:t>
      </w:r>
      <w:proofErr w:type="spellStart"/>
      <w:r>
        <w:rPr>
          <w:rFonts w:ascii="Arial" w:eastAsia="Calibri" w:hAnsi="Arial" w:cs="Arial"/>
          <w:color w:val="000000" w:themeColor="text1"/>
          <w:lang w:val="es-ES_tradnl" w:eastAsia="es-ES_tradnl"/>
        </w:rPr>
        <w:t>M</w:t>
      </w:r>
      <w:r w:rsidRPr="002A58B7">
        <w:rPr>
          <w:rFonts w:ascii="Arial" w:eastAsia="Calibri" w:hAnsi="Arial" w:cs="Arial"/>
          <w:color w:val="000000" w:themeColor="text1"/>
          <w:lang w:val="es-ES_tradnl" w:eastAsia="es-ES_tradnl"/>
        </w:rPr>
        <w:t>ipymes</w:t>
      </w:r>
      <w:proofErr w:type="spellEnd"/>
      <w:r w:rsidRPr="002A58B7">
        <w:rPr>
          <w:rFonts w:ascii="Arial" w:eastAsia="Calibri" w:hAnsi="Arial" w:cs="Arial"/>
          <w:color w:val="000000" w:themeColor="text1"/>
          <w:lang w:val="es-ES_tradnl" w:eastAsia="es-ES_tradnl"/>
        </w:rPr>
        <w:t xml:space="preserve"> domiciliadas en un determinado ámbito territorial, se estima que este, al igual que el artículo 2.2.1.2.4.2.2, también se afectó por el fenómeno del decaimiento y hoy quedó sustituido por lo dispuesto en el Decreto 1860 de 2021. </w:t>
      </w:r>
      <w:r w:rsidR="00F0060F">
        <w:rPr>
          <w:rFonts w:ascii="Arial" w:eastAsia="Calibri" w:hAnsi="Arial" w:cs="Arial"/>
          <w:color w:val="000000" w:themeColor="text1"/>
          <w:lang w:val="es-ES_tradnl" w:eastAsia="es-ES_tradnl"/>
        </w:rPr>
        <w:t>No obstante</w:t>
      </w:r>
      <w:r w:rsidRPr="00C023FE">
        <w:rPr>
          <w:rFonts w:ascii="Arial" w:eastAsia="Calibri" w:hAnsi="Arial" w:cs="Arial"/>
          <w:color w:val="000000" w:themeColor="text1"/>
          <w:lang w:val="es-ES_tradnl" w:eastAsia="es-ES_tradnl"/>
        </w:rPr>
        <w:t xml:space="preserve">, el texto del actual artículo 2.2.1.2.4.2.3, modificado por el artículo 5 del Decreto 1860 de 2021, no cambia la tesis adoptada en conceptos anteriores de Colombia Compra Eficiente emitidos antes de la expedición de este reglamento. Lo anterior en la medida que, respecto del domicilio de las </w:t>
      </w:r>
      <w:proofErr w:type="spellStart"/>
      <w:r w:rsidRPr="00C023FE">
        <w:rPr>
          <w:rFonts w:ascii="Arial" w:eastAsia="Calibri" w:hAnsi="Arial" w:cs="Arial"/>
          <w:color w:val="000000" w:themeColor="text1"/>
          <w:lang w:val="es-ES_tradnl" w:eastAsia="es-ES_tradnl"/>
        </w:rPr>
        <w:lastRenderedPageBreak/>
        <w:t>Mipymes</w:t>
      </w:r>
      <w:proofErr w:type="spellEnd"/>
      <w:r w:rsidRPr="00C023FE">
        <w:rPr>
          <w:rFonts w:ascii="Arial" w:eastAsia="Calibri" w:hAnsi="Arial" w:cs="Arial"/>
          <w:color w:val="000000" w:themeColor="text1"/>
          <w:lang w:val="es-ES_tradnl" w:eastAsia="es-ES_tradnl"/>
        </w:rPr>
        <w:t xml:space="preserve"> en el departamento o municipio donde se ejecuta el contrato, la reglamentación no tuvo cambios. Así se desprende del texto de la nueva norma que es del siguiente tenor: </w:t>
      </w:r>
    </w:p>
    <w:p w14:paraId="02AA85E9" w14:textId="77777777" w:rsidR="00F0060F" w:rsidRDefault="00F0060F" w:rsidP="00F0060F">
      <w:pPr>
        <w:spacing w:after="0" w:line="276" w:lineRule="auto"/>
        <w:ind w:left="709" w:right="709"/>
        <w:jc w:val="both"/>
        <w:rPr>
          <w:rFonts w:ascii="Arial" w:eastAsia="Times New Roman" w:hAnsi="Arial" w:cs="Arial"/>
          <w:color w:val="000000" w:themeColor="text1"/>
          <w:sz w:val="21"/>
          <w:szCs w:val="21"/>
          <w:lang w:eastAsia="es-ES_tradnl"/>
        </w:rPr>
      </w:pPr>
    </w:p>
    <w:p w14:paraId="34765788" w14:textId="2E3D59CB" w:rsidR="00D8729A" w:rsidRPr="00C023FE" w:rsidRDefault="00D8729A" w:rsidP="00FD7DA7">
      <w:pPr>
        <w:spacing w:after="0" w:line="240" w:lineRule="auto"/>
        <w:ind w:left="709" w:right="709"/>
        <w:jc w:val="both"/>
        <w:rPr>
          <w:rFonts w:ascii="Arial" w:eastAsia="Times New Roman" w:hAnsi="Arial" w:cs="Arial"/>
          <w:color w:val="000000" w:themeColor="text1"/>
          <w:sz w:val="21"/>
          <w:szCs w:val="21"/>
          <w:lang w:eastAsia="es-ES_tradnl"/>
        </w:rPr>
      </w:pPr>
      <w:r w:rsidRPr="00C023FE">
        <w:rPr>
          <w:rFonts w:ascii="Arial" w:eastAsia="Times New Roman" w:hAnsi="Arial" w:cs="Arial"/>
          <w:color w:val="000000" w:themeColor="text1"/>
          <w:sz w:val="21"/>
          <w:szCs w:val="21"/>
          <w:lang w:eastAsia="es-ES_tradnl"/>
        </w:rPr>
        <w:t>ARTÍCULO  5. Modificación de la Subsección 2 de la Sección 4 del Capítulo 2 del Título 1 de la Parte 2 del Libro 2 del Decreto 1082 de 2015. Modifíquense los artículos 2.2.1.2.4.2.2., 2.2.1.2.4.2.3. y 2.2.1.2.4.2.4. de la Subsección 2 de la Sección 4 del Capítulo 2 del Título 1 de la Parte 2 del Libro 2 del Decreto 1082 de 2015, los cuales quedarán así:</w:t>
      </w:r>
    </w:p>
    <w:p w14:paraId="564EC071" w14:textId="77777777" w:rsidR="00A50C5B" w:rsidRDefault="00A50C5B" w:rsidP="00FD7DA7">
      <w:pPr>
        <w:spacing w:after="0" w:line="240" w:lineRule="auto"/>
        <w:ind w:left="709" w:right="709"/>
        <w:jc w:val="both"/>
        <w:rPr>
          <w:rFonts w:ascii="Arial" w:eastAsia="Times New Roman" w:hAnsi="Arial" w:cs="Arial"/>
          <w:color w:val="000000" w:themeColor="text1"/>
          <w:sz w:val="21"/>
          <w:szCs w:val="21"/>
          <w:lang w:eastAsia="es-ES_tradnl"/>
        </w:rPr>
      </w:pPr>
    </w:p>
    <w:p w14:paraId="3B08C3E3" w14:textId="0B01921B" w:rsidR="00D8729A" w:rsidRPr="00C023FE" w:rsidRDefault="00D8729A" w:rsidP="00FD7DA7">
      <w:pPr>
        <w:spacing w:after="0" w:line="240" w:lineRule="auto"/>
        <w:ind w:left="709" w:right="709"/>
        <w:jc w:val="both"/>
        <w:rPr>
          <w:rFonts w:ascii="Arial" w:eastAsia="Times New Roman" w:hAnsi="Arial" w:cs="Arial"/>
          <w:color w:val="000000" w:themeColor="text1"/>
          <w:sz w:val="21"/>
          <w:szCs w:val="21"/>
          <w:lang w:eastAsia="es-ES_tradnl"/>
        </w:rPr>
      </w:pPr>
      <w:r w:rsidRPr="00C023FE">
        <w:rPr>
          <w:rFonts w:ascii="Arial" w:eastAsia="Times New Roman" w:hAnsi="Arial" w:cs="Arial"/>
          <w:color w:val="000000" w:themeColor="text1"/>
          <w:sz w:val="21"/>
          <w:szCs w:val="21"/>
          <w:lang w:eastAsia="es-ES_tradnl"/>
        </w:rPr>
        <w:t>[…]</w:t>
      </w:r>
    </w:p>
    <w:p w14:paraId="3E1E59A7" w14:textId="77777777" w:rsidR="00A50C5B" w:rsidRDefault="00A50C5B" w:rsidP="00FD7DA7">
      <w:pPr>
        <w:spacing w:after="0" w:line="240" w:lineRule="auto"/>
        <w:ind w:left="709" w:right="709"/>
        <w:jc w:val="both"/>
        <w:rPr>
          <w:rFonts w:ascii="Arial" w:eastAsia="Times New Roman" w:hAnsi="Arial" w:cs="Arial"/>
          <w:color w:val="000000" w:themeColor="text1"/>
          <w:sz w:val="21"/>
          <w:szCs w:val="21"/>
          <w:lang w:eastAsia="es-ES_tradnl"/>
        </w:rPr>
      </w:pPr>
    </w:p>
    <w:p w14:paraId="5A4FC03E" w14:textId="5908B541" w:rsidR="00D8729A" w:rsidRDefault="00D8729A" w:rsidP="00FD7DA7">
      <w:pPr>
        <w:spacing w:after="0" w:line="240" w:lineRule="auto"/>
        <w:ind w:left="709" w:right="709"/>
        <w:jc w:val="both"/>
        <w:rPr>
          <w:rFonts w:ascii="Arial" w:eastAsia="Times New Roman" w:hAnsi="Arial" w:cs="Arial"/>
          <w:color w:val="000000" w:themeColor="text1"/>
          <w:sz w:val="21"/>
          <w:szCs w:val="21"/>
          <w:lang w:eastAsia="es-ES_tradnl"/>
        </w:rPr>
      </w:pPr>
      <w:r w:rsidRPr="00C023FE">
        <w:rPr>
          <w:rFonts w:ascii="Arial" w:eastAsia="Times New Roman" w:hAnsi="Arial" w:cs="Arial"/>
          <w:color w:val="000000" w:themeColor="text1"/>
          <w:sz w:val="21"/>
          <w:szCs w:val="21"/>
          <w:lang w:eastAsia="es-ES_tradnl"/>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w:t>
      </w:r>
      <w:proofErr w:type="spellStart"/>
      <w:r w:rsidRPr="00C023FE">
        <w:rPr>
          <w:rFonts w:ascii="Arial" w:eastAsia="Times New Roman" w:hAnsi="Arial" w:cs="Arial"/>
          <w:color w:val="000000" w:themeColor="text1"/>
          <w:sz w:val="21"/>
          <w:szCs w:val="21"/>
          <w:lang w:eastAsia="es-ES_tradnl"/>
        </w:rPr>
        <w:t>Mipyme</w:t>
      </w:r>
      <w:proofErr w:type="spellEnd"/>
      <w:r w:rsidRPr="00C023FE">
        <w:rPr>
          <w:rFonts w:ascii="Arial" w:eastAsia="Times New Roman" w:hAnsi="Arial" w:cs="Arial"/>
          <w:color w:val="000000" w:themeColor="text1"/>
          <w:sz w:val="21"/>
          <w:szCs w:val="21"/>
          <w:lang w:eastAsia="es-ES_tradnl"/>
        </w:rPr>
        <w:t xml:space="preserve"> colombianas que tengan domicilio en los departamentos o municipios en donde se va a ejecutar el contrato. Cada </w:t>
      </w:r>
      <w:proofErr w:type="spellStart"/>
      <w:r w:rsidRPr="00C023FE">
        <w:rPr>
          <w:rFonts w:ascii="Arial" w:eastAsia="Times New Roman" w:hAnsi="Arial" w:cs="Arial"/>
          <w:color w:val="000000" w:themeColor="text1"/>
          <w:sz w:val="21"/>
          <w:szCs w:val="21"/>
          <w:lang w:eastAsia="es-ES_tradnl"/>
        </w:rPr>
        <w:t>Mipyme</w:t>
      </w:r>
      <w:proofErr w:type="spellEnd"/>
      <w:r w:rsidRPr="00C023FE">
        <w:rPr>
          <w:rFonts w:ascii="Arial" w:eastAsia="Times New Roman" w:hAnsi="Arial" w:cs="Arial"/>
          <w:color w:val="000000" w:themeColor="text1"/>
          <w:sz w:val="21"/>
          <w:szCs w:val="21"/>
          <w:lang w:eastAsia="es-ES_tradnl"/>
        </w:rPr>
        <w:t xml:space="preserve"> deberá acreditar su domicilio con los documentos a los que se refiere el siguiente artículo. </w:t>
      </w:r>
    </w:p>
    <w:p w14:paraId="7B2EB8C2" w14:textId="77777777" w:rsidR="00F0060F" w:rsidRPr="00C023FE" w:rsidRDefault="00F0060F" w:rsidP="00FD7DA7">
      <w:pPr>
        <w:spacing w:after="0" w:line="276" w:lineRule="auto"/>
        <w:ind w:left="709" w:right="709"/>
        <w:jc w:val="both"/>
        <w:rPr>
          <w:rFonts w:ascii="Arial" w:eastAsia="Calibri" w:hAnsi="Arial" w:cs="Arial"/>
          <w:color w:val="000000" w:themeColor="text1"/>
          <w:lang w:val="es-ES_tradnl" w:eastAsia="es-ES_tradnl"/>
        </w:rPr>
      </w:pPr>
    </w:p>
    <w:p w14:paraId="469EE127" w14:textId="7CB3CB88" w:rsidR="00D8729A" w:rsidRDefault="00D8729A" w:rsidP="00FD7DA7">
      <w:pPr>
        <w:spacing w:after="0" w:line="276" w:lineRule="auto"/>
        <w:ind w:firstLine="709"/>
        <w:jc w:val="both"/>
        <w:rPr>
          <w:rFonts w:ascii="Arial" w:eastAsia="Calibri" w:hAnsi="Arial" w:cs="Arial"/>
          <w:color w:val="000000" w:themeColor="text1"/>
          <w:lang w:val="es-ES_tradnl" w:eastAsia="es-ES_tradnl"/>
        </w:rPr>
      </w:pPr>
      <w:r w:rsidRPr="00C023FE">
        <w:rPr>
          <w:rFonts w:ascii="Arial" w:eastAsia="Calibri" w:hAnsi="Arial" w:cs="Arial"/>
          <w:color w:val="000000" w:themeColor="text1"/>
          <w:lang w:val="es-ES_tradnl" w:eastAsia="es-ES_tradnl"/>
        </w:rPr>
        <w:t xml:space="preserve">La norma reglamentaria coincide con la redacción del parágrafo 1 del artículo 34 de la Ley 2069 de 2020, según el cual, solo es posible limitar convocatorias a la participación de </w:t>
      </w:r>
      <w:proofErr w:type="spellStart"/>
      <w:r w:rsidRPr="00C023FE">
        <w:rPr>
          <w:rFonts w:ascii="Arial" w:eastAsia="Calibri" w:hAnsi="Arial" w:cs="Arial"/>
          <w:color w:val="000000" w:themeColor="text1"/>
          <w:lang w:val="es-ES_tradnl" w:eastAsia="es-ES_tradnl"/>
        </w:rPr>
        <w:t>mipymes</w:t>
      </w:r>
      <w:proofErr w:type="spellEnd"/>
      <w:r w:rsidRPr="00C023FE">
        <w:rPr>
          <w:rFonts w:ascii="Arial" w:eastAsia="Calibri" w:hAnsi="Arial" w:cs="Arial"/>
          <w:color w:val="000000" w:themeColor="text1"/>
          <w:lang w:val="es-ES_tradnl" w:eastAsia="es-ES_tradnl"/>
        </w:rPr>
        <w:t xml:space="preserve"> «[…] </w:t>
      </w:r>
      <w:r w:rsidRPr="00C023FE">
        <w:rPr>
          <w:rFonts w:ascii="Arial" w:eastAsia="Calibri" w:hAnsi="Arial" w:cs="Arial"/>
          <w:color w:val="000000" w:themeColor="text1"/>
          <w:lang w:eastAsia="es-ES_tradnl"/>
        </w:rPr>
        <w:t>del ámbito municipal o departamental correspondiente al de la ejecución del contrato</w:t>
      </w:r>
      <w:r w:rsidRPr="00C023FE">
        <w:rPr>
          <w:rFonts w:ascii="Arial" w:eastAsia="Calibri" w:hAnsi="Arial" w:cs="Arial"/>
          <w:color w:val="000000" w:themeColor="text1"/>
          <w:lang w:val="es-ES_tradnl" w:eastAsia="es-ES_tradnl"/>
        </w:rPr>
        <w:t xml:space="preserve">». En tales términos, la norma citada contempla la posibilidad de limitar convocatorias a </w:t>
      </w:r>
      <w:proofErr w:type="spellStart"/>
      <w:r w:rsidRPr="00C023FE">
        <w:rPr>
          <w:rFonts w:ascii="Arial" w:eastAsia="Calibri" w:hAnsi="Arial" w:cs="Arial"/>
          <w:color w:val="000000" w:themeColor="text1"/>
          <w:lang w:val="es-ES_tradnl" w:eastAsia="es-ES_tradnl"/>
        </w:rPr>
        <w:t>mipymes</w:t>
      </w:r>
      <w:proofErr w:type="spellEnd"/>
      <w:r w:rsidRPr="00C023FE">
        <w:rPr>
          <w:rFonts w:ascii="Arial" w:eastAsia="Calibri" w:hAnsi="Arial" w:cs="Arial"/>
          <w:color w:val="000000" w:themeColor="text1"/>
          <w:lang w:val="es-ES_tradnl" w:eastAsia="es-ES_tradnl"/>
        </w:rPr>
        <w:t xml:space="preserve"> con domicilio en esos dos tipos de ámbitos territoriales. </w:t>
      </w:r>
    </w:p>
    <w:p w14:paraId="583073BA" w14:textId="03B1497F" w:rsidR="00D8729A" w:rsidRDefault="00D8729A" w:rsidP="000305D7">
      <w:pPr>
        <w:spacing w:before="120" w:after="0" w:line="276" w:lineRule="auto"/>
        <w:ind w:firstLine="709"/>
        <w:jc w:val="both"/>
        <w:rPr>
          <w:rFonts w:ascii="Arial" w:eastAsia="Arial" w:hAnsi="Arial" w:cs="Arial"/>
          <w:color w:val="000000" w:themeColor="text1"/>
        </w:rPr>
      </w:pPr>
      <w:r w:rsidRPr="00C023FE">
        <w:rPr>
          <w:rFonts w:ascii="Arial" w:eastAsia="Arial" w:hAnsi="Arial" w:cs="Arial"/>
          <w:color w:val="000000" w:themeColor="text1"/>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C023FE">
        <w:rPr>
          <w:rFonts w:ascii="Arial" w:eastAsia="Arial" w:hAnsi="Arial" w:cs="Arial"/>
          <w:color w:val="000000" w:themeColor="text1"/>
        </w:rPr>
        <w:t>Mipyme</w:t>
      </w:r>
      <w:proofErr w:type="spellEnd"/>
      <w:r w:rsidRPr="00C023FE">
        <w:rPr>
          <w:rFonts w:ascii="Arial" w:eastAsia="Arial" w:hAnsi="Arial" w:cs="Arial"/>
          <w:color w:val="000000" w:themeColor="text1"/>
        </w:rPr>
        <w:t xml:space="preserve"> nacional. Además, las normas de contratación permiten que las </w:t>
      </w:r>
      <w:proofErr w:type="spellStart"/>
      <w:r w:rsidRPr="00C023FE">
        <w:rPr>
          <w:rFonts w:ascii="Arial" w:eastAsia="Arial" w:hAnsi="Arial" w:cs="Arial"/>
          <w:color w:val="000000" w:themeColor="text1"/>
        </w:rPr>
        <w:t>Mipymes</w:t>
      </w:r>
      <w:proofErr w:type="spellEnd"/>
      <w:r w:rsidRPr="00C023FE">
        <w:rPr>
          <w:rFonts w:ascii="Arial" w:eastAsia="Arial" w:hAnsi="Arial" w:cs="Arial"/>
          <w:color w:val="000000" w:themeColor="text1"/>
        </w:rPr>
        <w:t xml:space="preserve"> nacionales puedan beneficiarse de la ejecución de un contrato dentro del ámbito territorial en la que tienen su «domicilio», siempre que el proceso de contratación efectivamente se limite a </w:t>
      </w:r>
      <w:proofErr w:type="spellStart"/>
      <w:r w:rsidRPr="00C023FE">
        <w:rPr>
          <w:rFonts w:ascii="Arial" w:eastAsia="Arial" w:hAnsi="Arial" w:cs="Arial"/>
          <w:color w:val="000000" w:themeColor="text1"/>
        </w:rPr>
        <w:t>Mipymes</w:t>
      </w:r>
      <w:proofErr w:type="spellEnd"/>
      <w:r w:rsidRPr="00C023FE">
        <w:rPr>
          <w:rFonts w:ascii="Arial" w:eastAsia="Arial" w:hAnsi="Arial" w:cs="Arial"/>
          <w:color w:val="000000" w:themeColor="text1"/>
        </w:rPr>
        <w:t xml:space="preserve"> domiciliadas en determinado ámbito territorial, de conformidad con las reglas establecidas en el Decreto 1082 de 2015, modificado por el Decreto 1860 de 2021.</w:t>
      </w:r>
    </w:p>
    <w:p w14:paraId="55D48940" w14:textId="6CC3AA59" w:rsidR="00D8729A" w:rsidRDefault="00D8729A" w:rsidP="000305D7">
      <w:pPr>
        <w:spacing w:before="120" w:after="0" w:line="276" w:lineRule="auto"/>
        <w:ind w:firstLine="709"/>
        <w:jc w:val="both"/>
        <w:rPr>
          <w:rFonts w:ascii="Arial" w:eastAsia="Arial" w:hAnsi="Arial" w:cs="Arial"/>
          <w:color w:val="000000" w:themeColor="text1"/>
        </w:rPr>
      </w:pPr>
      <w:r w:rsidRPr="00C023FE">
        <w:rPr>
          <w:rFonts w:ascii="Arial" w:eastAsia="Arial" w:hAnsi="Arial" w:cs="Arial"/>
          <w:color w:val="000000" w:themeColor="text1"/>
        </w:rPr>
        <w:t>En armonía con lo anterior, el artículo 2.2.1.2.4.2.3. del Decreto 1082 de 2015, modificado por el artículo 5 del Decreto 1860 de 2021 se refiere a las «</w:t>
      </w:r>
      <w:proofErr w:type="spellStart"/>
      <w:r w:rsidRPr="00C023FE">
        <w:rPr>
          <w:rFonts w:ascii="Arial" w:eastAsia="Arial" w:hAnsi="Arial" w:cs="Arial"/>
          <w:color w:val="000000" w:themeColor="text1"/>
        </w:rPr>
        <w:t>mipyme</w:t>
      </w:r>
      <w:proofErr w:type="spellEnd"/>
      <w:r w:rsidRPr="00C023FE">
        <w:rPr>
          <w:rFonts w:ascii="Arial" w:eastAsia="Arial" w:hAnsi="Arial" w:cs="Arial"/>
          <w:color w:val="000000" w:themeColor="text1"/>
        </w:rPr>
        <w:t xml:space="preserve"> colombianas que tengan domicilio en los departamentos o municipios en donde se va a ejecutar el contrato». Esta precisión es importante, pues el incentivo previsto en la norma únicamente aplica en el lugar de ejecución del contrato en el que la </w:t>
      </w:r>
      <w:proofErr w:type="spellStart"/>
      <w:r w:rsidRPr="00C023FE">
        <w:rPr>
          <w:rFonts w:ascii="Arial" w:eastAsia="Arial" w:hAnsi="Arial" w:cs="Arial"/>
          <w:color w:val="000000" w:themeColor="text1"/>
        </w:rPr>
        <w:t>Mipyme</w:t>
      </w:r>
      <w:proofErr w:type="spellEnd"/>
      <w:r w:rsidRPr="00C023FE">
        <w:rPr>
          <w:rFonts w:ascii="Arial" w:eastAsia="Arial" w:hAnsi="Arial" w:cs="Arial"/>
          <w:color w:val="000000" w:themeColor="text1"/>
        </w:rPr>
        <w:t xml:space="preserve"> tiene su «domicilio», y no en donde tiene sucursales o establecimientos de comercio. </w:t>
      </w:r>
    </w:p>
    <w:p w14:paraId="55A23E8E" w14:textId="77777777" w:rsidR="00D8729A" w:rsidRPr="00C023FE" w:rsidRDefault="00D8729A" w:rsidP="000305D7">
      <w:pPr>
        <w:spacing w:before="120" w:after="0" w:line="276" w:lineRule="auto"/>
        <w:ind w:firstLine="709"/>
        <w:jc w:val="both"/>
        <w:rPr>
          <w:rFonts w:ascii="Arial" w:hAnsi="Arial" w:cs="Arial"/>
          <w:color w:val="000000" w:themeColor="text1"/>
        </w:rPr>
      </w:pPr>
      <w:r w:rsidRPr="00C023FE">
        <w:rPr>
          <w:rFonts w:ascii="Arial" w:eastAsia="Times New Roman" w:hAnsi="Arial" w:cs="Arial"/>
          <w:bCs/>
          <w:color w:val="000000" w:themeColor="text1"/>
          <w:lang w:eastAsia="es-ES"/>
        </w:rPr>
        <w:lastRenderedPageBreak/>
        <w:t xml:space="preserve">Para explicar las implicaciones del artículo, </w:t>
      </w:r>
      <w:r w:rsidRPr="00C023FE">
        <w:rPr>
          <w:rFonts w:ascii="Arial" w:hAnsi="Arial" w:cs="Arial"/>
          <w:color w:val="000000" w:themeColor="text1"/>
        </w:rPr>
        <w:t>en primera instancia, debe analizarse el alcance del término «domicilio» que, para el caso de las sociedades, se constituye en uno de los atributos de su personalidad, que, en derecho, son aquellas propiedades o características de identidad, propias de las personas, sean estas naturales o jurídicas, como titulares de derechos</w:t>
      </w:r>
      <w:r w:rsidRPr="00C023FE">
        <w:rPr>
          <w:rStyle w:val="Refdenotaalpie"/>
          <w:rFonts w:ascii="Arial" w:hAnsi="Arial" w:cs="Arial"/>
          <w:color w:val="000000" w:themeColor="text1"/>
        </w:rPr>
        <w:footnoteReference w:id="9"/>
      </w:r>
      <w:r w:rsidRPr="00C023FE">
        <w:rPr>
          <w:rFonts w:ascii="Arial" w:hAnsi="Arial" w:cs="Arial"/>
          <w:color w:val="000000" w:themeColor="text1"/>
        </w:rPr>
        <w:t>. En esta línea, este término es definido por el Código Civil en el artículo 76</w:t>
      </w:r>
      <w:r w:rsidRPr="00C023FE">
        <w:rPr>
          <w:rStyle w:val="Refdenotaalpie"/>
          <w:rFonts w:ascii="Arial" w:hAnsi="Arial" w:cs="Arial"/>
          <w:color w:val="000000" w:themeColor="text1"/>
        </w:rPr>
        <w:footnoteReference w:id="10"/>
      </w:r>
      <w:r w:rsidRPr="00C023FE">
        <w:rPr>
          <w:rFonts w:ascii="Arial" w:hAnsi="Arial" w:cs="Arial"/>
          <w:color w:val="000000" w:themeColor="text1"/>
        </w:rPr>
        <w:t xml:space="preserve">, el cual lo concibe como la residencia acompañada real o presuntivamente del ánimo de permanecer en ella, lo cual, para el caso de las sociedades se interpreta como el sitio donde éstas tienen el asiento principal de sus negocios. </w:t>
      </w:r>
    </w:p>
    <w:p w14:paraId="4C46B36A" w14:textId="0CF7ED2D" w:rsidR="00D8729A" w:rsidRDefault="00D8729A" w:rsidP="000305D7">
      <w:pPr>
        <w:spacing w:before="120" w:after="0" w:line="276" w:lineRule="auto"/>
        <w:ind w:firstLine="709"/>
        <w:jc w:val="both"/>
        <w:rPr>
          <w:rFonts w:ascii="Arial" w:eastAsia="Arial" w:hAnsi="Arial" w:cs="Arial"/>
          <w:color w:val="000000" w:themeColor="text1"/>
        </w:rPr>
      </w:pPr>
      <w:r w:rsidRPr="00C023FE">
        <w:rPr>
          <w:rFonts w:ascii="Arial" w:hAnsi="Arial" w:cs="Arial"/>
          <w:color w:val="000000" w:themeColor="text1"/>
        </w:rPr>
        <w:t xml:space="preserve">El </w:t>
      </w:r>
      <w:r w:rsidRPr="00C023FE">
        <w:rPr>
          <w:rFonts w:ascii="Arial" w:eastAsia="Arial" w:hAnsi="Arial" w:cs="Arial"/>
          <w:color w:val="000000" w:themeColor="text1"/>
        </w:rPr>
        <w:t xml:space="preserve">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Nótese que la norma se refiere a los conceptos de «sucursal» y «domicilio» de forma diferente, de lo que se deriva que las sociedades comerciales tienen un domicilio y pueden tener una o varias sucursales que son establecimientos de comercio, esto es, bienes mercantiles pertenecientes a la sociedad. En ese mismo sentido, los artículos 110 y 111 </w:t>
      </w:r>
      <w:r w:rsidRPr="00C023FE">
        <w:rPr>
          <w:rFonts w:ascii="Arial" w:eastAsia="Arial" w:hAnsi="Arial" w:cs="Arial"/>
          <w:i/>
          <w:color w:val="000000" w:themeColor="text1"/>
        </w:rPr>
        <w:t>ibídem</w:t>
      </w:r>
      <w:r w:rsidRPr="00C023FE">
        <w:rPr>
          <w:rFonts w:ascii="Arial" w:eastAsia="Arial" w:hAnsi="Arial" w:cs="Arial"/>
          <w:color w:val="000000" w:themeColor="text1"/>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De esta manera, si el legislador distinguió entre uno y otro, y si el reglamento se refiere al «domicilio», se entiende que no es procedente extender el beneficio contenido en el artículo 2.2.1.2.4.2.3. </w:t>
      </w:r>
      <w:r w:rsidRPr="00C023FE">
        <w:rPr>
          <w:rFonts w:ascii="Arial" w:eastAsia="Arial" w:hAnsi="Arial" w:cs="Arial"/>
          <w:i/>
          <w:color w:val="000000" w:themeColor="text1"/>
        </w:rPr>
        <w:t xml:space="preserve">ibídem </w:t>
      </w:r>
      <w:r w:rsidRPr="00C023FE">
        <w:rPr>
          <w:rFonts w:ascii="Arial" w:eastAsia="Arial" w:hAnsi="Arial" w:cs="Arial"/>
          <w:color w:val="000000" w:themeColor="text1"/>
        </w:rPr>
        <w:t>a las entidades que tienen «sucursales» en el municipio o departamento en donde se va a ejecutar el contrato estatal.</w:t>
      </w:r>
    </w:p>
    <w:p w14:paraId="4F5DBD94" w14:textId="77777777" w:rsidR="00D8729A" w:rsidRPr="00C023FE" w:rsidRDefault="00D8729A" w:rsidP="000305D7">
      <w:pPr>
        <w:spacing w:before="120" w:after="0" w:line="276" w:lineRule="auto"/>
        <w:ind w:firstLine="709"/>
        <w:jc w:val="both"/>
        <w:rPr>
          <w:rFonts w:ascii="Arial" w:eastAsia="Arial" w:hAnsi="Arial" w:cs="Arial"/>
          <w:color w:val="000000" w:themeColor="text1"/>
        </w:rPr>
      </w:pPr>
      <w:r w:rsidRPr="00C023FE">
        <w:rPr>
          <w:rFonts w:ascii="Arial" w:eastAsia="Arial" w:hAnsi="Arial" w:cs="Arial"/>
          <w:color w:val="000000" w:themeColor="text1"/>
        </w:rPr>
        <w:t xml:space="preserve">Sin perjuicio de lo anterior, no puede perderse de vista que la decisión de limitar «a </w:t>
      </w:r>
      <w:proofErr w:type="spellStart"/>
      <w:r w:rsidRPr="00C023FE">
        <w:rPr>
          <w:rFonts w:ascii="Arial" w:eastAsia="Arial" w:hAnsi="Arial" w:cs="Arial"/>
          <w:color w:val="000000" w:themeColor="text1"/>
        </w:rPr>
        <w:t>Mipyme</w:t>
      </w:r>
      <w:proofErr w:type="spellEnd"/>
      <w:r w:rsidRPr="00C023FE">
        <w:rPr>
          <w:rFonts w:ascii="Arial" w:eastAsia="Arial" w:hAnsi="Arial" w:cs="Arial"/>
          <w:color w:val="000000" w:themeColor="text1"/>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w:t>
      </w:r>
      <w:r w:rsidRPr="00C023FE">
        <w:rPr>
          <w:rFonts w:ascii="Arial" w:eastAsia="Arial" w:hAnsi="Arial" w:cs="Arial"/>
          <w:color w:val="000000" w:themeColor="text1"/>
          <w:vertAlign w:val="superscript"/>
        </w:rPr>
        <w:footnoteReference w:id="11"/>
      </w:r>
      <w:r w:rsidRPr="00C023FE">
        <w:rPr>
          <w:rFonts w:ascii="Arial" w:eastAsia="Arial" w:hAnsi="Arial" w:cs="Arial"/>
          <w:color w:val="000000" w:themeColor="text1"/>
        </w:rPr>
        <w:t xml:space="preserve">. En ese sentido, si la </w:t>
      </w:r>
      <w:r w:rsidRPr="00C023FE">
        <w:rPr>
          <w:rFonts w:ascii="Arial" w:eastAsia="Arial" w:hAnsi="Arial" w:cs="Arial"/>
          <w:color w:val="000000" w:themeColor="text1"/>
        </w:rPr>
        <w:lastRenderedPageBreak/>
        <w:t xml:space="preserve">entidad no recibió las solicitudes para limitar la convocatoria a </w:t>
      </w:r>
      <w:proofErr w:type="spellStart"/>
      <w:r w:rsidRPr="00C023FE">
        <w:rPr>
          <w:rFonts w:ascii="Arial" w:eastAsia="Arial" w:hAnsi="Arial" w:cs="Arial"/>
          <w:color w:val="000000" w:themeColor="text1"/>
        </w:rPr>
        <w:t>Mipymes</w:t>
      </w:r>
      <w:proofErr w:type="spellEnd"/>
      <w:r w:rsidRPr="00C023FE">
        <w:rPr>
          <w:rFonts w:ascii="Arial" w:eastAsia="Arial" w:hAnsi="Arial" w:cs="Arial"/>
          <w:color w:val="000000" w:themeColor="text1"/>
        </w:rPr>
        <w:t xml:space="preserve">, no puede </w:t>
      </w:r>
      <w:r w:rsidRPr="00C023FE">
        <w:rPr>
          <w:rFonts w:ascii="Arial" w:eastAsia="Arial" w:hAnsi="Arial" w:cs="Arial"/>
          <w:i/>
          <w:color w:val="000000" w:themeColor="text1"/>
        </w:rPr>
        <w:t xml:space="preserve">motu propio </w:t>
      </w:r>
      <w:r w:rsidRPr="00C023FE">
        <w:rPr>
          <w:rFonts w:ascii="Arial" w:eastAsia="Arial" w:hAnsi="Arial" w:cs="Arial"/>
          <w:color w:val="000000" w:themeColor="text1"/>
        </w:rPr>
        <w:t xml:space="preserve">proceder con la «limitación territorial» de que trata el artículo 2.2.1.2.4.2.3. del Decreto 1082 de 2015. Esto debido a que el ejercicio de esta facultad solo puede darse ante la «limitación a </w:t>
      </w:r>
      <w:proofErr w:type="spellStart"/>
      <w:r w:rsidRPr="00C023FE">
        <w:rPr>
          <w:rFonts w:ascii="Arial" w:eastAsia="Arial" w:hAnsi="Arial" w:cs="Arial"/>
          <w:color w:val="000000" w:themeColor="text1"/>
        </w:rPr>
        <w:t>Mipymes</w:t>
      </w:r>
      <w:proofErr w:type="spellEnd"/>
      <w:r w:rsidRPr="00C023FE">
        <w:rPr>
          <w:rFonts w:ascii="Arial" w:eastAsia="Arial" w:hAnsi="Arial" w:cs="Arial"/>
          <w:color w:val="000000" w:themeColor="text1"/>
        </w:rPr>
        <w:t xml:space="preserve"> colombianas», lo cual supone verificar los supuestos legales establecidos en los mencionados numerales.</w:t>
      </w:r>
    </w:p>
    <w:p w14:paraId="5A3EA8F6" w14:textId="623114F7" w:rsidR="00D8729A" w:rsidRDefault="00D8729A" w:rsidP="000305D7">
      <w:pPr>
        <w:spacing w:before="120" w:after="0" w:line="276" w:lineRule="auto"/>
        <w:ind w:firstLine="709"/>
        <w:jc w:val="both"/>
        <w:rPr>
          <w:rFonts w:ascii="Arial" w:eastAsia="Arial" w:hAnsi="Arial" w:cs="Arial"/>
          <w:color w:val="000000" w:themeColor="text1"/>
          <w:lang w:val="es-ES_tradnl" w:eastAsia="es-ES_tradnl"/>
        </w:rPr>
      </w:pPr>
      <w:r w:rsidRPr="00C023FE">
        <w:rPr>
          <w:rFonts w:ascii="Arial" w:hAnsi="Arial" w:cs="Arial"/>
          <w:color w:val="000000" w:themeColor="text1"/>
        </w:rPr>
        <w:t xml:space="preserve">Por tanto, a partir de esta conceptualización, la limitación territorial regulada en </w:t>
      </w:r>
      <w:r w:rsidRPr="00C023FE">
        <w:rPr>
          <w:rFonts w:ascii="Arial" w:eastAsia="Arial" w:hAnsi="Arial" w:cs="Arial"/>
          <w:color w:val="000000" w:themeColor="text1"/>
          <w:lang w:val="es-ES_tradnl" w:eastAsia="es-ES_tradnl"/>
        </w:rPr>
        <w:t xml:space="preserve">el artículo 2.2.1.2.4.2.3 del Decreto 1082 de 2015 será aplicada para aquellas </w:t>
      </w:r>
      <w:proofErr w:type="spellStart"/>
      <w:r w:rsidRPr="00C023FE">
        <w:rPr>
          <w:rFonts w:ascii="Arial" w:eastAsia="Arial" w:hAnsi="Arial" w:cs="Arial"/>
          <w:color w:val="000000" w:themeColor="text1"/>
          <w:lang w:val="es-ES_tradnl" w:eastAsia="es-ES_tradnl"/>
        </w:rPr>
        <w:t>Mipymes</w:t>
      </w:r>
      <w:proofErr w:type="spellEnd"/>
      <w:r w:rsidRPr="00C023FE">
        <w:rPr>
          <w:rFonts w:ascii="Arial" w:eastAsia="Arial" w:hAnsi="Arial" w:cs="Arial"/>
          <w:color w:val="000000" w:themeColor="text1"/>
          <w:lang w:val="es-ES_tradnl" w:eastAsia="es-ES_tradnl"/>
        </w:rPr>
        <w:t xml:space="preserve"> que tengan su domicilio principal en el municipio o departamento respectivo. Por tanto, este artículo no aplicaría frente a la ubicación de las sucursales de las </w:t>
      </w:r>
      <w:proofErr w:type="spellStart"/>
      <w:r w:rsidRPr="00C023FE">
        <w:rPr>
          <w:rFonts w:ascii="Arial" w:eastAsia="Arial" w:hAnsi="Arial" w:cs="Arial"/>
          <w:color w:val="000000" w:themeColor="text1"/>
          <w:lang w:val="es-ES_tradnl" w:eastAsia="es-ES_tradnl"/>
        </w:rPr>
        <w:t>Mipymes</w:t>
      </w:r>
      <w:proofErr w:type="spellEnd"/>
      <w:r w:rsidRPr="00C023FE">
        <w:rPr>
          <w:rFonts w:ascii="Arial" w:eastAsia="Arial" w:hAnsi="Arial" w:cs="Arial"/>
          <w:color w:val="000000" w:themeColor="text1"/>
          <w:lang w:val="es-ES_tradnl" w:eastAsia="es-ES_tradnl"/>
        </w:rPr>
        <w:t xml:space="preserve">. De este modo, la participación de los diferentes procesos de contratación cuando está limitada territorialmente está condicionada al domicilio principal de la </w:t>
      </w:r>
      <w:proofErr w:type="spellStart"/>
      <w:r w:rsidRPr="00C023FE">
        <w:rPr>
          <w:rFonts w:ascii="Arial" w:eastAsia="Arial" w:hAnsi="Arial" w:cs="Arial"/>
          <w:color w:val="000000" w:themeColor="text1"/>
          <w:lang w:val="es-ES_tradnl" w:eastAsia="es-ES_tradnl"/>
        </w:rPr>
        <w:t>Mipyme</w:t>
      </w:r>
      <w:proofErr w:type="spellEnd"/>
      <w:r w:rsidRPr="00C023FE">
        <w:rPr>
          <w:rFonts w:ascii="Arial" w:eastAsia="Arial" w:hAnsi="Arial" w:cs="Arial"/>
          <w:color w:val="000000" w:themeColor="text1"/>
          <w:lang w:val="es-ES_tradnl" w:eastAsia="es-ES_tradnl"/>
        </w:rPr>
        <w:t xml:space="preserve"> respectiva. </w:t>
      </w:r>
    </w:p>
    <w:p w14:paraId="30E4C92C" w14:textId="2E3787B5" w:rsidR="00D8729A" w:rsidRDefault="008937D4" w:rsidP="000305D7">
      <w:pPr>
        <w:spacing w:before="120" w:after="0" w:line="276" w:lineRule="auto"/>
        <w:ind w:firstLine="709"/>
        <w:jc w:val="both"/>
        <w:rPr>
          <w:rFonts w:ascii="Arial" w:eastAsia="Arial" w:hAnsi="Arial" w:cs="Arial"/>
          <w:color w:val="000000" w:themeColor="text1"/>
        </w:rPr>
      </w:pPr>
      <w:r>
        <w:rPr>
          <w:rFonts w:ascii="Arial" w:eastAsia="Arial" w:hAnsi="Arial" w:cs="Arial"/>
          <w:color w:val="000000" w:themeColor="text1"/>
        </w:rPr>
        <w:t>Así</w:t>
      </w:r>
      <w:r w:rsidR="008860E5">
        <w:rPr>
          <w:rFonts w:ascii="Arial" w:eastAsia="Arial" w:hAnsi="Arial" w:cs="Arial"/>
          <w:color w:val="000000" w:themeColor="text1"/>
        </w:rPr>
        <w:t xml:space="preserve">, </w:t>
      </w:r>
      <w:r w:rsidR="00D8729A" w:rsidRPr="00C023FE">
        <w:rPr>
          <w:rFonts w:ascii="Arial" w:eastAsia="Arial" w:hAnsi="Arial" w:cs="Arial"/>
          <w:color w:val="000000" w:themeColor="text1"/>
        </w:rPr>
        <w:t xml:space="preserve">el domicilio de la </w:t>
      </w:r>
      <w:proofErr w:type="spellStart"/>
      <w:r w:rsidR="00D8729A" w:rsidRPr="00C023FE">
        <w:rPr>
          <w:rFonts w:ascii="Arial" w:eastAsia="Arial" w:hAnsi="Arial" w:cs="Arial"/>
          <w:color w:val="000000" w:themeColor="text1"/>
        </w:rPr>
        <w:t>Mipymes</w:t>
      </w:r>
      <w:proofErr w:type="spellEnd"/>
      <w:r w:rsidR="00D8729A" w:rsidRPr="00C023FE">
        <w:rPr>
          <w:rFonts w:ascii="Arial" w:eastAsia="Arial" w:hAnsi="Arial" w:cs="Arial"/>
          <w:color w:val="000000" w:themeColor="text1"/>
        </w:rPr>
        <w:t xml:space="preserve"> que quiera participar en una convocatoria limitada territorialmente se acredita con los documentos definidos en el artículo 2.2.1.2.4.2.4. del Decreto 1082 de 2015, modificado por el Decreto 1860 de 2021. En consecuencia, el requisito podrá acreditarse con una copia del registro mercantil –persona natural–, del certificado de existencia y representación legal –persona jurídica– o del Registro Único de Proponentes – RUP, en donde conste el domicilio de la </w:t>
      </w:r>
      <w:proofErr w:type="spellStart"/>
      <w:r w:rsidR="00D8729A" w:rsidRPr="00C023FE">
        <w:rPr>
          <w:rFonts w:ascii="Arial" w:eastAsia="Arial" w:hAnsi="Arial" w:cs="Arial"/>
          <w:color w:val="000000" w:themeColor="text1"/>
        </w:rPr>
        <w:t>Mipyme</w:t>
      </w:r>
      <w:proofErr w:type="spellEnd"/>
      <w:r w:rsidR="00D8729A" w:rsidRPr="00C023FE">
        <w:rPr>
          <w:rFonts w:ascii="Arial" w:eastAsia="Arial" w:hAnsi="Arial" w:cs="Arial"/>
          <w:color w:val="000000" w:themeColor="text1"/>
        </w:rPr>
        <w:t xml:space="preserve"> interesada en la limitación territorial de la convocatoria pública para celebrar el contrato, que corresponda con el lugar de ejecución del mismo, ya sea departamento o municipio, dependiendo de las reglas establecidas respecto a la limitación territorial.  </w:t>
      </w:r>
    </w:p>
    <w:p w14:paraId="4CFD57D7" w14:textId="310BCBEF" w:rsidR="00C2569E" w:rsidRDefault="008860E5" w:rsidP="00536B7C">
      <w:pPr>
        <w:spacing w:before="120" w:after="0" w:line="276" w:lineRule="auto"/>
        <w:ind w:firstLine="708"/>
        <w:jc w:val="both"/>
        <w:rPr>
          <w:rFonts w:ascii="Arial" w:eastAsia="Arial" w:hAnsi="Arial" w:cs="Arial"/>
          <w:color w:val="000000" w:themeColor="text1"/>
        </w:rPr>
      </w:pPr>
      <w:r w:rsidRPr="00C023FE">
        <w:rPr>
          <w:rFonts w:ascii="Arial" w:eastAsia="Arial" w:hAnsi="Arial" w:cs="Arial"/>
          <w:color w:val="000000" w:themeColor="text1"/>
        </w:rPr>
        <w:t xml:space="preserve">Finalmente, resta precisar que </w:t>
      </w:r>
      <w:r w:rsidR="001F0E8C">
        <w:rPr>
          <w:rFonts w:ascii="Arial" w:eastAsia="Arial" w:hAnsi="Arial" w:cs="Arial"/>
          <w:color w:val="000000" w:themeColor="text1"/>
        </w:rPr>
        <w:t xml:space="preserve">tratándose </w:t>
      </w:r>
      <w:r w:rsidRPr="008860E5">
        <w:rPr>
          <w:rFonts w:ascii="Arial" w:eastAsia="Arial" w:hAnsi="Arial" w:cs="Arial"/>
          <w:color w:val="000000" w:themeColor="text1"/>
        </w:rPr>
        <w:t xml:space="preserve">de consorcios o uniones temporales formados exclusivamente por </w:t>
      </w:r>
      <w:proofErr w:type="spellStart"/>
      <w:r w:rsidRPr="008860E5">
        <w:rPr>
          <w:rFonts w:ascii="Arial" w:eastAsia="Arial" w:hAnsi="Arial" w:cs="Arial"/>
          <w:color w:val="000000" w:themeColor="text1"/>
        </w:rPr>
        <w:t>Mipymes</w:t>
      </w:r>
      <w:proofErr w:type="spellEnd"/>
      <w:r w:rsidRPr="008860E5">
        <w:rPr>
          <w:rFonts w:ascii="Arial" w:eastAsia="Arial" w:hAnsi="Arial" w:cs="Arial"/>
          <w:color w:val="000000" w:themeColor="text1"/>
        </w:rPr>
        <w:t xml:space="preserve">, habilitados para solicitar la limitación del proceso contractual, todas las </w:t>
      </w:r>
      <w:proofErr w:type="spellStart"/>
      <w:r w:rsidRPr="008860E5">
        <w:rPr>
          <w:rFonts w:ascii="Arial" w:eastAsia="Arial" w:hAnsi="Arial" w:cs="Arial"/>
          <w:color w:val="000000" w:themeColor="text1"/>
        </w:rPr>
        <w:t>Mipymes</w:t>
      </w:r>
      <w:proofErr w:type="spellEnd"/>
      <w:r w:rsidRPr="008860E5">
        <w:rPr>
          <w:rFonts w:ascii="Arial" w:eastAsia="Arial" w:hAnsi="Arial" w:cs="Arial"/>
          <w:color w:val="000000" w:themeColor="text1"/>
        </w:rPr>
        <w:t xml:space="preserve"> que participarán en la figura asociativa deben tener su domicilio en el departamento o municipio en relación con el cual se limitará el proceso contractual. En este caso, la exigencia de estar domiciliado en el lugar de ejecución del </w:t>
      </w:r>
      <w:r w:rsidRPr="008860E5">
        <w:rPr>
          <w:rFonts w:ascii="Arial" w:eastAsia="Arial" w:hAnsi="Arial" w:cs="Arial"/>
          <w:color w:val="000000" w:themeColor="text1"/>
        </w:rPr>
        <w:lastRenderedPageBreak/>
        <w:t xml:space="preserve">contrato se entiende acreditada cuando todas las </w:t>
      </w:r>
      <w:proofErr w:type="spellStart"/>
      <w:r w:rsidRPr="008860E5">
        <w:rPr>
          <w:rFonts w:ascii="Arial" w:eastAsia="Arial" w:hAnsi="Arial" w:cs="Arial"/>
          <w:color w:val="000000" w:themeColor="text1"/>
        </w:rPr>
        <w:t>Mipymes</w:t>
      </w:r>
      <w:proofErr w:type="spellEnd"/>
      <w:r w:rsidRPr="008860E5">
        <w:rPr>
          <w:rFonts w:ascii="Arial" w:eastAsia="Arial" w:hAnsi="Arial" w:cs="Arial"/>
          <w:color w:val="000000" w:themeColor="text1"/>
        </w:rPr>
        <w:t xml:space="preserve"> tienen su domicilio en el lugar de ejecución del contrato, no cuando una o varias de ellas lo tienen, pues con una sola que no acredite dicha exigencia, el consorcio o unión temporal estaría imposibilitado para participar en el proceso de selección.</w:t>
      </w:r>
      <w:r w:rsidR="004A43FE">
        <w:rPr>
          <w:rFonts w:ascii="Arial" w:eastAsia="Arial" w:hAnsi="Arial" w:cs="Arial"/>
          <w:color w:val="000000" w:themeColor="text1"/>
        </w:rPr>
        <w:t xml:space="preserve"> </w:t>
      </w:r>
      <w:r w:rsidRPr="008860E5">
        <w:rPr>
          <w:rFonts w:ascii="Arial" w:eastAsia="Arial" w:hAnsi="Arial" w:cs="Arial"/>
          <w:color w:val="000000" w:themeColor="text1"/>
        </w:rPr>
        <w:t>De esta forma, si el consorcio o unión temporal está conformado por tres sociedades, y la entidad decide ejercer la facultad que le otorga el artículo 2.2.1.2.4.2.3. del Decreto 1082 de 2015</w:t>
      </w:r>
      <w:r w:rsidR="001B5553">
        <w:rPr>
          <w:rFonts w:ascii="Arial" w:eastAsia="Arial" w:hAnsi="Arial" w:cs="Arial"/>
          <w:color w:val="000000" w:themeColor="text1"/>
        </w:rPr>
        <w:t xml:space="preserve">, </w:t>
      </w:r>
      <w:r w:rsidR="001B5553" w:rsidRPr="00C023FE">
        <w:rPr>
          <w:rFonts w:ascii="Arial" w:eastAsia="Arial" w:hAnsi="Arial" w:cs="Arial"/>
          <w:color w:val="000000" w:themeColor="text1"/>
        </w:rPr>
        <w:t>modificado por el Decreto 1860 de 2021</w:t>
      </w:r>
      <w:r w:rsidR="001B5553">
        <w:rPr>
          <w:rFonts w:ascii="Arial" w:eastAsia="Arial" w:hAnsi="Arial" w:cs="Arial"/>
          <w:color w:val="000000" w:themeColor="text1"/>
        </w:rPr>
        <w:t xml:space="preserve">, </w:t>
      </w:r>
      <w:r w:rsidRPr="008860E5">
        <w:rPr>
          <w:rFonts w:ascii="Arial" w:eastAsia="Arial" w:hAnsi="Arial" w:cs="Arial"/>
          <w:color w:val="000000" w:themeColor="text1"/>
        </w:rPr>
        <w:t>las tres sociedades deberán acreditar que tienen su domicilio en el lugar de ejecución del contrato, so pena de que la figura asociativa no pueda participar en el proceso de contratación estatal</w:t>
      </w:r>
      <w:r w:rsidR="001B5553">
        <w:rPr>
          <w:rFonts w:ascii="Arial" w:eastAsia="Arial" w:hAnsi="Arial" w:cs="Arial"/>
          <w:color w:val="000000" w:themeColor="text1"/>
        </w:rPr>
        <w:t>, a</w:t>
      </w:r>
      <w:r w:rsidRPr="008860E5">
        <w:rPr>
          <w:rFonts w:ascii="Arial" w:eastAsia="Arial" w:hAnsi="Arial" w:cs="Arial"/>
          <w:color w:val="000000" w:themeColor="text1"/>
        </w:rPr>
        <w:t>ceptar lo contrario, implicaría hacer nugatorios los efectos de la mencionada disposición normativa.</w:t>
      </w:r>
    </w:p>
    <w:p w14:paraId="2378A7D8" w14:textId="48CD8C02" w:rsidR="005B09C7" w:rsidRDefault="005B09C7" w:rsidP="00F111F3">
      <w:pPr>
        <w:spacing w:after="0" w:line="276" w:lineRule="auto"/>
        <w:jc w:val="both"/>
        <w:rPr>
          <w:rFonts w:ascii="Arial" w:eastAsia="Arial" w:hAnsi="Arial" w:cs="Arial"/>
          <w:color w:val="000000" w:themeColor="text1"/>
        </w:rPr>
      </w:pPr>
    </w:p>
    <w:p w14:paraId="10811740" w14:textId="632375F7" w:rsidR="00F111F3" w:rsidRDefault="00F111F3" w:rsidP="00F111F3">
      <w:pPr>
        <w:spacing w:after="0" w:line="276" w:lineRule="auto"/>
        <w:jc w:val="both"/>
        <w:rPr>
          <w:rFonts w:ascii="Arial" w:eastAsia="Calibri" w:hAnsi="Arial" w:cs="Arial"/>
          <w:b/>
          <w:bCs/>
          <w:color w:val="000000" w:themeColor="text1"/>
          <w:lang w:val="es-ES_tradnl" w:eastAsia="es-ES_tradnl"/>
        </w:rPr>
      </w:pPr>
      <w:r w:rsidRPr="00F111F3">
        <w:rPr>
          <w:rFonts w:ascii="Arial" w:eastAsia="Calibri" w:hAnsi="Arial" w:cs="Arial"/>
          <w:b/>
          <w:bCs/>
          <w:color w:val="000000" w:themeColor="text1"/>
          <w:lang w:val="es-ES_tradnl" w:eastAsia="es-ES_tradnl"/>
        </w:rPr>
        <w:t xml:space="preserve">2.3. </w:t>
      </w:r>
      <w:r w:rsidR="00531EBD">
        <w:rPr>
          <w:rFonts w:ascii="Arial" w:eastAsia="Calibri" w:hAnsi="Arial" w:cs="Arial"/>
          <w:b/>
          <w:bCs/>
          <w:color w:val="000000" w:themeColor="text1"/>
          <w:lang w:val="es-ES_tradnl" w:eastAsia="es-ES_tradnl"/>
        </w:rPr>
        <w:t xml:space="preserve">Sorteo en los procesos de </w:t>
      </w:r>
      <w:r w:rsidR="00167EF9">
        <w:rPr>
          <w:rFonts w:ascii="Arial" w:eastAsia="Calibri" w:hAnsi="Arial" w:cs="Arial"/>
          <w:b/>
          <w:bCs/>
          <w:color w:val="000000" w:themeColor="text1"/>
          <w:lang w:val="es-ES_tradnl" w:eastAsia="es-ES_tradnl"/>
        </w:rPr>
        <w:t>s</w:t>
      </w:r>
      <w:r w:rsidRPr="00F111F3">
        <w:rPr>
          <w:rFonts w:ascii="Arial" w:eastAsia="Calibri" w:hAnsi="Arial" w:cs="Arial"/>
          <w:b/>
          <w:bCs/>
          <w:color w:val="000000" w:themeColor="text1"/>
          <w:lang w:val="es-ES_tradnl" w:eastAsia="es-ES_tradnl"/>
        </w:rPr>
        <w:t xml:space="preserve">elección abreviada de </w:t>
      </w:r>
      <w:r w:rsidR="00167EF9">
        <w:rPr>
          <w:rFonts w:ascii="Arial" w:eastAsia="Calibri" w:hAnsi="Arial" w:cs="Arial"/>
          <w:b/>
          <w:bCs/>
          <w:color w:val="000000" w:themeColor="text1"/>
          <w:lang w:val="es-ES_tradnl" w:eastAsia="es-ES_tradnl"/>
        </w:rPr>
        <w:t>m</w:t>
      </w:r>
      <w:r w:rsidRPr="00F111F3">
        <w:rPr>
          <w:rFonts w:ascii="Arial" w:eastAsia="Calibri" w:hAnsi="Arial" w:cs="Arial"/>
          <w:b/>
          <w:bCs/>
          <w:color w:val="000000" w:themeColor="text1"/>
          <w:lang w:val="es-ES_tradnl" w:eastAsia="es-ES_tradnl"/>
        </w:rPr>
        <w:t xml:space="preserve">enor </w:t>
      </w:r>
      <w:r w:rsidR="00167EF9">
        <w:rPr>
          <w:rFonts w:ascii="Arial" w:eastAsia="Calibri" w:hAnsi="Arial" w:cs="Arial"/>
          <w:b/>
          <w:bCs/>
          <w:color w:val="000000" w:themeColor="text1"/>
          <w:lang w:val="es-ES_tradnl" w:eastAsia="es-ES_tradnl"/>
        </w:rPr>
        <w:t>c</w:t>
      </w:r>
      <w:r w:rsidRPr="00F111F3">
        <w:rPr>
          <w:rFonts w:ascii="Arial" w:eastAsia="Calibri" w:hAnsi="Arial" w:cs="Arial"/>
          <w:b/>
          <w:bCs/>
          <w:color w:val="000000" w:themeColor="text1"/>
          <w:lang w:val="es-ES_tradnl" w:eastAsia="es-ES_tradnl"/>
        </w:rPr>
        <w:t xml:space="preserve">uantía </w:t>
      </w:r>
    </w:p>
    <w:p w14:paraId="5C1A898A" w14:textId="011B6A7F" w:rsidR="00F111F3" w:rsidRDefault="00F111F3" w:rsidP="00F111F3">
      <w:pPr>
        <w:spacing w:after="0" w:line="276" w:lineRule="auto"/>
        <w:jc w:val="both"/>
        <w:rPr>
          <w:rFonts w:ascii="Arial" w:eastAsia="Calibri" w:hAnsi="Arial" w:cs="Arial"/>
          <w:b/>
          <w:bCs/>
          <w:color w:val="000000" w:themeColor="text1"/>
          <w:lang w:val="es-ES_tradnl" w:eastAsia="es-ES_tradnl"/>
        </w:rPr>
      </w:pPr>
    </w:p>
    <w:p w14:paraId="69029FE4" w14:textId="77777777" w:rsidR="00F252B8" w:rsidRDefault="00F252B8" w:rsidP="008937D4">
      <w:pPr>
        <w:pStyle w:val="Textoindependiente"/>
        <w:spacing w:after="240" w:line="276" w:lineRule="auto"/>
        <w:jc w:val="both"/>
      </w:pPr>
      <w:r>
        <w:t xml:space="preserve">El artículo 2°, numeral 2°, literal b, de la Ley 1150 de 2007 estableció la contratación de menor cuantía como causal del procedimiento de escogencia de contratistas denominado </w:t>
      </w:r>
      <w:r w:rsidRPr="00834ECB">
        <w:rPr>
          <w:i/>
          <w:iCs/>
        </w:rPr>
        <w:t>selección abreviada</w:t>
      </w:r>
      <w:r>
        <w:t>.</w:t>
      </w:r>
    </w:p>
    <w:p w14:paraId="7CE53304" w14:textId="77777777" w:rsidR="00F252B8" w:rsidRDefault="00F252B8" w:rsidP="008937D4">
      <w:pPr>
        <w:pStyle w:val="Textoindependiente"/>
        <w:spacing w:after="240" w:line="276" w:lineRule="auto"/>
        <w:ind w:firstLine="709"/>
        <w:jc w:val="both"/>
      </w:pPr>
      <w:r>
        <w:t>Por su parte, el artículo 2.2.1.2.1.2.20 del Decreto 1082 de 2015 adoptó el procedimiento que debe adelantar toda entidad estatal contratante bajo la mencionada modalidad de selección abreviada de menor cuantía:</w:t>
      </w:r>
    </w:p>
    <w:p w14:paraId="4914EB6F" w14:textId="6739A007" w:rsidR="00F252B8" w:rsidRPr="00F252B8" w:rsidRDefault="00F252B8" w:rsidP="008937D4">
      <w:pPr>
        <w:pStyle w:val="Textoindependiente"/>
        <w:spacing w:after="240"/>
        <w:ind w:left="709" w:right="851"/>
        <w:jc w:val="both"/>
        <w:rPr>
          <w:sz w:val="21"/>
          <w:szCs w:val="21"/>
        </w:rPr>
      </w:pPr>
      <w:r w:rsidRPr="00F252B8">
        <w:rPr>
          <w:sz w:val="21"/>
          <w:szCs w:val="21"/>
        </w:rPr>
        <w:t>Artículo 2.2.1.2.1.2.20. Procedimiento para la selección abreviada de menor cuantía. Además de las normas generales establecidas en el presente título, las siguientes reglas son aplicables a la selección abreviada de menor cuantía:</w:t>
      </w:r>
    </w:p>
    <w:p w14:paraId="7D05ACF6" w14:textId="77777777" w:rsidR="00F252B8" w:rsidRPr="00F252B8" w:rsidRDefault="00F252B8" w:rsidP="008937D4">
      <w:pPr>
        <w:pStyle w:val="Prrafodelista"/>
        <w:widowControl w:val="0"/>
        <w:numPr>
          <w:ilvl w:val="1"/>
          <w:numId w:val="8"/>
        </w:numPr>
        <w:tabs>
          <w:tab w:val="left" w:pos="1238"/>
        </w:tabs>
        <w:autoSpaceDE w:val="0"/>
        <w:autoSpaceDN w:val="0"/>
        <w:spacing w:after="240"/>
        <w:ind w:left="709" w:right="851" w:firstLine="0"/>
        <w:contextualSpacing w:val="0"/>
        <w:jc w:val="both"/>
        <w:rPr>
          <w:rFonts w:ascii="Arial" w:hAnsi="Arial" w:cs="Arial"/>
          <w:sz w:val="21"/>
          <w:szCs w:val="21"/>
        </w:rPr>
      </w:pPr>
      <w:r w:rsidRPr="00F252B8">
        <w:rPr>
          <w:rFonts w:ascii="Arial" w:hAnsi="Arial" w:cs="Arial"/>
          <w:sz w:val="21"/>
          <w:szCs w:val="21"/>
        </w:rPr>
        <w:t>En un término no mayor a tres (3) días hábiles contados a partir de la fecha de apertura del Proceso de Contratación los interesados deben manifestar su intención de participar, a través del mecanismo establecido para el efecto en los pliegos de</w:t>
      </w:r>
      <w:r w:rsidRPr="00F252B8">
        <w:rPr>
          <w:rFonts w:ascii="Arial" w:hAnsi="Arial" w:cs="Arial"/>
          <w:spacing w:val="-10"/>
          <w:sz w:val="21"/>
          <w:szCs w:val="21"/>
        </w:rPr>
        <w:t xml:space="preserve"> </w:t>
      </w:r>
      <w:r w:rsidRPr="00F252B8">
        <w:rPr>
          <w:rFonts w:ascii="Arial" w:hAnsi="Arial" w:cs="Arial"/>
          <w:sz w:val="21"/>
          <w:szCs w:val="21"/>
        </w:rPr>
        <w:t>condiciones.</w:t>
      </w:r>
    </w:p>
    <w:p w14:paraId="0F9DD1E0" w14:textId="77777777" w:rsidR="00F252B8" w:rsidRPr="00F252B8" w:rsidRDefault="00F252B8" w:rsidP="008937D4">
      <w:pPr>
        <w:pStyle w:val="Prrafodelista"/>
        <w:widowControl w:val="0"/>
        <w:numPr>
          <w:ilvl w:val="1"/>
          <w:numId w:val="8"/>
        </w:numPr>
        <w:tabs>
          <w:tab w:val="left" w:pos="1116"/>
        </w:tabs>
        <w:autoSpaceDE w:val="0"/>
        <w:autoSpaceDN w:val="0"/>
        <w:spacing w:after="240"/>
        <w:ind w:left="709" w:right="851" w:firstLine="0"/>
        <w:contextualSpacing w:val="0"/>
        <w:jc w:val="both"/>
        <w:rPr>
          <w:rFonts w:ascii="Arial" w:hAnsi="Arial" w:cs="Arial"/>
          <w:sz w:val="21"/>
          <w:szCs w:val="21"/>
        </w:rPr>
      </w:pPr>
      <w:r w:rsidRPr="00F252B8">
        <w:rPr>
          <w:rFonts w:ascii="Arial" w:hAnsi="Arial" w:cs="Arial"/>
          <w:sz w:val="21"/>
          <w:szCs w:val="21"/>
        </w:rPr>
        <w:t>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w:t>
      </w:r>
      <w:r w:rsidRPr="00F252B8">
        <w:rPr>
          <w:rFonts w:ascii="Arial" w:hAnsi="Arial" w:cs="Arial"/>
          <w:spacing w:val="-19"/>
          <w:sz w:val="21"/>
          <w:szCs w:val="21"/>
        </w:rPr>
        <w:t xml:space="preserve"> </w:t>
      </w:r>
      <w:r w:rsidRPr="00F252B8">
        <w:rPr>
          <w:rFonts w:ascii="Arial" w:hAnsi="Arial" w:cs="Arial"/>
          <w:sz w:val="21"/>
          <w:szCs w:val="21"/>
        </w:rPr>
        <w:t>hará.</w:t>
      </w:r>
    </w:p>
    <w:p w14:paraId="11720588" w14:textId="77777777" w:rsidR="00F252B8" w:rsidRPr="00F252B8" w:rsidRDefault="00F252B8" w:rsidP="008937D4">
      <w:pPr>
        <w:pStyle w:val="Prrafodelista"/>
        <w:widowControl w:val="0"/>
        <w:numPr>
          <w:ilvl w:val="1"/>
          <w:numId w:val="8"/>
        </w:numPr>
        <w:tabs>
          <w:tab w:val="left" w:pos="1101"/>
        </w:tabs>
        <w:autoSpaceDE w:val="0"/>
        <w:autoSpaceDN w:val="0"/>
        <w:spacing w:after="240"/>
        <w:ind w:left="709" w:right="851" w:firstLine="0"/>
        <w:contextualSpacing w:val="0"/>
        <w:jc w:val="both"/>
        <w:rPr>
          <w:rFonts w:ascii="Arial" w:hAnsi="Arial" w:cs="Arial"/>
          <w:sz w:val="21"/>
          <w:szCs w:val="21"/>
        </w:rPr>
      </w:pPr>
      <w:r w:rsidRPr="00F252B8">
        <w:rPr>
          <w:rFonts w:ascii="Arial" w:hAnsi="Arial" w:cs="Arial"/>
          <w:sz w:val="21"/>
          <w:szCs w:val="21"/>
        </w:rPr>
        <w:t>Si hay lugar a sorteo, el plazo para la presentación de las ofertas empezará a correr el día hábil siguiente a la fecha en la cual la Entidad Estatal informe a los interesados el resultado del</w:t>
      </w:r>
      <w:r w:rsidRPr="00F252B8">
        <w:rPr>
          <w:rFonts w:ascii="Arial" w:hAnsi="Arial" w:cs="Arial"/>
          <w:spacing w:val="-14"/>
          <w:sz w:val="21"/>
          <w:szCs w:val="21"/>
        </w:rPr>
        <w:t xml:space="preserve"> </w:t>
      </w:r>
      <w:r w:rsidRPr="00F252B8">
        <w:rPr>
          <w:rFonts w:ascii="Arial" w:hAnsi="Arial" w:cs="Arial"/>
          <w:sz w:val="21"/>
          <w:szCs w:val="21"/>
        </w:rPr>
        <w:t>sorteo.</w:t>
      </w:r>
    </w:p>
    <w:p w14:paraId="793F8DD5" w14:textId="28BD2867" w:rsidR="00F252B8" w:rsidRPr="00F252B8" w:rsidRDefault="00F252B8" w:rsidP="008937D4">
      <w:pPr>
        <w:pStyle w:val="Prrafodelista"/>
        <w:widowControl w:val="0"/>
        <w:numPr>
          <w:ilvl w:val="1"/>
          <w:numId w:val="8"/>
        </w:numPr>
        <w:tabs>
          <w:tab w:val="left" w:pos="1083"/>
        </w:tabs>
        <w:autoSpaceDE w:val="0"/>
        <w:autoSpaceDN w:val="0"/>
        <w:spacing w:after="240"/>
        <w:ind w:left="709" w:right="851" w:firstLine="0"/>
        <w:contextualSpacing w:val="0"/>
        <w:jc w:val="both"/>
      </w:pPr>
      <w:r w:rsidRPr="00F252B8">
        <w:rPr>
          <w:rFonts w:ascii="Arial" w:hAnsi="Arial" w:cs="Arial"/>
          <w:sz w:val="21"/>
          <w:szCs w:val="21"/>
        </w:rPr>
        <w:t xml:space="preserve">La Entidad Estatal debe publicar el informe de evaluación de ofertas </w:t>
      </w:r>
      <w:r w:rsidRPr="00F252B8">
        <w:rPr>
          <w:rFonts w:ascii="Arial" w:hAnsi="Arial" w:cs="Arial"/>
          <w:sz w:val="21"/>
          <w:szCs w:val="21"/>
        </w:rPr>
        <w:lastRenderedPageBreak/>
        <w:t>durante tres (3) días</w:t>
      </w:r>
      <w:r w:rsidRPr="00F252B8">
        <w:rPr>
          <w:rFonts w:ascii="Arial" w:hAnsi="Arial" w:cs="Arial"/>
          <w:spacing w:val="-4"/>
          <w:sz w:val="21"/>
          <w:szCs w:val="21"/>
        </w:rPr>
        <w:t xml:space="preserve"> </w:t>
      </w:r>
      <w:r w:rsidRPr="00F252B8">
        <w:rPr>
          <w:rFonts w:ascii="Arial" w:hAnsi="Arial" w:cs="Arial"/>
          <w:sz w:val="21"/>
          <w:szCs w:val="21"/>
        </w:rPr>
        <w:t>hábiles.</w:t>
      </w:r>
    </w:p>
    <w:p w14:paraId="3AC859D5" w14:textId="627175CC" w:rsidR="00F252B8" w:rsidRDefault="00F252B8" w:rsidP="008937D4">
      <w:pPr>
        <w:pStyle w:val="Textoindependiente"/>
        <w:spacing w:after="240" w:line="276" w:lineRule="auto"/>
        <w:ind w:firstLine="709"/>
        <w:jc w:val="both"/>
      </w:pPr>
      <w:r>
        <w:t>El numeral 2° de dicha disposición señaló que en caso de que haya recibido más de 10 manifestaciones de interés de participar en un proceso contractual de selección abreviada de menor cuantía, la entidad estatal tiene la potestad de determinar en el pliego de condiciones si continúa con todos los que hayan expresado interés, o si efectúa un sorteo para seleccionar máximo 10 interesados con quienes continuará el proceso de selección.</w:t>
      </w:r>
      <w:r w:rsidR="0068243B">
        <w:t xml:space="preserve"> </w:t>
      </w:r>
      <w:r>
        <w:t>Y si adopta la decisión de celebrar un sorteo, agreg</w:t>
      </w:r>
      <w:r w:rsidR="002945BB">
        <w:t>a</w:t>
      </w:r>
      <w:r>
        <w:t xml:space="preserve"> la norma, también en el pliego debe fijar el procedimiento como lo llevará a cabo.</w:t>
      </w:r>
    </w:p>
    <w:p w14:paraId="1566415E" w14:textId="35C0F09F" w:rsidR="00F252B8" w:rsidRDefault="00F252B8" w:rsidP="008937D4">
      <w:pPr>
        <w:pStyle w:val="Textoindependiente"/>
        <w:spacing w:after="240" w:line="276" w:lineRule="auto"/>
        <w:ind w:firstLine="709"/>
        <w:jc w:val="both"/>
      </w:pPr>
      <w:r>
        <w:t xml:space="preserve">Por lo tanto, según se desprende de la norma, los deberes a cargo de quienes participen en un proceso de selección abreviada de menor cuantía son i) manifestar la intención de concurrir a él y </w:t>
      </w:r>
      <w:proofErr w:type="spellStart"/>
      <w:r>
        <w:t>ii</w:t>
      </w:r>
      <w:proofErr w:type="spellEnd"/>
      <w:r>
        <w:t>) acatar el resultado del sorteo que efectúe la entidad estatal, en caso de que decida implementarlo en el pliego de condiciones, si el número de participantes exceda de 10.</w:t>
      </w:r>
    </w:p>
    <w:p w14:paraId="7B789EBE" w14:textId="70AB3634" w:rsidR="002945BB" w:rsidRDefault="002945BB" w:rsidP="008937D4">
      <w:pPr>
        <w:pStyle w:val="Textoindependiente"/>
        <w:spacing w:after="240" w:line="276" w:lineRule="auto"/>
        <w:ind w:firstLine="709"/>
        <w:jc w:val="both"/>
      </w:pPr>
      <w:r>
        <w:t xml:space="preserve">De lo anterior puede concluirse que si el procedimiento de selección </w:t>
      </w:r>
      <w:r w:rsidR="004C4206">
        <w:t>abreviada</w:t>
      </w:r>
      <w:r w:rsidR="00562792">
        <w:t xml:space="preserve"> de menor cuantía</w:t>
      </w:r>
      <w:r w:rsidR="004C4206">
        <w:t xml:space="preserve"> no se ha limitado a </w:t>
      </w:r>
      <w:proofErr w:type="spellStart"/>
      <w:r w:rsidR="004C4206">
        <w:t>mipymes</w:t>
      </w:r>
      <w:proofErr w:type="spellEnd"/>
      <w:r w:rsidR="004C4206">
        <w:t xml:space="preserve"> territoriales</w:t>
      </w:r>
      <w:r w:rsidR="006012E0">
        <w:t xml:space="preserve"> –por no concurrir los requisitos legales y reglamentarios que fueron explicados–, la entidad estatal debe realizar el sorteo para determinar el n</w:t>
      </w:r>
      <w:r w:rsidR="00636523">
        <w:t>úmero máximo de diez (10) interesados entre todos los que manifestaron interés</w:t>
      </w:r>
      <w:r w:rsidR="00AF356B">
        <w:t>. Por otra parte, también es posible concluir que las normas del procedimiento de selección abreviada de menor cuantía no permiten restringir ese número de interesados a los potenciales oferentes de una región</w:t>
      </w:r>
      <w:r w:rsidR="00A60D25">
        <w:t xml:space="preserve">. El caso estudiado de la limitación territorial a </w:t>
      </w:r>
      <w:proofErr w:type="spellStart"/>
      <w:r w:rsidR="00A60D25">
        <w:t>mipymes</w:t>
      </w:r>
      <w:proofErr w:type="spellEnd"/>
      <w:r w:rsidR="00A60D25">
        <w:t xml:space="preserve"> es especial y se comporta, por tanto, como una excepción a la regla general</w:t>
      </w:r>
      <w:r w:rsidR="00562792">
        <w:t>.</w:t>
      </w:r>
    </w:p>
    <w:p w14:paraId="1DF065CA" w14:textId="5BFAB9EA" w:rsidR="00137E23" w:rsidRDefault="00137E23" w:rsidP="005B09C7">
      <w:pPr>
        <w:pStyle w:val="Prrafodelista"/>
        <w:tabs>
          <w:tab w:val="left" w:pos="284"/>
        </w:tabs>
        <w:spacing w:line="276" w:lineRule="auto"/>
        <w:ind w:left="0"/>
        <w:jc w:val="both"/>
        <w:rPr>
          <w:rFonts w:ascii="Arial" w:eastAsia="Calibri" w:hAnsi="Arial" w:cs="Arial"/>
          <w:b/>
          <w:sz w:val="22"/>
          <w:lang w:val="es-CO"/>
        </w:rPr>
      </w:pPr>
      <w:r w:rsidRPr="00510BFB">
        <w:rPr>
          <w:rFonts w:ascii="Arial" w:eastAsia="Calibri" w:hAnsi="Arial" w:cs="Arial"/>
          <w:b/>
          <w:sz w:val="22"/>
          <w:lang w:val="es-CO"/>
        </w:rPr>
        <w:t>3. Respuesta</w:t>
      </w:r>
    </w:p>
    <w:p w14:paraId="3CBB3979" w14:textId="77777777" w:rsidR="005B09C7" w:rsidRPr="00510BFB" w:rsidRDefault="005B09C7" w:rsidP="00FD7DA7">
      <w:pPr>
        <w:pStyle w:val="Prrafodelista"/>
        <w:tabs>
          <w:tab w:val="left" w:pos="284"/>
        </w:tabs>
        <w:ind w:left="0"/>
        <w:jc w:val="both"/>
        <w:rPr>
          <w:rFonts w:ascii="Arial" w:eastAsia="Calibri" w:hAnsi="Arial" w:cs="Arial"/>
          <w:b/>
          <w:sz w:val="22"/>
          <w:lang w:val="es-CO"/>
        </w:rPr>
      </w:pPr>
    </w:p>
    <w:p w14:paraId="5743262B" w14:textId="16CDE52C" w:rsidR="001B5553" w:rsidRDefault="00804485" w:rsidP="005B09C7">
      <w:pPr>
        <w:spacing w:after="0" w:line="276" w:lineRule="auto"/>
        <w:ind w:left="567" w:right="851"/>
        <w:jc w:val="both"/>
        <w:rPr>
          <w:rFonts w:ascii="Arial" w:hAnsi="Arial" w:cs="Arial"/>
          <w:color w:val="1A1A1A" w:themeColor="background1" w:themeShade="1A"/>
          <w:sz w:val="21"/>
          <w:szCs w:val="21"/>
        </w:rPr>
      </w:pPr>
      <w:r w:rsidRPr="000D2C22">
        <w:rPr>
          <w:rFonts w:ascii="Arial" w:hAnsi="Arial" w:cs="Arial"/>
          <w:color w:val="1A1A1A" w:themeColor="background1" w:themeShade="1A"/>
          <w:sz w:val="21"/>
          <w:szCs w:val="21"/>
        </w:rPr>
        <w:t>«</w:t>
      </w:r>
      <w:r w:rsidRPr="00C023FE">
        <w:rPr>
          <w:rFonts w:ascii="Arial" w:eastAsia="Times New Roman" w:hAnsi="Arial" w:cs="Arial"/>
          <w:color w:val="000000" w:themeColor="text1"/>
          <w:sz w:val="21"/>
          <w:szCs w:val="21"/>
          <w:lang w:eastAsia="es-ES_tradnl"/>
        </w:rPr>
        <w:t>[…]</w:t>
      </w:r>
      <w:r>
        <w:rPr>
          <w:rFonts w:ascii="Arial" w:eastAsia="Times New Roman" w:hAnsi="Arial" w:cs="Arial"/>
          <w:color w:val="000000" w:themeColor="text1"/>
          <w:sz w:val="21"/>
          <w:szCs w:val="21"/>
          <w:lang w:eastAsia="es-ES_tradnl"/>
        </w:rPr>
        <w:t xml:space="preserve"> </w:t>
      </w:r>
      <w:r w:rsidRPr="00ED7B7E">
        <w:rPr>
          <w:rFonts w:ascii="Arial" w:hAnsi="Arial" w:cs="Arial"/>
          <w:color w:val="1A1A1A" w:themeColor="background1" w:themeShade="1A"/>
          <w:sz w:val="21"/>
          <w:szCs w:val="21"/>
        </w:rPr>
        <w:t>podrían informarme si una entidad estatal puede bajo el marco legal de la contratación pública, específicamente en los procesos de selección abreviada de menor cuantía, limitar en la selección de los 10 oferentes seleccionados a participar en proceso, a proponentes de una sola región?, por ejemplo, solo a Bucaramanga, si en los pliegos ni en el estudio previo está establecido?</w:t>
      </w:r>
      <w:r w:rsidRPr="000D2C22">
        <w:rPr>
          <w:rFonts w:ascii="Arial" w:hAnsi="Arial" w:cs="Arial"/>
          <w:color w:val="1A1A1A" w:themeColor="background1" w:themeShade="1A"/>
          <w:sz w:val="21"/>
          <w:szCs w:val="21"/>
        </w:rPr>
        <w:t>»</w:t>
      </w:r>
    </w:p>
    <w:p w14:paraId="63A4BFB9" w14:textId="77777777" w:rsidR="005B09C7" w:rsidRDefault="005B09C7" w:rsidP="00FD7DA7">
      <w:pPr>
        <w:spacing w:after="0" w:line="240" w:lineRule="auto"/>
        <w:ind w:left="567" w:right="851"/>
        <w:jc w:val="both"/>
        <w:rPr>
          <w:rFonts w:ascii="Arial" w:hAnsi="Arial" w:cs="Arial"/>
          <w:color w:val="1A1A1A" w:themeColor="background1" w:themeShade="1A"/>
          <w:sz w:val="21"/>
          <w:szCs w:val="21"/>
        </w:rPr>
      </w:pPr>
    </w:p>
    <w:p w14:paraId="742E0A45" w14:textId="2C6DAB46" w:rsidR="00FD37D0" w:rsidRDefault="00FD37D0" w:rsidP="00FD7DA7">
      <w:pPr>
        <w:spacing w:before="120" w:after="0" w:line="276" w:lineRule="auto"/>
        <w:jc w:val="both"/>
        <w:rPr>
          <w:rFonts w:ascii="Arial" w:eastAsia="Calibri" w:hAnsi="Arial" w:cs="Arial"/>
          <w:color w:val="000000" w:themeColor="text1"/>
          <w:lang w:val="es-ES_tradnl" w:eastAsia="es-ES_tradnl"/>
        </w:rPr>
      </w:pPr>
      <w:bookmarkStart w:id="3" w:name="_Hlk94281581"/>
      <w:r>
        <w:rPr>
          <w:rFonts w:ascii="Arial" w:eastAsia="Calibri" w:hAnsi="Arial" w:cs="Arial"/>
          <w:color w:val="000000" w:themeColor="text1"/>
          <w:lang w:val="es-ES_tradnl" w:eastAsia="es-ES_tradnl"/>
        </w:rPr>
        <w:t>Conforme a</w:t>
      </w:r>
      <w:r w:rsidR="00C42D2C">
        <w:rPr>
          <w:rFonts w:ascii="Arial" w:eastAsia="Calibri" w:hAnsi="Arial" w:cs="Arial"/>
          <w:color w:val="000000" w:themeColor="text1"/>
          <w:lang w:val="es-ES_tradnl" w:eastAsia="es-ES_tradnl"/>
        </w:rPr>
        <w:t xml:space="preserve"> </w:t>
      </w:r>
      <w:r>
        <w:rPr>
          <w:rFonts w:ascii="Arial" w:eastAsia="Calibri" w:hAnsi="Arial" w:cs="Arial"/>
          <w:color w:val="000000" w:themeColor="text1"/>
          <w:lang w:val="es-ES_tradnl" w:eastAsia="es-ES_tradnl"/>
        </w:rPr>
        <w:t>l</w:t>
      </w:r>
      <w:r w:rsidR="00C42D2C">
        <w:rPr>
          <w:rFonts w:ascii="Arial" w:eastAsia="Calibri" w:hAnsi="Arial" w:cs="Arial"/>
          <w:color w:val="000000" w:themeColor="text1"/>
          <w:lang w:val="es-ES_tradnl" w:eastAsia="es-ES_tradnl"/>
        </w:rPr>
        <w:t>o</w:t>
      </w:r>
      <w:r w:rsidRPr="00C023FE">
        <w:rPr>
          <w:rFonts w:ascii="Arial" w:eastAsia="Calibri" w:hAnsi="Arial" w:cs="Arial"/>
          <w:color w:val="000000" w:themeColor="text1"/>
          <w:lang w:val="es-ES_tradnl" w:eastAsia="es-ES_tradnl"/>
        </w:rPr>
        <w:t xml:space="preserve"> </w:t>
      </w:r>
      <w:r w:rsidR="00C42D2C">
        <w:rPr>
          <w:rFonts w:ascii="Arial" w:eastAsia="Calibri" w:hAnsi="Arial" w:cs="Arial"/>
          <w:color w:val="000000" w:themeColor="text1"/>
          <w:lang w:val="es-ES_tradnl" w:eastAsia="es-ES_tradnl"/>
        </w:rPr>
        <w:t xml:space="preserve">expuesto, </w:t>
      </w:r>
      <w:r w:rsidRPr="00C023FE">
        <w:rPr>
          <w:rFonts w:ascii="Arial" w:eastAsia="Calibri" w:hAnsi="Arial" w:cs="Arial"/>
          <w:color w:val="000000" w:themeColor="text1"/>
          <w:lang w:val="es-ES_tradnl" w:eastAsia="es-ES_tradnl"/>
        </w:rPr>
        <w:t xml:space="preserve">solo es posible limitar convocatorias a la participación de </w:t>
      </w:r>
      <w:proofErr w:type="spellStart"/>
      <w:r w:rsidRPr="00C023FE">
        <w:rPr>
          <w:rFonts w:ascii="Arial" w:eastAsia="Calibri" w:hAnsi="Arial" w:cs="Arial"/>
          <w:color w:val="000000" w:themeColor="text1"/>
          <w:lang w:val="es-ES_tradnl" w:eastAsia="es-ES_tradnl"/>
        </w:rPr>
        <w:t>mipymes</w:t>
      </w:r>
      <w:proofErr w:type="spellEnd"/>
      <w:r w:rsidRPr="00C023FE">
        <w:rPr>
          <w:rFonts w:ascii="Arial" w:eastAsia="Calibri" w:hAnsi="Arial" w:cs="Arial"/>
          <w:color w:val="000000" w:themeColor="text1"/>
          <w:lang w:val="es-ES_tradnl" w:eastAsia="es-ES_tradnl"/>
        </w:rPr>
        <w:t xml:space="preserve"> «[…] </w:t>
      </w:r>
      <w:r w:rsidRPr="00C023FE">
        <w:rPr>
          <w:rFonts w:ascii="Arial" w:eastAsia="Calibri" w:hAnsi="Arial" w:cs="Arial"/>
          <w:color w:val="000000" w:themeColor="text1"/>
          <w:lang w:eastAsia="es-ES_tradnl"/>
        </w:rPr>
        <w:t>del ámbito municipal o departamental correspondiente al de la ejecución del contrato</w:t>
      </w:r>
      <w:r w:rsidRPr="00C023FE">
        <w:rPr>
          <w:rFonts w:ascii="Arial" w:eastAsia="Calibri" w:hAnsi="Arial" w:cs="Arial"/>
          <w:color w:val="000000" w:themeColor="text1"/>
          <w:lang w:val="es-ES_tradnl" w:eastAsia="es-ES_tradnl"/>
        </w:rPr>
        <w:t xml:space="preserve">». En tales términos, la norma citada contempla la posibilidad de limitar convocatorias a </w:t>
      </w:r>
      <w:proofErr w:type="spellStart"/>
      <w:r w:rsidRPr="00C023FE">
        <w:rPr>
          <w:rFonts w:ascii="Arial" w:eastAsia="Calibri" w:hAnsi="Arial" w:cs="Arial"/>
          <w:color w:val="000000" w:themeColor="text1"/>
          <w:lang w:val="es-ES_tradnl" w:eastAsia="es-ES_tradnl"/>
        </w:rPr>
        <w:t>mipymes</w:t>
      </w:r>
      <w:proofErr w:type="spellEnd"/>
      <w:r w:rsidRPr="00C023FE">
        <w:rPr>
          <w:rFonts w:ascii="Arial" w:eastAsia="Calibri" w:hAnsi="Arial" w:cs="Arial"/>
          <w:color w:val="000000" w:themeColor="text1"/>
          <w:lang w:val="es-ES_tradnl" w:eastAsia="es-ES_tradnl"/>
        </w:rPr>
        <w:t xml:space="preserve"> con domicilio en esos dos tipos de ámbitos territoriales</w:t>
      </w:r>
      <w:r>
        <w:rPr>
          <w:rFonts w:ascii="Arial" w:eastAsia="Calibri" w:hAnsi="Arial" w:cs="Arial"/>
          <w:color w:val="000000" w:themeColor="text1"/>
          <w:lang w:val="es-ES_tradnl" w:eastAsia="es-ES_tradnl"/>
        </w:rPr>
        <w:t>.</w:t>
      </w:r>
    </w:p>
    <w:p w14:paraId="784C5018" w14:textId="77777777" w:rsidR="00910B0C" w:rsidRDefault="00910B0C" w:rsidP="00910B0C">
      <w:pPr>
        <w:spacing w:after="0" w:line="276" w:lineRule="auto"/>
        <w:jc w:val="both"/>
        <w:rPr>
          <w:rFonts w:ascii="Arial" w:eastAsia="Calibri" w:hAnsi="Arial" w:cs="Arial"/>
          <w:color w:val="000000" w:themeColor="text1"/>
          <w:lang w:val="es-ES_tradnl" w:eastAsia="es-ES_tradnl"/>
        </w:rPr>
      </w:pPr>
    </w:p>
    <w:p w14:paraId="6D386B61" w14:textId="2C9B56C8" w:rsidR="009F4CFF" w:rsidRDefault="00D47CCE" w:rsidP="00536B7C">
      <w:pPr>
        <w:spacing w:after="0" w:line="276" w:lineRule="auto"/>
        <w:ind w:firstLine="709"/>
        <w:jc w:val="both"/>
        <w:rPr>
          <w:rFonts w:ascii="Arial" w:eastAsia="Arial" w:hAnsi="Arial" w:cs="Arial"/>
          <w:color w:val="000000" w:themeColor="text1"/>
          <w:lang w:val="es-ES_tradnl" w:eastAsia="es-ES_tradnl"/>
        </w:rPr>
      </w:pPr>
      <w:r>
        <w:rPr>
          <w:rFonts w:ascii="Arial" w:eastAsia="Times New Roman" w:hAnsi="Arial" w:cs="Arial"/>
          <w:color w:val="000000" w:themeColor="text1"/>
          <w:lang w:eastAsia="es-ES_tradnl"/>
        </w:rPr>
        <w:t>E</w:t>
      </w:r>
      <w:r w:rsidR="001B5553" w:rsidRPr="00C023FE">
        <w:rPr>
          <w:rFonts w:ascii="Arial" w:eastAsia="Arial" w:hAnsi="Arial" w:cs="Arial"/>
          <w:color w:val="000000" w:themeColor="text1"/>
        </w:rPr>
        <w:t>l artículo 2.2.1.2.4.2.3</w:t>
      </w:r>
      <w:r w:rsidR="005B09C7">
        <w:rPr>
          <w:rFonts w:ascii="Arial" w:eastAsia="Arial" w:hAnsi="Arial" w:cs="Arial"/>
          <w:color w:val="000000" w:themeColor="text1"/>
        </w:rPr>
        <w:t xml:space="preserve"> </w:t>
      </w:r>
      <w:r w:rsidR="001B5553" w:rsidRPr="00C023FE">
        <w:rPr>
          <w:rFonts w:ascii="Arial" w:eastAsia="Arial" w:hAnsi="Arial" w:cs="Arial"/>
          <w:color w:val="000000" w:themeColor="text1"/>
        </w:rPr>
        <w:t>del Decreto 1082 de 2015, modificado por el artículo 5 del Decreto 1860 de 2021, se refiere a las «</w:t>
      </w:r>
      <w:proofErr w:type="spellStart"/>
      <w:r w:rsidR="001B5553" w:rsidRPr="00C023FE">
        <w:rPr>
          <w:rFonts w:ascii="Arial" w:eastAsia="Arial" w:hAnsi="Arial" w:cs="Arial"/>
          <w:color w:val="000000" w:themeColor="text1"/>
        </w:rPr>
        <w:t>mipyme</w:t>
      </w:r>
      <w:proofErr w:type="spellEnd"/>
      <w:r w:rsidR="001B5553" w:rsidRPr="00C023FE">
        <w:rPr>
          <w:rFonts w:ascii="Arial" w:eastAsia="Arial" w:hAnsi="Arial" w:cs="Arial"/>
          <w:color w:val="000000" w:themeColor="text1"/>
        </w:rPr>
        <w:t xml:space="preserve"> colombianas que tengan domicilio en los departamentos o municipios en donde se va a ejecutar el contrato». Esta precisión es importante, pues el incentivo previsto en la norma únicamente aplica en el lugar de ejecución del contrato en el que la </w:t>
      </w:r>
      <w:proofErr w:type="spellStart"/>
      <w:r w:rsidR="001B5553" w:rsidRPr="00C023FE">
        <w:rPr>
          <w:rFonts w:ascii="Arial" w:eastAsia="Arial" w:hAnsi="Arial" w:cs="Arial"/>
          <w:color w:val="000000" w:themeColor="text1"/>
        </w:rPr>
        <w:t>Mipyme</w:t>
      </w:r>
      <w:proofErr w:type="spellEnd"/>
      <w:r w:rsidR="001B5553" w:rsidRPr="00C023FE">
        <w:rPr>
          <w:rFonts w:ascii="Arial" w:eastAsia="Arial" w:hAnsi="Arial" w:cs="Arial"/>
          <w:color w:val="000000" w:themeColor="text1"/>
        </w:rPr>
        <w:t xml:space="preserve"> tiene su «domicilio», y no en donde tiene sucursales o establecimientos de comercio. </w:t>
      </w:r>
      <w:r w:rsidR="001B5553" w:rsidRPr="00C023FE">
        <w:rPr>
          <w:rFonts w:ascii="Arial" w:eastAsia="Arial" w:hAnsi="Arial" w:cs="Arial"/>
          <w:color w:val="000000" w:themeColor="text1"/>
          <w:lang w:val="es-ES_tradnl" w:eastAsia="es-ES_tradnl"/>
        </w:rPr>
        <w:t xml:space="preserve">De este modo, la participación </w:t>
      </w:r>
      <w:r w:rsidR="00355BD2">
        <w:rPr>
          <w:rFonts w:ascii="Arial" w:eastAsia="Arial" w:hAnsi="Arial" w:cs="Arial"/>
          <w:color w:val="000000" w:themeColor="text1"/>
          <w:lang w:val="es-ES_tradnl" w:eastAsia="es-ES_tradnl"/>
        </w:rPr>
        <w:t>en</w:t>
      </w:r>
      <w:r w:rsidR="001B5553" w:rsidRPr="00C023FE">
        <w:rPr>
          <w:rFonts w:ascii="Arial" w:eastAsia="Arial" w:hAnsi="Arial" w:cs="Arial"/>
          <w:color w:val="000000" w:themeColor="text1"/>
          <w:lang w:val="es-ES_tradnl" w:eastAsia="es-ES_tradnl"/>
        </w:rPr>
        <w:t xml:space="preserve"> </w:t>
      </w:r>
      <w:r w:rsidR="00355BD2">
        <w:rPr>
          <w:rFonts w:ascii="Arial" w:eastAsia="Arial" w:hAnsi="Arial" w:cs="Arial"/>
          <w:color w:val="000000" w:themeColor="text1"/>
          <w:lang w:val="es-ES_tradnl" w:eastAsia="es-ES_tradnl"/>
        </w:rPr>
        <w:t>los</w:t>
      </w:r>
      <w:r w:rsidR="001B5553" w:rsidRPr="00C023FE">
        <w:rPr>
          <w:rFonts w:ascii="Arial" w:eastAsia="Arial" w:hAnsi="Arial" w:cs="Arial"/>
          <w:color w:val="000000" w:themeColor="text1"/>
          <w:lang w:val="es-ES_tradnl" w:eastAsia="es-ES_tradnl"/>
        </w:rPr>
        <w:t xml:space="preserve"> procesos de contratación limitad</w:t>
      </w:r>
      <w:r w:rsidR="00355BD2">
        <w:rPr>
          <w:rFonts w:ascii="Arial" w:eastAsia="Arial" w:hAnsi="Arial" w:cs="Arial"/>
          <w:color w:val="000000" w:themeColor="text1"/>
          <w:lang w:val="es-ES_tradnl" w:eastAsia="es-ES_tradnl"/>
        </w:rPr>
        <w:t>os</w:t>
      </w:r>
      <w:r w:rsidR="001B5553" w:rsidRPr="00C023FE">
        <w:rPr>
          <w:rFonts w:ascii="Arial" w:eastAsia="Arial" w:hAnsi="Arial" w:cs="Arial"/>
          <w:color w:val="000000" w:themeColor="text1"/>
          <w:lang w:val="es-ES_tradnl" w:eastAsia="es-ES_tradnl"/>
        </w:rPr>
        <w:t xml:space="preserve"> territorialmente está condicionada al domicilio principal de la </w:t>
      </w:r>
      <w:proofErr w:type="spellStart"/>
      <w:r w:rsidR="001B5553" w:rsidRPr="00C023FE">
        <w:rPr>
          <w:rFonts w:ascii="Arial" w:eastAsia="Arial" w:hAnsi="Arial" w:cs="Arial"/>
          <w:color w:val="000000" w:themeColor="text1"/>
          <w:lang w:val="es-ES_tradnl" w:eastAsia="es-ES_tradnl"/>
        </w:rPr>
        <w:t>Mipyme</w:t>
      </w:r>
      <w:proofErr w:type="spellEnd"/>
      <w:r w:rsidR="001B5553" w:rsidRPr="00C023FE">
        <w:rPr>
          <w:rFonts w:ascii="Arial" w:eastAsia="Arial" w:hAnsi="Arial" w:cs="Arial"/>
          <w:color w:val="000000" w:themeColor="text1"/>
          <w:lang w:val="es-ES_tradnl" w:eastAsia="es-ES_tradnl"/>
        </w:rPr>
        <w:t xml:space="preserve"> respectiva.</w:t>
      </w:r>
      <w:r w:rsidR="001B5553" w:rsidRPr="002A58B7">
        <w:rPr>
          <w:rFonts w:ascii="Arial" w:eastAsia="Arial" w:hAnsi="Arial" w:cs="Arial"/>
          <w:color w:val="000000" w:themeColor="text1"/>
          <w:lang w:val="es-ES_tradnl" w:eastAsia="es-ES_tradnl"/>
        </w:rPr>
        <w:t xml:space="preserve"> </w:t>
      </w:r>
    </w:p>
    <w:p w14:paraId="5E5D1105" w14:textId="77777777" w:rsidR="00536B7C" w:rsidRDefault="00536B7C" w:rsidP="00536B7C">
      <w:pPr>
        <w:spacing w:after="0" w:line="276" w:lineRule="auto"/>
        <w:ind w:firstLine="709"/>
        <w:jc w:val="both"/>
        <w:rPr>
          <w:rFonts w:ascii="Arial" w:eastAsia="Arial" w:hAnsi="Arial" w:cs="Arial"/>
          <w:color w:val="000000" w:themeColor="text1"/>
          <w:lang w:val="es-ES_tradnl" w:eastAsia="es-ES_tradnl"/>
        </w:rPr>
      </w:pPr>
    </w:p>
    <w:p w14:paraId="6C337E8A" w14:textId="7036F9E9" w:rsidR="009F4CFF" w:rsidRDefault="009F4CFF" w:rsidP="00536B7C">
      <w:pPr>
        <w:spacing w:after="0" w:line="276" w:lineRule="auto"/>
        <w:ind w:firstLine="709"/>
        <w:jc w:val="both"/>
        <w:rPr>
          <w:rFonts w:ascii="Arial" w:eastAsia="Arial" w:hAnsi="Arial" w:cs="Arial"/>
          <w:color w:val="000000" w:themeColor="text1"/>
        </w:rPr>
      </w:pPr>
      <w:r w:rsidRPr="009F4CFF">
        <w:rPr>
          <w:rFonts w:ascii="Arial" w:eastAsia="Arial" w:hAnsi="Arial" w:cs="Arial"/>
          <w:color w:val="000000" w:themeColor="text1"/>
        </w:rPr>
        <w:t>Si la entidad ejerce la facultad que le confiere el artículo 2.2.1.2.4.2.3. del Decreto 1082 de 2015, tendrá que justificar dicha decisión, una vez ha decidido limitar territorialmente la convocatoria a los departamentos o municipios donde se vaya a ejecutar el contrato. Por lo anterior, en la fase de planeación la entidad deberá analizar la conveniencia y pertinencia de hacer la «limitación territorial» del proceso de selección y, en tal medida, incluir en los documentos previos del proceso, dicho análisis o justificación y establecer los aspectos que se requieran a efectos de verificar el cumplimiento de los requisitos de procedibilidad para el efecto.</w:t>
      </w:r>
    </w:p>
    <w:p w14:paraId="081E520E" w14:textId="7B2A75AF" w:rsidR="00A00075" w:rsidRDefault="00A00075" w:rsidP="00A00075">
      <w:pPr>
        <w:spacing w:after="0" w:line="276" w:lineRule="auto"/>
        <w:ind w:firstLine="709"/>
        <w:jc w:val="both"/>
        <w:rPr>
          <w:rFonts w:ascii="Arial" w:eastAsia="Arial" w:hAnsi="Arial" w:cs="Arial"/>
          <w:color w:val="000000" w:themeColor="text1"/>
        </w:rPr>
      </w:pPr>
    </w:p>
    <w:p w14:paraId="635AE9D0" w14:textId="77777777" w:rsidR="00A00075" w:rsidRPr="00910B0C" w:rsidRDefault="00A00075" w:rsidP="00A00075">
      <w:pPr>
        <w:spacing w:after="0" w:line="276" w:lineRule="auto"/>
        <w:ind w:firstLine="709"/>
        <w:jc w:val="both"/>
        <w:rPr>
          <w:rFonts w:ascii="Arial" w:eastAsia="Calibri" w:hAnsi="Arial" w:cs="Arial"/>
          <w:color w:val="000000" w:themeColor="text1"/>
          <w:lang w:val="es-ES_tradnl" w:eastAsia="es-ES_tradnl"/>
        </w:rPr>
      </w:pPr>
      <w:r>
        <w:rPr>
          <w:rFonts w:ascii="Arial" w:eastAsia="Calibri" w:hAnsi="Arial" w:cs="Arial"/>
          <w:color w:val="000000" w:themeColor="text1"/>
          <w:lang w:val="es-ES_tradnl" w:eastAsia="es-ES_tradnl"/>
        </w:rPr>
        <w:t>Ahora bien,</w:t>
      </w:r>
      <w:r w:rsidRPr="00910B0C">
        <w:rPr>
          <w:rFonts w:ascii="Arial" w:eastAsia="Calibri" w:hAnsi="Arial" w:cs="Arial"/>
          <w:color w:val="000000" w:themeColor="text1"/>
          <w:lang w:val="es-ES_tradnl" w:eastAsia="es-ES_tradnl"/>
        </w:rPr>
        <w:t xml:space="preserve"> la decisión de limitar «a </w:t>
      </w:r>
      <w:proofErr w:type="spellStart"/>
      <w:r w:rsidRPr="00910B0C">
        <w:rPr>
          <w:rFonts w:ascii="Arial" w:eastAsia="Calibri" w:hAnsi="Arial" w:cs="Arial"/>
          <w:color w:val="000000" w:themeColor="text1"/>
          <w:lang w:val="es-ES_tradnl" w:eastAsia="es-ES_tradnl"/>
        </w:rPr>
        <w:t>Mipyme</w:t>
      </w:r>
      <w:proofErr w:type="spellEnd"/>
      <w:r w:rsidRPr="00910B0C">
        <w:rPr>
          <w:rFonts w:ascii="Arial" w:eastAsia="Calibri" w:hAnsi="Arial" w:cs="Arial"/>
          <w:color w:val="000000" w:themeColor="text1"/>
          <w:lang w:val="es-ES_tradnl" w:eastAsia="es-ES_tradnl"/>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00910B0C">
        <w:rPr>
          <w:rFonts w:ascii="Arial" w:eastAsia="Calibri" w:hAnsi="Arial" w:cs="Arial"/>
          <w:color w:val="000000" w:themeColor="text1"/>
          <w:lang w:val="es-ES_tradnl" w:eastAsia="es-ES_tradnl"/>
        </w:rPr>
        <w:t>Mipymes</w:t>
      </w:r>
      <w:proofErr w:type="spellEnd"/>
      <w:r w:rsidRPr="00910B0C">
        <w:rPr>
          <w:rFonts w:ascii="Arial" w:eastAsia="Calibri" w:hAnsi="Arial" w:cs="Arial"/>
          <w:color w:val="000000" w:themeColor="text1"/>
          <w:lang w:val="es-ES_tradnl" w:eastAsia="es-ES_tradnl"/>
        </w:rPr>
        <w:t xml:space="preserve">, no puede </w:t>
      </w:r>
      <w:proofErr w:type="gramStart"/>
      <w:r w:rsidRPr="00834ECB">
        <w:rPr>
          <w:rFonts w:ascii="Arial" w:eastAsia="Calibri" w:hAnsi="Arial" w:cs="Arial"/>
          <w:i/>
          <w:iCs/>
          <w:color w:val="000000" w:themeColor="text1"/>
          <w:lang w:val="es-ES_tradnl" w:eastAsia="es-ES_tradnl"/>
        </w:rPr>
        <w:t>motu propio</w:t>
      </w:r>
      <w:proofErr w:type="gramEnd"/>
      <w:r w:rsidRPr="00910B0C">
        <w:rPr>
          <w:rFonts w:ascii="Arial" w:eastAsia="Calibri" w:hAnsi="Arial" w:cs="Arial"/>
          <w:color w:val="000000" w:themeColor="text1"/>
          <w:lang w:val="es-ES_tradnl" w:eastAsia="es-ES_tradnl"/>
        </w:rPr>
        <w:t xml:space="preserve"> proceder con la «limitación territorial» de que trata el artículo 2.2.1.2.4.2.3. del Decreto 1082 de 2015. Esto debido a que el ejercicio de esta facultad solo puede darse ante la «limitación a </w:t>
      </w:r>
      <w:proofErr w:type="spellStart"/>
      <w:r w:rsidRPr="00910B0C">
        <w:rPr>
          <w:rFonts w:ascii="Arial" w:eastAsia="Calibri" w:hAnsi="Arial" w:cs="Arial"/>
          <w:color w:val="000000" w:themeColor="text1"/>
          <w:lang w:val="es-ES_tradnl" w:eastAsia="es-ES_tradnl"/>
        </w:rPr>
        <w:t>Mipymes</w:t>
      </w:r>
      <w:proofErr w:type="spellEnd"/>
      <w:r w:rsidRPr="00910B0C">
        <w:rPr>
          <w:rFonts w:ascii="Arial" w:eastAsia="Calibri" w:hAnsi="Arial" w:cs="Arial"/>
          <w:color w:val="000000" w:themeColor="text1"/>
          <w:lang w:val="es-ES_tradnl" w:eastAsia="es-ES_tradnl"/>
        </w:rPr>
        <w:t xml:space="preserve"> colombianas», lo cual supone verificar los supuestos legales establecidos en los mencionados numerales.</w:t>
      </w:r>
    </w:p>
    <w:p w14:paraId="26F1A92C" w14:textId="77777777" w:rsidR="00A00075" w:rsidRPr="009F4CFF" w:rsidRDefault="00A00075" w:rsidP="00A00075">
      <w:pPr>
        <w:spacing w:after="0" w:line="276" w:lineRule="auto"/>
        <w:ind w:firstLine="709"/>
        <w:jc w:val="both"/>
        <w:rPr>
          <w:rFonts w:ascii="Arial" w:eastAsia="Arial" w:hAnsi="Arial" w:cs="Arial"/>
          <w:color w:val="000000" w:themeColor="text1"/>
        </w:rPr>
      </w:pPr>
    </w:p>
    <w:p w14:paraId="1B192E31" w14:textId="3362C8E8" w:rsidR="008837BD" w:rsidRPr="00536B7C" w:rsidRDefault="00957501" w:rsidP="00536B7C">
      <w:pPr>
        <w:pStyle w:val="Textoindependiente"/>
        <w:spacing w:after="240" w:line="276" w:lineRule="auto"/>
        <w:ind w:firstLine="709"/>
        <w:jc w:val="both"/>
      </w:pPr>
      <w:r>
        <w:t xml:space="preserve">De lo anterior puede concluirse que si el procedimiento de selección abreviada de menor cuantía no se ha limitado a </w:t>
      </w:r>
      <w:proofErr w:type="spellStart"/>
      <w:r>
        <w:t>mipymes</w:t>
      </w:r>
      <w:proofErr w:type="spellEnd"/>
      <w:r>
        <w:t xml:space="preserve"> territoriales –por no concurrir los requisitos legales y reglamentarios que fueron explicados–, la entidad estatal debe realizar el sorteo para determinar el número máximo de diez (10) interesados entre todos los que manifestaron interés. Por otra parte, también es posible concluir que las normas del procedimiento de selección abreviada de menor cuantía no permiten restringir ese número de interesados a los potenciales oferentes de una región. El caso estudiado de la limitación territorial a </w:t>
      </w:r>
      <w:proofErr w:type="spellStart"/>
      <w:r>
        <w:t>mipymes</w:t>
      </w:r>
      <w:proofErr w:type="spellEnd"/>
      <w:r>
        <w:t xml:space="preserve"> es especial y se comporta, por tanto, como una excepción a la regla </w:t>
      </w:r>
      <w:r>
        <w:lastRenderedPageBreak/>
        <w:t>general.</w:t>
      </w:r>
    </w:p>
    <w:p w14:paraId="0EDAA92C" w14:textId="7BBF99A9" w:rsidR="00E94D5C" w:rsidRDefault="00E94D5C" w:rsidP="008837BD">
      <w:pPr>
        <w:spacing w:after="0" w:line="276" w:lineRule="auto"/>
        <w:jc w:val="both"/>
        <w:rPr>
          <w:rFonts w:ascii="Arial" w:hAnsi="Arial" w:cs="Arial"/>
          <w:color w:val="000000" w:themeColor="text1"/>
          <w:lang w:val="es-ES_tradnl"/>
        </w:rPr>
      </w:pPr>
      <w:r w:rsidRPr="008C0015">
        <w:rPr>
          <w:rFonts w:ascii="Arial" w:eastAsia="Calibri" w:hAnsi="Arial" w:cs="Arial"/>
          <w:color w:val="000000" w:themeColor="text1"/>
          <w:lang w:val="es-ES_tradnl" w:eastAsia="es-ES_tradnl"/>
        </w:rPr>
        <w:t>Este concepto tiene el alcance previsto en el artículo 28 del Código de Procedimiento Administrativo y de lo Contencioso Administrativo</w:t>
      </w:r>
      <w:r w:rsidRPr="00510BFB">
        <w:rPr>
          <w:rFonts w:ascii="Arial" w:hAnsi="Arial" w:cs="Arial"/>
          <w:color w:val="000000" w:themeColor="text1"/>
          <w:lang w:val="es-ES_tradnl"/>
        </w:rPr>
        <w:t>.</w:t>
      </w:r>
    </w:p>
    <w:p w14:paraId="0076F5DD" w14:textId="77777777" w:rsidR="008837BD" w:rsidRPr="00510BFB" w:rsidRDefault="008837BD" w:rsidP="00FD7DA7">
      <w:pPr>
        <w:spacing w:after="0" w:line="276" w:lineRule="auto"/>
        <w:jc w:val="both"/>
        <w:rPr>
          <w:rFonts w:ascii="Arial" w:hAnsi="Arial" w:cs="Arial"/>
          <w:color w:val="000000" w:themeColor="text1"/>
          <w:lang w:val="es-ES_tradnl"/>
        </w:rPr>
      </w:pPr>
    </w:p>
    <w:bookmarkEnd w:id="3"/>
    <w:p w14:paraId="63CE2F21" w14:textId="629BCA2E" w:rsidR="006230E1" w:rsidRDefault="000446AF" w:rsidP="00FD7DA7">
      <w:pPr>
        <w:spacing w:after="0" w:line="276" w:lineRule="auto"/>
        <w:jc w:val="both"/>
        <w:rPr>
          <w:rFonts w:ascii="Calibri" w:eastAsia="Calibri" w:hAnsi="Calibri" w:cs="Times New Roman"/>
          <w:sz w:val="24"/>
        </w:rPr>
      </w:pPr>
      <w:r w:rsidRPr="00510BFB">
        <w:rPr>
          <w:rFonts w:ascii="Arial" w:eastAsia="Calibri" w:hAnsi="Arial" w:cs="Arial"/>
        </w:rPr>
        <w:t xml:space="preserve">Atentamente, </w:t>
      </w:r>
    </w:p>
    <w:p w14:paraId="3BF5126E" w14:textId="7DB42141" w:rsidR="00135FBD" w:rsidRPr="00510BFB" w:rsidRDefault="00E4094E" w:rsidP="00E4094E">
      <w:pPr>
        <w:spacing w:after="120" w:line="276" w:lineRule="auto"/>
        <w:jc w:val="center"/>
        <w:rPr>
          <w:rFonts w:ascii="Calibri" w:eastAsia="Calibri" w:hAnsi="Calibri" w:cs="Times New Roman"/>
          <w:sz w:val="24"/>
        </w:rPr>
      </w:pPr>
      <w:r>
        <w:rPr>
          <w:rFonts w:ascii="Arial" w:hAnsi="Arial" w:cs="Arial"/>
          <w:noProof/>
          <w:color w:val="1A1A1A" w:themeColor="background1" w:themeShade="1A"/>
          <w:lang w:eastAsia="es-CO"/>
        </w:rPr>
        <w:drawing>
          <wp:inline distT="0" distB="0" distL="0" distR="0" wp14:anchorId="0567DB90" wp14:editId="7C5ED24A">
            <wp:extent cx="2533650" cy="981075"/>
            <wp:effectExtent l="0" t="0" r="0" b="9525"/>
            <wp:docPr id="4"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a:ln>
                      <a:noFill/>
                    </a:ln>
                  </pic:spPr>
                </pic:pic>
              </a:graphicData>
            </a:graphic>
          </wp:inline>
        </w:drawing>
      </w:r>
      <w:bookmarkEnd w:id="0"/>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BD7CF5" w:rsidRPr="0088027A" w14:paraId="5663F63A" w14:textId="77777777" w:rsidTr="00354452">
        <w:trPr>
          <w:trHeight w:val="286"/>
        </w:trPr>
        <w:tc>
          <w:tcPr>
            <w:tcW w:w="817" w:type="dxa"/>
            <w:vAlign w:val="center"/>
          </w:tcPr>
          <w:p w14:paraId="685C4D32" w14:textId="77777777" w:rsidR="00BD7CF5" w:rsidRPr="0088027A" w:rsidRDefault="00BD7CF5" w:rsidP="00354452">
            <w:pPr>
              <w:spacing w:before="0"/>
              <w:rPr>
                <w:rFonts w:ascii="Arial" w:hAnsi="Arial" w:cs="Arial"/>
                <w:sz w:val="16"/>
                <w:szCs w:val="16"/>
              </w:rPr>
            </w:pPr>
            <w:r w:rsidRPr="0088027A">
              <w:rPr>
                <w:rFonts w:ascii="Arial" w:hAnsi="Arial" w:cs="Arial"/>
                <w:sz w:val="16"/>
                <w:szCs w:val="16"/>
              </w:rPr>
              <w:t>Elaboró:</w:t>
            </w:r>
          </w:p>
        </w:tc>
        <w:tc>
          <w:tcPr>
            <w:tcW w:w="4445" w:type="dxa"/>
            <w:tcBorders>
              <w:bottom w:val="dotted" w:sz="4" w:space="0" w:color="7F7F7F"/>
            </w:tcBorders>
            <w:vAlign w:val="center"/>
          </w:tcPr>
          <w:p w14:paraId="380A5FB1" w14:textId="77777777" w:rsidR="00BD7CF5" w:rsidRPr="0088027A" w:rsidRDefault="00BD7CF5" w:rsidP="00354452">
            <w:pPr>
              <w:spacing w:before="0"/>
              <w:rPr>
                <w:rFonts w:ascii="Arial" w:hAnsi="Arial" w:cs="Arial"/>
                <w:sz w:val="16"/>
                <w:szCs w:val="16"/>
              </w:rPr>
            </w:pPr>
            <w:r w:rsidRPr="0088027A">
              <w:rPr>
                <w:rFonts w:ascii="Arial" w:hAnsi="Arial" w:cs="Arial"/>
                <w:sz w:val="16"/>
                <w:szCs w:val="16"/>
              </w:rPr>
              <w:t xml:space="preserve">Diana Fabiola Herrera Hernández </w:t>
            </w:r>
          </w:p>
          <w:p w14:paraId="0105CBB1" w14:textId="77777777" w:rsidR="00BD7CF5" w:rsidRPr="0088027A" w:rsidRDefault="00BD7CF5" w:rsidP="00354452">
            <w:pPr>
              <w:spacing w:before="0"/>
              <w:rPr>
                <w:rFonts w:ascii="Arial" w:hAnsi="Arial" w:cs="Arial"/>
                <w:sz w:val="16"/>
                <w:szCs w:val="16"/>
              </w:rPr>
            </w:pPr>
            <w:r w:rsidRPr="0088027A">
              <w:rPr>
                <w:rFonts w:ascii="Arial" w:hAnsi="Arial" w:cs="Arial"/>
                <w:sz w:val="16"/>
                <w:szCs w:val="16"/>
              </w:rPr>
              <w:t>Contratista de la Subdirección de Gestión Contractual</w:t>
            </w:r>
          </w:p>
        </w:tc>
      </w:tr>
      <w:tr w:rsidR="00BD7CF5" w:rsidRPr="0088027A" w14:paraId="0C2328E4" w14:textId="77777777" w:rsidTr="00354452">
        <w:trPr>
          <w:trHeight w:val="286"/>
        </w:trPr>
        <w:tc>
          <w:tcPr>
            <w:tcW w:w="817" w:type="dxa"/>
            <w:vAlign w:val="center"/>
          </w:tcPr>
          <w:p w14:paraId="53EA005D" w14:textId="77777777" w:rsidR="00BD7CF5" w:rsidRPr="0088027A" w:rsidRDefault="00BD7CF5" w:rsidP="00354452">
            <w:pPr>
              <w:rPr>
                <w:rFonts w:ascii="Arial" w:hAnsi="Arial" w:cs="Arial"/>
                <w:sz w:val="16"/>
                <w:szCs w:val="16"/>
              </w:rPr>
            </w:pPr>
            <w:r w:rsidRPr="0088027A">
              <w:rPr>
                <w:rFonts w:ascii="Arial" w:hAnsi="Arial" w:cs="Arial"/>
                <w:sz w:val="16"/>
                <w:szCs w:val="16"/>
              </w:rPr>
              <w:t>Revisó:</w:t>
            </w:r>
          </w:p>
        </w:tc>
        <w:tc>
          <w:tcPr>
            <w:tcW w:w="4445" w:type="dxa"/>
            <w:tcBorders>
              <w:bottom w:val="dotted" w:sz="4" w:space="0" w:color="7F7F7F"/>
            </w:tcBorders>
            <w:vAlign w:val="center"/>
          </w:tcPr>
          <w:p w14:paraId="531CC74D" w14:textId="48E41496" w:rsidR="00BD7CF5" w:rsidRPr="00AB628F" w:rsidRDefault="00BD7CF5" w:rsidP="00354452">
            <w:pPr>
              <w:spacing w:before="0"/>
              <w:rPr>
                <w:rFonts w:ascii="Arial" w:hAnsi="Arial" w:cs="Arial"/>
                <w:sz w:val="16"/>
                <w:szCs w:val="16"/>
                <w:lang w:eastAsia="es-ES"/>
              </w:rPr>
            </w:pPr>
            <w:r w:rsidRPr="00AB628F">
              <w:rPr>
                <w:rFonts w:ascii="Arial" w:hAnsi="Arial" w:cs="Arial"/>
                <w:sz w:val="16"/>
                <w:szCs w:val="16"/>
                <w:lang w:eastAsia="es-ES"/>
              </w:rPr>
              <w:t xml:space="preserve">Cristian </w:t>
            </w:r>
            <w:r>
              <w:rPr>
                <w:rFonts w:ascii="Arial" w:hAnsi="Arial" w:cs="Arial"/>
                <w:sz w:val="16"/>
                <w:szCs w:val="16"/>
                <w:lang w:eastAsia="es-ES"/>
              </w:rPr>
              <w:t xml:space="preserve">Andrés </w:t>
            </w:r>
            <w:r w:rsidRPr="00AB628F">
              <w:rPr>
                <w:rFonts w:ascii="Arial" w:hAnsi="Arial" w:cs="Arial"/>
                <w:sz w:val="16"/>
                <w:szCs w:val="16"/>
                <w:lang w:eastAsia="es-ES"/>
              </w:rPr>
              <w:t>Díaz</w:t>
            </w:r>
            <w:r>
              <w:rPr>
                <w:rFonts w:ascii="Arial" w:hAnsi="Arial" w:cs="Arial"/>
                <w:sz w:val="16"/>
                <w:szCs w:val="16"/>
                <w:lang w:eastAsia="es-ES"/>
              </w:rPr>
              <w:t xml:space="preserve"> Dí</w:t>
            </w:r>
            <w:r w:rsidR="00957501">
              <w:rPr>
                <w:rFonts w:ascii="Arial" w:hAnsi="Arial" w:cs="Arial"/>
                <w:sz w:val="16"/>
                <w:szCs w:val="16"/>
                <w:lang w:eastAsia="es-ES"/>
              </w:rPr>
              <w:t>e</w:t>
            </w:r>
            <w:r>
              <w:rPr>
                <w:rFonts w:ascii="Arial" w:hAnsi="Arial" w:cs="Arial"/>
                <w:sz w:val="16"/>
                <w:szCs w:val="16"/>
                <w:lang w:eastAsia="es-ES"/>
              </w:rPr>
              <w:t>z</w:t>
            </w:r>
          </w:p>
          <w:p w14:paraId="1216B4CF" w14:textId="77777777" w:rsidR="00BD7CF5" w:rsidRPr="0088027A" w:rsidRDefault="00BD7CF5" w:rsidP="00354452">
            <w:pPr>
              <w:spacing w:before="0"/>
              <w:rPr>
                <w:rFonts w:ascii="Arial" w:hAnsi="Arial" w:cs="Arial"/>
                <w:sz w:val="16"/>
                <w:szCs w:val="16"/>
              </w:rPr>
            </w:pPr>
            <w:r w:rsidRPr="001D5A11">
              <w:rPr>
                <w:rFonts w:ascii="Arial" w:hAnsi="Arial" w:cs="Arial"/>
                <w:sz w:val="16"/>
                <w:szCs w:val="16"/>
                <w:lang w:eastAsia="es-ES"/>
              </w:rPr>
              <w:t>Contratista de la Subdirección de Gestión Contractual</w:t>
            </w:r>
          </w:p>
        </w:tc>
      </w:tr>
      <w:tr w:rsidR="00BD7CF5" w:rsidRPr="00691AAC" w14:paraId="06117416" w14:textId="77777777" w:rsidTr="00354452">
        <w:trPr>
          <w:trHeight w:val="299"/>
        </w:trPr>
        <w:tc>
          <w:tcPr>
            <w:tcW w:w="817" w:type="dxa"/>
            <w:vAlign w:val="center"/>
          </w:tcPr>
          <w:p w14:paraId="3BE47571" w14:textId="77777777" w:rsidR="00BD7CF5" w:rsidRPr="0088027A" w:rsidRDefault="00BD7CF5" w:rsidP="00354452">
            <w:pPr>
              <w:spacing w:before="0"/>
              <w:rPr>
                <w:rFonts w:ascii="Arial" w:hAnsi="Arial" w:cs="Arial"/>
                <w:sz w:val="16"/>
                <w:szCs w:val="16"/>
              </w:rPr>
            </w:pPr>
            <w:r w:rsidRPr="0088027A">
              <w:rPr>
                <w:rFonts w:ascii="Arial" w:hAnsi="Arial" w:cs="Arial"/>
                <w:sz w:val="16"/>
                <w:szCs w:val="16"/>
              </w:rPr>
              <w:t>Aprobó:</w:t>
            </w:r>
          </w:p>
        </w:tc>
        <w:tc>
          <w:tcPr>
            <w:tcW w:w="4445" w:type="dxa"/>
            <w:tcBorders>
              <w:top w:val="dotted" w:sz="4" w:space="0" w:color="7F7F7F"/>
              <w:bottom w:val="dotted" w:sz="4" w:space="0" w:color="7F7F7F"/>
            </w:tcBorders>
            <w:vAlign w:val="center"/>
          </w:tcPr>
          <w:p w14:paraId="467A35E2" w14:textId="77777777" w:rsidR="00BD7CF5" w:rsidRPr="0088027A" w:rsidRDefault="00BD7CF5" w:rsidP="00354452">
            <w:pPr>
              <w:spacing w:before="0"/>
              <w:rPr>
                <w:rFonts w:ascii="Arial" w:hAnsi="Arial" w:cs="Arial"/>
                <w:sz w:val="16"/>
                <w:szCs w:val="16"/>
              </w:rPr>
            </w:pPr>
            <w:r w:rsidRPr="0088027A">
              <w:rPr>
                <w:rFonts w:ascii="Arial" w:hAnsi="Arial" w:cs="Arial"/>
                <w:sz w:val="16"/>
                <w:szCs w:val="16"/>
              </w:rPr>
              <w:t>Juan David Marín López</w:t>
            </w:r>
          </w:p>
          <w:p w14:paraId="59720407" w14:textId="77777777" w:rsidR="00BD7CF5" w:rsidRPr="00691AAC" w:rsidRDefault="00BD7CF5" w:rsidP="00354452">
            <w:pPr>
              <w:spacing w:before="0"/>
              <w:rPr>
                <w:rFonts w:ascii="Arial" w:hAnsi="Arial" w:cs="Arial"/>
                <w:sz w:val="16"/>
                <w:szCs w:val="16"/>
              </w:rPr>
            </w:pPr>
            <w:r w:rsidRPr="0088027A">
              <w:rPr>
                <w:rFonts w:ascii="Arial" w:hAnsi="Arial" w:cs="Arial"/>
                <w:sz w:val="16"/>
                <w:szCs w:val="16"/>
              </w:rPr>
              <w:t>Subdirector de Gestión Contractual (E) ANCP – CCE</w:t>
            </w:r>
            <w:r>
              <w:rPr>
                <w:rFonts w:ascii="Arial" w:hAnsi="Arial" w:cs="Arial"/>
                <w:sz w:val="16"/>
                <w:szCs w:val="16"/>
              </w:rPr>
              <w:t xml:space="preserve"> </w:t>
            </w:r>
          </w:p>
        </w:tc>
      </w:tr>
    </w:tbl>
    <w:p w14:paraId="3E6BB58D" w14:textId="4520BAF0" w:rsidR="00135FBD" w:rsidRPr="00FD7DA7" w:rsidRDefault="00135FBD">
      <w:pPr>
        <w:rPr>
          <w:sz w:val="17"/>
          <w:szCs w:val="17"/>
        </w:rPr>
      </w:pPr>
    </w:p>
    <w:p w14:paraId="13B0656D" w14:textId="77777777" w:rsidR="00135FBD" w:rsidRDefault="00135FBD"/>
    <w:sectPr w:rsidR="00135FBD"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D8808" w14:textId="77777777" w:rsidR="00483B8B" w:rsidRDefault="00483B8B" w:rsidP="00137E23">
      <w:pPr>
        <w:spacing w:after="0" w:line="240" w:lineRule="auto"/>
      </w:pPr>
      <w:r>
        <w:separator/>
      </w:r>
    </w:p>
  </w:endnote>
  <w:endnote w:type="continuationSeparator" w:id="0">
    <w:p w14:paraId="2E619924" w14:textId="77777777" w:rsidR="00483B8B" w:rsidRDefault="00483B8B" w:rsidP="00137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56288" w14:textId="77777777" w:rsidR="000E0524" w:rsidRPr="00137E23" w:rsidRDefault="00161488" w:rsidP="005A79FE">
    <w:pPr>
      <w:pStyle w:val="Piedepgina"/>
      <w:jc w:val="right"/>
      <w:rPr>
        <w:rFonts w:ascii="Arial" w:hAnsi="Arial" w:cs="Arial"/>
        <w:color w:val="7F7F7F"/>
        <w:sz w:val="16"/>
        <w:szCs w:val="16"/>
      </w:rPr>
    </w:pPr>
    <w:r w:rsidRPr="00137E23">
      <w:rPr>
        <w:rFonts w:ascii="Arial" w:hAnsi="Arial" w:cs="Arial"/>
        <w:bCs/>
        <w:color w:val="7F7F7F"/>
        <w:sz w:val="16"/>
        <w:szCs w:val="16"/>
      </w:rPr>
      <w:t xml:space="preserve">Página </w:t>
    </w:r>
    <w:r w:rsidRPr="00137E23">
      <w:rPr>
        <w:rFonts w:ascii="Arial" w:hAnsi="Arial" w:cs="Arial"/>
        <w:b/>
        <w:bCs/>
        <w:color w:val="7F7F7F"/>
        <w:sz w:val="16"/>
        <w:szCs w:val="16"/>
      </w:rPr>
      <w:fldChar w:fldCharType="begin"/>
    </w:r>
    <w:r w:rsidRPr="00137E23">
      <w:rPr>
        <w:rFonts w:ascii="Arial" w:hAnsi="Arial" w:cs="Arial"/>
        <w:b/>
        <w:bCs/>
        <w:color w:val="7F7F7F"/>
        <w:sz w:val="16"/>
        <w:szCs w:val="16"/>
      </w:rPr>
      <w:instrText>PAGE  \* Arabic  \* MERGEFORMAT</w:instrText>
    </w:r>
    <w:r w:rsidRPr="00137E23">
      <w:rPr>
        <w:rFonts w:ascii="Arial" w:hAnsi="Arial" w:cs="Arial"/>
        <w:b/>
        <w:bCs/>
        <w:color w:val="7F7F7F"/>
        <w:sz w:val="16"/>
        <w:szCs w:val="16"/>
      </w:rPr>
      <w:fldChar w:fldCharType="separate"/>
    </w:r>
    <w:r w:rsidR="00AE1C0A">
      <w:rPr>
        <w:rFonts w:ascii="Arial" w:hAnsi="Arial" w:cs="Arial"/>
        <w:b/>
        <w:bCs/>
        <w:noProof/>
        <w:color w:val="7F7F7F"/>
        <w:sz w:val="16"/>
        <w:szCs w:val="16"/>
      </w:rPr>
      <w:t>11</w:t>
    </w:r>
    <w:r w:rsidRPr="00137E23">
      <w:rPr>
        <w:rFonts w:ascii="Arial" w:hAnsi="Arial" w:cs="Arial"/>
        <w:b/>
        <w:bCs/>
        <w:color w:val="7F7F7F"/>
        <w:sz w:val="16"/>
        <w:szCs w:val="16"/>
      </w:rPr>
      <w:fldChar w:fldCharType="end"/>
    </w:r>
    <w:r w:rsidRPr="00137E23">
      <w:rPr>
        <w:rFonts w:ascii="Arial" w:hAnsi="Arial" w:cs="Arial"/>
        <w:color w:val="7F7F7F"/>
        <w:sz w:val="16"/>
        <w:szCs w:val="16"/>
      </w:rPr>
      <w:t xml:space="preserve"> de </w:t>
    </w:r>
    <w:r w:rsidRPr="00137E23">
      <w:rPr>
        <w:rFonts w:ascii="Arial" w:hAnsi="Arial" w:cs="Arial"/>
        <w:b/>
        <w:bCs/>
        <w:color w:val="7F7F7F"/>
        <w:sz w:val="16"/>
        <w:szCs w:val="16"/>
      </w:rPr>
      <w:fldChar w:fldCharType="begin"/>
    </w:r>
    <w:r w:rsidRPr="00137E23">
      <w:rPr>
        <w:rFonts w:ascii="Arial" w:hAnsi="Arial" w:cs="Arial"/>
        <w:b/>
        <w:bCs/>
        <w:color w:val="7F7F7F"/>
        <w:sz w:val="16"/>
        <w:szCs w:val="16"/>
      </w:rPr>
      <w:instrText>NUMPAGES  \* Arabic  \* MERGEFORMAT</w:instrText>
    </w:r>
    <w:r w:rsidRPr="00137E23">
      <w:rPr>
        <w:rFonts w:ascii="Arial" w:hAnsi="Arial" w:cs="Arial"/>
        <w:b/>
        <w:bCs/>
        <w:color w:val="7F7F7F"/>
        <w:sz w:val="16"/>
        <w:szCs w:val="16"/>
      </w:rPr>
      <w:fldChar w:fldCharType="separate"/>
    </w:r>
    <w:r w:rsidR="00AE1C0A">
      <w:rPr>
        <w:rFonts w:ascii="Arial" w:hAnsi="Arial" w:cs="Arial"/>
        <w:b/>
        <w:bCs/>
        <w:noProof/>
        <w:color w:val="7F7F7F"/>
        <w:sz w:val="16"/>
        <w:szCs w:val="16"/>
      </w:rPr>
      <w:t>12</w:t>
    </w:r>
    <w:r w:rsidRPr="00137E23">
      <w:rPr>
        <w:rFonts w:ascii="Arial" w:hAnsi="Arial" w:cs="Arial"/>
        <w:b/>
        <w:bCs/>
        <w:color w:val="7F7F7F"/>
        <w:sz w:val="16"/>
        <w:szCs w:val="16"/>
      </w:rPr>
      <w:fldChar w:fldCharType="end"/>
    </w:r>
  </w:p>
  <w:p w14:paraId="2E4898D7" w14:textId="77777777" w:rsidR="00CD5A2C" w:rsidRDefault="00CD5A2C" w:rsidP="00CD5A2C">
    <w:pPr>
      <w:pStyle w:val="Piedepgina"/>
    </w:pPr>
    <w:r>
      <w:rPr>
        <w:noProof/>
        <w:lang w:eastAsia="es-CO"/>
      </w:rPr>
      <w:drawing>
        <wp:inline distT="0" distB="0" distL="0" distR="0" wp14:anchorId="03DD00A2" wp14:editId="506DF468">
          <wp:extent cx="5885180" cy="914400"/>
          <wp:effectExtent l="0" t="0" r="1270" b="0"/>
          <wp:docPr id="3" name="Imagen 3"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419"/>
      <w:gridCol w:w="838"/>
      <w:gridCol w:w="1954"/>
      <w:gridCol w:w="718"/>
      <w:gridCol w:w="2491"/>
      <w:gridCol w:w="1360"/>
    </w:tblGrid>
    <w:tr w:rsidR="00CD5A2C" w:rsidRPr="00080DA3" w14:paraId="3525BD54" w14:textId="77777777" w:rsidTr="00354452">
      <w:trPr>
        <w:trHeight w:val="229"/>
        <w:jc w:val="center"/>
      </w:trPr>
      <w:tc>
        <w:tcPr>
          <w:tcW w:w="1013"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21C4BD2" w14:textId="77777777" w:rsidR="00CD5A2C" w:rsidRPr="00080DA3" w:rsidRDefault="00CD5A2C" w:rsidP="00CD5A2C">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295775B" w14:textId="77777777" w:rsidR="00CD5A2C" w:rsidRPr="00080DA3" w:rsidRDefault="00CD5A2C" w:rsidP="00CD5A2C">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3</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B109D26" w14:textId="77777777" w:rsidR="00CD5A2C" w:rsidRPr="00080DA3" w:rsidRDefault="00CD5A2C" w:rsidP="00CD5A2C">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20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07699267" w14:textId="77777777" w:rsidR="00CD5A2C" w:rsidRPr="00080DA3" w:rsidRDefault="00CD5A2C" w:rsidP="00CD5A2C">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8222A7E" w14:textId="77777777" w:rsidR="00CD5A2C" w:rsidRPr="00080DA3" w:rsidRDefault="00CD5A2C" w:rsidP="00CD5A2C">
          <w:pPr>
            <w:pStyle w:val="Piedepgina"/>
            <w:jc w:val="center"/>
            <w:rPr>
              <w:rFonts w:ascii="Geomanist Light" w:hAnsi="Geomanist Light"/>
              <w:sz w:val="18"/>
              <w:szCs w:val="18"/>
            </w:rPr>
          </w:pPr>
          <w:r w:rsidRPr="00080DA3">
            <w:rPr>
              <w:rFonts w:ascii="Geomanist Light" w:hAnsi="Geomanist Light"/>
              <w:sz w:val="18"/>
              <w:szCs w:val="18"/>
            </w:rPr>
            <w:t>Fecha:</w:t>
          </w:r>
        </w:p>
      </w:tc>
      <w:tc>
        <w:tcPr>
          <w:tcW w:w="264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1C52300" w14:textId="77777777" w:rsidR="00CD5A2C" w:rsidRPr="00080DA3" w:rsidRDefault="00CD5A2C" w:rsidP="00CD5A2C">
          <w:pPr>
            <w:pStyle w:val="Piedepgina"/>
            <w:jc w:val="center"/>
            <w:rPr>
              <w:rFonts w:ascii="Geomanist Light" w:hAnsi="Geomanist Light"/>
              <w:sz w:val="18"/>
              <w:szCs w:val="18"/>
            </w:rPr>
          </w:pPr>
          <w:r>
            <w:rPr>
              <w:rFonts w:ascii="Geomanist Light" w:hAnsi="Geomanist Light"/>
              <w:sz w:val="18"/>
              <w:szCs w:val="18"/>
            </w:rPr>
            <w:t>10 de agosto</w:t>
          </w:r>
          <w:r w:rsidRPr="00080DA3">
            <w:rPr>
              <w:rFonts w:ascii="Geomanist Light" w:hAnsi="Geomanist Light"/>
              <w:sz w:val="18"/>
              <w:szCs w:val="18"/>
            </w:rPr>
            <w:t xml:space="preserve"> de 202</w:t>
          </w:r>
          <w:r>
            <w:rPr>
              <w:rFonts w:ascii="Geomanist Light" w:hAnsi="Geomanist Light"/>
              <w:sz w:val="18"/>
              <w:szCs w:val="18"/>
            </w:rPr>
            <w:t>2</w:t>
          </w:r>
        </w:p>
      </w:tc>
      <w:tc>
        <w:tcPr>
          <w:tcW w:w="1416"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2DCA154" w14:textId="77777777" w:rsidR="00CD5A2C" w:rsidRPr="00080DA3" w:rsidRDefault="00CD5A2C" w:rsidP="00CD5A2C">
          <w:pPr>
            <w:pStyle w:val="Piedepgina"/>
            <w:jc w:val="right"/>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15</w:t>
          </w:r>
          <w:r w:rsidRPr="00080DA3">
            <w:rPr>
              <w:rFonts w:ascii="Geomanist Light" w:hAnsi="Geomanist Light"/>
              <w:b/>
              <w:bCs/>
              <w:sz w:val="18"/>
              <w:szCs w:val="18"/>
            </w:rPr>
            <w:fldChar w:fldCharType="end"/>
          </w:r>
        </w:p>
      </w:tc>
    </w:tr>
  </w:tbl>
  <w:p w14:paraId="7FF1EFC4" w14:textId="7B0DF130" w:rsidR="000E0524" w:rsidRDefault="00000000" w:rsidP="007B0854">
    <w:pPr>
      <w:pStyle w:val="Piedepgina"/>
      <w:jc w:val="center"/>
    </w:pPr>
  </w:p>
  <w:p w14:paraId="7F8835C6" w14:textId="77777777" w:rsidR="000E0524" w:rsidRPr="007B0854" w:rsidRDefault="00000000" w:rsidP="007B085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7425C" w14:textId="77777777" w:rsidR="00483B8B" w:rsidRDefault="00483B8B" w:rsidP="00137E23">
      <w:pPr>
        <w:spacing w:after="0" w:line="240" w:lineRule="auto"/>
      </w:pPr>
      <w:r>
        <w:separator/>
      </w:r>
    </w:p>
  </w:footnote>
  <w:footnote w:type="continuationSeparator" w:id="0">
    <w:p w14:paraId="37BF10A3" w14:textId="77777777" w:rsidR="00483B8B" w:rsidRDefault="00483B8B" w:rsidP="00137E23">
      <w:pPr>
        <w:spacing w:after="0" w:line="240" w:lineRule="auto"/>
      </w:pPr>
      <w:r>
        <w:continuationSeparator/>
      </w:r>
    </w:p>
  </w:footnote>
  <w:footnote w:id="1">
    <w:p w14:paraId="516C4223" w14:textId="77777777" w:rsidR="00D8729A" w:rsidRPr="0014426D" w:rsidRDefault="00D8729A" w:rsidP="00D8729A">
      <w:pPr>
        <w:pStyle w:val="Textonotapie"/>
        <w:ind w:firstLine="709"/>
        <w:rPr>
          <w:rFonts w:ascii="Arial" w:hAnsi="Arial" w:cs="Arial"/>
          <w:sz w:val="19"/>
          <w:szCs w:val="19"/>
          <w:lang w:val="es-ES"/>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Artículos 2 al 29.</w:t>
      </w:r>
    </w:p>
    <w:p w14:paraId="41320B23" w14:textId="77777777" w:rsidR="00D8729A" w:rsidRPr="0014426D" w:rsidRDefault="00D8729A" w:rsidP="00D8729A">
      <w:pPr>
        <w:pStyle w:val="Textonotapie"/>
        <w:ind w:firstLine="709"/>
        <w:rPr>
          <w:rFonts w:ascii="Arial" w:hAnsi="Arial" w:cs="Arial"/>
          <w:sz w:val="19"/>
          <w:szCs w:val="19"/>
          <w:lang w:val="es-ES"/>
        </w:rPr>
      </w:pPr>
    </w:p>
  </w:footnote>
  <w:footnote w:id="2">
    <w:p w14:paraId="37E21010" w14:textId="77777777" w:rsidR="00D8729A" w:rsidRPr="0014426D" w:rsidRDefault="00D8729A" w:rsidP="00D8729A">
      <w:pPr>
        <w:pStyle w:val="Textonotapie"/>
        <w:ind w:firstLine="709"/>
        <w:rPr>
          <w:rFonts w:ascii="Arial" w:hAnsi="Arial" w:cs="Arial"/>
          <w:sz w:val="19"/>
          <w:szCs w:val="19"/>
          <w:lang w:val="es-ES"/>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Artículos 30 al 36.</w:t>
      </w:r>
    </w:p>
    <w:p w14:paraId="768F0130" w14:textId="77777777" w:rsidR="00D8729A" w:rsidRPr="0014426D" w:rsidRDefault="00D8729A" w:rsidP="00D8729A">
      <w:pPr>
        <w:pStyle w:val="Textonotapie"/>
        <w:ind w:firstLine="709"/>
        <w:rPr>
          <w:rFonts w:ascii="Arial" w:hAnsi="Arial" w:cs="Arial"/>
          <w:sz w:val="19"/>
          <w:szCs w:val="19"/>
          <w:lang w:val="es-ES"/>
        </w:rPr>
      </w:pPr>
    </w:p>
  </w:footnote>
  <w:footnote w:id="3">
    <w:p w14:paraId="672D844C" w14:textId="77777777" w:rsidR="00D8729A" w:rsidRPr="0014426D" w:rsidRDefault="00D8729A" w:rsidP="00D8729A">
      <w:pPr>
        <w:pStyle w:val="Textonotapie"/>
        <w:ind w:firstLine="709"/>
        <w:rPr>
          <w:rFonts w:ascii="Arial" w:hAnsi="Arial" w:cs="Arial"/>
          <w:sz w:val="19"/>
          <w:szCs w:val="19"/>
          <w:lang w:val="es-ES"/>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Artículos 37 al 45.</w:t>
      </w:r>
    </w:p>
    <w:p w14:paraId="58394D2C" w14:textId="77777777" w:rsidR="00D8729A" w:rsidRPr="0014426D" w:rsidRDefault="00D8729A" w:rsidP="00D8729A">
      <w:pPr>
        <w:pStyle w:val="Textonotapie"/>
        <w:ind w:firstLine="709"/>
        <w:rPr>
          <w:rFonts w:ascii="Arial" w:hAnsi="Arial" w:cs="Arial"/>
          <w:sz w:val="19"/>
          <w:szCs w:val="19"/>
          <w:lang w:val="es-ES"/>
        </w:rPr>
      </w:pPr>
    </w:p>
  </w:footnote>
  <w:footnote w:id="4">
    <w:p w14:paraId="29526A9A" w14:textId="77777777" w:rsidR="00D8729A" w:rsidRPr="0014426D" w:rsidRDefault="00D8729A" w:rsidP="00D8729A">
      <w:pPr>
        <w:pStyle w:val="Textonotapie"/>
        <w:ind w:firstLine="709"/>
        <w:rPr>
          <w:rFonts w:ascii="Arial" w:hAnsi="Arial" w:cs="Arial"/>
          <w:sz w:val="19"/>
          <w:szCs w:val="19"/>
          <w:lang w:val="es-ES"/>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Artículos 46 al 73.</w:t>
      </w:r>
    </w:p>
    <w:p w14:paraId="59D052B6" w14:textId="77777777" w:rsidR="00D8729A" w:rsidRPr="0014426D" w:rsidRDefault="00D8729A" w:rsidP="00D8729A">
      <w:pPr>
        <w:pStyle w:val="Textonotapie"/>
        <w:ind w:firstLine="709"/>
        <w:rPr>
          <w:rFonts w:ascii="Arial" w:hAnsi="Arial" w:cs="Arial"/>
          <w:sz w:val="19"/>
          <w:szCs w:val="19"/>
          <w:lang w:val="es-ES"/>
        </w:rPr>
      </w:pPr>
    </w:p>
  </w:footnote>
  <w:footnote w:id="5">
    <w:p w14:paraId="2801F5DF" w14:textId="77777777" w:rsidR="00D8729A" w:rsidRPr="0014426D" w:rsidRDefault="00D8729A" w:rsidP="00D8729A">
      <w:pPr>
        <w:pStyle w:val="Textonotapie"/>
        <w:ind w:firstLine="709"/>
        <w:rPr>
          <w:rFonts w:ascii="Arial" w:hAnsi="Arial" w:cs="Arial"/>
          <w:sz w:val="19"/>
          <w:szCs w:val="19"/>
          <w:lang w:val="es-ES"/>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Artículos 74 al 83.</w:t>
      </w:r>
    </w:p>
    <w:p w14:paraId="6E42391C" w14:textId="77777777" w:rsidR="00D8729A" w:rsidRPr="0014426D" w:rsidRDefault="00D8729A" w:rsidP="00D8729A">
      <w:pPr>
        <w:pStyle w:val="Textonotapie"/>
        <w:ind w:firstLine="709"/>
        <w:rPr>
          <w:rFonts w:ascii="Arial" w:hAnsi="Arial" w:cs="Arial"/>
          <w:sz w:val="19"/>
          <w:szCs w:val="19"/>
          <w:lang w:val="es-ES"/>
        </w:rPr>
      </w:pPr>
    </w:p>
  </w:footnote>
  <w:footnote w:id="6">
    <w:p w14:paraId="540674B9" w14:textId="77777777" w:rsidR="00D8729A" w:rsidRPr="0014426D" w:rsidRDefault="00D8729A" w:rsidP="00D8729A">
      <w:pPr>
        <w:spacing w:after="0" w:line="240" w:lineRule="auto"/>
        <w:ind w:firstLine="709"/>
        <w:rPr>
          <w:rFonts w:ascii="Arial" w:hAnsi="Arial" w:cs="Arial"/>
          <w:sz w:val="19"/>
          <w:szCs w:val="19"/>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En efecto, el artículo 34 de la Ley 2069 de 2020 establece: «</w:t>
      </w:r>
      <w:r w:rsidRPr="0014426D">
        <w:rPr>
          <w:rFonts w:ascii="Arial" w:hAnsi="Arial" w:cs="Arial"/>
          <w:sz w:val="19"/>
          <w:szCs w:val="19"/>
        </w:rPr>
        <w:t xml:space="preserve">Modifíquese el artículo 12 de la Ley 1150 de 2007, el cual quedará así: </w:t>
      </w:r>
    </w:p>
    <w:p w14:paraId="16B8D1F3" w14:textId="77777777" w:rsidR="00D8729A" w:rsidRPr="0014426D" w:rsidRDefault="00D8729A" w:rsidP="00D8729A">
      <w:pPr>
        <w:spacing w:after="0" w:line="240" w:lineRule="auto"/>
        <w:ind w:firstLine="709"/>
        <w:jc w:val="both"/>
        <w:rPr>
          <w:rFonts w:ascii="Arial" w:eastAsia="Calibri" w:hAnsi="Arial" w:cs="Arial"/>
          <w:color w:val="000000"/>
          <w:sz w:val="19"/>
          <w:szCs w:val="19"/>
          <w:lang w:val="es-ES_tradnl"/>
        </w:rPr>
      </w:pPr>
      <w:r w:rsidRPr="0014426D">
        <w:rPr>
          <w:rFonts w:ascii="Arial" w:eastAsia="Calibri" w:hAnsi="Arial" w:cs="Arial"/>
          <w:color w:val="000000"/>
          <w:sz w:val="19"/>
          <w:szCs w:val="19"/>
        </w:rPr>
        <w:t>»</w:t>
      </w:r>
      <w:r w:rsidRPr="0014426D">
        <w:rPr>
          <w:rFonts w:ascii="Arial" w:eastAsia="Calibri" w:hAnsi="Arial" w:cs="Arial"/>
          <w:color w:val="000000"/>
          <w:sz w:val="19"/>
          <w:szCs w:val="19"/>
          <w:lang w:val="es-ES_tradnl"/>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w:t>
      </w:r>
      <w:r w:rsidRPr="0014426D">
        <w:rPr>
          <w:rFonts w:ascii="Arial" w:eastAsia="Calibri" w:hAnsi="Arial" w:cs="Arial"/>
          <w:color w:val="000000"/>
          <w:sz w:val="19"/>
          <w:szCs w:val="19"/>
          <w:lang w:val="es-ES_tradnl"/>
        </w:rPr>
        <w:t>Mipyme, convocatorias limitadas a estas en las que, previo a la Resolución de apertura del proceso respectivo, se haya manifestado el interés de por lo menos dos (2) Mipyme.</w:t>
      </w:r>
    </w:p>
    <w:p w14:paraId="4B5B0A9A" w14:textId="77777777" w:rsidR="00D8729A" w:rsidRPr="0014426D" w:rsidRDefault="00D8729A" w:rsidP="00D8729A">
      <w:pPr>
        <w:spacing w:after="0" w:line="240" w:lineRule="auto"/>
        <w:ind w:firstLine="709"/>
        <w:jc w:val="both"/>
        <w:rPr>
          <w:rFonts w:ascii="Arial" w:eastAsia="Calibri" w:hAnsi="Arial" w:cs="Arial"/>
          <w:color w:val="000000"/>
          <w:sz w:val="19"/>
          <w:szCs w:val="19"/>
          <w:lang w:val="es-ES_tradnl"/>
        </w:rPr>
      </w:pPr>
      <w:r w:rsidRPr="0014426D">
        <w:rPr>
          <w:rFonts w:ascii="Arial" w:eastAsia="Calibri" w:hAnsi="Arial" w:cs="Arial"/>
          <w:color w:val="000000"/>
          <w:sz w:val="19"/>
          <w:szCs w:val="19"/>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7EB2A00A" w14:textId="77777777" w:rsidR="00D8729A" w:rsidRPr="0014426D" w:rsidRDefault="00D8729A" w:rsidP="00D8729A">
      <w:pPr>
        <w:spacing w:after="0" w:line="240" w:lineRule="auto"/>
        <w:ind w:firstLine="709"/>
        <w:jc w:val="both"/>
        <w:rPr>
          <w:rFonts w:ascii="Arial" w:eastAsia="Calibri" w:hAnsi="Arial" w:cs="Arial"/>
          <w:color w:val="000000"/>
          <w:sz w:val="19"/>
          <w:szCs w:val="19"/>
          <w:lang w:val="es-ES_tradnl"/>
        </w:rPr>
      </w:pPr>
      <w:r w:rsidRPr="0014426D">
        <w:rPr>
          <w:rFonts w:ascii="Arial" w:eastAsia="Calibri" w:hAnsi="Arial" w:cs="Arial"/>
          <w:color w:val="000000"/>
          <w:sz w:val="19"/>
          <w:szCs w:val="19"/>
          <w:lang w:val="es-ES_tradnl"/>
        </w:rPr>
        <w:t>»En todo caso, se deberá garantizar la satisfacción de las condiciones técnicas y económicas requeridas en el Proceso de Contratación.</w:t>
      </w:r>
    </w:p>
    <w:p w14:paraId="25B2A7A1" w14:textId="77777777" w:rsidR="00D8729A" w:rsidRPr="0014426D" w:rsidRDefault="00D8729A" w:rsidP="00D8729A">
      <w:pPr>
        <w:spacing w:after="0" w:line="240" w:lineRule="auto"/>
        <w:ind w:firstLine="709"/>
        <w:jc w:val="both"/>
        <w:rPr>
          <w:rFonts w:ascii="Arial" w:eastAsia="Calibri" w:hAnsi="Arial" w:cs="Arial"/>
          <w:color w:val="000000"/>
          <w:sz w:val="19"/>
          <w:szCs w:val="19"/>
          <w:lang w:val="es-ES_tradnl"/>
        </w:rPr>
      </w:pPr>
      <w:r w:rsidRPr="0014426D">
        <w:rPr>
          <w:rFonts w:ascii="Arial" w:eastAsia="Calibri" w:hAnsi="Arial" w:cs="Arial"/>
          <w:color w:val="000000"/>
          <w:sz w:val="19"/>
          <w:szCs w:val="19"/>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51D5990A" w14:textId="77777777" w:rsidR="00D8729A" w:rsidRPr="0014426D" w:rsidRDefault="00D8729A" w:rsidP="00D8729A">
      <w:pPr>
        <w:spacing w:after="0" w:line="240" w:lineRule="auto"/>
        <w:ind w:firstLine="709"/>
        <w:jc w:val="both"/>
        <w:rPr>
          <w:rFonts w:ascii="Arial" w:eastAsia="Calibri" w:hAnsi="Arial" w:cs="Arial"/>
          <w:color w:val="000000"/>
          <w:sz w:val="19"/>
          <w:szCs w:val="19"/>
          <w:lang w:val="es-ES_tradnl"/>
        </w:rPr>
      </w:pPr>
      <w:r w:rsidRPr="0014426D">
        <w:rPr>
          <w:rFonts w:ascii="Arial" w:eastAsia="Calibri" w:hAnsi="Arial" w:cs="Arial"/>
          <w:color w:val="000000"/>
          <w:sz w:val="19"/>
          <w:szCs w:val="19"/>
          <w:lang w:val="es-ES_tradnl"/>
        </w:rPr>
        <w:t>»Parágrafo Primero. En los Procesos de Contratación que se desarrollen con base en el primer inciso, las entidades podrán realizar las convocatorias limitadas que beneficien a las Mipyme del ámbito municipal o departamental correspondiente al de la ejecución del contrato.</w:t>
      </w:r>
    </w:p>
    <w:p w14:paraId="0A5CEE67" w14:textId="77777777" w:rsidR="00D8729A" w:rsidRPr="0014426D" w:rsidRDefault="00D8729A" w:rsidP="00D8729A">
      <w:pPr>
        <w:spacing w:after="0" w:line="240" w:lineRule="auto"/>
        <w:ind w:firstLine="709"/>
        <w:jc w:val="both"/>
        <w:rPr>
          <w:rFonts w:ascii="Arial" w:eastAsia="Calibri" w:hAnsi="Arial" w:cs="Arial"/>
          <w:color w:val="000000"/>
          <w:sz w:val="19"/>
          <w:szCs w:val="19"/>
          <w:lang w:val="es-ES_tradnl"/>
        </w:rPr>
      </w:pPr>
      <w:r w:rsidRPr="0014426D">
        <w:rPr>
          <w:rFonts w:ascii="Arial" w:eastAsia="Calibri" w:hAnsi="Arial" w:cs="Arial"/>
          <w:color w:val="000000"/>
          <w:sz w:val="19"/>
          <w:szCs w:val="19"/>
          <w:lang w:val="es-ES_tradnl"/>
        </w:rPr>
        <w:t>»Parágrafo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2A3289C3" w14:textId="77777777" w:rsidR="00D8729A" w:rsidRPr="0014426D" w:rsidRDefault="00D8729A" w:rsidP="00D8729A">
      <w:pPr>
        <w:spacing w:after="0" w:line="240" w:lineRule="auto"/>
        <w:ind w:firstLine="709"/>
        <w:jc w:val="both"/>
        <w:rPr>
          <w:rFonts w:ascii="Arial" w:eastAsia="Calibri" w:hAnsi="Arial" w:cs="Arial"/>
          <w:color w:val="000000"/>
          <w:sz w:val="19"/>
          <w:szCs w:val="19"/>
          <w:lang w:val="es-ES_tradnl"/>
        </w:rPr>
      </w:pPr>
      <w:r w:rsidRPr="0014426D">
        <w:rPr>
          <w:rFonts w:ascii="Arial" w:eastAsia="Calibri" w:hAnsi="Arial" w:cs="Arial"/>
          <w:color w:val="000000"/>
          <w:sz w:val="19"/>
          <w:szCs w:val="19"/>
          <w:lang w:val="es-ES_tradnl"/>
        </w:rPr>
        <w:t xml:space="preserve">»Parágrafo Tercero. En la ejecución de los contratos a que se refiere el presente artículo, las entidades y los contratistas, deberán observar lo dispuesto en los artículos 90 a 95 de la Ley 418 de 1997 y las normas que la modifiquen, adicionen o subroguen."»  </w:t>
      </w:r>
    </w:p>
    <w:p w14:paraId="6FDBB4FC" w14:textId="77777777" w:rsidR="00D8729A" w:rsidRPr="0014426D" w:rsidRDefault="00D8729A" w:rsidP="00D8729A">
      <w:pPr>
        <w:pStyle w:val="Textonotapie"/>
        <w:ind w:firstLine="709"/>
        <w:jc w:val="both"/>
        <w:rPr>
          <w:rFonts w:ascii="Arial" w:hAnsi="Arial" w:cs="Arial"/>
          <w:sz w:val="19"/>
          <w:szCs w:val="19"/>
          <w:lang w:val="es-ES_tradnl"/>
        </w:rPr>
      </w:pPr>
    </w:p>
  </w:footnote>
  <w:footnote w:id="7">
    <w:p w14:paraId="5ABB1BC2" w14:textId="77777777" w:rsidR="00D8729A" w:rsidRPr="0014426D" w:rsidRDefault="00D8729A" w:rsidP="00D8729A">
      <w:pPr>
        <w:spacing w:after="0" w:line="240" w:lineRule="auto"/>
        <w:ind w:firstLine="709"/>
        <w:rPr>
          <w:rFonts w:ascii="Arial" w:hAnsi="Arial" w:cs="Arial"/>
          <w:sz w:val="19"/>
          <w:szCs w:val="19"/>
          <w:lang w:val="es-ES"/>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Corte Constitucional. Sentencia C-502 de 2012. Magistrada Ponente: Adriana María Guillén Arango.</w:t>
      </w:r>
    </w:p>
    <w:p w14:paraId="5724D730" w14:textId="77777777" w:rsidR="00D8729A" w:rsidRPr="0014426D" w:rsidRDefault="00D8729A" w:rsidP="00D8729A">
      <w:pPr>
        <w:pStyle w:val="Textonotapie"/>
        <w:ind w:firstLine="709"/>
        <w:rPr>
          <w:rFonts w:ascii="Arial" w:hAnsi="Arial" w:cs="Arial"/>
          <w:sz w:val="19"/>
          <w:szCs w:val="19"/>
          <w:lang w:val="es-ES"/>
        </w:rPr>
      </w:pPr>
      <w:r w:rsidRPr="0014426D">
        <w:rPr>
          <w:rFonts w:ascii="Arial" w:hAnsi="Arial" w:cs="Arial"/>
          <w:sz w:val="19"/>
          <w:szCs w:val="19"/>
          <w:lang w:val="es-ES"/>
        </w:rPr>
        <w:t xml:space="preserve"> </w:t>
      </w:r>
    </w:p>
  </w:footnote>
  <w:footnote w:id="8">
    <w:p w14:paraId="3B6033FD" w14:textId="77777777" w:rsidR="00D8729A" w:rsidRPr="0024769F" w:rsidRDefault="00D8729A" w:rsidP="00D8729A">
      <w:pPr>
        <w:pStyle w:val="Textonotapie"/>
        <w:ind w:firstLine="708"/>
        <w:rPr>
          <w:rFonts w:ascii="Arial" w:hAnsi="Arial" w:cs="Arial"/>
          <w:sz w:val="19"/>
          <w:szCs w:val="19"/>
          <w:lang w:val="es-CO"/>
        </w:rPr>
      </w:pPr>
      <w:r w:rsidRPr="0014426D">
        <w:rPr>
          <w:rStyle w:val="Refdenotaalpie"/>
          <w:rFonts w:ascii="Arial" w:hAnsi="Arial" w:cs="Arial"/>
          <w:sz w:val="19"/>
          <w:szCs w:val="19"/>
        </w:rPr>
        <w:footnoteRef/>
      </w:r>
      <w:r w:rsidRPr="0014426D">
        <w:rPr>
          <w:rFonts w:ascii="Arial" w:hAnsi="Arial" w:cs="Arial"/>
          <w:sz w:val="19"/>
          <w:szCs w:val="19"/>
        </w:rPr>
        <w:t xml:space="preserve"> Dicho artículo indica que «</w:t>
      </w:r>
      <w:r w:rsidRPr="0014426D">
        <w:rPr>
          <w:rFonts w:ascii="Arial" w:hAnsi="Arial" w:cs="Arial"/>
          <w:color w:val="000000"/>
          <w:sz w:val="19"/>
          <w:szCs w:val="19"/>
        </w:rPr>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w:t>
      </w:r>
      <w:r w:rsidRPr="0024769F">
        <w:rPr>
          <w:rFonts w:ascii="Arial" w:hAnsi="Arial" w:cs="Arial"/>
          <w:color w:val="000000"/>
          <w:sz w:val="19"/>
          <w:szCs w:val="19"/>
        </w:rPr>
        <w:t>mpresa». </w:t>
      </w:r>
      <w:r w:rsidRPr="0024769F">
        <w:rPr>
          <w:rFonts w:ascii="Arial" w:hAnsi="Arial" w:cs="Arial"/>
          <w:sz w:val="19"/>
          <w:szCs w:val="19"/>
        </w:rPr>
        <w:t xml:space="preserve"> </w:t>
      </w:r>
    </w:p>
  </w:footnote>
  <w:footnote w:id="9">
    <w:p w14:paraId="36E3B79D" w14:textId="77777777" w:rsidR="00D8729A" w:rsidRPr="0024769F" w:rsidRDefault="00D8729A" w:rsidP="00D8729A">
      <w:pPr>
        <w:spacing w:after="0" w:line="240" w:lineRule="auto"/>
        <w:ind w:firstLine="708"/>
        <w:rPr>
          <w:rFonts w:ascii="Arial" w:hAnsi="Arial" w:cs="Arial"/>
          <w:sz w:val="19"/>
          <w:szCs w:val="19"/>
        </w:rPr>
      </w:pPr>
      <w:r w:rsidRPr="0024769F">
        <w:rPr>
          <w:rStyle w:val="Refdenotaalpie"/>
          <w:rFonts w:ascii="Arial" w:hAnsi="Arial" w:cs="Arial"/>
          <w:sz w:val="19"/>
          <w:szCs w:val="19"/>
        </w:rPr>
        <w:footnoteRef/>
      </w:r>
      <w:r w:rsidRPr="0024769F">
        <w:rPr>
          <w:rFonts w:ascii="Arial" w:hAnsi="Arial" w:cs="Arial"/>
          <w:sz w:val="19"/>
          <w:szCs w:val="19"/>
        </w:rPr>
        <w:t xml:space="preserve"> SUPERINTENDENCIA DE SOCIEDADES. Oficio 220-065565 del 22 de agosto de 2012. </w:t>
      </w:r>
    </w:p>
    <w:p w14:paraId="5907C818" w14:textId="77777777" w:rsidR="00D8729A" w:rsidRPr="0024769F" w:rsidRDefault="00D8729A" w:rsidP="00D8729A">
      <w:pPr>
        <w:spacing w:after="0" w:line="240" w:lineRule="auto"/>
        <w:ind w:firstLine="708"/>
        <w:rPr>
          <w:rFonts w:ascii="Arial" w:hAnsi="Arial" w:cs="Arial"/>
          <w:sz w:val="19"/>
          <w:szCs w:val="19"/>
          <w:lang w:val="es-ES"/>
        </w:rPr>
      </w:pPr>
    </w:p>
  </w:footnote>
  <w:footnote w:id="10">
    <w:p w14:paraId="1A941431" w14:textId="77777777" w:rsidR="00D8729A" w:rsidRPr="0024769F" w:rsidRDefault="00D8729A" w:rsidP="00D8729A">
      <w:pPr>
        <w:pStyle w:val="Textonotapie"/>
        <w:ind w:firstLine="708"/>
        <w:rPr>
          <w:rFonts w:ascii="Arial" w:hAnsi="Arial" w:cs="Arial"/>
          <w:sz w:val="19"/>
          <w:szCs w:val="19"/>
          <w:lang w:val="es-ES"/>
        </w:rPr>
      </w:pPr>
      <w:r w:rsidRPr="0024769F">
        <w:rPr>
          <w:rStyle w:val="Refdenotaalpie"/>
          <w:rFonts w:ascii="Arial" w:hAnsi="Arial" w:cs="Arial"/>
          <w:sz w:val="19"/>
          <w:szCs w:val="19"/>
        </w:rPr>
        <w:footnoteRef/>
      </w:r>
      <w:r w:rsidRPr="0024769F">
        <w:rPr>
          <w:rFonts w:ascii="Arial" w:hAnsi="Arial" w:cs="Arial"/>
          <w:sz w:val="19"/>
          <w:szCs w:val="19"/>
        </w:rPr>
        <w:t xml:space="preserve"> </w:t>
      </w:r>
      <w:bookmarkStart w:id="2" w:name="76"/>
      <w:r w:rsidRPr="0024769F">
        <w:rPr>
          <w:rFonts w:ascii="Arial" w:hAnsi="Arial" w:cs="Arial"/>
          <w:bCs/>
          <w:sz w:val="19"/>
          <w:szCs w:val="19"/>
        </w:rPr>
        <w:t>Artículo 76. Domicilio.</w:t>
      </w:r>
      <w:bookmarkEnd w:id="2"/>
      <w:r w:rsidRPr="0024769F">
        <w:rPr>
          <w:rFonts w:ascii="Arial" w:hAnsi="Arial" w:cs="Arial"/>
          <w:sz w:val="19"/>
          <w:szCs w:val="19"/>
        </w:rPr>
        <w:t> El domicilio consiste en la residencia acompañada, real o presuntivamente del ánimo de permanecer en ella.</w:t>
      </w:r>
    </w:p>
  </w:footnote>
  <w:footnote w:id="11">
    <w:p w14:paraId="3DD75C9D" w14:textId="77777777" w:rsidR="00D8729A" w:rsidRPr="0024769F" w:rsidRDefault="00D8729A" w:rsidP="009927D7">
      <w:pPr>
        <w:pStyle w:val="Textonotapie"/>
        <w:ind w:firstLine="708"/>
        <w:jc w:val="both"/>
        <w:rPr>
          <w:rFonts w:ascii="Arial" w:hAnsi="Arial" w:cs="Arial"/>
          <w:sz w:val="19"/>
          <w:szCs w:val="19"/>
        </w:rPr>
      </w:pPr>
      <w:r w:rsidRPr="0024769F">
        <w:rPr>
          <w:rStyle w:val="Refdenotaalpie"/>
          <w:rFonts w:ascii="Arial" w:hAnsi="Arial" w:cs="Arial"/>
          <w:sz w:val="19"/>
          <w:szCs w:val="19"/>
        </w:rPr>
        <w:footnoteRef/>
      </w:r>
      <w:r w:rsidRPr="0024769F">
        <w:rPr>
          <w:rFonts w:ascii="Arial" w:hAnsi="Arial" w:cs="Arial"/>
          <w:sz w:val="19"/>
          <w:szCs w:val="19"/>
        </w:rPr>
        <w:t xml:space="preserve"> ARTÍCULO 2.2.1.2.4.2.2. Convocatorias limitadas a Mípyme.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0A08D173" w14:textId="77777777" w:rsidR="00D8729A" w:rsidRPr="0024769F" w:rsidRDefault="00D8729A" w:rsidP="009927D7">
      <w:pPr>
        <w:pStyle w:val="Textonotapie"/>
        <w:ind w:firstLine="708"/>
        <w:jc w:val="both"/>
        <w:rPr>
          <w:rFonts w:ascii="Arial" w:hAnsi="Arial" w:cs="Arial"/>
          <w:sz w:val="19"/>
          <w:szCs w:val="19"/>
        </w:rPr>
      </w:pPr>
      <w:r w:rsidRPr="0024769F">
        <w:rPr>
          <w:rFonts w:ascii="Arial" w:hAnsi="Arial" w:cs="Arial"/>
          <w:sz w:val="19"/>
          <w:szCs w:val="19"/>
        </w:rPr>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0F57D729" w14:textId="77777777" w:rsidR="00D8729A" w:rsidRPr="0024769F" w:rsidRDefault="00D8729A" w:rsidP="009927D7">
      <w:pPr>
        <w:pStyle w:val="Textonotapie"/>
        <w:ind w:firstLine="708"/>
        <w:jc w:val="both"/>
        <w:rPr>
          <w:rFonts w:ascii="Arial" w:hAnsi="Arial" w:cs="Arial"/>
          <w:sz w:val="19"/>
          <w:szCs w:val="19"/>
        </w:rPr>
      </w:pPr>
      <w:r w:rsidRPr="0024769F">
        <w:rPr>
          <w:rFonts w:ascii="Arial" w:hAnsi="Arial" w:cs="Arial"/>
          <w:sz w:val="19"/>
          <w:szCs w:val="19"/>
        </w:rPr>
        <w:t xml:space="preserve">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w:t>
      </w:r>
    </w:p>
    <w:p w14:paraId="37E60415" w14:textId="77777777" w:rsidR="00D8729A" w:rsidRPr="0024769F" w:rsidRDefault="00D8729A" w:rsidP="00D8729A">
      <w:pPr>
        <w:pStyle w:val="Textonotapie"/>
        <w:ind w:firstLine="708"/>
        <w:rPr>
          <w:rFonts w:ascii="Arial" w:hAnsi="Arial" w:cs="Arial"/>
          <w:sz w:val="19"/>
          <w:szCs w:val="19"/>
        </w:rPr>
      </w:pPr>
      <w:r w:rsidRPr="0024769F">
        <w:rPr>
          <w:rFonts w:ascii="Arial" w:hAnsi="Arial" w:cs="Arial"/>
          <w:sz w:val="19"/>
          <w:szCs w:val="19"/>
        </w:rPr>
        <w:t xml:space="preserve">Tratándose de personas jurídicas, las solicitudes solo las podrán realizar Mipyme, cuyo objeto social les permita ejecutar el contrato relacionado con el proceso contractual. </w:t>
      </w:r>
    </w:p>
    <w:p w14:paraId="0E375859" w14:textId="77777777" w:rsidR="00D8729A" w:rsidRPr="0024769F" w:rsidRDefault="00D8729A" w:rsidP="00D8729A">
      <w:pPr>
        <w:pStyle w:val="Textonotapie"/>
        <w:ind w:firstLine="708"/>
        <w:rPr>
          <w:rFonts w:ascii="Arial" w:hAnsi="Arial" w:cs="Arial"/>
          <w:sz w:val="19"/>
          <w:szCs w:val="19"/>
        </w:rPr>
      </w:pPr>
      <w:r w:rsidRPr="0024769F">
        <w:rPr>
          <w:rFonts w:ascii="Arial" w:hAnsi="Arial" w:cs="Arial"/>
          <w:sz w:val="19"/>
          <w:szCs w:val="19"/>
        </w:rPr>
        <w:t>PARÁGRAFO. Las cooperativas y demás entidades de economía solidaria, siempre que tengan la calidad de Mípyme, podrán solicitar y participar en las convocatorias limitadas en las mismas condiciones dispuestas en el presente artículo.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02F75" w14:textId="77777777" w:rsidR="000E0524" w:rsidRDefault="00000000">
    <w:pPr>
      <w:pStyle w:val="Encabezado"/>
    </w:pPr>
  </w:p>
  <w:p w14:paraId="33B94E75" w14:textId="2E41ACCD" w:rsidR="000E0524" w:rsidRDefault="00CD5A2C">
    <w:pPr>
      <w:pStyle w:val="Encabezado"/>
    </w:pPr>
    <w:r>
      <w:rPr>
        <w:noProof/>
        <w:lang w:eastAsia="es-CO"/>
      </w:rPr>
      <w:drawing>
        <wp:anchor distT="0" distB="0" distL="114300" distR="114300" simplePos="0" relativeHeight="251659264" behindDoc="0" locked="0" layoutInCell="1" allowOverlap="1" wp14:anchorId="75C3102A" wp14:editId="05074177">
          <wp:simplePos x="0" y="0"/>
          <wp:positionH relativeFrom="margin">
            <wp:align>right</wp:align>
          </wp:positionH>
          <wp:positionV relativeFrom="paragraph">
            <wp:posOffset>74930</wp:posOffset>
          </wp:positionV>
          <wp:extent cx="1420507" cy="589741"/>
          <wp:effectExtent l="0" t="0" r="8255" b="1270"/>
          <wp:wrapNone/>
          <wp:docPr id="1" name="Imagen 1"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420507" cy="589741"/>
                  </a:xfrm>
                  <a:prstGeom prst="rect">
                    <a:avLst/>
                  </a:prstGeom>
                </pic:spPr>
              </pic:pic>
            </a:graphicData>
          </a:graphic>
          <wp14:sizeRelH relativeFrom="page">
            <wp14:pctWidth>0</wp14:pctWidth>
          </wp14:sizeRelH>
          <wp14:sizeRelV relativeFrom="page">
            <wp14:pctHeight>0</wp14:pctHeight>
          </wp14:sizeRelV>
        </wp:anchor>
      </w:drawing>
    </w:r>
  </w:p>
  <w:p w14:paraId="6703A5C2" w14:textId="4177DC0D" w:rsidR="000E0524" w:rsidRDefault="00000000">
    <w:pPr>
      <w:pStyle w:val="Encabezado"/>
    </w:pPr>
  </w:p>
  <w:p w14:paraId="11FAF9B7" w14:textId="77777777" w:rsidR="000E0524" w:rsidRDefault="00000000">
    <w:pPr>
      <w:pStyle w:val="Encabezado"/>
    </w:pPr>
  </w:p>
  <w:p w14:paraId="644AAD15" w14:textId="77777777" w:rsidR="000E0524" w:rsidRDefault="00000000">
    <w:pPr>
      <w:pStyle w:val="Encabezado"/>
    </w:pPr>
  </w:p>
  <w:p w14:paraId="1FDEE309" w14:textId="77777777" w:rsidR="000E0524" w:rsidRDefault="000000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121692"/>
    <w:multiLevelType w:val="hybridMultilevel"/>
    <w:tmpl w:val="16342C5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F9E775D"/>
    <w:multiLevelType w:val="hybridMultilevel"/>
    <w:tmpl w:val="D2F0EC34"/>
    <w:lvl w:ilvl="0" w:tplc="C9F07DA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EB32CB1"/>
    <w:multiLevelType w:val="hybridMultilevel"/>
    <w:tmpl w:val="95F457BE"/>
    <w:lvl w:ilvl="0" w:tplc="8ACC26C0">
      <w:start w:val="1"/>
      <w:numFmt w:val="decimal"/>
      <w:lvlText w:val="%1."/>
      <w:lvlJc w:val="left"/>
      <w:pPr>
        <w:ind w:left="343" w:hanging="243"/>
        <w:jc w:val="left"/>
      </w:pPr>
      <w:rPr>
        <w:rFonts w:ascii="Arial" w:eastAsia="Arial" w:hAnsi="Arial" w:cs="Arial" w:hint="default"/>
        <w:b/>
        <w:bCs/>
        <w:spacing w:val="-1"/>
        <w:w w:val="100"/>
        <w:sz w:val="22"/>
        <w:szCs w:val="22"/>
        <w:lang w:val="es-ES" w:eastAsia="en-US" w:bidi="ar-SA"/>
      </w:rPr>
    </w:lvl>
    <w:lvl w:ilvl="1" w:tplc="F6DCE160">
      <w:start w:val="1"/>
      <w:numFmt w:val="decimal"/>
      <w:lvlText w:val="%2."/>
      <w:lvlJc w:val="left"/>
      <w:pPr>
        <w:ind w:left="808" w:hanging="430"/>
        <w:jc w:val="left"/>
      </w:pPr>
      <w:rPr>
        <w:rFonts w:ascii="Arial" w:eastAsia="Arial" w:hAnsi="Arial" w:cs="Arial" w:hint="default"/>
        <w:color w:val="333333"/>
        <w:spacing w:val="-13"/>
        <w:w w:val="100"/>
        <w:sz w:val="22"/>
        <w:szCs w:val="22"/>
        <w:lang w:val="es-ES" w:eastAsia="en-US" w:bidi="ar-SA"/>
      </w:rPr>
    </w:lvl>
    <w:lvl w:ilvl="2" w:tplc="AB08E422">
      <w:numFmt w:val="bullet"/>
      <w:lvlText w:val="•"/>
      <w:lvlJc w:val="left"/>
      <w:pPr>
        <w:ind w:left="1726" w:hanging="430"/>
      </w:pPr>
      <w:rPr>
        <w:rFonts w:hint="default"/>
        <w:lang w:val="es-ES" w:eastAsia="en-US" w:bidi="ar-SA"/>
      </w:rPr>
    </w:lvl>
    <w:lvl w:ilvl="3" w:tplc="791EE1BA">
      <w:numFmt w:val="bullet"/>
      <w:lvlText w:val="•"/>
      <w:lvlJc w:val="left"/>
      <w:pPr>
        <w:ind w:left="2653" w:hanging="430"/>
      </w:pPr>
      <w:rPr>
        <w:rFonts w:hint="default"/>
        <w:lang w:val="es-ES" w:eastAsia="en-US" w:bidi="ar-SA"/>
      </w:rPr>
    </w:lvl>
    <w:lvl w:ilvl="4" w:tplc="472E3006">
      <w:numFmt w:val="bullet"/>
      <w:lvlText w:val="•"/>
      <w:lvlJc w:val="left"/>
      <w:pPr>
        <w:ind w:left="3580" w:hanging="430"/>
      </w:pPr>
      <w:rPr>
        <w:rFonts w:hint="default"/>
        <w:lang w:val="es-ES" w:eastAsia="en-US" w:bidi="ar-SA"/>
      </w:rPr>
    </w:lvl>
    <w:lvl w:ilvl="5" w:tplc="A35C78D0">
      <w:numFmt w:val="bullet"/>
      <w:lvlText w:val="•"/>
      <w:lvlJc w:val="left"/>
      <w:pPr>
        <w:ind w:left="4506" w:hanging="430"/>
      </w:pPr>
      <w:rPr>
        <w:rFonts w:hint="default"/>
        <w:lang w:val="es-ES" w:eastAsia="en-US" w:bidi="ar-SA"/>
      </w:rPr>
    </w:lvl>
    <w:lvl w:ilvl="6" w:tplc="5260C678">
      <w:numFmt w:val="bullet"/>
      <w:lvlText w:val="•"/>
      <w:lvlJc w:val="left"/>
      <w:pPr>
        <w:ind w:left="5433" w:hanging="430"/>
      </w:pPr>
      <w:rPr>
        <w:rFonts w:hint="default"/>
        <w:lang w:val="es-ES" w:eastAsia="en-US" w:bidi="ar-SA"/>
      </w:rPr>
    </w:lvl>
    <w:lvl w:ilvl="7" w:tplc="7200D6A4">
      <w:numFmt w:val="bullet"/>
      <w:lvlText w:val="•"/>
      <w:lvlJc w:val="left"/>
      <w:pPr>
        <w:ind w:left="6360" w:hanging="430"/>
      </w:pPr>
      <w:rPr>
        <w:rFonts w:hint="default"/>
        <w:lang w:val="es-ES" w:eastAsia="en-US" w:bidi="ar-SA"/>
      </w:rPr>
    </w:lvl>
    <w:lvl w:ilvl="8" w:tplc="DFEACCE0">
      <w:numFmt w:val="bullet"/>
      <w:lvlText w:val="•"/>
      <w:lvlJc w:val="left"/>
      <w:pPr>
        <w:ind w:left="7286" w:hanging="430"/>
      </w:pPr>
      <w:rPr>
        <w:rFonts w:hint="default"/>
        <w:lang w:val="es-ES" w:eastAsia="en-US" w:bidi="ar-SA"/>
      </w:rPr>
    </w:lvl>
  </w:abstractNum>
  <w:abstractNum w:abstractNumId="4"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300"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5" w15:restartNumberingAfterBreak="0">
    <w:nsid w:val="405413EB"/>
    <w:multiLevelType w:val="hybridMultilevel"/>
    <w:tmpl w:val="58A4F990"/>
    <w:lvl w:ilvl="0" w:tplc="C3CAD0BC">
      <w:start w:val="1"/>
      <w:numFmt w:val="lowerRoman"/>
      <w:lvlText w:val="%1)"/>
      <w:lvlJc w:val="left"/>
      <w:pPr>
        <w:ind w:left="1430" w:hanging="720"/>
      </w:pPr>
    </w:lvl>
    <w:lvl w:ilvl="1" w:tplc="240A0019">
      <w:start w:val="1"/>
      <w:numFmt w:val="lowerLetter"/>
      <w:lvlText w:val="%2."/>
      <w:lvlJc w:val="left"/>
      <w:pPr>
        <w:ind w:left="1790" w:hanging="360"/>
      </w:pPr>
    </w:lvl>
    <w:lvl w:ilvl="2" w:tplc="240A001B">
      <w:start w:val="1"/>
      <w:numFmt w:val="lowerRoman"/>
      <w:lvlText w:val="%3."/>
      <w:lvlJc w:val="right"/>
      <w:pPr>
        <w:ind w:left="2510" w:hanging="180"/>
      </w:pPr>
    </w:lvl>
    <w:lvl w:ilvl="3" w:tplc="240A000F">
      <w:start w:val="1"/>
      <w:numFmt w:val="decimal"/>
      <w:lvlText w:val="%4."/>
      <w:lvlJc w:val="left"/>
      <w:pPr>
        <w:ind w:left="3230" w:hanging="360"/>
      </w:pPr>
    </w:lvl>
    <w:lvl w:ilvl="4" w:tplc="240A0019">
      <w:start w:val="1"/>
      <w:numFmt w:val="lowerLetter"/>
      <w:lvlText w:val="%5."/>
      <w:lvlJc w:val="left"/>
      <w:pPr>
        <w:ind w:left="3950" w:hanging="360"/>
      </w:pPr>
    </w:lvl>
    <w:lvl w:ilvl="5" w:tplc="240A001B">
      <w:start w:val="1"/>
      <w:numFmt w:val="lowerRoman"/>
      <w:lvlText w:val="%6."/>
      <w:lvlJc w:val="right"/>
      <w:pPr>
        <w:ind w:left="4670" w:hanging="180"/>
      </w:pPr>
    </w:lvl>
    <w:lvl w:ilvl="6" w:tplc="240A000F">
      <w:start w:val="1"/>
      <w:numFmt w:val="decimal"/>
      <w:lvlText w:val="%7."/>
      <w:lvlJc w:val="left"/>
      <w:pPr>
        <w:ind w:left="5390" w:hanging="360"/>
      </w:pPr>
    </w:lvl>
    <w:lvl w:ilvl="7" w:tplc="240A0019">
      <w:start w:val="1"/>
      <w:numFmt w:val="lowerLetter"/>
      <w:lvlText w:val="%8."/>
      <w:lvlJc w:val="left"/>
      <w:pPr>
        <w:ind w:left="6110" w:hanging="360"/>
      </w:pPr>
    </w:lvl>
    <w:lvl w:ilvl="8" w:tplc="240A001B">
      <w:start w:val="1"/>
      <w:numFmt w:val="lowerRoman"/>
      <w:lvlText w:val="%9."/>
      <w:lvlJc w:val="right"/>
      <w:pPr>
        <w:ind w:left="6830" w:hanging="180"/>
      </w:pPr>
    </w:lvl>
  </w:abstractNum>
  <w:abstractNum w:abstractNumId="6" w15:restartNumberingAfterBreak="0">
    <w:nsid w:val="456F63B6"/>
    <w:multiLevelType w:val="hybridMultilevel"/>
    <w:tmpl w:val="08C250DA"/>
    <w:lvl w:ilvl="0" w:tplc="0C0A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04314855">
    <w:abstractNumId w:val="4"/>
  </w:num>
  <w:num w:numId="2" w16cid:durableId="143971178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359627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4894247">
    <w:abstractNumId w:val="1"/>
  </w:num>
  <w:num w:numId="5" w16cid:durableId="978918875">
    <w:abstractNumId w:val="2"/>
  </w:num>
  <w:num w:numId="6" w16cid:durableId="1382055479">
    <w:abstractNumId w:val="6"/>
  </w:num>
  <w:num w:numId="7" w16cid:durableId="42339846">
    <w:abstractNumId w:val="5"/>
  </w:num>
  <w:num w:numId="8" w16cid:durableId="9673178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E23"/>
    <w:rsid w:val="000025DE"/>
    <w:rsid w:val="00023EC8"/>
    <w:rsid w:val="000305D7"/>
    <w:rsid w:val="000337DE"/>
    <w:rsid w:val="00035B29"/>
    <w:rsid w:val="000360FA"/>
    <w:rsid w:val="000446AF"/>
    <w:rsid w:val="000467FB"/>
    <w:rsid w:val="0005303F"/>
    <w:rsid w:val="0006071F"/>
    <w:rsid w:val="00062600"/>
    <w:rsid w:val="00064152"/>
    <w:rsid w:val="00080181"/>
    <w:rsid w:val="000948A6"/>
    <w:rsid w:val="000A1E6B"/>
    <w:rsid w:val="000B175F"/>
    <w:rsid w:val="000B17A0"/>
    <w:rsid w:val="000C7F7B"/>
    <w:rsid w:val="000D2C22"/>
    <w:rsid w:val="000D37CE"/>
    <w:rsid w:val="000D70D8"/>
    <w:rsid w:val="000E0118"/>
    <w:rsid w:val="000E2147"/>
    <w:rsid w:val="000E694B"/>
    <w:rsid w:val="000F3464"/>
    <w:rsid w:val="000F494E"/>
    <w:rsid w:val="000F4974"/>
    <w:rsid w:val="00105A22"/>
    <w:rsid w:val="00105C88"/>
    <w:rsid w:val="00106E68"/>
    <w:rsid w:val="00110BEB"/>
    <w:rsid w:val="00112AE8"/>
    <w:rsid w:val="00113845"/>
    <w:rsid w:val="001138C2"/>
    <w:rsid w:val="001160D2"/>
    <w:rsid w:val="00125568"/>
    <w:rsid w:val="0012669F"/>
    <w:rsid w:val="001274E9"/>
    <w:rsid w:val="00133E84"/>
    <w:rsid w:val="00135FBD"/>
    <w:rsid w:val="00137E23"/>
    <w:rsid w:val="00140435"/>
    <w:rsid w:val="00141896"/>
    <w:rsid w:val="00143096"/>
    <w:rsid w:val="00143E3B"/>
    <w:rsid w:val="00146ED0"/>
    <w:rsid w:val="00160946"/>
    <w:rsid w:val="00161488"/>
    <w:rsid w:val="00163D53"/>
    <w:rsid w:val="001676FE"/>
    <w:rsid w:val="00167EF9"/>
    <w:rsid w:val="001738E7"/>
    <w:rsid w:val="00173C8D"/>
    <w:rsid w:val="00180F7C"/>
    <w:rsid w:val="001843A9"/>
    <w:rsid w:val="0019381B"/>
    <w:rsid w:val="001B3684"/>
    <w:rsid w:val="001B3693"/>
    <w:rsid w:val="001B5553"/>
    <w:rsid w:val="001B74D2"/>
    <w:rsid w:val="001D387D"/>
    <w:rsid w:val="001D3CAB"/>
    <w:rsid w:val="001E24B3"/>
    <w:rsid w:val="001F057D"/>
    <w:rsid w:val="001F0E8C"/>
    <w:rsid w:val="00205D82"/>
    <w:rsid w:val="002213DA"/>
    <w:rsid w:val="002223F1"/>
    <w:rsid w:val="002249F9"/>
    <w:rsid w:val="00233261"/>
    <w:rsid w:val="00244370"/>
    <w:rsid w:val="00245150"/>
    <w:rsid w:val="002500ED"/>
    <w:rsid w:val="00265F9F"/>
    <w:rsid w:val="00270570"/>
    <w:rsid w:val="00270E5E"/>
    <w:rsid w:val="002945BB"/>
    <w:rsid w:val="00296BF5"/>
    <w:rsid w:val="0029739D"/>
    <w:rsid w:val="002A4E3C"/>
    <w:rsid w:val="002A5E9A"/>
    <w:rsid w:val="002B19FB"/>
    <w:rsid w:val="002B5060"/>
    <w:rsid w:val="002D4402"/>
    <w:rsid w:val="002D45F2"/>
    <w:rsid w:val="002D5F36"/>
    <w:rsid w:val="002D72D7"/>
    <w:rsid w:val="002E143C"/>
    <w:rsid w:val="002E2585"/>
    <w:rsid w:val="002E4537"/>
    <w:rsid w:val="002E7A7F"/>
    <w:rsid w:val="00305F12"/>
    <w:rsid w:val="003120AF"/>
    <w:rsid w:val="00313E5A"/>
    <w:rsid w:val="00315A35"/>
    <w:rsid w:val="003255AD"/>
    <w:rsid w:val="00327A12"/>
    <w:rsid w:val="003303C6"/>
    <w:rsid w:val="003312CF"/>
    <w:rsid w:val="00332A1E"/>
    <w:rsid w:val="00342268"/>
    <w:rsid w:val="00342A1C"/>
    <w:rsid w:val="0035022D"/>
    <w:rsid w:val="00355BD2"/>
    <w:rsid w:val="003602F7"/>
    <w:rsid w:val="0036148B"/>
    <w:rsid w:val="00361ADC"/>
    <w:rsid w:val="00363469"/>
    <w:rsid w:val="003653BB"/>
    <w:rsid w:val="0037145A"/>
    <w:rsid w:val="003753EA"/>
    <w:rsid w:val="0038155E"/>
    <w:rsid w:val="003816CD"/>
    <w:rsid w:val="00383906"/>
    <w:rsid w:val="0038763D"/>
    <w:rsid w:val="003906EA"/>
    <w:rsid w:val="003916E5"/>
    <w:rsid w:val="0039522B"/>
    <w:rsid w:val="0039589F"/>
    <w:rsid w:val="003A1172"/>
    <w:rsid w:val="003A1C61"/>
    <w:rsid w:val="003A51B8"/>
    <w:rsid w:val="003A7142"/>
    <w:rsid w:val="003A7A79"/>
    <w:rsid w:val="003B177A"/>
    <w:rsid w:val="003C1D98"/>
    <w:rsid w:val="003C4AA9"/>
    <w:rsid w:val="003C51B4"/>
    <w:rsid w:val="003D144A"/>
    <w:rsid w:val="003E61D9"/>
    <w:rsid w:val="00400976"/>
    <w:rsid w:val="00402AE8"/>
    <w:rsid w:val="00404F16"/>
    <w:rsid w:val="004052CC"/>
    <w:rsid w:val="00412F26"/>
    <w:rsid w:val="004141A3"/>
    <w:rsid w:val="00415314"/>
    <w:rsid w:val="00423644"/>
    <w:rsid w:val="00431DE3"/>
    <w:rsid w:val="004460CB"/>
    <w:rsid w:val="00446B96"/>
    <w:rsid w:val="004612C3"/>
    <w:rsid w:val="004634E5"/>
    <w:rsid w:val="00466A8F"/>
    <w:rsid w:val="0046733C"/>
    <w:rsid w:val="0048163B"/>
    <w:rsid w:val="00483B8B"/>
    <w:rsid w:val="00484D66"/>
    <w:rsid w:val="00485BD5"/>
    <w:rsid w:val="004875A5"/>
    <w:rsid w:val="00491536"/>
    <w:rsid w:val="004A43FE"/>
    <w:rsid w:val="004B1095"/>
    <w:rsid w:val="004C4206"/>
    <w:rsid w:val="004C4E18"/>
    <w:rsid w:val="004C704C"/>
    <w:rsid w:val="004C7B7A"/>
    <w:rsid w:val="004E6606"/>
    <w:rsid w:val="004F1523"/>
    <w:rsid w:val="004F5DD8"/>
    <w:rsid w:val="00510BFB"/>
    <w:rsid w:val="00513144"/>
    <w:rsid w:val="00513D68"/>
    <w:rsid w:val="00514F32"/>
    <w:rsid w:val="005209DB"/>
    <w:rsid w:val="00521A09"/>
    <w:rsid w:val="00531EBD"/>
    <w:rsid w:val="00531FBC"/>
    <w:rsid w:val="00536B7C"/>
    <w:rsid w:val="005553B1"/>
    <w:rsid w:val="00562792"/>
    <w:rsid w:val="00564B0A"/>
    <w:rsid w:val="00565556"/>
    <w:rsid w:val="00582ED3"/>
    <w:rsid w:val="00585CB4"/>
    <w:rsid w:val="005A3F16"/>
    <w:rsid w:val="005B09C7"/>
    <w:rsid w:val="005B3920"/>
    <w:rsid w:val="005B55E5"/>
    <w:rsid w:val="005C597A"/>
    <w:rsid w:val="005D4C4F"/>
    <w:rsid w:val="005D6A81"/>
    <w:rsid w:val="005E5EC6"/>
    <w:rsid w:val="005F6209"/>
    <w:rsid w:val="005F79D5"/>
    <w:rsid w:val="006012E0"/>
    <w:rsid w:val="00601365"/>
    <w:rsid w:val="00612C30"/>
    <w:rsid w:val="00615D78"/>
    <w:rsid w:val="00620A5D"/>
    <w:rsid w:val="006230E1"/>
    <w:rsid w:val="006233A9"/>
    <w:rsid w:val="00623ADD"/>
    <w:rsid w:val="006243B0"/>
    <w:rsid w:val="00630ACE"/>
    <w:rsid w:val="00636523"/>
    <w:rsid w:val="006408BD"/>
    <w:rsid w:val="00656F71"/>
    <w:rsid w:val="00661CDD"/>
    <w:rsid w:val="00662DF1"/>
    <w:rsid w:val="00663718"/>
    <w:rsid w:val="0066416F"/>
    <w:rsid w:val="00680F7A"/>
    <w:rsid w:val="00681ECF"/>
    <w:rsid w:val="0068243B"/>
    <w:rsid w:val="006A25E1"/>
    <w:rsid w:val="006B56F9"/>
    <w:rsid w:val="006D066D"/>
    <w:rsid w:val="006D0D0F"/>
    <w:rsid w:val="006D21AA"/>
    <w:rsid w:val="006D3523"/>
    <w:rsid w:val="006D3709"/>
    <w:rsid w:val="006D569D"/>
    <w:rsid w:val="006D7717"/>
    <w:rsid w:val="006F417B"/>
    <w:rsid w:val="00700298"/>
    <w:rsid w:val="00705FC8"/>
    <w:rsid w:val="007139A5"/>
    <w:rsid w:val="00715A2E"/>
    <w:rsid w:val="0071735C"/>
    <w:rsid w:val="007252E2"/>
    <w:rsid w:val="00733A0B"/>
    <w:rsid w:val="0073635D"/>
    <w:rsid w:val="00741F1E"/>
    <w:rsid w:val="00742C24"/>
    <w:rsid w:val="00753BE7"/>
    <w:rsid w:val="007657DC"/>
    <w:rsid w:val="00772E6E"/>
    <w:rsid w:val="007768CE"/>
    <w:rsid w:val="00776BBD"/>
    <w:rsid w:val="007774C6"/>
    <w:rsid w:val="00777F97"/>
    <w:rsid w:val="00792318"/>
    <w:rsid w:val="00792CE5"/>
    <w:rsid w:val="00795527"/>
    <w:rsid w:val="00796ECE"/>
    <w:rsid w:val="007979A2"/>
    <w:rsid w:val="007A01C3"/>
    <w:rsid w:val="007B08AC"/>
    <w:rsid w:val="007B7C8D"/>
    <w:rsid w:val="007C00FA"/>
    <w:rsid w:val="007C3193"/>
    <w:rsid w:val="007D1469"/>
    <w:rsid w:val="007D1E2B"/>
    <w:rsid w:val="007E085E"/>
    <w:rsid w:val="007E14A3"/>
    <w:rsid w:val="007E4369"/>
    <w:rsid w:val="007E56D6"/>
    <w:rsid w:val="007F0BE1"/>
    <w:rsid w:val="007F742D"/>
    <w:rsid w:val="00804485"/>
    <w:rsid w:val="00805E08"/>
    <w:rsid w:val="0080741E"/>
    <w:rsid w:val="00814DCC"/>
    <w:rsid w:val="0082522E"/>
    <w:rsid w:val="00830AB8"/>
    <w:rsid w:val="00834ECB"/>
    <w:rsid w:val="00836DE6"/>
    <w:rsid w:val="00852371"/>
    <w:rsid w:val="00853AC7"/>
    <w:rsid w:val="00872709"/>
    <w:rsid w:val="008766CF"/>
    <w:rsid w:val="00876B50"/>
    <w:rsid w:val="00881F9F"/>
    <w:rsid w:val="008837BD"/>
    <w:rsid w:val="008860E5"/>
    <w:rsid w:val="00892F74"/>
    <w:rsid w:val="008937D4"/>
    <w:rsid w:val="00894F51"/>
    <w:rsid w:val="00895ECE"/>
    <w:rsid w:val="008A05B7"/>
    <w:rsid w:val="008A3E73"/>
    <w:rsid w:val="008A40A9"/>
    <w:rsid w:val="008A6B58"/>
    <w:rsid w:val="008B1801"/>
    <w:rsid w:val="008B1F27"/>
    <w:rsid w:val="008B3F0D"/>
    <w:rsid w:val="008B69D4"/>
    <w:rsid w:val="008C0015"/>
    <w:rsid w:val="008C0F06"/>
    <w:rsid w:val="008C23F3"/>
    <w:rsid w:val="008C522E"/>
    <w:rsid w:val="008D648B"/>
    <w:rsid w:val="008E0D51"/>
    <w:rsid w:val="008E1D8F"/>
    <w:rsid w:val="008E3D3C"/>
    <w:rsid w:val="008E4793"/>
    <w:rsid w:val="008F22D0"/>
    <w:rsid w:val="008F2381"/>
    <w:rsid w:val="008F7C0F"/>
    <w:rsid w:val="00900F79"/>
    <w:rsid w:val="00910B0C"/>
    <w:rsid w:val="009123B7"/>
    <w:rsid w:val="0091464A"/>
    <w:rsid w:val="00922868"/>
    <w:rsid w:val="00926EB3"/>
    <w:rsid w:val="009271C4"/>
    <w:rsid w:val="009354C9"/>
    <w:rsid w:val="00936811"/>
    <w:rsid w:val="00936877"/>
    <w:rsid w:val="00945673"/>
    <w:rsid w:val="00947102"/>
    <w:rsid w:val="009523D4"/>
    <w:rsid w:val="00953264"/>
    <w:rsid w:val="00954527"/>
    <w:rsid w:val="00957501"/>
    <w:rsid w:val="00963F50"/>
    <w:rsid w:val="0096530C"/>
    <w:rsid w:val="0096558F"/>
    <w:rsid w:val="00974DA1"/>
    <w:rsid w:val="009800E4"/>
    <w:rsid w:val="009820AE"/>
    <w:rsid w:val="009831D2"/>
    <w:rsid w:val="009927D7"/>
    <w:rsid w:val="00992F7F"/>
    <w:rsid w:val="0099583D"/>
    <w:rsid w:val="009978CE"/>
    <w:rsid w:val="009A1309"/>
    <w:rsid w:val="009A2C90"/>
    <w:rsid w:val="009A7A85"/>
    <w:rsid w:val="009B0CF4"/>
    <w:rsid w:val="009B5D9A"/>
    <w:rsid w:val="009C3E5C"/>
    <w:rsid w:val="009C4B69"/>
    <w:rsid w:val="009D1F65"/>
    <w:rsid w:val="009E2D00"/>
    <w:rsid w:val="009F248A"/>
    <w:rsid w:val="009F4CFF"/>
    <w:rsid w:val="00A00075"/>
    <w:rsid w:val="00A03DF9"/>
    <w:rsid w:val="00A11454"/>
    <w:rsid w:val="00A14C8D"/>
    <w:rsid w:val="00A2414D"/>
    <w:rsid w:val="00A30642"/>
    <w:rsid w:val="00A312D2"/>
    <w:rsid w:val="00A330E4"/>
    <w:rsid w:val="00A377C0"/>
    <w:rsid w:val="00A42059"/>
    <w:rsid w:val="00A46EE2"/>
    <w:rsid w:val="00A5043E"/>
    <w:rsid w:val="00A50C5B"/>
    <w:rsid w:val="00A513D2"/>
    <w:rsid w:val="00A60D25"/>
    <w:rsid w:val="00A63DBC"/>
    <w:rsid w:val="00A70C6C"/>
    <w:rsid w:val="00A74067"/>
    <w:rsid w:val="00A76848"/>
    <w:rsid w:val="00A805AD"/>
    <w:rsid w:val="00A81A2D"/>
    <w:rsid w:val="00A81D15"/>
    <w:rsid w:val="00A85245"/>
    <w:rsid w:val="00A90992"/>
    <w:rsid w:val="00A934FA"/>
    <w:rsid w:val="00AA29DB"/>
    <w:rsid w:val="00AA5A4A"/>
    <w:rsid w:val="00AA7580"/>
    <w:rsid w:val="00AB1B4B"/>
    <w:rsid w:val="00AC141D"/>
    <w:rsid w:val="00AC4C63"/>
    <w:rsid w:val="00AE1C0A"/>
    <w:rsid w:val="00AE5103"/>
    <w:rsid w:val="00AE5FD6"/>
    <w:rsid w:val="00AE7E21"/>
    <w:rsid w:val="00AF356B"/>
    <w:rsid w:val="00AF514E"/>
    <w:rsid w:val="00B054A5"/>
    <w:rsid w:val="00B12226"/>
    <w:rsid w:val="00B22889"/>
    <w:rsid w:val="00B264E1"/>
    <w:rsid w:val="00B350D7"/>
    <w:rsid w:val="00B42724"/>
    <w:rsid w:val="00B46B01"/>
    <w:rsid w:val="00B51C4D"/>
    <w:rsid w:val="00B57B5E"/>
    <w:rsid w:val="00B6004F"/>
    <w:rsid w:val="00B83B50"/>
    <w:rsid w:val="00B87D51"/>
    <w:rsid w:val="00B91DD0"/>
    <w:rsid w:val="00B93232"/>
    <w:rsid w:val="00BA3777"/>
    <w:rsid w:val="00BA44B8"/>
    <w:rsid w:val="00BB430D"/>
    <w:rsid w:val="00BB5EB1"/>
    <w:rsid w:val="00BB7E45"/>
    <w:rsid w:val="00BD7CF5"/>
    <w:rsid w:val="00BE0307"/>
    <w:rsid w:val="00BE0A45"/>
    <w:rsid w:val="00BE697C"/>
    <w:rsid w:val="00BE76F0"/>
    <w:rsid w:val="00C0361C"/>
    <w:rsid w:val="00C04236"/>
    <w:rsid w:val="00C04C53"/>
    <w:rsid w:val="00C06717"/>
    <w:rsid w:val="00C06B8F"/>
    <w:rsid w:val="00C1261C"/>
    <w:rsid w:val="00C220AF"/>
    <w:rsid w:val="00C2569E"/>
    <w:rsid w:val="00C34E0E"/>
    <w:rsid w:val="00C35490"/>
    <w:rsid w:val="00C42D2C"/>
    <w:rsid w:val="00C43F28"/>
    <w:rsid w:val="00C462E8"/>
    <w:rsid w:val="00C55971"/>
    <w:rsid w:val="00C56D96"/>
    <w:rsid w:val="00C77B67"/>
    <w:rsid w:val="00C8019E"/>
    <w:rsid w:val="00CA30F2"/>
    <w:rsid w:val="00CB37C5"/>
    <w:rsid w:val="00CC4B5F"/>
    <w:rsid w:val="00CC59A5"/>
    <w:rsid w:val="00CC679B"/>
    <w:rsid w:val="00CD5A2C"/>
    <w:rsid w:val="00CD7957"/>
    <w:rsid w:val="00CE184B"/>
    <w:rsid w:val="00CE2D0E"/>
    <w:rsid w:val="00CE675F"/>
    <w:rsid w:val="00CF4FBA"/>
    <w:rsid w:val="00CF5444"/>
    <w:rsid w:val="00CF77FF"/>
    <w:rsid w:val="00D0322E"/>
    <w:rsid w:val="00D06B09"/>
    <w:rsid w:val="00D11432"/>
    <w:rsid w:val="00D2300D"/>
    <w:rsid w:val="00D233FB"/>
    <w:rsid w:val="00D31CE4"/>
    <w:rsid w:val="00D330CF"/>
    <w:rsid w:val="00D3454F"/>
    <w:rsid w:val="00D351D8"/>
    <w:rsid w:val="00D41307"/>
    <w:rsid w:val="00D427A7"/>
    <w:rsid w:val="00D47CCE"/>
    <w:rsid w:val="00D52443"/>
    <w:rsid w:val="00D57D87"/>
    <w:rsid w:val="00D62CA4"/>
    <w:rsid w:val="00D6487A"/>
    <w:rsid w:val="00D65A59"/>
    <w:rsid w:val="00D702B8"/>
    <w:rsid w:val="00D74F81"/>
    <w:rsid w:val="00D812EF"/>
    <w:rsid w:val="00D8729A"/>
    <w:rsid w:val="00DA5C08"/>
    <w:rsid w:val="00DA6F89"/>
    <w:rsid w:val="00DB2E70"/>
    <w:rsid w:val="00DB44F8"/>
    <w:rsid w:val="00DC58FD"/>
    <w:rsid w:val="00DD0A23"/>
    <w:rsid w:val="00DE2B56"/>
    <w:rsid w:val="00DE40F7"/>
    <w:rsid w:val="00DE6321"/>
    <w:rsid w:val="00DF0396"/>
    <w:rsid w:val="00DF1B3A"/>
    <w:rsid w:val="00DF2B1E"/>
    <w:rsid w:val="00DF392A"/>
    <w:rsid w:val="00DF55A7"/>
    <w:rsid w:val="00E03DA8"/>
    <w:rsid w:val="00E0436E"/>
    <w:rsid w:val="00E064A1"/>
    <w:rsid w:val="00E079B8"/>
    <w:rsid w:val="00E27E6F"/>
    <w:rsid w:val="00E3734C"/>
    <w:rsid w:val="00E40767"/>
    <w:rsid w:val="00E4094E"/>
    <w:rsid w:val="00E4514D"/>
    <w:rsid w:val="00E520EC"/>
    <w:rsid w:val="00E562D9"/>
    <w:rsid w:val="00E56FF8"/>
    <w:rsid w:val="00E62C8E"/>
    <w:rsid w:val="00E65F3C"/>
    <w:rsid w:val="00E66B0F"/>
    <w:rsid w:val="00E6736E"/>
    <w:rsid w:val="00E7047D"/>
    <w:rsid w:val="00E74F5B"/>
    <w:rsid w:val="00E802DD"/>
    <w:rsid w:val="00E90BCF"/>
    <w:rsid w:val="00E923C0"/>
    <w:rsid w:val="00E94D5C"/>
    <w:rsid w:val="00EA19FB"/>
    <w:rsid w:val="00EA2421"/>
    <w:rsid w:val="00EA3810"/>
    <w:rsid w:val="00EA5464"/>
    <w:rsid w:val="00EB3817"/>
    <w:rsid w:val="00EB4D78"/>
    <w:rsid w:val="00EB68A8"/>
    <w:rsid w:val="00EC388B"/>
    <w:rsid w:val="00EC5890"/>
    <w:rsid w:val="00EC6E53"/>
    <w:rsid w:val="00EC763B"/>
    <w:rsid w:val="00ED7B7E"/>
    <w:rsid w:val="00EE6ED7"/>
    <w:rsid w:val="00EF2364"/>
    <w:rsid w:val="00EF65A0"/>
    <w:rsid w:val="00F0060F"/>
    <w:rsid w:val="00F111F3"/>
    <w:rsid w:val="00F13B14"/>
    <w:rsid w:val="00F22424"/>
    <w:rsid w:val="00F252B8"/>
    <w:rsid w:val="00F2568D"/>
    <w:rsid w:val="00F26993"/>
    <w:rsid w:val="00F27A05"/>
    <w:rsid w:val="00F3584F"/>
    <w:rsid w:val="00F37516"/>
    <w:rsid w:val="00F47F0C"/>
    <w:rsid w:val="00F505F5"/>
    <w:rsid w:val="00F509EB"/>
    <w:rsid w:val="00F5367A"/>
    <w:rsid w:val="00F628C3"/>
    <w:rsid w:val="00F632EF"/>
    <w:rsid w:val="00F67015"/>
    <w:rsid w:val="00F717E0"/>
    <w:rsid w:val="00F93DF9"/>
    <w:rsid w:val="00FA6BB4"/>
    <w:rsid w:val="00FB21D7"/>
    <w:rsid w:val="00FB6BCC"/>
    <w:rsid w:val="00FC40FF"/>
    <w:rsid w:val="00FD1A31"/>
    <w:rsid w:val="00FD30C7"/>
    <w:rsid w:val="00FD37D0"/>
    <w:rsid w:val="00FD4380"/>
    <w:rsid w:val="00FD7DA7"/>
    <w:rsid w:val="00FF0C94"/>
    <w:rsid w:val="00FF5BF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4066B"/>
  <w15:chartTrackingRefBased/>
  <w15:docId w15:val="{BA426F5E-B4E5-41DF-B004-355F64DEF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4F8"/>
  </w:style>
  <w:style w:type="paragraph" w:styleId="Ttulo1">
    <w:name w:val="heading 1"/>
    <w:basedOn w:val="Normal"/>
    <w:link w:val="Ttulo1Car"/>
    <w:uiPriority w:val="9"/>
    <w:qFormat/>
    <w:rsid w:val="00270570"/>
    <w:pPr>
      <w:widowControl w:val="0"/>
      <w:autoSpaceDE w:val="0"/>
      <w:autoSpaceDN w:val="0"/>
      <w:spacing w:after="0" w:line="240" w:lineRule="auto"/>
      <w:ind w:left="30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7E2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7E23"/>
  </w:style>
  <w:style w:type="paragraph" w:styleId="NormalWeb">
    <w:name w:val="Normal (Web)"/>
    <w:basedOn w:val="Normal"/>
    <w:link w:val="NormalWebCar"/>
    <w:uiPriority w:val="99"/>
    <w:unhideWhenUsed/>
    <w:rsid w:val="00137E23"/>
    <w:rPr>
      <w:rFonts w:ascii="Times New Roman" w:hAnsi="Times New Roman" w:cs="Times New Roman"/>
      <w:sz w:val="24"/>
      <w:szCs w:val="24"/>
    </w:rPr>
  </w:style>
  <w:style w:type="paragraph" w:styleId="Piedepgina">
    <w:name w:val="footer"/>
    <w:basedOn w:val="Normal"/>
    <w:link w:val="PiedepginaCar"/>
    <w:uiPriority w:val="99"/>
    <w:unhideWhenUsed/>
    <w:rsid w:val="00137E23"/>
    <w:pPr>
      <w:tabs>
        <w:tab w:val="center" w:pos="4419"/>
        <w:tab w:val="right" w:pos="8838"/>
      </w:tabs>
      <w:spacing w:after="0" w:line="240" w:lineRule="auto"/>
    </w:pPr>
    <w:rPr>
      <w:sz w:val="24"/>
      <w:lang w:val="es-ES"/>
    </w:rPr>
  </w:style>
  <w:style w:type="character" w:customStyle="1" w:styleId="PiedepginaCar">
    <w:name w:val="Pie de página Car"/>
    <w:basedOn w:val="Fuentedeprrafopredeter"/>
    <w:link w:val="Piedepgina"/>
    <w:uiPriority w:val="99"/>
    <w:rsid w:val="00137E23"/>
    <w:rPr>
      <w:sz w:val="24"/>
      <w:lang w:val="es-ES"/>
    </w:rPr>
  </w:style>
  <w:style w:type="table" w:styleId="Tablaconcuadrcula">
    <w:name w:val="Table Grid"/>
    <w:basedOn w:val="Tablanormal"/>
    <w:uiPriority w:val="59"/>
    <w:rsid w:val="00137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137E23"/>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37E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37E23"/>
    <w:pPr>
      <w:spacing w:after="0" w:line="240" w:lineRule="auto"/>
    </w:pPr>
    <w:rPr>
      <w:sz w:val="20"/>
      <w:szCs w:val="20"/>
      <w:lang w:val="es-MX"/>
    </w:rPr>
  </w:style>
  <w:style w:type="character" w:customStyle="1" w:styleId="TextonotapieCar1">
    <w:name w:val="Texto nota pie Car1"/>
    <w:basedOn w:val="Fuentedeprrafopredeter"/>
    <w:uiPriority w:val="99"/>
    <w:semiHidden/>
    <w:rsid w:val="00137E23"/>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137E23"/>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137E23"/>
    <w:pPr>
      <w:spacing w:after="0" w:line="240" w:lineRule="auto"/>
      <w:ind w:left="720"/>
      <w:contextualSpacing/>
    </w:pPr>
    <w:rPr>
      <w:sz w:val="24"/>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37E23"/>
    <w:rPr>
      <w:sz w:val="24"/>
      <w:lang w:val="es-ES"/>
    </w:rPr>
  </w:style>
  <w:style w:type="character" w:customStyle="1" w:styleId="Ttulo1Car">
    <w:name w:val="Título 1 Car"/>
    <w:basedOn w:val="Fuentedeprrafopredeter"/>
    <w:link w:val="Ttulo1"/>
    <w:uiPriority w:val="9"/>
    <w:rsid w:val="00270570"/>
    <w:rPr>
      <w:rFonts w:ascii="Arial" w:eastAsia="Arial" w:hAnsi="Arial" w:cs="Arial"/>
      <w:b/>
      <w:bCs/>
      <w:lang w:val="es-ES"/>
    </w:rPr>
  </w:style>
  <w:style w:type="paragraph" w:styleId="Textoindependiente">
    <w:name w:val="Body Text"/>
    <w:basedOn w:val="Normal"/>
    <w:link w:val="TextoindependienteCar"/>
    <w:uiPriority w:val="1"/>
    <w:qFormat/>
    <w:rsid w:val="00A76848"/>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76848"/>
    <w:rPr>
      <w:rFonts w:ascii="Arial" w:eastAsia="Arial" w:hAnsi="Arial" w:cs="Arial"/>
      <w:lang w:val="es-ES"/>
    </w:rPr>
  </w:style>
  <w:style w:type="character" w:styleId="Refdecomentario">
    <w:name w:val="annotation reference"/>
    <w:basedOn w:val="Fuentedeprrafopredeter"/>
    <w:uiPriority w:val="99"/>
    <w:semiHidden/>
    <w:unhideWhenUsed/>
    <w:rsid w:val="00EA2421"/>
    <w:rPr>
      <w:sz w:val="16"/>
      <w:szCs w:val="16"/>
    </w:rPr>
  </w:style>
  <w:style w:type="paragraph" w:styleId="Textocomentario">
    <w:name w:val="annotation text"/>
    <w:basedOn w:val="Normal"/>
    <w:link w:val="TextocomentarioCar"/>
    <w:uiPriority w:val="99"/>
    <w:unhideWhenUsed/>
    <w:rsid w:val="00EA2421"/>
    <w:pPr>
      <w:spacing w:line="240" w:lineRule="auto"/>
    </w:pPr>
    <w:rPr>
      <w:sz w:val="20"/>
      <w:szCs w:val="20"/>
    </w:rPr>
  </w:style>
  <w:style w:type="character" w:customStyle="1" w:styleId="TextocomentarioCar">
    <w:name w:val="Texto comentario Car"/>
    <w:basedOn w:val="Fuentedeprrafopredeter"/>
    <w:link w:val="Textocomentario"/>
    <w:uiPriority w:val="99"/>
    <w:rsid w:val="00EA2421"/>
    <w:rPr>
      <w:sz w:val="20"/>
      <w:szCs w:val="20"/>
    </w:rPr>
  </w:style>
  <w:style w:type="paragraph" w:styleId="Asuntodelcomentario">
    <w:name w:val="annotation subject"/>
    <w:basedOn w:val="Textocomentario"/>
    <w:next w:val="Textocomentario"/>
    <w:link w:val="AsuntodelcomentarioCar"/>
    <w:uiPriority w:val="99"/>
    <w:semiHidden/>
    <w:unhideWhenUsed/>
    <w:rsid w:val="00EA2421"/>
    <w:rPr>
      <w:b/>
      <w:bCs/>
    </w:rPr>
  </w:style>
  <w:style w:type="character" w:customStyle="1" w:styleId="AsuntodelcomentarioCar">
    <w:name w:val="Asunto del comentario Car"/>
    <w:basedOn w:val="TextocomentarioCar"/>
    <w:link w:val="Asuntodelcomentario"/>
    <w:uiPriority w:val="99"/>
    <w:semiHidden/>
    <w:rsid w:val="00EA2421"/>
    <w:rPr>
      <w:b/>
      <w:bCs/>
      <w:sz w:val="20"/>
      <w:szCs w:val="20"/>
    </w:rPr>
  </w:style>
  <w:style w:type="table" w:customStyle="1" w:styleId="Tablaconcuadrcula1">
    <w:name w:val="Tabla con cuadrícula1"/>
    <w:basedOn w:val="Tablanormal"/>
    <w:next w:val="Tablaconcuadrcula"/>
    <w:uiPriority w:val="59"/>
    <w:rsid w:val="00135FBD"/>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30642"/>
    <w:rPr>
      <w:color w:val="0563C1" w:themeColor="hyperlink"/>
      <w:u w:val="single"/>
    </w:rPr>
  </w:style>
  <w:style w:type="character" w:customStyle="1" w:styleId="Mencinsinresolver1">
    <w:name w:val="Mención sin resolver1"/>
    <w:basedOn w:val="Fuentedeprrafopredeter"/>
    <w:uiPriority w:val="99"/>
    <w:semiHidden/>
    <w:unhideWhenUsed/>
    <w:rsid w:val="00A30642"/>
    <w:rPr>
      <w:color w:val="605E5C"/>
      <w:shd w:val="clear" w:color="auto" w:fill="E1DFDD"/>
    </w:rPr>
  </w:style>
  <w:style w:type="character" w:customStyle="1" w:styleId="normaltextrun">
    <w:name w:val="normaltextrun"/>
    <w:basedOn w:val="Fuentedeprrafopredeter"/>
    <w:rsid w:val="00876B50"/>
  </w:style>
  <w:style w:type="paragraph" w:customStyle="1" w:styleId="Appelnotedebasde">
    <w:name w:val="Appel note de bas de..."/>
    <w:basedOn w:val="Normal"/>
    <w:link w:val="Refdenotaalpie"/>
    <w:uiPriority w:val="99"/>
    <w:rsid w:val="00876B50"/>
    <w:pPr>
      <w:spacing w:line="240" w:lineRule="exact"/>
    </w:pPr>
    <w:rPr>
      <w:vertAlign w:val="superscript"/>
    </w:rPr>
  </w:style>
  <w:style w:type="paragraph" w:styleId="Revisin">
    <w:name w:val="Revision"/>
    <w:hidden/>
    <w:uiPriority w:val="99"/>
    <w:semiHidden/>
    <w:rsid w:val="0080741E"/>
    <w:pPr>
      <w:spacing w:after="0" w:line="240" w:lineRule="auto"/>
    </w:pPr>
  </w:style>
  <w:style w:type="paragraph" w:styleId="Textodeglobo">
    <w:name w:val="Balloon Text"/>
    <w:basedOn w:val="Normal"/>
    <w:link w:val="TextodegloboCar"/>
    <w:uiPriority w:val="99"/>
    <w:semiHidden/>
    <w:unhideWhenUsed/>
    <w:rsid w:val="007C319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3193"/>
    <w:rPr>
      <w:rFonts w:ascii="Segoe UI" w:hAnsi="Segoe UI" w:cs="Segoe UI"/>
      <w:sz w:val="18"/>
      <w:szCs w:val="18"/>
    </w:rPr>
  </w:style>
  <w:style w:type="character" w:customStyle="1" w:styleId="Mencinsinresolver2">
    <w:name w:val="Mención sin resolver2"/>
    <w:basedOn w:val="Fuentedeprrafopredeter"/>
    <w:uiPriority w:val="99"/>
    <w:semiHidden/>
    <w:unhideWhenUsed/>
    <w:rsid w:val="00881F9F"/>
    <w:rPr>
      <w:color w:val="605E5C"/>
      <w:shd w:val="clear" w:color="auto" w:fill="E1DFDD"/>
    </w:rPr>
  </w:style>
  <w:style w:type="character" w:customStyle="1" w:styleId="NormalWebCar">
    <w:name w:val="Normal (Web) Car"/>
    <w:link w:val="NormalWeb"/>
    <w:uiPriority w:val="99"/>
    <w:rsid w:val="00DF55A7"/>
    <w:rPr>
      <w:rFonts w:ascii="Times New Roman" w:hAnsi="Times New Roman" w:cs="Times New Roman"/>
      <w:sz w:val="24"/>
      <w:szCs w:val="24"/>
    </w:rPr>
  </w:style>
  <w:style w:type="character" w:customStyle="1" w:styleId="Hipervnculo1">
    <w:name w:val="Hipervínculo1"/>
    <w:basedOn w:val="Fuentedeprrafopredeter"/>
    <w:uiPriority w:val="99"/>
    <w:unhideWhenUsed/>
    <w:rsid w:val="00DF55A7"/>
    <w:rPr>
      <w:color w:val="F2F2F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0934">
      <w:bodyDiv w:val="1"/>
      <w:marLeft w:val="0"/>
      <w:marRight w:val="0"/>
      <w:marTop w:val="0"/>
      <w:marBottom w:val="0"/>
      <w:divBdr>
        <w:top w:val="none" w:sz="0" w:space="0" w:color="auto"/>
        <w:left w:val="none" w:sz="0" w:space="0" w:color="auto"/>
        <w:bottom w:val="none" w:sz="0" w:space="0" w:color="auto"/>
        <w:right w:val="none" w:sz="0" w:space="0" w:color="auto"/>
      </w:divBdr>
    </w:div>
    <w:div w:id="163663830">
      <w:bodyDiv w:val="1"/>
      <w:marLeft w:val="0"/>
      <w:marRight w:val="0"/>
      <w:marTop w:val="0"/>
      <w:marBottom w:val="0"/>
      <w:divBdr>
        <w:top w:val="none" w:sz="0" w:space="0" w:color="auto"/>
        <w:left w:val="none" w:sz="0" w:space="0" w:color="auto"/>
        <w:bottom w:val="none" w:sz="0" w:space="0" w:color="auto"/>
        <w:right w:val="none" w:sz="0" w:space="0" w:color="auto"/>
      </w:divBdr>
    </w:div>
    <w:div w:id="180436205">
      <w:bodyDiv w:val="1"/>
      <w:marLeft w:val="0"/>
      <w:marRight w:val="0"/>
      <w:marTop w:val="0"/>
      <w:marBottom w:val="0"/>
      <w:divBdr>
        <w:top w:val="none" w:sz="0" w:space="0" w:color="auto"/>
        <w:left w:val="none" w:sz="0" w:space="0" w:color="auto"/>
        <w:bottom w:val="none" w:sz="0" w:space="0" w:color="auto"/>
        <w:right w:val="none" w:sz="0" w:space="0" w:color="auto"/>
      </w:divBdr>
    </w:div>
    <w:div w:id="1077245044">
      <w:bodyDiv w:val="1"/>
      <w:marLeft w:val="0"/>
      <w:marRight w:val="0"/>
      <w:marTop w:val="0"/>
      <w:marBottom w:val="0"/>
      <w:divBdr>
        <w:top w:val="none" w:sz="0" w:space="0" w:color="auto"/>
        <w:left w:val="none" w:sz="0" w:space="0" w:color="auto"/>
        <w:bottom w:val="none" w:sz="0" w:space="0" w:color="auto"/>
        <w:right w:val="none" w:sz="0" w:space="0" w:color="auto"/>
      </w:divBdr>
    </w:div>
    <w:div w:id="1423453828">
      <w:bodyDiv w:val="1"/>
      <w:marLeft w:val="0"/>
      <w:marRight w:val="0"/>
      <w:marTop w:val="0"/>
      <w:marBottom w:val="0"/>
      <w:divBdr>
        <w:top w:val="none" w:sz="0" w:space="0" w:color="auto"/>
        <w:left w:val="none" w:sz="0" w:space="0" w:color="auto"/>
        <w:bottom w:val="none" w:sz="0" w:space="0" w:color="auto"/>
        <w:right w:val="none" w:sz="0" w:space="0" w:color="auto"/>
      </w:divBdr>
    </w:div>
    <w:div w:id="1512455602">
      <w:bodyDiv w:val="1"/>
      <w:marLeft w:val="0"/>
      <w:marRight w:val="0"/>
      <w:marTop w:val="0"/>
      <w:marBottom w:val="0"/>
      <w:divBdr>
        <w:top w:val="none" w:sz="0" w:space="0" w:color="auto"/>
        <w:left w:val="none" w:sz="0" w:space="0" w:color="auto"/>
        <w:bottom w:val="none" w:sz="0" w:space="0" w:color="auto"/>
        <w:right w:val="none" w:sz="0" w:space="0" w:color="auto"/>
      </w:divBdr>
    </w:div>
    <w:div w:id="1633093812">
      <w:bodyDiv w:val="1"/>
      <w:marLeft w:val="0"/>
      <w:marRight w:val="0"/>
      <w:marTop w:val="0"/>
      <w:marBottom w:val="0"/>
      <w:divBdr>
        <w:top w:val="none" w:sz="0" w:space="0" w:color="auto"/>
        <w:left w:val="none" w:sz="0" w:space="0" w:color="auto"/>
        <w:bottom w:val="none" w:sz="0" w:space="0" w:color="auto"/>
        <w:right w:val="none" w:sz="0" w:space="0" w:color="auto"/>
      </w:divBdr>
    </w:div>
    <w:div w:id="1916041994">
      <w:bodyDiv w:val="1"/>
      <w:marLeft w:val="0"/>
      <w:marRight w:val="0"/>
      <w:marTop w:val="0"/>
      <w:marBottom w:val="0"/>
      <w:divBdr>
        <w:top w:val="none" w:sz="0" w:space="0" w:color="auto"/>
        <w:left w:val="none" w:sz="0" w:space="0" w:color="auto"/>
        <w:bottom w:val="none" w:sz="0" w:space="0" w:color="auto"/>
        <w:right w:val="none" w:sz="0" w:space="0" w:color="auto"/>
      </w:divBdr>
    </w:div>
    <w:div w:id="204887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D656DE-A67E-4AEA-AC03-0747BAA4F2F2}">
  <ds:schemaRefs>
    <ds:schemaRef ds:uri="http://schemas.openxmlformats.org/officeDocument/2006/bibliography"/>
  </ds:schemaRefs>
</ds:datastoreItem>
</file>

<file path=customXml/itemProps2.xml><?xml version="1.0" encoding="utf-8"?>
<ds:datastoreItem xmlns:ds="http://schemas.openxmlformats.org/officeDocument/2006/customXml" ds:itemID="{B3C3DD4C-BCE8-43AA-A69E-3A18176F700F}">
  <ds:schemaRefs>
    <ds:schemaRef ds:uri="http://schemas.microsoft.com/sharepoint/v3/contenttype/forms"/>
  </ds:schemaRefs>
</ds:datastoreItem>
</file>

<file path=customXml/itemProps3.xml><?xml version="1.0" encoding="utf-8"?>
<ds:datastoreItem xmlns:ds="http://schemas.openxmlformats.org/officeDocument/2006/customXml" ds:itemID="{D2696F24-8F91-4619-8CF5-0D9BD1F880AF}"/>
</file>

<file path=customXml/itemProps4.xml><?xml version="1.0" encoding="utf-8"?>
<ds:datastoreItem xmlns:ds="http://schemas.openxmlformats.org/officeDocument/2006/customXml" ds:itemID="{B6D01031-AD38-4F16-90E4-0DFB1D6C7C80}">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5414</Words>
  <Characters>29781</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Diana Fabiola Herrera Hernandez</cp:lastModifiedBy>
  <cp:revision>3</cp:revision>
  <dcterms:created xsi:type="dcterms:W3CDTF">2022-10-12T03:34:00Z</dcterms:created>
  <dcterms:modified xsi:type="dcterms:W3CDTF">2022-10-12T03:38:00Z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