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ED1F11" w:rsidRDefault="00BE1E33" w:rsidP="00BE1E33">
      <w:pPr>
        <w:jc w:val="right"/>
        <w:rPr>
          <w:rFonts w:ascii="Arial" w:hAnsi="Arial" w:cs="Arial"/>
          <w:bCs/>
          <w:sz w:val="16"/>
          <w:szCs w:val="16"/>
          <w:lang w:val="es-ES_tradnl" w:eastAsia="es-ES"/>
        </w:rPr>
      </w:pPr>
      <w:bookmarkStart w:id="0" w:name="_Hlk28946138"/>
      <w:bookmarkStart w:id="1" w:name="_Hlk29548183"/>
      <w:r w:rsidRPr="00ED1F11">
        <w:rPr>
          <w:rFonts w:ascii="Arial" w:hAnsi="Arial" w:cs="Arial"/>
          <w:b/>
          <w:sz w:val="16"/>
          <w:szCs w:val="16"/>
          <w:lang w:val="es-ES_tradnl" w:eastAsia="es-ES"/>
        </w:rPr>
        <w:tab/>
      </w:r>
      <w:r w:rsidRPr="00ED1F11">
        <w:rPr>
          <w:rFonts w:ascii="Arial" w:hAnsi="Arial" w:cs="Arial"/>
          <w:bCs/>
          <w:sz w:val="16"/>
          <w:szCs w:val="16"/>
          <w:lang w:val="es-ES_tradnl" w:eastAsia="es-ES"/>
        </w:rPr>
        <w:t>CCE-DES-FM-17</w:t>
      </w:r>
    </w:p>
    <w:p w14:paraId="1C6DF99D" w14:textId="23E36C92" w:rsidR="00CA66DF" w:rsidRDefault="00CA66DF" w:rsidP="00CA66DF">
      <w:pPr>
        <w:jc w:val="both"/>
        <w:rPr>
          <w:rFonts w:ascii="Arial" w:eastAsia="Calibri" w:hAnsi="Arial" w:cs="Arial"/>
          <w:b/>
          <w:color w:val="000000" w:themeColor="text1"/>
          <w:sz w:val="22"/>
        </w:rPr>
      </w:pPr>
    </w:p>
    <w:p w14:paraId="66C8E8F0" w14:textId="3FBFCC98" w:rsidR="003C4733" w:rsidRDefault="003C4733" w:rsidP="00CA66DF">
      <w:pPr>
        <w:jc w:val="both"/>
        <w:rPr>
          <w:rFonts w:ascii="Arial" w:eastAsia="Calibri" w:hAnsi="Arial" w:cs="Arial"/>
          <w:b/>
          <w:color w:val="000000" w:themeColor="text1"/>
          <w:sz w:val="22"/>
        </w:rPr>
      </w:pPr>
      <w:r w:rsidRPr="009816A2">
        <w:rPr>
          <w:rFonts w:ascii="Arial" w:eastAsia="Calibri" w:hAnsi="Arial" w:cs="Arial"/>
          <w:b/>
          <w:color w:val="000000" w:themeColor="text1"/>
          <w:sz w:val="22"/>
        </w:rPr>
        <w:t>CAPACIDAD RESIDUAL</w:t>
      </w:r>
      <w:r>
        <w:rPr>
          <w:rFonts w:ascii="Arial" w:eastAsia="Calibri" w:hAnsi="Arial" w:cs="Arial"/>
          <w:b/>
          <w:color w:val="000000" w:themeColor="text1"/>
          <w:sz w:val="22"/>
        </w:rPr>
        <w:t xml:space="preserve">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Capacidad de </w:t>
      </w:r>
      <w:r w:rsidR="00E05A04">
        <w:rPr>
          <w:rFonts w:ascii="Arial" w:eastAsia="Calibri" w:hAnsi="Arial" w:cs="Arial"/>
          <w:b/>
          <w:color w:val="000000" w:themeColor="text1"/>
          <w:sz w:val="22"/>
        </w:rPr>
        <w:t>o</w:t>
      </w:r>
      <w:r>
        <w:rPr>
          <w:rFonts w:ascii="Arial" w:eastAsia="Calibri" w:hAnsi="Arial" w:cs="Arial"/>
          <w:b/>
          <w:color w:val="000000" w:themeColor="text1"/>
          <w:sz w:val="22"/>
        </w:rPr>
        <w:t xml:space="preserve">rganización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Ley 1150 de 2007 </w:t>
      </w:r>
      <w:r w:rsidRPr="009816A2">
        <w:rPr>
          <w:rFonts w:ascii="Arial" w:eastAsia="Calibri" w:hAnsi="Arial" w:cs="Arial"/>
          <w:b/>
          <w:color w:val="000000" w:themeColor="text1"/>
          <w:sz w:val="22"/>
        </w:rPr>
        <w:t>–</w:t>
      </w:r>
      <w:r>
        <w:rPr>
          <w:rFonts w:ascii="Arial" w:eastAsia="Calibri" w:hAnsi="Arial" w:cs="Arial"/>
          <w:b/>
          <w:color w:val="000000" w:themeColor="text1"/>
          <w:sz w:val="22"/>
        </w:rPr>
        <w:t xml:space="preserve"> Decreto 1082 de 2015</w:t>
      </w:r>
    </w:p>
    <w:p w14:paraId="1C8CC06A" w14:textId="77777777" w:rsidR="00E05A04" w:rsidRPr="00E05A04" w:rsidRDefault="00E05A04" w:rsidP="00CA66DF">
      <w:pPr>
        <w:jc w:val="both"/>
        <w:rPr>
          <w:rFonts w:ascii="Arial" w:eastAsia="Calibri" w:hAnsi="Arial" w:cs="Arial"/>
          <w:b/>
          <w:color w:val="000000" w:themeColor="text1"/>
          <w:sz w:val="22"/>
        </w:rPr>
      </w:pPr>
    </w:p>
    <w:p w14:paraId="1C088B9F" w14:textId="77777777" w:rsidR="002A6849" w:rsidRDefault="00932406" w:rsidP="002A6849">
      <w:pPr>
        <w:tabs>
          <w:tab w:val="left" w:pos="6663"/>
        </w:tabs>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t xml:space="preserve">[…] </w:t>
      </w:r>
      <w:r w:rsidRPr="00932406">
        <w:rPr>
          <w:rFonts w:ascii="Arial" w:eastAsia="Calibri" w:hAnsi="Arial" w:cs="Arial"/>
          <w:bCs/>
          <w:color w:val="000000" w:themeColor="text1"/>
          <w:sz w:val="20"/>
          <w:szCs w:val="20"/>
          <w:lang w:val="es-ES"/>
        </w:rPr>
        <w:t xml:space="preserve">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Organización –CO–. </w:t>
      </w:r>
    </w:p>
    <w:p w14:paraId="6993C583" w14:textId="77777777" w:rsidR="002A6849" w:rsidRDefault="002A6849" w:rsidP="002A6849">
      <w:pPr>
        <w:tabs>
          <w:tab w:val="left" w:pos="6663"/>
        </w:tabs>
        <w:spacing w:line="276" w:lineRule="auto"/>
        <w:jc w:val="both"/>
        <w:rPr>
          <w:rFonts w:ascii="Arial" w:eastAsia="Calibri" w:hAnsi="Arial" w:cs="Arial"/>
          <w:bCs/>
          <w:color w:val="000000" w:themeColor="text1"/>
          <w:sz w:val="20"/>
          <w:szCs w:val="20"/>
          <w:lang w:val="es-ES"/>
        </w:rPr>
      </w:pPr>
    </w:p>
    <w:p w14:paraId="42D8F028" w14:textId="48FF6D98" w:rsidR="002A6849" w:rsidRPr="002A6849" w:rsidRDefault="002A6849" w:rsidP="002A6849">
      <w:pPr>
        <w:tabs>
          <w:tab w:val="left" w:pos="6663"/>
        </w:tabs>
        <w:spacing w:line="276" w:lineRule="auto"/>
        <w:jc w:val="both"/>
        <w:rPr>
          <w:rFonts w:ascii="Arial" w:eastAsia="Calibri" w:hAnsi="Arial" w:cs="Arial"/>
          <w:b/>
          <w:bCs/>
          <w:color w:val="000000" w:themeColor="text1"/>
          <w:sz w:val="20"/>
          <w:szCs w:val="20"/>
          <w:lang w:val="es-ES"/>
        </w:rPr>
      </w:pPr>
      <w:r>
        <w:rPr>
          <w:rFonts w:ascii="Arial" w:eastAsia="Calibri" w:hAnsi="Arial" w:cs="Arial"/>
          <w:b/>
          <w:bCs/>
          <w:color w:val="000000" w:themeColor="text1"/>
          <w:sz w:val="20"/>
          <w:szCs w:val="20"/>
          <w:lang w:val="es-ES"/>
        </w:rPr>
        <w:t xml:space="preserve">ESTADO DE RESULTADOS – Documentos tipo – Infraestructura de transporte </w:t>
      </w:r>
      <w:r w:rsidR="00925C63">
        <w:rPr>
          <w:rFonts w:ascii="Arial" w:eastAsia="Calibri" w:hAnsi="Arial" w:cs="Arial"/>
          <w:b/>
          <w:bCs/>
          <w:color w:val="000000" w:themeColor="text1"/>
          <w:sz w:val="20"/>
          <w:szCs w:val="20"/>
          <w:lang w:val="es-ES"/>
        </w:rPr>
        <w:t xml:space="preserve">versión </w:t>
      </w:r>
      <w:r>
        <w:rPr>
          <w:rFonts w:ascii="Arial" w:eastAsia="Calibri" w:hAnsi="Arial" w:cs="Arial"/>
          <w:b/>
          <w:bCs/>
          <w:color w:val="000000" w:themeColor="text1"/>
          <w:sz w:val="20"/>
          <w:szCs w:val="20"/>
          <w:lang w:val="es-ES"/>
        </w:rPr>
        <w:t>3</w:t>
      </w:r>
      <w:r w:rsidR="00925C63">
        <w:rPr>
          <w:rFonts w:ascii="Arial" w:eastAsia="Calibri" w:hAnsi="Arial" w:cs="Arial"/>
          <w:b/>
          <w:bCs/>
          <w:color w:val="000000" w:themeColor="text1"/>
          <w:sz w:val="20"/>
          <w:szCs w:val="20"/>
          <w:lang w:val="es-ES"/>
        </w:rPr>
        <w:t xml:space="preserve"> –</w:t>
      </w:r>
      <w:r>
        <w:rPr>
          <w:rFonts w:ascii="Arial" w:eastAsia="Calibri" w:hAnsi="Arial" w:cs="Arial"/>
          <w:b/>
          <w:bCs/>
          <w:color w:val="000000" w:themeColor="text1"/>
          <w:sz w:val="20"/>
          <w:szCs w:val="20"/>
          <w:lang w:val="es-ES"/>
        </w:rPr>
        <w:t xml:space="preserve"> Acreditación </w:t>
      </w:r>
    </w:p>
    <w:p w14:paraId="650D1B30" w14:textId="77777777" w:rsidR="002A6849" w:rsidRDefault="002A6849" w:rsidP="002A6849">
      <w:pPr>
        <w:tabs>
          <w:tab w:val="left" w:pos="6663"/>
        </w:tabs>
        <w:spacing w:line="276" w:lineRule="auto"/>
        <w:jc w:val="both"/>
        <w:rPr>
          <w:rFonts w:ascii="Arial" w:eastAsia="Calibri" w:hAnsi="Arial" w:cs="Arial"/>
          <w:bCs/>
          <w:color w:val="000000" w:themeColor="text1"/>
          <w:sz w:val="20"/>
          <w:szCs w:val="20"/>
          <w:lang w:val="es-ES"/>
        </w:rPr>
      </w:pPr>
    </w:p>
    <w:p w14:paraId="2DFB4811" w14:textId="520CF1FB" w:rsidR="002A6849" w:rsidRPr="00925C63" w:rsidRDefault="002A6849" w:rsidP="002A6849">
      <w:pPr>
        <w:tabs>
          <w:tab w:val="left" w:pos="6663"/>
        </w:tabs>
        <w:jc w:val="both"/>
        <w:rPr>
          <w:rFonts w:ascii="Arial" w:hAnsi="Arial" w:cs="Arial"/>
          <w:color w:val="000000" w:themeColor="text1"/>
          <w:sz w:val="20"/>
          <w:szCs w:val="20"/>
        </w:rPr>
      </w:pPr>
      <w:r w:rsidRPr="00925C63">
        <w:rPr>
          <w:rStyle w:val="normaltextrun"/>
          <w:rFonts w:ascii="Arial" w:hAnsi="Arial" w:cs="Arial"/>
          <w:color w:val="000000"/>
          <w:sz w:val="20"/>
          <w:szCs w:val="20"/>
          <w:shd w:val="clear" w:color="auto" w:fill="FFFFFF"/>
        </w:rPr>
        <w:t>De acuerdo con lo establecido en los documentos tipo para licitación de obra pública de infraestructura de transporte – Versión 3 y selección abreviada de menor cuantía – Versión 2 en el numeral 3.10.2, literal A, del documento base, para la acreditación del estado de resultados de los proponentes que cuentan con RUP solo se requiere aportar el estado de resultados del año en que el proponente obtuvo mayor ingreso operacional en los últimos cinco (5) años, debidamente firmado por el representante legal, contador y revisor fiscal y/o contador independiente –externo–, si están obligados a tenerlos, y la copia de la tarjeta profesional y certificado de antecedentes disciplinarios vigentes de los contadores públicos, revisores fiscales, contadores independientes –externos–, quienes suscribieron dichos documentos de conformidad con el artículo 37 de la Ley 222 de 1995. Lo anterior sin que el documento tipo exija el dictamen del estado de resultados señalado en el artículo 38 ibidem</w:t>
      </w:r>
      <w:r w:rsidRPr="00925C63">
        <w:rPr>
          <w:rFonts w:ascii="Arial" w:hAnsi="Arial" w:cs="Arial"/>
          <w:color w:val="000000" w:themeColor="text1"/>
          <w:sz w:val="20"/>
          <w:szCs w:val="20"/>
        </w:rPr>
        <w:t xml:space="preserve">. Esta forma de acreditación de la capacidad de organización es aplicable a todas las personas naturales o jurídicas que se encuentran inscritas en el RUP. Al respecto, la redacción del documento base dispone que </w:t>
      </w:r>
      <w:r w:rsidRPr="00925C63">
        <w:rPr>
          <w:rFonts w:ascii="Arial" w:eastAsia="Calibri" w:hAnsi="Arial" w:cs="Arial"/>
          <w:noProof/>
          <w:sz w:val="20"/>
          <w:szCs w:val="20"/>
          <w:lang w:val="es-ES_tradnl"/>
        </w:rPr>
        <w:t xml:space="preserve">«[…] para acreditar el factor (CO) el proponente obligado a tener RUP debe presentar los siguientes documentos […]». Por esta razón, lo dispuesto en el pliego es exigible a todos los proponentes inscritos en el RUP, sin distinguir la naturaleza de la actividad desarrollada. En este sentido, el documento base es congruente con el numeral 3 del artículo 2.2.1.1.1.6.4 del Decreto 1082 de 2015, el cual prescribe que, tratándose de proponentes obligados a tener RUP, las entidades estatales deben solicitar como documento adicional el estado de resultados del año en que el proponente obtuvo el mayor ingreso operacional en los últimos cinco (5) años.   </w:t>
      </w:r>
    </w:p>
    <w:p w14:paraId="6C008736" w14:textId="33B11A5D" w:rsidR="00932406" w:rsidRDefault="00932406" w:rsidP="00932406">
      <w:pPr>
        <w:jc w:val="both"/>
        <w:rPr>
          <w:rFonts w:ascii="Arial" w:eastAsia="Calibri" w:hAnsi="Arial" w:cs="Arial"/>
          <w:bCs/>
          <w:color w:val="000000" w:themeColor="text1"/>
          <w:sz w:val="20"/>
          <w:szCs w:val="20"/>
          <w:lang w:val="es-ES"/>
        </w:rPr>
      </w:pPr>
    </w:p>
    <w:p w14:paraId="740B837E" w14:textId="77777777" w:rsidR="003C4733" w:rsidRDefault="003C4733" w:rsidP="00CA66DF">
      <w:pPr>
        <w:jc w:val="both"/>
        <w:rPr>
          <w:rFonts w:ascii="Arial" w:eastAsia="Calibri" w:hAnsi="Arial" w:cs="Arial"/>
          <w:b/>
          <w:color w:val="000000" w:themeColor="text1"/>
          <w:sz w:val="22"/>
        </w:rPr>
      </w:pPr>
    </w:p>
    <w:p w14:paraId="2DB2C759" w14:textId="77777777" w:rsidR="001F75F1" w:rsidRDefault="001F75F1">
      <w:pPr>
        <w:spacing w:after="160" w:line="259" w:lineRule="auto"/>
        <w:rPr>
          <w:rFonts w:ascii="Arial" w:eastAsia="Calibri" w:hAnsi="Arial" w:cs="Arial"/>
          <w:sz w:val="20"/>
          <w:szCs w:val="20"/>
          <w:shd w:val="clear" w:color="auto" w:fill="FFFFFF"/>
          <w:lang w:val="es-ES"/>
        </w:rPr>
      </w:pPr>
      <w:r>
        <w:rPr>
          <w:rFonts w:ascii="Arial" w:eastAsia="Calibri" w:hAnsi="Arial" w:cs="Arial"/>
          <w:sz w:val="20"/>
          <w:szCs w:val="20"/>
          <w:shd w:val="clear" w:color="auto" w:fill="FFFFFF"/>
          <w:lang w:val="es-ES"/>
        </w:rPr>
        <w:br w:type="page"/>
      </w:r>
    </w:p>
    <w:p w14:paraId="0DB1A266" w14:textId="5191FF6B" w:rsidR="001F75F1" w:rsidRDefault="001F75F1" w:rsidP="00DE0E26">
      <w:pPr>
        <w:tabs>
          <w:tab w:val="left" w:pos="709"/>
        </w:tabs>
        <w:jc w:val="both"/>
        <w:rPr>
          <w:rFonts w:ascii="Arial" w:eastAsia="Calibri" w:hAnsi="Arial" w:cs="Arial"/>
          <w:sz w:val="20"/>
          <w:szCs w:val="20"/>
          <w:shd w:val="clear" w:color="auto" w:fill="FFFFFF"/>
          <w:lang w:val="es-ES"/>
        </w:rPr>
      </w:pPr>
    </w:p>
    <w:p w14:paraId="14225245" w14:textId="1A9E5D59" w:rsidR="002A6849" w:rsidRDefault="002A6849" w:rsidP="002A6849">
      <w:pPr>
        <w:tabs>
          <w:tab w:val="left" w:pos="709"/>
        </w:tabs>
        <w:jc w:val="right"/>
        <w:rPr>
          <w:rFonts w:ascii="Arial" w:eastAsia="Calibri" w:hAnsi="Arial" w:cs="Arial"/>
          <w:sz w:val="20"/>
          <w:szCs w:val="20"/>
          <w:shd w:val="clear" w:color="auto" w:fill="FFFFFF"/>
          <w:lang w:val="es-ES"/>
        </w:rPr>
      </w:pPr>
      <w:r>
        <w:rPr>
          <w:noProof/>
          <w:lang w:val="es-CO" w:eastAsia="es-CO"/>
        </w:rPr>
        <w:drawing>
          <wp:inline distT="0" distB="0" distL="0" distR="0" wp14:anchorId="486FDE1F" wp14:editId="06A92D59">
            <wp:extent cx="2419350" cy="6381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19350" cy="638175"/>
                    </a:xfrm>
                    <a:prstGeom prst="rect">
                      <a:avLst/>
                    </a:prstGeom>
                  </pic:spPr>
                </pic:pic>
              </a:graphicData>
            </a:graphic>
          </wp:inline>
        </w:drawing>
      </w:r>
    </w:p>
    <w:p w14:paraId="69009ECF" w14:textId="77777777" w:rsidR="001F75F1" w:rsidRDefault="001F75F1" w:rsidP="00DE0E26">
      <w:pPr>
        <w:tabs>
          <w:tab w:val="left" w:pos="709"/>
        </w:tabs>
        <w:jc w:val="both"/>
        <w:rPr>
          <w:rFonts w:ascii="Arial" w:eastAsia="Calibri" w:hAnsi="Arial" w:cs="Arial"/>
          <w:sz w:val="20"/>
          <w:szCs w:val="20"/>
          <w:shd w:val="clear" w:color="auto" w:fill="FFFFFF"/>
          <w:lang w:val="es-ES"/>
        </w:rPr>
      </w:pPr>
    </w:p>
    <w:p w14:paraId="764C58DD" w14:textId="19F93D02" w:rsidR="001F75F1" w:rsidRPr="00FB3A3B" w:rsidRDefault="001F75F1" w:rsidP="001F75F1">
      <w:pPr>
        <w:rPr>
          <w:rFonts w:ascii="Arial" w:hAnsi="Arial" w:cs="Arial"/>
          <w:color w:val="000000" w:themeColor="text1"/>
          <w:sz w:val="22"/>
        </w:rPr>
      </w:pPr>
      <w:r>
        <w:rPr>
          <w:rFonts w:ascii="Arial" w:hAnsi="Arial" w:cs="Arial"/>
          <w:color w:val="000000" w:themeColor="text1"/>
          <w:sz w:val="22"/>
        </w:rPr>
        <w:t xml:space="preserve">Bogotá D.C., </w:t>
      </w:r>
      <w:r w:rsidR="00FB3A3B">
        <w:rPr>
          <w:rFonts w:ascii="Arial" w:hAnsi="Arial" w:cs="Arial"/>
          <w:color w:val="000000" w:themeColor="text1"/>
          <w:sz w:val="22"/>
        </w:rPr>
        <w:t xml:space="preserve">22 </w:t>
      </w:r>
      <w:proofErr w:type="gramStart"/>
      <w:r w:rsidR="00FB3A3B">
        <w:rPr>
          <w:rFonts w:ascii="Arial" w:hAnsi="Arial" w:cs="Arial"/>
          <w:color w:val="000000" w:themeColor="text1"/>
          <w:sz w:val="22"/>
        </w:rPr>
        <w:t>Noviembre</w:t>
      </w:r>
      <w:proofErr w:type="gramEnd"/>
      <w:r w:rsidR="00FB3A3B">
        <w:rPr>
          <w:rFonts w:ascii="Arial" w:hAnsi="Arial" w:cs="Arial"/>
          <w:color w:val="000000" w:themeColor="text1"/>
          <w:sz w:val="22"/>
        </w:rPr>
        <w:t xml:space="preserve"> 2021</w:t>
      </w:r>
    </w:p>
    <w:p w14:paraId="69FA1DFA" w14:textId="77777777" w:rsidR="001F75F1" w:rsidRPr="002A6849" w:rsidRDefault="001F75F1" w:rsidP="001F75F1">
      <w:pPr>
        <w:jc w:val="right"/>
        <w:rPr>
          <w:rFonts w:ascii="Arial" w:hAnsi="Arial" w:cs="Arial"/>
          <w:bCs/>
          <w:color w:val="000000" w:themeColor="text1"/>
          <w:sz w:val="22"/>
        </w:rPr>
      </w:pPr>
    </w:p>
    <w:p w14:paraId="3DF01D73" w14:textId="77777777" w:rsidR="00B866C8" w:rsidRPr="002A6849" w:rsidRDefault="00B866C8" w:rsidP="00E35B0E">
      <w:pPr>
        <w:jc w:val="both"/>
        <w:outlineLvl w:val="0"/>
        <w:rPr>
          <w:rFonts w:ascii="Arial" w:hAnsi="Arial" w:cs="Arial"/>
          <w:bCs/>
          <w:sz w:val="22"/>
        </w:rPr>
      </w:pPr>
    </w:p>
    <w:p w14:paraId="156C00BE" w14:textId="77777777" w:rsidR="00E35B0E" w:rsidRPr="002A6849" w:rsidRDefault="00E35B0E" w:rsidP="00E35B0E">
      <w:pPr>
        <w:jc w:val="both"/>
        <w:outlineLvl w:val="0"/>
        <w:rPr>
          <w:rFonts w:ascii="Arial" w:hAnsi="Arial" w:cs="Arial"/>
          <w:bCs/>
          <w:sz w:val="22"/>
          <w:lang w:val="es-ES"/>
        </w:rPr>
      </w:pPr>
    </w:p>
    <w:p w14:paraId="6B6535B7" w14:textId="05BA3357" w:rsidR="00E35B0E" w:rsidRPr="00A70F57" w:rsidRDefault="00F41276" w:rsidP="00E35B0E">
      <w:pPr>
        <w:jc w:val="both"/>
        <w:outlineLvl w:val="0"/>
        <w:rPr>
          <w:rFonts w:ascii="Arial" w:eastAsia="Calibri" w:hAnsi="Arial" w:cs="Arial"/>
          <w:sz w:val="22"/>
          <w:lang w:val="es-ES"/>
        </w:rPr>
      </w:pPr>
      <w:r>
        <w:rPr>
          <w:rFonts w:ascii="Arial" w:eastAsia="Calibri" w:hAnsi="Arial" w:cs="Arial"/>
          <w:sz w:val="22"/>
          <w:lang w:val="es-ES"/>
        </w:rPr>
        <w:t>Señor</w:t>
      </w:r>
    </w:p>
    <w:p w14:paraId="0A324933" w14:textId="6092D176" w:rsidR="00F41276" w:rsidRDefault="00B331DC" w:rsidP="00E35B0E">
      <w:pPr>
        <w:jc w:val="both"/>
        <w:rPr>
          <w:rFonts w:ascii="Arial" w:hAnsi="Arial" w:cs="Arial"/>
          <w:b/>
          <w:bCs/>
          <w:sz w:val="22"/>
          <w:lang w:val="es-CO"/>
        </w:rPr>
      </w:pPr>
      <w:r>
        <w:rPr>
          <w:rFonts w:ascii="Arial" w:hAnsi="Arial" w:cs="Arial"/>
          <w:b/>
          <w:bCs/>
          <w:sz w:val="22"/>
          <w:lang w:val="es-CO"/>
        </w:rPr>
        <w:t xml:space="preserve">Otto Gabriel Forero </w:t>
      </w:r>
    </w:p>
    <w:p w14:paraId="0973DE01" w14:textId="0F3DFC0F" w:rsidR="00E35B0E" w:rsidRDefault="001E570E" w:rsidP="00E35B0E">
      <w:pPr>
        <w:jc w:val="both"/>
        <w:rPr>
          <w:rFonts w:ascii="Arial" w:hAnsi="Arial" w:cs="Arial"/>
          <w:color w:val="000000" w:themeColor="text1"/>
          <w:sz w:val="22"/>
        </w:rPr>
      </w:pPr>
      <w:r>
        <w:rPr>
          <w:rFonts w:ascii="Arial" w:hAnsi="Arial" w:cs="Arial"/>
          <w:color w:val="000000" w:themeColor="text1"/>
          <w:sz w:val="22"/>
        </w:rPr>
        <w:t>Bogotá D.C.</w:t>
      </w:r>
    </w:p>
    <w:p w14:paraId="57FB7D6D" w14:textId="77777777" w:rsidR="001E570E" w:rsidRPr="00A70F57" w:rsidRDefault="001E570E" w:rsidP="00E35B0E">
      <w:pPr>
        <w:jc w:val="both"/>
        <w:rPr>
          <w:rFonts w:ascii="Arial" w:eastAsia="Calibri" w:hAnsi="Arial" w:cs="Arial"/>
          <w:sz w:val="22"/>
          <w:lang w:val="es-ES"/>
        </w:rPr>
      </w:pPr>
    </w:p>
    <w:p w14:paraId="3D1882E9" w14:textId="77777777" w:rsidR="00E35B0E" w:rsidRPr="00A70F57" w:rsidRDefault="00E35B0E" w:rsidP="00E35B0E">
      <w:pPr>
        <w:jc w:val="both"/>
        <w:rPr>
          <w:rFonts w:ascii="Arial" w:eastAsia="Calibri" w:hAnsi="Arial" w:cs="Arial"/>
          <w:sz w:val="22"/>
          <w:lang w:val="es-ES"/>
        </w:rPr>
      </w:pPr>
    </w:p>
    <w:p w14:paraId="70630779" w14:textId="3ECE5D2D" w:rsidR="00E35B0E" w:rsidRDefault="00E35B0E" w:rsidP="00E35B0E">
      <w:pPr>
        <w:ind w:firstLine="2694"/>
        <w:jc w:val="both"/>
        <w:outlineLvl w:val="0"/>
        <w:rPr>
          <w:rFonts w:ascii="Arial" w:eastAsia="Calibri" w:hAnsi="Arial" w:cs="Arial"/>
          <w:b/>
          <w:sz w:val="22"/>
          <w:lang w:val="es-ES"/>
        </w:rPr>
      </w:pPr>
      <w:r w:rsidRPr="00A70F57">
        <w:rPr>
          <w:rFonts w:ascii="Arial" w:eastAsia="Calibri" w:hAnsi="Arial" w:cs="Arial"/>
          <w:b/>
          <w:sz w:val="22"/>
          <w:lang w:val="es-ES"/>
        </w:rPr>
        <w:t xml:space="preserve">Concepto C – </w:t>
      </w:r>
      <w:r w:rsidR="00B866C8">
        <w:rPr>
          <w:rFonts w:ascii="Arial" w:eastAsia="Calibri" w:hAnsi="Arial" w:cs="Arial"/>
          <w:b/>
          <w:sz w:val="22"/>
          <w:lang w:val="es-ES"/>
        </w:rPr>
        <w:t>648</w:t>
      </w:r>
      <w:r w:rsidRPr="00A70F57">
        <w:rPr>
          <w:rFonts w:ascii="Arial" w:eastAsia="Calibri" w:hAnsi="Arial" w:cs="Arial"/>
          <w:b/>
          <w:sz w:val="22"/>
          <w:lang w:val="es-ES"/>
        </w:rPr>
        <w:t xml:space="preserve"> de 2021</w:t>
      </w:r>
    </w:p>
    <w:p w14:paraId="234727AD" w14:textId="77777777" w:rsidR="00BE1E33" w:rsidRPr="00A70F57"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232"/>
      </w:tblGrid>
      <w:tr w:rsidR="00ED1F11" w:rsidRPr="00A70F57" w14:paraId="2553E4F3" w14:textId="77777777" w:rsidTr="002A6849">
        <w:tc>
          <w:tcPr>
            <w:tcW w:w="2694" w:type="dxa"/>
            <w:hideMark/>
          </w:tcPr>
          <w:p w14:paraId="7BC9E971" w14:textId="77777777" w:rsidR="00BE1E33" w:rsidRPr="00A70F57" w:rsidRDefault="00BE1E33" w:rsidP="0043588C">
            <w:pPr>
              <w:rPr>
                <w:rFonts w:ascii="Arial" w:eastAsia="Calibri" w:hAnsi="Arial" w:cs="Arial"/>
                <w:sz w:val="22"/>
                <w:lang w:val="es-ES_tradnl"/>
              </w:rPr>
            </w:pPr>
            <w:r w:rsidRPr="00A70F57">
              <w:rPr>
                <w:rFonts w:ascii="Arial" w:eastAsia="Calibri" w:hAnsi="Arial" w:cs="Arial"/>
                <w:b/>
                <w:sz w:val="22"/>
                <w:lang w:val="es-ES_tradnl"/>
              </w:rPr>
              <w:t>Temas:</w:t>
            </w:r>
            <w:r w:rsidRPr="00A70F57">
              <w:rPr>
                <w:rFonts w:ascii="Arial" w:eastAsia="Calibri" w:hAnsi="Arial" w:cs="Arial"/>
                <w:sz w:val="22"/>
                <w:lang w:val="es-ES_tradnl"/>
              </w:rPr>
              <w:t xml:space="preserve">           </w:t>
            </w:r>
          </w:p>
          <w:p w14:paraId="0C0D8CD7" w14:textId="77777777" w:rsidR="00BE1E33" w:rsidRPr="00A70F57" w:rsidRDefault="00BE1E33" w:rsidP="0043588C">
            <w:pPr>
              <w:rPr>
                <w:rFonts w:ascii="Arial" w:eastAsia="Calibri" w:hAnsi="Arial" w:cs="Arial"/>
                <w:sz w:val="22"/>
                <w:lang w:val="es-ES_tradnl"/>
              </w:rPr>
            </w:pPr>
            <w:r w:rsidRPr="00A70F57">
              <w:rPr>
                <w:rFonts w:ascii="Arial" w:eastAsia="Calibri" w:hAnsi="Arial" w:cs="Arial"/>
                <w:sz w:val="22"/>
                <w:lang w:val="es-ES_tradnl"/>
              </w:rPr>
              <w:t xml:space="preserve">                           </w:t>
            </w:r>
          </w:p>
        </w:tc>
        <w:tc>
          <w:tcPr>
            <w:tcW w:w="6232" w:type="dxa"/>
            <w:hideMark/>
          </w:tcPr>
          <w:p w14:paraId="0075A439" w14:textId="74451DEE" w:rsidR="002A6849" w:rsidRPr="002A6849" w:rsidRDefault="00E30DF1" w:rsidP="002A6849">
            <w:pPr>
              <w:tabs>
                <w:tab w:val="left" w:pos="6663"/>
              </w:tabs>
              <w:spacing w:line="276" w:lineRule="auto"/>
              <w:jc w:val="both"/>
              <w:rPr>
                <w:rFonts w:ascii="Arial" w:eastAsia="Calibri" w:hAnsi="Arial" w:cs="Arial"/>
                <w:b/>
                <w:bCs/>
                <w:color w:val="000000" w:themeColor="text1"/>
                <w:sz w:val="20"/>
                <w:szCs w:val="20"/>
                <w:lang w:val="es-ES"/>
              </w:rPr>
            </w:pPr>
            <w:r w:rsidRPr="00E30DF1">
              <w:rPr>
                <w:rFonts w:ascii="Arial" w:eastAsia="Calibri" w:hAnsi="Arial" w:cs="Arial"/>
                <w:sz w:val="22"/>
                <w:lang w:val="es-ES_tradnl"/>
              </w:rPr>
              <w:t>CAPACIDAD RESIDUAL – Capacidad de O</w:t>
            </w:r>
            <w:r w:rsidRPr="002A6849">
              <w:rPr>
                <w:rFonts w:ascii="Arial" w:eastAsia="Calibri" w:hAnsi="Arial" w:cs="Arial"/>
                <w:sz w:val="22"/>
                <w:lang w:val="es-ES_tradnl"/>
              </w:rPr>
              <w:t xml:space="preserve">rganización – Ley 1150 de 2007 – Decreto 1082 de 2015 / </w:t>
            </w:r>
            <w:r w:rsidR="002A6849" w:rsidRPr="002A6849">
              <w:rPr>
                <w:rFonts w:ascii="Arial" w:eastAsia="Calibri" w:hAnsi="Arial" w:cs="Arial"/>
                <w:bCs/>
                <w:color w:val="000000" w:themeColor="text1"/>
                <w:sz w:val="20"/>
                <w:szCs w:val="20"/>
                <w:lang w:val="es-ES"/>
              </w:rPr>
              <w:t xml:space="preserve">ESTADO DE RESULTADOS – Documentos tipo – Infraestructura de transporte – V3- Acreditación </w:t>
            </w:r>
            <w:r w:rsidR="002A6849">
              <w:rPr>
                <w:rFonts w:ascii="Arial" w:eastAsia="Calibri" w:hAnsi="Arial" w:cs="Arial"/>
                <w:bCs/>
                <w:color w:val="000000" w:themeColor="text1"/>
                <w:sz w:val="20"/>
                <w:szCs w:val="20"/>
                <w:lang w:val="es-ES"/>
              </w:rPr>
              <w:t>/</w:t>
            </w:r>
          </w:p>
          <w:p w14:paraId="0F35FDBD" w14:textId="1B82BAC9" w:rsidR="00BE1E33" w:rsidRPr="00A70F57" w:rsidRDefault="00BE1E33" w:rsidP="002A6849">
            <w:pPr>
              <w:jc w:val="both"/>
              <w:rPr>
                <w:rFonts w:ascii="Arial" w:eastAsia="Calibri" w:hAnsi="Arial" w:cs="Arial"/>
                <w:sz w:val="22"/>
                <w:lang w:val="es-ES_tradnl"/>
              </w:rPr>
            </w:pPr>
          </w:p>
        </w:tc>
      </w:tr>
      <w:tr w:rsidR="00ED1F11" w:rsidRPr="00A70F57" w14:paraId="20F2A3B6" w14:textId="77777777" w:rsidTr="002A6849">
        <w:tc>
          <w:tcPr>
            <w:tcW w:w="2694" w:type="dxa"/>
          </w:tcPr>
          <w:p w14:paraId="1E82F4FA" w14:textId="03F07FF4" w:rsidR="00BE1E33" w:rsidRPr="00A70F57" w:rsidRDefault="00BE1E33" w:rsidP="0043588C">
            <w:pPr>
              <w:spacing w:before="120"/>
              <w:rPr>
                <w:rFonts w:ascii="Arial" w:eastAsia="Calibri" w:hAnsi="Arial" w:cs="Arial"/>
                <w:b/>
                <w:sz w:val="22"/>
                <w:lang w:val="es-ES_tradnl"/>
              </w:rPr>
            </w:pPr>
            <w:r w:rsidRPr="00A70F57">
              <w:rPr>
                <w:rFonts w:ascii="Arial" w:eastAsia="Calibri" w:hAnsi="Arial" w:cs="Arial"/>
                <w:b/>
                <w:sz w:val="22"/>
                <w:lang w:val="es-ES_tradnl"/>
              </w:rPr>
              <w:t>Radicación:</w:t>
            </w:r>
            <w:r w:rsidRPr="00A70F57">
              <w:rPr>
                <w:rFonts w:ascii="Arial" w:eastAsia="Calibri" w:hAnsi="Arial" w:cs="Arial"/>
                <w:sz w:val="22"/>
                <w:lang w:val="es-ES_tradnl"/>
              </w:rPr>
              <w:t xml:space="preserve">                              </w:t>
            </w:r>
          </w:p>
        </w:tc>
        <w:tc>
          <w:tcPr>
            <w:tcW w:w="6232" w:type="dxa"/>
          </w:tcPr>
          <w:p w14:paraId="20FCE53A" w14:textId="3C696039" w:rsidR="00BE1E33" w:rsidRPr="00A70F57" w:rsidRDefault="00BE1E33" w:rsidP="0043588C">
            <w:pPr>
              <w:spacing w:before="120"/>
              <w:jc w:val="both"/>
              <w:rPr>
                <w:rFonts w:ascii="Arial" w:eastAsia="Calibri" w:hAnsi="Arial" w:cs="Arial"/>
                <w:sz w:val="22"/>
                <w:lang w:val="es-ES_tradnl"/>
              </w:rPr>
            </w:pPr>
            <w:r w:rsidRPr="00A70F57">
              <w:rPr>
                <w:rFonts w:ascii="Arial" w:eastAsia="Calibri" w:hAnsi="Arial" w:cs="Arial"/>
                <w:sz w:val="22"/>
                <w:lang w:val="es-ES_tradnl"/>
              </w:rPr>
              <w:t xml:space="preserve">Respuesta a consulta </w:t>
            </w:r>
            <w:r w:rsidR="001E570E" w:rsidRPr="001E570E">
              <w:rPr>
                <w:rFonts w:ascii="Arial" w:eastAsia="Calibri" w:hAnsi="Arial" w:cs="Arial"/>
                <w:sz w:val="22"/>
                <w:lang w:val="es-ES_tradnl"/>
              </w:rPr>
              <w:t>P20211006009201</w:t>
            </w:r>
          </w:p>
        </w:tc>
      </w:tr>
    </w:tbl>
    <w:p w14:paraId="06248123" w14:textId="6545141B" w:rsidR="00BE1E33" w:rsidRDefault="00BE1E33" w:rsidP="00BE1E33">
      <w:pPr>
        <w:jc w:val="both"/>
        <w:rPr>
          <w:rFonts w:ascii="Arial" w:eastAsia="Calibri" w:hAnsi="Arial" w:cs="Arial"/>
          <w:sz w:val="22"/>
          <w:lang w:val="es-ES_tradnl"/>
        </w:rPr>
      </w:pPr>
    </w:p>
    <w:p w14:paraId="26214DB1" w14:textId="77777777" w:rsidR="001E570E" w:rsidRPr="00A70F57" w:rsidRDefault="001E570E" w:rsidP="00BE1E33">
      <w:pPr>
        <w:jc w:val="both"/>
        <w:rPr>
          <w:rFonts w:ascii="Arial" w:eastAsia="Calibri" w:hAnsi="Arial" w:cs="Arial"/>
          <w:sz w:val="22"/>
          <w:lang w:val="es-ES_tradnl"/>
        </w:rPr>
      </w:pPr>
    </w:p>
    <w:p w14:paraId="417ABDA8" w14:textId="380683C9" w:rsidR="00BE1E33" w:rsidRPr="00A70F57" w:rsidRDefault="00AD6359" w:rsidP="00BE1E33">
      <w:pPr>
        <w:rPr>
          <w:rFonts w:ascii="Arial" w:eastAsia="Calibri" w:hAnsi="Arial" w:cs="Arial"/>
          <w:sz w:val="22"/>
          <w:lang w:val="es-ES_tradnl"/>
        </w:rPr>
      </w:pPr>
      <w:r>
        <w:rPr>
          <w:rFonts w:ascii="Arial" w:eastAsia="Calibri" w:hAnsi="Arial" w:cs="Arial"/>
          <w:sz w:val="22"/>
          <w:lang w:val="es-ES_tradnl"/>
        </w:rPr>
        <w:t xml:space="preserve">Respetado señor </w:t>
      </w:r>
      <w:r w:rsidR="00B331DC">
        <w:rPr>
          <w:rFonts w:ascii="Arial" w:eastAsia="Calibri" w:hAnsi="Arial" w:cs="Arial"/>
          <w:sz w:val="22"/>
          <w:lang w:val="es-ES_tradnl"/>
        </w:rPr>
        <w:t>Forero</w:t>
      </w:r>
      <w:r w:rsidR="00F41276">
        <w:rPr>
          <w:rFonts w:ascii="Arial" w:eastAsia="Calibri" w:hAnsi="Arial" w:cs="Arial"/>
          <w:sz w:val="22"/>
          <w:lang w:val="es-ES_tradnl"/>
        </w:rPr>
        <w:t>:</w:t>
      </w:r>
    </w:p>
    <w:p w14:paraId="1CCABABD" w14:textId="77777777" w:rsidR="00BE1E33" w:rsidRPr="00A70F57" w:rsidRDefault="00BE1E33" w:rsidP="00BE1E33">
      <w:pPr>
        <w:rPr>
          <w:rFonts w:ascii="Arial" w:eastAsia="Calibri" w:hAnsi="Arial" w:cs="Arial"/>
          <w:sz w:val="22"/>
          <w:lang w:val="es-ES_tradnl"/>
        </w:rPr>
      </w:pPr>
    </w:p>
    <w:p w14:paraId="286A9CEF" w14:textId="1318DC89" w:rsidR="00BE1E33" w:rsidRPr="00A70F57" w:rsidRDefault="00BE1E33" w:rsidP="00BE1E33">
      <w:pPr>
        <w:spacing w:line="276" w:lineRule="auto"/>
        <w:jc w:val="both"/>
        <w:rPr>
          <w:rFonts w:ascii="Arial" w:eastAsia="Calibri" w:hAnsi="Arial" w:cs="Arial"/>
          <w:sz w:val="22"/>
          <w:lang w:val="es-ES_tradnl"/>
        </w:rPr>
      </w:pPr>
      <w:r w:rsidRPr="00A70F57">
        <w:rPr>
          <w:rFonts w:ascii="Arial" w:eastAsia="Calibri" w:hAnsi="Arial" w:cs="Arial"/>
          <w:sz w:val="22"/>
          <w:lang w:val="es-ES_tradnl"/>
        </w:rPr>
        <w:t>En ejercicio de la competencia otorgada por los artículos 11, numeral 8º, y 3º, numeral 5º, del Decreto Ley 4170 de 2011</w:t>
      </w:r>
      <w:r w:rsidR="00314712">
        <w:rPr>
          <w:rFonts w:ascii="Arial" w:eastAsia="Calibri" w:hAnsi="Arial" w:cs="Arial"/>
          <w:color w:val="000000" w:themeColor="text1"/>
          <w:sz w:val="22"/>
          <w:lang w:val="es-ES_tradnl"/>
        </w:rPr>
        <w:t xml:space="preserve">, </w:t>
      </w:r>
      <w:r w:rsidRPr="00A70F57">
        <w:rPr>
          <w:rFonts w:ascii="Arial" w:eastAsia="Calibri" w:hAnsi="Arial" w:cs="Arial"/>
          <w:sz w:val="22"/>
          <w:lang w:val="es-ES_tradnl"/>
        </w:rPr>
        <w:t xml:space="preserve">la Agencia Nacional de Contratación Pública − Colombia Compra Eficiente responde su consulta </w:t>
      </w:r>
      <w:r w:rsidR="00131937" w:rsidRPr="00A70F57">
        <w:rPr>
          <w:rFonts w:ascii="Arial" w:eastAsia="Calibri" w:hAnsi="Arial" w:cs="Arial"/>
          <w:sz w:val="22"/>
          <w:lang w:val="es-ES_tradnl"/>
        </w:rPr>
        <w:t xml:space="preserve">con fecha </w:t>
      </w:r>
      <w:r w:rsidR="008B1E4F">
        <w:rPr>
          <w:rFonts w:ascii="Arial" w:eastAsia="Calibri" w:hAnsi="Arial" w:cs="Arial"/>
          <w:sz w:val="22"/>
          <w:lang w:val="es-ES_tradnl"/>
        </w:rPr>
        <w:t xml:space="preserve">de </w:t>
      </w:r>
      <w:r w:rsidR="00B331DC">
        <w:rPr>
          <w:rFonts w:ascii="Arial" w:eastAsia="Calibri" w:hAnsi="Arial" w:cs="Arial"/>
          <w:sz w:val="22"/>
          <w:lang w:val="es-ES_tradnl"/>
        </w:rPr>
        <w:t xml:space="preserve">6 de octubre de 2021. </w:t>
      </w:r>
      <w:r w:rsidRPr="00A70F57">
        <w:rPr>
          <w:rFonts w:ascii="Arial" w:eastAsia="Calibri" w:hAnsi="Arial" w:cs="Arial"/>
          <w:sz w:val="22"/>
          <w:lang w:val="es-ES_tradnl"/>
        </w:rPr>
        <w:t xml:space="preserve"> </w:t>
      </w:r>
    </w:p>
    <w:p w14:paraId="1D13401D" w14:textId="77777777" w:rsidR="00BE1E33" w:rsidRPr="00A70F57" w:rsidRDefault="00BE1E33" w:rsidP="00BE1E33">
      <w:pPr>
        <w:spacing w:line="276" w:lineRule="auto"/>
        <w:jc w:val="both"/>
        <w:rPr>
          <w:rFonts w:ascii="Arial" w:eastAsia="Calibri" w:hAnsi="Arial" w:cs="Arial"/>
          <w:sz w:val="22"/>
          <w:lang w:val="es-ES_tradnl"/>
        </w:rPr>
      </w:pPr>
    </w:p>
    <w:p w14:paraId="03AFD917" w14:textId="77777777" w:rsidR="00B4229D"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A70F57">
        <w:rPr>
          <w:rFonts w:ascii="Arial" w:eastAsia="Calibri" w:hAnsi="Arial" w:cs="Arial"/>
          <w:b/>
          <w:sz w:val="22"/>
          <w:lang w:val="es-ES_tradnl"/>
        </w:rPr>
        <w:t>Problema planteado</w:t>
      </w:r>
    </w:p>
    <w:p w14:paraId="068F505C" w14:textId="3BD12A3E" w:rsidR="00BE1E33" w:rsidRPr="002A6849" w:rsidRDefault="00BE1E33" w:rsidP="002A6849">
      <w:pPr>
        <w:pStyle w:val="Prrafodelista"/>
        <w:tabs>
          <w:tab w:val="left" w:pos="284"/>
        </w:tabs>
        <w:spacing w:line="276" w:lineRule="auto"/>
        <w:ind w:left="0"/>
        <w:jc w:val="both"/>
        <w:rPr>
          <w:rFonts w:ascii="Arial" w:eastAsia="Calibri" w:hAnsi="Arial" w:cs="Arial"/>
          <w:bCs/>
          <w:sz w:val="22"/>
          <w:lang w:val="es-ES_tradnl"/>
        </w:rPr>
      </w:pPr>
    </w:p>
    <w:p w14:paraId="124F33B6" w14:textId="6484A3C1" w:rsidR="00D556E6" w:rsidRDefault="00B4229D" w:rsidP="00D556E6">
      <w:pPr>
        <w:pStyle w:val="NormalWeb"/>
        <w:shd w:val="clear" w:color="auto" w:fill="FFFFFF"/>
        <w:spacing w:before="0" w:beforeAutospacing="0" w:after="0" w:afterAutospacing="0" w:line="276" w:lineRule="auto"/>
        <w:jc w:val="both"/>
        <w:rPr>
          <w:rFonts w:ascii="Arial" w:eastAsia="Calibri" w:hAnsi="Arial" w:cs="Arial"/>
          <w:sz w:val="21"/>
          <w:szCs w:val="21"/>
          <w:lang w:val="es-ES"/>
        </w:rPr>
      </w:pPr>
      <w:r>
        <w:rPr>
          <w:rFonts w:ascii="Arial" w:eastAsia="Calibri" w:hAnsi="Arial" w:cs="Arial"/>
          <w:sz w:val="22"/>
          <w:szCs w:val="22"/>
          <w:lang w:val="es-ES"/>
        </w:rPr>
        <w:t>Respecto a</w:t>
      </w:r>
      <w:r w:rsidR="00A70F57">
        <w:rPr>
          <w:rFonts w:ascii="Arial" w:eastAsia="Calibri" w:hAnsi="Arial" w:cs="Arial"/>
          <w:sz w:val="22"/>
          <w:szCs w:val="22"/>
          <w:lang w:val="es-ES"/>
        </w:rPr>
        <w:t xml:space="preserve"> la</w:t>
      </w:r>
      <w:r w:rsidR="00B331DC">
        <w:rPr>
          <w:rFonts w:ascii="Arial" w:eastAsia="Calibri" w:hAnsi="Arial" w:cs="Arial"/>
          <w:sz w:val="22"/>
          <w:szCs w:val="22"/>
          <w:lang w:val="es-ES"/>
        </w:rPr>
        <w:t xml:space="preserve"> presentación de los estados financieros para</w:t>
      </w:r>
      <w:r w:rsidR="00A70F57">
        <w:rPr>
          <w:rFonts w:ascii="Arial" w:eastAsia="Calibri" w:hAnsi="Arial" w:cs="Arial"/>
          <w:sz w:val="22"/>
          <w:szCs w:val="22"/>
          <w:lang w:val="es-ES"/>
        </w:rPr>
        <w:t xml:space="preserve"> </w:t>
      </w:r>
      <w:r w:rsidR="00B331DC">
        <w:rPr>
          <w:rFonts w:ascii="Arial" w:eastAsia="Calibri" w:hAnsi="Arial" w:cs="Arial"/>
          <w:sz w:val="22"/>
          <w:szCs w:val="22"/>
          <w:lang w:val="es-ES"/>
        </w:rPr>
        <w:t>acreditar l</w:t>
      </w:r>
      <w:r w:rsidR="00A70F57">
        <w:rPr>
          <w:rFonts w:ascii="Arial" w:eastAsia="Calibri" w:hAnsi="Arial" w:cs="Arial"/>
          <w:sz w:val="22"/>
          <w:szCs w:val="22"/>
          <w:lang w:val="es-ES"/>
        </w:rPr>
        <w:t xml:space="preserve">a capacidad organizacional relacionada con la capacidad residual en los </w:t>
      </w:r>
      <w:r w:rsidR="00CD040F">
        <w:rPr>
          <w:rFonts w:ascii="Arial" w:eastAsia="Calibri" w:hAnsi="Arial" w:cs="Arial"/>
          <w:sz w:val="22"/>
          <w:szCs w:val="22"/>
          <w:lang w:val="es-ES"/>
        </w:rPr>
        <w:t>documentos tipo</w:t>
      </w:r>
      <w:r w:rsidR="00A70F57" w:rsidRPr="00A70F57">
        <w:rPr>
          <w:rFonts w:ascii="Arial" w:eastAsia="Calibri" w:hAnsi="Arial" w:cs="Arial"/>
          <w:sz w:val="22"/>
          <w:szCs w:val="22"/>
          <w:lang w:val="es-ES"/>
        </w:rPr>
        <w:t xml:space="preserve"> para </w:t>
      </w:r>
      <w:r w:rsidR="00A70F57">
        <w:rPr>
          <w:rFonts w:ascii="Arial" w:eastAsia="Calibri" w:hAnsi="Arial" w:cs="Arial"/>
          <w:sz w:val="22"/>
          <w:szCs w:val="22"/>
          <w:lang w:val="es-ES"/>
        </w:rPr>
        <w:t>licitación de obra pública</w:t>
      </w:r>
      <w:r w:rsidR="007C1D6C">
        <w:rPr>
          <w:rFonts w:ascii="Arial" w:eastAsia="Calibri" w:hAnsi="Arial" w:cs="Arial"/>
          <w:sz w:val="22"/>
          <w:szCs w:val="22"/>
          <w:lang w:val="es-ES"/>
        </w:rPr>
        <w:t xml:space="preserve"> </w:t>
      </w:r>
      <w:r w:rsidR="00C6572A">
        <w:rPr>
          <w:rFonts w:ascii="Arial" w:eastAsia="Calibri" w:hAnsi="Arial" w:cs="Arial"/>
          <w:sz w:val="22"/>
          <w:szCs w:val="22"/>
          <w:lang w:val="es-ES"/>
        </w:rPr>
        <w:t>–</w:t>
      </w:r>
      <w:r w:rsidR="00A70F57">
        <w:rPr>
          <w:rFonts w:ascii="Arial" w:eastAsia="Calibri" w:hAnsi="Arial" w:cs="Arial"/>
          <w:sz w:val="22"/>
          <w:szCs w:val="22"/>
          <w:lang w:val="es-ES"/>
        </w:rPr>
        <w:t xml:space="preserve"> Versión 3</w:t>
      </w:r>
      <w:r w:rsidR="00B331DC">
        <w:rPr>
          <w:rFonts w:ascii="Arial" w:eastAsia="Calibri" w:hAnsi="Arial" w:cs="Arial"/>
          <w:sz w:val="22"/>
          <w:szCs w:val="22"/>
          <w:lang w:val="es-ES"/>
        </w:rPr>
        <w:t xml:space="preserve"> y de selección abreviada de menor cuantía – </w:t>
      </w:r>
      <w:r w:rsidR="007C1D6C">
        <w:rPr>
          <w:rFonts w:ascii="Arial" w:eastAsia="Calibri" w:hAnsi="Arial" w:cs="Arial"/>
          <w:sz w:val="22"/>
          <w:szCs w:val="22"/>
          <w:lang w:val="es-ES"/>
        </w:rPr>
        <w:t>V</w:t>
      </w:r>
      <w:r w:rsidR="00B331DC">
        <w:rPr>
          <w:rFonts w:ascii="Arial" w:eastAsia="Calibri" w:hAnsi="Arial" w:cs="Arial"/>
          <w:sz w:val="22"/>
          <w:szCs w:val="22"/>
          <w:lang w:val="es-ES"/>
        </w:rPr>
        <w:t>ersión 2</w:t>
      </w:r>
      <w:r w:rsidR="00D556E6">
        <w:rPr>
          <w:rFonts w:ascii="Arial" w:eastAsia="Calibri" w:hAnsi="Arial" w:cs="Arial"/>
          <w:sz w:val="22"/>
          <w:szCs w:val="22"/>
          <w:lang w:val="es-ES"/>
        </w:rPr>
        <w:t>, usted solicita</w:t>
      </w:r>
      <w:r w:rsidR="00A70F57">
        <w:rPr>
          <w:rFonts w:ascii="Arial" w:eastAsia="Calibri" w:hAnsi="Arial" w:cs="Arial"/>
          <w:sz w:val="22"/>
          <w:szCs w:val="22"/>
          <w:lang w:val="es-ES"/>
        </w:rPr>
        <w:t>:</w:t>
      </w:r>
      <w:r w:rsidR="00B331DC">
        <w:rPr>
          <w:rFonts w:ascii="Arial" w:eastAsia="Calibri" w:hAnsi="Arial" w:cs="Arial"/>
          <w:sz w:val="21"/>
          <w:szCs w:val="21"/>
          <w:lang w:val="es-ES"/>
        </w:rPr>
        <w:t xml:space="preserve"> </w:t>
      </w:r>
    </w:p>
    <w:p w14:paraId="28684AA7" w14:textId="77777777" w:rsidR="00A511DE" w:rsidRDefault="00A511DE" w:rsidP="00D556E6">
      <w:pPr>
        <w:pStyle w:val="NormalWeb"/>
        <w:shd w:val="clear" w:color="auto" w:fill="FFFFFF"/>
        <w:spacing w:before="0" w:beforeAutospacing="0" w:after="0" w:afterAutospacing="0" w:line="276" w:lineRule="auto"/>
        <w:jc w:val="both"/>
        <w:rPr>
          <w:rFonts w:ascii="Arial" w:eastAsia="Calibri" w:hAnsi="Arial" w:cs="Arial"/>
          <w:sz w:val="21"/>
          <w:szCs w:val="21"/>
          <w:lang w:val="es-ES"/>
        </w:rPr>
      </w:pPr>
    </w:p>
    <w:p w14:paraId="66D79EA1" w14:textId="3473C781" w:rsidR="00B331DC" w:rsidRDefault="00D556E6" w:rsidP="002A6849">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Pr>
          <w:rFonts w:ascii="Arial" w:eastAsia="Calibri" w:hAnsi="Arial" w:cs="Arial"/>
          <w:sz w:val="21"/>
          <w:szCs w:val="21"/>
          <w:lang w:val="es-ES"/>
        </w:rPr>
        <w:t xml:space="preserve">«[…] </w:t>
      </w:r>
      <w:r w:rsidR="00B331DC">
        <w:rPr>
          <w:rFonts w:ascii="Arial" w:eastAsia="Calibri" w:hAnsi="Arial" w:cs="Arial"/>
          <w:sz w:val="21"/>
          <w:szCs w:val="21"/>
          <w:lang w:val="es-ES"/>
        </w:rPr>
        <w:t>aclarar si de acuerdo con lo preceptuado en el artículo 37 de la Ley 222 de 1995, los proponentes aparte de presentar el estado de resultados integral del año en que haya obtenido el mayor ingreso operacional en los últimos cinco (5) años, deben adjuntar la certificación de que trata el artículo 37?</w:t>
      </w:r>
    </w:p>
    <w:p w14:paraId="68C3697A" w14:textId="4F8B11C8" w:rsidR="003E09D5" w:rsidRDefault="00B331DC" w:rsidP="002A6849">
      <w:pPr>
        <w:pStyle w:val="NormalWeb"/>
        <w:shd w:val="clear" w:color="auto" w:fill="FFFFFF"/>
        <w:spacing w:before="0" w:beforeAutospacing="0" w:after="0" w:afterAutospacing="0"/>
        <w:ind w:left="709" w:right="709"/>
        <w:jc w:val="both"/>
        <w:rPr>
          <w:rFonts w:ascii="Arial" w:eastAsia="Calibri" w:hAnsi="Arial" w:cs="Arial"/>
          <w:sz w:val="21"/>
          <w:szCs w:val="21"/>
          <w:lang w:val="es-ES"/>
        </w:rPr>
      </w:pPr>
      <w:proofErr w:type="gramStart"/>
      <w:r>
        <w:rPr>
          <w:rFonts w:ascii="Arial" w:eastAsia="Calibri" w:hAnsi="Arial" w:cs="Arial"/>
          <w:sz w:val="21"/>
          <w:szCs w:val="21"/>
          <w:lang w:val="es-ES"/>
        </w:rPr>
        <w:lastRenderedPageBreak/>
        <w:t>En el mismo sentido, las personas naturales en el ejercicio de su profesión liberal (ingenieros, arquitectos, etc</w:t>
      </w:r>
      <w:r w:rsidR="00A511DE">
        <w:rPr>
          <w:rFonts w:ascii="Arial" w:eastAsia="Calibri" w:hAnsi="Arial" w:cs="Arial"/>
          <w:sz w:val="21"/>
          <w:szCs w:val="21"/>
          <w:lang w:val="es-ES"/>
        </w:rPr>
        <w:t>.</w:t>
      </w:r>
      <w:r>
        <w:rPr>
          <w:rFonts w:ascii="Arial" w:eastAsia="Calibri" w:hAnsi="Arial" w:cs="Arial"/>
          <w:sz w:val="21"/>
          <w:szCs w:val="21"/>
          <w:lang w:val="es-ES"/>
        </w:rPr>
        <w:t>) que participan en los procesos de selección deben aportar estados de resultados certificados?</w:t>
      </w:r>
      <w:proofErr w:type="gramEnd"/>
      <w:r w:rsidR="00A70F57" w:rsidRPr="00786FD6">
        <w:rPr>
          <w:rFonts w:ascii="Arial" w:eastAsia="Calibri" w:hAnsi="Arial" w:cs="Arial"/>
          <w:sz w:val="21"/>
          <w:szCs w:val="21"/>
          <w:lang w:val="es-ES"/>
        </w:rPr>
        <w:t>»</w:t>
      </w:r>
      <w:r w:rsidR="005F13A1">
        <w:rPr>
          <w:rFonts w:ascii="Arial" w:eastAsia="Calibri" w:hAnsi="Arial" w:cs="Arial"/>
          <w:sz w:val="21"/>
          <w:szCs w:val="21"/>
          <w:lang w:val="es-ES"/>
        </w:rPr>
        <w:t>.</w:t>
      </w:r>
    </w:p>
    <w:p w14:paraId="04198737" w14:textId="77777777" w:rsidR="00A70F57" w:rsidRPr="00A70F57" w:rsidRDefault="00A70F57" w:rsidP="002A6849">
      <w:pPr>
        <w:pStyle w:val="NormalWeb"/>
        <w:shd w:val="clear" w:color="auto" w:fill="FFFFFF"/>
        <w:spacing w:before="0" w:beforeAutospacing="0" w:after="0" w:afterAutospacing="0" w:line="276" w:lineRule="auto"/>
        <w:ind w:left="709" w:right="709"/>
        <w:jc w:val="both"/>
        <w:rPr>
          <w:rFonts w:ascii="Arial" w:eastAsia="Calibri" w:hAnsi="Arial" w:cs="Arial"/>
          <w:sz w:val="22"/>
          <w:szCs w:val="22"/>
          <w:lang w:val="es-MX"/>
        </w:rPr>
      </w:pPr>
    </w:p>
    <w:p w14:paraId="01D94D72" w14:textId="33F0D306" w:rsidR="00BE1E33" w:rsidRPr="00A70F57"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A70F57">
        <w:rPr>
          <w:rFonts w:ascii="Arial" w:eastAsia="Calibri" w:hAnsi="Arial" w:cs="Arial"/>
          <w:b/>
          <w:sz w:val="22"/>
          <w:lang w:val="es-ES_tradnl"/>
        </w:rPr>
        <w:t>Consideraciones</w:t>
      </w:r>
    </w:p>
    <w:p w14:paraId="19CBFB9F" w14:textId="77777777" w:rsidR="00A511DE" w:rsidRDefault="00A511DE" w:rsidP="00A511DE">
      <w:pPr>
        <w:spacing w:line="276" w:lineRule="auto"/>
        <w:jc w:val="both"/>
        <w:rPr>
          <w:rFonts w:ascii="Arial" w:eastAsia="Calibri" w:hAnsi="Arial" w:cs="Arial"/>
          <w:sz w:val="22"/>
        </w:rPr>
      </w:pPr>
    </w:p>
    <w:p w14:paraId="5715587E" w14:textId="25384A0F" w:rsidR="009E6C5F" w:rsidRPr="00A70F57" w:rsidRDefault="00B67C63" w:rsidP="002A6849">
      <w:pPr>
        <w:spacing w:line="276" w:lineRule="auto"/>
        <w:jc w:val="both"/>
        <w:rPr>
          <w:rFonts w:ascii="Arial" w:eastAsia="Calibri" w:hAnsi="Arial" w:cs="Arial"/>
          <w:sz w:val="22"/>
        </w:rPr>
      </w:pPr>
      <w:r w:rsidRPr="00A70F57">
        <w:rPr>
          <w:rFonts w:ascii="Arial" w:eastAsia="Calibri" w:hAnsi="Arial" w:cs="Arial"/>
          <w:sz w:val="22"/>
        </w:rPr>
        <w:t>Para responder su consulta, esta dependencia analiz</w:t>
      </w:r>
      <w:r w:rsidR="003163C5" w:rsidRPr="00A70F57">
        <w:rPr>
          <w:rFonts w:ascii="Arial" w:eastAsia="Calibri" w:hAnsi="Arial" w:cs="Arial"/>
          <w:sz w:val="22"/>
        </w:rPr>
        <w:t>ará</w:t>
      </w:r>
      <w:r w:rsidR="00AD6359">
        <w:rPr>
          <w:rFonts w:ascii="Arial" w:eastAsia="Calibri" w:hAnsi="Arial" w:cs="Arial"/>
          <w:sz w:val="22"/>
        </w:rPr>
        <w:t xml:space="preserve"> los siguientes aspectos: i) </w:t>
      </w:r>
      <w:r w:rsidR="003163C5" w:rsidRPr="00A70F57">
        <w:rPr>
          <w:rFonts w:ascii="Arial" w:eastAsia="Calibri" w:hAnsi="Arial" w:cs="Arial"/>
          <w:sz w:val="22"/>
        </w:rPr>
        <w:t>información financiera requerida para calcular la capacidad de organización</w:t>
      </w:r>
      <w:r w:rsidR="00F2127E">
        <w:rPr>
          <w:rFonts w:ascii="Arial" w:eastAsia="Calibri" w:hAnsi="Arial" w:cs="Arial"/>
          <w:sz w:val="22"/>
        </w:rPr>
        <w:t xml:space="preserve"> para efectos de la capacidad residual</w:t>
      </w:r>
      <w:r w:rsidR="009E6C5F" w:rsidRPr="00A70F57">
        <w:rPr>
          <w:rFonts w:ascii="Arial" w:eastAsia="Calibri" w:hAnsi="Arial" w:cs="Arial"/>
          <w:sz w:val="22"/>
        </w:rPr>
        <w:t>,</w:t>
      </w:r>
      <w:r w:rsidR="00547F95">
        <w:rPr>
          <w:rFonts w:ascii="Arial" w:eastAsia="Calibri" w:hAnsi="Arial" w:cs="Arial"/>
          <w:sz w:val="22"/>
        </w:rPr>
        <w:t xml:space="preserve"> </w:t>
      </w:r>
      <w:proofErr w:type="spellStart"/>
      <w:r w:rsidR="00547F95">
        <w:rPr>
          <w:rFonts w:ascii="Arial" w:eastAsia="Calibri" w:hAnsi="Arial" w:cs="Arial"/>
          <w:sz w:val="22"/>
        </w:rPr>
        <w:t>ii</w:t>
      </w:r>
      <w:proofErr w:type="spellEnd"/>
      <w:r w:rsidR="00547F95">
        <w:rPr>
          <w:rFonts w:ascii="Arial" w:eastAsia="Calibri" w:hAnsi="Arial" w:cs="Arial"/>
          <w:sz w:val="22"/>
        </w:rPr>
        <w:t xml:space="preserve">) </w:t>
      </w:r>
      <w:r w:rsidR="00C6572A">
        <w:rPr>
          <w:rFonts w:ascii="Arial" w:eastAsia="Calibri" w:hAnsi="Arial" w:cs="Arial"/>
          <w:sz w:val="22"/>
        </w:rPr>
        <w:t>a</w:t>
      </w:r>
      <w:r w:rsidR="003163C5" w:rsidRPr="00A70F57">
        <w:rPr>
          <w:rFonts w:ascii="Arial" w:eastAsia="Calibri" w:hAnsi="Arial" w:cs="Arial"/>
          <w:sz w:val="22"/>
        </w:rPr>
        <w:t>creditación del factor Capacidad de Organización (CO) en las versiones 1,</w:t>
      </w:r>
      <w:r w:rsidR="00C6572A">
        <w:rPr>
          <w:rFonts w:ascii="Arial" w:eastAsia="Calibri" w:hAnsi="Arial" w:cs="Arial"/>
          <w:sz w:val="22"/>
        </w:rPr>
        <w:t xml:space="preserve"> </w:t>
      </w:r>
      <w:r w:rsidR="003163C5" w:rsidRPr="00A70F57">
        <w:rPr>
          <w:rFonts w:ascii="Arial" w:eastAsia="Calibri" w:hAnsi="Arial" w:cs="Arial"/>
          <w:sz w:val="22"/>
        </w:rPr>
        <w:t xml:space="preserve">2 y 3 de los </w:t>
      </w:r>
      <w:r w:rsidR="00CA58FB" w:rsidRPr="00A70F57">
        <w:rPr>
          <w:rFonts w:ascii="Arial" w:eastAsia="Calibri" w:hAnsi="Arial" w:cs="Arial"/>
          <w:sz w:val="22"/>
        </w:rPr>
        <w:t>documentos tipo</w:t>
      </w:r>
      <w:r w:rsidR="003163C5" w:rsidRPr="00A70F57">
        <w:rPr>
          <w:rFonts w:ascii="Arial" w:eastAsia="Calibri" w:hAnsi="Arial" w:cs="Arial"/>
          <w:sz w:val="22"/>
        </w:rPr>
        <w:t xml:space="preserve"> de licitación de obra pública de infraestructura de transporte</w:t>
      </w:r>
      <w:r w:rsidR="005C29D9">
        <w:rPr>
          <w:rFonts w:ascii="Arial" w:eastAsia="Calibri" w:hAnsi="Arial" w:cs="Arial"/>
          <w:sz w:val="22"/>
        </w:rPr>
        <w:t>,</w:t>
      </w:r>
      <w:r w:rsidR="003163C5" w:rsidRPr="00A70F57">
        <w:rPr>
          <w:rFonts w:ascii="Arial" w:eastAsia="Calibri" w:hAnsi="Arial" w:cs="Arial"/>
          <w:sz w:val="22"/>
        </w:rPr>
        <w:t xml:space="preserve"> </w:t>
      </w:r>
      <w:proofErr w:type="spellStart"/>
      <w:r w:rsidR="009E6C5F" w:rsidRPr="00A70F57">
        <w:rPr>
          <w:rFonts w:ascii="Arial" w:eastAsia="Calibri" w:hAnsi="Arial" w:cs="Arial"/>
          <w:sz w:val="22"/>
        </w:rPr>
        <w:t>i</w:t>
      </w:r>
      <w:r w:rsidR="00E63ADB" w:rsidRPr="00A70F57">
        <w:rPr>
          <w:rFonts w:ascii="Arial" w:eastAsia="Calibri" w:hAnsi="Arial" w:cs="Arial"/>
          <w:sz w:val="22"/>
        </w:rPr>
        <w:t>ii</w:t>
      </w:r>
      <w:proofErr w:type="spellEnd"/>
      <w:r w:rsidR="00E63ADB" w:rsidRPr="00A70F57">
        <w:rPr>
          <w:rFonts w:ascii="Arial" w:eastAsia="Calibri" w:hAnsi="Arial" w:cs="Arial"/>
          <w:sz w:val="22"/>
        </w:rPr>
        <w:t xml:space="preserve">) </w:t>
      </w:r>
      <w:r w:rsidR="00C6572A">
        <w:rPr>
          <w:rFonts w:ascii="Arial" w:eastAsia="Calibri" w:hAnsi="Arial" w:cs="Arial"/>
          <w:sz w:val="22"/>
        </w:rPr>
        <w:t>e</w:t>
      </w:r>
      <w:r w:rsidR="00AD6359" w:rsidRPr="00AD6359">
        <w:rPr>
          <w:rFonts w:ascii="Arial" w:eastAsia="Calibri" w:hAnsi="Arial" w:cs="Arial"/>
          <w:sz w:val="22"/>
        </w:rPr>
        <w:t xml:space="preserve">stado de resultados en los </w:t>
      </w:r>
      <w:r w:rsidR="00CA58FB" w:rsidRPr="00AD6359">
        <w:rPr>
          <w:rFonts w:ascii="Arial" w:eastAsia="Calibri" w:hAnsi="Arial" w:cs="Arial"/>
          <w:sz w:val="22"/>
        </w:rPr>
        <w:t>documentos tipo</w:t>
      </w:r>
      <w:r w:rsidR="00AD6359" w:rsidRPr="00AD6359">
        <w:rPr>
          <w:rFonts w:ascii="Arial" w:eastAsia="Calibri" w:hAnsi="Arial" w:cs="Arial"/>
          <w:sz w:val="22"/>
        </w:rPr>
        <w:t xml:space="preserve"> para licitación de obra pública de infraestructura de transporte </w:t>
      </w:r>
      <w:r w:rsidR="00C6572A">
        <w:rPr>
          <w:rFonts w:ascii="Arial" w:eastAsia="Calibri" w:hAnsi="Arial" w:cs="Arial"/>
          <w:sz w:val="22"/>
        </w:rPr>
        <w:t>–</w:t>
      </w:r>
      <w:r w:rsidR="00AD6359" w:rsidRPr="00AD6359">
        <w:rPr>
          <w:rFonts w:ascii="Arial" w:eastAsia="Calibri" w:hAnsi="Arial" w:cs="Arial"/>
          <w:sz w:val="22"/>
        </w:rPr>
        <w:t xml:space="preserve"> Versión 3</w:t>
      </w:r>
      <w:r w:rsidR="00AD6359">
        <w:rPr>
          <w:rFonts w:ascii="Arial" w:eastAsia="Calibri" w:hAnsi="Arial" w:cs="Arial"/>
          <w:sz w:val="22"/>
        </w:rPr>
        <w:t xml:space="preserve"> </w:t>
      </w:r>
      <w:r w:rsidR="005C29D9">
        <w:rPr>
          <w:rFonts w:ascii="Arial" w:eastAsia="Calibri" w:hAnsi="Arial" w:cs="Arial"/>
          <w:sz w:val="22"/>
        </w:rPr>
        <w:t>y</w:t>
      </w:r>
      <w:r w:rsidR="003163C5" w:rsidRPr="00A70F57">
        <w:rPr>
          <w:rFonts w:ascii="Arial" w:eastAsia="Calibri" w:hAnsi="Arial" w:cs="Arial"/>
          <w:sz w:val="22"/>
        </w:rPr>
        <w:t xml:space="preserve"> </w:t>
      </w:r>
      <w:proofErr w:type="spellStart"/>
      <w:r w:rsidR="003163C5" w:rsidRPr="00A70F57">
        <w:rPr>
          <w:rFonts w:ascii="Arial" w:eastAsia="Calibri" w:hAnsi="Arial" w:cs="Arial"/>
          <w:sz w:val="22"/>
        </w:rPr>
        <w:t>iv</w:t>
      </w:r>
      <w:proofErr w:type="spellEnd"/>
      <w:r w:rsidR="003163C5" w:rsidRPr="00A70F57">
        <w:rPr>
          <w:rFonts w:ascii="Arial" w:eastAsia="Calibri" w:hAnsi="Arial" w:cs="Arial"/>
          <w:sz w:val="22"/>
        </w:rPr>
        <w:t xml:space="preserve">) </w:t>
      </w:r>
      <w:r w:rsidR="004C5C69">
        <w:rPr>
          <w:rFonts w:ascii="Arial" w:eastAsia="Calibri" w:hAnsi="Arial" w:cs="Arial"/>
          <w:sz w:val="22"/>
        </w:rPr>
        <w:t>r</w:t>
      </w:r>
      <w:r w:rsidR="0032592B">
        <w:rPr>
          <w:rFonts w:ascii="Arial" w:eastAsia="Calibri" w:hAnsi="Arial" w:cs="Arial"/>
          <w:sz w:val="22"/>
        </w:rPr>
        <w:t>egla</w:t>
      </w:r>
      <w:r w:rsidR="00AD6359">
        <w:rPr>
          <w:rFonts w:ascii="Arial" w:eastAsia="Calibri" w:hAnsi="Arial" w:cs="Arial"/>
          <w:sz w:val="22"/>
        </w:rPr>
        <w:t xml:space="preserve"> de inalterabilidad de los </w:t>
      </w:r>
      <w:r w:rsidR="00CA58FB">
        <w:rPr>
          <w:rFonts w:ascii="Arial" w:eastAsia="Calibri" w:hAnsi="Arial" w:cs="Arial"/>
          <w:sz w:val="22"/>
        </w:rPr>
        <w:t>documentos tipo</w:t>
      </w:r>
      <w:r w:rsidR="00AD6359">
        <w:rPr>
          <w:rFonts w:ascii="Arial" w:eastAsia="Calibri" w:hAnsi="Arial" w:cs="Arial"/>
          <w:sz w:val="22"/>
        </w:rPr>
        <w:t>.</w:t>
      </w:r>
    </w:p>
    <w:p w14:paraId="5C65F02D" w14:textId="7B6DF305" w:rsidR="00A4372E" w:rsidRDefault="00BE1E33" w:rsidP="00C0223D">
      <w:pPr>
        <w:spacing w:before="120" w:line="276" w:lineRule="auto"/>
        <w:ind w:firstLine="709"/>
        <w:jc w:val="both"/>
        <w:rPr>
          <w:rFonts w:ascii="Arial" w:hAnsi="Arial" w:cs="Arial"/>
          <w:bCs/>
          <w:color w:val="000000" w:themeColor="text1"/>
          <w:sz w:val="22"/>
        </w:rPr>
      </w:pPr>
      <w:r w:rsidRPr="00606FE0">
        <w:rPr>
          <w:rFonts w:ascii="Arial" w:eastAsia="Calibri" w:hAnsi="Arial" w:cs="Arial"/>
          <w:sz w:val="22"/>
          <w:lang w:val="es-ES_tradnl"/>
        </w:rPr>
        <w:t>La Agencia Nacional de Contratación Pública − Colombia Compra Eficiente se ha pro</w:t>
      </w:r>
      <w:r w:rsidR="00A4372E" w:rsidRPr="00606FE0">
        <w:rPr>
          <w:rFonts w:ascii="Arial" w:eastAsia="Calibri" w:hAnsi="Arial" w:cs="Arial"/>
          <w:sz w:val="22"/>
          <w:lang w:val="es-ES_tradnl"/>
        </w:rPr>
        <w:t>nunciado en diferentes oportunidades</w:t>
      </w:r>
      <w:r w:rsidRPr="00606FE0">
        <w:rPr>
          <w:rFonts w:ascii="Arial" w:eastAsia="Calibri" w:hAnsi="Arial" w:cs="Arial"/>
          <w:sz w:val="22"/>
          <w:lang w:val="es-ES_tradnl"/>
        </w:rPr>
        <w:t xml:space="preserve"> sobre</w:t>
      </w:r>
      <w:r w:rsidR="00E63ADB" w:rsidRPr="00606FE0">
        <w:rPr>
          <w:rFonts w:ascii="Arial" w:eastAsia="Calibri" w:hAnsi="Arial" w:cs="Arial"/>
          <w:sz w:val="22"/>
          <w:lang w:val="es-ES_tradnl"/>
        </w:rPr>
        <w:t xml:space="preserve"> </w:t>
      </w:r>
      <w:r w:rsidR="00606FE0" w:rsidRPr="00606FE0">
        <w:rPr>
          <w:rFonts w:ascii="Arial" w:eastAsia="Calibri" w:hAnsi="Arial" w:cs="Arial"/>
          <w:sz w:val="22"/>
          <w:lang w:val="es-ES_tradnl"/>
        </w:rPr>
        <w:t xml:space="preserve">los requisitos para acreditar la capacidad residual en los </w:t>
      </w:r>
      <w:r w:rsidR="00CA58FB" w:rsidRPr="00606FE0">
        <w:rPr>
          <w:rFonts w:ascii="Arial" w:eastAsia="Calibri" w:hAnsi="Arial" w:cs="Arial"/>
          <w:sz w:val="22"/>
          <w:lang w:val="es-ES_tradnl"/>
        </w:rPr>
        <w:t>documentos tipo</w:t>
      </w:r>
      <w:r w:rsidR="00CA58FB" w:rsidRPr="00606FE0">
        <w:rPr>
          <w:rFonts w:ascii="Arial" w:eastAsia="Calibri" w:hAnsi="Arial" w:cs="Arial"/>
          <w:bCs/>
          <w:sz w:val="22"/>
        </w:rPr>
        <w:t xml:space="preserve"> </w:t>
      </w:r>
      <w:r w:rsidR="00606FE0" w:rsidRPr="00606FE0">
        <w:rPr>
          <w:rFonts w:ascii="Arial" w:eastAsia="Times New Roman" w:hAnsi="Arial" w:cs="Arial"/>
          <w:bCs/>
          <w:color w:val="000000" w:themeColor="text1"/>
          <w:sz w:val="22"/>
          <w:lang w:eastAsia="es-ES_tradnl"/>
        </w:rPr>
        <w:t>para licitación de obra pública de infraestructura de transporte</w:t>
      </w:r>
      <w:r w:rsidR="004C5C69">
        <w:rPr>
          <w:rFonts w:ascii="Arial" w:eastAsia="Times New Roman" w:hAnsi="Arial" w:cs="Arial"/>
          <w:bCs/>
          <w:color w:val="000000" w:themeColor="text1"/>
          <w:sz w:val="22"/>
          <w:lang w:eastAsia="es-ES_tradnl"/>
        </w:rPr>
        <w:t>,</w:t>
      </w:r>
      <w:r w:rsidR="00606FE0" w:rsidRPr="00606FE0">
        <w:rPr>
          <w:rFonts w:ascii="Arial" w:eastAsia="Times New Roman" w:hAnsi="Arial" w:cs="Arial"/>
          <w:bCs/>
          <w:color w:val="000000" w:themeColor="text1"/>
          <w:sz w:val="22"/>
          <w:lang w:eastAsia="es-ES_tradnl"/>
        </w:rPr>
        <w:t xml:space="preserve"> </w:t>
      </w:r>
      <w:r w:rsidR="00A4372E" w:rsidRPr="00606FE0">
        <w:rPr>
          <w:rFonts w:ascii="Arial" w:eastAsia="Calibri" w:hAnsi="Arial" w:cs="Arial"/>
          <w:bCs/>
          <w:sz w:val="22"/>
        </w:rPr>
        <w:t>en</w:t>
      </w:r>
      <w:r w:rsidR="00A4372E" w:rsidRPr="00606FE0">
        <w:rPr>
          <w:rFonts w:ascii="Arial" w:eastAsia="Calibri" w:hAnsi="Arial" w:cs="Arial"/>
          <w:sz w:val="22"/>
          <w:lang w:val="es-ES_tradnl"/>
        </w:rPr>
        <w:t xml:space="preserve"> los</w:t>
      </w:r>
      <w:r w:rsidR="00A4372E" w:rsidRPr="00606FE0">
        <w:rPr>
          <w:rFonts w:ascii="Arial" w:eastAsia="Calibri" w:hAnsi="Arial" w:cs="Arial"/>
          <w:bCs/>
          <w:sz w:val="22"/>
        </w:rPr>
        <w:t xml:space="preserve"> </w:t>
      </w:r>
      <w:r w:rsidR="00606FE0" w:rsidRPr="00547F95">
        <w:rPr>
          <w:rFonts w:ascii="Arial" w:eastAsia="Calibri" w:hAnsi="Arial" w:cs="Arial"/>
          <w:sz w:val="22"/>
        </w:rPr>
        <w:t>conceptos C</w:t>
      </w:r>
      <w:r w:rsidR="00606FE0" w:rsidRPr="00547F95">
        <w:rPr>
          <w:rFonts w:ascii="Arial" w:hAnsi="Arial" w:cs="Arial"/>
          <w:bCs/>
          <w:color w:val="000000" w:themeColor="text1"/>
          <w:sz w:val="22"/>
        </w:rPr>
        <w:t xml:space="preserve">-389 del 21 de julio de 2020, </w:t>
      </w:r>
      <w:r w:rsidR="00547F95" w:rsidRPr="00547F95">
        <w:rPr>
          <w:rFonts w:ascii="Arial" w:hAnsi="Arial" w:cs="Arial"/>
          <w:bCs/>
          <w:color w:val="000000" w:themeColor="text1"/>
          <w:sz w:val="22"/>
        </w:rPr>
        <w:t xml:space="preserve">C-393 del 21 de julio de 2020, </w:t>
      </w:r>
      <w:r w:rsidR="00606FE0" w:rsidRPr="00547F95">
        <w:rPr>
          <w:rFonts w:ascii="Arial" w:hAnsi="Arial" w:cs="Arial"/>
          <w:bCs/>
          <w:color w:val="000000" w:themeColor="text1"/>
          <w:sz w:val="22"/>
        </w:rPr>
        <w:t>C-461 del 13 de julio de 2020, C-742 del 16 de diciembre de 2020</w:t>
      </w:r>
      <w:r w:rsidR="00547F95" w:rsidRPr="00547F95">
        <w:rPr>
          <w:rFonts w:ascii="Arial" w:eastAsia="Calibri" w:hAnsi="Arial" w:cs="Arial"/>
          <w:sz w:val="22"/>
        </w:rPr>
        <w:t xml:space="preserve">, C-067 del 15 de marzo de 2021, </w:t>
      </w:r>
      <w:r w:rsidR="00606FE0" w:rsidRPr="00547F95">
        <w:rPr>
          <w:rFonts w:ascii="Arial" w:eastAsia="Calibri" w:hAnsi="Arial" w:cs="Arial"/>
          <w:sz w:val="22"/>
        </w:rPr>
        <w:t>C-170</w:t>
      </w:r>
      <w:r w:rsidR="00547F95">
        <w:rPr>
          <w:rFonts w:ascii="Arial" w:eastAsia="Calibri" w:hAnsi="Arial" w:cs="Arial"/>
          <w:sz w:val="22"/>
        </w:rPr>
        <w:t xml:space="preserve"> del 20 de abril de 2021, </w:t>
      </w:r>
      <w:r w:rsidR="00CA58FB">
        <w:rPr>
          <w:rFonts w:ascii="Arial" w:eastAsia="Calibri" w:hAnsi="Arial" w:cs="Arial"/>
          <w:sz w:val="22"/>
        </w:rPr>
        <w:t>C-467 de 7 de septiembre de 2021,</w:t>
      </w:r>
      <w:r w:rsidR="00802FA8">
        <w:rPr>
          <w:rFonts w:ascii="Arial" w:eastAsia="Calibri" w:hAnsi="Arial" w:cs="Arial"/>
          <w:sz w:val="22"/>
        </w:rPr>
        <w:t xml:space="preserve"> C-521 del 24 de septiembre de 2021,</w:t>
      </w:r>
      <w:r w:rsidR="00CA58FB">
        <w:rPr>
          <w:rFonts w:ascii="Arial" w:eastAsia="Calibri" w:hAnsi="Arial" w:cs="Arial"/>
          <w:sz w:val="22"/>
        </w:rPr>
        <w:t xml:space="preserve"> </w:t>
      </w:r>
      <w:r w:rsidR="00547F95">
        <w:rPr>
          <w:rFonts w:ascii="Arial" w:eastAsia="Calibri" w:hAnsi="Arial" w:cs="Arial"/>
          <w:sz w:val="22"/>
        </w:rPr>
        <w:t xml:space="preserve">entre otros. De igual manera, ha analizado la inalterabilidad de los </w:t>
      </w:r>
      <w:r w:rsidR="00CA58FB">
        <w:rPr>
          <w:rFonts w:ascii="Arial" w:eastAsia="Calibri" w:hAnsi="Arial" w:cs="Arial"/>
          <w:sz w:val="22"/>
        </w:rPr>
        <w:t>documentos tipo</w:t>
      </w:r>
      <w:r w:rsidR="00547F95">
        <w:rPr>
          <w:rFonts w:ascii="Arial" w:eastAsia="Calibri" w:hAnsi="Arial" w:cs="Arial"/>
          <w:sz w:val="22"/>
        </w:rPr>
        <w:t xml:space="preserve"> en </w:t>
      </w:r>
      <w:r w:rsidR="00413E25">
        <w:rPr>
          <w:rFonts w:ascii="Arial" w:eastAsia="Calibri" w:hAnsi="Arial" w:cs="Arial"/>
          <w:sz w:val="22"/>
        </w:rPr>
        <w:t xml:space="preserve">los </w:t>
      </w:r>
      <w:r w:rsidR="00547F95">
        <w:rPr>
          <w:rFonts w:ascii="Arial" w:eastAsia="Calibri" w:hAnsi="Arial" w:cs="Arial"/>
          <w:sz w:val="22"/>
        </w:rPr>
        <w:t>conceptos C-179 del 28 de abril de 2021, C-287 del 18 de junio de 2021</w:t>
      </w:r>
      <w:r w:rsidR="00F2127E">
        <w:rPr>
          <w:rFonts w:ascii="Arial" w:eastAsia="Calibri" w:hAnsi="Arial" w:cs="Arial"/>
          <w:sz w:val="22"/>
        </w:rPr>
        <w:t>,</w:t>
      </w:r>
      <w:r w:rsidR="00547F95">
        <w:rPr>
          <w:rFonts w:ascii="Arial" w:eastAsia="Calibri" w:hAnsi="Arial" w:cs="Arial"/>
          <w:sz w:val="22"/>
        </w:rPr>
        <w:t xml:space="preserve"> C-428 del 20 de agosto de 2021,</w:t>
      </w:r>
      <w:r w:rsidR="0082612E">
        <w:rPr>
          <w:rFonts w:ascii="Arial" w:eastAsia="Calibri" w:hAnsi="Arial" w:cs="Arial"/>
          <w:sz w:val="22"/>
        </w:rPr>
        <w:t xml:space="preserve"> entre otros. L</w:t>
      </w:r>
      <w:r w:rsidR="00606FE0" w:rsidRPr="00606FE0">
        <w:rPr>
          <w:rFonts w:ascii="Arial" w:hAnsi="Arial" w:cs="Arial"/>
          <w:color w:val="000000" w:themeColor="text1"/>
          <w:sz w:val="22"/>
        </w:rPr>
        <w:t>a</w:t>
      </w:r>
      <w:r w:rsidR="00C6572A">
        <w:rPr>
          <w:rFonts w:ascii="Arial" w:hAnsi="Arial" w:cs="Arial"/>
          <w:color w:val="000000" w:themeColor="text1"/>
          <w:sz w:val="22"/>
        </w:rPr>
        <w:t>s</w:t>
      </w:r>
      <w:r w:rsidR="00606FE0" w:rsidRPr="00606FE0">
        <w:rPr>
          <w:rFonts w:ascii="Arial" w:hAnsi="Arial" w:cs="Arial"/>
          <w:color w:val="000000" w:themeColor="text1"/>
          <w:sz w:val="22"/>
        </w:rPr>
        <w:t xml:space="preserve"> tesis desarrollada</w:t>
      </w:r>
      <w:r w:rsidR="00C6572A">
        <w:rPr>
          <w:rFonts w:ascii="Arial" w:hAnsi="Arial" w:cs="Arial"/>
          <w:color w:val="000000" w:themeColor="text1"/>
          <w:sz w:val="22"/>
        </w:rPr>
        <w:t>s</w:t>
      </w:r>
      <w:r w:rsidR="0082612E">
        <w:rPr>
          <w:rFonts w:ascii="Arial" w:hAnsi="Arial" w:cs="Arial"/>
          <w:color w:val="000000" w:themeColor="text1"/>
          <w:sz w:val="22"/>
        </w:rPr>
        <w:t xml:space="preserve"> en dichos conceptos se reitera</w:t>
      </w:r>
      <w:r w:rsidR="00C6572A">
        <w:rPr>
          <w:rFonts w:ascii="Arial" w:hAnsi="Arial" w:cs="Arial"/>
          <w:color w:val="000000" w:themeColor="text1"/>
          <w:sz w:val="22"/>
        </w:rPr>
        <w:t>n</w:t>
      </w:r>
      <w:r w:rsidR="0082612E">
        <w:rPr>
          <w:rFonts w:ascii="Arial" w:hAnsi="Arial" w:cs="Arial"/>
          <w:color w:val="000000" w:themeColor="text1"/>
          <w:sz w:val="22"/>
        </w:rPr>
        <w:t xml:space="preserve"> </w:t>
      </w:r>
      <w:r w:rsidR="00606FE0" w:rsidRPr="00606FE0">
        <w:rPr>
          <w:rFonts w:ascii="Arial" w:hAnsi="Arial" w:cs="Arial"/>
          <w:bCs/>
          <w:color w:val="000000" w:themeColor="text1"/>
          <w:sz w:val="22"/>
        </w:rPr>
        <w:t>y se complementa</w:t>
      </w:r>
      <w:r w:rsidR="00C6572A">
        <w:rPr>
          <w:rFonts w:ascii="Arial" w:hAnsi="Arial" w:cs="Arial"/>
          <w:bCs/>
          <w:color w:val="000000" w:themeColor="text1"/>
          <w:sz w:val="22"/>
        </w:rPr>
        <w:t>n</w:t>
      </w:r>
      <w:r w:rsidR="00606FE0" w:rsidRPr="00606FE0">
        <w:rPr>
          <w:rFonts w:ascii="Arial" w:hAnsi="Arial" w:cs="Arial"/>
          <w:bCs/>
          <w:color w:val="000000" w:themeColor="text1"/>
          <w:sz w:val="22"/>
        </w:rPr>
        <w:t xml:space="preserve"> en lo pertinente.</w:t>
      </w:r>
      <w:r w:rsidR="00606FE0">
        <w:rPr>
          <w:rFonts w:ascii="Arial" w:hAnsi="Arial" w:cs="Arial"/>
          <w:bCs/>
          <w:color w:val="000000" w:themeColor="text1"/>
          <w:sz w:val="22"/>
        </w:rPr>
        <w:t xml:space="preserve"> </w:t>
      </w:r>
    </w:p>
    <w:p w14:paraId="296B196E" w14:textId="77777777" w:rsidR="00DF0F6A" w:rsidRDefault="00DF0F6A" w:rsidP="00DE0E26">
      <w:pPr>
        <w:tabs>
          <w:tab w:val="left" w:pos="426"/>
        </w:tabs>
        <w:spacing w:line="276" w:lineRule="auto"/>
        <w:jc w:val="both"/>
        <w:rPr>
          <w:rFonts w:ascii="Arial" w:eastAsia="Calibri" w:hAnsi="Arial" w:cs="Arial"/>
          <w:b/>
          <w:bCs/>
          <w:sz w:val="22"/>
        </w:rPr>
      </w:pPr>
    </w:p>
    <w:p w14:paraId="36744E0F" w14:textId="05B98E0D" w:rsidR="000E7F3A" w:rsidRDefault="009161B8" w:rsidP="00DE0E26">
      <w:pPr>
        <w:tabs>
          <w:tab w:val="left" w:pos="426"/>
        </w:tabs>
        <w:spacing w:line="276" w:lineRule="auto"/>
        <w:jc w:val="both"/>
        <w:rPr>
          <w:rFonts w:ascii="Arial" w:eastAsia="Calibri" w:hAnsi="Arial" w:cs="Arial"/>
          <w:b/>
          <w:bCs/>
          <w:sz w:val="22"/>
        </w:rPr>
      </w:pPr>
      <w:r w:rsidRPr="00A70F57">
        <w:rPr>
          <w:rFonts w:ascii="Arial" w:eastAsia="Calibri" w:hAnsi="Arial" w:cs="Arial"/>
          <w:b/>
          <w:bCs/>
          <w:sz w:val="22"/>
        </w:rPr>
        <w:t>2.1</w:t>
      </w:r>
      <w:r w:rsidR="00935BE4" w:rsidRPr="00A70F57">
        <w:rPr>
          <w:rFonts w:ascii="Arial" w:eastAsia="Calibri" w:hAnsi="Arial" w:cs="Arial"/>
          <w:b/>
          <w:bCs/>
          <w:sz w:val="22"/>
        </w:rPr>
        <w:t xml:space="preserve">. </w:t>
      </w:r>
      <w:r w:rsidR="00DE0E26" w:rsidRPr="00A70F57">
        <w:rPr>
          <w:rFonts w:ascii="Arial" w:eastAsia="Calibri" w:hAnsi="Arial" w:cs="Arial"/>
          <w:b/>
          <w:bCs/>
          <w:sz w:val="22"/>
        </w:rPr>
        <w:t>Capacidad residual</w:t>
      </w:r>
      <w:r w:rsidR="00413E25">
        <w:rPr>
          <w:rFonts w:ascii="Arial" w:eastAsia="Calibri" w:hAnsi="Arial" w:cs="Arial"/>
          <w:b/>
          <w:bCs/>
          <w:sz w:val="22"/>
        </w:rPr>
        <w:t xml:space="preserve"> e i</w:t>
      </w:r>
      <w:r w:rsidR="00DE0E26" w:rsidRPr="00A70F57">
        <w:rPr>
          <w:rFonts w:ascii="Arial" w:eastAsia="Calibri" w:hAnsi="Arial" w:cs="Arial"/>
          <w:b/>
          <w:bCs/>
          <w:sz w:val="22"/>
        </w:rPr>
        <w:t>nformación financiera requerida para calcular la capacidad de organización</w:t>
      </w:r>
    </w:p>
    <w:p w14:paraId="4BC719A1" w14:textId="77777777" w:rsidR="00F2127E" w:rsidRPr="00A70F57" w:rsidRDefault="00F2127E" w:rsidP="00DE0E26">
      <w:pPr>
        <w:tabs>
          <w:tab w:val="left" w:pos="426"/>
        </w:tabs>
        <w:spacing w:line="276" w:lineRule="auto"/>
        <w:jc w:val="both"/>
        <w:rPr>
          <w:rFonts w:ascii="Arial" w:eastAsia="Calibri" w:hAnsi="Arial" w:cs="Arial"/>
          <w:b/>
          <w:bCs/>
          <w:sz w:val="22"/>
        </w:rPr>
      </w:pPr>
    </w:p>
    <w:p w14:paraId="40CDE736" w14:textId="630C3FAE" w:rsidR="000F5F52" w:rsidRPr="00A70F57" w:rsidRDefault="000F5F52" w:rsidP="002A6849">
      <w:pPr>
        <w:tabs>
          <w:tab w:val="left" w:pos="426"/>
        </w:tabs>
        <w:spacing w:after="120" w:line="276" w:lineRule="auto"/>
        <w:jc w:val="both"/>
        <w:rPr>
          <w:rFonts w:ascii="Arial" w:hAnsi="Arial" w:cs="Arial"/>
          <w:iCs/>
          <w:sz w:val="22"/>
        </w:rPr>
      </w:pPr>
      <w:r w:rsidRPr="00A70F57">
        <w:rPr>
          <w:rFonts w:ascii="Arial" w:hAnsi="Arial" w:cs="Arial"/>
          <w:iCs/>
          <w:sz w:val="22"/>
        </w:rPr>
        <w:t xml:space="preserve">De acuerdo con el artículo 2.2.1.1.1.3.1 del Decreto 1082 de 2015, la capacidad residual es la aptitud de los oferentes para cumplir de manera oportuna y a cabalidad el objeto de un contrato de obra, sin que los demás compromisos contractuales que han adquirido afecten su habilidad para cumplir el objeto del contrato que está en proceso de </w:t>
      </w:r>
      <w:r w:rsidR="009E6C5F" w:rsidRPr="00A70F57">
        <w:rPr>
          <w:rFonts w:ascii="Arial" w:hAnsi="Arial" w:cs="Arial"/>
          <w:iCs/>
          <w:sz w:val="22"/>
        </w:rPr>
        <w:t>selección.</w:t>
      </w:r>
      <w:r w:rsidRPr="00A70F57">
        <w:rPr>
          <w:rFonts w:ascii="Arial" w:hAnsi="Arial" w:cs="Arial"/>
          <w:iCs/>
          <w:sz w:val="22"/>
        </w:rPr>
        <w:t xml:space="preserve"> Por su parte, el Consejo de Estado ha definido la capacidad residual como «la diferencia que existe entre el potencial de contratación que se tiene y los compromisos que haya adquirido y que se encuentren en ejecución, para la fecha de presentación de la oferta»</w:t>
      </w:r>
      <w:r w:rsidR="009E6C5F" w:rsidRPr="00A70F57">
        <w:rPr>
          <w:rFonts w:ascii="Arial" w:eastAsia="Calibri" w:hAnsi="Arial" w:cs="Arial"/>
          <w:color w:val="000000" w:themeColor="text1"/>
          <w:sz w:val="22"/>
          <w:vertAlign w:val="superscript"/>
        </w:rPr>
        <w:footnoteReference w:id="1"/>
      </w:r>
      <w:r w:rsidR="009E6C5F" w:rsidRPr="00A70F57">
        <w:rPr>
          <w:rFonts w:ascii="Arial" w:hAnsi="Arial" w:cs="Arial"/>
          <w:color w:val="000000" w:themeColor="text1"/>
          <w:sz w:val="22"/>
        </w:rPr>
        <w:t>.</w:t>
      </w:r>
    </w:p>
    <w:p w14:paraId="6A1A3684" w14:textId="67F3EF25" w:rsidR="008D0BF9" w:rsidRPr="00A70F57" w:rsidRDefault="009E6C5F" w:rsidP="002A6849">
      <w:pPr>
        <w:tabs>
          <w:tab w:val="left" w:pos="709"/>
        </w:tabs>
        <w:spacing w:before="120" w:line="276" w:lineRule="auto"/>
        <w:jc w:val="both"/>
        <w:rPr>
          <w:rFonts w:ascii="Arial" w:hAnsi="Arial" w:cs="Arial"/>
          <w:color w:val="000000" w:themeColor="text1"/>
          <w:sz w:val="22"/>
        </w:rPr>
      </w:pPr>
      <w:r w:rsidRPr="00A70F57">
        <w:rPr>
          <w:rFonts w:ascii="Arial" w:hAnsi="Arial" w:cs="Arial"/>
          <w:iCs/>
          <w:sz w:val="22"/>
        </w:rPr>
        <w:tab/>
      </w:r>
      <w:r w:rsidR="000F5F52" w:rsidRPr="00A70F57">
        <w:rPr>
          <w:rFonts w:ascii="Arial" w:hAnsi="Arial" w:cs="Arial"/>
          <w:iCs/>
          <w:sz w:val="22"/>
        </w:rPr>
        <w:t xml:space="preserve">En atención a lo anterior, la capacidad residual </w:t>
      </w:r>
      <w:r w:rsidR="00AE3E95">
        <w:rPr>
          <w:rFonts w:ascii="Arial" w:hAnsi="Arial" w:cs="Arial"/>
          <w:iCs/>
          <w:sz w:val="22"/>
        </w:rPr>
        <w:t>se refiere</w:t>
      </w:r>
      <w:r w:rsidR="000F5F52" w:rsidRPr="00A70F57">
        <w:rPr>
          <w:rFonts w:ascii="Arial" w:hAnsi="Arial" w:cs="Arial"/>
          <w:iCs/>
          <w:sz w:val="22"/>
        </w:rPr>
        <w:t xml:space="preserve"> a la suficiencia que tiene el proponente para asumir nuevas obligaciones que se derivan del contrato objeto del proceso de contratación, en relación con las obligaciones que ya adquirió frente a otros </w:t>
      </w:r>
      <w:r w:rsidR="000F5F52" w:rsidRPr="00A70F57">
        <w:rPr>
          <w:rFonts w:ascii="Arial" w:hAnsi="Arial" w:cs="Arial"/>
          <w:iCs/>
          <w:sz w:val="22"/>
        </w:rPr>
        <w:lastRenderedPageBreak/>
        <w:t>contratos.</w:t>
      </w:r>
      <w:r w:rsidR="004C5C69">
        <w:rPr>
          <w:rFonts w:ascii="Arial" w:hAnsi="Arial" w:cs="Arial"/>
          <w:iCs/>
          <w:sz w:val="22"/>
        </w:rPr>
        <w:t xml:space="preserve"> </w:t>
      </w:r>
      <w:r w:rsidR="004C5C69">
        <w:rPr>
          <w:rFonts w:ascii="Arial" w:hAnsi="Arial" w:cs="Arial"/>
          <w:color w:val="000000" w:themeColor="text1"/>
          <w:sz w:val="22"/>
        </w:rPr>
        <w:t>De esta manera, e</w:t>
      </w:r>
      <w:r w:rsidR="008D0BF9" w:rsidRPr="00A70F57">
        <w:rPr>
          <w:rFonts w:ascii="Arial" w:hAnsi="Arial" w:cs="Arial"/>
          <w:color w:val="000000" w:themeColor="text1"/>
          <w:sz w:val="22"/>
        </w:rPr>
        <w:t xml:space="preserve">l artículo 6 de la Ley 1150 de 2007 estableció como condición «para poder participar en los procesos de selección de los contratos de obra, la capacidad residual del proponente o K de contratación». Además, determinó que esta debe ser igual o superior a la establecida en los pliegos de condiciones, en los siguientes términos: </w:t>
      </w:r>
    </w:p>
    <w:p w14:paraId="68D80CEA" w14:textId="77777777" w:rsidR="00C0223D" w:rsidRDefault="00C0223D" w:rsidP="002A6849">
      <w:pPr>
        <w:spacing w:line="276" w:lineRule="auto"/>
        <w:ind w:left="708" w:right="709"/>
        <w:jc w:val="both"/>
        <w:rPr>
          <w:rFonts w:ascii="Arial" w:eastAsia="Calibri" w:hAnsi="Arial" w:cs="Arial"/>
          <w:color w:val="000000" w:themeColor="text1"/>
          <w:sz w:val="22"/>
        </w:rPr>
      </w:pPr>
    </w:p>
    <w:p w14:paraId="323B4350" w14:textId="142A3EBA" w:rsidR="008D0BF9" w:rsidRPr="00C0223D" w:rsidRDefault="008D0BF9" w:rsidP="002A6849">
      <w:pPr>
        <w:spacing w:after="120"/>
        <w:ind w:left="709" w:right="709"/>
        <w:jc w:val="both"/>
        <w:rPr>
          <w:rFonts w:ascii="Arial" w:eastAsia="Calibri" w:hAnsi="Arial" w:cs="Arial"/>
          <w:color w:val="000000" w:themeColor="text1"/>
          <w:sz w:val="21"/>
          <w:szCs w:val="21"/>
        </w:rPr>
      </w:pPr>
      <w:r w:rsidRPr="00C0223D">
        <w:rPr>
          <w:rFonts w:ascii="Arial" w:eastAsia="Calibri" w:hAnsi="Arial" w:cs="Arial"/>
          <w:color w:val="000000" w:themeColor="text1"/>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692110E" w14:textId="1D4B167C" w:rsidR="008D0BF9" w:rsidRDefault="008D0BF9" w:rsidP="00C0223D">
      <w:pPr>
        <w:ind w:left="708" w:right="709"/>
        <w:jc w:val="both"/>
        <w:rPr>
          <w:rFonts w:ascii="Arial" w:eastAsia="Calibri" w:hAnsi="Arial" w:cs="Arial"/>
          <w:color w:val="000000" w:themeColor="text1"/>
          <w:sz w:val="21"/>
          <w:szCs w:val="21"/>
        </w:rPr>
      </w:pPr>
      <w:r w:rsidRPr="00C0223D">
        <w:rPr>
          <w:rFonts w:ascii="Arial" w:eastAsia="Calibri" w:hAnsi="Arial" w:cs="Arial"/>
          <w:color w:val="000000" w:themeColor="text1"/>
          <w:sz w:val="21"/>
          <w:szCs w:val="21"/>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64AA41E0" w14:textId="77777777" w:rsidR="00AE3E95" w:rsidRPr="002A6849" w:rsidRDefault="00AE3E95" w:rsidP="002A6849">
      <w:pPr>
        <w:spacing w:line="276" w:lineRule="auto"/>
        <w:ind w:left="708" w:right="709"/>
        <w:jc w:val="both"/>
        <w:rPr>
          <w:rFonts w:ascii="Arial" w:eastAsia="Calibri" w:hAnsi="Arial" w:cs="Arial"/>
          <w:color w:val="000000" w:themeColor="text1"/>
          <w:sz w:val="22"/>
        </w:rPr>
      </w:pPr>
    </w:p>
    <w:p w14:paraId="7E84FB0B" w14:textId="3A799337" w:rsidR="008D0BF9" w:rsidRPr="007636CD" w:rsidRDefault="008D0BF9" w:rsidP="002A6849">
      <w:pPr>
        <w:spacing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Por su parte, el artículo 72 de la Ley 1682 de 2013, por la cual se adoptan medidas y disposiciones para los proyectos de infraestructura de transporte, estableció que la capacidad residual del proponente se debe calcular mediante la evaluación de los siguientes factores: Experiencia –E–, Capacidad Financiera –CF–, Capacidad Técnica –CT– y Capacidad de </w:t>
      </w:r>
      <w:r w:rsidRPr="00A70F57">
        <w:rPr>
          <w:rFonts w:ascii="Arial" w:eastAsia="Calibri" w:hAnsi="Arial" w:cs="Arial"/>
          <w:bCs/>
          <w:color w:val="000000" w:themeColor="text1"/>
          <w:sz w:val="22"/>
        </w:rPr>
        <w:t>Organización</w:t>
      </w:r>
      <w:r w:rsidRPr="00A70F57">
        <w:rPr>
          <w:rFonts w:ascii="Arial" w:hAnsi="Arial" w:cs="Arial"/>
          <w:color w:val="000000" w:themeColor="text1"/>
          <w:sz w:val="22"/>
        </w:rPr>
        <w:t xml:space="preserve"> –CO–. </w:t>
      </w:r>
      <w:r w:rsidR="007636CD">
        <w:rPr>
          <w:rFonts w:ascii="Arial" w:hAnsi="Arial" w:cs="Arial"/>
          <w:color w:val="000000" w:themeColor="text1"/>
          <w:sz w:val="22"/>
        </w:rPr>
        <w:t>En igual sentido</w:t>
      </w:r>
      <w:r w:rsidRPr="00A70F57">
        <w:rPr>
          <w:rFonts w:ascii="Arial" w:eastAsia="Calibri" w:hAnsi="Arial" w:cs="Arial"/>
          <w:color w:val="000000" w:themeColor="text1"/>
          <w:sz w:val="22"/>
        </w:rPr>
        <w:t xml:space="preserve">, el artículo 2.2.1.1.1.6.4 del Decreto 1082 de 2015 </w:t>
      </w:r>
      <w:r w:rsidR="008D2715">
        <w:rPr>
          <w:rFonts w:ascii="Arial" w:eastAsia="Calibri" w:hAnsi="Arial" w:cs="Arial"/>
          <w:color w:val="000000" w:themeColor="text1"/>
          <w:sz w:val="22"/>
        </w:rPr>
        <w:t>dispone</w:t>
      </w:r>
      <w:r w:rsidR="007636CD">
        <w:rPr>
          <w:rFonts w:ascii="Arial" w:eastAsia="Calibri" w:hAnsi="Arial" w:cs="Arial"/>
          <w:color w:val="000000" w:themeColor="text1"/>
          <w:sz w:val="22"/>
        </w:rPr>
        <w:t xml:space="preserve"> lo siguiente</w:t>
      </w:r>
      <w:r w:rsidRPr="00A70F57">
        <w:rPr>
          <w:rFonts w:ascii="Arial" w:eastAsia="Calibri" w:hAnsi="Arial" w:cs="Arial"/>
          <w:color w:val="000000" w:themeColor="text1"/>
          <w:sz w:val="22"/>
        </w:rPr>
        <w:t>:</w:t>
      </w:r>
    </w:p>
    <w:p w14:paraId="5390DF84" w14:textId="77777777" w:rsidR="004C5C69" w:rsidRPr="00A70F57" w:rsidRDefault="004C5C69" w:rsidP="00E30DF1">
      <w:pPr>
        <w:spacing w:line="276" w:lineRule="auto"/>
        <w:ind w:firstLine="709"/>
        <w:jc w:val="both"/>
        <w:rPr>
          <w:rFonts w:ascii="Arial" w:eastAsia="Calibri" w:hAnsi="Arial" w:cs="Arial"/>
          <w:color w:val="000000" w:themeColor="text1"/>
          <w:sz w:val="22"/>
        </w:rPr>
      </w:pPr>
    </w:p>
    <w:p w14:paraId="45FED4F5" w14:textId="680D948F" w:rsidR="002B0611" w:rsidRPr="00D75806" w:rsidRDefault="008D0BF9" w:rsidP="002A6849">
      <w:pPr>
        <w:spacing w:after="120"/>
        <w:ind w:left="709" w:right="709"/>
        <w:jc w:val="both"/>
        <w:rPr>
          <w:rFonts w:ascii="Arial" w:eastAsia="Calibri" w:hAnsi="Arial" w:cs="Arial"/>
          <w:color w:val="000000" w:themeColor="text1"/>
          <w:sz w:val="21"/>
          <w:szCs w:val="21"/>
        </w:rPr>
      </w:pPr>
      <w:r w:rsidRPr="00D75806">
        <w:rPr>
          <w:rFonts w:ascii="Arial" w:eastAsia="Calibri" w:hAnsi="Arial" w:cs="Arial"/>
          <w:color w:val="000000" w:themeColor="text1"/>
          <w:sz w:val="21"/>
          <w:szCs w:val="21"/>
        </w:rPr>
        <w:t>El interesado en celebrar contratos de obra pública con Entidades Estatales debe acreditar su Capacidad Residual o K de Contratación con los siguientes documentos: […]</w:t>
      </w:r>
    </w:p>
    <w:p w14:paraId="2197E50E" w14:textId="1D68483B" w:rsidR="008D0BF9" w:rsidRDefault="008D0BF9" w:rsidP="002B0611">
      <w:pPr>
        <w:ind w:left="708" w:right="709"/>
        <w:jc w:val="both"/>
        <w:rPr>
          <w:rFonts w:ascii="Arial" w:eastAsia="Calibri" w:hAnsi="Arial" w:cs="Arial"/>
          <w:color w:val="000000" w:themeColor="text1"/>
          <w:sz w:val="21"/>
          <w:szCs w:val="21"/>
        </w:rPr>
      </w:pPr>
      <w:r w:rsidRPr="00D75806">
        <w:rPr>
          <w:rFonts w:ascii="Arial" w:eastAsia="Calibri" w:hAnsi="Arial" w:cs="Arial"/>
          <w:color w:val="000000" w:themeColor="text1"/>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44A7C771" w14:textId="77777777" w:rsidR="004C5C69" w:rsidRPr="002A6849" w:rsidRDefault="004C5C69" w:rsidP="002A6849">
      <w:pPr>
        <w:spacing w:line="276" w:lineRule="auto"/>
        <w:ind w:left="708" w:right="709"/>
        <w:jc w:val="both"/>
        <w:rPr>
          <w:rFonts w:ascii="Arial" w:eastAsia="Calibri" w:hAnsi="Arial" w:cs="Arial"/>
          <w:color w:val="000000" w:themeColor="text1"/>
          <w:sz w:val="22"/>
        </w:rPr>
      </w:pPr>
    </w:p>
    <w:p w14:paraId="05685D96" w14:textId="40EA8C8C" w:rsidR="008D0BF9" w:rsidRPr="00A70F57" w:rsidRDefault="008D0BF9" w:rsidP="00E30DF1">
      <w:pPr>
        <w:spacing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De conformidad con lo anterior, la Agencia Nacional </w:t>
      </w:r>
      <w:r w:rsidR="007636CD">
        <w:rPr>
          <w:rFonts w:ascii="Arial" w:hAnsi="Arial" w:cs="Arial"/>
          <w:color w:val="000000" w:themeColor="text1"/>
          <w:sz w:val="22"/>
        </w:rPr>
        <w:t>de</w:t>
      </w:r>
      <w:r w:rsidRPr="00A70F57">
        <w:rPr>
          <w:rFonts w:ascii="Arial" w:hAnsi="Arial" w:cs="Arial"/>
          <w:color w:val="000000" w:themeColor="text1"/>
          <w:sz w:val="22"/>
        </w:rPr>
        <w:t xml:space="preserve"> Contratación Pública ‒‒ Colombia Compra Eficiente expidió la </w:t>
      </w:r>
      <w:r w:rsidR="00016205" w:rsidRPr="00A70F57">
        <w:rPr>
          <w:rFonts w:ascii="Arial" w:hAnsi="Arial" w:cs="Arial"/>
          <w:color w:val="000000" w:themeColor="text1"/>
          <w:sz w:val="22"/>
        </w:rPr>
        <w:t>guía para determinar y verificar la capacidad residual del proponente en los procesos de contratación de obra pública</w:t>
      </w:r>
      <w:r w:rsidRPr="00A70F57">
        <w:rPr>
          <w:rFonts w:ascii="Arial" w:hAnsi="Arial" w:cs="Arial"/>
          <w:color w:val="000000" w:themeColor="text1"/>
          <w:sz w:val="22"/>
        </w:rPr>
        <w:t xml:space="preserve">. En este documento se establece que la capacidad residual del proponente se calcula según la siguiente fórmula: </w:t>
      </w:r>
    </w:p>
    <w:p w14:paraId="0FDAF52C" w14:textId="77777777" w:rsidR="008D0BF9" w:rsidRPr="00A70F57" w:rsidRDefault="008D0BF9" w:rsidP="008D0BF9">
      <w:pPr>
        <w:spacing w:line="276" w:lineRule="auto"/>
        <w:jc w:val="both"/>
        <w:rPr>
          <w:rFonts w:ascii="Arial" w:hAnsi="Arial" w:cs="Arial"/>
          <w:color w:val="000000" w:themeColor="text1"/>
          <w:sz w:val="22"/>
        </w:rPr>
      </w:pPr>
    </w:p>
    <w:p w14:paraId="5DFC5CDE" w14:textId="77777777" w:rsidR="008D0BF9" w:rsidRPr="00A70F57" w:rsidRDefault="008D0BF9" w:rsidP="008D0BF9">
      <w:pPr>
        <w:spacing w:line="276" w:lineRule="auto"/>
        <w:jc w:val="center"/>
        <w:rPr>
          <w:rFonts w:ascii="Arial" w:hAnsi="Arial" w:cs="Arial"/>
          <w:color w:val="000000" w:themeColor="text1"/>
          <w:sz w:val="22"/>
        </w:rPr>
      </w:pPr>
      <w:r w:rsidRPr="00A70F57">
        <w:rPr>
          <w:rFonts w:ascii="Arial" w:hAnsi="Arial" w:cs="Arial"/>
          <w:noProof/>
          <w:sz w:val="22"/>
          <w:lang w:val="es-CO" w:eastAsia="es-CO"/>
        </w:rPr>
        <w:drawing>
          <wp:inline distT="0" distB="0" distL="0" distR="0" wp14:anchorId="15A64995" wp14:editId="540138C6">
            <wp:extent cx="4495800" cy="716280"/>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4495801" cy="716280"/>
                    </a:xfrm>
                    <a:prstGeom prst="rect">
                      <a:avLst/>
                    </a:prstGeom>
                  </pic:spPr>
                </pic:pic>
              </a:graphicData>
            </a:graphic>
          </wp:inline>
        </w:drawing>
      </w:r>
    </w:p>
    <w:p w14:paraId="3583A038" w14:textId="77777777" w:rsidR="008D0BF9" w:rsidRPr="00A70F57" w:rsidRDefault="008D0BF9" w:rsidP="008D0BF9">
      <w:pPr>
        <w:spacing w:line="276" w:lineRule="auto"/>
        <w:jc w:val="both"/>
        <w:rPr>
          <w:rFonts w:ascii="Arial" w:eastAsia="Calibri" w:hAnsi="Arial" w:cs="Arial"/>
          <w:bCs/>
          <w:color w:val="000000" w:themeColor="text1"/>
          <w:sz w:val="22"/>
        </w:rPr>
      </w:pPr>
      <w:r w:rsidRPr="00A70F57">
        <w:rPr>
          <w:rFonts w:ascii="Arial" w:eastAsia="Calibri" w:hAnsi="Arial" w:cs="Arial"/>
          <w:bCs/>
          <w:color w:val="000000" w:themeColor="text1"/>
          <w:sz w:val="22"/>
        </w:rPr>
        <w:tab/>
      </w:r>
    </w:p>
    <w:p w14:paraId="4EB2C4D2" w14:textId="34521C52" w:rsidR="00CF605F" w:rsidRPr="00A70F57" w:rsidRDefault="004C5C69" w:rsidP="00E30DF1">
      <w:pPr>
        <w:autoSpaceDE w:val="0"/>
        <w:autoSpaceDN w:val="0"/>
        <w:adjustRightInd w:val="0"/>
        <w:spacing w:line="276" w:lineRule="auto"/>
        <w:ind w:firstLine="708"/>
        <w:jc w:val="both"/>
        <w:rPr>
          <w:rFonts w:ascii="Arial" w:hAnsi="Arial" w:cs="Arial"/>
          <w:sz w:val="22"/>
          <w:lang w:val="es-CO"/>
        </w:rPr>
      </w:pPr>
      <w:r>
        <w:rPr>
          <w:rFonts w:ascii="Arial" w:hAnsi="Arial" w:cs="Arial"/>
          <w:sz w:val="22"/>
          <w:lang w:val="es-CO"/>
        </w:rPr>
        <w:lastRenderedPageBreak/>
        <w:t>Como se observa, la</w:t>
      </w:r>
      <w:r w:rsidR="00CF605F" w:rsidRPr="00A70F57">
        <w:rPr>
          <w:rFonts w:ascii="Arial" w:hAnsi="Arial" w:cs="Arial"/>
          <w:sz w:val="22"/>
          <w:lang w:val="es-CO"/>
        </w:rPr>
        <w:t xml:space="preserve"> </w:t>
      </w:r>
      <w:r w:rsidR="00016205" w:rsidRPr="00A70F57">
        <w:rPr>
          <w:rFonts w:ascii="Arial" w:hAnsi="Arial" w:cs="Arial"/>
          <w:sz w:val="22"/>
          <w:lang w:val="es-CO"/>
        </w:rPr>
        <w:t xml:space="preserve">Capacidad </w:t>
      </w:r>
      <w:r w:rsidR="00CF605F" w:rsidRPr="00A70F57">
        <w:rPr>
          <w:rFonts w:ascii="Arial" w:hAnsi="Arial" w:cs="Arial"/>
          <w:sz w:val="22"/>
          <w:lang w:val="es-CO"/>
        </w:rPr>
        <w:t xml:space="preserve">de </w:t>
      </w:r>
      <w:r w:rsidR="00016205" w:rsidRPr="00A70F57">
        <w:rPr>
          <w:rFonts w:ascii="Arial" w:hAnsi="Arial" w:cs="Arial"/>
          <w:sz w:val="22"/>
          <w:lang w:val="es-CO"/>
        </w:rPr>
        <w:t>Organización</w:t>
      </w:r>
      <w:r w:rsidR="00CF605F" w:rsidRPr="00A70F57">
        <w:rPr>
          <w:rFonts w:ascii="Arial" w:hAnsi="Arial" w:cs="Arial"/>
          <w:sz w:val="22"/>
          <w:lang w:val="es-CO"/>
        </w:rPr>
        <w:t xml:space="preserve"> </w:t>
      </w:r>
      <w:r w:rsidR="00016205">
        <w:rPr>
          <w:rFonts w:ascii="Arial" w:hAnsi="Arial" w:cs="Arial"/>
          <w:sz w:val="22"/>
          <w:lang w:val="es-CO"/>
        </w:rPr>
        <w:t>–</w:t>
      </w:r>
      <w:r w:rsidR="00CF605F" w:rsidRPr="00A70F57">
        <w:rPr>
          <w:rFonts w:ascii="Arial" w:hAnsi="Arial" w:cs="Arial"/>
          <w:sz w:val="22"/>
          <w:lang w:val="es-CO"/>
        </w:rPr>
        <w:t>CO</w:t>
      </w:r>
      <w:r w:rsidR="00016205">
        <w:rPr>
          <w:rFonts w:ascii="Arial" w:hAnsi="Arial" w:cs="Arial"/>
          <w:sz w:val="22"/>
          <w:lang w:val="es-CO"/>
        </w:rPr>
        <w:t>–</w:t>
      </w:r>
      <w:r w:rsidR="00CF605F" w:rsidRPr="00A70F57">
        <w:rPr>
          <w:rFonts w:ascii="Arial" w:hAnsi="Arial" w:cs="Arial"/>
          <w:sz w:val="22"/>
          <w:lang w:val="es-CO"/>
        </w:rPr>
        <w:t xml:space="preserve"> corresponde a</w:t>
      </w:r>
      <w:r w:rsidR="00B9767F" w:rsidRPr="00A70F57">
        <w:rPr>
          <w:rFonts w:ascii="Arial" w:hAnsi="Arial" w:cs="Arial"/>
          <w:sz w:val="22"/>
          <w:lang w:val="es-CO"/>
        </w:rPr>
        <w:t xml:space="preserve"> uno de los </w:t>
      </w:r>
      <w:r w:rsidR="00965D9D" w:rsidRPr="00A70F57">
        <w:rPr>
          <w:rFonts w:ascii="Arial" w:hAnsi="Arial" w:cs="Arial"/>
          <w:sz w:val="22"/>
          <w:lang w:val="es-CO"/>
        </w:rPr>
        <w:t>factores para</w:t>
      </w:r>
      <w:r w:rsidR="00B9767F" w:rsidRPr="00A70F57">
        <w:rPr>
          <w:rFonts w:ascii="Arial" w:hAnsi="Arial" w:cs="Arial"/>
          <w:sz w:val="22"/>
          <w:lang w:val="es-CO"/>
        </w:rPr>
        <w:t xml:space="preserve"> calcular la capacidad residual</w:t>
      </w:r>
      <w:r w:rsidR="00965D9D" w:rsidRPr="00A70F57">
        <w:rPr>
          <w:rFonts w:ascii="Arial" w:hAnsi="Arial" w:cs="Arial"/>
          <w:sz w:val="22"/>
          <w:lang w:val="es-CO"/>
        </w:rPr>
        <w:t xml:space="preserve"> del proponente en los procesos de obra pública.  Para su verificación se examinan </w:t>
      </w:r>
      <w:r w:rsidR="00CF605F" w:rsidRPr="00A70F57">
        <w:rPr>
          <w:rFonts w:ascii="Arial" w:hAnsi="Arial" w:cs="Arial"/>
          <w:sz w:val="22"/>
          <w:lang w:val="es-CO"/>
        </w:rPr>
        <w:t>los ingresos operacionales teniendo en cuenta lo siguiente:</w:t>
      </w:r>
    </w:p>
    <w:p w14:paraId="680ECE00" w14:textId="3FAA1EDC" w:rsidR="00CF605F" w:rsidRPr="00A70F57" w:rsidRDefault="00CF605F" w:rsidP="002A6849">
      <w:pPr>
        <w:autoSpaceDE w:val="0"/>
        <w:autoSpaceDN w:val="0"/>
        <w:adjustRightInd w:val="0"/>
        <w:spacing w:line="276" w:lineRule="auto"/>
        <w:rPr>
          <w:rFonts w:ascii="Arial" w:hAnsi="Arial" w:cs="Arial"/>
          <w:color w:val="58595B"/>
          <w:sz w:val="22"/>
          <w:lang w:val="es-CO"/>
        </w:rPr>
      </w:pPr>
    </w:p>
    <w:tbl>
      <w:tblPr>
        <w:tblStyle w:val="Tablaconcuadrcula2"/>
        <w:tblW w:w="7366" w:type="dxa"/>
        <w:tblInd w:w="709" w:type="dxa"/>
        <w:tblLook w:val="04A0" w:firstRow="1" w:lastRow="0" w:firstColumn="1" w:lastColumn="0" w:noHBand="0" w:noVBand="1"/>
      </w:tblPr>
      <w:tblGrid>
        <w:gridCol w:w="4053"/>
        <w:gridCol w:w="3313"/>
      </w:tblGrid>
      <w:tr w:rsidR="00CF605F" w:rsidRPr="00A70F57" w14:paraId="7D97AE45" w14:textId="77777777" w:rsidTr="00C11BCD">
        <w:tc>
          <w:tcPr>
            <w:tcW w:w="4053" w:type="dxa"/>
            <w:shd w:val="clear" w:color="auto" w:fill="D9D9D9"/>
          </w:tcPr>
          <w:p w14:paraId="3227C313" w14:textId="77777777" w:rsidR="00CF605F" w:rsidRPr="00A70F57" w:rsidRDefault="00CF605F" w:rsidP="00C11BCD">
            <w:pPr>
              <w:widowControl w:val="0"/>
              <w:tabs>
                <w:tab w:val="left" w:pos="993"/>
              </w:tabs>
              <w:autoSpaceDE w:val="0"/>
              <w:autoSpaceDN w:val="0"/>
              <w:spacing w:before="120" w:line="276" w:lineRule="auto"/>
              <w:ind w:right="51"/>
              <w:jc w:val="center"/>
              <w:rPr>
                <w:rFonts w:ascii="Arial" w:eastAsia="Arial" w:hAnsi="Arial" w:cs="Arial"/>
                <w:b/>
                <w:bCs/>
                <w:sz w:val="22"/>
                <w:lang w:val="es-ES" w:eastAsia="es-ES" w:bidi="es-ES"/>
              </w:rPr>
            </w:pPr>
            <w:r w:rsidRPr="00A70F57">
              <w:rPr>
                <w:rFonts w:ascii="Arial" w:eastAsia="Arial" w:hAnsi="Arial" w:cs="Arial"/>
                <w:b/>
                <w:bCs/>
                <w:sz w:val="22"/>
                <w:lang w:val="es-ES" w:eastAsia="es-ES" w:bidi="es-ES"/>
              </w:rPr>
              <w:t>Años de información financiera</w:t>
            </w:r>
          </w:p>
        </w:tc>
        <w:tc>
          <w:tcPr>
            <w:tcW w:w="3313" w:type="dxa"/>
            <w:shd w:val="clear" w:color="auto" w:fill="D9D9D9"/>
          </w:tcPr>
          <w:p w14:paraId="3A738A91" w14:textId="77777777" w:rsidR="00CF605F" w:rsidRPr="00A70F57" w:rsidRDefault="00CF605F" w:rsidP="00C11BCD">
            <w:pPr>
              <w:widowControl w:val="0"/>
              <w:tabs>
                <w:tab w:val="left" w:pos="993"/>
              </w:tabs>
              <w:autoSpaceDE w:val="0"/>
              <w:autoSpaceDN w:val="0"/>
              <w:spacing w:before="120" w:line="276" w:lineRule="auto"/>
              <w:ind w:right="51"/>
              <w:jc w:val="center"/>
              <w:rPr>
                <w:rFonts w:ascii="Arial" w:eastAsia="Arial" w:hAnsi="Arial" w:cs="Arial"/>
                <w:b/>
                <w:bCs/>
                <w:sz w:val="22"/>
                <w:lang w:val="es-ES" w:eastAsia="es-ES" w:bidi="es-ES"/>
              </w:rPr>
            </w:pPr>
            <w:r w:rsidRPr="00A70F57">
              <w:rPr>
                <w:rFonts w:ascii="Arial" w:eastAsia="Arial" w:hAnsi="Arial" w:cs="Arial"/>
                <w:b/>
                <w:bCs/>
                <w:sz w:val="22"/>
                <w:lang w:val="es-ES" w:eastAsia="es-ES" w:bidi="es-ES"/>
              </w:rPr>
              <w:t>Capacidad de organización</w:t>
            </w:r>
          </w:p>
        </w:tc>
      </w:tr>
      <w:tr w:rsidR="00CF605F" w:rsidRPr="00A70F57" w14:paraId="04BC75E1" w14:textId="77777777" w:rsidTr="00C11BCD">
        <w:tc>
          <w:tcPr>
            <w:tcW w:w="4053" w:type="dxa"/>
          </w:tcPr>
          <w:p w14:paraId="3F0585DA"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Cinco (5) años o más</w:t>
            </w:r>
          </w:p>
        </w:tc>
        <w:tc>
          <w:tcPr>
            <w:tcW w:w="3313" w:type="dxa"/>
          </w:tcPr>
          <w:p w14:paraId="51ECCE8A"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Mayor ingreso operacional de los últimos cinco años</w:t>
            </w:r>
          </w:p>
        </w:tc>
      </w:tr>
      <w:tr w:rsidR="00CF605F" w:rsidRPr="00A70F57" w14:paraId="53988A25" w14:textId="77777777" w:rsidTr="00C11BCD">
        <w:tc>
          <w:tcPr>
            <w:tcW w:w="4053" w:type="dxa"/>
          </w:tcPr>
          <w:p w14:paraId="4D02E1E0"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Entre uno (1) y cinco (5) años</w:t>
            </w:r>
          </w:p>
        </w:tc>
        <w:tc>
          <w:tcPr>
            <w:tcW w:w="3313" w:type="dxa"/>
          </w:tcPr>
          <w:p w14:paraId="02A01D81"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Mayor ingreso operacional de los años de vida del oferente</w:t>
            </w:r>
          </w:p>
        </w:tc>
      </w:tr>
      <w:tr w:rsidR="00CF605F" w:rsidRPr="00A70F57" w14:paraId="4F3D6F21" w14:textId="77777777" w:rsidTr="00C11BCD">
        <w:tc>
          <w:tcPr>
            <w:tcW w:w="4053" w:type="dxa"/>
          </w:tcPr>
          <w:p w14:paraId="1DF894B3"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Menos de un (1) año</w:t>
            </w:r>
          </w:p>
        </w:tc>
        <w:tc>
          <w:tcPr>
            <w:tcW w:w="3313" w:type="dxa"/>
          </w:tcPr>
          <w:p w14:paraId="646D46AE" w14:textId="77777777" w:rsidR="00CF605F" w:rsidRPr="00A70F57" w:rsidRDefault="00CF605F" w:rsidP="00C11BCD">
            <w:pPr>
              <w:widowControl w:val="0"/>
              <w:tabs>
                <w:tab w:val="left" w:pos="993"/>
              </w:tabs>
              <w:autoSpaceDE w:val="0"/>
              <w:autoSpaceDN w:val="0"/>
              <w:spacing w:before="120" w:line="276" w:lineRule="auto"/>
              <w:ind w:right="51"/>
              <w:jc w:val="both"/>
              <w:rPr>
                <w:rFonts w:ascii="Arial" w:eastAsia="Arial" w:hAnsi="Arial" w:cs="Arial"/>
                <w:sz w:val="22"/>
                <w:lang w:val="es-ES" w:eastAsia="es-ES" w:bidi="es-ES"/>
              </w:rPr>
            </w:pPr>
            <w:r w:rsidRPr="00A70F57">
              <w:rPr>
                <w:rFonts w:ascii="Arial" w:eastAsia="Arial" w:hAnsi="Arial" w:cs="Arial"/>
                <w:sz w:val="22"/>
                <w:lang w:val="es-ES" w:eastAsia="es-ES" w:bidi="es-ES"/>
              </w:rPr>
              <w:t>USD 125.000</w:t>
            </w:r>
          </w:p>
        </w:tc>
      </w:tr>
    </w:tbl>
    <w:p w14:paraId="482DC373" w14:textId="77777777" w:rsidR="002B0611" w:rsidRDefault="002B0611" w:rsidP="002A6849">
      <w:pPr>
        <w:spacing w:line="276" w:lineRule="auto"/>
        <w:ind w:firstLine="709"/>
        <w:jc w:val="both"/>
        <w:rPr>
          <w:rFonts w:ascii="Arial" w:hAnsi="Arial" w:cs="Arial"/>
          <w:color w:val="000000" w:themeColor="text1"/>
          <w:sz w:val="22"/>
        </w:rPr>
      </w:pPr>
    </w:p>
    <w:p w14:paraId="1C543280" w14:textId="43637EC4" w:rsidR="00617DF2" w:rsidRPr="00A70F57" w:rsidRDefault="004C5C69" w:rsidP="002A6849">
      <w:pPr>
        <w:spacing w:line="276" w:lineRule="auto"/>
        <w:ind w:firstLine="709"/>
        <w:jc w:val="both"/>
        <w:rPr>
          <w:rFonts w:ascii="Arial" w:hAnsi="Arial" w:cs="Arial"/>
          <w:color w:val="000000" w:themeColor="text1"/>
          <w:sz w:val="22"/>
        </w:rPr>
      </w:pPr>
      <w:r>
        <w:rPr>
          <w:rFonts w:ascii="Arial" w:hAnsi="Arial" w:cs="Arial"/>
          <w:color w:val="000000" w:themeColor="text1"/>
          <w:sz w:val="22"/>
        </w:rPr>
        <w:t>En armonía con lo anterior, e</w:t>
      </w:r>
      <w:r w:rsidR="00965D9D" w:rsidRPr="00A70F57">
        <w:rPr>
          <w:rFonts w:ascii="Arial" w:hAnsi="Arial" w:cs="Arial"/>
          <w:color w:val="000000" w:themeColor="text1"/>
          <w:sz w:val="22"/>
        </w:rPr>
        <w:t xml:space="preserve">l análisis </w:t>
      </w:r>
      <w:r w:rsidR="00617DF2" w:rsidRPr="00A70F57">
        <w:rPr>
          <w:rFonts w:ascii="Arial" w:hAnsi="Arial" w:cs="Arial"/>
          <w:color w:val="000000" w:themeColor="text1"/>
          <w:sz w:val="22"/>
        </w:rPr>
        <w:t xml:space="preserve">consiste en revisar el mayor ingreso operacional del proponente que reflejará la capacidad real de organización </w:t>
      </w:r>
      <w:proofErr w:type="gramStart"/>
      <w:r w:rsidR="00617DF2" w:rsidRPr="00A70F57">
        <w:rPr>
          <w:rFonts w:ascii="Arial" w:hAnsi="Arial" w:cs="Arial"/>
          <w:color w:val="000000" w:themeColor="text1"/>
          <w:sz w:val="22"/>
        </w:rPr>
        <w:t>del mismo</w:t>
      </w:r>
      <w:proofErr w:type="gramEnd"/>
      <w:r w:rsidR="00617DF2" w:rsidRPr="00A70F57">
        <w:rPr>
          <w:rFonts w:ascii="Arial" w:hAnsi="Arial" w:cs="Arial"/>
          <w:color w:val="000000" w:themeColor="text1"/>
          <w:sz w:val="22"/>
        </w:rPr>
        <w:t xml:space="preserve">. En </w:t>
      </w:r>
      <w:r w:rsidR="004A64D6">
        <w:rPr>
          <w:rFonts w:ascii="Arial" w:hAnsi="Arial" w:cs="Arial"/>
          <w:color w:val="000000" w:themeColor="text1"/>
          <w:sz w:val="22"/>
        </w:rPr>
        <w:t>palabras</w:t>
      </w:r>
      <w:r w:rsidR="00617DF2" w:rsidRPr="00A70F57">
        <w:rPr>
          <w:rFonts w:ascii="Arial" w:hAnsi="Arial" w:cs="Arial"/>
          <w:color w:val="000000" w:themeColor="text1"/>
          <w:sz w:val="22"/>
        </w:rPr>
        <w:t xml:space="preserve"> de la Sociedad Colombiana de Ingenieros – SCI</w:t>
      </w:r>
      <w:r w:rsidR="00990D82">
        <w:rPr>
          <w:rFonts w:ascii="Arial" w:hAnsi="Arial" w:cs="Arial"/>
          <w:color w:val="000000" w:themeColor="text1"/>
          <w:sz w:val="22"/>
        </w:rPr>
        <w:t>,</w:t>
      </w:r>
      <w:r w:rsidR="00617DF2" w:rsidRPr="00A70F57">
        <w:rPr>
          <w:rFonts w:ascii="Arial" w:hAnsi="Arial" w:cs="Arial"/>
          <w:color w:val="000000" w:themeColor="text1"/>
          <w:sz w:val="22"/>
        </w:rPr>
        <w:t xml:space="preserve"> «En la medida que una empresa constructora haya sido capaz de ejecutar contratos de obra de </w:t>
      </w:r>
      <w:proofErr w:type="gramStart"/>
      <w:r w:rsidR="00617DF2" w:rsidRPr="00A70F57">
        <w:rPr>
          <w:rFonts w:ascii="Arial" w:hAnsi="Arial" w:cs="Arial"/>
          <w:color w:val="000000" w:themeColor="text1"/>
          <w:sz w:val="22"/>
        </w:rPr>
        <w:t>mayor cuantía y mayor cantidad</w:t>
      </w:r>
      <w:proofErr w:type="gramEnd"/>
      <w:r w:rsidR="00617DF2" w:rsidRPr="00A70F57">
        <w:rPr>
          <w:rFonts w:ascii="Arial" w:hAnsi="Arial" w:cs="Arial"/>
          <w:color w:val="000000" w:themeColor="text1"/>
          <w:sz w:val="22"/>
        </w:rPr>
        <w:t>, significa que esa empresa ha ido superando niveles de crecimiento y por lo tanto ha obtenido una mayor Capacidad de Organización (Co).</w:t>
      </w:r>
      <w:r w:rsidR="00617DF2" w:rsidRPr="00A70F57">
        <w:rPr>
          <w:rFonts w:ascii="Arial" w:hAnsi="Arial" w:cs="Arial"/>
          <w:sz w:val="22"/>
        </w:rPr>
        <w:t xml:space="preserve"> </w:t>
      </w:r>
      <w:r w:rsidR="00617DF2" w:rsidRPr="00A70F57">
        <w:rPr>
          <w:rFonts w:ascii="Arial" w:hAnsi="Arial" w:cs="Arial"/>
          <w:color w:val="000000" w:themeColor="text1"/>
          <w:sz w:val="22"/>
        </w:rPr>
        <w:t>Esta capacidad del proponente</w:t>
      </w:r>
      <w:r w:rsidR="00990D82">
        <w:rPr>
          <w:rFonts w:ascii="Arial" w:hAnsi="Arial" w:cs="Arial"/>
          <w:color w:val="000000" w:themeColor="text1"/>
          <w:sz w:val="22"/>
        </w:rPr>
        <w:t xml:space="preserve"> […] </w:t>
      </w:r>
      <w:r w:rsidR="00617DF2" w:rsidRPr="00A70F57">
        <w:rPr>
          <w:rFonts w:ascii="Arial" w:hAnsi="Arial" w:cs="Arial"/>
          <w:color w:val="000000" w:themeColor="text1"/>
          <w:sz w:val="22"/>
        </w:rPr>
        <w:t>debe determinarse con base en los ingresos brutos operacionales relacionados exclusivamente con la actividad de la construcción […]»</w:t>
      </w:r>
      <w:r w:rsidR="00990D82" w:rsidRPr="00A70F57">
        <w:rPr>
          <w:rStyle w:val="Refdenotaalpie"/>
          <w:rFonts w:ascii="Arial" w:hAnsi="Arial" w:cs="Arial"/>
          <w:color w:val="000000" w:themeColor="text1"/>
          <w:sz w:val="22"/>
        </w:rPr>
        <w:footnoteReference w:id="2"/>
      </w:r>
      <w:r w:rsidR="00617DF2" w:rsidRPr="00A70F57">
        <w:rPr>
          <w:rFonts w:ascii="Arial" w:hAnsi="Arial" w:cs="Arial"/>
          <w:color w:val="000000" w:themeColor="text1"/>
          <w:sz w:val="22"/>
        </w:rPr>
        <w:t xml:space="preserve">. </w:t>
      </w:r>
    </w:p>
    <w:p w14:paraId="2C465B47" w14:textId="1E7A8999" w:rsidR="00617DF2" w:rsidRPr="00A70F57" w:rsidRDefault="00617DF2" w:rsidP="00617DF2">
      <w:pPr>
        <w:spacing w:before="120" w:line="276" w:lineRule="auto"/>
        <w:ind w:firstLine="709"/>
        <w:jc w:val="both"/>
        <w:rPr>
          <w:rFonts w:ascii="Arial" w:hAnsi="Arial" w:cs="Arial"/>
          <w:color w:val="000000" w:themeColor="text1"/>
          <w:sz w:val="22"/>
        </w:rPr>
      </w:pPr>
      <w:r w:rsidRPr="00A70F57">
        <w:rPr>
          <w:rFonts w:ascii="Arial" w:hAnsi="Arial" w:cs="Arial"/>
          <w:color w:val="000000" w:themeColor="text1"/>
          <w:sz w:val="22"/>
        </w:rPr>
        <w:t xml:space="preserve">De esta manera, la capacidad de organización está en función de los ingresos operacionales del proponente. De ahí que tanto el </w:t>
      </w:r>
      <w:r w:rsidR="004A64D6">
        <w:rPr>
          <w:rFonts w:ascii="Arial" w:hAnsi="Arial" w:cs="Arial"/>
          <w:color w:val="000000" w:themeColor="text1"/>
          <w:sz w:val="22"/>
        </w:rPr>
        <w:t xml:space="preserve">Decreto 1082 de 2015 como el </w:t>
      </w:r>
      <w:r w:rsidR="00AD456B" w:rsidRPr="00A70F57">
        <w:rPr>
          <w:rFonts w:ascii="Arial" w:hAnsi="Arial" w:cs="Arial"/>
          <w:color w:val="000000" w:themeColor="text1"/>
          <w:sz w:val="22"/>
        </w:rPr>
        <w:t>documento tipo</w:t>
      </w:r>
      <w:r w:rsidRPr="00A70F57">
        <w:rPr>
          <w:rFonts w:ascii="Arial" w:hAnsi="Arial" w:cs="Arial"/>
          <w:color w:val="000000" w:themeColor="text1"/>
          <w:sz w:val="22"/>
        </w:rPr>
        <w:t xml:space="preserve"> soliciten el estado de resultados, puesto que mediante este documento se relacionan los ingresos, costos y gastos en los que incurrió el proponente, de tal forma que se puedan evidenciar los ingresos operacionales que ha obtenido en un determinado per</w:t>
      </w:r>
      <w:r w:rsidR="004A64D6">
        <w:rPr>
          <w:rFonts w:ascii="Arial" w:hAnsi="Arial" w:cs="Arial"/>
          <w:color w:val="000000" w:themeColor="text1"/>
          <w:sz w:val="22"/>
        </w:rPr>
        <w:t>í</w:t>
      </w:r>
      <w:r w:rsidRPr="00A70F57">
        <w:rPr>
          <w:rFonts w:ascii="Arial" w:hAnsi="Arial" w:cs="Arial"/>
          <w:color w:val="000000" w:themeColor="text1"/>
          <w:sz w:val="22"/>
        </w:rPr>
        <w:t xml:space="preserve">odo. </w:t>
      </w:r>
    </w:p>
    <w:p w14:paraId="294BDC4F" w14:textId="3A7E67E6" w:rsidR="002B0611" w:rsidRDefault="008D0BF9" w:rsidP="00E30DF1">
      <w:pPr>
        <w:spacing w:before="120" w:line="276" w:lineRule="auto"/>
        <w:ind w:firstLine="709"/>
        <w:jc w:val="both"/>
        <w:rPr>
          <w:rFonts w:ascii="Arial" w:eastAsia="Calibri" w:hAnsi="Arial" w:cs="Arial"/>
          <w:bCs/>
          <w:color w:val="000000" w:themeColor="text1"/>
          <w:sz w:val="22"/>
        </w:rPr>
      </w:pPr>
      <w:r w:rsidRPr="00A70F57">
        <w:rPr>
          <w:rFonts w:ascii="Arial" w:eastAsia="Calibri" w:hAnsi="Arial" w:cs="Arial"/>
          <w:bCs/>
          <w:color w:val="000000" w:themeColor="text1"/>
          <w:sz w:val="22"/>
        </w:rPr>
        <w:t xml:space="preserve">Así las cosas, </w:t>
      </w:r>
      <w:r w:rsidR="004A64D6">
        <w:rPr>
          <w:rFonts w:ascii="Arial" w:eastAsia="Calibri" w:hAnsi="Arial" w:cs="Arial"/>
          <w:bCs/>
          <w:color w:val="000000" w:themeColor="text1"/>
          <w:sz w:val="22"/>
        </w:rPr>
        <w:t>analizado</w:t>
      </w:r>
      <w:r w:rsidRPr="00A70F57">
        <w:rPr>
          <w:rFonts w:ascii="Arial" w:eastAsia="Calibri" w:hAnsi="Arial" w:cs="Arial"/>
          <w:bCs/>
          <w:color w:val="000000" w:themeColor="text1"/>
          <w:sz w:val="22"/>
        </w:rPr>
        <w:t xml:space="preserve"> el alcance del requisito habilitante de capacidad residual en los procesos de contratación </w:t>
      </w:r>
      <w:r w:rsidR="00B9767F" w:rsidRPr="00A70F57">
        <w:rPr>
          <w:rFonts w:ascii="Arial" w:eastAsia="Calibri" w:hAnsi="Arial" w:cs="Arial"/>
          <w:bCs/>
          <w:color w:val="000000" w:themeColor="text1"/>
          <w:sz w:val="22"/>
        </w:rPr>
        <w:t xml:space="preserve">y el de la capacidad de organización como uno de sus factores, </w:t>
      </w:r>
      <w:r w:rsidRPr="00A70F57">
        <w:rPr>
          <w:rFonts w:ascii="Arial" w:eastAsia="Calibri" w:hAnsi="Arial" w:cs="Arial"/>
          <w:bCs/>
          <w:color w:val="000000" w:themeColor="text1"/>
          <w:sz w:val="22"/>
        </w:rPr>
        <w:t xml:space="preserve">a continuación se explicará la forma en que se reguló este requisito en los </w:t>
      </w:r>
      <w:r w:rsidR="00AD456B" w:rsidRPr="00A70F57">
        <w:rPr>
          <w:rFonts w:ascii="Arial" w:eastAsia="Calibri" w:hAnsi="Arial" w:cs="Arial"/>
          <w:bCs/>
          <w:color w:val="000000" w:themeColor="text1"/>
          <w:sz w:val="22"/>
        </w:rPr>
        <w:t>documentos tipo</w:t>
      </w:r>
      <w:r w:rsidRPr="00A70F57">
        <w:rPr>
          <w:rFonts w:ascii="Arial" w:eastAsia="Calibri" w:hAnsi="Arial" w:cs="Arial"/>
          <w:bCs/>
          <w:color w:val="000000" w:themeColor="text1"/>
          <w:sz w:val="22"/>
        </w:rPr>
        <w:t xml:space="preserve"> de licitación de obra pública de infraestructura de transporte</w:t>
      </w:r>
      <w:r w:rsidR="004C5C69">
        <w:rPr>
          <w:rFonts w:ascii="Arial" w:eastAsia="Calibri" w:hAnsi="Arial" w:cs="Arial"/>
          <w:bCs/>
          <w:color w:val="000000" w:themeColor="text1"/>
          <w:sz w:val="22"/>
        </w:rPr>
        <w:t xml:space="preserve"> en su</w:t>
      </w:r>
      <w:r w:rsidRPr="00A70F57">
        <w:rPr>
          <w:rFonts w:ascii="Arial" w:eastAsia="Calibri" w:hAnsi="Arial" w:cs="Arial"/>
          <w:bCs/>
          <w:color w:val="000000" w:themeColor="text1"/>
          <w:sz w:val="22"/>
        </w:rPr>
        <w:t xml:space="preserve"> Versión 1, Versión 2 y Versión 3</w:t>
      </w:r>
      <w:r w:rsidR="004C5C69">
        <w:rPr>
          <w:rFonts w:ascii="Arial" w:eastAsia="Calibri" w:hAnsi="Arial" w:cs="Arial"/>
          <w:bCs/>
          <w:color w:val="000000" w:themeColor="text1"/>
          <w:sz w:val="22"/>
        </w:rPr>
        <w:t>, ya que el proceso de desarrollo de este contenido de los documentos tipo es útil para entender el alcance de lo regulado en la última versión</w:t>
      </w:r>
      <w:r w:rsidRPr="00A70F57">
        <w:rPr>
          <w:rFonts w:ascii="Arial" w:eastAsia="Calibri" w:hAnsi="Arial" w:cs="Arial"/>
          <w:bCs/>
          <w:color w:val="000000" w:themeColor="text1"/>
          <w:sz w:val="22"/>
        </w:rPr>
        <w:t xml:space="preserve">. </w:t>
      </w:r>
      <w:r w:rsidR="004C5C69">
        <w:rPr>
          <w:rFonts w:ascii="Arial" w:eastAsia="Calibri" w:hAnsi="Arial" w:cs="Arial"/>
          <w:bCs/>
          <w:color w:val="000000" w:themeColor="text1"/>
          <w:sz w:val="22"/>
        </w:rPr>
        <w:t>Con fundamento en lo anterior</w:t>
      </w:r>
      <w:r w:rsidRPr="00A70F57">
        <w:rPr>
          <w:rFonts w:ascii="Arial" w:eastAsia="Calibri" w:hAnsi="Arial" w:cs="Arial"/>
          <w:bCs/>
          <w:color w:val="000000" w:themeColor="text1"/>
          <w:sz w:val="22"/>
        </w:rPr>
        <w:t xml:space="preserve">, se analizarán los principales cambios referidos a la acreditación de la capacidad de organización en la nueva versión de los </w:t>
      </w:r>
      <w:r w:rsidR="00AD456B" w:rsidRPr="00A70F57">
        <w:rPr>
          <w:rFonts w:ascii="Arial" w:eastAsia="Calibri" w:hAnsi="Arial" w:cs="Arial"/>
          <w:bCs/>
          <w:color w:val="000000" w:themeColor="text1"/>
          <w:sz w:val="22"/>
        </w:rPr>
        <w:t xml:space="preserve">documentos tipo </w:t>
      </w:r>
      <w:r w:rsidRPr="00A70F57">
        <w:rPr>
          <w:rFonts w:ascii="Arial" w:eastAsia="Calibri" w:hAnsi="Arial" w:cs="Arial"/>
          <w:bCs/>
          <w:color w:val="000000" w:themeColor="text1"/>
          <w:sz w:val="22"/>
        </w:rPr>
        <w:t xml:space="preserve">de licitación de obra pública de </w:t>
      </w:r>
      <w:r w:rsidRPr="00A70F57">
        <w:rPr>
          <w:rFonts w:ascii="Arial" w:eastAsia="Calibri" w:hAnsi="Arial" w:cs="Arial"/>
          <w:bCs/>
          <w:color w:val="000000" w:themeColor="text1"/>
          <w:sz w:val="22"/>
        </w:rPr>
        <w:lastRenderedPageBreak/>
        <w:t xml:space="preserve">infraestructura de transporte, </w:t>
      </w:r>
      <w:r w:rsidR="009A3D14" w:rsidRPr="00A70F57">
        <w:rPr>
          <w:rFonts w:ascii="Arial" w:eastAsia="Calibri" w:hAnsi="Arial" w:cs="Arial"/>
          <w:bCs/>
          <w:color w:val="000000" w:themeColor="text1"/>
          <w:sz w:val="22"/>
        </w:rPr>
        <w:t xml:space="preserve">centrando el análisis </w:t>
      </w:r>
      <w:r w:rsidRPr="00A70F57">
        <w:rPr>
          <w:rFonts w:ascii="Arial" w:eastAsia="Calibri" w:hAnsi="Arial" w:cs="Arial"/>
          <w:bCs/>
          <w:color w:val="000000" w:themeColor="text1"/>
          <w:sz w:val="22"/>
        </w:rPr>
        <w:t xml:space="preserve">específicamente en el </w:t>
      </w:r>
      <w:r w:rsidR="004F620C" w:rsidRPr="00A70F57">
        <w:rPr>
          <w:rFonts w:ascii="Arial" w:eastAsia="Calibri" w:hAnsi="Arial" w:cs="Arial"/>
          <w:bCs/>
          <w:color w:val="000000" w:themeColor="text1"/>
          <w:sz w:val="22"/>
        </w:rPr>
        <w:t>documento base</w:t>
      </w:r>
      <w:r w:rsidRPr="00A70F57">
        <w:rPr>
          <w:rFonts w:ascii="Arial" w:eastAsia="Calibri" w:hAnsi="Arial" w:cs="Arial"/>
          <w:bCs/>
          <w:color w:val="000000" w:themeColor="text1"/>
          <w:sz w:val="22"/>
        </w:rPr>
        <w:t>.</w:t>
      </w:r>
      <w:r w:rsidR="004C5C69">
        <w:rPr>
          <w:rFonts w:ascii="Arial" w:eastAsia="Calibri" w:hAnsi="Arial" w:cs="Arial"/>
          <w:bCs/>
          <w:color w:val="000000" w:themeColor="text1"/>
          <w:sz w:val="22"/>
        </w:rPr>
        <w:t xml:space="preserve"> En todo caso, se aclara que la regulación de este aspecto en el documento tipo de licitación – Versión 3 se ha mantenido inalterado, pese a las variaciones </w:t>
      </w:r>
      <w:r w:rsidR="004F620C">
        <w:rPr>
          <w:rFonts w:ascii="Arial" w:eastAsia="Calibri" w:hAnsi="Arial" w:cs="Arial"/>
          <w:bCs/>
          <w:color w:val="000000" w:themeColor="text1"/>
          <w:sz w:val="22"/>
        </w:rPr>
        <w:t>en el pliego de condiciones</w:t>
      </w:r>
      <w:r w:rsidR="004C5C69">
        <w:rPr>
          <w:rFonts w:ascii="Arial" w:eastAsia="Calibri" w:hAnsi="Arial" w:cs="Arial"/>
          <w:bCs/>
          <w:color w:val="000000" w:themeColor="text1"/>
          <w:sz w:val="22"/>
        </w:rPr>
        <w:t xml:space="preserve">. </w:t>
      </w:r>
    </w:p>
    <w:p w14:paraId="249A19EB" w14:textId="77777777" w:rsidR="00D03E5C" w:rsidRPr="002B0611" w:rsidRDefault="00D03E5C" w:rsidP="00E30DF1">
      <w:pPr>
        <w:spacing w:line="276" w:lineRule="auto"/>
        <w:ind w:firstLine="709"/>
        <w:jc w:val="both"/>
        <w:rPr>
          <w:rFonts w:ascii="Arial" w:eastAsia="Calibri" w:hAnsi="Arial" w:cs="Arial"/>
          <w:bCs/>
          <w:color w:val="000000" w:themeColor="text1"/>
          <w:sz w:val="22"/>
        </w:rPr>
      </w:pPr>
    </w:p>
    <w:p w14:paraId="585C27AA" w14:textId="1AAA7436" w:rsidR="009A3D14" w:rsidRDefault="009A3D14" w:rsidP="00E30DF1">
      <w:pPr>
        <w:tabs>
          <w:tab w:val="left" w:pos="426"/>
        </w:tabs>
        <w:spacing w:line="276" w:lineRule="auto"/>
        <w:jc w:val="both"/>
        <w:rPr>
          <w:rFonts w:ascii="Arial" w:eastAsia="Calibri" w:hAnsi="Arial" w:cs="Arial"/>
          <w:b/>
          <w:sz w:val="22"/>
        </w:rPr>
      </w:pPr>
      <w:r w:rsidRPr="00A70F57">
        <w:rPr>
          <w:rFonts w:ascii="Arial" w:eastAsia="Calibri" w:hAnsi="Arial" w:cs="Arial"/>
          <w:b/>
          <w:sz w:val="22"/>
        </w:rPr>
        <w:t>2.2.</w:t>
      </w:r>
      <w:r w:rsidRPr="00A70F57">
        <w:rPr>
          <w:rFonts w:ascii="Arial" w:eastAsia="Calibri" w:hAnsi="Arial" w:cs="Arial"/>
          <w:b/>
          <w:sz w:val="22"/>
        </w:rPr>
        <w:tab/>
        <w:t xml:space="preserve">Acreditación del factor Capacidad de Organización </w:t>
      </w:r>
      <w:r w:rsidR="00784FF4">
        <w:rPr>
          <w:rFonts w:ascii="Arial" w:eastAsia="Calibri" w:hAnsi="Arial" w:cs="Arial"/>
          <w:b/>
          <w:sz w:val="22"/>
        </w:rPr>
        <w:t>–</w:t>
      </w:r>
      <w:r w:rsidRPr="00A70F57">
        <w:rPr>
          <w:rFonts w:ascii="Arial" w:eastAsia="Calibri" w:hAnsi="Arial" w:cs="Arial"/>
          <w:b/>
          <w:sz w:val="22"/>
        </w:rPr>
        <w:t>CO</w:t>
      </w:r>
      <w:r w:rsidR="00784FF4">
        <w:rPr>
          <w:rFonts w:ascii="Arial" w:eastAsia="Calibri" w:hAnsi="Arial" w:cs="Arial"/>
          <w:b/>
          <w:sz w:val="22"/>
        </w:rPr>
        <w:t>–</w:t>
      </w:r>
      <w:r w:rsidRPr="00A70F57">
        <w:rPr>
          <w:rFonts w:ascii="Arial" w:eastAsia="Calibri" w:hAnsi="Arial" w:cs="Arial"/>
          <w:b/>
          <w:sz w:val="22"/>
        </w:rPr>
        <w:t xml:space="preserve"> en las versiones 1,</w:t>
      </w:r>
      <w:r w:rsidR="00C551C3">
        <w:rPr>
          <w:rFonts w:ascii="Arial" w:eastAsia="Calibri" w:hAnsi="Arial" w:cs="Arial"/>
          <w:b/>
          <w:sz w:val="22"/>
        </w:rPr>
        <w:t xml:space="preserve"> </w:t>
      </w:r>
      <w:r w:rsidRPr="00A70F57">
        <w:rPr>
          <w:rFonts w:ascii="Arial" w:eastAsia="Calibri" w:hAnsi="Arial" w:cs="Arial"/>
          <w:b/>
          <w:sz w:val="22"/>
        </w:rPr>
        <w:t xml:space="preserve">2 y 3 de los </w:t>
      </w:r>
      <w:r w:rsidR="00784FF4" w:rsidRPr="00A70F57">
        <w:rPr>
          <w:rFonts w:ascii="Arial" w:eastAsia="Calibri" w:hAnsi="Arial" w:cs="Arial"/>
          <w:b/>
          <w:sz w:val="22"/>
        </w:rPr>
        <w:t>documentos tipo</w:t>
      </w:r>
      <w:r w:rsidRPr="00A70F57">
        <w:rPr>
          <w:rFonts w:ascii="Arial" w:eastAsia="Calibri" w:hAnsi="Arial" w:cs="Arial"/>
          <w:b/>
          <w:sz w:val="22"/>
        </w:rPr>
        <w:t xml:space="preserve"> de licitación de obra pública de infraestructura de transporte</w:t>
      </w:r>
      <w:r w:rsidR="000C44E8">
        <w:rPr>
          <w:rFonts w:ascii="Arial" w:eastAsia="Calibri" w:hAnsi="Arial" w:cs="Arial"/>
          <w:b/>
          <w:sz w:val="22"/>
        </w:rPr>
        <w:t xml:space="preserve"> y </w:t>
      </w:r>
      <w:r w:rsidR="00C83AD2">
        <w:rPr>
          <w:rFonts w:ascii="Arial" w:eastAsia="Calibri" w:hAnsi="Arial" w:cs="Arial"/>
          <w:b/>
          <w:sz w:val="22"/>
        </w:rPr>
        <w:t xml:space="preserve">versión 2 de selección abreviada de menor cuantía </w:t>
      </w:r>
    </w:p>
    <w:p w14:paraId="27253B9E" w14:textId="77777777" w:rsidR="00C551C3" w:rsidRDefault="00C551C3" w:rsidP="00C551C3">
      <w:pPr>
        <w:spacing w:line="276" w:lineRule="auto"/>
        <w:jc w:val="both"/>
        <w:rPr>
          <w:rFonts w:ascii="Arial" w:eastAsia="Calibri" w:hAnsi="Arial" w:cs="Arial"/>
          <w:color w:val="000000"/>
          <w:sz w:val="22"/>
          <w:lang w:val="es-ES_tradnl" w:eastAsia="es-ES"/>
        </w:rPr>
      </w:pPr>
    </w:p>
    <w:p w14:paraId="1F1D64C8" w14:textId="1838EAE6" w:rsidR="009A5130" w:rsidRPr="00BB79F6" w:rsidRDefault="009A5130" w:rsidP="00E30DF1">
      <w:pPr>
        <w:spacing w:line="276" w:lineRule="auto"/>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E</w:t>
      </w:r>
      <w:r w:rsidR="00BD77F0">
        <w:rPr>
          <w:rFonts w:ascii="Arial" w:eastAsia="Calibri" w:hAnsi="Arial" w:cs="Arial"/>
          <w:color w:val="000000"/>
          <w:sz w:val="22"/>
          <w:lang w:val="es-ES_tradnl" w:eastAsia="es-ES"/>
        </w:rPr>
        <w:t>s pertinente resaltar que</w:t>
      </w:r>
      <w:r w:rsidRPr="00BB79F6">
        <w:rPr>
          <w:rFonts w:ascii="Arial" w:eastAsia="Calibri" w:hAnsi="Arial" w:cs="Arial"/>
          <w:color w:val="000000"/>
          <w:sz w:val="22"/>
          <w:lang w:val="es-ES_tradnl" w:eastAsia="es-ES"/>
        </w:rPr>
        <w:t xml:space="preserve">, en materia de infraestructura de transporte en la modalidad de licitación pública, la Agencia Nacional de Contratación Pública </w:t>
      </w:r>
      <w:r w:rsidR="004F620C">
        <w:rPr>
          <w:rFonts w:ascii="Arial" w:eastAsia="Calibri" w:hAnsi="Arial" w:cs="Arial"/>
          <w:color w:val="000000"/>
          <w:sz w:val="22"/>
          <w:lang w:val="es-ES_tradnl" w:eastAsia="es-ES"/>
        </w:rPr>
        <w:t>–</w:t>
      </w:r>
      <w:r w:rsidRPr="00BB79F6">
        <w:rPr>
          <w:rFonts w:ascii="Arial" w:eastAsia="Calibri" w:hAnsi="Arial" w:cs="Arial"/>
          <w:color w:val="000000"/>
          <w:sz w:val="22"/>
          <w:lang w:val="es-ES_tradnl" w:eastAsia="es-ES"/>
        </w:rPr>
        <w:t xml:space="preserve"> Colombia Compra Eficiente, hasta el momento ha adoptado y actualizado los siguientes documentos tipo que son obligatorios para todas las entidades sometidas al Estatuto General de Contratación de la Administración Pública: </w:t>
      </w:r>
    </w:p>
    <w:p w14:paraId="0EFFBFAF" w14:textId="45DDC7EF" w:rsidR="00D81EEF" w:rsidRPr="00BB79F6" w:rsidRDefault="00D81EEF" w:rsidP="00D81EEF">
      <w:pPr>
        <w:spacing w:before="120" w:line="276" w:lineRule="auto"/>
        <w:ind w:firstLine="709"/>
        <w:jc w:val="both"/>
        <w:rPr>
          <w:rFonts w:ascii="Arial" w:eastAsia="Calibri" w:hAnsi="Arial" w:cs="Arial"/>
          <w:color w:val="000000"/>
          <w:sz w:val="22"/>
          <w:lang w:val="es-ES_tradnl" w:eastAsia="es-ES"/>
        </w:rPr>
      </w:pPr>
      <w:r w:rsidRPr="00BB79F6">
        <w:rPr>
          <w:rFonts w:ascii="Arial" w:eastAsia="Calibri" w:hAnsi="Arial" w:cs="Arial"/>
          <w:color w:val="000000"/>
          <w:sz w:val="22"/>
          <w:lang w:val="es-ES_tradnl" w:eastAsia="es-ES"/>
        </w:rPr>
        <w:t xml:space="preserve">i) Documentos tipo para licitación de obra pública de </w:t>
      </w:r>
      <w:r w:rsidR="009A5130" w:rsidRPr="00BB79F6">
        <w:rPr>
          <w:rFonts w:ascii="Arial" w:eastAsia="Calibri" w:hAnsi="Arial" w:cs="Arial"/>
          <w:color w:val="000000"/>
          <w:sz w:val="22"/>
          <w:lang w:val="es-ES_tradnl" w:eastAsia="es-ES"/>
        </w:rPr>
        <w:t>infraestructura de transporte –V</w:t>
      </w:r>
      <w:r w:rsidRPr="00BB79F6">
        <w:rPr>
          <w:rFonts w:ascii="Arial" w:eastAsia="Calibri" w:hAnsi="Arial" w:cs="Arial"/>
          <w:color w:val="000000"/>
          <w:sz w:val="22"/>
          <w:lang w:val="es-ES_tradnl" w:eastAsia="es-ES"/>
        </w:rPr>
        <w:t xml:space="preserve">ersión 1–, </w:t>
      </w:r>
      <w:r w:rsidR="00A33303" w:rsidRPr="00BB79F6">
        <w:rPr>
          <w:rFonts w:ascii="Arial" w:eastAsia="Calibri" w:hAnsi="Arial" w:cs="Arial"/>
          <w:color w:val="000000"/>
          <w:sz w:val="22"/>
          <w:lang w:val="es-ES_tradnl" w:eastAsia="es-ES"/>
        </w:rPr>
        <w:t>implementados</w:t>
      </w:r>
      <w:r w:rsidR="009A5130" w:rsidRPr="00BB79F6">
        <w:rPr>
          <w:rFonts w:ascii="Arial" w:eastAsia="Calibri" w:hAnsi="Arial" w:cs="Arial"/>
          <w:color w:val="000000"/>
          <w:sz w:val="22"/>
          <w:lang w:val="es-ES_tradnl" w:eastAsia="es-ES"/>
        </w:rPr>
        <w:t xml:space="preserve"> mediante la Resolución No. </w:t>
      </w:r>
      <w:r w:rsidR="00A33303" w:rsidRPr="00BB79F6">
        <w:rPr>
          <w:rFonts w:ascii="Arial" w:eastAsia="Calibri" w:hAnsi="Arial" w:cs="Arial"/>
          <w:color w:val="000000"/>
          <w:sz w:val="22"/>
          <w:lang w:val="es-ES_tradnl" w:eastAsia="es-ES"/>
        </w:rPr>
        <w:t xml:space="preserve">1798 de 2019, </w:t>
      </w:r>
      <w:r w:rsidRPr="00BB79F6">
        <w:rPr>
          <w:rFonts w:ascii="Arial" w:eastAsia="Calibri" w:hAnsi="Arial" w:cs="Arial"/>
          <w:color w:val="000000"/>
          <w:sz w:val="22"/>
          <w:lang w:val="es-ES_tradnl" w:eastAsia="es-ES"/>
        </w:rPr>
        <w:t xml:space="preserve">obligatorios para los procesos cuyo aviso de convocatoria se haya publicado desde el 1 de abril de 2019. </w:t>
      </w:r>
    </w:p>
    <w:p w14:paraId="44828E8D" w14:textId="5A9844A2" w:rsidR="00AE1C6D" w:rsidRDefault="00D81EEF" w:rsidP="00D81EEF">
      <w:pPr>
        <w:spacing w:before="120" w:line="276" w:lineRule="auto"/>
        <w:ind w:firstLine="709"/>
        <w:jc w:val="both"/>
        <w:rPr>
          <w:rFonts w:ascii="Arial" w:eastAsia="Calibri" w:hAnsi="Arial" w:cs="Arial"/>
          <w:color w:val="000000"/>
          <w:sz w:val="22"/>
          <w:lang w:val="es-ES_tradnl" w:eastAsia="es-ES"/>
        </w:rPr>
      </w:pPr>
      <w:proofErr w:type="spellStart"/>
      <w:r w:rsidRPr="00BB79F6">
        <w:rPr>
          <w:rFonts w:ascii="Arial" w:eastAsia="Calibri" w:hAnsi="Arial" w:cs="Arial"/>
          <w:color w:val="000000"/>
          <w:sz w:val="22"/>
          <w:lang w:val="es-ES_tradnl" w:eastAsia="es-ES"/>
        </w:rPr>
        <w:t>ii</w:t>
      </w:r>
      <w:proofErr w:type="spellEnd"/>
      <w:r w:rsidRPr="00BB79F6">
        <w:rPr>
          <w:rFonts w:ascii="Arial" w:eastAsia="Calibri" w:hAnsi="Arial" w:cs="Arial"/>
          <w:color w:val="000000"/>
          <w:sz w:val="22"/>
          <w:lang w:val="es-ES_tradnl" w:eastAsia="es-ES"/>
        </w:rPr>
        <w:t xml:space="preserve">) </w:t>
      </w:r>
      <w:r w:rsidR="00AE1C6D">
        <w:rPr>
          <w:rFonts w:ascii="Arial" w:eastAsia="Calibri" w:hAnsi="Arial" w:cs="Arial"/>
          <w:color w:val="000000"/>
          <w:sz w:val="22"/>
          <w:lang w:val="es-ES_tradnl" w:eastAsia="es-ES"/>
        </w:rPr>
        <w:t xml:space="preserve">Documentos tipo para procesos de menor cuantía de infraestructura de transporte– versión 1–, obligatorios para procesos cuyo aviso de convocatoria se haya publicado desde el 17 de febrero de 2020. </w:t>
      </w:r>
    </w:p>
    <w:p w14:paraId="04695274" w14:textId="4B46A9E2" w:rsidR="00D81EEF" w:rsidRPr="00BB79F6" w:rsidRDefault="00AE1C6D" w:rsidP="00AD519D">
      <w:pPr>
        <w:spacing w:before="120" w:line="276" w:lineRule="auto"/>
        <w:ind w:firstLine="709"/>
        <w:jc w:val="both"/>
        <w:rPr>
          <w:rFonts w:ascii="Arial" w:eastAsia="Calibri" w:hAnsi="Arial" w:cs="Arial"/>
          <w:color w:val="000000"/>
          <w:sz w:val="22"/>
          <w:lang w:val="es-ES_tradnl" w:eastAsia="es-ES"/>
        </w:rPr>
      </w:pPr>
      <w:proofErr w:type="spellStart"/>
      <w:r>
        <w:rPr>
          <w:rFonts w:ascii="Arial" w:eastAsia="Calibri" w:hAnsi="Arial" w:cs="Arial"/>
          <w:color w:val="000000"/>
          <w:sz w:val="22"/>
          <w:lang w:val="es-ES_tradnl" w:eastAsia="es-ES"/>
        </w:rPr>
        <w:t>iii</w:t>
      </w:r>
      <w:proofErr w:type="spellEnd"/>
      <w:r>
        <w:rPr>
          <w:rFonts w:ascii="Arial" w:eastAsia="Calibri" w:hAnsi="Arial" w:cs="Arial"/>
          <w:color w:val="000000"/>
          <w:sz w:val="22"/>
          <w:lang w:val="es-ES_tradnl" w:eastAsia="es-ES"/>
        </w:rPr>
        <w:t xml:space="preserve">) </w:t>
      </w:r>
      <w:r w:rsidR="00D81EEF" w:rsidRPr="00BB79F6">
        <w:rPr>
          <w:rFonts w:ascii="Arial" w:eastAsia="Calibri" w:hAnsi="Arial" w:cs="Arial"/>
          <w:color w:val="000000"/>
          <w:sz w:val="22"/>
          <w:lang w:val="es-ES_tradnl" w:eastAsia="es-ES"/>
        </w:rPr>
        <w:t xml:space="preserve">Documentos tipo para licitación de obra pública de </w:t>
      </w:r>
      <w:r w:rsidR="009A5130" w:rsidRPr="00BB79F6">
        <w:rPr>
          <w:rFonts w:ascii="Arial" w:eastAsia="Calibri" w:hAnsi="Arial" w:cs="Arial"/>
          <w:color w:val="000000"/>
          <w:sz w:val="22"/>
          <w:lang w:val="es-ES_tradnl" w:eastAsia="es-ES"/>
        </w:rPr>
        <w:t>infraestructura de transporte –V</w:t>
      </w:r>
      <w:r w:rsidR="00D81EEF" w:rsidRPr="00BB79F6">
        <w:rPr>
          <w:rFonts w:ascii="Arial" w:eastAsia="Calibri" w:hAnsi="Arial" w:cs="Arial"/>
          <w:color w:val="000000"/>
          <w:sz w:val="22"/>
          <w:lang w:val="es-ES_tradnl" w:eastAsia="es-ES"/>
        </w:rPr>
        <w:t>ersión 2–</w:t>
      </w:r>
      <w:r w:rsidR="009A5130" w:rsidRPr="00BB79F6">
        <w:rPr>
          <w:rFonts w:ascii="Arial" w:eastAsia="Calibri" w:hAnsi="Arial" w:cs="Arial"/>
          <w:color w:val="000000"/>
          <w:sz w:val="22"/>
          <w:lang w:val="es-ES_tradnl" w:eastAsia="es-ES"/>
        </w:rPr>
        <w:t xml:space="preserve">, </w:t>
      </w:r>
      <w:r w:rsidR="00A33303" w:rsidRPr="00BB79F6">
        <w:rPr>
          <w:rFonts w:ascii="Arial" w:eastAsia="Calibri" w:hAnsi="Arial" w:cs="Arial"/>
          <w:color w:val="000000"/>
          <w:sz w:val="22"/>
          <w:lang w:val="es-ES_tradnl" w:eastAsia="es-ES"/>
        </w:rPr>
        <w:t xml:space="preserve">actualizados </w:t>
      </w:r>
      <w:r w:rsidR="009A5130" w:rsidRPr="00BB79F6">
        <w:rPr>
          <w:rFonts w:ascii="Arial" w:eastAsia="Calibri" w:hAnsi="Arial" w:cs="Arial"/>
          <w:color w:val="000000"/>
          <w:sz w:val="22"/>
          <w:lang w:val="es-ES_tradnl" w:eastAsia="es-ES"/>
        </w:rPr>
        <w:t xml:space="preserve">mediante la Resolución No. </w:t>
      </w:r>
      <w:r w:rsidR="00A33303" w:rsidRPr="00BB79F6">
        <w:rPr>
          <w:rFonts w:ascii="Arial" w:eastAsia="Calibri" w:hAnsi="Arial" w:cs="Arial"/>
          <w:color w:val="000000"/>
          <w:sz w:val="22"/>
          <w:lang w:val="es-ES_tradnl" w:eastAsia="es-ES"/>
        </w:rPr>
        <w:t>045 de 2020</w:t>
      </w:r>
      <w:r w:rsidR="00A33303" w:rsidRPr="00BB79F6">
        <w:rPr>
          <w:rStyle w:val="Refdenotaalpie"/>
          <w:rFonts w:ascii="Arial" w:eastAsia="Calibri" w:hAnsi="Arial" w:cs="Arial"/>
          <w:color w:val="000000"/>
          <w:sz w:val="22"/>
          <w:lang w:val="es-ES_tradnl" w:eastAsia="es-ES"/>
        </w:rPr>
        <w:footnoteReference w:id="3"/>
      </w:r>
      <w:r w:rsidR="009A5130" w:rsidRPr="00BB79F6">
        <w:rPr>
          <w:rFonts w:ascii="Arial" w:eastAsia="Calibri" w:hAnsi="Arial" w:cs="Arial"/>
          <w:color w:val="000000"/>
          <w:sz w:val="22"/>
          <w:lang w:val="es-ES_tradnl" w:eastAsia="es-ES"/>
        </w:rPr>
        <w:t xml:space="preserve">, </w:t>
      </w:r>
      <w:r w:rsidR="00D81EEF" w:rsidRPr="00BB79F6">
        <w:rPr>
          <w:rFonts w:ascii="Arial" w:eastAsia="Calibri" w:hAnsi="Arial" w:cs="Arial"/>
          <w:color w:val="000000"/>
          <w:sz w:val="22"/>
          <w:lang w:val="es-ES_tradnl" w:eastAsia="es-ES"/>
        </w:rPr>
        <w:t>obligatorios para los procesos cuyo aviso de convocatoria se haya publicado desde el 10 de marzo de 2020.</w:t>
      </w:r>
    </w:p>
    <w:p w14:paraId="578CD041" w14:textId="3645C691" w:rsidR="00D81EEF" w:rsidRPr="00613C45" w:rsidRDefault="00AD519D" w:rsidP="00D81EEF">
      <w:pPr>
        <w:spacing w:before="120" w:line="276" w:lineRule="auto"/>
        <w:ind w:firstLine="709"/>
        <w:jc w:val="both"/>
        <w:rPr>
          <w:rFonts w:ascii="Arial" w:eastAsia="Calibri" w:hAnsi="Arial" w:cs="Arial"/>
          <w:color w:val="000000"/>
          <w:sz w:val="22"/>
          <w:lang w:val="es-ES_tradnl" w:eastAsia="es-ES"/>
        </w:rPr>
      </w:pPr>
      <w:proofErr w:type="spellStart"/>
      <w:r>
        <w:rPr>
          <w:rFonts w:ascii="Arial" w:eastAsia="Calibri" w:hAnsi="Arial" w:cs="Arial"/>
          <w:color w:val="000000"/>
          <w:sz w:val="22"/>
          <w:lang w:val="es-ES_tradnl" w:eastAsia="es-ES"/>
        </w:rPr>
        <w:t>iv</w:t>
      </w:r>
      <w:proofErr w:type="spellEnd"/>
      <w:r w:rsidR="00D81EEF" w:rsidRPr="00BB79F6">
        <w:rPr>
          <w:rFonts w:ascii="Arial" w:eastAsia="Calibri" w:hAnsi="Arial" w:cs="Arial"/>
          <w:color w:val="000000"/>
          <w:sz w:val="22"/>
          <w:lang w:val="es-ES_tradnl" w:eastAsia="es-ES"/>
        </w:rPr>
        <w:t xml:space="preserve">) Documentos tipo para licitación de obra pública de </w:t>
      </w:r>
      <w:r w:rsidR="009A5130" w:rsidRPr="00BB79F6">
        <w:rPr>
          <w:rFonts w:ascii="Arial" w:eastAsia="Calibri" w:hAnsi="Arial" w:cs="Arial"/>
          <w:color w:val="000000"/>
          <w:sz w:val="22"/>
          <w:lang w:val="es-ES_tradnl" w:eastAsia="es-ES"/>
        </w:rPr>
        <w:t>infraestructura de transporte –V</w:t>
      </w:r>
      <w:r w:rsidR="00D81EEF" w:rsidRPr="00BB79F6">
        <w:rPr>
          <w:rFonts w:ascii="Arial" w:eastAsia="Calibri" w:hAnsi="Arial" w:cs="Arial"/>
          <w:color w:val="000000"/>
          <w:sz w:val="22"/>
          <w:lang w:val="es-ES_tradnl" w:eastAsia="es-ES"/>
        </w:rPr>
        <w:t>ersión 3</w:t>
      </w:r>
      <w:r w:rsidR="004F620C">
        <w:rPr>
          <w:rFonts w:ascii="Arial" w:eastAsia="Calibri" w:hAnsi="Arial" w:cs="Arial"/>
          <w:color w:val="000000"/>
          <w:sz w:val="22"/>
          <w:lang w:val="es-ES_tradnl" w:eastAsia="es-ES"/>
        </w:rPr>
        <w:t>–</w:t>
      </w:r>
      <w:r>
        <w:rPr>
          <w:rFonts w:ascii="Arial" w:eastAsia="Calibri" w:hAnsi="Arial" w:cs="Arial"/>
          <w:color w:val="000000"/>
          <w:sz w:val="22"/>
          <w:lang w:val="es-ES_tradnl" w:eastAsia="es-ES"/>
        </w:rPr>
        <w:t xml:space="preserve"> y para procesos de menor cuantía de infraestructura de transporte</w:t>
      </w:r>
      <w:r w:rsidR="004F620C">
        <w:rPr>
          <w:rFonts w:ascii="Arial" w:eastAsia="Calibri" w:hAnsi="Arial" w:cs="Arial"/>
          <w:color w:val="000000"/>
          <w:sz w:val="22"/>
          <w:lang w:val="es-ES_tradnl" w:eastAsia="es-ES"/>
        </w:rPr>
        <w:t xml:space="preserve"> </w:t>
      </w:r>
      <w:r>
        <w:rPr>
          <w:rFonts w:ascii="Arial" w:eastAsia="Calibri" w:hAnsi="Arial" w:cs="Arial"/>
          <w:color w:val="000000"/>
          <w:sz w:val="22"/>
          <w:lang w:val="es-ES_tradnl" w:eastAsia="es-ES"/>
        </w:rPr>
        <w:t>–versión 2</w:t>
      </w:r>
      <w:r w:rsidR="004F620C">
        <w:rPr>
          <w:rFonts w:ascii="Arial" w:eastAsia="Calibri" w:hAnsi="Arial" w:cs="Arial"/>
          <w:color w:val="000000"/>
          <w:sz w:val="22"/>
          <w:lang w:val="es-ES_tradnl" w:eastAsia="es-ES"/>
        </w:rPr>
        <w:t>–</w:t>
      </w:r>
      <w:r w:rsidR="00D81EEF" w:rsidRPr="00BB79F6">
        <w:rPr>
          <w:rFonts w:ascii="Arial" w:eastAsia="Calibri" w:hAnsi="Arial" w:cs="Arial"/>
          <w:color w:val="000000"/>
          <w:sz w:val="22"/>
          <w:lang w:val="es-ES_tradnl" w:eastAsia="es-ES"/>
        </w:rPr>
        <w:t>,</w:t>
      </w:r>
      <w:r w:rsidR="00A33303" w:rsidRPr="00BB79F6">
        <w:rPr>
          <w:rFonts w:ascii="Arial" w:eastAsia="Calibri" w:hAnsi="Arial" w:cs="Arial"/>
          <w:color w:val="000000"/>
          <w:sz w:val="22"/>
          <w:lang w:val="es-ES_tradnl" w:eastAsia="es-ES"/>
        </w:rPr>
        <w:t xml:space="preserve"> actualizados mediante la</w:t>
      </w:r>
      <w:r w:rsidR="004F620C">
        <w:rPr>
          <w:rFonts w:ascii="Arial" w:eastAsia="Calibri" w:hAnsi="Arial" w:cs="Arial"/>
          <w:color w:val="000000"/>
          <w:sz w:val="22"/>
          <w:lang w:val="es-ES_tradnl" w:eastAsia="es-ES"/>
        </w:rPr>
        <w:t>s</w:t>
      </w:r>
      <w:r w:rsidR="00A33303" w:rsidRPr="00BB79F6">
        <w:rPr>
          <w:rFonts w:ascii="Arial" w:eastAsia="Calibri" w:hAnsi="Arial" w:cs="Arial"/>
          <w:color w:val="000000"/>
          <w:sz w:val="22"/>
          <w:lang w:val="es-ES_tradnl" w:eastAsia="es-ES"/>
        </w:rPr>
        <w:t xml:space="preserve"> Resoluci</w:t>
      </w:r>
      <w:r w:rsidR="004F620C">
        <w:rPr>
          <w:rFonts w:ascii="Arial" w:eastAsia="Calibri" w:hAnsi="Arial" w:cs="Arial"/>
          <w:color w:val="000000"/>
          <w:sz w:val="22"/>
          <w:lang w:val="es-ES_tradnl" w:eastAsia="es-ES"/>
        </w:rPr>
        <w:t>o</w:t>
      </w:r>
      <w:r w:rsidR="00A33303" w:rsidRPr="00BB79F6">
        <w:rPr>
          <w:rFonts w:ascii="Arial" w:eastAsia="Calibri" w:hAnsi="Arial" w:cs="Arial"/>
          <w:color w:val="000000"/>
          <w:sz w:val="22"/>
          <w:lang w:val="es-ES_tradnl" w:eastAsia="es-ES"/>
        </w:rPr>
        <w:t>n</w:t>
      </w:r>
      <w:r w:rsidR="004F620C">
        <w:rPr>
          <w:rFonts w:ascii="Arial" w:eastAsia="Calibri" w:hAnsi="Arial" w:cs="Arial"/>
          <w:color w:val="000000"/>
          <w:sz w:val="22"/>
          <w:lang w:val="es-ES_tradnl" w:eastAsia="es-ES"/>
        </w:rPr>
        <w:t>es</w:t>
      </w:r>
      <w:r w:rsidR="00A33303" w:rsidRPr="00BB79F6">
        <w:rPr>
          <w:rFonts w:ascii="Arial" w:eastAsia="Calibri" w:hAnsi="Arial" w:cs="Arial"/>
          <w:color w:val="000000"/>
          <w:sz w:val="22"/>
          <w:lang w:val="es-ES_tradnl" w:eastAsia="es-ES"/>
        </w:rPr>
        <w:t xml:space="preserve"> No. 240 </w:t>
      </w:r>
      <w:r w:rsidR="004F620C">
        <w:rPr>
          <w:rFonts w:ascii="Arial" w:eastAsia="Calibri" w:hAnsi="Arial" w:cs="Arial"/>
          <w:color w:val="000000"/>
          <w:sz w:val="22"/>
          <w:lang w:val="es-ES_tradnl" w:eastAsia="es-ES"/>
        </w:rPr>
        <w:t xml:space="preserve">y 241 </w:t>
      </w:r>
      <w:r w:rsidR="00A33303" w:rsidRPr="00BB79F6">
        <w:rPr>
          <w:rFonts w:ascii="Arial" w:eastAsia="Calibri" w:hAnsi="Arial" w:cs="Arial"/>
          <w:color w:val="000000"/>
          <w:sz w:val="22"/>
          <w:lang w:val="es-ES_tradnl" w:eastAsia="es-ES"/>
        </w:rPr>
        <w:t>de 2020</w:t>
      </w:r>
      <w:r w:rsidR="004F620C">
        <w:rPr>
          <w:rFonts w:ascii="Arial" w:eastAsia="Calibri" w:hAnsi="Arial" w:cs="Arial"/>
          <w:color w:val="000000"/>
          <w:sz w:val="22"/>
          <w:lang w:val="es-ES_tradnl" w:eastAsia="es-ES"/>
        </w:rPr>
        <w:t>,</w:t>
      </w:r>
      <w:r w:rsidR="00D81EEF" w:rsidRPr="00BB79F6">
        <w:rPr>
          <w:rFonts w:ascii="Arial" w:eastAsia="Calibri" w:hAnsi="Arial" w:cs="Arial"/>
          <w:color w:val="000000"/>
          <w:sz w:val="22"/>
          <w:lang w:val="es-ES_tradnl" w:eastAsia="es-ES"/>
        </w:rPr>
        <w:t xml:space="preserve"> obligatorios para los procesos cuyo aviso de convocatoria se haya publicado desde el 1 de enero de 2021.</w:t>
      </w:r>
      <w:r w:rsidR="00BB79F6" w:rsidRPr="00BB79F6">
        <w:rPr>
          <w:rFonts w:ascii="Arial" w:eastAsia="Calibri" w:hAnsi="Arial" w:cs="Arial"/>
          <w:color w:val="000000"/>
          <w:sz w:val="22"/>
          <w:lang w:val="es-ES_tradnl" w:eastAsia="es-ES"/>
        </w:rPr>
        <w:t xml:space="preserve"> </w:t>
      </w:r>
      <w:r w:rsidR="00462D38">
        <w:rPr>
          <w:rFonts w:ascii="Arial" w:eastAsia="Calibri" w:hAnsi="Arial" w:cs="Arial"/>
          <w:color w:val="000000"/>
          <w:sz w:val="22"/>
          <w:lang w:val="es-ES_tradnl" w:eastAsia="es-ES"/>
        </w:rPr>
        <w:t>A su vez, e</w:t>
      </w:r>
      <w:r w:rsidR="00BB79F6" w:rsidRPr="00BB79F6">
        <w:rPr>
          <w:rFonts w:ascii="Arial" w:eastAsia="Calibri" w:hAnsi="Arial" w:cs="Arial"/>
          <w:color w:val="000000"/>
          <w:sz w:val="22"/>
          <w:lang w:val="es-ES_tradnl" w:eastAsia="es-ES"/>
        </w:rPr>
        <w:t xml:space="preserve">stos </w:t>
      </w:r>
      <w:r w:rsidR="004F620C" w:rsidRPr="00BB79F6">
        <w:rPr>
          <w:rFonts w:ascii="Arial" w:eastAsia="Calibri" w:hAnsi="Arial" w:cs="Arial"/>
          <w:color w:val="000000"/>
          <w:sz w:val="22"/>
          <w:lang w:val="es-ES_tradnl" w:eastAsia="es-ES"/>
        </w:rPr>
        <w:t>documentos tipo</w:t>
      </w:r>
      <w:r w:rsidR="00BB79F6" w:rsidRPr="00BB79F6">
        <w:rPr>
          <w:rFonts w:ascii="Arial" w:eastAsia="Calibri" w:hAnsi="Arial" w:cs="Arial"/>
          <w:color w:val="000000"/>
          <w:sz w:val="22"/>
          <w:lang w:val="es-ES_tradnl" w:eastAsia="es-ES"/>
        </w:rPr>
        <w:t xml:space="preserve"> fueron modificados mediante la</w:t>
      </w:r>
      <w:r w:rsidR="00F74EAE">
        <w:rPr>
          <w:rFonts w:ascii="Arial" w:eastAsia="Calibri" w:hAnsi="Arial" w:cs="Arial"/>
          <w:color w:val="000000"/>
          <w:sz w:val="22"/>
          <w:lang w:val="es-ES_tradnl" w:eastAsia="es-ES"/>
        </w:rPr>
        <w:t>s</w:t>
      </w:r>
      <w:r w:rsidR="00BB79F6" w:rsidRPr="00BB79F6">
        <w:rPr>
          <w:rFonts w:ascii="Arial" w:eastAsia="Calibri" w:hAnsi="Arial" w:cs="Arial"/>
          <w:color w:val="000000"/>
          <w:sz w:val="22"/>
          <w:lang w:val="es-ES_tradnl" w:eastAsia="es-ES"/>
        </w:rPr>
        <w:t xml:space="preserve"> Resoluc</w:t>
      </w:r>
      <w:r w:rsidR="00F74EAE">
        <w:rPr>
          <w:rFonts w:ascii="Arial" w:eastAsia="Calibri" w:hAnsi="Arial" w:cs="Arial"/>
          <w:color w:val="000000"/>
          <w:sz w:val="22"/>
          <w:lang w:val="es-ES_tradnl" w:eastAsia="es-ES"/>
        </w:rPr>
        <w:t>iones</w:t>
      </w:r>
      <w:r w:rsidR="00BB79F6" w:rsidRPr="00BB79F6">
        <w:rPr>
          <w:rFonts w:ascii="Arial" w:eastAsia="Calibri" w:hAnsi="Arial" w:cs="Arial"/>
          <w:color w:val="000000"/>
          <w:sz w:val="22"/>
          <w:lang w:val="es-ES_tradnl" w:eastAsia="es-ES"/>
        </w:rPr>
        <w:t xml:space="preserve"> No. 161 </w:t>
      </w:r>
      <w:r w:rsidR="00F74EAE">
        <w:rPr>
          <w:rFonts w:ascii="Arial" w:eastAsia="Calibri" w:hAnsi="Arial" w:cs="Arial"/>
          <w:color w:val="000000"/>
          <w:sz w:val="22"/>
          <w:lang w:val="es-ES_tradnl" w:eastAsia="es-ES"/>
        </w:rPr>
        <w:t xml:space="preserve">y 304 </w:t>
      </w:r>
      <w:r w:rsidR="00BB79F6" w:rsidRPr="00BB79F6">
        <w:rPr>
          <w:rFonts w:ascii="Arial" w:eastAsia="Calibri" w:hAnsi="Arial" w:cs="Arial"/>
          <w:color w:val="000000"/>
          <w:sz w:val="22"/>
          <w:lang w:val="es-ES_tradnl" w:eastAsia="es-ES"/>
        </w:rPr>
        <w:t xml:space="preserve">de 2021 en aspectos relacionados con los criterios de desempate y </w:t>
      </w:r>
      <w:r w:rsidR="00F74EAE">
        <w:rPr>
          <w:rFonts w:ascii="Arial" w:eastAsia="Calibri" w:hAnsi="Arial" w:cs="Arial"/>
          <w:color w:val="000000"/>
          <w:sz w:val="22"/>
          <w:lang w:val="es-ES_tradnl" w:eastAsia="es-ES"/>
        </w:rPr>
        <w:t>la aplicación de la regla de origen</w:t>
      </w:r>
      <w:r w:rsidR="003B0DA0">
        <w:rPr>
          <w:rFonts w:ascii="Arial" w:eastAsia="Calibri" w:hAnsi="Arial" w:cs="Arial"/>
          <w:color w:val="000000"/>
          <w:sz w:val="22"/>
          <w:lang w:val="es-ES_tradnl" w:eastAsia="es-ES"/>
        </w:rPr>
        <w:t xml:space="preserve">. No obstante, como se indicó, </w:t>
      </w:r>
      <w:r w:rsidR="00ED1022">
        <w:rPr>
          <w:rFonts w:ascii="Arial" w:eastAsia="Calibri" w:hAnsi="Arial" w:cs="Arial"/>
          <w:color w:val="000000"/>
          <w:sz w:val="22"/>
          <w:lang w:val="es-ES_tradnl" w:eastAsia="es-ES"/>
        </w:rPr>
        <w:t>con estas modificaciones</w:t>
      </w:r>
      <w:r w:rsidR="003B0DA0">
        <w:rPr>
          <w:rFonts w:ascii="Arial" w:eastAsia="Calibri" w:hAnsi="Arial" w:cs="Arial"/>
          <w:color w:val="000000"/>
          <w:sz w:val="22"/>
          <w:lang w:val="es-ES_tradnl" w:eastAsia="es-ES"/>
        </w:rPr>
        <w:t xml:space="preserve"> no varió lo relacionado con la capacidad de organización</w:t>
      </w:r>
      <w:r w:rsidR="00EE6A02">
        <w:rPr>
          <w:rFonts w:ascii="Arial" w:eastAsia="Calibri" w:hAnsi="Arial" w:cs="Arial"/>
          <w:color w:val="000000"/>
          <w:sz w:val="22"/>
          <w:lang w:val="es-ES_tradnl" w:eastAsia="es-ES"/>
        </w:rPr>
        <w:t xml:space="preserve"> </w:t>
      </w:r>
      <w:r w:rsidR="003B0DA0">
        <w:rPr>
          <w:rFonts w:ascii="Arial" w:eastAsia="Calibri" w:hAnsi="Arial" w:cs="Arial"/>
          <w:color w:val="000000"/>
          <w:sz w:val="22"/>
          <w:lang w:val="es-ES_tradnl" w:eastAsia="es-ES"/>
        </w:rPr>
        <w:t>como componente de la capacidad residual.</w:t>
      </w:r>
    </w:p>
    <w:p w14:paraId="51559474" w14:textId="70E4C330" w:rsidR="00BD77F0" w:rsidRPr="00BD77F0" w:rsidRDefault="00BD77F0" w:rsidP="00E1021F">
      <w:pPr>
        <w:spacing w:before="120" w:line="276" w:lineRule="auto"/>
        <w:ind w:firstLine="708"/>
        <w:jc w:val="both"/>
        <w:rPr>
          <w:rFonts w:ascii="Arial" w:eastAsia="Calibri" w:hAnsi="Arial" w:cs="Arial"/>
          <w:bCs/>
          <w:color w:val="000000" w:themeColor="text1"/>
          <w:sz w:val="22"/>
        </w:rPr>
      </w:pPr>
      <w:r w:rsidRPr="002142CC">
        <w:rPr>
          <w:rFonts w:ascii="Arial" w:eastAsia="Calibri" w:hAnsi="Arial" w:cs="Arial"/>
          <w:bCs/>
          <w:color w:val="000000" w:themeColor="text1"/>
          <w:sz w:val="22"/>
        </w:rPr>
        <w:t>Ahora bien, respecto del requisito de la capacidad residual o K de contratación se realizaron ajustes en cuanto a la verificación de la capacidad de organización en cada una de las versiones antes descritas.  En estos documentos, la Agencia precisa los requisitos en relación con los proponentes obligados a tener RUP, de conformidad con lo establecido en el Decreto 1082 de 2015. Siguiendo esta misma línea</w:t>
      </w:r>
      <w:r w:rsidR="007F6C9C" w:rsidRPr="002142CC">
        <w:rPr>
          <w:rFonts w:ascii="Arial" w:eastAsia="Calibri" w:hAnsi="Arial" w:cs="Arial"/>
          <w:bCs/>
          <w:color w:val="000000" w:themeColor="text1"/>
          <w:sz w:val="22"/>
        </w:rPr>
        <w:t>,</w:t>
      </w:r>
      <w:r w:rsidRPr="002142CC">
        <w:rPr>
          <w:rFonts w:ascii="Arial" w:eastAsia="Calibri" w:hAnsi="Arial" w:cs="Arial"/>
          <w:bCs/>
          <w:color w:val="000000" w:themeColor="text1"/>
          <w:sz w:val="22"/>
        </w:rPr>
        <w:t xml:space="preserve"> a </w:t>
      </w:r>
      <w:proofErr w:type="gramStart"/>
      <w:r w:rsidRPr="002142CC">
        <w:rPr>
          <w:rFonts w:ascii="Arial" w:eastAsia="Calibri" w:hAnsi="Arial" w:cs="Arial"/>
          <w:bCs/>
          <w:color w:val="000000" w:themeColor="text1"/>
          <w:sz w:val="22"/>
        </w:rPr>
        <w:t>continuación</w:t>
      </w:r>
      <w:proofErr w:type="gramEnd"/>
      <w:r w:rsidRPr="002142CC">
        <w:rPr>
          <w:rFonts w:ascii="Arial" w:eastAsia="Calibri" w:hAnsi="Arial" w:cs="Arial"/>
          <w:bCs/>
          <w:color w:val="000000" w:themeColor="text1"/>
          <w:sz w:val="22"/>
        </w:rPr>
        <w:t xml:space="preserve"> se explicará la </w:t>
      </w:r>
      <w:r w:rsidRPr="002142CC">
        <w:rPr>
          <w:rFonts w:ascii="Arial" w:eastAsia="Calibri" w:hAnsi="Arial" w:cs="Arial"/>
          <w:bCs/>
          <w:color w:val="000000" w:themeColor="text1"/>
          <w:sz w:val="22"/>
        </w:rPr>
        <w:lastRenderedPageBreak/>
        <w:t xml:space="preserve">forma en que se reguló este requisito en </w:t>
      </w:r>
      <w:r w:rsidR="00ED1022" w:rsidRPr="002142CC">
        <w:rPr>
          <w:rFonts w:ascii="Arial" w:eastAsia="Calibri" w:hAnsi="Arial" w:cs="Arial"/>
          <w:bCs/>
          <w:color w:val="000000" w:themeColor="text1"/>
          <w:sz w:val="22"/>
        </w:rPr>
        <w:t xml:space="preserve">los documentos tipo </w:t>
      </w:r>
      <w:r w:rsidRPr="002142CC">
        <w:rPr>
          <w:rFonts w:ascii="Arial" w:eastAsia="Calibri" w:hAnsi="Arial" w:cs="Arial"/>
          <w:bCs/>
          <w:color w:val="000000" w:themeColor="text1"/>
          <w:sz w:val="22"/>
        </w:rPr>
        <w:t>de licitación de obra pública de infraestructura – Versión 1, Versión 2 y Versión 3</w:t>
      </w:r>
      <w:r w:rsidR="00C83AD2" w:rsidRPr="002142CC">
        <w:rPr>
          <w:rFonts w:ascii="Arial" w:eastAsia="Calibri" w:hAnsi="Arial" w:cs="Arial"/>
          <w:bCs/>
          <w:color w:val="000000" w:themeColor="text1"/>
          <w:sz w:val="22"/>
        </w:rPr>
        <w:t xml:space="preserve"> – y selección abreviada de menor cuantía</w:t>
      </w:r>
      <w:r w:rsidR="00ED1022">
        <w:rPr>
          <w:rFonts w:ascii="Arial" w:eastAsia="Calibri" w:hAnsi="Arial" w:cs="Arial"/>
          <w:bCs/>
          <w:color w:val="000000" w:themeColor="text1"/>
          <w:sz w:val="22"/>
        </w:rPr>
        <w:t>.</w:t>
      </w:r>
    </w:p>
    <w:p w14:paraId="349A63E5" w14:textId="78AC4EA8" w:rsidR="00606FE0" w:rsidRPr="00515265" w:rsidRDefault="001F62F5" w:rsidP="00E1021F">
      <w:pPr>
        <w:spacing w:before="120" w:line="276" w:lineRule="auto"/>
        <w:ind w:firstLine="708"/>
        <w:jc w:val="both"/>
        <w:rPr>
          <w:rFonts w:ascii="Arial" w:eastAsia="Calibri" w:hAnsi="Arial" w:cs="Arial"/>
          <w:bCs/>
          <w:color w:val="000000" w:themeColor="text1"/>
          <w:sz w:val="22"/>
        </w:rPr>
      </w:pPr>
      <w:r>
        <w:rPr>
          <w:rFonts w:ascii="Arial" w:eastAsia="Times New Roman" w:hAnsi="Arial" w:cs="Arial"/>
          <w:bCs/>
          <w:color w:val="000000" w:themeColor="text1"/>
          <w:sz w:val="22"/>
          <w:lang w:eastAsia="es-ES_tradnl"/>
        </w:rPr>
        <w:t>Así, en</w:t>
      </w:r>
      <w:r w:rsidR="009A3D14" w:rsidRPr="00A70F57">
        <w:rPr>
          <w:rFonts w:ascii="Arial" w:eastAsia="Times New Roman" w:hAnsi="Arial" w:cs="Arial"/>
          <w:bCs/>
          <w:color w:val="000000" w:themeColor="text1"/>
          <w:sz w:val="22"/>
          <w:lang w:eastAsia="es-ES_tradnl"/>
        </w:rPr>
        <w:t xml:space="preserve"> los </w:t>
      </w:r>
      <w:r w:rsidR="00ED1022" w:rsidRPr="00A70F57">
        <w:rPr>
          <w:rFonts w:ascii="Arial" w:eastAsia="Times New Roman" w:hAnsi="Arial" w:cs="Arial"/>
          <w:bCs/>
          <w:color w:val="000000" w:themeColor="text1"/>
          <w:sz w:val="22"/>
          <w:lang w:eastAsia="es-ES_tradnl"/>
        </w:rPr>
        <w:t xml:space="preserve">documentos tipo </w:t>
      </w:r>
      <w:r w:rsidR="009A3D14" w:rsidRPr="00A70F57">
        <w:rPr>
          <w:rFonts w:ascii="Arial" w:eastAsia="Times New Roman" w:hAnsi="Arial" w:cs="Arial"/>
          <w:bCs/>
          <w:color w:val="000000" w:themeColor="text1"/>
          <w:sz w:val="22"/>
          <w:lang w:eastAsia="es-ES_tradnl"/>
        </w:rPr>
        <w:t xml:space="preserve">para licitación de obra pública de infraestructura de transporte </w:t>
      </w:r>
      <w:r w:rsidR="009A3D14" w:rsidRPr="00E30DF1">
        <w:rPr>
          <w:rFonts w:ascii="Arial" w:eastAsia="Times New Roman" w:hAnsi="Arial" w:cs="Arial"/>
          <w:bCs/>
          <w:i/>
          <w:iCs/>
          <w:color w:val="000000" w:themeColor="text1"/>
          <w:sz w:val="22"/>
          <w:lang w:eastAsia="es-ES_tradnl"/>
        </w:rPr>
        <w:t>Versión 1</w:t>
      </w:r>
      <w:r w:rsidR="009A3D14" w:rsidRPr="00E30DF1">
        <w:rPr>
          <w:rFonts w:ascii="Arial" w:eastAsia="Times New Roman" w:hAnsi="Arial" w:cs="Arial"/>
          <w:bCs/>
          <w:color w:val="000000" w:themeColor="text1"/>
          <w:sz w:val="22"/>
          <w:lang w:eastAsia="es-ES_tradnl"/>
        </w:rPr>
        <w:t>,</w:t>
      </w:r>
      <w:r w:rsidR="009A3D14" w:rsidRPr="00A70F57">
        <w:rPr>
          <w:rFonts w:ascii="Arial" w:eastAsia="Times New Roman" w:hAnsi="Arial" w:cs="Arial"/>
          <w:bCs/>
          <w:color w:val="000000" w:themeColor="text1"/>
          <w:sz w:val="22"/>
          <w:lang w:eastAsia="es-ES_tradnl"/>
        </w:rPr>
        <w:t xml:space="preserve"> el Documento Base establecía que para acreditar la capacidad residual </w:t>
      </w:r>
      <w:r w:rsidR="00606FE0">
        <w:rPr>
          <w:rFonts w:ascii="Arial" w:eastAsia="Times New Roman" w:hAnsi="Arial" w:cs="Arial"/>
          <w:bCs/>
          <w:color w:val="000000" w:themeColor="text1"/>
          <w:sz w:val="22"/>
          <w:lang w:eastAsia="es-ES_tradnl"/>
        </w:rPr>
        <w:t xml:space="preserve">el proponente </w:t>
      </w:r>
      <w:r w:rsidR="00606FE0" w:rsidRPr="00515265">
        <w:rPr>
          <w:rFonts w:ascii="Arial" w:eastAsia="Times New Roman" w:hAnsi="Arial" w:cs="Arial"/>
          <w:bCs/>
          <w:color w:val="000000" w:themeColor="text1"/>
          <w:sz w:val="22"/>
          <w:lang w:eastAsia="es-ES_tradnl"/>
        </w:rPr>
        <w:t>debía</w:t>
      </w:r>
      <w:r w:rsidR="00606FE0" w:rsidRPr="00515265">
        <w:rPr>
          <w:rFonts w:ascii="Arial" w:eastAsia="Calibri" w:hAnsi="Arial" w:cs="Arial"/>
          <w:bCs/>
          <w:color w:val="000000" w:themeColor="text1"/>
          <w:sz w:val="22"/>
        </w:rPr>
        <w:t xml:space="preserve"> presentar los siguientes documentos:</w:t>
      </w:r>
    </w:p>
    <w:p w14:paraId="21F71EE3" w14:textId="77777777" w:rsidR="00606FE0" w:rsidRPr="00515265" w:rsidRDefault="00606FE0" w:rsidP="00E1021F">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i) Estado de resultados integral –estado de resultados o pérdida o ganancias–, del año en que hayan obtenido el mayor ingreso operacional en los últimos cinco (5) años, debidamente firmado por el representante legal, contador y revisor fiscal y/o contador independiente –externo–, si está obligados a tenerlos.</w:t>
      </w:r>
    </w:p>
    <w:p w14:paraId="2068A403" w14:textId="77777777" w:rsidR="00606FE0" w:rsidRPr="00515265" w:rsidRDefault="00606FE0" w:rsidP="00E1021F">
      <w:pPr>
        <w:spacing w:before="120" w:line="276" w:lineRule="auto"/>
        <w:ind w:firstLine="708"/>
        <w:jc w:val="both"/>
        <w:rPr>
          <w:rFonts w:ascii="Arial" w:eastAsia="Calibri" w:hAnsi="Arial" w:cs="Arial"/>
          <w:bCs/>
          <w:color w:val="000000" w:themeColor="text1"/>
          <w:sz w:val="22"/>
        </w:rPr>
      </w:pPr>
      <w:proofErr w:type="spellStart"/>
      <w:r w:rsidRPr="00515265">
        <w:rPr>
          <w:rFonts w:ascii="Arial" w:eastAsia="Calibri" w:hAnsi="Arial" w:cs="Arial"/>
          <w:bCs/>
          <w:color w:val="000000" w:themeColor="text1"/>
          <w:sz w:val="22"/>
        </w:rPr>
        <w:t>ii</w:t>
      </w:r>
      <w:proofErr w:type="spellEnd"/>
      <w:r w:rsidRPr="00515265">
        <w:rPr>
          <w:rFonts w:ascii="Arial" w:eastAsia="Calibri" w:hAnsi="Arial" w:cs="Arial"/>
          <w:bCs/>
          <w:color w:val="000000" w:themeColor="text1"/>
          <w:sz w:val="22"/>
        </w:rPr>
        <w:t xml:space="preserve">) Información financiera auditada y aprobada por el máximo órgano social que pretende acreditar el proponente. </w:t>
      </w:r>
    </w:p>
    <w:p w14:paraId="6968CDBF" w14:textId="37D00882" w:rsidR="00606FE0" w:rsidRPr="00515265" w:rsidRDefault="00606FE0" w:rsidP="00E1021F">
      <w:pPr>
        <w:spacing w:before="120" w:line="276" w:lineRule="auto"/>
        <w:ind w:firstLine="708"/>
        <w:jc w:val="both"/>
        <w:rPr>
          <w:rFonts w:ascii="Arial" w:eastAsia="Calibri" w:hAnsi="Arial" w:cs="Arial"/>
          <w:bCs/>
          <w:color w:val="000000" w:themeColor="text1"/>
          <w:sz w:val="22"/>
        </w:rPr>
      </w:pPr>
      <w:proofErr w:type="spellStart"/>
      <w:r w:rsidRPr="00515265">
        <w:rPr>
          <w:rFonts w:ascii="Arial" w:eastAsia="Calibri" w:hAnsi="Arial" w:cs="Arial"/>
          <w:bCs/>
          <w:color w:val="000000" w:themeColor="text1"/>
          <w:sz w:val="22"/>
        </w:rPr>
        <w:t>iii</w:t>
      </w:r>
      <w:proofErr w:type="spellEnd"/>
      <w:r w:rsidRPr="00515265">
        <w:rPr>
          <w:rFonts w:ascii="Arial" w:eastAsia="Calibri" w:hAnsi="Arial" w:cs="Arial"/>
          <w:bCs/>
          <w:color w:val="000000" w:themeColor="text1"/>
          <w:sz w:val="22"/>
        </w:rPr>
        <w:t>) Certificación de los estados financieros de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w:t>
      </w:r>
    </w:p>
    <w:p w14:paraId="74A9FD3D" w14:textId="77777777" w:rsidR="00606FE0" w:rsidRPr="00515265" w:rsidRDefault="00606FE0" w:rsidP="00E1021F">
      <w:pPr>
        <w:spacing w:before="120" w:line="276" w:lineRule="auto"/>
        <w:ind w:firstLine="708"/>
        <w:jc w:val="both"/>
        <w:rPr>
          <w:rFonts w:ascii="Arial" w:eastAsia="Calibri" w:hAnsi="Arial" w:cs="Arial"/>
          <w:bCs/>
          <w:color w:val="000000" w:themeColor="text1"/>
          <w:sz w:val="22"/>
        </w:rPr>
      </w:pPr>
      <w:proofErr w:type="spellStart"/>
      <w:r w:rsidRPr="00515265">
        <w:rPr>
          <w:rFonts w:ascii="Arial" w:eastAsia="Calibri" w:hAnsi="Arial" w:cs="Arial"/>
          <w:bCs/>
          <w:color w:val="000000" w:themeColor="text1"/>
          <w:sz w:val="22"/>
        </w:rPr>
        <w:t>iv</w:t>
      </w:r>
      <w:proofErr w:type="spellEnd"/>
      <w:r w:rsidRPr="00515265">
        <w:rPr>
          <w:rFonts w:ascii="Arial" w:eastAsia="Calibri" w:hAnsi="Arial" w:cs="Arial"/>
          <w:bCs/>
          <w:color w:val="000000" w:themeColor="text1"/>
          <w:sz w:val="22"/>
        </w:rPr>
        <w:t xml:space="preserve">) Dictamen del revisor fiscal o, a falta de éste, del contador público independiente cuando el proponente esté obligado a ello, del año o en que haya obtenido el mayor Ingreso Operacional en los últimos cinco (5) años, en los términos descritos en el artículo 38 de la Ley 222 de 1995. </w:t>
      </w:r>
    </w:p>
    <w:p w14:paraId="3864F9BB" w14:textId="77777777" w:rsidR="00606FE0" w:rsidRPr="000258A6" w:rsidRDefault="00606FE0" w:rsidP="00E1021F">
      <w:pPr>
        <w:spacing w:before="120" w:line="276" w:lineRule="auto"/>
        <w:ind w:firstLine="708"/>
        <w:jc w:val="both"/>
        <w:rPr>
          <w:rFonts w:ascii="Arial" w:eastAsia="Calibri" w:hAnsi="Arial" w:cs="Arial"/>
          <w:bCs/>
          <w:color w:val="000000" w:themeColor="text1"/>
          <w:sz w:val="22"/>
        </w:rPr>
      </w:pPr>
      <w:r w:rsidRPr="00515265">
        <w:rPr>
          <w:rFonts w:ascii="Arial" w:eastAsia="Calibri" w:hAnsi="Arial" w:cs="Arial"/>
          <w:bCs/>
          <w:color w:val="000000" w:themeColor="text1"/>
          <w:sz w:val="22"/>
        </w:rPr>
        <w:t>v) Copia de la tarjeta profesional y certificado de antecedentes disciplinarios vigentes de los contadores públicos, revisores fiscales, contadores independientes (externos), quienes suscribieron los documentos anteriores.</w:t>
      </w:r>
      <w:r w:rsidRPr="000258A6">
        <w:rPr>
          <w:rFonts w:ascii="Arial" w:eastAsia="Calibri" w:hAnsi="Arial" w:cs="Arial"/>
          <w:bCs/>
          <w:color w:val="000000" w:themeColor="text1"/>
          <w:sz w:val="22"/>
        </w:rPr>
        <w:t xml:space="preserve"> </w:t>
      </w:r>
      <w:r w:rsidRPr="000258A6">
        <w:rPr>
          <w:rFonts w:ascii="Arial" w:hAnsi="Arial" w:cs="Arial"/>
          <w:color w:val="000000" w:themeColor="text1"/>
          <w:sz w:val="22"/>
        </w:rPr>
        <w:t xml:space="preserve"> </w:t>
      </w:r>
    </w:p>
    <w:p w14:paraId="2F8B7E5B" w14:textId="6B4038F1" w:rsidR="0002175E" w:rsidRPr="00A569DF" w:rsidRDefault="007F6C9C" w:rsidP="002A6849">
      <w:pPr>
        <w:spacing w:before="120" w:line="276" w:lineRule="auto"/>
        <w:ind w:firstLine="708"/>
        <w:jc w:val="both"/>
        <w:rPr>
          <w:rFonts w:ascii="Arial" w:hAnsi="Arial" w:cs="Arial"/>
          <w:color w:val="000000" w:themeColor="text1"/>
          <w:sz w:val="22"/>
        </w:rPr>
      </w:pPr>
      <w:r>
        <w:rPr>
          <w:rFonts w:ascii="Arial" w:eastAsia="Times New Roman" w:hAnsi="Arial" w:cs="Arial"/>
          <w:bCs/>
          <w:color w:val="000000" w:themeColor="text1"/>
          <w:sz w:val="22"/>
          <w:lang w:eastAsia="es-ES_tradnl"/>
        </w:rPr>
        <w:t>De otro lado, e</w:t>
      </w:r>
      <w:r w:rsidR="009A3D14" w:rsidRPr="00A70F57">
        <w:rPr>
          <w:rFonts w:ascii="Arial" w:eastAsia="Times New Roman" w:hAnsi="Arial" w:cs="Arial"/>
          <w:bCs/>
          <w:color w:val="000000" w:themeColor="text1"/>
          <w:sz w:val="22"/>
          <w:lang w:eastAsia="es-ES_tradnl"/>
        </w:rPr>
        <w:t xml:space="preserve">n los </w:t>
      </w:r>
      <w:r w:rsidR="00ED1022" w:rsidRPr="00A70F57">
        <w:rPr>
          <w:rFonts w:ascii="Arial" w:eastAsia="Times New Roman" w:hAnsi="Arial" w:cs="Arial"/>
          <w:bCs/>
          <w:color w:val="000000" w:themeColor="text1"/>
          <w:sz w:val="22"/>
          <w:lang w:eastAsia="es-ES_tradnl"/>
        </w:rPr>
        <w:t xml:space="preserve">documentos tipo </w:t>
      </w:r>
      <w:r w:rsidR="009A3D14" w:rsidRPr="00A70F57">
        <w:rPr>
          <w:rFonts w:ascii="Arial" w:eastAsia="Times New Roman" w:hAnsi="Arial" w:cs="Arial"/>
          <w:bCs/>
          <w:color w:val="000000" w:themeColor="text1"/>
          <w:sz w:val="22"/>
          <w:lang w:eastAsia="es-ES_tradnl"/>
        </w:rPr>
        <w:t xml:space="preserve">para licitación de obra pública de infraestructura de transporte </w:t>
      </w:r>
      <w:r w:rsidR="009A3D14" w:rsidRPr="00E30DF1">
        <w:rPr>
          <w:rFonts w:ascii="Arial" w:eastAsia="Times New Roman" w:hAnsi="Arial" w:cs="Arial"/>
          <w:bCs/>
          <w:i/>
          <w:iCs/>
          <w:color w:val="000000" w:themeColor="text1"/>
          <w:sz w:val="22"/>
          <w:lang w:eastAsia="es-ES_tradnl"/>
        </w:rPr>
        <w:t>Versión 2</w:t>
      </w:r>
      <w:r w:rsidR="009A3D14" w:rsidRPr="00A70F57">
        <w:rPr>
          <w:rFonts w:ascii="Arial" w:eastAsia="Times New Roman" w:hAnsi="Arial" w:cs="Arial"/>
          <w:bCs/>
          <w:color w:val="000000" w:themeColor="text1"/>
          <w:sz w:val="22"/>
          <w:lang w:eastAsia="es-ES_tradnl"/>
        </w:rPr>
        <w:t xml:space="preserve"> </w:t>
      </w:r>
      <w:r w:rsidR="009A3D14" w:rsidRPr="00A70F57">
        <w:rPr>
          <w:rFonts w:ascii="Arial" w:hAnsi="Arial" w:cs="Arial"/>
          <w:sz w:val="22"/>
        </w:rPr>
        <w:t xml:space="preserve">se ajustaron los requisitos </w:t>
      </w:r>
      <w:r w:rsidR="002236AE">
        <w:rPr>
          <w:rFonts w:ascii="Arial" w:hAnsi="Arial" w:cs="Arial"/>
          <w:sz w:val="22"/>
        </w:rPr>
        <w:t>limitándolos</w:t>
      </w:r>
      <w:r w:rsidR="009A3D14" w:rsidRPr="00A70F57">
        <w:rPr>
          <w:rFonts w:ascii="Arial" w:hAnsi="Arial" w:cs="Arial"/>
          <w:sz w:val="22"/>
        </w:rPr>
        <w:t xml:space="preserve"> únicamente </w:t>
      </w:r>
      <w:r w:rsidR="002236AE">
        <w:rPr>
          <w:rFonts w:ascii="Arial" w:hAnsi="Arial" w:cs="Arial"/>
          <w:sz w:val="22"/>
        </w:rPr>
        <w:t xml:space="preserve">a </w:t>
      </w:r>
      <w:r w:rsidR="009A3D14" w:rsidRPr="00A70F57">
        <w:rPr>
          <w:rFonts w:ascii="Arial" w:eastAsia="Times New Roman" w:hAnsi="Arial" w:cs="Arial"/>
          <w:bCs/>
          <w:color w:val="000000" w:themeColor="text1"/>
          <w:sz w:val="22"/>
          <w:lang w:eastAsia="es-ES_tradnl"/>
        </w:rPr>
        <w:t>los documentos señalados en los numerales i) y v) antes mencionados</w:t>
      </w:r>
      <w:r w:rsidR="0002175E">
        <w:rPr>
          <w:rFonts w:ascii="Arial" w:eastAsia="Times New Roman" w:hAnsi="Arial" w:cs="Arial"/>
          <w:bCs/>
          <w:color w:val="000000" w:themeColor="text1"/>
          <w:sz w:val="22"/>
          <w:lang w:eastAsia="es-ES_tradnl"/>
        </w:rPr>
        <w:t>.</w:t>
      </w:r>
      <w:r w:rsidR="00F44894">
        <w:rPr>
          <w:rFonts w:ascii="Arial" w:hAnsi="Arial" w:cs="Arial"/>
          <w:color w:val="000000" w:themeColor="text1"/>
          <w:sz w:val="22"/>
        </w:rPr>
        <w:t xml:space="preserve"> </w:t>
      </w:r>
      <w:r>
        <w:rPr>
          <w:rFonts w:ascii="Arial" w:hAnsi="Arial" w:cs="Arial"/>
          <w:color w:val="000000" w:themeColor="text1"/>
          <w:sz w:val="22"/>
        </w:rPr>
        <w:t>De esta manera</w:t>
      </w:r>
      <w:r w:rsidR="0002175E" w:rsidRPr="00A569DF">
        <w:rPr>
          <w:rFonts w:ascii="Arial" w:hAnsi="Arial" w:cs="Arial"/>
          <w:color w:val="000000" w:themeColor="text1"/>
          <w:sz w:val="22"/>
        </w:rPr>
        <w:t xml:space="preserve">, se </w:t>
      </w:r>
      <w:r>
        <w:rPr>
          <w:rFonts w:ascii="Arial" w:hAnsi="Arial" w:cs="Arial"/>
          <w:color w:val="000000" w:themeColor="text1"/>
          <w:sz w:val="22"/>
        </w:rPr>
        <w:t>establece</w:t>
      </w:r>
      <w:r w:rsidRPr="00A569DF">
        <w:rPr>
          <w:rFonts w:ascii="Arial" w:hAnsi="Arial" w:cs="Arial"/>
          <w:color w:val="000000" w:themeColor="text1"/>
          <w:sz w:val="22"/>
        </w:rPr>
        <w:t xml:space="preserve"> </w:t>
      </w:r>
      <w:r w:rsidR="0002175E" w:rsidRPr="00A569DF">
        <w:rPr>
          <w:rFonts w:ascii="Arial" w:hAnsi="Arial" w:cs="Arial"/>
          <w:color w:val="000000" w:themeColor="text1"/>
          <w:sz w:val="22"/>
        </w:rPr>
        <w:t xml:space="preserve">que los proponentes obligados a tener RUP deben presentar los siguientes documentos: i) el estado de resultados integral </w:t>
      </w:r>
      <w:r w:rsidR="002236AE">
        <w:rPr>
          <w:rFonts w:ascii="Arial" w:hAnsi="Arial" w:cs="Arial"/>
          <w:color w:val="000000" w:themeColor="text1"/>
          <w:sz w:val="22"/>
        </w:rPr>
        <w:t>–</w:t>
      </w:r>
      <w:r w:rsidR="0002175E" w:rsidRPr="00A569DF">
        <w:rPr>
          <w:rFonts w:ascii="Arial" w:hAnsi="Arial" w:cs="Arial"/>
          <w:color w:val="000000" w:themeColor="text1"/>
          <w:sz w:val="22"/>
        </w:rPr>
        <w:t>estado de resultados o pérdida o ganancias</w:t>
      </w:r>
      <w:r w:rsidR="002236AE">
        <w:rPr>
          <w:rFonts w:ascii="Arial" w:hAnsi="Arial" w:cs="Arial"/>
          <w:color w:val="000000" w:themeColor="text1"/>
          <w:sz w:val="22"/>
        </w:rPr>
        <w:t>–</w:t>
      </w:r>
      <w:r w:rsidR="0002175E" w:rsidRPr="00A569DF">
        <w:rPr>
          <w:rFonts w:ascii="Arial" w:hAnsi="Arial" w:cs="Arial"/>
          <w:color w:val="000000" w:themeColor="text1"/>
          <w:sz w:val="22"/>
        </w:rPr>
        <w:t xml:space="preserve">, del año en que hayan obtenido el mayor ingreso operacional en los últimos cinco </w:t>
      </w:r>
      <w:r w:rsidR="002236AE">
        <w:rPr>
          <w:rFonts w:ascii="Arial" w:hAnsi="Arial" w:cs="Arial"/>
          <w:color w:val="000000" w:themeColor="text1"/>
          <w:sz w:val="22"/>
        </w:rPr>
        <w:t>–</w:t>
      </w:r>
      <w:r w:rsidR="0002175E" w:rsidRPr="00A569DF">
        <w:rPr>
          <w:rFonts w:ascii="Arial" w:hAnsi="Arial" w:cs="Arial"/>
          <w:color w:val="000000" w:themeColor="text1"/>
          <w:sz w:val="22"/>
        </w:rPr>
        <w:t>5</w:t>
      </w:r>
      <w:r w:rsidR="002236AE">
        <w:rPr>
          <w:rFonts w:ascii="Arial" w:hAnsi="Arial" w:cs="Arial"/>
          <w:color w:val="000000" w:themeColor="text1"/>
          <w:sz w:val="22"/>
        </w:rPr>
        <w:t>–</w:t>
      </w:r>
      <w:r w:rsidR="0002175E" w:rsidRPr="00A569DF">
        <w:rPr>
          <w:rFonts w:ascii="Arial" w:hAnsi="Arial" w:cs="Arial"/>
          <w:color w:val="000000" w:themeColor="text1"/>
          <w:sz w:val="22"/>
        </w:rPr>
        <w:t xml:space="preserve"> años, debidamente firmado por el interesado o su representante legal y el revisor fiscal si está obligado a tenerlo, o el auditor o contador si no está obligado a tener revisor fiscal</w:t>
      </w:r>
      <w:r w:rsidR="00B51CF5">
        <w:rPr>
          <w:rFonts w:ascii="Arial" w:hAnsi="Arial" w:cs="Arial"/>
          <w:color w:val="000000" w:themeColor="text1"/>
          <w:sz w:val="22"/>
        </w:rPr>
        <w:t>,</w:t>
      </w:r>
      <w:r w:rsidR="0002175E" w:rsidRPr="00A569DF">
        <w:rPr>
          <w:rFonts w:ascii="Arial" w:hAnsi="Arial" w:cs="Arial"/>
          <w:color w:val="000000" w:themeColor="text1"/>
          <w:sz w:val="22"/>
        </w:rPr>
        <w:t xml:space="preserve"> y </w:t>
      </w:r>
      <w:proofErr w:type="spellStart"/>
      <w:r w:rsidR="0002175E" w:rsidRPr="00A569DF">
        <w:rPr>
          <w:rFonts w:ascii="Arial" w:hAnsi="Arial" w:cs="Arial"/>
          <w:color w:val="000000" w:themeColor="text1"/>
          <w:sz w:val="22"/>
        </w:rPr>
        <w:t>ii</w:t>
      </w:r>
      <w:proofErr w:type="spellEnd"/>
      <w:r w:rsidR="0002175E" w:rsidRPr="00A569DF">
        <w:rPr>
          <w:rFonts w:ascii="Arial" w:hAnsi="Arial" w:cs="Arial"/>
          <w:color w:val="000000" w:themeColor="text1"/>
          <w:sz w:val="22"/>
        </w:rPr>
        <w:t xml:space="preserve">) copia de la tarjeta profesional y certificado de antecedentes disciplinarios vigentes de los contadores públicos, revisores fiscales, contadores independientes </w:t>
      </w:r>
      <w:r w:rsidR="002236AE">
        <w:rPr>
          <w:rFonts w:ascii="Arial" w:hAnsi="Arial" w:cs="Arial"/>
          <w:color w:val="000000" w:themeColor="text1"/>
          <w:sz w:val="22"/>
        </w:rPr>
        <w:t>–</w:t>
      </w:r>
      <w:r w:rsidR="0002175E" w:rsidRPr="00A569DF">
        <w:rPr>
          <w:rFonts w:ascii="Arial" w:hAnsi="Arial" w:cs="Arial"/>
          <w:color w:val="000000" w:themeColor="text1"/>
          <w:sz w:val="22"/>
        </w:rPr>
        <w:t>externos</w:t>
      </w:r>
      <w:r w:rsidR="002236AE">
        <w:rPr>
          <w:rFonts w:ascii="Arial" w:hAnsi="Arial" w:cs="Arial"/>
          <w:color w:val="000000" w:themeColor="text1"/>
          <w:sz w:val="22"/>
        </w:rPr>
        <w:t>–</w:t>
      </w:r>
      <w:r w:rsidR="0002175E" w:rsidRPr="00A569DF">
        <w:rPr>
          <w:rFonts w:ascii="Arial" w:hAnsi="Arial" w:cs="Arial"/>
          <w:color w:val="000000" w:themeColor="text1"/>
          <w:sz w:val="22"/>
        </w:rPr>
        <w:t>, quienes suscribieron los documentos señalados en el presente literal.</w:t>
      </w:r>
    </w:p>
    <w:p w14:paraId="157B454C" w14:textId="2E69D463" w:rsidR="0002175E" w:rsidRPr="00A569DF" w:rsidRDefault="0002175E" w:rsidP="00E1021F">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 xml:space="preserve">De la lectura de estos últimos requisitos, se advierte que para los proponentes obligados a tener RUP no </w:t>
      </w:r>
      <w:r w:rsidR="007F6C9C">
        <w:rPr>
          <w:rFonts w:ascii="Arial" w:hAnsi="Arial" w:cs="Arial"/>
          <w:color w:val="000000" w:themeColor="text1"/>
          <w:sz w:val="22"/>
        </w:rPr>
        <w:t>sería</w:t>
      </w:r>
      <w:r w:rsidR="007F6C9C" w:rsidRPr="00A569DF">
        <w:rPr>
          <w:rFonts w:ascii="Arial" w:hAnsi="Arial" w:cs="Arial"/>
          <w:color w:val="000000" w:themeColor="text1"/>
          <w:sz w:val="22"/>
        </w:rPr>
        <w:t xml:space="preserve"> </w:t>
      </w:r>
      <w:r w:rsidRPr="00A569DF">
        <w:rPr>
          <w:rFonts w:ascii="Arial" w:hAnsi="Arial" w:cs="Arial"/>
          <w:color w:val="000000" w:themeColor="text1"/>
          <w:sz w:val="22"/>
        </w:rPr>
        <w:t xml:space="preserve">necesario presentar los siguientes documentos: i) la </w:t>
      </w:r>
      <w:r w:rsidRPr="00A569DF">
        <w:rPr>
          <w:rFonts w:ascii="Arial" w:hAnsi="Arial" w:cs="Arial"/>
          <w:color w:val="000000" w:themeColor="text1"/>
          <w:sz w:val="22"/>
        </w:rPr>
        <w:lastRenderedPageBreak/>
        <w:t xml:space="preserve">información financiera auditada y aprobada por el máximo órgano social que pretende acreditar el proponente, </w:t>
      </w:r>
      <w:proofErr w:type="spellStart"/>
      <w:r w:rsidRPr="00A569DF">
        <w:rPr>
          <w:rFonts w:ascii="Arial" w:hAnsi="Arial" w:cs="Arial"/>
          <w:color w:val="000000" w:themeColor="text1"/>
          <w:sz w:val="22"/>
        </w:rPr>
        <w:t>ii</w:t>
      </w:r>
      <w:proofErr w:type="spellEnd"/>
      <w:r w:rsidRPr="00A569DF">
        <w:rPr>
          <w:rFonts w:ascii="Arial" w:hAnsi="Arial" w:cs="Arial"/>
          <w:color w:val="000000" w:themeColor="text1"/>
          <w:sz w:val="22"/>
        </w:rPr>
        <w:t xml:space="preserve">) la certificación de los estados financieros de que trata el artículo 37 de la Ley 222 de 1995, en la cual el representante legal y contador público, bajo cuya responsabilidad se hubiesen preparado los estados financieros, declaren que se han verificado previamente las afirmaciones contenidas en ellos, conforme al reglamento, y que las mismas se han tomado fielmente de los libros. Y </w:t>
      </w:r>
      <w:proofErr w:type="spellStart"/>
      <w:r w:rsidRPr="00A569DF">
        <w:rPr>
          <w:rFonts w:ascii="Arial" w:hAnsi="Arial" w:cs="Arial"/>
          <w:color w:val="000000" w:themeColor="text1"/>
          <w:sz w:val="22"/>
        </w:rPr>
        <w:t>iii</w:t>
      </w:r>
      <w:proofErr w:type="spellEnd"/>
      <w:r w:rsidRPr="00A569DF">
        <w:rPr>
          <w:rFonts w:ascii="Arial" w:hAnsi="Arial" w:cs="Arial"/>
          <w:color w:val="000000" w:themeColor="text1"/>
          <w:sz w:val="22"/>
        </w:rPr>
        <w:t>) el dictamen del revisor fiscal o, a falta de éste, del contador público independiente, cuando el proponente esté obligado a ello, del año en que haya obtenido el mayor ingreso operacional en los últimos cinco (5) años, en los términos descritos en el artículo 38 de la Ley 222 de 1995.</w:t>
      </w:r>
    </w:p>
    <w:p w14:paraId="351E3F17" w14:textId="2D35BD4F" w:rsidR="0002175E" w:rsidRPr="00A569DF" w:rsidRDefault="0002175E" w:rsidP="00E1021F">
      <w:pPr>
        <w:spacing w:before="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Las razones para eliminar estos documentos se fundamenta</w:t>
      </w:r>
      <w:r w:rsidR="007F6C9C">
        <w:rPr>
          <w:rFonts w:ascii="Arial" w:hAnsi="Arial" w:cs="Arial"/>
          <w:color w:val="000000" w:themeColor="text1"/>
          <w:sz w:val="22"/>
        </w:rPr>
        <w:t>ron</w:t>
      </w:r>
      <w:r w:rsidRPr="00A569DF">
        <w:rPr>
          <w:rFonts w:ascii="Arial" w:hAnsi="Arial" w:cs="Arial"/>
          <w:color w:val="000000" w:themeColor="text1"/>
          <w:sz w:val="22"/>
        </w:rPr>
        <w:t xml:space="preserve"> en lo previsto en el artículo 2.2.1.1.1.6.4 del Decreto 1082 de 2015, que indica que para acreditar la capacidad residual solo se requiere presentar: «[…] 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w:t>
      </w:r>
      <w:r w:rsidRPr="00A569DF">
        <w:rPr>
          <w:rFonts w:ascii="Arial" w:hAnsi="Arial" w:cs="Arial"/>
          <w:i/>
          <w:iCs/>
          <w:color w:val="000000" w:themeColor="text1"/>
          <w:sz w:val="22"/>
        </w:rPr>
        <w:t>Si se trata de proponentes obligados a tener RUP, las Entidades Estatales solo deben solicitar como documento adicional el estado de resultados del año en que el proponente obtuvo el mayor ingreso operacional en los últimos cinco (5) años</w:t>
      </w:r>
      <w:r w:rsidRPr="00A569DF">
        <w:rPr>
          <w:rFonts w:ascii="Arial" w:hAnsi="Arial" w:cs="Arial"/>
          <w:color w:val="000000" w:themeColor="text1"/>
          <w:sz w:val="22"/>
        </w:rPr>
        <w:t>»</w:t>
      </w:r>
      <w:r w:rsidR="002236AE" w:rsidRPr="00A569DF">
        <w:rPr>
          <w:rFonts w:ascii="Arial" w:hAnsi="Arial" w:cs="Arial"/>
          <w:color w:val="000000" w:themeColor="text1"/>
          <w:sz w:val="22"/>
          <w:vertAlign w:val="superscript"/>
        </w:rPr>
        <w:footnoteReference w:id="4"/>
      </w:r>
      <w:r w:rsidRPr="00A569DF">
        <w:rPr>
          <w:rFonts w:ascii="Arial" w:hAnsi="Arial" w:cs="Arial"/>
          <w:color w:val="000000" w:themeColor="text1"/>
          <w:sz w:val="22"/>
        </w:rPr>
        <w:t xml:space="preserve">. </w:t>
      </w:r>
    </w:p>
    <w:p w14:paraId="29C53C92" w14:textId="140CF364" w:rsidR="0002175E" w:rsidRPr="00A569DF" w:rsidRDefault="0002175E" w:rsidP="00E30DF1">
      <w:pPr>
        <w:spacing w:before="120" w:after="120" w:line="276" w:lineRule="auto"/>
        <w:ind w:firstLine="709"/>
        <w:jc w:val="both"/>
        <w:rPr>
          <w:rFonts w:ascii="Arial" w:hAnsi="Arial" w:cs="Arial"/>
          <w:color w:val="000000" w:themeColor="text1"/>
          <w:sz w:val="22"/>
        </w:rPr>
      </w:pPr>
      <w:r w:rsidRPr="00A569DF">
        <w:rPr>
          <w:rFonts w:ascii="Arial" w:hAnsi="Arial" w:cs="Arial"/>
          <w:color w:val="000000" w:themeColor="text1"/>
          <w:sz w:val="22"/>
        </w:rPr>
        <w:t>En este sentido,</w:t>
      </w:r>
      <w:r w:rsidR="00A105E3">
        <w:rPr>
          <w:rFonts w:ascii="Arial" w:hAnsi="Arial" w:cs="Arial"/>
          <w:color w:val="000000" w:themeColor="text1"/>
          <w:sz w:val="22"/>
        </w:rPr>
        <w:t xml:space="preserve"> se consideró que</w:t>
      </w:r>
      <w:r w:rsidRPr="00A569DF">
        <w:rPr>
          <w:rFonts w:ascii="Arial" w:hAnsi="Arial" w:cs="Arial"/>
          <w:color w:val="000000" w:themeColor="text1"/>
          <w:sz w:val="22"/>
        </w:rPr>
        <w:t xml:space="preserve"> el Decreto reglamentario de forma expresa indica los documentos necesarios para acreditar la capacidad residual, sin prever la exigencia de presentar la información financiera auditada y aprobada por el máximo órgano social que pretende acreditar el proponente. </w:t>
      </w:r>
    </w:p>
    <w:p w14:paraId="740B6C12" w14:textId="03AED23E" w:rsidR="004F7059" w:rsidRDefault="009A3D14" w:rsidP="008A0921">
      <w:pPr>
        <w:spacing w:line="259" w:lineRule="auto"/>
        <w:ind w:firstLine="709"/>
        <w:jc w:val="both"/>
        <w:rPr>
          <w:rFonts w:ascii="Arial" w:hAnsi="Arial" w:cs="Arial"/>
          <w:sz w:val="22"/>
        </w:rPr>
      </w:pPr>
      <w:r w:rsidRPr="00A70F57">
        <w:rPr>
          <w:rFonts w:ascii="Arial" w:eastAsia="Times New Roman" w:hAnsi="Arial" w:cs="Arial"/>
          <w:bCs/>
          <w:color w:val="000000" w:themeColor="text1"/>
          <w:sz w:val="22"/>
          <w:lang w:eastAsia="es-ES_tradnl"/>
        </w:rPr>
        <w:lastRenderedPageBreak/>
        <w:t xml:space="preserve">Posteriormente, en la </w:t>
      </w:r>
      <w:r w:rsidRPr="00E30DF1">
        <w:rPr>
          <w:rFonts w:ascii="Arial" w:eastAsia="Times New Roman" w:hAnsi="Arial" w:cs="Arial"/>
          <w:bCs/>
          <w:i/>
          <w:iCs/>
          <w:color w:val="000000" w:themeColor="text1"/>
          <w:sz w:val="22"/>
          <w:lang w:eastAsia="es-ES_tradnl"/>
        </w:rPr>
        <w:t>Versión 3</w:t>
      </w:r>
      <w:r w:rsidRPr="00A70F57">
        <w:rPr>
          <w:rFonts w:ascii="Arial" w:eastAsia="Times New Roman" w:hAnsi="Arial" w:cs="Arial"/>
          <w:bCs/>
          <w:color w:val="000000" w:themeColor="text1"/>
          <w:sz w:val="22"/>
          <w:lang w:eastAsia="es-ES_tradnl"/>
        </w:rPr>
        <w:t xml:space="preserve"> </w:t>
      </w:r>
      <w:r w:rsidR="00814471">
        <w:rPr>
          <w:rFonts w:ascii="Arial" w:eastAsia="Times New Roman" w:hAnsi="Arial" w:cs="Arial"/>
          <w:bCs/>
          <w:color w:val="000000" w:themeColor="text1"/>
          <w:sz w:val="22"/>
          <w:lang w:eastAsia="es-ES_tradnl"/>
        </w:rPr>
        <w:t xml:space="preserve">de </w:t>
      </w:r>
      <w:r w:rsidR="00814471" w:rsidRPr="00A70F57">
        <w:rPr>
          <w:rFonts w:ascii="Arial" w:eastAsia="Times New Roman" w:hAnsi="Arial" w:cs="Arial"/>
          <w:bCs/>
          <w:color w:val="000000" w:themeColor="text1"/>
          <w:sz w:val="22"/>
          <w:lang w:eastAsia="es-ES_tradnl"/>
        </w:rPr>
        <w:t xml:space="preserve">los </w:t>
      </w:r>
      <w:r w:rsidR="002236AE" w:rsidRPr="00A70F57">
        <w:rPr>
          <w:rFonts w:ascii="Arial" w:eastAsia="Times New Roman" w:hAnsi="Arial" w:cs="Arial"/>
          <w:bCs/>
          <w:color w:val="000000" w:themeColor="text1"/>
          <w:sz w:val="22"/>
          <w:lang w:eastAsia="es-ES_tradnl"/>
        </w:rPr>
        <w:t>documentos tipo</w:t>
      </w:r>
      <w:r w:rsidR="00814471" w:rsidRPr="00A70F57">
        <w:rPr>
          <w:rFonts w:ascii="Arial" w:eastAsia="Times New Roman" w:hAnsi="Arial" w:cs="Arial"/>
          <w:bCs/>
          <w:color w:val="000000" w:themeColor="text1"/>
          <w:sz w:val="22"/>
          <w:lang w:eastAsia="es-ES_tradnl"/>
        </w:rPr>
        <w:t xml:space="preserve"> para licitación de obra pública de infraestructura de transporte</w:t>
      </w:r>
      <w:r w:rsidRPr="00A70F57">
        <w:rPr>
          <w:rFonts w:ascii="Arial" w:eastAsia="Times New Roman" w:hAnsi="Arial" w:cs="Arial"/>
          <w:bCs/>
          <w:color w:val="000000" w:themeColor="text1"/>
          <w:sz w:val="22"/>
          <w:lang w:eastAsia="es-ES_tradnl"/>
        </w:rPr>
        <w:t xml:space="preserve">, el </w:t>
      </w:r>
      <w:r w:rsidRPr="007A4F15">
        <w:rPr>
          <w:rFonts w:ascii="Arial" w:eastAsia="Times New Roman" w:hAnsi="Arial" w:cs="Arial"/>
          <w:bCs/>
          <w:i/>
          <w:color w:val="000000" w:themeColor="text1"/>
          <w:sz w:val="22"/>
          <w:lang w:eastAsia="es-ES_tradnl"/>
        </w:rPr>
        <w:t>Documento Base</w:t>
      </w:r>
      <w:r w:rsidRPr="00A70F57">
        <w:rPr>
          <w:rFonts w:ascii="Arial" w:eastAsia="Times New Roman" w:hAnsi="Arial" w:cs="Arial"/>
          <w:bCs/>
          <w:color w:val="000000" w:themeColor="text1"/>
          <w:sz w:val="22"/>
          <w:lang w:eastAsia="es-ES_tradnl"/>
        </w:rPr>
        <w:t xml:space="preserve"> </w:t>
      </w:r>
      <w:r w:rsidR="008A0921">
        <w:rPr>
          <w:rFonts w:ascii="Arial" w:eastAsia="Times New Roman" w:hAnsi="Arial" w:cs="Arial"/>
          <w:bCs/>
          <w:color w:val="000000" w:themeColor="text1"/>
          <w:sz w:val="22"/>
          <w:lang w:eastAsia="es-ES_tradnl"/>
        </w:rPr>
        <w:t>dispone</w:t>
      </w:r>
      <w:r w:rsidR="004F7059" w:rsidRPr="00A70F57">
        <w:rPr>
          <w:rFonts w:ascii="Arial" w:hAnsi="Arial" w:cs="Arial"/>
          <w:sz w:val="22"/>
        </w:rPr>
        <w:t xml:space="preserve"> </w:t>
      </w:r>
      <w:r w:rsidR="00FD1BC4">
        <w:rPr>
          <w:rFonts w:ascii="Arial" w:hAnsi="Arial" w:cs="Arial"/>
          <w:sz w:val="22"/>
        </w:rPr>
        <w:t xml:space="preserve">idénticamente </w:t>
      </w:r>
      <w:r w:rsidR="007B6FDF" w:rsidRPr="00A70F57">
        <w:rPr>
          <w:rFonts w:ascii="Arial" w:hAnsi="Arial" w:cs="Arial"/>
          <w:sz w:val="22"/>
        </w:rPr>
        <w:t>en el numeral 3.11.2.</w:t>
      </w:r>
      <w:r w:rsidR="00467C8E">
        <w:rPr>
          <w:rFonts w:ascii="Arial" w:hAnsi="Arial" w:cs="Arial"/>
          <w:sz w:val="22"/>
        </w:rPr>
        <w:t>,</w:t>
      </w:r>
      <w:r w:rsidR="007B6FDF" w:rsidRPr="00A70F57">
        <w:rPr>
          <w:rFonts w:ascii="Arial" w:hAnsi="Arial" w:cs="Arial"/>
          <w:sz w:val="22"/>
        </w:rPr>
        <w:t xml:space="preserve"> literal A, </w:t>
      </w:r>
      <w:r w:rsidR="004F7059" w:rsidRPr="00A70F57">
        <w:rPr>
          <w:rFonts w:ascii="Arial" w:hAnsi="Arial" w:cs="Arial"/>
          <w:sz w:val="22"/>
        </w:rPr>
        <w:t>que para acreditar el factor de capacidad de organización (CO) el proponente obligado a tener RUP debe presentar los siguientes documentos:</w:t>
      </w:r>
    </w:p>
    <w:p w14:paraId="4560AD8C" w14:textId="77777777" w:rsidR="008A0921" w:rsidRPr="00A70F57" w:rsidRDefault="008A0921" w:rsidP="002A6849">
      <w:pPr>
        <w:spacing w:line="259" w:lineRule="auto"/>
        <w:ind w:firstLine="709"/>
        <w:jc w:val="both"/>
        <w:rPr>
          <w:rFonts w:ascii="Arial" w:eastAsia="Times New Roman" w:hAnsi="Arial" w:cs="Arial"/>
          <w:bCs/>
          <w:color w:val="000000" w:themeColor="text1"/>
          <w:sz w:val="22"/>
          <w:lang w:eastAsia="es-ES_tradnl"/>
        </w:rPr>
      </w:pPr>
    </w:p>
    <w:p w14:paraId="201C4390" w14:textId="64C43437" w:rsidR="009A3D14" w:rsidRPr="002A6849" w:rsidRDefault="009A3D14" w:rsidP="002A6849">
      <w:pPr>
        <w:spacing w:after="120"/>
        <w:ind w:left="709" w:right="709"/>
        <w:jc w:val="both"/>
        <w:rPr>
          <w:rFonts w:ascii="Arial" w:hAnsi="Arial" w:cs="Arial"/>
          <w:sz w:val="21"/>
          <w:szCs w:val="21"/>
        </w:rPr>
      </w:pPr>
      <w:r w:rsidRPr="003332D8">
        <w:rPr>
          <w:rFonts w:ascii="Arial" w:hAnsi="Arial" w:cs="Arial"/>
          <w:sz w:val="21"/>
          <w:szCs w:val="21"/>
        </w:rPr>
        <w:t>i.  Estado de resultados integral (estado de resultado o pérdida o ganancias), del año en que hayan obtenido el mayor ingreso operacional en los últimos cinco (5) años, debidamente firmado por el representante legal, contador y revisor fiscal y/o contador independiente (externo), si están obligados a tenerlos. Esto teniendo en cuenta el artículo 37 de la Ley 222 de 1995.</w:t>
      </w:r>
    </w:p>
    <w:p w14:paraId="7758B02B" w14:textId="2EC33D77" w:rsidR="009A3D14" w:rsidRDefault="009A3D14" w:rsidP="003332D8">
      <w:pPr>
        <w:ind w:left="708" w:right="709"/>
        <w:jc w:val="both"/>
        <w:rPr>
          <w:rFonts w:ascii="Arial" w:hAnsi="Arial" w:cs="Arial"/>
          <w:sz w:val="21"/>
          <w:szCs w:val="21"/>
        </w:rPr>
      </w:pPr>
      <w:proofErr w:type="spellStart"/>
      <w:r w:rsidRPr="003332D8">
        <w:rPr>
          <w:rFonts w:ascii="Arial" w:hAnsi="Arial" w:cs="Arial"/>
          <w:sz w:val="21"/>
          <w:szCs w:val="21"/>
        </w:rPr>
        <w:t>ii</w:t>
      </w:r>
      <w:proofErr w:type="spellEnd"/>
      <w:r w:rsidRPr="003332D8">
        <w:rPr>
          <w:rFonts w:ascii="Arial" w:hAnsi="Arial" w:cs="Arial"/>
          <w:sz w:val="21"/>
          <w:szCs w:val="21"/>
        </w:rPr>
        <w:t>.</w:t>
      </w:r>
      <w:r w:rsidR="003332D8" w:rsidRPr="003332D8">
        <w:rPr>
          <w:rFonts w:ascii="Arial" w:hAnsi="Arial" w:cs="Arial"/>
          <w:sz w:val="21"/>
          <w:szCs w:val="21"/>
        </w:rPr>
        <w:t xml:space="preserve"> </w:t>
      </w:r>
      <w:r w:rsidRPr="003332D8">
        <w:rPr>
          <w:rFonts w:ascii="Arial" w:hAnsi="Arial" w:cs="Arial"/>
          <w:sz w:val="21"/>
          <w:szCs w:val="21"/>
        </w:rPr>
        <w:t>Copia de la tarjeta profesional y certificado de antecedentes disciplinarios vigentes de los Contadores Públicos, Revisores Fiscales, Contadores independientes (externos), quienes suscribieron los documentos señalados en el presente literal.</w:t>
      </w:r>
    </w:p>
    <w:p w14:paraId="32FB7A56" w14:textId="67CAA0E5" w:rsidR="00FD1BC4" w:rsidRPr="002A6849" w:rsidRDefault="00FD1BC4" w:rsidP="003332D8">
      <w:pPr>
        <w:ind w:left="708" w:right="709"/>
        <w:jc w:val="both"/>
        <w:rPr>
          <w:rFonts w:ascii="Arial" w:hAnsi="Arial" w:cs="Arial"/>
          <w:sz w:val="22"/>
        </w:rPr>
      </w:pPr>
    </w:p>
    <w:p w14:paraId="5222C161" w14:textId="5C7BE1BD" w:rsidR="00C065F5" w:rsidRDefault="00A60F87" w:rsidP="002A6849">
      <w:pPr>
        <w:spacing w:after="120" w:line="276" w:lineRule="auto"/>
        <w:ind w:firstLine="709"/>
        <w:jc w:val="both"/>
        <w:rPr>
          <w:rFonts w:ascii="Arial" w:eastAsia="Times New Roman" w:hAnsi="Arial" w:cs="Arial"/>
          <w:bCs/>
          <w:color w:val="000000" w:themeColor="text1"/>
          <w:sz w:val="22"/>
          <w:lang w:eastAsia="es-ES_tradnl"/>
        </w:rPr>
      </w:pPr>
      <w:r w:rsidRPr="00E30DF1">
        <w:rPr>
          <w:rFonts w:ascii="Arial" w:hAnsi="Arial" w:cs="Arial"/>
          <w:sz w:val="22"/>
        </w:rPr>
        <w:t xml:space="preserve">Como se advierte, la </w:t>
      </w:r>
      <w:r w:rsidRPr="00E30DF1">
        <w:rPr>
          <w:rFonts w:ascii="Arial" w:hAnsi="Arial" w:cs="Arial"/>
          <w:i/>
          <w:iCs/>
          <w:sz w:val="22"/>
        </w:rPr>
        <w:t xml:space="preserve">versión 3 </w:t>
      </w:r>
      <w:r w:rsidRPr="00E30DF1">
        <w:rPr>
          <w:rFonts w:ascii="Arial" w:hAnsi="Arial" w:cs="Arial"/>
          <w:sz w:val="22"/>
        </w:rPr>
        <w:t xml:space="preserve">de los documentos tipo mantiene el enfoque regulativo establecido en la </w:t>
      </w:r>
      <w:r w:rsidRPr="00E30DF1">
        <w:rPr>
          <w:rFonts w:ascii="Arial" w:hAnsi="Arial" w:cs="Arial"/>
          <w:i/>
          <w:iCs/>
          <w:sz w:val="22"/>
        </w:rPr>
        <w:t>Versión 2</w:t>
      </w:r>
      <w:r w:rsidRPr="00E30DF1">
        <w:rPr>
          <w:rFonts w:ascii="Arial" w:hAnsi="Arial" w:cs="Arial"/>
          <w:sz w:val="22"/>
        </w:rPr>
        <w:t xml:space="preserve">. En efecto, </w:t>
      </w:r>
      <w:r w:rsidRPr="00E30DF1">
        <w:rPr>
          <w:rFonts w:ascii="Arial" w:eastAsia="Calibri" w:hAnsi="Arial" w:cs="Arial"/>
          <w:color w:val="000000" w:themeColor="text1"/>
          <w:sz w:val="22"/>
        </w:rPr>
        <w:t>c</w:t>
      </w:r>
      <w:r w:rsidR="008A0686" w:rsidRPr="00E56801">
        <w:rPr>
          <w:rFonts w:ascii="Arial" w:eastAsia="Calibri" w:hAnsi="Arial" w:cs="Arial"/>
          <w:color w:val="000000" w:themeColor="text1"/>
          <w:sz w:val="22"/>
        </w:rPr>
        <w:t>ontinuando con el análisis anterior, e</w:t>
      </w:r>
      <w:r w:rsidR="00D76CC1" w:rsidRPr="00E56801">
        <w:rPr>
          <w:rFonts w:ascii="Arial" w:eastAsia="Calibri" w:hAnsi="Arial" w:cs="Arial"/>
          <w:color w:val="000000" w:themeColor="text1"/>
          <w:sz w:val="22"/>
        </w:rPr>
        <w:t xml:space="preserve">l </w:t>
      </w:r>
      <w:r w:rsidR="00D76CC1" w:rsidRPr="00E56801">
        <w:rPr>
          <w:rFonts w:ascii="Arial" w:hAnsi="Arial" w:cs="Arial"/>
          <w:sz w:val="22"/>
        </w:rPr>
        <w:t>numeral 3.11.2., literal A del Documento Base</w:t>
      </w:r>
      <w:r w:rsidR="00D76CC1" w:rsidRPr="00E30DF1">
        <w:rPr>
          <w:rFonts w:ascii="Arial" w:hAnsi="Arial" w:cs="Arial"/>
          <w:sz w:val="22"/>
        </w:rPr>
        <w:t xml:space="preserve"> de los Documentos Tipo </w:t>
      </w:r>
      <w:r w:rsidR="00D76CC1" w:rsidRPr="00E30DF1">
        <w:rPr>
          <w:rFonts w:ascii="Arial" w:eastAsia="Times New Roman" w:hAnsi="Arial" w:cs="Arial"/>
          <w:bCs/>
          <w:color w:val="000000" w:themeColor="text1"/>
          <w:sz w:val="22"/>
          <w:lang w:eastAsia="es-ES_tradnl"/>
        </w:rPr>
        <w:t xml:space="preserve">para licitación de obra pública de infraestructura de transporte </w:t>
      </w:r>
      <w:r w:rsidR="009C63F9" w:rsidRPr="00E30DF1">
        <w:rPr>
          <w:rFonts w:ascii="Arial" w:eastAsia="Times New Roman" w:hAnsi="Arial" w:cs="Arial"/>
          <w:bCs/>
          <w:color w:val="000000" w:themeColor="text1"/>
          <w:sz w:val="22"/>
          <w:lang w:eastAsia="es-ES_tradnl"/>
        </w:rPr>
        <w:t>–</w:t>
      </w:r>
      <w:r w:rsidR="00D76CC1" w:rsidRPr="00E30DF1">
        <w:rPr>
          <w:rFonts w:ascii="Arial" w:eastAsia="Times New Roman" w:hAnsi="Arial" w:cs="Arial"/>
          <w:bCs/>
          <w:color w:val="000000" w:themeColor="text1"/>
          <w:sz w:val="22"/>
          <w:lang w:eastAsia="es-ES_tradnl"/>
        </w:rPr>
        <w:t xml:space="preserve"> Versión 3, </w:t>
      </w:r>
      <w:r w:rsidR="00A105E3" w:rsidRPr="00E30DF1">
        <w:rPr>
          <w:rFonts w:ascii="Arial" w:eastAsia="Times New Roman" w:hAnsi="Arial" w:cs="Arial"/>
          <w:bCs/>
          <w:color w:val="000000" w:themeColor="text1"/>
          <w:sz w:val="22"/>
          <w:lang w:eastAsia="es-ES_tradnl"/>
        </w:rPr>
        <w:t xml:space="preserve">al </w:t>
      </w:r>
      <w:r w:rsidR="00D76CC1" w:rsidRPr="00E30DF1">
        <w:rPr>
          <w:rFonts w:ascii="Arial" w:eastAsia="Times New Roman" w:hAnsi="Arial" w:cs="Arial"/>
          <w:bCs/>
          <w:color w:val="000000" w:themeColor="text1"/>
          <w:sz w:val="22"/>
          <w:lang w:eastAsia="es-ES_tradnl"/>
        </w:rPr>
        <w:t xml:space="preserve">referirse al estado de resultados dentro de la capacidad de organización para determinar la capacidad residual hace una remisión al artículo 37 de la Ley 222 de 1995. </w:t>
      </w:r>
      <w:r w:rsidR="00E71485">
        <w:rPr>
          <w:rFonts w:ascii="Arial" w:eastAsia="Times New Roman" w:hAnsi="Arial" w:cs="Arial"/>
          <w:bCs/>
          <w:color w:val="000000" w:themeColor="text1"/>
          <w:sz w:val="22"/>
          <w:lang w:eastAsia="es-ES_tradnl"/>
        </w:rPr>
        <w:t>De igual forma,</w:t>
      </w:r>
      <w:r w:rsidR="001D479E">
        <w:rPr>
          <w:rFonts w:ascii="Arial" w:eastAsia="Times New Roman" w:hAnsi="Arial" w:cs="Arial"/>
          <w:bCs/>
          <w:color w:val="000000" w:themeColor="text1"/>
          <w:sz w:val="22"/>
          <w:lang w:eastAsia="es-ES_tradnl"/>
        </w:rPr>
        <w:t xml:space="preserve"> el documento base de los documentos tipo para la selección abreviada de menor cuantía de infraestructura de transporte </w:t>
      </w:r>
      <w:r w:rsidR="001D479E" w:rsidRPr="001D479E">
        <w:rPr>
          <w:rFonts w:ascii="Arial" w:eastAsia="Times New Roman" w:hAnsi="Arial" w:cs="Arial"/>
          <w:bCs/>
          <w:i/>
          <w:iCs/>
          <w:color w:val="000000" w:themeColor="text1"/>
          <w:sz w:val="22"/>
          <w:lang w:eastAsia="es-ES_tradnl"/>
        </w:rPr>
        <w:t>versión</w:t>
      </w:r>
      <w:r w:rsidR="001D479E">
        <w:rPr>
          <w:rFonts w:ascii="Arial" w:eastAsia="Times New Roman" w:hAnsi="Arial" w:cs="Arial"/>
          <w:bCs/>
          <w:color w:val="000000" w:themeColor="text1"/>
          <w:sz w:val="22"/>
          <w:lang w:eastAsia="es-ES_tradnl"/>
        </w:rPr>
        <w:t xml:space="preserve"> 2 reprodujo la misma estipulación sobre la acreditación de la capacidad de organización de los proponentes inscritos en el RUP, referida para los documentos tipo para licitación de obra pública de infraestructura de transporte versión 3. </w:t>
      </w:r>
    </w:p>
    <w:p w14:paraId="153593B7" w14:textId="178FEE13" w:rsidR="00D76CC1" w:rsidRDefault="00D76CC1" w:rsidP="002A6849">
      <w:pPr>
        <w:spacing w:line="276" w:lineRule="auto"/>
        <w:ind w:firstLine="708"/>
        <w:jc w:val="both"/>
        <w:rPr>
          <w:rFonts w:ascii="Arial" w:hAnsi="Arial" w:cs="Arial"/>
          <w:sz w:val="22"/>
        </w:rPr>
      </w:pPr>
      <w:r w:rsidRPr="00E30DF1">
        <w:rPr>
          <w:rFonts w:ascii="Arial" w:eastAsia="Times New Roman" w:hAnsi="Arial" w:cs="Arial"/>
          <w:bCs/>
          <w:color w:val="000000" w:themeColor="text1"/>
          <w:sz w:val="22"/>
          <w:lang w:eastAsia="es-ES_tradnl"/>
        </w:rPr>
        <w:t>E</w:t>
      </w:r>
      <w:r w:rsidR="009F2C1B" w:rsidRPr="00E30DF1">
        <w:rPr>
          <w:rFonts w:ascii="Arial" w:eastAsia="Times New Roman" w:hAnsi="Arial" w:cs="Arial"/>
          <w:bCs/>
          <w:color w:val="000000" w:themeColor="text1"/>
          <w:sz w:val="22"/>
          <w:lang w:eastAsia="es-ES_tradnl"/>
        </w:rPr>
        <w:t>l a</w:t>
      </w:r>
      <w:r w:rsidRPr="00E30DF1">
        <w:rPr>
          <w:rFonts w:ascii="Arial" w:eastAsia="Times New Roman" w:hAnsi="Arial" w:cs="Arial"/>
          <w:bCs/>
          <w:color w:val="000000" w:themeColor="text1"/>
          <w:sz w:val="22"/>
          <w:lang w:eastAsia="es-ES_tradnl"/>
        </w:rPr>
        <w:t>rt</w:t>
      </w:r>
      <w:r w:rsidR="009F2C1B" w:rsidRPr="00E30DF1">
        <w:rPr>
          <w:rFonts w:ascii="Arial" w:eastAsia="Times New Roman" w:hAnsi="Arial" w:cs="Arial"/>
          <w:bCs/>
          <w:color w:val="000000" w:themeColor="text1"/>
          <w:sz w:val="22"/>
          <w:lang w:eastAsia="es-ES_tradnl"/>
        </w:rPr>
        <w:t xml:space="preserve">ículo en mención señala que </w:t>
      </w:r>
      <w:r w:rsidR="009F2C1B" w:rsidRPr="00E30DF1">
        <w:rPr>
          <w:rFonts w:ascii="Arial" w:hAnsi="Arial" w:cs="Arial"/>
          <w:sz w:val="22"/>
        </w:rPr>
        <w:t>«</w:t>
      </w:r>
      <w:r w:rsidRPr="00E30DF1">
        <w:rPr>
          <w:rFonts w:ascii="Arial" w:hAnsi="Arial" w:cs="Arial"/>
          <w:sz w:val="22"/>
        </w:rPr>
        <w:t>El representante legal y el contador público bajo cuya responsabilidad se hubiesen preparado los estados financieros deberán certificar aquellos que se pongan a disposición de los asociados o de terceros. La certificación consiste en declarar que se han verificado previamente las afirmaciones contenidas en ellos, conforme al reglamento, y que las mismas se han tomado fielmente de los libros</w:t>
      </w:r>
      <w:r w:rsidR="009F2C1B" w:rsidRPr="00E30DF1">
        <w:rPr>
          <w:rFonts w:ascii="Arial" w:hAnsi="Arial" w:cs="Arial"/>
          <w:sz w:val="22"/>
        </w:rPr>
        <w:t>»</w:t>
      </w:r>
      <w:r w:rsidR="00012996" w:rsidRPr="00E30DF1">
        <w:rPr>
          <w:rFonts w:ascii="Arial" w:hAnsi="Arial" w:cs="Arial"/>
          <w:sz w:val="22"/>
        </w:rPr>
        <w:t>.</w:t>
      </w:r>
      <w:r w:rsidR="009C63F9" w:rsidRPr="00E56801">
        <w:rPr>
          <w:rFonts w:ascii="Arial" w:hAnsi="Arial" w:cs="Arial"/>
          <w:sz w:val="22"/>
        </w:rPr>
        <w:t xml:space="preserve"> Además</w:t>
      </w:r>
      <w:r w:rsidR="009C63F9">
        <w:rPr>
          <w:rFonts w:ascii="Arial" w:hAnsi="Arial" w:cs="Arial"/>
          <w:sz w:val="22"/>
        </w:rPr>
        <w:t xml:space="preserve">, </w:t>
      </w:r>
      <w:r w:rsidR="00AF3494">
        <w:rPr>
          <w:rFonts w:ascii="Arial" w:hAnsi="Arial" w:cs="Arial"/>
          <w:sz w:val="22"/>
        </w:rPr>
        <w:t xml:space="preserve">vale reiterar que, entre otras cosas, a diferencia de la </w:t>
      </w:r>
      <w:r w:rsidR="00AF3494">
        <w:rPr>
          <w:rFonts w:ascii="Arial" w:hAnsi="Arial" w:cs="Arial"/>
          <w:i/>
          <w:iCs/>
          <w:sz w:val="22"/>
        </w:rPr>
        <w:t xml:space="preserve">versión 1, </w:t>
      </w:r>
      <w:r w:rsidR="009C63F9">
        <w:rPr>
          <w:rFonts w:ascii="Arial" w:hAnsi="Arial" w:cs="Arial"/>
          <w:sz w:val="22"/>
        </w:rPr>
        <w:t>no se hace referencia a la necesidad de que dicho estado de resultados se aporte de acuerdo con el artículo 38 de la Ley 222 de 1995.</w:t>
      </w:r>
    </w:p>
    <w:p w14:paraId="4E55E2BE" w14:textId="127D9DB5" w:rsidR="00BD310A" w:rsidRDefault="00C065F5" w:rsidP="00012996">
      <w:pPr>
        <w:spacing w:before="120" w:after="120" w:line="276" w:lineRule="auto"/>
        <w:ind w:firstLine="708"/>
        <w:jc w:val="both"/>
        <w:rPr>
          <w:rFonts w:ascii="Arial" w:hAnsi="Arial" w:cs="Arial"/>
          <w:color w:val="000000" w:themeColor="text1"/>
          <w:sz w:val="22"/>
        </w:rPr>
      </w:pPr>
      <w:r>
        <w:rPr>
          <w:rFonts w:ascii="Arial" w:hAnsi="Arial" w:cs="Arial"/>
          <w:color w:val="000000" w:themeColor="text1"/>
          <w:sz w:val="22"/>
        </w:rPr>
        <w:t>De esta manera</w:t>
      </w:r>
      <w:r w:rsidR="00BD310A" w:rsidRPr="009F2C1B">
        <w:rPr>
          <w:rFonts w:ascii="Arial" w:hAnsi="Arial" w:cs="Arial"/>
          <w:color w:val="000000" w:themeColor="text1"/>
          <w:sz w:val="22"/>
        </w:rPr>
        <w:t xml:space="preserve">, es importante señalar que de acuerdo con </w:t>
      </w:r>
      <w:r w:rsidR="00D22B53">
        <w:rPr>
          <w:rFonts w:ascii="Arial" w:hAnsi="Arial" w:cs="Arial"/>
          <w:color w:val="000000" w:themeColor="text1"/>
          <w:sz w:val="22"/>
        </w:rPr>
        <w:t xml:space="preserve">el artículo 10 de </w:t>
      </w:r>
      <w:r w:rsidR="00BD310A" w:rsidRPr="009F2C1B">
        <w:rPr>
          <w:rFonts w:ascii="Arial" w:hAnsi="Arial" w:cs="Arial"/>
          <w:color w:val="000000" w:themeColor="text1"/>
          <w:sz w:val="22"/>
        </w:rPr>
        <w:t xml:space="preserve">la Ley 43 de 1990, normativa que reglamenta la profesión de contador público, la firma de un contador público en los actos propios de su profesión hará presumir, salvo prueba en contrario, que el acto respectivo se ajusta a los requisitos legales. De igual forma, tratándose de balances, se presumirá además que los saldos se han tomado fielmente de </w:t>
      </w:r>
      <w:r w:rsidR="00BD310A" w:rsidRPr="009F2C1B">
        <w:rPr>
          <w:rFonts w:ascii="Arial" w:hAnsi="Arial" w:cs="Arial"/>
          <w:color w:val="000000" w:themeColor="text1"/>
          <w:sz w:val="22"/>
        </w:rPr>
        <w:lastRenderedPageBreak/>
        <w:t xml:space="preserve">los libros, que éstos se ajustan a las normas legales y que las </w:t>
      </w:r>
      <w:proofErr w:type="gramStart"/>
      <w:r w:rsidR="00BD310A" w:rsidRPr="009F2C1B">
        <w:rPr>
          <w:rFonts w:ascii="Arial" w:hAnsi="Arial" w:cs="Arial"/>
          <w:color w:val="000000" w:themeColor="text1"/>
          <w:sz w:val="22"/>
        </w:rPr>
        <w:t>cifras registrados</w:t>
      </w:r>
      <w:proofErr w:type="gramEnd"/>
      <w:r w:rsidR="00BD310A" w:rsidRPr="009F2C1B">
        <w:rPr>
          <w:rFonts w:ascii="Arial" w:hAnsi="Arial" w:cs="Arial"/>
          <w:color w:val="000000" w:themeColor="text1"/>
          <w:sz w:val="22"/>
        </w:rPr>
        <w:t xml:space="preserve"> en ellos reflejan en forma fidedigna la correspondiente situación financiera en la fecha del balance</w:t>
      </w:r>
      <w:r w:rsidR="00BD310A" w:rsidRPr="009F2C1B">
        <w:rPr>
          <w:rStyle w:val="Refdenotaalpie"/>
          <w:rFonts w:ascii="Arial" w:hAnsi="Arial" w:cs="Arial"/>
          <w:color w:val="000000" w:themeColor="text1"/>
          <w:sz w:val="22"/>
        </w:rPr>
        <w:footnoteReference w:id="5"/>
      </w:r>
      <w:r w:rsidR="00BD310A" w:rsidRPr="009F2C1B">
        <w:rPr>
          <w:rFonts w:ascii="Arial" w:hAnsi="Arial" w:cs="Arial"/>
          <w:color w:val="000000" w:themeColor="text1"/>
          <w:sz w:val="22"/>
        </w:rPr>
        <w:t>.</w:t>
      </w:r>
      <w:r w:rsidR="00BD310A">
        <w:rPr>
          <w:rFonts w:ascii="Arial" w:hAnsi="Arial" w:cs="Arial"/>
          <w:color w:val="000000" w:themeColor="text1"/>
          <w:sz w:val="22"/>
        </w:rPr>
        <w:t xml:space="preserve"> </w:t>
      </w:r>
    </w:p>
    <w:p w14:paraId="6FFB46CA" w14:textId="77777777" w:rsidR="00C065F5" w:rsidRDefault="008A0686" w:rsidP="00C065F5">
      <w:pPr>
        <w:spacing w:before="120" w:line="276" w:lineRule="auto"/>
        <w:ind w:firstLine="708"/>
        <w:jc w:val="both"/>
        <w:rPr>
          <w:rFonts w:ascii="Arial" w:hAnsi="Arial" w:cs="Arial"/>
          <w:sz w:val="22"/>
        </w:rPr>
      </w:pPr>
      <w:r>
        <w:rPr>
          <w:rFonts w:ascii="Arial" w:hAnsi="Arial" w:cs="Arial"/>
          <w:color w:val="000000" w:themeColor="text1"/>
          <w:sz w:val="22"/>
        </w:rPr>
        <w:t>En armonía con lo anterior, l</w:t>
      </w:r>
      <w:r w:rsidR="00BD310A">
        <w:rPr>
          <w:rFonts w:ascii="Arial" w:hAnsi="Arial" w:cs="Arial"/>
          <w:color w:val="000000" w:themeColor="text1"/>
          <w:sz w:val="22"/>
        </w:rPr>
        <w:t xml:space="preserve">a Corte Constitucional, en la sentencia C-861 de 2008, reconoce que la profesión de contador público tiene un importante riesgo social en las relaciones económicas entre el Estado y los particulares y, por tanto, es necesario que tengan una mayor responsabilidad frente a los documentos que suscriben. Así lo </w:t>
      </w:r>
      <w:r w:rsidR="00BD310A">
        <w:rPr>
          <w:rFonts w:ascii="Arial" w:hAnsi="Arial" w:cs="Arial"/>
          <w:sz w:val="22"/>
        </w:rPr>
        <w:t xml:space="preserve">determinó en los siguientes términos: </w:t>
      </w:r>
    </w:p>
    <w:p w14:paraId="4FE86D9C" w14:textId="7817E777" w:rsidR="00BD310A" w:rsidRDefault="00BD310A" w:rsidP="002A6849">
      <w:pPr>
        <w:spacing w:line="276" w:lineRule="auto"/>
        <w:ind w:firstLine="708"/>
        <w:jc w:val="both"/>
        <w:rPr>
          <w:rFonts w:ascii="Arial" w:hAnsi="Arial" w:cs="Arial"/>
          <w:sz w:val="22"/>
        </w:rPr>
      </w:pPr>
    </w:p>
    <w:p w14:paraId="22C1EAAA" w14:textId="77777777" w:rsidR="00BD310A" w:rsidRDefault="00BD310A" w:rsidP="002A6849">
      <w:pPr>
        <w:tabs>
          <w:tab w:val="left" w:pos="8222"/>
        </w:tabs>
        <w:ind w:left="709" w:right="709"/>
        <w:jc w:val="both"/>
        <w:rPr>
          <w:rFonts w:ascii="Arial" w:hAnsi="Arial" w:cs="Arial"/>
          <w:sz w:val="21"/>
          <w:szCs w:val="21"/>
          <w:shd w:val="clear" w:color="auto" w:fill="FFFFFF"/>
        </w:rPr>
      </w:pPr>
      <w:r>
        <w:rPr>
          <w:rFonts w:ascii="Arial" w:hAnsi="Arial" w:cs="Arial"/>
          <w:sz w:val="21"/>
          <w:szCs w:val="21"/>
          <w:shd w:val="clear" w:color="auto" w:fill="FFFFFF"/>
        </w:rPr>
        <w:t xml:space="preserve">A los Contadores Públicos por el hecho de dar fe pública se les impone un mayor nivel de responsabilidad, pues con el ejercicio de su actividad pueden ocasionar un riesgo social al poner en peligro intereses tan importantes como el orden y la seguridad en las relaciones económicas entre el Estado y los particulares, o de éstos entre sí, de manera que se otorga un mayor ámbito de libertad a quienes no causan tal riesgo, evitando con ello una innecesaria y excesiva regulación de la profesión arte u oficio desarrollada por éstos últimos y obedeciendo así a criterios equitativos de equivalencia entre el interés protegido y las limitaciones fijadas. La decisión que adoptó el legislador de conferir una función </w:t>
      </w:r>
      <w:proofErr w:type="spellStart"/>
      <w:r>
        <w:rPr>
          <w:rFonts w:ascii="Arial" w:hAnsi="Arial" w:cs="Arial"/>
          <w:sz w:val="21"/>
          <w:szCs w:val="21"/>
          <w:shd w:val="clear" w:color="auto" w:fill="FFFFFF"/>
        </w:rPr>
        <w:t>fedante</w:t>
      </w:r>
      <w:proofErr w:type="spellEnd"/>
      <w:r>
        <w:rPr>
          <w:rFonts w:ascii="Arial" w:hAnsi="Arial" w:cs="Arial"/>
          <w:sz w:val="21"/>
          <w:szCs w:val="21"/>
          <w:shd w:val="clear" w:color="auto" w:fill="FFFFFF"/>
        </w:rPr>
        <w:t xml:space="preserve"> a los Contadores Públicos, obedece a una finalidad de interés general</w:t>
      </w:r>
      <w:r>
        <w:rPr>
          <w:rStyle w:val="Refdenotaalpie"/>
          <w:rFonts w:ascii="Arial" w:hAnsi="Arial" w:cs="Arial"/>
          <w:sz w:val="21"/>
          <w:szCs w:val="21"/>
          <w:shd w:val="clear" w:color="auto" w:fill="FFFFFF"/>
        </w:rPr>
        <w:footnoteReference w:id="6"/>
      </w:r>
      <w:r>
        <w:rPr>
          <w:rFonts w:ascii="Arial" w:hAnsi="Arial" w:cs="Arial"/>
          <w:sz w:val="21"/>
          <w:szCs w:val="21"/>
          <w:shd w:val="clear" w:color="auto" w:fill="FFFFFF"/>
        </w:rPr>
        <w:t>.</w:t>
      </w:r>
    </w:p>
    <w:p w14:paraId="68D8655D" w14:textId="77777777" w:rsidR="00C96EC1" w:rsidRDefault="00BD310A" w:rsidP="00E30DF1">
      <w:pPr>
        <w:spacing w:line="276" w:lineRule="auto"/>
        <w:jc w:val="both"/>
        <w:rPr>
          <w:rFonts w:ascii="Arial" w:hAnsi="Arial" w:cs="Arial"/>
          <w:color w:val="000000" w:themeColor="text1"/>
          <w:sz w:val="22"/>
        </w:rPr>
      </w:pPr>
      <w:r>
        <w:rPr>
          <w:rFonts w:ascii="Arial" w:hAnsi="Arial" w:cs="Arial"/>
          <w:color w:val="000000" w:themeColor="text1"/>
          <w:sz w:val="22"/>
        </w:rPr>
        <w:tab/>
      </w:r>
    </w:p>
    <w:p w14:paraId="31E625F2" w14:textId="4722D694" w:rsidR="00BD310A" w:rsidRPr="009F2C1B" w:rsidRDefault="00BD310A" w:rsidP="00E30DF1">
      <w:pPr>
        <w:spacing w:after="120" w:line="276" w:lineRule="auto"/>
        <w:ind w:firstLine="708"/>
        <w:jc w:val="both"/>
        <w:rPr>
          <w:rFonts w:ascii="Arial" w:hAnsi="Arial" w:cs="Arial"/>
          <w:color w:val="000000" w:themeColor="text1"/>
          <w:sz w:val="22"/>
        </w:rPr>
      </w:pPr>
      <w:r>
        <w:rPr>
          <w:rFonts w:ascii="Arial" w:hAnsi="Arial" w:cs="Arial"/>
          <w:color w:val="000000" w:themeColor="text1"/>
          <w:sz w:val="22"/>
        </w:rPr>
        <w:t xml:space="preserve">De este modo, en virtud de la </w:t>
      </w:r>
      <w:r w:rsidRPr="009F2C1B">
        <w:rPr>
          <w:rFonts w:ascii="Arial" w:hAnsi="Arial" w:cs="Arial"/>
          <w:color w:val="000000" w:themeColor="text1"/>
          <w:sz w:val="22"/>
        </w:rPr>
        <w:t xml:space="preserve">Ley 43 de 1990, todos los actos firmados por los contadores públicos se presumen acordes con los requisitos legales. Sin dejar de lado, que los balances generales también se presumen que se han tomado fielmente de los libros y que las cifras registradas en ellos reflejan en forma fidedigna la correspondiente situación financiera en la fecha del balance. </w:t>
      </w:r>
      <w:r w:rsidR="00885FF0">
        <w:rPr>
          <w:rFonts w:ascii="Arial" w:hAnsi="Arial" w:cs="Arial"/>
          <w:color w:val="000000" w:themeColor="text1"/>
          <w:sz w:val="22"/>
        </w:rPr>
        <w:t>Así las cosas</w:t>
      </w:r>
      <w:r w:rsidRPr="009F2C1B">
        <w:rPr>
          <w:rFonts w:ascii="Arial" w:hAnsi="Arial" w:cs="Arial"/>
          <w:color w:val="000000" w:themeColor="text1"/>
          <w:sz w:val="22"/>
        </w:rPr>
        <w:t xml:space="preserve">, todos los documentos suscritos por el contador dan fe pública que el documento está acorde con la normativa y, por tanto, para que sea válido este documento no se requerirán requisitos adicionales, como la aprobación del máximo órgano social o el dictamen del revisor fiscal o del contador público. </w:t>
      </w:r>
    </w:p>
    <w:p w14:paraId="654A83D0" w14:textId="1C8AC5B7" w:rsidR="00BD310A" w:rsidRPr="00E06117" w:rsidRDefault="00BD310A" w:rsidP="00E30DF1">
      <w:pPr>
        <w:tabs>
          <w:tab w:val="left" w:pos="6663"/>
        </w:tabs>
        <w:spacing w:before="120" w:line="276" w:lineRule="auto"/>
        <w:ind w:firstLine="708"/>
        <w:jc w:val="both"/>
        <w:rPr>
          <w:rFonts w:ascii="Arial" w:hAnsi="Arial" w:cs="Arial"/>
          <w:color w:val="000000" w:themeColor="text1"/>
          <w:sz w:val="22"/>
        </w:rPr>
      </w:pPr>
      <w:bookmarkStart w:id="2" w:name="_Hlk84855017"/>
      <w:r w:rsidRPr="00E06117">
        <w:rPr>
          <w:rFonts w:ascii="Arial" w:hAnsi="Arial" w:cs="Arial"/>
          <w:color w:val="000000" w:themeColor="text1"/>
          <w:sz w:val="22"/>
        </w:rPr>
        <w:t xml:space="preserve">De acuerdo con lo </w:t>
      </w:r>
      <w:r w:rsidR="00EB5A65" w:rsidRPr="00E06117">
        <w:rPr>
          <w:rFonts w:ascii="Arial" w:hAnsi="Arial" w:cs="Arial"/>
          <w:color w:val="000000" w:themeColor="text1"/>
          <w:sz w:val="22"/>
        </w:rPr>
        <w:t xml:space="preserve">señalado anteriormente, </w:t>
      </w:r>
      <w:r w:rsidR="00F7087E" w:rsidRPr="00E06117">
        <w:rPr>
          <w:rFonts w:ascii="Arial" w:hAnsi="Arial" w:cs="Arial"/>
          <w:color w:val="000000" w:themeColor="text1"/>
          <w:sz w:val="22"/>
        </w:rPr>
        <w:t xml:space="preserve">y teniendo en cuenta el contenido de los documentos tipo de licitación de obra pública de infraestructura de transporte – </w:t>
      </w:r>
      <w:r w:rsidR="00F7087E" w:rsidRPr="002A6849">
        <w:rPr>
          <w:rFonts w:ascii="Arial" w:hAnsi="Arial" w:cs="Arial"/>
          <w:color w:val="000000" w:themeColor="text1"/>
          <w:sz w:val="22"/>
        </w:rPr>
        <w:t>versión</w:t>
      </w:r>
      <w:r w:rsidR="00F7087E" w:rsidRPr="00E06117">
        <w:rPr>
          <w:rFonts w:ascii="Arial" w:hAnsi="Arial" w:cs="Arial"/>
          <w:i/>
          <w:iCs/>
          <w:color w:val="000000" w:themeColor="text1"/>
          <w:sz w:val="22"/>
        </w:rPr>
        <w:t xml:space="preserve"> </w:t>
      </w:r>
      <w:r w:rsidR="00F7087E" w:rsidRPr="002A6849">
        <w:rPr>
          <w:rFonts w:ascii="Arial" w:hAnsi="Arial" w:cs="Arial"/>
          <w:color w:val="000000" w:themeColor="text1"/>
          <w:sz w:val="22"/>
        </w:rPr>
        <w:t>3</w:t>
      </w:r>
      <w:r w:rsidR="00AD519D" w:rsidRPr="00E06117">
        <w:rPr>
          <w:rFonts w:ascii="Arial" w:hAnsi="Arial" w:cs="Arial"/>
          <w:i/>
          <w:iCs/>
          <w:color w:val="000000" w:themeColor="text1"/>
          <w:sz w:val="22"/>
        </w:rPr>
        <w:t xml:space="preserve">  </w:t>
      </w:r>
      <w:r w:rsidR="00AD519D" w:rsidRPr="00E06117">
        <w:rPr>
          <w:rFonts w:ascii="Arial" w:hAnsi="Arial" w:cs="Arial"/>
          <w:color w:val="000000" w:themeColor="text1"/>
          <w:sz w:val="22"/>
        </w:rPr>
        <w:t>y procesos de selección abreviada de menor cuantía – versión 2</w:t>
      </w:r>
      <w:r w:rsidR="00F7087E" w:rsidRPr="00E06117">
        <w:rPr>
          <w:rFonts w:ascii="Arial" w:hAnsi="Arial" w:cs="Arial"/>
          <w:color w:val="000000" w:themeColor="text1"/>
          <w:sz w:val="22"/>
        </w:rPr>
        <w:t xml:space="preserve">, </w:t>
      </w:r>
      <w:r w:rsidRPr="00E06117">
        <w:rPr>
          <w:rFonts w:ascii="Arial" w:hAnsi="Arial" w:cs="Arial"/>
          <w:color w:val="000000" w:themeColor="text1"/>
          <w:sz w:val="22"/>
        </w:rPr>
        <w:t xml:space="preserve"> para acreditar la capacidad organizacional </w:t>
      </w:r>
      <w:r w:rsidR="00D37F03" w:rsidRPr="00E06117">
        <w:rPr>
          <w:rFonts w:ascii="Arial" w:hAnsi="Arial" w:cs="Arial"/>
          <w:color w:val="000000" w:themeColor="text1"/>
          <w:sz w:val="22"/>
        </w:rPr>
        <w:t xml:space="preserve">de los proponentes que cuentan con RUP </w:t>
      </w:r>
      <w:r w:rsidRPr="00E06117">
        <w:rPr>
          <w:rFonts w:ascii="Arial" w:hAnsi="Arial" w:cs="Arial"/>
          <w:color w:val="000000" w:themeColor="text1"/>
          <w:sz w:val="22"/>
        </w:rPr>
        <w:t xml:space="preserve">solo se requiere aportar el estado </w:t>
      </w:r>
      <w:r w:rsidRPr="00E06117">
        <w:rPr>
          <w:rFonts w:ascii="Arial" w:hAnsi="Arial" w:cs="Arial"/>
          <w:color w:val="000000" w:themeColor="text1"/>
          <w:sz w:val="22"/>
        </w:rPr>
        <w:lastRenderedPageBreak/>
        <w:t xml:space="preserve">de resultados del año en que el proponente obtuvo mayor ingreso operacional </w:t>
      </w:r>
      <w:r w:rsidR="00023F6A" w:rsidRPr="00E06117">
        <w:rPr>
          <w:rFonts w:ascii="Arial" w:hAnsi="Arial" w:cs="Arial"/>
          <w:color w:val="000000" w:themeColor="text1"/>
          <w:sz w:val="22"/>
        </w:rPr>
        <w:t xml:space="preserve">en los últimos 5 años </w:t>
      </w:r>
      <w:r w:rsidR="00590F8B" w:rsidRPr="00E06117">
        <w:rPr>
          <w:rFonts w:ascii="Arial" w:hAnsi="Arial" w:cs="Arial"/>
          <w:sz w:val="22"/>
        </w:rPr>
        <w:t xml:space="preserve">debidamente firmado por el representante legal, contador y revisor fiscal y/o contador independiente </w:t>
      </w:r>
      <w:r w:rsidR="00E06117" w:rsidRPr="002A6849">
        <w:rPr>
          <w:rFonts w:ascii="Arial" w:hAnsi="Arial" w:cs="Arial"/>
          <w:sz w:val="22"/>
        </w:rPr>
        <w:t>–</w:t>
      </w:r>
      <w:r w:rsidR="00590F8B" w:rsidRPr="00E06117">
        <w:rPr>
          <w:rFonts w:ascii="Arial" w:hAnsi="Arial" w:cs="Arial"/>
          <w:sz w:val="22"/>
        </w:rPr>
        <w:t>externo</w:t>
      </w:r>
      <w:r w:rsidR="00E06117" w:rsidRPr="002A6849">
        <w:rPr>
          <w:rFonts w:ascii="Arial" w:hAnsi="Arial" w:cs="Arial"/>
          <w:sz w:val="22"/>
        </w:rPr>
        <w:t>–</w:t>
      </w:r>
      <w:r w:rsidR="00590F8B" w:rsidRPr="00E06117">
        <w:rPr>
          <w:rFonts w:ascii="Arial" w:hAnsi="Arial" w:cs="Arial"/>
          <w:sz w:val="22"/>
        </w:rPr>
        <w:t>, si están obligados a tenerlos</w:t>
      </w:r>
      <w:r w:rsidR="00590F8B" w:rsidRPr="00E06117">
        <w:rPr>
          <w:rFonts w:ascii="Arial" w:hAnsi="Arial" w:cs="Arial"/>
          <w:color w:val="000000" w:themeColor="text1"/>
          <w:sz w:val="22"/>
        </w:rPr>
        <w:t xml:space="preserve">, </w:t>
      </w:r>
      <w:r w:rsidRPr="00E06117">
        <w:rPr>
          <w:rFonts w:ascii="Arial" w:hAnsi="Arial" w:cs="Arial"/>
          <w:color w:val="000000" w:themeColor="text1"/>
          <w:sz w:val="22"/>
        </w:rPr>
        <w:t xml:space="preserve">y la copia de la tarjeta profesional y certificado de antecedentes disciplinarios vigentes de los contadores públicos, revisores fiscales, contadores independientes </w:t>
      </w:r>
      <w:r w:rsidR="00E06117" w:rsidRPr="002A6849">
        <w:rPr>
          <w:rFonts w:ascii="Arial" w:hAnsi="Arial" w:cs="Arial"/>
          <w:color w:val="000000" w:themeColor="text1"/>
          <w:sz w:val="22"/>
        </w:rPr>
        <w:t>–</w:t>
      </w:r>
      <w:r w:rsidRPr="00E06117">
        <w:rPr>
          <w:rFonts w:ascii="Arial" w:hAnsi="Arial" w:cs="Arial"/>
          <w:color w:val="000000" w:themeColor="text1"/>
          <w:sz w:val="22"/>
        </w:rPr>
        <w:t>externos</w:t>
      </w:r>
      <w:r w:rsidR="00E06117" w:rsidRPr="002A6849">
        <w:rPr>
          <w:rFonts w:ascii="Arial" w:hAnsi="Arial" w:cs="Arial"/>
          <w:color w:val="000000" w:themeColor="text1"/>
          <w:sz w:val="22"/>
        </w:rPr>
        <w:t>–</w:t>
      </w:r>
      <w:r w:rsidRPr="00E06117">
        <w:rPr>
          <w:rFonts w:ascii="Arial" w:hAnsi="Arial" w:cs="Arial"/>
          <w:color w:val="000000" w:themeColor="text1"/>
          <w:sz w:val="22"/>
        </w:rPr>
        <w:t>, quienes suscribieron dichos documentos</w:t>
      </w:r>
      <w:r w:rsidR="00314712" w:rsidRPr="00E06117">
        <w:rPr>
          <w:rFonts w:ascii="Arial" w:hAnsi="Arial" w:cs="Arial"/>
          <w:color w:val="000000" w:themeColor="text1"/>
          <w:sz w:val="22"/>
        </w:rPr>
        <w:t>,</w:t>
      </w:r>
      <w:r w:rsidR="009F2C1B" w:rsidRPr="00E06117">
        <w:rPr>
          <w:rFonts w:ascii="Arial" w:hAnsi="Arial" w:cs="Arial"/>
          <w:color w:val="000000" w:themeColor="text1"/>
          <w:sz w:val="22"/>
        </w:rPr>
        <w:t xml:space="preserve"> de conformidad con el artículo 37 de la Ley 222 de 1995</w:t>
      </w:r>
      <w:r w:rsidR="00AD519D" w:rsidRPr="00E06117">
        <w:rPr>
          <w:rFonts w:ascii="Arial" w:hAnsi="Arial" w:cs="Arial"/>
          <w:color w:val="000000" w:themeColor="text1"/>
          <w:sz w:val="22"/>
        </w:rPr>
        <w:t>.</w:t>
      </w:r>
      <w:r w:rsidR="001D1A3A">
        <w:rPr>
          <w:rFonts w:ascii="Arial" w:hAnsi="Arial" w:cs="Arial"/>
          <w:color w:val="000000" w:themeColor="text1"/>
          <w:sz w:val="22"/>
        </w:rPr>
        <w:t xml:space="preserve"> </w:t>
      </w:r>
      <w:r w:rsidR="001D1A3A">
        <w:rPr>
          <w:rStyle w:val="normaltextrun"/>
          <w:rFonts w:ascii="Arial" w:hAnsi="Arial" w:cs="Arial"/>
          <w:color w:val="000000"/>
          <w:sz w:val="22"/>
          <w:shd w:val="clear" w:color="auto" w:fill="FFFFFF"/>
        </w:rPr>
        <w:t>Lo anterior, sin que el Documento Tipo exija el dictamen del estado de resultados señalado en el artículo 38 de la Ley 222 de 1995, por lo que el requisito se acredita en los términos establecidos en</w:t>
      </w:r>
      <w:r w:rsidR="00885FF0">
        <w:rPr>
          <w:rStyle w:val="normaltextrun"/>
          <w:rFonts w:ascii="Arial" w:hAnsi="Arial" w:cs="Arial"/>
          <w:color w:val="000000"/>
          <w:sz w:val="22"/>
          <w:shd w:val="clear" w:color="auto" w:fill="FFFFFF"/>
        </w:rPr>
        <w:t xml:space="preserve"> </w:t>
      </w:r>
      <w:proofErr w:type="gramStart"/>
      <w:r w:rsidR="00885FF0">
        <w:rPr>
          <w:rStyle w:val="normaltextrun"/>
          <w:rFonts w:ascii="Arial" w:hAnsi="Arial" w:cs="Arial"/>
          <w:color w:val="000000"/>
          <w:sz w:val="22"/>
          <w:shd w:val="clear" w:color="auto" w:fill="FFFFFF"/>
        </w:rPr>
        <w:t>dichos</w:t>
      </w:r>
      <w:r w:rsidR="001D1A3A">
        <w:rPr>
          <w:rStyle w:val="normaltextrun"/>
          <w:rFonts w:ascii="Arial" w:hAnsi="Arial" w:cs="Arial"/>
          <w:color w:val="000000"/>
          <w:sz w:val="22"/>
          <w:shd w:val="clear" w:color="auto" w:fill="FFFFFF"/>
        </w:rPr>
        <w:t xml:space="preserve"> </w:t>
      </w:r>
      <w:r w:rsidR="00885FF0">
        <w:rPr>
          <w:rStyle w:val="normaltextrun"/>
          <w:rFonts w:ascii="Arial" w:hAnsi="Arial" w:cs="Arial"/>
          <w:color w:val="000000"/>
          <w:sz w:val="22"/>
          <w:shd w:val="clear" w:color="auto" w:fill="FFFFFF"/>
        </w:rPr>
        <w:t xml:space="preserve"> </w:t>
      </w:r>
      <w:r w:rsidR="001D1A3A">
        <w:rPr>
          <w:rStyle w:val="normaltextrun"/>
          <w:rFonts w:ascii="Arial" w:hAnsi="Arial" w:cs="Arial"/>
          <w:color w:val="000000"/>
          <w:sz w:val="22"/>
          <w:shd w:val="clear" w:color="auto" w:fill="FFFFFF"/>
        </w:rPr>
        <w:t>documentos</w:t>
      </w:r>
      <w:proofErr w:type="gramEnd"/>
      <w:r w:rsidR="001D1A3A">
        <w:rPr>
          <w:rStyle w:val="normaltextrun"/>
          <w:rFonts w:ascii="Arial" w:hAnsi="Arial" w:cs="Arial"/>
          <w:color w:val="000000"/>
          <w:sz w:val="22"/>
          <w:shd w:val="clear" w:color="auto" w:fill="FFFFFF"/>
        </w:rPr>
        <w:t xml:space="preserve"> tipo. </w:t>
      </w:r>
      <w:r w:rsidR="001D1A3A">
        <w:rPr>
          <w:rStyle w:val="eop"/>
          <w:rFonts w:ascii="Arial" w:hAnsi="Arial" w:cs="Arial"/>
          <w:color w:val="000000"/>
          <w:sz w:val="22"/>
          <w:shd w:val="clear" w:color="auto" w:fill="FFFFFF"/>
        </w:rPr>
        <w:t> </w:t>
      </w:r>
      <w:r w:rsidR="00AD519D" w:rsidRPr="00E06117">
        <w:rPr>
          <w:rFonts w:ascii="Arial" w:hAnsi="Arial" w:cs="Arial"/>
          <w:color w:val="000000" w:themeColor="text1"/>
          <w:sz w:val="22"/>
        </w:rPr>
        <w:t xml:space="preserve"> </w:t>
      </w:r>
    </w:p>
    <w:bookmarkEnd w:id="2"/>
    <w:p w14:paraId="7B4EA10E" w14:textId="77777777" w:rsidR="00C96EC1" w:rsidRDefault="00C96EC1" w:rsidP="00E30DF1">
      <w:pPr>
        <w:tabs>
          <w:tab w:val="left" w:pos="6663"/>
        </w:tabs>
        <w:spacing w:line="276" w:lineRule="auto"/>
        <w:ind w:firstLine="708"/>
        <w:jc w:val="both"/>
        <w:rPr>
          <w:rFonts w:ascii="Arial" w:hAnsi="Arial" w:cs="Arial"/>
          <w:color w:val="000000" w:themeColor="text1"/>
          <w:sz w:val="22"/>
        </w:rPr>
      </w:pPr>
    </w:p>
    <w:p w14:paraId="093E18EB" w14:textId="472F8321" w:rsidR="00B85769" w:rsidRDefault="009F2C1B" w:rsidP="00E30DF1">
      <w:pPr>
        <w:jc w:val="both"/>
        <w:rPr>
          <w:rFonts w:ascii="Arial" w:hAnsi="Arial" w:cs="Arial"/>
          <w:b/>
          <w:color w:val="000000" w:themeColor="text1"/>
          <w:sz w:val="22"/>
        </w:rPr>
      </w:pPr>
      <w:r w:rsidRPr="009F2C1B">
        <w:rPr>
          <w:rFonts w:ascii="Arial" w:hAnsi="Arial" w:cs="Arial"/>
          <w:b/>
          <w:color w:val="000000" w:themeColor="text1"/>
          <w:sz w:val="22"/>
        </w:rPr>
        <w:t>2.4</w:t>
      </w:r>
      <w:r w:rsidR="001F62F5" w:rsidRPr="009F2C1B">
        <w:rPr>
          <w:rFonts w:ascii="Arial" w:hAnsi="Arial" w:cs="Arial"/>
          <w:b/>
          <w:color w:val="000000" w:themeColor="text1"/>
          <w:sz w:val="22"/>
        </w:rPr>
        <w:t xml:space="preserve">. </w:t>
      </w:r>
      <w:r w:rsidR="00A105E3">
        <w:rPr>
          <w:rFonts w:ascii="Arial" w:hAnsi="Arial" w:cs="Arial"/>
          <w:b/>
          <w:color w:val="000000" w:themeColor="text1"/>
          <w:sz w:val="22"/>
        </w:rPr>
        <w:t xml:space="preserve">Regla </w:t>
      </w:r>
      <w:r w:rsidR="00B85769" w:rsidRPr="009F2C1B">
        <w:rPr>
          <w:rFonts w:ascii="Arial" w:hAnsi="Arial" w:cs="Arial"/>
          <w:b/>
          <w:color w:val="000000" w:themeColor="text1"/>
          <w:sz w:val="22"/>
        </w:rPr>
        <w:t xml:space="preserve">de inalterabilidad de los </w:t>
      </w:r>
      <w:r w:rsidR="00055680" w:rsidRPr="009F2C1B">
        <w:rPr>
          <w:rFonts w:ascii="Arial" w:hAnsi="Arial" w:cs="Arial"/>
          <w:b/>
          <w:color w:val="000000" w:themeColor="text1"/>
          <w:sz w:val="22"/>
        </w:rPr>
        <w:t>documentos tipo</w:t>
      </w:r>
    </w:p>
    <w:p w14:paraId="7487082B" w14:textId="77777777" w:rsidR="00C96EC1" w:rsidRPr="009F2C1B" w:rsidRDefault="00C96EC1" w:rsidP="00E30DF1">
      <w:pPr>
        <w:jc w:val="both"/>
        <w:rPr>
          <w:rFonts w:ascii="Arial" w:hAnsi="Arial" w:cs="Arial"/>
          <w:b/>
          <w:color w:val="000000" w:themeColor="text1"/>
          <w:sz w:val="22"/>
        </w:rPr>
      </w:pPr>
    </w:p>
    <w:p w14:paraId="44299B74" w14:textId="789FCCF8" w:rsidR="00B85769" w:rsidRPr="00D81EEF" w:rsidRDefault="00885FF0" w:rsidP="00E30DF1">
      <w:pPr>
        <w:spacing w:line="276" w:lineRule="auto"/>
        <w:jc w:val="both"/>
        <w:rPr>
          <w:rFonts w:ascii="Arial" w:hAnsi="Arial" w:cs="Arial"/>
          <w:sz w:val="22"/>
          <w:shd w:val="clear" w:color="auto" w:fill="FFFFFF"/>
          <w:lang w:val="es-ES"/>
        </w:rPr>
      </w:pPr>
      <w:r>
        <w:rPr>
          <w:rFonts w:ascii="Arial" w:eastAsia="Calibri" w:hAnsi="Arial" w:cs="Arial"/>
          <w:sz w:val="22"/>
          <w:shd w:val="clear" w:color="auto" w:fill="FFFFFF"/>
          <w:lang w:val="es-ES"/>
        </w:rPr>
        <w:t>E</w:t>
      </w:r>
      <w:r w:rsidR="009F2C1B">
        <w:rPr>
          <w:rFonts w:ascii="Arial" w:eastAsia="Calibri" w:hAnsi="Arial" w:cs="Arial"/>
          <w:sz w:val="22"/>
          <w:shd w:val="clear" w:color="auto" w:fill="FFFFFF"/>
          <w:lang w:val="es-ES"/>
        </w:rPr>
        <w:t xml:space="preserve">s importante tener en </w:t>
      </w:r>
      <w:r w:rsidR="00A105E3">
        <w:rPr>
          <w:rFonts w:ascii="Arial" w:eastAsia="Calibri" w:hAnsi="Arial" w:cs="Arial"/>
          <w:sz w:val="22"/>
          <w:shd w:val="clear" w:color="auto" w:fill="FFFFFF"/>
          <w:lang w:val="es-ES"/>
        </w:rPr>
        <w:t xml:space="preserve">cuenta la </w:t>
      </w:r>
      <w:r w:rsidR="009F2C1B">
        <w:rPr>
          <w:rFonts w:ascii="Arial" w:eastAsia="Calibri" w:hAnsi="Arial" w:cs="Arial"/>
          <w:sz w:val="22"/>
          <w:shd w:val="clear" w:color="auto" w:fill="FFFFFF"/>
          <w:lang w:val="es-ES"/>
        </w:rPr>
        <w:t xml:space="preserve">inalterabilidad de los </w:t>
      </w:r>
      <w:r w:rsidR="00FA25BF">
        <w:rPr>
          <w:rFonts w:ascii="Arial" w:eastAsia="Calibri" w:hAnsi="Arial" w:cs="Arial"/>
          <w:sz w:val="22"/>
          <w:shd w:val="clear" w:color="auto" w:fill="FFFFFF"/>
          <w:lang w:val="es-ES"/>
        </w:rPr>
        <w:t>documentos tipo</w:t>
      </w:r>
      <w:r w:rsidR="009F2C1B">
        <w:rPr>
          <w:rFonts w:ascii="Arial" w:eastAsia="Calibri" w:hAnsi="Arial" w:cs="Arial"/>
          <w:sz w:val="22"/>
          <w:shd w:val="clear" w:color="auto" w:fill="FFFFFF"/>
          <w:lang w:val="es-ES"/>
        </w:rPr>
        <w:t xml:space="preserve"> adoptados por la Agencia Nacional de Contratación Pública </w:t>
      </w:r>
      <w:r w:rsidR="00B3256D">
        <w:rPr>
          <w:rFonts w:ascii="Arial" w:eastAsia="Calibri" w:hAnsi="Arial" w:cs="Arial"/>
          <w:sz w:val="22"/>
          <w:shd w:val="clear" w:color="auto" w:fill="FFFFFF"/>
          <w:lang w:val="es-ES"/>
        </w:rPr>
        <w:t>–</w:t>
      </w:r>
      <w:r w:rsidR="009F2C1B">
        <w:rPr>
          <w:rFonts w:ascii="Arial" w:eastAsia="Calibri" w:hAnsi="Arial" w:cs="Arial"/>
          <w:sz w:val="22"/>
          <w:shd w:val="clear" w:color="auto" w:fill="FFFFFF"/>
          <w:lang w:val="es-ES"/>
        </w:rPr>
        <w:t xml:space="preserve"> Colombia Compra Eficiente.</w:t>
      </w:r>
      <w:r w:rsidR="00B3256D">
        <w:rPr>
          <w:rFonts w:ascii="Arial" w:eastAsia="Calibri" w:hAnsi="Arial" w:cs="Arial"/>
          <w:sz w:val="22"/>
          <w:shd w:val="clear" w:color="auto" w:fill="FFFFFF"/>
          <w:lang w:val="es-ES"/>
        </w:rPr>
        <w:t xml:space="preserve"> </w:t>
      </w:r>
      <w:bookmarkStart w:id="3" w:name="_Hlk81911911"/>
      <w:r w:rsidR="00A15CE3">
        <w:rPr>
          <w:rFonts w:ascii="Arial" w:eastAsia="Calibri" w:hAnsi="Arial" w:cs="Arial"/>
          <w:sz w:val="22"/>
          <w:shd w:val="clear" w:color="auto" w:fill="FFFFFF"/>
          <w:lang w:val="es-ES"/>
        </w:rPr>
        <w:t>Esta se encuentra</w:t>
      </w:r>
      <w:r w:rsidR="000D5703">
        <w:rPr>
          <w:rFonts w:ascii="Arial" w:eastAsia="Calibri" w:hAnsi="Arial" w:cs="Arial"/>
          <w:sz w:val="22"/>
          <w:shd w:val="clear" w:color="auto" w:fill="FFFFFF"/>
          <w:lang w:val="es-ES"/>
        </w:rPr>
        <w:t xml:space="preserve"> cons</w:t>
      </w:r>
      <w:r w:rsidR="00A105E3">
        <w:rPr>
          <w:rFonts w:ascii="Arial" w:eastAsia="Calibri" w:hAnsi="Arial" w:cs="Arial"/>
          <w:sz w:val="22"/>
          <w:shd w:val="clear" w:color="auto" w:fill="FFFFFF"/>
          <w:lang w:val="es-ES"/>
        </w:rPr>
        <w:t>agrada</w:t>
      </w:r>
      <w:r w:rsidR="000D5703">
        <w:rPr>
          <w:rFonts w:ascii="Arial" w:eastAsia="Calibri" w:hAnsi="Arial" w:cs="Arial"/>
          <w:sz w:val="22"/>
          <w:shd w:val="clear" w:color="auto" w:fill="FFFFFF"/>
          <w:lang w:val="es-ES"/>
        </w:rPr>
        <w:t xml:space="preserve"> en l</w:t>
      </w:r>
      <w:r w:rsidR="000D5703" w:rsidRPr="00D81EEF">
        <w:rPr>
          <w:rFonts w:ascii="Arial" w:eastAsia="Calibri" w:hAnsi="Arial" w:cs="Arial"/>
          <w:sz w:val="22"/>
          <w:shd w:val="clear" w:color="auto" w:fill="FFFFFF"/>
          <w:lang w:val="es-ES"/>
        </w:rPr>
        <w:t>os artículos 2.2.1.2.6.1.4, 2.2.1.2.6.2.3 y 2.2.1.2.6.3.4 del Decreto 1082 de 2015</w:t>
      </w:r>
      <w:r w:rsidR="000D5703">
        <w:rPr>
          <w:rFonts w:ascii="Arial" w:eastAsia="Calibri" w:hAnsi="Arial" w:cs="Arial"/>
          <w:sz w:val="22"/>
          <w:shd w:val="clear" w:color="auto" w:fill="FFFFFF"/>
          <w:lang w:val="es-ES"/>
        </w:rPr>
        <w:t xml:space="preserve">, </w:t>
      </w:r>
      <w:r w:rsidR="00B85769" w:rsidRPr="00D81EEF">
        <w:rPr>
          <w:rFonts w:ascii="Arial" w:eastAsia="Calibri" w:hAnsi="Arial" w:cs="Arial"/>
          <w:sz w:val="22"/>
          <w:shd w:val="clear" w:color="auto" w:fill="FFFFFF"/>
          <w:lang w:val="es-ES"/>
        </w:rPr>
        <w:t xml:space="preserve">consiste en que las entidades estatales no pueden incluir o modificar en los documentos del proceso las condiciones habilitantes, los factores técnicos y económicos de escogencia y los sistemas de ponderación distintos a los señalados en los </w:t>
      </w:r>
      <w:r w:rsidR="00FA25BF" w:rsidRPr="00D81EEF">
        <w:rPr>
          <w:rFonts w:ascii="Arial" w:eastAsia="Calibri" w:hAnsi="Arial" w:cs="Arial"/>
          <w:sz w:val="22"/>
          <w:shd w:val="clear" w:color="auto" w:fill="FFFFFF"/>
          <w:lang w:val="es-ES"/>
        </w:rPr>
        <w:t>documentos tipo</w:t>
      </w:r>
      <w:r w:rsidR="00B85769" w:rsidRPr="00D81EEF">
        <w:rPr>
          <w:rFonts w:ascii="Arial" w:eastAsia="Calibri" w:hAnsi="Arial" w:cs="Arial"/>
          <w:sz w:val="22"/>
          <w:shd w:val="clear" w:color="auto" w:fill="FFFFFF"/>
          <w:lang w:val="es-ES"/>
        </w:rPr>
        <w:t xml:space="preserve">. </w:t>
      </w:r>
      <w:r w:rsidR="00B85769" w:rsidRPr="00D81EEF">
        <w:rPr>
          <w:rFonts w:ascii="Arial" w:hAnsi="Arial" w:cs="Arial"/>
          <w:sz w:val="22"/>
          <w:shd w:val="clear" w:color="auto" w:fill="FFFFFF"/>
          <w:lang w:val="es-ES"/>
        </w:rPr>
        <w:t>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bookmarkEnd w:id="3"/>
      <w:r w:rsidR="00B85769" w:rsidRPr="00D81EEF">
        <w:rPr>
          <w:rFonts w:ascii="Arial" w:hAnsi="Arial" w:cs="Arial"/>
          <w:sz w:val="22"/>
          <w:shd w:val="clear" w:color="auto" w:fill="FFFFFF"/>
          <w:lang w:val="es-ES"/>
        </w:rPr>
        <w:t xml:space="preserve">. </w:t>
      </w:r>
      <w:r w:rsidR="000D5703">
        <w:rPr>
          <w:rFonts w:ascii="Arial" w:hAnsi="Arial" w:cs="Arial"/>
          <w:sz w:val="22"/>
          <w:shd w:val="clear" w:color="auto" w:fill="FFFFFF"/>
          <w:lang w:val="es-ES"/>
        </w:rPr>
        <w:t xml:space="preserve"> </w:t>
      </w:r>
    </w:p>
    <w:p w14:paraId="4AEC12FD" w14:textId="0B9C0B50" w:rsidR="00526519" w:rsidRDefault="00B85769" w:rsidP="00FD2D6D">
      <w:pPr>
        <w:spacing w:before="120" w:line="276" w:lineRule="auto"/>
        <w:ind w:firstLine="708"/>
        <w:jc w:val="both"/>
        <w:rPr>
          <w:rFonts w:ascii="Arial" w:eastAsia="Calibri" w:hAnsi="Arial" w:cs="Arial"/>
          <w:noProof/>
          <w:sz w:val="22"/>
          <w:lang w:val="es-ES_tradnl"/>
        </w:rPr>
      </w:pPr>
      <w:r w:rsidRPr="00D81EEF">
        <w:rPr>
          <w:rFonts w:ascii="Arial" w:hAnsi="Arial" w:cs="Arial"/>
          <w:sz w:val="22"/>
          <w:shd w:val="clear" w:color="auto" w:fill="FFFFFF"/>
          <w:lang w:val="es-ES"/>
        </w:rPr>
        <w:t>Sin perjuicio de lo anterior, debe tenerse en cuenta que en relación con los documentos tipo expedidos o actualizados luego de la vigencia de la Ley 2022 de 2020</w:t>
      </w:r>
      <w:r w:rsidR="00040F03">
        <w:rPr>
          <w:rStyle w:val="Refdenotaalpie"/>
          <w:rFonts w:ascii="Arial" w:hAnsi="Arial" w:cs="Arial"/>
          <w:sz w:val="22"/>
          <w:shd w:val="clear" w:color="auto" w:fill="FFFFFF"/>
          <w:lang w:val="es-ES"/>
        </w:rPr>
        <w:footnoteReference w:id="7"/>
      </w:r>
      <w:r w:rsidRPr="00D81EEF">
        <w:rPr>
          <w:rFonts w:ascii="Arial" w:hAnsi="Arial" w:cs="Arial"/>
          <w:sz w:val="22"/>
          <w:shd w:val="clear" w:color="auto" w:fill="FFFFFF"/>
          <w:lang w:val="es-ES"/>
        </w:rPr>
        <w:t xml:space="preserve">, el fundamento de la inalterabilidad de su contenido se deriva de lo establecido en </w:t>
      </w:r>
      <w:r w:rsidR="00040F03">
        <w:rPr>
          <w:rFonts w:ascii="Arial" w:hAnsi="Arial" w:cs="Arial"/>
          <w:sz w:val="22"/>
          <w:shd w:val="clear" w:color="auto" w:fill="FFFFFF"/>
          <w:lang w:val="es-ES"/>
        </w:rPr>
        <w:t>dicha</w:t>
      </w:r>
      <w:r w:rsidR="00040F03" w:rsidRPr="00D81EEF">
        <w:rPr>
          <w:rFonts w:ascii="Arial" w:hAnsi="Arial" w:cs="Arial"/>
          <w:sz w:val="22"/>
          <w:shd w:val="clear" w:color="auto" w:fill="FFFFFF"/>
          <w:lang w:val="es-ES"/>
        </w:rPr>
        <w:t xml:space="preserve"> </w:t>
      </w:r>
      <w:r w:rsidRPr="00D81EEF">
        <w:rPr>
          <w:rFonts w:ascii="Arial" w:hAnsi="Arial" w:cs="Arial"/>
          <w:sz w:val="22"/>
          <w:shd w:val="clear" w:color="auto" w:fill="FFFFFF"/>
          <w:lang w:val="es-ES"/>
        </w:rPr>
        <w:t>ley y particularmente lo prescrito en cada una de las resoluciones que adoptan los documentos tipo</w:t>
      </w:r>
      <w:r w:rsidRPr="00D81EEF">
        <w:rPr>
          <w:rFonts w:ascii="Arial" w:eastAsia="Calibri" w:hAnsi="Arial" w:cs="Arial"/>
          <w:noProof/>
          <w:sz w:val="22"/>
          <w:lang w:val="es-ES_tradnl"/>
        </w:rPr>
        <w:t>. En tal sentido, en relación con los documentos tipo de obra de infraestructura de transporte en la modalidad de licitación –Versión 3–</w:t>
      </w:r>
      <w:r w:rsidR="00FA25BF">
        <w:rPr>
          <w:rFonts w:ascii="Arial" w:eastAsia="Calibri" w:hAnsi="Arial" w:cs="Arial"/>
          <w:noProof/>
          <w:sz w:val="22"/>
          <w:lang w:val="es-ES_tradnl"/>
        </w:rPr>
        <w:t xml:space="preserve"> y selección abreviada de menor cuantía –Versión 2–</w:t>
      </w:r>
      <w:r w:rsidR="00B8272C">
        <w:rPr>
          <w:rFonts w:ascii="Arial" w:eastAsia="Calibri" w:hAnsi="Arial" w:cs="Arial"/>
          <w:noProof/>
          <w:sz w:val="22"/>
          <w:lang w:val="es-ES_tradnl"/>
        </w:rPr>
        <w:t>,</w:t>
      </w:r>
      <w:r w:rsidRPr="00D81EEF">
        <w:rPr>
          <w:rFonts w:ascii="Arial" w:eastAsia="Calibri" w:hAnsi="Arial" w:cs="Arial"/>
          <w:noProof/>
          <w:sz w:val="22"/>
          <w:lang w:val="es-ES_tradnl"/>
        </w:rPr>
        <w:t xml:space="preserve"> </w:t>
      </w:r>
      <w:r w:rsidR="00526519" w:rsidRPr="00D81EEF">
        <w:rPr>
          <w:rFonts w:ascii="Arial" w:eastAsia="Calibri" w:hAnsi="Arial" w:cs="Arial"/>
          <w:noProof/>
          <w:sz w:val="22"/>
          <w:lang w:val="es-ES_tradnl"/>
        </w:rPr>
        <w:t>el artículo 3 de</w:t>
      </w:r>
      <w:r w:rsidR="000D5703">
        <w:rPr>
          <w:rFonts w:ascii="Arial" w:eastAsia="Calibri" w:hAnsi="Arial" w:cs="Arial"/>
          <w:noProof/>
          <w:sz w:val="22"/>
          <w:lang w:val="es-ES_tradnl"/>
        </w:rPr>
        <w:t xml:space="preserve"> la</w:t>
      </w:r>
      <w:r w:rsidR="00FA25BF">
        <w:rPr>
          <w:rFonts w:ascii="Arial" w:eastAsia="Calibri" w:hAnsi="Arial" w:cs="Arial"/>
          <w:noProof/>
          <w:sz w:val="22"/>
          <w:lang w:val="es-ES_tradnl"/>
        </w:rPr>
        <w:t>s</w:t>
      </w:r>
      <w:r w:rsidR="000D5703">
        <w:rPr>
          <w:rFonts w:ascii="Arial" w:eastAsia="Calibri" w:hAnsi="Arial" w:cs="Arial"/>
          <w:noProof/>
          <w:sz w:val="22"/>
          <w:lang w:val="es-ES_tradnl"/>
        </w:rPr>
        <w:t xml:space="preserve"> Resoluci</w:t>
      </w:r>
      <w:r w:rsidR="00FA25BF">
        <w:rPr>
          <w:rFonts w:ascii="Arial" w:eastAsia="Calibri" w:hAnsi="Arial" w:cs="Arial"/>
          <w:noProof/>
          <w:sz w:val="22"/>
          <w:lang w:val="es-ES_tradnl"/>
        </w:rPr>
        <w:t>o</w:t>
      </w:r>
      <w:r w:rsidR="000D5703">
        <w:rPr>
          <w:rFonts w:ascii="Arial" w:eastAsia="Calibri" w:hAnsi="Arial" w:cs="Arial"/>
          <w:noProof/>
          <w:sz w:val="22"/>
          <w:lang w:val="es-ES_tradnl"/>
        </w:rPr>
        <w:t>n</w:t>
      </w:r>
      <w:r w:rsidR="00FA25BF">
        <w:rPr>
          <w:rFonts w:ascii="Arial" w:eastAsia="Calibri" w:hAnsi="Arial" w:cs="Arial"/>
          <w:noProof/>
          <w:sz w:val="22"/>
          <w:lang w:val="es-ES_tradnl"/>
        </w:rPr>
        <w:t>es</w:t>
      </w:r>
      <w:r w:rsidR="000D5703">
        <w:rPr>
          <w:rFonts w:ascii="Arial" w:eastAsia="Calibri" w:hAnsi="Arial" w:cs="Arial"/>
          <w:noProof/>
          <w:sz w:val="22"/>
          <w:lang w:val="es-ES_tradnl"/>
        </w:rPr>
        <w:t xml:space="preserve"> No. 240</w:t>
      </w:r>
      <w:r w:rsidR="00FA25BF">
        <w:rPr>
          <w:rFonts w:ascii="Arial" w:eastAsia="Calibri" w:hAnsi="Arial" w:cs="Arial"/>
          <w:noProof/>
          <w:sz w:val="22"/>
          <w:lang w:val="es-ES_tradnl"/>
        </w:rPr>
        <w:t xml:space="preserve"> y 241</w:t>
      </w:r>
      <w:r w:rsidR="000D5703">
        <w:rPr>
          <w:rFonts w:ascii="Arial" w:eastAsia="Calibri" w:hAnsi="Arial" w:cs="Arial"/>
          <w:noProof/>
          <w:sz w:val="22"/>
          <w:lang w:val="es-ES_tradnl"/>
        </w:rPr>
        <w:t xml:space="preserve"> de 2020 </w:t>
      </w:r>
      <w:r w:rsidR="00526519" w:rsidRPr="00D81EEF">
        <w:rPr>
          <w:rFonts w:ascii="Arial" w:eastAsia="Calibri" w:hAnsi="Arial" w:cs="Arial"/>
          <w:noProof/>
          <w:sz w:val="22"/>
          <w:lang w:val="es-ES_tradnl"/>
        </w:rPr>
        <w:t xml:space="preserve">dispone la </w:t>
      </w:r>
      <w:r w:rsidR="00526519" w:rsidRPr="00D81EEF">
        <w:rPr>
          <w:rFonts w:ascii="Arial" w:eastAsia="Calibri" w:hAnsi="Arial" w:cs="Arial"/>
          <w:noProof/>
          <w:sz w:val="22"/>
          <w:lang w:val="es-ES_tradnl"/>
        </w:rPr>
        <w:lastRenderedPageBreak/>
        <w:t>inalterabilidad de los documentos tipo en los siguientes términos: «Las entidades estatales contratantes no podrán incluir o modificar dentro de lo</w:t>
      </w:r>
      <w:r w:rsidR="00526519" w:rsidRPr="00526519">
        <w:rPr>
          <w:rFonts w:ascii="Arial" w:eastAsia="Calibri" w:hAnsi="Arial" w:cs="Arial"/>
          <w:noProof/>
          <w:sz w:val="22"/>
          <w:lang w:val="es-ES_tradnl"/>
        </w:rPr>
        <w:t xml:space="preserve">s documentos del proceso de selección las condiciones habilitantes, los factores técnicos y económicos de escogencia y los sistemas de ponderación que han sido definidos y señalados en los </w:t>
      </w:r>
      <w:r w:rsidR="00FA25BF" w:rsidRPr="00526519">
        <w:rPr>
          <w:rFonts w:ascii="Arial" w:eastAsia="Calibri" w:hAnsi="Arial" w:cs="Arial"/>
          <w:noProof/>
          <w:sz w:val="22"/>
          <w:lang w:val="es-ES_tradnl"/>
        </w:rPr>
        <w:t>documentos tipo</w:t>
      </w:r>
      <w:r w:rsidR="00526519" w:rsidRPr="00526519">
        <w:rPr>
          <w:rFonts w:ascii="Arial" w:eastAsia="Calibri" w:hAnsi="Arial" w:cs="Arial"/>
          <w:noProof/>
          <w:sz w:val="22"/>
          <w:lang w:val="es-ES_tradnl"/>
        </w:rPr>
        <w:t>».</w:t>
      </w:r>
    </w:p>
    <w:p w14:paraId="60840D2B" w14:textId="36BA6E10" w:rsidR="000D5703" w:rsidRDefault="00C44D8B" w:rsidP="00FD2D6D">
      <w:pPr>
        <w:spacing w:before="120" w:line="276" w:lineRule="auto"/>
        <w:ind w:firstLine="708"/>
        <w:jc w:val="both"/>
        <w:rPr>
          <w:rFonts w:ascii="Arial" w:eastAsia="Times New Roman" w:hAnsi="Arial" w:cs="Arial"/>
          <w:bCs/>
          <w:color w:val="000000" w:themeColor="text1"/>
          <w:sz w:val="22"/>
          <w:lang w:eastAsia="es-ES_tradnl"/>
        </w:rPr>
      </w:pPr>
      <w:r>
        <w:rPr>
          <w:rFonts w:ascii="Arial" w:eastAsia="Calibri" w:hAnsi="Arial" w:cs="Arial"/>
          <w:noProof/>
          <w:sz w:val="22"/>
          <w:lang w:val="es-ES_tradnl"/>
        </w:rPr>
        <w:t>Así las cosas</w:t>
      </w:r>
      <w:r w:rsidR="00E24F0B">
        <w:rPr>
          <w:rFonts w:ascii="Arial" w:eastAsia="Calibri" w:hAnsi="Arial" w:cs="Arial"/>
          <w:noProof/>
          <w:sz w:val="22"/>
          <w:lang w:val="es-ES_tradnl"/>
        </w:rPr>
        <w:t>,</w:t>
      </w:r>
      <w:r w:rsidR="009A5130" w:rsidRPr="000D5703">
        <w:rPr>
          <w:rFonts w:ascii="Arial" w:eastAsia="Calibri" w:hAnsi="Arial" w:cs="Arial"/>
          <w:noProof/>
          <w:sz w:val="22"/>
          <w:lang w:val="es-ES_tradnl"/>
        </w:rPr>
        <w:t xml:space="preserve"> </w:t>
      </w:r>
      <w:r w:rsidR="00A81DBC" w:rsidRPr="000D5703">
        <w:rPr>
          <w:rFonts w:ascii="Arial" w:eastAsia="Calibri" w:hAnsi="Arial" w:cs="Arial"/>
          <w:noProof/>
          <w:sz w:val="22"/>
          <w:lang w:val="es-ES_tradnl"/>
        </w:rPr>
        <w:t>el documento base</w:t>
      </w:r>
      <w:r w:rsidR="000D5703">
        <w:rPr>
          <w:rFonts w:ascii="Arial" w:eastAsia="Times New Roman" w:hAnsi="Arial" w:cs="Arial"/>
          <w:bCs/>
          <w:color w:val="000000" w:themeColor="text1"/>
          <w:sz w:val="22"/>
          <w:lang w:eastAsia="es-ES_tradnl"/>
        </w:rPr>
        <w:t xml:space="preserve"> </w:t>
      </w:r>
      <w:r w:rsidR="002F369D">
        <w:rPr>
          <w:rFonts w:ascii="Arial" w:eastAsia="Times New Roman" w:hAnsi="Arial" w:cs="Arial"/>
          <w:bCs/>
          <w:color w:val="000000" w:themeColor="text1"/>
          <w:sz w:val="22"/>
          <w:lang w:eastAsia="es-ES_tradnl"/>
        </w:rPr>
        <w:t xml:space="preserve">solo exigen </w:t>
      </w:r>
      <w:r w:rsidR="002F369D" w:rsidRPr="00EE750F">
        <w:rPr>
          <w:rFonts w:ascii="Arial" w:hAnsi="Arial" w:cs="Arial"/>
          <w:color w:val="000000" w:themeColor="text1"/>
          <w:sz w:val="22"/>
        </w:rPr>
        <w:t xml:space="preserve">aportar el estado de resultados del año en que el proponente obtuvo mayor ingreso operacional </w:t>
      </w:r>
      <w:r w:rsidR="00023F6A">
        <w:rPr>
          <w:rFonts w:ascii="Arial" w:hAnsi="Arial" w:cs="Arial"/>
          <w:color w:val="000000" w:themeColor="text1"/>
          <w:sz w:val="22"/>
        </w:rPr>
        <w:t xml:space="preserve">en los últimos 5 años </w:t>
      </w:r>
      <w:r w:rsidR="002F369D" w:rsidRPr="00EE750F">
        <w:rPr>
          <w:rFonts w:ascii="Arial" w:hAnsi="Arial" w:cs="Arial"/>
          <w:sz w:val="22"/>
        </w:rPr>
        <w:t xml:space="preserve">debidamente firmado por el representante legal, contador y revisor fiscal y/o contador independiente </w:t>
      </w:r>
      <w:r w:rsidR="00A81DBC">
        <w:rPr>
          <w:rFonts w:ascii="Arial" w:hAnsi="Arial" w:cs="Arial"/>
          <w:sz w:val="22"/>
        </w:rPr>
        <w:t>–</w:t>
      </w:r>
      <w:r w:rsidR="002F369D" w:rsidRPr="00EE750F">
        <w:rPr>
          <w:rFonts w:ascii="Arial" w:hAnsi="Arial" w:cs="Arial"/>
          <w:sz w:val="22"/>
        </w:rPr>
        <w:t>externo</w:t>
      </w:r>
      <w:r w:rsidR="00A81DBC">
        <w:rPr>
          <w:rFonts w:ascii="Arial" w:hAnsi="Arial" w:cs="Arial"/>
          <w:sz w:val="22"/>
        </w:rPr>
        <w:t>–</w:t>
      </w:r>
      <w:r w:rsidR="002F369D" w:rsidRPr="00EE750F">
        <w:rPr>
          <w:rFonts w:ascii="Arial" w:hAnsi="Arial" w:cs="Arial"/>
          <w:sz w:val="22"/>
        </w:rPr>
        <w:t>, si están obligados a tenerlos</w:t>
      </w:r>
      <w:r w:rsidR="002F369D" w:rsidRPr="00EE750F">
        <w:rPr>
          <w:rFonts w:ascii="Arial" w:hAnsi="Arial" w:cs="Arial"/>
          <w:color w:val="000000" w:themeColor="text1"/>
          <w:sz w:val="22"/>
        </w:rPr>
        <w:t xml:space="preserve">, y la copia de la tarjeta profesional y certificado de antecedentes disciplinarios vigentes de los contadores públicos, revisores fiscales, contadores independientes </w:t>
      </w:r>
      <w:r w:rsidR="00A81DBC">
        <w:rPr>
          <w:rFonts w:ascii="Arial" w:hAnsi="Arial" w:cs="Arial"/>
          <w:color w:val="000000" w:themeColor="text1"/>
          <w:sz w:val="22"/>
        </w:rPr>
        <w:t>–</w:t>
      </w:r>
      <w:r w:rsidR="002F369D" w:rsidRPr="00EE750F">
        <w:rPr>
          <w:rFonts w:ascii="Arial" w:hAnsi="Arial" w:cs="Arial"/>
          <w:color w:val="000000" w:themeColor="text1"/>
          <w:sz w:val="22"/>
        </w:rPr>
        <w:t>externos</w:t>
      </w:r>
      <w:r w:rsidR="00A81DBC">
        <w:rPr>
          <w:rFonts w:ascii="Arial" w:hAnsi="Arial" w:cs="Arial"/>
          <w:color w:val="000000" w:themeColor="text1"/>
          <w:sz w:val="22"/>
        </w:rPr>
        <w:t>–</w:t>
      </w:r>
      <w:r w:rsidR="002F369D" w:rsidRPr="00EE750F">
        <w:rPr>
          <w:rFonts w:ascii="Arial" w:hAnsi="Arial" w:cs="Arial"/>
          <w:color w:val="000000" w:themeColor="text1"/>
          <w:sz w:val="22"/>
        </w:rPr>
        <w:t>, quienes suscribieron dichos documentos, de conformidad con el artículo 37 de la Ley 222 de 1995</w:t>
      </w:r>
      <w:r w:rsidR="00C658A1">
        <w:rPr>
          <w:rFonts w:ascii="Arial" w:hAnsi="Arial" w:cs="Arial"/>
          <w:color w:val="000000" w:themeColor="text1"/>
          <w:sz w:val="22"/>
        </w:rPr>
        <w:t>. Lo anterior</w:t>
      </w:r>
      <w:r w:rsidR="002F369D" w:rsidRPr="00EE750F">
        <w:rPr>
          <w:rFonts w:ascii="Arial" w:hAnsi="Arial" w:cs="Arial"/>
          <w:color w:val="000000" w:themeColor="text1"/>
          <w:sz w:val="22"/>
        </w:rPr>
        <w:t xml:space="preserve"> sin que el </w:t>
      </w:r>
      <w:r w:rsidR="00A81DBC" w:rsidRPr="00EE750F">
        <w:rPr>
          <w:rFonts w:ascii="Arial" w:hAnsi="Arial" w:cs="Arial"/>
          <w:color w:val="000000" w:themeColor="text1"/>
          <w:sz w:val="22"/>
        </w:rPr>
        <w:t>documento tipo</w:t>
      </w:r>
      <w:r w:rsidR="001D1A3A">
        <w:rPr>
          <w:rFonts w:ascii="Arial" w:hAnsi="Arial" w:cs="Arial"/>
          <w:color w:val="000000" w:themeColor="text1"/>
          <w:sz w:val="22"/>
        </w:rPr>
        <w:t xml:space="preserve"> </w:t>
      </w:r>
      <w:r w:rsidR="002F369D" w:rsidRPr="00EE750F">
        <w:rPr>
          <w:rFonts w:ascii="Arial" w:hAnsi="Arial" w:cs="Arial"/>
          <w:color w:val="000000" w:themeColor="text1"/>
          <w:sz w:val="22"/>
        </w:rPr>
        <w:t xml:space="preserve">exija el dictamen del estado de resultados señalado en el artículo 38 </w:t>
      </w:r>
      <w:r w:rsidR="006E5500" w:rsidRPr="002A6849">
        <w:rPr>
          <w:rFonts w:ascii="Arial" w:hAnsi="Arial" w:cs="Arial"/>
          <w:i/>
          <w:iCs/>
          <w:color w:val="000000" w:themeColor="text1"/>
          <w:sz w:val="22"/>
        </w:rPr>
        <w:t>ibidem</w:t>
      </w:r>
      <w:r w:rsidR="004B21D8">
        <w:rPr>
          <w:rFonts w:ascii="Arial" w:eastAsia="Times New Roman" w:hAnsi="Arial" w:cs="Arial"/>
          <w:bCs/>
          <w:color w:val="000000" w:themeColor="text1"/>
          <w:sz w:val="22"/>
          <w:lang w:eastAsia="es-ES_tradnl"/>
        </w:rPr>
        <w:t xml:space="preserve">. </w:t>
      </w:r>
    </w:p>
    <w:p w14:paraId="0A98C29F" w14:textId="291D1CDA" w:rsidR="008412E0" w:rsidRDefault="008412E0" w:rsidP="008412E0">
      <w:pPr>
        <w:tabs>
          <w:tab w:val="left" w:pos="6663"/>
        </w:tabs>
        <w:spacing w:before="120" w:line="276" w:lineRule="auto"/>
        <w:ind w:firstLine="708"/>
        <w:jc w:val="both"/>
        <w:rPr>
          <w:rFonts w:ascii="Arial" w:hAnsi="Arial" w:cs="Arial"/>
          <w:color w:val="000000" w:themeColor="text1"/>
          <w:sz w:val="22"/>
        </w:rPr>
      </w:pPr>
      <w:r w:rsidRPr="002A6849">
        <w:rPr>
          <w:rFonts w:ascii="Arial" w:hAnsi="Arial" w:cs="Arial"/>
          <w:color w:val="000000" w:themeColor="text1"/>
          <w:sz w:val="22"/>
        </w:rPr>
        <w:t xml:space="preserve">Esta forma de acreditación de la capacidad de organización es aplicable a todas las personas naturales o jurídicas que se encuentran inscritas en el RUP. Al respecto, la redacción del documento base dispone que </w:t>
      </w:r>
      <w:r w:rsidRPr="002A6849">
        <w:rPr>
          <w:rFonts w:ascii="Arial" w:eastAsia="Calibri" w:hAnsi="Arial" w:cs="Arial"/>
          <w:noProof/>
          <w:sz w:val="22"/>
          <w:lang w:val="es-ES_tradnl"/>
        </w:rPr>
        <w:t>«[…] para acreditar el factor (CO) el proponente obligado a tener RUP debe presentar los siguientes documentos</w:t>
      </w:r>
      <w:r w:rsidRPr="000267D4">
        <w:rPr>
          <w:rFonts w:ascii="Arial" w:eastAsia="Calibri" w:hAnsi="Arial" w:cs="Arial"/>
          <w:noProof/>
          <w:sz w:val="22"/>
          <w:lang w:val="es-ES_tradnl"/>
        </w:rPr>
        <w:t xml:space="preserve"> </w:t>
      </w:r>
      <w:r w:rsidRPr="002A6849">
        <w:rPr>
          <w:rFonts w:ascii="Arial" w:eastAsia="Calibri" w:hAnsi="Arial" w:cs="Arial"/>
          <w:noProof/>
          <w:sz w:val="22"/>
          <w:lang w:val="es-ES_tradnl"/>
        </w:rPr>
        <w:t xml:space="preserve">[…]». Por esta razón, </w:t>
      </w:r>
      <w:r w:rsidR="00130811">
        <w:rPr>
          <w:rFonts w:ascii="Arial" w:eastAsia="Calibri" w:hAnsi="Arial" w:cs="Arial"/>
          <w:noProof/>
          <w:sz w:val="22"/>
          <w:lang w:val="es-ES_tradnl"/>
        </w:rPr>
        <w:t>lo dispuesto en el pliego</w:t>
      </w:r>
      <w:r w:rsidRPr="002A6849">
        <w:rPr>
          <w:rFonts w:ascii="Arial" w:eastAsia="Calibri" w:hAnsi="Arial" w:cs="Arial"/>
          <w:noProof/>
          <w:sz w:val="22"/>
          <w:lang w:val="es-ES_tradnl"/>
        </w:rPr>
        <w:t xml:space="preserve"> es exigible a todos los proponentes inscritos en el RUP, sin distinguir la naturaleza de la actividad desarrolla</w:t>
      </w:r>
      <w:r w:rsidR="00130811">
        <w:rPr>
          <w:rFonts w:ascii="Arial" w:eastAsia="Calibri" w:hAnsi="Arial" w:cs="Arial"/>
          <w:noProof/>
          <w:sz w:val="22"/>
          <w:lang w:val="es-ES_tradnl"/>
        </w:rPr>
        <w:t>da</w:t>
      </w:r>
      <w:r w:rsidRPr="002A6849">
        <w:rPr>
          <w:rFonts w:ascii="Arial" w:eastAsia="Calibri" w:hAnsi="Arial" w:cs="Arial"/>
          <w:noProof/>
          <w:sz w:val="22"/>
          <w:lang w:val="es-ES_tradnl"/>
        </w:rPr>
        <w:t>.</w:t>
      </w:r>
      <w:r>
        <w:rPr>
          <w:rFonts w:ascii="Arial" w:eastAsia="Calibri" w:hAnsi="Arial" w:cs="Arial"/>
          <w:noProof/>
          <w:sz w:val="22"/>
          <w:lang w:val="es-ES_tradnl"/>
        </w:rPr>
        <w:t xml:space="preserve"> En este sentido el documento base es congruente</w:t>
      </w:r>
      <w:r w:rsidR="006D2CF5">
        <w:rPr>
          <w:rFonts w:ascii="Arial" w:eastAsia="Calibri" w:hAnsi="Arial" w:cs="Arial"/>
          <w:noProof/>
          <w:sz w:val="22"/>
          <w:lang w:val="es-ES_tradnl"/>
        </w:rPr>
        <w:t xml:space="preserve"> con</w:t>
      </w:r>
      <w:r>
        <w:rPr>
          <w:rFonts w:ascii="Arial" w:eastAsia="Calibri" w:hAnsi="Arial" w:cs="Arial"/>
          <w:noProof/>
          <w:sz w:val="22"/>
          <w:lang w:val="es-ES_tradnl"/>
        </w:rPr>
        <w:t xml:space="preserve"> </w:t>
      </w:r>
      <w:r w:rsidR="000267D4">
        <w:rPr>
          <w:rFonts w:ascii="Arial" w:eastAsia="Calibri" w:hAnsi="Arial" w:cs="Arial"/>
          <w:noProof/>
          <w:sz w:val="22"/>
          <w:lang w:val="es-ES_tradnl"/>
        </w:rPr>
        <w:t xml:space="preserve">el numeral 3 del artículo </w:t>
      </w:r>
      <w:r w:rsidR="000267D4" w:rsidRPr="000267D4">
        <w:rPr>
          <w:rFonts w:ascii="Arial" w:eastAsia="Calibri" w:hAnsi="Arial" w:cs="Arial"/>
          <w:noProof/>
          <w:sz w:val="22"/>
          <w:lang w:val="es-ES_tradnl"/>
        </w:rPr>
        <w:t>2.2.1.1.1.6.4</w:t>
      </w:r>
      <w:r w:rsidR="000267D4">
        <w:rPr>
          <w:rFonts w:ascii="Arial" w:eastAsia="Calibri" w:hAnsi="Arial" w:cs="Arial"/>
          <w:noProof/>
          <w:sz w:val="22"/>
          <w:lang w:val="es-ES_tradnl"/>
        </w:rPr>
        <w:t xml:space="preserve"> del Decreto 1082 de 2015</w:t>
      </w:r>
      <w:r w:rsidR="00130811">
        <w:rPr>
          <w:rFonts w:ascii="Arial" w:eastAsia="Calibri" w:hAnsi="Arial" w:cs="Arial"/>
          <w:noProof/>
          <w:sz w:val="22"/>
          <w:lang w:val="es-ES_tradnl"/>
        </w:rPr>
        <w:t>, el cual prescribe que, trat</w:t>
      </w:r>
      <w:r w:rsidR="006D2CF5">
        <w:rPr>
          <w:rFonts w:ascii="Arial" w:eastAsia="Calibri" w:hAnsi="Arial" w:cs="Arial"/>
          <w:noProof/>
          <w:sz w:val="22"/>
          <w:lang w:val="es-ES_tradnl"/>
        </w:rPr>
        <w:t>á</w:t>
      </w:r>
      <w:r w:rsidR="00130811">
        <w:rPr>
          <w:rFonts w:ascii="Arial" w:eastAsia="Calibri" w:hAnsi="Arial" w:cs="Arial"/>
          <w:noProof/>
          <w:sz w:val="22"/>
          <w:lang w:val="es-ES_tradnl"/>
        </w:rPr>
        <w:t>ndose</w:t>
      </w:r>
      <w:r w:rsidR="00130811" w:rsidRPr="00130811">
        <w:rPr>
          <w:rFonts w:ascii="Arial" w:eastAsia="Calibri" w:hAnsi="Arial" w:cs="Arial"/>
          <w:noProof/>
          <w:sz w:val="22"/>
          <w:lang w:val="es-ES_tradnl"/>
        </w:rPr>
        <w:t xml:space="preserve"> de proponentes obligados a tener RUP, las entidades estatales deben solicitar como documento adicional el estado de resultados del año en que el proponente obtuvo el mayor ingreso operacional en los últimos cinco (5) años</w:t>
      </w:r>
      <w:r w:rsidR="00130811">
        <w:rPr>
          <w:rFonts w:ascii="Arial" w:eastAsia="Calibri" w:hAnsi="Arial" w:cs="Arial"/>
          <w:noProof/>
          <w:sz w:val="22"/>
          <w:lang w:val="es-ES_tradnl"/>
        </w:rPr>
        <w:t>.</w:t>
      </w:r>
      <w:r w:rsidR="000267D4">
        <w:rPr>
          <w:rFonts w:ascii="Arial" w:eastAsia="Calibri" w:hAnsi="Arial" w:cs="Arial"/>
          <w:noProof/>
          <w:sz w:val="22"/>
          <w:lang w:val="es-ES_tradnl"/>
        </w:rPr>
        <w:t xml:space="preserve">  </w:t>
      </w:r>
      <w:r>
        <w:rPr>
          <w:rFonts w:ascii="Arial" w:eastAsia="Calibri" w:hAnsi="Arial" w:cs="Arial"/>
          <w:noProof/>
          <w:sz w:val="22"/>
          <w:lang w:val="es-ES_tradnl"/>
        </w:rPr>
        <w:t xml:space="preserve"> </w:t>
      </w:r>
    </w:p>
    <w:p w14:paraId="0D77A1EE" w14:textId="77777777" w:rsidR="00526519" w:rsidRPr="000D5703" w:rsidRDefault="00526519" w:rsidP="002A6849">
      <w:pPr>
        <w:spacing w:line="276" w:lineRule="auto"/>
        <w:ind w:firstLine="708"/>
        <w:jc w:val="both"/>
        <w:rPr>
          <w:rFonts w:ascii="Arial" w:eastAsia="Calibri" w:hAnsi="Arial" w:cs="Arial"/>
          <w:noProof/>
          <w:sz w:val="22"/>
          <w:lang w:val="es-CO"/>
        </w:rPr>
      </w:pPr>
    </w:p>
    <w:p w14:paraId="0C3C651A" w14:textId="77777777" w:rsidR="003E0889" w:rsidRPr="009C7D09" w:rsidRDefault="003E0889" w:rsidP="003E0889">
      <w:pPr>
        <w:pStyle w:val="Prrafodelista"/>
        <w:numPr>
          <w:ilvl w:val="0"/>
          <w:numId w:val="1"/>
        </w:numPr>
        <w:tabs>
          <w:tab w:val="left" w:pos="284"/>
        </w:tabs>
        <w:spacing w:line="276" w:lineRule="auto"/>
        <w:ind w:left="0" w:right="709" w:firstLine="0"/>
        <w:jc w:val="both"/>
        <w:rPr>
          <w:rFonts w:ascii="Arial" w:hAnsi="Arial" w:cs="Arial"/>
          <w:sz w:val="22"/>
          <w:lang w:val="es-ES_tradnl"/>
        </w:rPr>
      </w:pPr>
      <w:r w:rsidRPr="009C7D09">
        <w:rPr>
          <w:rFonts w:ascii="Arial" w:hAnsi="Arial" w:cs="Arial"/>
          <w:b/>
          <w:bCs/>
          <w:sz w:val="22"/>
          <w:lang w:val="es-ES_tradnl"/>
        </w:rPr>
        <w:t xml:space="preserve">Respuesta </w:t>
      </w:r>
    </w:p>
    <w:p w14:paraId="526CCE32" w14:textId="77777777" w:rsidR="004F3D32" w:rsidRPr="00A70F57" w:rsidRDefault="004F3D32" w:rsidP="00F17AD4">
      <w:pPr>
        <w:jc w:val="both"/>
        <w:rPr>
          <w:rFonts w:ascii="Arial" w:hAnsi="Arial" w:cs="Arial"/>
          <w:color w:val="000000" w:themeColor="text1"/>
          <w:sz w:val="22"/>
        </w:rPr>
      </w:pPr>
    </w:p>
    <w:p w14:paraId="67B8291A" w14:textId="469EA6B7" w:rsidR="00B04B43" w:rsidRDefault="00B04B43" w:rsidP="00E24F0B">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sidRPr="002A6849">
        <w:rPr>
          <w:rFonts w:ascii="Arial" w:eastAsia="Calibri" w:hAnsi="Arial" w:cs="Arial"/>
          <w:sz w:val="21"/>
          <w:szCs w:val="21"/>
          <w:lang w:val="es-ES"/>
        </w:rPr>
        <w:t>Respecto a la presentación de los estados financieros para acreditar la capacidad organizacional relacionada con la capacidad residual en los documentos tipo para licitación de obra pública– Versión 3 y de selección abreviada de menor cuantía – versión 2, usted solicita:</w:t>
      </w:r>
      <w:r w:rsidRPr="00B04B43">
        <w:rPr>
          <w:rFonts w:ascii="Arial" w:eastAsia="Calibri" w:hAnsi="Arial" w:cs="Arial"/>
          <w:sz w:val="21"/>
          <w:szCs w:val="21"/>
          <w:lang w:val="es-ES"/>
        </w:rPr>
        <w:t xml:space="preserve"> </w:t>
      </w:r>
      <w:r>
        <w:rPr>
          <w:rFonts w:ascii="Arial" w:eastAsia="Calibri" w:hAnsi="Arial" w:cs="Arial"/>
          <w:sz w:val="21"/>
          <w:szCs w:val="21"/>
          <w:lang w:val="es-ES"/>
        </w:rPr>
        <w:t>«[…] aclarar si de acuerdo con lo preceptuado en el artículo 37 de la Ley 222 de 1995, los proponentes aparte de presentar el estado de resultados integral del año en que haya obtenido el mayor ingreso operacional en los últimos cinco (5) años, deben adjuntar la certificación de que trata el artículo 37?</w:t>
      </w:r>
    </w:p>
    <w:p w14:paraId="1F0DAEA0" w14:textId="60FFEA5D" w:rsidR="00B04B43" w:rsidRDefault="00B04B43" w:rsidP="00B04B43">
      <w:pPr>
        <w:pStyle w:val="NormalWeb"/>
        <w:shd w:val="clear" w:color="auto" w:fill="FFFFFF"/>
        <w:spacing w:before="0" w:beforeAutospacing="0" w:after="0" w:afterAutospacing="0"/>
        <w:ind w:left="709" w:right="709"/>
        <w:jc w:val="both"/>
        <w:rPr>
          <w:rFonts w:ascii="Arial" w:eastAsia="Calibri" w:hAnsi="Arial" w:cs="Arial"/>
          <w:sz w:val="21"/>
          <w:szCs w:val="21"/>
          <w:lang w:val="es-ES"/>
        </w:rPr>
      </w:pPr>
      <w:proofErr w:type="gramStart"/>
      <w:r>
        <w:rPr>
          <w:rFonts w:ascii="Arial" w:eastAsia="Calibri" w:hAnsi="Arial" w:cs="Arial"/>
          <w:sz w:val="21"/>
          <w:szCs w:val="21"/>
          <w:lang w:val="es-ES"/>
        </w:rPr>
        <w:t>En el mismo sentido, las personas naturales en el ejercicio de su profesión liberal (ingenieros, arquitectos, etc.) que participan en los procesos de selección deben aportar estados de resultados certificados?</w:t>
      </w:r>
      <w:proofErr w:type="gramEnd"/>
    </w:p>
    <w:p w14:paraId="4CA9E871" w14:textId="77777777" w:rsidR="00D37F03" w:rsidRDefault="00D37F03" w:rsidP="00D37F03">
      <w:pPr>
        <w:spacing w:line="276" w:lineRule="auto"/>
        <w:jc w:val="both"/>
        <w:rPr>
          <w:rFonts w:ascii="Arial" w:eastAsia="Times New Roman" w:hAnsi="Arial" w:cs="Arial"/>
          <w:bCs/>
          <w:color w:val="000000" w:themeColor="text1"/>
          <w:sz w:val="22"/>
          <w:lang w:eastAsia="es-ES_tradnl"/>
        </w:rPr>
      </w:pPr>
    </w:p>
    <w:p w14:paraId="768258B6" w14:textId="53B2839B" w:rsidR="002142CC" w:rsidRPr="00B13D2B" w:rsidRDefault="00C658A1" w:rsidP="002A6849">
      <w:pPr>
        <w:tabs>
          <w:tab w:val="left" w:pos="6663"/>
        </w:tabs>
        <w:spacing w:line="276" w:lineRule="auto"/>
        <w:jc w:val="both"/>
        <w:rPr>
          <w:rFonts w:ascii="Arial" w:hAnsi="Arial" w:cs="Arial"/>
          <w:color w:val="000000" w:themeColor="text1"/>
          <w:sz w:val="22"/>
        </w:rPr>
      </w:pPr>
      <w:r>
        <w:rPr>
          <w:rStyle w:val="normaltextrun"/>
          <w:rFonts w:ascii="Arial" w:hAnsi="Arial" w:cs="Arial"/>
          <w:color w:val="000000"/>
          <w:sz w:val="22"/>
          <w:shd w:val="clear" w:color="auto" w:fill="FFFFFF"/>
        </w:rPr>
        <w:t xml:space="preserve">De acuerdo con lo establecido en los documentos tipo para licitación de obra pública de infraestructura de transporte – Versión 3 y selección abreviada de menor cuantía – Versión 2 en el numeral 3.10.2, literal A, del documento base, para la acreditación del estado de resultados de los proponentes que cuentan con RUP solo se requiere aportar el estado de </w:t>
      </w:r>
      <w:r>
        <w:rPr>
          <w:rStyle w:val="normaltextrun"/>
          <w:rFonts w:ascii="Arial" w:hAnsi="Arial" w:cs="Arial"/>
          <w:color w:val="000000"/>
          <w:sz w:val="22"/>
          <w:shd w:val="clear" w:color="auto" w:fill="FFFFFF"/>
        </w:rPr>
        <w:lastRenderedPageBreak/>
        <w:t>resultados del año en que el proponente obtuvo mayor ingreso operacional en los últimos cinco (5) años, debidamente firmado por el representante legal, contador y revisor fiscal y/o contador independiente –externo–, si están obligados a tenerlos, y la copia de la tarjeta profesional y certificado de antecedentes disciplinarios vigentes de los contadores públicos, revisores fiscales, contadores independientes –externos–, quienes suscribieron dichos documentos de conformidad con el artículo 37 de la Ley 222 de 1995</w:t>
      </w:r>
      <w:r w:rsidR="009438A8">
        <w:rPr>
          <w:rStyle w:val="normaltextrun"/>
          <w:rFonts w:ascii="Arial" w:hAnsi="Arial" w:cs="Arial"/>
          <w:color w:val="000000"/>
          <w:sz w:val="22"/>
          <w:shd w:val="clear" w:color="auto" w:fill="FFFFFF"/>
        </w:rPr>
        <w:t>. Lo anterior</w:t>
      </w:r>
      <w:r>
        <w:rPr>
          <w:rStyle w:val="normaltextrun"/>
          <w:rFonts w:ascii="Arial" w:hAnsi="Arial" w:cs="Arial"/>
          <w:color w:val="000000"/>
          <w:sz w:val="22"/>
          <w:shd w:val="clear" w:color="auto" w:fill="FFFFFF"/>
        </w:rPr>
        <w:t xml:space="preserve"> sin que el </w:t>
      </w:r>
      <w:r w:rsidR="009438A8">
        <w:rPr>
          <w:rStyle w:val="normaltextrun"/>
          <w:rFonts w:ascii="Arial" w:hAnsi="Arial" w:cs="Arial"/>
          <w:color w:val="000000"/>
          <w:sz w:val="22"/>
          <w:shd w:val="clear" w:color="auto" w:fill="FFFFFF"/>
        </w:rPr>
        <w:t>documento tipo</w:t>
      </w:r>
      <w:r w:rsidR="001D1A3A">
        <w:rPr>
          <w:rStyle w:val="normaltextrun"/>
          <w:rFonts w:ascii="Arial" w:hAnsi="Arial" w:cs="Arial"/>
          <w:color w:val="000000"/>
          <w:sz w:val="22"/>
          <w:shd w:val="clear" w:color="auto" w:fill="FFFFFF"/>
        </w:rPr>
        <w:t xml:space="preserve"> </w:t>
      </w:r>
      <w:r>
        <w:rPr>
          <w:rStyle w:val="normaltextrun"/>
          <w:rFonts w:ascii="Arial" w:hAnsi="Arial" w:cs="Arial"/>
          <w:color w:val="000000"/>
          <w:sz w:val="22"/>
          <w:shd w:val="clear" w:color="auto" w:fill="FFFFFF"/>
        </w:rPr>
        <w:t xml:space="preserve">exija el dictamen del estado de resultados señalado en el artículo 38 </w:t>
      </w:r>
      <w:r w:rsidR="0042253F" w:rsidRPr="002A6849">
        <w:rPr>
          <w:rStyle w:val="normaltextrun"/>
          <w:rFonts w:ascii="Arial" w:hAnsi="Arial" w:cs="Arial"/>
          <w:i/>
          <w:iCs/>
          <w:color w:val="000000"/>
          <w:sz w:val="22"/>
          <w:shd w:val="clear" w:color="auto" w:fill="FFFFFF"/>
        </w:rPr>
        <w:t>ibidem</w:t>
      </w:r>
      <w:r w:rsidR="002142CC" w:rsidRPr="00B13D2B">
        <w:rPr>
          <w:rFonts w:ascii="Arial" w:hAnsi="Arial" w:cs="Arial"/>
          <w:color w:val="000000" w:themeColor="text1"/>
          <w:sz w:val="22"/>
        </w:rPr>
        <w:t xml:space="preserve">. </w:t>
      </w:r>
    </w:p>
    <w:p w14:paraId="4FDA21B6" w14:textId="026FBF3C" w:rsidR="00130811" w:rsidRDefault="00130811" w:rsidP="00130811">
      <w:pPr>
        <w:tabs>
          <w:tab w:val="left" w:pos="6663"/>
        </w:tabs>
        <w:spacing w:before="120" w:line="276" w:lineRule="auto"/>
        <w:ind w:firstLine="708"/>
        <w:jc w:val="both"/>
        <w:rPr>
          <w:rFonts w:ascii="Arial" w:hAnsi="Arial" w:cs="Arial"/>
          <w:color w:val="000000" w:themeColor="text1"/>
          <w:sz w:val="22"/>
        </w:rPr>
      </w:pPr>
      <w:r w:rsidRPr="00C060BC">
        <w:rPr>
          <w:rFonts w:ascii="Arial" w:hAnsi="Arial" w:cs="Arial"/>
          <w:color w:val="000000" w:themeColor="text1"/>
          <w:sz w:val="22"/>
        </w:rPr>
        <w:t xml:space="preserve">Esta forma de acreditación de la capacidad de organización es aplicable a todas las personas naturales o jurídicas que se encuentran inscritas en el RUP. Al respecto, la redacción del documento base dispone que </w:t>
      </w:r>
      <w:r w:rsidRPr="00C060BC">
        <w:rPr>
          <w:rFonts w:ascii="Arial" w:eastAsia="Calibri" w:hAnsi="Arial" w:cs="Arial"/>
          <w:noProof/>
          <w:sz w:val="22"/>
          <w:lang w:val="es-ES_tradnl"/>
        </w:rPr>
        <w:t>«[…] para acreditar el factor (CO) el proponente obligado a tener RUP debe presentar los siguientes documentos</w:t>
      </w:r>
      <w:r w:rsidRPr="000267D4">
        <w:rPr>
          <w:rFonts w:ascii="Arial" w:eastAsia="Calibri" w:hAnsi="Arial" w:cs="Arial"/>
          <w:noProof/>
          <w:sz w:val="22"/>
          <w:lang w:val="es-ES_tradnl"/>
        </w:rPr>
        <w:t xml:space="preserve"> </w:t>
      </w:r>
      <w:r w:rsidRPr="00C060BC">
        <w:rPr>
          <w:rFonts w:ascii="Arial" w:eastAsia="Calibri" w:hAnsi="Arial" w:cs="Arial"/>
          <w:noProof/>
          <w:sz w:val="22"/>
          <w:lang w:val="es-ES_tradnl"/>
        </w:rPr>
        <w:t xml:space="preserve">[…]». Por esta razón, </w:t>
      </w:r>
      <w:r>
        <w:rPr>
          <w:rFonts w:ascii="Arial" w:eastAsia="Calibri" w:hAnsi="Arial" w:cs="Arial"/>
          <w:noProof/>
          <w:sz w:val="22"/>
          <w:lang w:val="es-ES_tradnl"/>
        </w:rPr>
        <w:t>lo dispuesto en el pliego</w:t>
      </w:r>
      <w:r w:rsidRPr="00C060BC">
        <w:rPr>
          <w:rFonts w:ascii="Arial" w:eastAsia="Calibri" w:hAnsi="Arial" w:cs="Arial"/>
          <w:noProof/>
          <w:sz w:val="22"/>
          <w:lang w:val="es-ES_tradnl"/>
        </w:rPr>
        <w:t xml:space="preserve"> es exigible a todos los proponentes inscritos en el RUP, sin distinguir la naturaleza de la actividad desarrolla</w:t>
      </w:r>
      <w:r>
        <w:rPr>
          <w:rFonts w:ascii="Arial" w:eastAsia="Calibri" w:hAnsi="Arial" w:cs="Arial"/>
          <w:noProof/>
          <w:sz w:val="22"/>
          <w:lang w:val="es-ES_tradnl"/>
        </w:rPr>
        <w:t>da</w:t>
      </w:r>
      <w:r w:rsidRPr="00C060BC">
        <w:rPr>
          <w:rFonts w:ascii="Arial" w:eastAsia="Calibri" w:hAnsi="Arial" w:cs="Arial"/>
          <w:noProof/>
          <w:sz w:val="22"/>
          <w:lang w:val="es-ES_tradnl"/>
        </w:rPr>
        <w:t>.</w:t>
      </w:r>
      <w:r>
        <w:rPr>
          <w:rFonts w:ascii="Arial" w:eastAsia="Calibri" w:hAnsi="Arial" w:cs="Arial"/>
          <w:noProof/>
          <w:sz w:val="22"/>
          <w:lang w:val="es-ES_tradnl"/>
        </w:rPr>
        <w:t xml:space="preserve"> En este sentido</w:t>
      </w:r>
      <w:r w:rsidR="005C0FE6">
        <w:rPr>
          <w:rFonts w:ascii="Arial" w:eastAsia="Calibri" w:hAnsi="Arial" w:cs="Arial"/>
          <w:noProof/>
          <w:sz w:val="22"/>
          <w:lang w:val="es-ES_tradnl"/>
        </w:rPr>
        <w:t>,</w:t>
      </w:r>
      <w:r>
        <w:rPr>
          <w:rFonts w:ascii="Arial" w:eastAsia="Calibri" w:hAnsi="Arial" w:cs="Arial"/>
          <w:noProof/>
          <w:sz w:val="22"/>
          <w:lang w:val="es-ES_tradnl"/>
        </w:rPr>
        <w:t xml:space="preserve"> el documento base es congruente </w:t>
      </w:r>
      <w:r w:rsidR="005C0FE6">
        <w:rPr>
          <w:rFonts w:ascii="Arial" w:eastAsia="Calibri" w:hAnsi="Arial" w:cs="Arial"/>
          <w:noProof/>
          <w:sz w:val="22"/>
          <w:lang w:val="es-ES_tradnl"/>
        </w:rPr>
        <w:t xml:space="preserve">con </w:t>
      </w:r>
      <w:r>
        <w:rPr>
          <w:rFonts w:ascii="Arial" w:eastAsia="Calibri" w:hAnsi="Arial" w:cs="Arial"/>
          <w:noProof/>
          <w:sz w:val="22"/>
          <w:lang w:val="es-ES_tradnl"/>
        </w:rPr>
        <w:t xml:space="preserve">el numeral 3 del artículo </w:t>
      </w:r>
      <w:r w:rsidRPr="000267D4">
        <w:rPr>
          <w:rFonts w:ascii="Arial" w:eastAsia="Calibri" w:hAnsi="Arial" w:cs="Arial"/>
          <w:noProof/>
          <w:sz w:val="22"/>
          <w:lang w:val="es-ES_tradnl"/>
        </w:rPr>
        <w:t>2.2.1.1.1.6.4</w:t>
      </w:r>
      <w:r>
        <w:rPr>
          <w:rFonts w:ascii="Arial" w:eastAsia="Calibri" w:hAnsi="Arial" w:cs="Arial"/>
          <w:noProof/>
          <w:sz w:val="22"/>
          <w:lang w:val="es-ES_tradnl"/>
        </w:rPr>
        <w:t xml:space="preserve"> del Decreto 1082 de 2015, el cual prescribe que, trat</w:t>
      </w:r>
      <w:r w:rsidR="005C0FE6">
        <w:rPr>
          <w:rFonts w:ascii="Arial" w:eastAsia="Calibri" w:hAnsi="Arial" w:cs="Arial"/>
          <w:noProof/>
          <w:sz w:val="22"/>
          <w:lang w:val="es-ES_tradnl"/>
        </w:rPr>
        <w:t>á</w:t>
      </w:r>
      <w:r>
        <w:rPr>
          <w:rFonts w:ascii="Arial" w:eastAsia="Calibri" w:hAnsi="Arial" w:cs="Arial"/>
          <w:noProof/>
          <w:sz w:val="22"/>
          <w:lang w:val="es-ES_tradnl"/>
        </w:rPr>
        <w:t>ndose</w:t>
      </w:r>
      <w:r w:rsidRPr="00130811">
        <w:rPr>
          <w:rFonts w:ascii="Arial" w:eastAsia="Calibri" w:hAnsi="Arial" w:cs="Arial"/>
          <w:noProof/>
          <w:sz w:val="22"/>
          <w:lang w:val="es-ES_tradnl"/>
        </w:rPr>
        <w:t xml:space="preserve"> de proponentes obligados a tener RUP, las entidades estatales deben solicitar como documento adicional el estado de resultados del año en que el proponente obtuvo el mayor ingreso operacional en los últimos cinco (5) años</w:t>
      </w:r>
      <w:r>
        <w:rPr>
          <w:rFonts w:ascii="Arial" w:eastAsia="Calibri" w:hAnsi="Arial" w:cs="Arial"/>
          <w:noProof/>
          <w:sz w:val="22"/>
          <w:lang w:val="es-ES_tradnl"/>
        </w:rPr>
        <w:t xml:space="preserve">.   </w:t>
      </w:r>
    </w:p>
    <w:p w14:paraId="15884D34" w14:textId="77777777" w:rsidR="00912EA2" w:rsidRPr="00A70F57" w:rsidRDefault="00912EA2" w:rsidP="002A6849">
      <w:pPr>
        <w:widowControl w:val="0"/>
        <w:spacing w:after="120"/>
        <w:jc w:val="both"/>
        <w:rPr>
          <w:rFonts w:ascii="Arial" w:hAnsi="Arial" w:cs="Arial"/>
          <w:bCs/>
          <w:sz w:val="22"/>
        </w:rPr>
      </w:pPr>
    </w:p>
    <w:p w14:paraId="66CE4DD8" w14:textId="04838E82" w:rsidR="00BE1E33" w:rsidRPr="00A70F57" w:rsidRDefault="00BE1E33" w:rsidP="00E30DF1">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A70F57">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ED1F11" w:rsidRDefault="00BE1E33" w:rsidP="00BE1E33">
      <w:pPr>
        <w:ind w:firstLine="709"/>
        <w:jc w:val="both"/>
        <w:rPr>
          <w:rFonts w:ascii="Arial" w:eastAsia="Calibri" w:hAnsi="Arial" w:cs="Arial"/>
          <w:sz w:val="22"/>
          <w:lang w:val="es-ES_tradnl"/>
        </w:rPr>
      </w:pPr>
    </w:p>
    <w:p w14:paraId="2B02915D" w14:textId="77777777" w:rsidR="00BE1E33" w:rsidRPr="00ED1F11" w:rsidRDefault="00BE1E33" w:rsidP="00BE1E33">
      <w:pPr>
        <w:jc w:val="both"/>
        <w:rPr>
          <w:rFonts w:ascii="Arial" w:eastAsia="Times New Roman" w:hAnsi="Arial" w:cs="Arial"/>
          <w:sz w:val="22"/>
          <w:lang w:val="es-ES_tradnl" w:eastAsia="es-CO"/>
        </w:rPr>
      </w:pPr>
      <w:r w:rsidRPr="00ED1F11">
        <w:rPr>
          <w:rFonts w:ascii="Arial" w:eastAsia="Times New Roman" w:hAnsi="Arial" w:cs="Arial"/>
          <w:sz w:val="22"/>
          <w:lang w:val="es-ES_tradnl" w:eastAsia="es-CO"/>
        </w:rPr>
        <w:t>Atentamente,</w:t>
      </w:r>
    </w:p>
    <w:bookmarkEnd w:id="0"/>
    <w:bookmarkEnd w:id="1"/>
    <w:p w14:paraId="1C8F6984" w14:textId="53100FDA" w:rsidR="00BE1E33" w:rsidRPr="00ED1F11" w:rsidRDefault="00BE1E33" w:rsidP="00BE1E33">
      <w:pPr>
        <w:jc w:val="center"/>
        <w:rPr>
          <w:rFonts w:ascii="Arial" w:eastAsia="Times New Roman" w:hAnsi="Arial" w:cs="Arial"/>
          <w:sz w:val="18"/>
          <w:szCs w:val="20"/>
          <w:lang w:val="es-ES_tradnl" w:eastAsia="es-CO"/>
        </w:rPr>
      </w:pPr>
    </w:p>
    <w:p w14:paraId="5598544B" w14:textId="1B891A30" w:rsidR="006D31E1" w:rsidRPr="00ED1F11" w:rsidRDefault="00FB3A3B" w:rsidP="00BE1E33">
      <w:pPr>
        <w:jc w:val="center"/>
        <w:rPr>
          <w:rFonts w:ascii="Arial" w:eastAsia="Times New Roman" w:hAnsi="Arial" w:cs="Arial"/>
          <w:sz w:val="18"/>
          <w:szCs w:val="20"/>
          <w:lang w:val="es-ES_tradnl" w:eastAsia="es-CO"/>
        </w:rPr>
      </w:pPr>
      <w:r>
        <w:rPr>
          <w:rFonts w:ascii="Arial" w:hAnsi="Arial" w:cs="Arial"/>
          <w:noProof/>
          <w:lang w:val="es-CO" w:eastAsia="es-CO"/>
        </w:rPr>
        <w:drawing>
          <wp:inline distT="0" distB="0" distL="0" distR="0" wp14:anchorId="75BE5BB5" wp14:editId="22D11868">
            <wp:extent cx="2514600" cy="1114425"/>
            <wp:effectExtent l="0" t="0" r="0" b="952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346F88" w:rsidRPr="00ED1F11">
        <w:rPr>
          <w:rFonts w:ascii="Arial" w:hAnsi="Arial" w:cs="Arial"/>
          <w:sz w:val="18"/>
          <w:szCs w:val="18"/>
          <w:shd w:val="clear" w:color="auto" w:fill="FFFFFF"/>
          <w:lang w:val="es-ES_tradnl"/>
        </w:rPr>
        <w:br/>
      </w:r>
    </w:p>
    <w:p w14:paraId="724B0300" w14:textId="77777777" w:rsidR="00730CDB" w:rsidRPr="00ED1F11" w:rsidRDefault="00730CDB" w:rsidP="00BE1E33">
      <w:pPr>
        <w:jc w:val="center"/>
        <w:rPr>
          <w:rFonts w:ascii="Arial" w:eastAsia="Times New Roman"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D1F11" w:rsidRPr="00ED1F11" w14:paraId="7E5CB93D" w14:textId="77777777" w:rsidTr="0043588C">
        <w:trPr>
          <w:trHeight w:val="315"/>
        </w:trPr>
        <w:tc>
          <w:tcPr>
            <w:tcW w:w="812" w:type="dxa"/>
            <w:vAlign w:val="center"/>
            <w:hideMark/>
          </w:tcPr>
          <w:p w14:paraId="44CFA06E"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2DE7FCE" w14:textId="77777777" w:rsidR="00982FBA" w:rsidRDefault="00982FBA" w:rsidP="00982FBA">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Nina María Padrón Ballestas </w:t>
            </w:r>
          </w:p>
          <w:p w14:paraId="6C4A6DA1" w14:textId="5897BB3C" w:rsidR="00982E99" w:rsidRPr="00ED1F11" w:rsidRDefault="00982E99"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Contratista de la Subdirección de Gestión Contractual</w:t>
            </w:r>
          </w:p>
        </w:tc>
      </w:tr>
      <w:tr w:rsidR="00ED1F11" w:rsidRPr="00ED1F11" w14:paraId="092BCD16" w14:textId="77777777" w:rsidTr="0043588C">
        <w:trPr>
          <w:trHeight w:val="330"/>
        </w:trPr>
        <w:tc>
          <w:tcPr>
            <w:tcW w:w="812" w:type="dxa"/>
            <w:vAlign w:val="center"/>
            <w:hideMark/>
          </w:tcPr>
          <w:p w14:paraId="463B4DD3"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2611F30" w14:textId="749BA72F" w:rsidR="00982FBA" w:rsidRDefault="00982FBA" w:rsidP="008F0019">
            <w:pPr>
              <w:rPr>
                <w:rFonts w:ascii="Arial" w:hAnsi="Arial" w:cs="Arial"/>
                <w:sz w:val="16"/>
                <w:szCs w:val="16"/>
                <w:lang w:val="es-ES_tradnl" w:eastAsia="es-ES"/>
              </w:rPr>
            </w:pPr>
            <w:r w:rsidRPr="00982FBA">
              <w:rPr>
                <w:rFonts w:ascii="Arial" w:eastAsia="Times New Roman" w:hAnsi="Arial" w:cs="Arial"/>
                <w:color w:val="000000" w:themeColor="text1"/>
                <w:sz w:val="16"/>
                <w:szCs w:val="16"/>
                <w:lang w:val="es-ES_tradnl" w:eastAsia="es-ES"/>
              </w:rPr>
              <w:t>Juan David Montoya Penagos</w:t>
            </w:r>
          </w:p>
          <w:p w14:paraId="72718C99" w14:textId="5741CCF8" w:rsidR="00BE1E33" w:rsidRPr="00ED1F11" w:rsidRDefault="008F0019" w:rsidP="008F0019">
            <w:pPr>
              <w:rPr>
                <w:rFonts w:ascii="Arial" w:eastAsia="Times New Roman" w:hAnsi="Arial" w:cs="Arial"/>
                <w:sz w:val="16"/>
                <w:szCs w:val="16"/>
                <w:lang w:val="es-ES_tradnl" w:eastAsia="es-ES"/>
              </w:rPr>
            </w:pPr>
            <w:r w:rsidRPr="009868CC">
              <w:rPr>
                <w:rFonts w:ascii="Arial" w:hAnsi="Arial" w:cs="Arial"/>
                <w:sz w:val="16"/>
                <w:szCs w:val="16"/>
                <w:lang w:val="es-ES_tradnl" w:eastAsia="es-ES"/>
              </w:rPr>
              <w:t>Gestor T1-15 de la Subdirección de Gestión Contractual</w:t>
            </w:r>
          </w:p>
        </w:tc>
      </w:tr>
      <w:tr w:rsidR="00982E99" w:rsidRPr="00ED1F11" w14:paraId="57DAFEF9" w14:textId="77777777" w:rsidTr="0043588C">
        <w:trPr>
          <w:trHeight w:val="300"/>
        </w:trPr>
        <w:tc>
          <w:tcPr>
            <w:tcW w:w="812" w:type="dxa"/>
            <w:vAlign w:val="center"/>
            <w:hideMark/>
          </w:tcPr>
          <w:p w14:paraId="70677013" w14:textId="77777777" w:rsidR="00BE1E33" w:rsidRPr="00ED1F11" w:rsidRDefault="00BE1E33"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ED1F11" w:rsidRDefault="00346F88"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Jorge Augusto Tirado Navarro</w:t>
            </w:r>
          </w:p>
          <w:p w14:paraId="75BC677C" w14:textId="416175C8" w:rsidR="00BE1E33" w:rsidRPr="00ED1F11" w:rsidRDefault="00346F88" w:rsidP="0043588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Subdirector de Gestión Contractual</w:t>
            </w:r>
            <w:r w:rsidR="00C362B9">
              <w:rPr>
                <w:rFonts w:ascii="Arial" w:eastAsia="Times New Roman" w:hAnsi="Arial" w:cs="Arial"/>
                <w:sz w:val="16"/>
                <w:szCs w:val="16"/>
                <w:lang w:val="es-ES_tradnl" w:eastAsia="es-ES"/>
              </w:rPr>
              <w:t xml:space="preserve"> ANCP – CCE</w:t>
            </w:r>
          </w:p>
        </w:tc>
      </w:tr>
    </w:tbl>
    <w:p w14:paraId="085A31AB" w14:textId="77777777" w:rsidR="006C5955" w:rsidRPr="00ED1F11" w:rsidRDefault="006C5955" w:rsidP="0052334B">
      <w:pPr>
        <w:rPr>
          <w:lang w:val="es-ES_tradnl"/>
        </w:rPr>
      </w:pPr>
    </w:p>
    <w:sectPr w:rsidR="006C5955" w:rsidRPr="00ED1F11" w:rsidSect="0043588C">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88331" w14:textId="77777777" w:rsidR="000102B6" w:rsidRDefault="000102B6" w:rsidP="008C487C">
      <w:r>
        <w:separator/>
      </w:r>
    </w:p>
  </w:endnote>
  <w:endnote w:type="continuationSeparator" w:id="0">
    <w:p w14:paraId="3693F164" w14:textId="77777777" w:rsidR="000102B6" w:rsidRDefault="000102B6"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C11BCD" w:rsidRDefault="00C11BCD" w:rsidP="0043588C">
    <w:pPr>
      <w:pStyle w:val="Sinespaciado"/>
      <w:jc w:val="right"/>
      <w:rPr>
        <w:rFonts w:ascii="Arial" w:hAnsi="Arial" w:cs="Arial"/>
        <w:sz w:val="18"/>
        <w:szCs w:val="18"/>
      </w:rPr>
    </w:pPr>
  </w:p>
  <w:p w14:paraId="709352A1" w14:textId="77777777" w:rsidR="00C11BCD" w:rsidRDefault="00C11BCD" w:rsidP="0043588C">
    <w:pPr>
      <w:pStyle w:val="Sinespaciado"/>
      <w:jc w:val="right"/>
      <w:rPr>
        <w:rFonts w:ascii="Arial" w:hAnsi="Arial" w:cs="Arial"/>
        <w:sz w:val="18"/>
        <w:szCs w:val="18"/>
      </w:rPr>
    </w:pPr>
  </w:p>
  <w:p w14:paraId="3D3EB348" w14:textId="35D07F1B" w:rsidR="00C11BCD" w:rsidRPr="008217B7" w:rsidRDefault="00C11BCD"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47526">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47526">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29709EEF" w14:textId="77777777" w:rsidR="00C11BCD" w:rsidRDefault="00C11BCD" w:rsidP="0043588C">
    <w:pPr>
      <w:pStyle w:val="Piedepgina"/>
      <w:jc w:val="center"/>
      <w:rPr>
        <w:lang w:val="es-ES"/>
      </w:rPr>
    </w:pPr>
    <w:r>
      <w:rPr>
        <w:noProof/>
        <w:lang w:val="es-CO" w:eastAsia="es-CO"/>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C11BCD" w:rsidRPr="00E756AC" w:rsidRDefault="00C11BCD" w:rsidP="0043588C">
    <w:pPr>
      <w:pStyle w:val="Piedepgina"/>
      <w:jc w:val="center"/>
      <w:rPr>
        <w:sz w:val="18"/>
        <w:szCs w:val="18"/>
        <w:lang w:val="es-ES"/>
      </w:rPr>
    </w:pPr>
  </w:p>
  <w:p w14:paraId="428179B1" w14:textId="77777777" w:rsidR="00C11BCD" w:rsidRPr="00E756AC" w:rsidRDefault="00C11BCD"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47214" w14:textId="77777777" w:rsidR="000102B6" w:rsidRDefault="000102B6" w:rsidP="008C487C">
      <w:r>
        <w:separator/>
      </w:r>
    </w:p>
  </w:footnote>
  <w:footnote w:type="continuationSeparator" w:id="0">
    <w:p w14:paraId="78949C3C" w14:textId="77777777" w:rsidR="000102B6" w:rsidRDefault="000102B6" w:rsidP="008C487C">
      <w:r>
        <w:continuationSeparator/>
      </w:r>
    </w:p>
  </w:footnote>
  <w:footnote w:id="1">
    <w:p w14:paraId="624D1123" w14:textId="77777777" w:rsidR="00C11BCD" w:rsidRPr="00040F03" w:rsidRDefault="00C11BCD" w:rsidP="00040F03">
      <w:pPr>
        <w:pStyle w:val="Textonotapie"/>
        <w:ind w:firstLine="708"/>
        <w:jc w:val="both"/>
        <w:rPr>
          <w:rFonts w:ascii="Arial" w:hAnsi="Arial" w:cs="Arial"/>
          <w:color w:val="000000" w:themeColor="text1"/>
          <w:sz w:val="19"/>
          <w:szCs w:val="19"/>
          <w:lang w:val="es-CO"/>
        </w:rPr>
      </w:pPr>
      <w:r w:rsidRPr="00040F03">
        <w:rPr>
          <w:rFonts w:ascii="Arial" w:eastAsia="Calibri" w:hAnsi="Arial" w:cs="Arial"/>
          <w:color w:val="000000" w:themeColor="text1"/>
          <w:sz w:val="19"/>
          <w:szCs w:val="19"/>
          <w:vertAlign w:val="superscript"/>
        </w:rPr>
        <w:footnoteRef/>
      </w:r>
      <w:r w:rsidRPr="00040F03">
        <w:rPr>
          <w:rFonts w:ascii="Arial" w:eastAsia="Calibri" w:hAnsi="Arial" w:cs="Arial"/>
          <w:color w:val="000000" w:themeColor="text1"/>
          <w:sz w:val="19"/>
          <w:szCs w:val="19"/>
          <w:vertAlign w:val="superscript"/>
        </w:rPr>
        <w:t xml:space="preserve"> </w:t>
      </w:r>
      <w:r w:rsidRPr="00040F03">
        <w:rPr>
          <w:rFonts w:ascii="Arial" w:eastAsia="Calibri" w:hAnsi="Arial" w:cs="Arial"/>
          <w:color w:val="000000" w:themeColor="text1"/>
          <w:sz w:val="19"/>
          <w:szCs w:val="19"/>
        </w:rPr>
        <w:t xml:space="preserve">CONSEJO DE ESTADO. Sección Tercera. Sentencia del 26 de junio de 2003. Rad. 13.354. C.P: María Elena Giraldo Gómez. </w:t>
      </w:r>
    </w:p>
  </w:footnote>
  <w:footnote w:id="2">
    <w:p w14:paraId="1FFBE22A" w14:textId="77777777" w:rsidR="00990D82" w:rsidRPr="00040F03" w:rsidRDefault="00990D82" w:rsidP="00990D82">
      <w:pPr>
        <w:pStyle w:val="Textonotapie"/>
        <w:ind w:firstLine="709"/>
        <w:jc w:val="both"/>
        <w:rPr>
          <w:rFonts w:ascii="Arial" w:hAnsi="Arial" w:cs="Arial"/>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Sociedad Colombiana de Ingenieros. Concepto técnico. Capacidad de Contratación Para Constructores. Febrero 2014. </w:t>
      </w:r>
    </w:p>
    <w:p w14:paraId="1D202446" w14:textId="77777777" w:rsidR="00990D82" w:rsidRPr="00040F03" w:rsidRDefault="00990D82" w:rsidP="00990D82">
      <w:pPr>
        <w:pStyle w:val="Textonotapie"/>
        <w:ind w:firstLine="709"/>
        <w:jc w:val="both"/>
        <w:rPr>
          <w:rFonts w:ascii="Arial" w:hAnsi="Arial" w:cs="Arial"/>
          <w:sz w:val="19"/>
          <w:szCs w:val="19"/>
          <w:lang w:val="es-CO"/>
        </w:rPr>
      </w:pPr>
    </w:p>
  </w:footnote>
  <w:footnote w:id="3">
    <w:p w14:paraId="48010FC3" w14:textId="643921E0" w:rsidR="00A33303" w:rsidRPr="00040F03" w:rsidRDefault="00A33303" w:rsidP="00040F03">
      <w:pPr>
        <w:pStyle w:val="Textonotapie"/>
        <w:ind w:firstLine="708"/>
        <w:jc w:val="both"/>
        <w:rPr>
          <w:rFonts w:ascii="Arial" w:hAnsi="Arial" w:cs="Arial"/>
          <w:sz w:val="19"/>
          <w:szCs w:val="19"/>
          <w:lang w:val="es-ES"/>
        </w:rPr>
      </w:pPr>
      <w:r w:rsidRPr="00040F03">
        <w:rPr>
          <w:rStyle w:val="Refdenotaalpie"/>
          <w:rFonts w:ascii="Arial" w:hAnsi="Arial" w:cs="Arial"/>
          <w:sz w:val="19"/>
          <w:szCs w:val="19"/>
        </w:rPr>
        <w:footnoteRef/>
      </w:r>
      <w:r w:rsidRPr="00040F03">
        <w:rPr>
          <w:rFonts w:ascii="Arial" w:hAnsi="Arial" w:cs="Arial"/>
          <w:sz w:val="19"/>
          <w:szCs w:val="19"/>
        </w:rPr>
        <w:t xml:space="preserve"> E</w:t>
      </w:r>
      <w:proofErr w:type="spellStart"/>
      <w:r w:rsidRPr="00040F03">
        <w:rPr>
          <w:rFonts w:ascii="Arial" w:hAnsi="Arial" w:cs="Arial"/>
          <w:sz w:val="19"/>
          <w:szCs w:val="19"/>
          <w:lang w:val="es-ES"/>
        </w:rPr>
        <w:t>sta</w:t>
      </w:r>
      <w:proofErr w:type="spellEnd"/>
      <w:r w:rsidRPr="00040F03">
        <w:rPr>
          <w:rFonts w:ascii="Arial" w:hAnsi="Arial" w:cs="Arial"/>
          <w:sz w:val="19"/>
          <w:szCs w:val="19"/>
          <w:lang w:val="es-ES"/>
        </w:rPr>
        <w:t xml:space="preserve"> resolución actualizó los Documentos Tipo - Versión 1 mediante los Documentos Tipo - Versión 2 y derogó la Resolución No. 1798 de 2019.</w:t>
      </w:r>
    </w:p>
  </w:footnote>
  <w:footnote w:id="4">
    <w:p w14:paraId="5E35D772" w14:textId="77777777" w:rsidR="002236AE" w:rsidRPr="00040F03" w:rsidRDefault="002236AE" w:rsidP="002236AE">
      <w:pPr>
        <w:pStyle w:val="NormalWeb"/>
        <w:shd w:val="clear" w:color="auto" w:fill="FFFFFF"/>
        <w:spacing w:before="0" w:beforeAutospacing="0" w:after="0" w:afterAutospacing="0"/>
        <w:ind w:firstLine="708"/>
        <w:jc w:val="both"/>
        <w:rPr>
          <w:rFonts w:ascii="Arial" w:eastAsia="Calibri" w:hAnsi="Arial" w:cs="Arial"/>
          <w:color w:val="000000" w:themeColor="text1"/>
          <w:sz w:val="19"/>
          <w:szCs w:val="19"/>
          <w:lang w:val="es-MX" w:eastAsia="en-US"/>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lang w:val="es-MX" w:eastAsia="en-US"/>
        </w:rPr>
        <w:t>Decreto 1082 de 2015. «Artículo 2.2.1.1.1.6.4. Capacidad Residual. El interesado en celebrar contratos de obra pública con Entidades Estatales debe acreditar su Capacidad Residual o K de Contratación con los siguientes documentos:</w:t>
      </w:r>
    </w:p>
    <w:p w14:paraId="5297120B" w14:textId="77777777" w:rsidR="002236AE" w:rsidRPr="00040F03" w:rsidRDefault="002236AE" w:rsidP="002236AE">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089C23D7" w14:textId="77777777" w:rsidR="002236AE" w:rsidRPr="00040F03" w:rsidRDefault="002236AE" w:rsidP="002236AE">
      <w:pPr>
        <w:shd w:val="clear" w:color="auto" w:fill="FFFFFF"/>
        <w:ind w:firstLine="709"/>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69179B89" w14:textId="77777777" w:rsidR="002236AE" w:rsidRPr="00040F03" w:rsidRDefault="002236AE" w:rsidP="002236AE">
      <w:pPr>
        <w:shd w:val="clear" w:color="auto" w:fill="FFFFFF"/>
        <w:ind w:firstLine="708"/>
        <w:jc w:val="both"/>
        <w:rPr>
          <w:rFonts w:ascii="Arial" w:eastAsia="Calibri" w:hAnsi="Arial" w:cs="Arial"/>
          <w:color w:val="000000" w:themeColor="text1"/>
          <w:sz w:val="19"/>
          <w:szCs w:val="19"/>
        </w:rPr>
      </w:pPr>
      <w:r w:rsidRPr="00040F03">
        <w:rPr>
          <w:rFonts w:ascii="Arial" w:eastAsia="Calibri"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49B6CBF5" w14:textId="77777777" w:rsidR="002236AE" w:rsidRPr="00040F03" w:rsidRDefault="002236AE" w:rsidP="002236AE">
      <w:pPr>
        <w:shd w:val="clear" w:color="auto" w:fill="FFFFFF"/>
        <w:ind w:firstLine="708"/>
        <w:jc w:val="both"/>
        <w:rPr>
          <w:rFonts w:ascii="Arial" w:eastAsia="Calibri" w:hAnsi="Arial" w:cs="Arial"/>
          <w:color w:val="000000" w:themeColor="text1"/>
          <w:sz w:val="19"/>
          <w:szCs w:val="19"/>
        </w:rPr>
      </w:pPr>
    </w:p>
  </w:footnote>
  <w:footnote w:id="5">
    <w:p w14:paraId="4B99BB5F" w14:textId="77777777" w:rsidR="00BD310A" w:rsidRPr="00040F03" w:rsidRDefault="00BD310A">
      <w:pPr>
        <w:pStyle w:val="Textonotapie"/>
        <w:ind w:firstLine="708"/>
        <w:jc w:val="both"/>
        <w:rPr>
          <w:rFonts w:ascii="Arial" w:eastAsia="Calibri" w:hAnsi="Arial" w:cs="Arial"/>
          <w:color w:val="000000" w:themeColor="text1"/>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rPr>
        <w:t>Ley 43 de 1990: «Artículo 10. De la fe pública. La atestación o firma de un Contador Público en los actos propios de su profesión hará presumir, salvo prueba en contrario, que el acto respectivo se ajusta a los requisitos legales, lo mismo que a los estatutarios en casos de personas jurídicas. Tratándose de balances, se presumirá además que los saldos se han tomado fielmente de los libros, que éstos se ajustan a las normas legales y que las cifras registradas en ellos reflejan en forma fidedigna la correspondiente situación financiera en la fecha del balance. Parágrafo. Los Contadores Públicos, cuando otorguen fe pública en materia contable, se asimilarán a funcionarios públicos para efectos de las sanciones penales por los delitos que cometieren en el ejercicio de las actividades propias de su profesión, sin perjuicio de las responsabilidades de orden civil que hubiere lugar conforme a las leyes».</w:t>
      </w:r>
    </w:p>
    <w:p w14:paraId="63B60FD7" w14:textId="77777777" w:rsidR="00BD310A" w:rsidRPr="00040F03" w:rsidRDefault="00BD310A">
      <w:pPr>
        <w:pStyle w:val="Textonotapie"/>
        <w:ind w:firstLine="708"/>
        <w:jc w:val="both"/>
        <w:rPr>
          <w:rFonts w:ascii="Arial" w:eastAsia="Calibri" w:hAnsi="Arial" w:cs="Arial"/>
          <w:color w:val="000000" w:themeColor="text1"/>
          <w:sz w:val="19"/>
          <w:szCs w:val="19"/>
        </w:rPr>
      </w:pPr>
    </w:p>
  </w:footnote>
  <w:footnote w:id="6">
    <w:p w14:paraId="5A8A8D43" w14:textId="77777777" w:rsidR="00BD310A" w:rsidRPr="00040F03" w:rsidRDefault="00BD310A">
      <w:pPr>
        <w:pStyle w:val="Textonotapie"/>
        <w:ind w:firstLine="708"/>
        <w:jc w:val="both"/>
        <w:rPr>
          <w:rFonts w:ascii="Arial" w:eastAsia="Calibri" w:hAnsi="Arial" w:cs="Arial"/>
          <w:color w:val="000000" w:themeColor="text1"/>
          <w:sz w:val="19"/>
          <w:szCs w:val="19"/>
        </w:rPr>
      </w:pPr>
      <w:r w:rsidRPr="00040F03">
        <w:rPr>
          <w:rStyle w:val="Refdenotaalpie"/>
          <w:rFonts w:ascii="Arial" w:hAnsi="Arial" w:cs="Arial"/>
          <w:sz w:val="19"/>
          <w:szCs w:val="19"/>
        </w:rPr>
        <w:footnoteRef/>
      </w:r>
      <w:r w:rsidRPr="00040F03">
        <w:rPr>
          <w:rFonts w:ascii="Arial" w:hAnsi="Arial" w:cs="Arial"/>
          <w:sz w:val="19"/>
          <w:szCs w:val="19"/>
        </w:rPr>
        <w:t xml:space="preserve"> </w:t>
      </w:r>
      <w:r w:rsidRPr="00040F03">
        <w:rPr>
          <w:rFonts w:ascii="Arial" w:eastAsia="Calibri" w:hAnsi="Arial" w:cs="Arial"/>
          <w:color w:val="000000" w:themeColor="text1"/>
          <w:sz w:val="19"/>
          <w:szCs w:val="19"/>
        </w:rPr>
        <w:t>CORTE CONSTITUCIONAL. Sentencia C- 861 de 2008. M.P. Mauricio González Cuervo.</w:t>
      </w:r>
    </w:p>
  </w:footnote>
  <w:footnote w:id="7">
    <w:p w14:paraId="2A8C800E" w14:textId="4CD80D22" w:rsidR="00040F03" w:rsidRPr="00E30DF1" w:rsidRDefault="00040F03" w:rsidP="00E30DF1">
      <w:pPr>
        <w:pStyle w:val="Textonotapie"/>
        <w:ind w:firstLine="708"/>
        <w:jc w:val="both"/>
        <w:rPr>
          <w:rFonts w:ascii="Arial" w:hAnsi="Arial" w:cs="Arial"/>
          <w:sz w:val="19"/>
          <w:szCs w:val="19"/>
        </w:rPr>
      </w:pPr>
      <w:r w:rsidRPr="00E30DF1">
        <w:rPr>
          <w:rStyle w:val="Refdenotaalpie"/>
          <w:rFonts w:ascii="Arial" w:hAnsi="Arial" w:cs="Arial"/>
          <w:sz w:val="19"/>
          <w:szCs w:val="19"/>
        </w:rPr>
        <w:footnoteRef/>
      </w:r>
      <w:r w:rsidRPr="00E30DF1">
        <w:rPr>
          <w:rFonts w:ascii="Arial" w:hAnsi="Arial" w:cs="Arial"/>
          <w:sz w:val="19"/>
          <w:szCs w:val="19"/>
        </w:rPr>
        <w:t xml:space="preserve"> </w:t>
      </w:r>
      <w:r>
        <w:rPr>
          <w:rFonts w:ascii="Arial" w:hAnsi="Arial" w:cs="Arial"/>
          <w:sz w:val="19"/>
          <w:szCs w:val="19"/>
        </w:rPr>
        <w:t>Ley 2022 de 2020. «</w:t>
      </w:r>
      <w:r w:rsidRPr="00E30DF1">
        <w:rPr>
          <w:rFonts w:ascii="Arial" w:hAnsi="Arial" w:cs="Arial"/>
          <w:sz w:val="19"/>
          <w:szCs w:val="19"/>
        </w:rPr>
        <w:t>A</w:t>
      </w:r>
      <w:r>
        <w:rPr>
          <w:rFonts w:ascii="Arial" w:hAnsi="Arial" w:cs="Arial"/>
          <w:sz w:val="19"/>
          <w:szCs w:val="19"/>
        </w:rPr>
        <w:t>rtículo</w:t>
      </w:r>
      <w:r w:rsidRPr="00E30DF1">
        <w:rPr>
          <w:rFonts w:ascii="Arial" w:hAnsi="Arial" w:cs="Arial"/>
          <w:sz w:val="19"/>
          <w:szCs w:val="19"/>
        </w:rPr>
        <w:t xml:space="preserve"> 1o. Modifíquese el artículo 4o de la Ley 1882 de 2018, el cual quedará así:</w:t>
      </w:r>
    </w:p>
    <w:p w14:paraId="6B1971A6" w14:textId="177CB0BD" w:rsidR="00040F03" w:rsidRPr="00E30DF1" w:rsidRDefault="00040F03" w:rsidP="00E30DF1">
      <w:pPr>
        <w:pStyle w:val="Textonotapie"/>
        <w:ind w:firstLine="708"/>
        <w:jc w:val="both"/>
        <w:rPr>
          <w:rFonts w:ascii="Arial" w:hAnsi="Arial" w:cs="Arial"/>
          <w:sz w:val="19"/>
          <w:szCs w:val="19"/>
        </w:rPr>
      </w:pPr>
      <w:proofErr w:type="gramStart"/>
      <w:r>
        <w:rPr>
          <w:rFonts w:ascii="Arial" w:hAnsi="Arial" w:cs="Arial"/>
          <w:sz w:val="19"/>
          <w:szCs w:val="19"/>
        </w:rPr>
        <w:t>»</w:t>
      </w:r>
      <w:r w:rsidRPr="00E30DF1">
        <w:rPr>
          <w:rFonts w:ascii="Arial" w:hAnsi="Arial" w:cs="Arial"/>
          <w:sz w:val="19"/>
          <w:szCs w:val="19"/>
        </w:rPr>
        <w:t>Artículo</w:t>
      </w:r>
      <w:proofErr w:type="gramEnd"/>
      <w:r w:rsidRPr="00E30DF1">
        <w:rPr>
          <w:rFonts w:ascii="Arial" w:hAnsi="Arial" w:cs="Arial"/>
          <w:sz w:val="19"/>
          <w:szCs w:val="19"/>
        </w:rPr>
        <w:t xml:space="preserve"> 4o. Adiciónese el siguiente parágrafo al artículo 2o de la Ley 1150 de 2007.</w:t>
      </w:r>
    </w:p>
    <w:p w14:paraId="43CEB9E4" w14:textId="5BA0B507" w:rsidR="00040F03" w:rsidRPr="00E30DF1" w:rsidRDefault="00040F03" w:rsidP="00E30DF1">
      <w:pPr>
        <w:pStyle w:val="Textonotapie"/>
        <w:ind w:firstLine="708"/>
        <w:jc w:val="both"/>
        <w:rPr>
          <w:rFonts w:ascii="Arial" w:hAnsi="Arial" w:cs="Arial"/>
          <w:sz w:val="19"/>
          <w:szCs w:val="19"/>
        </w:rPr>
      </w:pPr>
      <w:proofErr w:type="gramStart"/>
      <w:r>
        <w:rPr>
          <w:rFonts w:ascii="Arial" w:hAnsi="Arial" w:cs="Arial"/>
          <w:sz w:val="19"/>
          <w:szCs w:val="19"/>
        </w:rPr>
        <w:t>»</w:t>
      </w:r>
      <w:r w:rsidRPr="00E30DF1">
        <w:rPr>
          <w:rFonts w:ascii="Arial" w:hAnsi="Arial" w:cs="Arial"/>
          <w:sz w:val="19"/>
          <w:szCs w:val="19"/>
        </w:rPr>
        <w:t>P</w:t>
      </w:r>
      <w:r w:rsidR="001A2E3F" w:rsidRPr="00040F03">
        <w:rPr>
          <w:rFonts w:ascii="Arial" w:hAnsi="Arial" w:cs="Arial"/>
          <w:sz w:val="19"/>
          <w:szCs w:val="19"/>
        </w:rPr>
        <w:t>arágrafo</w:t>
      </w:r>
      <w:proofErr w:type="gramEnd"/>
      <w:r w:rsidRPr="00E30DF1">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EC0A565" w14:textId="36504ADC" w:rsidR="00040F03" w:rsidRDefault="00040F03" w:rsidP="00040F03">
      <w:pPr>
        <w:pStyle w:val="Textonotapie"/>
        <w:ind w:firstLine="708"/>
        <w:jc w:val="both"/>
        <w:rPr>
          <w:rFonts w:ascii="Arial" w:hAnsi="Arial" w:cs="Arial"/>
          <w:sz w:val="19"/>
          <w:szCs w:val="19"/>
        </w:rPr>
      </w:pPr>
      <w:proofErr w:type="gramStart"/>
      <w:r>
        <w:rPr>
          <w:rFonts w:ascii="Arial" w:hAnsi="Arial" w:cs="Arial"/>
          <w:sz w:val="19"/>
          <w:szCs w:val="19"/>
        </w:rPr>
        <w:t>»</w:t>
      </w:r>
      <w:r w:rsidRPr="00E30DF1">
        <w:rPr>
          <w:rFonts w:ascii="Arial" w:hAnsi="Arial" w:cs="Arial"/>
          <w:sz w:val="19"/>
          <w:szCs w:val="19"/>
        </w:rPr>
        <w:t>Dentro</w:t>
      </w:r>
      <w:proofErr w:type="gramEnd"/>
      <w:r w:rsidRPr="00E30DF1">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635BC471" w14:textId="0DBA11FA" w:rsidR="00040F03" w:rsidRPr="00E30DF1" w:rsidRDefault="00040F03" w:rsidP="00E30DF1">
      <w:pPr>
        <w:pStyle w:val="Textonotapie"/>
        <w:ind w:firstLine="708"/>
        <w:jc w:val="both"/>
        <w:rPr>
          <w:rFonts w:ascii="Arial" w:hAnsi="Arial" w:cs="Arial"/>
          <w:sz w:val="19"/>
          <w:szCs w:val="19"/>
        </w:rPr>
      </w:pP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C11BCD" w:rsidRDefault="00C11BCD">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0"/>
  </w:num>
  <w:num w:numId="8">
    <w:abstractNumId w:val="5"/>
  </w:num>
  <w:num w:numId="9">
    <w:abstractNumId w:val="2"/>
  </w:num>
  <w:num w:numId="10">
    <w:abstractNumId w:val="6"/>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1336"/>
    <w:rsid w:val="00004C76"/>
    <w:rsid w:val="00007FF7"/>
    <w:rsid w:val="000102B6"/>
    <w:rsid w:val="00010D30"/>
    <w:rsid w:val="00012996"/>
    <w:rsid w:val="00016205"/>
    <w:rsid w:val="000205D6"/>
    <w:rsid w:val="0002175E"/>
    <w:rsid w:val="00023F6A"/>
    <w:rsid w:val="000267D4"/>
    <w:rsid w:val="0003091B"/>
    <w:rsid w:val="000333A2"/>
    <w:rsid w:val="0003536B"/>
    <w:rsid w:val="00040C88"/>
    <w:rsid w:val="00040D6E"/>
    <w:rsid w:val="00040F03"/>
    <w:rsid w:val="00042C0C"/>
    <w:rsid w:val="00044FF2"/>
    <w:rsid w:val="000514D4"/>
    <w:rsid w:val="00055680"/>
    <w:rsid w:val="00055688"/>
    <w:rsid w:val="00060575"/>
    <w:rsid w:val="00061E92"/>
    <w:rsid w:val="00061EE4"/>
    <w:rsid w:val="00062291"/>
    <w:rsid w:val="00062B0D"/>
    <w:rsid w:val="0006519B"/>
    <w:rsid w:val="000707A0"/>
    <w:rsid w:val="00076813"/>
    <w:rsid w:val="00082589"/>
    <w:rsid w:val="00086A16"/>
    <w:rsid w:val="00086C02"/>
    <w:rsid w:val="00090D92"/>
    <w:rsid w:val="00093069"/>
    <w:rsid w:val="00094F86"/>
    <w:rsid w:val="00097117"/>
    <w:rsid w:val="00097CD6"/>
    <w:rsid w:val="000A1DBA"/>
    <w:rsid w:val="000A6338"/>
    <w:rsid w:val="000A7A2D"/>
    <w:rsid w:val="000B4552"/>
    <w:rsid w:val="000B4C69"/>
    <w:rsid w:val="000B4E6D"/>
    <w:rsid w:val="000C0E39"/>
    <w:rsid w:val="000C44E8"/>
    <w:rsid w:val="000D088F"/>
    <w:rsid w:val="000D2220"/>
    <w:rsid w:val="000D392A"/>
    <w:rsid w:val="000D5464"/>
    <w:rsid w:val="000D5703"/>
    <w:rsid w:val="000E4A3C"/>
    <w:rsid w:val="000E6867"/>
    <w:rsid w:val="000E7F3A"/>
    <w:rsid w:val="000F4A07"/>
    <w:rsid w:val="000F5F52"/>
    <w:rsid w:val="000F7006"/>
    <w:rsid w:val="001056C0"/>
    <w:rsid w:val="001065FE"/>
    <w:rsid w:val="00107607"/>
    <w:rsid w:val="001120C8"/>
    <w:rsid w:val="00112597"/>
    <w:rsid w:val="00112C35"/>
    <w:rsid w:val="00113AD4"/>
    <w:rsid w:val="00116557"/>
    <w:rsid w:val="00117289"/>
    <w:rsid w:val="00130811"/>
    <w:rsid w:val="00131937"/>
    <w:rsid w:val="001321AB"/>
    <w:rsid w:val="00133D22"/>
    <w:rsid w:val="00135E98"/>
    <w:rsid w:val="00137B0D"/>
    <w:rsid w:val="00137DDF"/>
    <w:rsid w:val="00140E57"/>
    <w:rsid w:val="00141C64"/>
    <w:rsid w:val="0014462B"/>
    <w:rsid w:val="0014628D"/>
    <w:rsid w:val="00147E4A"/>
    <w:rsid w:val="001556C8"/>
    <w:rsid w:val="001573A6"/>
    <w:rsid w:val="00160687"/>
    <w:rsid w:val="00160AB9"/>
    <w:rsid w:val="00164E79"/>
    <w:rsid w:val="00166272"/>
    <w:rsid w:val="00173047"/>
    <w:rsid w:val="00173342"/>
    <w:rsid w:val="0017558C"/>
    <w:rsid w:val="0017603D"/>
    <w:rsid w:val="00177397"/>
    <w:rsid w:val="00180881"/>
    <w:rsid w:val="001810AD"/>
    <w:rsid w:val="0018144F"/>
    <w:rsid w:val="00181A3E"/>
    <w:rsid w:val="00182BF2"/>
    <w:rsid w:val="001848A7"/>
    <w:rsid w:val="001901E3"/>
    <w:rsid w:val="00190B79"/>
    <w:rsid w:val="00190F26"/>
    <w:rsid w:val="00192084"/>
    <w:rsid w:val="00194C50"/>
    <w:rsid w:val="001A0536"/>
    <w:rsid w:val="001A2E3F"/>
    <w:rsid w:val="001A6A98"/>
    <w:rsid w:val="001B13DF"/>
    <w:rsid w:val="001B2E5D"/>
    <w:rsid w:val="001B5D63"/>
    <w:rsid w:val="001B6B83"/>
    <w:rsid w:val="001B6C66"/>
    <w:rsid w:val="001C4850"/>
    <w:rsid w:val="001D1A3A"/>
    <w:rsid w:val="001D3E65"/>
    <w:rsid w:val="001D479E"/>
    <w:rsid w:val="001E1096"/>
    <w:rsid w:val="001E4AEB"/>
    <w:rsid w:val="001E570E"/>
    <w:rsid w:val="001E5DBB"/>
    <w:rsid w:val="001E6407"/>
    <w:rsid w:val="001F1051"/>
    <w:rsid w:val="001F3010"/>
    <w:rsid w:val="001F34A8"/>
    <w:rsid w:val="001F62F5"/>
    <w:rsid w:val="001F7297"/>
    <w:rsid w:val="001F75F1"/>
    <w:rsid w:val="002034AD"/>
    <w:rsid w:val="00212C92"/>
    <w:rsid w:val="00213B48"/>
    <w:rsid w:val="002142CC"/>
    <w:rsid w:val="002166C0"/>
    <w:rsid w:val="00220F87"/>
    <w:rsid w:val="002218CE"/>
    <w:rsid w:val="00222032"/>
    <w:rsid w:val="002236AE"/>
    <w:rsid w:val="002239B4"/>
    <w:rsid w:val="00225C5F"/>
    <w:rsid w:val="00227257"/>
    <w:rsid w:val="0023180C"/>
    <w:rsid w:val="0023225E"/>
    <w:rsid w:val="00234C6C"/>
    <w:rsid w:val="00236264"/>
    <w:rsid w:val="0023774F"/>
    <w:rsid w:val="00247526"/>
    <w:rsid w:val="00247D11"/>
    <w:rsid w:val="002511E0"/>
    <w:rsid w:val="002516D4"/>
    <w:rsid w:val="002551A3"/>
    <w:rsid w:val="00265031"/>
    <w:rsid w:val="00266277"/>
    <w:rsid w:val="00272F63"/>
    <w:rsid w:val="0027329E"/>
    <w:rsid w:val="00273B05"/>
    <w:rsid w:val="0027411E"/>
    <w:rsid w:val="00274370"/>
    <w:rsid w:val="00281E4E"/>
    <w:rsid w:val="0028272E"/>
    <w:rsid w:val="00284C12"/>
    <w:rsid w:val="00286834"/>
    <w:rsid w:val="002928EE"/>
    <w:rsid w:val="002959FA"/>
    <w:rsid w:val="002972F3"/>
    <w:rsid w:val="002A365B"/>
    <w:rsid w:val="002A4002"/>
    <w:rsid w:val="002A4BCA"/>
    <w:rsid w:val="002A517F"/>
    <w:rsid w:val="002A6849"/>
    <w:rsid w:val="002B0611"/>
    <w:rsid w:val="002B0CB4"/>
    <w:rsid w:val="002B27BC"/>
    <w:rsid w:val="002B282F"/>
    <w:rsid w:val="002B2E8A"/>
    <w:rsid w:val="002B4B30"/>
    <w:rsid w:val="002E6804"/>
    <w:rsid w:val="002E7390"/>
    <w:rsid w:val="002E7BC2"/>
    <w:rsid w:val="002F34CB"/>
    <w:rsid w:val="002F369D"/>
    <w:rsid w:val="002F5479"/>
    <w:rsid w:val="002F63BB"/>
    <w:rsid w:val="002F701E"/>
    <w:rsid w:val="00302F9F"/>
    <w:rsid w:val="00304386"/>
    <w:rsid w:val="003051E7"/>
    <w:rsid w:val="003141AC"/>
    <w:rsid w:val="00314712"/>
    <w:rsid w:val="00314F61"/>
    <w:rsid w:val="003163C5"/>
    <w:rsid w:val="003174DA"/>
    <w:rsid w:val="0032592B"/>
    <w:rsid w:val="00325E03"/>
    <w:rsid w:val="003332D8"/>
    <w:rsid w:val="00337BC1"/>
    <w:rsid w:val="003401FE"/>
    <w:rsid w:val="00340A7A"/>
    <w:rsid w:val="00346D80"/>
    <w:rsid w:val="00346F88"/>
    <w:rsid w:val="00346F8E"/>
    <w:rsid w:val="00351536"/>
    <w:rsid w:val="00360470"/>
    <w:rsid w:val="00360F9A"/>
    <w:rsid w:val="003648A2"/>
    <w:rsid w:val="00371192"/>
    <w:rsid w:val="00374081"/>
    <w:rsid w:val="003750DA"/>
    <w:rsid w:val="00384629"/>
    <w:rsid w:val="00385513"/>
    <w:rsid w:val="00386679"/>
    <w:rsid w:val="00387E9E"/>
    <w:rsid w:val="00390DCF"/>
    <w:rsid w:val="00397FF3"/>
    <w:rsid w:val="003A00C3"/>
    <w:rsid w:val="003A00DA"/>
    <w:rsid w:val="003A0C33"/>
    <w:rsid w:val="003A1E19"/>
    <w:rsid w:val="003A2944"/>
    <w:rsid w:val="003A633B"/>
    <w:rsid w:val="003B0DA0"/>
    <w:rsid w:val="003B0DEF"/>
    <w:rsid w:val="003B604C"/>
    <w:rsid w:val="003C200C"/>
    <w:rsid w:val="003C2074"/>
    <w:rsid w:val="003C3ADB"/>
    <w:rsid w:val="003C4733"/>
    <w:rsid w:val="003C5E88"/>
    <w:rsid w:val="003D11B5"/>
    <w:rsid w:val="003D134C"/>
    <w:rsid w:val="003D69A5"/>
    <w:rsid w:val="003D6D9F"/>
    <w:rsid w:val="003E0079"/>
    <w:rsid w:val="003E0889"/>
    <w:rsid w:val="003E09D5"/>
    <w:rsid w:val="003E14F9"/>
    <w:rsid w:val="003F3119"/>
    <w:rsid w:val="003F3C60"/>
    <w:rsid w:val="003F4D44"/>
    <w:rsid w:val="003F6D32"/>
    <w:rsid w:val="00405F92"/>
    <w:rsid w:val="00406B09"/>
    <w:rsid w:val="00413E25"/>
    <w:rsid w:val="0042253F"/>
    <w:rsid w:val="004265FC"/>
    <w:rsid w:val="004276E7"/>
    <w:rsid w:val="00430B5A"/>
    <w:rsid w:val="00431328"/>
    <w:rsid w:val="00433B17"/>
    <w:rsid w:val="0043588C"/>
    <w:rsid w:val="00437A8B"/>
    <w:rsid w:val="0044207D"/>
    <w:rsid w:val="00443937"/>
    <w:rsid w:val="00445988"/>
    <w:rsid w:val="00447FE5"/>
    <w:rsid w:val="00450614"/>
    <w:rsid w:val="0045082C"/>
    <w:rsid w:val="00450B83"/>
    <w:rsid w:val="00456CED"/>
    <w:rsid w:val="004617B8"/>
    <w:rsid w:val="00462D38"/>
    <w:rsid w:val="0046504E"/>
    <w:rsid w:val="00467C8E"/>
    <w:rsid w:val="004724C9"/>
    <w:rsid w:val="004758FE"/>
    <w:rsid w:val="00481DE3"/>
    <w:rsid w:val="004830C8"/>
    <w:rsid w:val="004837AB"/>
    <w:rsid w:val="00483A2F"/>
    <w:rsid w:val="00483C0A"/>
    <w:rsid w:val="00487ADF"/>
    <w:rsid w:val="00490DBF"/>
    <w:rsid w:val="00494F12"/>
    <w:rsid w:val="00497571"/>
    <w:rsid w:val="004A13B5"/>
    <w:rsid w:val="004A46B5"/>
    <w:rsid w:val="004A5382"/>
    <w:rsid w:val="004A64D6"/>
    <w:rsid w:val="004A6E34"/>
    <w:rsid w:val="004A6EE1"/>
    <w:rsid w:val="004B1BEE"/>
    <w:rsid w:val="004B21D8"/>
    <w:rsid w:val="004B22A4"/>
    <w:rsid w:val="004B22E7"/>
    <w:rsid w:val="004B2AB8"/>
    <w:rsid w:val="004B6AD7"/>
    <w:rsid w:val="004C1BA6"/>
    <w:rsid w:val="004C5C69"/>
    <w:rsid w:val="004D04EB"/>
    <w:rsid w:val="004D0DA3"/>
    <w:rsid w:val="004D1E9B"/>
    <w:rsid w:val="004D3C91"/>
    <w:rsid w:val="004D6FDE"/>
    <w:rsid w:val="004D770C"/>
    <w:rsid w:val="004D77B2"/>
    <w:rsid w:val="004E3243"/>
    <w:rsid w:val="004E370E"/>
    <w:rsid w:val="004E4ED0"/>
    <w:rsid w:val="004F006C"/>
    <w:rsid w:val="004F0A29"/>
    <w:rsid w:val="004F12CF"/>
    <w:rsid w:val="004F3D32"/>
    <w:rsid w:val="004F407C"/>
    <w:rsid w:val="004F4387"/>
    <w:rsid w:val="004F620C"/>
    <w:rsid w:val="004F7059"/>
    <w:rsid w:val="004F7A45"/>
    <w:rsid w:val="004F7F85"/>
    <w:rsid w:val="00501FCD"/>
    <w:rsid w:val="005029C2"/>
    <w:rsid w:val="00502A41"/>
    <w:rsid w:val="00506B56"/>
    <w:rsid w:val="00510BF5"/>
    <w:rsid w:val="0051467B"/>
    <w:rsid w:val="00515265"/>
    <w:rsid w:val="00517E74"/>
    <w:rsid w:val="00521BA7"/>
    <w:rsid w:val="0052334B"/>
    <w:rsid w:val="00525051"/>
    <w:rsid w:val="005252E2"/>
    <w:rsid w:val="00526519"/>
    <w:rsid w:val="00526D27"/>
    <w:rsid w:val="005407B5"/>
    <w:rsid w:val="005409D3"/>
    <w:rsid w:val="00546BE0"/>
    <w:rsid w:val="00547F95"/>
    <w:rsid w:val="005511D5"/>
    <w:rsid w:val="00551564"/>
    <w:rsid w:val="0055390E"/>
    <w:rsid w:val="00554E71"/>
    <w:rsid w:val="00560F5F"/>
    <w:rsid w:val="00562677"/>
    <w:rsid w:val="00575DC6"/>
    <w:rsid w:val="00580859"/>
    <w:rsid w:val="00584015"/>
    <w:rsid w:val="00585FB5"/>
    <w:rsid w:val="00590F8B"/>
    <w:rsid w:val="00591586"/>
    <w:rsid w:val="005940B2"/>
    <w:rsid w:val="005A0936"/>
    <w:rsid w:val="005A1143"/>
    <w:rsid w:val="005A14BC"/>
    <w:rsid w:val="005A3EDE"/>
    <w:rsid w:val="005A4589"/>
    <w:rsid w:val="005B3F0E"/>
    <w:rsid w:val="005B4DB4"/>
    <w:rsid w:val="005B6484"/>
    <w:rsid w:val="005B6F36"/>
    <w:rsid w:val="005C0FE6"/>
    <w:rsid w:val="005C298B"/>
    <w:rsid w:val="005C29D9"/>
    <w:rsid w:val="005D3442"/>
    <w:rsid w:val="005D426A"/>
    <w:rsid w:val="005D50AC"/>
    <w:rsid w:val="005E7551"/>
    <w:rsid w:val="005F1007"/>
    <w:rsid w:val="005F13A1"/>
    <w:rsid w:val="005F13C1"/>
    <w:rsid w:val="005F5D19"/>
    <w:rsid w:val="005F6CBF"/>
    <w:rsid w:val="006062E0"/>
    <w:rsid w:val="00606FE0"/>
    <w:rsid w:val="0061332C"/>
    <w:rsid w:val="006135E6"/>
    <w:rsid w:val="006148D6"/>
    <w:rsid w:val="00615659"/>
    <w:rsid w:val="00616FE1"/>
    <w:rsid w:val="00617DF2"/>
    <w:rsid w:val="00621810"/>
    <w:rsid w:val="00632EA5"/>
    <w:rsid w:val="00633FEE"/>
    <w:rsid w:val="00641087"/>
    <w:rsid w:val="00642D69"/>
    <w:rsid w:val="006550F8"/>
    <w:rsid w:val="00656926"/>
    <w:rsid w:val="0065701C"/>
    <w:rsid w:val="00660BC7"/>
    <w:rsid w:val="00661CE0"/>
    <w:rsid w:val="00662792"/>
    <w:rsid w:val="00666ED7"/>
    <w:rsid w:val="0067152F"/>
    <w:rsid w:val="00671A31"/>
    <w:rsid w:val="00672F75"/>
    <w:rsid w:val="006734CA"/>
    <w:rsid w:val="0067440E"/>
    <w:rsid w:val="006818B6"/>
    <w:rsid w:val="006824B8"/>
    <w:rsid w:val="006834EE"/>
    <w:rsid w:val="00683BD5"/>
    <w:rsid w:val="00693348"/>
    <w:rsid w:val="006A3131"/>
    <w:rsid w:val="006A602E"/>
    <w:rsid w:val="006A7743"/>
    <w:rsid w:val="006B6339"/>
    <w:rsid w:val="006B6C6A"/>
    <w:rsid w:val="006C15D5"/>
    <w:rsid w:val="006C234F"/>
    <w:rsid w:val="006C3838"/>
    <w:rsid w:val="006C3D0C"/>
    <w:rsid w:val="006C3FBC"/>
    <w:rsid w:val="006C5955"/>
    <w:rsid w:val="006D2CF5"/>
    <w:rsid w:val="006D31E1"/>
    <w:rsid w:val="006D343E"/>
    <w:rsid w:val="006D359C"/>
    <w:rsid w:val="006D519D"/>
    <w:rsid w:val="006E2710"/>
    <w:rsid w:val="006E5500"/>
    <w:rsid w:val="006E63F1"/>
    <w:rsid w:val="006F1FD7"/>
    <w:rsid w:val="006F39D0"/>
    <w:rsid w:val="006F446C"/>
    <w:rsid w:val="006F6897"/>
    <w:rsid w:val="006F7484"/>
    <w:rsid w:val="006F7746"/>
    <w:rsid w:val="00711157"/>
    <w:rsid w:val="00715B7E"/>
    <w:rsid w:val="00730CDB"/>
    <w:rsid w:val="00736C89"/>
    <w:rsid w:val="007413C5"/>
    <w:rsid w:val="00745744"/>
    <w:rsid w:val="007462F1"/>
    <w:rsid w:val="0075032A"/>
    <w:rsid w:val="007636CD"/>
    <w:rsid w:val="007708B1"/>
    <w:rsid w:val="00770D7D"/>
    <w:rsid w:val="00772497"/>
    <w:rsid w:val="007756D5"/>
    <w:rsid w:val="00776241"/>
    <w:rsid w:val="00776F45"/>
    <w:rsid w:val="00784474"/>
    <w:rsid w:val="00784FF4"/>
    <w:rsid w:val="00786FD6"/>
    <w:rsid w:val="00787F0A"/>
    <w:rsid w:val="00791377"/>
    <w:rsid w:val="007917E6"/>
    <w:rsid w:val="007928D4"/>
    <w:rsid w:val="00792B9C"/>
    <w:rsid w:val="00794CB0"/>
    <w:rsid w:val="00795512"/>
    <w:rsid w:val="007A4E7F"/>
    <w:rsid w:val="007A4F15"/>
    <w:rsid w:val="007A5340"/>
    <w:rsid w:val="007B2A95"/>
    <w:rsid w:val="007B6FDF"/>
    <w:rsid w:val="007C0C73"/>
    <w:rsid w:val="007C1D6C"/>
    <w:rsid w:val="007C47F5"/>
    <w:rsid w:val="007C4B15"/>
    <w:rsid w:val="007C7892"/>
    <w:rsid w:val="007D03DD"/>
    <w:rsid w:val="007D27F3"/>
    <w:rsid w:val="007D4C7B"/>
    <w:rsid w:val="007D62C7"/>
    <w:rsid w:val="007E10EB"/>
    <w:rsid w:val="007E1611"/>
    <w:rsid w:val="007E6A15"/>
    <w:rsid w:val="007F6C9C"/>
    <w:rsid w:val="007F7AC6"/>
    <w:rsid w:val="00802EBD"/>
    <w:rsid w:val="00802FA8"/>
    <w:rsid w:val="00803061"/>
    <w:rsid w:val="00807EEE"/>
    <w:rsid w:val="0081087D"/>
    <w:rsid w:val="00810F65"/>
    <w:rsid w:val="008135F4"/>
    <w:rsid w:val="00813893"/>
    <w:rsid w:val="00814471"/>
    <w:rsid w:val="008149E7"/>
    <w:rsid w:val="008218D6"/>
    <w:rsid w:val="0082266E"/>
    <w:rsid w:val="008234E2"/>
    <w:rsid w:val="00824361"/>
    <w:rsid w:val="0082612E"/>
    <w:rsid w:val="008327EE"/>
    <w:rsid w:val="0083350D"/>
    <w:rsid w:val="00835417"/>
    <w:rsid w:val="008412E0"/>
    <w:rsid w:val="00842E74"/>
    <w:rsid w:val="00843BE5"/>
    <w:rsid w:val="0084777B"/>
    <w:rsid w:val="00856B64"/>
    <w:rsid w:val="00857DEF"/>
    <w:rsid w:val="008602F0"/>
    <w:rsid w:val="00863DD9"/>
    <w:rsid w:val="00866446"/>
    <w:rsid w:val="0086741B"/>
    <w:rsid w:val="00870BDD"/>
    <w:rsid w:val="00880204"/>
    <w:rsid w:val="008840CA"/>
    <w:rsid w:val="00884DD6"/>
    <w:rsid w:val="00885FF0"/>
    <w:rsid w:val="00886F29"/>
    <w:rsid w:val="00887F70"/>
    <w:rsid w:val="0089027D"/>
    <w:rsid w:val="00890547"/>
    <w:rsid w:val="00890B02"/>
    <w:rsid w:val="00892517"/>
    <w:rsid w:val="008927FE"/>
    <w:rsid w:val="00892A25"/>
    <w:rsid w:val="00897DAB"/>
    <w:rsid w:val="008A0633"/>
    <w:rsid w:val="008A0686"/>
    <w:rsid w:val="008A0921"/>
    <w:rsid w:val="008A1724"/>
    <w:rsid w:val="008A3386"/>
    <w:rsid w:val="008A37D8"/>
    <w:rsid w:val="008A53F2"/>
    <w:rsid w:val="008B09B1"/>
    <w:rsid w:val="008B1E4F"/>
    <w:rsid w:val="008C1CE8"/>
    <w:rsid w:val="008C24B6"/>
    <w:rsid w:val="008C3E5B"/>
    <w:rsid w:val="008C487C"/>
    <w:rsid w:val="008C4C28"/>
    <w:rsid w:val="008C5224"/>
    <w:rsid w:val="008D07ED"/>
    <w:rsid w:val="008D0BF9"/>
    <w:rsid w:val="008D2715"/>
    <w:rsid w:val="008D2CBA"/>
    <w:rsid w:val="008D40D6"/>
    <w:rsid w:val="008E0FCC"/>
    <w:rsid w:val="008E2FE3"/>
    <w:rsid w:val="008E356A"/>
    <w:rsid w:val="008E5F34"/>
    <w:rsid w:val="008F0019"/>
    <w:rsid w:val="008F2267"/>
    <w:rsid w:val="008F3EE2"/>
    <w:rsid w:val="008F4FBB"/>
    <w:rsid w:val="008F5D30"/>
    <w:rsid w:val="008F6B23"/>
    <w:rsid w:val="00910B3C"/>
    <w:rsid w:val="00911243"/>
    <w:rsid w:val="0091226B"/>
    <w:rsid w:val="009127D8"/>
    <w:rsid w:val="00912EA2"/>
    <w:rsid w:val="009161B8"/>
    <w:rsid w:val="0091627F"/>
    <w:rsid w:val="00916488"/>
    <w:rsid w:val="0092221E"/>
    <w:rsid w:val="009223EA"/>
    <w:rsid w:val="009231E0"/>
    <w:rsid w:val="00925C63"/>
    <w:rsid w:val="00926E16"/>
    <w:rsid w:val="00932406"/>
    <w:rsid w:val="00933EF5"/>
    <w:rsid w:val="00935BE4"/>
    <w:rsid w:val="00935F01"/>
    <w:rsid w:val="0094047D"/>
    <w:rsid w:val="009438A8"/>
    <w:rsid w:val="0094508D"/>
    <w:rsid w:val="009506A7"/>
    <w:rsid w:val="009549DD"/>
    <w:rsid w:val="0095686F"/>
    <w:rsid w:val="00960CAB"/>
    <w:rsid w:val="00962D6C"/>
    <w:rsid w:val="0096333C"/>
    <w:rsid w:val="00965D9D"/>
    <w:rsid w:val="00967230"/>
    <w:rsid w:val="00972C13"/>
    <w:rsid w:val="00976F3B"/>
    <w:rsid w:val="00980729"/>
    <w:rsid w:val="009812D7"/>
    <w:rsid w:val="00982E99"/>
    <w:rsid w:val="00982FBA"/>
    <w:rsid w:val="0098491A"/>
    <w:rsid w:val="00990D82"/>
    <w:rsid w:val="00993BFE"/>
    <w:rsid w:val="00993CE0"/>
    <w:rsid w:val="00995931"/>
    <w:rsid w:val="009963CB"/>
    <w:rsid w:val="00996CAF"/>
    <w:rsid w:val="009A3D14"/>
    <w:rsid w:val="009A5130"/>
    <w:rsid w:val="009A5714"/>
    <w:rsid w:val="009A5A15"/>
    <w:rsid w:val="009A5DA7"/>
    <w:rsid w:val="009A764B"/>
    <w:rsid w:val="009B1AEC"/>
    <w:rsid w:val="009B2845"/>
    <w:rsid w:val="009C59BA"/>
    <w:rsid w:val="009C63F9"/>
    <w:rsid w:val="009C6F56"/>
    <w:rsid w:val="009D1D57"/>
    <w:rsid w:val="009D1DE1"/>
    <w:rsid w:val="009E2544"/>
    <w:rsid w:val="009E2770"/>
    <w:rsid w:val="009E2D72"/>
    <w:rsid w:val="009E41C2"/>
    <w:rsid w:val="009E4A43"/>
    <w:rsid w:val="009E6C5F"/>
    <w:rsid w:val="009F2261"/>
    <w:rsid w:val="009F2C1B"/>
    <w:rsid w:val="009F3537"/>
    <w:rsid w:val="00A105E3"/>
    <w:rsid w:val="00A13C4B"/>
    <w:rsid w:val="00A15CE3"/>
    <w:rsid w:val="00A25657"/>
    <w:rsid w:val="00A27907"/>
    <w:rsid w:val="00A329B6"/>
    <w:rsid w:val="00A32C19"/>
    <w:rsid w:val="00A33303"/>
    <w:rsid w:val="00A367A1"/>
    <w:rsid w:val="00A37CBD"/>
    <w:rsid w:val="00A415D2"/>
    <w:rsid w:val="00A4372E"/>
    <w:rsid w:val="00A460BA"/>
    <w:rsid w:val="00A46A3F"/>
    <w:rsid w:val="00A510F6"/>
    <w:rsid w:val="00A511DE"/>
    <w:rsid w:val="00A54F89"/>
    <w:rsid w:val="00A569DF"/>
    <w:rsid w:val="00A60F87"/>
    <w:rsid w:val="00A651C9"/>
    <w:rsid w:val="00A657F1"/>
    <w:rsid w:val="00A6700F"/>
    <w:rsid w:val="00A70F57"/>
    <w:rsid w:val="00A758DC"/>
    <w:rsid w:val="00A75B4C"/>
    <w:rsid w:val="00A80739"/>
    <w:rsid w:val="00A81DBC"/>
    <w:rsid w:val="00A83829"/>
    <w:rsid w:val="00A85AFF"/>
    <w:rsid w:val="00A95100"/>
    <w:rsid w:val="00A95465"/>
    <w:rsid w:val="00AA2A39"/>
    <w:rsid w:val="00AA615B"/>
    <w:rsid w:val="00AA6B2A"/>
    <w:rsid w:val="00AA7209"/>
    <w:rsid w:val="00AB0DED"/>
    <w:rsid w:val="00AB254D"/>
    <w:rsid w:val="00AB5F84"/>
    <w:rsid w:val="00AC0C81"/>
    <w:rsid w:val="00AC5FE7"/>
    <w:rsid w:val="00AD286D"/>
    <w:rsid w:val="00AD456B"/>
    <w:rsid w:val="00AD519D"/>
    <w:rsid w:val="00AD5FA4"/>
    <w:rsid w:val="00AD6359"/>
    <w:rsid w:val="00AD7725"/>
    <w:rsid w:val="00AE13A1"/>
    <w:rsid w:val="00AE194E"/>
    <w:rsid w:val="00AE1C6D"/>
    <w:rsid w:val="00AE1CAD"/>
    <w:rsid w:val="00AE355C"/>
    <w:rsid w:val="00AE3E95"/>
    <w:rsid w:val="00AE668A"/>
    <w:rsid w:val="00AE6858"/>
    <w:rsid w:val="00AF185A"/>
    <w:rsid w:val="00AF2203"/>
    <w:rsid w:val="00AF3494"/>
    <w:rsid w:val="00AF4523"/>
    <w:rsid w:val="00AF5C62"/>
    <w:rsid w:val="00AF6D01"/>
    <w:rsid w:val="00AF7270"/>
    <w:rsid w:val="00AF7DE1"/>
    <w:rsid w:val="00AF7F8A"/>
    <w:rsid w:val="00B0135B"/>
    <w:rsid w:val="00B04B43"/>
    <w:rsid w:val="00B100E5"/>
    <w:rsid w:val="00B139DC"/>
    <w:rsid w:val="00B13D2B"/>
    <w:rsid w:val="00B17BC5"/>
    <w:rsid w:val="00B2158C"/>
    <w:rsid w:val="00B2365C"/>
    <w:rsid w:val="00B24E57"/>
    <w:rsid w:val="00B2594C"/>
    <w:rsid w:val="00B259A3"/>
    <w:rsid w:val="00B26E57"/>
    <w:rsid w:val="00B26F43"/>
    <w:rsid w:val="00B30582"/>
    <w:rsid w:val="00B30D96"/>
    <w:rsid w:val="00B3256D"/>
    <w:rsid w:val="00B331DC"/>
    <w:rsid w:val="00B33648"/>
    <w:rsid w:val="00B35602"/>
    <w:rsid w:val="00B35792"/>
    <w:rsid w:val="00B4229D"/>
    <w:rsid w:val="00B44EB3"/>
    <w:rsid w:val="00B46660"/>
    <w:rsid w:val="00B47CBC"/>
    <w:rsid w:val="00B502EC"/>
    <w:rsid w:val="00B5123E"/>
    <w:rsid w:val="00B51CF5"/>
    <w:rsid w:val="00B522C4"/>
    <w:rsid w:val="00B52B0E"/>
    <w:rsid w:val="00B5337D"/>
    <w:rsid w:val="00B62DD9"/>
    <w:rsid w:val="00B63A7D"/>
    <w:rsid w:val="00B65290"/>
    <w:rsid w:val="00B67C63"/>
    <w:rsid w:val="00B70E26"/>
    <w:rsid w:val="00B70F47"/>
    <w:rsid w:val="00B77186"/>
    <w:rsid w:val="00B77C40"/>
    <w:rsid w:val="00B807FE"/>
    <w:rsid w:val="00B8272C"/>
    <w:rsid w:val="00B84E9D"/>
    <w:rsid w:val="00B85769"/>
    <w:rsid w:val="00B866C8"/>
    <w:rsid w:val="00B9767F"/>
    <w:rsid w:val="00B97D95"/>
    <w:rsid w:val="00BA6091"/>
    <w:rsid w:val="00BA7E78"/>
    <w:rsid w:val="00BB0EA7"/>
    <w:rsid w:val="00BB3DBA"/>
    <w:rsid w:val="00BB59F9"/>
    <w:rsid w:val="00BB79F6"/>
    <w:rsid w:val="00BC15B8"/>
    <w:rsid w:val="00BC3D32"/>
    <w:rsid w:val="00BC5279"/>
    <w:rsid w:val="00BC6C4E"/>
    <w:rsid w:val="00BC71A3"/>
    <w:rsid w:val="00BD0A88"/>
    <w:rsid w:val="00BD23BD"/>
    <w:rsid w:val="00BD310A"/>
    <w:rsid w:val="00BD5341"/>
    <w:rsid w:val="00BD58A7"/>
    <w:rsid w:val="00BD77F0"/>
    <w:rsid w:val="00BD7FF3"/>
    <w:rsid w:val="00BE1E33"/>
    <w:rsid w:val="00BE2AD3"/>
    <w:rsid w:val="00BE2B56"/>
    <w:rsid w:val="00BE36F7"/>
    <w:rsid w:val="00BE4E4A"/>
    <w:rsid w:val="00BF1787"/>
    <w:rsid w:val="00BF2443"/>
    <w:rsid w:val="00C00831"/>
    <w:rsid w:val="00C0223D"/>
    <w:rsid w:val="00C02D09"/>
    <w:rsid w:val="00C03689"/>
    <w:rsid w:val="00C065F5"/>
    <w:rsid w:val="00C069D0"/>
    <w:rsid w:val="00C11BCD"/>
    <w:rsid w:val="00C12201"/>
    <w:rsid w:val="00C13418"/>
    <w:rsid w:val="00C1405A"/>
    <w:rsid w:val="00C22412"/>
    <w:rsid w:val="00C24EAC"/>
    <w:rsid w:val="00C25E14"/>
    <w:rsid w:val="00C266A5"/>
    <w:rsid w:val="00C30B92"/>
    <w:rsid w:val="00C32446"/>
    <w:rsid w:val="00C362B9"/>
    <w:rsid w:val="00C40C84"/>
    <w:rsid w:val="00C44D8B"/>
    <w:rsid w:val="00C4526C"/>
    <w:rsid w:val="00C50B1B"/>
    <w:rsid w:val="00C52801"/>
    <w:rsid w:val="00C551C3"/>
    <w:rsid w:val="00C6210F"/>
    <w:rsid w:val="00C6572A"/>
    <w:rsid w:val="00C658A1"/>
    <w:rsid w:val="00C70C7D"/>
    <w:rsid w:val="00C745C6"/>
    <w:rsid w:val="00C75D22"/>
    <w:rsid w:val="00C75DB8"/>
    <w:rsid w:val="00C76A82"/>
    <w:rsid w:val="00C76D92"/>
    <w:rsid w:val="00C83AD2"/>
    <w:rsid w:val="00C964DE"/>
    <w:rsid w:val="00C96C57"/>
    <w:rsid w:val="00C96EC1"/>
    <w:rsid w:val="00C97F69"/>
    <w:rsid w:val="00CA3C3B"/>
    <w:rsid w:val="00CA5790"/>
    <w:rsid w:val="00CA58FB"/>
    <w:rsid w:val="00CA634C"/>
    <w:rsid w:val="00CA66DF"/>
    <w:rsid w:val="00CB004E"/>
    <w:rsid w:val="00CB7787"/>
    <w:rsid w:val="00CC1134"/>
    <w:rsid w:val="00CC36FD"/>
    <w:rsid w:val="00CC3C9A"/>
    <w:rsid w:val="00CD040F"/>
    <w:rsid w:val="00CD05DC"/>
    <w:rsid w:val="00CD3C6F"/>
    <w:rsid w:val="00CD5DF3"/>
    <w:rsid w:val="00CE153F"/>
    <w:rsid w:val="00CF183E"/>
    <w:rsid w:val="00CF326B"/>
    <w:rsid w:val="00CF605F"/>
    <w:rsid w:val="00CF6C6F"/>
    <w:rsid w:val="00D03E5C"/>
    <w:rsid w:val="00D058DF"/>
    <w:rsid w:val="00D0763E"/>
    <w:rsid w:val="00D12644"/>
    <w:rsid w:val="00D1531B"/>
    <w:rsid w:val="00D15EAB"/>
    <w:rsid w:val="00D161A4"/>
    <w:rsid w:val="00D22B53"/>
    <w:rsid w:val="00D24682"/>
    <w:rsid w:val="00D24F06"/>
    <w:rsid w:val="00D25AEF"/>
    <w:rsid w:val="00D349EE"/>
    <w:rsid w:val="00D3779A"/>
    <w:rsid w:val="00D37A3A"/>
    <w:rsid w:val="00D37F03"/>
    <w:rsid w:val="00D404BB"/>
    <w:rsid w:val="00D421E8"/>
    <w:rsid w:val="00D43ADB"/>
    <w:rsid w:val="00D43ECF"/>
    <w:rsid w:val="00D556E6"/>
    <w:rsid w:val="00D56763"/>
    <w:rsid w:val="00D56D47"/>
    <w:rsid w:val="00D644D8"/>
    <w:rsid w:val="00D7088A"/>
    <w:rsid w:val="00D70FB4"/>
    <w:rsid w:val="00D74A1C"/>
    <w:rsid w:val="00D75806"/>
    <w:rsid w:val="00D76CC1"/>
    <w:rsid w:val="00D76E57"/>
    <w:rsid w:val="00D815C1"/>
    <w:rsid w:val="00D81EEF"/>
    <w:rsid w:val="00D822D9"/>
    <w:rsid w:val="00D838D1"/>
    <w:rsid w:val="00D84DC5"/>
    <w:rsid w:val="00D85C85"/>
    <w:rsid w:val="00D87665"/>
    <w:rsid w:val="00D87808"/>
    <w:rsid w:val="00D923D3"/>
    <w:rsid w:val="00D92F6C"/>
    <w:rsid w:val="00D93CB6"/>
    <w:rsid w:val="00D95879"/>
    <w:rsid w:val="00D95C0B"/>
    <w:rsid w:val="00D961FC"/>
    <w:rsid w:val="00D97A6B"/>
    <w:rsid w:val="00DA2FA3"/>
    <w:rsid w:val="00DA585A"/>
    <w:rsid w:val="00DA681A"/>
    <w:rsid w:val="00DB35CF"/>
    <w:rsid w:val="00DB3F57"/>
    <w:rsid w:val="00DB751D"/>
    <w:rsid w:val="00DC0138"/>
    <w:rsid w:val="00DC1941"/>
    <w:rsid w:val="00DC22C6"/>
    <w:rsid w:val="00DC59FA"/>
    <w:rsid w:val="00DC679E"/>
    <w:rsid w:val="00DD0E98"/>
    <w:rsid w:val="00DD1A92"/>
    <w:rsid w:val="00DD265C"/>
    <w:rsid w:val="00DD2D2E"/>
    <w:rsid w:val="00DE0E26"/>
    <w:rsid w:val="00DE151E"/>
    <w:rsid w:val="00DE4927"/>
    <w:rsid w:val="00DE6220"/>
    <w:rsid w:val="00DE64DE"/>
    <w:rsid w:val="00DE7AB4"/>
    <w:rsid w:val="00DF0661"/>
    <w:rsid w:val="00DF0F6A"/>
    <w:rsid w:val="00DF27C0"/>
    <w:rsid w:val="00DF2F9C"/>
    <w:rsid w:val="00DF4D86"/>
    <w:rsid w:val="00DF6644"/>
    <w:rsid w:val="00DF7F6E"/>
    <w:rsid w:val="00E0053A"/>
    <w:rsid w:val="00E01D84"/>
    <w:rsid w:val="00E030B1"/>
    <w:rsid w:val="00E0556E"/>
    <w:rsid w:val="00E05A04"/>
    <w:rsid w:val="00E06117"/>
    <w:rsid w:val="00E06637"/>
    <w:rsid w:val="00E1021F"/>
    <w:rsid w:val="00E137BB"/>
    <w:rsid w:val="00E17AA0"/>
    <w:rsid w:val="00E204B4"/>
    <w:rsid w:val="00E221EC"/>
    <w:rsid w:val="00E24F0B"/>
    <w:rsid w:val="00E25964"/>
    <w:rsid w:val="00E30DF1"/>
    <w:rsid w:val="00E3199C"/>
    <w:rsid w:val="00E33820"/>
    <w:rsid w:val="00E35B0E"/>
    <w:rsid w:val="00E42425"/>
    <w:rsid w:val="00E53A9A"/>
    <w:rsid w:val="00E56801"/>
    <w:rsid w:val="00E574C3"/>
    <w:rsid w:val="00E62E6F"/>
    <w:rsid w:val="00E6312F"/>
    <w:rsid w:val="00E63ADB"/>
    <w:rsid w:val="00E64988"/>
    <w:rsid w:val="00E64A38"/>
    <w:rsid w:val="00E650D8"/>
    <w:rsid w:val="00E71485"/>
    <w:rsid w:val="00E756AC"/>
    <w:rsid w:val="00E8381A"/>
    <w:rsid w:val="00E85358"/>
    <w:rsid w:val="00E87596"/>
    <w:rsid w:val="00E87794"/>
    <w:rsid w:val="00E95820"/>
    <w:rsid w:val="00E96422"/>
    <w:rsid w:val="00EA2448"/>
    <w:rsid w:val="00EA3B7D"/>
    <w:rsid w:val="00EA5A59"/>
    <w:rsid w:val="00EB3D8F"/>
    <w:rsid w:val="00EB5184"/>
    <w:rsid w:val="00EB5931"/>
    <w:rsid w:val="00EB5A65"/>
    <w:rsid w:val="00EC092E"/>
    <w:rsid w:val="00EC1F05"/>
    <w:rsid w:val="00EC28A2"/>
    <w:rsid w:val="00EC2D8F"/>
    <w:rsid w:val="00ED0FE3"/>
    <w:rsid w:val="00ED1022"/>
    <w:rsid w:val="00ED1F11"/>
    <w:rsid w:val="00ED3EF0"/>
    <w:rsid w:val="00ED5E06"/>
    <w:rsid w:val="00ED5F08"/>
    <w:rsid w:val="00ED6F06"/>
    <w:rsid w:val="00EE121F"/>
    <w:rsid w:val="00EE2707"/>
    <w:rsid w:val="00EE6A02"/>
    <w:rsid w:val="00EF2CA6"/>
    <w:rsid w:val="00EF4DC4"/>
    <w:rsid w:val="00EF553C"/>
    <w:rsid w:val="00F0422A"/>
    <w:rsid w:val="00F0523A"/>
    <w:rsid w:val="00F117B1"/>
    <w:rsid w:val="00F12D75"/>
    <w:rsid w:val="00F134F9"/>
    <w:rsid w:val="00F17AD4"/>
    <w:rsid w:val="00F2127E"/>
    <w:rsid w:val="00F218E0"/>
    <w:rsid w:val="00F21DDD"/>
    <w:rsid w:val="00F24382"/>
    <w:rsid w:val="00F24C62"/>
    <w:rsid w:val="00F26DB6"/>
    <w:rsid w:val="00F27497"/>
    <w:rsid w:val="00F32C87"/>
    <w:rsid w:val="00F33F55"/>
    <w:rsid w:val="00F34138"/>
    <w:rsid w:val="00F3642B"/>
    <w:rsid w:val="00F3784C"/>
    <w:rsid w:val="00F379D7"/>
    <w:rsid w:val="00F41276"/>
    <w:rsid w:val="00F4230D"/>
    <w:rsid w:val="00F44894"/>
    <w:rsid w:val="00F45997"/>
    <w:rsid w:val="00F47FCE"/>
    <w:rsid w:val="00F501D2"/>
    <w:rsid w:val="00F5266F"/>
    <w:rsid w:val="00F55AB2"/>
    <w:rsid w:val="00F55C60"/>
    <w:rsid w:val="00F56447"/>
    <w:rsid w:val="00F573FF"/>
    <w:rsid w:val="00F619ED"/>
    <w:rsid w:val="00F64055"/>
    <w:rsid w:val="00F67011"/>
    <w:rsid w:val="00F7087E"/>
    <w:rsid w:val="00F710C6"/>
    <w:rsid w:val="00F74EAE"/>
    <w:rsid w:val="00F848D2"/>
    <w:rsid w:val="00F85509"/>
    <w:rsid w:val="00F87FD4"/>
    <w:rsid w:val="00F911E4"/>
    <w:rsid w:val="00F9481A"/>
    <w:rsid w:val="00F964FD"/>
    <w:rsid w:val="00F96AB1"/>
    <w:rsid w:val="00F97692"/>
    <w:rsid w:val="00F9783F"/>
    <w:rsid w:val="00F978B3"/>
    <w:rsid w:val="00FA2523"/>
    <w:rsid w:val="00FA25BF"/>
    <w:rsid w:val="00FA282C"/>
    <w:rsid w:val="00FA547C"/>
    <w:rsid w:val="00FB3A3B"/>
    <w:rsid w:val="00FB44F1"/>
    <w:rsid w:val="00FB603A"/>
    <w:rsid w:val="00FC50BF"/>
    <w:rsid w:val="00FC755D"/>
    <w:rsid w:val="00FD1BC4"/>
    <w:rsid w:val="00FD2D6D"/>
    <w:rsid w:val="00FD376E"/>
    <w:rsid w:val="00FD724A"/>
    <w:rsid w:val="00FE00F9"/>
    <w:rsid w:val="00FE22E3"/>
    <w:rsid w:val="00FE3DFF"/>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50F1F1"/>
  <w15:docId w15:val="{7240A51C-4FA4-4FFA-84F4-79C713C53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849"/>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02175E"/>
    <w:rPr>
      <w:rFonts w:ascii="Times New Roman" w:eastAsia="Times New Roman" w:hAnsi="Times New Roman" w:cs="Times New Roman"/>
      <w:sz w:val="24"/>
      <w:szCs w:val="24"/>
      <w:lang w:eastAsia="es-ES_tradnl"/>
    </w:rPr>
  </w:style>
  <w:style w:type="paragraph" w:customStyle="1" w:styleId="Car1">
    <w:name w:val="Car1"/>
    <w:basedOn w:val="Normal"/>
    <w:next w:val="Textonotapie"/>
    <w:uiPriority w:val="99"/>
    <w:unhideWhenUsed/>
    <w:qFormat/>
    <w:rsid w:val="00B85769"/>
    <w:rPr>
      <w:rFonts w:ascii="Calibri" w:eastAsia="Calibri" w:hAnsi="Calibri" w:cs="Times New Roman"/>
      <w:sz w:val="20"/>
      <w:szCs w:val="20"/>
    </w:rPr>
  </w:style>
  <w:style w:type="character" w:customStyle="1" w:styleId="eop">
    <w:name w:val="eop"/>
    <w:basedOn w:val="Fuentedeprrafopredeter"/>
    <w:rsid w:val="00C65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402526769">
          <w:marLeft w:val="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71367">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2037461834">
              <w:marLeft w:val="0"/>
              <w:marRight w:val="0"/>
              <w:marTop w:val="0"/>
              <w:marBottom w:val="0"/>
              <w:divBdr>
                <w:top w:val="none" w:sz="0" w:space="0" w:color="auto"/>
                <w:left w:val="none" w:sz="0" w:space="0" w:color="auto"/>
                <w:bottom w:val="none" w:sz="0" w:space="0" w:color="auto"/>
                <w:right w:val="none" w:sz="0" w:space="0" w:color="auto"/>
              </w:divBdr>
            </w:div>
            <w:div w:id="2084179664">
              <w:marLeft w:val="0"/>
              <w:marRight w:val="0"/>
              <w:marTop w:val="0"/>
              <w:marBottom w:val="0"/>
              <w:divBdr>
                <w:top w:val="none" w:sz="0" w:space="0" w:color="auto"/>
                <w:left w:val="none" w:sz="0" w:space="0" w:color="auto"/>
                <w:bottom w:val="none" w:sz="0" w:space="0" w:color="auto"/>
                <w:right w:val="none" w:sz="0" w:space="0" w:color="auto"/>
              </w:divBdr>
            </w:div>
          </w:divsChild>
        </w:div>
        <w:div w:id="1200389164">
          <w:marLeft w:val="0"/>
          <w:marRight w:val="0"/>
          <w:marTop w:val="0"/>
          <w:marBottom w:val="0"/>
          <w:divBdr>
            <w:top w:val="none" w:sz="0" w:space="0" w:color="auto"/>
            <w:left w:val="none" w:sz="0" w:space="0" w:color="auto"/>
            <w:bottom w:val="none" w:sz="0" w:space="0" w:color="auto"/>
            <w:right w:val="none" w:sz="0" w:space="0" w:color="auto"/>
          </w:divBdr>
        </w:div>
        <w:div w:id="1202671293">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64522892">
      <w:bodyDiv w:val="1"/>
      <w:marLeft w:val="0"/>
      <w:marRight w:val="0"/>
      <w:marTop w:val="0"/>
      <w:marBottom w:val="0"/>
      <w:divBdr>
        <w:top w:val="none" w:sz="0" w:space="0" w:color="auto"/>
        <w:left w:val="none" w:sz="0" w:space="0" w:color="auto"/>
        <w:bottom w:val="none" w:sz="0" w:space="0" w:color="auto"/>
        <w:right w:val="none" w:sz="0" w:space="0" w:color="auto"/>
      </w:divBdr>
      <w:divsChild>
        <w:div w:id="168450999">
          <w:marLeft w:val="0"/>
          <w:marRight w:val="0"/>
          <w:marTop w:val="0"/>
          <w:marBottom w:val="0"/>
          <w:divBdr>
            <w:top w:val="none" w:sz="0" w:space="0" w:color="auto"/>
            <w:left w:val="none" w:sz="0" w:space="0" w:color="auto"/>
            <w:bottom w:val="none" w:sz="0" w:space="0" w:color="auto"/>
            <w:right w:val="none" w:sz="0" w:space="0" w:color="auto"/>
          </w:divBdr>
          <w:divsChild>
            <w:div w:id="1772044046">
              <w:marLeft w:val="0"/>
              <w:marRight w:val="0"/>
              <w:marTop w:val="0"/>
              <w:marBottom w:val="0"/>
              <w:divBdr>
                <w:top w:val="none" w:sz="0" w:space="0" w:color="auto"/>
                <w:left w:val="none" w:sz="0" w:space="0" w:color="auto"/>
                <w:bottom w:val="none" w:sz="0" w:space="0" w:color="auto"/>
                <w:right w:val="none" w:sz="0" w:space="0" w:color="auto"/>
              </w:divBdr>
              <w:divsChild>
                <w:div w:id="770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26385364">
          <w:marLeft w:val="0"/>
          <w:marRight w:val="0"/>
          <w:marTop w:val="0"/>
          <w:marBottom w:val="0"/>
          <w:divBdr>
            <w:top w:val="none" w:sz="0" w:space="0" w:color="auto"/>
            <w:left w:val="none" w:sz="0" w:space="0" w:color="auto"/>
            <w:bottom w:val="none" w:sz="0" w:space="0" w:color="auto"/>
            <w:right w:val="none" w:sz="0" w:space="0" w:color="auto"/>
          </w:divBdr>
        </w:div>
        <w:div w:id="453256617">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sChild>
    </w:div>
    <w:div w:id="797648462">
      <w:bodyDiv w:val="1"/>
      <w:marLeft w:val="0"/>
      <w:marRight w:val="0"/>
      <w:marTop w:val="0"/>
      <w:marBottom w:val="0"/>
      <w:divBdr>
        <w:top w:val="none" w:sz="0" w:space="0" w:color="auto"/>
        <w:left w:val="none" w:sz="0" w:space="0" w:color="auto"/>
        <w:bottom w:val="none" w:sz="0" w:space="0" w:color="auto"/>
        <w:right w:val="none" w:sz="0" w:space="0" w:color="auto"/>
      </w:divBdr>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873809228">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484276789">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A85C5-6DD7-49F7-8710-03CB77B71D21}">
  <ds:schemaRefs>
    <ds:schemaRef ds:uri="9d85dbaf-23eb-4e57-a637-93dcacc8b1a1"/>
    <ds:schemaRef ds:uri="http://purl.org/dc/dcmitype/"/>
    <ds:schemaRef ds:uri="http://purl.org/dc/elements/1.1/"/>
    <ds:schemaRef ds:uri="http://schemas.microsoft.com/office/2006/metadata/properties"/>
    <ds:schemaRef ds:uri="http://schemas.microsoft.com/office/2006/documentManagement/types"/>
    <ds:schemaRef ds:uri="a6cb9e4b-f1d1-4245-83ec-6cad768d538a"/>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DD24399F-D60D-4986-BE48-234599E514BD}">
  <ds:schemaRefs>
    <ds:schemaRef ds:uri="http://schemas.openxmlformats.org/officeDocument/2006/bibliography"/>
  </ds:schemaRefs>
</ds:datastoreItem>
</file>

<file path=customXml/itemProps3.xml><?xml version="1.0" encoding="utf-8"?>
<ds:datastoreItem xmlns:ds="http://schemas.openxmlformats.org/officeDocument/2006/customXml" ds:itemID="{08481BB7-BC4D-448F-BE9A-42205F33A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4803</Words>
  <Characters>26419</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Nasly Yeana Mosquera Rivas</cp:lastModifiedBy>
  <cp:revision>2</cp:revision>
  <cp:lastPrinted>2020-03-17T17:42:00Z</cp:lastPrinted>
  <dcterms:created xsi:type="dcterms:W3CDTF">2021-12-23T15:55:00Z</dcterms:created>
  <dcterms:modified xsi:type="dcterms:W3CDTF">2021-12-23T15:55:00Z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