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F1486B" w:rsidR="00DD689E" w:rsidP="00DD689E" w:rsidRDefault="00DD689E" w14:paraId="26DC4D76" w14:textId="77777777">
      <w:pPr>
        <w:jc w:val="right"/>
        <w:rPr>
          <w:rFonts w:ascii="Arial" w:hAnsi="Arial" w:cs="Arial"/>
          <w:bCs/>
          <w:sz w:val="16"/>
          <w:szCs w:val="16"/>
          <w:lang w:eastAsia="es-ES"/>
        </w:rPr>
      </w:pPr>
      <w:bookmarkStart w:name="_Hlk28946138" w:id="0"/>
      <w:bookmarkStart w:name="_Hlk29548183" w:id="1"/>
      <w:r w:rsidRPr="00F1486B">
        <w:rPr>
          <w:rFonts w:ascii="Arial" w:hAnsi="Arial" w:cs="Arial"/>
          <w:b/>
          <w:sz w:val="16"/>
          <w:szCs w:val="16"/>
          <w:lang w:eastAsia="es-ES"/>
        </w:rPr>
        <w:tab/>
      </w:r>
      <w:r w:rsidRPr="00F1486B">
        <w:rPr>
          <w:rFonts w:ascii="Arial" w:hAnsi="Arial" w:cs="Arial"/>
          <w:bCs/>
          <w:sz w:val="16"/>
          <w:szCs w:val="16"/>
          <w:lang w:eastAsia="es-ES"/>
        </w:rPr>
        <w:t>CCE-DES-FM-17</w:t>
      </w:r>
    </w:p>
    <w:p w:rsidRPr="00F1486B" w:rsidR="00DD689E" w:rsidP="00DD689E" w:rsidRDefault="00DD689E" w14:paraId="6C9475B7" w14:textId="77777777">
      <w:pPr>
        <w:jc w:val="both"/>
        <w:rPr>
          <w:rFonts w:ascii="Arial" w:hAnsi="Arial" w:eastAsia="Calibri" w:cs="Arial"/>
          <w:b/>
          <w:sz w:val="20"/>
          <w:szCs w:val="20"/>
        </w:rPr>
      </w:pPr>
    </w:p>
    <w:p w:rsidRPr="00F1486B" w:rsidR="00F1486B" w:rsidP="006055CD" w:rsidRDefault="00F1486B" w14:paraId="5CE51CE1" w14:textId="673EFA8E">
      <w:pPr>
        <w:jc w:val="both"/>
        <w:rPr>
          <w:rFonts w:ascii="Arial" w:hAnsi="Arial" w:cs="Arial"/>
          <w:b/>
          <w:bCs/>
          <w:sz w:val="22"/>
        </w:rPr>
      </w:pPr>
      <w:r w:rsidRPr="00F1486B">
        <w:rPr>
          <w:rFonts w:ascii="Arial" w:hAnsi="Arial" w:cs="Arial"/>
          <w:b/>
          <w:bCs/>
          <w:sz w:val="22"/>
        </w:rPr>
        <w:t>BOX CULVERT – Noción – Proyecto de mejoramiento</w:t>
      </w:r>
    </w:p>
    <w:p w:rsidRPr="00F1486B" w:rsidR="00F1486B" w:rsidP="006055CD" w:rsidRDefault="00F1486B" w14:paraId="761F143E" w14:textId="215875A1">
      <w:pPr>
        <w:jc w:val="both"/>
        <w:rPr>
          <w:rFonts w:ascii="Arial" w:hAnsi="Arial" w:cs="Arial"/>
          <w:sz w:val="20"/>
          <w:szCs w:val="20"/>
        </w:rPr>
      </w:pPr>
    </w:p>
    <w:p w:rsidRPr="00FB04FD" w:rsidR="00FB04FD" w:rsidP="00FB04FD" w:rsidRDefault="00F1486B" w14:paraId="0CB55759" w14:textId="0A78EFD6">
      <w:pPr>
        <w:spacing w:after="120"/>
        <w:jc w:val="both"/>
        <w:rPr>
          <w:rFonts w:ascii="Arial" w:hAnsi="Arial" w:cs="Arial"/>
          <w:sz w:val="20"/>
          <w:szCs w:val="20"/>
        </w:rPr>
      </w:pPr>
      <w:r w:rsidRPr="00F1486B">
        <w:rPr>
          <w:rFonts w:ascii="Arial" w:hAnsi="Arial" w:cs="Arial"/>
          <w:sz w:val="20"/>
          <w:szCs w:val="20"/>
        </w:rPr>
        <w:t xml:space="preserve">[…] </w:t>
      </w:r>
      <w:r w:rsidRPr="00FB04FD" w:rsidR="00FB04FD">
        <w:rPr>
          <w:rFonts w:ascii="Arial" w:hAnsi="Arial" w:cs="Arial"/>
          <w:sz w:val="20"/>
          <w:szCs w:val="20"/>
        </w:rPr>
        <w:t xml:space="preserve">es necesario recordar que la referida expresión </w:t>
      </w:r>
      <w:r w:rsidR="00FB04FD">
        <w:rPr>
          <w:rFonts w:ascii="Arial" w:hAnsi="Arial" w:cs="Arial"/>
          <w:sz w:val="20"/>
          <w:szCs w:val="20"/>
        </w:rPr>
        <w:t xml:space="preserve">[box </w:t>
      </w:r>
      <w:proofErr w:type="spellStart"/>
      <w:r w:rsidR="00FB04FD">
        <w:rPr>
          <w:rFonts w:ascii="Arial" w:hAnsi="Arial" w:cs="Arial"/>
          <w:sz w:val="20"/>
          <w:szCs w:val="20"/>
        </w:rPr>
        <w:t>culvert</w:t>
      </w:r>
      <w:proofErr w:type="spellEnd"/>
      <w:r w:rsidR="00FB04FD">
        <w:rPr>
          <w:rFonts w:ascii="Arial" w:hAnsi="Arial" w:cs="Arial"/>
          <w:sz w:val="20"/>
          <w:szCs w:val="20"/>
        </w:rPr>
        <w:t xml:space="preserve">] </w:t>
      </w:r>
      <w:r w:rsidRPr="00FB04FD" w:rsidR="00FB04FD">
        <w:rPr>
          <w:rFonts w:ascii="Arial" w:hAnsi="Arial" w:cs="Arial"/>
          <w:sz w:val="20"/>
          <w:szCs w:val="20"/>
        </w:rPr>
        <w:t>constituye un anglicismo que hace referencia a un tipo de infraestructura «construida in situ o prefabricada en concreto, con forma de caja, que se encuentra debajo de un terraplén para drenar el agua de un lado de la carretera al otro</w:t>
      </w:r>
      <w:proofErr w:type="gramStart"/>
      <w:r w:rsidRPr="00FB04FD" w:rsidR="00FB04FD">
        <w:rPr>
          <w:rFonts w:ascii="Arial" w:hAnsi="Arial" w:cs="Arial"/>
          <w:sz w:val="20"/>
          <w:szCs w:val="20"/>
        </w:rPr>
        <w:t>» .</w:t>
      </w:r>
      <w:proofErr w:type="gramEnd"/>
      <w:r w:rsidRPr="00FB04FD" w:rsidR="00FB04FD">
        <w:rPr>
          <w:rFonts w:ascii="Arial" w:hAnsi="Arial" w:cs="Arial"/>
          <w:sz w:val="20"/>
          <w:szCs w:val="20"/>
        </w:rPr>
        <w:t xml:space="preserve"> En otras palabras, es «una estructura de sección cuadrada o rectangular que se fabrica de concreto armado a desnivel y permiten el paso de personas, animales y cuerpos de agua de un lado a otro de la vía</w:t>
      </w:r>
      <w:proofErr w:type="gramStart"/>
      <w:r w:rsidRPr="00FB04FD" w:rsidR="00FB04FD">
        <w:rPr>
          <w:rFonts w:ascii="Arial" w:hAnsi="Arial" w:cs="Arial"/>
          <w:sz w:val="20"/>
          <w:szCs w:val="20"/>
        </w:rPr>
        <w:t>» .</w:t>
      </w:r>
      <w:proofErr w:type="gramEnd"/>
    </w:p>
    <w:p w:rsidRPr="00F1486B" w:rsidR="00F1486B" w:rsidP="00FB04FD" w:rsidRDefault="00FB04FD" w14:paraId="5FC9356D" w14:textId="15B02995">
      <w:pPr>
        <w:spacing w:after="120"/>
        <w:jc w:val="both"/>
        <w:rPr>
          <w:rFonts w:ascii="Arial" w:hAnsi="Arial" w:cs="Arial"/>
          <w:sz w:val="20"/>
          <w:szCs w:val="20"/>
        </w:rPr>
      </w:pPr>
      <w:r w:rsidRPr="00FB04FD">
        <w:rPr>
          <w:rFonts w:ascii="Arial" w:hAnsi="Arial" w:cs="Arial"/>
          <w:sz w:val="20"/>
          <w:szCs w:val="20"/>
        </w:rPr>
        <w:t xml:space="preserve">Conforme a tal aproximación técnica, un box </w:t>
      </w:r>
      <w:proofErr w:type="spellStart"/>
      <w:r w:rsidRPr="00FB04FD">
        <w:rPr>
          <w:rFonts w:ascii="Arial" w:hAnsi="Arial" w:cs="Arial"/>
          <w:sz w:val="20"/>
          <w:szCs w:val="20"/>
        </w:rPr>
        <w:t>culvert</w:t>
      </w:r>
      <w:proofErr w:type="spellEnd"/>
      <w:r w:rsidRPr="00FB04FD">
        <w:rPr>
          <w:rFonts w:ascii="Arial" w:hAnsi="Arial" w:cs="Arial"/>
          <w:sz w:val="20"/>
          <w:szCs w:val="20"/>
        </w:rPr>
        <w:t xml:space="preserve"> es una infraestructura de drenaje concebida para permitir el paso de cuerpos de agua, corrientes hídricas e incluso de personas y animales por debajo de una vía. Ello quiere decir que la construcción de un box </w:t>
      </w:r>
      <w:proofErr w:type="spellStart"/>
      <w:r w:rsidRPr="00FB04FD">
        <w:rPr>
          <w:rFonts w:ascii="Arial" w:hAnsi="Arial" w:cs="Arial"/>
          <w:sz w:val="20"/>
          <w:szCs w:val="20"/>
        </w:rPr>
        <w:t>culvert</w:t>
      </w:r>
      <w:proofErr w:type="spellEnd"/>
      <w:r w:rsidRPr="00FB04FD">
        <w:rPr>
          <w:rFonts w:ascii="Arial" w:hAnsi="Arial" w:cs="Arial"/>
          <w:sz w:val="20"/>
          <w:szCs w:val="20"/>
        </w:rPr>
        <w:t xml:space="preserve">, necesariamente se encuentra asociada a la intervención de una infraestructura de transporte. Sobre esto conviene recordar que la construcción de obras de drenaje, de conformidad con el «Anexo 3 – Glosario», constituye una de las actividades de obra que corresponden a proyectos de mejoramiento de </w:t>
      </w:r>
      <w:proofErr w:type="gramStart"/>
      <w:r w:rsidRPr="00FB04FD">
        <w:rPr>
          <w:rFonts w:ascii="Arial" w:hAnsi="Arial" w:cs="Arial"/>
          <w:sz w:val="20"/>
          <w:szCs w:val="20"/>
        </w:rPr>
        <w:t>vías .</w:t>
      </w:r>
      <w:proofErr w:type="gramEnd"/>
    </w:p>
    <w:p w:rsidR="00FB04FD" w:rsidP="006055CD" w:rsidRDefault="00FB04FD" w14:paraId="70CCBBB9" w14:textId="77777777">
      <w:pPr>
        <w:jc w:val="both"/>
        <w:rPr>
          <w:rFonts w:ascii="Arial" w:hAnsi="Arial" w:eastAsia="Calibri" w:cs="Arial"/>
          <w:b/>
          <w:bCs/>
          <w:sz w:val="22"/>
        </w:rPr>
      </w:pPr>
    </w:p>
    <w:p w:rsidRPr="00F1486B" w:rsidR="006055CD" w:rsidP="006055CD" w:rsidRDefault="00F1486B" w14:paraId="54433A79" w14:textId="5C959046">
      <w:pPr>
        <w:jc w:val="both"/>
        <w:rPr>
          <w:rFonts w:ascii="Arial" w:hAnsi="Arial" w:eastAsia="Calibri" w:cs="Arial"/>
          <w:b/>
          <w:bCs/>
          <w:sz w:val="22"/>
        </w:rPr>
      </w:pPr>
      <w:r w:rsidRPr="00F1486B">
        <w:rPr>
          <w:rFonts w:ascii="Arial" w:hAnsi="Arial" w:eastAsia="Calibri" w:cs="Arial"/>
          <w:b/>
          <w:bCs/>
          <w:sz w:val="22"/>
        </w:rPr>
        <w:t>DOCUMENTOS</w:t>
      </w:r>
      <w:r w:rsidRPr="00F1486B" w:rsidR="006055CD">
        <w:rPr>
          <w:rFonts w:ascii="Arial" w:hAnsi="Arial" w:eastAsia="Calibri" w:cs="Arial"/>
          <w:b/>
          <w:bCs/>
          <w:sz w:val="22"/>
        </w:rPr>
        <w:t xml:space="preserve"> TIPO – Bienes o servicios adicionales a la obra pública de infraestructura de transporte – </w:t>
      </w:r>
      <w:r w:rsidRPr="00F1486B">
        <w:rPr>
          <w:rFonts w:ascii="Arial" w:hAnsi="Arial" w:eastAsia="Calibri" w:cs="Arial"/>
          <w:b/>
          <w:bCs/>
          <w:sz w:val="22"/>
        </w:rPr>
        <w:t>Experiencia adicional – Box culvert</w:t>
      </w:r>
    </w:p>
    <w:p w:rsidRPr="00F1486B" w:rsidR="006055CD" w:rsidP="006055CD" w:rsidRDefault="006055CD" w14:paraId="32270927" w14:textId="77777777">
      <w:pPr>
        <w:jc w:val="both"/>
        <w:rPr>
          <w:rFonts w:ascii="Arial" w:hAnsi="Arial" w:eastAsia="Calibri" w:cs="Arial"/>
          <w:sz w:val="20"/>
          <w:szCs w:val="20"/>
        </w:rPr>
      </w:pPr>
    </w:p>
    <w:p w:rsidRPr="00AB219E" w:rsidR="00F1486B" w:rsidP="00DD689E" w:rsidRDefault="00FB04FD" w14:paraId="66231DEC" w14:textId="19FCC0A3">
      <w:pPr>
        <w:jc w:val="both"/>
        <w:rPr>
          <w:rFonts w:ascii="Arial" w:hAnsi="Arial" w:eastAsia="Calibri" w:cs="Arial"/>
          <w:bCs/>
          <w:sz w:val="22"/>
        </w:rPr>
      </w:pPr>
      <w:r w:rsidRPr="00FB04FD">
        <w:rPr>
          <w:rFonts w:ascii="Arial" w:hAnsi="Arial" w:eastAsia="Calibri" w:cs="Arial"/>
          <w:sz w:val="20"/>
          <w:szCs w:val="20"/>
        </w:rPr>
        <w:t xml:space="preserve">En caso de que la entidad determine que los requisitos de experiencia exigibles por cuenta de la Matriz 1, conforme al tipo de obra, actividad y cuantía del proceso, no resulten adecuados para evaluar la idoneidad de los proponentes en lo específicamente referido a la construcción del box </w:t>
      </w:r>
      <w:proofErr w:type="spellStart"/>
      <w:r w:rsidRPr="00FB04FD">
        <w:rPr>
          <w:rFonts w:ascii="Arial" w:hAnsi="Arial" w:eastAsia="Calibri" w:cs="Arial"/>
          <w:sz w:val="20"/>
          <w:szCs w:val="20"/>
        </w:rPr>
        <w:t>culvert</w:t>
      </w:r>
      <w:proofErr w:type="spellEnd"/>
      <w:r w:rsidRPr="00FB04FD">
        <w:rPr>
          <w:rFonts w:ascii="Arial" w:hAnsi="Arial" w:eastAsia="Calibri" w:cs="Arial"/>
          <w:sz w:val="20"/>
          <w:szCs w:val="20"/>
        </w:rPr>
        <w:t>, la entidad aplicará al artículo 2.2.1.2.6.1.5. del Decreto 1082 de 2015, exigiendo requisitos de experiencia adicionales o complementarios de los establecidos en la Matriz 1, siguiendo los parámetros establecidos en el referido artículo.</w:t>
      </w:r>
    </w:p>
    <w:p w:rsidRPr="00AB219E" w:rsidR="00F1486B" w:rsidP="00DD689E" w:rsidRDefault="00F1486B" w14:paraId="67AB77F7" w14:textId="77777777">
      <w:pPr>
        <w:jc w:val="both"/>
        <w:rPr>
          <w:rFonts w:ascii="Arial" w:hAnsi="Arial" w:eastAsia="Calibri" w:cs="Arial"/>
          <w:bCs/>
          <w:sz w:val="22"/>
        </w:rPr>
      </w:pPr>
    </w:p>
    <w:p w:rsidR="2F58B4AC" w:rsidP="2A1E1511" w:rsidRDefault="2F58B4AC" w14:paraId="2FE3E0D3" w14:textId="4B468B0E">
      <w:pPr>
        <w:pStyle w:val="Normal"/>
        <w:rPr>
          <w:rFonts w:ascii="Arial" w:hAnsi="Arial" w:eastAsia="Arial" w:cs="Arial"/>
          <w:b w:val="1"/>
          <w:bCs w:val="1"/>
          <w:noProof w:val="0"/>
          <w:sz w:val="22"/>
          <w:szCs w:val="22"/>
          <w:lang w:val="es-MX"/>
        </w:rPr>
      </w:pPr>
      <w:r w:rsidRPr="2A1E1511" w:rsidR="2F58B4AC">
        <w:rPr>
          <w:rFonts w:ascii="Arial" w:hAnsi="Arial" w:eastAsia="Arial" w:cs="Arial"/>
          <w:b w:val="1"/>
          <w:bCs w:val="1"/>
          <w:noProof w:val="0"/>
          <w:sz w:val="22"/>
          <w:szCs w:val="22"/>
          <w:lang w:val="es-MX"/>
        </w:rPr>
        <w:t>Bogotá D.C., 27/10/2020 Hora 10:43:14s</w:t>
      </w:r>
    </w:p>
    <w:p w:rsidRPr="00F1486B" w:rsidR="00DD5EC2" w:rsidP="00DD5EC2" w:rsidRDefault="00DD5EC2" w14:paraId="6901FF59" w14:textId="77777777">
      <w:pPr>
        <w:jc w:val="right"/>
        <w:rPr>
          <w:rFonts w:ascii="Arial" w:hAnsi="Arial" w:eastAsia="Calibri" w:cs="Arial"/>
          <w:b/>
          <w:sz w:val="22"/>
        </w:rPr>
      </w:pPr>
    </w:p>
    <w:p w:rsidR="2F58B4AC" w:rsidP="2A1E1511" w:rsidRDefault="2F58B4AC" w14:paraId="7B47B46C" w14:textId="399AAB16">
      <w:pPr>
        <w:pStyle w:val="Normal"/>
        <w:jc w:val="right"/>
        <w:rPr>
          <w:rFonts w:ascii="Arial" w:hAnsi="Arial" w:eastAsia="Arial" w:cs="Arial"/>
          <w:b w:val="1"/>
          <w:bCs w:val="1"/>
          <w:noProof w:val="0"/>
          <w:sz w:val="22"/>
          <w:szCs w:val="22"/>
          <w:lang w:val="es-MX"/>
        </w:rPr>
      </w:pPr>
      <w:proofErr w:type="spellStart"/>
      <w:r w:rsidRPr="2A1E1511" w:rsidR="2F58B4AC">
        <w:rPr>
          <w:rFonts w:ascii="Arial" w:hAnsi="Arial" w:eastAsia="Arial" w:cs="Arial"/>
          <w:b w:val="1"/>
          <w:bCs w:val="1"/>
          <w:noProof w:val="0"/>
          <w:sz w:val="22"/>
          <w:szCs w:val="22"/>
          <w:lang w:val="es-MX"/>
        </w:rPr>
        <w:t>N°</w:t>
      </w:r>
      <w:proofErr w:type="spellEnd"/>
      <w:r w:rsidRPr="2A1E1511" w:rsidR="2F58B4AC">
        <w:rPr>
          <w:rFonts w:ascii="Arial" w:hAnsi="Arial" w:eastAsia="Arial" w:cs="Arial"/>
          <w:b w:val="1"/>
          <w:bCs w:val="1"/>
          <w:noProof w:val="0"/>
          <w:sz w:val="22"/>
          <w:szCs w:val="22"/>
          <w:lang w:val="es-MX"/>
        </w:rPr>
        <w:t xml:space="preserve"> Radicado: 2202013000010588</w:t>
      </w:r>
    </w:p>
    <w:p w:rsidR="00C8182E" w:rsidP="00DD689E" w:rsidRDefault="00C8182E" w14:paraId="4BB20417" w14:textId="77777777">
      <w:pPr>
        <w:rPr>
          <w:rFonts w:ascii="Arial" w:hAnsi="Arial" w:eastAsia="Calibri" w:cs="Arial"/>
          <w:sz w:val="22"/>
        </w:rPr>
      </w:pPr>
    </w:p>
    <w:p w:rsidR="00C8182E" w:rsidP="00DD689E" w:rsidRDefault="00C8182E" w14:paraId="4850DDA5" w14:textId="77777777">
      <w:pPr>
        <w:rPr>
          <w:rFonts w:ascii="Arial" w:hAnsi="Arial" w:eastAsia="Calibri" w:cs="Arial"/>
          <w:sz w:val="22"/>
        </w:rPr>
      </w:pPr>
    </w:p>
    <w:p w:rsidRPr="00F1486B" w:rsidR="00DD689E" w:rsidP="00DD689E" w:rsidRDefault="00DD689E" w14:paraId="7427F549" w14:textId="095977AD">
      <w:pPr>
        <w:rPr>
          <w:rFonts w:ascii="Arial" w:hAnsi="Arial" w:eastAsia="Calibri" w:cs="Arial"/>
          <w:sz w:val="22"/>
        </w:rPr>
      </w:pPr>
      <w:r w:rsidRPr="00F1486B">
        <w:rPr>
          <w:rFonts w:ascii="Arial" w:hAnsi="Arial" w:eastAsia="Calibri" w:cs="Arial"/>
          <w:sz w:val="22"/>
        </w:rPr>
        <w:t>Señor</w:t>
      </w:r>
    </w:p>
    <w:p w:rsidRPr="00F1486B" w:rsidR="00DD5EC2" w:rsidP="00DD689E" w:rsidRDefault="00DD5EC2" w14:paraId="79F8530F" w14:textId="23B7EDB5">
      <w:pPr>
        <w:rPr>
          <w:rFonts w:ascii="Arial" w:hAnsi="Arial" w:eastAsia="Calibri" w:cs="Arial"/>
          <w:b/>
          <w:sz w:val="22"/>
        </w:rPr>
      </w:pPr>
      <w:r w:rsidRPr="00F1486B">
        <w:rPr>
          <w:rFonts w:ascii="Arial" w:hAnsi="Arial" w:eastAsia="Calibri" w:cs="Arial"/>
          <w:b/>
          <w:sz w:val="22"/>
        </w:rPr>
        <w:t>Sebastián Pedraza Guerrero</w:t>
      </w:r>
    </w:p>
    <w:p w:rsidRPr="00F1486B" w:rsidR="00DD689E" w:rsidP="00DD689E" w:rsidRDefault="00DD5EC2" w14:paraId="7C56D392" w14:textId="72F2C502">
      <w:pPr>
        <w:rPr>
          <w:rFonts w:ascii="Arial" w:hAnsi="Arial" w:eastAsia="Calibri" w:cs="Arial"/>
          <w:sz w:val="22"/>
        </w:rPr>
      </w:pPr>
      <w:r w:rsidRPr="00F1486B">
        <w:rPr>
          <w:rFonts w:ascii="Arial" w:hAnsi="Arial" w:eastAsia="Calibri" w:cs="Arial"/>
          <w:sz w:val="22"/>
        </w:rPr>
        <w:t>Arcabuco, Boyacá</w:t>
      </w:r>
    </w:p>
    <w:p w:rsidRPr="00F1486B" w:rsidR="00DD689E" w:rsidP="00DD689E" w:rsidRDefault="00DD689E" w14:paraId="29FF9129" w14:textId="77777777">
      <w:pPr>
        <w:rPr>
          <w:rFonts w:ascii="Arial" w:hAnsi="Arial" w:eastAsia="Calibri" w:cs="Arial"/>
          <w:sz w:val="22"/>
        </w:rPr>
      </w:pPr>
    </w:p>
    <w:p w:rsidRPr="00F1486B" w:rsidR="00DD689E" w:rsidP="00DD689E" w:rsidRDefault="00DD689E" w14:paraId="160F4449" w14:textId="77777777">
      <w:pPr>
        <w:rPr>
          <w:rFonts w:ascii="Arial" w:hAnsi="Arial" w:eastAsia="Calibri" w:cs="Arial"/>
          <w:sz w:val="22"/>
        </w:rPr>
      </w:pPr>
    </w:p>
    <w:p w:rsidRPr="00F1486B" w:rsidR="00DD689E" w:rsidP="00DD689E" w:rsidRDefault="00DD689E" w14:paraId="62BB70B8" w14:textId="6C8EDB12">
      <w:pPr>
        <w:ind w:firstLine="2694"/>
        <w:rPr>
          <w:rFonts w:ascii="Arial" w:hAnsi="Arial" w:eastAsia="Calibri" w:cs="Arial"/>
          <w:b/>
          <w:sz w:val="22"/>
        </w:rPr>
      </w:pPr>
      <w:r w:rsidRPr="00F1486B">
        <w:rPr>
          <w:rFonts w:ascii="Arial" w:hAnsi="Arial" w:eastAsia="Calibri" w:cs="Arial"/>
          <w:b/>
          <w:sz w:val="22"/>
        </w:rPr>
        <w:t xml:space="preserve">Concepto C </w:t>
      </w:r>
      <w:r w:rsidR="000D1CD3">
        <w:rPr>
          <w:rFonts w:ascii="Arial" w:hAnsi="Arial" w:eastAsia="Calibri" w:cs="Arial"/>
          <w:b/>
          <w:sz w:val="22"/>
        </w:rPr>
        <w:t>–</w:t>
      </w:r>
      <w:r w:rsidRPr="00F1486B">
        <w:rPr>
          <w:rFonts w:ascii="Arial" w:hAnsi="Arial" w:eastAsia="Calibri" w:cs="Arial"/>
          <w:b/>
          <w:sz w:val="22"/>
        </w:rPr>
        <w:t xml:space="preserve"> </w:t>
      </w:r>
      <w:r w:rsidR="0088629D">
        <w:rPr>
          <w:rFonts w:ascii="Arial" w:hAnsi="Arial" w:eastAsia="Calibri" w:cs="Arial"/>
          <w:b/>
          <w:sz w:val="22"/>
        </w:rPr>
        <w:t>649</w:t>
      </w:r>
      <w:r w:rsidRPr="00F1486B">
        <w:rPr>
          <w:rFonts w:ascii="Arial" w:hAnsi="Arial" w:eastAsia="Calibri" w:cs="Arial"/>
          <w:b/>
          <w:sz w:val="22"/>
        </w:rPr>
        <w:t xml:space="preserve"> de 2020</w:t>
      </w:r>
    </w:p>
    <w:p w:rsidRPr="00F1486B" w:rsidR="00DD689E" w:rsidP="00DD689E" w:rsidRDefault="00DD689E" w14:paraId="4BE038A1"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1486B" w:rsidR="00F1486B" w:rsidTr="00865124" w14:paraId="3B95AEF2" w14:textId="77777777">
        <w:tc>
          <w:tcPr>
            <w:tcW w:w="2689" w:type="dxa"/>
            <w:hideMark/>
          </w:tcPr>
          <w:p w:rsidRPr="00F1486B" w:rsidR="00DD689E" w:rsidP="00865124" w:rsidRDefault="00DD689E" w14:paraId="73E96701" w14:textId="77777777">
            <w:pPr>
              <w:rPr>
                <w:rFonts w:ascii="Arial" w:hAnsi="Arial" w:eastAsia="Calibri" w:cs="Arial"/>
                <w:sz w:val="22"/>
              </w:rPr>
            </w:pPr>
            <w:r w:rsidRPr="00F1486B">
              <w:rPr>
                <w:rFonts w:ascii="Arial" w:hAnsi="Arial" w:eastAsia="Calibri" w:cs="Arial"/>
                <w:b/>
                <w:sz w:val="22"/>
              </w:rPr>
              <w:t>Temas:</w:t>
            </w:r>
            <w:r w:rsidRPr="00F1486B">
              <w:rPr>
                <w:rFonts w:ascii="Arial" w:hAnsi="Arial" w:eastAsia="Calibri" w:cs="Arial"/>
                <w:sz w:val="22"/>
              </w:rPr>
              <w:t xml:space="preserve">           </w:t>
            </w:r>
          </w:p>
          <w:p w:rsidRPr="00F1486B" w:rsidR="00DD689E" w:rsidP="00865124" w:rsidRDefault="00DD689E" w14:paraId="5C218E7E" w14:textId="77777777">
            <w:pPr>
              <w:rPr>
                <w:rFonts w:ascii="Arial" w:hAnsi="Arial" w:eastAsia="Calibri" w:cs="Arial"/>
                <w:sz w:val="22"/>
              </w:rPr>
            </w:pPr>
            <w:r w:rsidRPr="00F1486B">
              <w:rPr>
                <w:rFonts w:ascii="Arial" w:hAnsi="Arial" w:eastAsia="Calibri" w:cs="Arial"/>
                <w:sz w:val="22"/>
              </w:rPr>
              <w:t xml:space="preserve">                           </w:t>
            </w:r>
          </w:p>
        </w:tc>
        <w:tc>
          <w:tcPr>
            <w:tcW w:w="6237" w:type="dxa"/>
            <w:hideMark/>
          </w:tcPr>
          <w:p w:rsidRPr="00F1486B" w:rsidR="00DD689E" w:rsidP="00865124" w:rsidRDefault="00F1486B" w14:paraId="0E645ECE" w14:textId="3AEF93ED">
            <w:pPr>
              <w:jc w:val="both"/>
              <w:rPr>
                <w:rFonts w:ascii="Arial" w:hAnsi="Arial" w:eastAsia="Calibri" w:cs="Arial"/>
                <w:sz w:val="22"/>
              </w:rPr>
            </w:pPr>
            <w:r w:rsidRPr="00F1486B">
              <w:rPr>
                <w:rFonts w:ascii="Arial" w:hAnsi="Arial" w:eastAsia="Calibri" w:cs="Arial"/>
                <w:sz w:val="22"/>
              </w:rPr>
              <w:t>DOCUMENTOS TIPO – Ámbito de aplicación / DOCUMENTOS TIPO – Bienes o servicios adicionales a la obra pública de infraestructura de transporte / BOX CULVERT – Noción – Proyecto de mejoramiento / DOCUMENTOS TIPO – Bienes o servicios adicionales a la obra pública de infraestructura de transporte – Experiencia adicional – Box culvert</w:t>
            </w:r>
          </w:p>
        </w:tc>
      </w:tr>
      <w:tr w:rsidRPr="00F1486B" w:rsidR="00F1486B" w:rsidTr="00865124" w14:paraId="05C52BD2" w14:textId="77777777">
        <w:tc>
          <w:tcPr>
            <w:tcW w:w="2689" w:type="dxa"/>
          </w:tcPr>
          <w:p w:rsidRPr="00F1486B" w:rsidR="00DD689E" w:rsidP="00865124" w:rsidRDefault="00DD689E" w14:paraId="786556E6" w14:textId="77777777">
            <w:pPr>
              <w:spacing w:before="120"/>
              <w:rPr>
                <w:rFonts w:ascii="Arial" w:hAnsi="Arial" w:eastAsia="Calibri" w:cs="Arial"/>
                <w:b/>
                <w:sz w:val="22"/>
              </w:rPr>
            </w:pPr>
            <w:r w:rsidRPr="00F1486B">
              <w:rPr>
                <w:rFonts w:ascii="Arial" w:hAnsi="Arial" w:eastAsia="Calibri" w:cs="Arial"/>
                <w:b/>
                <w:sz w:val="22"/>
              </w:rPr>
              <w:t>Radicación:</w:t>
            </w:r>
            <w:r w:rsidRPr="00F1486B">
              <w:rPr>
                <w:rFonts w:ascii="Arial" w:hAnsi="Arial" w:eastAsia="Calibri" w:cs="Arial"/>
                <w:sz w:val="22"/>
              </w:rPr>
              <w:t xml:space="preserve">                              </w:t>
            </w:r>
          </w:p>
        </w:tc>
        <w:tc>
          <w:tcPr>
            <w:tcW w:w="6237" w:type="dxa"/>
          </w:tcPr>
          <w:p w:rsidRPr="00F1486B" w:rsidR="00DD689E" w:rsidP="00865124" w:rsidRDefault="00DD689E" w14:paraId="62C39F5A" w14:textId="6AFD0088">
            <w:pPr>
              <w:spacing w:before="120"/>
              <w:jc w:val="both"/>
              <w:rPr>
                <w:rFonts w:ascii="Arial" w:hAnsi="Arial" w:eastAsia="Calibri" w:cs="Arial"/>
                <w:sz w:val="22"/>
              </w:rPr>
            </w:pPr>
            <w:r w:rsidRPr="00F1486B">
              <w:rPr>
                <w:rFonts w:ascii="Arial" w:hAnsi="Arial" w:eastAsia="Calibri" w:cs="Arial"/>
                <w:sz w:val="22"/>
              </w:rPr>
              <w:t xml:space="preserve">Respuesta a consulta </w:t>
            </w:r>
            <w:r w:rsidRPr="00F1486B" w:rsidR="00DD5EC2">
              <w:rPr>
                <w:rFonts w:ascii="Arial" w:hAnsi="Arial" w:eastAsia="Calibri" w:cs="Arial"/>
                <w:sz w:val="22"/>
              </w:rPr>
              <w:t>4202012000008394</w:t>
            </w:r>
          </w:p>
        </w:tc>
      </w:tr>
      <w:tr w:rsidRPr="00F1486B" w:rsidR="00DD689E" w:rsidTr="00865124" w14:paraId="0BA134D4" w14:textId="77777777">
        <w:tc>
          <w:tcPr>
            <w:tcW w:w="2689" w:type="dxa"/>
          </w:tcPr>
          <w:p w:rsidRPr="00F1486B" w:rsidR="00DD689E" w:rsidP="00865124" w:rsidRDefault="00DD689E" w14:paraId="782ECEE2" w14:textId="77777777">
            <w:pPr>
              <w:spacing w:before="120"/>
              <w:rPr>
                <w:rFonts w:ascii="Arial" w:hAnsi="Arial" w:eastAsia="Calibri" w:cs="Arial"/>
                <w:b/>
                <w:sz w:val="22"/>
              </w:rPr>
            </w:pPr>
          </w:p>
        </w:tc>
        <w:tc>
          <w:tcPr>
            <w:tcW w:w="6237" w:type="dxa"/>
          </w:tcPr>
          <w:p w:rsidRPr="00F1486B" w:rsidR="00DD689E" w:rsidP="00865124" w:rsidRDefault="00DD689E" w14:paraId="36C3ABC3" w14:textId="77777777">
            <w:pPr>
              <w:spacing w:before="120"/>
              <w:jc w:val="both"/>
              <w:rPr>
                <w:rFonts w:ascii="Arial" w:hAnsi="Arial" w:eastAsia="Calibri" w:cs="Arial"/>
                <w:sz w:val="22"/>
              </w:rPr>
            </w:pPr>
          </w:p>
        </w:tc>
      </w:tr>
    </w:tbl>
    <w:p w:rsidR="00DD689E" w:rsidP="00DD689E" w:rsidRDefault="00DD689E" w14:paraId="42746C74" w14:textId="6153ECD0">
      <w:pPr>
        <w:jc w:val="both"/>
        <w:rPr>
          <w:rFonts w:ascii="Arial" w:hAnsi="Arial" w:eastAsia="Calibri" w:cs="Arial"/>
          <w:sz w:val="22"/>
        </w:rPr>
      </w:pPr>
    </w:p>
    <w:p w:rsidRPr="00F1486B" w:rsidR="00C8182E" w:rsidP="00DD689E" w:rsidRDefault="00C8182E" w14:paraId="6BB0DAA6" w14:textId="77777777">
      <w:pPr>
        <w:jc w:val="both"/>
        <w:rPr>
          <w:rFonts w:ascii="Arial" w:hAnsi="Arial" w:eastAsia="Calibri" w:cs="Arial"/>
          <w:sz w:val="22"/>
        </w:rPr>
      </w:pPr>
    </w:p>
    <w:p w:rsidRPr="00F1486B" w:rsidR="00DD689E" w:rsidP="00DD689E" w:rsidRDefault="00DD689E" w14:paraId="077163E7" w14:textId="12B3408E">
      <w:pPr>
        <w:rPr>
          <w:rFonts w:ascii="Arial" w:hAnsi="Arial" w:eastAsia="Calibri" w:cs="Arial"/>
          <w:sz w:val="22"/>
        </w:rPr>
      </w:pPr>
      <w:r w:rsidRPr="00F1486B">
        <w:rPr>
          <w:rFonts w:ascii="Arial" w:hAnsi="Arial" w:eastAsia="Calibri" w:cs="Arial"/>
          <w:sz w:val="22"/>
        </w:rPr>
        <w:t>Estimad</w:t>
      </w:r>
      <w:r w:rsidRPr="00F1486B" w:rsidR="00DD5EC2">
        <w:rPr>
          <w:rFonts w:ascii="Arial" w:hAnsi="Arial" w:eastAsia="Calibri" w:cs="Arial"/>
          <w:sz w:val="22"/>
        </w:rPr>
        <w:t>o</w:t>
      </w:r>
      <w:r w:rsidRPr="00F1486B">
        <w:rPr>
          <w:rFonts w:ascii="Arial" w:hAnsi="Arial" w:eastAsia="Calibri" w:cs="Arial"/>
          <w:sz w:val="22"/>
        </w:rPr>
        <w:t xml:space="preserve"> señor </w:t>
      </w:r>
      <w:r w:rsidRPr="00F1486B" w:rsidR="001E6251">
        <w:rPr>
          <w:rFonts w:ascii="Arial" w:hAnsi="Arial" w:eastAsia="Calibri" w:cs="Arial"/>
          <w:sz w:val="22"/>
        </w:rPr>
        <w:t>P</w:t>
      </w:r>
      <w:r w:rsidRPr="00F1486B" w:rsidR="00DD5EC2">
        <w:rPr>
          <w:rFonts w:ascii="Arial" w:hAnsi="Arial" w:eastAsia="Calibri" w:cs="Arial"/>
          <w:sz w:val="22"/>
        </w:rPr>
        <w:t>edraza</w:t>
      </w:r>
      <w:r w:rsidRPr="00F1486B">
        <w:rPr>
          <w:rFonts w:ascii="Arial" w:hAnsi="Arial" w:eastAsia="Calibri" w:cs="Arial"/>
          <w:sz w:val="22"/>
        </w:rPr>
        <w:t>:</w:t>
      </w:r>
    </w:p>
    <w:p w:rsidRPr="00F1486B" w:rsidR="00C8182E" w:rsidP="00DD689E" w:rsidRDefault="00C8182E" w14:paraId="59D771E6" w14:textId="77777777">
      <w:pPr>
        <w:rPr>
          <w:rFonts w:ascii="Arial" w:hAnsi="Arial" w:eastAsia="Calibri" w:cs="Arial"/>
          <w:sz w:val="22"/>
        </w:rPr>
      </w:pPr>
    </w:p>
    <w:p w:rsidRPr="00F1486B" w:rsidR="00DD689E" w:rsidP="00DD689E" w:rsidRDefault="00DD689E" w14:paraId="6D0E353F" w14:textId="01C03599">
      <w:pPr>
        <w:spacing w:line="276" w:lineRule="auto"/>
        <w:jc w:val="both"/>
        <w:rPr>
          <w:rFonts w:ascii="Arial" w:hAnsi="Arial" w:eastAsia="Calibri" w:cs="Arial"/>
          <w:sz w:val="22"/>
        </w:rPr>
      </w:pPr>
      <w:r w:rsidRPr="00F1486B">
        <w:rPr>
          <w:rFonts w:ascii="Arial" w:hAnsi="Arial" w:eastAsia="Calibri" w:cs="Arial"/>
          <w:sz w:val="22"/>
        </w:rPr>
        <w:t>En ejercicio de la competencia otorgada por los artículos 11, numeral 8º, y 3º, numeral 5º, del Decreto Ley 4170 de 2011, la Agencia Nacional de Contratación Pública − Colombia Compra Eficiente responde su consulta del 2</w:t>
      </w:r>
      <w:r w:rsidRPr="00F1486B" w:rsidR="00DD5EC2">
        <w:rPr>
          <w:rFonts w:ascii="Arial" w:hAnsi="Arial" w:eastAsia="Calibri" w:cs="Arial"/>
          <w:sz w:val="22"/>
        </w:rPr>
        <w:t>5</w:t>
      </w:r>
      <w:r w:rsidRPr="00F1486B">
        <w:rPr>
          <w:rFonts w:ascii="Arial" w:hAnsi="Arial" w:eastAsia="Calibri" w:cs="Arial"/>
          <w:sz w:val="22"/>
        </w:rPr>
        <w:t xml:space="preserve"> de septiembre de 2020. </w:t>
      </w:r>
    </w:p>
    <w:p w:rsidRPr="00F1486B" w:rsidR="00DD689E" w:rsidP="00DD689E" w:rsidRDefault="00DD689E" w14:paraId="551DB529" w14:textId="77777777">
      <w:pPr>
        <w:spacing w:line="276" w:lineRule="auto"/>
        <w:jc w:val="both"/>
        <w:rPr>
          <w:rFonts w:ascii="Arial" w:hAnsi="Arial" w:eastAsia="Calibri" w:cs="Arial"/>
          <w:sz w:val="22"/>
        </w:rPr>
      </w:pPr>
    </w:p>
    <w:p w:rsidRPr="00F1486B" w:rsidR="00DD689E" w:rsidP="00DD689E" w:rsidRDefault="00DD689E" w14:paraId="6FBBC8B9" w14:textId="77777777">
      <w:pPr>
        <w:pStyle w:val="Prrafodelista"/>
        <w:numPr>
          <w:ilvl w:val="0"/>
          <w:numId w:val="1"/>
        </w:numPr>
        <w:tabs>
          <w:tab w:val="left" w:pos="284"/>
        </w:tabs>
        <w:spacing w:line="276" w:lineRule="auto"/>
        <w:ind w:left="0" w:firstLine="0"/>
        <w:jc w:val="both"/>
        <w:rPr>
          <w:rFonts w:ascii="Arial" w:hAnsi="Arial" w:eastAsia="Calibri" w:cs="Arial"/>
          <w:b/>
          <w:sz w:val="22"/>
        </w:rPr>
      </w:pPr>
      <w:r w:rsidRPr="00F1486B">
        <w:rPr>
          <w:rFonts w:ascii="Arial" w:hAnsi="Arial" w:eastAsia="Calibri" w:cs="Arial"/>
          <w:b/>
          <w:sz w:val="22"/>
        </w:rPr>
        <w:t xml:space="preserve">Problemas planteados </w:t>
      </w:r>
    </w:p>
    <w:p w:rsidRPr="00F1486B" w:rsidR="00DD689E" w:rsidP="00DD689E" w:rsidRDefault="00DD689E" w14:paraId="12105174" w14:textId="77777777">
      <w:pPr>
        <w:tabs>
          <w:tab w:val="left" w:pos="426"/>
        </w:tabs>
        <w:spacing w:line="276" w:lineRule="auto"/>
        <w:jc w:val="both"/>
        <w:rPr>
          <w:rFonts w:ascii="Arial" w:hAnsi="Arial" w:eastAsia="Calibri" w:cs="Arial"/>
          <w:b/>
          <w:sz w:val="22"/>
        </w:rPr>
      </w:pPr>
    </w:p>
    <w:p w:rsidRPr="00F1486B" w:rsidR="00DD689E" w:rsidP="00DD689E" w:rsidRDefault="00DD689E" w14:paraId="17118684" w14:textId="18CE1DA3">
      <w:pPr>
        <w:tabs>
          <w:tab w:val="left" w:pos="426"/>
        </w:tabs>
        <w:spacing w:line="276" w:lineRule="auto"/>
        <w:jc w:val="both"/>
        <w:rPr>
          <w:rFonts w:ascii="Arial" w:hAnsi="Arial" w:eastAsia="Calibri" w:cs="Arial"/>
          <w:sz w:val="22"/>
        </w:rPr>
      </w:pPr>
      <w:r w:rsidRPr="00F1486B">
        <w:rPr>
          <w:rFonts w:ascii="Arial" w:hAnsi="Arial" w:eastAsia="Calibri" w:cs="Arial"/>
          <w:sz w:val="22"/>
        </w:rPr>
        <w:t xml:space="preserve">Usted </w:t>
      </w:r>
      <w:r w:rsidRPr="00F1486B" w:rsidR="00DD5EC2">
        <w:rPr>
          <w:rFonts w:ascii="Arial" w:hAnsi="Arial" w:eastAsia="Calibri" w:cs="Arial"/>
          <w:sz w:val="22"/>
        </w:rPr>
        <w:t>pregunta lo siguiente</w:t>
      </w:r>
      <w:r w:rsidRPr="00F1486B" w:rsidR="00B542D5">
        <w:rPr>
          <w:rFonts w:ascii="Arial" w:hAnsi="Arial" w:eastAsia="Calibri" w:cs="Arial"/>
          <w:sz w:val="22"/>
        </w:rPr>
        <w:t>:</w:t>
      </w:r>
      <w:r w:rsidRPr="00F1486B">
        <w:rPr>
          <w:rFonts w:ascii="Arial" w:hAnsi="Arial" w:eastAsia="Calibri" w:cs="Arial"/>
          <w:sz w:val="22"/>
        </w:rPr>
        <w:t xml:space="preserve"> </w:t>
      </w:r>
      <w:bookmarkStart w:name="_Hlk52969107" w:id="2"/>
      <w:r w:rsidRPr="00F1486B">
        <w:rPr>
          <w:rFonts w:ascii="Arial" w:hAnsi="Arial" w:eastAsia="Calibri" w:cs="Arial"/>
          <w:sz w:val="22"/>
        </w:rPr>
        <w:t xml:space="preserve">«[…] </w:t>
      </w:r>
      <w:r w:rsidRPr="00F1486B" w:rsidR="00B542D5">
        <w:rPr>
          <w:rFonts w:ascii="Arial" w:hAnsi="Arial" w:eastAsia="Calibri" w:cs="Arial"/>
          <w:sz w:val="22"/>
        </w:rPr>
        <w:t xml:space="preserve">Quiero saber si en la licitación para la construcción de un box culvert en zona rural de un municipio La entidad estatal debe subir los Pliegos Tipo? […]». </w:t>
      </w:r>
      <w:bookmarkEnd w:id="2"/>
    </w:p>
    <w:p w:rsidRPr="00F1486B" w:rsidR="00DD689E" w:rsidP="00A4602C" w:rsidRDefault="00DD689E" w14:paraId="16623259" w14:textId="77777777">
      <w:pPr>
        <w:tabs>
          <w:tab w:val="left" w:pos="709"/>
        </w:tabs>
        <w:jc w:val="both"/>
        <w:rPr>
          <w:rFonts w:ascii="Arial" w:hAnsi="Arial" w:eastAsia="Calibri" w:cs="Arial"/>
          <w:sz w:val="22"/>
        </w:rPr>
      </w:pPr>
    </w:p>
    <w:p w:rsidRPr="00F1486B" w:rsidR="00DD689E" w:rsidP="00DD689E" w:rsidRDefault="00DD689E" w14:paraId="5032433E" w14:textId="77777777">
      <w:pPr>
        <w:pStyle w:val="Prrafodelista"/>
        <w:numPr>
          <w:ilvl w:val="0"/>
          <w:numId w:val="1"/>
        </w:numPr>
        <w:tabs>
          <w:tab w:val="left" w:pos="426"/>
        </w:tabs>
        <w:spacing w:line="276" w:lineRule="auto"/>
        <w:ind w:left="284" w:hanging="284"/>
        <w:jc w:val="both"/>
        <w:rPr>
          <w:rFonts w:ascii="Arial" w:hAnsi="Arial" w:eastAsia="Calibri" w:cs="Arial"/>
          <w:b/>
          <w:sz w:val="22"/>
        </w:rPr>
      </w:pPr>
      <w:r w:rsidRPr="00F1486B">
        <w:rPr>
          <w:rFonts w:ascii="Arial" w:hAnsi="Arial" w:eastAsia="Calibri" w:cs="Arial"/>
          <w:b/>
          <w:sz w:val="22"/>
        </w:rPr>
        <w:t>Consideraciones</w:t>
      </w:r>
    </w:p>
    <w:p w:rsidRPr="00F1486B" w:rsidR="00DD689E" w:rsidP="00DD689E" w:rsidRDefault="00DD689E" w14:paraId="334A833B" w14:textId="77777777">
      <w:pPr>
        <w:spacing w:line="276" w:lineRule="auto"/>
        <w:jc w:val="both"/>
        <w:rPr>
          <w:rFonts w:ascii="Arial" w:hAnsi="Arial" w:eastAsia="Calibri" w:cs="Arial"/>
          <w:sz w:val="22"/>
        </w:rPr>
      </w:pPr>
    </w:p>
    <w:p w:rsidRPr="00F1486B" w:rsidR="00DD689E" w:rsidP="00DD689E" w:rsidRDefault="00DD689E" w14:paraId="4C9942E1" w14:textId="21C99D0D">
      <w:pPr>
        <w:spacing w:line="276" w:lineRule="auto"/>
        <w:jc w:val="both"/>
        <w:rPr>
          <w:rFonts w:ascii="Arial" w:hAnsi="Arial" w:eastAsia="Calibri" w:cs="Arial"/>
          <w:sz w:val="22"/>
        </w:rPr>
      </w:pPr>
      <w:r w:rsidRPr="00F1486B">
        <w:rPr>
          <w:rFonts w:ascii="Arial" w:hAnsi="Arial" w:eastAsia="Calibri" w:cs="Arial"/>
          <w:sz w:val="22"/>
        </w:rPr>
        <w:t>La Agencia Nacional de Contratación Pública − Colombia Compra Eficiente se ha pronunciado en diferentes conceptos sobre la forma de establecer la experiencia exigible en procesos de contratación de licitación de obra pública de infraestructura de transporte que aplican Documentos Tipo, en los conceptos del 25 de junio, 3 de julio, 6, 9, 10, 15, 16 y 27 de agosto, 9 de septiembre, y del 11 y el 17 de octubre de 2019 −radicados Nos. 4201912000004262, 4201912000004426, 4201912000005320, 4201912000005394, 4201912000005416, 4201912000005548, 4201912000005609, 4201912000005809,</w:t>
      </w:r>
      <w:r w:rsidRPr="00F1486B" w:rsidR="00450213">
        <w:rPr>
          <w:rFonts w:ascii="Arial" w:hAnsi="Arial" w:eastAsia="Calibri" w:cs="Arial"/>
          <w:sz w:val="22"/>
        </w:rPr>
        <w:t xml:space="preserve"> </w:t>
      </w:r>
      <w:r w:rsidRPr="00F1486B">
        <w:rPr>
          <w:rFonts w:ascii="Arial" w:hAnsi="Arial" w:eastAsia="Calibri" w:cs="Arial"/>
          <w:sz w:val="22"/>
        </w:rPr>
        <w:t xml:space="preserve">4201912000006151, 4201912000007034 y 4201912000007124−, así como en el concepto C-097 de 2020, entre otros. Igualmente, en </w:t>
      </w:r>
      <w:r w:rsidRPr="00F1486B">
        <w:rPr>
          <w:rFonts w:ascii="Arial" w:hAnsi="Arial" w:cs="Arial"/>
          <w:sz w:val="22"/>
        </w:rPr>
        <w:t xml:space="preserve">los conceptos del 5 de septiembre de 2019 y del 28 de enero de 2020 (2) –radicados Nos. 2201913000006581, 2202013000000487 y 2202013000000501−, se explicaron los supuestos que deben tener en cuenta las entidades para determinar la experiencia de los proponentes. </w:t>
      </w:r>
      <w:r w:rsidRPr="00F1486B">
        <w:rPr>
          <w:rFonts w:ascii="Arial" w:hAnsi="Arial" w:eastAsia="Calibri" w:cs="Arial"/>
          <w:sz w:val="22"/>
        </w:rPr>
        <w:t>También, por medio de los conceptos C-033 del 13 de marzo de 2020, C-143 del 18 de marzo de 2020, C-244 del 27 de abril de 2020, C-286 del 26 de mayo de 2020, C-450 del 3 de agosto de 2020 y C-591 del 31 de agosto de 2020,</w:t>
      </w:r>
      <w:r w:rsidR="00FB04FD">
        <w:rPr>
          <w:rFonts w:ascii="Arial" w:hAnsi="Arial" w:eastAsia="Calibri" w:cs="Arial"/>
          <w:sz w:val="22"/>
        </w:rPr>
        <w:t xml:space="preserve"> entre otros,</w:t>
      </w:r>
      <w:r w:rsidRPr="00F1486B">
        <w:rPr>
          <w:rFonts w:ascii="Arial" w:hAnsi="Arial" w:eastAsia="Calibri" w:cs="Arial"/>
          <w:sz w:val="22"/>
        </w:rPr>
        <w:t xml:space="preserve"> esta Agencia analizó el alcance de la experiencia exigida en la Matriz 1 de los Documentos Tipo. Las tesis propuestas se exponen a continuación.</w:t>
      </w:r>
    </w:p>
    <w:p w:rsidRPr="00F1486B" w:rsidR="00DD689E" w:rsidP="00B542D5" w:rsidRDefault="000D1CD3" w14:paraId="6AF631B4" w14:textId="58EED823">
      <w:pPr>
        <w:spacing w:before="120" w:line="276" w:lineRule="auto"/>
        <w:ind w:firstLine="709"/>
        <w:jc w:val="both"/>
        <w:rPr>
          <w:rFonts w:ascii="Arial" w:hAnsi="Arial" w:cs="Arial"/>
          <w:sz w:val="22"/>
        </w:rPr>
      </w:pPr>
      <w:r>
        <w:rPr>
          <w:rFonts w:ascii="Arial" w:hAnsi="Arial" w:cs="Arial"/>
          <w:sz w:val="22"/>
        </w:rPr>
        <w:t>Inicialmente, e</w:t>
      </w:r>
      <w:r w:rsidRPr="00F1486B" w:rsidR="00DD689E">
        <w:rPr>
          <w:rFonts w:ascii="Arial" w:hAnsi="Arial" w:cs="Arial"/>
          <w:sz w:val="22"/>
        </w:rPr>
        <w:t>l artículo 4 de la Ley 1882 de 2018 establec</w:t>
      </w:r>
      <w:r>
        <w:rPr>
          <w:rFonts w:ascii="Arial" w:hAnsi="Arial" w:cs="Arial"/>
          <w:sz w:val="22"/>
        </w:rPr>
        <w:t>ía</w:t>
      </w:r>
      <w:r w:rsidRPr="00F1486B" w:rsidR="00DD689E">
        <w:rPr>
          <w:rFonts w:ascii="Arial" w:hAnsi="Arial" w:cs="Arial"/>
          <w:sz w:val="22"/>
        </w:rPr>
        <w:t xml:space="preserve"> que al Gobierno Nacional le corresponde adoptar los «documentos tipo para los pliegos de condiciones de los procesos de selección de obras públicas» y que estos «</w:t>
      </w:r>
      <w:r w:rsidRPr="00F1486B" w:rsidR="00DD689E">
        <w:rPr>
          <w:rFonts w:ascii="Arial" w:hAnsi="Arial" w:cs="Arial"/>
          <w:i/>
          <w:sz w:val="22"/>
        </w:rPr>
        <w:t>deberán</w:t>
      </w:r>
      <w:r w:rsidRPr="00F1486B" w:rsidR="00DD689E">
        <w:rPr>
          <w:rFonts w:ascii="Arial" w:hAnsi="Arial" w:cs="Arial"/>
          <w:sz w:val="22"/>
        </w:rPr>
        <w:t xml:space="preserve">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w:t>
      </w:r>
      <w:r w:rsidRPr="00F1486B" w:rsidR="00DD689E">
        <w:rPr>
          <w:rFonts w:ascii="Arial" w:hAnsi="Arial" w:cs="Arial"/>
          <w:i/>
          <w:sz w:val="22"/>
        </w:rPr>
        <w:t>alcance obligatorio</w:t>
      </w:r>
      <w:r w:rsidRPr="00F1486B" w:rsidR="00DD689E">
        <w:rPr>
          <w:rFonts w:ascii="Arial" w:hAnsi="Arial" w:cs="Arial"/>
          <w:sz w:val="22"/>
        </w:rPr>
        <w:t xml:space="preserve"> para todas las entidades sometidas al Estatuto General de Contratación de la Administración Pública las condiciones habilitantes, así como los factores técnicos y </w:t>
      </w:r>
      <w:r w:rsidRPr="00F1486B" w:rsidR="00DD689E">
        <w:rPr>
          <w:rFonts w:ascii="Arial" w:hAnsi="Arial" w:cs="Arial"/>
          <w:sz w:val="22"/>
        </w:rPr>
        <w:lastRenderedPageBreak/>
        <w:t>económicos de escogencia […] teniendo en cuenta la naturaleza y la cuantía de los contratos»</w:t>
      </w:r>
      <w:r w:rsidRPr="00F1486B" w:rsidR="00B542D5">
        <w:rPr>
          <w:rStyle w:val="Refdenotaalpie"/>
          <w:rFonts w:ascii="Arial" w:hAnsi="Arial" w:cs="Arial"/>
          <w:sz w:val="22"/>
        </w:rPr>
        <w:footnoteReference w:id="1"/>
      </w:r>
      <w:r w:rsidRPr="00F1486B" w:rsidR="00DD689E">
        <w:rPr>
          <w:rFonts w:ascii="Arial" w:hAnsi="Arial" w:cs="Arial"/>
          <w:sz w:val="22"/>
        </w:rPr>
        <w:t>.</w:t>
      </w:r>
    </w:p>
    <w:p w:rsidRPr="00F1486B" w:rsidR="00DD689E" w:rsidP="00DD689E" w:rsidRDefault="000D1CD3" w14:paraId="01DDC65F" w14:textId="7341325D">
      <w:pPr>
        <w:spacing w:before="120" w:line="276" w:lineRule="auto"/>
        <w:ind w:firstLine="708"/>
        <w:jc w:val="both"/>
        <w:rPr>
          <w:rFonts w:ascii="Arial" w:hAnsi="Arial" w:cs="Arial"/>
          <w:sz w:val="22"/>
          <w:shd w:val="clear" w:color="auto" w:fill="FFFFFF"/>
        </w:rPr>
      </w:pPr>
      <w:r>
        <w:rPr>
          <w:rFonts w:ascii="Arial" w:hAnsi="Arial" w:cs="Arial"/>
          <w:sz w:val="22"/>
        </w:rPr>
        <w:t xml:space="preserve">Aunque actualmente –con fundamento en la Ley 2022 de 2020– </w:t>
      </w:r>
      <w:r w:rsidR="00B03258">
        <w:rPr>
          <w:rFonts w:ascii="Arial" w:hAnsi="Arial" w:cs="Arial"/>
          <w:sz w:val="22"/>
        </w:rPr>
        <w:t>l</w:t>
      </w:r>
      <w:r>
        <w:rPr>
          <w:rFonts w:ascii="Arial" w:hAnsi="Arial" w:cs="Arial"/>
          <w:sz w:val="22"/>
        </w:rPr>
        <w:t>a competencia corresponde a esta Agencia</w:t>
      </w:r>
      <w:r w:rsidRPr="00F1486B" w:rsidR="00DD689E">
        <w:rPr>
          <w:rFonts w:ascii="Arial" w:hAnsi="Arial" w:cs="Arial"/>
          <w:sz w:val="22"/>
        </w:rPr>
        <w:t>, el Gobierno Nacional adop</w:t>
      </w:r>
      <w:r w:rsidRPr="00F1486B" w:rsidR="00DD689E">
        <w:rPr>
          <w:rFonts w:ascii="Arial" w:hAnsi="Arial" w:cs="Arial"/>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rsidRPr="00F1486B" w:rsidR="00DD689E" w:rsidP="00DD689E" w:rsidRDefault="00DD689E" w14:paraId="340FE748" w14:textId="77777777">
      <w:pPr>
        <w:spacing w:before="120" w:line="276" w:lineRule="auto"/>
        <w:ind w:firstLine="708"/>
        <w:jc w:val="both"/>
        <w:rPr>
          <w:rFonts w:ascii="Arial" w:hAnsi="Arial" w:cs="Arial"/>
          <w:sz w:val="22"/>
          <w:shd w:val="clear" w:color="auto" w:fill="FFFFFF"/>
        </w:rPr>
      </w:pPr>
      <w:r w:rsidRPr="00F1486B">
        <w:rPr>
          <w:rFonts w:ascii="Arial" w:hAnsi="Arial" w:cs="Arial"/>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rsidRPr="00F1486B" w:rsidR="00DD689E" w:rsidP="00DD689E" w:rsidRDefault="00DD689E" w14:paraId="6128748C" w14:textId="616A7269">
      <w:pPr>
        <w:spacing w:before="120" w:line="276" w:lineRule="auto"/>
        <w:ind w:firstLine="708"/>
        <w:jc w:val="both"/>
        <w:rPr>
          <w:rFonts w:ascii="Arial" w:hAnsi="Arial" w:cs="Arial"/>
          <w:sz w:val="22"/>
          <w:shd w:val="clear" w:color="auto" w:fill="FFFFFF"/>
        </w:rPr>
      </w:pPr>
      <w:r w:rsidRPr="00F1486B">
        <w:rPr>
          <w:rFonts w:ascii="Arial" w:hAnsi="Arial" w:cs="Arial"/>
          <w:sz w:val="22"/>
          <w:shd w:val="clear" w:color="auto" w:fill="FFFFFF"/>
        </w:rPr>
        <w:t xml:space="preserve">Con el fin de establecer cuáles son los Documentos Tipo sujetos a esta disposición, el artículo 2.2.1.2.6.1.2. del Decreto 1082 de 2015 establece un listado que determina el </w:t>
      </w:r>
      <w:r w:rsidRPr="00F1486B">
        <w:rPr>
          <w:rFonts w:ascii="Arial" w:hAnsi="Arial" w:cs="Arial"/>
          <w:sz w:val="22"/>
          <w:shd w:val="clear" w:color="auto" w:fill="FFFFFF"/>
        </w:rPr>
        <w:lastRenderedPageBreak/>
        <w:t xml:space="preserve">alcance de los documentos e incluye expresamente la «Matriz 1 – Experiencia» ─en adelante Matriz 1─. Por su parte, el artículo 2.2.1.2.6.1.3. </w:t>
      </w:r>
      <w:r w:rsidRPr="00F1486B">
        <w:rPr>
          <w:rFonts w:ascii="Arial" w:hAnsi="Arial" w:cs="Arial"/>
          <w:i/>
          <w:iCs/>
          <w:sz w:val="22"/>
          <w:shd w:val="clear" w:color="auto" w:fill="FFFFFF"/>
        </w:rPr>
        <w:t xml:space="preserve">ibidem </w:t>
      </w:r>
      <w:r w:rsidRPr="00F1486B">
        <w:rPr>
          <w:rFonts w:ascii="Arial" w:hAnsi="Arial" w:cs="Arial"/>
          <w:sz w:val="22"/>
          <w:shd w:val="clear" w:color="auto" w:fill="FFFFFF"/>
        </w:rPr>
        <w:t xml:space="preserve">dispone que, en el desarrollo e implementación de los documentos, la Agencia Nacional de Contratación Pública – Colombia Compra Eficiente, en coordinación con el Departamento Nacional de Planeación </w:t>
      </w:r>
      <w:r w:rsidR="000D1CD3">
        <w:rPr>
          <w:rFonts w:ascii="Arial" w:hAnsi="Arial" w:cs="Arial"/>
          <w:sz w:val="22"/>
          <w:shd w:val="clear" w:color="auto" w:fill="FFFFFF"/>
        </w:rPr>
        <w:t>–</w:t>
      </w:r>
      <w:r w:rsidRPr="00F1486B">
        <w:rPr>
          <w:rFonts w:ascii="Arial" w:hAnsi="Arial" w:cs="Arial"/>
          <w:sz w:val="22"/>
          <w:shd w:val="clear" w:color="auto" w:fill="FFFFFF"/>
        </w:rPr>
        <w:t>DNP</w:t>
      </w:r>
      <w:r w:rsidR="000D1CD3">
        <w:rPr>
          <w:rFonts w:ascii="Arial" w:hAnsi="Arial" w:cs="Arial"/>
          <w:sz w:val="22"/>
          <w:shd w:val="clear" w:color="auto" w:fill="FFFFFF"/>
        </w:rPr>
        <w:t>–</w:t>
      </w:r>
      <w:r w:rsidRPr="00F1486B">
        <w:rPr>
          <w:rFonts w:ascii="Arial" w:hAnsi="Arial" w:cs="Arial"/>
          <w:sz w:val="22"/>
          <w:shd w:val="clear" w:color="auto" w:fill="FFFFFF"/>
        </w:rPr>
        <w:t xml:space="preserve"> y el Ministerio de Transporte, debe «[s]eñalar las actividades sobre las cuales recaerá la verificación de la experiencia de los proponentes, así como los documentos y criterios de acreditación y verificación de experiencia, teniendo en cuenta la cuantía y el tipo de intervención». </w:t>
      </w:r>
    </w:p>
    <w:p w:rsidRPr="00F1486B" w:rsidR="00DD689E" w:rsidP="006D268E" w:rsidRDefault="00DD689E" w14:paraId="680C02F6" w14:textId="656B5347">
      <w:pPr>
        <w:spacing w:before="120" w:line="276" w:lineRule="auto"/>
        <w:ind w:firstLine="708"/>
        <w:jc w:val="both"/>
        <w:rPr>
          <w:rFonts w:ascii="Arial" w:hAnsi="Arial" w:cs="Arial"/>
          <w:sz w:val="22"/>
        </w:rPr>
      </w:pPr>
      <w:r w:rsidRPr="00F1486B">
        <w:rPr>
          <w:rFonts w:ascii="Arial" w:hAnsi="Arial" w:cs="Arial"/>
          <w:sz w:val="22"/>
        </w:rPr>
        <w:t xml:space="preserve">En cumplimiento de este mandato, la Resolución No. 1798 del 1 de abril de 2019, mediante la cual </w:t>
      </w:r>
      <w:r w:rsidRPr="00F1486B">
        <w:rPr>
          <w:rFonts w:ascii="Arial" w:hAnsi="Arial" w:cs="Arial"/>
          <w:sz w:val="22"/>
          <w:shd w:val="clear" w:color="auto" w:fill="FFFFFF"/>
        </w:rPr>
        <w:t>la Agencia Nacional de Contratación Pública – Colombia Compra Eficiente</w:t>
      </w:r>
      <w:r w:rsidRPr="00F1486B">
        <w:rPr>
          <w:rFonts w:ascii="Arial" w:hAnsi="Arial" w:cs="Arial"/>
          <w:sz w:val="22"/>
        </w:rPr>
        <w:t xml:space="preserve"> implementó y desarrolló los Documentos Tipo aplicables a los procesos de licitación de obra pública de infraestructura de transporte, determinó los documentos y criterios que debe cumplir el proponente para la acreditación de la experiencia, específicamente en la sección 3.5 del «Documento Base» y en la «Matriz 1 – Experiencia». </w:t>
      </w:r>
      <w:r w:rsidRPr="00F1486B" w:rsidR="006D268E">
        <w:rPr>
          <w:rFonts w:ascii="Arial" w:hAnsi="Arial" w:cs="Arial"/>
          <w:sz w:val="22"/>
        </w:rPr>
        <w:t xml:space="preserve">Estos documentos fueron actualizados por medio de la Resolución </w:t>
      </w:r>
      <w:r w:rsidRPr="00F1486B" w:rsidR="006C1EAD">
        <w:rPr>
          <w:rFonts w:ascii="Arial" w:hAnsi="Arial" w:cs="Arial"/>
          <w:sz w:val="22"/>
        </w:rPr>
        <w:t xml:space="preserve">Nos. </w:t>
      </w:r>
      <w:r w:rsidRPr="00F1486B" w:rsidR="006D268E">
        <w:rPr>
          <w:rFonts w:ascii="Arial" w:hAnsi="Arial" w:cs="Arial"/>
          <w:sz w:val="22"/>
        </w:rPr>
        <w:t xml:space="preserve">045 del 14 de febrero de 2020. </w:t>
      </w:r>
      <w:r w:rsidRPr="00F1486B" w:rsidR="00D57421">
        <w:rPr>
          <w:rFonts w:ascii="Arial" w:hAnsi="Arial" w:cs="Arial"/>
          <w:sz w:val="22"/>
        </w:rPr>
        <w:t xml:space="preserve">Por otro lado, </w:t>
      </w:r>
      <w:r w:rsidRPr="00F1486B" w:rsidR="006D268E">
        <w:rPr>
          <w:rFonts w:ascii="Arial" w:hAnsi="Arial" w:cs="Arial"/>
          <w:sz w:val="22"/>
        </w:rPr>
        <w:t xml:space="preserve">por medio de las Resoluciones </w:t>
      </w:r>
      <w:r w:rsidRPr="00F1486B" w:rsidR="006C1EAD">
        <w:rPr>
          <w:rFonts w:ascii="Arial" w:hAnsi="Arial" w:cs="Arial"/>
          <w:sz w:val="22"/>
        </w:rPr>
        <w:t xml:space="preserve">Nos. </w:t>
      </w:r>
      <w:r w:rsidRPr="00F1486B" w:rsidR="00D57421">
        <w:rPr>
          <w:rFonts w:ascii="Arial" w:hAnsi="Arial" w:cs="Arial"/>
          <w:sz w:val="22"/>
        </w:rPr>
        <w:t>044 del 14 de febrero de 2020 y 094 del 21 de mayo de 2020, se implementaron los Documentos Tipo para los procesos de obra pública que se adelanten por las modalidades de selección abreviada de menor cuantía y de mínima cuantía</w:t>
      </w:r>
      <w:r w:rsidR="000D1CD3">
        <w:rPr>
          <w:rFonts w:ascii="Arial" w:hAnsi="Arial" w:cs="Arial"/>
          <w:sz w:val="22"/>
        </w:rPr>
        <w:t>, respectivamente</w:t>
      </w:r>
      <w:r w:rsidRPr="00F1486B" w:rsidR="006D268E">
        <w:rPr>
          <w:rFonts w:ascii="Arial" w:hAnsi="Arial" w:cs="Arial"/>
          <w:sz w:val="22"/>
        </w:rPr>
        <w:t xml:space="preserve">. </w:t>
      </w:r>
      <w:r w:rsidRPr="00F1486B">
        <w:rPr>
          <w:rFonts w:ascii="Arial" w:hAnsi="Arial" w:cs="Arial"/>
          <w:sz w:val="22"/>
        </w:rPr>
        <w:t xml:space="preserve">De igual manera, con el fin de verificar si el objeto a contratar se encuentra enmarcado en las actividades de experiencia, el </w:t>
      </w:r>
      <w:r w:rsidR="000D1CD3">
        <w:rPr>
          <w:rFonts w:ascii="Arial" w:hAnsi="Arial" w:cs="Arial"/>
          <w:sz w:val="22"/>
        </w:rPr>
        <w:t>«</w:t>
      </w:r>
      <w:r w:rsidRPr="00F1486B">
        <w:rPr>
          <w:rFonts w:ascii="Arial" w:hAnsi="Arial" w:cs="Arial"/>
          <w:sz w:val="22"/>
        </w:rPr>
        <w:t>Anexo 3 – Glosario</w:t>
      </w:r>
      <w:r w:rsidR="000D1CD3">
        <w:rPr>
          <w:rFonts w:ascii="Arial" w:hAnsi="Arial" w:cs="Arial"/>
          <w:sz w:val="22"/>
        </w:rPr>
        <w:t>»</w:t>
      </w:r>
      <w:r w:rsidRPr="00F1486B">
        <w:rPr>
          <w:rFonts w:ascii="Arial" w:hAnsi="Arial" w:cs="Arial"/>
          <w:sz w:val="22"/>
        </w:rPr>
        <w:t xml:space="preserve"> establece los conceptos propios de la ingeniería civil que deben ser considerados para una adecuada aplicación de los criterios establecidos.</w:t>
      </w:r>
    </w:p>
    <w:p w:rsidRPr="00F1486B" w:rsidR="006D245C" w:rsidP="006D245C" w:rsidRDefault="006D245C" w14:paraId="6050BE74" w14:textId="4BB41CAE">
      <w:pPr>
        <w:spacing w:before="120" w:line="276" w:lineRule="auto"/>
        <w:ind w:firstLine="709"/>
        <w:jc w:val="both"/>
        <w:rPr>
          <w:rFonts w:ascii="Arial" w:hAnsi="Arial" w:cs="Arial"/>
          <w:sz w:val="22"/>
        </w:rPr>
      </w:pPr>
      <w:r w:rsidRPr="00F1486B">
        <w:rPr>
          <w:rFonts w:ascii="Arial" w:hAnsi="Arial" w:cs="Arial"/>
          <w:sz w:val="22"/>
        </w:rPr>
        <w:t>Ahora bien, el Documento Base de licitación pública hace referencia al ámbito de aplicación, estableciendo que «los Documentos Tipo aplican a los procesos de licitación de obra pública de infraestructura de transporte (versión 2), que correspondan a las actividades definidas en la Matriz 1 Experiencia», manifestando además que «las actividades de infraestructura de transporte no contempladas en la Matriz 1 – Experiencia no tienen que aplicar los Documentos Tipo</w:t>
      </w:r>
      <w:r w:rsidR="000D1CD3">
        <w:rPr>
          <w:rFonts w:ascii="Arial" w:hAnsi="Arial" w:cs="Arial"/>
          <w:sz w:val="22"/>
        </w:rPr>
        <w:t>»</w:t>
      </w:r>
      <w:r w:rsidRPr="00F1486B">
        <w:rPr>
          <w:rFonts w:ascii="Arial" w:hAnsi="Arial" w:cs="Arial"/>
          <w:sz w:val="22"/>
        </w:rPr>
        <w:t>.</w:t>
      </w:r>
    </w:p>
    <w:p w:rsidRPr="00F1486B" w:rsidR="006D245C" w:rsidP="006D245C" w:rsidRDefault="006D245C" w14:paraId="14A74009" w14:textId="04460473">
      <w:pPr>
        <w:spacing w:before="120" w:line="276" w:lineRule="auto"/>
        <w:ind w:firstLine="709"/>
        <w:jc w:val="both"/>
        <w:rPr>
          <w:rFonts w:ascii="Arial" w:hAnsi="Arial" w:cs="Arial"/>
          <w:sz w:val="22"/>
        </w:rPr>
      </w:pPr>
      <w:r w:rsidRPr="00F1486B">
        <w:rPr>
          <w:rFonts w:ascii="Arial" w:hAnsi="Arial" w:cs="Arial"/>
          <w:sz w:val="22"/>
        </w:rPr>
        <w:t xml:space="preserve">Para determinar el ámbito de aplicación de los Documentos Tipo, entonces, se debe acudir a la </w:t>
      </w:r>
      <w:r w:rsidR="001C1E85">
        <w:rPr>
          <w:rFonts w:ascii="Arial" w:hAnsi="Arial" w:cs="Arial"/>
          <w:sz w:val="22"/>
        </w:rPr>
        <w:t>«</w:t>
      </w:r>
      <w:r w:rsidRPr="00F1486B">
        <w:rPr>
          <w:rFonts w:ascii="Arial" w:hAnsi="Arial" w:cs="Arial"/>
          <w:sz w:val="22"/>
        </w:rPr>
        <w:t>Matriz 1 ─ Experiencia</w:t>
      </w:r>
      <w:r w:rsidR="001C1E85">
        <w:rPr>
          <w:rFonts w:ascii="Arial" w:hAnsi="Arial" w:cs="Arial"/>
          <w:sz w:val="22"/>
        </w:rPr>
        <w:t>»</w:t>
      </w:r>
      <w:r w:rsidRPr="00F1486B">
        <w:rPr>
          <w:rFonts w:ascii="Arial" w:hAnsi="Arial" w:cs="Arial"/>
          <w:sz w:val="22"/>
        </w:rPr>
        <w:t xml:space="preserve"> (en adelante Matriz 1). Dicha matriz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p>
    <w:p w:rsidRPr="00F1486B" w:rsidR="006D245C" w:rsidP="006D245C" w:rsidRDefault="006D245C" w14:paraId="4F6EB8D9" w14:textId="34E9DB03">
      <w:pPr>
        <w:spacing w:before="120" w:line="276" w:lineRule="auto"/>
        <w:ind w:firstLine="708"/>
        <w:jc w:val="both"/>
        <w:rPr>
          <w:rFonts w:ascii="Arial" w:hAnsi="Arial" w:cs="Arial"/>
          <w:sz w:val="22"/>
        </w:rPr>
      </w:pPr>
      <w:r w:rsidRPr="00F1486B">
        <w:rPr>
          <w:rFonts w:ascii="Arial" w:hAnsi="Arial" w:cs="Arial"/>
          <w:sz w:val="22"/>
        </w:rPr>
        <w:t xml:space="preserve">Con respecto a las «actividades a contratar», la Matriz 1 establece cuáles son las que corresponden a cada uno de los tipos de infraestructura mencionados, con el fin de que </w:t>
      </w:r>
      <w:r w:rsidRPr="00F1486B">
        <w:rPr>
          <w:rFonts w:ascii="Arial" w:hAnsi="Arial" w:cs="Arial"/>
          <w:sz w:val="22"/>
        </w:rPr>
        <w:lastRenderedPageBreak/>
        <w:t>la entidad pueda identificar aquellas en las cuales puede encuadrarse de mejor forma el objeto que pretende ejecutar y determinar los requisitos de experiencia exigibles. Por ejemplo, las «obras en vías terciarias» están subdivididas en tres actividades a contratar, a saber: «2.1 PROYECTOS DE CONSTRUCCIÓN DE VÍAS TERCIARIAS», «2.2 MEJORAMIENTO EN VÍAS TERCIARIAS» y «2.3 MANTENIMIENTO O REHABILITACIÓN EN VÍAS TERCIARIAS». Esta división es la misma en los Documentos Tipo de licitación pública y en los de selección abreviada de menor cuantía. De esta forma, si la entidad pretende contratar alguna de tales actividades debe aplicar los Documentos Tipo para el desarrollo del proceso de contratación.</w:t>
      </w:r>
    </w:p>
    <w:p w:rsidRPr="00F1486B" w:rsidR="006D245C" w:rsidP="006D245C" w:rsidRDefault="006D245C" w14:paraId="76FBE8CA" w14:textId="65B63ACA">
      <w:pPr>
        <w:spacing w:before="120" w:line="276" w:lineRule="auto"/>
        <w:ind w:firstLine="708"/>
        <w:jc w:val="both"/>
        <w:rPr>
          <w:rFonts w:ascii="Arial" w:hAnsi="Arial" w:cs="Arial"/>
          <w:sz w:val="22"/>
        </w:rPr>
      </w:pPr>
      <w:r w:rsidRPr="00F1486B">
        <w:rPr>
          <w:rFonts w:ascii="Arial" w:hAnsi="Arial" w:cs="Arial"/>
          <w:sz w:val="22"/>
        </w:rPr>
        <w:t>Esto sin perjuicio de la aplicación de lo establecido en el artículo 2.2.1.2.6.1.5. del Decreto 1082 de 2015, adicionado por el artículo 1º del Decreto 342 de 2019, que establece lo siguiente:</w:t>
      </w:r>
    </w:p>
    <w:p w:rsidRPr="00F1486B" w:rsidR="006D245C" w:rsidP="006D245C" w:rsidRDefault="006D245C" w14:paraId="391E784E" w14:textId="77777777">
      <w:pPr>
        <w:jc w:val="both"/>
        <w:rPr>
          <w:rFonts w:ascii="Arial" w:hAnsi="Arial" w:cs="Arial"/>
          <w:sz w:val="22"/>
        </w:rPr>
      </w:pPr>
    </w:p>
    <w:p w:rsidRPr="00F1486B" w:rsidR="006D245C" w:rsidP="00AB219E" w:rsidRDefault="006D245C" w14:paraId="7828DC91" w14:textId="57BD26B0">
      <w:pPr>
        <w:spacing w:after="120"/>
        <w:ind w:left="709" w:right="709"/>
        <w:jc w:val="both"/>
        <w:rPr>
          <w:rFonts w:ascii="Arial" w:hAnsi="Arial" w:cs="Arial"/>
          <w:sz w:val="21"/>
          <w:szCs w:val="21"/>
        </w:rPr>
      </w:pPr>
      <w:r w:rsidRPr="00F1486B">
        <w:rPr>
          <w:rFonts w:ascii="Arial" w:hAnsi="Arial" w:cs="Arial"/>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rsidRPr="00F1486B" w:rsidR="006D245C" w:rsidP="00AB219E" w:rsidRDefault="006D245C" w14:paraId="43DAA3A4" w14:textId="0E8201DC">
      <w:pPr>
        <w:spacing w:after="120"/>
        <w:ind w:left="709" w:right="709"/>
        <w:jc w:val="both"/>
        <w:rPr>
          <w:rFonts w:ascii="Arial" w:hAnsi="Arial" w:cs="Arial"/>
          <w:sz w:val="21"/>
          <w:szCs w:val="21"/>
        </w:rPr>
      </w:pPr>
      <w:r w:rsidRPr="00F1486B">
        <w:rPr>
          <w:rFonts w:ascii="Arial" w:hAnsi="Arial" w:cs="Arial"/>
          <w:sz w:val="21"/>
          <w:szCs w:val="21"/>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rsidRPr="00F1486B" w:rsidR="006D245C" w:rsidP="00AB219E" w:rsidRDefault="006D245C" w14:paraId="556E3CD3" w14:textId="2C8E192F">
      <w:pPr>
        <w:spacing w:after="120"/>
        <w:ind w:left="709" w:right="709"/>
        <w:jc w:val="both"/>
        <w:rPr>
          <w:rFonts w:ascii="Arial" w:hAnsi="Arial" w:cs="Arial"/>
          <w:sz w:val="21"/>
          <w:szCs w:val="21"/>
        </w:rPr>
      </w:pPr>
      <w:r w:rsidRPr="00F1486B">
        <w:rPr>
          <w:rFonts w:ascii="Arial" w:hAnsi="Arial" w:cs="Arial"/>
          <w:sz w:val="21"/>
          <w:szCs w:val="21"/>
        </w:rPr>
        <w:t>2. Conservar los requisitos exigidos en los Documentos Tipo.</w:t>
      </w:r>
    </w:p>
    <w:p w:rsidRPr="00F1486B" w:rsidR="006D245C" w:rsidP="00AB219E" w:rsidRDefault="006D245C" w14:paraId="4F7FF578" w14:textId="6268E5C1">
      <w:pPr>
        <w:spacing w:after="120"/>
        <w:ind w:left="709" w:right="709"/>
        <w:jc w:val="both"/>
        <w:rPr>
          <w:rFonts w:ascii="Arial" w:hAnsi="Arial" w:cs="Arial"/>
          <w:sz w:val="21"/>
          <w:szCs w:val="21"/>
        </w:rPr>
      </w:pPr>
      <w:r w:rsidRPr="00F1486B">
        <w:rPr>
          <w:rFonts w:ascii="Arial" w:hAnsi="Arial" w:cs="Arial"/>
          <w:sz w:val="21"/>
          <w:szCs w:val="21"/>
        </w:rPr>
        <w:t>3. Abstenerse de pedir experiencia exclusiva con entidades estatales, experiencia previa en un territorio específico, limitada en el tiempo o que incluya volúmenes o cantidades de obra específica.</w:t>
      </w:r>
    </w:p>
    <w:p w:rsidRPr="00F1486B" w:rsidR="006D245C" w:rsidP="00AB219E" w:rsidRDefault="006D245C" w14:paraId="7AF8D89B" w14:textId="77777777">
      <w:pPr>
        <w:ind w:left="709" w:right="709"/>
        <w:jc w:val="both"/>
        <w:rPr>
          <w:rFonts w:ascii="Arial" w:hAnsi="Arial" w:cs="Arial"/>
          <w:sz w:val="21"/>
          <w:szCs w:val="21"/>
        </w:rPr>
      </w:pPr>
      <w:r w:rsidRPr="00F1486B">
        <w:rPr>
          <w:rFonts w:ascii="Arial" w:hAnsi="Arial" w:cs="Arial"/>
          <w:sz w:val="21"/>
          <w:szCs w:val="21"/>
        </w:rPr>
        <w:t>4. Clasificar la experiencia requerida solo hasta el tercer nivel del Clasificador de Bienes y Servicios e incluir exclusivamente los códigos que estén relacionados directamente con el objeto a contratar.</w:t>
      </w:r>
    </w:p>
    <w:p w:rsidRPr="00AB219E" w:rsidR="006D245C" w:rsidP="00AB219E" w:rsidRDefault="006D245C" w14:paraId="379A99B6" w14:textId="77777777">
      <w:pPr>
        <w:pStyle w:val="Default"/>
        <w:spacing w:line="276" w:lineRule="auto"/>
        <w:rPr>
          <w:color w:val="auto"/>
          <w:sz w:val="22"/>
          <w:szCs w:val="22"/>
        </w:rPr>
      </w:pPr>
    </w:p>
    <w:p w:rsidRPr="00F1486B" w:rsidR="006D245C" w:rsidP="00AB219E" w:rsidRDefault="006D245C" w14:paraId="4107A812" w14:textId="656B202C">
      <w:pPr>
        <w:spacing w:line="276" w:lineRule="auto"/>
        <w:jc w:val="both"/>
        <w:rPr>
          <w:rFonts w:ascii="Arial" w:hAnsi="Arial" w:cs="Arial"/>
          <w:sz w:val="22"/>
        </w:rPr>
      </w:pPr>
      <w:r w:rsidRPr="00F1486B">
        <w:rPr>
          <w:rFonts w:ascii="Arial" w:hAnsi="Arial" w:cs="Arial"/>
          <w:sz w:val="22"/>
        </w:rPr>
        <w:tab/>
      </w:r>
      <w:bookmarkStart w:name="_Hlk40275772" w:id="3"/>
      <w:bookmarkStart w:name="_Hlk40274239" w:id="4"/>
      <w:r w:rsidRPr="00F1486B">
        <w:rPr>
          <w:rFonts w:ascii="Arial" w:hAnsi="Arial" w:cs="Arial"/>
          <w:sz w:val="22"/>
        </w:rPr>
        <w:t>El artículo en cita establece de manera clara que en los casos en los que el objeto contractual, además de la intervención de infraestructura vial, involucre bienes o servicios adicionales a la obra pública de infraestructura de transporte, deberán aplicarse los Documentos Tipo, estableciendo además unos parámetros para la configuración de la requisitos de experiencia adicionales a los establecidos en la Matriz 1</w:t>
      </w:r>
      <w:r w:rsidR="00865124">
        <w:rPr>
          <w:rFonts w:ascii="Arial" w:hAnsi="Arial" w:cs="Arial"/>
          <w:sz w:val="22"/>
        </w:rPr>
        <w:t xml:space="preserve">. Dichos </w:t>
      </w:r>
      <w:r w:rsidRPr="00BD794A" w:rsidR="00BD794A">
        <w:rPr>
          <w:rFonts w:ascii="Arial" w:hAnsi="Arial" w:cs="Arial"/>
          <w:sz w:val="22"/>
          <w:lang w:val="es-ES_tradnl"/>
        </w:rPr>
        <w:t>parámetros</w:t>
      </w:r>
      <w:r w:rsidRPr="00AB219E" w:rsidR="00865124">
        <w:rPr>
          <w:rFonts w:ascii="Arial" w:hAnsi="Arial" w:cs="Arial"/>
          <w:sz w:val="22"/>
          <w:lang w:val="es-ES_tradnl"/>
        </w:rPr>
        <w:t xml:space="preserve"> </w:t>
      </w:r>
      <w:r w:rsidRPr="00BD794A" w:rsidR="00BD794A">
        <w:rPr>
          <w:rFonts w:ascii="Arial" w:hAnsi="Arial" w:cs="Arial"/>
          <w:sz w:val="22"/>
          <w:lang w:val="es-ES_tradnl"/>
        </w:rPr>
        <w:t>serían</w:t>
      </w:r>
      <w:r w:rsidRPr="00F1486B">
        <w:rPr>
          <w:rFonts w:ascii="Arial" w:hAnsi="Arial" w:cs="Arial"/>
          <w:sz w:val="22"/>
        </w:rPr>
        <w:t xml:space="preserve"> aplicables cuando sean requeridos para evaluar la idoneidad de los proponentes en el desarrollo de l</w:t>
      </w:r>
      <w:r w:rsidR="001C1E85">
        <w:rPr>
          <w:rFonts w:ascii="Arial" w:hAnsi="Arial" w:cs="Arial"/>
          <w:sz w:val="22"/>
        </w:rPr>
        <w:t>o</w:t>
      </w:r>
      <w:r w:rsidRPr="00F1486B">
        <w:rPr>
          <w:rFonts w:ascii="Arial" w:hAnsi="Arial" w:cs="Arial"/>
          <w:sz w:val="22"/>
        </w:rPr>
        <w:t xml:space="preserve">s bienes o servicios adicionales a la obra pública de infraestructura de transporte que se pretenden contratar. Conforme a esto, el hecho que el objeto contractual abarque bienes o servicios adicionales a la obra pública de infraestructura de transporte, no </w:t>
      </w:r>
      <w:r w:rsidR="001C1E85">
        <w:rPr>
          <w:rFonts w:ascii="Arial" w:hAnsi="Arial" w:cs="Arial"/>
          <w:sz w:val="22"/>
        </w:rPr>
        <w:t xml:space="preserve">es contraria a la aplicación obligatoria </w:t>
      </w:r>
      <w:r w:rsidRPr="00F1486B">
        <w:rPr>
          <w:rFonts w:ascii="Arial" w:hAnsi="Arial" w:cs="Arial"/>
          <w:sz w:val="22"/>
        </w:rPr>
        <w:t xml:space="preserve">de los Documentos Tipo. </w:t>
      </w:r>
      <w:bookmarkEnd w:id="3"/>
    </w:p>
    <w:p w:rsidRPr="00F1486B" w:rsidR="006D245C" w:rsidP="006D245C" w:rsidRDefault="006D245C" w14:paraId="5DC782EB" w14:textId="2F99EA06">
      <w:pPr>
        <w:spacing w:before="120" w:line="276" w:lineRule="auto"/>
        <w:ind w:firstLine="708"/>
        <w:jc w:val="both"/>
        <w:rPr>
          <w:rFonts w:ascii="Arial" w:hAnsi="Arial" w:cs="Arial"/>
          <w:sz w:val="22"/>
        </w:rPr>
      </w:pPr>
      <w:r w:rsidRPr="00F1486B">
        <w:rPr>
          <w:rFonts w:ascii="Arial" w:hAnsi="Arial" w:cs="Arial"/>
          <w:sz w:val="22"/>
        </w:rPr>
        <w:lastRenderedPageBreak/>
        <w:t xml:space="preserve">En ese sentido, los Documentos Tipo son </w:t>
      </w:r>
      <w:r w:rsidR="001C1E85">
        <w:rPr>
          <w:rFonts w:ascii="Arial" w:hAnsi="Arial" w:cs="Arial"/>
          <w:sz w:val="22"/>
        </w:rPr>
        <w:t>vinculantes</w:t>
      </w:r>
      <w:r w:rsidRPr="00F1486B" w:rsidR="001C1E85">
        <w:rPr>
          <w:rFonts w:ascii="Arial" w:hAnsi="Arial" w:cs="Arial"/>
          <w:sz w:val="22"/>
        </w:rPr>
        <w:t xml:space="preserve"> </w:t>
      </w:r>
      <w:r w:rsidRPr="00F1486B">
        <w:rPr>
          <w:rFonts w:ascii="Arial" w:hAnsi="Arial" w:cs="Arial"/>
          <w:sz w:val="22"/>
        </w:rPr>
        <w:t>para las entidades públicas sometidas al Estatuto General de Contratación de la Administración Pública</w:t>
      </w:r>
      <w:r w:rsidR="00BD794A">
        <w:rPr>
          <w:rFonts w:ascii="Arial" w:hAnsi="Arial" w:cs="Arial"/>
          <w:sz w:val="22"/>
        </w:rPr>
        <w:t>.</w:t>
      </w:r>
      <w:r w:rsidRPr="00F1486B">
        <w:rPr>
          <w:rFonts w:ascii="Arial" w:hAnsi="Arial" w:cs="Arial"/>
          <w:sz w:val="22"/>
        </w:rPr>
        <w:t xml:space="preserve"> </w:t>
      </w:r>
      <w:r w:rsidR="00BD794A">
        <w:rPr>
          <w:rFonts w:ascii="Arial" w:hAnsi="Arial" w:cs="Arial"/>
          <w:sz w:val="22"/>
        </w:rPr>
        <w:t>A</w:t>
      </w:r>
      <w:r w:rsidRPr="00F1486B">
        <w:rPr>
          <w:rFonts w:ascii="Arial" w:hAnsi="Arial" w:cs="Arial"/>
          <w:sz w:val="22"/>
        </w:rPr>
        <w:t>sí mismo el ámbito de aplicación de dichos documentos está determinado por las actividades a contratar establecidas en la Matriz 1</w:t>
      </w:r>
      <w:r w:rsidR="001C1E85">
        <w:rPr>
          <w:rFonts w:ascii="Arial" w:hAnsi="Arial" w:cs="Arial"/>
          <w:sz w:val="22"/>
        </w:rPr>
        <w:t>, sin perjuicio de aplicar</w:t>
      </w:r>
      <w:r w:rsidRPr="00F1486B">
        <w:rPr>
          <w:rFonts w:ascii="Arial" w:hAnsi="Arial" w:cs="Arial"/>
          <w:sz w:val="22"/>
        </w:rPr>
        <w:t xml:space="preserve"> el artículo 2.2.1.2.6.1.5. del Decreto 1082 de 2015, adicionado por el artículo 1º del Decreto 342 de 2019, en relación con la adquisición de bienes o servicios adicionales a la obra pública en procesos de licitación.</w:t>
      </w:r>
    </w:p>
    <w:p w:rsidRPr="00F1486B" w:rsidR="00A5723A" w:rsidP="006D245C" w:rsidRDefault="006055CD" w14:paraId="2CC96026" w14:textId="748C5A02">
      <w:pPr>
        <w:spacing w:before="120" w:line="276" w:lineRule="auto"/>
        <w:ind w:firstLine="708"/>
        <w:jc w:val="both"/>
        <w:rPr>
          <w:rFonts w:ascii="Helvetica" w:hAnsi="Helvetica"/>
          <w:sz w:val="21"/>
          <w:szCs w:val="21"/>
          <w:shd w:val="clear" w:color="auto" w:fill="FFFFFF"/>
        </w:rPr>
      </w:pPr>
      <w:r w:rsidRPr="00F1486B">
        <w:rPr>
          <w:rFonts w:ascii="Arial" w:hAnsi="Arial" w:cs="Arial"/>
          <w:sz w:val="22"/>
        </w:rPr>
        <w:t>U</w:t>
      </w:r>
      <w:r w:rsidRPr="00F1486B" w:rsidR="006D245C">
        <w:rPr>
          <w:rFonts w:ascii="Arial" w:hAnsi="Arial" w:cs="Arial"/>
          <w:sz w:val="22"/>
        </w:rPr>
        <w:t xml:space="preserve">sted </w:t>
      </w:r>
      <w:r w:rsidRPr="00F1486B">
        <w:rPr>
          <w:rFonts w:ascii="Arial" w:hAnsi="Arial" w:cs="Arial"/>
          <w:sz w:val="22"/>
        </w:rPr>
        <w:t>indaga</w:t>
      </w:r>
      <w:r w:rsidRPr="00F1486B" w:rsidR="006D245C">
        <w:rPr>
          <w:rFonts w:ascii="Arial" w:hAnsi="Arial" w:cs="Arial"/>
          <w:sz w:val="22"/>
        </w:rPr>
        <w:t xml:space="preserve"> sobre la obligatoriedad de aplicar Documentos Tipo para la co</w:t>
      </w:r>
      <w:r w:rsidRPr="00F1486B" w:rsidR="00EE7F0A">
        <w:rPr>
          <w:rFonts w:ascii="Arial" w:hAnsi="Arial" w:cs="Arial"/>
          <w:sz w:val="22"/>
        </w:rPr>
        <w:t xml:space="preserve">nstrucción de un </w:t>
      </w:r>
      <w:r w:rsidRPr="00F1486B" w:rsidR="00EE7F0A">
        <w:rPr>
          <w:rFonts w:ascii="Arial" w:hAnsi="Arial" w:cs="Arial"/>
          <w:i/>
          <w:iCs/>
          <w:sz w:val="22"/>
        </w:rPr>
        <w:t xml:space="preserve">box culvert </w:t>
      </w:r>
      <w:r w:rsidRPr="00F1486B" w:rsidR="00EE7F0A">
        <w:rPr>
          <w:rFonts w:ascii="Arial" w:hAnsi="Arial" w:cs="Arial"/>
          <w:sz w:val="22"/>
        </w:rPr>
        <w:t xml:space="preserve">en zona rural. Al respecto es necesario recordar que </w:t>
      </w:r>
      <w:r w:rsidRPr="00F1486B" w:rsidR="006560CA">
        <w:rPr>
          <w:rFonts w:ascii="Arial" w:hAnsi="Arial" w:cs="Arial"/>
          <w:sz w:val="22"/>
        </w:rPr>
        <w:t xml:space="preserve">la referida expresión constituye un anglicismo </w:t>
      </w:r>
      <w:r w:rsidRPr="00F1486B" w:rsidR="00A5723A">
        <w:rPr>
          <w:rFonts w:ascii="Arial" w:hAnsi="Arial" w:cs="Arial"/>
          <w:sz w:val="22"/>
        </w:rPr>
        <w:t xml:space="preserve">que </w:t>
      </w:r>
      <w:r w:rsidRPr="00F1486B" w:rsidR="00EE7F0A">
        <w:rPr>
          <w:rFonts w:ascii="Arial" w:hAnsi="Arial" w:cs="Arial"/>
          <w:sz w:val="22"/>
        </w:rPr>
        <w:t xml:space="preserve">hace referencia a un tipo de infraestructura «construida </w:t>
      </w:r>
      <w:r w:rsidRPr="00F1486B" w:rsidR="00EE7F0A">
        <w:rPr>
          <w:rFonts w:ascii="Arial" w:hAnsi="Arial" w:cs="Arial"/>
          <w:i/>
          <w:iCs/>
          <w:sz w:val="22"/>
        </w:rPr>
        <w:t>in situ</w:t>
      </w:r>
      <w:r w:rsidRPr="00F1486B" w:rsidR="00EE7F0A">
        <w:rPr>
          <w:rFonts w:ascii="Arial" w:hAnsi="Arial" w:cs="Arial"/>
          <w:sz w:val="22"/>
        </w:rPr>
        <w:t xml:space="preserve"> o prefabricada en concreto, con forma de caja</w:t>
      </w:r>
      <w:r w:rsidRPr="00F1486B" w:rsidR="006560CA">
        <w:rPr>
          <w:rFonts w:ascii="Arial" w:hAnsi="Arial" w:cs="Arial"/>
          <w:sz w:val="22"/>
        </w:rPr>
        <w:t>,</w:t>
      </w:r>
      <w:r w:rsidRPr="00F1486B" w:rsidR="00EE7F0A">
        <w:rPr>
          <w:rFonts w:ascii="Arial" w:hAnsi="Arial" w:cs="Arial"/>
          <w:sz w:val="22"/>
        </w:rPr>
        <w:t xml:space="preserve"> que se encuentra debajo de un terraplén para drenar el agua de un lado de la carretera al otro»</w:t>
      </w:r>
      <w:r w:rsidRPr="00F1486B" w:rsidR="00EE7F0A">
        <w:rPr>
          <w:rStyle w:val="Refdenotaalpie"/>
          <w:rFonts w:ascii="Arial" w:hAnsi="Arial" w:cs="Arial"/>
          <w:sz w:val="22"/>
        </w:rPr>
        <w:footnoteReference w:id="2"/>
      </w:r>
      <w:r w:rsidRPr="00F1486B" w:rsidR="006560CA">
        <w:rPr>
          <w:rFonts w:ascii="Arial" w:hAnsi="Arial" w:cs="Arial"/>
          <w:sz w:val="22"/>
        </w:rPr>
        <w:t>. En otras palabras, es «</w:t>
      </w:r>
      <w:r w:rsidRPr="00F1486B" w:rsidR="006560CA">
        <w:rPr>
          <w:rFonts w:ascii="Helvetica" w:hAnsi="Helvetica"/>
          <w:sz w:val="21"/>
          <w:szCs w:val="21"/>
          <w:shd w:val="clear" w:color="auto" w:fill="FFFFFF"/>
        </w:rPr>
        <w:t>una estructura de sección cuadrada o rectangular que se fabrica de concreto armado a desnivel y permiten el paso de personas, animales y cuerpos de agua de un lado a otro de la vía»</w:t>
      </w:r>
      <w:r w:rsidRPr="00F1486B" w:rsidR="006560CA">
        <w:rPr>
          <w:rStyle w:val="Refdenotaalpie"/>
          <w:rFonts w:ascii="Helvetica" w:hAnsi="Helvetica"/>
          <w:sz w:val="21"/>
          <w:szCs w:val="21"/>
          <w:shd w:val="clear" w:color="auto" w:fill="FFFFFF"/>
        </w:rPr>
        <w:footnoteReference w:id="3"/>
      </w:r>
      <w:r w:rsidRPr="00F1486B" w:rsidR="006560CA">
        <w:rPr>
          <w:rFonts w:ascii="Helvetica" w:hAnsi="Helvetica"/>
          <w:sz w:val="21"/>
          <w:szCs w:val="21"/>
          <w:shd w:val="clear" w:color="auto" w:fill="FFFFFF"/>
        </w:rPr>
        <w:t>.</w:t>
      </w:r>
    </w:p>
    <w:p w:rsidRPr="00F1486B" w:rsidR="00A5723A" w:rsidP="00A5723A" w:rsidRDefault="00A5723A" w14:paraId="2A3AF435" w14:textId="44FEA4E2">
      <w:pPr>
        <w:spacing w:before="120" w:line="276" w:lineRule="auto"/>
        <w:jc w:val="both"/>
        <w:rPr>
          <w:rFonts w:ascii="Arial" w:hAnsi="Arial" w:cs="Arial"/>
          <w:sz w:val="22"/>
          <w:shd w:val="clear" w:color="auto" w:fill="FFFFFF"/>
        </w:rPr>
      </w:pPr>
      <w:r w:rsidRPr="00F1486B">
        <w:rPr>
          <w:rFonts w:ascii="Arial" w:hAnsi="Arial" w:cs="Arial"/>
          <w:sz w:val="22"/>
          <w:shd w:val="clear" w:color="auto" w:fill="FFFFFF"/>
        </w:rPr>
        <w:tab/>
      </w:r>
      <w:r w:rsidRPr="00F1486B">
        <w:rPr>
          <w:rFonts w:ascii="Arial" w:hAnsi="Arial" w:cs="Arial"/>
          <w:sz w:val="22"/>
          <w:shd w:val="clear" w:color="auto" w:fill="FFFFFF"/>
        </w:rPr>
        <w:t xml:space="preserve">Conforme a </w:t>
      </w:r>
      <w:r w:rsidRPr="00F1486B" w:rsidR="0068423B">
        <w:rPr>
          <w:rFonts w:ascii="Arial" w:hAnsi="Arial" w:cs="Arial"/>
          <w:sz w:val="22"/>
          <w:shd w:val="clear" w:color="auto" w:fill="FFFFFF"/>
        </w:rPr>
        <w:t>tal aproximación técnica</w:t>
      </w:r>
      <w:r w:rsidRPr="00F1486B">
        <w:rPr>
          <w:rFonts w:ascii="Arial" w:hAnsi="Arial" w:cs="Arial"/>
          <w:sz w:val="22"/>
          <w:shd w:val="clear" w:color="auto" w:fill="FFFFFF"/>
        </w:rPr>
        <w:t xml:space="preserve">, un </w:t>
      </w:r>
      <w:r w:rsidRPr="00F1486B">
        <w:rPr>
          <w:rFonts w:ascii="Arial" w:hAnsi="Arial" w:cs="Arial"/>
          <w:i/>
          <w:iCs/>
          <w:sz w:val="22"/>
          <w:shd w:val="clear" w:color="auto" w:fill="FFFFFF"/>
        </w:rPr>
        <w:t xml:space="preserve">box culvert </w:t>
      </w:r>
      <w:r w:rsidRPr="00F1486B">
        <w:rPr>
          <w:rFonts w:ascii="Arial" w:hAnsi="Arial" w:cs="Arial"/>
          <w:sz w:val="22"/>
          <w:shd w:val="clear" w:color="auto" w:fill="FFFFFF"/>
        </w:rPr>
        <w:t>es una infraestructura</w:t>
      </w:r>
      <w:r w:rsidR="00782AA1">
        <w:rPr>
          <w:rFonts w:ascii="Arial" w:hAnsi="Arial" w:cs="Arial"/>
          <w:sz w:val="22"/>
          <w:shd w:val="clear" w:color="auto" w:fill="FFFFFF"/>
        </w:rPr>
        <w:t xml:space="preserve"> de</w:t>
      </w:r>
      <w:r w:rsidRPr="00F1486B">
        <w:rPr>
          <w:rFonts w:ascii="Arial" w:hAnsi="Arial" w:cs="Arial"/>
          <w:sz w:val="22"/>
          <w:shd w:val="clear" w:color="auto" w:fill="FFFFFF"/>
        </w:rPr>
        <w:t xml:space="preserve"> </w:t>
      </w:r>
      <w:r w:rsidRPr="00F1486B" w:rsidR="0068423B">
        <w:rPr>
          <w:rFonts w:ascii="Arial" w:hAnsi="Arial" w:cs="Arial"/>
          <w:sz w:val="22"/>
          <w:shd w:val="clear" w:color="auto" w:fill="FFFFFF"/>
        </w:rPr>
        <w:t xml:space="preserve">drenaje concebida para permitir el paso de cuerpos de agua, corrientes hídricas e incluso de personas y animales por debajo de una vía. Ello quiere decir que la construcción de un </w:t>
      </w:r>
      <w:r w:rsidRPr="00F1486B" w:rsidR="0068423B">
        <w:rPr>
          <w:rFonts w:ascii="Arial" w:hAnsi="Arial" w:cs="Arial"/>
          <w:i/>
          <w:iCs/>
          <w:sz w:val="22"/>
          <w:shd w:val="clear" w:color="auto" w:fill="FFFFFF"/>
        </w:rPr>
        <w:t xml:space="preserve">box culvert, </w:t>
      </w:r>
      <w:r w:rsidRPr="00F1486B" w:rsidR="0068423B">
        <w:rPr>
          <w:rFonts w:ascii="Arial" w:hAnsi="Arial" w:cs="Arial"/>
          <w:sz w:val="22"/>
          <w:shd w:val="clear" w:color="auto" w:fill="FFFFFF"/>
        </w:rPr>
        <w:t>necesariamente se encuentra asociad</w:t>
      </w:r>
      <w:r w:rsidRPr="00F1486B" w:rsidR="009A5746">
        <w:rPr>
          <w:rFonts w:ascii="Arial" w:hAnsi="Arial" w:cs="Arial"/>
          <w:sz w:val="22"/>
          <w:shd w:val="clear" w:color="auto" w:fill="FFFFFF"/>
        </w:rPr>
        <w:t>a</w:t>
      </w:r>
      <w:r w:rsidRPr="00F1486B" w:rsidR="0068423B">
        <w:rPr>
          <w:rFonts w:ascii="Arial" w:hAnsi="Arial" w:cs="Arial"/>
          <w:sz w:val="22"/>
          <w:shd w:val="clear" w:color="auto" w:fill="FFFFFF"/>
        </w:rPr>
        <w:t xml:space="preserve"> a la intervención de una infraestructura de transporte. Sobre esto conviene recordar que la construcción de obras de drenaje, de conformidad con el </w:t>
      </w:r>
      <w:r w:rsidR="001C1E85">
        <w:rPr>
          <w:rFonts w:ascii="Arial" w:hAnsi="Arial" w:cs="Arial"/>
          <w:sz w:val="22"/>
          <w:shd w:val="clear" w:color="auto" w:fill="FFFFFF"/>
        </w:rPr>
        <w:t>«</w:t>
      </w:r>
      <w:r w:rsidRPr="00F1486B" w:rsidR="0068423B">
        <w:rPr>
          <w:rFonts w:ascii="Arial" w:hAnsi="Arial" w:cs="Arial"/>
          <w:sz w:val="22"/>
          <w:shd w:val="clear" w:color="auto" w:fill="FFFFFF"/>
        </w:rPr>
        <w:t>Anexo 3 – Glosario</w:t>
      </w:r>
      <w:r w:rsidR="001C1E85">
        <w:rPr>
          <w:rFonts w:ascii="Arial" w:hAnsi="Arial" w:cs="Arial"/>
          <w:sz w:val="22"/>
          <w:shd w:val="clear" w:color="auto" w:fill="FFFFFF"/>
        </w:rPr>
        <w:t>»</w:t>
      </w:r>
      <w:r w:rsidRPr="00F1486B" w:rsidR="0068423B">
        <w:rPr>
          <w:rFonts w:ascii="Arial" w:hAnsi="Arial" w:cs="Arial"/>
          <w:sz w:val="22"/>
          <w:shd w:val="clear" w:color="auto" w:fill="FFFFFF"/>
        </w:rPr>
        <w:t>, constituye una de las actividades de obra que corresponden a proyectos de mejoramiento de vías</w:t>
      </w:r>
      <w:r w:rsidRPr="00F1486B" w:rsidR="0068423B">
        <w:rPr>
          <w:rStyle w:val="Refdenotaalpie"/>
          <w:rFonts w:ascii="Arial" w:hAnsi="Arial" w:cs="Arial"/>
          <w:sz w:val="22"/>
          <w:shd w:val="clear" w:color="auto" w:fill="FFFFFF"/>
        </w:rPr>
        <w:footnoteReference w:id="4"/>
      </w:r>
      <w:r w:rsidRPr="00F1486B" w:rsidR="0068423B">
        <w:rPr>
          <w:rFonts w:ascii="Arial" w:hAnsi="Arial" w:cs="Arial"/>
          <w:sz w:val="22"/>
          <w:shd w:val="clear" w:color="auto" w:fill="FFFFFF"/>
        </w:rPr>
        <w:t xml:space="preserve">. </w:t>
      </w:r>
    </w:p>
    <w:p w:rsidRPr="00F1486B" w:rsidR="00F958BC" w:rsidP="00F958BC" w:rsidRDefault="00486A64" w14:paraId="688D4914" w14:textId="77777777">
      <w:pPr>
        <w:spacing w:before="120" w:line="276" w:lineRule="auto"/>
        <w:ind w:firstLine="708"/>
        <w:jc w:val="both"/>
        <w:rPr>
          <w:rFonts w:ascii="Arial" w:hAnsi="Arial" w:cs="Arial"/>
          <w:sz w:val="22"/>
        </w:rPr>
      </w:pPr>
      <w:r w:rsidRPr="00F1486B">
        <w:rPr>
          <w:rFonts w:ascii="Arial" w:hAnsi="Arial" w:cs="Arial"/>
          <w:sz w:val="22"/>
        </w:rPr>
        <w:t>P</w:t>
      </w:r>
      <w:r w:rsidRPr="00F1486B" w:rsidR="006D245C">
        <w:rPr>
          <w:rFonts w:ascii="Arial" w:hAnsi="Arial" w:cs="Arial"/>
          <w:sz w:val="22"/>
        </w:rPr>
        <w:t xml:space="preserve">ara determinar la obligatoriedad de los </w:t>
      </w:r>
      <w:r w:rsidRPr="00F1486B" w:rsidR="009A5746">
        <w:rPr>
          <w:rFonts w:ascii="Arial" w:hAnsi="Arial" w:cs="Arial"/>
          <w:sz w:val="22"/>
        </w:rPr>
        <w:t>D</w:t>
      </w:r>
      <w:r w:rsidRPr="00F1486B" w:rsidR="006D245C">
        <w:rPr>
          <w:rFonts w:ascii="Arial" w:hAnsi="Arial" w:cs="Arial"/>
          <w:sz w:val="22"/>
        </w:rPr>
        <w:t xml:space="preserve">ocumentos </w:t>
      </w:r>
      <w:r w:rsidRPr="00F1486B" w:rsidR="009A5746">
        <w:rPr>
          <w:rFonts w:ascii="Arial" w:hAnsi="Arial" w:cs="Arial"/>
          <w:sz w:val="22"/>
        </w:rPr>
        <w:t>T</w:t>
      </w:r>
      <w:r w:rsidRPr="00F1486B" w:rsidR="006D245C">
        <w:rPr>
          <w:rFonts w:ascii="Arial" w:hAnsi="Arial" w:cs="Arial"/>
          <w:sz w:val="22"/>
        </w:rPr>
        <w:t xml:space="preserve">ipo y la forma en la que deben configurarse las condiciones de experiencia exigibles, conforme impone la adecuada aplicación de la Matriz 1, debe en primera medida precisarse qué tipo de infraestructura </w:t>
      </w:r>
      <w:r w:rsidRPr="00F1486B" w:rsidR="009A5746">
        <w:rPr>
          <w:rFonts w:ascii="Arial" w:hAnsi="Arial" w:cs="Arial"/>
          <w:sz w:val="22"/>
        </w:rPr>
        <w:t xml:space="preserve">se intervendrá para la construcción del </w:t>
      </w:r>
      <w:r w:rsidRPr="00F1486B" w:rsidR="009A5746">
        <w:rPr>
          <w:rFonts w:ascii="Arial" w:hAnsi="Arial" w:cs="Arial"/>
          <w:i/>
          <w:iCs/>
          <w:sz w:val="22"/>
        </w:rPr>
        <w:t>box culvert</w:t>
      </w:r>
      <w:r w:rsidRPr="00F1486B" w:rsidR="009A5746">
        <w:rPr>
          <w:rFonts w:ascii="Arial" w:hAnsi="Arial" w:cs="Arial"/>
          <w:sz w:val="22"/>
        </w:rPr>
        <w:t xml:space="preserve">. En ese sentido, y dado que en la consulta usted indaga al desarrollo de este tipo de obra en una zona rural, se hace necesario precisar </w:t>
      </w:r>
      <w:r w:rsidRPr="00F1486B" w:rsidR="009A5746">
        <w:rPr>
          <w:rFonts w:ascii="Arial" w:hAnsi="Arial" w:cs="Arial"/>
          <w:sz w:val="22"/>
        </w:rPr>
        <w:lastRenderedPageBreak/>
        <w:t>si la obra se pretende desarrollar respecto de una vía primaria, secundaria, terciaria</w:t>
      </w:r>
      <w:r w:rsidRPr="00F1486B" w:rsidR="0084198E">
        <w:rPr>
          <w:rFonts w:ascii="Arial" w:hAnsi="Arial" w:cs="Arial"/>
          <w:sz w:val="22"/>
        </w:rPr>
        <w:t xml:space="preserve">, férrea o alguno de los otros tipos de infraestructura establecidos en la Matriz 1, ya que </w:t>
      </w:r>
      <w:r w:rsidRPr="00F1486B">
        <w:rPr>
          <w:rFonts w:ascii="Arial" w:hAnsi="Arial" w:cs="Arial"/>
          <w:sz w:val="22"/>
        </w:rPr>
        <w:t xml:space="preserve">de </w:t>
      </w:r>
      <w:r w:rsidRPr="00F1486B" w:rsidR="0084198E">
        <w:rPr>
          <w:rFonts w:ascii="Arial" w:hAnsi="Arial" w:cs="Arial"/>
          <w:sz w:val="22"/>
        </w:rPr>
        <w:t xml:space="preserve">estar asociada a alguna de estas deberán aplicarse los Documentos Tipo. </w:t>
      </w:r>
    </w:p>
    <w:p w:rsidRPr="00F1486B" w:rsidR="00486A64" w:rsidP="00F958BC" w:rsidRDefault="00F958BC" w14:paraId="70B14E7A" w14:textId="2540F4E3">
      <w:pPr>
        <w:spacing w:before="120" w:line="276" w:lineRule="auto"/>
        <w:ind w:firstLine="708"/>
        <w:jc w:val="both"/>
        <w:rPr>
          <w:rFonts w:ascii="Arial" w:hAnsi="Arial" w:cs="Arial"/>
          <w:sz w:val="22"/>
        </w:rPr>
      </w:pPr>
      <w:r w:rsidRPr="00F1486B">
        <w:rPr>
          <w:rFonts w:ascii="Arial" w:hAnsi="Arial" w:cs="Arial"/>
          <w:sz w:val="22"/>
        </w:rPr>
        <w:t>L</w:t>
      </w:r>
      <w:r w:rsidRPr="00F1486B" w:rsidR="00486A64">
        <w:rPr>
          <w:rFonts w:ascii="Arial" w:hAnsi="Arial" w:cs="Arial"/>
          <w:sz w:val="22"/>
        </w:rPr>
        <w:t xml:space="preserve">o anterior quiere decir que si, por ejemplo, se pretende construir un </w:t>
      </w:r>
      <w:r w:rsidRPr="00F1486B" w:rsidR="00486A64">
        <w:rPr>
          <w:rFonts w:ascii="Arial" w:hAnsi="Arial" w:cs="Arial"/>
          <w:i/>
          <w:iCs/>
          <w:sz w:val="22"/>
        </w:rPr>
        <w:t xml:space="preserve">box culvert </w:t>
      </w:r>
      <w:r w:rsidRPr="00F1486B" w:rsidR="00486A64">
        <w:rPr>
          <w:rFonts w:ascii="Arial" w:hAnsi="Arial" w:cs="Arial"/>
          <w:sz w:val="22"/>
        </w:rPr>
        <w:t xml:space="preserve">respecto de una vía terciaria, la actividad a desarrollar en el contexto de la Matriz 1 será la de «2.2 MEJORAMIENTO EN VÍAS TERCIARIAS», debiendo en consecuencia aplicarse los requisitos de experiencia general y especifica que resulten aplicables de acuerdo al dimensionamiento de la obra y cuantía del proceso de contratación. </w:t>
      </w:r>
      <w:r w:rsidRPr="00F1486B">
        <w:rPr>
          <w:rFonts w:ascii="Arial" w:hAnsi="Arial" w:cs="Arial"/>
          <w:sz w:val="22"/>
        </w:rPr>
        <w:t xml:space="preserve"> </w:t>
      </w:r>
      <w:r w:rsidRPr="00F1486B" w:rsidR="00486A64">
        <w:rPr>
          <w:rFonts w:ascii="Arial" w:hAnsi="Arial" w:cs="Arial"/>
          <w:sz w:val="22"/>
        </w:rPr>
        <w:t xml:space="preserve">Sin embargo, puede acontecer que los requisitos de experiencia </w:t>
      </w:r>
      <w:r w:rsidRPr="00F1486B">
        <w:rPr>
          <w:rFonts w:ascii="Arial" w:hAnsi="Arial" w:cs="Arial"/>
          <w:sz w:val="22"/>
        </w:rPr>
        <w:t xml:space="preserve">allí establecidos, </w:t>
      </w:r>
      <w:r w:rsidR="00795EB4">
        <w:rPr>
          <w:rFonts w:ascii="Arial" w:hAnsi="Arial" w:cs="Arial"/>
          <w:sz w:val="22"/>
        </w:rPr>
        <w:t>al</w:t>
      </w:r>
      <w:r w:rsidRPr="00F1486B">
        <w:rPr>
          <w:rFonts w:ascii="Arial" w:hAnsi="Arial" w:cs="Arial"/>
          <w:sz w:val="22"/>
        </w:rPr>
        <w:t xml:space="preserve"> configura</w:t>
      </w:r>
      <w:r w:rsidR="00795EB4">
        <w:rPr>
          <w:rFonts w:ascii="Arial" w:hAnsi="Arial" w:cs="Arial"/>
          <w:sz w:val="22"/>
        </w:rPr>
        <w:t>rse</w:t>
      </w:r>
      <w:r w:rsidRPr="00F1486B">
        <w:rPr>
          <w:rFonts w:ascii="Arial" w:hAnsi="Arial" w:cs="Arial"/>
          <w:sz w:val="22"/>
        </w:rPr>
        <w:t xml:space="preserve"> de manera general para el desarrollo de proyectos de mejoramiento vial, no resulten lo suficientemente adecuados para determinar la idoneidad de un proponente para el desarrollo de las actividades constructivas específicamente asociadas al </w:t>
      </w:r>
      <w:r w:rsidRPr="00F1486B">
        <w:rPr>
          <w:rFonts w:ascii="Arial" w:hAnsi="Arial" w:cs="Arial"/>
          <w:i/>
          <w:iCs/>
          <w:sz w:val="22"/>
        </w:rPr>
        <w:t>box culvert</w:t>
      </w:r>
      <w:r w:rsidR="00BD794A">
        <w:rPr>
          <w:rFonts w:ascii="Arial" w:hAnsi="Arial" w:cs="Arial"/>
          <w:sz w:val="22"/>
        </w:rPr>
        <w:t xml:space="preserve">. De ocurrir lo anterior, una entidad estatal </w:t>
      </w:r>
      <w:r w:rsidRPr="00BD794A" w:rsidR="00BD794A">
        <w:rPr>
          <w:rFonts w:ascii="Arial" w:hAnsi="Arial" w:cs="Arial"/>
          <w:sz w:val="22"/>
          <w:lang w:val="es-ES_tradnl"/>
        </w:rPr>
        <w:t>podría</w:t>
      </w:r>
      <w:r w:rsidRPr="00F1486B">
        <w:rPr>
          <w:rFonts w:ascii="Arial" w:hAnsi="Arial" w:cs="Arial"/>
          <w:sz w:val="22"/>
        </w:rPr>
        <w:t xml:space="preserve"> </w:t>
      </w:r>
      <w:r w:rsidR="00BD794A">
        <w:rPr>
          <w:rFonts w:ascii="Arial" w:hAnsi="Arial" w:cs="Arial"/>
          <w:sz w:val="22"/>
        </w:rPr>
        <w:t>dar</w:t>
      </w:r>
      <w:r w:rsidRPr="00F1486B">
        <w:rPr>
          <w:rFonts w:ascii="Arial" w:hAnsi="Arial" w:cs="Arial"/>
          <w:sz w:val="22"/>
        </w:rPr>
        <w:t xml:space="preserve"> aplicación del artículo 2.2.1.2.6.1.5. del Decreto 1082 de 2015</w:t>
      </w:r>
      <w:r w:rsidRPr="00F1486B" w:rsidR="00212E29">
        <w:rPr>
          <w:rFonts w:ascii="Arial" w:hAnsi="Arial" w:cs="Arial"/>
          <w:sz w:val="22"/>
        </w:rPr>
        <w:t xml:space="preserve">, antes </w:t>
      </w:r>
      <w:r w:rsidR="00795EB4">
        <w:rPr>
          <w:rFonts w:ascii="Arial" w:hAnsi="Arial" w:cs="Arial"/>
          <w:sz w:val="22"/>
        </w:rPr>
        <w:t>citado</w:t>
      </w:r>
      <w:r w:rsidRPr="00F1486B" w:rsidR="00212E29">
        <w:rPr>
          <w:rFonts w:ascii="Arial" w:hAnsi="Arial" w:cs="Arial"/>
          <w:sz w:val="22"/>
        </w:rPr>
        <w:t>, que faculta las entidades para solicitar experiencia adicional cuando el objeto a contratar</w:t>
      </w:r>
      <w:r w:rsidR="00795EB4">
        <w:rPr>
          <w:rFonts w:ascii="Arial" w:hAnsi="Arial" w:cs="Arial"/>
          <w:sz w:val="22"/>
        </w:rPr>
        <w:t>,</w:t>
      </w:r>
      <w:r w:rsidRPr="00F1486B" w:rsidR="00212E29">
        <w:rPr>
          <w:rFonts w:ascii="Arial" w:hAnsi="Arial" w:cs="Arial"/>
          <w:sz w:val="22"/>
        </w:rPr>
        <w:t xml:space="preserve"> además de la intervención de la vía, contempla bienes o servicios adicionales a la obra pública de infraestructura de transporte. </w:t>
      </w:r>
    </w:p>
    <w:p w:rsidRPr="00F1486B" w:rsidR="00212E29" w:rsidP="006D245C" w:rsidRDefault="00212E29" w14:paraId="327BED26" w14:textId="5115CE40">
      <w:pPr>
        <w:spacing w:before="120" w:line="276" w:lineRule="auto"/>
        <w:ind w:firstLine="708"/>
        <w:jc w:val="both"/>
        <w:rPr>
          <w:rFonts w:ascii="Arial" w:hAnsi="Arial" w:cs="Arial"/>
          <w:sz w:val="22"/>
        </w:rPr>
      </w:pPr>
      <w:r w:rsidRPr="00F1486B">
        <w:rPr>
          <w:rFonts w:ascii="Arial" w:hAnsi="Arial" w:cs="Arial"/>
          <w:sz w:val="22"/>
        </w:rPr>
        <w:t xml:space="preserve">En síntesis, la contratación de la construcción de un </w:t>
      </w:r>
      <w:r w:rsidRPr="00F1486B">
        <w:rPr>
          <w:rFonts w:ascii="Arial" w:hAnsi="Arial" w:cs="Arial"/>
          <w:i/>
          <w:iCs/>
          <w:sz w:val="22"/>
        </w:rPr>
        <w:t xml:space="preserve">box culvert </w:t>
      </w:r>
      <w:r w:rsidRPr="00F1486B">
        <w:rPr>
          <w:rFonts w:ascii="Arial" w:hAnsi="Arial" w:cs="Arial"/>
          <w:sz w:val="22"/>
        </w:rPr>
        <w:t>a través de un proceso de licitación pública</w:t>
      </w:r>
      <w:r w:rsidRPr="00F1486B">
        <w:rPr>
          <w:rFonts w:ascii="Arial" w:hAnsi="Arial" w:cs="Arial"/>
          <w:i/>
          <w:iCs/>
          <w:sz w:val="22"/>
        </w:rPr>
        <w:t xml:space="preserve">, </w:t>
      </w:r>
      <w:r w:rsidRPr="00F1486B">
        <w:rPr>
          <w:rFonts w:ascii="Arial" w:hAnsi="Arial" w:cs="Arial"/>
          <w:sz w:val="22"/>
        </w:rPr>
        <w:t xml:space="preserve">siempre que se encuentre asociada a uno de los tipos de infraestructura señalados en la Matriz 1, implicará la aplicación obligatoria de los Documentos Tipo adoptados por la Resolución No. 045 de 2020.  </w:t>
      </w:r>
    </w:p>
    <w:p w:rsidRPr="00F1486B" w:rsidR="006D245C" w:rsidP="006D268E" w:rsidRDefault="006D245C" w14:paraId="3085DAB9" w14:textId="0EDF9AAF">
      <w:pPr>
        <w:spacing w:before="120" w:line="276" w:lineRule="auto"/>
        <w:ind w:firstLine="708"/>
        <w:jc w:val="both"/>
        <w:rPr>
          <w:rFonts w:ascii="Arial" w:hAnsi="Arial" w:cs="Arial"/>
          <w:sz w:val="22"/>
        </w:rPr>
      </w:pPr>
      <w:r w:rsidRPr="00F1486B">
        <w:rPr>
          <w:rFonts w:ascii="Arial" w:hAnsi="Arial" w:cs="Arial"/>
          <w:sz w:val="22"/>
        </w:rPr>
        <w:t xml:space="preserve">En ese sentido, es a la entidad estatal a quien le corresponde determinar, conforme a la aplicación de la Matriz 1 explicada, si </w:t>
      </w:r>
      <w:r w:rsidRPr="00F1486B" w:rsidR="008B2AA9">
        <w:rPr>
          <w:rFonts w:ascii="Arial" w:hAnsi="Arial" w:cs="Arial"/>
          <w:sz w:val="22"/>
        </w:rPr>
        <w:t xml:space="preserve">la construcción del </w:t>
      </w:r>
      <w:r w:rsidRPr="00F1486B" w:rsidR="008B2AA9">
        <w:rPr>
          <w:rFonts w:ascii="Arial" w:hAnsi="Arial" w:cs="Arial"/>
          <w:i/>
          <w:iCs/>
          <w:sz w:val="22"/>
        </w:rPr>
        <w:t>box culvert</w:t>
      </w:r>
      <w:r w:rsidRPr="00F1486B" w:rsidR="008B2AA9">
        <w:rPr>
          <w:rFonts w:ascii="Arial" w:hAnsi="Arial" w:cs="Arial"/>
          <w:sz w:val="22"/>
        </w:rPr>
        <w:t xml:space="preserve"> </w:t>
      </w:r>
      <w:r w:rsidRPr="00F1486B">
        <w:rPr>
          <w:rFonts w:ascii="Arial" w:hAnsi="Arial" w:cs="Arial"/>
          <w:sz w:val="22"/>
        </w:rPr>
        <w:t>encaja dentro de algun</w:t>
      </w:r>
      <w:r w:rsidRPr="00F1486B" w:rsidR="008B2AA9">
        <w:rPr>
          <w:rFonts w:ascii="Arial" w:hAnsi="Arial" w:cs="Arial"/>
          <w:sz w:val="22"/>
        </w:rPr>
        <w:t>o</w:t>
      </w:r>
      <w:r w:rsidRPr="00F1486B">
        <w:rPr>
          <w:rFonts w:ascii="Arial" w:hAnsi="Arial" w:cs="Arial"/>
          <w:sz w:val="22"/>
        </w:rPr>
        <w:t xml:space="preserve"> de los ocho (8) tipos de obras de infraestructura de transporte antes </w:t>
      </w:r>
      <w:r w:rsidR="00795EB4">
        <w:rPr>
          <w:rFonts w:ascii="Arial" w:hAnsi="Arial" w:cs="Arial"/>
          <w:sz w:val="22"/>
        </w:rPr>
        <w:t>citadas</w:t>
      </w:r>
      <w:r w:rsidRPr="00F1486B">
        <w:rPr>
          <w:rFonts w:ascii="Arial" w:hAnsi="Arial" w:cs="Arial"/>
          <w:sz w:val="22"/>
        </w:rPr>
        <w:t>, y si la actividad a contratar se encuentra dentro de las establecidas para ese tipo de obra. Si la entidad determina que la intervención de la infraestructura de transporte a contratarse está incluida dentro de uno de los tipos de obra y actividades de la Matriz 1, deberán aplicarse de manera obligatoria los Documentos Tipo, exigiéndose los requisitos de experiencia establecidos en dicha matriz</w:t>
      </w:r>
      <w:r w:rsidR="00A93753">
        <w:rPr>
          <w:rFonts w:ascii="Arial" w:hAnsi="Arial" w:cs="Arial"/>
          <w:sz w:val="22"/>
        </w:rPr>
        <w:t>. De igual forma,</w:t>
      </w:r>
      <w:r w:rsidRPr="00F1486B">
        <w:rPr>
          <w:rFonts w:ascii="Arial" w:hAnsi="Arial" w:cs="Arial"/>
          <w:sz w:val="22"/>
        </w:rPr>
        <w:t xml:space="preserve"> </w:t>
      </w:r>
      <w:r w:rsidRPr="00A93753" w:rsidR="00A93753">
        <w:rPr>
          <w:rFonts w:ascii="Arial" w:hAnsi="Arial" w:cs="Arial"/>
          <w:sz w:val="22"/>
          <w:lang w:val="es-ES_tradnl"/>
        </w:rPr>
        <w:t>existirá</w:t>
      </w:r>
      <w:r w:rsidRPr="00F1486B" w:rsidR="008B2AA9">
        <w:rPr>
          <w:rFonts w:ascii="Arial" w:hAnsi="Arial" w:cs="Arial"/>
          <w:sz w:val="22"/>
        </w:rPr>
        <w:t xml:space="preserve"> la posibilidad de </w:t>
      </w:r>
      <w:r w:rsidRPr="00F1486B">
        <w:rPr>
          <w:rFonts w:ascii="Arial" w:hAnsi="Arial" w:cs="Arial"/>
          <w:sz w:val="22"/>
        </w:rPr>
        <w:t>evaluar la idoneidad de los proponentes,</w:t>
      </w:r>
      <w:r w:rsidRPr="00F1486B" w:rsidR="008B2AA9">
        <w:rPr>
          <w:rFonts w:ascii="Arial" w:hAnsi="Arial" w:cs="Arial"/>
          <w:sz w:val="22"/>
        </w:rPr>
        <w:t xml:space="preserve"> en lo específicamente referido al </w:t>
      </w:r>
      <w:r w:rsidRPr="00F1486B" w:rsidR="008B2AA9">
        <w:rPr>
          <w:rFonts w:ascii="Arial" w:hAnsi="Arial" w:cs="Arial"/>
          <w:i/>
          <w:iCs/>
          <w:sz w:val="22"/>
        </w:rPr>
        <w:t xml:space="preserve">box </w:t>
      </w:r>
      <w:proofErr w:type="spellStart"/>
      <w:r w:rsidRPr="00F1486B" w:rsidR="008B2AA9">
        <w:rPr>
          <w:rFonts w:ascii="Arial" w:hAnsi="Arial" w:cs="Arial"/>
          <w:i/>
          <w:iCs/>
          <w:sz w:val="22"/>
        </w:rPr>
        <w:t>culvert</w:t>
      </w:r>
      <w:proofErr w:type="spellEnd"/>
      <w:r w:rsidRPr="00F1486B" w:rsidR="008B2AA9">
        <w:rPr>
          <w:rFonts w:ascii="Arial" w:hAnsi="Arial" w:cs="Arial"/>
          <w:i/>
          <w:iCs/>
          <w:sz w:val="22"/>
        </w:rPr>
        <w:t>,</w:t>
      </w:r>
      <w:r w:rsidRPr="00F1486B">
        <w:rPr>
          <w:rFonts w:ascii="Arial" w:hAnsi="Arial" w:cs="Arial"/>
          <w:sz w:val="22"/>
        </w:rPr>
        <w:t xml:space="preserve"> </w:t>
      </w:r>
      <w:r w:rsidRPr="00F1486B" w:rsidR="008B2AA9">
        <w:rPr>
          <w:rFonts w:ascii="Arial" w:hAnsi="Arial" w:cs="Arial"/>
          <w:sz w:val="22"/>
        </w:rPr>
        <w:t>mediante</w:t>
      </w:r>
      <w:r w:rsidRPr="00F1486B">
        <w:rPr>
          <w:rFonts w:ascii="Arial" w:hAnsi="Arial" w:cs="Arial"/>
          <w:sz w:val="22"/>
        </w:rPr>
        <w:t xml:space="preserve"> </w:t>
      </w:r>
      <w:r w:rsidRPr="00F1486B" w:rsidR="008B2AA9">
        <w:rPr>
          <w:rFonts w:ascii="Arial" w:hAnsi="Arial" w:cs="Arial"/>
          <w:sz w:val="22"/>
        </w:rPr>
        <w:t xml:space="preserve">la </w:t>
      </w:r>
      <w:r w:rsidRPr="00F1486B">
        <w:rPr>
          <w:rFonts w:ascii="Arial" w:hAnsi="Arial" w:cs="Arial"/>
          <w:sz w:val="22"/>
        </w:rPr>
        <w:t>exig</w:t>
      </w:r>
      <w:r w:rsidRPr="00F1486B" w:rsidR="008B2AA9">
        <w:rPr>
          <w:rFonts w:ascii="Arial" w:hAnsi="Arial" w:cs="Arial"/>
          <w:sz w:val="22"/>
        </w:rPr>
        <w:t>encia</w:t>
      </w:r>
      <w:r w:rsidRPr="00F1486B">
        <w:rPr>
          <w:rFonts w:ascii="Arial" w:hAnsi="Arial" w:cs="Arial"/>
          <w:sz w:val="22"/>
        </w:rPr>
        <w:t xml:space="preserve"> </w:t>
      </w:r>
      <w:r w:rsidRPr="00F1486B" w:rsidR="008B2AA9">
        <w:rPr>
          <w:rFonts w:ascii="Arial" w:hAnsi="Arial" w:cs="Arial"/>
          <w:sz w:val="22"/>
        </w:rPr>
        <w:t xml:space="preserve">de </w:t>
      </w:r>
      <w:r w:rsidRPr="00F1486B">
        <w:rPr>
          <w:rFonts w:ascii="Arial" w:hAnsi="Arial" w:cs="Arial"/>
          <w:sz w:val="22"/>
        </w:rPr>
        <w:t xml:space="preserve">experiencia adicional o complementaria a la de la referida matriz de acuerdo a los parámetros del artículo 2.2.1.2.6.1.5 del Decreto 1082 de 2015. </w:t>
      </w:r>
      <w:bookmarkEnd w:id="4"/>
    </w:p>
    <w:p w:rsidRPr="00F1486B" w:rsidR="00C8182E" w:rsidP="00DD689E" w:rsidRDefault="00C8182E" w14:paraId="4EA0461F" w14:textId="77777777">
      <w:pPr>
        <w:spacing w:line="276" w:lineRule="auto"/>
        <w:ind w:right="709"/>
        <w:jc w:val="both"/>
        <w:rPr>
          <w:rFonts w:ascii="Arial" w:hAnsi="Arial" w:cs="Arial"/>
          <w:sz w:val="21"/>
          <w:szCs w:val="21"/>
          <w:lang w:val="es-CO"/>
        </w:rPr>
      </w:pPr>
    </w:p>
    <w:p w:rsidRPr="00F1486B" w:rsidR="00DD689E" w:rsidP="00DD689E" w:rsidRDefault="00DD689E" w14:paraId="6B72FAB3" w14:textId="77777777">
      <w:pPr>
        <w:pStyle w:val="Prrafodelista"/>
        <w:numPr>
          <w:ilvl w:val="0"/>
          <w:numId w:val="1"/>
        </w:numPr>
        <w:tabs>
          <w:tab w:val="left" w:pos="284"/>
        </w:tabs>
        <w:spacing w:line="276" w:lineRule="auto"/>
        <w:ind w:left="0" w:firstLine="0"/>
        <w:rPr>
          <w:rFonts w:ascii="Arial" w:hAnsi="Arial" w:cs="Arial"/>
          <w:b/>
          <w:bCs/>
          <w:sz w:val="22"/>
          <w:lang w:val="es-CO"/>
        </w:rPr>
      </w:pPr>
      <w:r w:rsidRPr="00F1486B">
        <w:rPr>
          <w:rFonts w:ascii="Arial" w:hAnsi="Arial" w:cs="Arial"/>
          <w:b/>
          <w:bCs/>
          <w:sz w:val="22"/>
          <w:lang w:val="es-CO"/>
        </w:rPr>
        <w:t xml:space="preserve">Respuesta </w:t>
      </w:r>
    </w:p>
    <w:p w:rsidRPr="00F1486B" w:rsidR="00C8182E" w:rsidP="00DD689E" w:rsidRDefault="00C8182E" w14:paraId="7B12E20F" w14:textId="77777777">
      <w:pPr>
        <w:spacing w:line="276" w:lineRule="auto"/>
        <w:ind w:right="709"/>
        <w:jc w:val="both"/>
        <w:rPr>
          <w:rFonts w:ascii="Arial" w:hAnsi="Arial" w:cs="Arial"/>
          <w:sz w:val="21"/>
          <w:szCs w:val="21"/>
          <w:lang w:val="es-CO"/>
        </w:rPr>
      </w:pPr>
    </w:p>
    <w:p w:rsidRPr="00F1486B" w:rsidR="00CB1FD3" w:rsidP="008B2AA9" w:rsidRDefault="008B2AA9" w14:paraId="1AE4D6E4" w14:textId="4765EFDF">
      <w:pPr>
        <w:spacing w:line="276" w:lineRule="auto"/>
        <w:ind w:left="709" w:right="709"/>
        <w:jc w:val="both"/>
        <w:rPr>
          <w:rFonts w:ascii="Arial" w:hAnsi="Arial" w:eastAsia="Calibri" w:cs="Arial"/>
          <w:sz w:val="21"/>
          <w:szCs w:val="21"/>
        </w:rPr>
      </w:pPr>
      <w:r w:rsidRPr="00F1486B">
        <w:rPr>
          <w:rFonts w:ascii="Arial" w:hAnsi="Arial" w:eastAsia="Calibri" w:cs="Arial"/>
          <w:sz w:val="21"/>
          <w:szCs w:val="21"/>
        </w:rPr>
        <w:t>«[…] Quiero saber si en la licitación para la construcción de un box culvert en zona rural de un municipio La entidad estatal debe subir los Pliegos Tipo? […]»</w:t>
      </w:r>
    </w:p>
    <w:p w:rsidRPr="00F1486B" w:rsidR="00C8182E" w:rsidP="00AB219E" w:rsidRDefault="00C8182E" w14:paraId="7336FAAF" w14:textId="77777777">
      <w:pPr>
        <w:ind w:right="709"/>
        <w:jc w:val="both"/>
        <w:rPr>
          <w:rFonts w:ascii="Arial" w:hAnsi="Arial" w:eastAsia="Calibri" w:cs="Arial"/>
          <w:sz w:val="22"/>
        </w:rPr>
      </w:pPr>
    </w:p>
    <w:p w:rsidRPr="00F1486B" w:rsidR="008B2AA9" w:rsidP="006055CD" w:rsidRDefault="008B2AA9" w14:paraId="4296A7D8" w14:textId="68873908">
      <w:pPr>
        <w:spacing w:line="276" w:lineRule="auto"/>
        <w:jc w:val="both"/>
        <w:rPr>
          <w:rFonts w:ascii="Arial" w:hAnsi="Arial" w:cs="Arial"/>
          <w:sz w:val="22"/>
        </w:rPr>
      </w:pPr>
      <w:bookmarkStart w:name="_Hlk40275172" w:id="5"/>
      <w:r w:rsidRPr="00F1486B">
        <w:rPr>
          <w:rFonts w:ascii="Arial" w:hAnsi="Arial" w:cs="Arial"/>
          <w:sz w:val="22"/>
        </w:rPr>
        <w:t xml:space="preserve">El Documentos Base de licitación pública hace referencia al ámbito de aplicación de los Pliegos Tipo, estableciendo que «los Documentos Tipo aplican a los procesos de licitación de obra pública de infraestructura de transporte (versión 2), que correspondan a las </w:t>
      </w:r>
      <w:r w:rsidRPr="00F1486B">
        <w:rPr>
          <w:rFonts w:ascii="Arial" w:hAnsi="Arial" w:cs="Arial"/>
          <w:sz w:val="22"/>
        </w:rPr>
        <w:lastRenderedPageBreak/>
        <w:t>actividades definidas en la Matriz 1 Experiencia», estableciendo además que «las actividades de infraestructura de transporte no contempladas en la Matriz 1 no tienen que aplicar los Documentos Tipo».</w:t>
      </w:r>
    </w:p>
    <w:p w:rsidRPr="00F1486B" w:rsidR="008B2AA9" w:rsidP="008B2AA9" w:rsidRDefault="008B2AA9" w14:paraId="28B1D227" w14:textId="333DE844">
      <w:pPr>
        <w:spacing w:before="120" w:line="276" w:lineRule="auto"/>
        <w:ind w:firstLine="709"/>
        <w:jc w:val="both"/>
        <w:rPr>
          <w:rFonts w:ascii="Arial" w:hAnsi="Arial" w:cs="Arial"/>
          <w:sz w:val="22"/>
        </w:rPr>
      </w:pPr>
      <w:r w:rsidRPr="00F1486B">
        <w:rPr>
          <w:rFonts w:ascii="Arial" w:hAnsi="Arial" w:cs="Arial"/>
          <w:sz w:val="22"/>
        </w:rPr>
        <w:t xml:space="preserve">Para determinar el ámbito de aplicación de los Documentos Tipo, entonces, se debe acudir a la </w:t>
      </w:r>
      <w:r w:rsidR="00795EB4">
        <w:rPr>
          <w:rFonts w:ascii="Arial" w:hAnsi="Arial" w:cs="Arial"/>
          <w:sz w:val="22"/>
        </w:rPr>
        <w:t>«</w:t>
      </w:r>
      <w:r w:rsidRPr="00F1486B">
        <w:rPr>
          <w:rFonts w:ascii="Arial" w:hAnsi="Arial" w:cs="Arial"/>
          <w:sz w:val="22"/>
        </w:rPr>
        <w:t xml:space="preserve">Matriz 1 </w:t>
      </w:r>
      <w:r w:rsidR="00795EB4">
        <w:rPr>
          <w:rFonts w:ascii="Arial" w:hAnsi="Arial" w:cs="Arial"/>
          <w:sz w:val="22"/>
        </w:rPr>
        <w:t>–</w:t>
      </w:r>
      <w:r w:rsidRPr="00F1486B">
        <w:rPr>
          <w:rFonts w:ascii="Arial" w:hAnsi="Arial" w:cs="Arial"/>
          <w:sz w:val="22"/>
        </w:rPr>
        <w:t xml:space="preserve"> Experiencia</w:t>
      </w:r>
      <w:r w:rsidR="00795EB4">
        <w:rPr>
          <w:rFonts w:ascii="Arial" w:hAnsi="Arial" w:cs="Arial"/>
          <w:sz w:val="22"/>
        </w:rPr>
        <w:t>»</w:t>
      </w:r>
      <w:r w:rsidRPr="00F1486B">
        <w:rPr>
          <w:rFonts w:ascii="Arial" w:hAnsi="Arial" w:cs="Arial"/>
          <w:sz w:val="22"/>
        </w:rPr>
        <w:t>, que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 Si la actividad a ejecutarse sobre la infraestructura de transporte encaja dentro de alguno de estos tipos de obra, y a su vez corresponde a alguna de las actividades establecidas para este tipo de obra, será obligatoria la aplicación de los Documentos Tipo y de los requisitos de experiencia establecidos en la Matriz 1.</w:t>
      </w:r>
    </w:p>
    <w:p w:rsidRPr="00F1486B" w:rsidR="008B2AA9" w:rsidP="008B2AA9" w:rsidRDefault="00574498" w14:paraId="76DA387A" w14:textId="6904577C">
      <w:pPr>
        <w:spacing w:before="120" w:line="276" w:lineRule="auto"/>
        <w:ind w:firstLine="709"/>
        <w:jc w:val="both"/>
        <w:rPr>
          <w:rFonts w:ascii="Arial" w:hAnsi="Arial" w:cs="Arial"/>
          <w:sz w:val="22"/>
        </w:rPr>
      </w:pPr>
      <w:r>
        <w:rPr>
          <w:rFonts w:ascii="Arial" w:hAnsi="Arial" w:cs="Arial"/>
          <w:sz w:val="22"/>
        </w:rPr>
        <w:t>Por ello,</w:t>
      </w:r>
      <w:r w:rsidRPr="00F1486B" w:rsidR="008B2AA9">
        <w:rPr>
          <w:rFonts w:ascii="Arial" w:hAnsi="Arial" w:cs="Arial"/>
          <w:sz w:val="22"/>
        </w:rPr>
        <w:t xml:space="preserve"> para la contratación de la construcción de un </w:t>
      </w:r>
      <w:r w:rsidRPr="00F1486B" w:rsidR="008B2AA9">
        <w:rPr>
          <w:rFonts w:ascii="Arial" w:hAnsi="Arial" w:cs="Arial"/>
          <w:i/>
          <w:iCs/>
          <w:sz w:val="22"/>
        </w:rPr>
        <w:t xml:space="preserve">box culvert </w:t>
      </w:r>
      <w:r w:rsidRPr="00F1486B" w:rsidR="008B2AA9">
        <w:rPr>
          <w:rFonts w:ascii="Arial" w:hAnsi="Arial" w:cs="Arial"/>
          <w:sz w:val="22"/>
        </w:rPr>
        <w:t>a través de un proceso de licitación pública</w:t>
      </w:r>
      <w:r w:rsidRPr="00F1486B" w:rsidR="008B2AA9">
        <w:rPr>
          <w:rFonts w:ascii="Arial" w:hAnsi="Arial" w:cs="Arial"/>
          <w:i/>
          <w:iCs/>
          <w:sz w:val="22"/>
        </w:rPr>
        <w:t xml:space="preserve">, </w:t>
      </w:r>
      <w:r w:rsidRPr="00F1486B" w:rsidR="008B2AA9">
        <w:rPr>
          <w:rFonts w:ascii="Arial" w:hAnsi="Arial" w:cs="Arial"/>
          <w:sz w:val="22"/>
        </w:rPr>
        <w:t xml:space="preserve">siempre que implique la intervención de uno de los tipos de infraestructura señalados en la Matriz 1, deberán aplicarse de manera obligatoria los Documentos Tipo adoptados por la Resolución No. 045 de 2020.  </w:t>
      </w:r>
    </w:p>
    <w:p w:rsidR="006055CD" w:rsidP="006055CD" w:rsidRDefault="006055CD" w14:paraId="5462A15A" w14:textId="360647CC">
      <w:pPr>
        <w:spacing w:before="120" w:line="276" w:lineRule="auto"/>
        <w:ind w:firstLine="709"/>
        <w:jc w:val="both"/>
        <w:rPr>
          <w:rFonts w:ascii="Arial" w:hAnsi="Arial" w:cs="Arial"/>
          <w:sz w:val="22"/>
        </w:rPr>
      </w:pPr>
      <w:r w:rsidRPr="00F1486B">
        <w:rPr>
          <w:rFonts w:ascii="Arial" w:hAnsi="Arial" w:cs="Arial"/>
          <w:sz w:val="22"/>
        </w:rPr>
        <w:t xml:space="preserve">En caso de que la entidad determine que los requisitos de experiencia exigibles por cuenta de la Matriz 1, conforme al tipo de obra, actividad y cuantía del proceso, no resulten adecuados para evaluar la idoneidad de los proponentes en lo específicamente referido a la construcción del </w:t>
      </w:r>
      <w:r w:rsidRPr="00F1486B">
        <w:rPr>
          <w:rFonts w:ascii="Arial" w:hAnsi="Arial" w:cs="Arial"/>
          <w:i/>
          <w:iCs/>
          <w:sz w:val="22"/>
        </w:rPr>
        <w:t xml:space="preserve">box </w:t>
      </w:r>
      <w:proofErr w:type="spellStart"/>
      <w:r w:rsidRPr="00F1486B">
        <w:rPr>
          <w:rFonts w:ascii="Arial" w:hAnsi="Arial" w:cs="Arial"/>
          <w:i/>
          <w:iCs/>
          <w:sz w:val="22"/>
        </w:rPr>
        <w:t>culvert</w:t>
      </w:r>
      <w:proofErr w:type="spellEnd"/>
      <w:r w:rsidRPr="00F1486B">
        <w:rPr>
          <w:rFonts w:ascii="Arial" w:hAnsi="Arial" w:cs="Arial"/>
          <w:i/>
          <w:iCs/>
          <w:sz w:val="22"/>
        </w:rPr>
        <w:t xml:space="preserve">, </w:t>
      </w:r>
      <w:r w:rsidRPr="00F1486B">
        <w:rPr>
          <w:rFonts w:ascii="Arial" w:hAnsi="Arial" w:cs="Arial"/>
          <w:sz w:val="22"/>
        </w:rPr>
        <w:t xml:space="preserve">la entidad </w:t>
      </w:r>
      <w:r w:rsidR="00795EB4">
        <w:rPr>
          <w:rFonts w:ascii="Arial" w:hAnsi="Arial" w:cs="Arial"/>
          <w:sz w:val="22"/>
        </w:rPr>
        <w:t>aplicará</w:t>
      </w:r>
      <w:r w:rsidRPr="00F1486B">
        <w:rPr>
          <w:rFonts w:ascii="Arial" w:hAnsi="Arial" w:cs="Arial"/>
          <w:sz w:val="22"/>
        </w:rPr>
        <w:t xml:space="preserve"> al artículo 2.2.1.2.6.1.5. del Decreto 1082 de 2015</w:t>
      </w:r>
      <w:r w:rsidRPr="00F1486B">
        <w:rPr>
          <w:rFonts w:ascii="Arial" w:hAnsi="Arial" w:cs="Arial"/>
          <w:i/>
          <w:iCs/>
          <w:sz w:val="22"/>
        </w:rPr>
        <w:t xml:space="preserve">, </w:t>
      </w:r>
      <w:r w:rsidRPr="00F1486B">
        <w:rPr>
          <w:rFonts w:ascii="Arial" w:hAnsi="Arial" w:cs="Arial"/>
          <w:sz w:val="22"/>
        </w:rPr>
        <w:t xml:space="preserve">exigiendo requisitos de experiencia adicionales o complementarios de los establecidos en la Matriz 1, </w:t>
      </w:r>
      <w:r w:rsidR="00795EB4">
        <w:rPr>
          <w:rFonts w:ascii="Arial" w:hAnsi="Arial" w:cs="Arial"/>
          <w:sz w:val="22"/>
        </w:rPr>
        <w:t>siguiendo</w:t>
      </w:r>
      <w:r w:rsidRPr="00F1486B" w:rsidR="00795EB4">
        <w:rPr>
          <w:rFonts w:ascii="Arial" w:hAnsi="Arial" w:cs="Arial"/>
          <w:sz w:val="22"/>
        </w:rPr>
        <w:t xml:space="preserve"> </w:t>
      </w:r>
      <w:r w:rsidRPr="00F1486B">
        <w:rPr>
          <w:rFonts w:ascii="Arial" w:hAnsi="Arial" w:cs="Arial"/>
          <w:sz w:val="22"/>
        </w:rPr>
        <w:t>los parámetros establecidos en el referido artículo.</w:t>
      </w:r>
    </w:p>
    <w:bookmarkEnd w:id="5"/>
    <w:p w:rsidR="00C8182E" w:rsidP="00AB219E" w:rsidRDefault="00C8182E" w14:paraId="322A8AC4" w14:textId="77777777">
      <w:pPr>
        <w:spacing w:after="120" w:line="276" w:lineRule="auto"/>
        <w:jc w:val="both"/>
        <w:rPr>
          <w:rFonts w:ascii="Arial" w:hAnsi="Arial" w:eastAsia="Calibri" w:cs="Arial"/>
          <w:sz w:val="22"/>
        </w:rPr>
      </w:pPr>
    </w:p>
    <w:p w:rsidRPr="00F1486B" w:rsidR="00DD689E" w:rsidP="00C8182E" w:rsidRDefault="00DD689E" w14:paraId="2DA00BF0" w14:textId="7C6E6521">
      <w:pPr>
        <w:spacing w:line="276" w:lineRule="auto"/>
        <w:jc w:val="both"/>
        <w:rPr>
          <w:rFonts w:ascii="Arial" w:hAnsi="Arial" w:eastAsia="Calibri" w:cs="Arial"/>
          <w:sz w:val="22"/>
        </w:rPr>
      </w:pPr>
      <w:r w:rsidRPr="00F1486B">
        <w:rPr>
          <w:rFonts w:ascii="Arial" w:hAnsi="Arial" w:eastAsia="Calibri" w:cs="Arial"/>
          <w:sz w:val="22"/>
        </w:rPr>
        <w:t>Este concepto tiene el alcance previsto en el artículo 28 del Código de Procedimiento Administrativo y de lo Contencioso Administrativo.</w:t>
      </w:r>
    </w:p>
    <w:p w:rsidRPr="00A12943" w:rsidR="0088629D" w:rsidP="0088629D" w:rsidRDefault="0088629D" w14:paraId="67D41C1A" w14:textId="21280385" w14:noSpellErr="1">
      <w:pPr>
        <w:spacing w:line="276" w:lineRule="auto"/>
        <w:rPr>
          <w:rFonts w:ascii="Arial" w:hAnsi="Arial" w:cs="Arial"/>
          <w:lang w:eastAsia="es-CO"/>
        </w:rPr>
      </w:pPr>
      <w:bookmarkStart w:name="_Hlk50370367" w:id="6"/>
      <w:bookmarkEnd w:id="0"/>
      <w:bookmarkEnd w:id="1"/>
    </w:p>
    <w:bookmarkEnd w:id="6"/>
    <w:p w:rsidRPr="0088629D" w:rsidR="0088629D" w:rsidP="0088629D" w:rsidRDefault="0088629D" w14:paraId="169C7CC8" w14:textId="04B792BC">
      <w:pPr>
        <w:spacing w:line="276" w:lineRule="auto"/>
        <w:rPr>
          <w:rFonts w:ascii="Arial" w:hAnsi="Arial" w:cs="Arial"/>
          <w:sz w:val="22"/>
          <w:szCs w:val="20"/>
        </w:rPr>
      </w:pPr>
      <w:r w:rsidRPr="0088629D">
        <w:rPr>
          <w:rFonts w:ascii="Arial" w:hAnsi="Arial" w:cs="Arial"/>
          <w:sz w:val="22"/>
          <w:szCs w:val="20"/>
          <w:lang w:eastAsia="es-CO"/>
        </w:rPr>
        <w:t>Atentamente,</w:t>
      </w:r>
    </w:p>
    <w:p w:rsidRPr="00A12943" w:rsidR="0088629D" w:rsidP="0088629D" w:rsidRDefault="0088629D" w14:paraId="71946078" w14:textId="340439BE">
      <w:pPr>
        <w:jc w:val="both"/>
        <w:rPr>
          <w:rFonts w:ascii="Arial" w:hAnsi="Arial" w:cs="Arial"/>
          <w:lang w:eastAsia="es-CO"/>
        </w:rPr>
      </w:pPr>
    </w:p>
    <w:p w:rsidRPr="00A12943" w:rsidR="0088629D" w:rsidP="0088629D" w:rsidRDefault="0088629D" w14:paraId="6445D487" w14:textId="77777777">
      <w:pPr>
        <w:spacing w:after="18"/>
        <w:jc w:val="center"/>
        <w:rPr>
          <w:rFonts w:ascii="Arial" w:hAnsi="Arial" w:cs="Arial"/>
          <w:lang w:eastAsia="es-CO"/>
        </w:rPr>
      </w:pPr>
    </w:p>
    <w:p w:rsidRPr="00A12943" w:rsidR="0088629D" w:rsidP="0088629D" w:rsidRDefault="0088629D" w14:paraId="65F71F79" w14:textId="77777777">
      <w:pPr>
        <w:spacing w:after="18"/>
        <w:jc w:val="center"/>
        <w:rPr>
          <w:rFonts w:ascii="Arial" w:hAnsi="Arial" w:cs="Arial"/>
          <w:lang w:eastAsia="es-CO"/>
        </w:rPr>
      </w:pPr>
    </w:p>
    <w:p w:rsidRPr="00A12943" w:rsidR="0088629D" w:rsidP="2A1E1511" w:rsidRDefault="0088629D" w14:paraId="547F5C64" w14:textId="3C9DF069">
      <w:pPr>
        <w:pStyle w:val="Normal"/>
        <w:spacing w:after="18"/>
        <w:jc w:val="center"/>
      </w:pPr>
      <w:r w:rsidR="4303E555">
        <w:drawing>
          <wp:inline wp14:editId="5B538A86" wp14:anchorId="31A08692">
            <wp:extent cx="2514600" cy="1114425"/>
            <wp:effectExtent l="0" t="0" r="0" b="0"/>
            <wp:docPr id="880494753" name="" descr="C:\Users\Andres\Desktop\CCE\Orginal firmado JANT.jpg" title=""/>
            <wp:cNvGraphicFramePr>
              <a:graphicFrameLocks noChangeAspect="1"/>
            </wp:cNvGraphicFramePr>
            <a:graphic>
              <a:graphicData uri="http://schemas.openxmlformats.org/drawingml/2006/picture">
                <pic:pic>
                  <pic:nvPicPr>
                    <pic:cNvPr id="0" name=""/>
                    <pic:cNvPicPr/>
                  </pic:nvPicPr>
                  <pic:blipFill>
                    <a:blip r:embed="R663a7a5a6259468b">
                      <a:extLst>
                        <a:ext xmlns:a="http://schemas.openxmlformats.org/drawingml/2006/main" uri="{28A0092B-C50C-407E-A947-70E740481C1C}">
                          <a14:useLocalDpi val="0"/>
                        </a:ext>
                      </a:extLst>
                    </a:blip>
                    <a:stretch>
                      <a:fillRect/>
                    </a:stretch>
                  </pic:blipFill>
                  <pic:spPr>
                    <a:xfrm>
                      <a:off x="0" y="0"/>
                      <a:ext cx="2514600" cy="1114425"/>
                    </a:xfrm>
                    <a:prstGeom prst="rect">
                      <a:avLst/>
                    </a:prstGeom>
                  </pic:spPr>
                </pic:pic>
              </a:graphicData>
            </a:graphic>
          </wp:inline>
        </w:drawing>
      </w:r>
    </w:p>
    <w:p w:rsidRPr="00A12943" w:rsidR="0088629D" w:rsidP="0088629D" w:rsidRDefault="0088629D" w14:paraId="350856B3" w14:textId="77777777">
      <w:pPr>
        <w:spacing w:after="18"/>
        <w:jc w:val="center"/>
        <w:rPr>
          <w:rFonts w:ascii="Arial" w:hAnsi="Arial" w:cs="Arial"/>
          <w:lang w:eastAsia="es-CO"/>
        </w:rPr>
      </w:pPr>
    </w:p>
    <w:p w:rsidRPr="00A12943" w:rsidR="0088629D" w:rsidP="0088629D" w:rsidRDefault="0088629D" w14:paraId="1BF2D9DC" w14:textId="77777777">
      <w:pPr>
        <w:spacing w:after="18"/>
        <w:jc w:val="center"/>
        <w:rPr>
          <w:rFonts w:ascii="Arial" w:hAnsi="Arial" w:cs="Arial"/>
          <w:lang w:eastAsia="es-CO"/>
        </w:rPr>
      </w:pPr>
    </w:p>
    <w:p w:rsidRPr="00A12943" w:rsidR="0088629D" w:rsidP="0088629D" w:rsidRDefault="0088629D" w14:paraId="4E9C95AD" w14:textId="77777777">
      <w:pPr>
        <w:spacing w:after="18"/>
        <w:jc w:val="center"/>
        <w:rPr>
          <w:rFonts w:ascii="Arial" w:hAnsi="Arial" w:cs="Arial"/>
          <w:lang w:eastAsia="es-CO"/>
        </w:rPr>
      </w:pPr>
    </w:p>
    <w:p w:rsidRPr="00A12943" w:rsidR="0088629D" w:rsidP="0088629D" w:rsidRDefault="0088629D" w14:paraId="6826F5FF" w14:textId="77777777">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86"/>
        <w:gridCol w:w="4003"/>
      </w:tblGrid>
      <w:tr w:rsidRPr="00A12943" w:rsidR="00C8182E" w:rsidTr="00865124" w14:paraId="1CAD5DE8" w14:textId="77777777">
        <w:trPr>
          <w:trHeight w:val="286"/>
        </w:trPr>
        <w:tc>
          <w:tcPr>
            <w:tcW w:w="886" w:type="dxa"/>
            <w:vAlign w:val="center"/>
            <w:hideMark/>
          </w:tcPr>
          <w:p w:rsidRPr="00A12943" w:rsidR="00C8182E" w:rsidP="00865124" w:rsidRDefault="00C8182E" w14:paraId="2559A144" w14:textId="77777777">
            <w:pPr>
              <w:rPr>
                <w:rFonts w:ascii="Arial" w:hAnsi="Arial" w:cs="Arial"/>
                <w:sz w:val="14"/>
                <w:szCs w:val="14"/>
                <w:lang w:eastAsia="es-ES"/>
              </w:rPr>
            </w:pPr>
            <w:r w:rsidRPr="00A12943">
              <w:rPr>
                <w:rFonts w:ascii="Arial" w:hAnsi="Arial" w:cs="Arial"/>
                <w:sz w:val="14"/>
                <w:szCs w:val="14"/>
                <w:lang w:eastAsia="es-ES"/>
              </w:rPr>
              <w:lastRenderedPageBreak/>
              <w:t>Elabor</w:t>
            </w:r>
            <w:r>
              <w:rPr>
                <w:rFonts w:ascii="Arial" w:hAnsi="Arial" w:cs="Arial"/>
                <w:sz w:val="14"/>
                <w:szCs w:val="14"/>
                <w:lang w:eastAsia="es-ES"/>
              </w:rPr>
              <w:t>ó</w:t>
            </w:r>
            <w:r w:rsidRPr="00A12943">
              <w:rPr>
                <w:rFonts w:ascii="Arial" w:hAnsi="Arial" w:cs="Arial"/>
                <w:sz w:val="14"/>
                <w:szCs w:val="14"/>
                <w:lang w:eastAsia="es-ES"/>
              </w:rPr>
              <w:t>:</w:t>
            </w:r>
          </w:p>
        </w:tc>
        <w:tc>
          <w:tcPr>
            <w:tcW w:w="4003" w:type="dxa"/>
            <w:tcBorders>
              <w:top w:val="nil"/>
              <w:left w:val="nil"/>
              <w:bottom w:val="dotted" w:color="7F7F7F" w:sz="4" w:space="0"/>
              <w:right w:val="nil"/>
            </w:tcBorders>
            <w:vAlign w:val="center"/>
            <w:hideMark/>
          </w:tcPr>
          <w:p w:rsidRPr="00A12943" w:rsidR="00C8182E" w:rsidP="00865124" w:rsidRDefault="00C8182E" w14:paraId="7A8C7050" w14:textId="77777777">
            <w:pPr>
              <w:rPr>
                <w:rFonts w:ascii="Arial" w:hAnsi="Arial" w:cs="Arial"/>
                <w:sz w:val="14"/>
                <w:szCs w:val="14"/>
                <w:lang w:eastAsia="es-ES"/>
              </w:rPr>
            </w:pPr>
            <w:r w:rsidRPr="00A12943">
              <w:rPr>
                <w:rFonts w:ascii="Arial" w:hAnsi="Arial" w:cs="Arial"/>
                <w:sz w:val="14"/>
                <w:szCs w:val="14"/>
                <w:lang w:eastAsia="es-ES"/>
              </w:rPr>
              <w:t>Alejandro Sarmiento Cantillo</w:t>
            </w:r>
          </w:p>
          <w:p w:rsidRPr="00A12943" w:rsidR="00C8182E" w:rsidP="00865124" w:rsidRDefault="00C8182E" w14:paraId="78BD9941" w14:textId="77777777">
            <w:pPr>
              <w:rPr>
                <w:rFonts w:ascii="Arial" w:hAnsi="Arial" w:cs="Arial"/>
                <w:sz w:val="14"/>
                <w:szCs w:val="14"/>
                <w:lang w:eastAsia="es-ES"/>
              </w:rPr>
            </w:pPr>
            <w:r w:rsidRPr="00A12943">
              <w:rPr>
                <w:rFonts w:ascii="Arial" w:hAnsi="Arial" w:cs="Arial"/>
                <w:sz w:val="14"/>
                <w:szCs w:val="14"/>
                <w:lang w:eastAsia="es-ES"/>
              </w:rPr>
              <w:t>Gestor T1-11 de la Subdirección de Gestión Contractual</w:t>
            </w:r>
          </w:p>
        </w:tc>
      </w:tr>
      <w:tr w:rsidRPr="00A12943" w:rsidR="00C8182E" w:rsidTr="00865124" w14:paraId="790FD536" w14:textId="77777777">
        <w:trPr>
          <w:trHeight w:val="299"/>
        </w:trPr>
        <w:tc>
          <w:tcPr>
            <w:tcW w:w="886" w:type="dxa"/>
            <w:vMerge w:val="restart"/>
            <w:vAlign w:val="center"/>
            <w:hideMark/>
          </w:tcPr>
          <w:p w:rsidRPr="00A12943" w:rsidR="00C8182E" w:rsidP="00865124" w:rsidRDefault="00C8182E" w14:paraId="41F85A88" w14:textId="77777777">
            <w:pPr>
              <w:rPr>
                <w:rFonts w:ascii="Arial" w:hAnsi="Arial" w:cs="Arial"/>
                <w:sz w:val="14"/>
                <w:szCs w:val="14"/>
                <w:lang w:eastAsia="es-ES"/>
              </w:rPr>
            </w:pPr>
            <w:r w:rsidRPr="00A12943">
              <w:rPr>
                <w:rFonts w:ascii="Arial" w:hAnsi="Arial" w:cs="Arial"/>
                <w:sz w:val="14"/>
                <w:szCs w:val="14"/>
                <w:lang w:eastAsia="es-ES"/>
              </w:rPr>
              <w:t>Revis</w:t>
            </w:r>
            <w:r>
              <w:rPr>
                <w:rFonts w:ascii="Arial" w:hAnsi="Arial" w:cs="Arial"/>
                <w:sz w:val="14"/>
                <w:szCs w:val="14"/>
                <w:lang w:eastAsia="es-ES"/>
              </w:rPr>
              <w:t>aron</w:t>
            </w:r>
            <w:r w:rsidRPr="00A12943">
              <w:rPr>
                <w:rFonts w:ascii="Arial" w:hAnsi="Arial" w:cs="Arial"/>
                <w:sz w:val="14"/>
                <w:szCs w:val="14"/>
                <w:lang w:eastAsia="es-ES"/>
              </w:rPr>
              <w:t>:</w:t>
            </w:r>
          </w:p>
        </w:tc>
        <w:tc>
          <w:tcPr>
            <w:tcW w:w="4003" w:type="dxa"/>
            <w:tcBorders>
              <w:top w:val="dotted" w:color="7F7F7F" w:sz="4" w:space="0"/>
              <w:left w:val="nil"/>
              <w:bottom w:val="dotted" w:color="7F7F7F" w:sz="4" w:space="0"/>
              <w:right w:val="nil"/>
            </w:tcBorders>
            <w:vAlign w:val="center"/>
            <w:hideMark/>
          </w:tcPr>
          <w:p w:rsidR="00C8182E" w:rsidP="00865124" w:rsidRDefault="00C8182E" w14:paraId="6FB5F7A8" w14:textId="77777777">
            <w:pPr>
              <w:rPr>
                <w:rFonts w:ascii="Arial" w:hAnsi="Arial" w:cs="Arial"/>
                <w:sz w:val="14"/>
                <w:szCs w:val="14"/>
                <w:lang w:eastAsia="es-ES"/>
              </w:rPr>
            </w:pPr>
            <w:r>
              <w:rPr>
                <w:rFonts w:ascii="Arial" w:hAnsi="Arial" w:cs="Arial"/>
                <w:sz w:val="14"/>
                <w:szCs w:val="14"/>
                <w:lang w:eastAsia="es-ES"/>
              </w:rPr>
              <w:t>Karlo Fernández Cala</w:t>
            </w:r>
          </w:p>
          <w:p w:rsidRPr="00A12943" w:rsidR="00C8182E" w:rsidP="00865124" w:rsidRDefault="00C8182E" w14:paraId="32EAE995" w14:textId="77777777">
            <w:pPr>
              <w:rPr>
                <w:rFonts w:ascii="Arial" w:hAnsi="Arial" w:cs="Arial"/>
                <w:sz w:val="14"/>
                <w:szCs w:val="14"/>
                <w:lang w:eastAsia="es-ES"/>
              </w:rPr>
            </w:pPr>
            <w:r>
              <w:rPr>
                <w:rFonts w:ascii="Arial" w:hAnsi="Arial" w:cs="Arial"/>
                <w:sz w:val="14"/>
                <w:szCs w:val="14"/>
                <w:lang w:eastAsia="es-ES"/>
              </w:rPr>
              <w:t>Gestor T1-15 de la Dirección General</w:t>
            </w:r>
            <w:r w:rsidRPr="00A12943">
              <w:rPr>
                <w:rFonts w:ascii="Arial" w:hAnsi="Arial" w:cs="Arial"/>
                <w:sz w:val="14"/>
                <w:szCs w:val="14"/>
                <w:lang w:eastAsia="es-ES"/>
              </w:rPr>
              <w:t xml:space="preserve"> </w:t>
            </w:r>
          </w:p>
        </w:tc>
      </w:tr>
      <w:tr w:rsidRPr="00A12943" w:rsidR="00C8182E" w:rsidTr="00865124" w14:paraId="35FD701C" w14:textId="77777777">
        <w:trPr>
          <w:trHeight w:val="299"/>
        </w:trPr>
        <w:tc>
          <w:tcPr>
            <w:tcW w:w="886" w:type="dxa"/>
            <w:vMerge/>
            <w:vAlign w:val="center"/>
          </w:tcPr>
          <w:p w:rsidRPr="00A12943" w:rsidR="00C8182E" w:rsidP="00865124" w:rsidRDefault="00C8182E" w14:paraId="6F7381E2" w14:textId="77777777">
            <w:pPr>
              <w:rPr>
                <w:rFonts w:ascii="Arial" w:hAnsi="Arial" w:cs="Arial"/>
                <w:sz w:val="14"/>
                <w:szCs w:val="14"/>
                <w:lang w:eastAsia="es-ES"/>
              </w:rPr>
            </w:pPr>
          </w:p>
        </w:tc>
        <w:tc>
          <w:tcPr>
            <w:tcW w:w="4003" w:type="dxa"/>
            <w:tcBorders>
              <w:top w:val="dotted" w:color="7F7F7F" w:sz="4" w:space="0"/>
              <w:left w:val="nil"/>
              <w:bottom w:val="dotted" w:color="7F7F7F" w:sz="4" w:space="0"/>
              <w:right w:val="nil"/>
            </w:tcBorders>
            <w:vAlign w:val="center"/>
          </w:tcPr>
          <w:p w:rsidRPr="00A12943" w:rsidR="00C8182E" w:rsidP="00865124" w:rsidRDefault="00C8182E" w14:paraId="3D4AB250" w14:textId="77777777">
            <w:pPr>
              <w:rPr>
                <w:rFonts w:ascii="Arial" w:hAnsi="Arial" w:cs="Arial"/>
                <w:sz w:val="14"/>
                <w:szCs w:val="14"/>
                <w:lang w:eastAsia="es-ES"/>
              </w:rPr>
            </w:pPr>
            <w:r>
              <w:rPr>
                <w:rFonts w:ascii="Arial" w:hAnsi="Arial" w:cs="Arial"/>
                <w:sz w:val="14"/>
                <w:szCs w:val="14"/>
                <w:lang w:eastAsia="es-ES"/>
              </w:rPr>
              <w:t>Juan David Montoya Penagos</w:t>
            </w:r>
          </w:p>
          <w:p w:rsidR="00C8182E" w:rsidP="00865124" w:rsidRDefault="00C8182E" w14:paraId="75A78099" w14:textId="77777777">
            <w:pPr>
              <w:rPr>
                <w:rFonts w:ascii="Arial" w:hAnsi="Arial" w:cs="Arial"/>
                <w:sz w:val="14"/>
                <w:szCs w:val="14"/>
                <w:lang w:eastAsia="es-ES"/>
              </w:rPr>
            </w:pPr>
            <w:r w:rsidRPr="00A12943">
              <w:rPr>
                <w:rFonts w:ascii="Arial" w:hAnsi="Arial" w:cs="Arial"/>
                <w:sz w:val="14"/>
                <w:szCs w:val="14"/>
                <w:lang w:eastAsia="es-ES"/>
              </w:rPr>
              <w:t xml:space="preserve">Gestor T1-15 de la Subdirección de Gestión Contractual  </w:t>
            </w:r>
          </w:p>
        </w:tc>
      </w:tr>
      <w:tr w:rsidRPr="00A12943" w:rsidR="00C8182E" w:rsidTr="00865124" w14:paraId="751983A3" w14:textId="77777777">
        <w:trPr>
          <w:trHeight w:val="272"/>
        </w:trPr>
        <w:tc>
          <w:tcPr>
            <w:tcW w:w="886" w:type="dxa"/>
            <w:vAlign w:val="center"/>
            <w:hideMark/>
          </w:tcPr>
          <w:p w:rsidRPr="00A12943" w:rsidR="00C8182E" w:rsidP="00865124" w:rsidRDefault="00C8182E" w14:paraId="56C2A5D5" w14:textId="77777777">
            <w:pPr>
              <w:rPr>
                <w:rFonts w:ascii="Arial" w:hAnsi="Arial" w:cs="Arial"/>
                <w:sz w:val="14"/>
                <w:szCs w:val="14"/>
                <w:lang w:eastAsia="es-ES"/>
              </w:rPr>
            </w:pPr>
            <w:r w:rsidRPr="00A12943">
              <w:rPr>
                <w:rFonts w:ascii="Arial" w:hAnsi="Arial" w:cs="Arial"/>
                <w:sz w:val="14"/>
                <w:szCs w:val="14"/>
                <w:lang w:eastAsia="es-ES"/>
              </w:rPr>
              <w:t>Aprobó:</w:t>
            </w:r>
          </w:p>
        </w:tc>
        <w:tc>
          <w:tcPr>
            <w:tcW w:w="4003" w:type="dxa"/>
            <w:tcBorders>
              <w:top w:val="dotted" w:color="7F7F7F" w:sz="4" w:space="0"/>
              <w:left w:val="nil"/>
              <w:bottom w:val="dotted" w:color="7F7F7F" w:sz="4" w:space="0"/>
              <w:right w:val="nil"/>
            </w:tcBorders>
            <w:vAlign w:val="center"/>
            <w:hideMark/>
          </w:tcPr>
          <w:p w:rsidRPr="00A12943" w:rsidR="00C8182E" w:rsidP="00865124" w:rsidRDefault="00C8182E" w14:paraId="0460B70C" w14:textId="77777777">
            <w:pPr>
              <w:rPr>
                <w:rFonts w:ascii="Arial" w:hAnsi="Arial" w:cs="Arial"/>
                <w:sz w:val="14"/>
                <w:szCs w:val="14"/>
                <w:lang w:eastAsia="es-ES"/>
              </w:rPr>
            </w:pPr>
            <w:r w:rsidRPr="00A12943">
              <w:rPr>
                <w:rFonts w:ascii="Arial" w:hAnsi="Arial" w:cs="Arial"/>
                <w:sz w:val="14"/>
                <w:szCs w:val="14"/>
                <w:lang w:eastAsia="es-ES"/>
              </w:rPr>
              <w:t>Jorge Augusto Tirado Navarro</w:t>
            </w:r>
          </w:p>
          <w:p w:rsidRPr="00A12943" w:rsidR="00C8182E" w:rsidP="00865124" w:rsidRDefault="00C8182E" w14:paraId="0D5AF299" w14:textId="77777777">
            <w:pPr>
              <w:rPr>
                <w:rFonts w:ascii="Arial" w:hAnsi="Arial" w:cs="Arial"/>
                <w:sz w:val="14"/>
                <w:szCs w:val="14"/>
                <w:lang w:eastAsia="es-ES"/>
              </w:rPr>
            </w:pPr>
            <w:r w:rsidRPr="00A12943">
              <w:rPr>
                <w:rFonts w:ascii="Arial" w:hAnsi="Arial" w:cs="Arial"/>
                <w:sz w:val="14"/>
                <w:szCs w:val="14"/>
                <w:lang w:eastAsia="es-ES"/>
              </w:rPr>
              <w:t>Subdirector de Gestión Contractual</w:t>
            </w:r>
          </w:p>
        </w:tc>
      </w:tr>
    </w:tbl>
    <w:p w:rsidRPr="00A12943" w:rsidR="0088629D" w:rsidP="0088629D" w:rsidRDefault="0088629D" w14:paraId="0B8216E4" w14:textId="77777777">
      <w:pPr>
        <w:rPr>
          <w:rFonts w:ascii="Arial" w:hAnsi="Arial" w:cs="Arial"/>
          <w:lang w:eastAsia="es-ES"/>
        </w:rPr>
      </w:pPr>
    </w:p>
    <w:p w:rsidRPr="00A12943" w:rsidR="0088629D" w:rsidP="0088629D" w:rsidRDefault="0088629D" w14:paraId="18B4ED9D" w14:textId="77777777">
      <w:pPr>
        <w:rPr>
          <w:rFonts w:ascii="Arial" w:hAnsi="Arial" w:cs="Arial"/>
          <w:lang w:eastAsia="es-ES"/>
        </w:rPr>
      </w:pPr>
    </w:p>
    <w:p w:rsidRPr="00A12943" w:rsidR="0088629D" w:rsidP="0088629D" w:rsidRDefault="0088629D" w14:paraId="700C7022" w14:textId="77777777">
      <w:pPr>
        <w:rPr>
          <w:rFonts w:ascii="Arial" w:hAnsi="Arial" w:cs="Arial"/>
          <w:lang w:eastAsia="es-ES"/>
        </w:rPr>
      </w:pPr>
    </w:p>
    <w:p w:rsidRPr="00A12943" w:rsidR="0088629D" w:rsidP="0088629D" w:rsidRDefault="0088629D" w14:paraId="0C81E29E" w14:textId="77777777">
      <w:pPr>
        <w:jc w:val="center"/>
        <w:rPr>
          <w:rFonts w:ascii="Arial" w:hAnsi="Arial" w:eastAsia="Times New Roman" w:cs="Arial"/>
          <w:lang w:eastAsia="es-ES"/>
        </w:rPr>
      </w:pPr>
    </w:p>
    <w:p w:rsidRPr="00F1486B" w:rsidR="00C02F78" w:rsidP="00DD689E" w:rsidRDefault="00C02F78" w14:paraId="369F3B10" w14:textId="77777777"/>
    <w:sectPr w:rsidRPr="00F1486B" w:rsidR="00C02F78" w:rsidSect="00AC43E7">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D794A" w:rsidP="008C487C" w:rsidRDefault="00BD794A" w14:paraId="5A25DFCA" w14:textId="77777777">
      <w:r>
        <w:separator/>
      </w:r>
    </w:p>
  </w:endnote>
  <w:endnote w:type="continuationSeparator" w:id="0">
    <w:p w:rsidR="00BD794A" w:rsidP="008C487C" w:rsidRDefault="00BD794A" w14:paraId="7E2BDC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BD794A" w:rsidP="00C878E1" w:rsidRDefault="00BD794A" w14:paraId="709352A1" w14:textId="77777777">
    <w:pPr>
      <w:pStyle w:val="Sinespaciado"/>
      <w:rPr>
        <w:rFonts w:ascii="Arial" w:hAnsi="Arial" w:cs="Arial"/>
        <w:sz w:val="18"/>
        <w:szCs w:val="18"/>
      </w:rPr>
    </w:pPr>
  </w:p>
  <w:p w:rsidRPr="008217B7" w:rsidR="00BD794A" w:rsidP="00AC43E7" w:rsidRDefault="00BD794A" w14:paraId="3D3EB348"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74498">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74498">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rsidR="00BD794A" w:rsidP="00C878E1" w:rsidRDefault="00BD794A" w14:paraId="428179B1" w14:textId="62D5E177">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Pr="00C878E1" w:rsidR="00BD794A" w:rsidP="00C878E1" w:rsidRDefault="00BD794A" w14:paraId="42377A4E"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D794A" w:rsidP="008C487C" w:rsidRDefault="00BD794A" w14:paraId="4E8EEDF8" w14:textId="77777777">
      <w:r>
        <w:separator/>
      </w:r>
    </w:p>
  </w:footnote>
  <w:footnote w:type="continuationSeparator" w:id="0">
    <w:p w:rsidR="00BD794A" w:rsidP="008C487C" w:rsidRDefault="00BD794A" w14:paraId="6DDC7B8E" w14:textId="77777777">
      <w:r>
        <w:continuationSeparator/>
      </w:r>
    </w:p>
  </w:footnote>
  <w:footnote w:id="1">
    <w:p w:rsidRPr="00AB219E" w:rsidR="00BD794A" w:rsidP="0088629D" w:rsidRDefault="00BD794A" w14:paraId="722A8F09" w14:textId="5CADF80F">
      <w:pPr>
        <w:pStyle w:val="Textonotapie"/>
        <w:ind w:firstLine="708"/>
        <w:jc w:val="both"/>
        <w:rPr>
          <w:rFonts w:ascii="Arial" w:hAnsi="Arial" w:cs="Arial"/>
          <w:sz w:val="19"/>
          <w:szCs w:val="19"/>
          <w:lang w:val="es-CO"/>
        </w:rPr>
      </w:pPr>
      <w:r w:rsidRPr="00AB219E">
        <w:rPr>
          <w:rStyle w:val="Refdenotaalpie"/>
          <w:rFonts w:ascii="Arial" w:hAnsi="Arial" w:cs="Arial"/>
          <w:sz w:val="19"/>
          <w:szCs w:val="19"/>
        </w:rPr>
        <w:footnoteRef/>
      </w:r>
      <w:r w:rsidRPr="00AB219E">
        <w:rPr>
          <w:rFonts w:ascii="Arial" w:hAnsi="Arial" w:cs="Arial"/>
          <w:sz w:val="19"/>
          <w:szCs w:val="19"/>
        </w:rPr>
        <w:t xml:space="preserve"> </w:t>
      </w:r>
      <w:r w:rsidRPr="00AB219E">
        <w:rPr>
          <w:rFonts w:ascii="Arial" w:hAnsi="Arial" w:cs="Arial"/>
          <w:sz w:val="19"/>
          <w:szCs w:val="19"/>
          <w:lang w:val="es-CO"/>
        </w:rPr>
        <w:t xml:space="preserve">Esta disposición fue modificada por la Ley 2022 de 2020, mediante la cual el Congreso de la República atribuyó directamente a la Agencia Nacional de Contratación Pública la facultad de adoptar documentos tipo de obligatoria aplicación, al siguiente tenor: «Artículo 1º. Modifíquese el artículo 4º de la Ley 1882 de 2018, el cual quedará así: </w:t>
      </w:r>
    </w:p>
    <w:p w:rsidRPr="00AB219E" w:rsidR="00BD794A" w:rsidP="0088629D" w:rsidRDefault="00BD794A" w14:paraId="4F749C1E" w14:textId="511E330D">
      <w:pPr>
        <w:pStyle w:val="Textonotapie"/>
        <w:ind w:firstLine="708"/>
        <w:jc w:val="both"/>
        <w:rPr>
          <w:rFonts w:ascii="Arial" w:hAnsi="Arial" w:cs="Arial"/>
          <w:sz w:val="19"/>
          <w:szCs w:val="19"/>
          <w:lang w:val="es-CO"/>
        </w:rPr>
      </w:pPr>
      <w:r w:rsidRPr="00AB219E">
        <w:rPr>
          <w:rFonts w:ascii="Arial" w:hAnsi="Arial" w:cs="Arial"/>
          <w:sz w:val="19"/>
          <w:szCs w:val="19"/>
          <w:lang w:val="es-CO"/>
        </w:rPr>
        <w:t xml:space="preserve">»Artículo 4º. Adiciónese el siguiente parágrafo al artículo 2º de la Ley 1150 de 2007. </w:t>
      </w:r>
    </w:p>
    <w:p w:rsidRPr="00AB219E" w:rsidR="00BD794A" w:rsidP="0088629D" w:rsidRDefault="00BD794A" w14:paraId="64069863" w14:textId="0E99536A">
      <w:pPr>
        <w:pStyle w:val="Textonotapie"/>
        <w:ind w:firstLine="708"/>
        <w:jc w:val="both"/>
        <w:rPr>
          <w:rFonts w:ascii="Arial" w:hAnsi="Arial" w:cs="Arial"/>
          <w:sz w:val="19"/>
          <w:szCs w:val="19"/>
          <w:lang w:val="es-CO"/>
        </w:rPr>
      </w:pPr>
      <w:r w:rsidRPr="00AB219E">
        <w:rPr>
          <w:rFonts w:ascii="Arial" w:hAnsi="Arial" w:cs="Arial"/>
          <w:sz w:val="19"/>
          <w:szCs w:val="19"/>
          <w:lang w:val="es-CO"/>
        </w:rPr>
        <w:t xml:space="preserve">»Parágrafo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rsidRPr="00AB219E" w:rsidR="00BD794A" w:rsidP="0088629D" w:rsidRDefault="00BD794A" w14:paraId="62375D60" w14:textId="2B21CD3F">
      <w:pPr>
        <w:pStyle w:val="Textonotapie"/>
        <w:ind w:firstLine="708"/>
        <w:jc w:val="both"/>
        <w:rPr>
          <w:rFonts w:ascii="Arial" w:hAnsi="Arial" w:cs="Arial"/>
          <w:sz w:val="19"/>
          <w:szCs w:val="19"/>
          <w:lang w:val="es-CO"/>
        </w:rPr>
      </w:pPr>
      <w:r w:rsidRPr="00AB219E">
        <w:rPr>
          <w:rFonts w:ascii="Arial" w:hAnsi="Arial" w:cs="Arial"/>
          <w:sz w:val="19"/>
          <w:szCs w:val="19"/>
          <w:lang w:val="es-CO"/>
        </w:rPr>
        <w:t xml:space="preserve">»Dentro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rsidRPr="00AB219E" w:rsidR="00BD794A" w:rsidP="0088629D" w:rsidRDefault="00BD794A" w14:paraId="5EDC91BD" w14:textId="45BF8B81">
      <w:pPr>
        <w:pStyle w:val="Textonotapie"/>
        <w:ind w:firstLine="708"/>
        <w:jc w:val="both"/>
        <w:rPr>
          <w:rFonts w:ascii="Arial" w:hAnsi="Arial" w:cs="Arial"/>
          <w:sz w:val="19"/>
          <w:szCs w:val="19"/>
          <w:lang w:val="es-CO"/>
        </w:rPr>
      </w:pPr>
      <w:r w:rsidRPr="00AB219E">
        <w:rPr>
          <w:rFonts w:ascii="Arial" w:hAnsi="Arial" w:cs="Arial"/>
          <w:sz w:val="19"/>
          <w:szCs w:val="19"/>
          <w:lang w:val="es-CO"/>
        </w:rPr>
        <w:t xml:space="preserve">»Con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rsidRPr="00AB219E" w:rsidR="00BD794A" w:rsidP="0088629D" w:rsidRDefault="00BD794A" w14:paraId="17A11796" w14:textId="6057BC76">
      <w:pPr>
        <w:pStyle w:val="Textonotapie"/>
        <w:ind w:firstLine="708"/>
        <w:jc w:val="both"/>
        <w:rPr>
          <w:rFonts w:ascii="Arial" w:hAnsi="Arial" w:cs="Arial"/>
          <w:sz w:val="19"/>
          <w:szCs w:val="19"/>
          <w:lang w:val="es-CO"/>
        </w:rPr>
      </w:pPr>
      <w:r w:rsidRPr="00AB219E">
        <w:rPr>
          <w:rFonts w:ascii="Arial" w:hAnsi="Arial" w:cs="Arial"/>
          <w:sz w:val="19"/>
          <w:szCs w:val="19"/>
          <w:lang w:val="es-CO"/>
        </w:rPr>
        <w:t xml:space="preserve">»La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rsidRPr="00AB219E" w:rsidR="00BD794A" w:rsidP="0088629D" w:rsidRDefault="00BD794A" w14:paraId="3E3AFBAC" w14:textId="2F654FAA">
      <w:pPr>
        <w:pStyle w:val="Textonotapie"/>
        <w:ind w:firstLine="708"/>
        <w:jc w:val="both"/>
        <w:rPr>
          <w:rFonts w:ascii="Arial" w:hAnsi="Arial" w:cs="Arial"/>
          <w:sz w:val="19"/>
          <w:szCs w:val="19"/>
          <w:lang w:val="es-CO"/>
        </w:rPr>
      </w:pPr>
      <w:r w:rsidRPr="00AB219E">
        <w:rPr>
          <w:rFonts w:ascii="Arial" w:hAnsi="Arial" w:cs="Arial"/>
          <w:sz w:val="19"/>
          <w:szCs w:val="19"/>
          <w:lang w:val="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2">
    <w:p w:rsidRPr="00AB219E" w:rsidR="00BD794A" w:rsidP="0088629D" w:rsidRDefault="00BD794A" w14:paraId="7958FDDC" w14:textId="01852712">
      <w:pPr>
        <w:pStyle w:val="Textonotapie"/>
        <w:ind w:firstLine="708"/>
        <w:jc w:val="both"/>
        <w:rPr>
          <w:rFonts w:ascii="Arial" w:hAnsi="Arial" w:cs="Arial"/>
          <w:sz w:val="19"/>
          <w:szCs w:val="19"/>
          <w:lang w:val="es-CO"/>
        </w:rPr>
      </w:pPr>
      <w:r w:rsidRPr="00AB219E">
        <w:rPr>
          <w:rStyle w:val="Refdenotaalpie"/>
          <w:rFonts w:ascii="Arial" w:hAnsi="Arial" w:cs="Arial"/>
          <w:sz w:val="19"/>
          <w:szCs w:val="19"/>
        </w:rPr>
        <w:footnoteRef/>
      </w:r>
      <w:r w:rsidRPr="00AB219E">
        <w:rPr>
          <w:rFonts w:ascii="Arial" w:hAnsi="Arial" w:cs="Arial"/>
          <w:sz w:val="19"/>
          <w:szCs w:val="19"/>
        </w:rPr>
        <w:t xml:space="preserve"> LECH, Marvin (</w:t>
      </w:r>
      <w:proofErr w:type="spellStart"/>
      <w:r w:rsidRPr="00AB219E">
        <w:rPr>
          <w:rFonts w:ascii="Arial" w:hAnsi="Arial" w:cs="Arial"/>
          <w:sz w:val="19"/>
          <w:szCs w:val="19"/>
        </w:rPr>
        <w:t>comp.</w:t>
      </w:r>
      <w:proofErr w:type="spellEnd"/>
      <w:r w:rsidRPr="00AB219E">
        <w:rPr>
          <w:rFonts w:ascii="Arial" w:hAnsi="Arial" w:cs="Arial"/>
          <w:sz w:val="19"/>
          <w:szCs w:val="19"/>
        </w:rPr>
        <w:t xml:space="preserve">).  Glossary of Road Design and Construction Terms, Nebraska Deparment of Roads, EEUU, 1998, pp. 44. </w:t>
      </w:r>
    </w:p>
  </w:footnote>
  <w:footnote w:id="3">
    <w:p w:rsidRPr="00AB219E" w:rsidR="00BD794A" w:rsidP="0088629D" w:rsidRDefault="00BD794A" w14:paraId="70AA96F7" w14:textId="77777777">
      <w:pPr>
        <w:pStyle w:val="Textonotapie"/>
        <w:jc w:val="both"/>
        <w:rPr>
          <w:rFonts w:ascii="Arial" w:hAnsi="Arial" w:cs="Arial"/>
          <w:sz w:val="19"/>
          <w:szCs w:val="19"/>
        </w:rPr>
      </w:pPr>
    </w:p>
    <w:p w:rsidRPr="00AB219E" w:rsidR="00BD794A" w:rsidP="0088629D" w:rsidRDefault="00BD794A" w14:paraId="0D766B79" w14:textId="59F21AEC">
      <w:pPr>
        <w:pStyle w:val="Textonotapie"/>
        <w:ind w:firstLine="708"/>
        <w:jc w:val="both"/>
        <w:rPr>
          <w:rFonts w:ascii="Arial" w:hAnsi="Arial" w:cs="Arial"/>
          <w:sz w:val="19"/>
          <w:szCs w:val="19"/>
          <w:lang w:val="es-CO"/>
        </w:rPr>
      </w:pPr>
      <w:r w:rsidRPr="00AB219E">
        <w:rPr>
          <w:rStyle w:val="Refdenotaalpie"/>
          <w:rFonts w:ascii="Arial" w:hAnsi="Arial" w:cs="Arial"/>
          <w:sz w:val="19"/>
          <w:szCs w:val="19"/>
        </w:rPr>
        <w:footnoteRef/>
      </w:r>
      <w:r w:rsidRPr="00AB219E">
        <w:rPr>
          <w:rFonts w:ascii="Arial" w:hAnsi="Arial" w:cs="Arial"/>
          <w:sz w:val="19"/>
          <w:szCs w:val="19"/>
        </w:rPr>
        <w:t xml:space="preserve"> INSTITUTO DE DESARROLLO URBANO DE BOGOTÁ, Diccionario técnico. Consolidación de todos los términos y definiciones de carácter técnico o de gestión, incluidos en los distintos documentos publicados como parte del Sistema Integrado de Gestión IDU. Consultado el 7 de octubre de 2020 en: </w:t>
      </w:r>
      <w:hyperlink w:history="1" r:id="rId1">
        <w:r w:rsidRPr="00AB219E">
          <w:rPr>
            <w:rStyle w:val="Hipervnculo"/>
            <w:rFonts w:ascii="Arial" w:hAnsi="Arial" w:cs="Arial"/>
            <w:sz w:val="19"/>
            <w:szCs w:val="19"/>
          </w:rPr>
          <w:t>https://www.idu.gov.co/page/transparencia/informacion-de-interes/glosario</w:t>
        </w:r>
      </w:hyperlink>
    </w:p>
  </w:footnote>
  <w:footnote w:id="4">
    <w:p w:rsidRPr="00AB219E" w:rsidR="00BD794A" w:rsidP="0088629D" w:rsidRDefault="00BD794A" w14:paraId="44659882" w14:textId="77777777">
      <w:pPr>
        <w:pStyle w:val="Textonotapie"/>
        <w:rPr>
          <w:rFonts w:ascii="Arial" w:hAnsi="Arial" w:cs="Arial"/>
          <w:sz w:val="19"/>
          <w:szCs w:val="19"/>
        </w:rPr>
      </w:pPr>
    </w:p>
    <w:p w:rsidRPr="00AB219E" w:rsidR="00BD794A" w:rsidP="0088629D" w:rsidRDefault="00BD794A" w14:paraId="14E1370E" w14:textId="057F5898">
      <w:pPr>
        <w:pStyle w:val="Textonotapie"/>
        <w:ind w:firstLine="708"/>
        <w:jc w:val="both"/>
        <w:rPr>
          <w:rFonts w:ascii="Arial" w:hAnsi="Arial" w:cs="Arial"/>
          <w:sz w:val="19"/>
          <w:szCs w:val="19"/>
          <w:lang w:val="es-CO"/>
        </w:rPr>
      </w:pPr>
      <w:r w:rsidRPr="00AB219E">
        <w:rPr>
          <w:rStyle w:val="Refdenotaalpie"/>
          <w:rFonts w:ascii="Arial" w:hAnsi="Arial" w:cs="Arial"/>
          <w:sz w:val="19"/>
          <w:szCs w:val="19"/>
        </w:rPr>
        <w:footnoteRef/>
      </w:r>
      <w:r w:rsidRPr="00AB219E">
        <w:rPr>
          <w:rFonts w:ascii="Arial" w:hAnsi="Arial" w:cs="Arial"/>
          <w:sz w:val="19"/>
          <w:szCs w:val="19"/>
        </w:rPr>
        <w:t xml:space="preserve"> El Anexo 3- Glosario, adoptado por la Agencial Nacional de Contratación Pública mediante la Resolución No. 045 de 2020, dispone «2.70 Proyectos de mejoramiento: Es el cambio de especificaciones y dimensiones de la obra; para lo cual, se hace necesaria la construcción de obras en infraestructura ya existente, que permitan una adecuación de la obra a los niveles de servicio requeridos por las condiciones actuales y proyectadas. Para este proceso deben comprender como mínimo las actividades de rectificación (alineamiento horizontal y vertical), ampliación de la sección de la vía, construcción de obras de drenaje, construcción de capas granulares para estructura de pavimento y construcción de superficie de rodadura en concreto asfáltico o hidráulico».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BD794A" w:rsidRDefault="00BD794A" w14:paraId="1BE98637" w14:textId="77777777">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hybrid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proofState w:spelling="clean" w:grammar="dirty"/>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47EA"/>
    <w:rsid w:val="000072CE"/>
    <w:rsid w:val="000100E8"/>
    <w:rsid w:val="00010A06"/>
    <w:rsid w:val="00010D30"/>
    <w:rsid w:val="000122AD"/>
    <w:rsid w:val="000137A9"/>
    <w:rsid w:val="0001668E"/>
    <w:rsid w:val="00021180"/>
    <w:rsid w:val="00023057"/>
    <w:rsid w:val="00024771"/>
    <w:rsid w:val="00030913"/>
    <w:rsid w:val="0003091B"/>
    <w:rsid w:val="000333A2"/>
    <w:rsid w:val="00034108"/>
    <w:rsid w:val="00034853"/>
    <w:rsid w:val="0003625C"/>
    <w:rsid w:val="00036E73"/>
    <w:rsid w:val="00037414"/>
    <w:rsid w:val="00040C88"/>
    <w:rsid w:val="00040D6E"/>
    <w:rsid w:val="00042C0C"/>
    <w:rsid w:val="000439E9"/>
    <w:rsid w:val="00043A4D"/>
    <w:rsid w:val="000445B5"/>
    <w:rsid w:val="00044FF2"/>
    <w:rsid w:val="000466AC"/>
    <w:rsid w:val="00047050"/>
    <w:rsid w:val="00051D31"/>
    <w:rsid w:val="00054B43"/>
    <w:rsid w:val="00054E9A"/>
    <w:rsid w:val="00061E34"/>
    <w:rsid w:val="00061EE4"/>
    <w:rsid w:val="00062B0D"/>
    <w:rsid w:val="0006519B"/>
    <w:rsid w:val="00072EB9"/>
    <w:rsid w:val="000757B4"/>
    <w:rsid w:val="000763E2"/>
    <w:rsid w:val="00076F69"/>
    <w:rsid w:val="00086A16"/>
    <w:rsid w:val="00091039"/>
    <w:rsid w:val="0009142E"/>
    <w:rsid w:val="00091570"/>
    <w:rsid w:val="00091572"/>
    <w:rsid w:val="00091D8F"/>
    <w:rsid w:val="00091F2D"/>
    <w:rsid w:val="000929DE"/>
    <w:rsid w:val="00092B1A"/>
    <w:rsid w:val="00093E58"/>
    <w:rsid w:val="00095C76"/>
    <w:rsid w:val="00097CD6"/>
    <w:rsid w:val="000A1DBA"/>
    <w:rsid w:val="000A3B96"/>
    <w:rsid w:val="000A4C83"/>
    <w:rsid w:val="000A6338"/>
    <w:rsid w:val="000A6B6F"/>
    <w:rsid w:val="000A70D5"/>
    <w:rsid w:val="000B4A19"/>
    <w:rsid w:val="000C0E39"/>
    <w:rsid w:val="000C3BD4"/>
    <w:rsid w:val="000C3D66"/>
    <w:rsid w:val="000C433C"/>
    <w:rsid w:val="000C4A2C"/>
    <w:rsid w:val="000C51AF"/>
    <w:rsid w:val="000C5830"/>
    <w:rsid w:val="000C5C37"/>
    <w:rsid w:val="000C79F1"/>
    <w:rsid w:val="000D088F"/>
    <w:rsid w:val="000D1CD3"/>
    <w:rsid w:val="000D77AE"/>
    <w:rsid w:val="000E284C"/>
    <w:rsid w:val="000E4A3C"/>
    <w:rsid w:val="000E57DB"/>
    <w:rsid w:val="000E5BB2"/>
    <w:rsid w:val="000E6867"/>
    <w:rsid w:val="000E68C2"/>
    <w:rsid w:val="000F1B34"/>
    <w:rsid w:val="000F1E3D"/>
    <w:rsid w:val="000F211E"/>
    <w:rsid w:val="0010054E"/>
    <w:rsid w:val="00100AEC"/>
    <w:rsid w:val="00103CA7"/>
    <w:rsid w:val="001056C0"/>
    <w:rsid w:val="00105A2E"/>
    <w:rsid w:val="00107607"/>
    <w:rsid w:val="00110B59"/>
    <w:rsid w:val="00112597"/>
    <w:rsid w:val="0011538C"/>
    <w:rsid w:val="0011544E"/>
    <w:rsid w:val="0012074A"/>
    <w:rsid w:val="00120C8D"/>
    <w:rsid w:val="0012181C"/>
    <w:rsid w:val="00123543"/>
    <w:rsid w:val="001240CD"/>
    <w:rsid w:val="00127F76"/>
    <w:rsid w:val="001321AB"/>
    <w:rsid w:val="0013282D"/>
    <w:rsid w:val="0013709F"/>
    <w:rsid w:val="00140E57"/>
    <w:rsid w:val="00141B19"/>
    <w:rsid w:val="00141C64"/>
    <w:rsid w:val="001427E8"/>
    <w:rsid w:val="00142E4E"/>
    <w:rsid w:val="00143498"/>
    <w:rsid w:val="0014462B"/>
    <w:rsid w:val="00146D5B"/>
    <w:rsid w:val="001501ED"/>
    <w:rsid w:val="00151596"/>
    <w:rsid w:val="00153CE9"/>
    <w:rsid w:val="0015466A"/>
    <w:rsid w:val="001573F8"/>
    <w:rsid w:val="00162BA0"/>
    <w:rsid w:val="00163EED"/>
    <w:rsid w:val="00164E79"/>
    <w:rsid w:val="00166C81"/>
    <w:rsid w:val="001700BB"/>
    <w:rsid w:val="0017603D"/>
    <w:rsid w:val="001764B9"/>
    <w:rsid w:val="00181A3E"/>
    <w:rsid w:val="00185441"/>
    <w:rsid w:val="001865DB"/>
    <w:rsid w:val="00187A95"/>
    <w:rsid w:val="001942F8"/>
    <w:rsid w:val="00194C50"/>
    <w:rsid w:val="00196FB5"/>
    <w:rsid w:val="001A0AEB"/>
    <w:rsid w:val="001B2E5D"/>
    <w:rsid w:val="001B53BD"/>
    <w:rsid w:val="001B5E36"/>
    <w:rsid w:val="001C1D25"/>
    <w:rsid w:val="001C1E85"/>
    <w:rsid w:val="001C2AE5"/>
    <w:rsid w:val="001D38A0"/>
    <w:rsid w:val="001D5ECE"/>
    <w:rsid w:val="001D7073"/>
    <w:rsid w:val="001D7420"/>
    <w:rsid w:val="001E123B"/>
    <w:rsid w:val="001E1735"/>
    <w:rsid w:val="001E1C6D"/>
    <w:rsid w:val="001E20C2"/>
    <w:rsid w:val="001E3F37"/>
    <w:rsid w:val="001E44A9"/>
    <w:rsid w:val="001E5745"/>
    <w:rsid w:val="001E5DBB"/>
    <w:rsid w:val="001E6251"/>
    <w:rsid w:val="001E685F"/>
    <w:rsid w:val="001E7044"/>
    <w:rsid w:val="001F1051"/>
    <w:rsid w:val="001F1A2D"/>
    <w:rsid w:val="001F311C"/>
    <w:rsid w:val="001F34A8"/>
    <w:rsid w:val="001F40B2"/>
    <w:rsid w:val="001F4B99"/>
    <w:rsid w:val="001F70F8"/>
    <w:rsid w:val="00200D61"/>
    <w:rsid w:val="00200F92"/>
    <w:rsid w:val="002034AD"/>
    <w:rsid w:val="00203BF1"/>
    <w:rsid w:val="00203F46"/>
    <w:rsid w:val="002042F7"/>
    <w:rsid w:val="00207033"/>
    <w:rsid w:val="00210D66"/>
    <w:rsid w:val="00211C6F"/>
    <w:rsid w:val="00212E29"/>
    <w:rsid w:val="00212E91"/>
    <w:rsid w:val="00217339"/>
    <w:rsid w:val="00222204"/>
    <w:rsid w:val="0022306C"/>
    <w:rsid w:val="002239B4"/>
    <w:rsid w:val="00227C2D"/>
    <w:rsid w:val="00227D08"/>
    <w:rsid w:val="0023008F"/>
    <w:rsid w:val="0023180C"/>
    <w:rsid w:val="00234C6C"/>
    <w:rsid w:val="0023576D"/>
    <w:rsid w:val="0023728A"/>
    <w:rsid w:val="00237522"/>
    <w:rsid w:val="00244A28"/>
    <w:rsid w:val="002466F4"/>
    <w:rsid w:val="00247EBA"/>
    <w:rsid w:val="0025095A"/>
    <w:rsid w:val="00251322"/>
    <w:rsid w:val="00251547"/>
    <w:rsid w:val="0025208B"/>
    <w:rsid w:val="002532DE"/>
    <w:rsid w:val="00257DD1"/>
    <w:rsid w:val="00265031"/>
    <w:rsid w:val="0026520C"/>
    <w:rsid w:val="00266277"/>
    <w:rsid w:val="00270009"/>
    <w:rsid w:val="002711ED"/>
    <w:rsid w:val="002723C7"/>
    <w:rsid w:val="00273277"/>
    <w:rsid w:val="002807AD"/>
    <w:rsid w:val="00282D8F"/>
    <w:rsid w:val="00283163"/>
    <w:rsid w:val="0028403E"/>
    <w:rsid w:val="00284C12"/>
    <w:rsid w:val="00286834"/>
    <w:rsid w:val="00286FAD"/>
    <w:rsid w:val="00295636"/>
    <w:rsid w:val="002969F8"/>
    <w:rsid w:val="00297358"/>
    <w:rsid w:val="002A153A"/>
    <w:rsid w:val="002A2A80"/>
    <w:rsid w:val="002A6417"/>
    <w:rsid w:val="002A6631"/>
    <w:rsid w:val="002B282F"/>
    <w:rsid w:val="002B45AD"/>
    <w:rsid w:val="002B4B30"/>
    <w:rsid w:val="002B4F96"/>
    <w:rsid w:val="002B56DF"/>
    <w:rsid w:val="002B79E1"/>
    <w:rsid w:val="002B7D1F"/>
    <w:rsid w:val="002C004E"/>
    <w:rsid w:val="002C1969"/>
    <w:rsid w:val="002C3CAC"/>
    <w:rsid w:val="002C441F"/>
    <w:rsid w:val="002C7A63"/>
    <w:rsid w:val="002D06BB"/>
    <w:rsid w:val="002D2B71"/>
    <w:rsid w:val="002D413A"/>
    <w:rsid w:val="002E320B"/>
    <w:rsid w:val="002E4348"/>
    <w:rsid w:val="002E5AEA"/>
    <w:rsid w:val="002E67C5"/>
    <w:rsid w:val="002E7BC2"/>
    <w:rsid w:val="002F1C33"/>
    <w:rsid w:val="002F2152"/>
    <w:rsid w:val="002F2416"/>
    <w:rsid w:val="002F2DB4"/>
    <w:rsid w:val="002F47DB"/>
    <w:rsid w:val="002F63BB"/>
    <w:rsid w:val="002F6C10"/>
    <w:rsid w:val="002F6DBB"/>
    <w:rsid w:val="002F701E"/>
    <w:rsid w:val="003001AC"/>
    <w:rsid w:val="00302F9F"/>
    <w:rsid w:val="00303EC5"/>
    <w:rsid w:val="00304386"/>
    <w:rsid w:val="00307469"/>
    <w:rsid w:val="00312203"/>
    <w:rsid w:val="00312A01"/>
    <w:rsid w:val="00312B8F"/>
    <w:rsid w:val="00326B54"/>
    <w:rsid w:val="0033366E"/>
    <w:rsid w:val="00334E97"/>
    <w:rsid w:val="003373C2"/>
    <w:rsid w:val="003401FE"/>
    <w:rsid w:val="00340A7A"/>
    <w:rsid w:val="003417F0"/>
    <w:rsid w:val="00341835"/>
    <w:rsid w:val="00341ECA"/>
    <w:rsid w:val="00344791"/>
    <w:rsid w:val="003458DF"/>
    <w:rsid w:val="00350A47"/>
    <w:rsid w:val="003535D2"/>
    <w:rsid w:val="00356B57"/>
    <w:rsid w:val="0036125C"/>
    <w:rsid w:val="003739F0"/>
    <w:rsid w:val="00377CD3"/>
    <w:rsid w:val="00381DFA"/>
    <w:rsid w:val="003825A4"/>
    <w:rsid w:val="00387D0F"/>
    <w:rsid w:val="00390DCF"/>
    <w:rsid w:val="00396821"/>
    <w:rsid w:val="003A06BB"/>
    <w:rsid w:val="003A2944"/>
    <w:rsid w:val="003A6ADF"/>
    <w:rsid w:val="003B0DEF"/>
    <w:rsid w:val="003B1932"/>
    <w:rsid w:val="003B712F"/>
    <w:rsid w:val="003B7185"/>
    <w:rsid w:val="003C01B5"/>
    <w:rsid w:val="003C12E6"/>
    <w:rsid w:val="003C2074"/>
    <w:rsid w:val="003C3ADB"/>
    <w:rsid w:val="003C4F6C"/>
    <w:rsid w:val="003C611C"/>
    <w:rsid w:val="003C6749"/>
    <w:rsid w:val="003C6AE8"/>
    <w:rsid w:val="003C7207"/>
    <w:rsid w:val="003D0670"/>
    <w:rsid w:val="003D0E4A"/>
    <w:rsid w:val="003D0E7D"/>
    <w:rsid w:val="003D11B5"/>
    <w:rsid w:val="003D134C"/>
    <w:rsid w:val="003D4164"/>
    <w:rsid w:val="003D4BD3"/>
    <w:rsid w:val="003D50C3"/>
    <w:rsid w:val="003D60FE"/>
    <w:rsid w:val="003D69A5"/>
    <w:rsid w:val="003D6FFB"/>
    <w:rsid w:val="003E14F9"/>
    <w:rsid w:val="003F309F"/>
    <w:rsid w:val="003F3119"/>
    <w:rsid w:val="003F4452"/>
    <w:rsid w:val="003F4E8A"/>
    <w:rsid w:val="003F6D32"/>
    <w:rsid w:val="003F6D99"/>
    <w:rsid w:val="004077AE"/>
    <w:rsid w:val="00411760"/>
    <w:rsid w:val="00412DFA"/>
    <w:rsid w:val="004161D4"/>
    <w:rsid w:val="0041633C"/>
    <w:rsid w:val="0041784E"/>
    <w:rsid w:val="00417922"/>
    <w:rsid w:val="00417F88"/>
    <w:rsid w:val="004208F0"/>
    <w:rsid w:val="00421EA9"/>
    <w:rsid w:val="004266E5"/>
    <w:rsid w:val="00430B5A"/>
    <w:rsid w:val="00431C20"/>
    <w:rsid w:val="004344F0"/>
    <w:rsid w:val="0043704F"/>
    <w:rsid w:val="00437B43"/>
    <w:rsid w:val="0044207D"/>
    <w:rsid w:val="004439E2"/>
    <w:rsid w:val="0044500F"/>
    <w:rsid w:val="00447992"/>
    <w:rsid w:val="00447FE5"/>
    <w:rsid w:val="00450213"/>
    <w:rsid w:val="00451231"/>
    <w:rsid w:val="004523FF"/>
    <w:rsid w:val="004526D3"/>
    <w:rsid w:val="00452E90"/>
    <w:rsid w:val="00456D35"/>
    <w:rsid w:val="00457CF2"/>
    <w:rsid w:val="004610DA"/>
    <w:rsid w:val="004617B8"/>
    <w:rsid w:val="00462A87"/>
    <w:rsid w:val="00463CA6"/>
    <w:rsid w:val="00463E5F"/>
    <w:rsid w:val="00464D59"/>
    <w:rsid w:val="0046504E"/>
    <w:rsid w:val="00467620"/>
    <w:rsid w:val="00467C7C"/>
    <w:rsid w:val="004758FE"/>
    <w:rsid w:val="00476C17"/>
    <w:rsid w:val="00480836"/>
    <w:rsid w:val="004830C8"/>
    <w:rsid w:val="004837AB"/>
    <w:rsid w:val="00483A2F"/>
    <w:rsid w:val="004865F9"/>
    <w:rsid w:val="00486A64"/>
    <w:rsid w:val="004907D5"/>
    <w:rsid w:val="00490DBF"/>
    <w:rsid w:val="004910BB"/>
    <w:rsid w:val="00491C25"/>
    <w:rsid w:val="00491F16"/>
    <w:rsid w:val="0049357E"/>
    <w:rsid w:val="0049739C"/>
    <w:rsid w:val="004A128C"/>
    <w:rsid w:val="004A1C13"/>
    <w:rsid w:val="004A5E72"/>
    <w:rsid w:val="004A6281"/>
    <w:rsid w:val="004A6EE1"/>
    <w:rsid w:val="004B07EC"/>
    <w:rsid w:val="004B1BEE"/>
    <w:rsid w:val="004B2AB8"/>
    <w:rsid w:val="004B4DF6"/>
    <w:rsid w:val="004B5B9E"/>
    <w:rsid w:val="004B6DCF"/>
    <w:rsid w:val="004C0E5D"/>
    <w:rsid w:val="004D05B1"/>
    <w:rsid w:val="004D1293"/>
    <w:rsid w:val="004D1ADE"/>
    <w:rsid w:val="004D770C"/>
    <w:rsid w:val="004E0D21"/>
    <w:rsid w:val="004E370E"/>
    <w:rsid w:val="004E7EAE"/>
    <w:rsid w:val="004F12DE"/>
    <w:rsid w:val="004F15CD"/>
    <w:rsid w:val="004F2563"/>
    <w:rsid w:val="004F31BC"/>
    <w:rsid w:val="004F4387"/>
    <w:rsid w:val="004F5D59"/>
    <w:rsid w:val="004F6F82"/>
    <w:rsid w:val="00504AF4"/>
    <w:rsid w:val="00510BF5"/>
    <w:rsid w:val="00510DC0"/>
    <w:rsid w:val="00510EDC"/>
    <w:rsid w:val="00513233"/>
    <w:rsid w:val="005148D1"/>
    <w:rsid w:val="0051698E"/>
    <w:rsid w:val="005204A7"/>
    <w:rsid w:val="00521BA7"/>
    <w:rsid w:val="005227FC"/>
    <w:rsid w:val="005237BA"/>
    <w:rsid w:val="00524924"/>
    <w:rsid w:val="005252E2"/>
    <w:rsid w:val="005379AD"/>
    <w:rsid w:val="00546920"/>
    <w:rsid w:val="0054785D"/>
    <w:rsid w:val="005505C3"/>
    <w:rsid w:val="005511D5"/>
    <w:rsid w:val="00552A39"/>
    <w:rsid w:val="0055492B"/>
    <w:rsid w:val="00554A31"/>
    <w:rsid w:val="005609D5"/>
    <w:rsid w:val="00563974"/>
    <w:rsid w:val="005678B1"/>
    <w:rsid w:val="00571AD5"/>
    <w:rsid w:val="005725CA"/>
    <w:rsid w:val="00574498"/>
    <w:rsid w:val="00575DC6"/>
    <w:rsid w:val="00575FF2"/>
    <w:rsid w:val="005760C8"/>
    <w:rsid w:val="00577CD4"/>
    <w:rsid w:val="005820AB"/>
    <w:rsid w:val="00585FB5"/>
    <w:rsid w:val="00590EE1"/>
    <w:rsid w:val="00591586"/>
    <w:rsid w:val="00592DB1"/>
    <w:rsid w:val="00595363"/>
    <w:rsid w:val="00595A2B"/>
    <w:rsid w:val="005A006F"/>
    <w:rsid w:val="005A17D2"/>
    <w:rsid w:val="005A3C39"/>
    <w:rsid w:val="005A5E4A"/>
    <w:rsid w:val="005B7357"/>
    <w:rsid w:val="005C1D36"/>
    <w:rsid w:val="005C5055"/>
    <w:rsid w:val="005C5B7C"/>
    <w:rsid w:val="005C673B"/>
    <w:rsid w:val="005D4CDB"/>
    <w:rsid w:val="005E046C"/>
    <w:rsid w:val="005E247C"/>
    <w:rsid w:val="005E3D4F"/>
    <w:rsid w:val="005E7BBC"/>
    <w:rsid w:val="005F12C4"/>
    <w:rsid w:val="005F19B1"/>
    <w:rsid w:val="005F3319"/>
    <w:rsid w:val="005F5D19"/>
    <w:rsid w:val="005F65B9"/>
    <w:rsid w:val="005F6CBF"/>
    <w:rsid w:val="005F7F24"/>
    <w:rsid w:val="006005DC"/>
    <w:rsid w:val="00600E42"/>
    <w:rsid w:val="006018AA"/>
    <w:rsid w:val="00603C7F"/>
    <w:rsid w:val="006055CD"/>
    <w:rsid w:val="006100F4"/>
    <w:rsid w:val="00612D14"/>
    <w:rsid w:val="006135E6"/>
    <w:rsid w:val="0061747D"/>
    <w:rsid w:val="00632E10"/>
    <w:rsid w:val="00632EA5"/>
    <w:rsid w:val="00633960"/>
    <w:rsid w:val="00635CBC"/>
    <w:rsid w:val="00637F5E"/>
    <w:rsid w:val="00640549"/>
    <w:rsid w:val="00644F52"/>
    <w:rsid w:val="006520A9"/>
    <w:rsid w:val="006525FD"/>
    <w:rsid w:val="00653B17"/>
    <w:rsid w:val="00654483"/>
    <w:rsid w:val="00655EAE"/>
    <w:rsid w:val="006560CA"/>
    <w:rsid w:val="006563B5"/>
    <w:rsid w:val="0065701C"/>
    <w:rsid w:val="006604A6"/>
    <w:rsid w:val="00662792"/>
    <w:rsid w:val="00664620"/>
    <w:rsid w:val="00667868"/>
    <w:rsid w:val="00671B54"/>
    <w:rsid w:val="0067265E"/>
    <w:rsid w:val="00673DB8"/>
    <w:rsid w:val="006754AC"/>
    <w:rsid w:val="00675BFE"/>
    <w:rsid w:val="00676722"/>
    <w:rsid w:val="0067691D"/>
    <w:rsid w:val="006818B6"/>
    <w:rsid w:val="006824B8"/>
    <w:rsid w:val="0068288E"/>
    <w:rsid w:val="006832D2"/>
    <w:rsid w:val="0068423B"/>
    <w:rsid w:val="006843B8"/>
    <w:rsid w:val="006852EB"/>
    <w:rsid w:val="00687167"/>
    <w:rsid w:val="006929BA"/>
    <w:rsid w:val="00692ABF"/>
    <w:rsid w:val="00692BBD"/>
    <w:rsid w:val="00693313"/>
    <w:rsid w:val="0069332A"/>
    <w:rsid w:val="00694188"/>
    <w:rsid w:val="00694209"/>
    <w:rsid w:val="00697718"/>
    <w:rsid w:val="00697A99"/>
    <w:rsid w:val="006A1226"/>
    <w:rsid w:val="006A172E"/>
    <w:rsid w:val="006A2035"/>
    <w:rsid w:val="006A3329"/>
    <w:rsid w:val="006A7743"/>
    <w:rsid w:val="006B13E2"/>
    <w:rsid w:val="006B150B"/>
    <w:rsid w:val="006B1785"/>
    <w:rsid w:val="006B317D"/>
    <w:rsid w:val="006B3E06"/>
    <w:rsid w:val="006B45AB"/>
    <w:rsid w:val="006B6C6A"/>
    <w:rsid w:val="006B7F25"/>
    <w:rsid w:val="006C15D5"/>
    <w:rsid w:val="006C1C02"/>
    <w:rsid w:val="006C1EAD"/>
    <w:rsid w:val="006C234F"/>
    <w:rsid w:val="006C2D0C"/>
    <w:rsid w:val="006C3D0C"/>
    <w:rsid w:val="006C5955"/>
    <w:rsid w:val="006D0131"/>
    <w:rsid w:val="006D0E8A"/>
    <w:rsid w:val="006D12BD"/>
    <w:rsid w:val="006D2335"/>
    <w:rsid w:val="006D245C"/>
    <w:rsid w:val="006D268E"/>
    <w:rsid w:val="006D2BE9"/>
    <w:rsid w:val="006D3570"/>
    <w:rsid w:val="006D3624"/>
    <w:rsid w:val="006D39A8"/>
    <w:rsid w:val="006D4376"/>
    <w:rsid w:val="006D4391"/>
    <w:rsid w:val="006D519D"/>
    <w:rsid w:val="006D5F4B"/>
    <w:rsid w:val="006D6A51"/>
    <w:rsid w:val="006E13EF"/>
    <w:rsid w:val="006E4EE7"/>
    <w:rsid w:val="006E65C2"/>
    <w:rsid w:val="006F10B4"/>
    <w:rsid w:val="006F31BC"/>
    <w:rsid w:val="006F3802"/>
    <w:rsid w:val="006F39D0"/>
    <w:rsid w:val="006F3B66"/>
    <w:rsid w:val="006F4E05"/>
    <w:rsid w:val="006F64D1"/>
    <w:rsid w:val="006F661B"/>
    <w:rsid w:val="006F7746"/>
    <w:rsid w:val="00702DAA"/>
    <w:rsid w:val="0070582B"/>
    <w:rsid w:val="00707A9D"/>
    <w:rsid w:val="00711157"/>
    <w:rsid w:val="007119E2"/>
    <w:rsid w:val="00714800"/>
    <w:rsid w:val="00714B93"/>
    <w:rsid w:val="00715B7E"/>
    <w:rsid w:val="00715F0D"/>
    <w:rsid w:val="00717930"/>
    <w:rsid w:val="0072152F"/>
    <w:rsid w:val="00721C21"/>
    <w:rsid w:val="007229FD"/>
    <w:rsid w:val="00730CDB"/>
    <w:rsid w:val="007323E9"/>
    <w:rsid w:val="00736945"/>
    <w:rsid w:val="00736C89"/>
    <w:rsid w:val="00741965"/>
    <w:rsid w:val="0074421C"/>
    <w:rsid w:val="00745744"/>
    <w:rsid w:val="00745A21"/>
    <w:rsid w:val="007464B2"/>
    <w:rsid w:val="0075032A"/>
    <w:rsid w:val="00750C12"/>
    <w:rsid w:val="00752A7D"/>
    <w:rsid w:val="00754433"/>
    <w:rsid w:val="00763652"/>
    <w:rsid w:val="00763A36"/>
    <w:rsid w:val="00764BF7"/>
    <w:rsid w:val="00764EA5"/>
    <w:rsid w:val="007650D8"/>
    <w:rsid w:val="00766030"/>
    <w:rsid w:val="00766CBE"/>
    <w:rsid w:val="00767B80"/>
    <w:rsid w:val="00770D7D"/>
    <w:rsid w:val="00771030"/>
    <w:rsid w:val="00772497"/>
    <w:rsid w:val="007745AE"/>
    <w:rsid w:val="007754C3"/>
    <w:rsid w:val="0077638E"/>
    <w:rsid w:val="007768FE"/>
    <w:rsid w:val="00776E3E"/>
    <w:rsid w:val="00780C18"/>
    <w:rsid w:val="00782AA1"/>
    <w:rsid w:val="007902C3"/>
    <w:rsid w:val="00790BB8"/>
    <w:rsid w:val="00791377"/>
    <w:rsid w:val="007915BB"/>
    <w:rsid w:val="00792793"/>
    <w:rsid w:val="00795C86"/>
    <w:rsid w:val="00795EB4"/>
    <w:rsid w:val="007A01A1"/>
    <w:rsid w:val="007A1E0D"/>
    <w:rsid w:val="007A45E7"/>
    <w:rsid w:val="007A73BE"/>
    <w:rsid w:val="007B1754"/>
    <w:rsid w:val="007B4AAA"/>
    <w:rsid w:val="007C46CC"/>
    <w:rsid w:val="007C6894"/>
    <w:rsid w:val="007D3035"/>
    <w:rsid w:val="007D35C4"/>
    <w:rsid w:val="007D3B8C"/>
    <w:rsid w:val="007D5652"/>
    <w:rsid w:val="007D62C7"/>
    <w:rsid w:val="007D6B53"/>
    <w:rsid w:val="007D6D97"/>
    <w:rsid w:val="007D6E52"/>
    <w:rsid w:val="007E001D"/>
    <w:rsid w:val="007E0034"/>
    <w:rsid w:val="007E63C4"/>
    <w:rsid w:val="007E7D4E"/>
    <w:rsid w:val="007F1B9C"/>
    <w:rsid w:val="007F2142"/>
    <w:rsid w:val="007F5F0C"/>
    <w:rsid w:val="007F7AC6"/>
    <w:rsid w:val="008007EE"/>
    <w:rsid w:val="008012DE"/>
    <w:rsid w:val="00803061"/>
    <w:rsid w:val="008057D4"/>
    <w:rsid w:val="00807EEE"/>
    <w:rsid w:val="008103E9"/>
    <w:rsid w:val="008135F4"/>
    <w:rsid w:val="00813893"/>
    <w:rsid w:val="00813F60"/>
    <w:rsid w:val="00814330"/>
    <w:rsid w:val="00815614"/>
    <w:rsid w:val="0082266E"/>
    <w:rsid w:val="008234E2"/>
    <w:rsid w:val="00824361"/>
    <w:rsid w:val="008250B0"/>
    <w:rsid w:val="00825FD3"/>
    <w:rsid w:val="00826793"/>
    <w:rsid w:val="0083146F"/>
    <w:rsid w:val="008327EE"/>
    <w:rsid w:val="00833F8E"/>
    <w:rsid w:val="0083539E"/>
    <w:rsid w:val="00836715"/>
    <w:rsid w:val="00836E71"/>
    <w:rsid w:val="00837EBE"/>
    <w:rsid w:val="0084198E"/>
    <w:rsid w:val="00842E74"/>
    <w:rsid w:val="00843BE5"/>
    <w:rsid w:val="008535C9"/>
    <w:rsid w:val="008546FE"/>
    <w:rsid w:val="008561E0"/>
    <w:rsid w:val="00856B64"/>
    <w:rsid w:val="00857C2F"/>
    <w:rsid w:val="00860A39"/>
    <w:rsid w:val="00860C93"/>
    <w:rsid w:val="0086177D"/>
    <w:rsid w:val="00862463"/>
    <w:rsid w:val="00863DD9"/>
    <w:rsid w:val="00865124"/>
    <w:rsid w:val="00865960"/>
    <w:rsid w:val="00866446"/>
    <w:rsid w:val="00867152"/>
    <w:rsid w:val="0086741B"/>
    <w:rsid w:val="00870933"/>
    <w:rsid w:val="00871568"/>
    <w:rsid w:val="00872D25"/>
    <w:rsid w:val="00874E17"/>
    <w:rsid w:val="00876A87"/>
    <w:rsid w:val="0087712D"/>
    <w:rsid w:val="00881CD2"/>
    <w:rsid w:val="00884103"/>
    <w:rsid w:val="008841A9"/>
    <w:rsid w:val="00885C88"/>
    <w:rsid w:val="0088629D"/>
    <w:rsid w:val="00886E66"/>
    <w:rsid w:val="00886F29"/>
    <w:rsid w:val="00887704"/>
    <w:rsid w:val="00887A55"/>
    <w:rsid w:val="00887AE5"/>
    <w:rsid w:val="00890B23"/>
    <w:rsid w:val="008917A3"/>
    <w:rsid w:val="00891A49"/>
    <w:rsid w:val="0089319F"/>
    <w:rsid w:val="00897DAB"/>
    <w:rsid w:val="008A0633"/>
    <w:rsid w:val="008A275F"/>
    <w:rsid w:val="008A3386"/>
    <w:rsid w:val="008A53F2"/>
    <w:rsid w:val="008A5766"/>
    <w:rsid w:val="008B09B1"/>
    <w:rsid w:val="008B2AA9"/>
    <w:rsid w:val="008B6430"/>
    <w:rsid w:val="008B7A53"/>
    <w:rsid w:val="008B7E0F"/>
    <w:rsid w:val="008C24B6"/>
    <w:rsid w:val="008C3ACC"/>
    <w:rsid w:val="008C487C"/>
    <w:rsid w:val="008C4C28"/>
    <w:rsid w:val="008D11E3"/>
    <w:rsid w:val="008D2548"/>
    <w:rsid w:val="008D28AD"/>
    <w:rsid w:val="008D3473"/>
    <w:rsid w:val="008D539C"/>
    <w:rsid w:val="008D575A"/>
    <w:rsid w:val="008D7A9D"/>
    <w:rsid w:val="008E0FCC"/>
    <w:rsid w:val="008E21A3"/>
    <w:rsid w:val="008E2FE3"/>
    <w:rsid w:val="008E5698"/>
    <w:rsid w:val="008E5F34"/>
    <w:rsid w:val="008E6B88"/>
    <w:rsid w:val="008E7D3F"/>
    <w:rsid w:val="008F00CF"/>
    <w:rsid w:val="008F0E10"/>
    <w:rsid w:val="008F2267"/>
    <w:rsid w:val="008F2F63"/>
    <w:rsid w:val="008F3EE2"/>
    <w:rsid w:val="008F4B08"/>
    <w:rsid w:val="008F5D4C"/>
    <w:rsid w:val="008F67FD"/>
    <w:rsid w:val="008F6D40"/>
    <w:rsid w:val="0090294C"/>
    <w:rsid w:val="00903E02"/>
    <w:rsid w:val="00904226"/>
    <w:rsid w:val="00905A7E"/>
    <w:rsid w:val="00905B18"/>
    <w:rsid w:val="00905B2F"/>
    <w:rsid w:val="00920A7F"/>
    <w:rsid w:val="009211CB"/>
    <w:rsid w:val="009231E0"/>
    <w:rsid w:val="00923548"/>
    <w:rsid w:val="00923B70"/>
    <w:rsid w:val="00925293"/>
    <w:rsid w:val="00926241"/>
    <w:rsid w:val="00926B0D"/>
    <w:rsid w:val="00930B6C"/>
    <w:rsid w:val="00930E4B"/>
    <w:rsid w:val="00931485"/>
    <w:rsid w:val="00942C91"/>
    <w:rsid w:val="009436DA"/>
    <w:rsid w:val="00943862"/>
    <w:rsid w:val="009444F7"/>
    <w:rsid w:val="0094508D"/>
    <w:rsid w:val="00946E85"/>
    <w:rsid w:val="0094787E"/>
    <w:rsid w:val="00947C5C"/>
    <w:rsid w:val="009506A7"/>
    <w:rsid w:val="00950763"/>
    <w:rsid w:val="0095113A"/>
    <w:rsid w:val="00952E50"/>
    <w:rsid w:val="00954CF5"/>
    <w:rsid w:val="00956630"/>
    <w:rsid w:val="009605FA"/>
    <w:rsid w:val="0096646C"/>
    <w:rsid w:val="00967230"/>
    <w:rsid w:val="00972087"/>
    <w:rsid w:val="00972C13"/>
    <w:rsid w:val="0097420F"/>
    <w:rsid w:val="0097456D"/>
    <w:rsid w:val="00974A47"/>
    <w:rsid w:val="00976BF4"/>
    <w:rsid w:val="00980920"/>
    <w:rsid w:val="009812D7"/>
    <w:rsid w:val="00982E99"/>
    <w:rsid w:val="00990391"/>
    <w:rsid w:val="00992151"/>
    <w:rsid w:val="009947D1"/>
    <w:rsid w:val="00994B40"/>
    <w:rsid w:val="00996159"/>
    <w:rsid w:val="009A12B9"/>
    <w:rsid w:val="009A3AC9"/>
    <w:rsid w:val="009A4BF0"/>
    <w:rsid w:val="009A5714"/>
    <w:rsid w:val="009A5746"/>
    <w:rsid w:val="009A5DA7"/>
    <w:rsid w:val="009A7425"/>
    <w:rsid w:val="009B1AEC"/>
    <w:rsid w:val="009B7329"/>
    <w:rsid w:val="009C0F6B"/>
    <w:rsid w:val="009C1FFE"/>
    <w:rsid w:val="009C27A9"/>
    <w:rsid w:val="009C3485"/>
    <w:rsid w:val="009C68EF"/>
    <w:rsid w:val="009D11B7"/>
    <w:rsid w:val="009D16ED"/>
    <w:rsid w:val="009D1D57"/>
    <w:rsid w:val="009D481A"/>
    <w:rsid w:val="009D4F8F"/>
    <w:rsid w:val="009D79AA"/>
    <w:rsid w:val="009E2544"/>
    <w:rsid w:val="009E2770"/>
    <w:rsid w:val="009E41D9"/>
    <w:rsid w:val="009E467C"/>
    <w:rsid w:val="009E4710"/>
    <w:rsid w:val="009E4A43"/>
    <w:rsid w:val="009E6225"/>
    <w:rsid w:val="009F0069"/>
    <w:rsid w:val="009F2261"/>
    <w:rsid w:val="009F3537"/>
    <w:rsid w:val="009F6ADC"/>
    <w:rsid w:val="009F78A4"/>
    <w:rsid w:val="009F796E"/>
    <w:rsid w:val="00A00D59"/>
    <w:rsid w:val="00A032F8"/>
    <w:rsid w:val="00A10347"/>
    <w:rsid w:val="00A14C36"/>
    <w:rsid w:val="00A158AB"/>
    <w:rsid w:val="00A25657"/>
    <w:rsid w:val="00A304BE"/>
    <w:rsid w:val="00A329B6"/>
    <w:rsid w:val="00A367A1"/>
    <w:rsid w:val="00A40178"/>
    <w:rsid w:val="00A415D2"/>
    <w:rsid w:val="00A4602C"/>
    <w:rsid w:val="00A460BA"/>
    <w:rsid w:val="00A46CF8"/>
    <w:rsid w:val="00A46FE1"/>
    <w:rsid w:val="00A510F6"/>
    <w:rsid w:val="00A54828"/>
    <w:rsid w:val="00A5723A"/>
    <w:rsid w:val="00A57F74"/>
    <w:rsid w:val="00A618BC"/>
    <w:rsid w:val="00A61A04"/>
    <w:rsid w:val="00A648E0"/>
    <w:rsid w:val="00A651C9"/>
    <w:rsid w:val="00A67D0F"/>
    <w:rsid w:val="00A70E2D"/>
    <w:rsid w:val="00A73161"/>
    <w:rsid w:val="00A73E40"/>
    <w:rsid w:val="00A740E7"/>
    <w:rsid w:val="00A74621"/>
    <w:rsid w:val="00A80739"/>
    <w:rsid w:val="00A83829"/>
    <w:rsid w:val="00A862C0"/>
    <w:rsid w:val="00A862CB"/>
    <w:rsid w:val="00A872F7"/>
    <w:rsid w:val="00A87EE1"/>
    <w:rsid w:val="00A9000F"/>
    <w:rsid w:val="00A91A20"/>
    <w:rsid w:val="00A9229F"/>
    <w:rsid w:val="00A93753"/>
    <w:rsid w:val="00A95100"/>
    <w:rsid w:val="00A95487"/>
    <w:rsid w:val="00A97A15"/>
    <w:rsid w:val="00A97F63"/>
    <w:rsid w:val="00AA0652"/>
    <w:rsid w:val="00AA2A39"/>
    <w:rsid w:val="00AA2C16"/>
    <w:rsid w:val="00AA5AEE"/>
    <w:rsid w:val="00AA615B"/>
    <w:rsid w:val="00AA6272"/>
    <w:rsid w:val="00AB0DED"/>
    <w:rsid w:val="00AB14AB"/>
    <w:rsid w:val="00AB219E"/>
    <w:rsid w:val="00AB5263"/>
    <w:rsid w:val="00AC0C81"/>
    <w:rsid w:val="00AC1B48"/>
    <w:rsid w:val="00AC29D6"/>
    <w:rsid w:val="00AC3A94"/>
    <w:rsid w:val="00AC43E7"/>
    <w:rsid w:val="00AC5CA2"/>
    <w:rsid w:val="00AD1E1B"/>
    <w:rsid w:val="00AD4BD5"/>
    <w:rsid w:val="00AD54C3"/>
    <w:rsid w:val="00AD6BD9"/>
    <w:rsid w:val="00AD7725"/>
    <w:rsid w:val="00AE0018"/>
    <w:rsid w:val="00AE0522"/>
    <w:rsid w:val="00AE668A"/>
    <w:rsid w:val="00AE6858"/>
    <w:rsid w:val="00AE7EF0"/>
    <w:rsid w:val="00AF0A55"/>
    <w:rsid w:val="00AF2EFF"/>
    <w:rsid w:val="00AF387F"/>
    <w:rsid w:val="00AF41B6"/>
    <w:rsid w:val="00AF497F"/>
    <w:rsid w:val="00AF5C62"/>
    <w:rsid w:val="00AF643C"/>
    <w:rsid w:val="00AF6B2F"/>
    <w:rsid w:val="00AF7270"/>
    <w:rsid w:val="00AF727E"/>
    <w:rsid w:val="00B00055"/>
    <w:rsid w:val="00B03258"/>
    <w:rsid w:val="00B06342"/>
    <w:rsid w:val="00B07013"/>
    <w:rsid w:val="00B11F92"/>
    <w:rsid w:val="00B120A7"/>
    <w:rsid w:val="00B13C71"/>
    <w:rsid w:val="00B13EE9"/>
    <w:rsid w:val="00B14450"/>
    <w:rsid w:val="00B1586E"/>
    <w:rsid w:val="00B17BC5"/>
    <w:rsid w:val="00B2045A"/>
    <w:rsid w:val="00B20582"/>
    <w:rsid w:val="00B2158C"/>
    <w:rsid w:val="00B217CA"/>
    <w:rsid w:val="00B24E57"/>
    <w:rsid w:val="00B26584"/>
    <w:rsid w:val="00B30D96"/>
    <w:rsid w:val="00B34281"/>
    <w:rsid w:val="00B3678E"/>
    <w:rsid w:val="00B42262"/>
    <w:rsid w:val="00B42B2C"/>
    <w:rsid w:val="00B5123E"/>
    <w:rsid w:val="00B51B58"/>
    <w:rsid w:val="00B522C4"/>
    <w:rsid w:val="00B52B0E"/>
    <w:rsid w:val="00B52FDB"/>
    <w:rsid w:val="00B5337D"/>
    <w:rsid w:val="00B533F4"/>
    <w:rsid w:val="00B542D5"/>
    <w:rsid w:val="00B54444"/>
    <w:rsid w:val="00B57FC4"/>
    <w:rsid w:val="00B62BEA"/>
    <w:rsid w:val="00B63732"/>
    <w:rsid w:val="00B64B90"/>
    <w:rsid w:val="00B65290"/>
    <w:rsid w:val="00B70E26"/>
    <w:rsid w:val="00B71364"/>
    <w:rsid w:val="00B726D5"/>
    <w:rsid w:val="00B72758"/>
    <w:rsid w:val="00B7319C"/>
    <w:rsid w:val="00B7517F"/>
    <w:rsid w:val="00B777B9"/>
    <w:rsid w:val="00B80AAD"/>
    <w:rsid w:val="00B861DA"/>
    <w:rsid w:val="00B86CB5"/>
    <w:rsid w:val="00B86D58"/>
    <w:rsid w:val="00B8744D"/>
    <w:rsid w:val="00B8745F"/>
    <w:rsid w:val="00B90754"/>
    <w:rsid w:val="00B90BBE"/>
    <w:rsid w:val="00B91B78"/>
    <w:rsid w:val="00B93013"/>
    <w:rsid w:val="00B936F7"/>
    <w:rsid w:val="00B9416B"/>
    <w:rsid w:val="00B9572C"/>
    <w:rsid w:val="00B95A93"/>
    <w:rsid w:val="00B9782C"/>
    <w:rsid w:val="00B97D95"/>
    <w:rsid w:val="00B97E3C"/>
    <w:rsid w:val="00BA0158"/>
    <w:rsid w:val="00BA04F9"/>
    <w:rsid w:val="00BA7E78"/>
    <w:rsid w:val="00BB0833"/>
    <w:rsid w:val="00BB0EA7"/>
    <w:rsid w:val="00BB4CDF"/>
    <w:rsid w:val="00BB595B"/>
    <w:rsid w:val="00BB59F9"/>
    <w:rsid w:val="00BB5B0E"/>
    <w:rsid w:val="00BC15B8"/>
    <w:rsid w:val="00BC5279"/>
    <w:rsid w:val="00BC6C4E"/>
    <w:rsid w:val="00BC6DA1"/>
    <w:rsid w:val="00BC7B6A"/>
    <w:rsid w:val="00BD0EAC"/>
    <w:rsid w:val="00BD13DC"/>
    <w:rsid w:val="00BD31AB"/>
    <w:rsid w:val="00BD4AA0"/>
    <w:rsid w:val="00BD58A7"/>
    <w:rsid w:val="00BD6EE4"/>
    <w:rsid w:val="00BD794A"/>
    <w:rsid w:val="00BE1E33"/>
    <w:rsid w:val="00BE2AD3"/>
    <w:rsid w:val="00BE3096"/>
    <w:rsid w:val="00BE36F7"/>
    <w:rsid w:val="00BE65AD"/>
    <w:rsid w:val="00BF19F3"/>
    <w:rsid w:val="00BF2443"/>
    <w:rsid w:val="00C01BC4"/>
    <w:rsid w:val="00C02F78"/>
    <w:rsid w:val="00C0550E"/>
    <w:rsid w:val="00C07755"/>
    <w:rsid w:val="00C07B5E"/>
    <w:rsid w:val="00C07C4E"/>
    <w:rsid w:val="00C10D3E"/>
    <w:rsid w:val="00C10DE8"/>
    <w:rsid w:val="00C12201"/>
    <w:rsid w:val="00C12946"/>
    <w:rsid w:val="00C12AD2"/>
    <w:rsid w:val="00C134EE"/>
    <w:rsid w:val="00C1405A"/>
    <w:rsid w:val="00C14F61"/>
    <w:rsid w:val="00C2018B"/>
    <w:rsid w:val="00C2197A"/>
    <w:rsid w:val="00C30E1E"/>
    <w:rsid w:val="00C31412"/>
    <w:rsid w:val="00C362A0"/>
    <w:rsid w:val="00C365AF"/>
    <w:rsid w:val="00C367CD"/>
    <w:rsid w:val="00C42740"/>
    <w:rsid w:val="00C43C6C"/>
    <w:rsid w:val="00C4526C"/>
    <w:rsid w:val="00C50B1B"/>
    <w:rsid w:val="00C50C99"/>
    <w:rsid w:val="00C52801"/>
    <w:rsid w:val="00C5395E"/>
    <w:rsid w:val="00C60C0C"/>
    <w:rsid w:val="00C61C54"/>
    <w:rsid w:val="00C6210F"/>
    <w:rsid w:val="00C62B8E"/>
    <w:rsid w:val="00C703AD"/>
    <w:rsid w:val="00C745C6"/>
    <w:rsid w:val="00C750BA"/>
    <w:rsid w:val="00C7706E"/>
    <w:rsid w:val="00C77811"/>
    <w:rsid w:val="00C8182E"/>
    <w:rsid w:val="00C826EF"/>
    <w:rsid w:val="00C8442D"/>
    <w:rsid w:val="00C85287"/>
    <w:rsid w:val="00C85FA6"/>
    <w:rsid w:val="00C878E1"/>
    <w:rsid w:val="00C92ED3"/>
    <w:rsid w:val="00C95AC9"/>
    <w:rsid w:val="00C964DE"/>
    <w:rsid w:val="00C969C2"/>
    <w:rsid w:val="00C96F18"/>
    <w:rsid w:val="00CA4545"/>
    <w:rsid w:val="00CA4843"/>
    <w:rsid w:val="00CA51AC"/>
    <w:rsid w:val="00CA51DE"/>
    <w:rsid w:val="00CA5790"/>
    <w:rsid w:val="00CA634C"/>
    <w:rsid w:val="00CA652B"/>
    <w:rsid w:val="00CA75F5"/>
    <w:rsid w:val="00CA7BFF"/>
    <w:rsid w:val="00CB003C"/>
    <w:rsid w:val="00CB12E5"/>
    <w:rsid w:val="00CB1FD3"/>
    <w:rsid w:val="00CB59D4"/>
    <w:rsid w:val="00CC0C56"/>
    <w:rsid w:val="00CC11B6"/>
    <w:rsid w:val="00CC4245"/>
    <w:rsid w:val="00CD23FE"/>
    <w:rsid w:val="00CD319D"/>
    <w:rsid w:val="00CD33C1"/>
    <w:rsid w:val="00CE15BE"/>
    <w:rsid w:val="00CE35D5"/>
    <w:rsid w:val="00CF09D9"/>
    <w:rsid w:val="00CF182A"/>
    <w:rsid w:val="00CF1BF9"/>
    <w:rsid w:val="00CF326B"/>
    <w:rsid w:val="00CF5CC1"/>
    <w:rsid w:val="00CF7D98"/>
    <w:rsid w:val="00D029D8"/>
    <w:rsid w:val="00D02A84"/>
    <w:rsid w:val="00D0300E"/>
    <w:rsid w:val="00D054B2"/>
    <w:rsid w:val="00D0763E"/>
    <w:rsid w:val="00D11186"/>
    <w:rsid w:val="00D12644"/>
    <w:rsid w:val="00D134CC"/>
    <w:rsid w:val="00D142E0"/>
    <w:rsid w:val="00D14450"/>
    <w:rsid w:val="00D14C1E"/>
    <w:rsid w:val="00D14CD0"/>
    <w:rsid w:val="00D20C1D"/>
    <w:rsid w:val="00D24682"/>
    <w:rsid w:val="00D24F06"/>
    <w:rsid w:val="00D25AEF"/>
    <w:rsid w:val="00D279FE"/>
    <w:rsid w:val="00D31785"/>
    <w:rsid w:val="00D32391"/>
    <w:rsid w:val="00D33D6F"/>
    <w:rsid w:val="00D349EE"/>
    <w:rsid w:val="00D35298"/>
    <w:rsid w:val="00D36296"/>
    <w:rsid w:val="00D36DC3"/>
    <w:rsid w:val="00D4126F"/>
    <w:rsid w:val="00D418AD"/>
    <w:rsid w:val="00D42C1B"/>
    <w:rsid w:val="00D44227"/>
    <w:rsid w:val="00D45FB4"/>
    <w:rsid w:val="00D46629"/>
    <w:rsid w:val="00D51D54"/>
    <w:rsid w:val="00D527DA"/>
    <w:rsid w:val="00D54DF5"/>
    <w:rsid w:val="00D554BA"/>
    <w:rsid w:val="00D56D47"/>
    <w:rsid w:val="00D57421"/>
    <w:rsid w:val="00D57835"/>
    <w:rsid w:val="00D60CF3"/>
    <w:rsid w:val="00D613F3"/>
    <w:rsid w:val="00D655FB"/>
    <w:rsid w:val="00D70FB4"/>
    <w:rsid w:val="00D73854"/>
    <w:rsid w:val="00D73A38"/>
    <w:rsid w:val="00D74A1C"/>
    <w:rsid w:val="00D761DB"/>
    <w:rsid w:val="00D7769B"/>
    <w:rsid w:val="00D815C1"/>
    <w:rsid w:val="00D82E7D"/>
    <w:rsid w:val="00D850F4"/>
    <w:rsid w:val="00D85C85"/>
    <w:rsid w:val="00D85E33"/>
    <w:rsid w:val="00D866EC"/>
    <w:rsid w:val="00D9096A"/>
    <w:rsid w:val="00D928CF"/>
    <w:rsid w:val="00D92F6C"/>
    <w:rsid w:val="00D93514"/>
    <w:rsid w:val="00D93AED"/>
    <w:rsid w:val="00D94695"/>
    <w:rsid w:val="00D95879"/>
    <w:rsid w:val="00D97A6B"/>
    <w:rsid w:val="00DA2FA3"/>
    <w:rsid w:val="00DA546F"/>
    <w:rsid w:val="00DA65B2"/>
    <w:rsid w:val="00DA7875"/>
    <w:rsid w:val="00DB0AD7"/>
    <w:rsid w:val="00DB5BAE"/>
    <w:rsid w:val="00DB751D"/>
    <w:rsid w:val="00DC09BD"/>
    <w:rsid w:val="00DC162E"/>
    <w:rsid w:val="00DC35CE"/>
    <w:rsid w:val="00DC3B1E"/>
    <w:rsid w:val="00DC432A"/>
    <w:rsid w:val="00DC4C93"/>
    <w:rsid w:val="00DC679E"/>
    <w:rsid w:val="00DD0E98"/>
    <w:rsid w:val="00DD14BC"/>
    <w:rsid w:val="00DD259F"/>
    <w:rsid w:val="00DD4D47"/>
    <w:rsid w:val="00DD565E"/>
    <w:rsid w:val="00DD5EC2"/>
    <w:rsid w:val="00DD689E"/>
    <w:rsid w:val="00DE3F87"/>
    <w:rsid w:val="00DE5013"/>
    <w:rsid w:val="00DE54BD"/>
    <w:rsid w:val="00DE57DA"/>
    <w:rsid w:val="00DE64DE"/>
    <w:rsid w:val="00DE73B4"/>
    <w:rsid w:val="00DE787B"/>
    <w:rsid w:val="00DE7AB4"/>
    <w:rsid w:val="00DF2E8B"/>
    <w:rsid w:val="00DF4D86"/>
    <w:rsid w:val="00DF63E3"/>
    <w:rsid w:val="00DF6B09"/>
    <w:rsid w:val="00E00B41"/>
    <w:rsid w:val="00E01D84"/>
    <w:rsid w:val="00E048AB"/>
    <w:rsid w:val="00E052D3"/>
    <w:rsid w:val="00E05344"/>
    <w:rsid w:val="00E05DA1"/>
    <w:rsid w:val="00E104CD"/>
    <w:rsid w:val="00E111AA"/>
    <w:rsid w:val="00E137BB"/>
    <w:rsid w:val="00E15A72"/>
    <w:rsid w:val="00E20266"/>
    <w:rsid w:val="00E235DD"/>
    <w:rsid w:val="00E23B80"/>
    <w:rsid w:val="00E261CD"/>
    <w:rsid w:val="00E27002"/>
    <w:rsid w:val="00E30356"/>
    <w:rsid w:val="00E3199C"/>
    <w:rsid w:val="00E321B8"/>
    <w:rsid w:val="00E3352E"/>
    <w:rsid w:val="00E34732"/>
    <w:rsid w:val="00E34885"/>
    <w:rsid w:val="00E40987"/>
    <w:rsid w:val="00E41E74"/>
    <w:rsid w:val="00E42D0B"/>
    <w:rsid w:val="00E43A1A"/>
    <w:rsid w:val="00E441BF"/>
    <w:rsid w:val="00E5029D"/>
    <w:rsid w:val="00E51679"/>
    <w:rsid w:val="00E528C8"/>
    <w:rsid w:val="00E54CD1"/>
    <w:rsid w:val="00E56980"/>
    <w:rsid w:val="00E56B59"/>
    <w:rsid w:val="00E60E10"/>
    <w:rsid w:val="00E6266E"/>
    <w:rsid w:val="00E62D29"/>
    <w:rsid w:val="00E64988"/>
    <w:rsid w:val="00E64A38"/>
    <w:rsid w:val="00E66FFF"/>
    <w:rsid w:val="00E7065A"/>
    <w:rsid w:val="00E719F6"/>
    <w:rsid w:val="00E725EE"/>
    <w:rsid w:val="00E72ACE"/>
    <w:rsid w:val="00E7345E"/>
    <w:rsid w:val="00E73BA9"/>
    <w:rsid w:val="00E756AC"/>
    <w:rsid w:val="00E8168D"/>
    <w:rsid w:val="00E8381A"/>
    <w:rsid w:val="00E847F2"/>
    <w:rsid w:val="00E8587D"/>
    <w:rsid w:val="00E87596"/>
    <w:rsid w:val="00E87794"/>
    <w:rsid w:val="00E9480E"/>
    <w:rsid w:val="00E96355"/>
    <w:rsid w:val="00E96422"/>
    <w:rsid w:val="00E97B21"/>
    <w:rsid w:val="00EA27CD"/>
    <w:rsid w:val="00EA5A59"/>
    <w:rsid w:val="00EA62F1"/>
    <w:rsid w:val="00EA6693"/>
    <w:rsid w:val="00EB331D"/>
    <w:rsid w:val="00EB34E7"/>
    <w:rsid w:val="00EB3D8F"/>
    <w:rsid w:val="00EB7443"/>
    <w:rsid w:val="00EC0B5C"/>
    <w:rsid w:val="00EC3B89"/>
    <w:rsid w:val="00EC634C"/>
    <w:rsid w:val="00ED0FE3"/>
    <w:rsid w:val="00ED1DBA"/>
    <w:rsid w:val="00ED2910"/>
    <w:rsid w:val="00ED3F7E"/>
    <w:rsid w:val="00ED4715"/>
    <w:rsid w:val="00ED47DC"/>
    <w:rsid w:val="00ED7622"/>
    <w:rsid w:val="00ED7ACF"/>
    <w:rsid w:val="00EE3B97"/>
    <w:rsid w:val="00EE7F0A"/>
    <w:rsid w:val="00EF02BC"/>
    <w:rsid w:val="00EF1F22"/>
    <w:rsid w:val="00EF2CA6"/>
    <w:rsid w:val="00EF2FB1"/>
    <w:rsid w:val="00EF4EAB"/>
    <w:rsid w:val="00EF5B40"/>
    <w:rsid w:val="00EF7502"/>
    <w:rsid w:val="00F00432"/>
    <w:rsid w:val="00F02034"/>
    <w:rsid w:val="00F03884"/>
    <w:rsid w:val="00F03E21"/>
    <w:rsid w:val="00F0411C"/>
    <w:rsid w:val="00F117B1"/>
    <w:rsid w:val="00F128A4"/>
    <w:rsid w:val="00F134F9"/>
    <w:rsid w:val="00F1486B"/>
    <w:rsid w:val="00F21D1D"/>
    <w:rsid w:val="00F232CF"/>
    <w:rsid w:val="00F2461C"/>
    <w:rsid w:val="00F24C62"/>
    <w:rsid w:val="00F24FC8"/>
    <w:rsid w:val="00F26D0F"/>
    <w:rsid w:val="00F331F0"/>
    <w:rsid w:val="00F34138"/>
    <w:rsid w:val="00F355BF"/>
    <w:rsid w:val="00F35E57"/>
    <w:rsid w:val="00F44566"/>
    <w:rsid w:val="00F460A6"/>
    <w:rsid w:val="00F4673F"/>
    <w:rsid w:val="00F47ACE"/>
    <w:rsid w:val="00F47FCE"/>
    <w:rsid w:val="00F501D2"/>
    <w:rsid w:val="00F5266F"/>
    <w:rsid w:val="00F52BC9"/>
    <w:rsid w:val="00F557C0"/>
    <w:rsid w:val="00F56447"/>
    <w:rsid w:val="00F56A1D"/>
    <w:rsid w:val="00F5798C"/>
    <w:rsid w:val="00F61A04"/>
    <w:rsid w:val="00F64055"/>
    <w:rsid w:val="00F64F40"/>
    <w:rsid w:val="00F6564C"/>
    <w:rsid w:val="00F710C6"/>
    <w:rsid w:val="00F72009"/>
    <w:rsid w:val="00F722BD"/>
    <w:rsid w:val="00F72873"/>
    <w:rsid w:val="00F73620"/>
    <w:rsid w:val="00F758ED"/>
    <w:rsid w:val="00F81854"/>
    <w:rsid w:val="00F87415"/>
    <w:rsid w:val="00F91CF0"/>
    <w:rsid w:val="00F9481A"/>
    <w:rsid w:val="00F956D1"/>
    <w:rsid w:val="00F958BC"/>
    <w:rsid w:val="00F9687F"/>
    <w:rsid w:val="00F97F15"/>
    <w:rsid w:val="00FA08DE"/>
    <w:rsid w:val="00FA0CF5"/>
    <w:rsid w:val="00FA2B03"/>
    <w:rsid w:val="00FA2D9D"/>
    <w:rsid w:val="00FA3EF2"/>
    <w:rsid w:val="00FA770D"/>
    <w:rsid w:val="00FA77B7"/>
    <w:rsid w:val="00FB04FD"/>
    <w:rsid w:val="00FB328E"/>
    <w:rsid w:val="00FB3430"/>
    <w:rsid w:val="00FB5E18"/>
    <w:rsid w:val="00FB67C7"/>
    <w:rsid w:val="00FC007C"/>
    <w:rsid w:val="00FC1567"/>
    <w:rsid w:val="00FC2626"/>
    <w:rsid w:val="00FC33B7"/>
    <w:rsid w:val="00FC3766"/>
    <w:rsid w:val="00FC4572"/>
    <w:rsid w:val="00FC5E38"/>
    <w:rsid w:val="00FC755D"/>
    <w:rsid w:val="00FD386C"/>
    <w:rsid w:val="00FD3922"/>
    <w:rsid w:val="00FD47D9"/>
    <w:rsid w:val="00FD6452"/>
    <w:rsid w:val="00FD647C"/>
    <w:rsid w:val="00FE1B9E"/>
    <w:rsid w:val="00FE2B90"/>
    <w:rsid w:val="00FF0A4E"/>
    <w:rsid w:val="00FF14A6"/>
    <w:rsid w:val="00FF37A3"/>
    <w:rsid w:val="00FF3F9C"/>
    <w:rsid w:val="00FF63A1"/>
    <w:rsid w:val="2A1E1511"/>
    <w:rsid w:val="2F58B4AC"/>
    <w:rsid w:val="3463E94A"/>
    <w:rsid w:val="4303E555"/>
    <w:rsid w:val="4D38A6A2"/>
    <w:rsid w:val="65710C70"/>
    <w:rsid w:val="68EBE7D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950F1F1"/>
  <w15:docId w15:val="{BC2EAC2D-F4CE-4B89-888B-814428F3A0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A546F"/>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1" w:customStyle="1">
    <w:name w:val="Mención sin resolver1"/>
    <w:basedOn w:val="Fuentedeprrafopredeter"/>
    <w:uiPriority w:val="99"/>
    <w:semiHidden/>
    <w:unhideWhenUsed/>
    <w:rsid w:val="00BE2AD3"/>
    <w:rPr>
      <w:color w:val="605E5C"/>
      <w:shd w:val="clear" w:color="auto" w:fill="E1DFDD"/>
    </w:rPr>
  </w:style>
  <w:style w:type="paragraph" w:styleId="InviasNormal" w:customStyle="1">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BE1E33"/>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BE1E33"/>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BE1E33"/>
    <w:rPr>
      <w:rFonts w:ascii="Arial Narrow" w:hAnsi="Arial Narrow" w:eastAsia="Times New Roman"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styleId="TextocomentarioCar" w:customStyle="1">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styleId="AsuntodelcomentarioCar" w:customStyle="1">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hAnsi="Times New Roman" w:eastAsia="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hAnsi="Arial" w:eastAsia="Arial" w:cs="Arial"/>
      <w:sz w:val="22"/>
      <w:lang w:val="es-ES"/>
    </w:rPr>
  </w:style>
  <w:style w:type="character" w:styleId="TextoindependienteCar" w:customStyle="1">
    <w:name w:val="Texto independiente Car"/>
    <w:basedOn w:val="Fuentedeprrafopredeter"/>
    <w:link w:val="Textoindependiente"/>
    <w:uiPriority w:val="1"/>
    <w:rsid w:val="00813F60"/>
    <w:rPr>
      <w:rFonts w:ascii="Arial" w:hAnsi="Arial" w:eastAsia="Arial" w:cs="Arial"/>
      <w:lang w:val="es-ES"/>
    </w:rPr>
  </w:style>
  <w:style w:type="table" w:styleId="Tablaconcuadrcula1" w:customStyle="1">
    <w:name w:val="Tabla con cuadrícula1"/>
    <w:basedOn w:val="Tablanormal"/>
    <w:next w:val="Tablaconcuadrcula"/>
    <w:uiPriority w:val="59"/>
    <w:rsid w:val="0088629D"/>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78361115">
      <w:bodyDiv w:val="1"/>
      <w:marLeft w:val="0"/>
      <w:marRight w:val="0"/>
      <w:marTop w:val="0"/>
      <w:marBottom w:val="0"/>
      <w:divBdr>
        <w:top w:val="none" w:sz="0" w:space="0" w:color="auto"/>
        <w:left w:val="none" w:sz="0" w:space="0" w:color="auto"/>
        <w:bottom w:val="none" w:sz="0" w:space="0" w:color="auto"/>
        <w:right w:val="none" w:sz="0" w:space="0" w:color="auto"/>
      </w:divBdr>
    </w:div>
    <w:div w:id="623732528">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046873969">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243225501">
      <w:bodyDiv w:val="1"/>
      <w:marLeft w:val="0"/>
      <w:marRight w:val="0"/>
      <w:marTop w:val="0"/>
      <w:marBottom w:val="0"/>
      <w:divBdr>
        <w:top w:val="none" w:sz="0" w:space="0" w:color="auto"/>
        <w:left w:val="none" w:sz="0" w:space="0" w:color="auto"/>
        <w:bottom w:val="none" w:sz="0" w:space="0" w:color="auto"/>
        <w:right w:val="none" w:sz="0" w:space="0" w:color="auto"/>
      </w:divBdr>
      <w:divsChild>
        <w:div w:id="1505827403">
          <w:marLeft w:val="0"/>
          <w:marRight w:val="0"/>
          <w:marTop w:val="0"/>
          <w:marBottom w:val="0"/>
          <w:divBdr>
            <w:top w:val="none" w:sz="0" w:space="0" w:color="auto"/>
            <w:left w:val="none" w:sz="0" w:space="0" w:color="auto"/>
            <w:bottom w:val="none" w:sz="0" w:space="0" w:color="auto"/>
            <w:right w:val="none" w:sz="0" w:space="0" w:color="auto"/>
          </w:divBdr>
          <w:divsChild>
            <w:div w:id="1504127261">
              <w:marLeft w:val="0"/>
              <w:marRight w:val="0"/>
              <w:marTop w:val="0"/>
              <w:marBottom w:val="0"/>
              <w:divBdr>
                <w:top w:val="none" w:sz="0" w:space="0" w:color="auto"/>
                <w:left w:val="none" w:sz="0" w:space="0" w:color="auto"/>
                <w:bottom w:val="none" w:sz="0" w:space="0" w:color="auto"/>
                <w:right w:val="none" w:sz="0" w:space="0" w:color="auto"/>
              </w:divBdr>
              <w:divsChild>
                <w:div w:id="194707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27156">
      <w:bodyDiv w:val="1"/>
      <w:marLeft w:val="0"/>
      <w:marRight w:val="0"/>
      <w:marTop w:val="0"/>
      <w:marBottom w:val="0"/>
      <w:divBdr>
        <w:top w:val="none" w:sz="0" w:space="0" w:color="auto"/>
        <w:left w:val="none" w:sz="0" w:space="0" w:color="auto"/>
        <w:bottom w:val="none" w:sz="0" w:space="0" w:color="auto"/>
        <w:right w:val="none" w:sz="0" w:space="0" w:color="auto"/>
      </w:divBdr>
    </w:div>
    <w:div w:id="1467509655">
      <w:bodyDiv w:val="1"/>
      <w:marLeft w:val="0"/>
      <w:marRight w:val="0"/>
      <w:marTop w:val="0"/>
      <w:marBottom w:val="0"/>
      <w:divBdr>
        <w:top w:val="none" w:sz="0" w:space="0" w:color="auto"/>
        <w:left w:val="none" w:sz="0" w:space="0" w:color="auto"/>
        <w:bottom w:val="none" w:sz="0" w:space="0" w:color="auto"/>
        <w:right w:val="none" w:sz="0" w:space="0" w:color="auto"/>
      </w:divBdr>
    </w:div>
    <w:div w:id="1511750199">
      <w:bodyDiv w:val="1"/>
      <w:marLeft w:val="0"/>
      <w:marRight w:val="0"/>
      <w:marTop w:val="0"/>
      <w:marBottom w:val="0"/>
      <w:divBdr>
        <w:top w:val="none" w:sz="0" w:space="0" w:color="auto"/>
        <w:left w:val="none" w:sz="0" w:space="0" w:color="auto"/>
        <w:bottom w:val="none" w:sz="0" w:space="0" w:color="auto"/>
        <w:right w:val="none" w:sz="0" w:space="0" w:color="auto"/>
      </w:divBdr>
    </w:div>
    <w:div w:id="1716152015">
      <w:bodyDiv w:val="1"/>
      <w:marLeft w:val="0"/>
      <w:marRight w:val="0"/>
      <w:marTop w:val="0"/>
      <w:marBottom w:val="0"/>
      <w:divBdr>
        <w:top w:val="none" w:sz="0" w:space="0" w:color="auto"/>
        <w:left w:val="none" w:sz="0" w:space="0" w:color="auto"/>
        <w:bottom w:val="none" w:sz="0" w:space="0" w:color="auto"/>
        <w:right w:val="none" w:sz="0" w:space="0" w:color="auto"/>
      </w:divBdr>
      <w:divsChild>
        <w:div w:id="2132362447">
          <w:marLeft w:val="0"/>
          <w:marRight w:val="0"/>
          <w:marTop w:val="0"/>
          <w:marBottom w:val="0"/>
          <w:divBdr>
            <w:top w:val="none" w:sz="0" w:space="0" w:color="auto"/>
            <w:left w:val="none" w:sz="0" w:space="0" w:color="auto"/>
            <w:bottom w:val="none" w:sz="0" w:space="0" w:color="auto"/>
            <w:right w:val="none" w:sz="0" w:space="0" w:color="auto"/>
          </w:divBdr>
          <w:divsChild>
            <w:div w:id="933248935">
              <w:marLeft w:val="0"/>
              <w:marRight w:val="0"/>
              <w:marTop w:val="0"/>
              <w:marBottom w:val="0"/>
              <w:divBdr>
                <w:top w:val="none" w:sz="0" w:space="0" w:color="auto"/>
                <w:left w:val="none" w:sz="0" w:space="0" w:color="auto"/>
                <w:bottom w:val="none" w:sz="0" w:space="0" w:color="auto"/>
                <w:right w:val="none" w:sz="0" w:space="0" w:color="auto"/>
              </w:divBdr>
              <w:divsChild>
                <w:div w:id="10406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1348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27361966">
      <w:bodyDiv w:val="1"/>
      <w:marLeft w:val="0"/>
      <w:marRight w:val="0"/>
      <w:marTop w:val="0"/>
      <w:marBottom w:val="0"/>
      <w:divBdr>
        <w:top w:val="none" w:sz="0" w:space="0" w:color="auto"/>
        <w:left w:val="none" w:sz="0" w:space="0" w:color="auto"/>
        <w:bottom w:val="none" w:sz="0" w:space="0" w:color="auto"/>
        <w:right w:val="none" w:sz="0" w:space="0" w:color="auto"/>
      </w:divBdr>
      <w:divsChild>
        <w:div w:id="1769345825">
          <w:marLeft w:val="0"/>
          <w:marRight w:val="0"/>
          <w:marTop w:val="0"/>
          <w:marBottom w:val="0"/>
          <w:divBdr>
            <w:top w:val="none" w:sz="0" w:space="0" w:color="auto"/>
            <w:left w:val="none" w:sz="0" w:space="0" w:color="auto"/>
            <w:bottom w:val="none" w:sz="0" w:space="0" w:color="auto"/>
            <w:right w:val="none" w:sz="0" w:space="0" w:color="auto"/>
          </w:divBdr>
          <w:divsChild>
            <w:div w:id="1950889096">
              <w:marLeft w:val="0"/>
              <w:marRight w:val="0"/>
              <w:marTop w:val="0"/>
              <w:marBottom w:val="0"/>
              <w:divBdr>
                <w:top w:val="none" w:sz="0" w:space="0" w:color="auto"/>
                <w:left w:val="none" w:sz="0" w:space="0" w:color="auto"/>
                <w:bottom w:val="none" w:sz="0" w:space="0" w:color="auto"/>
                <w:right w:val="none" w:sz="0" w:space="0" w:color="auto"/>
              </w:divBdr>
              <w:divsChild>
                <w:div w:id="129748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432751">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 w:id="210202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jpg" Id="R663a7a5a6259468b"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idu.gov.co/page/transparencia/informacion-de-interes/glosar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44487F-383D-DC4F-8546-B7791E44A5A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Manuela Mantilla Pacheco</lastModifiedBy>
  <revision>3</revision>
  <lastPrinted>2020-03-17T17:42:00.0000000Z</lastPrinted>
  <dcterms:created xsi:type="dcterms:W3CDTF">2020-10-27T16:00:00.0000000Z</dcterms:created>
  <dcterms:modified xsi:type="dcterms:W3CDTF">2020-12-04T16:10:27.0167821Z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